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91C02" w14:textId="77777777" w:rsidR="00DE7253" w:rsidRDefault="00DE7253" w:rsidP="00DE7253">
      <w:pPr>
        <w:spacing w:after="0" w:line="240" w:lineRule="auto"/>
        <w:jc w:val="center"/>
        <w:rPr>
          <w:rFonts w:ascii="Times New Roman" w:hAnsi="Times New Roman" w:cs="Times New Roman"/>
          <w:b/>
          <w:sz w:val="24"/>
          <w:szCs w:val="24"/>
        </w:rPr>
      </w:pPr>
      <w:r w:rsidRPr="00997397">
        <w:rPr>
          <w:rFonts w:ascii="Times New Roman" w:hAnsi="Times New Roman" w:cs="Times New Roman"/>
          <w:b/>
          <w:sz w:val="24"/>
          <w:szCs w:val="24"/>
        </w:rPr>
        <w:t xml:space="preserve">Governance Architecture </w:t>
      </w:r>
      <w:r>
        <w:rPr>
          <w:rFonts w:ascii="Times New Roman" w:hAnsi="Times New Roman" w:cs="Times New Roman"/>
          <w:b/>
          <w:sz w:val="24"/>
          <w:szCs w:val="24"/>
        </w:rPr>
        <w:t>a</w:t>
      </w:r>
      <w:r w:rsidRPr="00997397">
        <w:rPr>
          <w:rFonts w:ascii="Times New Roman" w:hAnsi="Times New Roman" w:cs="Times New Roman"/>
          <w:b/>
          <w:sz w:val="24"/>
          <w:szCs w:val="24"/>
        </w:rPr>
        <w:t xml:space="preserve">nd Prospects </w:t>
      </w:r>
      <w:r>
        <w:rPr>
          <w:rFonts w:ascii="Times New Roman" w:hAnsi="Times New Roman" w:cs="Times New Roman"/>
          <w:b/>
          <w:sz w:val="24"/>
          <w:szCs w:val="24"/>
        </w:rPr>
        <w:t>f</w:t>
      </w:r>
      <w:r w:rsidRPr="00997397">
        <w:rPr>
          <w:rFonts w:ascii="Times New Roman" w:hAnsi="Times New Roman" w:cs="Times New Roman"/>
          <w:b/>
          <w:sz w:val="24"/>
          <w:szCs w:val="24"/>
        </w:rPr>
        <w:t xml:space="preserve">or Regulatory Differentiation </w:t>
      </w:r>
    </w:p>
    <w:p w14:paraId="61DA9078" w14:textId="4D6D516A" w:rsidR="00F3156F" w:rsidRPr="00997397" w:rsidRDefault="00DE7253" w:rsidP="00DE72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Pr="00997397">
        <w:rPr>
          <w:rFonts w:ascii="Times New Roman" w:hAnsi="Times New Roman" w:cs="Times New Roman"/>
          <w:b/>
          <w:sz w:val="24"/>
          <w:szCs w:val="24"/>
        </w:rPr>
        <w:t xml:space="preserve">n </w:t>
      </w:r>
      <w:r>
        <w:rPr>
          <w:rFonts w:ascii="Times New Roman" w:hAnsi="Times New Roman" w:cs="Times New Roman"/>
          <w:b/>
          <w:sz w:val="24"/>
          <w:szCs w:val="24"/>
        </w:rPr>
        <w:t>t</w:t>
      </w:r>
      <w:r w:rsidRPr="00997397">
        <w:rPr>
          <w:rFonts w:ascii="Times New Roman" w:hAnsi="Times New Roman" w:cs="Times New Roman"/>
          <w:b/>
          <w:sz w:val="24"/>
          <w:szCs w:val="24"/>
        </w:rPr>
        <w:t>he E</w:t>
      </w:r>
      <w:r>
        <w:rPr>
          <w:rFonts w:ascii="Times New Roman" w:hAnsi="Times New Roman" w:cs="Times New Roman"/>
          <w:b/>
          <w:sz w:val="24"/>
          <w:szCs w:val="24"/>
        </w:rPr>
        <w:t>U</w:t>
      </w:r>
      <w:r w:rsidRPr="00997397">
        <w:rPr>
          <w:rFonts w:ascii="Times New Roman" w:hAnsi="Times New Roman" w:cs="Times New Roman"/>
          <w:b/>
          <w:sz w:val="24"/>
          <w:szCs w:val="24"/>
        </w:rPr>
        <w:t>-U</w:t>
      </w:r>
      <w:r>
        <w:rPr>
          <w:rFonts w:ascii="Times New Roman" w:hAnsi="Times New Roman" w:cs="Times New Roman"/>
          <w:b/>
          <w:sz w:val="24"/>
          <w:szCs w:val="24"/>
        </w:rPr>
        <w:t>K</w:t>
      </w:r>
      <w:r w:rsidRPr="00997397">
        <w:rPr>
          <w:rFonts w:ascii="Times New Roman" w:hAnsi="Times New Roman" w:cs="Times New Roman"/>
          <w:b/>
          <w:sz w:val="24"/>
          <w:szCs w:val="24"/>
        </w:rPr>
        <w:t xml:space="preserve"> Trade Relationship</w:t>
      </w:r>
    </w:p>
    <w:p w14:paraId="15C7890A" w14:textId="77777777" w:rsidR="00DE7253" w:rsidRDefault="00DE7253" w:rsidP="00DE7253">
      <w:pPr>
        <w:spacing w:after="0" w:line="240" w:lineRule="auto"/>
        <w:jc w:val="center"/>
        <w:rPr>
          <w:rFonts w:ascii="Times New Roman" w:hAnsi="Times New Roman" w:cs="Times New Roman"/>
          <w:b/>
          <w:sz w:val="24"/>
          <w:szCs w:val="24"/>
        </w:rPr>
      </w:pPr>
    </w:p>
    <w:p w14:paraId="7E618D9D" w14:textId="38119680" w:rsidR="006F5904" w:rsidRPr="00997397" w:rsidRDefault="00A4122E" w:rsidP="00DE7253">
      <w:pPr>
        <w:spacing w:after="0" w:line="240" w:lineRule="auto"/>
        <w:jc w:val="center"/>
        <w:rPr>
          <w:rFonts w:ascii="Times New Roman" w:hAnsi="Times New Roman" w:cs="Times New Roman"/>
          <w:b/>
          <w:sz w:val="24"/>
          <w:szCs w:val="24"/>
        </w:rPr>
      </w:pPr>
      <w:r w:rsidRPr="00997397">
        <w:rPr>
          <w:rFonts w:ascii="Times New Roman" w:hAnsi="Times New Roman" w:cs="Times New Roman"/>
          <w:b/>
          <w:sz w:val="24"/>
          <w:szCs w:val="24"/>
        </w:rPr>
        <w:t>Kathryn Wright</w:t>
      </w:r>
      <w:r w:rsidR="004876AC" w:rsidRPr="00997397">
        <w:rPr>
          <w:rStyle w:val="FootnoteReference"/>
          <w:rFonts w:ascii="Times New Roman" w:hAnsi="Times New Roman" w:cs="Times New Roman"/>
          <w:b/>
          <w:sz w:val="24"/>
          <w:szCs w:val="24"/>
        </w:rPr>
        <w:footnoteReference w:customMarkFollows="1" w:id="1"/>
        <w:t>*</w:t>
      </w:r>
    </w:p>
    <w:p w14:paraId="11DA7EA4" w14:textId="77777777" w:rsidR="001B2593" w:rsidRPr="00997397" w:rsidRDefault="001B2593" w:rsidP="005A3684">
      <w:pPr>
        <w:spacing w:line="240" w:lineRule="auto"/>
        <w:rPr>
          <w:rFonts w:ascii="Times New Roman" w:hAnsi="Times New Roman" w:cs="Times New Roman"/>
          <w:b/>
          <w:bCs/>
          <w:sz w:val="24"/>
          <w:szCs w:val="24"/>
        </w:rPr>
      </w:pPr>
    </w:p>
    <w:p w14:paraId="4DAA5270" w14:textId="6CE8CF61" w:rsidR="005A3684" w:rsidRPr="00997397" w:rsidRDefault="001B2593" w:rsidP="005A3684">
      <w:pPr>
        <w:spacing w:line="240" w:lineRule="auto"/>
        <w:rPr>
          <w:rFonts w:ascii="Times New Roman" w:hAnsi="Times New Roman" w:cs="Times New Roman"/>
          <w:b/>
          <w:bCs/>
          <w:sz w:val="24"/>
          <w:szCs w:val="24"/>
        </w:rPr>
      </w:pPr>
      <w:r w:rsidRPr="00997397">
        <w:rPr>
          <w:rFonts w:ascii="Times New Roman" w:hAnsi="Times New Roman" w:cs="Times New Roman"/>
          <w:b/>
          <w:bCs/>
          <w:sz w:val="24"/>
          <w:szCs w:val="24"/>
        </w:rPr>
        <w:t>1. I</w:t>
      </w:r>
      <w:r w:rsidR="00DE7253">
        <w:rPr>
          <w:rFonts w:ascii="Times New Roman" w:hAnsi="Times New Roman" w:cs="Times New Roman"/>
          <w:b/>
          <w:bCs/>
          <w:sz w:val="24"/>
          <w:szCs w:val="24"/>
        </w:rPr>
        <w:t>ntroduction</w:t>
      </w:r>
    </w:p>
    <w:p w14:paraId="587FA17C" w14:textId="3CDA7584" w:rsidR="00AD667F" w:rsidRPr="00997397" w:rsidRDefault="006F5904" w:rsidP="0026242A">
      <w:pPr>
        <w:spacing w:line="240" w:lineRule="auto"/>
        <w:rPr>
          <w:rFonts w:ascii="Times New Roman" w:hAnsi="Times New Roman" w:cs="Times New Roman"/>
          <w:bCs/>
          <w:i/>
          <w:iCs/>
          <w:sz w:val="24"/>
          <w:szCs w:val="24"/>
        </w:rPr>
      </w:pPr>
      <w:r w:rsidRPr="00997397">
        <w:rPr>
          <w:rFonts w:ascii="Times New Roman" w:hAnsi="Times New Roman" w:cs="Times New Roman"/>
          <w:bCs/>
          <w:sz w:val="24"/>
          <w:szCs w:val="24"/>
        </w:rPr>
        <w:t xml:space="preserve">The European Union </w:t>
      </w:r>
      <w:r w:rsidR="001B7004">
        <w:rPr>
          <w:rFonts w:ascii="Times New Roman" w:hAnsi="Times New Roman" w:cs="Times New Roman"/>
          <w:bCs/>
          <w:sz w:val="24"/>
          <w:szCs w:val="24"/>
        </w:rPr>
        <w:t xml:space="preserve">(EU) </w:t>
      </w:r>
      <w:r w:rsidRPr="00997397">
        <w:rPr>
          <w:rFonts w:ascii="Times New Roman" w:hAnsi="Times New Roman" w:cs="Times New Roman"/>
          <w:bCs/>
          <w:sz w:val="24"/>
          <w:szCs w:val="24"/>
        </w:rPr>
        <w:t xml:space="preserve">and the United Kingdom </w:t>
      </w:r>
      <w:r w:rsidR="001B7004">
        <w:rPr>
          <w:rFonts w:ascii="Times New Roman" w:hAnsi="Times New Roman" w:cs="Times New Roman"/>
          <w:bCs/>
          <w:sz w:val="24"/>
          <w:szCs w:val="24"/>
        </w:rPr>
        <w:t xml:space="preserve">(UK) </w:t>
      </w:r>
      <w:r w:rsidRPr="00997397">
        <w:rPr>
          <w:rFonts w:ascii="Times New Roman" w:hAnsi="Times New Roman" w:cs="Times New Roman"/>
          <w:bCs/>
          <w:sz w:val="24"/>
          <w:szCs w:val="24"/>
        </w:rPr>
        <w:t xml:space="preserve">finally </w:t>
      </w:r>
      <w:r w:rsidR="00F71F89" w:rsidRPr="00997397">
        <w:rPr>
          <w:rFonts w:ascii="Times New Roman" w:hAnsi="Times New Roman" w:cs="Times New Roman"/>
          <w:bCs/>
          <w:sz w:val="24"/>
          <w:szCs w:val="24"/>
        </w:rPr>
        <w:t>reached</w:t>
      </w:r>
      <w:r w:rsidRPr="00997397">
        <w:rPr>
          <w:rFonts w:ascii="Times New Roman" w:hAnsi="Times New Roman" w:cs="Times New Roman"/>
          <w:bCs/>
          <w:sz w:val="24"/>
          <w:szCs w:val="24"/>
        </w:rPr>
        <w:t xml:space="preserve"> historic agreement on their future relationship on Christmas Eve 2020</w:t>
      </w:r>
      <w:r w:rsidR="00F71F89" w:rsidRPr="00997397">
        <w:rPr>
          <w:rFonts w:ascii="Times New Roman" w:hAnsi="Times New Roman" w:cs="Times New Roman"/>
          <w:bCs/>
          <w:sz w:val="24"/>
          <w:szCs w:val="24"/>
        </w:rPr>
        <w:t>, resulting in the</w:t>
      </w:r>
      <w:r w:rsidR="00AB2C0C" w:rsidRPr="00997397">
        <w:rPr>
          <w:rFonts w:ascii="Times New Roman" w:hAnsi="Times New Roman" w:cs="Times New Roman"/>
          <w:bCs/>
          <w:sz w:val="24"/>
          <w:szCs w:val="24"/>
        </w:rPr>
        <w:t xml:space="preserve"> Trade and Cooperation Agreement</w:t>
      </w:r>
      <w:r w:rsidR="00693B2A">
        <w:rPr>
          <w:rFonts w:ascii="Times New Roman" w:hAnsi="Times New Roman" w:cs="Times New Roman"/>
          <w:bCs/>
          <w:sz w:val="24"/>
          <w:szCs w:val="24"/>
        </w:rPr>
        <w:t xml:space="preserve"> (TCA)</w:t>
      </w:r>
      <w:r w:rsidR="00AB2C0C" w:rsidRPr="00997397">
        <w:rPr>
          <w:rFonts w:ascii="Times New Roman" w:hAnsi="Times New Roman" w:cs="Times New Roman"/>
          <w:bCs/>
          <w:sz w:val="24"/>
          <w:szCs w:val="24"/>
        </w:rPr>
        <w:t>.</w:t>
      </w:r>
      <w:r w:rsidR="00AB2C0C" w:rsidRPr="00997397">
        <w:rPr>
          <w:rStyle w:val="FootnoteReference"/>
          <w:rFonts w:ascii="Times New Roman" w:hAnsi="Times New Roman" w:cs="Times New Roman"/>
          <w:bCs/>
          <w:sz w:val="24"/>
          <w:szCs w:val="24"/>
        </w:rPr>
        <w:footnoteReference w:id="2"/>
      </w:r>
      <w:r w:rsidR="00BF7CBB" w:rsidRPr="00997397">
        <w:rPr>
          <w:rFonts w:ascii="Times New Roman" w:hAnsi="Times New Roman" w:cs="Times New Roman"/>
          <w:bCs/>
          <w:sz w:val="24"/>
          <w:szCs w:val="24"/>
        </w:rPr>
        <w:t xml:space="preserve"> </w:t>
      </w:r>
      <w:r w:rsidR="00BD2BCE" w:rsidRPr="00997397">
        <w:rPr>
          <w:rFonts w:ascii="Times New Roman" w:hAnsi="Times New Roman" w:cs="Times New Roman"/>
          <w:bCs/>
          <w:sz w:val="24"/>
          <w:szCs w:val="24"/>
        </w:rPr>
        <w:t xml:space="preserve">Following the UK’s exit </w:t>
      </w:r>
      <w:r w:rsidR="00C73C1E" w:rsidRPr="00997397">
        <w:rPr>
          <w:rFonts w:ascii="Times New Roman" w:hAnsi="Times New Roman" w:cs="Times New Roman"/>
          <w:bCs/>
          <w:sz w:val="24"/>
          <w:szCs w:val="24"/>
        </w:rPr>
        <w:t>on 31 January 2020, and with the end of the transition period approaching on 31 December 2020</w:t>
      </w:r>
      <w:r w:rsidR="00DD56B7" w:rsidRPr="00997397">
        <w:rPr>
          <w:rFonts w:ascii="Times New Roman" w:hAnsi="Times New Roman" w:cs="Times New Roman"/>
          <w:bCs/>
          <w:sz w:val="24"/>
          <w:szCs w:val="24"/>
        </w:rPr>
        <w:t xml:space="preserve">, at times compromise </w:t>
      </w:r>
      <w:r w:rsidR="002420C2">
        <w:rPr>
          <w:rFonts w:ascii="Times New Roman" w:hAnsi="Times New Roman" w:cs="Times New Roman"/>
          <w:bCs/>
          <w:sz w:val="24"/>
          <w:szCs w:val="24"/>
        </w:rPr>
        <w:t xml:space="preserve">had </w:t>
      </w:r>
      <w:r w:rsidR="00DD56B7" w:rsidRPr="00997397">
        <w:rPr>
          <w:rFonts w:ascii="Times New Roman" w:hAnsi="Times New Roman" w:cs="Times New Roman"/>
          <w:bCs/>
          <w:sz w:val="24"/>
          <w:szCs w:val="24"/>
        </w:rPr>
        <w:t xml:space="preserve">looked unlikely. </w:t>
      </w:r>
      <w:r w:rsidR="002420C2">
        <w:rPr>
          <w:rFonts w:ascii="Times New Roman" w:hAnsi="Times New Roman" w:cs="Times New Roman"/>
          <w:bCs/>
          <w:sz w:val="24"/>
          <w:szCs w:val="24"/>
        </w:rPr>
        <w:t>(</w:t>
      </w:r>
      <w:r w:rsidR="00D36346" w:rsidRPr="00997397">
        <w:rPr>
          <w:rFonts w:ascii="Times New Roman" w:hAnsi="Times New Roman" w:cs="Times New Roman"/>
          <w:bCs/>
          <w:sz w:val="24"/>
          <w:szCs w:val="24"/>
        </w:rPr>
        <w:t xml:space="preserve">A low point </w:t>
      </w:r>
      <w:r w:rsidR="007A012B">
        <w:rPr>
          <w:rFonts w:ascii="Times New Roman" w:hAnsi="Times New Roman" w:cs="Times New Roman"/>
          <w:bCs/>
          <w:sz w:val="24"/>
          <w:szCs w:val="24"/>
        </w:rPr>
        <w:t>was</w:t>
      </w:r>
      <w:r w:rsidR="00D36346" w:rsidRPr="00997397">
        <w:rPr>
          <w:rFonts w:ascii="Times New Roman" w:hAnsi="Times New Roman" w:cs="Times New Roman"/>
          <w:bCs/>
          <w:sz w:val="24"/>
          <w:szCs w:val="24"/>
        </w:rPr>
        <w:t xml:space="preserve"> the UK government</w:t>
      </w:r>
      <w:r w:rsidR="002335FA">
        <w:rPr>
          <w:rFonts w:ascii="Times New Roman" w:hAnsi="Times New Roman" w:cs="Times New Roman"/>
          <w:bCs/>
          <w:sz w:val="24"/>
          <w:szCs w:val="24"/>
        </w:rPr>
        <w:t>’s introduction of the U</w:t>
      </w:r>
      <w:r w:rsidR="00D36346" w:rsidRPr="00997397">
        <w:rPr>
          <w:rFonts w:ascii="Times New Roman" w:hAnsi="Times New Roman" w:cs="Times New Roman"/>
          <w:bCs/>
          <w:sz w:val="24"/>
          <w:szCs w:val="24"/>
        </w:rPr>
        <w:t xml:space="preserve">K Internal Market Bill </w:t>
      </w:r>
      <w:r w:rsidR="002335FA">
        <w:rPr>
          <w:rFonts w:ascii="Times New Roman" w:hAnsi="Times New Roman" w:cs="Times New Roman"/>
          <w:bCs/>
          <w:sz w:val="24"/>
          <w:szCs w:val="24"/>
        </w:rPr>
        <w:t xml:space="preserve">which </w:t>
      </w:r>
      <w:r w:rsidR="00977EEE">
        <w:rPr>
          <w:rFonts w:ascii="Times New Roman" w:hAnsi="Times New Roman" w:cs="Times New Roman"/>
          <w:bCs/>
          <w:sz w:val="24"/>
          <w:szCs w:val="24"/>
        </w:rPr>
        <w:t xml:space="preserve">sought to legislate against </w:t>
      </w:r>
      <w:r w:rsidR="007563DF" w:rsidRPr="00997397">
        <w:rPr>
          <w:rFonts w:ascii="Times New Roman" w:hAnsi="Times New Roman" w:cs="Times New Roman"/>
          <w:bCs/>
          <w:sz w:val="24"/>
          <w:szCs w:val="24"/>
        </w:rPr>
        <w:t xml:space="preserve">terms of the Withdrawal Agreement </w:t>
      </w:r>
      <w:r w:rsidR="00BF7ACD">
        <w:rPr>
          <w:rFonts w:ascii="Times New Roman" w:hAnsi="Times New Roman" w:cs="Times New Roman"/>
          <w:bCs/>
          <w:sz w:val="24"/>
          <w:szCs w:val="24"/>
        </w:rPr>
        <w:t>(WA)</w:t>
      </w:r>
      <w:r w:rsidR="00333892">
        <w:rPr>
          <w:rFonts w:ascii="Times New Roman" w:hAnsi="Times New Roman" w:cs="Times New Roman"/>
          <w:bCs/>
          <w:sz w:val="24"/>
          <w:szCs w:val="24"/>
        </w:rPr>
        <w:t xml:space="preserve"> </w:t>
      </w:r>
      <w:r w:rsidR="007563DF" w:rsidRPr="00997397">
        <w:rPr>
          <w:rFonts w:ascii="Times New Roman" w:hAnsi="Times New Roman" w:cs="Times New Roman"/>
          <w:bCs/>
          <w:sz w:val="24"/>
          <w:szCs w:val="24"/>
        </w:rPr>
        <w:t>and</w:t>
      </w:r>
      <w:r w:rsidR="00731A0F">
        <w:rPr>
          <w:rFonts w:ascii="Times New Roman" w:hAnsi="Times New Roman" w:cs="Times New Roman"/>
          <w:bCs/>
          <w:sz w:val="24"/>
          <w:szCs w:val="24"/>
        </w:rPr>
        <w:t xml:space="preserve"> </w:t>
      </w:r>
      <w:r w:rsidR="007563DF" w:rsidRPr="00997397">
        <w:rPr>
          <w:rFonts w:ascii="Times New Roman" w:hAnsi="Times New Roman" w:cs="Times New Roman"/>
          <w:bCs/>
          <w:sz w:val="24"/>
          <w:szCs w:val="24"/>
        </w:rPr>
        <w:t>Protocol</w:t>
      </w:r>
      <w:r w:rsidR="00633E77" w:rsidRPr="00997397">
        <w:rPr>
          <w:rFonts w:ascii="Times New Roman" w:hAnsi="Times New Roman" w:cs="Times New Roman"/>
          <w:bCs/>
          <w:sz w:val="24"/>
          <w:szCs w:val="24"/>
        </w:rPr>
        <w:t xml:space="preserve"> </w:t>
      </w:r>
      <w:r w:rsidR="00731A0F">
        <w:rPr>
          <w:rFonts w:ascii="Times New Roman" w:hAnsi="Times New Roman" w:cs="Times New Roman"/>
          <w:bCs/>
          <w:sz w:val="24"/>
          <w:szCs w:val="24"/>
        </w:rPr>
        <w:t xml:space="preserve">on Ireland and Northern Ireland </w:t>
      </w:r>
      <w:r w:rsidR="001A56BD">
        <w:rPr>
          <w:rFonts w:ascii="Times New Roman" w:hAnsi="Times New Roman" w:cs="Times New Roman"/>
          <w:bCs/>
          <w:sz w:val="24"/>
          <w:szCs w:val="24"/>
        </w:rPr>
        <w:t xml:space="preserve">on customs and State aid, </w:t>
      </w:r>
      <w:r w:rsidR="00633E77" w:rsidRPr="00997397">
        <w:rPr>
          <w:rFonts w:ascii="Times New Roman" w:hAnsi="Times New Roman" w:cs="Times New Roman"/>
          <w:bCs/>
          <w:sz w:val="24"/>
          <w:szCs w:val="24"/>
        </w:rPr>
        <w:t>and the European Commission’s</w:t>
      </w:r>
      <w:r w:rsidR="00C2316E" w:rsidRPr="00997397">
        <w:rPr>
          <w:rFonts w:ascii="Times New Roman" w:hAnsi="Times New Roman" w:cs="Times New Roman"/>
          <w:bCs/>
          <w:sz w:val="24"/>
          <w:szCs w:val="24"/>
        </w:rPr>
        <w:t xml:space="preserve"> initiation of infringement proceedings</w:t>
      </w:r>
      <w:r w:rsidR="002335FA">
        <w:rPr>
          <w:rFonts w:ascii="Times New Roman" w:hAnsi="Times New Roman" w:cs="Times New Roman"/>
          <w:bCs/>
          <w:sz w:val="24"/>
          <w:szCs w:val="24"/>
        </w:rPr>
        <w:t xml:space="preserve"> in response</w:t>
      </w:r>
      <w:r w:rsidR="00C2316E" w:rsidRPr="00997397">
        <w:rPr>
          <w:rFonts w:ascii="Times New Roman" w:hAnsi="Times New Roman" w:cs="Times New Roman"/>
          <w:bCs/>
          <w:sz w:val="24"/>
          <w:szCs w:val="24"/>
        </w:rPr>
        <w:t>.</w:t>
      </w:r>
      <w:r w:rsidR="001A56BD">
        <w:rPr>
          <w:rStyle w:val="FootnoteReference"/>
          <w:rFonts w:ascii="Times New Roman" w:hAnsi="Times New Roman" w:cs="Times New Roman"/>
          <w:bCs/>
          <w:sz w:val="24"/>
          <w:szCs w:val="24"/>
        </w:rPr>
        <w:footnoteReference w:id="3"/>
      </w:r>
      <w:r w:rsidR="002420C2">
        <w:rPr>
          <w:rFonts w:ascii="Times New Roman" w:hAnsi="Times New Roman" w:cs="Times New Roman"/>
          <w:bCs/>
          <w:sz w:val="24"/>
          <w:szCs w:val="24"/>
        </w:rPr>
        <w:t>)</w:t>
      </w:r>
      <w:r w:rsidR="00FB52DD" w:rsidRPr="00997397">
        <w:rPr>
          <w:rFonts w:ascii="Times New Roman" w:hAnsi="Times New Roman" w:cs="Times New Roman"/>
          <w:bCs/>
          <w:sz w:val="24"/>
          <w:szCs w:val="24"/>
        </w:rPr>
        <w:t xml:space="preserve"> </w:t>
      </w:r>
      <w:r w:rsidR="00C2316E" w:rsidRPr="00997397">
        <w:rPr>
          <w:rFonts w:ascii="Times New Roman" w:hAnsi="Times New Roman" w:cs="Times New Roman"/>
          <w:bCs/>
          <w:sz w:val="24"/>
          <w:szCs w:val="24"/>
        </w:rPr>
        <w:t>This chapter addresses</w:t>
      </w:r>
      <w:r w:rsidR="00C74320" w:rsidRPr="00997397">
        <w:rPr>
          <w:rFonts w:ascii="Times New Roman" w:hAnsi="Times New Roman" w:cs="Times New Roman"/>
          <w:bCs/>
          <w:sz w:val="24"/>
          <w:szCs w:val="24"/>
        </w:rPr>
        <w:t xml:space="preserve"> </w:t>
      </w:r>
      <w:r w:rsidR="00ED704B">
        <w:rPr>
          <w:rFonts w:ascii="Times New Roman" w:hAnsi="Times New Roman" w:cs="Times New Roman"/>
          <w:bCs/>
          <w:sz w:val="24"/>
          <w:szCs w:val="24"/>
        </w:rPr>
        <w:t xml:space="preserve">what was </w:t>
      </w:r>
      <w:r w:rsidR="00C74320" w:rsidRPr="00997397">
        <w:rPr>
          <w:rFonts w:ascii="Times New Roman" w:hAnsi="Times New Roman" w:cs="Times New Roman"/>
          <w:bCs/>
          <w:sz w:val="24"/>
          <w:szCs w:val="24"/>
        </w:rPr>
        <w:t>one of the main sticking points in the negotiations</w:t>
      </w:r>
      <w:r w:rsidR="00C15F22" w:rsidRPr="00997397">
        <w:rPr>
          <w:rFonts w:ascii="Times New Roman" w:hAnsi="Times New Roman" w:cs="Times New Roman"/>
          <w:bCs/>
          <w:sz w:val="24"/>
          <w:szCs w:val="24"/>
        </w:rPr>
        <w:t xml:space="preserve">: the governance arrangements for the EU-UK </w:t>
      </w:r>
      <w:r w:rsidR="00172F8B">
        <w:rPr>
          <w:rFonts w:ascii="Times New Roman" w:hAnsi="Times New Roman" w:cs="Times New Roman"/>
          <w:bCs/>
          <w:sz w:val="24"/>
          <w:szCs w:val="24"/>
        </w:rPr>
        <w:t xml:space="preserve">future trade </w:t>
      </w:r>
      <w:r w:rsidR="00C15F22" w:rsidRPr="00997397">
        <w:rPr>
          <w:rFonts w:ascii="Times New Roman" w:hAnsi="Times New Roman" w:cs="Times New Roman"/>
          <w:bCs/>
          <w:sz w:val="24"/>
          <w:szCs w:val="24"/>
        </w:rPr>
        <w:t>relationship.</w:t>
      </w:r>
      <w:r w:rsidR="001130DE" w:rsidRPr="00997397">
        <w:rPr>
          <w:rFonts w:ascii="Times New Roman" w:hAnsi="Times New Roman" w:cs="Times New Roman"/>
          <w:bCs/>
          <w:sz w:val="24"/>
          <w:szCs w:val="24"/>
        </w:rPr>
        <w:t xml:space="preserve"> </w:t>
      </w:r>
    </w:p>
    <w:p w14:paraId="7BCCF70A" w14:textId="4BF6E1FF" w:rsidR="003516AF" w:rsidRPr="00997397" w:rsidRDefault="00B11544" w:rsidP="003516AF">
      <w:pPr>
        <w:spacing w:after="0" w:line="240" w:lineRule="auto"/>
        <w:rPr>
          <w:rFonts w:ascii="Times New Roman" w:eastAsia="Calibri" w:hAnsi="Times New Roman" w:cs="Times New Roman"/>
          <w:bCs/>
          <w:iCs/>
          <w:sz w:val="24"/>
          <w:szCs w:val="24"/>
          <w:u w:val="single"/>
        </w:rPr>
      </w:pPr>
      <w:r w:rsidRPr="00997397">
        <w:rPr>
          <w:rFonts w:ascii="Times New Roman" w:hAnsi="Times New Roman" w:cs="Times New Roman"/>
          <w:bCs/>
          <w:sz w:val="24"/>
          <w:szCs w:val="24"/>
        </w:rPr>
        <w:t xml:space="preserve">These arrangements are central to managing regulatory differentiation. </w:t>
      </w:r>
      <w:r w:rsidR="005A3684" w:rsidRPr="00997397">
        <w:rPr>
          <w:rFonts w:ascii="Times New Roman" w:hAnsi="Times New Roman" w:cs="Times New Roman"/>
          <w:bCs/>
          <w:sz w:val="24"/>
          <w:szCs w:val="24"/>
        </w:rPr>
        <w:t xml:space="preserve">The governance arrangements and level playing field provisions had been one of the principal areas of difference between the two sides’ </w:t>
      </w:r>
      <w:r w:rsidR="00146021">
        <w:rPr>
          <w:rFonts w:ascii="Times New Roman" w:hAnsi="Times New Roman" w:cs="Times New Roman"/>
          <w:bCs/>
          <w:sz w:val="24"/>
          <w:szCs w:val="24"/>
        </w:rPr>
        <w:t>mandates</w:t>
      </w:r>
      <w:r w:rsidR="005A3684" w:rsidRPr="00997397">
        <w:rPr>
          <w:rFonts w:ascii="Times New Roman" w:hAnsi="Times New Roman" w:cs="Times New Roman"/>
          <w:bCs/>
          <w:sz w:val="24"/>
          <w:szCs w:val="24"/>
        </w:rPr>
        <w:t xml:space="preserve"> during the negotiations</w:t>
      </w:r>
      <w:r w:rsidR="00163001" w:rsidRPr="00997397">
        <w:rPr>
          <w:rFonts w:ascii="Times New Roman" w:hAnsi="Times New Roman" w:cs="Times New Roman"/>
          <w:bCs/>
          <w:sz w:val="24"/>
          <w:szCs w:val="24"/>
        </w:rPr>
        <w:t xml:space="preserve"> g</w:t>
      </w:r>
      <w:r w:rsidR="007B7876" w:rsidRPr="00997397">
        <w:rPr>
          <w:rFonts w:ascii="Times New Roman" w:hAnsi="Times New Roman" w:cs="Times New Roman"/>
          <w:bCs/>
          <w:sz w:val="24"/>
          <w:szCs w:val="24"/>
        </w:rPr>
        <w:t xml:space="preserve">iven the </w:t>
      </w:r>
      <w:r w:rsidR="00A74E99" w:rsidRPr="00997397">
        <w:rPr>
          <w:rFonts w:ascii="Times New Roman" w:hAnsi="Times New Roman" w:cs="Times New Roman"/>
          <w:bCs/>
          <w:sz w:val="24"/>
          <w:szCs w:val="24"/>
        </w:rPr>
        <w:t>UK</w:t>
      </w:r>
      <w:r w:rsidR="007B7876" w:rsidRPr="00997397">
        <w:rPr>
          <w:rFonts w:ascii="Times New Roman" w:hAnsi="Times New Roman" w:cs="Times New Roman"/>
          <w:bCs/>
          <w:sz w:val="24"/>
          <w:szCs w:val="24"/>
        </w:rPr>
        <w:t>’s</w:t>
      </w:r>
      <w:r w:rsidR="00A74E99" w:rsidRPr="00997397">
        <w:rPr>
          <w:rFonts w:ascii="Times New Roman" w:hAnsi="Times New Roman" w:cs="Times New Roman"/>
          <w:bCs/>
          <w:sz w:val="24"/>
          <w:szCs w:val="24"/>
        </w:rPr>
        <w:t xml:space="preserve"> red line on the role of the </w:t>
      </w:r>
      <w:r w:rsidR="007B7876" w:rsidRPr="00997397">
        <w:rPr>
          <w:rFonts w:ascii="Times New Roman" w:hAnsi="Times New Roman" w:cs="Times New Roman"/>
          <w:bCs/>
          <w:sz w:val="24"/>
          <w:szCs w:val="24"/>
        </w:rPr>
        <w:t>Court of Justice of the European Union (</w:t>
      </w:r>
      <w:r w:rsidR="00A74E99" w:rsidRPr="00997397">
        <w:rPr>
          <w:rFonts w:ascii="Times New Roman" w:hAnsi="Times New Roman" w:cs="Times New Roman"/>
          <w:bCs/>
          <w:sz w:val="24"/>
          <w:szCs w:val="24"/>
        </w:rPr>
        <w:t>CJEU</w:t>
      </w:r>
      <w:r w:rsidR="007B7876" w:rsidRPr="00997397">
        <w:rPr>
          <w:rFonts w:ascii="Times New Roman" w:hAnsi="Times New Roman" w:cs="Times New Roman"/>
          <w:bCs/>
          <w:sz w:val="24"/>
          <w:szCs w:val="24"/>
        </w:rPr>
        <w:t>)</w:t>
      </w:r>
      <w:r w:rsidR="002C50F8" w:rsidRPr="00997397">
        <w:rPr>
          <w:rFonts w:ascii="Times New Roman" w:hAnsi="Times New Roman" w:cs="Times New Roman"/>
          <w:bCs/>
          <w:sz w:val="24"/>
          <w:szCs w:val="24"/>
        </w:rPr>
        <w:t xml:space="preserve"> and the E</w:t>
      </w:r>
      <w:r w:rsidR="00A74E99" w:rsidRPr="00997397">
        <w:rPr>
          <w:rFonts w:ascii="Times New Roman" w:hAnsi="Times New Roman" w:cs="Times New Roman"/>
          <w:bCs/>
          <w:sz w:val="24"/>
          <w:szCs w:val="24"/>
        </w:rPr>
        <w:t>U</w:t>
      </w:r>
      <w:r w:rsidR="002C50F8" w:rsidRPr="00997397">
        <w:rPr>
          <w:rFonts w:ascii="Times New Roman" w:hAnsi="Times New Roman" w:cs="Times New Roman"/>
          <w:bCs/>
          <w:sz w:val="24"/>
          <w:szCs w:val="24"/>
        </w:rPr>
        <w:t>’s</w:t>
      </w:r>
      <w:r w:rsidR="00A74E99" w:rsidRPr="00997397">
        <w:rPr>
          <w:rFonts w:ascii="Times New Roman" w:hAnsi="Times New Roman" w:cs="Times New Roman"/>
          <w:bCs/>
          <w:sz w:val="24"/>
          <w:szCs w:val="24"/>
        </w:rPr>
        <w:t xml:space="preserve"> concerns about </w:t>
      </w:r>
      <w:r w:rsidR="002C50F8" w:rsidRPr="00997397">
        <w:rPr>
          <w:rFonts w:ascii="Times New Roman" w:hAnsi="Times New Roman" w:cs="Times New Roman"/>
          <w:bCs/>
          <w:sz w:val="24"/>
          <w:szCs w:val="24"/>
        </w:rPr>
        <w:t xml:space="preserve">a regulatory </w:t>
      </w:r>
      <w:r w:rsidR="00A74E99" w:rsidRPr="00997397">
        <w:rPr>
          <w:rFonts w:ascii="Times New Roman" w:hAnsi="Times New Roman" w:cs="Times New Roman"/>
          <w:bCs/>
          <w:sz w:val="24"/>
          <w:szCs w:val="24"/>
        </w:rPr>
        <w:t xml:space="preserve">competitor on its doorstep. </w:t>
      </w:r>
      <w:r w:rsidR="00C171D2" w:rsidRPr="00997397">
        <w:rPr>
          <w:rFonts w:ascii="Times New Roman" w:hAnsi="Times New Roman" w:cs="Times New Roman"/>
          <w:bCs/>
          <w:sz w:val="24"/>
          <w:szCs w:val="24"/>
        </w:rPr>
        <w:t>The EU insisted on a single overarching governance structure</w:t>
      </w:r>
      <w:r w:rsidR="00F546CA" w:rsidRPr="00997397">
        <w:rPr>
          <w:rFonts w:ascii="Times New Roman" w:hAnsi="Times New Roman" w:cs="Times New Roman"/>
          <w:bCs/>
          <w:sz w:val="24"/>
          <w:szCs w:val="24"/>
        </w:rPr>
        <w:t xml:space="preserve"> (contrary to the multiple agreements with Switzerland)</w:t>
      </w:r>
      <w:r w:rsidR="00177574" w:rsidRPr="00997397">
        <w:rPr>
          <w:rFonts w:ascii="Times New Roman" w:hAnsi="Times New Roman" w:cs="Times New Roman"/>
          <w:bCs/>
          <w:sz w:val="24"/>
          <w:szCs w:val="24"/>
        </w:rPr>
        <w:t xml:space="preserve">, </w:t>
      </w:r>
      <w:r w:rsidR="00295116" w:rsidRPr="00997397">
        <w:rPr>
          <w:rFonts w:ascii="Times New Roman" w:hAnsi="Times New Roman" w:cs="Times New Roman"/>
          <w:bCs/>
          <w:sz w:val="24"/>
          <w:szCs w:val="24"/>
        </w:rPr>
        <w:t xml:space="preserve">a level playing field, and </w:t>
      </w:r>
      <w:r w:rsidR="00177574" w:rsidRPr="00997397">
        <w:rPr>
          <w:rFonts w:ascii="Times New Roman" w:hAnsi="Times New Roman" w:cs="Times New Roman"/>
          <w:bCs/>
          <w:sz w:val="24"/>
          <w:szCs w:val="24"/>
        </w:rPr>
        <w:t>a dynamic means</w:t>
      </w:r>
      <w:r w:rsidR="00597021" w:rsidRPr="00997397">
        <w:rPr>
          <w:rStyle w:val="FootnoteReference"/>
          <w:rFonts w:ascii="Times New Roman" w:hAnsi="Times New Roman" w:cs="Times New Roman"/>
          <w:bCs/>
          <w:sz w:val="24"/>
          <w:szCs w:val="24"/>
        </w:rPr>
        <w:footnoteReference w:id="4"/>
      </w:r>
      <w:r w:rsidR="00177574" w:rsidRPr="00997397">
        <w:rPr>
          <w:rFonts w:ascii="Times New Roman" w:hAnsi="Times New Roman" w:cs="Times New Roman"/>
          <w:bCs/>
          <w:sz w:val="24"/>
          <w:szCs w:val="24"/>
        </w:rPr>
        <w:t xml:space="preserve"> of managing the future relationship as it develops</w:t>
      </w:r>
      <w:r w:rsidR="00295116" w:rsidRPr="00997397">
        <w:rPr>
          <w:rFonts w:ascii="Times New Roman" w:hAnsi="Times New Roman" w:cs="Times New Roman"/>
          <w:bCs/>
          <w:sz w:val="24"/>
          <w:szCs w:val="24"/>
        </w:rPr>
        <w:t xml:space="preserve">. </w:t>
      </w:r>
      <w:r w:rsidR="00987C4D" w:rsidRPr="00997397">
        <w:rPr>
          <w:rFonts w:ascii="Times New Roman" w:hAnsi="Times New Roman" w:cs="Times New Roman"/>
          <w:bCs/>
          <w:sz w:val="24"/>
          <w:szCs w:val="24"/>
        </w:rPr>
        <w:t xml:space="preserve">The UK position changed </w:t>
      </w:r>
      <w:r w:rsidR="00455119">
        <w:rPr>
          <w:rFonts w:ascii="Times New Roman" w:hAnsi="Times New Roman" w:cs="Times New Roman"/>
          <w:bCs/>
          <w:sz w:val="24"/>
          <w:szCs w:val="24"/>
        </w:rPr>
        <w:t>between</w:t>
      </w:r>
      <w:r w:rsidR="00987C4D" w:rsidRPr="00997397">
        <w:rPr>
          <w:rFonts w:ascii="Times New Roman" w:hAnsi="Times New Roman" w:cs="Times New Roman"/>
          <w:bCs/>
          <w:sz w:val="24"/>
          <w:szCs w:val="24"/>
        </w:rPr>
        <w:t xml:space="preserve"> the May to Johnson governments </w:t>
      </w:r>
      <w:r w:rsidR="00520014">
        <w:rPr>
          <w:rFonts w:ascii="Times New Roman" w:hAnsi="Times New Roman" w:cs="Times New Roman"/>
          <w:bCs/>
          <w:sz w:val="24"/>
          <w:szCs w:val="24"/>
        </w:rPr>
        <w:t xml:space="preserve">in </w:t>
      </w:r>
      <w:r w:rsidR="000B7624">
        <w:rPr>
          <w:rFonts w:ascii="Times New Roman" w:hAnsi="Times New Roman" w:cs="Times New Roman"/>
          <w:bCs/>
          <w:sz w:val="24"/>
          <w:szCs w:val="24"/>
        </w:rPr>
        <w:t xml:space="preserve">early 2020 </w:t>
      </w:r>
      <w:r w:rsidR="00987C4D" w:rsidRPr="00997397">
        <w:rPr>
          <w:rFonts w:ascii="Times New Roman" w:hAnsi="Times New Roman" w:cs="Times New Roman"/>
          <w:bCs/>
          <w:sz w:val="24"/>
          <w:szCs w:val="24"/>
        </w:rPr>
        <w:t>to one of no alignment.</w:t>
      </w:r>
      <w:r w:rsidR="00AB1DDD" w:rsidRPr="00997397">
        <w:rPr>
          <w:rStyle w:val="FootnoteReference"/>
          <w:rFonts w:ascii="Times New Roman" w:hAnsi="Times New Roman" w:cs="Times New Roman"/>
          <w:bCs/>
          <w:sz w:val="24"/>
          <w:szCs w:val="24"/>
        </w:rPr>
        <w:footnoteReference w:id="5"/>
      </w:r>
      <w:r w:rsidR="00F82718" w:rsidRPr="00997397">
        <w:rPr>
          <w:rFonts w:ascii="Times New Roman" w:hAnsi="Times New Roman" w:cs="Times New Roman"/>
          <w:bCs/>
          <w:sz w:val="24"/>
          <w:szCs w:val="24"/>
        </w:rPr>
        <w:t xml:space="preserve"> It</w:t>
      </w:r>
      <w:r w:rsidR="002D300C" w:rsidRPr="00997397">
        <w:rPr>
          <w:rFonts w:ascii="Times New Roman" w:hAnsi="Times New Roman" w:cs="Times New Roman"/>
          <w:bCs/>
          <w:sz w:val="24"/>
          <w:szCs w:val="24"/>
        </w:rPr>
        <w:t xml:space="preserve"> based its proposals on</w:t>
      </w:r>
      <w:r w:rsidR="00AB5D9A" w:rsidRPr="00997397">
        <w:rPr>
          <w:rFonts w:ascii="Times New Roman" w:hAnsi="Times New Roman" w:cs="Times New Roman"/>
          <w:bCs/>
          <w:sz w:val="24"/>
          <w:szCs w:val="24"/>
        </w:rPr>
        <w:t xml:space="preserve"> precedented arrangements in the EU’s existing free trade </w:t>
      </w:r>
      <w:r w:rsidR="00AB5D9A" w:rsidRPr="00997397">
        <w:rPr>
          <w:rFonts w:ascii="Times New Roman" w:hAnsi="Times New Roman" w:cs="Times New Roman"/>
          <w:bCs/>
          <w:sz w:val="24"/>
          <w:szCs w:val="24"/>
        </w:rPr>
        <w:lastRenderedPageBreak/>
        <w:t>agreements</w:t>
      </w:r>
      <w:r w:rsidR="00C171D2" w:rsidRPr="00997397">
        <w:rPr>
          <w:rFonts w:ascii="Times New Roman" w:hAnsi="Times New Roman" w:cs="Times New Roman"/>
          <w:bCs/>
          <w:sz w:val="24"/>
          <w:szCs w:val="24"/>
        </w:rPr>
        <w:t xml:space="preserve">, with different arrangements </w:t>
      </w:r>
      <w:r w:rsidR="00C72CB6" w:rsidRPr="00997397">
        <w:rPr>
          <w:rFonts w:ascii="Times New Roman" w:hAnsi="Times New Roman" w:cs="Times New Roman"/>
          <w:bCs/>
          <w:sz w:val="24"/>
          <w:szCs w:val="24"/>
        </w:rPr>
        <w:t>for different sectors</w:t>
      </w:r>
      <w:r w:rsidR="00C171D2" w:rsidRPr="00997397">
        <w:rPr>
          <w:rFonts w:ascii="Times New Roman" w:hAnsi="Times New Roman" w:cs="Times New Roman"/>
          <w:bCs/>
          <w:sz w:val="24"/>
          <w:szCs w:val="24"/>
        </w:rPr>
        <w:t xml:space="preserve"> areas</w:t>
      </w:r>
      <w:r w:rsidR="00C72CB6" w:rsidRPr="00997397">
        <w:rPr>
          <w:rFonts w:ascii="Times New Roman" w:hAnsi="Times New Roman" w:cs="Times New Roman"/>
          <w:bCs/>
          <w:sz w:val="24"/>
          <w:szCs w:val="24"/>
        </w:rPr>
        <w:t>,</w:t>
      </w:r>
      <w:r w:rsidR="00494E63" w:rsidRPr="00997397">
        <w:rPr>
          <w:rStyle w:val="FootnoteReference"/>
          <w:rFonts w:ascii="Times New Roman" w:hAnsi="Times New Roman" w:cs="Times New Roman"/>
          <w:bCs/>
          <w:sz w:val="24"/>
          <w:szCs w:val="24"/>
        </w:rPr>
        <w:footnoteReference w:id="6"/>
      </w:r>
      <w:r w:rsidR="00C72CB6" w:rsidRPr="00997397">
        <w:rPr>
          <w:rFonts w:ascii="Times New Roman" w:hAnsi="Times New Roman" w:cs="Times New Roman"/>
          <w:bCs/>
          <w:sz w:val="24"/>
          <w:szCs w:val="24"/>
        </w:rPr>
        <w:t xml:space="preserve"> </w:t>
      </w:r>
      <w:r w:rsidR="00EE16C8">
        <w:rPr>
          <w:rFonts w:ascii="Times New Roman" w:hAnsi="Times New Roman" w:cs="Times New Roman"/>
          <w:bCs/>
          <w:sz w:val="24"/>
          <w:szCs w:val="24"/>
        </w:rPr>
        <w:t xml:space="preserve">and </w:t>
      </w:r>
      <w:r w:rsidR="00C72CB6" w:rsidRPr="00997397">
        <w:rPr>
          <w:rFonts w:ascii="Times New Roman" w:hAnsi="Times New Roman" w:cs="Times New Roman"/>
          <w:bCs/>
          <w:sz w:val="24"/>
          <w:szCs w:val="24"/>
        </w:rPr>
        <w:t xml:space="preserve">only some providing for recourse </w:t>
      </w:r>
      <w:r w:rsidR="00C72CB6" w:rsidRPr="00997397">
        <w:rPr>
          <w:rFonts w:ascii="Times New Roman" w:hAnsi="Times New Roman" w:cs="Times New Roman"/>
          <w:sz w:val="24"/>
          <w:szCs w:val="24"/>
        </w:rPr>
        <w:t>to an arbitral tribunal</w:t>
      </w:r>
      <w:r w:rsidR="00C171D2" w:rsidRPr="00997397">
        <w:rPr>
          <w:rFonts w:ascii="Times New Roman" w:hAnsi="Times New Roman" w:cs="Times New Roman"/>
          <w:bCs/>
          <w:sz w:val="24"/>
          <w:szCs w:val="24"/>
        </w:rPr>
        <w:t>.</w:t>
      </w:r>
      <w:r w:rsidR="0042419B" w:rsidRPr="00997397">
        <w:rPr>
          <w:rFonts w:ascii="Times New Roman" w:hAnsi="Times New Roman" w:cs="Times New Roman"/>
          <w:sz w:val="24"/>
          <w:szCs w:val="24"/>
        </w:rPr>
        <w:t xml:space="preserve"> </w:t>
      </w:r>
    </w:p>
    <w:p w14:paraId="012E34EC" w14:textId="77777777" w:rsidR="003516AF" w:rsidRPr="00997397" w:rsidRDefault="003516AF" w:rsidP="003516AF">
      <w:pPr>
        <w:spacing w:after="0" w:line="240" w:lineRule="auto"/>
        <w:rPr>
          <w:rFonts w:ascii="Times New Roman" w:eastAsia="Calibri" w:hAnsi="Times New Roman" w:cs="Times New Roman"/>
          <w:bCs/>
          <w:iCs/>
          <w:sz w:val="24"/>
          <w:szCs w:val="24"/>
        </w:rPr>
      </w:pPr>
    </w:p>
    <w:p w14:paraId="4507494A" w14:textId="188F0F2F" w:rsidR="00AE62EE" w:rsidRPr="005D1C0B" w:rsidRDefault="00FD06EE" w:rsidP="0094168F">
      <w:pPr>
        <w:rPr>
          <w:rFonts w:ascii="Times New Roman" w:hAnsi="Times New Roman" w:cs="Times New Roman"/>
          <w:sz w:val="24"/>
          <w:szCs w:val="24"/>
        </w:rPr>
      </w:pPr>
      <w:r w:rsidRPr="00997397">
        <w:rPr>
          <w:rFonts w:ascii="Times New Roman" w:hAnsi="Times New Roman" w:cs="Times New Roman"/>
          <w:bCs/>
          <w:sz w:val="24"/>
          <w:szCs w:val="24"/>
        </w:rPr>
        <w:t xml:space="preserve">The </w:t>
      </w:r>
      <w:r w:rsidR="00E747CB" w:rsidRPr="00997397">
        <w:rPr>
          <w:rFonts w:ascii="Times New Roman" w:hAnsi="Times New Roman" w:cs="Times New Roman"/>
          <w:bCs/>
          <w:sz w:val="24"/>
          <w:szCs w:val="24"/>
        </w:rPr>
        <w:t>TCA establishes the overarching governance structure of a Partnership Council</w:t>
      </w:r>
      <w:r w:rsidR="001E5C1D" w:rsidRPr="00997397">
        <w:rPr>
          <w:rFonts w:ascii="Times New Roman" w:hAnsi="Times New Roman" w:cs="Times New Roman"/>
          <w:bCs/>
          <w:sz w:val="24"/>
          <w:szCs w:val="24"/>
        </w:rPr>
        <w:t xml:space="preserve"> (PC)</w:t>
      </w:r>
      <w:r w:rsidR="00E747CB" w:rsidRPr="00997397">
        <w:rPr>
          <w:rFonts w:ascii="Times New Roman" w:hAnsi="Times New Roman" w:cs="Times New Roman"/>
          <w:bCs/>
          <w:sz w:val="24"/>
          <w:szCs w:val="24"/>
        </w:rPr>
        <w:t xml:space="preserve">, </w:t>
      </w:r>
      <w:r w:rsidR="00E34420" w:rsidRPr="00997397">
        <w:rPr>
          <w:rFonts w:ascii="Times New Roman" w:hAnsi="Times New Roman" w:cs="Times New Roman"/>
          <w:bCs/>
          <w:sz w:val="24"/>
          <w:szCs w:val="24"/>
        </w:rPr>
        <w:t xml:space="preserve">with </w:t>
      </w:r>
      <w:r w:rsidR="00332377" w:rsidRPr="00997397">
        <w:rPr>
          <w:rFonts w:ascii="Times New Roman" w:hAnsi="Times New Roman" w:cs="Times New Roman"/>
          <w:bCs/>
          <w:sz w:val="24"/>
          <w:szCs w:val="24"/>
        </w:rPr>
        <w:t>19</w:t>
      </w:r>
      <w:r w:rsidR="00E34420" w:rsidRPr="00997397">
        <w:rPr>
          <w:rFonts w:ascii="Times New Roman" w:hAnsi="Times New Roman" w:cs="Times New Roman"/>
          <w:bCs/>
          <w:sz w:val="24"/>
          <w:szCs w:val="24"/>
        </w:rPr>
        <w:t xml:space="preserve"> </w:t>
      </w:r>
      <w:r w:rsidR="00E747CB" w:rsidRPr="00997397">
        <w:rPr>
          <w:rFonts w:ascii="Times New Roman" w:hAnsi="Times New Roman" w:cs="Times New Roman"/>
          <w:bCs/>
          <w:sz w:val="24"/>
          <w:szCs w:val="24"/>
        </w:rPr>
        <w:t>specialised committees</w:t>
      </w:r>
      <w:r w:rsidR="00E34420" w:rsidRPr="00997397">
        <w:rPr>
          <w:rFonts w:ascii="Times New Roman" w:hAnsi="Times New Roman" w:cs="Times New Roman"/>
          <w:bCs/>
          <w:sz w:val="24"/>
          <w:szCs w:val="24"/>
        </w:rPr>
        <w:t xml:space="preserve"> and </w:t>
      </w:r>
      <w:r w:rsidR="00332377" w:rsidRPr="00997397">
        <w:rPr>
          <w:rFonts w:ascii="Times New Roman" w:hAnsi="Times New Roman" w:cs="Times New Roman"/>
          <w:bCs/>
          <w:sz w:val="24"/>
          <w:szCs w:val="24"/>
        </w:rPr>
        <w:t>4</w:t>
      </w:r>
      <w:r w:rsidR="00E34420" w:rsidRPr="00997397">
        <w:rPr>
          <w:rFonts w:ascii="Times New Roman" w:hAnsi="Times New Roman" w:cs="Times New Roman"/>
          <w:bCs/>
          <w:sz w:val="24"/>
          <w:szCs w:val="24"/>
        </w:rPr>
        <w:t xml:space="preserve"> </w:t>
      </w:r>
      <w:r w:rsidR="00E747CB" w:rsidRPr="00997397">
        <w:rPr>
          <w:rFonts w:ascii="Times New Roman" w:hAnsi="Times New Roman" w:cs="Times New Roman"/>
          <w:bCs/>
          <w:sz w:val="24"/>
          <w:szCs w:val="24"/>
        </w:rPr>
        <w:t xml:space="preserve">working groups. </w:t>
      </w:r>
      <w:r w:rsidR="00E34420" w:rsidRPr="00997397">
        <w:rPr>
          <w:rFonts w:ascii="Times New Roman" w:hAnsi="Times New Roman" w:cs="Times New Roman"/>
          <w:bCs/>
          <w:sz w:val="24"/>
          <w:szCs w:val="24"/>
        </w:rPr>
        <w:t>There is n</w:t>
      </w:r>
      <w:r w:rsidR="00E747CB" w:rsidRPr="00997397">
        <w:rPr>
          <w:rFonts w:ascii="Times New Roman" w:hAnsi="Times New Roman" w:cs="Times New Roman"/>
          <w:bCs/>
          <w:sz w:val="24"/>
          <w:szCs w:val="24"/>
        </w:rPr>
        <w:t>o secretariat</w:t>
      </w:r>
      <w:r w:rsidR="00E34420" w:rsidRPr="00997397">
        <w:rPr>
          <w:rFonts w:ascii="Times New Roman" w:hAnsi="Times New Roman" w:cs="Times New Roman"/>
          <w:bCs/>
          <w:sz w:val="24"/>
          <w:szCs w:val="24"/>
        </w:rPr>
        <w:t xml:space="preserve"> or administra</w:t>
      </w:r>
      <w:r w:rsidR="00E1320E" w:rsidRPr="00997397">
        <w:rPr>
          <w:rFonts w:ascii="Times New Roman" w:hAnsi="Times New Roman" w:cs="Times New Roman"/>
          <w:bCs/>
          <w:sz w:val="24"/>
          <w:szCs w:val="24"/>
        </w:rPr>
        <w:t xml:space="preserve">tive authority </w:t>
      </w:r>
      <w:r w:rsidR="00452CF5" w:rsidRPr="00997397">
        <w:rPr>
          <w:rFonts w:ascii="Times New Roman" w:hAnsi="Times New Roman" w:cs="Times New Roman"/>
          <w:bCs/>
          <w:sz w:val="24"/>
          <w:szCs w:val="24"/>
        </w:rPr>
        <w:t>like</w:t>
      </w:r>
      <w:r w:rsidR="00E1320E" w:rsidRPr="00997397">
        <w:rPr>
          <w:rFonts w:ascii="Times New Roman" w:hAnsi="Times New Roman" w:cs="Times New Roman"/>
          <w:bCs/>
          <w:sz w:val="24"/>
          <w:szCs w:val="24"/>
        </w:rPr>
        <w:t xml:space="preserve"> the </w:t>
      </w:r>
      <w:r w:rsidR="006F41FE">
        <w:rPr>
          <w:rFonts w:ascii="Times New Roman" w:hAnsi="Times New Roman" w:cs="Times New Roman"/>
          <w:bCs/>
          <w:sz w:val="24"/>
          <w:szCs w:val="24"/>
        </w:rPr>
        <w:t>European Free Trade Association (</w:t>
      </w:r>
      <w:r w:rsidR="00E1320E" w:rsidRPr="00997397">
        <w:rPr>
          <w:rFonts w:ascii="Times New Roman" w:hAnsi="Times New Roman" w:cs="Times New Roman"/>
          <w:bCs/>
          <w:sz w:val="24"/>
          <w:szCs w:val="24"/>
        </w:rPr>
        <w:t>EFTA</w:t>
      </w:r>
      <w:r w:rsidR="006F41FE">
        <w:rPr>
          <w:rFonts w:ascii="Times New Roman" w:hAnsi="Times New Roman" w:cs="Times New Roman"/>
          <w:bCs/>
          <w:sz w:val="24"/>
          <w:szCs w:val="24"/>
        </w:rPr>
        <w:t>)</w:t>
      </w:r>
      <w:r w:rsidR="00E1320E" w:rsidRPr="00997397">
        <w:rPr>
          <w:rFonts w:ascii="Times New Roman" w:hAnsi="Times New Roman" w:cs="Times New Roman"/>
          <w:bCs/>
          <w:sz w:val="24"/>
          <w:szCs w:val="24"/>
        </w:rPr>
        <w:t xml:space="preserve"> Supervision Authority</w:t>
      </w:r>
      <w:r w:rsidR="00452CF5" w:rsidRPr="00997397">
        <w:rPr>
          <w:rFonts w:ascii="Times New Roman" w:hAnsi="Times New Roman" w:cs="Times New Roman"/>
          <w:bCs/>
          <w:sz w:val="24"/>
          <w:szCs w:val="24"/>
        </w:rPr>
        <w:t>, for example</w:t>
      </w:r>
      <w:r w:rsidR="00E1320E" w:rsidRPr="00997397">
        <w:rPr>
          <w:rFonts w:ascii="Times New Roman" w:hAnsi="Times New Roman" w:cs="Times New Roman"/>
          <w:bCs/>
          <w:sz w:val="24"/>
          <w:szCs w:val="24"/>
        </w:rPr>
        <w:t xml:space="preserve">. </w:t>
      </w:r>
      <w:r w:rsidR="00C76A43" w:rsidRPr="00997397">
        <w:rPr>
          <w:rFonts w:ascii="Times New Roman" w:hAnsi="Times New Roman" w:cs="Times New Roman"/>
          <w:bCs/>
          <w:sz w:val="24"/>
          <w:szCs w:val="24"/>
        </w:rPr>
        <w:t xml:space="preserve">To </w:t>
      </w:r>
      <w:r w:rsidR="00515CED">
        <w:rPr>
          <w:rFonts w:ascii="Times New Roman" w:hAnsi="Times New Roman" w:cs="Times New Roman"/>
          <w:bCs/>
          <w:sz w:val="24"/>
          <w:szCs w:val="24"/>
        </w:rPr>
        <w:t xml:space="preserve">some </w:t>
      </w:r>
      <w:r w:rsidR="00C13DD4" w:rsidRPr="00997397">
        <w:rPr>
          <w:rFonts w:ascii="Times New Roman" w:hAnsi="Times New Roman" w:cs="Times New Roman"/>
          <w:bCs/>
          <w:sz w:val="24"/>
          <w:szCs w:val="24"/>
        </w:rPr>
        <w:t>large</w:t>
      </w:r>
      <w:r w:rsidR="00C76A43" w:rsidRPr="00997397">
        <w:rPr>
          <w:rFonts w:ascii="Times New Roman" w:hAnsi="Times New Roman" w:cs="Times New Roman"/>
          <w:bCs/>
          <w:sz w:val="24"/>
          <w:szCs w:val="24"/>
        </w:rPr>
        <w:t xml:space="preserve"> extent</w:t>
      </w:r>
      <w:r w:rsidR="00515CED">
        <w:rPr>
          <w:rFonts w:ascii="Times New Roman" w:hAnsi="Times New Roman" w:cs="Times New Roman"/>
          <w:bCs/>
          <w:sz w:val="24"/>
          <w:szCs w:val="24"/>
        </w:rPr>
        <w:t xml:space="preserve">, </w:t>
      </w:r>
      <w:r w:rsidR="00C76A43" w:rsidRPr="00997397">
        <w:rPr>
          <w:rFonts w:ascii="Times New Roman" w:hAnsi="Times New Roman" w:cs="Times New Roman"/>
          <w:bCs/>
          <w:sz w:val="24"/>
          <w:szCs w:val="24"/>
        </w:rPr>
        <w:t>th</w:t>
      </w:r>
      <w:r w:rsidR="009B09EC" w:rsidRPr="00997397">
        <w:rPr>
          <w:rFonts w:ascii="Times New Roman" w:hAnsi="Times New Roman" w:cs="Times New Roman"/>
          <w:bCs/>
          <w:sz w:val="24"/>
          <w:szCs w:val="24"/>
        </w:rPr>
        <w:t>e governing architecture</w:t>
      </w:r>
      <w:r w:rsidR="00C76A43" w:rsidRPr="00997397">
        <w:rPr>
          <w:rFonts w:ascii="Times New Roman" w:hAnsi="Times New Roman" w:cs="Times New Roman"/>
          <w:bCs/>
          <w:sz w:val="24"/>
          <w:szCs w:val="24"/>
        </w:rPr>
        <w:t xml:space="preserve"> is a continuation of arrangements under the </w:t>
      </w:r>
      <w:r w:rsidR="00BF7ACD">
        <w:rPr>
          <w:rFonts w:ascii="Times New Roman" w:hAnsi="Times New Roman" w:cs="Times New Roman"/>
          <w:bCs/>
          <w:sz w:val="24"/>
          <w:szCs w:val="24"/>
        </w:rPr>
        <w:t>WA</w:t>
      </w:r>
      <w:r w:rsidR="006A51E1" w:rsidRPr="00997397">
        <w:rPr>
          <w:rStyle w:val="FootnoteReference"/>
          <w:rFonts w:ascii="Times New Roman" w:hAnsi="Times New Roman" w:cs="Times New Roman"/>
          <w:sz w:val="24"/>
          <w:szCs w:val="24"/>
        </w:rPr>
        <w:footnoteReference w:id="7"/>
      </w:r>
      <w:r w:rsidR="006A51E1" w:rsidRPr="00997397">
        <w:rPr>
          <w:rFonts w:ascii="Times New Roman" w:hAnsi="Times New Roman" w:cs="Times New Roman"/>
          <w:sz w:val="24"/>
          <w:szCs w:val="24"/>
        </w:rPr>
        <w:t xml:space="preserve"> </w:t>
      </w:r>
      <w:r w:rsidR="00B66CE9" w:rsidRPr="00997397">
        <w:rPr>
          <w:rFonts w:ascii="Times New Roman" w:hAnsi="Times New Roman" w:cs="Times New Roman"/>
          <w:bCs/>
          <w:sz w:val="24"/>
          <w:szCs w:val="24"/>
        </w:rPr>
        <w:t xml:space="preserve">through </w:t>
      </w:r>
      <w:r w:rsidR="006A51E1">
        <w:rPr>
          <w:rFonts w:ascii="Times New Roman" w:hAnsi="Times New Roman" w:cs="Times New Roman"/>
          <w:bCs/>
          <w:sz w:val="24"/>
          <w:szCs w:val="24"/>
        </w:rPr>
        <w:t xml:space="preserve">its </w:t>
      </w:r>
      <w:r w:rsidR="001E5C1D" w:rsidRPr="00997397">
        <w:rPr>
          <w:rFonts w:ascii="Times New Roman" w:hAnsi="Times New Roman" w:cs="Times New Roman"/>
          <w:bCs/>
          <w:sz w:val="24"/>
          <w:szCs w:val="24"/>
        </w:rPr>
        <w:t>Joint Committee (JC). As with the JC, the PC</w:t>
      </w:r>
      <w:r w:rsidR="0094168F" w:rsidRPr="00997397">
        <w:rPr>
          <w:rFonts w:ascii="Times New Roman" w:hAnsi="Times New Roman" w:cs="Times New Roman"/>
          <w:bCs/>
          <w:sz w:val="24"/>
          <w:szCs w:val="24"/>
        </w:rPr>
        <w:t xml:space="preserve"> is </w:t>
      </w:r>
      <w:r w:rsidR="00660109" w:rsidRPr="00997397">
        <w:rPr>
          <w:rFonts w:ascii="Times New Roman" w:hAnsi="Times New Roman" w:cs="Times New Roman"/>
          <w:sz w:val="24"/>
          <w:szCs w:val="24"/>
        </w:rPr>
        <w:t>a high-level, political mechanism albeit underpinned by a legal framework</w:t>
      </w:r>
      <w:r w:rsidR="00E63027" w:rsidRPr="00997397">
        <w:rPr>
          <w:rFonts w:ascii="Times New Roman" w:hAnsi="Times New Roman" w:cs="Times New Roman"/>
          <w:sz w:val="24"/>
          <w:szCs w:val="24"/>
        </w:rPr>
        <w:t>.</w:t>
      </w:r>
      <w:r w:rsidR="00DA6B8D" w:rsidRPr="00997397">
        <w:rPr>
          <w:rStyle w:val="FootnoteReference"/>
          <w:rFonts w:ascii="Times New Roman" w:hAnsi="Times New Roman" w:cs="Times New Roman"/>
          <w:sz w:val="24"/>
          <w:szCs w:val="24"/>
        </w:rPr>
        <w:footnoteReference w:id="8"/>
      </w:r>
      <w:r w:rsidR="00821681" w:rsidRPr="00997397">
        <w:rPr>
          <w:rFonts w:ascii="Times New Roman" w:hAnsi="Times New Roman" w:cs="Times New Roman"/>
          <w:sz w:val="24"/>
          <w:szCs w:val="24"/>
        </w:rPr>
        <w:t xml:space="preserve"> </w:t>
      </w:r>
      <w:r w:rsidR="0094168F" w:rsidRPr="00997397">
        <w:rPr>
          <w:rFonts w:ascii="Times New Roman" w:hAnsi="Times New Roman" w:cs="Times New Roman"/>
          <w:sz w:val="24"/>
          <w:szCs w:val="24"/>
        </w:rPr>
        <w:t xml:space="preserve"> </w:t>
      </w:r>
      <w:r w:rsidR="001F7225" w:rsidRPr="00997397">
        <w:rPr>
          <w:rFonts w:ascii="Times New Roman" w:hAnsi="Times New Roman" w:cs="Times New Roman"/>
          <w:sz w:val="24"/>
          <w:szCs w:val="24"/>
        </w:rPr>
        <w:t>Similarly, t</w:t>
      </w:r>
      <w:r w:rsidR="00660109" w:rsidRPr="00997397">
        <w:rPr>
          <w:rFonts w:ascii="Times New Roman" w:hAnsi="Times New Roman" w:cs="Times New Roman"/>
          <w:sz w:val="24"/>
          <w:szCs w:val="24"/>
        </w:rPr>
        <w:t xml:space="preserve">he </w:t>
      </w:r>
      <w:r w:rsidR="001F7225" w:rsidRPr="00997397">
        <w:rPr>
          <w:rFonts w:ascii="Times New Roman" w:hAnsi="Times New Roman" w:cs="Times New Roman"/>
          <w:sz w:val="24"/>
          <w:szCs w:val="24"/>
        </w:rPr>
        <w:t>PC</w:t>
      </w:r>
      <w:r w:rsidR="00660109" w:rsidRPr="00997397">
        <w:rPr>
          <w:rFonts w:ascii="Times New Roman" w:hAnsi="Times New Roman" w:cs="Times New Roman"/>
          <w:sz w:val="24"/>
          <w:szCs w:val="24"/>
        </w:rPr>
        <w:t xml:space="preserve"> has a range of oversight tasks, with an emphasis on dispute settlement </w:t>
      </w:r>
      <w:r w:rsidR="006604B3" w:rsidRPr="00997397">
        <w:rPr>
          <w:rFonts w:ascii="Times New Roman" w:hAnsi="Times New Roman" w:cs="Times New Roman"/>
          <w:sz w:val="24"/>
          <w:szCs w:val="24"/>
        </w:rPr>
        <w:t xml:space="preserve">through arbitration </w:t>
      </w:r>
      <w:r w:rsidR="00D83860" w:rsidRPr="00997397">
        <w:rPr>
          <w:rFonts w:ascii="Times New Roman" w:hAnsi="Times New Roman" w:cs="Times New Roman"/>
          <w:sz w:val="24"/>
          <w:szCs w:val="24"/>
        </w:rPr>
        <w:t xml:space="preserve">and </w:t>
      </w:r>
      <w:r w:rsidR="00EA735C">
        <w:rPr>
          <w:rFonts w:ascii="Times New Roman" w:hAnsi="Times New Roman" w:cs="Times New Roman"/>
          <w:sz w:val="24"/>
          <w:szCs w:val="24"/>
        </w:rPr>
        <w:t xml:space="preserve">with the ultimate sanctions of </w:t>
      </w:r>
      <w:r w:rsidR="00D83860" w:rsidRPr="00997397">
        <w:rPr>
          <w:rFonts w:ascii="Times New Roman" w:hAnsi="Times New Roman" w:cs="Times New Roman"/>
          <w:sz w:val="24"/>
          <w:szCs w:val="24"/>
        </w:rPr>
        <w:t xml:space="preserve">rebalancing </w:t>
      </w:r>
      <w:r w:rsidR="00EA735C">
        <w:rPr>
          <w:rFonts w:ascii="Times New Roman" w:hAnsi="Times New Roman" w:cs="Times New Roman"/>
          <w:sz w:val="24"/>
          <w:szCs w:val="24"/>
        </w:rPr>
        <w:t xml:space="preserve">and suspension </w:t>
      </w:r>
      <w:r w:rsidR="00660109" w:rsidRPr="00997397">
        <w:rPr>
          <w:rFonts w:ascii="Times New Roman" w:hAnsi="Times New Roman" w:cs="Times New Roman"/>
          <w:sz w:val="24"/>
          <w:szCs w:val="24"/>
        </w:rPr>
        <w:t>mechanisms</w:t>
      </w:r>
      <w:r w:rsidR="00AE62EE" w:rsidRPr="00997397">
        <w:rPr>
          <w:rFonts w:ascii="Times New Roman" w:hAnsi="Times New Roman" w:cs="Times New Roman"/>
          <w:sz w:val="24"/>
          <w:szCs w:val="24"/>
        </w:rPr>
        <w:t xml:space="preserve">. </w:t>
      </w:r>
    </w:p>
    <w:p w14:paraId="503631FD" w14:textId="58E775D2" w:rsidR="009C5DB7" w:rsidRPr="00997397" w:rsidRDefault="009C5DB7" w:rsidP="00875F84">
      <w:pPr>
        <w:spacing w:line="240" w:lineRule="auto"/>
        <w:rPr>
          <w:rFonts w:ascii="Times New Roman" w:hAnsi="Times New Roman" w:cs="Times New Roman"/>
          <w:sz w:val="24"/>
          <w:szCs w:val="24"/>
        </w:rPr>
      </w:pPr>
      <w:r w:rsidRPr="00997397">
        <w:rPr>
          <w:rFonts w:ascii="Times New Roman" w:hAnsi="Times New Roman" w:cs="Times New Roman"/>
          <w:sz w:val="24"/>
          <w:szCs w:val="24"/>
        </w:rPr>
        <w:t xml:space="preserve">However, this </w:t>
      </w:r>
      <w:r w:rsidR="005D1C0B">
        <w:rPr>
          <w:rFonts w:ascii="Times New Roman" w:hAnsi="Times New Roman" w:cs="Times New Roman"/>
          <w:sz w:val="24"/>
          <w:szCs w:val="24"/>
        </w:rPr>
        <w:t xml:space="preserve">overarching </w:t>
      </w:r>
      <w:r w:rsidR="00EE38BE">
        <w:rPr>
          <w:rFonts w:ascii="Times New Roman" w:hAnsi="Times New Roman" w:cs="Times New Roman"/>
          <w:sz w:val="24"/>
          <w:szCs w:val="24"/>
        </w:rPr>
        <w:t xml:space="preserve">institutional </w:t>
      </w:r>
      <w:r w:rsidR="000E0417">
        <w:rPr>
          <w:rFonts w:ascii="Times New Roman" w:hAnsi="Times New Roman" w:cs="Times New Roman"/>
          <w:sz w:val="24"/>
          <w:szCs w:val="24"/>
        </w:rPr>
        <w:t>structure</w:t>
      </w:r>
      <w:r w:rsidR="00EE38BE">
        <w:rPr>
          <w:rFonts w:ascii="Times New Roman" w:hAnsi="Times New Roman" w:cs="Times New Roman"/>
          <w:sz w:val="24"/>
          <w:szCs w:val="24"/>
        </w:rPr>
        <w:t xml:space="preserve"> </w:t>
      </w:r>
      <w:r w:rsidRPr="00997397">
        <w:rPr>
          <w:rFonts w:ascii="Times New Roman" w:hAnsi="Times New Roman" w:cs="Times New Roman"/>
          <w:sz w:val="24"/>
          <w:szCs w:val="24"/>
        </w:rPr>
        <w:t xml:space="preserve">is only </w:t>
      </w:r>
      <w:r w:rsidR="00ED704B">
        <w:rPr>
          <w:rFonts w:ascii="Times New Roman" w:hAnsi="Times New Roman" w:cs="Times New Roman"/>
          <w:sz w:val="24"/>
          <w:szCs w:val="24"/>
        </w:rPr>
        <w:t>half the story</w:t>
      </w:r>
      <w:r w:rsidRPr="00997397">
        <w:rPr>
          <w:rFonts w:ascii="Times New Roman" w:hAnsi="Times New Roman" w:cs="Times New Roman"/>
          <w:sz w:val="24"/>
          <w:szCs w:val="24"/>
        </w:rPr>
        <w:t>.</w:t>
      </w:r>
      <w:r w:rsidR="00B05247" w:rsidRPr="00997397">
        <w:rPr>
          <w:rFonts w:ascii="Times New Roman" w:hAnsi="Times New Roman" w:cs="Times New Roman"/>
          <w:sz w:val="24"/>
          <w:szCs w:val="24"/>
        </w:rPr>
        <w:t xml:space="preserve"> </w:t>
      </w:r>
      <w:r w:rsidR="00655A7E" w:rsidRPr="00997397">
        <w:rPr>
          <w:rFonts w:ascii="Times New Roman" w:hAnsi="Times New Roman" w:cs="Times New Roman"/>
          <w:sz w:val="24"/>
          <w:szCs w:val="24"/>
        </w:rPr>
        <w:t>It does not account for the ground level functioning of the relationship and implementation of rules</w:t>
      </w:r>
      <w:r w:rsidR="00655A7E">
        <w:rPr>
          <w:rFonts w:ascii="Times New Roman" w:hAnsi="Times New Roman" w:cs="Times New Roman"/>
          <w:sz w:val="24"/>
          <w:szCs w:val="24"/>
        </w:rPr>
        <w:t>, particularly of aspect of the level playing field</w:t>
      </w:r>
      <w:r w:rsidR="00655A7E" w:rsidRPr="00997397">
        <w:rPr>
          <w:rFonts w:ascii="Times New Roman" w:hAnsi="Times New Roman" w:cs="Times New Roman"/>
          <w:sz w:val="24"/>
          <w:szCs w:val="24"/>
        </w:rPr>
        <w:t>.</w:t>
      </w:r>
      <w:r w:rsidR="00655A7E" w:rsidRPr="00997397">
        <w:rPr>
          <w:rFonts w:ascii="Times New Roman" w:hAnsi="Times New Roman" w:cs="Times New Roman"/>
          <w:i/>
          <w:iCs/>
          <w:sz w:val="24"/>
          <w:szCs w:val="24"/>
        </w:rPr>
        <w:t xml:space="preserve"> </w:t>
      </w:r>
      <w:r w:rsidR="00ED704B" w:rsidRPr="00BE0677">
        <w:rPr>
          <w:rFonts w:ascii="Times New Roman" w:hAnsi="Times New Roman" w:cs="Times New Roman"/>
          <w:sz w:val="24"/>
          <w:szCs w:val="24"/>
        </w:rPr>
        <w:t>A</w:t>
      </w:r>
      <w:r w:rsidR="00ED704B" w:rsidRPr="00BE0677">
        <w:rPr>
          <w:rFonts w:ascii="Times New Roman" w:hAnsi="Times New Roman" w:cs="Times New Roman"/>
          <w:bCs/>
          <w:sz w:val="24"/>
          <w:szCs w:val="24"/>
        </w:rPr>
        <w:t xml:space="preserve">nother significant aspect of institutional architecture is regulatory cooperation and agencies. </w:t>
      </w:r>
      <w:r w:rsidR="005D1C0B" w:rsidRPr="00BE0677">
        <w:rPr>
          <w:rFonts w:ascii="Times New Roman" w:hAnsi="Times New Roman" w:cs="Times New Roman"/>
          <w:sz w:val="24"/>
          <w:szCs w:val="24"/>
        </w:rPr>
        <w:t xml:space="preserve">While there are some </w:t>
      </w:r>
      <w:r w:rsidR="008112E5">
        <w:rPr>
          <w:rFonts w:ascii="Times New Roman" w:hAnsi="Times New Roman" w:cs="Times New Roman"/>
          <w:sz w:val="24"/>
          <w:szCs w:val="24"/>
        </w:rPr>
        <w:t xml:space="preserve">piecemeal </w:t>
      </w:r>
      <w:r w:rsidR="005D1C0B" w:rsidRPr="00BE0677">
        <w:rPr>
          <w:rFonts w:ascii="Times New Roman" w:hAnsi="Times New Roman" w:cs="Times New Roman"/>
          <w:sz w:val="24"/>
          <w:szCs w:val="24"/>
        </w:rPr>
        <w:t>provisions on regulatory cooperation in the TCA</w:t>
      </w:r>
      <w:r w:rsidR="00EE38BE">
        <w:rPr>
          <w:rFonts w:ascii="Times New Roman" w:hAnsi="Times New Roman" w:cs="Times New Roman"/>
          <w:sz w:val="24"/>
          <w:szCs w:val="24"/>
        </w:rPr>
        <w:t>, the UK is no longer participating in any EU agencies as of 1 January 2021</w:t>
      </w:r>
      <w:r w:rsidR="005D1C0B" w:rsidRPr="00BE0677">
        <w:rPr>
          <w:rFonts w:ascii="Times New Roman" w:hAnsi="Times New Roman" w:cs="Times New Roman"/>
          <w:sz w:val="24"/>
          <w:szCs w:val="24"/>
        </w:rPr>
        <w:t>.</w:t>
      </w:r>
      <w:r w:rsidR="005D1C0B" w:rsidRPr="005D1C0B">
        <w:rPr>
          <w:rFonts w:ascii="Times New Roman" w:hAnsi="Times New Roman" w:cs="Times New Roman"/>
          <w:i/>
          <w:iCs/>
          <w:sz w:val="24"/>
          <w:szCs w:val="24"/>
        </w:rPr>
        <w:t xml:space="preserve"> </w:t>
      </w:r>
      <w:r w:rsidRPr="00997397">
        <w:rPr>
          <w:rFonts w:ascii="Times New Roman" w:hAnsi="Times New Roman" w:cs="Times New Roman"/>
          <w:sz w:val="24"/>
          <w:szCs w:val="24"/>
        </w:rPr>
        <w:t xml:space="preserve">During the negotiations there was a focus on the political. </w:t>
      </w:r>
      <w:r w:rsidR="009D63B5" w:rsidRPr="00997397">
        <w:rPr>
          <w:rFonts w:ascii="Times New Roman" w:hAnsi="Times New Roman" w:cs="Times New Roman"/>
          <w:sz w:val="24"/>
          <w:szCs w:val="24"/>
        </w:rPr>
        <w:t xml:space="preserve">As the </w:t>
      </w:r>
      <w:r w:rsidRPr="00997397">
        <w:rPr>
          <w:rFonts w:ascii="Times New Roman" w:hAnsi="Times New Roman" w:cs="Times New Roman"/>
          <w:sz w:val="24"/>
          <w:szCs w:val="24"/>
        </w:rPr>
        <w:t xml:space="preserve">relationship </w:t>
      </w:r>
      <w:r w:rsidR="009D63B5" w:rsidRPr="00997397">
        <w:rPr>
          <w:rFonts w:ascii="Times New Roman" w:hAnsi="Times New Roman" w:cs="Times New Roman"/>
          <w:sz w:val="24"/>
          <w:szCs w:val="24"/>
        </w:rPr>
        <w:t xml:space="preserve">enters </w:t>
      </w:r>
      <w:r w:rsidRPr="00997397">
        <w:rPr>
          <w:rFonts w:ascii="Times New Roman" w:hAnsi="Times New Roman" w:cs="Times New Roman"/>
          <w:sz w:val="24"/>
          <w:szCs w:val="24"/>
        </w:rPr>
        <w:t xml:space="preserve">a new phase after the end of the transition period, the salience of functionalist </w:t>
      </w:r>
      <w:r w:rsidR="006236F2" w:rsidRPr="00997397">
        <w:rPr>
          <w:rFonts w:ascii="Times New Roman" w:hAnsi="Times New Roman" w:cs="Times New Roman"/>
          <w:sz w:val="24"/>
          <w:szCs w:val="24"/>
        </w:rPr>
        <w:t>perspectives</w:t>
      </w:r>
      <w:r w:rsidRPr="00997397">
        <w:rPr>
          <w:rFonts w:ascii="Times New Roman" w:hAnsi="Times New Roman" w:cs="Times New Roman"/>
          <w:sz w:val="24"/>
          <w:szCs w:val="24"/>
        </w:rPr>
        <w:t xml:space="preserve"> </w:t>
      </w:r>
      <w:r w:rsidR="000E7C75" w:rsidRPr="00997397">
        <w:rPr>
          <w:rFonts w:ascii="Times New Roman" w:hAnsi="Times New Roman" w:cs="Times New Roman"/>
          <w:sz w:val="24"/>
          <w:szCs w:val="24"/>
        </w:rPr>
        <w:t>increases</w:t>
      </w:r>
      <w:r w:rsidRPr="00997397">
        <w:rPr>
          <w:rFonts w:ascii="Times New Roman" w:hAnsi="Times New Roman" w:cs="Times New Roman"/>
          <w:sz w:val="24"/>
          <w:szCs w:val="24"/>
        </w:rPr>
        <w:t xml:space="preserve">. At this point, market access and cooperation are at least as important as </w:t>
      </w:r>
      <w:r w:rsidR="006236F2" w:rsidRPr="00997397">
        <w:rPr>
          <w:rFonts w:ascii="Times New Roman" w:hAnsi="Times New Roman" w:cs="Times New Roman"/>
          <w:sz w:val="24"/>
          <w:szCs w:val="24"/>
        </w:rPr>
        <w:t>symbolic sovereignty issues as the practical implications of EU withdrawal become apparent</w:t>
      </w:r>
      <w:r w:rsidRPr="00997397">
        <w:rPr>
          <w:rFonts w:ascii="Times New Roman" w:hAnsi="Times New Roman" w:cs="Times New Roman"/>
          <w:sz w:val="24"/>
          <w:szCs w:val="24"/>
        </w:rPr>
        <w:t xml:space="preserve">. </w:t>
      </w:r>
      <w:r w:rsidR="00C614F2" w:rsidRPr="00997397">
        <w:rPr>
          <w:rFonts w:ascii="Times New Roman" w:hAnsi="Times New Roman" w:cs="Times New Roman"/>
          <w:sz w:val="24"/>
          <w:szCs w:val="24"/>
        </w:rPr>
        <w:t xml:space="preserve">Reports of </w:t>
      </w:r>
      <w:r w:rsidRPr="00997397">
        <w:rPr>
          <w:rFonts w:ascii="Times New Roman" w:hAnsi="Times New Roman" w:cs="Times New Roman"/>
          <w:sz w:val="24"/>
          <w:szCs w:val="24"/>
        </w:rPr>
        <w:t xml:space="preserve">goods held up, </w:t>
      </w:r>
      <w:r w:rsidR="00C614F2" w:rsidRPr="00997397">
        <w:rPr>
          <w:rFonts w:ascii="Times New Roman" w:hAnsi="Times New Roman" w:cs="Times New Roman"/>
          <w:sz w:val="24"/>
          <w:szCs w:val="24"/>
        </w:rPr>
        <w:t xml:space="preserve">couriers suspending deliveries and </w:t>
      </w:r>
      <w:r w:rsidRPr="00997397">
        <w:rPr>
          <w:rFonts w:ascii="Times New Roman" w:hAnsi="Times New Roman" w:cs="Times New Roman"/>
          <w:sz w:val="24"/>
          <w:szCs w:val="24"/>
        </w:rPr>
        <w:t>confusion over necessary paperwork</w:t>
      </w:r>
      <w:r w:rsidRPr="00997397">
        <w:rPr>
          <w:rFonts w:ascii="Times New Roman" w:hAnsi="Times New Roman" w:cs="Times New Roman"/>
          <w:sz w:val="24"/>
          <w:szCs w:val="24"/>
          <w:vertAlign w:val="superscript"/>
        </w:rPr>
        <w:footnoteReference w:id="9"/>
      </w:r>
      <w:r w:rsidR="007B26F8" w:rsidRPr="00997397">
        <w:rPr>
          <w:rFonts w:ascii="Times New Roman" w:hAnsi="Times New Roman" w:cs="Times New Roman"/>
          <w:sz w:val="24"/>
          <w:szCs w:val="24"/>
        </w:rPr>
        <w:t xml:space="preserve"> </w:t>
      </w:r>
      <w:r w:rsidRPr="00997397">
        <w:rPr>
          <w:rFonts w:ascii="Times New Roman" w:hAnsi="Times New Roman" w:cs="Times New Roman"/>
          <w:sz w:val="24"/>
          <w:szCs w:val="24"/>
        </w:rPr>
        <w:t>show that the border</w:t>
      </w:r>
      <w:r w:rsidR="007B26F8" w:rsidRPr="00997397">
        <w:rPr>
          <w:rFonts w:ascii="Times New Roman" w:hAnsi="Times New Roman" w:cs="Times New Roman"/>
          <w:sz w:val="24"/>
          <w:szCs w:val="24"/>
        </w:rPr>
        <w:t xml:space="preserve">s between the UK and EU and between Great Britain and Northern Ireland are </w:t>
      </w:r>
      <w:r w:rsidRPr="00997397">
        <w:rPr>
          <w:rFonts w:ascii="Times New Roman" w:hAnsi="Times New Roman" w:cs="Times New Roman"/>
          <w:sz w:val="24"/>
          <w:szCs w:val="24"/>
        </w:rPr>
        <w:t>not quite ‘frictionless’</w:t>
      </w:r>
      <w:r w:rsidR="008E33E2">
        <w:rPr>
          <w:rFonts w:ascii="Times New Roman" w:hAnsi="Times New Roman" w:cs="Times New Roman"/>
          <w:sz w:val="24"/>
          <w:szCs w:val="24"/>
        </w:rPr>
        <w:t>.</w:t>
      </w:r>
      <w:r w:rsidRPr="00997397">
        <w:rPr>
          <w:rFonts w:ascii="Times New Roman" w:hAnsi="Times New Roman" w:cs="Times New Roman"/>
          <w:sz w:val="24"/>
          <w:szCs w:val="24"/>
          <w:vertAlign w:val="superscript"/>
        </w:rPr>
        <w:footnoteReference w:id="10"/>
      </w:r>
    </w:p>
    <w:p w14:paraId="5269A30D" w14:textId="335765B8" w:rsidR="001D5D51" w:rsidRPr="00997397" w:rsidRDefault="005710EB" w:rsidP="00660109">
      <w:pPr>
        <w:spacing w:line="240" w:lineRule="auto"/>
        <w:rPr>
          <w:rFonts w:ascii="Times New Roman" w:hAnsi="Times New Roman" w:cs="Times New Roman"/>
          <w:sz w:val="24"/>
          <w:szCs w:val="24"/>
        </w:rPr>
      </w:pPr>
      <w:bookmarkStart w:id="0" w:name="_Hlk64286076"/>
      <w:r w:rsidRPr="00997397">
        <w:rPr>
          <w:rFonts w:ascii="Times New Roman" w:hAnsi="Times New Roman" w:cs="Times New Roman"/>
          <w:sz w:val="24"/>
          <w:szCs w:val="24"/>
        </w:rPr>
        <w:t>As a</w:t>
      </w:r>
      <w:r w:rsidR="00873F8E" w:rsidRPr="00997397">
        <w:rPr>
          <w:rFonts w:ascii="Times New Roman" w:hAnsi="Times New Roman" w:cs="Times New Roman"/>
          <w:sz w:val="24"/>
          <w:szCs w:val="24"/>
        </w:rPr>
        <w:t xml:space="preserve"> Member State, the UK was </w:t>
      </w:r>
      <w:r w:rsidR="00E162ED" w:rsidRPr="00997397">
        <w:rPr>
          <w:rFonts w:ascii="Times New Roman" w:hAnsi="Times New Roman" w:cs="Times New Roman"/>
          <w:sz w:val="24"/>
          <w:szCs w:val="24"/>
        </w:rPr>
        <w:t>integrated</w:t>
      </w:r>
      <w:r w:rsidR="00873F8E" w:rsidRPr="00997397">
        <w:rPr>
          <w:rFonts w:ascii="Times New Roman" w:hAnsi="Times New Roman" w:cs="Times New Roman"/>
          <w:sz w:val="24"/>
          <w:szCs w:val="24"/>
        </w:rPr>
        <w:t xml:space="preserve"> in the EU’s multilevel governance </w:t>
      </w:r>
      <w:r w:rsidR="000E0417">
        <w:rPr>
          <w:rFonts w:ascii="Times New Roman" w:hAnsi="Times New Roman" w:cs="Times New Roman"/>
          <w:sz w:val="24"/>
          <w:szCs w:val="24"/>
        </w:rPr>
        <w:t>system</w:t>
      </w:r>
      <w:r w:rsidR="00306583">
        <w:rPr>
          <w:rFonts w:ascii="Times New Roman" w:hAnsi="Times New Roman" w:cs="Times New Roman"/>
          <w:sz w:val="24"/>
          <w:szCs w:val="24"/>
        </w:rPr>
        <w:t>,</w:t>
      </w:r>
      <w:r w:rsidR="00873F8E" w:rsidRPr="00997397">
        <w:rPr>
          <w:rFonts w:ascii="Times New Roman" w:hAnsi="Times New Roman" w:cs="Times New Roman"/>
          <w:sz w:val="24"/>
          <w:szCs w:val="24"/>
        </w:rPr>
        <w:t xml:space="preserve"> including EU agencies and regulatory networks. </w:t>
      </w:r>
      <w:r w:rsidR="00364B0D" w:rsidRPr="00997397">
        <w:rPr>
          <w:rFonts w:ascii="Times New Roman" w:hAnsi="Times New Roman" w:cs="Times New Roman"/>
          <w:sz w:val="24"/>
          <w:szCs w:val="24"/>
        </w:rPr>
        <w:t>In addition, EU law is embedded</w:t>
      </w:r>
      <w:r w:rsidR="00660109" w:rsidRPr="00997397">
        <w:rPr>
          <w:rFonts w:ascii="Times New Roman" w:hAnsi="Times New Roman" w:cs="Times New Roman"/>
          <w:sz w:val="24"/>
          <w:szCs w:val="24"/>
        </w:rPr>
        <w:t xml:space="preserve"> through </w:t>
      </w:r>
      <w:r w:rsidR="0029776D" w:rsidRPr="00997397">
        <w:rPr>
          <w:rFonts w:ascii="Times New Roman" w:hAnsi="Times New Roman" w:cs="Times New Roman"/>
          <w:sz w:val="24"/>
          <w:szCs w:val="24"/>
        </w:rPr>
        <w:t xml:space="preserve">the UK’s domestic </w:t>
      </w:r>
      <w:r w:rsidR="00364B0D" w:rsidRPr="00997397">
        <w:rPr>
          <w:rFonts w:ascii="Times New Roman" w:hAnsi="Times New Roman" w:cs="Times New Roman"/>
          <w:sz w:val="24"/>
          <w:szCs w:val="24"/>
        </w:rPr>
        <w:t xml:space="preserve">(legislation and) </w:t>
      </w:r>
      <w:r w:rsidR="00660109" w:rsidRPr="00997397">
        <w:rPr>
          <w:rFonts w:ascii="Times New Roman" w:hAnsi="Times New Roman" w:cs="Times New Roman"/>
          <w:sz w:val="24"/>
          <w:szCs w:val="24"/>
        </w:rPr>
        <w:t>administrative institutions.</w:t>
      </w:r>
      <w:r w:rsidR="007F7E03" w:rsidRPr="00997397">
        <w:rPr>
          <w:rStyle w:val="FootnoteReference"/>
          <w:rFonts w:ascii="Times New Roman" w:hAnsi="Times New Roman" w:cs="Times New Roman"/>
          <w:sz w:val="24"/>
          <w:szCs w:val="24"/>
        </w:rPr>
        <w:footnoteReference w:id="11"/>
      </w:r>
      <w:r w:rsidR="00660109" w:rsidRPr="00997397">
        <w:rPr>
          <w:rFonts w:ascii="Times New Roman" w:hAnsi="Times New Roman" w:cs="Times New Roman"/>
          <w:sz w:val="24"/>
          <w:szCs w:val="24"/>
        </w:rPr>
        <w:t xml:space="preserve"> </w:t>
      </w:r>
      <w:r w:rsidR="00CB21E2" w:rsidRPr="00997397">
        <w:rPr>
          <w:rFonts w:ascii="Times New Roman" w:hAnsi="Times New Roman" w:cs="Times New Roman"/>
          <w:sz w:val="24"/>
          <w:szCs w:val="24"/>
        </w:rPr>
        <w:t xml:space="preserve">Monitoring the extent of regulatory differentiation is </w:t>
      </w:r>
      <w:r w:rsidR="00B015B8" w:rsidRPr="00997397">
        <w:rPr>
          <w:rFonts w:ascii="Times New Roman" w:hAnsi="Times New Roman" w:cs="Times New Roman"/>
          <w:sz w:val="24"/>
          <w:szCs w:val="24"/>
        </w:rPr>
        <w:t xml:space="preserve">central </w:t>
      </w:r>
      <w:r w:rsidR="00D316B8" w:rsidRPr="00997397">
        <w:rPr>
          <w:rFonts w:ascii="Times New Roman" w:hAnsi="Times New Roman" w:cs="Times New Roman"/>
          <w:sz w:val="24"/>
          <w:szCs w:val="24"/>
        </w:rPr>
        <w:t>to the</w:t>
      </w:r>
      <w:r w:rsidR="00B015B8" w:rsidRPr="00997397">
        <w:rPr>
          <w:rFonts w:ascii="Times New Roman" w:hAnsi="Times New Roman" w:cs="Times New Roman"/>
          <w:sz w:val="24"/>
          <w:szCs w:val="24"/>
        </w:rPr>
        <w:t xml:space="preserve"> trade relationship</w:t>
      </w:r>
      <w:r w:rsidR="00D316B8" w:rsidRPr="00997397">
        <w:rPr>
          <w:rFonts w:ascii="Times New Roman" w:hAnsi="Times New Roman" w:cs="Times New Roman"/>
          <w:sz w:val="24"/>
          <w:szCs w:val="24"/>
        </w:rPr>
        <w:t>, which invites a</w:t>
      </w:r>
      <w:r w:rsidR="00062A72" w:rsidRPr="00997397">
        <w:rPr>
          <w:rFonts w:ascii="Times New Roman" w:hAnsi="Times New Roman" w:cs="Times New Roman"/>
          <w:sz w:val="24"/>
          <w:szCs w:val="24"/>
        </w:rPr>
        <w:t xml:space="preserve"> s</w:t>
      </w:r>
      <w:r w:rsidR="00C06203" w:rsidRPr="00997397">
        <w:rPr>
          <w:rFonts w:ascii="Times New Roman" w:hAnsi="Times New Roman" w:cs="Times New Roman"/>
          <w:sz w:val="24"/>
          <w:szCs w:val="24"/>
        </w:rPr>
        <w:t xml:space="preserve">trong </w:t>
      </w:r>
      <w:r w:rsidR="00D316B8" w:rsidRPr="00997397">
        <w:rPr>
          <w:rFonts w:ascii="Times New Roman" w:hAnsi="Times New Roman" w:cs="Times New Roman"/>
          <w:sz w:val="24"/>
          <w:szCs w:val="24"/>
        </w:rPr>
        <w:t xml:space="preserve">role </w:t>
      </w:r>
      <w:r w:rsidR="00062A72" w:rsidRPr="00997397">
        <w:rPr>
          <w:rFonts w:ascii="Times New Roman" w:hAnsi="Times New Roman" w:cs="Times New Roman"/>
          <w:sz w:val="24"/>
          <w:szCs w:val="24"/>
        </w:rPr>
        <w:t>for</w:t>
      </w:r>
      <w:r w:rsidR="00D316B8" w:rsidRPr="00997397">
        <w:rPr>
          <w:rFonts w:ascii="Times New Roman" w:hAnsi="Times New Roman" w:cs="Times New Roman"/>
          <w:sz w:val="24"/>
          <w:szCs w:val="24"/>
        </w:rPr>
        <w:t xml:space="preserve"> </w:t>
      </w:r>
      <w:r w:rsidR="00660109" w:rsidRPr="00997397">
        <w:rPr>
          <w:rFonts w:ascii="Times New Roman" w:hAnsi="Times New Roman" w:cs="Times New Roman"/>
          <w:sz w:val="24"/>
          <w:szCs w:val="24"/>
        </w:rPr>
        <w:t>administrative authorities and technocratic expertise</w:t>
      </w:r>
      <w:r w:rsidR="00057B48" w:rsidRPr="00997397">
        <w:rPr>
          <w:rFonts w:ascii="Times New Roman" w:hAnsi="Times New Roman" w:cs="Times New Roman"/>
          <w:sz w:val="24"/>
          <w:szCs w:val="24"/>
        </w:rPr>
        <w:t xml:space="preserve"> in assessing and managing potential divergence as it arises</w:t>
      </w:r>
      <w:r w:rsidR="00C158E2" w:rsidRPr="00997397">
        <w:rPr>
          <w:rFonts w:ascii="Times New Roman" w:hAnsi="Times New Roman" w:cs="Times New Roman"/>
          <w:sz w:val="24"/>
          <w:szCs w:val="24"/>
        </w:rPr>
        <w:t>.</w:t>
      </w:r>
      <w:r w:rsidR="004102A8" w:rsidRPr="00997397">
        <w:rPr>
          <w:rFonts w:ascii="Times New Roman" w:hAnsi="Times New Roman" w:cs="Times New Roman"/>
          <w:sz w:val="24"/>
          <w:szCs w:val="24"/>
        </w:rPr>
        <w:t xml:space="preserve"> P</w:t>
      </w:r>
      <w:r w:rsidR="00660109" w:rsidRPr="00997397">
        <w:rPr>
          <w:rFonts w:ascii="Times New Roman" w:hAnsi="Times New Roman" w:cs="Times New Roman"/>
          <w:sz w:val="24"/>
          <w:szCs w:val="24"/>
        </w:rPr>
        <w:t>lac</w:t>
      </w:r>
      <w:r w:rsidR="004102A8" w:rsidRPr="00997397">
        <w:rPr>
          <w:rFonts w:ascii="Times New Roman" w:hAnsi="Times New Roman" w:cs="Times New Roman"/>
          <w:sz w:val="24"/>
          <w:szCs w:val="24"/>
        </w:rPr>
        <w:t xml:space="preserve">ing </w:t>
      </w:r>
      <w:r w:rsidR="00660109" w:rsidRPr="00997397">
        <w:rPr>
          <w:rFonts w:ascii="Times New Roman" w:hAnsi="Times New Roman" w:cs="Times New Roman"/>
          <w:sz w:val="24"/>
          <w:szCs w:val="24"/>
        </w:rPr>
        <w:t>the discussion in the context of the literature on th</w:t>
      </w:r>
      <w:r w:rsidR="009E5516" w:rsidRPr="00997397">
        <w:rPr>
          <w:rFonts w:ascii="Times New Roman" w:hAnsi="Times New Roman" w:cs="Times New Roman"/>
          <w:sz w:val="24"/>
          <w:szCs w:val="24"/>
        </w:rPr>
        <w:t>e</w:t>
      </w:r>
      <w:r w:rsidR="0000039E" w:rsidRPr="00997397">
        <w:rPr>
          <w:rFonts w:ascii="Times New Roman" w:hAnsi="Times New Roman" w:cs="Times New Roman"/>
          <w:sz w:val="24"/>
          <w:szCs w:val="24"/>
        </w:rPr>
        <w:t xml:space="preserve"> EU </w:t>
      </w:r>
      <w:r w:rsidR="00660109" w:rsidRPr="00997397">
        <w:rPr>
          <w:rFonts w:ascii="Times New Roman" w:hAnsi="Times New Roman" w:cs="Times New Roman"/>
          <w:sz w:val="24"/>
          <w:szCs w:val="24"/>
        </w:rPr>
        <w:t>as a regulator</w:t>
      </w:r>
      <w:r w:rsidR="00897B4F" w:rsidRPr="00997397">
        <w:rPr>
          <w:rFonts w:ascii="Times New Roman" w:hAnsi="Times New Roman" w:cs="Times New Roman"/>
          <w:sz w:val="24"/>
          <w:szCs w:val="24"/>
        </w:rPr>
        <w:t xml:space="preserve"> beyond its borders</w:t>
      </w:r>
      <w:r w:rsidR="00660109" w:rsidRPr="00997397">
        <w:rPr>
          <w:rFonts w:ascii="Times New Roman" w:hAnsi="Times New Roman" w:cs="Times New Roman"/>
          <w:sz w:val="24"/>
          <w:szCs w:val="24"/>
        </w:rPr>
        <w:t xml:space="preserve">, </w:t>
      </w:r>
      <w:r w:rsidR="004102A8" w:rsidRPr="00997397">
        <w:rPr>
          <w:rFonts w:ascii="Times New Roman" w:hAnsi="Times New Roman" w:cs="Times New Roman"/>
          <w:sz w:val="24"/>
          <w:szCs w:val="24"/>
        </w:rPr>
        <w:t xml:space="preserve">this </w:t>
      </w:r>
      <w:r w:rsidR="003F2BDB" w:rsidRPr="00997397">
        <w:rPr>
          <w:rFonts w:ascii="Times New Roman" w:hAnsi="Times New Roman" w:cs="Times New Roman"/>
          <w:bCs/>
          <w:sz w:val="24"/>
          <w:szCs w:val="24"/>
        </w:rPr>
        <w:t xml:space="preserve">chapter considers </w:t>
      </w:r>
      <w:r w:rsidR="007C516C" w:rsidRPr="00997397">
        <w:rPr>
          <w:rFonts w:ascii="Times New Roman" w:hAnsi="Times New Roman" w:cs="Times New Roman"/>
          <w:bCs/>
          <w:sz w:val="24"/>
          <w:szCs w:val="24"/>
        </w:rPr>
        <w:t>the significan</w:t>
      </w:r>
      <w:r w:rsidR="00057B48" w:rsidRPr="00997397">
        <w:rPr>
          <w:rFonts w:ascii="Times New Roman" w:hAnsi="Times New Roman" w:cs="Times New Roman"/>
          <w:bCs/>
          <w:sz w:val="24"/>
          <w:szCs w:val="24"/>
        </w:rPr>
        <w:t>ce</w:t>
      </w:r>
      <w:r w:rsidR="007C516C" w:rsidRPr="00997397">
        <w:rPr>
          <w:rFonts w:ascii="Times New Roman" w:hAnsi="Times New Roman" w:cs="Times New Roman"/>
          <w:bCs/>
          <w:sz w:val="24"/>
          <w:szCs w:val="24"/>
        </w:rPr>
        <w:t xml:space="preserve"> of </w:t>
      </w:r>
      <w:r w:rsidR="003F2BDB" w:rsidRPr="00997397">
        <w:rPr>
          <w:rFonts w:ascii="Times New Roman" w:hAnsi="Times New Roman" w:cs="Times New Roman"/>
          <w:bCs/>
          <w:sz w:val="24"/>
          <w:szCs w:val="24"/>
        </w:rPr>
        <w:t>functionalist cooperation</w:t>
      </w:r>
      <w:r w:rsidR="007C516C" w:rsidRPr="00997397">
        <w:rPr>
          <w:rFonts w:ascii="Times New Roman" w:hAnsi="Times New Roman" w:cs="Times New Roman"/>
          <w:bCs/>
          <w:sz w:val="24"/>
          <w:szCs w:val="24"/>
        </w:rPr>
        <w:t xml:space="preserve"> in regulatory differentiation</w:t>
      </w:r>
      <w:r w:rsidR="003F2BDB" w:rsidRPr="00997397">
        <w:rPr>
          <w:rFonts w:ascii="Times New Roman" w:hAnsi="Times New Roman" w:cs="Times New Roman"/>
          <w:bCs/>
          <w:sz w:val="24"/>
          <w:szCs w:val="24"/>
        </w:rPr>
        <w:t xml:space="preserve">. </w:t>
      </w:r>
      <w:r w:rsidR="008D201E">
        <w:rPr>
          <w:rFonts w:ascii="Times New Roman" w:hAnsi="Times New Roman" w:cs="Times New Roman"/>
          <w:bCs/>
          <w:sz w:val="24"/>
          <w:szCs w:val="24"/>
        </w:rPr>
        <w:t xml:space="preserve">It argues </w:t>
      </w:r>
      <w:r w:rsidR="003F2BDB" w:rsidRPr="00997397">
        <w:rPr>
          <w:rFonts w:ascii="Times New Roman" w:hAnsi="Times New Roman" w:cs="Times New Roman"/>
          <w:sz w:val="24"/>
          <w:szCs w:val="24"/>
        </w:rPr>
        <w:t xml:space="preserve">that the </w:t>
      </w:r>
      <w:bookmarkStart w:id="1" w:name="_Hlk25765580"/>
      <w:r w:rsidR="003F2BDB" w:rsidRPr="00997397">
        <w:rPr>
          <w:rFonts w:ascii="Times New Roman" w:hAnsi="Times New Roman" w:cs="Times New Roman"/>
          <w:sz w:val="24"/>
          <w:szCs w:val="24"/>
        </w:rPr>
        <w:t xml:space="preserve">role of technocratic agencies and </w:t>
      </w:r>
      <w:r w:rsidR="003F2BDB" w:rsidRPr="00997397">
        <w:rPr>
          <w:rFonts w:ascii="Times New Roman" w:hAnsi="Times New Roman" w:cs="Times New Roman"/>
          <w:sz w:val="24"/>
          <w:szCs w:val="24"/>
        </w:rPr>
        <w:lastRenderedPageBreak/>
        <w:t>softer coordination in networks</w:t>
      </w:r>
      <w:bookmarkEnd w:id="1"/>
      <w:r w:rsidR="003F2BDB" w:rsidRPr="00997397">
        <w:rPr>
          <w:rFonts w:ascii="Times New Roman" w:hAnsi="Times New Roman" w:cs="Times New Roman"/>
          <w:sz w:val="24"/>
          <w:szCs w:val="24"/>
        </w:rPr>
        <w:t xml:space="preserve"> will be </w:t>
      </w:r>
      <w:r w:rsidR="00057B48" w:rsidRPr="00997397">
        <w:rPr>
          <w:rFonts w:ascii="Times New Roman" w:hAnsi="Times New Roman" w:cs="Times New Roman"/>
          <w:sz w:val="24"/>
          <w:szCs w:val="24"/>
        </w:rPr>
        <w:t xml:space="preserve">central </w:t>
      </w:r>
      <w:r w:rsidR="00D659D9" w:rsidRPr="00997397">
        <w:rPr>
          <w:rFonts w:ascii="Times New Roman" w:hAnsi="Times New Roman" w:cs="Times New Roman"/>
          <w:sz w:val="24"/>
          <w:szCs w:val="24"/>
        </w:rPr>
        <w:t xml:space="preserve">to the </w:t>
      </w:r>
      <w:r w:rsidR="00140FF8" w:rsidRPr="00997397">
        <w:rPr>
          <w:rFonts w:ascii="Times New Roman" w:hAnsi="Times New Roman" w:cs="Times New Roman"/>
          <w:sz w:val="24"/>
          <w:szCs w:val="24"/>
        </w:rPr>
        <w:t xml:space="preserve">prospects </w:t>
      </w:r>
      <w:r w:rsidR="00062A72" w:rsidRPr="00997397">
        <w:rPr>
          <w:rFonts w:ascii="Times New Roman" w:hAnsi="Times New Roman" w:cs="Times New Roman"/>
          <w:sz w:val="24"/>
          <w:szCs w:val="24"/>
        </w:rPr>
        <w:t xml:space="preserve">for </w:t>
      </w:r>
      <w:r w:rsidR="00140FF8" w:rsidRPr="00997397">
        <w:rPr>
          <w:rFonts w:ascii="Times New Roman" w:hAnsi="Times New Roman" w:cs="Times New Roman"/>
          <w:sz w:val="24"/>
          <w:szCs w:val="24"/>
        </w:rPr>
        <w:t>regulatory differentiation</w:t>
      </w:r>
      <w:r w:rsidR="003F2BDB" w:rsidRPr="00997397">
        <w:rPr>
          <w:rFonts w:ascii="Times New Roman" w:hAnsi="Times New Roman" w:cs="Times New Roman"/>
          <w:sz w:val="24"/>
          <w:szCs w:val="24"/>
        </w:rPr>
        <w:t>.</w:t>
      </w:r>
      <w:r w:rsidR="003004DD">
        <w:rPr>
          <w:rFonts w:ascii="Times New Roman" w:hAnsi="Times New Roman" w:cs="Times New Roman"/>
          <w:sz w:val="24"/>
          <w:szCs w:val="24"/>
        </w:rPr>
        <w:t>]</w:t>
      </w:r>
      <w:r w:rsidR="00D5271F">
        <w:rPr>
          <w:rFonts w:ascii="Times New Roman" w:hAnsi="Times New Roman" w:cs="Times New Roman"/>
          <w:sz w:val="24"/>
          <w:szCs w:val="24"/>
        </w:rPr>
        <w:t xml:space="preserve"> Further</w:t>
      </w:r>
      <w:r w:rsidR="001120B0">
        <w:rPr>
          <w:rFonts w:ascii="Times New Roman" w:hAnsi="Times New Roman" w:cs="Times New Roman"/>
          <w:sz w:val="24"/>
          <w:szCs w:val="24"/>
        </w:rPr>
        <w:t>,</w:t>
      </w:r>
      <w:r w:rsidR="00515AAA">
        <w:rPr>
          <w:rFonts w:ascii="Times New Roman" w:hAnsi="Times New Roman" w:cs="Times New Roman"/>
          <w:sz w:val="24"/>
          <w:szCs w:val="24"/>
        </w:rPr>
        <w:t xml:space="preserve"> </w:t>
      </w:r>
      <w:r w:rsidR="001E7733" w:rsidRPr="00CA2A82">
        <w:rPr>
          <w:rFonts w:ascii="Times New Roman" w:hAnsi="Times New Roman" w:cs="Times New Roman"/>
          <w:bCs/>
          <w:sz w:val="24"/>
          <w:szCs w:val="24"/>
        </w:rPr>
        <w:t xml:space="preserve">by </w:t>
      </w:r>
      <w:r w:rsidR="00CF0E0A" w:rsidRPr="00CA2A82">
        <w:rPr>
          <w:rFonts w:ascii="Times New Roman" w:hAnsi="Times New Roman" w:cs="Times New Roman"/>
          <w:bCs/>
          <w:sz w:val="24"/>
          <w:szCs w:val="24"/>
        </w:rPr>
        <w:t>examin</w:t>
      </w:r>
      <w:r w:rsidR="004917F7" w:rsidRPr="00CA2A82">
        <w:rPr>
          <w:rFonts w:ascii="Times New Roman" w:hAnsi="Times New Roman" w:cs="Times New Roman"/>
          <w:bCs/>
          <w:sz w:val="24"/>
          <w:szCs w:val="24"/>
        </w:rPr>
        <w:t>ing</w:t>
      </w:r>
      <w:r w:rsidR="001E7733" w:rsidRPr="00CA2A82">
        <w:rPr>
          <w:rFonts w:ascii="Times New Roman" w:hAnsi="Times New Roman" w:cs="Times New Roman"/>
          <w:bCs/>
          <w:sz w:val="24"/>
          <w:szCs w:val="24"/>
        </w:rPr>
        <w:t xml:space="preserve"> </w:t>
      </w:r>
      <w:r w:rsidR="00B35F3D" w:rsidRPr="00CA2A82">
        <w:rPr>
          <w:rFonts w:ascii="Times New Roman" w:hAnsi="Times New Roman" w:cs="Times New Roman"/>
          <w:bCs/>
          <w:sz w:val="24"/>
          <w:szCs w:val="24"/>
        </w:rPr>
        <w:t>the UK’s</w:t>
      </w:r>
      <w:r w:rsidR="00510D37" w:rsidRPr="00CA2A82">
        <w:rPr>
          <w:rFonts w:ascii="Times New Roman" w:hAnsi="Times New Roman" w:cs="Times New Roman"/>
          <w:bCs/>
          <w:sz w:val="24"/>
          <w:szCs w:val="24"/>
        </w:rPr>
        <w:t xml:space="preserve"> </w:t>
      </w:r>
      <w:r w:rsidR="00CF4F78" w:rsidRPr="00CA2A82">
        <w:rPr>
          <w:rFonts w:ascii="Times New Roman" w:hAnsi="Times New Roman" w:cs="Times New Roman"/>
          <w:bCs/>
          <w:sz w:val="24"/>
          <w:szCs w:val="24"/>
        </w:rPr>
        <w:t xml:space="preserve">singular </w:t>
      </w:r>
      <w:r w:rsidR="00510D37" w:rsidRPr="00CA2A82">
        <w:rPr>
          <w:rFonts w:ascii="Times New Roman" w:hAnsi="Times New Roman" w:cs="Times New Roman"/>
          <w:bCs/>
          <w:sz w:val="24"/>
          <w:szCs w:val="24"/>
        </w:rPr>
        <w:t xml:space="preserve">situation as a former Member State </w:t>
      </w:r>
      <w:r w:rsidR="001E7733" w:rsidRPr="00CA2A82">
        <w:rPr>
          <w:rFonts w:ascii="Times New Roman" w:hAnsi="Times New Roman" w:cs="Times New Roman"/>
          <w:bCs/>
          <w:sz w:val="24"/>
          <w:szCs w:val="24"/>
        </w:rPr>
        <w:t xml:space="preserve">the chapter contributes to </w:t>
      </w:r>
      <w:r w:rsidR="007F7AA0" w:rsidRPr="00CA2A82">
        <w:rPr>
          <w:rFonts w:ascii="Times New Roman" w:hAnsi="Times New Roman" w:cs="Times New Roman"/>
          <w:bCs/>
          <w:sz w:val="24"/>
          <w:szCs w:val="24"/>
        </w:rPr>
        <w:t xml:space="preserve">a </w:t>
      </w:r>
      <w:r w:rsidR="00CA2A82" w:rsidRPr="00CA2A82">
        <w:rPr>
          <w:rFonts w:ascii="Times New Roman" w:hAnsi="Times New Roman" w:cs="Times New Roman"/>
          <w:bCs/>
          <w:sz w:val="24"/>
          <w:szCs w:val="24"/>
        </w:rPr>
        <w:t>recharacterization</w:t>
      </w:r>
      <w:r w:rsidR="00510D37" w:rsidRPr="00CA2A82">
        <w:rPr>
          <w:rFonts w:ascii="Times New Roman" w:hAnsi="Times New Roman" w:cs="Times New Roman"/>
          <w:bCs/>
          <w:sz w:val="24"/>
          <w:szCs w:val="24"/>
        </w:rPr>
        <w:t xml:space="preserve"> of </w:t>
      </w:r>
      <w:r w:rsidR="00103F46" w:rsidRPr="00CA2A82">
        <w:rPr>
          <w:rFonts w:ascii="Times New Roman" w:hAnsi="Times New Roman" w:cs="Times New Roman"/>
          <w:bCs/>
          <w:sz w:val="24"/>
          <w:szCs w:val="24"/>
        </w:rPr>
        <w:t>membership and participation</w:t>
      </w:r>
      <w:r w:rsidR="00CF0E0A" w:rsidRPr="00CA2A82">
        <w:rPr>
          <w:rFonts w:ascii="Times New Roman" w:hAnsi="Times New Roman" w:cs="Times New Roman"/>
          <w:bCs/>
          <w:sz w:val="24"/>
          <w:szCs w:val="24"/>
        </w:rPr>
        <w:t xml:space="preserve">, </w:t>
      </w:r>
      <w:r w:rsidR="0071789D" w:rsidRPr="00CA2A82">
        <w:rPr>
          <w:rFonts w:ascii="Times New Roman" w:hAnsi="Times New Roman" w:cs="Times New Roman"/>
          <w:sz w:val="24"/>
          <w:szCs w:val="24"/>
        </w:rPr>
        <w:t>to be placed a</w:t>
      </w:r>
      <w:r w:rsidR="0071789D" w:rsidRPr="00CA2A82">
        <w:rPr>
          <w:rFonts w:ascii="Times New Roman" w:hAnsi="Times New Roman" w:cs="Times New Roman"/>
          <w:bCs/>
          <w:sz w:val="24"/>
          <w:szCs w:val="24"/>
        </w:rPr>
        <w:t xml:space="preserve">longside the EU’s existing models of alternatives to membership with </w:t>
      </w:r>
      <w:r w:rsidR="00FA559C" w:rsidRPr="00CA2A82">
        <w:rPr>
          <w:rFonts w:ascii="Times New Roman" w:hAnsi="Times New Roman" w:cs="Times New Roman"/>
          <w:bCs/>
          <w:sz w:val="24"/>
          <w:szCs w:val="24"/>
        </w:rPr>
        <w:t>its</w:t>
      </w:r>
      <w:r w:rsidR="00F60259">
        <w:rPr>
          <w:rFonts w:ascii="Times New Roman" w:hAnsi="Times New Roman" w:cs="Times New Roman"/>
          <w:bCs/>
          <w:sz w:val="24"/>
          <w:szCs w:val="24"/>
        </w:rPr>
        <w:t xml:space="preserve"> </w:t>
      </w:r>
      <w:r w:rsidR="0071789D" w:rsidRPr="00CA2A82">
        <w:rPr>
          <w:rFonts w:ascii="Times New Roman" w:hAnsi="Times New Roman" w:cs="Times New Roman"/>
          <w:bCs/>
          <w:sz w:val="24"/>
          <w:szCs w:val="24"/>
        </w:rPr>
        <w:t>neighbours</w:t>
      </w:r>
      <w:r w:rsidR="00131711" w:rsidRPr="00CA2A82">
        <w:rPr>
          <w:rFonts w:ascii="Times New Roman" w:hAnsi="Times New Roman" w:cs="Times New Roman"/>
          <w:bCs/>
          <w:sz w:val="24"/>
          <w:szCs w:val="24"/>
        </w:rPr>
        <w:t xml:space="preserve"> and other categories of third </w:t>
      </w:r>
      <w:r w:rsidR="00296187" w:rsidRPr="00CA2A82">
        <w:rPr>
          <w:rFonts w:ascii="Times New Roman" w:hAnsi="Times New Roman" w:cs="Times New Roman"/>
          <w:bCs/>
          <w:sz w:val="24"/>
          <w:szCs w:val="24"/>
        </w:rPr>
        <w:t xml:space="preserve">states. </w:t>
      </w:r>
      <w:r w:rsidR="00296187">
        <w:rPr>
          <w:rFonts w:ascii="Times New Roman" w:hAnsi="Times New Roman" w:cs="Times New Roman"/>
          <w:bCs/>
          <w:sz w:val="24"/>
          <w:szCs w:val="24"/>
        </w:rPr>
        <w:t>T</w:t>
      </w:r>
      <w:r w:rsidR="00F07808">
        <w:rPr>
          <w:rFonts w:ascii="Times New Roman" w:hAnsi="Times New Roman" w:cs="Times New Roman"/>
          <w:bCs/>
          <w:sz w:val="24"/>
          <w:szCs w:val="24"/>
        </w:rPr>
        <w:t xml:space="preserve">he shift from internal </w:t>
      </w:r>
      <w:r w:rsidR="00296187">
        <w:rPr>
          <w:rFonts w:ascii="Times New Roman" w:hAnsi="Times New Roman" w:cs="Times New Roman"/>
          <w:bCs/>
          <w:sz w:val="24"/>
          <w:szCs w:val="24"/>
        </w:rPr>
        <w:t xml:space="preserve">opt-outs </w:t>
      </w:r>
      <w:r w:rsidR="00F07808">
        <w:rPr>
          <w:rFonts w:ascii="Times New Roman" w:hAnsi="Times New Roman" w:cs="Times New Roman"/>
          <w:bCs/>
          <w:sz w:val="24"/>
          <w:szCs w:val="24"/>
        </w:rPr>
        <w:t>to external differentiatio</w:t>
      </w:r>
      <w:r w:rsidR="00C17D26">
        <w:rPr>
          <w:rFonts w:ascii="Times New Roman" w:hAnsi="Times New Roman" w:cs="Times New Roman"/>
          <w:bCs/>
          <w:sz w:val="24"/>
          <w:szCs w:val="24"/>
        </w:rPr>
        <w:t>n</w:t>
      </w:r>
      <w:r w:rsidR="00296187">
        <w:rPr>
          <w:rFonts w:ascii="Times New Roman" w:hAnsi="Times New Roman" w:cs="Times New Roman"/>
          <w:bCs/>
          <w:sz w:val="24"/>
          <w:szCs w:val="24"/>
        </w:rPr>
        <w:t xml:space="preserve"> </w:t>
      </w:r>
      <w:r w:rsidR="00596043">
        <w:rPr>
          <w:rFonts w:ascii="Times New Roman" w:hAnsi="Times New Roman" w:cs="Times New Roman"/>
          <w:bCs/>
          <w:sz w:val="24"/>
          <w:szCs w:val="24"/>
        </w:rPr>
        <w:t>and a new balance of rights and obligations</w:t>
      </w:r>
      <w:r w:rsidR="00D5271F">
        <w:rPr>
          <w:rFonts w:ascii="Times New Roman" w:hAnsi="Times New Roman" w:cs="Times New Roman"/>
          <w:bCs/>
          <w:sz w:val="24"/>
          <w:szCs w:val="24"/>
        </w:rPr>
        <w:t xml:space="preserve"> feed into this picture.</w:t>
      </w:r>
      <w:r w:rsidR="002C248D">
        <w:rPr>
          <w:rFonts w:ascii="Times New Roman" w:eastAsia="Calibri" w:hAnsi="Times New Roman" w:cs="Times New Roman"/>
          <w:bCs/>
          <w:sz w:val="24"/>
          <w:szCs w:val="24"/>
        </w:rPr>
        <w:t xml:space="preserve"> </w:t>
      </w:r>
    </w:p>
    <w:bookmarkEnd w:id="0"/>
    <w:p w14:paraId="12D2E315" w14:textId="3B76E327" w:rsidR="003772F6" w:rsidRDefault="003772F6" w:rsidP="003772F6">
      <w:pPr>
        <w:rPr>
          <w:rFonts w:ascii="Times New Roman" w:hAnsi="Times New Roman" w:cs="Times New Roman"/>
          <w:bCs/>
          <w:sz w:val="24"/>
          <w:szCs w:val="24"/>
        </w:rPr>
      </w:pPr>
      <w:r w:rsidRPr="00F2522E">
        <w:rPr>
          <w:rFonts w:ascii="Times New Roman" w:hAnsi="Times New Roman" w:cs="Times New Roman"/>
          <w:bCs/>
          <w:sz w:val="24"/>
          <w:szCs w:val="24"/>
        </w:rPr>
        <w:t>The rest of th</w:t>
      </w:r>
      <w:r w:rsidR="006D19B0" w:rsidRPr="00F2522E">
        <w:rPr>
          <w:rFonts w:ascii="Times New Roman" w:hAnsi="Times New Roman" w:cs="Times New Roman"/>
          <w:bCs/>
          <w:sz w:val="24"/>
          <w:szCs w:val="24"/>
        </w:rPr>
        <w:t>is</w:t>
      </w:r>
      <w:r w:rsidRPr="00F2522E">
        <w:rPr>
          <w:rFonts w:ascii="Times New Roman" w:hAnsi="Times New Roman" w:cs="Times New Roman"/>
          <w:bCs/>
          <w:sz w:val="24"/>
          <w:szCs w:val="24"/>
        </w:rPr>
        <w:t xml:space="preserve"> chapter</w:t>
      </w:r>
      <w:r w:rsidR="00F90684" w:rsidRPr="00F2522E">
        <w:rPr>
          <w:rFonts w:ascii="Times New Roman" w:hAnsi="Times New Roman" w:cs="Times New Roman"/>
          <w:bCs/>
          <w:sz w:val="24"/>
          <w:szCs w:val="24"/>
        </w:rPr>
        <w:t xml:space="preserve"> analys</w:t>
      </w:r>
      <w:r w:rsidR="0036235D" w:rsidRPr="00F2522E">
        <w:rPr>
          <w:rFonts w:ascii="Times New Roman" w:hAnsi="Times New Roman" w:cs="Times New Roman"/>
          <w:bCs/>
          <w:sz w:val="24"/>
          <w:szCs w:val="24"/>
        </w:rPr>
        <w:t>es</w:t>
      </w:r>
      <w:r w:rsidRPr="00F2522E">
        <w:rPr>
          <w:rFonts w:ascii="Times New Roman" w:hAnsi="Times New Roman" w:cs="Times New Roman"/>
          <w:bCs/>
          <w:sz w:val="24"/>
          <w:szCs w:val="24"/>
        </w:rPr>
        <w:t xml:space="preserve"> the overarching governance arrangements in the WA and TCA</w:t>
      </w:r>
      <w:r w:rsidR="000220D7" w:rsidRPr="00F2522E">
        <w:rPr>
          <w:rFonts w:ascii="Times New Roman" w:hAnsi="Times New Roman" w:cs="Times New Roman"/>
          <w:bCs/>
          <w:sz w:val="24"/>
          <w:szCs w:val="24"/>
        </w:rPr>
        <w:t>, interinstitutional links</w:t>
      </w:r>
      <w:r w:rsidR="004D1421" w:rsidRPr="00F2522E">
        <w:rPr>
          <w:rFonts w:ascii="Times New Roman" w:hAnsi="Times New Roman" w:cs="Times New Roman"/>
          <w:bCs/>
          <w:sz w:val="24"/>
          <w:szCs w:val="24"/>
        </w:rPr>
        <w:t>, the level playing field and other divergence-minimizing provisions</w:t>
      </w:r>
      <w:r w:rsidRPr="00F2522E">
        <w:rPr>
          <w:rFonts w:ascii="Times New Roman" w:hAnsi="Times New Roman" w:cs="Times New Roman"/>
          <w:bCs/>
          <w:sz w:val="24"/>
          <w:szCs w:val="24"/>
        </w:rPr>
        <w:t>, before exploring the administrative level</w:t>
      </w:r>
      <w:r w:rsidR="003A3DA2" w:rsidRPr="00F2522E">
        <w:rPr>
          <w:rFonts w:ascii="Times New Roman" w:hAnsi="Times New Roman" w:cs="Times New Roman"/>
          <w:bCs/>
          <w:sz w:val="24"/>
          <w:szCs w:val="24"/>
        </w:rPr>
        <w:t>. I</w:t>
      </w:r>
      <w:r w:rsidR="009A49EE" w:rsidRPr="00F2522E">
        <w:rPr>
          <w:rFonts w:ascii="Times New Roman" w:hAnsi="Times New Roman" w:cs="Times New Roman"/>
          <w:bCs/>
          <w:sz w:val="24"/>
          <w:szCs w:val="24"/>
        </w:rPr>
        <w:t xml:space="preserve">t then applies </w:t>
      </w:r>
      <w:r w:rsidR="00833C64" w:rsidRPr="00F2522E">
        <w:rPr>
          <w:rFonts w:ascii="Times New Roman" w:hAnsi="Times New Roman" w:cs="Times New Roman"/>
          <w:bCs/>
          <w:sz w:val="24"/>
          <w:szCs w:val="24"/>
        </w:rPr>
        <w:t xml:space="preserve">insights from </w:t>
      </w:r>
      <w:r w:rsidRPr="00F2522E">
        <w:rPr>
          <w:rFonts w:ascii="Times New Roman" w:hAnsi="Times New Roman" w:cs="Times New Roman"/>
          <w:bCs/>
          <w:sz w:val="24"/>
          <w:szCs w:val="24"/>
        </w:rPr>
        <w:t xml:space="preserve">the </w:t>
      </w:r>
      <w:r w:rsidR="000F622C" w:rsidRPr="00F2522E">
        <w:rPr>
          <w:rFonts w:ascii="Times New Roman" w:hAnsi="Times New Roman" w:cs="Times New Roman"/>
          <w:bCs/>
          <w:sz w:val="24"/>
          <w:szCs w:val="24"/>
        </w:rPr>
        <w:t xml:space="preserve">EU </w:t>
      </w:r>
      <w:r w:rsidRPr="00F2522E">
        <w:rPr>
          <w:rFonts w:ascii="Times New Roman" w:hAnsi="Times New Roman" w:cs="Times New Roman"/>
          <w:bCs/>
          <w:sz w:val="24"/>
          <w:szCs w:val="24"/>
        </w:rPr>
        <w:t xml:space="preserve">external governance literature to </w:t>
      </w:r>
      <w:r w:rsidR="00F15E04" w:rsidRPr="00F2522E">
        <w:rPr>
          <w:rFonts w:ascii="Times New Roman" w:hAnsi="Times New Roman" w:cs="Times New Roman"/>
          <w:bCs/>
          <w:sz w:val="24"/>
          <w:szCs w:val="24"/>
        </w:rPr>
        <w:t xml:space="preserve">further </w:t>
      </w:r>
      <w:r w:rsidRPr="00F2522E">
        <w:rPr>
          <w:rFonts w:ascii="Times New Roman" w:hAnsi="Times New Roman" w:cs="Times New Roman"/>
          <w:bCs/>
          <w:sz w:val="24"/>
          <w:szCs w:val="24"/>
        </w:rPr>
        <w:t xml:space="preserve">show why prospects for regulatory differentiation </w:t>
      </w:r>
      <w:r w:rsidR="000F622C" w:rsidRPr="00F2522E">
        <w:rPr>
          <w:rFonts w:ascii="Times New Roman" w:hAnsi="Times New Roman" w:cs="Times New Roman"/>
          <w:bCs/>
          <w:sz w:val="24"/>
          <w:szCs w:val="24"/>
        </w:rPr>
        <w:t xml:space="preserve">may be </w:t>
      </w:r>
      <w:r w:rsidRPr="00F2522E">
        <w:rPr>
          <w:rFonts w:ascii="Times New Roman" w:hAnsi="Times New Roman" w:cs="Times New Roman"/>
          <w:bCs/>
          <w:sz w:val="24"/>
          <w:szCs w:val="24"/>
        </w:rPr>
        <w:t>limited.</w:t>
      </w:r>
      <w:r w:rsidR="000F622C" w:rsidRPr="00F2522E">
        <w:rPr>
          <w:rFonts w:ascii="Times New Roman" w:hAnsi="Times New Roman" w:cs="Times New Roman"/>
          <w:bCs/>
          <w:sz w:val="24"/>
          <w:szCs w:val="24"/>
        </w:rPr>
        <w:t xml:space="preserve"> The</w:t>
      </w:r>
      <w:r w:rsidR="000F622C" w:rsidRPr="00997397">
        <w:rPr>
          <w:rFonts w:ascii="Times New Roman" w:hAnsi="Times New Roman" w:cs="Times New Roman"/>
          <w:bCs/>
          <w:sz w:val="24"/>
          <w:szCs w:val="24"/>
        </w:rPr>
        <w:t xml:space="preserve"> final section </w:t>
      </w:r>
      <w:r w:rsidR="00425E3F" w:rsidRPr="00997397">
        <w:rPr>
          <w:rFonts w:ascii="Times New Roman" w:hAnsi="Times New Roman" w:cs="Times New Roman"/>
          <w:bCs/>
          <w:sz w:val="24"/>
          <w:szCs w:val="24"/>
        </w:rPr>
        <w:t>concludes in the context of this volume’s themes of internal and external differentiation</w:t>
      </w:r>
      <w:r w:rsidR="00DD3A8F" w:rsidRPr="00997397">
        <w:rPr>
          <w:rFonts w:ascii="Times New Roman" w:hAnsi="Times New Roman" w:cs="Times New Roman"/>
          <w:bCs/>
          <w:sz w:val="24"/>
          <w:szCs w:val="24"/>
        </w:rPr>
        <w:t>, membership and participation, and rights and obligations.</w:t>
      </w:r>
    </w:p>
    <w:p w14:paraId="5AF51BF8" w14:textId="77777777" w:rsidR="006F65C0" w:rsidRPr="00997397" w:rsidRDefault="006F65C0" w:rsidP="003772F6">
      <w:pPr>
        <w:rPr>
          <w:rFonts w:ascii="Times New Roman" w:hAnsi="Times New Roman" w:cs="Times New Roman"/>
          <w:bCs/>
          <w:sz w:val="24"/>
          <w:szCs w:val="24"/>
        </w:rPr>
      </w:pPr>
    </w:p>
    <w:p w14:paraId="789043C3" w14:textId="66946DAC" w:rsidR="009E5516" w:rsidRPr="00997397" w:rsidRDefault="00C235F3" w:rsidP="006F65C0">
      <w:pPr>
        <w:rPr>
          <w:rFonts w:ascii="Times New Roman" w:hAnsi="Times New Roman" w:cs="Times New Roman"/>
          <w:b/>
          <w:bCs/>
          <w:sz w:val="24"/>
          <w:szCs w:val="24"/>
        </w:rPr>
      </w:pPr>
      <w:r w:rsidRPr="00997397">
        <w:rPr>
          <w:rFonts w:ascii="Times New Roman" w:hAnsi="Times New Roman" w:cs="Times New Roman"/>
          <w:b/>
          <w:bCs/>
          <w:sz w:val="24"/>
          <w:szCs w:val="24"/>
        </w:rPr>
        <w:t xml:space="preserve">2. </w:t>
      </w:r>
      <w:r w:rsidR="00C85960" w:rsidRPr="00997397">
        <w:rPr>
          <w:rFonts w:ascii="Times New Roman" w:hAnsi="Times New Roman" w:cs="Times New Roman"/>
          <w:b/>
          <w:bCs/>
          <w:sz w:val="24"/>
          <w:szCs w:val="24"/>
        </w:rPr>
        <w:t xml:space="preserve">Overarching Governance Arrangements </w:t>
      </w:r>
      <w:r w:rsidR="00C85960">
        <w:rPr>
          <w:rFonts w:ascii="Times New Roman" w:hAnsi="Times New Roman" w:cs="Times New Roman"/>
          <w:b/>
          <w:bCs/>
          <w:sz w:val="24"/>
          <w:szCs w:val="24"/>
        </w:rPr>
        <w:t>i</w:t>
      </w:r>
      <w:r w:rsidR="00C85960" w:rsidRPr="00997397">
        <w:rPr>
          <w:rFonts w:ascii="Times New Roman" w:hAnsi="Times New Roman" w:cs="Times New Roman"/>
          <w:b/>
          <w:bCs/>
          <w:sz w:val="24"/>
          <w:szCs w:val="24"/>
        </w:rPr>
        <w:t xml:space="preserve">n </w:t>
      </w:r>
      <w:r w:rsidR="00C85960">
        <w:rPr>
          <w:rFonts w:ascii="Times New Roman" w:hAnsi="Times New Roman" w:cs="Times New Roman"/>
          <w:b/>
          <w:bCs/>
          <w:sz w:val="24"/>
          <w:szCs w:val="24"/>
        </w:rPr>
        <w:t xml:space="preserve">the </w:t>
      </w:r>
      <w:r w:rsidRPr="00997397">
        <w:rPr>
          <w:rFonts w:ascii="Times New Roman" w:hAnsi="Times New Roman" w:cs="Times New Roman"/>
          <w:b/>
          <w:bCs/>
          <w:sz w:val="24"/>
          <w:szCs w:val="24"/>
        </w:rPr>
        <w:t>W</w:t>
      </w:r>
      <w:r w:rsidR="00C85960">
        <w:rPr>
          <w:rFonts w:ascii="Times New Roman" w:hAnsi="Times New Roman" w:cs="Times New Roman"/>
          <w:b/>
          <w:bCs/>
          <w:sz w:val="24"/>
          <w:szCs w:val="24"/>
        </w:rPr>
        <w:t xml:space="preserve">ithdrawal Agreement and Trade and Cooperation Agreement </w:t>
      </w:r>
    </w:p>
    <w:p w14:paraId="3A52899C" w14:textId="7E627A59" w:rsidR="00A5576E" w:rsidRPr="00442767" w:rsidRDefault="00442767" w:rsidP="00442767">
      <w:pPr>
        <w:spacing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This section discusses the</w:t>
      </w:r>
      <w:r w:rsidR="00693B2A">
        <w:rPr>
          <w:rFonts w:ascii="Times New Roman" w:eastAsia="Calibri" w:hAnsi="Times New Roman" w:cs="Times New Roman"/>
          <w:bCs/>
          <w:sz w:val="24"/>
          <w:szCs w:val="24"/>
        </w:rPr>
        <w:t xml:space="preserve"> institutional architecture in the </w:t>
      </w:r>
      <w:r w:rsidR="006133FE">
        <w:rPr>
          <w:rFonts w:ascii="Times New Roman" w:eastAsia="Calibri" w:hAnsi="Times New Roman" w:cs="Times New Roman"/>
          <w:bCs/>
          <w:sz w:val="24"/>
          <w:szCs w:val="24"/>
        </w:rPr>
        <w:t>WA</w:t>
      </w:r>
      <w:r w:rsidR="00F254BC">
        <w:rPr>
          <w:rStyle w:val="FootnoteReference"/>
          <w:rFonts w:ascii="Times New Roman" w:eastAsia="Calibri" w:hAnsi="Times New Roman" w:cs="Times New Roman"/>
          <w:bCs/>
          <w:sz w:val="24"/>
          <w:szCs w:val="24"/>
        </w:rPr>
        <w:footnoteReference w:id="12"/>
      </w:r>
      <w:r w:rsidR="006133FE">
        <w:rPr>
          <w:rFonts w:ascii="Times New Roman" w:eastAsia="Calibri" w:hAnsi="Times New Roman" w:cs="Times New Roman"/>
          <w:bCs/>
          <w:sz w:val="24"/>
          <w:szCs w:val="24"/>
        </w:rPr>
        <w:t xml:space="preserve"> and TCA</w:t>
      </w:r>
      <w:r w:rsidR="007B2E02">
        <w:rPr>
          <w:rFonts w:ascii="Times New Roman" w:eastAsia="Calibri" w:hAnsi="Times New Roman" w:cs="Times New Roman"/>
          <w:bCs/>
          <w:sz w:val="24"/>
          <w:szCs w:val="24"/>
        </w:rPr>
        <w:t>, the overlapping continuation provisions in the WA</w:t>
      </w:r>
      <w:r w:rsidR="0047052B">
        <w:rPr>
          <w:rFonts w:ascii="Times New Roman" w:eastAsia="Calibri" w:hAnsi="Times New Roman" w:cs="Times New Roman"/>
          <w:bCs/>
          <w:sz w:val="24"/>
          <w:szCs w:val="24"/>
        </w:rPr>
        <w:t xml:space="preserve">, </w:t>
      </w:r>
      <w:r w:rsidR="00E35D5C">
        <w:rPr>
          <w:rFonts w:ascii="Times New Roman" w:eastAsia="Calibri" w:hAnsi="Times New Roman" w:cs="Times New Roman"/>
          <w:bCs/>
          <w:sz w:val="24"/>
          <w:szCs w:val="24"/>
        </w:rPr>
        <w:t xml:space="preserve">and </w:t>
      </w:r>
      <w:r w:rsidR="004B391D">
        <w:rPr>
          <w:rFonts w:ascii="Times New Roman" w:eastAsia="Calibri" w:hAnsi="Times New Roman" w:cs="Times New Roman"/>
          <w:bCs/>
          <w:sz w:val="24"/>
          <w:szCs w:val="24"/>
        </w:rPr>
        <w:t>the level playing field</w:t>
      </w:r>
      <w:r w:rsidR="00D67EFE">
        <w:rPr>
          <w:rFonts w:ascii="Times New Roman" w:eastAsia="Calibri" w:hAnsi="Times New Roman" w:cs="Times New Roman"/>
          <w:bCs/>
          <w:sz w:val="24"/>
          <w:szCs w:val="24"/>
        </w:rPr>
        <w:t>,</w:t>
      </w:r>
      <w:r w:rsidR="005477BD">
        <w:rPr>
          <w:rFonts w:ascii="Times New Roman" w:eastAsia="Calibri" w:hAnsi="Times New Roman" w:cs="Times New Roman"/>
          <w:bCs/>
          <w:sz w:val="24"/>
          <w:szCs w:val="24"/>
        </w:rPr>
        <w:t xml:space="preserve"> exploring</w:t>
      </w:r>
      <w:r w:rsidR="00D67EFE">
        <w:rPr>
          <w:rFonts w:ascii="Times New Roman" w:eastAsia="Calibri" w:hAnsi="Times New Roman" w:cs="Times New Roman"/>
          <w:bCs/>
          <w:sz w:val="24"/>
          <w:szCs w:val="24"/>
        </w:rPr>
        <w:t xml:space="preserve"> the </w:t>
      </w:r>
      <w:r w:rsidR="005477BD">
        <w:rPr>
          <w:rFonts w:ascii="Times New Roman" w:eastAsia="Calibri" w:hAnsi="Times New Roman" w:cs="Times New Roman"/>
          <w:bCs/>
          <w:sz w:val="24"/>
          <w:szCs w:val="24"/>
        </w:rPr>
        <w:t xml:space="preserve">constraints </w:t>
      </w:r>
      <w:r w:rsidR="000F13A2">
        <w:rPr>
          <w:rFonts w:ascii="Times New Roman" w:eastAsia="Calibri" w:hAnsi="Times New Roman" w:cs="Times New Roman"/>
          <w:bCs/>
          <w:sz w:val="24"/>
          <w:szCs w:val="24"/>
        </w:rPr>
        <w:t>on regulatory</w:t>
      </w:r>
      <w:r w:rsidR="00D2713C">
        <w:rPr>
          <w:rFonts w:ascii="Times New Roman" w:eastAsia="Calibri" w:hAnsi="Times New Roman" w:cs="Times New Roman"/>
          <w:bCs/>
          <w:sz w:val="24"/>
          <w:szCs w:val="24"/>
        </w:rPr>
        <w:t xml:space="preserve"> differentiation</w:t>
      </w:r>
      <w:r w:rsidR="005477BD">
        <w:rPr>
          <w:rFonts w:ascii="Times New Roman" w:eastAsia="Calibri" w:hAnsi="Times New Roman" w:cs="Times New Roman"/>
          <w:bCs/>
          <w:sz w:val="24"/>
          <w:szCs w:val="24"/>
        </w:rPr>
        <w:t>.</w:t>
      </w:r>
    </w:p>
    <w:p w14:paraId="3D6FAECA" w14:textId="5C20973E" w:rsidR="00F7649A" w:rsidRPr="00997397" w:rsidRDefault="00F7649A" w:rsidP="00F7649A">
      <w:pPr>
        <w:tabs>
          <w:tab w:val="center" w:pos="4513"/>
        </w:tabs>
        <w:spacing w:after="0" w:line="240" w:lineRule="auto"/>
        <w:rPr>
          <w:rFonts w:ascii="Times New Roman" w:eastAsia="Calibri" w:hAnsi="Times New Roman" w:cs="Times New Roman"/>
          <w:bCs/>
          <w:sz w:val="24"/>
          <w:szCs w:val="24"/>
        </w:rPr>
      </w:pPr>
      <w:r w:rsidRPr="00997397">
        <w:rPr>
          <w:rFonts w:ascii="Times New Roman" w:eastAsia="Calibri" w:hAnsi="Times New Roman" w:cs="Times New Roman"/>
          <w:bCs/>
          <w:sz w:val="24"/>
          <w:szCs w:val="24"/>
        </w:rPr>
        <w:t>Art 4</w:t>
      </w:r>
      <w:r>
        <w:rPr>
          <w:rFonts w:ascii="Times New Roman" w:eastAsia="Calibri" w:hAnsi="Times New Roman" w:cs="Times New Roman"/>
          <w:bCs/>
          <w:sz w:val="24"/>
          <w:szCs w:val="24"/>
        </w:rPr>
        <w:t xml:space="preserve"> </w:t>
      </w:r>
      <w:r w:rsidRPr="00997397">
        <w:rPr>
          <w:rFonts w:ascii="Times New Roman" w:eastAsia="Calibri" w:hAnsi="Times New Roman" w:cs="Times New Roman"/>
          <w:bCs/>
          <w:sz w:val="24"/>
          <w:szCs w:val="24"/>
        </w:rPr>
        <w:t xml:space="preserve">provides for the legal effects of the </w:t>
      </w:r>
      <w:r>
        <w:rPr>
          <w:rFonts w:ascii="Times New Roman" w:eastAsia="Calibri" w:hAnsi="Times New Roman" w:cs="Times New Roman"/>
          <w:bCs/>
          <w:sz w:val="24"/>
          <w:szCs w:val="24"/>
        </w:rPr>
        <w:t>WA</w:t>
      </w:r>
      <w:r w:rsidRPr="00997397">
        <w:rPr>
          <w:rFonts w:ascii="Times New Roman" w:eastAsia="Calibri" w:hAnsi="Times New Roman" w:cs="Times New Roman"/>
          <w:bCs/>
          <w:sz w:val="24"/>
          <w:szCs w:val="24"/>
        </w:rPr>
        <w:t xml:space="preserve"> to be mirrored in </w:t>
      </w:r>
      <w:r>
        <w:rPr>
          <w:rFonts w:ascii="Times New Roman" w:eastAsia="Calibri" w:hAnsi="Times New Roman" w:cs="Times New Roman"/>
          <w:bCs/>
          <w:sz w:val="24"/>
          <w:szCs w:val="24"/>
        </w:rPr>
        <w:t xml:space="preserve">the EU and UK legal systems, </w:t>
      </w:r>
      <w:r w:rsidRPr="00997397">
        <w:rPr>
          <w:rFonts w:ascii="Times New Roman" w:eastAsia="Calibri" w:hAnsi="Times New Roman" w:cs="Times New Roman"/>
          <w:bCs/>
          <w:sz w:val="24"/>
          <w:szCs w:val="24"/>
        </w:rPr>
        <w:t xml:space="preserve">including the ability of courts to disapply incompatible legislation, direct effect, and the availability of remedies including Francovich damages. These </w:t>
      </w:r>
      <w:r w:rsidR="000A1671">
        <w:rPr>
          <w:rFonts w:ascii="Times New Roman" w:eastAsia="Calibri" w:hAnsi="Times New Roman" w:cs="Times New Roman"/>
          <w:bCs/>
          <w:sz w:val="24"/>
          <w:szCs w:val="24"/>
        </w:rPr>
        <w:t>duties</w:t>
      </w:r>
      <w:r w:rsidRPr="00997397">
        <w:rPr>
          <w:rFonts w:ascii="Times New Roman" w:eastAsia="Calibri" w:hAnsi="Times New Roman" w:cs="Times New Roman"/>
          <w:bCs/>
          <w:sz w:val="24"/>
          <w:szCs w:val="24"/>
        </w:rPr>
        <w:t xml:space="preserve"> should be interpreted in conformity with general principles of EU law and CJEU case law handed down before end of transition period, with </w:t>
      </w:r>
      <w:r>
        <w:rPr>
          <w:rFonts w:ascii="Times New Roman" w:eastAsia="Calibri" w:hAnsi="Times New Roman" w:cs="Times New Roman"/>
          <w:bCs/>
          <w:sz w:val="24"/>
          <w:szCs w:val="24"/>
        </w:rPr>
        <w:t>‘</w:t>
      </w:r>
      <w:r w:rsidRPr="00997397">
        <w:rPr>
          <w:rFonts w:ascii="Times New Roman" w:eastAsia="Calibri" w:hAnsi="Times New Roman" w:cs="Times New Roman"/>
          <w:bCs/>
          <w:sz w:val="24"/>
          <w:szCs w:val="24"/>
        </w:rPr>
        <w:t xml:space="preserve">due regard’ </w:t>
      </w:r>
      <w:r>
        <w:rPr>
          <w:rFonts w:ascii="Times New Roman" w:eastAsia="Calibri" w:hAnsi="Times New Roman" w:cs="Times New Roman"/>
          <w:bCs/>
          <w:sz w:val="24"/>
          <w:szCs w:val="24"/>
        </w:rPr>
        <w:t xml:space="preserve">to them </w:t>
      </w:r>
      <w:r w:rsidRPr="00997397">
        <w:rPr>
          <w:rFonts w:ascii="Times New Roman" w:eastAsia="Calibri" w:hAnsi="Times New Roman" w:cs="Times New Roman"/>
          <w:bCs/>
          <w:sz w:val="24"/>
          <w:szCs w:val="24"/>
        </w:rPr>
        <w:t>after transition</w:t>
      </w:r>
      <w:r>
        <w:rPr>
          <w:rFonts w:ascii="Times New Roman" w:eastAsia="Calibri" w:hAnsi="Times New Roman" w:cs="Times New Roman"/>
          <w:bCs/>
          <w:sz w:val="24"/>
          <w:szCs w:val="24"/>
        </w:rPr>
        <w:t xml:space="preserve"> in the UK</w:t>
      </w:r>
      <w:r w:rsidRPr="00997397">
        <w:rPr>
          <w:rFonts w:ascii="Times New Roman" w:eastAsia="Calibri" w:hAnsi="Times New Roman" w:cs="Times New Roman"/>
          <w:bCs/>
          <w:sz w:val="24"/>
          <w:szCs w:val="24"/>
        </w:rPr>
        <w:t>.</w:t>
      </w:r>
      <w:r>
        <w:rPr>
          <w:rStyle w:val="FootnoteReference"/>
          <w:rFonts w:ascii="Times New Roman" w:eastAsia="Calibri" w:hAnsi="Times New Roman" w:cs="Times New Roman"/>
          <w:bCs/>
          <w:sz w:val="24"/>
          <w:szCs w:val="24"/>
        </w:rPr>
        <w:footnoteReference w:id="13"/>
      </w:r>
      <w:r w:rsidRPr="00997397">
        <w:rPr>
          <w:rFonts w:ascii="Times New Roman" w:eastAsia="Calibri" w:hAnsi="Times New Roman" w:cs="Times New Roman"/>
          <w:bCs/>
          <w:sz w:val="24"/>
          <w:szCs w:val="24"/>
        </w:rPr>
        <w:t xml:space="preserve"> </w:t>
      </w:r>
    </w:p>
    <w:p w14:paraId="63C76D52" w14:textId="77777777" w:rsidR="0077111C" w:rsidRDefault="0077111C" w:rsidP="001E5090">
      <w:pPr>
        <w:tabs>
          <w:tab w:val="center" w:pos="4513"/>
        </w:tabs>
        <w:spacing w:after="0" w:line="240" w:lineRule="auto"/>
        <w:rPr>
          <w:rFonts w:ascii="Times New Roman" w:eastAsia="Calibri" w:hAnsi="Times New Roman" w:cs="Times New Roman"/>
          <w:bCs/>
          <w:sz w:val="24"/>
          <w:szCs w:val="24"/>
        </w:rPr>
      </w:pPr>
    </w:p>
    <w:p w14:paraId="7744E6AD" w14:textId="06AE2488" w:rsidR="00F7649A" w:rsidRPr="006956EF" w:rsidRDefault="00F7649A" w:rsidP="00F7649A">
      <w:pPr>
        <w:spacing w:line="240" w:lineRule="auto"/>
        <w:rPr>
          <w:rFonts w:ascii="Times New Roman" w:hAnsi="Times New Roman" w:cs="Times New Roman"/>
          <w:b/>
          <w:bCs/>
          <w:i/>
          <w:sz w:val="24"/>
          <w:szCs w:val="24"/>
        </w:rPr>
      </w:pPr>
      <w:r w:rsidRPr="006956EF">
        <w:rPr>
          <w:rFonts w:ascii="Times New Roman" w:hAnsi="Times New Roman" w:cs="Times New Roman"/>
          <w:b/>
          <w:bCs/>
          <w:i/>
          <w:sz w:val="24"/>
          <w:szCs w:val="24"/>
        </w:rPr>
        <w:t xml:space="preserve">Shared institutions and other </w:t>
      </w:r>
      <w:r w:rsidR="007F3C30">
        <w:rPr>
          <w:rFonts w:ascii="Times New Roman" w:hAnsi="Times New Roman" w:cs="Times New Roman"/>
          <w:b/>
          <w:bCs/>
          <w:i/>
          <w:sz w:val="24"/>
          <w:szCs w:val="24"/>
        </w:rPr>
        <w:t>inter</w:t>
      </w:r>
      <w:r w:rsidRPr="006956EF">
        <w:rPr>
          <w:rFonts w:ascii="Times New Roman" w:hAnsi="Times New Roman" w:cs="Times New Roman"/>
          <w:b/>
          <w:bCs/>
          <w:i/>
          <w:sz w:val="24"/>
          <w:szCs w:val="24"/>
        </w:rPr>
        <w:t>institutional links</w:t>
      </w:r>
    </w:p>
    <w:p w14:paraId="2843FFC9" w14:textId="2E62C6B2" w:rsidR="00180DFE" w:rsidRPr="00ED5945" w:rsidRDefault="00A5576E" w:rsidP="00C420B1">
      <w:pPr>
        <w:spacing w:line="240" w:lineRule="auto"/>
        <w:rPr>
          <w:rFonts w:ascii="Times New Roman" w:eastAsia="Calibri" w:hAnsi="Times New Roman" w:cs="Times New Roman"/>
          <w:bCs/>
          <w:iCs/>
          <w:sz w:val="24"/>
          <w:szCs w:val="24"/>
        </w:rPr>
      </w:pPr>
      <w:r w:rsidRPr="00997397">
        <w:rPr>
          <w:rFonts w:ascii="Times New Roman" w:hAnsi="Times New Roman" w:cs="Times New Roman"/>
          <w:iCs/>
          <w:sz w:val="24"/>
          <w:szCs w:val="24"/>
        </w:rPr>
        <w:t xml:space="preserve">The JC is the primary means for the overarching governance of the </w:t>
      </w:r>
      <w:r w:rsidR="00F8369D">
        <w:rPr>
          <w:rFonts w:ascii="Times New Roman" w:hAnsi="Times New Roman" w:cs="Times New Roman"/>
          <w:iCs/>
          <w:sz w:val="24"/>
          <w:szCs w:val="24"/>
        </w:rPr>
        <w:t>WA</w:t>
      </w:r>
      <w:r w:rsidR="00F971F8">
        <w:rPr>
          <w:rFonts w:ascii="Times New Roman" w:eastAsia="Calibri" w:hAnsi="Times New Roman" w:cs="Times New Roman"/>
          <w:bCs/>
          <w:iCs/>
          <w:sz w:val="24"/>
          <w:szCs w:val="24"/>
        </w:rPr>
        <w:t xml:space="preserve">, </w:t>
      </w:r>
      <w:r w:rsidR="00F971F8" w:rsidRPr="00997397">
        <w:rPr>
          <w:rFonts w:ascii="Times New Roman" w:eastAsia="Calibri" w:hAnsi="Times New Roman" w:cs="Times New Roman"/>
          <w:bCs/>
          <w:iCs/>
          <w:sz w:val="24"/>
          <w:szCs w:val="24"/>
        </w:rPr>
        <w:t xml:space="preserve">responsible for </w:t>
      </w:r>
      <w:r w:rsidR="00F971F8">
        <w:rPr>
          <w:rFonts w:ascii="Times New Roman" w:eastAsia="Calibri" w:hAnsi="Times New Roman" w:cs="Times New Roman"/>
          <w:bCs/>
          <w:iCs/>
          <w:sz w:val="24"/>
          <w:szCs w:val="24"/>
        </w:rPr>
        <w:t>its</w:t>
      </w:r>
      <w:r w:rsidR="00F971F8" w:rsidRPr="00997397">
        <w:rPr>
          <w:rFonts w:ascii="Times New Roman" w:eastAsia="Calibri" w:hAnsi="Times New Roman" w:cs="Times New Roman"/>
          <w:bCs/>
          <w:iCs/>
          <w:sz w:val="24"/>
          <w:szCs w:val="24"/>
        </w:rPr>
        <w:t xml:space="preserve"> implementation and application</w:t>
      </w:r>
      <w:r w:rsidRPr="00997397">
        <w:rPr>
          <w:rFonts w:ascii="Times New Roman" w:hAnsi="Times New Roman" w:cs="Times New Roman"/>
          <w:iCs/>
          <w:sz w:val="24"/>
          <w:szCs w:val="24"/>
        </w:rPr>
        <w:t>.</w:t>
      </w:r>
      <w:r w:rsidR="00F971F8">
        <w:rPr>
          <w:rStyle w:val="FootnoteReference"/>
          <w:rFonts w:ascii="Times New Roman" w:hAnsi="Times New Roman" w:cs="Times New Roman"/>
          <w:iCs/>
          <w:sz w:val="24"/>
          <w:szCs w:val="24"/>
        </w:rPr>
        <w:footnoteReference w:id="14"/>
      </w:r>
      <w:r w:rsidRPr="00997397">
        <w:rPr>
          <w:rFonts w:ascii="Times New Roman" w:hAnsi="Times New Roman" w:cs="Times New Roman"/>
          <w:iCs/>
          <w:sz w:val="24"/>
          <w:szCs w:val="24"/>
        </w:rPr>
        <w:t xml:space="preserve"> </w:t>
      </w:r>
      <w:r w:rsidR="00D70BE1">
        <w:rPr>
          <w:rFonts w:ascii="Times New Roman" w:hAnsi="Times New Roman" w:cs="Times New Roman"/>
          <w:iCs/>
          <w:sz w:val="24"/>
          <w:szCs w:val="24"/>
        </w:rPr>
        <w:t xml:space="preserve">The JC is </w:t>
      </w:r>
      <w:r w:rsidR="00E41ADC">
        <w:rPr>
          <w:rFonts w:ascii="Times New Roman" w:hAnsi="Times New Roman" w:cs="Times New Roman"/>
          <w:iCs/>
          <w:sz w:val="24"/>
          <w:szCs w:val="24"/>
        </w:rPr>
        <w:t xml:space="preserve">jointly chaired at a political level, for the EU by </w:t>
      </w:r>
      <w:r w:rsidR="00382D5D">
        <w:rPr>
          <w:rFonts w:ascii="Times New Roman" w:hAnsi="Times New Roman" w:cs="Times New Roman"/>
          <w:iCs/>
          <w:sz w:val="24"/>
          <w:szCs w:val="24"/>
        </w:rPr>
        <w:t xml:space="preserve">the </w:t>
      </w:r>
      <w:r w:rsidR="00E41ADC">
        <w:rPr>
          <w:rFonts w:ascii="Times New Roman" w:hAnsi="Times New Roman" w:cs="Times New Roman"/>
          <w:iCs/>
          <w:sz w:val="24"/>
          <w:szCs w:val="24"/>
        </w:rPr>
        <w:t xml:space="preserve">European Commission Vice President </w:t>
      </w:r>
      <w:r w:rsidR="00406808">
        <w:rPr>
          <w:rFonts w:ascii="Times New Roman" w:hAnsi="Times New Roman" w:cs="Times New Roman"/>
          <w:iCs/>
          <w:sz w:val="24"/>
          <w:szCs w:val="24"/>
        </w:rPr>
        <w:t xml:space="preserve">and on the UK side by a </w:t>
      </w:r>
      <w:r w:rsidR="009B7DC1">
        <w:rPr>
          <w:rFonts w:ascii="Times New Roman" w:hAnsi="Times New Roman" w:cs="Times New Roman"/>
          <w:iCs/>
          <w:sz w:val="24"/>
          <w:szCs w:val="24"/>
        </w:rPr>
        <w:t xml:space="preserve">Secretary of State. </w:t>
      </w:r>
      <w:r w:rsidR="00D400B6">
        <w:rPr>
          <w:rFonts w:ascii="Times New Roman" w:hAnsi="Times New Roman" w:cs="Times New Roman"/>
          <w:iCs/>
          <w:sz w:val="24"/>
          <w:szCs w:val="24"/>
        </w:rPr>
        <w:t xml:space="preserve">It comprises representatives of the </w:t>
      </w:r>
      <w:r w:rsidR="00D41BE1">
        <w:rPr>
          <w:rFonts w:ascii="Times New Roman" w:hAnsi="Times New Roman" w:cs="Times New Roman"/>
          <w:iCs/>
          <w:sz w:val="24"/>
          <w:szCs w:val="24"/>
        </w:rPr>
        <w:t xml:space="preserve">EU and UK </w:t>
      </w:r>
      <w:r w:rsidR="00711BAC">
        <w:rPr>
          <w:rFonts w:ascii="Times New Roman" w:hAnsi="Times New Roman" w:cs="Times New Roman"/>
          <w:iCs/>
          <w:sz w:val="24"/>
          <w:szCs w:val="24"/>
        </w:rPr>
        <w:t>from</w:t>
      </w:r>
      <w:r w:rsidR="00D41BE1">
        <w:rPr>
          <w:rFonts w:ascii="Times New Roman" w:hAnsi="Times New Roman" w:cs="Times New Roman"/>
          <w:iCs/>
          <w:sz w:val="24"/>
          <w:szCs w:val="24"/>
        </w:rPr>
        <w:t xml:space="preserve"> diplomatic staff </w:t>
      </w:r>
      <w:r w:rsidR="00C420B1">
        <w:rPr>
          <w:rFonts w:ascii="Times New Roman" w:hAnsi="Times New Roman" w:cs="Times New Roman"/>
          <w:iCs/>
          <w:sz w:val="24"/>
          <w:szCs w:val="24"/>
        </w:rPr>
        <w:t>and civil servants.</w:t>
      </w:r>
      <w:r w:rsidR="00406808">
        <w:rPr>
          <w:rFonts w:ascii="Times New Roman" w:hAnsi="Times New Roman" w:cs="Times New Roman"/>
          <w:iCs/>
          <w:sz w:val="24"/>
          <w:szCs w:val="24"/>
        </w:rPr>
        <w:t xml:space="preserve"> </w:t>
      </w:r>
      <w:r w:rsidR="000A5A01" w:rsidRPr="00ED5945">
        <w:rPr>
          <w:rFonts w:ascii="Times New Roman" w:eastAsia="Calibri" w:hAnsi="Times New Roman" w:cs="Times New Roman"/>
          <w:bCs/>
          <w:iCs/>
          <w:sz w:val="24"/>
          <w:szCs w:val="24"/>
        </w:rPr>
        <w:t>U</w:t>
      </w:r>
      <w:r w:rsidRPr="00ED5945">
        <w:rPr>
          <w:rFonts w:ascii="Times New Roman" w:eastAsia="Calibri" w:hAnsi="Times New Roman" w:cs="Times New Roman"/>
          <w:bCs/>
          <w:iCs/>
          <w:sz w:val="24"/>
          <w:szCs w:val="24"/>
        </w:rPr>
        <w:t xml:space="preserve">nder Art 164(4), the </w:t>
      </w:r>
      <w:r w:rsidR="00D943D2" w:rsidRPr="00ED5945">
        <w:rPr>
          <w:rFonts w:ascii="Times New Roman" w:eastAsia="Calibri" w:hAnsi="Times New Roman" w:cs="Times New Roman"/>
          <w:bCs/>
          <w:iCs/>
          <w:sz w:val="24"/>
          <w:szCs w:val="24"/>
        </w:rPr>
        <w:t>JC</w:t>
      </w:r>
      <w:r w:rsidRPr="00ED5945">
        <w:rPr>
          <w:rFonts w:ascii="Times New Roman" w:eastAsia="Calibri" w:hAnsi="Times New Roman" w:cs="Times New Roman"/>
          <w:bCs/>
          <w:iCs/>
          <w:sz w:val="24"/>
          <w:szCs w:val="24"/>
        </w:rPr>
        <w:t xml:space="preserve"> shall seek appropriate ways of preventing probl</w:t>
      </w:r>
      <w:r w:rsidR="003E59CA" w:rsidRPr="00ED5945">
        <w:rPr>
          <w:rFonts w:ascii="Times New Roman" w:eastAsia="Calibri" w:hAnsi="Times New Roman" w:cs="Times New Roman"/>
          <w:bCs/>
          <w:iCs/>
          <w:sz w:val="24"/>
          <w:szCs w:val="24"/>
        </w:rPr>
        <w:t xml:space="preserve">ems and </w:t>
      </w:r>
      <w:r w:rsidRPr="00ED5945">
        <w:rPr>
          <w:rFonts w:ascii="Times New Roman" w:eastAsia="Calibri" w:hAnsi="Times New Roman" w:cs="Times New Roman"/>
          <w:bCs/>
          <w:iCs/>
          <w:sz w:val="24"/>
          <w:szCs w:val="24"/>
        </w:rPr>
        <w:t>resolving</w:t>
      </w:r>
      <w:r w:rsidR="00D943D2" w:rsidRPr="00ED5945">
        <w:rPr>
          <w:rFonts w:ascii="Times New Roman" w:eastAsia="Calibri" w:hAnsi="Times New Roman" w:cs="Times New Roman"/>
          <w:bCs/>
          <w:iCs/>
          <w:sz w:val="24"/>
          <w:szCs w:val="24"/>
        </w:rPr>
        <w:t xml:space="preserve"> any</w:t>
      </w:r>
      <w:r w:rsidRPr="00ED5945">
        <w:rPr>
          <w:rFonts w:ascii="Times New Roman" w:eastAsia="Calibri" w:hAnsi="Times New Roman" w:cs="Times New Roman"/>
          <w:bCs/>
          <w:iCs/>
          <w:sz w:val="24"/>
          <w:szCs w:val="24"/>
        </w:rPr>
        <w:t xml:space="preserve"> disputes that </w:t>
      </w:r>
      <w:proofErr w:type="gramStart"/>
      <w:r w:rsidRPr="00ED5945">
        <w:rPr>
          <w:rFonts w:ascii="Times New Roman" w:eastAsia="Calibri" w:hAnsi="Times New Roman" w:cs="Times New Roman"/>
          <w:bCs/>
          <w:iCs/>
          <w:sz w:val="24"/>
          <w:szCs w:val="24"/>
        </w:rPr>
        <w:t>arise</w:t>
      </w:r>
      <w:r w:rsidR="00377ADE" w:rsidRPr="00ED5945">
        <w:rPr>
          <w:rFonts w:ascii="Times New Roman" w:eastAsia="Calibri" w:hAnsi="Times New Roman" w:cs="Times New Roman"/>
          <w:bCs/>
          <w:iCs/>
          <w:sz w:val="24"/>
          <w:szCs w:val="24"/>
        </w:rPr>
        <w:t xml:space="preserve">, </w:t>
      </w:r>
      <w:r w:rsidR="005E2FCB" w:rsidRPr="00ED5945">
        <w:rPr>
          <w:rFonts w:ascii="Times New Roman" w:eastAsia="Calibri" w:hAnsi="Times New Roman" w:cs="Times New Roman"/>
          <w:bCs/>
          <w:iCs/>
          <w:sz w:val="24"/>
          <w:szCs w:val="24"/>
        </w:rPr>
        <w:t>and</w:t>
      </w:r>
      <w:proofErr w:type="gramEnd"/>
      <w:r w:rsidR="005E2FCB" w:rsidRPr="00ED5945">
        <w:rPr>
          <w:rFonts w:ascii="Times New Roman" w:eastAsia="Calibri" w:hAnsi="Times New Roman" w:cs="Times New Roman"/>
          <w:bCs/>
          <w:iCs/>
          <w:sz w:val="24"/>
          <w:szCs w:val="24"/>
        </w:rPr>
        <w:t xml:space="preserve"> </w:t>
      </w:r>
      <w:r w:rsidR="00D943D2" w:rsidRPr="00ED5945">
        <w:rPr>
          <w:rFonts w:ascii="Times New Roman" w:eastAsia="Calibri" w:hAnsi="Times New Roman" w:cs="Times New Roman"/>
          <w:bCs/>
          <w:iCs/>
          <w:sz w:val="24"/>
          <w:szCs w:val="24"/>
        </w:rPr>
        <w:t>adopt decisions and make recommendations by mutual consent</w:t>
      </w:r>
      <w:r w:rsidR="005E2FCB" w:rsidRPr="00ED5945">
        <w:rPr>
          <w:rFonts w:ascii="Times New Roman" w:eastAsia="Calibri" w:hAnsi="Times New Roman" w:cs="Times New Roman"/>
          <w:bCs/>
          <w:iCs/>
          <w:sz w:val="24"/>
          <w:szCs w:val="24"/>
        </w:rPr>
        <w:t xml:space="preserve">. Those </w:t>
      </w:r>
      <w:r w:rsidR="00D943D2" w:rsidRPr="00ED5945">
        <w:rPr>
          <w:rFonts w:ascii="Times New Roman" w:eastAsia="Calibri" w:hAnsi="Times New Roman" w:cs="Times New Roman"/>
          <w:bCs/>
          <w:iCs/>
          <w:sz w:val="24"/>
          <w:szCs w:val="24"/>
        </w:rPr>
        <w:t xml:space="preserve">decisions </w:t>
      </w:r>
      <w:r w:rsidR="005E2FCB" w:rsidRPr="00ED5945">
        <w:rPr>
          <w:rFonts w:ascii="Times New Roman" w:eastAsia="Calibri" w:hAnsi="Times New Roman" w:cs="Times New Roman"/>
          <w:bCs/>
          <w:iCs/>
          <w:sz w:val="24"/>
          <w:szCs w:val="24"/>
        </w:rPr>
        <w:t xml:space="preserve">are </w:t>
      </w:r>
      <w:r w:rsidR="00D943D2" w:rsidRPr="00ED5945">
        <w:rPr>
          <w:rFonts w:ascii="Times New Roman" w:eastAsia="Calibri" w:hAnsi="Times New Roman" w:cs="Times New Roman"/>
          <w:bCs/>
          <w:iCs/>
          <w:sz w:val="24"/>
          <w:szCs w:val="24"/>
        </w:rPr>
        <w:t>binding on the parties in the same way as the WA</w:t>
      </w:r>
      <w:r w:rsidR="005E2FCB" w:rsidRPr="00ED5945">
        <w:rPr>
          <w:rFonts w:ascii="Times New Roman" w:eastAsia="Calibri" w:hAnsi="Times New Roman" w:cs="Times New Roman"/>
          <w:bCs/>
          <w:iCs/>
          <w:sz w:val="24"/>
          <w:szCs w:val="24"/>
        </w:rPr>
        <w:t xml:space="preserve"> itself</w:t>
      </w:r>
      <w:r w:rsidR="00D943D2" w:rsidRPr="00ED5945">
        <w:rPr>
          <w:rFonts w:ascii="Times New Roman" w:eastAsia="Calibri" w:hAnsi="Times New Roman" w:cs="Times New Roman"/>
          <w:bCs/>
          <w:iCs/>
          <w:sz w:val="24"/>
          <w:szCs w:val="24"/>
        </w:rPr>
        <w:t>.</w:t>
      </w:r>
      <w:r w:rsidR="006530E7" w:rsidRPr="00ED5945">
        <w:rPr>
          <w:rFonts w:ascii="Times New Roman" w:eastAsia="Calibri" w:hAnsi="Times New Roman" w:cs="Times New Roman"/>
          <w:bCs/>
          <w:iCs/>
          <w:sz w:val="24"/>
          <w:szCs w:val="24"/>
        </w:rPr>
        <w:t xml:space="preserve"> </w:t>
      </w:r>
      <w:r w:rsidR="00D943D2" w:rsidRPr="00ED5945">
        <w:rPr>
          <w:rFonts w:ascii="Times New Roman" w:eastAsia="Calibri" w:hAnsi="Times New Roman" w:cs="Times New Roman"/>
          <w:bCs/>
          <w:iCs/>
          <w:sz w:val="24"/>
          <w:szCs w:val="24"/>
        </w:rPr>
        <w:t>It shall also</w:t>
      </w:r>
      <w:r w:rsidR="00850A10" w:rsidRPr="00ED5945">
        <w:rPr>
          <w:rFonts w:ascii="Times New Roman" w:eastAsia="Calibri" w:hAnsi="Times New Roman" w:cs="Times New Roman"/>
          <w:bCs/>
          <w:iCs/>
          <w:sz w:val="24"/>
          <w:szCs w:val="24"/>
        </w:rPr>
        <w:t xml:space="preserve"> </w:t>
      </w:r>
      <w:r w:rsidR="00180DFE" w:rsidRPr="00ED5945">
        <w:rPr>
          <w:rFonts w:ascii="Times New Roman" w:eastAsia="Calibri" w:hAnsi="Times New Roman" w:cs="Times New Roman"/>
          <w:bCs/>
          <w:iCs/>
          <w:sz w:val="24"/>
          <w:szCs w:val="24"/>
        </w:rPr>
        <w:t>supervise</w:t>
      </w:r>
      <w:r w:rsidR="00503ED7" w:rsidRPr="00ED5945">
        <w:rPr>
          <w:rFonts w:ascii="Times New Roman" w:eastAsia="Calibri" w:hAnsi="Times New Roman" w:cs="Times New Roman"/>
          <w:bCs/>
          <w:iCs/>
          <w:sz w:val="24"/>
          <w:szCs w:val="24"/>
        </w:rPr>
        <w:t>, determine the</w:t>
      </w:r>
      <w:r w:rsidR="00850A10" w:rsidRPr="00ED5945">
        <w:rPr>
          <w:rFonts w:ascii="Times New Roman" w:eastAsia="Calibri" w:hAnsi="Times New Roman" w:cs="Times New Roman"/>
          <w:bCs/>
          <w:iCs/>
          <w:sz w:val="24"/>
          <w:szCs w:val="24"/>
        </w:rPr>
        <w:t xml:space="preserve"> tasks </w:t>
      </w:r>
      <w:r w:rsidR="00ED5945" w:rsidRPr="00ED5945">
        <w:rPr>
          <w:rFonts w:ascii="Times New Roman" w:eastAsia="Calibri" w:hAnsi="Times New Roman" w:cs="Times New Roman"/>
          <w:bCs/>
          <w:iCs/>
          <w:sz w:val="24"/>
          <w:szCs w:val="24"/>
        </w:rPr>
        <w:t xml:space="preserve">of, </w:t>
      </w:r>
      <w:r w:rsidR="00850A10" w:rsidRPr="00ED5945">
        <w:rPr>
          <w:rFonts w:ascii="Times New Roman" w:eastAsia="Calibri" w:hAnsi="Times New Roman" w:cs="Times New Roman"/>
          <w:bCs/>
          <w:iCs/>
          <w:sz w:val="24"/>
          <w:szCs w:val="24"/>
        </w:rPr>
        <w:t xml:space="preserve">and </w:t>
      </w:r>
      <w:r w:rsidR="003750A2" w:rsidRPr="00ED5945">
        <w:rPr>
          <w:rFonts w:ascii="Times New Roman" w:eastAsia="Calibri" w:hAnsi="Times New Roman" w:cs="Times New Roman"/>
          <w:bCs/>
          <w:iCs/>
          <w:sz w:val="24"/>
          <w:szCs w:val="24"/>
        </w:rPr>
        <w:t>delegate responsibilities to</w:t>
      </w:r>
      <w:r w:rsidR="00ED5945" w:rsidRPr="00ED5945">
        <w:rPr>
          <w:rFonts w:ascii="Times New Roman" w:eastAsia="Calibri" w:hAnsi="Times New Roman" w:cs="Times New Roman"/>
          <w:bCs/>
          <w:iCs/>
          <w:sz w:val="24"/>
          <w:szCs w:val="24"/>
        </w:rPr>
        <w:t>,</w:t>
      </w:r>
      <w:r w:rsidR="003750A2" w:rsidRPr="00ED5945">
        <w:rPr>
          <w:rFonts w:ascii="Times New Roman" w:eastAsia="Calibri" w:hAnsi="Times New Roman" w:cs="Times New Roman"/>
          <w:bCs/>
          <w:iCs/>
          <w:sz w:val="24"/>
          <w:szCs w:val="24"/>
        </w:rPr>
        <w:t xml:space="preserve"> </w:t>
      </w:r>
      <w:r w:rsidR="00850A10" w:rsidRPr="00ED5945">
        <w:rPr>
          <w:rFonts w:ascii="Times New Roman" w:eastAsia="Calibri" w:hAnsi="Times New Roman" w:cs="Times New Roman"/>
          <w:bCs/>
          <w:iCs/>
          <w:sz w:val="24"/>
          <w:szCs w:val="24"/>
        </w:rPr>
        <w:t xml:space="preserve">the six specialised committees </w:t>
      </w:r>
      <w:r w:rsidR="00180DFE" w:rsidRPr="00ED5945">
        <w:rPr>
          <w:rFonts w:ascii="Times New Roman" w:eastAsia="Calibri" w:hAnsi="Times New Roman" w:cs="Times New Roman"/>
          <w:bCs/>
          <w:iCs/>
          <w:sz w:val="24"/>
          <w:szCs w:val="24"/>
        </w:rPr>
        <w:t xml:space="preserve">(SCs) </w:t>
      </w:r>
      <w:r w:rsidR="00850A10" w:rsidRPr="00ED5945">
        <w:rPr>
          <w:rFonts w:ascii="Times New Roman" w:eastAsia="Calibri" w:hAnsi="Times New Roman" w:cs="Times New Roman"/>
          <w:bCs/>
          <w:iCs/>
          <w:sz w:val="24"/>
          <w:szCs w:val="24"/>
        </w:rPr>
        <w:t>beneath it</w:t>
      </w:r>
      <w:r w:rsidR="00180DFE" w:rsidRPr="00ED5945">
        <w:rPr>
          <w:rFonts w:ascii="Times New Roman" w:eastAsia="Calibri" w:hAnsi="Times New Roman" w:cs="Times New Roman"/>
          <w:bCs/>
          <w:iCs/>
          <w:sz w:val="24"/>
          <w:szCs w:val="24"/>
        </w:rPr>
        <w:t>.</w:t>
      </w:r>
      <w:r w:rsidR="00850A10" w:rsidRPr="00ED5945">
        <w:rPr>
          <w:rStyle w:val="FootnoteReference"/>
          <w:rFonts w:ascii="Times New Roman" w:hAnsi="Times New Roman" w:cs="Times New Roman"/>
          <w:iCs/>
          <w:sz w:val="24"/>
          <w:szCs w:val="24"/>
        </w:rPr>
        <w:footnoteReference w:id="15"/>
      </w:r>
      <w:r w:rsidR="00850A10" w:rsidRPr="00ED5945">
        <w:rPr>
          <w:rFonts w:ascii="Times New Roman" w:eastAsia="Calibri" w:hAnsi="Times New Roman" w:cs="Times New Roman"/>
          <w:bCs/>
          <w:iCs/>
          <w:sz w:val="24"/>
          <w:szCs w:val="24"/>
        </w:rPr>
        <w:t xml:space="preserve"> </w:t>
      </w:r>
      <w:r w:rsidR="006F4E16">
        <w:rPr>
          <w:rFonts w:ascii="Times New Roman" w:eastAsia="Calibri" w:hAnsi="Times New Roman" w:cs="Times New Roman"/>
          <w:bCs/>
          <w:iCs/>
          <w:sz w:val="24"/>
          <w:szCs w:val="24"/>
        </w:rPr>
        <w:t>In terms of their composition</w:t>
      </w:r>
      <w:r w:rsidR="0058433C">
        <w:rPr>
          <w:rFonts w:ascii="Times New Roman" w:eastAsia="Calibri" w:hAnsi="Times New Roman" w:cs="Times New Roman"/>
          <w:bCs/>
          <w:iCs/>
          <w:sz w:val="24"/>
          <w:szCs w:val="24"/>
        </w:rPr>
        <w:t>,</w:t>
      </w:r>
      <w:r w:rsidR="006F4E16">
        <w:rPr>
          <w:rFonts w:ascii="Times New Roman" w:eastAsia="Calibri" w:hAnsi="Times New Roman" w:cs="Times New Roman"/>
          <w:bCs/>
          <w:iCs/>
          <w:sz w:val="24"/>
          <w:szCs w:val="24"/>
        </w:rPr>
        <w:t xml:space="preserve"> the WA only specifies that the </w:t>
      </w:r>
      <w:r w:rsidR="00C420B1" w:rsidRPr="00C420B1">
        <w:rPr>
          <w:rFonts w:ascii="Times New Roman" w:eastAsia="Calibri" w:hAnsi="Times New Roman" w:cs="Times New Roman"/>
          <w:bCs/>
          <w:iCs/>
          <w:sz w:val="24"/>
          <w:szCs w:val="24"/>
        </w:rPr>
        <w:t xml:space="preserve">respective representatives on the </w:t>
      </w:r>
      <w:r w:rsidR="008E00B2">
        <w:rPr>
          <w:rFonts w:ascii="Times New Roman" w:eastAsia="Calibri" w:hAnsi="Times New Roman" w:cs="Times New Roman"/>
          <w:bCs/>
          <w:iCs/>
          <w:sz w:val="24"/>
          <w:szCs w:val="24"/>
        </w:rPr>
        <w:t>SCs</w:t>
      </w:r>
      <w:r w:rsidR="00C420B1" w:rsidRPr="00C420B1">
        <w:rPr>
          <w:rFonts w:ascii="Times New Roman" w:eastAsia="Calibri" w:hAnsi="Times New Roman" w:cs="Times New Roman"/>
          <w:bCs/>
          <w:iCs/>
          <w:sz w:val="24"/>
          <w:szCs w:val="24"/>
        </w:rPr>
        <w:t xml:space="preserve"> have appropriate expertise with respect to the issues under discussion</w:t>
      </w:r>
      <w:r w:rsidR="00C420B1">
        <w:rPr>
          <w:rFonts w:ascii="Times New Roman" w:eastAsia="Calibri" w:hAnsi="Times New Roman" w:cs="Times New Roman"/>
          <w:bCs/>
          <w:iCs/>
          <w:sz w:val="24"/>
          <w:szCs w:val="24"/>
        </w:rPr>
        <w:t>.</w:t>
      </w:r>
      <w:r w:rsidR="006F4E16">
        <w:rPr>
          <w:rStyle w:val="FootnoteReference"/>
          <w:rFonts w:ascii="Times New Roman" w:eastAsia="Calibri" w:hAnsi="Times New Roman" w:cs="Times New Roman"/>
          <w:bCs/>
          <w:iCs/>
          <w:sz w:val="24"/>
          <w:szCs w:val="24"/>
        </w:rPr>
        <w:footnoteReference w:id="16"/>
      </w:r>
      <w:r w:rsidR="00C420B1">
        <w:rPr>
          <w:rFonts w:ascii="Times New Roman" w:eastAsia="Calibri" w:hAnsi="Times New Roman" w:cs="Times New Roman"/>
          <w:bCs/>
          <w:iCs/>
          <w:sz w:val="24"/>
          <w:szCs w:val="24"/>
        </w:rPr>
        <w:t xml:space="preserve"> </w:t>
      </w:r>
      <w:r w:rsidR="00745200">
        <w:rPr>
          <w:rFonts w:ascii="Times New Roman" w:eastAsia="Calibri" w:hAnsi="Times New Roman" w:cs="Times New Roman"/>
          <w:bCs/>
          <w:iCs/>
          <w:sz w:val="24"/>
          <w:szCs w:val="24"/>
        </w:rPr>
        <w:t xml:space="preserve">These committees are co-chaired by </w:t>
      </w:r>
      <w:r w:rsidR="006F6022">
        <w:rPr>
          <w:rFonts w:ascii="Times New Roman" w:eastAsia="Calibri" w:hAnsi="Times New Roman" w:cs="Times New Roman"/>
          <w:bCs/>
          <w:iCs/>
          <w:sz w:val="24"/>
          <w:szCs w:val="24"/>
        </w:rPr>
        <w:t xml:space="preserve">officials from the </w:t>
      </w:r>
      <w:r w:rsidR="00FC7FA4">
        <w:rPr>
          <w:rFonts w:ascii="Times New Roman" w:eastAsia="Calibri" w:hAnsi="Times New Roman" w:cs="Times New Roman"/>
          <w:bCs/>
          <w:iCs/>
          <w:sz w:val="24"/>
          <w:szCs w:val="24"/>
        </w:rPr>
        <w:t xml:space="preserve">European Commission </w:t>
      </w:r>
      <w:r w:rsidR="001B3CDB">
        <w:rPr>
          <w:rFonts w:ascii="Times New Roman" w:eastAsia="Calibri" w:hAnsi="Times New Roman" w:cs="Times New Roman"/>
          <w:bCs/>
          <w:iCs/>
          <w:sz w:val="24"/>
          <w:szCs w:val="24"/>
        </w:rPr>
        <w:t xml:space="preserve">and </w:t>
      </w:r>
      <w:r w:rsidR="00FC7FA4">
        <w:rPr>
          <w:rFonts w:ascii="Times New Roman" w:eastAsia="Calibri" w:hAnsi="Times New Roman" w:cs="Times New Roman"/>
          <w:bCs/>
          <w:iCs/>
          <w:sz w:val="24"/>
          <w:szCs w:val="24"/>
        </w:rPr>
        <w:t xml:space="preserve">UK </w:t>
      </w:r>
      <w:r w:rsidR="006F6022">
        <w:rPr>
          <w:rFonts w:ascii="Times New Roman" w:eastAsia="Calibri" w:hAnsi="Times New Roman" w:cs="Times New Roman"/>
          <w:bCs/>
          <w:iCs/>
          <w:sz w:val="24"/>
          <w:szCs w:val="24"/>
        </w:rPr>
        <w:t>government</w:t>
      </w:r>
      <w:r w:rsidR="001B3CDB">
        <w:rPr>
          <w:rFonts w:ascii="Times New Roman" w:eastAsia="Calibri" w:hAnsi="Times New Roman" w:cs="Times New Roman"/>
          <w:bCs/>
          <w:iCs/>
          <w:sz w:val="24"/>
          <w:szCs w:val="24"/>
        </w:rPr>
        <w:t xml:space="preserve">. </w:t>
      </w:r>
      <w:r w:rsidR="00D51432">
        <w:rPr>
          <w:rFonts w:ascii="Times New Roman" w:eastAsia="Calibri" w:hAnsi="Times New Roman" w:cs="Times New Roman"/>
          <w:bCs/>
          <w:iCs/>
          <w:sz w:val="24"/>
          <w:szCs w:val="24"/>
        </w:rPr>
        <w:t>In practice t</w:t>
      </w:r>
      <w:r w:rsidR="00711BAC">
        <w:rPr>
          <w:rFonts w:ascii="Times New Roman" w:eastAsia="Calibri" w:hAnsi="Times New Roman" w:cs="Times New Roman"/>
          <w:bCs/>
          <w:iCs/>
          <w:sz w:val="24"/>
          <w:szCs w:val="24"/>
        </w:rPr>
        <w:t xml:space="preserve">he SC on </w:t>
      </w:r>
      <w:r w:rsidR="005060A7">
        <w:rPr>
          <w:rFonts w:ascii="Times New Roman" w:eastAsia="Calibri" w:hAnsi="Times New Roman" w:cs="Times New Roman"/>
          <w:bCs/>
          <w:iCs/>
          <w:sz w:val="24"/>
          <w:szCs w:val="24"/>
        </w:rPr>
        <w:t>c</w:t>
      </w:r>
      <w:r w:rsidR="00711BAC">
        <w:rPr>
          <w:rFonts w:ascii="Times New Roman" w:eastAsia="Calibri" w:hAnsi="Times New Roman" w:cs="Times New Roman"/>
          <w:bCs/>
          <w:iCs/>
          <w:sz w:val="24"/>
          <w:szCs w:val="24"/>
        </w:rPr>
        <w:t xml:space="preserve">itizens’ </w:t>
      </w:r>
      <w:r w:rsidR="005060A7">
        <w:rPr>
          <w:rFonts w:ascii="Times New Roman" w:eastAsia="Calibri" w:hAnsi="Times New Roman" w:cs="Times New Roman"/>
          <w:bCs/>
          <w:iCs/>
          <w:sz w:val="24"/>
          <w:szCs w:val="24"/>
        </w:rPr>
        <w:t>r</w:t>
      </w:r>
      <w:r w:rsidR="00711BAC">
        <w:rPr>
          <w:rFonts w:ascii="Times New Roman" w:eastAsia="Calibri" w:hAnsi="Times New Roman" w:cs="Times New Roman"/>
          <w:bCs/>
          <w:iCs/>
          <w:sz w:val="24"/>
          <w:szCs w:val="24"/>
        </w:rPr>
        <w:t xml:space="preserve">ights </w:t>
      </w:r>
      <w:r w:rsidR="009E65B5">
        <w:rPr>
          <w:rFonts w:ascii="Times New Roman" w:eastAsia="Calibri" w:hAnsi="Times New Roman" w:cs="Times New Roman"/>
          <w:bCs/>
          <w:iCs/>
          <w:sz w:val="24"/>
          <w:szCs w:val="24"/>
        </w:rPr>
        <w:t>also include</w:t>
      </w:r>
      <w:r w:rsidR="005060A7">
        <w:rPr>
          <w:rFonts w:ascii="Times New Roman" w:eastAsia="Calibri" w:hAnsi="Times New Roman" w:cs="Times New Roman"/>
          <w:bCs/>
          <w:iCs/>
          <w:sz w:val="24"/>
          <w:szCs w:val="24"/>
        </w:rPr>
        <w:t>s</w:t>
      </w:r>
      <w:r w:rsidR="009E65B5">
        <w:rPr>
          <w:rFonts w:ascii="Times New Roman" w:eastAsia="Calibri" w:hAnsi="Times New Roman" w:cs="Times New Roman"/>
          <w:bCs/>
          <w:iCs/>
          <w:sz w:val="24"/>
          <w:szCs w:val="24"/>
        </w:rPr>
        <w:t xml:space="preserve"> representatives of the EU Member States</w:t>
      </w:r>
      <w:r w:rsidR="004D4F0B">
        <w:rPr>
          <w:rFonts w:ascii="Times New Roman" w:eastAsia="Calibri" w:hAnsi="Times New Roman" w:cs="Times New Roman"/>
          <w:bCs/>
          <w:iCs/>
          <w:sz w:val="24"/>
          <w:szCs w:val="24"/>
        </w:rPr>
        <w:t xml:space="preserve"> and of the </w:t>
      </w:r>
      <w:r w:rsidR="004D4F0B" w:rsidRPr="004D4F0B">
        <w:rPr>
          <w:rFonts w:ascii="Times New Roman" w:eastAsia="Calibri" w:hAnsi="Times New Roman" w:cs="Times New Roman"/>
          <w:bCs/>
          <w:iCs/>
          <w:sz w:val="24"/>
          <w:szCs w:val="24"/>
        </w:rPr>
        <w:t xml:space="preserve">UK Independent Monitoring Authority for the Citizens’ Rights </w:t>
      </w:r>
      <w:r w:rsidR="004D4F0B" w:rsidRPr="004D4F0B">
        <w:rPr>
          <w:rFonts w:ascii="Times New Roman" w:eastAsia="Calibri" w:hAnsi="Times New Roman" w:cs="Times New Roman"/>
          <w:bCs/>
          <w:iCs/>
          <w:sz w:val="24"/>
          <w:szCs w:val="24"/>
        </w:rPr>
        <w:lastRenderedPageBreak/>
        <w:t>Agreements</w:t>
      </w:r>
      <w:r w:rsidR="005060A7">
        <w:rPr>
          <w:rFonts w:ascii="Times New Roman" w:eastAsia="Calibri" w:hAnsi="Times New Roman" w:cs="Times New Roman"/>
          <w:bCs/>
          <w:iCs/>
          <w:sz w:val="24"/>
          <w:szCs w:val="24"/>
        </w:rPr>
        <w:t>.</w:t>
      </w:r>
      <w:r w:rsidR="00D51432">
        <w:rPr>
          <w:rStyle w:val="FootnoteReference"/>
          <w:rFonts w:ascii="Times New Roman" w:eastAsia="Calibri" w:hAnsi="Times New Roman" w:cs="Times New Roman"/>
          <w:bCs/>
          <w:iCs/>
          <w:sz w:val="24"/>
          <w:szCs w:val="24"/>
        </w:rPr>
        <w:footnoteReference w:id="17"/>
      </w:r>
      <w:r w:rsidR="009E65B5">
        <w:rPr>
          <w:rFonts w:ascii="Times New Roman" w:eastAsia="Calibri" w:hAnsi="Times New Roman" w:cs="Times New Roman"/>
          <w:bCs/>
          <w:iCs/>
          <w:sz w:val="24"/>
          <w:szCs w:val="24"/>
        </w:rPr>
        <w:t xml:space="preserve"> </w:t>
      </w:r>
      <w:r w:rsidR="00B52FD1">
        <w:rPr>
          <w:rFonts w:ascii="Times New Roman" w:eastAsia="Calibri" w:hAnsi="Times New Roman" w:cs="Times New Roman"/>
          <w:bCs/>
          <w:iCs/>
          <w:sz w:val="24"/>
          <w:szCs w:val="24"/>
        </w:rPr>
        <w:t xml:space="preserve">The </w:t>
      </w:r>
      <w:r w:rsidR="00967CFC">
        <w:rPr>
          <w:rFonts w:ascii="Times New Roman" w:eastAsia="Calibri" w:hAnsi="Times New Roman" w:cs="Times New Roman"/>
          <w:bCs/>
          <w:iCs/>
          <w:sz w:val="24"/>
          <w:szCs w:val="24"/>
        </w:rPr>
        <w:t xml:space="preserve">SC on Gibraltar </w:t>
      </w:r>
      <w:r w:rsidR="00223641">
        <w:rPr>
          <w:rFonts w:ascii="Times New Roman" w:eastAsia="Calibri" w:hAnsi="Times New Roman" w:cs="Times New Roman"/>
          <w:bCs/>
          <w:iCs/>
          <w:sz w:val="24"/>
          <w:szCs w:val="24"/>
        </w:rPr>
        <w:t xml:space="preserve">also includes </w:t>
      </w:r>
      <w:r w:rsidR="00B52FD1">
        <w:rPr>
          <w:rFonts w:ascii="Times New Roman" w:eastAsia="Calibri" w:hAnsi="Times New Roman" w:cs="Times New Roman"/>
          <w:bCs/>
          <w:iCs/>
          <w:sz w:val="24"/>
          <w:szCs w:val="24"/>
        </w:rPr>
        <w:t xml:space="preserve">representatives from </w:t>
      </w:r>
      <w:r w:rsidR="00223641">
        <w:rPr>
          <w:rFonts w:ascii="Times New Roman" w:eastAsia="Calibri" w:hAnsi="Times New Roman" w:cs="Times New Roman"/>
          <w:bCs/>
          <w:iCs/>
          <w:sz w:val="24"/>
          <w:szCs w:val="24"/>
        </w:rPr>
        <w:t xml:space="preserve">Spain and other </w:t>
      </w:r>
      <w:r w:rsidR="005E481E">
        <w:rPr>
          <w:rFonts w:ascii="Times New Roman" w:eastAsia="Calibri" w:hAnsi="Times New Roman" w:cs="Times New Roman"/>
          <w:bCs/>
          <w:iCs/>
          <w:sz w:val="24"/>
          <w:szCs w:val="24"/>
        </w:rPr>
        <w:t>Member States as part of the EU delegation.</w:t>
      </w:r>
      <w:r w:rsidR="00C271C1">
        <w:rPr>
          <w:rStyle w:val="FootnoteReference"/>
          <w:rFonts w:ascii="Times New Roman" w:eastAsia="Calibri" w:hAnsi="Times New Roman" w:cs="Times New Roman"/>
          <w:bCs/>
          <w:iCs/>
          <w:sz w:val="24"/>
          <w:szCs w:val="24"/>
        </w:rPr>
        <w:footnoteReference w:id="18"/>
      </w:r>
      <w:r w:rsidR="005E481E">
        <w:rPr>
          <w:rFonts w:ascii="Times New Roman" w:eastAsia="Calibri" w:hAnsi="Times New Roman" w:cs="Times New Roman"/>
          <w:bCs/>
          <w:iCs/>
          <w:sz w:val="24"/>
          <w:szCs w:val="24"/>
        </w:rPr>
        <w:t xml:space="preserve"> </w:t>
      </w:r>
      <w:r w:rsidR="009B7DC1">
        <w:rPr>
          <w:rFonts w:ascii="Times New Roman" w:eastAsia="Calibri" w:hAnsi="Times New Roman" w:cs="Times New Roman"/>
          <w:bCs/>
          <w:iCs/>
          <w:sz w:val="24"/>
          <w:szCs w:val="24"/>
        </w:rPr>
        <w:t>The JC</w:t>
      </w:r>
      <w:r w:rsidR="00503ED7" w:rsidRPr="00ED5945">
        <w:rPr>
          <w:rFonts w:ascii="Times New Roman" w:eastAsia="Calibri" w:hAnsi="Times New Roman" w:cs="Times New Roman"/>
          <w:bCs/>
          <w:iCs/>
          <w:sz w:val="24"/>
          <w:szCs w:val="24"/>
        </w:rPr>
        <w:t xml:space="preserve"> may change the tasks assigned</w:t>
      </w:r>
      <w:r w:rsidR="002A4CC7" w:rsidRPr="00ED5945">
        <w:rPr>
          <w:rFonts w:ascii="Times New Roman" w:eastAsia="Calibri" w:hAnsi="Times New Roman" w:cs="Times New Roman"/>
          <w:bCs/>
          <w:iCs/>
          <w:sz w:val="24"/>
          <w:szCs w:val="24"/>
        </w:rPr>
        <w:t>, dissolve any of the SCs, or establish new ones.</w:t>
      </w:r>
      <w:r w:rsidR="002A4CC7" w:rsidRPr="00ED5945">
        <w:rPr>
          <w:rStyle w:val="FootnoteReference"/>
          <w:rFonts w:ascii="Times New Roman" w:eastAsia="Calibri" w:hAnsi="Times New Roman" w:cs="Times New Roman"/>
          <w:bCs/>
          <w:iCs/>
          <w:sz w:val="24"/>
          <w:szCs w:val="24"/>
        </w:rPr>
        <w:footnoteReference w:id="19"/>
      </w:r>
    </w:p>
    <w:p w14:paraId="73C1D4F6" w14:textId="77777777" w:rsidR="003B4F36" w:rsidRDefault="006879F5" w:rsidP="00A5576E">
      <w:pPr>
        <w:spacing w:line="240" w:lineRule="auto"/>
        <w:rPr>
          <w:rFonts w:ascii="Times New Roman" w:eastAsia="Calibri" w:hAnsi="Times New Roman" w:cs="Times New Roman"/>
          <w:bCs/>
          <w:iCs/>
          <w:sz w:val="24"/>
          <w:szCs w:val="24"/>
        </w:rPr>
      </w:pPr>
      <w:r w:rsidRPr="00301BD7">
        <w:rPr>
          <w:rFonts w:ascii="Times New Roman" w:eastAsia="Calibri" w:hAnsi="Times New Roman" w:cs="Times New Roman"/>
          <w:bCs/>
          <w:iCs/>
          <w:sz w:val="24"/>
          <w:szCs w:val="24"/>
        </w:rPr>
        <w:t xml:space="preserve">Notably, the JC can amend the WA </w:t>
      </w:r>
      <w:r w:rsidR="00A5576E" w:rsidRPr="00301BD7">
        <w:rPr>
          <w:rFonts w:ascii="Times New Roman" w:eastAsia="Calibri" w:hAnsi="Times New Roman" w:cs="Times New Roman"/>
          <w:bCs/>
          <w:iCs/>
          <w:sz w:val="24"/>
          <w:szCs w:val="24"/>
        </w:rPr>
        <w:t>until the end of the fourth year following the end of the transition period</w:t>
      </w:r>
      <w:r w:rsidRPr="00301BD7">
        <w:rPr>
          <w:rFonts w:ascii="Times New Roman" w:eastAsia="Calibri" w:hAnsi="Times New Roman" w:cs="Times New Roman"/>
          <w:bCs/>
          <w:iCs/>
          <w:sz w:val="24"/>
          <w:szCs w:val="24"/>
        </w:rPr>
        <w:t xml:space="preserve"> (i.e. 31 December 2024</w:t>
      </w:r>
      <w:r w:rsidR="00ED5945" w:rsidRPr="00301BD7">
        <w:rPr>
          <w:rFonts w:ascii="Times New Roman" w:eastAsia="Calibri" w:hAnsi="Times New Roman" w:cs="Times New Roman"/>
          <w:bCs/>
          <w:iCs/>
          <w:sz w:val="24"/>
          <w:szCs w:val="24"/>
        </w:rPr>
        <w:t xml:space="preserve">) </w:t>
      </w:r>
      <w:r w:rsidR="00A5576E" w:rsidRPr="00301BD7">
        <w:rPr>
          <w:rFonts w:ascii="Times New Roman" w:eastAsia="Calibri" w:hAnsi="Times New Roman" w:cs="Times New Roman"/>
          <w:bCs/>
          <w:iCs/>
          <w:sz w:val="24"/>
          <w:szCs w:val="24"/>
        </w:rPr>
        <w:t>provided that such amendments are necessary to correct errors, to address omissions or other deficiencies, or to address situations unforeseen when th</w:t>
      </w:r>
      <w:r w:rsidR="0034669F" w:rsidRPr="00301BD7">
        <w:rPr>
          <w:rFonts w:ascii="Times New Roman" w:eastAsia="Calibri" w:hAnsi="Times New Roman" w:cs="Times New Roman"/>
          <w:bCs/>
          <w:iCs/>
          <w:sz w:val="24"/>
          <w:szCs w:val="24"/>
        </w:rPr>
        <w:t>e</w:t>
      </w:r>
      <w:r w:rsidR="00A5576E" w:rsidRPr="00301BD7">
        <w:rPr>
          <w:rFonts w:ascii="Times New Roman" w:eastAsia="Calibri" w:hAnsi="Times New Roman" w:cs="Times New Roman"/>
          <w:bCs/>
          <w:iCs/>
          <w:sz w:val="24"/>
          <w:szCs w:val="24"/>
        </w:rPr>
        <w:t xml:space="preserve"> Agreement was signed, adopt amendments to the rules of procedure </w:t>
      </w:r>
      <w:r w:rsidR="00301BD7" w:rsidRPr="00301BD7">
        <w:rPr>
          <w:rFonts w:ascii="Times New Roman" w:eastAsia="Calibri" w:hAnsi="Times New Roman" w:cs="Times New Roman"/>
          <w:bCs/>
          <w:iCs/>
          <w:sz w:val="24"/>
          <w:szCs w:val="24"/>
        </w:rPr>
        <w:t xml:space="preserve">of the JCs and SCs, and, further </w:t>
      </w:r>
      <w:r w:rsidR="00CE2D39" w:rsidRPr="00301BD7">
        <w:rPr>
          <w:rFonts w:ascii="Times New Roman" w:eastAsia="Calibri" w:hAnsi="Times New Roman" w:cs="Times New Roman"/>
          <w:bCs/>
          <w:iCs/>
          <w:sz w:val="24"/>
          <w:szCs w:val="24"/>
        </w:rPr>
        <w:t>“</w:t>
      </w:r>
      <w:r w:rsidR="00A5576E" w:rsidRPr="00301BD7">
        <w:rPr>
          <w:rFonts w:ascii="Times New Roman" w:eastAsia="Calibri" w:hAnsi="Times New Roman" w:cs="Times New Roman"/>
          <w:bCs/>
          <w:iCs/>
          <w:sz w:val="24"/>
          <w:szCs w:val="24"/>
        </w:rPr>
        <w:t>take such other actions in the exercise of its functions as decided by the Union and the United Kingdom.”</w:t>
      </w:r>
      <w:r w:rsidR="0043401D" w:rsidRPr="00301BD7">
        <w:rPr>
          <w:rStyle w:val="FootnoteReference"/>
          <w:rFonts w:ascii="Times New Roman" w:eastAsia="Calibri" w:hAnsi="Times New Roman" w:cs="Times New Roman"/>
          <w:bCs/>
          <w:iCs/>
          <w:sz w:val="24"/>
          <w:szCs w:val="24"/>
        </w:rPr>
        <w:footnoteReference w:id="20"/>
      </w:r>
      <w:r w:rsidR="003B4F36">
        <w:rPr>
          <w:rFonts w:ascii="Times New Roman" w:eastAsia="Calibri" w:hAnsi="Times New Roman" w:cs="Times New Roman"/>
          <w:bCs/>
          <w:iCs/>
          <w:sz w:val="24"/>
          <w:szCs w:val="24"/>
        </w:rPr>
        <w:t xml:space="preserve"> </w:t>
      </w:r>
    </w:p>
    <w:p w14:paraId="7F4A95EA" w14:textId="7E980DF1" w:rsidR="00A5576E" w:rsidRDefault="00A5576E" w:rsidP="00A5576E">
      <w:pPr>
        <w:spacing w:line="240" w:lineRule="auto"/>
        <w:rPr>
          <w:rFonts w:ascii="Times New Roman" w:eastAsia="Calibri" w:hAnsi="Times New Roman" w:cs="Times New Roman"/>
          <w:bCs/>
          <w:iCs/>
          <w:sz w:val="24"/>
          <w:szCs w:val="24"/>
        </w:rPr>
      </w:pPr>
      <w:r w:rsidRPr="00997397">
        <w:rPr>
          <w:rFonts w:ascii="Times New Roman" w:eastAsia="Calibri" w:hAnsi="Times New Roman" w:cs="Times New Roman"/>
          <w:bCs/>
          <w:iCs/>
          <w:sz w:val="24"/>
          <w:szCs w:val="24"/>
        </w:rPr>
        <w:t xml:space="preserve">The </w:t>
      </w:r>
      <w:r w:rsidR="0040325D">
        <w:rPr>
          <w:rFonts w:ascii="Times New Roman" w:eastAsia="Calibri" w:hAnsi="Times New Roman" w:cs="Times New Roman"/>
          <w:bCs/>
          <w:iCs/>
          <w:sz w:val="24"/>
          <w:szCs w:val="24"/>
        </w:rPr>
        <w:t>JC</w:t>
      </w:r>
      <w:r w:rsidRPr="00997397">
        <w:rPr>
          <w:rFonts w:ascii="Times New Roman" w:eastAsia="Calibri" w:hAnsi="Times New Roman" w:cs="Times New Roman"/>
          <w:bCs/>
          <w:iCs/>
          <w:sz w:val="24"/>
          <w:szCs w:val="24"/>
        </w:rPr>
        <w:t xml:space="preserve"> therefore has broad discretion to decide its </w:t>
      </w:r>
      <w:r w:rsidR="00222F58">
        <w:rPr>
          <w:rFonts w:ascii="Times New Roman" w:eastAsia="Calibri" w:hAnsi="Times New Roman" w:cs="Times New Roman"/>
          <w:bCs/>
          <w:iCs/>
          <w:sz w:val="24"/>
          <w:szCs w:val="24"/>
        </w:rPr>
        <w:t xml:space="preserve">own </w:t>
      </w:r>
      <w:r w:rsidRPr="00997397">
        <w:rPr>
          <w:rFonts w:ascii="Times New Roman" w:eastAsia="Calibri" w:hAnsi="Times New Roman" w:cs="Times New Roman"/>
          <w:bCs/>
          <w:iCs/>
          <w:sz w:val="24"/>
          <w:szCs w:val="24"/>
        </w:rPr>
        <w:t xml:space="preserve">work in the future, including the operation of the </w:t>
      </w:r>
      <w:r w:rsidR="00333892">
        <w:rPr>
          <w:rFonts w:ascii="Times New Roman" w:eastAsia="Calibri" w:hAnsi="Times New Roman" w:cs="Times New Roman"/>
          <w:bCs/>
          <w:iCs/>
          <w:sz w:val="24"/>
          <w:szCs w:val="24"/>
        </w:rPr>
        <w:t>SCs</w:t>
      </w:r>
      <w:r w:rsidRPr="00997397">
        <w:rPr>
          <w:rFonts w:ascii="Times New Roman" w:eastAsia="Calibri" w:hAnsi="Times New Roman" w:cs="Times New Roman"/>
          <w:bCs/>
          <w:iCs/>
          <w:sz w:val="24"/>
          <w:szCs w:val="24"/>
        </w:rPr>
        <w:t xml:space="preserve"> laid down in Art 165 WA</w:t>
      </w:r>
      <w:r w:rsidR="00222F58">
        <w:rPr>
          <w:rFonts w:ascii="Times New Roman" w:eastAsia="Calibri" w:hAnsi="Times New Roman" w:cs="Times New Roman"/>
          <w:bCs/>
          <w:iCs/>
          <w:sz w:val="24"/>
          <w:szCs w:val="24"/>
        </w:rPr>
        <w:t xml:space="preserve">. </w:t>
      </w:r>
      <w:r w:rsidR="004E46E6" w:rsidRPr="00997397">
        <w:rPr>
          <w:rFonts w:ascii="Times New Roman" w:eastAsia="Calibri" w:hAnsi="Times New Roman" w:cs="Times New Roman"/>
          <w:bCs/>
          <w:iCs/>
          <w:sz w:val="24"/>
          <w:szCs w:val="24"/>
        </w:rPr>
        <w:t>The fact that the JC is to meet (minimum of) once a year</w:t>
      </w:r>
      <w:r w:rsidR="006B3BA3">
        <w:rPr>
          <w:rFonts w:ascii="Times New Roman" w:eastAsia="Calibri" w:hAnsi="Times New Roman" w:cs="Times New Roman"/>
          <w:bCs/>
          <w:iCs/>
          <w:sz w:val="24"/>
          <w:szCs w:val="24"/>
        </w:rPr>
        <w:t xml:space="preserve"> suggests</w:t>
      </w:r>
      <w:r w:rsidR="004E46E6" w:rsidRPr="00997397">
        <w:rPr>
          <w:rFonts w:ascii="Times New Roman" w:eastAsia="Calibri" w:hAnsi="Times New Roman" w:cs="Times New Roman"/>
          <w:bCs/>
          <w:iCs/>
          <w:sz w:val="24"/>
          <w:szCs w:val="24"/>
        </w:rPr>
        <w:t xml:space="preserve"> that </w:t>
      </w:r>
      <w:r w:rsidR="00713C5E">
        <w:rPr>
          <w:rFonts w:ascii="Times New Roman" w:eastAsia="Calibri" w:hAnsi="Times New Roman" w:cs="Times New Roman"/>
          <w:bCs/>
          <w:iCs/>
          <w:sz w:val="24"/>
          <w:szCs w:val="24"/>
        </w:rPr>
        <w:t xml:space="preserve">additional </w:t>
      </w:r>
      <w:r w:rsidR="004E46E6" w:rsidRPr="00997397">
        <w:rPr>
          <w:rFonts w:ascii="Times New Roman" w:eastAsia="Calibri" w:hAnsi="Times New Roman" w:cs="Times New Roman"/>
          <w:bCs/>
          <w:iCs/>
          <w:sz w:val="24"/>
          <w:szCs w:val="24"/>
        </w:rPr>
        <w:t>lower level</w:t>
      </w:r>
      <w:r w:rsidR="006B3BA3">
        <w:rPr>
          <w:rFonts w:ascii="Times New Roman" w:eastAsia="Calibri" w:hAnsi="Times New Roman" w:cs="Times New Roman"/>
          <w:bCs/>
          <w:iCs/>
          <w:sz w:val="24"/>
          <w:szCs w:val="24"/>
        </w:rPr>
        <w:t xml:space="preserve"> </w:t>
      </w:r>
      <w:r w:rsidR="004E46E6" w:rsidRPr="00997397">
        <w:rPr>
          <w:rFonts w:ascii="Times New Roman" w:eastAsia="Calibri" w:hAnsi="Times New Roman" w:cs="Times New Roman"/>
          <w:bCs/>
          <w:iCs/>
          <w:sz w:val="24"/>
          <w:szCs w:val="24"/>
        </w:rPr>
        <w:t>mechanisms a</w:t>
      </w:r>
      <w:r w:rsidR="00713C5E">
        <w:rPr>
          <w:rFonts w:ascii="Times New Roman" w:eastAsia="Calibri" w:hAnsi="Times New Roman" w:cs="Times New Roman"/>
          <w:bCs/>
          <w:iCs/>
          <w:sz w:val="24"/>
          <w:szCs w:val="24"/>
        </w:rPr>
        <w:t xml:space="preserve">re </w:t>
      </w:r>
      <w:r w:rsidR="004E46E6" w:rsidRPr="00997397">
        <w:rPr>
          <w:rFonts w:ascii="Times New Roman" w:eastAsia="Calibri" w:hAnsi="Times New Roman" w:cs="Times New Roman"/>
          <w:bCs/>
          <w:iCs/>
          <w:sz w:val="24"/>
          <w:szCs w:val="24"/>
        </w:rPr>
        <w:t>necessary</w:t>
      </w:r>
      <w:r w:rsidR="006B3BA3">
        <w:rPr>
          <w:rFonts w:ascii="Times New Roman" w:eastAsia="Calibri" w:hAnsi="Times New Roman" w:cs="Times New Roman"/>
          <w:bCs/>
          <w:iCs/>
          <w:sz w:val="24"/>
          <w:szCs w:val="24"/>
        </w:rPr>
        <w:t xml:space="preserve"> to manage the </w:t>
      </w:r>
      <w:r w:rsidR="00713C5E">
        <w:rPr>
          <w:rFonts w:ascii="Times New Roman" w:eastAsia="Calibri" w:hAnsi="Times New Roman" w:cs="Times New Roman"/>
          <w:bCs/>
          <w:iCs/>
          <w:sz w:val="24"/>
          <w:szCs w:val="24"/>
        </w:rPr>
        <w:t xml:space="preserve">future </w:t>
      </w:r>
      <w:r w:rsidR="006B3BA3">
        <w:rPr>
          <w:rFonts w:ascii="Times New Roman" w:eastAsia="Calibri" w:hAnsi="Times New Roman" w:cs="Times New Roman"/>
          <w:bCs/>
          <w:iCs/>
          <w:sz w:val="24"/>
          <w:szCs w:val="24"/>
        </w:rPr>
        <w:t>relationship</w:t>
      </w:r>
      <w:r w:rsidR="004E46E6" w:rsidRPr="00997397">
        <w:rPr>
          <w:rFonts w:ascii="Times New Roman" w:eastAsia="Calibri" w:hAnsi="Times New Roman" w:cs="Times New Roman"/>
          <w:bCs/>
          <w:iCs/>
          <w:sz w:val="24"/>
          <w:szCs w:val="24"/>
        </w:rPr>
        <w:t>.</w:t>
      </w:r>
    </w:p>
    <w:p w14:paraId="42E197F4" w14:textId="63DC5207" w:rsidR="00A5576E" w:rsidRPr="00997397" w:rsidRDefault="007714A3" w:rsidP="00E373C2">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iCs/>
          <w:sz w:val="24"/>
          <w:szCs w:val="24"/>
        </w:rPr>
        <w:t>In terms of</w:t>
      </w:r>
      <w:r w:rsidR="00A5576E" w:rsidRPr="00997397">
        <w:rPr>
          <w:rFonts w:ascii="Times New Roman" w:eastAsia="Calibri" w:hAnsi="Times New Roman" w:cs="Times New Roman"/>
          <w:bCs/>
          <w:iCs/>
          <w:sz w:val="24"/>
          <w:szCs w:val="24"/>
        </w:rPr>
        <w:t xml:space="preserve"> dispute settlement</w:t>
      </w:r>
      <w:r>
        <w:rPr>
          <w:rFonts w:ascii="Times New Roman" w:eastAsia="Calibri" w:hAnsi="Times New Roman" w:cs="Times New Roman"/>
          <w:bCs/>
          <w:iCs/>
          <w:sz w:val="24"/>
          <w:szCs w:val="24"/>
        </w:rPr>
        <w:t>,</w:t>
      </w:r>
      <w:r w:rsidR="00A5576E" w:rsidRPr="00997397">
        <w:rPr>
          <w:rFonts w:ascii="Times New Roman" w:eastAsia="Calibri" w:hAnsi="Times New Roman" w:cs="Times New Roman"/>
          <w:bCs/>
          <w:iCs/>
          <w:sz w:val="24"/>
          <w:szCs w:val="24"/>
        </w:rPr>
        <w:t xml:space="preserve"> Art 168 </w:t>
      </w:r>
      <w:r>
        <w:rPr>
          <w:rFonts w:ascii="Times New Roman" w:eastAsia="Calibri" w:hAnsi="Times New Roman" w:cs="Times New Roman"/>
          <w:bCs/>
          <w:iCs/>
          <w:sz w:val="24"/>
          <w:szCs w:val="24"/>
        </w:rPr>
        <w:t xml:space="preserve">WA </w:t>
      </w:r>
      <w:r w:rsidR="00A5576E" w:rsidRPr="00997397">
        <w:rPr>
          <w:rFonts w:ascii="Times New Roman" w:eastAsia="Calibri" w:hAnsi="Times New Roman" w:cs="Times New Roman"/>
          <w:bCs/>
          <w:iCs/>
          <w:sz w:val="24"/>
          <w:szCs w:val="24"/>
        </w:rPr>
        <w:t xml:space="preserve">provides for the exclusive recourse to </w:t>
      </w:r>
      <w:r w:rsidR="00EB1973">
        <w:rPr>
          <w:rFonts w:ascii="Times New Roman" w:eastAsia="Calibri" w:hAnsi="Times New Roman" w:cs="Times New Roman"/>
          <w:bCs/>
          <w:iCs/>
          <w:sz w:val="24"/>
          <w:szCs w:val="24"/>
        </w:rPr>
        <w:t xml:space="preserve">the WA’s </w:t>
      </w:r>
      <w:r w:rsidR="00A5576E" w:rsidRPr="00997397">
        <w:rPr>
          <w:rFonts w:ascii="Times New Roman" w:eastAsia="Calibri" w:hAnsi="Times New Roman" w:cs="Times New Roman"/>
          <w:bCs/>
          <w:iCs/>
          <w:sz w:val="24"/>
          <w:szCs w:val="24"/>
        </w:rPr>
        <w:t xml:space="preserve">procedures for disputes arising under it. </w:t>
      </w:r>
      <w:r w:rsidR="00EB1973">
        <w:rPr>
          <w:rFonts w:ascii="Times New Roman" w:eastAsia="Calibri" w:hAnsi="Times New Roman" w:cs="Times New Roman"/>
          <w:bCs/>
          <w:iCs/>
          <w:sz w:val="24"/>
          <w:szCs w:val="24"/>
        </w:rPr>
        <w:t>In</w:t>
      </w:r>
      <w:r w:rsidR="00A5576E" w:rsidRPr="00997397">
        <w:rPr>
          <w:rFonts w:ascii="Times New Roman" w:eastAsia="Calibri" w:hAnsi="Times New Roman" w:cs="Times New Roman"/>
          <w:bCs/>
          <w:iCs/>
          <w:sz w:val="24"/>
          <w:szCs w:val="24"/>
        </w:rPr>
        <w:t xml:space="preserve"> common with other </w:t>
      </w:r>
      <w:r w:rsidR="00EB1973">
        <w:rPr>
          <w:rFonts w:ascii="Times New Roman" w:eastAsia="Calibri" w:hAnsi="Times New Roman" w:cs="Times New Roman"/>
          <w:bCs/>
          <w:iCs/>
          <w:sz w:val="24"/>
          <w:szCs w:val="24"/>
        </w:rPr>
        <w:t xml:space="preserve">EU </w:t>
      </w:r>
      <w:r w:rsidR="00A5576E" w:rsidRPr="00997397">
        <w:rPr>
          <w:rFonts w:ascii="Times New Roman" w:eastAsia="Calibri" w:hAnsi="Times New Roman" w:cs="Times New Roman"/>
          <w:bCs/>
          <w:iCs/>
          <w:sz w:val="24"/>
          <w:szCs w:val="24"/>
        </w:rPr>
        <w:t>agreements</w:t>
      </w:r>
      <w:r w:rsidR="00EB1973">
        <w:rPr>
          <w:rFonts w:ascii="Times New Roman" w:eastAsia="Calibri" w:hAnsi="Times New Roman" w:cs="Times New Roman"/>
          <w:bCs/>
          <w:iCs/>
          <w:sz w:val="24"/>
          <w:szCs w:val="24"/>
        </w:rPr>
        <w:t xml:space="preserve">, </w:t>
      </w:r>
      <w:r w:rsidR="00A5576E" w:rsidRPr="00997397">
        <w:rPr>
          <w:rFonts w:ascii="Times New Roman" w:eastAsia="Calibri" w:hAnsi="Times New Roman" w:cs="Times New Roman"/>
          <w:bCs/>
          <w:iCs/>
          <w:sz w:val="24"/>
          <w:szCs w:val="24"/>
        </w:rPr>
        <w:t>the procedure is initiated through consultations and communications within the JC</w:t>
      </w:r>
      <w:r w:rsidR="00067F59">
        <w:rPr>
          <w:rStyle w:val="FootnoteReference"/>
          <w:rFonts w:ascii="Times New Roman" w:eastAsia="Calibri" w:hAnsi="Times New Roman" w:cs="Times New Roman"/>
          <w:bCs/>
          <w:iCs/>
          <w:sz w:val="24"/>
          <w:szCs w:val="24"/>
        </w:rPr>
        <w:footnoteReference w:id="21"/>
      </w:r>
      <w:r w:rsidR="00A5576E" w:rsidRPr="00997397">
        <w:rPr>
          <w:rFonts w:ascii="Times New Roman" w:eastAsia="Calibri" w:hAnsi="Times New Roman" w:cs="Times New Roman"/>
          <w:bCs/>
          <w:iCs/>
          <w:sz w:val="24"/>
          <w:szCs w:val="24"/>
        </w:rPr>
        <w:t xml:space="preserve"> I</w:t>
      </w:r>
      <w:r w:rsidR="00A5576E" w:rsidRPr="00997397">
        <w:rPr>
          <w:rFonts w:ascii="Times New Roman" w:eastAsia="Calibri" w:hAnsi="Times New Roman" w:cs="Times New Roman"/>
          <w:bCs/>
          <w:sz w:val="24"/>
          <w:szCs w:val="24"/>
        </w:rPr>
        <w:t xml:space="preserve">f there is no mutually agreed solution within </w:t>
      </w:r>
      <w:r w:rsidR="00067F59">
        <w:rPr>
          <w:rFonts w:ascii="Times New Roman" w:eastAsia="Calibri" w:hAnsi="Times New Roman" w:cs="Times New Roman"/>
          <w:bCs/>
          <w:sz w:val="24"/>
          <w:szCs w:val="24"/>
        </w:rPr>
        <w:t>three</w:t>
      </w:r>
      <w:r w:rsidR="00A5576E" w:rsidRPr="00997397">
        <w:rPr>
          <w:rFonts w:ascii="Times New Roman" w:eastAsia="Calibri" w:hAnsi="Times New Roman" w:cs="Times New Roman"/>
          <w:bCs/>
          <w:sz w:val="24"/>
          <w:szCs w:val="24"/>
        </w:rPr>
        <w:t xml:space="preserve"> months</w:t>
      </w:r>
      <w:r w:rsidR="00067F59">
        <w:rPr>
          <w:rFonts w:ascii="Times New Roman" w:eastAsia="Calibri" w:hAnsi="Times New Roman" w:cs="Times New Roman"/>
          <w:bCs/>
          <w:sz w:val="24"/>
          <w:szCs w:val="24"/>
        </w:rPr>
        <w:t xml:space="preserve">, </w:t>
      </w:r>
      <w:r w:rsidR="00A5576E" w:rsidRPr="00997397">
        <w:rPr>
          <w:rFonts w:ascii="Times New Roman" w:eastAsia="Calibri" w:hAnsi="Times New Roman" w:cs="Times New Roman"/>
          <w:bCs/>
          <w:sz w:val="24"/>
          <w:szCs w:val="24"/>
        </w:rPr>
        <w:t>the matter shall be referred to an arbitration panel (of five</w:t>
      </w:r>
      <w:r w:rsidR="00297164">
        <w:rPr>
          <w:rFonts w:ascii="Times New Roman" w:eastAsia="Calibri" w:hAnsi="Times New Roman" w:cs="Times New Roman"/>
          <w:bCs/>
          <w:sz w:val="24"/>
          <w:szCs w:val="24"/>
        </w:rPr>
        <w:t xml:space="preserve">: </w:t>
      </w:r>
      <w:r w:rsidR="00A5576E" w:rsidRPr="00997397">
        <w:rPr>
          <w:rFonts w:ascii="Times New Roman" w:eastAsia="Calibri" w:hAnsi="Times New Roman" w:cs="Times New Roman"/>
          <w:bCs/>
          <w:sz w:val="24"/>
          <w:szCs w:val="24"/>
        </w:rPr>
        <w:t>two from each side, plus an agreed chair</w:t>
      </w:r>
      <w:r w:rsidR="00D87732">
        <w:rPr>
          <w:rFonts w:ascii="Times New Roman" w:eastAsia="Calibri" w:hAnsi="Times New Roman" w:cs="Times New Roman"/>
          <w:bCs/>
          <w:sz w:val="24"/>
          <w:szCs w:val="24"/>
        </w:rPr>
        <w:t>).</w:t>
      </w:r>
      <w:r w:rsidR="00D87732">
        <w:rPr>
          <w:rStyle w:val="FootnoteReference"/>
          <w:rFonts w:ascii="Times New Roman" w:eastAsia="Calibri" w:hAnsi="Times New Roman" w:cs="Times New Roman"/>
          <w:bCs/>
          <w:sz w:val="24"/>
          <w:szCs w:val="24"/>
        </w:rPr>
        <w:footnoteReference w:id="22"/>
      </w:r>
      <w:r w:rsidR="00A5576E" w:rsidRPr="00997397">
        <w:rPr>
          <w:rFonts w:ascii="Times New Roman" w:eastAsia="Calibri" w:hAnsi="Times New Roman" w:cs="Times New Roman"/>
          <w:bCs/>
          <w:sz w:val="24"/>
          <w:szCs w:val="24"/>
        </w:rPr>
        <w:t xml:space="preserve"> </w:t>
      </w:r>
      <w:r w:rsidR="00A61F33">
        <w:rPr>
          <w:rFonts w:ascii="Times New Roman" w:eastAsia="Calibri" w:hAnsi="Times New Roman" w:cs="Times New Roman"/>
          <w:bCs/>
          <w:sz w:val="24"/>
          <w:szCs w:val="24"/>
        </w:rPr>
        <w:t xml:space="preserve">Where a dispute submitted to arbitration raises </w:t>
      </w:r>
      <w:r w:rsidR="003A55D9">
        <w:rPr>
          <w:rFonts w:ascii="Times New Roman" w:eastAsia="Calibri" w:hAnsi="Times New Roman" w:cs="Times New Roman"/>
          <w:bCs/>
          <w:sz w:val="24"/>
          <w:szCs w:val="24"/>
        </w:rPr>
        <w:t>a question of interpretation of EU law,</w:t>
      </w:r>
      <w:r w:rsidR="00DD5554">
        <w:rPr>
          <w:rFonts w:ascii="Times New Roman" w:eastAsia="Calibri" w:hAnsi="Times New Roman" w:cs="Times New Roman"/>
          <w:bCs/>
          <w:sz w:val="24"/>
          <w:szCs w:val="24"/>
        </w:rPr>
        <w:t xml:space="preserve"> </w:t>
      </w:r>
      <w:r w:rsidR="0064180B">
        <w:rPr>
          <w:rFonts w:ascii="Times New Roman" w:eastAsia="Calibri" w:hAnsi="Times New Roman" w:cs="Times New Roman"/>
          <w:bCs/>
          <w:sz w:val="24"/>
          <w:szCs w:val="24"/>
        </w:rPr>
        <w:t>a reference to EU law in the WA</w:t>
      </w:r>
      <w:r w:rsidR="000B19A8">
        <w:rPr>
          <w:rFonts w:ascii="Times New Roman" w:eastAsia="Calibri" w:hAnsi="Times New Roman" w:cs="Times New Roman"/>
          <w:bCs/>
          <w:sz w:val="24"/>
          <w:szCs w:val="24"/>
        </w:rPr>
        <w:t>,</w:t>
      </w:r>
      <w:r w:rsidR="0064180B">
        <w:rPr>
          <w:rFonts w:ascii="Times New Roman" w:eastAsia="Calibri" w:hAnsi="Times New Roman" w:cs="Times New Roman"/>
          <w:bCs/>
          <w:sz w:val="24"/>
          <w:szCs w:val="24"/>
        </w:rPr>
        <w:t xml:space="preserve"> or the UK</w:t>
      </w:r>
      <w:r w:rsidR="00E373C2">
        <w:rPr>
          <w:rFonts w:ascii="Times New Roman" w:eastAsia="Calibri" w:hAnsi="Times New Roman" w:cs="Times New Roman"/>
          <w:bCs/>
          <w:sz w:val="24"/>
          <w:szCs w:val="24"/>
        </w:rPr>
        <w:t xml:space="preserve">’s </w:t>
      </w:r>
      <w:r w:rsidR="00C344C9">
        <w:rPr>
          <w:rFonts w:ascii="Times New Roman" w:eastAsia="Calibri" w:hAnsi="Times New Roman" w:cs="Times New Roman"/>
          <w:bCs/>
          <w:sz w:val="24"/>
          <w:szCs w:val="24"/>
        </w:rPr>
        <w:t xml:space="preserve">failure to comply with </w:t>
      </w:r>
      <w:r w:rsidR="00724EBD">
        <w:rPr>
          <w:rFonts w:ascii="Times New Roman" w:eastAsia="Calibri" w:hAnsi="Times New Roman" w:cs="Times New Roman"/>
          <w:bCs/>
          <w:sz w:val="24"/>
          <w:szCs w:val="24"/>
        </w:rPr>
        <w:t>a CJEU judgment</w:t>
      </w:r>
      <w:r w:rsidR="00E90FEB">
        <w:rPr>
          <w:rFonts w:ascii="Times New Roman" w:eastAsia="Calibri" w:hAnsi="Times New Roman" w:cs="Times New Roman"/>
          <w:bCs/>
          <w:sz w:val="24"/>
          <w:szCs w:val="24"/>
        </w:rPr>
        <w:t xml:space="preserve"> </w:t>
      </w:r>
      <w:r w:rsidR="002B60BF">
        <w:rPr>
          <w:rFonts w:ascii="Times New Roman" w:eastAsia="Calibri" w:hAnsi="Times New Roman" w:cs="Times New Roman"/>
          <w:bCs/>
          <w:sz w:val="24"/>
          <w:szCs w:val="24"/>
        </w:rPr>
        <w:t xml:space="preserve">to which it is subject </w:t>
      </w:r>
      <w:r w:rsidR="00E90FEB">
        <w:rPr>
          <w:rFonts w:ascii="Times New Roman" w:eastAsia="Calibri" w:hAnsi="Times New Roman" w:cs="Times New Roman"/>
          <w:bCs/>
          <w:sz w:val="24"/>
          <w:szCs w:val="24"/>
        </w:rPr>
        <w:t>under the Treaties or the WA</w:t>
      </w:r>
      <w:r w:rsidR="00724EBD">
        <w:rPr>
          <w:rFonts w:ascii="Times New Roman" w:eastAsia="Calibri" w:hAnsi="Times New Roman" w:cs="Times New Roman"/>
          <w:bCs/>
          <w:sz w:val="24"/>
          <w:szCs w:val="24"/>
        </w:rPr>
        <w:t>,</w:t>
      </w:r>
      <w:r w:rsidR="0064180B">
        <w:rPr>
          <w:rFonts w:ascii="Times New Roman" w:eastAsia="Calibri" w:hAnsi="Times New Roman" w:cs="Times New Roman"/>
          <w:bCs/>
          <w:sz w:val="24"/>
          <w:szCs w:val="24"/>
        </w:rPr>
        <w:t xml:space="preserve"> </w:t>
      </w:r>
      <w:r w:rsidR="00DD5554">
        <w:rPr>
          <w:rFonts w:ascii="Times New Roman" w:eastAsia="Calibri" w:hAnsi="Times New Roman" w:cs="Times New Roman"/>
          <w:bCs/>
          <w:sz w:val="24"/>
          <w:szCs w:val="24"/>
        </w:rPr>
        <w:t>the arbitration panel must request a ruling from the CJEU.</w:t>
      </w:r>
      <w:r w:rsidR="008A5035">
        <w:rPr>
          <w:rFonts w:ascii="Times New Roman" w:eastAsia="Calibri" w:hAnsi="Times New Roman" w:cs="Times New Roman"/>
          <w:bCs/>
          <w:sz w:val="24"/>
          <w:szCs w:val="24"/>
        </w:rPr>
        <w:t xml:space="preserve"> The CJEU’s ruling is then binding on the arbitral panel.</w:t>
      </w:r>
      <w:r w:rsidR="003A55D9">
        <w:rPr>
          <w:rFonts w:ascii="Times New Roman" w:eastAsia="Calibri" w:hAnsi="Times New Roman" w:cs="Times New Roman"/>
          <w:bCs/>
          <w:sz w:val="24"/>
          <w:szCs w:val="24"/>
        </w:rPr>
        <w:t xml:space="preserve"> </w:t>
      </w:r>
      <w:r w:rsidR="000C786D">
        <w:rPr>
          <w:rFonts w:ascii="Times New Roman" w:eastAsia="Calibri" w:hAnsi="Times New Roman" w:cs="Times New Roman"/>
          <w:bCs/>
          <w:sz w:val="24"/>
          <w:szCs w:val="24"/>
        </w:rPr>
        <w:t>.</w:t>
      </w:r>
      <w:r w:rsidR="000C786D">
        <w:rPr>
          <w:rStyle w:val="FootnoteReference"/>
          <w:rFonts w:ascii="Times New Roman" w:eastAsia="Calibri" w:hAnsi="Times New Roman" w:cs="Times New Roman"/>
          <w:bCs/>
          <w:sz w:val="24"/>
          <w:szCs w:val="24"/>
        </w:rPr>
        <w:footnoteReference w:id="23"/>
      </w:r>
      <w:r w:rsidR="00A5576E" w:rsidRPr="00997397">
        <w:rPr>
          <w:rFonts w:ascii="Times New Roman" w:eastAsia="Calibri" w:hAnsi="Times New Roman" w:cs="Times New Roman"/>
          <w:bCs/>
          <w:sz w:val="24"/>
          <w:szCs w:val="24"/>
        </w:rPr>
        <w:t xml:space="preserve"> </w:t>
      </w:r>
      <w:r w:rsidR="00A5576E" w:rsidRPr="00997397">
        <w:rPr>
          <w:rFonts w:ascii="Times New Roman" w:eastAsia="Calibri" w:hAnsi="Times New Roman" w:cs="Times New Roman"/>
          <w:bCs/>
          <w:iCs/>
          <w:sz w:val="24"/>
          <w:szCs w:val="24"/>
        </w:rPr>
        <w:t>Th</w:t>
      </w:r>
      <w:r w:rsidR="00712623">
        <w:rPr>
          <w:rFonts w:ascii="Times New Roman" w:eastAsia="Calibri" w:hAnsi="Times New Roman" w:cs="Times New Roman"/>
          <w:bCs/>
          <w:iCs/>
          <w:sz w:val="24"/>
          <w:szCs w:val="24"/>
        </w:rPr>
        <w:t xml:space="preserve">is </w:t>
      </w:r>
      <w:r w:rsidR="00A5576E" w:rsidRPr="00997397">
        <w:rPr>
          <w:rFonts w:ascii="Times New Roman" w:eastAsia="Calibri" w:hAnsi="Times New Roman" w:cs="Times New Roman"/>
          <w:bCs/>
          <w:iCs/>
          <w:sz w:val="24"/>
          <w:szCs w:val="24"/>
        </w:rPr>
        <w:t xml:space="preserve">arbitration procedure reflects the </w:t>
      </w:r>
      <w:r w:rsidR="00712623">
        <w:rPr>
          <w:rFonts w:ascii="Times New Roman" w:eastAsia="Calibri" w:hAnsi="Times New Roman" w:cs="Times New Roman"/>
          <w:bCs/>
          <w:iCs/>
          <w:sz w:val="24"/>
          <w:szCs w:val="24"/>
        </w:rPr>
        <w:t xml:space="preserve">balance between the </w:t>
      </w:r>
      <w:r w:rsidR="00A5576E" w:rsidRPr="00997397">
        <w:rPr>
          <w:rFonts w:ascii="Times New Roman" w:eastAsia="Calibri" w:hAnsi="Times New Roman" w:cs="Times New Roman"/>
          <w:bCs/>
          <w:iCs/>
          <w:sz w:val="24"/>
          <w:szCs w:val="24"/>
        </w:rPr>
        <w:t>EU</w:t>
      </w:r>
      <w:r w:rsidR="00712623">
        <w:rPr>
          <w:rFonts w:ascii="Times New Roman" w:eastAsia="Calibri" w:hAnsi="Times New Roman" w:cs="Times New Roman"/>
          <w:bCs/>
          <w:iCs/>
          <w:sz w:val="24"/>
          <w:szCs w:val="24"/>
        </w:rPr>
        <w:t>’s</w:t>
      </w:r>
      <w:r w:rsidR="00A5576E" w:rsidRPr="00997397">
        <w:rPr>
          <w:rFonts w:ascii="Times New Roman" w:eastAsia="Calibri" w:hAnsi="Times New Roman" w:cs="Times New Roman"/>
          <w:bCs/>
          <w:iCs/>
          <w:sz w:val="24"/>
          <w:szCs w:val="24"/>
        </w:rPr>
        <w:t xml:space="preserve"> imperative to protect the autonomy of EU law</w:t>
      </w:r>
      <w:r w:rsidR="00A5576E" w:rsidRPr="00997397">
        <w:rPr>
          <w:rStyle w:val="FootnoteReference"/>
          <w:rFonts w:ascii="Times New Roman" w:eastAsia="Calibri" w:hAnsi="Times New Roman" w:cs="Times New Roman"/>
          <w:bCs/>
          <w:iCs/>
          <w:sz w:val="24"/>
          <w:szCs w:val="24"/>
        </w:rPr>
        <w:footnoteReference w:id="24"/>
      </w:r>
      <w:r w:rsidR="00A5576E" w:rsidRPr="00997397">
        <w:rPr>
          <w:rFonts w:ascii="Times New Roman" w:eastAsia="Calibri" w:hAnsi="Times New Roman" w:cs="Times New Roman"/>
          <w:bCs/>
          <w:iCs/>
          <w:sz w:val="24"/>
          <w:szCs w:val="24"/>
        </w:rPr>
        <w:t xml:space="preserve"> and the UK’s wish to end CJEU jurisdiction </w:t>
      </w:r>
      <w:r w:rsidR="002B60BF">
        <w:rPr>
          <w:rFonts w:ascii="Times New Roman" w:eastAsia="Calibri" w:hAnsi="Times New Roman" w:cs="Times New Roman"/>
          <w:bCs/>
          <w:iCs/>
          <w:sz w:val="24"/>
          <w:szCs w:val="24"/>
        </w:rPr>
        <w:t>within</w:t>
      </w:r>
      <w:r w:rsidR="00A5576E" w:rsidRPr="00997397">
        <w:rPr>
          <w:rFonts w:ascii="Times New Roman" w:eastAsia="Calibri" w:hAnsi="Times New Roman" w:cs="Times New Roman"/>
          <w:bCs/>
          <w:iCs/>
          <w:sz w:val="24"/>
          <w:szCs w:val="24"/>
        </w:rPr>
        <w:t xml:space="preserve"> the UK. </w:t>
      </w:r>
      <w:r w:rsidR="00A5576E" w:rsidRPr="00997397">
        <w:rPr>
          <w:rFonts w:ascii="Times New Roman" w:eastAsia="Calibri" w:hAnsi="Times New Roman" w:cs="Times New Roman"/>
          <w:bCs/>
          <w:sz w:val="24"/>
          <w:szCs w:val="24"/>
        </w:rPr>
        <w:t>Compliance with the arbitration panel’s ruling is required within a reasonable period</w:t>
      </w:r>
      <w:r w:rsidR="00712623">
        <w:rPr>
          <w:rFonts w:ascii="Times New Roman" w:eastAsia="Calibri" w:hAnsi="Times New Roman" w:cs="Times New Roman"/>
          <w:bCs/>
          <w:sz w:val="24"/>
          <w:szCs w:val="24"/>
        </w:rPr>
        <w:t>.</w:t>
      </w:r>
      <w:r w:rsidR="00712623">
        <w:rPr>
          <w:rStyle w:val="FootnoteReference"/>
          <w:rFonts w:ascii="Times New Roman" w:eastAsia="Calibri" w:hAnsi="Times New Roman" w:cs="Times New Roman"/>
          <w:bCs/>
          <w:sz w:val="24"/>
          <w:szCs w:val="24"/>
        </w:rPr>
        <w:footnoteReference w:id="25"/>
      </w:r>
      <w:r w:rsidR="00A5576E" w:rsidRPr="00997397">
        <w:rPr>
          <w:rFonts w:ascii="Times New Roman" w:eastAsia="Calibri" w:hAnsi="Times New Roman" w:cs="Times New Roman"/>
          <w:bCs/>
          <w:sz w:val="24"/>
          <w:szCs w:val="24"/>
        </w:rPr>
        <w:t xml:space="preserve"> If this does not happen there is a lump sum or periodic penalty payment, and a further 6 months to comply. As a last resort the agreement can be proportionately suspended in full or part (except Part II on </w:t>
      </w:r>
      <w:r w:rsidR="00F23276">
        <w:rPr>
          <w:rFonts w:ascii="Times New Roman" w:eastAsia="Calibri" w:hAnsi="Times New Roman" w:cs="Times New Roman"/>
          <w:bCs/>
          <w:sz w:val="24"/>
          <w:szCs w:val="24"/>
        </w:rPr>
        <w:t>c</w:t>
      </w:r>
      <w:r w:rsidR="00A5576E" w:rsidRPr="00997397">
        <w:rPr>
          <w:rFonts w:ascii="Times New Roman" w:eastAsia="Calibri" w:hAnsi="Times New Roman" w:cs="Times New Roman"/>
          <w:bCs/>
          <w:sz w:val="24"/>
          <w:szCs w:val="24"/>
        </w:rPr>
        <w:t xml:space="preserve">itizens’ </w:t>
      </w:r>
      <w:r w:rsidR="00F23276">
        <w:rPr>
          <w:rFonts w:ascii="Times New Roman" w:eastAsia="Calibri" w:hAnsi="Times New Roman" w:cs="Times New Roman"/>
          <w:bCs/>
          <w:sz w:val="24"/>
          <w:szCs w:val="24"/>
        </w:rPr>
        <w:t>r</w:t>
      </w:r>
      <w:r w:rsidR="00A5576E" w:rsidRPr="00997397">
        <w:rPr>
          <w:rFonts w:ascii="Times New Roman" w:eastAsia="Calibri" w:hAnsi="Times New Roman" w:cs="Times New Roman"/>
          <w:bCs/>
          <w:sz w:val="24"/>
          <w:szCs w:val="24"/>
        </w:rPr>
        <w:t>ights) as a retaliation mechanism</w:t>
      </w:r>
      <w:r w:rsidR="00F23276">
        <w:rPr>
          <w:rFonts w:ascii="Times New Roman" w:eastAsia="Calibri" w:hAnsi="Times New Roman" w:cs="Times New Roman"/>
          <w:bCs/>
          <w:sz w:val="24"/>
          <w:szCs w:val="24"/>
        </w:rPr>
        <w:t>.</w:t>
      </w:r>
      <w:r w:rsidR="00F23276">
        <w:rPr>
          <w:rStyle w:val="FootnoteReference"/>
          <w:rFonts w:ascii="Times New Roman" w:eastAsia="Calibri" w:hAnsi="Times New Roman" w:cs="Times New Roman"/>
          <w:bCs/>
          <w:sz w:val="24"/>
          <w:szCs w:val="24"/>
        </w:rPr>
        <w:footnoteReference w:id="26"/>
      </w:r>
    </w:p>
    <w:p w14:paraId="638F4793" w14:textId="77777777" w:rsidR="00A5576E" w:rsidRPr="00997397" w:rsidRDefault="00A5576E" w:rsidP="00A5576E">
      <w:pPr>
        <w:tabs>
          <w:tab w:val="center" w:pos="4513"/>
        </w:tabs>
        <w:spacing w:after="0" w:line="240" w:lineRule="auto"/>
        <w:rPr>
          <w:rFonts w:ascii="Times New Roman" w:eastAsia="Calibri" w:hAnsi="Times New Roman" w:cs="Times New Roman"/>
          <w:bCs/>
          <w:sz w:val="24"/>
          <w:szCs w:val="24"/>
        </w:rPr>
      </w:pPr>
    </w:p>
    <w:p w14:paraId="6EB95759" w14:textId="049BAEB2" w:rsidR="004D5131" w:rsidRDefault="00431C28" w:rsidP="00730B26">
      <w:pPr>
        <w:spacing w:after="0" w:line="240" w:lineRule="auto"/>
        <w:rPr>
          <w:rFonts w:ascii="Times New Roman" w:hAnsi="Times New Roman" w:cs="Times New Roman"/>
          <w:iCs/>
          <w:sz w:val="24"/>
          <w:szCs w:val="24"/>
        </w:rPr>
      </w:pPr>
      <w:r w:rsidRPr="00997397">
        <w:rPr>
          <w:rFonts w:ascii="Times New Roman" w:hAnsi="Times New Roman" w:cs="Times New Roman"/>
          <w:sz w:val="24"/>
          <w:szCs w:val="24"/>
        </w:rPr>
        <w:t xml:space="preserve">Although the </w:t>
      </w:r>
      <w:r w:rsidR="00A758DB">
        <w:rPr>
          <w:rFonts w:ascii="Times New Roman" w:hAnsi="Times New Roman" w:cs="Times New Roman"/>
          <w:sz w:val="24"/>
          <w:szCs w:val="24"/>
        </w:rPr>
        <w:t>WA</w:t>
      </w:r>
      <w:r w:rsidRPr="00997397">
        <w:rPr>
          <w:rFonts w:ascii="Times New Roman" w:hAnsi="Times New Roman" w:cs="Times New Roman"/>
          <w:sz w:val="24"/>
          <w:szCs w:val="24"/>
        </w:rPr>
        <w:t xml:space="preserve"> is said to deal with separation and ‘divorce’ only, it is less clear cut than that</w:t>
      </w:r>
      <w:r w:rsidR="00A758DB">
        <w:rPr>
          <w:rFonts w:ascii="Times New Roman" w:hAnsi="Times New Roman" w:cs="Times New Roman"/>
          <w:sz w:val="24"/>
          <w:szCs w:val="24"/>
        </w:rPr>
        <w:t>:</w:t>
      </w:r>
      <w:r w:rsidRPr="00997397">
        <w:rPr>
          <w:rFonts w:ascii="Times New Roman" w:hAnsi="Times New Roman" w:cs="Times New Roman"/>
          <w:sz w:val="24"/>
          <w:szCs w:val="24"/>
        </w:rPr>
        <w:t xml:space="preserve"> </w:t>
      </w:r>
      <w:r w:rsidR="00A758DB" w:rsidRPr="00997397">
        <w:rPr>
          <w:rFonts w:ascii="Times New Roman" w:hAnsi="Times New Roman" w:cs="Times New Roman"/>
          <w:sz w:val="24"/>
          <w:szCs w:val="24"/>
        </w:rPr>
        <w:t xml:space="preserve">provisions in the </w:t>
      </w:r>
      <w:r w:rsidR="00A758DB">
        <w:rPr>
          <w:rFonts w:ascii="Times New Roman" w:hAnsi="Times New Roman" w:cs="Times New Roman"/>
          <w:sz w:val="24"/>
          <w:szCs w:val="24"/>
        </w:rPr>
        <w:t xml:space="preserve">WA and PD </w:t>
      </w:r>
      <w:r w:rsidR="00A758DB" w:rsidRPr="00997397">
        <w:rPr>
          <w:rFonts w:ascii="Times New Roman" w:hAnsi="Times New Roman" w:cs="Times New Roman"/>
          <w:sz w:val="24"/>
          <w:szCs w:val="24"/>
        </w:rPr>
        <w:t xml:space="preserve">set the scene for the future relationship. </w:t>
      </w:r>
      <w:r w:rsidR="00592500">
        <w:rPr>
          <w:rFonts w:ascii="Times New Roman" w:hAnsi="Times New Roman" w:cs="Times New Roman"/>
          <w:sz w:val="24"/>
          <w:szCs w:val="24"/>
        </w:rPr>
        <w:t>Most obviously, as set out in the N</w:t>
      </w:r>
      <w:r w:rsidR="007F7A63">
        <w:rPr>
          <w:rFonts w:ascii="Times New Roman" w:hAnsi="Times New Roman" w:cs="Times New Roman"/>
          <w:sz w:val="24"/>
          <w:szCs w:val="24"/>
        </w:rPr>
        <w:t xml:space="preserve">orthern </w:t>
      </w:r>
      <w:r w:rsidR="00592500">
        <w:rPr>
          <w:rFonts w:ascii="Times New Roman" w:hAnsi="Times New Roman" w:cs="Times New Roman"/>
          <w:sz w:val="24"/>
          <w:szCs w:val="24"/>
        </w:rPr>
        <w:t>I</w:t>
      </w:r>
      <w:r w:rsidR="007F7A63">
        <w:rPr>
          <w:rFonts w:ascii="Times New Roman" w:hAnsi="Times New Roman" w:cs="Times New Roman"/>
          <w:sz w:val="24"/>
          <w:szCs w:val="24"/>
        </w:rPr>
        <w:t>reland (NI)</w:t>
      </w:r>
      <w:r w:rsidR="00592500">
        <w:rPr>
          <w:rFonts w:ascii="Times New Roman" w:hAnsi="Times New Roman" w:cs="Times New Roman"/>
          <w:sz w:val="24"/>
          <w:szCs w:val="24"/>
        </w:rPr>
        <w:t xml:space="preserve"> Protocol, </w:t>
      </w:r>
      <w:r w:rsidR="007F7A63">
        <w:rPr>
          <w:rFonts w:ascii="Times New Roman" w:eastAsia="Calibri" w:hAnsi="Times New Roman" w:cs="Times New Roman"/>
          <w:bCs/>
          <w:sz w:val="24"/>
          <w:szCs w:val="24"/>
        </w:rPr>
        <w:t xml:space="preserve">NI </w:t>
      </w:r>
      <w:r w:rsidR="007F7A63" w:rsidRPr="00997397">
        <w:rPr>
          <w:rFonts w:ascii="Times New Roman" w:eastAsia="Calibri" w:hAnsi="Times New Roman" w:cs="Times New Roman"/>
          <w:bCs/>
          <w:sz w:val="24"/>
          <w:szCs w:val="24"/>
        </w:rPr>
        <w:t>will continue to follow EU rules in customs and in</w:t>
      </w:r>
      <w:r w:rsidR="007F7A63">
        <w:rPr>
          <w:rFonts w:ascii="Times New Roman" w:eastAsia="Calibri" w:hAnsi="Times New Roman" w:cs="Times New Roman"/>
          <w:bCs/>
          <w:sz w:val="24"/>
          <w:szCs w:val="24"/>
        </w:rPr>
        <w:t xml:space="preserve"> </w:t>
      </w:r>
      <w:r w:rsidR="007F7A63" w:rsidRPr="00997397">
        <w:rPr>
          <w:rFonts w:ascii="Times New Roman" w:eastAsia="Calibri" w:hAnsi="Times New Roman" w:cs="Times New Roman"/>
          <w:bCs/>
          <w:sz w:val="24"/>
          <w:szCs w:val="24"/>
        </w:rPr>
        <w:t xml:space="preserve">areas of the single market necessary to avoid a hard border on the island of Ireland. </w:t>
      </w:r>
      <w:r w:rsidR="008C68A0">
        <w:rPr>
          <w:rFonts w:ascii="Times New Roman" w:eastAsia="Calibri" w:hAnsi="Times New Roman" w:cs="Times New Roman"/>
          <w:bCs/>
          <w:sz w:val="24"/>
          <w:szCs w:val="24"/>
        </w:rPr>
        <w:t>A</w:t>
      </w:r>
      <w:r w:rsidR="008C68A0" w:rsidRPr="00997397">
        <w:rPr>
          <w:rFonts w:ascii="Times New Roman" w:eastAsia="Calibri" w:hAnsi="Times New Roman" w:cs="Times New Roman"/>
          <w:bCs/>
          <w:sz w:val="24"/>
          <w:szCs w:val="24"/>
        </w:rPr>
        <w:t xml:space="preserve">ffecting </w:t>
      </w:r>
      <w:r w:rsidR="008C68A0">
        <w:rPr>
          <w:rFonts w:ascii="Times New Roman" w:eastAsia="Calibri" w:hAnsi="Times New Roman" w:cs="Times New Roman"/>
          <w:bCs/>
          <w:sz w:val="24"/>
          <w:szCs w:val="24"/>
        </w:rPr>
        <w:t xml:space="preserve">the </w:t>
      </w:r>
      <w:r w:rsidR="008C68A0" w:rsidRPr="00997397">
        <w:rPr>
          <w:rFonts w:ascii="Times New Roman" w:eastAsia="Calibri" w:hAnsi="Times New Roman" w:cs="Times New Roman"/>
          <w:bCs/>
          <w:sz w:val="24"/>
          <w:szCs w:val="24"/>
        </w:rPr>
        <w:t xml:space="preserve">whole of </w:t>
      </w:r>
      <w:r w:rsidR="008C68A0">
        <w:rPr>
          <w:rFonts w:ascii="Times New Roman" w:eastAsia="Calibri" w:hAnsi="Times New Roman" w:cs="Times New Roman"/>
          <w:bCs/>
          <w:sz w:val="24"/>
          <w:szCs w:val="24"/>
        </w:rPr>
        <w:t xml:space="preserve">the </w:t>
      </w:r>
      <w:r w:rsidR="008C68A0" w:rsidRPr="00997397">
        <w:rPr>
          <w:rFonts w:ascii="Times New Roman" w:eastAsia="Calibri" w:hAnsi="Times New Roman" w:cs="Times New Roman"/>
          <w:bCs/>
          <w:sz w:val="24"/>
          <w:szCs w:val="24"/>
        </w:rPr>
        <w:t>UK</w:t>
      </w:r>
      <w:r w:rsidR="008C68A0">
        <w:rPr>
          <w:rFonts w:ascii="Times New Roman" w:eastAsia="Calibri" w:hAnsi="Times New Roman" w:cs="Times New Roman"/>
          <w:bCs/>
          <w:sz w:val="24"/>
          <w:szCs w:val="24"/>
        </w:rPr>
        <w:t xml:space="preserve">, </w:t>
      </w:r>
      <w:r w:rsidR="002C0E98">
        <w:rPr>
          <w:rFonts w:ascii="Times New Roman" w:eastAsia="Calibri" w:hAnsi="Times New Roman" w:cs="Times New Roman"/>
          <w:bCs/>
          <w:sz w:val="24"/>
          <w:szCs w:val="24"/>
        </w:rPr>
        <w:t>b</w:t>
      </w:r>
      <w:r w:rsidRPr="00997397">
        <w:rPr>
          <w:rFonts w:ascii="Times New Roman" w:hAnsi="Times New Roman" w:cs="Times New Roman"/>
          <w:sz w:val="24"/>
          <w:szCs w:val="24"/>
        </w:rPr>
        <w:t xml:space="preserve">eyond the transition period’s “alignment without </w:t>
      </w:r>
      <w:r w:rsidRPr="00997397">
        <w:rPr>
          <w:rFonts w:ascii="Times New Roman" w:hAnsi="Times New Roman" w:cs="Times New Roman"/>
          <w:sz w:val="24"/>
          <w:szCs w:val="24"/>
        </w:rPr>
        <w:lastRenderedPageBreak/>
        <w:t>membership”,</w:t>
      </w:r>
      <w:r w:rsidRPr="00997397">
        <w:rPr>
          <w:rStyle w:val="FootnoteReference"/>
          <w:rFonts w:ascii="Times New Roman" w:hAnsi="Times New Roman" w:cs="Times New Roman"/>
          <w:sz w:val="24"/>
          <w:szCs w:val="24"/>
        </w:rPr>
        <w:footnoteReference w:id="27"/>
      </w:r>
      <w:r w:rsidRPr="00997397">
        <w:rPr>
          <w:rFonts w:ascii="Times New Roman" w:hAnsi="Times New Roman" w:cs="Times New Roman"/>
          <w:sz w:val="24"/>
          <w:szCs w:val="24"/>
        </w:rPr>
        <w:t xml:space="preserve"> several </w:t>
      </w:r>
      <w:r w:rsidR="00EE4C2E">
        <w:rPr>
          <w:rFonts w:ascii="Times New Roman" w:hAnsi="Times New Roman" w:cs="Times New Roman"/>
          <w:sz w:val="24"/>
          <w:szCs w:val="24"/>
        </w:rPr>
        <w:t xml:space="preserve">temporal </w:t>
      </w:r>
      <w:r w:rsidRPr="00997397">
        <w:rPr>
          <w:rFonts w:ascii="Times New Roman" w:hAnsi="Times New Roman" w:cs="Times New Roman"/>
          <w:sz w:val="24"/>
          <w:szCs w:val="24"/>
        </w:rPr>
        <w:t xml:space="preserve">provisions </w:t>
      </w:r>
      <w:r w:rsidR="007B7576">
        <w:rPr>
          <w:rFonts w:ascii="Times New Roman" w:hAnsi="Times New Roman" w:cs="Times New Roman"/>
          <w:sz w:val="24"/>
          <w:szCs w:val="24"/>
        </w:rPr>
        <w:t>refer to</w:t>
      </w:r>
      <w:r w:rsidRPr="00997397">
        <w:rPr>
          <w:rFonts w:ascii="Times New Roman" w:hAnsi="Times New Roman" w:cs="Times New Roman"/>
          <w:sz w:val="24"/>
          <w:szCs w:val="24"/>
        </w:rPr>
        <w:t xml:space="preserve"> circumstances </w:t>
      </w:r>
      <w:r w:rsidR="007B7576">
        <w:rPr>
          <w:rFonts w:ascii="Times New Roman" w:hAnsi="Times New Roman" w:cs="Times New Roman"/>
          <w:sz w:val="24"/>
          <w:szCs w:val="24"/>
        </w:rPr>
        <w:t xml:space="preserve">arising </w:t>
      </w:r>
      <w:r w:rsidRPr="00997397">
        <w:rPr>
          <w:rFonts w:ascii="Times New Roman" w:hAnsi="Times New Roman" w:cs="Times New Roman"/>
          <w:sz w:val="24"/>
          <w:szCs w:val="24"/>
        </w:rPr>
        <w:t>before the end of the transition period</w:t>
      </w:r>
      <w:r w:rsidR="00751436">
        <w:rPr>
          <w:rFonts w:ascii="Times New Roman" w:hAnsi="Times New Roman" w:cs="Times New Roman"/>
          <w:sz w:val="24"/>
          <w:szCs w:val="24"/>
        </w:rPr>
        <w:t xml:space="preserve">, </w:t>
      </w:r>
      <w:r w:rsidRPr="00997397">
        <w:rPr>
          <w:rFonts w:ascii="Times New Roman" w:hAnsi="Times New Roman" w:cs="Times New Roman"/>
          <w:sz w:val="24"/>
          <w:szCs w:val="24"/>
        </w:rPr>
        <w:t>and therefore aim to maintain convergence in the short-term</w:t>
      </w:r>
      <w:r w:rsidR="00694A65">
        <w:rPr>
          <w:rFonts w:ascii="Times New Roman" w:hAnsi="Times New Roman" w:cs="Times New Roman"/>
          <w:sz w:val="24"/>
          <w:szCs w:val="24"/>
        </w:rPr>
        <w:t xml:space="preserve">. </w:t>
      </w:r>
      <w:r w:rsidR="00C6715F" w:rsidRPr="00997397">
        <w:rPr>
          <w:rFonts w:ascii="Times New Roman" w:hAnsi="Times New Roman" w:cs="Times New Roman"/>
          <w:iCs/>
          <w:sz w:val="24"/>
          <w:szCs w:val="24"/>
        </w:rPr>
        <w:t xml:space="preserve">The clearest example is that of CJEU jurisdiction over citizens’ rights until </w:t>
      </w:r>
      <w:r w:rsidR="00AE4F54">
        <w:rPr>
          <w:rFonts w:ascii="Times New Roman" w:hAnsi="Times New Roman" w:cs="Times New Roman"/>
          <w:iCs/>
          <w:sz w:val="24"/>
          <w:szCs w:val="24"/>
        </w:rPr>
        <w:t>eight</w:t>
      </w:r>
      <w:r w:rsidR="00C6715F" w:rsidRPr="00997397">
        <w:rPr>
          <w:rFonts w:ascii="Times New Roman" w:hAnsi="Times New Roman" w:cs="Times New Roman"/>
          <w:iCs/>
          <w:sz w:val="24"/>
          <w:szCs w:val="24"/>
        </w:rPr>
        <w:t xml:space="preserve"> years after the end of transition</w:t>
      </w:r>
      <w:r w:rsidR="003A133A">
        <w:rPr>
          <w:rStyle w:val="FootnoteReference"/>
          <w:rFonts w:ascii="Times New Roman" w:hAnsi="Times New Roman" w:cs="Times New Roman"/>
          <w:iCs/>
          <w:sz w:val="24"/>
          <w:szCs w:val="24"/>
        </w:rPr>
        <w:footnoteReference w:id="28"/>
      </w:r>
      <w:r w:rsidR="00C6715F" w:rsidRPr="00997397">
        <w:rPr>
          <w:rFonts w:ascii="Times New Roman" w:hAnsi="Times New Roman" w:cs="Times New Roman"/>
          <w:iCs/>
          <w:sz w:val="24"/>
          <w:szCs w:val="24"/>
        </w:rPr>
        <w:t xml:space="preserve"> and the establishment of the Independent Monitoring Authority on Citizens’ Rights</w:t>
      </w:r>
      <w:r w:rsidR="003A133A">
        <w:rPr>
          <w:rFonts w:ascii="Times New Roman" w:hAnsi="Times New Roman" w:cs="Times New Roman"/>
          <w:iCs/>
          <w:sz w:val="24"/>
          <w:szCs w:val="24"/>
        </w:rPr>
        <w:t xml:space="preserve"> in the UK</w:t>
      </w:r>
      <w:r w:rsidR="00C6715F" w:rsidRPr="00997397">
        <w:rPr>
          <w:rFonts w:ascii="Times New Roman" w:hAnsi="Times New Roman" w:cs="Times New Roman"/>
          <w:iCs/>
          <w:sz w:val="24"/>
          <w:szCs w:val="24"/>
        </w:rPr>
        <w:t>.</w:t>
      </w:r>
      <w:r w:rsidR="00C6715F" w:rsidRPr="00997397">
        <w:rPr>
          <w:rStyle w:val="FootnoteReference"/>
          <w:rFonts w:ascii="Times New Roman" w:hAnsi="Times New Roman" w:cs="Times New Roman"/>
          <w:iCs/>
          <w:sz w:val="24"/>
          <w:szCs w:val="24"/>
        </w:rPr>
        <w:footnoteReference w:id="29"/>
      </w:r>
      <w:r w:rsidR="00C6715F" w:rsidRPr="00997397">
        <w:rPr>
          <w:rFonts w:ascii="Times New Roman" w:hAnsi="Times New Roman" w:cs="Times New Roman"/>
          <w:iCs/>
          <w:sz w:val="24"/>
          <w:szCs w:val="24"/>
        </w:rPr>
        <w:t xml:space="preserve"> </w:t>
      </w:r>
      <w:r w:rsidR="00794435" w:rsidRPr="00997397">
        <w:rPr>
          <w:rFonts w:ascii="Times New Roman" w:hAnsi="Times New Roman" w:cs="Times New Roman"/>
          <w:iCs/>
          <w:sz w:val="24"/>
          <w:szCs w:val="24"/>
        </w:rPr>
        <w:t xml:space="preserve">Relating more directly to trade, </w:t>
      </w:r>
      <w:r w:rsidR="00B92AA5">
        <w:rPr>
          <w:rFonts w:ascii="Times New Roman" w:hAnsi="Times New Roman" w:cs="Times New Roman"/>
          <w:iCs/>
          <w:sz w:val="24"/>
          <w:szCs w:val="24"/>
        </w:rPr>
        <w:t>t</w:t>
      </w:r>
      <w:r w:rsidR="00B3107D" w:rsidRPr="00997397">
        <w:rPr>
          <w:rFonts w:ascii="Times New Roman" w:hAnsi="Times New Roman" w:cs="Times New Roman"/>
          <w:iCs/>
          <w:sz w:val="24"/>
          <w:szCs w:val="24"/>
        </w:rPr>
        <w:t>here is a general provision regarding administrative cooperation procedures</w:t>
      </w:r>
      <w:r w:rsidR="00B3107D">
        <w:rPr>
          <w:rFonts w:ascii="Times New Roman" w:hAnsi="Times New Roman" w:cs="Times New Roman"/>
          <w:iCs/>
          <w:sz w:val="24"/>
          <w:szCs w:val="24"/>
        </w:rPr>
        <w:t>.</w:t>
      </w:r>
      <w:r w:rsidR="00B3107D">
        <w:rPr>
          <w:rStyle w:val="FootnoteReference"/>
          <w:rFonts w:ascii="Times New Roman" w:hAnsi="Times New Roman" w:cs="Times New Roman"/>
          <w:iCs/>
          <w:sz w:val="24"/>
          <w:szCs w:val="24"/>
        </w:rPr>
        <w:footnoteReference w:id="30"/>
      </w:r>
      <w:r w:rsidR="00B3107D" w:rsidRPr="00997397">
        <w:rPr>
          <w:rFonts w:ascii="Times New Roman" w:hAnsi="Times New Roman" w:cs="Times New Roman"/>
          <w:iCs/>
          <w:sz w:val="24"/>
          <w:szCs w:val="24"/>
        </w:rPr>
        <w:t xml:space="preserve">  </w:t>
      </w:r>
      <w:r w:rsidR="00B3107D">
        <w:rPr>
          <w:rFonts w:ascii="Times New Roman" w:hAnsi="Times New Roman" w:cs="Times New Roman"/>
          <w:iCs/>
          <w:sz w:val="24"/>
          <w:szCs w:val="24"/>
        </w:rPr>
        <w:t xml:space="preserve">For </w:t>
      </w:r>
      <w:r w:rsidR="00B3107D" w:rsidRPr="00997397">
        <w:rPr>
          <w:rFonts w:ascii="Times New Roman" w:hAnsi="Times New Roman" w:cs="Times New Roman"/>
          <w:iCs/>
          <w:sz w:val="24"/>
          <w:szCs w:val="24"/>
        </w:rPr>
        <w:t xml:space="preserve">public procurement </w:t>
      </w:r>
      <w:r w:rsidR="00B3107D">
        <w:rPr>
          <w:rFonts w:ascii="Times New Roman" w:hAnsi="Times New Roman" w:cs="Times New Roman"/>
          <w:iCs/>
          <w:sz w:val="24"/>
          <w:szCs w:val="24"/>
        </w:rPr>
        <w:t xml:space="preserve">the relevant </w:t>
      </w:r>
      <w:r w:rsidR="00EE4C2E">
        <w:rPr>
          <w:rFonts w:ascii="Times New Roman" w:hAnsi="Times New Roman" w:cs="Times New Roman"/>
          <w:iCs/>
          <w:sz w:val="24"/>
          <w:szCs w:val="24"/>
        </w:rPr>
        <w:t xml:space="preserve">EU legislation </w:t>
      </w:r>
      <w:r w:rsidR="00B3107D" w:rsidRPr="00997397">
        <w:rPr>
          <w:rFonts w:ascii="Times New Roman" w:hAnsi="Times New Roman" w:cs="Times New Roman"/>
          <w:iCs/>
          <w:sz w:val="24"/>
          <w:szCs w:val="24"/>
        </w:rPr>
        <w:t>will continue to apply for procedures launched by UK authorities for up to nine months</w:t>
      </w:r>
      <w:r w:rsidR="00EE4C2E">
        <w:rPr>
          <w:rFonts w:ascii="Times New Roman" w:hAnsi="Times New Roman" w:cs="Times New Roman"/>
          <w:iCs/>
          <w:sz w:val="24"/>
          <w:szCs w:val="24"/>
        </w:rPr>
        <w:t>.</w:t>
      </w:r>
      <w:r w:rsidR="00EE4C2E">
        <w:rPr>
          <w:rStyle w:val="FootnoteReference"/>
          <w:rFonts w:ascii="Times New Roman" w:hAnsi="Times New Roman" w:cs="Times New Roman"/>
          <w:iCs/>
          <w:sz w:val="24"/>
          <w:szCs w:val="24"/>
        </w:rPr>
        <w:footnoteReference w:id="31"/>
      </w:r>
      <w:r w:rsidR="00B3107D" w:rsidRPr="00997397">
        <w:rPr>
          <w:rFonts w:ascii="Times New Roman" w:hAnsi="Times New Roman" w:cs="Times New Roman"/>
          <w:iCs/>
          <w:sz w:val="24"/>
          <w:szCs w:val="24"/>
        </w:rPr>
        <w:t xml:space="preserve">  Regarding State aid granted before end of transition period, the European Commission has competence until four years after end of transition, and also for proceedings started within that period</w:t>
      </w:r>
      <w:r w:rsidR="00FB2B0E">
        <w:rPr>
          <w:rFonts w:ascii="Times New Roman" w:hAnsi="Times New Roman" w:cs="Times New Roman"/>
          <w:iCs/>
          <w:sz w:val="24"/>
          <w:szCs w:val="24"/>
        </w:rPr>
        <w:t>.</w:t>
      </w:r>
      <w:r w:rsidR="00EE4C2E">
        <w:rPr>
          <w:rStyle w:val="FootnoteReference"/>
          <w:rFonts w:ascii="Times New Roman" w:hAnsi="Times New Roman" w:cs="Times New Roman"/>
          <w:iCs/>
          <w:sz w:val="24"/>
          <w:szCs w:val="24"/>
        </w:rPr>
        <w:footnoteReference w:id="32"/>
      </w:r>
      <w:r w:rsidR="00B3107D" w:rsidRPr="00997397">
        <w:rPr>
          <w:rFonts w:ascii="Times New Roman" w:hAnsi="Times New Roman" w:cs="Times New Roman"/>
          <w:iCs/>
          <w:sz w:val="24"/>
          <w:szCs w:val="24"/>
        </w:rPr>
        <w:t xml:space="preserve">  Art 98 (2) relates to </w:t>
      </w:r>
      <w:r w:rsidR="00730B26" w:rsidRPr="00FB2B0E">
        <w:rPr>
          <w:rFonts w:ascii="Times New Roman" w:hAnsi="Times New Roman" w:cs="Times New Roman"/>
          <w:iCs/>
          <w:sz w:val="24"/>
          <w:szCs w:val="24"/>
        </w:rPr>
        <w:t xml:space="preserve">the </w:t>
      </w:r>
      <w:r w:rsidR="00B3107D" w:rsidRPr="00FB2B0E">
        <w:rPr>
          <w:rFonts w:ascii="Times New Roman" w:hAnsi="Times New Roman" w:cs="Times New Roman"/>
          <w:iCs/>
          <w:sz w:val="24"/>
          <w:szCs w:val="24"/>
        </w:rPr>
        <w:t>competent authorities</w:t>
      </w:r>
      <w:r w:rsidR="00730B26" w:rsidRPr="00FB2B0E">
        <w:rPr>
          <w:rFonts w:ascii="Times New Roman" w:hAnsi="Times New Roman" w:cs="Times New Roman"/>
          <w:iCs/>
          <w:sz w:val="24"/>
          <w:szCs w:val="24"/>
        </w:rPr>
        <w:t xml:space="preserve"> for</w:t>
      </w:r>
      <w:r w:rsidR="00730B26">
        <w:rPr>
          <w:rFonts w:ascii="Times New Roman" w:hAnsi="Times New Roman" w:cs="Times New Roman"/>
          <w:i/>
          <w:sz w:val="24"/>
          <w:szCs w:val="24"/>
        </w:rPr>
        <w:t xml:space="preserve"> </w:t>
      </w:r>
      <w:r w:rsidR="00B3107D" w:rsidRPr="00997397">
        <w:rPr>
          <w:rFonts w:ascii="Times New Roman" w:hAnsi="Times New Roman" w:cs="Times New Roman"/>
          <w:iCs/>
          <w:sz w:val="24"/>
          <w:szCs w:val="24"/>
        </w:rPr>
        <w:t xml:space="preserve">customs procedures launched up to three years </w:t>
      </w:r>
      <w:r w:rsidR="00211AA6">
        <w:rPr>
          <w:rFonts w:ascii="Times New Roman" w:hAnsi="Times New Roman" w:cs="Times New Roman"/>
          <w:iCs/>
          <w:sz w:val="24"/>
          <w:szCs w:val="24"/>
        </w:rPr>
        <w:t>later</w:t>
      </w:r>
      <w:r w:rsidR="00B3107D" w:rsidRPr="00997397">
        <w:rPr>
          <w:rFonts w:ascii="Times New Roman" w:hAnsi="Times New Roman" w:cs="Times New Roman"/>
          <w:iCs/>
          <w:sz w:val="24"/>
          <w:szCs w:val="24"/>
        </w:rPr>
        <w:t xml:space="preserve"> </w:t>
      </w:r>
      <w:r w:rsidR="00AE4F54">
        <w:rPr>
          <w:rFonts w:ascii="Times New Roman" w:hAnsi="Times New Roman" w:cs="Times New Roman"/>
          <w:iCs/>
          <w:sz w:val="24"/>
          <w:szCs w:val="24"/>
        </w:rPr>
        <w:t xml:space="preserve">and </w:t>
      </w:r>
      <w:r w:rsidR="00B3107D" w:rsidRPr="00997397">
        <w:rPr>
          <w:rFonts w:ascii="Times New Roman" w:hAnsi="Times New Roman" w:cs="Times New Roman"/>
          <w:iCs/>
          <w:sz w:val="24"/>
          <w:szCs w:val="24"/>
        </w:rPr>
        <w:t xml:space="preserve">Art 99 lays down similar arrangements concerning indirect tax, but up to </w:t>
      </w:r>
      <w:r w:rsidR="00AE4F54">
        <w:rPr>
          <w:rFonts w:ascii="Times New Roman" w:hAnsi="Times New Roman" w:cs="Times New Roman"/>
          <w:iCs/>
          <w:sz w:val="24"/>
          <w:szCs w:val="24"/>
        </w:rPr>
        <w:t>four</w:t>
      </w:r>
      <w:r w:rsidR="00B3107D" w:rsidRPr="00997397">
        <w:rPr>
          <w:rFonts w:ascii="Times New Roman" w:hAnsi="Times New Roman" w:cs="Times New Roman"/>
          <w:iCs/>
          <w:sz w:val="24"/>
          <w:szCs w:val="24"/>
        </w:rPr>
        <w:t xml:space="preserve"> years after the end of transition. These examples show the overlap between withdrawal and the future trade relationship</w:t>
      </w:r>
      <w:r w:rsidR="006224D7">
        <w:rPr>
          <w:rFonts w:ascii="Times New Roman" w:hAnsi="Times New Roman" w:cs="Times New Roman"/>
          <w:iCs/>
          <w:sz w:val="24"/>
          <w:szCs w:val="24"/>
        </w:rPr>
        <w:t>.</w:t>
      </w:r>
    </w:p>
    <w:p w14:paraId="63898A86" w14:textId="77777777" w:rsidR="00B97238" w:rsidRPr="00997397" w:rsidRDefault="00B97238" w:rsidP="00730B26">
      <w:pPr>
        <w:spacing w:after="0" w:line="240" w:lineRule="auto"/>
        <w:rPr>
          <w:rFonts w:ascii="Times New Roman" w:hAnsi="Times New Roman" w:cs="Times New Roman"/>
          <w:iCs/>
          <w:sz w:val="24"/>
          <w:szCs w:val="24"/>
        </w:rPr>
      </w:pPr>
    </w:p>
    <w:p w14:paraId="2AEB0FF1" w14:textId="02473FDC" w:rsidR="00431C28" w:rsidRDefault="00431C28" w:rsidP="00431C28">
      <w:pPr>
        <w:tabs>
          <w:tab w:val="center" w:pos="4513"/>
        </w:tabs>
        <w:spacing w:after="0" w:line="240" w:lineRule="auto"/>
        <w:rPr>
          <w:rFonts w:ascii="Times New Roman" w:eastAsia="Calibri" w:hAnsi="Times New Roman" w:cs="Times New Roman"/>
          <w:bCs/>
          <w:sz w:val="24"/>
          <w:szCs w:val="24"/>
        </w:rPr>
      </w:pPr>
      <w:r w:rsidRPr="00997397">
        <w:rPr>
          <w:rFonts w:ascii="Times New Roman" w:eastAsia="Calibri" w:hAnsi="Times New Roman" w:cs="Times New Roman"/>
          <w:bCs/>
          <w:sz w:val="24"/>
          <w:szCs w:val="24"/>
        </w:rPr>
        <w:t>In terms of judicial procedures, CJEU jurisdiction continues over pending preliminary references and proceedings brought by or against the UK before the end of transition</w:t>
      </w:r>
      <w:r w:rsidR="009E6919">
        <w:rPr>
          <w:rFonts w:ascii="Times New Roman" w:eastAsia="Calibri" w:hAnsi="Times New Roman" w:cs="Times New Roman"/>
          <w:bCs/>
          <w:sz w:val="24"/>
          <w:szCs w:val="24"/>
        </w:rPr>
        <w:t>.</w:t>
      </w:r>
      <w:r w:rsidR="009E6919">
        <w:rPr>
          <w:rStyle w:val="FootnoteReference"/>
          <w:rFonts w:ascii="Times New Roman" w:eastAsia="Calibri" w:hAnsi="Times New Roman" w:cs="Times New Roman"/>
          <w:bCs/>
          <w:sz w:val="24"/>
          <w:szCs w:val="24"/>
        </w:rPr>
        <w:footnoteReference w:id="33"/>
      </w:r>
      <w:r w:rsidRPr="00997397">
        <w:rPr>
          <w:rFonts w:ascii="Times New Roman" w:eastAsia="Calibri" w:hAnsi="Times New Roman" w:cs="Times New Roman"/>
          <w:bCs/>
          <w:sz w:val="24"/>
          <w:szCs w:val="24"/>
        </w:rPr>
        <w:t xml:space="preserve">  The European Commission can bring infringement proceedings against the UK for up to </w:t>
      </w:r>
      <w:r w:rsidR="009E6919">
        <w:rPr>
          <w:rFonts w:ascii="Times New Roman" w:eastAsia="Calibri" w:hAnsi="Times New Roman" w:cs="Times New Roman"/>
          <w:bCs/>
          <w:sz w:val="24"/>
          <w:szCs w:val="24"/>
        </w:rPr>
        <w:t xml:space="preserve">four </w:t>
      </w:r>
      <w:r w:rsidRPr="00997397">
        <w:rPr>
          <w:rFonts w:ascii="Times New Roman" w:eastAsia="Calibri" w:hAnsi="Times New Roman" w:cs="Times New Roman"/>
          <w:bCs/>
          <w:sz w:val="24"/>
          <w:szCs w:val="24"/>
        </w:rPr>
        <w:t xml:space="preserve">years after the end of the transition period for failure to comply with EU law </w:t>
      </w:r>
      <w:r w:rsidR="007C69E4">
        <w:rPr>
          <w:rFonts w:ascii="Times New Roman" w:eastAsia="Calibri" w:hAnsi="Times New Roman" w:cs="Times New Roman"/>
          <w:bCs/>
          <w:sz w:val="24"/>
          <w:szCs w:val="24"/>
        </w:rPr>
        <w:t>before 31 December 2020,</w:t>
      </w:r>
      <w:r w:rsidR="007C69E4">
        <w:rPr>
          <w:rStyle w:val="FootnoteReference"/>
          <w:rFonts w:ascii="Times New Roman" w:eastAsia="Calibri" w:hAnsi="Times New Roman" w:cs="Times New Roman"/>
          <w:bCs/>
          <w:sz w:val="24"/>
          <w:szCs w:val="24"/>
        </w:rPr>
        <w:footnoteReference w:id="34"/>
      </w:r>
      <w:r w:rsidR="007C69E4">
        <w:rPr>
          <w:rFonts w:ascii="Times New Roman" w:eastAsia="Calibri" w:hAnsi="Times New Roman" w:cs="Times New Roman"/>
          <w:bCs/>
          <w:sz w:val="24"/>
          <w:szCs w:val="24"/>
        </w:rPr>
        <w:t xml:space="preserve"> which it put into practice </w:t>
      </w:r>
      <w:r w:rsidR="00A11820">
        <w:rPr>
          <w:rFonts w:ascii="Times New Roman" w:eastAsia="Calibri" w:hAnsi="Times New Roman" w:cs="Times New Roman"/>
          <w:bCs/>
          <w:sz w:val="24"/>
          <w:szCs w:val="24"/>
        </w:rPr>
        <w:t xml:space="preserve">regarding the </w:t>
      </w:r>
      <w:r w:rsidR="00BC0B10">
        <w:rPr>
          <w:rFonts w:ascii="Times New Roman" w:eastAsia="Calibri" w:hAnsi="Times New Roman" w:cs="Times New Roman"/>
          <w:bCs/>
          <w:sz w:val="24"/>
          <w:szCs w:val="24"/>
        </w:rPr>
        <w:t xml:space="preserve">proposed </w:t>
      </w:r>
      <w:r w:rsidR="00A11820">
        <w:rPr>
          <w:rFonts w:ascii="Times New Roman" w:eastAsia="Calibri" w:hAnsi="Times New Roman" w:cs="Times New Roman"/>
          <w:bCs/>
          <w:sz w:val="24"/>
          <w:szCs w:val="24"/>
        </w:rPr>
        <w:t>UK Internal Market Bill</w:t>
      </w:r>
      <w:r w:rsidR="00BC0B10">
        <w:rPr>
          <w:rFonts w:ascii="Times New Roman" w:eastAsia="Calibri" w:hAnsi="Times New Roman" w:cs="Times New Roman"/>
          <w:bCs/>
          <w:sz w:val="24"/>
          <w:szCs w:val="24"/>
        </w:rPr>
        <w:t xml:space="preserve"> and </w:t>
      </w:r>
      <w:r w:rsidR="00E33186">
        <w:rPr>
          <w:rFonts w:ascii="Times New Roman" w:eastAsia="Calibri" w:hAnsi="Times New Roman" w:cs="Times New Roman"/>
          <w:bCs/>
          <w:sz w:val="24"/>
          <w:szCs w:val="24"/>
        </w:rPr>
        <w:t>breach of its obligations under the NI Protocol</w:t>
      </w:r>
      <w:r w:rsidR="00A11820">
        <w:rPr>
          <w:rFonts w:ascii="Times New Roman" w:eastAsia="Calibri" w:hAnsi="Times New Roman" w:cs="Times New Roman"/>
          <w:bCs/>
          <w:sz w:val="24"/>
          <w:szCs w:val="24"/>
        </w:rPr>
        <w:t>.</w:t>
      </w:r>
      <w:r w:rsidR="00A11820">
        <w:rPr>
          <w:rStyle w:val="FootnoteReference"/>
          <w:rFonts w:ascii="Times New Roman" w:eastAsia="Calibri" w:hAnsi="Times New Roman" w:cs="Times New Roman"/>
          <w:bCs/>
          <w:sz w:val="24"/>
          <w:szCs w:val="24"/>
        </w:rPr>
        <w:footnoteReference w:id="35"/>
      </w:r>
      <w:r w:rsidRPr="00997397">
        <w:rPr>
          <w:rFonts w:ascii="Times New Roman" w:eastAsia="Calibri" w:hAnsi="Times New Roman" w:cs="Times New Roman"/>
          <w:bCs/>
          <w:sz w:val="24"/>
          <w:szCs w:val="24"/>
        </w:rPr>
        <w:t xml:space="preserve"> </w:t>
      </w:r>
    </w:p>
    <w:p w14:paraId="677A511E" w14:textId="77777777" w:rsidR="00765127" w:rsidRDefault="00765127" w:rsidP="00765127">
      <w:pPr>
        <w:spacing w:after="0" w:line="240" w:lineRule="auto"/>
        <w:rPr>
          <w:rFonts w:ascii="Times New Roman" w:eastAsia="Calibri" w:hAnsi="Times New Roman" w:cs="Times New Roman"/>
          <w:bCs/>
          <w:sz w:val="24"/>
          <w:szCs w:val="24"/>
        </w:rPr>
      </w:pPr>
    </w:p>
    <w:p w14:paraId="57F4FF20" w14:textId="33392FB6" w:rsidR="00765127" w:rsidRPr="00997397" w:rsidRDefault="00765127" w:rsidP="00934CD1">
      <w:pPr>
        <w:spacing w:after="0" w:line="240" w:lineRule="auto"/>
        <w:rPr>
          <w:rFonts w:ascii="Times New Roman" w:eastAsia="Calibri" w:hAnsi="Times New Roman" w:cs="Times New Roman"/>
          <w:bCs/>
          <w:iCs/>
          <w:sz w:val="24"/>
          <w:szCs w:val="24"/>
        </w:rPr>
      </w:pPr>
      <w:r>
        <w:rPr>
          <w:rFonts w:ascii="Times New Roman" w:eastAsia="Calibri" w:hAnsi="Times New Roman" w:cs="Times New Roman"/>
          <w:bCs/>
          <w:sz w:val="24"/>
          <w:szCs w:val="24"/>
        </w:rPr>
        <w:t xml:space="preserve">The </w:t>
      </w:r>
      <w:r w:rsidRPr="00997397">
        <w:rPr>
          <w:rFonts w:ascii="Times New Roman" w:eastAsia="Calibri" w:hAnsi="Times New Roman" w:cs="Times New Roman"/>
          <w:bCs/>
          <w:sz w:val="24"/>
          <w:szCs w:val="24"/>
        </w:rPr>
        <w:t xml:space="preserve">WA </w:t>
      </w:r>
      <w:r>
        <w:rPr>
          <w:rFonts w:ascii="Times New Roman" w:eastAsia="Calibri" w:hAnsi="Times New Roman" w:cs="Times New Roman"/>
          <w:bCs/>
          <w:sz w:val="24"/>
          <w:szCs w:val="24"/>
        </w:rPr>
        <w:t>foresees</w:t>
      </w:r>
      <w:r w:rsidRPr="00997397">
        <w:rPr>
          <w:rFonts w:ascii="Times New Roman" w:eastAsia="Calibri" w:hAnsi="Times New Roman" w:cs="Times New Roman"/>
          <w:bCs/>
          <w:sz w:val="24"/>
          <w:szCs w:val="24"/>
        </w:rPr>
        <w:t xml:space="preserve"> consistent application and interpretation</w:t>
      </w:r>
      <w:r>
        <w:rPr>
          <w:rFonts w:ascii="Times New Roman" w:eastAsia="Calibri" w:hAnsi="Times New Roman" w:cs="Times New Roman"/>
          <w:bCs/>
          <w:sz w:val="24"/>
          <w:szCs w:val="24"/>
        </w:rPr>
        <w:t xml:space="preserve"> in the short term through various forms of</w:t>
      </w:r>
      <w:r w:rsidRPr="00997397">
        <w:rPr>
          <w:rFonts w:ascii="Times New Roman" w:eastAsia="Calibri" w:hAnsi="Times New Roman" w:cs="Times New Roman"/>
          <w:bCs/>
          <w:sz w:val="24"/>
          <w:szCs w:val="24"/>
        </w:rPr>
        <w:t xml:space="preserve"> interinstitutional dialogue: the European Commission may make submissions to UK courts when they are considering the interpretation of the </w:t>
      </w:r>
      <w:r>
        <w:rPr>
          <w:rFonts w:ascii="Times New Roman" w:eastAsia="Calibri" w:hAnsi="Times New Roman" w:cs="Times New Roman"/>
          <w:bCs/>
          <w:sz w:val="24"/>
          <w:szCs w:val="24"/>
        </w:rPr>
        <w:t>WA;</w:t>
      </w:r>
      <w:r>
        <w:rPr>
          <w:rStyle w:val="FootnoteReference"/>
          <w:rFonts w:ascii="Times New Roman" w:eastAsia="Calibri" w:hAnsi="Times New Roman" w:cs="Times New Roman"/>
          <w:bCs/>
          <w:sz w:val="24"/>
          <w:szCs w:val="24"/>
        </w:rPr>
        <w:footnoteReference w:id="36"/>
      </w:r>
      <w:r w:rsidRPr="00997397">
        <w:rPr>
          <w:rFonts w:ascii="Times New Roman" w:eastAsia="Calibri" w:hAnsi="Times New Roman" w:cs="Times New Roman"/>
          <w:bCs/>
          <w:sz w:val="24"/>
          <w:szCs w:val="24"/>
        </w:rPr>
        <w:t xml:space="preserve"> the UK may participate, and UK lawyers may represent or assist parties, in relevant proceedings before the CJEU</w:t>
      </w:r>
      <w:r>
        <w:rPr>
          <w:rStyle w:val="FootnoteReference"/>
          <w:rFonts w:ascii="Times New Roman" w:eastAsia="Calibri" w:hAnsi="Times New Roman" w:cs="Times New Roman"/>
          <w:bCs/>
          <w:sz w:val="24"/>
          <w:szCs w:val="24"/>
        </w:rPr>
        <w:footnoteReference w:id="37"/>
      </w:r>
      <w:r w:rsidRPr="00997397">
        <w:rPr>
          <w:rFonts w:ascii="Times New Roman" w:eastAsia="Calibri" w:hAnsi="Times New Roman" w:cs="Times New Roman"/>
          <w:bCs/>
          <w:sz w:val="24"/>
          <w:szCs w:val="24"/>
        </w:rPr>
        <w:t xml:space="preserve"> and </w:t>
      </w:r>
      <w:r>
        <w:rPr>
          <w:rFonts w:ascii="Times New Roman" w:eastAsia="Calibri" w:hAnsi="Times New Roman" w:cs="Times New Roman"/>
          <w:bCs/>
          <w:sz w:val="24"/>
          <w:szCs w:val="24"/>
        </w:rPr>
        <w:t xml:space="preserve">the </w:t>
      </w:r>
      <w:r w:rsidRPr="00997397">
        <w:rPr>
          <w:rFonts w:ascii="Times New Roman" w:eastAsia="Calibri" w:hAnsi="Times New Roman" w:cs="Times New Roman"/>
          <w:bCs/>
          <w:sz w:val="24"/>
          <w:szCs w:val="24"/>
        </w:rPr>
        <w:t>UK’s highest courts may maintain a</w:t>
      </w:r>
      <w:r w:rsidR="004E68F4">
        <w:rPr>
          <w:rFonts w:ascii="Times New Roman" w:eastAsia="Calibri" w:hAnsi="Times New Roman" w:cs="Times New Roman"/>
          <w:bCs/>
          <w:sz w:val="24"/>
          <w:szCs w:val="24"/>
        </w:rPr>
        <w:t xml:space="preserve"> </w:t>
      </w:r>
      <w:r w:rsidRPr="00997397">
        <w:rPr>
          <w:rFonts w:ascii="Times New Roman" w:eastAsia="Calibri" w:hAnsi="Times New Roman" w:cs="Times New Roman"/>
          <w:bCs/>
          <w:sz w:val="24"/>
          <w:szCs w:val="24"/>
        </w:rPr>
        <w:t>dialogue with CJEU judges</w:t>
      </w:r>
      <w:r w:rsidR="00325A2D" w:rsidRPr="000E4A51">
        <w:rPr>
          <w:rFonts w:ascii="Times New Roman" w:eastAsia="Calibri" w:hAnsi="Times New Roman" w:cs="Times New Roman"/>
          <w:bCs/>
          <w:sz w:val="24"/>
          <w:szCs w:val="24"/>
        </w:rPr>
        <w:t xml:space="preserve">. </w:t>
      </w:r>
      <w:r w:rsidR="00ED7D13">
        <w:rPr>
          <w:rFonts w:ascii="Times New Roman" w:eastAsia="Calibri" w:hAnsi="Times New Roman" w:cs="Times New Roman"/>
          <w:bCs/>
          <w:sz w:val="24"/>
          <w:szCs w:val="24"/>
        </w:rPr>
        <w:t xml:space="preserve">While its form is not specified, </w:t>
      </w:r>
      <w:r w:rsidR="00654B69">
        <w:rPr>
          <w:rFonts w:ascii="Times New Roman" w:eastAsia="Calibri" w:hAnsi="Times New Roman" w:cs="Times New Roman"/>
          <w:bCs/>
          <w:sz w:val="24"/>
          <w:szCs w:val="24"/>
        </w:rPr>
        <w:t xml:space="preserve">it </w:t>
      </w:r>
      <w:r w:rsidR="00325A2D" w:rsidRPr="000E4A51">
        <w:rPr>
          <w:rFonts w:ascii="Times New Roman" w:eastAsia="Calibri" w:hAnsi="Times New Roman" w:cs="Times New Roman"/>
          <w:bCs/>
          <w:sz w:val="24"/>
          <w:szCs w:val="24"/>
        </w:rPr>
        <w:t>is seen as</w:t>
      </w:r>
      <w:r w:rsidR="00FC5F33" w:rsidRPr="000E4A51">
        <w:rPr>
          <w:rFonts w:ascii="Times New Roman" w:eastAsia="Calibri" w:hAnsi="Times New Roman" w:cs="Times New Roman"/>
          <w:bCs/>
          <w:sz w:val="24"/>
          <w:szCs w:val="24"/>
        </w:rPr>
        <w:t xml:space="preserve"> analogous to the dialogue </w:t>
      </w:r>
      <w:r w:rsidR="00325A2D" w:rsidRPr="000E4A51">
        <w:rPr>
          <w:rFonts w:ascii="Times New Roman" w:eastAsia="Calibri" w:hAnsi="Times New Roman" w:cs="Times New Roman"/>
          <w:bCs/>
          <w:sz w:val="24"/>
          <w:szCs w:val="24"/>
        </w:rPr>
        <w:t xml:space="preserve">between the CJEU and </w:t>
      </w:r>
      <w:r w:rsidR="000E4A51" w:rsidRPr="000E4A51">
        <w:rPr>
          <w:rFonts w:ascii="Times New Roman" w:eastAsia="Calibri" w:hAnsi="Times New Roman" w:cs="Times New Roman"/>
          <w:bCs/>
          <w:sz w:val="24"/>
          <w:szCs w:val="24"/>
        </w:rPr>
        <w:t>the highest co</w:t>
      </w:r>
      <w:r w:rsidR="00FC5F33" w:rsidRPr="000E4A51">
        <w:rPr>
          <w:rFonts w:ascii="Times New Roman" w:eastAsia="Calibri" w:hAnsi="Times New Roman" w:cs="Times New Roman"/>
          <w:bCs/>
          <w:sz w:val="24"/>
          <w:szCs w:val="24"/>
        </w:rPr>
        <w:t>urts of the Member States</w:t>
      </w:r>
      <w:r w:rsidR="000E4A51" w:rsidRPr="000E4A51">
        <w:rPr>
          <w:rFonts w:ascii="Times New Roman" w:eastAsia="Calibri" w:hAnsi="Times New Roman" w:cs="Times New Roman"/>
          <w:bCs/>
          <w:sz w:val="24"/>
          <w:szCs w:val="24"/>
        </w:rPr>
        <w:t>, with a view to facilitating the consistent interpretation of the WA</w:t>
      </w:r>
      <w:r w:rsidRPr="000E4A51">
        <w:rPr>
          <w:rFonts w:ascii="Times New Roman" w:eastAsia="Calibri" w:hAnsi="Times New Roman" w:cs="Times New Roman"/>
          <w:bCs/>
          <w:sz w:val="24"/>
          <w:szCs w:val="24"/>
        </w:rPr>
        <w:t>.</w:t>
      </w:r>
      <w:r>
        <w:rPr>
          <w:rStyle w:val="FootnoteReference"/>
          <w:rFonts w:ascii="Times New Roman" w:eastAsia="Calibri" w:hAnsi="Times New Roman" w:cs="Times New Roman"/>
          <w:bCs/>
          <w:sz w:val="24"/>
          <w:szCs w:val="24"/>
        </w:rPr>
        <w:footnoteReference w:id="38"/>
      </w:r>
      <w:r w:rsidRPr="00997397">
        <w:rPr>
          <w:rFonts w:ascii="Times New Roman" w:eastAsia="Calibri" w:hAnsi="Times New Roman" w:cs="Times New Roman"/>
          <w:bCs/>
          <w:sz w:val="24"/>
          <w:szCs w:val="24"/>
        </w:rPr>
        <w:t xml:space="preserve"> The UK may also maintain intervention rights before CJEU proceedings in direct actions and participate in preliminary references</w:t>
      </w:r>
      <w:r>
        <w:rPr>
          <w:rStyle w:val="FootnoteReference"/>
          <w:rFonts w:ascii="Times New Roman" w:eastAsia="Calibri" w:hAnsi="Times New Roman" w:cs="Times New Roman"/>
          <w:bCs/>
          <w:sz w:val="24"/>
          <w:szCs w:val="24"/>
        </w:rPr>
        <w:footnoteReference w:id="39"/>
      </w:r>
      <w:r w:rsidRPr="00997397">
        <w:rPr>
          <w:rFonts w:ascii="Times New Roman" w:eastAsia="Calibri" w:hAnsi="Times New Roman" w:cs="Times New Roman"/>
          <w:bCs/>
          <w:sz w:val="24"/>
          <w:szCs w:val="24"/>
        </w:rPr>
        <w:t xml:space="preserve"> until all proceedings have become final, and may intervene in cases where the UK was subject to the same obligations as remaining Member States.</w:t>
      </w:r>
      <w:r w:rsidRPr="00997397">
        <w:rPr>
          <w:rFonts w:ascii="Times New Roman" w:eastAsia="Calibri" w:hAnsi="Times New Roman" w:cs="Times New Roman"/>
          <w:bCs/>
          <w:iCs/>
          <w:sz w:val="24"/>
          <w:szCs w:val="24"/>
        </w:rPr>
        <w:t xml:space="preserve"> </w:t>
      </w:r>
    </w:p>
    <w:p w14:paraId="35ACF45C" w14:textId="77777777" w:rsidR="00277F87" w:rsidRDefault="00277F87" w:rsidP="00C64E3C">
      <w:pPr>
        <w:tabs>
          <w:tab w:val="center" w:pos="4513"/>
        </w:tabs>
        <w:spacing w:after="0" w:line="240" w:lineRule="auto"/>
        <w:rPr>
          <w:rFonts w:ascii="Times New Roman" w:eastAsia="Calibri" w:hAnsi="Times New Roman" w:cs="Times New Roman"/>
          <w:bCs/>
          <w:sz w:val="24"/>
          <w:szCs w:val="24"/>
        </w:rPr>
      </w:pPr>
    </w:p>
    <w:p w14:paraId="4B62A1FD" w14:textId="55AA87DC" w:rsidR="0069122C" w:rsidRPr="00520416" w:rsidRDefault="006D167C" w:rsidP="00520416">
      <w:pPr>
        <w:spacing w:line="240" w:lineRule="auto"/>
        <w:rPr>
          <w:rFonts w:ascii="Times New Roman" w:hAnsi="Times New Roman" w:cs="Times New Roman"/>
          <w:sz w:val="24"/>
          <w:szCs w:val="24"/>
        </w:rPr>
      </w:pPr>
      <w:r>
        <w:rPr>
          <w:rFonts w:ascii="Times New Roman" w:hAnsi="Times New Roman" w:cs="Times New Roman"/>
          <w:sz w:val="24"/>
          <w:szCs w:val="24"/>
        </w:rPr>
        <w:t>F</w:t>
      </w:r>
      <w:r w:rsidR="00FD4C6B">
        <w:rPr>
          <w:rFonts w:ascii="Times New Roman" w:hAnsi="Times New Roman" w:cs="Times New Roman"/>
          <w:sz w:val="24"/>
          <w:szCs w:val="24"/>
        </w:rPr>
        <w:t>or the TCA’s future relationship, w</w:t>
      </w:r>
      <w:r w:rsidR="0069122C" w:rsidRPr="00997397">
        <w:rPr>
          <w:rFonts w:ascii="Times New Roman" w:hAnsi="Times New Roman" w:cs="Times New Roman"/>
          <w:sz w:val="24"/>
          <w:szCs w:val="24"/>
        </w:rPr>
        <w:t>hereas the EU consistently insisted upon unique overarching governance arrangements on account of the close geographic and economic relationship,</w:t>
      </w:r>
      <w:r w:rsidR="0069122C" w:rsidRPr="00997397">
        <w:rPr>
          <w:rStyle w:val="FootnoteReference"/>
          <w:rFonts w:ascii="Times New Roman" w:hAnsi="Times New Roman" w:cs="Times New Roman"/>
          <w:sz w:val="24"/>
          <w:szCs w:val="24"/>
        </w:rPr>
        <w:footnoteReference w:id="40"/>
      </w:r>
      <w:r w:rsidR="0069122C" w:rsidRPr="00997397">
        <w:rPr>
          <w:rFonts w:ascii="Times New Roman" w:hAnsi="Times New Roman" w:cs="Times New Roman"/>
          <w:sz w:val="24"/>
          <w:szCs w:val="24"/>
        </w:rPr>
        <w:t xml:space="preserve"> the UK </w:t>
      </w:r>
      <w:r w:rsidR="003A624C">
        <w:rPr>
          <w:rFonts w:ascii="Times New Roman" w:hAnsi="Times New Roman" w:cs="Times New Roman"/>
          <w:sz w:val="24"/>
          <w:szCs w:val="24"/>
        </w:rPr>
        <w:t xml:space="preserve">negotiating </w:t>
      </w:r>
      <w:r w:rsidR="001D2E7F">
        <w:rPr>
          <w:rFonts w:ascii="Times New Roman" w:hAnsi="Times New Roman" w:cs="Times New Roman"/>
          <w:sz w:val="24"/>
          <w:szCs w:val="24"/>
        </w:rPr>
        <w:t xml:space="preserve">position unveiled in February 2020 under the Johnson </w:t>
      </w:r>
      <w:r w:rsidR="001D2E7F">
        <w:rPr>
          <w:rFonts w:ascii="Times New Roman" w:hAnsi="Times New Roman" w:cs="Times New Roman"/>
          <w:sz w:val="24"/>
          <w:szCs w:val="24"/>
        </w:rPr>
        <w:lastRenderedPageBreak/>
        <w:t xml:space="preserve">government </w:t>
      </w:r>
      <w:r w:rsidR="0069122C" w:rsidRPr="00997397">
        <w:rPr>
          <w:rFonts w:ascii="Times New Roman" w:hAnsi="Times New Roman" w:cs="Times New Roman"/>
          <w:sz w:val="24"/>
          <w:szCs w:val="24"/>
        </w:rPr>
        <w:t>emphasi</w:t>
      </w:r>
      <w:r w:rsidR="00145D8B">
        <w:rPr>
          <w:rFonts w:ascii="Times New Roman" w:hAnsi="Times New Roman" w:cs="Times New Roman"/>
          <w:sz w:val="24"/>
          <w:szCs w:val="24"/>
        </w:rPr>
        <w:t>zed</w:t>
      </w:r>
      <w:r w:rsidR="0069122C" w:rsidRPr="00997397">
        <w:rPr>
          <w:rFonts w:ascii="Times New Roman" w:hAnsi="Times New Roman" w:cs="Times New Roman"/>
          <w:sz w:val="24"/>
          <w:szCs w:val="24"/>
        </w:rPr>
        <w:t xml:space="preserve"> </w:t>
      </w:r>
      <w:r w:rsidR="00E7719E">
        <w:rPr>
          <w:rFonts w:ascii="Times New Roman" w:hAnsi="Times New Roman" w:cs="Times New Roman"/>
          <w:sz w:val="24"/>
          <w:szCs w:val="24"/>
        </w:rPr>
        <w:t>“</w:t>
      </w:r>
      <w:r w:rsidR="0069122C" w:rsidRPr="00997397">
        <w:rPr>
          <w:rFonts w:ascii="Times New Roman" w:hAnsi="Times New Roman" w:cs="Times New Roman"/>
          <w:sz w:val="24"/>
          <w:szCs w:val="24"/>
        </w:rPr>
        <w:t>precedented</w:t>
      </w:r>
      <w:r w:rsidR="00E7719E">
        <w:rPr>
          <w:rFonts w:ascii="Times New Roman" w:hAnsi="Times New Roman" w:cs="Times New Roman"/>
          <w:sz w:val="24"/>
          <w:szCs w:val="24"/>
        </w:rPr>
        <w:t>”</w:t>
      </w:r>
      <w:r w:rsidR="0069122C" w:rsidRPr="00997397">
        <w:rPr>
          <w:rFonts w:ascii="Times New Roman" w:hAnsi="Times New Roman" w:cs="Times New Roman"/>
          <w:sz w:val="24"/>
          <w:szCs w:val="24"/>
        </w:rPr>
        <w:t xml:space="preserve"> arrangements,</w:t>
      </w:r>
      <w:r w:rsidR="008E3A35" w:rsidRPr="00997397">
        <w:rPr>
          <w:rStyle w:val="FootnoteReference"/>
          <w:rFonts w:ascii="Times New Roman" w:hAnsi="Times New Roman" w:cs="Times New Roman"/>
          <w:sz w:val="24"/>
          <w:szCs w:val="24"/>
        </w:rPr>
        <w:footnoteReference w:id="41"/>
      </w:r>
      <w:r w:rsidR="0069122C" w:rsidRPr="00997397">
        <w:rPr>
          <w:rFonts w:ascii="Times New Roman" w:hAnsi="Times New Roman" w:cs="Times New Roman"/>
          <w:sz w:val="24"/>
          <w:szCs w:val="24"/>
        </w:rPr>
        <w:t xml:space="preserve"> making frequent reference to other </w:t>
      </w:r>
      <w:r w:rsidR="001B4883">
        <w:rPr>
          <w:rFonts w:ascii="Times New Roman" w:hAnsi="Times New Roman" w:cs="Times New Roman"/>
          <w:sz w:val="24"/>
          <w:szCs w:val="24"/>
        </w:rPr>
        <w:t>free trade agreement</w:t>
      </w:r>
      <w:r w:rsidR="0069122C" w:rsidRPr="00997397">
        <w:rPr>
          <w:rFonts w:ascii="Times New Roman" w:hAnsi="Times New Roman" w:cs="Times New Roman"/>
          <w:sz w:val="24"/>
          <w:szCs w:val="24"/>
        </w:rPr>
        <w:t>s.</w:t>
      </w:r>
      <w:r w:rsidR="00C37DDF" w:rsidRPr="00997397">
        <w:rPr>
          <w:rFonts w:ascii="Times New Roman" w:hAnsi="Times New Roman" w:cs="Times New Roman"/>
          <w:sz w:val="24"/>
          <w:szCs w:val="24"/>
        </w:rPr>
        <w:t xml:space="preserve"> The UK’s position </w:t>
      </w:r>
      <w:r w:rsidR="005568F4">
        <w:rPr>
          <w:rFonts w:ascii="Times New Roman" w:hAnsi="Times New Roman" w:cs="Times New Roman"/>
          <w:sz w:val="24"/>
          <w:szCs w:val="24"/>
        </w:rPr>
        <w:t xml:space="preserve">by this point </w:t>
      </w:r>
      <w:r w:rsidR="00C37DDF" w:rsidRPr="00997397">
        <w:rPr>
          <w:rFonts w:ascii="Times New Roman" w:hAnsi="Times New Roman" w:cs="Times New Roman"/>
          <w:sz w:val="24"/>
          <w:szCs w:val="24"/>
        </w:rPr>
        <w:t>was</w:t>
      </w:r>
      <w:r w:rsidR="00212188" w:rsidRPr="00997397">
        <w:rPr>
          <w:rFonts w:ascii="Times New Roman" w:hAnsi="Times New Roman" w:cs="Times New Roman"/>
          <w:sz w:val="24"/>
          <w:szCs w:val="24"/>
        </w:rPr>
        <w:t xml:space="preserve"> also</w:t>
      </w:r>
      <w:r w:rsidR="00C37DDF" w:rsidRPr="00997397">
        <w:rPr>
          <w:rFonts w:ascii="Times New Roman" w:hAnsi="Times New Roman" w:cs="Times New Roman"/>
          <w:sz w:val="24"/>
          <w:szCs w:val="24"/>
        </w:rPr>
        <w:t xml:space="preserve"> markedly different in structure to the Political Declaration</w:t>
      </w:r>
      <w:r w:rsidR="008735F7">
        <w:rPr>
          <w:rFonts w:ascii="Times New Roman" w:hAnsi="Times New Roman" w:cs="Times New Roman"/>
          <w:sz w:val="24"/>
          <w:szCs w:val="24"/>
        </w:rPr>
        <w:t xml:space="preserve"> on the </w:t>
      </w:r>
      <w:r w:rsidR="00B97238">
        <w:rPr>
          <w:rFonts w:ascii="Times New Roman" w:hAnsi="Times New Roman" w:cs="Times New Roman"/>
          <w:sz w:val="24"/>
          <w:szCs w:val="24"/>
        </w:rPr>
        <w:t>f</w:t>
      </w:r>
      <w:r w:rsidR="008735F7">
        <w:rPr>
          <w:rFonts w:ascii="Times New Roman" w:hAnsi="Times New Roman" w:cs="Times New Roman"/>
          <w:sz w:val="24"/>
          <w:szCs w:val="24"/>
        </w:rPr>
        <w:t xml:space="preserve">uture </w:t>
      </w:r>
      <w:r w:rsidR="00B97238">
        <w:rPr>
          <w:rFonts w:ascii="Times New Roman" w:hAnsi="Times New Roman" w:cs="Times New Roman"/>
          <w:sz w:val="24"/>
          <w:szCs w:val="24"/>
        </w:rPr>
        <w:t>r</w:t>
      </w:r>
      <w:r w:rsidR="008735F7">
        <w:rPr>
          <w:rFonts w:ascii="Times New Roman" w:hAnsi="Times New Roman" w:cs="Times New Roman"/>
          <w:sz w:val="24"/>
          <w:szCs w:val="24"/>
        </w:rPr>
        <w:t>elationship</w:t>
      </w:r>
      <w:r w:rsidR="00EF1BDA">
        <w:rPr>
          <w:rFonts w:ascii="Times New Roman" w:hAnsi="Times New Roman" w:cs="Times New Roman"/>
          <w:sz w:val="24"/>
          <w:szCs w:val="24"/>
        </w:rPr>
        <w:t xml:space="preserve"> agreed in </w:t>
      </w:r>
      <w:r w:rsidR="00044442">
        <w:rPr>
          <w:rFonts w:ascii="Times New Roman" w:hAnsi="Times New Roman" w:cs="Times New Roman"/>
          <w:sz w:val="24"/>
          <w:szCs w:val="24"/>
        </w:rPr>
        <w:t>October 2019</w:t>
      </w:r>
      <w:r w:rsidR="00C37DDF" w:rsidRPr="00997397">
        <w:rPr>
          <w:rFonts w:ascii="Times New Roman" w:hAnsi="Times New Roman" w:cs="Times New Roman"/>
          <w:sz w:val="24"/>
          <w:szCs w:val="24"/>
        </w:rPr>
        <w:t xml:space="preserve">. It presented discrete policy areas, with no indication of areas of priority or an overarching scheme. </w:t>
      </w:r>
    </w:p>
    <w:p w14:paraId="56E7D4BF" w14:textId="76E7C75F" w:rsidR="003B07D5" w:rsidRDefault="00344546" w:rsidP="008D13E2">
      <w:pPr>
        <w:rPr>
          <w:rFonts w:ascii="Times New Roman" w:eastAsia="Calibri" w:hAnsi="Times New Roman" w:cs="Times New Roman"/>
          <w:bCs/>
          <w:i/>
          <w:iCs/>
          <w:sz w:val="24"/>
          <w:szCs w:val="24"/>
        </w:rPr>
      </w:pPr>
      <w:r w:rsidRPr="00997397">
        <w:rPr>
          <w:rFonts w:ascii="Times New Roman" w:hAnsi="Times New Roman" w:cs="Times New Roman"/>
          <w:bCs/>
          <w:sz w:val="24"/>
          <w:szCs w:val="24"/>
        </w:rPr>
        <w:t xml:space="preserve">The </w:t>
      </w:r>
      <w:r w:rsidR="00963B46" w:rsidRPr="00997397">
        <w:rPr>
          <w:rFonts w:ascii="Times New Roman" w:hAnsi="Times New Roman" w:cs="Times New Roman"/>
          <w:bCs/>
          <w:sz w:val="24"/>
          <w:szCs w:val="24"/>
        </w:rPr>
        <w:t xml:space="preserve">EU-UK </w:t>
      </w:r>
      <w:r w:rsidR="00481039">
        <w:rPr>
          <w:rFonts w:ascii="Times New Roman" w:hAnsi="Times New Roman" w:cs="Times New Roman"/>
          <w:bCs/>
          <w:sz w:val="24"/>
          <w:szCs w:val="24"/>
        </w:rPr>
        <w:t>TCA</w:t>
      </w:r>
      <w:r w:rsidR="00EE3619" w:rsidRPr="00997397">
        <w:rPr>
          <w:rFonts w:ascii="Times New Roman" w:hAnsi="Times New Roman" w:cs="Times New Roman"/>
          <w:bCs/>
          <w:sz w:val="24"/>
          <w:szCs w:val="24"/>
        </w:rPr>
        <w:t xml:space="preserve">’s </w:t>
      </w:r>
      <w:r w:rsidR="00963B46" w:rsidRPr="00997397">
        <w:rPr>
          <w:rFonts w:ascii="Times New Roman" w:hAnsi="Times New Roman" w:cs="Times New Roman"/>
          <w:bCs/>
          <w:sz w:val="24"/>
          <w:szCs w:val="24"/>
        </w:rPr>
        <w:t xml:space="preserve">overarching governance structure </w:t>
      </w:r>
      <w:r w:rsidR="00B741E1" w:rsidRPr="00997397">
        <w:rPr>
          <w:rFonts w:ascii="Times New Roman" w:hAnsi="Times New Roman" w:cs="Times New Roman"/>
          <w:bCs/>
          <w:sz w:val="24"/>
          <w:szCs w:val="24"/>
        </w:rPr>
        <w:t xml:space="preserve">comprises a </w:t>
      </w:r>
      <w:r w:rsidR="00963B46" w:rsidRPr="00997397">
        <w:rPr>
          <w:rFonts w:ascii="Times New Roman" w:hAnsi="Times New Roman" w:cs="Times New Roman"/>
          <w:bCs/>
          <w:sz w:val="24"/>
          <w:szCs w:val="24"/>
        </w:rPr>
        <w:t>Partnership Council</w:t>
      </w:r>
      <w:r w:rsidR="00305618">
        <w:rPr>
          <w:rFonts w:ascii="Times New Roman" w:hAnsi="Times New Roman" w:cs="Times New Roman"/>
          <w:bCs/>
          <w:sz w:val="24"/>
          <w:szCs w:val="24"/>
        </w:rPr>
        <w:t xml:space="preserve"> (PC)</w:t>
      </w:r>
      <w:r w:rsidR="00520416">
        <w:rPr>
          <w:rStyle w:val="FootnoteReference"/>
          <w:rFonts w:ascii="Times New Roman" w:hAnsi="Times New Roman" w:cs="Times New Roman"/>
          <w:bCs/>
          <w:sz w:val="24"/>
          <w:szCs w:val="24"/>
        </w:rPr>
        <w:footnoteReference w:id="42"/>
      </w:r>
      <w:r w:rsidR="009F1562" w:rsidRPr="00997397">
        <w:rPr>
          <w:rFonts w:ascii="Times New Roman" w:hAnsi="Times New Roman" w:cs="Times New Roman"/>
          <w:bCs/>
          <w:sz w:val="24"/>
          <w:szCs w:val="24"/>
        </w:rPr>
        <w:t xml:space="preserve"> and</w:t>
      </w:r>
      <w:r w:rsidR="00963B46" w:rsidRPr="00997397">
        <w:rPr>
          <w:rFonts w:ascii="Times New Roman" w:hAnsi="Times New Roman" w:cs="Times New Roman"/>
          <w:bCs/>
          <w:sz w:val="24"/>
          <w:szCs w:val="24"/>
        </w:rPr>
        <w:t xml:space="preserve"> </w:t>
      </w:r>
      <w:r w:rsidR="00A46251" w:rsidRPr="00997397">
        <w:rPr>
          <w:rFonts w:ascii="Times New Roman" w:hAnsi="Times New Roman" w:cs="Times New Roman"/>
          <w:bCs/>
          <w:sz w:val="24"/>
          <w:szCs w:val="24"/>
        </w:rPr>
        <w:t xml:space="preserve">19 </w:t>
      </w:r>
      <w:r w:rsidR="00963B46" w:rsidRPr="00997397">
        <w:rPr>
          <w:rFonts w:ascii="Times New Roman" w:hAnsi="Times New Roman" w:cs="Times New Roman"/>
          <w:bCs/>
          <w:sz w:val="24"/>
          <w:szCs w:val="24"/>
        </w:rPr>
        <w:t>specialised committees</w:t>
      </w:r>
      <w:r w:rsidR="00F16BA5" w:rsidRPr="00997397">
        <w:rPr>
          <w:rFonts w:ascii="Times New Roman" w:hAnsi="Times New Roman" w:cs="Times New Roman"/>
          <w:bCs/>
          <w:sz w:val="24"/>
          <w:szCs w:val="24"/>
        </w:rPr>
        <w:t xml:space="preserve"> </w:t>
      </w:r>
      <w:r w:rsidR="00FE7EFA">
        <w:rPr>
          <w:rFonts w:ascii="Times New Roman" w:hAnsi="Times New Roman" w:cs="Times New Roman"/>
          <w:bCs/>
          <w:sz w:val="24"/>
          <w:szCs w:val="24"/>
        </w:rPr>
        <w:t xml:space="preserve">(SCs) </w:t>
      </w:r>
      <w:r w:rsidR="00F16BA5" w:rsidRPr="00997397">
        <w:rPr>
          <w:rFonts w:ascii="Times New Roman" w:hAnsi="Times New Roman" w:cs="Times New Roman"/>
          <w:bCs/>
          <w:sz w:val="24"/>
          <w:szCs w:val="24"/>
        </w:rPr>
        <w:t xml:space="preserve">– </w:t>
      </w:r>
      <w:r w:rsidR="00520416">
        <w:rPr>
          <w:rFonts w:ascii="Times New Roman" w:hAnsi="Times New Roman" w:cs="Times New Roman"/>
          <w:bCs/>
          <w:sz w:val="24"/>
          <w:szCs w:val="24"/>
        </w:rPr>
        <w:t>ten</w:t>
      </w:r>
      <w:r w:rsidR="00F16BA5" w:rsidRPr="00997397">
        <w:rPr>
          <w:rFonts w:ascii="Times New Roman" w:hAnsi="Times New Roman" w:cs="Times New Roman"/>
          <w:bCs/>
          <w:sz w:val="24"/>
          <w:szCs w:val="24"/>
        </w:rPr>
        <w:t xml:space="preserve"> trade committees and </w:t>
      </w:r>
      <w:r w:rsidR="00D1253E">
        <w:rPr>
          <w:rFonts w:ascii="Times New Roman" w:hAnsi="Times New Roman" w:cs="Times New Roman"/>
          <w:bCs/>
          <w:sz w:val="24"/>
          <w:szCs w:val="24"/>
        </w:rPr>
        <w:t>nine</w:t>
      </w:r>
      <w:r w:rsidR="00475912" w:rsidRPr="00997397">
        <w:rPr>
          <w:rFonts w:ascii="Times New Roman" w:hAnsi="Times New Roman" w:cs="Times New Roman"/>
          <w:bCs/>
          <w:sz w:val="24"/>
          <w:szCs w:val="24"/>
        </w:rPr>
        <w:t xml:space="preserve"> sectoral committees</w:t>
      </w:r>
      <w:r w:rsidR="00BE347C" w:rsidRPr="00997397">
        <w:rPr>
          <w:rStyle w:val="FootnoteReference"/>
          <w:rFonts w:ascii="Times New Roman" w:hAnsi="Times New Roman" w:cs="Times New Roman"/>
          <w:bCs/>
          <w:sz w:val="24"/>
          <w:szCs w:val="24"/>
        </w:rPr>
        <w:footnoteReference w:id="43"/>
      </w:r>
      <w:r w:rsidR="00CF3B76" w:rsidRPr="00997397">
        <w:rPr>
          <w:rFonts w:ascii="Times New Roman" w:hAnsi="Times New Roman" w:cs="Times New Roman"/>
          <w:bCs/>
          <w:sz w:val="24"/>
          <w:szCs w:val="24"/>
        </w:rPr>
        <w:t xml:space="preserve"> </w:t>
      </w:r>
      <w:r w:rsidR="00663482" w:rsidRPr="00997397">
        <w:rPr>
          <w:rFonts w:ascii="Times New Roman" w:hAnsi="Times New Roman" w:cs="Times New Roman"/>
          <w:bCs/>
          <w:sz w:val="24"/>
          <w:szCs w:val="24"/>
        </w:rPr>
        <w:t>-</w:t>
      </w:r>
      <w:r w:rsidR="009F1562" w:rsidRPr="00997397">
        <w:rPr>
          <w:rFonts w:ascii="Times New Roman" w:hAnsi="Times New Roman" w:cs="Times New Roman"/>
          <w:bCs/>
          <w:sz w:val="24"/>
          <w:szCs w:val="24"/>
        </w:rPr>
        <w:t xml:space="preserve"> </w:t>
      </w:r>
      <w:r w:rsidR="00CF3B76" w:rsidRPr="00997397">
        <w:rPr>
          <w:rFonts w:ascii="Times New Roman" w:hAnsi="Times New Roman" w:cs="Times New Roman"/>
          <w:bCs/>
          <w:sz w:val="24"/>
          <w:szCs w:val="24"/>
        </w:rPr>
        <w:t>and</w:t>
      </w:r>
      <w:r w:rsidR="009F1562" w:rsidRPr="00997397">
        <w:rPr>
          <w:rFonts w:ascii="Times New Roman" w:hAnsi="Times New Roman" w:cs="Times New Roman"/>
          <w:bCs/>
          <w:sz w:val="24"/>
          <w:szCs w:val="24"/>
        </w:rPr>
        <w:t xml:space="preserve"> </w:t>
      </w:r>
      <w:r w:rsidR="00390702" w:rsidRPr="00997397">
        <w:rPr>
          <w:rFonts w:ascii="Times New Roman" w:hAnsi="Times New Roman" w:cs="Times New Roman"/>
          <w:bCs/>
          <w:sz w:val="24"/>
          <w:szCs w:val="24"/>
        </w:rPr>
        <w:t>four</w:t>
      </w:r>
      <w:r w:rsidR="00963B46" w:rsidRPr="00997397">
        <w:rPr>
          <w:rFonts w:ascii="Times New Roman" w:hAnsi="Times New Roman" w:cs="Times New Roman"/>
          <w:bCs/>
          <w:sz w:val="24"/>
          <w:szCs w:val="24"/>
        </w:rPr>
        <w:t xml:space="preserve"> </w:t>
      </w:r>
      <w:r w:rsidR="004B4D27">
        <w:rPr>
          <w:rFonts w:ascii="Times New Roman" w:hAnsi="Times New Roman" w:cs="Times New Roman"/>
          <w:bCs/>
          <w:sz w:val="24"/>
          <w:szCs w:val="24"/>
        </w:rPr>
        <w:t xml:space="preserve">technical </w:t>
      </w:r>
      <w:r w:rsidR="00963B46" w:rsidRPr="00997397">
        <w:rPr>
          <w:rFonts w:ascii="Times New Roman" w:hAnsi="Times New Roman" w:cs="Times New Roman"/>
          <w:bCs/>
          <w:sz w:val="24"/>
          <w:szCs w:val="24"/>
        </w:rPr>
        <w:t>working groups</w:t>
      </w:r>
      <w:r w:rsidR="00095143" w:rsidRPr="00997397">
        <w:rPr>
          <w:rFonts w:ascii="Times New Roman" w:hAnsi="Times New Roman" w:cs="Times New Roman"/>
          <w:bCs/>
          <w:sz w:val="24"/>
          <w:szCs w:val="24"/>
        </w:rPr>
        <w:t>,</w:t>
      </w:r>
      <w:r w:rsidR="00457EEF">
        <w:rPr>
          <w:rStyle w:val="FootnoteReference"/>
          <w:rFonts w:ascii="Times New Roman" w:hAnsi="Times New Roman" w:cs="Times New Roman"/>
          <w:bCs/>
          <w:sz w:val="24"/>
          <w:szCs w:val="24"/>
        </w:rPr>
        <w:footnoteReference w:id="44"/>
      </w:r>
      <w:r w:rsidR="00095143" w:rsidRPr="00997397">
        <w:rPr>
          <w:rFonts w:ascii="Times New Roman" w:hAnsi="Times New Roman" w:cs="Times New Roman"/>
          <w:bCs/>
          <w:sz w:val="24"/>
          <w:szCs w:val="24"/>
        </w:rPr>
        <w:t xml:space="preserve"> which can be added to</w:t>
      </w:r>
      <w:r w:rsidR="004B4D27">
        <w:rPr>
          <w:rFonts w:ascii="Times New Roman" w:hAnsi="Times New Roman" w:cs="Times New Roman"/>
          <w:bCs/>
          <w:sz w:val="24"/>
          <w:szCs w:val="24"/>
        </w:rPr>
        <w:t>.</w:t>
      </w:r>
      <w:r w:rsidR="00457EEF">
        <w:rPr>
          <w:rStyle w:val="FootnoteReference"/>
          <w:rFonts w:ascii="Times New Roman" w:hAnsi="Times New Roman" w:cs="Times New Roman"/>
          <w:bCs/>
          <w:sz w:val="24"/>
          <w:szCs w:val="24"/>
        </w:rPr>
        <w:footnoteReference w:id="45"/>
      </w:r>
      <w:r w:rsidR="00963B46" w:rsidRPr="00997397">
        <w:rPr>
          <w:rFonts w:ascii="Times New Roman" w:hAnsi="Times New Roman" w:cs="Times New Roman"/>
          <w:bCs/>
          <w:sz w:val="24"/>
          <w:szCs w:val="24"/>
        </w:rPr>
        <w:t xml:space="preserve"> </w:t>
      </w:r>
      <w:r w:rsidR="0038122A" w:rsidRPr="00305618">
        <w:rPr>
          <w:rFonts w:ascii="Times New Roman" w:eastAsia="Calibri" w:hAnsi="Times New Roman" w:cs="Times New Roman"/>
          <w:bCs/>
          <w:sz w:val="24"/>
          <w:szCs w:val="24"/>
        </w:rPr>
        <w:t xml:space="preserve">As with the JC, the </w:t>
      </w:r>
      <w:r w:rsidR="00305618" w:rsidRPr="00305618">
        <w:rPr>
          <w:rFonts w:ascii="Times New Roman" w:hAnsi="Times New Roman" w:cs="Times New Roman"/>
          <w:sz w:val="24"/>
          <w:szCs w:val="24"/>
        </w:rPr>
        <w:t>PC</w:t>
      </w:r>
      <w:r w:rsidR="00550FDF" w:rsidRPr="00305618">
        <w:rPr>
          <w:rFonts w:ascii="Times New Roman" w:hAnsi="Times New Roman" w:cs="Times New Roman"/>
          <w:sz w:val="24"/>
          <w:szCs w:val="24"/>
        </w:rPr>
        <w:t xml:space="preserve"> is co-chaired </w:t>
      </w:r>
      <w:r w:rsidR="00305618">
        <w:rPr>
          <w:rFonts w:ascii="Times New Roman" w:hAnsi="Times New Roman" w:cs="Times New Roman"/>
          <w:sz w:val="24"/>
          <w:szCs w:val="24"/>
        </w:rPr>
        <w:t xml:space="preserve">at a political level, </w:t>
      </w:r>
      <w:r w:rsidR="00550FDF" w:rsidRPr="00305618">
        <w:rPr>
          <w:rFonts w:ascii="Times New Roman" w:hAnsi="Times New Roman" w:cs="Times New Roman"/>
          <w:sz w:val="24"/>
          <w:szCs w:val="24"/>
        </w:rPr>
        <w:t xml:space="preserve">by a </w:t>
      </w:r>
      <w:r w:rsidR="00305618">
        <w:rPr>
          <w:rFonts w:ascii="Times New Roman" w:hAnsi="Times New Roman" w:cs="Times New Roman"/>
          <w:sz w:val="24"/>
          <w:szCs w:val="24"/>
        </w:rPr>
        <w:t>m</w:t>
      </w:r>
      <w:r w:rsidR="00550FDF" w:rsidRPr="00305618">
        <w:rPr>
          <w:rFonts w:ascii="Times New Roman" w:hAnsi="Times New Roman" w:cs="Times New Roman"/>
          <w:sz w:val="24"/>
          <w:szCs w:val="24"/>
        </w:rPr>
        <w:t xml:space="preserve">ember of the European Commission and a UK </w:t>
      </w:r>
      <w:r w:rsidR="00305618">
        <w:rPr>
          <w:rFonts w:ascii="Times New Roman" w:hAnsi="Times New Roman" w:cs="Times New Roman"/>
          <w:sz w:val="24"/>
          <w:szCs w:val="24"/>
        </w:rPr>
        <w:t>m</w:t>
      </w:r>
      <w:r w:rsidR="00265572" w:rsidRPr="00305618">
        <w:rPr>
          <w:rFonts w:ascii="Times New Roman" w:hAnsi="Times New Roman" w:cs="Times New Roman"/>
          <w:sz w:val="24"/>
          <w:szCs w:val="24"/>
        </w:rPr>
        <w:t>inister</w:t>
      </w:r>
      <w:r w:rsidR="00FC178D">
        <w:rPr>
          <w:rFonts w:ascii="Times New Roman" w:hAnsi="Times New Roman" w:cs="Times New Roman"/>
          <w:sz w:val="24"/>
          <w:szCs w:val="24"/>
        </w:rPr>
        <w:t xml:space="preserve">. </w:t>
      </w:r>
      <w:r w:rsidR="00DB5548" w:rsidRPr="00997397">
        <w:rPr>
          <w:rFonts w:ascii="Times New Roman" w:hAnsi="Times New Roman" w:cs="Times New Roman"/>
          <w:sz w:val="24"/>
          <w:szCs w:val="24"/>
        </w:rPr>
        <w:t xml:space="preserve">Decisions in the </w:t>
      </w:r>
      <w:r w:rsidR="00DB5548">
        <w:rPr>
          <w:rFonts w:ascii="Times New Roman" w:hAnsi="Times New Roman" w:cs="Times New Roman"/>
          <w:sz w:val="24"/>
          <w:szCs w:val="24"/>
        </w:rPr>
        <w:t xml:space="preserve">PC </w:t>
      </w:r>
      <w:r w:rsidR="00DB5548" w:rsidRPr="00997397">
        <w:rPr>
          <w:rFonts w:ascii="Times New Roman" w:hAnsi="Times New Roman" w:cs="Times New Roman"/>
          <w:sz w:val="24"/>
          <w:szCs w:val="24"/>
        </w:rPr>
        <w:t xml:space="preserve">and </w:t>
      </w:r>
      <w:r w:rsidR="00DB5548">
        <w:rPr>
          <w:rFonts w:ascii="Times New Roman" w:hAnsi="Times New Roman" w:cs="Times New Roman"/>
          <w:sz w:val="24"/>
          <w:szCs w:val="24"/>
        </w:rPr>
        <w:t xml:space="preserve">its </w:t>
      </w:r>
      <w:r w:rsidR="00DB5548" w:rsidRPr="00997397">
        <w:rPr>
          <w:rFonts w:ascii="Times New Roman" w:hAnsi="Times New Roman" w:cs="Times New Roman"/>
          <w:sz w:val="24"/>
          <w:szCs w:val="24"/>
        </w:rPr>
        <w:t>committees are to be taken by mutual consent</w:t>
      </w:r>
      <w:r w:rsidR="0004148C">
        <w:rPr>
          <w:rFonts w:ascii="Times New Roman" w:hAnsi="Times New Roman" w:cs="Times New Roman"/>
          <w:sz w:val="24"/>
          <w:szCs w:val="24"/>
        </w:rPr>
        <w:t>, and i</w:t>
      </w:r>
      <w:r w:rsidR="00550FDF" w:rsidRPr="00305618">
        <w:rPr>
          <w:rFonts w:ascii="Times New Roman" w:hAnsi="Times New Roman" w:cs="Times New Roman"/>
          <w:sz w:val="24"/>
          <w:szCs w:val="24"/>
        </w:rPr>
        <w:t>t meets at least</w:t>
      </w:r>
      <w:r w:rsidR="00550FDF" w:rsidRPr="00997397">
        <w:rPr>
          <w:rFonts w:ascii="Times New Roman" w:hAnsi="Times New Roman" w:cs="Times New Roman"/>
          <w:sz w:val="24"/>
          <w:szCs w:val="24"/>
        </w:rPr>
        <w:t xml:space="preserve"> once a year, </w:t>
      </w:r>
      <w:r w:rsidR="0004148C">
        <w:rPr>
          <w:rFonts w:ascii="Times New Roman" w:hAnsi="Times New Roman" w:cs="Times New Roman"/>
          <w:sz w:val="24"/>
          <w:szCs w:val="24"/>
        </w:rPr>
        <w:t xml:space="preserve">or </w:t>
      </w:r>
      <w:r w:rsidR="00550FDF" w:rsidRPr="00997397">
        <w:rPr>
          <w:rFonts w:ascii="Times New Roman" w:hAnsi="Times New Roman" w:cs="Times New Roman"/>
          <w:sz w:val="24"/>
          <w:szCs w:val="24"/>
        </w:rPr>
        <w:t xml:space="preserve">more often at the request of either </w:t>
      </w:r>
      <w:r w:rsidR="00265572" w:rsidRPr="00997397">
        <w:rPr>
          <w:rFonts w:ascii="Times New Roman" w:hAnsi="Times New Roman" w:cs="Times New Roman"/>
          <w:sz w:val="24"/>
          <w:szCs w:val="24"/>
        </w:rPr>
        <w:t>party</w:t>
      </w:r>
      <w:r w:rsidR="00F808E7" w:rsidRPr="00997397">
        <w:rPr>
          <w:rFonts w:ascii="Times New Roman" w:hAnsi="Times New Roman" w:cs="Times New Roman"/>
          <w:sz w:val="24"/>
          <w:szCs w:val="24"/>
        </w:rPr>
        <w:t xml:space="preserve">. </w:t>
      </w:r>
      <w:r w:rsidR="00550FDF" w:rsidRPr="00997397">
        <w:rPr>
          <w:rFonts w:ascii="Times New Roman" w:hAnsi="Times New Roman" w:cs="Times New Roman"/>
          <w:sz w:val="24"/>
          <w:szCs w:val="24"/>
        </w:rPr>
        <w:t xml:space="preserve">The EU or the UK </w:t>
      </w:r>
      <w:r w:rsidR="00FC178D">
        <w:rPr>
          <w:rFonts w:ascii="Times New Roman" w:hAnsi="Times New Roman" w:cs="Times New Roman"/>
          <w:sz w:val="24"/>
          <w:szCs w:val="24"/>
        </w:rPr>
        <w:t>may</w:t>
      </w:r>
      <w:r w:rsidR="00550FDF" w:rsidRPr="00997397">
        <w:rPr>
          <w:rFonts w:ascii="Times New Roman" w:hAnsi="Times New Roman" w:cs="Times New Roman"/>
          <w:sz w:val="24"/>
          <w:szCs w:val="24"/>
        </w:rPr>
        <w:t xml:space="preserve"> refer to the </w:t>
      </w:r>
      <w:r w:rsidR="00FC178D">
        <w:rPr>
          <w:rFonts w:ascii="Times New Roman" w:hAnsi="Times New Roman" w:cs="Times New Roman"/>
          <w:sz w:val="24"/>
          <w:szCs w:val="24"/>
        </w:rPr>
        <w:t xml:space="preserve">PC </w:t>
      </w:r>
      <w:r w:rsidR="00550FDF" w:rsidRPr="00997397">
        <w:rPr>
          <w:rFonts w:ascii="Times New Roman" w:hAnsi="Times New Roman" w:cs="Times New Roman"/>
          <w:sz w:val="24"/>
          <w:szCs w:val="24"/>
        </w:rPr>
        <w:t xml:space="preserve">any issue relating to the implementation, </w:t>
      </w:r>
      <w:proofErr w:type="gramStart"/>
      <w:r w:rsidR="00550FDF" w:rsidRPr="00997397">
        <w:rPr>
          <w:rFonts w:ascii="Times New Roman" w:hAnsi="Times New Roman" w:cs="Times New Roman"/>
          <w:sz w:val="24"/>
          <w:szCs w:val="24"/>
        </w:rPr>
        <w:t>application</w:t>
      </w:r>
      <w:proofErr w:type="gramEnd"/>
      <w:r w:rsidR="00550FDF" w:rsidRPr="00997397">
        <w:rPr>
          <w:rFonts w:ascii="Times New Roman" w:hAnsi="Times New Roman" w:cs="Times New Roman"/>
          <w:sz w:val="24"/>
          <w:szCs w:val="24"/>
        </w:rPr>
        <w:t xml:space="preserve"> and interpretation of the </w:t>
      </w:r>
      <w:r w:rsidR="00FC178D">
        <w:rPr>
          <w:rFonts w:ascii="Times New Roman" w:hAnsi="Times New Roman" w:cs="Times New Roman"/>
          <w:sz w:val="24"/>
          <w:szCs w:val="24"/>
        </w:rPr>
        <w:t>TCA.</w:t>
      </w:r>
      <w:r w:rsidR="00212A7C">
        <w:rPr>
          <w:rFonts w:ascii="Times New Roman" w:eastAsia="Calibri" w:hAnsi="Times New Roman" w:cs="Times New Roman"/>
          <w:bCs/>
          <w:i/>
          <w:iCs/>
          <w:sz w:val="24"/>
          <w:szCs w:val="24"/>
        </w:rPr>
        <w:t xml:space="preserve"> </w:t>
      </w:r>
    </w:p>
    <w:p w14:paraId="335DBF5E" w14:textId="08BBCAE9" w:rsidR="00AE1877" w:rsidRPr="00997397" w:rsidRDefault="00F10F7E" w:rsidP="008D13E2">
      <w:pPr>
        <w:rPr>
          <w:rFonts w:ascii="Times New Roman" w:hAnsi="Times New Roman" w:cs="Times New Roman"/>
          <w:sz w:val="24"/>
          <w:szCs w:val="24"/>
        </w:rPr>
      </w:pPr>
      <w:r>
        <w:rPr>
          <w:rFonts w:ascii="Times New Roman" w:hAnsi="Times New Roman" w:cs="Times New Roman"/>
          <w:sz w:val="24"/>
          <w:szCs w:val="24"/>
        </w:rPr>
        <w:t xml:space="preserve">As with the WA SCs, </w:t>
      </w:r>
      <w:r w:rsidR="008767A1">
        <w:rPr>
          <w:rFonts w:ascii="Times New Roman" w:hAnsi="Times New Roman" w:cs="Times New Roman"/>
          <w:sz w:val="24"/>
          <w:szCs w:val="24"/>
        </w:rPr>
        <w:t>t</w:t>
      </w:r>
      <w:r w:rsidR="00D74101">
        <w:rPr>
          <w:rFonts w:ascii="Times New Roman" w:hAnsi="Times New Roman" w:cs="Times New Roman"/>
          <w:sz w:val="24"/>
          <w:szCs w:val="24"/>
        </w:rPr>
        <w:t xml:space="preserve">he SCs </w:t>
      </w:r>
      <w:r>
        <w:rPr>
          <w:rFonts w:ascii="Times New Roman" w:hAnsi="Times New Roman" w:cs="Times New Roman"/>
          <w:sz w:val="24"/>
          <w:szCs w:val="24"/>
        </w:rPr>
        <w:t xml:space="preserve">and working groups </w:t>
      </w:r>
      <w:r w:rsidR="00311A68">
        <w:rPr>
          <w:rFonts w:ascii="Times New Roman" w:hAnsi="Times New Roman" w:cs="Times New Roman"/>
          <w:sz w:val="24"/>
          <w:szCs w:val="24"/>
        </w:rPr>
        <w:t xml:space="preserve">should comprise representatives of </w:t>
      </w:r>
      <w:r w:rsidR="00511CD2">
        <w:rPr>
          <w:rFonts w:ascii="Times New Roman" w:hAnsi="Times New Roman" w:cs="Times New Roman"/>
          <w:sz w:val="24"/>
          <w:szCs w:val="24"/>
        </w:rPr>
        <w:t>each party with appropriate expertise</w:t>
      </w:r>
      <w:r w:rsidR="0028323D">
        <w:rPr>
          <w:rFonts w:ascii="Times New Roman" w:hAnsi="Times New Roman" w:cs="Times New Roman"/>
          <w:sz w:val="24"/>
          <w:szCs w:val="24"/>
        </w:rPr>
        <w:t>,</w:t>
      </w:r>
      <w:r w:rsidR="00935C5E">
        <w:rPr>
          <w:rStyle w:val="FootnoteReference"/>
          <w:rFonts w:ascii="Times New Roman" w:hAnsi="Times New Roman" w:cs="Times New Roman"/>
          <w:sz w:val="24"/>
          <w:szCs w:val="24"/>
        </w:rPr>
        <w:footnoteReference w:id="46"/>
      </w:r>
      <w:r w:rsidR="0028175B">
        <w:rPr>
          <w:rFonts w:ascii="Times New Roman" w:hAnsi="Times New Roman" w:cs="Times New Roman"/>
          <w:sz w:val="24"/>
          <w:szCs w:val="24"/>
        </w:rPr>
        <w:t xml:space="preserve"> </w:t>
      </w:r>
      <w:r w:rsidR="0028323D">
        <w:rPr>
          <w:rFonts w:ascii="Times New Roman" w:hAnsi="Times New Roman" w:cs="Times New Roman"/>
          <w:sz w:val="24"/>
          <w:szCs w:val="24"/>
        </w:rPr>
        <w:t xml:space="preserve">and so </w:t>
      </w:r>
      <w:r w:rsidR="00D74101">
        <w:rPr>
          <w:rFonts w:ascii="Times New Roman" w:hAnsi="Times New Roman" w:cs="Times New Roman"/>
          <w:sz w:val="24"/>
          <w:szCs w:val="24"/>
        </w:rPr>
        <w:t xml:space="preserve">are likely to be staffed by </w:t>
      </w:r>
      <w:r w:rsidR="00C53B7F">
        <w:rPr>
          <w:rFonts w:ascii="Times New Roman" w:hAnsi="Times New Roman" w:cs="Times New Roman"/>
          <w:sz w:val="24"/>
          <w:szCs w:val="24"/>
        </w:rPr>
        <w:t xml:space="preserve">officials and </w:t>
      </w:r>
      <w:r w:rsidR="00D74101">
        <w:rPr>
          <w:rFonts w:ascii="Times New Roman" w:hAnsi="Times New Roman" w:cs="Times New Roman"/>
          <w:sz w:val="24"/>
          <w:szCs w:val="24"/>
        </w:rPr>
        <w:t xml:space="preserve">civil servants. </w:t>
      </w:r>
      <w:r w:rsidR="00A977DB" w:rsidRPr="00997397">
        <w:rPr>
          <w:rFonts w:ascii="Times New Roman" w:hAnsi="Times New Roman" w:cs="Times New Roman"/>
          <w:sz w:val="24"/>
          <w:szCs w:val="24"/>
        </w:rPr>
        <w:t xml:space="preserve">The </w:t>
      </w:r>
      <w:r w:rsidR="00FE7EFA">
        <w:rPr>
          <w:rFonts w:ascii="Times New Roman" w:hAnsi="Times New Roman" w:cs="Times New Roman"/>
          <w:sz w:val="24"/>
          <w:szCs w:val="24"/>
        </w:rPr>
        <w:t>SCs’</w:t>
      </w:r>
      <w:r w:rsidR="00042101" w:rsidRPr="00997397">
        <w:rPr>
          <w:rFonts w:ascii="Times New Roman" w:hAnsi="Times New Roman" w:cs="Times New Roman"/>
          <w:sz w:val="24"/>
          <w:szCs w:val="24"/>
        </w:rPr>
        <w:t xml:space="preserve"> roles include </w:t>
      </w:r>
      <w:r w:rsidR="004D0D2F" w:rsidRPr="00997397">
        <w:rPr>
          <w:rFonts w:ascii="Times New Roman" w:hAnsi="Times New Roman" w:cs="Times New Roman"/>
          <w:sz w:val="24"/>
          <w:szCs w:val="24"/>
        </w:rPr>
        <w:t>monitoring and reviewing implementation of their respective chapters,</w:t>
      </w:r>
      <w:r w:rsidR="00B74564" w:rsidRPr="00997397">
        <w:rPr>
          <w:rFonts w:ascii="Times New Roman" w:hAnsi="Times New Roman" w:cs="Times New Roman"/>
          <w:sz w:val="24"/>
          <w:szCs w:val="24"/>
        </w:rPr>
        <w:t xml:space="preserve"> </w:t>
      </w:r>
      <w:r w:rsidR="007022DE" w:rsidRPr="00997397">
        <w:rPr>
          <w:rFonts w:ascii="Times New Roman" w:hAnsi="Times New Roman" w:cs="Times New Roman"/>
          <w:sz w:val="24"/>
          <w:szCs w:val="24"/>
        </w:rPr>
        <w:t>exchanging</w:t>
      </w:r>
      <w:r w:rsidR="00B74564" w:rsidRPr="00997397">
        <w:rPr>
          <w:rFonts w:ascii="Times New Roman" w:hAnsi="Times New Roman" w:cs="Times New Roman"/>
          <w:sz w:val="24"/>
          <w:szCs w:val="24"/>
        </w:rPr>
        <w:t xml:space="preserve"> information and best practice, and </w:t>
      </w:r>
      <w:r w:rsidR="007022DE" w:rsidRPr="00997397">
        <w:rPr>
          <w:rFonts w:ascii="Times New Roman" w:hAnsi="Times New Roman" w:cs="Times New Roman"/>
          <w:sz w:val="24"/>
          <w:szCs w:val="24"/>
        </w:rPr>
        <w:t xml:space="preserve">resolving disputes. </w:t>
      </w:r>
      <w:r w:rsidR="00042101" w:rsidRPr="00997397">
        <w:rPr>
          <w:rFonts w:ascii="Times New Roman" w:hAnsi="Times New Roman" w:cs="Times New Roman"/>
          <w:sz w:val="24"/>
          <w:szCs w:val="24"/>
        </w:rPr>
        <w:t>In addition, s</w:t>
      </w:r>
      <w:r w:rsidR="00AE1877" w:rsidRPr="00997397">
        <w:rPr>
          <w:rFonts w:ascii="Times New Roman" w:hAnsi="Times New Roman" w:cs="Times New Roman"/>
          <w:sz w:val="24"/>
          <w:szCs w:val="24"/>
        </w:rPr>
        <w:t xml:space="preserve">pecific tasks of particular committees include </w:t>
      </w:r>
      <w:r w:rsidR="007B39D5" w:rsidRPr="00997397">
        <w:rPr>
          <w:rFonts w:ascii="Times New Roman" w:hAnsi="Times New Roman" w:cs="Times New Roman"/>
          <w:sz w:val="24"/>
          <w:szCs w:val="24"/>
        </w:rPr>
        <w:t xml:space="preserve">e.g. exchange of statistical information </w:t>
      </w:r>
      <w:r w:rsidR="001E4160" w:rsidRPr="00997397">
        <w:rPr>
          <w:rFonts w:ascii="Times New Roman" w:hAnsi="Times New Roman" w:cs="Times New Roman"/>
          <w:sz w:val="24"/>
          <w:szCs w:val="24"/>
        </w:rPr>
        <w:t>(</w:t>
      </w:r>
      <w:r w:rsidR="007B39D5" w:rsidRPr="00997397">
        <w:rPr>
          <w:rFonts w:ascii="Times New Roman" w:hAnsi="Times New Roman" w:cs="Times New Roman"/>
          <w:sz w:val="24"/>
          <w:szCs w:val="24"/>
        </w:rPr>
        <w:t xml:space="preserve">on </w:t>
      </w:r>
      <w:r w:rsidR="001E4160" w:rsidRPr="00997397">
        <w:rPr>
          <w:rFonts w:ascii="Times New Roman" w:hAnsi="Times New Roman" w:cs="Times New Roman"/>
          <w:sz w:val="24"/>
          <w:szCs w:val="24"/>
        </w:rPr>
        <w:t>air transport</w:t>
      </w:r>
      <w:proofErr w:type="gramStart"/>
      <w:r w:rsidR="001E4160" w:rsidRPr="00997397">
        <w:rPr>
          <w:rFonts w:ascii="Times New Roman" w:hAnsi="Times New Roman" w:cs="Times New Roman"/>
          <w:sz w:val="24"/>
          <w:szCs w:val="24"/>
        </w:rPr>
        <w:t xml:space="preserve">), </w:t>
      </w:r>
      <w:r w:rsidR="00946E7E">
        <w:rPr>
          <w:rFonts w:ascii="Times New Roman" w:hAnsi="Times New Roman" w:cs="Times New Roman"/>
          <w:sz w:val="24"/>
          <w:szCs w:val="24"/>
        </w:rPr>
        <w:t>and</w:t>
      </w:r>
      <w:proofErr w:type="gramEnd"/>
      <w:r w:rsidR="00946E7E">
        <w:rPr>
          <w:rFonts w:ascii="Times New Roman" w:hAnsi="Times New Roman" w:cs="Times New Roman"/>
          <w:sz w:val="24"/>
          <w:szCs w:val="24"/>
        </w:rPr>
        <w:t xml:space="preserve"> </w:t>
      </w:r>
      <w:r w:rsidR="001E4160" w:rsidRPr="00997397">
        <w:rPr>
          <w:rFonts w:ascii="Times New Roman" w:hAnsi="Times New Roman" w:cs="Times New Roman"/>
          <w:sz w:val="24"/>
          <w:szCs w:val="24"/>
        </w:rPr>
        <w:t>discussing new regulatory measures (on road transport)</w:t>
      </w:r>
      <w:r w:rsidR="008C19CE" w:rsidRPr="00997397">
        <w:rPr>
          <w:rFonts w:ascii="Times New Roman" w:hAnsi="Times New Roman" w:cs="Times New Roman"/>
          <w:sz w:val="24"/>
          <w:szCs w:val="24"/>
        </w:rPr>
        <w:t>. As with the PC, the SCs are to meet at least once a year.</w:t>
      </w:r>
      <w:r w:rsidR="00D43A0E" w:rsidRPr="00997397">
        <w:rPr>
          <w:rFonts w:ascii="Times New Roman" w:hAnsi="Times New Roman" w:cs="Times New Roman"/>
          <w:sz w:val="24"/>
          <w:szCs w:val="24"/>
        </w:rPr>
        <w:t xml:space="preserve"> This </w:t>
      </w:r>
      <w:r w:rsidR="005E4493" w:rsidRPr="00997397">
        <w:rPr>
          <w:rFonts w:ascii="Times New Roman" w:hAnsi="Times New Roman" w:cs="Times New Roman"/>
          <w:sz w:val="24"/>
          <w:szCs w:val="24"/>
        </w:rPr>
        <w:t xml:space="preserve">seems unlikely to replace the intensity of interaction taking place between networks of regulators. </w:t>
      </w:r>
    </w:p>
    <w:p w14:paraId="7A1B8897" w14:textId="11670F4B" w:rsidR="003F671E" w:rsidRDefault="004F6BB0" w:rsidP="004F6BB0">
      <w:pPr>
        <w:rPr>
          <w:rFonts w:ascii="Times New Roman" w:hAnsi="Times New Roman" w:cs="Times New Roman"/>
          <w:bCs/>
          <w:sz w:val="24"/>
          <w:szCs w:val="24"/>
        </w:rPr>
      </w:pPr>
      <w:r w:rsidRPr="00997397">
        <w:rPr>
          <w:rFonts w:ascii="Times New Roman" w:hAnsi="Times New Roman" w:cs="Times New Roman"/>
          <w:sz w:val="24"/>
          <w:szCs w:val="24"/>
        </w:rPr>
        <w:t>Enforcement</w:t>
      </w:r>
      <w:r w:rsidR="00B00908">
        <w:rPr>
          <w:rFonts w:ascii="Times New Roman" w:hAnsi="Times New Roman" w:cs="Times New Roman"/>
          <w:sz w:val="24"/>
          <w:szCs w:val="24"/>
        </w:rPr>
        <w:t xml:space="preserve"> through the TCA</w:t>
      </w:r>
      <w:r w:rsidR="003813FC">
        <w:rPr>
          <w:rFonts w:ascii="Times New Roman" w:hAnsi="Times New Roman" w:cs="Times New Roman"/>
          <w:sz w:val="24"/>
          <w:szCs w:val="24"/>
        </w:rPr>
        <w:t xml:space="preserve"> is based on </w:t>
      </w:r>
      <w:r w:rsidR="00331D3E">
        <w:rPr>
          <w:rFonts w:ascii="Times New Roman" w:hAnsi="Times New Roman" w:cs="Times New Roman"/>
          <w:sz w:val="24"/>
          <w:szCs w:val="24"/>
        </w:rPr>
        <w:t>upon compensat</w:t>
      </w:r>
      <w:r w:rsidR="005A3718">
        <w:rPr>
          <w:rFonts w:ascii="Times New Roman" w:hAnsi="Times New Roman" w:cs="Times New Roman"/>
          <w:sz w:val="24"/>
          <w:szCs w:val="24"/>
        </w:rPr>
        <w:t>ory</w:t>
      </w:r>
      <w:r w:rsidR="00331D3E">
        <w:rPr>
          <w:rFonts w:ascii="Times New Roman" w:hAnsi="Times New Roman" w:cs="Times New Roman"/>
          <w:sz w:val="24"/>
          <w:szCs w:val="24"/>
        </w:rPr>
        <w:t>, remedial and suspension measures.</w:t>
      </w:r>
      <w:r w:rsidR="00EC5897" w:rsidRPr="00997397">
        <w:rPr>
          <w:rFonts w:ascii="Times New Roman" w:hAnsi="Times New Roman" w:cs="Times New Roman"/>
          <w:sz w:val="24"/>
          <w:szCs w:val="24"/>
        </w:rPr>
        <w:t xml:space="preserve"> </w:t>
      </w:r>
      <w:r w:rsidR="00EC5897" w:rsidRPr="00997397">
        <w:rPr>
          <w:rFonts w:ascii="Times New Roman" w:hAnsi="Times New Roman" w:cs="Times New Roman"/>
          <w:bCs/>
          <w:sz w:val="24"/>
          <w:szCs w:val="24"/>
        </w:rPr>
        <w:t xml:space="preserve">Persistent lack of compliance with an arbitral ruling may ultimately lead to temporary compensation agreed between the parties, or unilateral suspension of obligations in any area by the complaining party. </w:t>
      </w:r>
      <w:r w:rsidR="00D4628F">
        <w:rPr>
          <w:rFonts w:ascii="Times New Roman" w:hAnsi="Times New Roman" w:cs="Times New Roman"/>
          <w:bCs/>
          <w:sz w:val="24"/>
          <w:szCs w:val="24"/>
        </w:rPr>
        <w:t xml:space="preserve">The horizontal dispute resolution process is </w:t>
      </w:r>
      <w:r w:rsidR="0004033F">
        <w:rPr>
          <w:rFonts w:ascii="Times New Roman" w:hAnsi="Times New Roman" w:cs="Times New Roman"/>
          <w:bCs/>
          <w:sz w:val="24"/>
          <w:szCs w:val="24"/>
        </w:rPr>
        <w:t>through arbitral tribunal, without a role for the CJEU unlike in the WA.</w:t>
      </w:r>
    </w:p>
    <w:p w14:paraId="76EA3409" w14:textId="28D66997" w:rsidR="00163277" w:rsidRDefault="00163277" w:rsidP="00163277">
      <w:pPr>
        <w:spacing w:after="0" w:line="240" w:lineRule="auto"/>
        <w:rPr>
          <w:rFonts w:ascii="Times New Roman" w:eastAsia="Calibri" w:hAnsi="Times New Roman" w:cs="Times New Roman"/>
          <w:bCs/>
          <w:sz w:val="24"/>
          <w:szCs w:val="24"/>
        </w:rPr>
      </w:pPr>
      <w:r w:rsidRPr="00997397">
        <w:rPr>
          <w:rFonts w:ascii="Times New Roman" w:eastAsia="Calibri" w:hAnsi="Times New Roman" w:cs="Times New Roman"/>
          <w:bCs/>
          <w:sz w:val="24"/>
          <w:szCs w:val="24"/>
        </w:rPr>
        <w:t>Either party experiencing “</w:t>
      </w:r>
      <w:bookmarkStart w:id="3" w:name="_Hlk66044965"/>
      <w:r w:rsidRPr="00997397">
        <w:rPr>
          <w:rFonts w:ascii="Times New Roman" w:eastAsia="Calibri" w:hAnsi="Times New Roman" w:cs="Times New Roman"/>
          <w:bCs/>
          <w:sz w:val="24"/>
          <w:szCs w:val="24"/>
        </w:rPr>
        <w:t>serious economic, societal or environmental difficulties of a sectorial or regional nature</w:t>
      </w:r>
      <w:bookmarkEnd w:id="3"/>
      <w:r w:rsidRPr="00997397">
        <w:rPr>
          <w:rFonts w:ascii="Times New Roman" w:eastAsia="Calibri" w:hAnsi="Times New Roman" w:cs="Times New Roman"/>
          <w:bCs/>
          <w:sz w:val="24"/>
          <w:szCs w:val="24"/>
        </w:rPr>
        <w:t>…that are liable to persist” may apply proportionate safeguard measures restricted in scope and duration.</w:t>
      </w:r>
      <w:r w:rsidRPr="00997397">
        <w:rPr>
          <w:rStyle w:val="FootnoteReference"/>
          <w:rFonts w:ascii="Times New Roman" w:eastAsia="Calibri" w:hAnsi="Times New Roman" w:cs="Times New Roman"/>
          <w:bCs/>
          <w:sz w:val="24"/>
          <w:szCs w:val="24"/>
        </w:rPr>
        <w:footnoteReference w:id="47"/>
      </w:r>
      <w:r w:rsidRPr="00997397">
        <w:rPr>
          <w:rFonts w:ascii="Times New Roman" w:eastAsia="Calibri" w:hAnsi="Times New Roman" w:cs="Times New Roman"/>
          <w:bCs/>
          <w:sz w:val="24"/>
          <w:szCs w:val="24"/>
        </w:rPr>
        <w:t xml:space="preserve"> While these measures should prioritise areas which will least disturb the agreement’s functioning, they may ultimately extend to suspending obligations in any area of the TCA. The </w:t>
      </w:r>
      <w:r w:rsidR="00C36DCB">
        <w:rPr>
          <w:rFonts w:ascii="Times New Roman" w:eastAsia="Calibri" w:hAnsi="Times New Roman" w:cs="Times New Roman"/>
          <w:bCs/>
          <w:sz w:val="24"/>
          <w:szCs w:val="24"/>
        </w:rPr>
        <w:t xml:space="preserve">horizontal </w:t>
      </w:r>
      <w:r w:rsidRPr="00997397">
        <w:rPr>
          <w:rFonts w:ascii="Times New Roman" w:eastAsia="Calibri" w:hAnsi="Times New Roman" w:cs="Times New Roman"/>
          <w:bCs/>
          <w:sz w:val="24"/>
          <w:szCs w:val="24"/>
        </w:rPr>
        <w:t xml:space="preserve">dispute settlement mechanism applies to these measures. The other party may respond with ‘rebalancing’ measures, again which will least disturb functioning of the agreement. </w:t>
      </w:r>
    </w:p>
    <w:p w14:paraId="449D9A26" w14:textId="6D2F8AE7" w:rsidR="00A57B5C" w:rsidRDefault="00A57B5C" w:rsidP="00163277">
      <w:pPr>
        <w:spacing w:after="0" w:line="240" w:lineRule="auto"/>
        <w:rPr>
          <w:rFonts w:ascii="Times New Roman" w:eastAsia="Calibri" w:hAnsi="Times New Roman" w:cs="Times New Roman"/>
          <w:bCs/>
          <w:sz w:val="24"/>
          <w:szCs w:val="24"/>
        </w:rPr>
      </w:pPr>
    </w:p>
    <w:p w14:paraId="55AB3B25" w14:textId="77777777" w:rsidR="00A57B5C" w:rsidRPr="00212A7C" w:rsidRDefault="00A57B5C" w:rsidP="00A57B5C">
      <w:pPr>
        <w:rPr>
          <w:rFonts w:ascii="Times New Roman" w:eastAsia="Calibri" w:hAnsi="Times New Roman" w:cs="Times New Roman"/>
          <w:bCs/>
          <w:i/>
          <w:iCs/>
          <w:sz w:val="24"/>
          <w:szCs w:val="24"/>
        </w:rPr>
      </w:pPr>
      <w:r w:rsidRPr="00212A7C">
        <w:rPr>
          <w:rFonts w:ascii="Times New Roman" w:eastAsia="Calibri" w:hAnsi="Times New Roman" w:cs="Times New Roman"/>
          <w:bCs/>
          <w:sz w:val="24"/>
          <w:szCs w:val="24"/>
        </w:rPr>
        <w:lastRenderedPageBreak/>
        <w:t xml:space="preserve">Unlike the WA, </w:t>
      </w:r>
      <w:r>
        <w:rPr>
          <w:rFonts w:ascii="Times New Roman" w:hAnsi="Times New Roman" w:cs="Times New Roman"/>
          <w:sz w:val="24"/>
          <w:szCs w:val="24"/>
        </w:rPr>
        <w:t xml:space="preserve">the </w:t>
      </w:r>
      <w:r w:rsidRPr="00212A7C">
        <w:rPr>
          <w:rFonts w:ascii="Times New Roman" w:hAnsi="Times New Roman" w:cs="Times New Roman"/>
          <w:sz w:val="24"/>
          <w:szCs w:val="24"/>
        </w:rPr>
        <w:t xml:space="preserve">TCA </w:t>
      </w:r>
      <w:r>
        <w:rPr>
          <w:rFonts w:ascii="Times New Roman" w:hAnsi="Times New Roman" w:cs="Times New Roman"/>
          <w:sz w:val="24"/>
          <w:szCs w:val="24"/>
        </w:rPr>
        <w:t xml:space="preserve">can </w:t>
      </w:r>
      <w:r w:rsidRPr="00212A7C">
        <w:rPr>
          <w:rFonts w:ascii="Times New Roman" w:hAnsi="Times New Roman" w:cs="Times New Roman"/>
          <w:sz w:val="24"/>
          <w:szCs w:val="24"/>
        </w:rPr>
        <w:t>be terminated through diplomatic channels, causing it to end 12 months later.</w:t>
      </w:r>
      <w:r>
        <w:rPr>
          <w:rStyle w:val="FootnoteReference"/>
          <w:rFonts w:ascii="Times New Roman" w:hAnsi="Times New Roman" w:cs="Times New Roman"/>
          <w:sz w:val="24"/>
          <w:szCs w:val="24"/>
        </w:rPr>
        <w:footnoteReference w:id="48"/>
      </w:r>
      <w:r w:rsidRPr="00997397">
        <w:rPr>
          <w:rFonts w:ascii="Times New Roman" w:hAnsi="Times New Roman" w:cs="Times New Roman"/>
          <w:sz w:val="24"/>
          <w:szCs w:val="24"/>
        </w:rPr>
        <w:t xml:space="preserve"> </w:t>
      </w:r>
      <w:r>
        <w:rPr>
          <w:rFonts w:ascii="Times New Roman" w:hAnsi="Times New Roman" w:cs="Times New Roman"/>
          <w:sz w:val="24"/>
          <w:szCs w:val="24"/>
        </w:rPr>
        <w:t>Less drastically, e</w:t>
      </w:r>
      <w:r w:rsidRPr="003B07D5">
        <w:rPr>
          <w:rFonts w:ascii="Times New Roman" w:hAnsi="Times New Roman" w:cs="Times New Roman"/>
          <w:sz w:val="24"/>
          <w:szCs w:val="24"/>
        </w:rPr>
        <w:t xml:space="preserve">ither </w:t>
      </w:r>
      <w:r>
        <w:rPr>
          <w:rFonts w:ascii="Times New Roman" w:hAnsi="Times New Roman" w:cs="Times New Roman"/>
          <w:sz w:val="24"/>
          <w:szCs w:val="24"/>
        </w:rPr>
        <w:t>p</w:t>
      </w:r>
      <w:r w:rsidRPr="003B07D5">
        <w:rPr>
          <w:rFonts w:ascii="Times New Roman" w:hAnsi="Times New Roman" w:cs="Times New Roman"/>
          <w:sz w:val="24"/>
          <w:szCs w:val="24"/>
        </w:rPr>
        <w:t xml:space="preserve">arty may request a review of the TCA </w:t>
      </w:r>
      <w:r>
        <w:rPr>
          <w:rFonts w:ascii="Times New Roman" w:hAnsi="Times New Roman" w:cs="Times New Roman"/>
          <w:sz w:val="24"/>
          <w:szCs w:val="24"/>
        </w:rPr>
        <w:t>t</w:t>
      </w:r>
      <w:r w:rsidRPr="003B07D5">
        <w:rPr>
          <w:rFonts w:ascii="Times New Roman" w:hAnsi="Times New Roman" w:cs="Times New Roman"/>
          <w:sz w:val="24"/>
          <w:szCs w:val="24"/>
        </w:rPr>
        <w:t xml:space="preserve">rade </w:t>
      </w:r>
      <w:r>
        <w:rPr>
          <w:rFonts w:ascii="Times New Roman" w:hAnsi="Times New Roman" w:cs="Times New Roman"/>
          <w:sz w:val="24"/>
          <w:szCs w:val="24"/>
        </w:rPr>
        <w:t>h</w:t>
      </w:r>
      <w:r w:rsidRPr="003B07D5">
        <w:rPr>
          <w:rFonts w:ascii="Times New Roman" w:hAnsi="Times New Roman" w:cs="Times New Roman"/>
          <w:sz w:val="24"/>
          <w:szCs w:val="24"/>
        </w:rPr>
        <w:t>eading to assess whether it “delivers an appropriate balance of rights and obligations” or whether a modification of its terms is needed. The review process should take place no sooner than every four years, unless rebalancing measures (discussed below) have been applied frequently, or if they have been applied for a year and have a material impact on trade or investment.  If the review finds a need for modification and year-long negotiations are inconclusive, the parts on trade and transport may be unilaterally terminated.  The TCA provides for a general review of its operation every five years, with sector-specific reviews at various stages.</w:t>
      </w:r>
    </w:p>
    <w:p w14:paraId="53F0BDB9" w14:textId="77777777" w:rsidR="00A57B5C" w:rsidRDefault="00A57B5C" w:rsidP="00163277">
      <w:pPr>
        <w:spacing w:after="0" w:line="240" w:lineRule="auto"/>
        <w:rPr>
          <w:rFonts w:ascii="Times New Roman" w:eastAsia="Calibri" w:hAnsi="Times New Roman" w:cs="Times New Roman"/>
          <w:bCs/>
          <w:sz w:val="24"/>
          <w:szCs w:val="24"/>
        </w:rPr>
      </w:pPr>
    </w:p>
    <w:p w14:paraId="0C509ABC" w14:textId="77777777" w:rsidR="00FD0D07" w:rsidRDefault="00FD0D07" w:rsidP="00FD0D07">
      <w:pPr>
        <w:spacing w:after="0" w:line="240" w:lineRule="auto"/>
        <w:rPr>
          <w:rFonts w:ascii="Times New Roman" w:eastAsia="Calibri" w:hAnsi="Times New Roman" w:cs="Times New Roman"/>
          <w:bCs/>
          <w:sz w:val="24"/>
          <w:szCs w:val="24"/>
        </w:rPr>
      </w:pPr>
    </w:p>
    <w:p w14:paraId="2CFA36EF" w14:textId="602A51F8" w:rsidR="00C86F2C" w:rsidRPr="004B0E3A" w:rsidRDefault="004B0E3A" w:rsidP="004F6BB0">
      <w:pPr>
        <w:rPr>
          <w:rFonts w:ascii="Times New Roman" w:hAnsi="Times New Roman" w:cs="Times New Roman"/>
          <w:b/>
          <w:i/>
          <w:iCs/>
          <w:sz w:val="24"/>
          <w:szCs w:val="24"/>
        </w:rPr>
      </w:pPr>
      <w:r w:rsidRPr="00B62CC6">
        <w:rPr>
          <w:rFonts w:ascii="Times New Roman" w:hAnsi="Times New Roman" w:cs="Times New Roman"/>
          <w:b/>
          <w:i/>
          <w:iCs/>
          <w:sz w:val="24"/>
          <w:szCs w:val="24"/>
        </w:rPr>
        <w:t>Level playing field governance: regulatory differentiation at a price</w:t>
      </w:r>
    </w:p>
    <w:p w14:paraId="4E93F382" w14:textId="7B9CC44F" w:rsidR="00F64103" w:rsidRPr="00CA0C04" w:rsidRDefault="00F64103" w:rsidP="00F64103">
      <w:pPr>
        <w:tabs>
          <w:tab w:val="center" w:pos="4513"/>
        </w:tabs>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 xml:space="preserve">The level playing field is a key focus of prospects for regulatory </w:t>
      </w:r>
      <w:proofErr w:type="gramStart"/>
      <w:r>
        <w:rPr>
          <w:rFonts w:ascii="Times New Roman" w:hAnsi="Times New Roman" w:cs="Times New Roman"/>
          <w:bCs/>
          <w:sz w:val="24"/>
          <w:szCs w:val="24"/>
        </w:rPr>
        <w:t>divergence, since</w:t>
      </w:r>
      <w:proofErr w:type="gramEnd"/>
      <w:r>
        <w:rPr>
          <w:rFonts w:ascii="Times New Roman" w:hAnsi="Times New Roman" w:cs="Times New Roman"/>
          <w:bCs/>
          <w:sz w:val="24"/>
          <w:szCs w:val="24"/>
        </w:rPr>
        <w:t xml:space="preserve"> it is where</w:t>
      </w:r>
      <w:r w:rsidRPr="00997397">
        <w:rPr>
          <w:rFonts w:ascii="Times New Roman" w:hAnsi="Times New Roman" w:cs="Times New Roman"/>
          <w:sz w:val="24"/>
          <w:szCs w:val="24"/>
        </w:rPr>
        <w:t xml:space="preserve"> public policy considerations interact with trade in goods and services</w:t>
      </w:r>
      <w:r>
        <w:rPr>
          <w:rFonts w:ascii="Times New Roman" w:hAnsi="Times New Roman" w:cs="Times New Roman"/>
          <w:sz w:val="24"/>
          <w:szCs w:val="24"/>
        </w:rPr>
        <w:t>.</w:t>
      </w:r>
      <w:r>
        <w:rPr>
          <w:rFonts w:ascii="Times New Roman" w:hAnsi="Times New Roman" w:cs="Times New Roman"/>
          <w:bCs/>
          <w:sz w:val="24"/>
          <w:szCs w:val="24"/>
        </w:rPr>
        <w:t xml:space="preserve"> </w:t>
      </w:r>
      <w:r w:rsidRPr="00CA0C04">
        <w:rPr>
          <w:rFonts w:ascii="Times New Roman" w:hAnsi="Times New Roman" w:cs="Times New Roman"/>
          <w:sz w:val="24"/>
          <w:szCs w:val="24"/>
        </w:rPr>
        <w:t>Despite the UK agreeing to the level playing field provision in the Political Declaration</w:t>
      </w:r>
      <w:r w:rsidR="00786AE7" w:rsidRPr="00CA0C04">
        <w:rPr>
          <w:rStyle w:val="FootnoteReference"/>
          <w:rFonts w:ascii="Times New Roman" w:hAnsi="Times New Roman" w:cs="Times New Roman"/>
          <w:sz w:val="24"/>
          <w:szCs w:val="24"/>
        </w:rPr>
        <w:footnoteReference w:id="49"/>
      </w:r>
      <w:r w:rsidR="00B86FB6" w:rsidRPr="00CA0C04">
        <w:rPr>
          <w:rFonts w:ascii="Times New Roman" w:hAnsi="Times New Roman" w:cs="Times New Roman"/>
          <w:sz w:val="24"/>
          <w:szCs w:val="24"/>
        </w:rPr>
        <w:t xml:space="preserve"> and a commitment to </w:t>
      </w:r>
      <w:r w:rsidR="00B86FB6" w:rsidRPr="00CA0C04">
        <w:rPr>
          <w:rFonts w:ascii="Times New Roman" w:eastAsia="Calibri" w:hAnsi="Times New Roman" w:cs="Times New Roman"/>
          <w:bCs/>
          <w:sz w:val="24"/>
          <w:szCs w:val="24"/>
        </w:rPr>
        <w:t>high standards, non-regression and a common rulebook on State aid by the May government</w:t>
      </w:r>
      <w:r w:rsidR="0097297F" w:rsidRPr="00CA0C04">
        <w:rPr>
          <w:rFonts w:ascii="Times New Roman" w:eastAsia="Calibri" w:hAnsi="Times New Roman" w:cs="Times New Roman"/>
          <w:bCs/>
          <w:sz w:val="24"/>
          <w:szCs w:val="24"/>
        </w:rPr>
        <w:t>,</w:t>
      </w:r>
      <w:r w:rsidR="00B86FB6" w:rsidRPr="00CA0C04">
        <w:rPr>
          <w:rStyle w:val="FootnoteReference"/>
          <w:rFonts w:ascii="Times New Roman" w:eastAsia="Calibri" w:hAnsi="Times New Roman" w:cs="Times New Roman"/>
          <w:bCs/>
          <w:sz w:val="24"/>
          <w:szCs w:val="24"/>
        </w:rPr>
        <w:footnoteReference w:id="50"/>
      </w:r>
      <w:r w:rsidRPr="00CA0C04">
        <w:rPr>
          <w:rFonts w:ascii="Times New Roman" w:hAnsi="Times New Roman" w:cs="Times New Roman"/>
          <w:sz w:val="24"/>
          <w:szCs w:val="24"/>
        </w:rPr>
        <w:t xml:space="preserve"> there was </w:t>
      </w:r>
      <w:r w:rsidR="00A44ED0">
        <w:rPr>
          <w:rFonts w:ascii="Times New Roman" w:hAnsi="Times New Roman" w:cs="Times New Roman"/>
          <w:sz w:val="24"/>
          <w:szCs w:val="24"/>
        </w:rPr>
        <w:t xml:space="preserve">subsequently </w:t>
      </w:r>
      <w:r w:rsidRPr="00CA0C04">
        <w:rPr>
          <w:rFonts w:ascii="Times New Roman" w:hAnsi="Times New Roman" w:cs="Times New Roman"/>
          <w:sz w:val="24"/>
          <w:szCs w:val="24"/>
        </w:rPr>
        <w:t xml:space="preserve">a marked change </w:t>
      </w:r>
      <w:r w:rsidR="00A51433" w:rsidRPr="00CA0C04">
        <w:rPr>
          <w:rFonts w:ascii="Times New Roman" w:hAnsi="Times New Roman" w:cs="Times New Roman"/>
          <w:sz w:val="24"/>
          <w:szCs w:val="24"/>
        </w:rPr>
        <w:t>in the UK’s stance</w:t>
      </w:r>
      <w:r w:rsidR="00A44ED0">
        <w:rPr>
          <w:rFonts w:ascii="Times New Roman" w:hAnsi="Times New Roman" w:cs="Times New Roman"/>
          <w:sz w:val="24"/>
          <w:szCs w:val="24"/>
        </w:rPr>
        <w:t xml:space="preserve">. </w:t>
      </w:r>
      <w:r w:rsidR="00CA0C04" w:rsidRPr="00CA0C04">
        <w:rPr>
          <w:rFonts w:ascii="Times New Roman" w:eastAsia="Calibri" w:hAnsi="Times New Roman" w:cs="Times New Roman"/>
          <w:bCs/>
          <w:sz w:val="24"/>
          <w:szCs w:val="24"/>
        </w:rPr>
        <w:t xml:space="preserve">A </w:t>
      </w:r>
      <w:r w:rsidR="00EA62E2" w:rsidRPr="00CA0C04">
        <w:rPr>
          <w:rFonts w:ascii="Times New Roman" w:eastAsia="Calibri" w:hAnsi="Times New Roman" w:cs="Times New Roman"/>
          <w:bCs/>
          <w:sz w:val="24"/>
          <w:szCs w:val="24"/>
        </w:rPr>
        <w:t>significant change in the TCA is the removal of reference to ‘Union’ standards, but with co</w:t>
      </w:r>
      <w:r w:rsidR="003473E4" w:rsidRPr="00CA0C04">
        <w:rPr>
          <w:rFonts w:ascii="Times New Roman" w:eastAsia="Calibri" w:hAnsi="Times New Roman" w:cs="Times New Roman"/>
          <w:bCs/>
          <w:sz w:val="24"/>
          <w:szCs w:val="24"/>
        </w:rPr>
        <w:t>ntinued focus on convergence to international standards.</w:t>
      </w:r>
      <w:r w:rsidR="00E95DF3">
        <w:rPr>
          <w:rFonts w:ascii="Times New Roman" w:eastAsia="Calibri" w:hAnsi="Times New Roman" w:cs="Times New Roman"/>
          <w:bCs/>
          <w:sz w:val="24"/>
          <w:szCs w:val="24"/>
        </w:rPr>
        <w:t xml:space="preserve"> </w:t>
      </w:r>
    </w:p>
    <w:p w14:paraId="4F2220E8" w14:textId="77777777" w:rsidR="00F64103" w:rsidRPr="00506E1E" w:rsidRDefault="00F64103" w:rsidP="00F64103">
      <w:pPr>
        <w:tabs>
          <w:tab w:val="center" w:pos="4513"/>
        </w:tabs>
        <w:spacing w:after="0" w:line="240" w:lineRule="auto"/>
        <w:rPr>
          <w:rFonts w:ascii="Times New Roman" w:eastAsia="Calibri" w:hAnsi="Times New Roman" w:cs="Times New Roman"/>
          <w:b/>
          <w:i/>
          <w:iCs/>
          <w:sz w:val="24"/>
          <w:szCs w:val="24"/>
          <w:highlight w:val="green"/>
          <w:u w:val="single"/>
        </w:rPr>
      </w:pPr>
    </w:p>
    <w:p w14:paraId="1E6641A7" w14:textId="0ACE7032" w:rsidR="00225CFA" w:rsidRPr="008C6946" w:rsidRDefault="00860F80" w:rsidP="008C6946">
      <w:pPr>
        <w:tabs>
          <w:tab w:val="center" w:pos="4513"/>
        </w:tabs>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The TCA emphasizes the regulatory autonomy of the parties</w:t>
      </w:r>
      <w:r w:rsidR="005A3D0F" w:rsidRPr="008C6946">
        <w:rPr>
          <w:rFonts w:ascii="Times New Roman" w:hAnsi="Times New Roman" w:cs="Times New Roman"/>
          <w:bCs/>
          <w:sz w:val="24"/>
          <w:szCs w:val="24"/>
        </w:rPr>
        <w:t xml:space="preserve">: </w:t>
      </w:r>
      <w:r w:rsidR="003327C4" w:rsidRPr="008C6946">
        <w:rPr>
          <w:rFonts w:ascii="Times New Roman" w:eastAsia="Calibri" w:hAnsi="Times New Roman" w:cs="Times New Roman"/>
          <w:bCs/>
          <w:sz w:val="24"/>
          <w:szCs w:val="24"/>
        </w:rPr>
        <w:t>t</w:t>
      </w:r>
      <w:r w:rsidR="00205167" w:rsidRPr="008C6946">
        <w:rPr>
          <w:rFonts w:ascii="Times New Roman" w:eastAsia="Calibri" w:hAnsi="Times New Roman" w:cs="Times New Roman"/>
          <w:bCs/>
          <w:sz w:val="24"/>
          <w:szCs w:val="24"/>
        </w:rPr>
        <w:t xml:space="preserve">he purpose of the </w:t>
      </w:r>
      <w:r w:rsidR="00157042">
        <w:rPr>
          <w:rFonts w:ascii="Times New Roman" w:eastAsia="Calibri" w:hAnsi="Times New Roman" w:cs="Times New Roman"/>
          <w:bCs/>
          <w:sz w:val="24"/>
          <w:szCs w:val="24"/>
        </w:rPr>
        <w:t>level playing field</w:t>
      </w:r>
      <w:r w:rsidR="00205167" w:rsidRPr="008C6946">
        <w:rPr>
          <w:rFonts w:ascii="Times New Roman" w:eastAsia="Calibri" w:hAnsi="Times New Roman" w:cs="Times New Roman"/>
          <w:bCs/>
          <w:sz w:val="24"/>
          <w:szCs w:val="24"/>
        </w:rPr>
        <w:t xml:space="preserve"> is “not to harmonise the standards of the Parties” but they are “determined to maintain and improve their respective high standards”</w:t>
      </w:r>
      <w:r w:rsidR="003327C4" w:rsidRPr="008C6946">
        <w:rPr>
          <w:rStyle w:val="FootnoteReference"/>
          <w:rFonts w:ascii="Times New Roman" w:eastAsia="Calibri" w:hAnsi="Times New Roman" w:cs="Times New Roman"/>
          <w:bCs/>
          <w:sz w:val="24"/>
          <w:szCs w:val="24"/>
        </w:rPr>
        <w:footnoteReference w:id="51"/>
      </w:r>
      <w:r w:rsidR="00205167" w:rsidRPr="008C6946">
        <w:rPr>
          <w:rFonts w:ascii="Times New Roman" w:eastAsia="Calibri" w:hAnsi="Times New Roman" w:cs="Times New Roman"/>
          <w:bCs/>
          <w:sz w:val="24"/>
          <w:szCs w:val="24"/>
        </w:rPr>
        <w:t xml:space="preserve"> </w:t>
      </w:r>
      <w:r w:rsidRPr="008C6946">
        <w:rPr>
          <w:rFonts w:ascii="Times New Roman" w:hAnsi="Times New Roman" w:cs="Times New Roman"/>
          <w:bCs/>
          <w:sz w:val="24"/>
          <w:szCs w:val="24"/>
        </w:rPr>
        <w:t>However</w:t>
      </w:r>
      <w:r>
        <w:rPr>
          <w:rFonts w:ascii="Times New Roman" w:hAnsi="Times New Roman" w:cs="Times New Roman"/>
          <w:bCs/>
          <w:sz w:val="24"/>
          <w:szCs w:val="24"/>
        </w:rPr>
        <w:t>, f</w:t>
      </w:r>
      <w:r w:rsidR="00B62CC6">
        <w:rPr>
          <w:rFonts w:ascii="Times New Roman" w:hAnsi="Times New Roman" w:cs="Times New Roman"/>
          <w:bCs/>
          <w:sz w:val="24"/>
          <w:szCs w:val="24"/>
        </w:rPr>
        <w:t>irst, non-regression commitments and convergence to international standards set a baseline</w:t>
      </w:r>
      <w:r w:rsidR="00822086">
        <w:rPr>
          <w:rFonts w:ascii="Times New Roman" w:hAnsi="Times New Roman" w:cs="Times New Roman"/>
          <w:bCs/>
          <w:sz w:val="24"/>
          <w:szCs w:val="24"/>
        </w:rPr>
        <w:t>. Second, re</w:t>
      </w:r>
      <w:r w:rsidR="0065671D">
        <w:rPr>
          <w:rFonts w:ascii="Times New Roman" w:hAnsi="Times New Roman" w:cs="Times New Roman"/>
          <w:bCs/>
          <w:sz w:val="24"/>
          <w:szCs w:val="24"/>
        </w:rPr>
        <w:t>balancing measures set out the potential consequences for future divergence.</w:t>
      </w:r>
      <w:r w:rsidR="00FC59C4">
        <w:rPr>
          <w:rFonts w:ascii="Times New Roman" w:hAnsi="Times New Roman" w:cs="Times New Roman"/>
          <w:bCs/>
          <w:sz w:val="24"/>
          <w:szCs w:val="24"/>
        </w:rPr>
        <w:t xml:space="preserve"> </w:t>
      </w:r>
    </w:p>
    <w:p w14:paraId="72A559C2" w14:textId="77777777" w:rsidR="005A3D0F" w:rsidRPr="00997397" w:rsidRDefault="005A3D0F" w:rsidP="005A3D0F">
      <w:pPr>
        <w:tabs>
          <w:tab w:val="center" w:pos="4513"/>
        </w:tabs>
        <w:spacing w:after="0" w:line="240" w:lineRule="auto"/>
        <w:rPr>
          <w:rFonts w:ascii="Times New Roman" w:eastAsia="Calibri" w:hAnsi="Times New Roman" w:cs="Times New Roman"/>
          <w:bCs/>
          <w:sz w:val="24"/>
          <w:szCs w:val="24"/>
        </w:rPr>
      </w:pPr>
    </w:p>
    <w:p w14:paraId="6A1289AE" w14:textId="56F47C08" w:rsidR="005A3D0F" w:rsidRDefault="005A3D0F" w:rsidP="00225CFA">
      <w:pPr>
        <w:rPr>
          <w:rFonts w:ascii="Times New Roman" w:hAnsi="Times New Roman" w:cs="Times New Roman"/>
          <w:bCs/>
          <w:sz w:val="24"/>
          <w:szCs w:val="24"/>
        </w:rPr>
      </w:pPr>
      <w:r w:rsidRPr="00997397">
        <w:rPr>
          <w:rFonts w:ascii="Times New Roman" w:hAnsi="Times New Roman" w:cs="Times New Roman"/>
          <w:bCs/>
          <w:sz w:val="24"/>
          <w:szCs w:val="24"/>
        </w:rPr>
        <w:t xml:space="preserve">There is a </w:t>
      </w:r>
      <w:r w:rsidRPr="00090746">
        <w:rPr>
          <w:rFonts w:ascii="Times New Roman" w:hAnsi="Times New Roman" w:cs="Times New Roman"/>
          <w:bCs/>
          <w:sz w:val="24"/>
          <w:szCs w:val="24"/>
        </w:rPr>
        <w:t>non-regression</w:t>
      </w:r>
      <w:r w:rsidRPr="00997397">
        <w:rPr>
          <w:rFonts w:ascii="Times New Roman" w:hAnsi="Times New Roman" w:cs="Times New Roman"/>
          <w:bCs/>
          <w:sz w:val="24"/>
          <w:szCs w:val="24"/>
        </w:rPr>
        <w:t xml:space="preserve"> clause in tax matters but i</w:t>
      </w:r>
      <w:r w:rsidR="00D407C2">
        <w:rPr>
          <w:rFonts w:ascii="Times New Roman" w:hAnsi="Times New Roman" w:cs="Times New Roman"/>
          <w:bCs/>
          <w:sz w:val="24"/>
          <w:szCs w:val="24"/>
        </w:rPr>
        <w:t>t</w:t>
      </w:r>
      <w:r w:rsidRPr="00997397">
        <w:rPr>
          <w:rFonts w:ascii="Times New Roman" w:hAnsi="Times New Roman" w:cs="Times New Roman"/>
          <w:bCs/>
          <w:sz w:val="24"/>
          <w:szCs w:val="24"/>
        </w:rPr>
        <w:t xml:space="preserve"> focuses on limiting the parties</w:t>
      </w:r>
      <w:r w:rsidR="00D407C2">
        <w:rPr>
          <w:rFonts w:ascii="Times New Roman" w:hAnsi="Times New Roman" w:cs="Times New Roman"/>
          <w:bCs/>
          <w:sz w:val="24"/>
          <w:szCs w:val="24"/>
        </w:rPr>
        <w:t>’</w:t>
      </w:r>
      <w:r w:rsidRPr="00997397">
        <w:rPr>
          <w:rFonts w:ascii="Times New Roman" w:hAnsi="Times New Roman" w:cs="Times New Roman"/>
          <w:bCs/>
          <w:sz w:val="24"/>
          <w:szCs w:val="24"/>
        </w:rPr>
        <w:t xml:space="preserve"> divergence from standards agreed in the </w:t>
      </w:r>
      <w:r w:rsidR="00EA14EA">
        <w:rPr>
          <w:rFonts w:ascii="Times New Roman" w:hAnsi="Times New Roman" w:cs="Times New Roman"/>
          <w:bCs/>
          <w:sz w:val="24"/>
          <w:szCs w:val="24"/>
        </w:rPr>
        <w:t xml:space="preserve">Organisation for Economic Co-operation and </w:t>
      </w:r>
      <w:r w:rsidR="00EA14EA">
        <w:rPr>
          <w:rFonts w:ascii="Times New Roman" w:hAnsi="Times New Roman" w:cs="Times New Roman"/>
          <w:bCs/>
          <w:sz w:val="24"/>
          <w:szCs w:val="24"/>
        </w:rPr>
        <w:lastRenderedPageBreak/>
        <w:t>Development (</w:t>
      </w:r>
      <w:r w:rsidRPr="00997397">
        <w:rPr>
          <w:rFonts w:ascii="Times New Roman" w:hAnsi="Times New Roman" w:cs="Times New Roman"/>
          <w:bCs/>
          <w:sz w:val="24"/>
          <w:szCs w:val="24"/>
        </w:rPr>
        <w:t>OECD</w:t>
      </w:r>
      <w:r w:rsidR="00EA14EA">
        <w:rPr>
          <w:rFonts w:ascii="Times New Roman" w:hAnsi="Times New Roman" w:cs="Times New Roman"/>
          <w:bCs/>
          <w:sz w:val="24"/>
          <w:szCs w:val="24"/>
        </w:rPr>
        <w:t>)</w:t>
      </w:r>
      <w:r w:rsidRPr="00997397">
        <w:rPr>
          <w:rFonts w:ascii="Times New Roman" w:hAnsi="Times New Roman" w:cs="Times New Roman"/>
          <w:bCs/>
          <w:sz w:val="24"/>
          <w:szCs w:val="24"/>
        </w:rPr>
        <w:t xml:space="preserve"> in place at the end of the transition period.</w:t>
      </w:r>
      <w:r w:rsidRPr="00997397">
        <w:rPr>
          <w:rStyle w:val="FootnoteReference"/>
          <w:rFonts w:ascii="Times New Roman" w:hAnsi="Times New Roman" w:cs="Times New Roman"/>
          <w:bCs/>
          <w:sz w:val="24"/>
          <w:szCs w:val="24"/>
        </w:rPr>
        <w:t xml:space="preserve"> </w:t>
      </w:r>
      <w:r w:rsidRPr="00997397">
        <w:rPr>
          <w:rStyle w:val="FootnoteReference"/>
          <w:rFonts w:ascii="Times New Roman" w:hAnsi="Times New Roman" w:cs="Times New Roman"/>
          <w:bCs/>
          <w:sz w:val="24"/>
          <w:szCs w:val="24"/>
        </w:rPr>
        <w:footnoteReference w:id="52"/>
      </w:r>
      <w:r w:rsidRPr="00997397">
        <w:rPr>
          <w:rFonts w:ascii="Times New Roman" w:hAnsi="Times New Roman" w:cs="Times New Roman"/>
          <w:bCs/>
          <w:sz w:val="24"/>
          <w:szCs w:val="24"/>
        </w:rPr>
        <w:t xml:space="preserve">  As with the competition chapter, taxation is not subject to dispute resolution mechanisms.</w:t>
      </w:r>
      <w:r w:rsidRPr="00997397">
        <w:rPr>
          <w:rStyle w:val="FootnoteReference"/>
          <w:rFonts w:ascii="Times New Roman" w:hAnsi="Times New Roman" w:cs="Times New Roman"/>
          <w:bCs/>
          <w:sz w:val="24"/>
          <w:szCs w:val="24"/>
        </w:rPr>
        <w:footnoteReference w:id="53"/>
      </w:r>
      <w:r w:rsidR="00663987">
        <w:rPr>
          <w:rFonts w:ascii="Times New Roman" w:hAnsi="Times New Roman" w:cs="Times New Roman"/>
          <w:bCs/>
          <w:sz w:val="24"/>
          <w:szCs w:val="24"/>
        </w:rPr>
        <w:t xml:space="preserve"> </w:t>
      </w:r>
      <w:r w:rsidRPr="00997397">
        <w:rPr>
          <w:rFonts w:ascii="Times New Roman" w:hAnsi="Times New Roman" w:cs="Times New Roman"/>
          <w:color w:val="000000"/>
          <w:sz w:val="24"/>
          <w:szCs w:val="24"/>
        </w:rPr>
        <w:t xml:space="preserve">Stronger, binding and enforceable non-regression commitments pertain to labour and social standards (Chapter 6) as well as the environment and climate (Chapter 7). </w:t>
      </w:r>
      <w:r w:rsidRPr="00997397">
        <w:rPr>
          <w:rFonts w:ascii="Times New Roman" w:hAnsi="Times New Roman" w:cs="Times New Roman"/>
          <w:bCs/>
          <w:sz w:val="24"/>
          <w:szCs w:val="24"/>
        </w:rPr>
        <w:t>In both areas, the EU and the UK have committed not to “weaken or reduce, in a manner affecting trade or investment</w:t>
      </w:r>
      <w:r w:rsidRPr="00997397">
        <w:rPr>
          <w:rFonts w:ascii="Times New Roman" w:hAnsi="Times New Roman" w:cs="Times New Roman"/>
          <w:sz w:val="24"/>
          <w:szCs w:val="24"/>
        </w:rPr>
        <w:t xml:space="preserve"> between the Parties,…levels of protection below the levels in place at the end of the transition period, including by failing to effectively enforce” their law and standards.</w:t>
      </w:r>
      <w:r w:rsidRPr="00997397">
        <w:rPr>
          <w:rStyle w:val="FootnoteReference"/>
          <w:rFonts w:ascii="Times New Roman" w:hAnsi="Times New Roman" w:cs="Times New Roman"/>
          <w:sz w:val="24"/>
          <w:szCs w:val="24"/>
        </w:rPr>
        <w:footnoteReference w:id="54"/>
      </w:r>
      <w:r w:rsidRPr="00997397">
        <w:rPr>
          <w:rFonts w:ascii="Times New Roman" w:hAnsi="Times New Roman" w:cs="Times New Roman"/>
          <w:sz w:val="24"/>
          <w:szCs w:val="24"/>
        </w:rPr>
        <w:t xml:space="preserve"> Although the parties shall “strive” to increase their respective levels of protection,</w:t>
      </w:r>
      <w:r w:rsidRPr="00997397">
        <w:rPr>
          <w:rStyle w:val="FootnoteReference"/>
          <w:rFonts w:ascii="Times New Roman" w:hAnsi="Times New Roman" w:cs="Times New Roman"/>
          <w:sz w:val="24"/>
          <w:szCs w:val="24"/>
        </w:rPr>
        <w:footnoteReference w:id="55"/>
      </w:r>
      <w:r w:rsidRPr="00997397">
        <w:rPr>
          <w:rFonts w:ascii="Times New Roman" w:hAnsi="Times New Roman" w:cs="Times New Roman"/>
          <w:sz w:val="24"/>
          <w:szCs w:val="24"/>
        </w:rPr>
        <w:t xml:space="preserve"> if </w:t>
      </w:r>
      <w:r w:rsidRPr="00997397">
        <w:rPr>
          <w:rFonts w:ascii="Times New Roman" w:hAnsi="Times New Roman" w:cs="Times New Roman"/>
          <w:bCs/>
          <w:sz w:val="24"/>
          <w:szCs w:val="24"/>
        </w:rPr>
        <w:t>standards are raised, there is no evolution clause to raise the benchmark from that at the end of the transition period as the EU had originally included in its negotiating position. International commitments should be used as a reference.</w:t>
      </w:r>
      <w:r w:rsidRPr="00997397">
        <w:rPr>
          <w:rStyle w:val="FootnoteReference"/>
          <w:rFonts w:ascii="Times New Roman" w:hAnsi="Times New Roman" w:cs="Times New Roman"/>
          <w:bCs/>
          <w:sz w:val="24"/>
          <w:szCs w:val="24"/>
        </w:rPr>
        <w:footnoteReference w:id="56"/>
      </w:r>
      <w:r w:rsidRPr="00997397">
        <w:rPr>
          <w:rFonts w:ascii="Times New Roman" w:hAnsi="Times New Roman" w:cs="Times New Roman"/>
          <w:sz w:val="24"/>
          <w:szCs w:val="24"/>
        </w:rPr>
        <w:t xml:space="preserve"> </w:t>
      </w:r>
      <w:r w:rsidR="002D076B">
        <w:rPr>
          <w:rFonts w:ascii="Times New Roman" w:hAnsi="Times New Roman" w:cs="Times New Roman"/>
          <w:sz w:val="24"/>
          <w:szCs w:val="24"/>
        </w:rPr>
        <w:t>In</w:t>
      </w:r>
      <w:r w:rsidRPr="00997397">
        <w:rPr>
          <w:rFonts w:ascii="Times New Roman" w:hAnsi="Times New Roman" w:cs="Times New Roman"/>
          <w:sz w:val="24"/>
          <w:szCs w:val="24"/>
        </w:rPr>
        <w:t xml:space="preserve"> these chapters d</w:t>
      </w:r>
      <w:r w:rsidRPr="00997397">
        <w:rPr>
          <w:rFonts w:ascii="Times New Roman" w:hAnsi="Times New Roman" w:cs="Times New Roman"/>
          <w:bCs/>
          <w:sz w:val="24"/>
          <w:szCs w:val="24"/>
        </w:rPr>
        <w:t xml:space="preserve">isputes are to be dealt with exclusively through the </w:t>
      </w:r>
      <w:r w:rsidR="00157042">
        <w:rPr>
          <w:rFonts w:ascii="Times New Roman" w:hAnsi="Times New Roman" w:cs="Times New Roman"/>
          <w:bCs/>
          <w:sz w:val="24"/>
          <w:szCs w:val="24"/>
        </w:rPr>
        <w:t>level playing field</w:t>
      </w:r>
      <w:r w:rsidRPr="00997397">
        <w:rPr>
          <w:rFonts w:ascii="Times New Roman" w:hAnsi="Times New Roman" w:cs="Times New Roman"/>
          <w:bCs/>
          <w:sz w:val="24"/>
          <w:szCs w:val="24"/>
        </w:rPr>
        <w:t xml:space="preserve"> panel of experts for non-regression areas as laid out in Articles 9.1-9.3, rather than the horizontal dispute resolution procedure,</w:t>
      </w:r>
      <w:r w:rsidRPr="00997397">
        <w:rPr>
          <w:rStyle w:val="FootnoteReference"/>
          <w:rFonts w:ascii="Times New Roman" w:hAnsi="Times New Roman" w:cs="Times New Roman"/>
          <w:bCs/>
          <w:sz w:val="24"/>
          <w:szCs w:val="24"/>
        </w:rPr>
        <w:footnoteReference w:id="57"/>
      </w:r>
      <w:r w:rsidRPr="00997397">
        <w:rPr>
          <w:rFonts w:ascii="Times New Roman" w:hAnsi="Times New Roman" w:cs="Times New Roman"/>
          <w:bCs/>
          <w:sz w:val="24"/>
          <w:szCs w:val="24"/>
        </w:rPr>
        <w:t xml:space="preserve"> but they are subject to arbitration tribunals for rebalancing measures</w:t>
      </w:r>
      <w:r w:rsidR="00504205">
        <w:rPr>
          <w:rFonts w:ascii="Times New Roman" w:hAnsi="Times New Roman" w:cs="Times New Roman"/>
          <w:bCs/>
          <w:sz w:val="24"/>
          <w:szCs w:val="24"/>
        </w:rPr>
        <w:t>.</w:t>
      </w:r>
      <w:r w:rsidR="00504205">
        <w:rPr>
          <w:rStyle w:val="FootnoteReference"/>
          <w:rFonts w:ascii="Times New Roman" w:hAnsi="Times New Roman" w:cs="Times New Roman"/>
          <w:bCs/>
          <w:sz w:val="24"/>
          <w:szCs w:val="24"/>
        </w:rPr>
        <w:footnoteReference w:id="58"/>
      </w:r>
    </w:p>
    <w:p w14:paraId="4B9E6CA5" w14:textId="17490DA5" w:rsidR="001D189E" w:rsidRPr="00191502" w:rsidRDefault="007B14F9" w:rsidP="00976218">
      <w:pPr>
        <w:spacing w:after="0" w:line="240" w:lineRule="auto"/>
        <w:rPr>
          <w:rFonts w:ascii="Times New Roman" w:eastAsia="Calibri" w:hAnsi="Times New Roman" w:cs="Times New Roman"/>
          <w:bCs/>
          <w:sz w:val="24"/>
          <w:szCs w:val="24"/>
        </w:rPr>
      </w:pPr>
      <w:r w:rsidRPr="00191502">
        <w:rPr>
          <w:rFonts w:ascii="Times New Roman" w:eastAsia="Calibri" w:hAnsi="Times New Roman" w:cs="Times New Roman"/>
          <w:bCs/>
          <w:sz w:val="24"/>
          <w:szCs w:val="24"/>
        </w:rPr>
        <w:t>I</w:t>
      </w:r>
      <w:r w:rsidR="001B3500" w:rsidRPr="00191502">
        <w:rPr>
          <w:rFonts w:ascii="Times New Roman" w:eastAsia="Calibri" w:hAnsi="Times New Roman" w:cs="Times New Roman"/>
          <w:bCs/>
          <w:sz w:val="24"/>
          <w:szCs w:val="24"/>
        </w:rPr>
        <w:t xml:space="preserve">f a subsidy causes or seriously risks causing a </w:t>
      </w:r>
      <w:r w:rsidR="00FD4E76" w:rsidRPr="00191502">
        <w:rPr>
          <w:rFonts w:ascii="Times New Roman" w:eastAsia="Calibri" w:hAnsi="Times New Roman" w:cs="Times New Roman"/>
          <w:bCs/>
          <w:sz w:val="24"/>
          <w:szCs w:val="24"/>
        </w:rPr>
        <w:t>“</w:t>
      </w:r>
      <w:r w:rsidR="001B3500" w:rsidRPr="00191502">
        <w:rPr>
          <w:rFonts w:ascii="Times New Roman" w:eastAsia="Calibri" w:hAnsi="Times New Roman" w:cs="Times New Roman"/>
          <w:bCs/>
          <w:sz w:val="24"/>
          <w:szCs w:val="24"/>
        </w:rPr>
        <w:t>significant negative effect on trade or investment between the Parties</w:t>
      </w:r>
      <w:r w:rsidR="00FD4E76" w:rsidRPr="00191502">
        <w:rPr>
          <w:rFonts w:ascii="Times New Roman" w:eastAsia="Calibri" w:hAnsi="Times New Roman" w:cs="Times New Roman"/>
          <w:bCs/>
          <w:sz w:val="24"/>
          <w:szCs w:val="24"/>
        </w:rPr>
        <w:t>”</w:t>
      </w:r>
      <w:r w:rsidR="005611BA" w:rsidRPr="00191502">
        <w:rPr>
          <w:rFonts w:ascii="Times New Roman" w:eastAsia="Calibri" w:hAnsi="Times New Roman" w:cs="Times New Roman"/>
          <w:bCs/>
          <w:sz w:val="24"/>
          <w:szCs w:val="24"/>
        </w:rPr>
        <w:t>,</w:t>
      </w:r>
      <w:r w:rsidR="000D6773" w:rsidRPr="00191502">
        <w:rPr>
          <w:rStyle w:val="FootnoteReference"/>
          <w:rFonts w:ascii="Times New Roman" w:eastAsia="Calibri" w:hAnsi="Times New Roman" w:cs="Times New Roman"/>
          <w:bCs/>
          <w:sz w:val="24"/>
          <w:szCs w:val="24"/>
        </w:rPr>
        <w:t xml:space="preserve"> </w:t>
      </w:r>
      <w:r w:rsidR="000D6773" w:rsidRPr="00191502">
        <w:rPr>
          <w:rStyle w:val="FootnoteReference"/>
          <w:rFonts w:ascii="Times New Roman" w:eastAsia="Calibri" w:hAnsi="Times New Roman" w:cs="Times New Roman"/>
          <w:bCs/>
          <w:sz w:val="24"/>
          <w:szCs w:val="24"/>
        </w:rPr>
        <w:footnoteReference w:id="59"/>
      </w:r>
      <w:r w:rsidR="005611BA" w:rsidRPr="00191502">
        <w:rPr>
          <w:rFonts w:ascii="Times New Roman" w:eastAsia="Calibri" w:hAnsi="Times New Roman" w:cs="Times New Roman"/>
          <w:bCs/>
          <w:sz w:val="24"/>
          <w:szCs w:val="24"/>
        </w:rPr>
        <w:t xml:space="preserve"> proportionate remedial measures may be </w:t>
      </w:r>
      <w:r w:rsidR="00A310F2" w:rsidRPr="00191502">
        <w:rPr>
          <w:rFonts w:ascii="Times New Roman" w:eastAsia="Calibri" w:hAnsi="Times New Roman" w:cs="Times New Roman"/>
          <w:bCs/>
          <w:sz w:val="24"/>
          <w:szCs w:val="24"/>
        </w:rPr>
        <w:t>imposed</w:t>
      </w:r>
      <w:r w:rsidR="00191502" w:rsidRPr="00191502">
        <w:rPr>
          <w:rFonts w:ascii="Times New Roman" w:eastAsia="Calibri" w:hAnsi="Times New Roman" w:cs="Times New Roman"/>
          <w:bCs/>
          <w:sz w:val="24"/>
          <w:szCs w:val="24"/>
        </w:rPr>
        <w:t xml:space="preserve"> </w:t>
      </w:r>
      <w:r w:rsidR="00917795" w:rsidRPr="00191502">
        <w:rPr>
          <w:rFonts w:ascii="Times New Roman" w:eastAsia="Calibri" w:hAnsi="Times New Roman" w:cs="Times New Roman"/>
          <w:bCs/>
          <w:sz w:val="24"/>
          <w:szCs w:val="24"/>
        </w:rPr>
        <w:t>to remedy that effect or risk</w:t>
      </w:r>
      <w:r w:rsidR="00CA3468" w:rsidRPr="00191502">
        <w:rPr>
          <w:rFonts w:ascii="Times New Roman" w:eastAsia="Calibri" w:hAnsi="Times New Roman" w:cs="Times New Roman"/>
          <w:bCs/>
          <w:sz w:val="24"/>
          <w:szCs w:val="24"/>
        </w:rPr>
        <w:t xml:space="preserve"> following </w:t>
      </w:r>
      <w:r w:rsidR="00BA36B1" w:rsidRPr="00191502">
        <w:rPr>
          <w:rFonts w:ascii="Times New Roman" w:eastAsia="Calibri" w:hAnsi="Times New Roman" w:cs="Times New Roman"/>
          <w:bCs/>
          <w:sz w:val="24"/>
          <w:szCs w:val="24"/>
        </w:rPr>
        <w:t xml:space="preserve">a </w:t>
      </w:r>
      <w:r w:rsidR="00D407C2" w:rsidRPr="00191502">
        <w:rPr>
          <w:rFonts w:ascii="Times New Roman" w:eastAsia="Calibri" w:hAnsi="Times New Roman" w:cs="Times New Roman"/>
          <w:bCs/>
          <w:sz w:val="24"/>
          <w:szCs w:val="24"/>
        </w:rPr>
        <w:t>60-day</w:t>
      </w:r>
      <w:r w:rsidR="00BA36B1" w:rsidRPr="00191502">
        <w:rPr>
          <w:rFonts w:ascii="Times New Roman" w:eastAsia="Calibri" w:hAnsi="Times New Roman" w:cs="Times New Roman"/>
          <w:bCs/>
          <w:sz w:val="24"/>
          <w:szCs w:val="24"/>
        </w:rPr>
        <w:t xml:space="preserve"> period for </w:t>
      </w:r>
      <w:r w:rsidR="00CA3468" w:rsidRPr="00191502">
        <w:rPr>
          <w:rFonts w:ascii="Times New Roman" w:eastAsia="Calibri" w:hAnsi="Times New Roman" w:cs="Times New Roman"/>
          <w:bCs/>
          <w:sz w:val="24"/>
          <w:szCs w:val="24"/>
        </w:rPr>
        <w:t>information and consultation.</w:t>
      </w:r>
      <w:r w:rsidR="006C4CD2" w:rsidRPr="00191502">
        <w:rPr>
          <w:rFonts w:ascii="Times New Roman" w:eastAsia="Calibri" w:hAnsi="Times New Roman" w:cs="Times New Roman"/>
          <w:bCs/>
          <w:sz w:val="24"/>
          <w:szCs w:val="24"/>
        </w:rPr>
        <w:t xml:space="preserve"> Priority is given to mea</w:t>
      </w:r>
      <w:r w:rsidR="007B5950" w:rsidRPr="00191502">
        <w:rPr>
          <w:rFonts w:ascii="Times New Roman" w:eastAsia="Calibri" w:hAnsi="Times New Roman" w:cs="Times New Roman"/>
          <w:bCs/>
          <w:sz w:val="24"/>
          <w:szCs w:val="24"/>
        </w:rPr>
        <w:t>s</w:t>
      </w:r>
      <w:r w:rsidR="006C4CD2" w:rsidRPr="00191502">
        <w:rPr>
          <w:rFonts w:ascii="Times New Roman" w:eastAsia="Calibri" w:hAnsi="Times New Roman" w:cs="Times New Roman"/>
          <w:bCs/>
          <w:sz w:val="24"/>
          <w:szCs w:val="24"/>
        </w:rPr>
        <w:t>ures that will least disturb the functioning of the overall agreement</w:t>
      </w:r>
      <w:r w:rsidR="00191502" w:rsidRPr="00191502">
        <w:rPr>
          <w:rFonts w:ascii="Times New Roman" w:eastAsia="Calibri" w:hAnsi="Times New Roman" w:cs="Times New Roman"/>
          <w:bCs/>
          <w:sz w:val="24"/>
          <w:szCs w:val="24"/>
        </w:rPr>
        <w:t xml:space="preserve">. </w:t>
      </w:r>
      <w:r w:rsidR="00E72B47" w:rsidRPr="00191502">
        <w:rPr>
          <w:rFonts w:ascii="Times New Roman" w:eastAsia="Calibri" w:hAnsi="Times New Roman" w:cs="Times New Roman"/>
          <w:bCs/>
          <w:sz w:val="24"/>
          <w:szCs w:val="24"/>
        </w:rPr>
        <w:t>T</w:t>
      </w:r>
      <w:r w:rsidR="00135F72" w:rsidRPr="00191502">
        <w:rPr>
          <w:rFonts w:ascii="Times New Roman" w:eastAsia="Calibri" w:hAnsi="Times New Roman" w:cs="Times New Roman"/>
          <w:bCs/>
          <w:sz w:val="24"/>
          <w:szCs w:val="24"/>
        </w:rPr>
        <w:t>he other party may request an arbitral tribunal</w:t>
      </w:r>
      <w:r w:rsidR="00E036E6" w:rsidRPr="00191502">
        <w:rPr>
          <w:rFonts w:ascii="Times New Roman" w:eastAsia="Calibri" w:hAnsi="Times New Roman" w:cs="Times New Roman"/>
          <w:bCs/>
          <w:sz w:val="24"/>
          <w:szCs w:val="24"/>
        </w:rPr>
        <w:t>, with a 30-day expedited procedure</w:t>
      </w:r>
      <w:r w:rsidR="00AA052C" w:rsidRPr="00191502">
        <w:rPr>
          <w:rFonts w:ascii="Times New Roman" w:eastAsia="Calibri" w:hAnsi="Times New Roman" w:cs="Times New Roman"/>
          <w:bCs/>
          <w:sz w:val="24"/>
          <w:szCs w:val="24"/>
        </w:rPr>
        <w:t>.</w:t>
      </w:r>
      <w:r w:rsidR="00881FE4" w:rsidRPr="00191502">
        <w:rPr>
          <w:rStyle w:val="FootnoteReference"/>
          <w:rFonts w:ascii="Times New Roman" w:eastAsia="Calibri" w:hAnsi="Times New Roman" w:cs="Times New Roman"/>
          <w:bCs/>
          <w:sz w:val="24"/>
          <w:szCs w:val="24"/>
        </w:rPr>
        <w:footnoteReference w:id="60"/>
      </w:r>
      <w:r w:rsidR="00AA052C" w:rsidRPr="00191502">
        <w:rPr>
          <w:rFonts w:ascii="Times New Roman" w:eastAsia="Calibri" w:hAnsi="Times New Roman" w:cs="Times New Roman"/>
          <w:bCs/>
          <w:sz w:val="24"/>
          <w:szCs w:val="24"/>
        </w:rPr>
        <w:t xml:space="preserve"> </w:t>
      </w:r>
      <w:r w:rsidR="003950FD" w:rsidRPr="00191502">
        <w:rPr>
          <w:rFonts w:ascii="Times New Roman" w:eastAsia="Calibri" w:hAnsi="Times New Roman" w:cs="Times New Roman"/>
          <w:bCs/>
          <w:sz w:val="24"/>
          <w:szCs w:val="24"/>
        </w:rPr>
        <w:t>Importantly, the request for a tribunal does not have a suspensive effect on the remedial measures.</w:t>
      </w:r>
      <w:r w:rsidR="003950FD" w:rsidRPr="00191502">
        <w:rPr>
          <w:rStyle w:val="FootnoteReference"/>
          <w:rFonts w:ascii="Times New Roman" w:eastAsia="Calibri" w:hAnsi="Times New Roman" w:cs="Times New Roman"/>
          <w:bCs/>
          <w:sz w:val="24"/>
          <w:szCs w:val="24"/>
        </w:rPr>
        <w:footnoteReference w:id="61"/>
      </w:r>
      <w:r w:rsidR="0094157E" w:rsidRPr="00191502">
        <w:rPr>
          <w:rFonts w:ascii="Times New Roman" w:eastAsia="Calibri" w:hAnsi="Times New Roman" w:cs="Times New Roman"/>
          <w:bCs/>
          <w:sz w:val="24"/>
          <w:szCs w:val="24"/>
        </w:rPr>
        <w:t xml:space="preserve"> </w:t>
      </w:r>
      <w:r w:rsidR="00AA052C" w:rsidRPr="00191502">
        <w:rPr>
          <w:rFonts w:ascii="Times New Roman" w:eastAsia="Calibri" w:hAnsi="Times New Roman" w:cs="Times New Roman"/>
          <w:bCs/>
          <w:sz w:val="24"/>
          <w:szCs w:val="24"/>
        </w:rPr>
        <w:t xml:space="preserve">If the </w:t>
      </w:r>
      <w:r w:rsidR="00823742" w:rsidRPr="00191502">
        <w:rPr>
          <w:rFonts w:ascii="Times New Roman" w:eastAsia="Calibri" w:hAnsi="Times New Roman" w:cs="Times New Roman"/>
          <w:bCs/>
          <w:sz w:val="24"/>
          <w:szCs w:val="24"/>
        </w:rPr>
        <w:t xml:space="preserve">arbitral </w:t>
      </w:r>
      <w:r w:rsidR="00AA052C" w:rsidRPr="00191502">
        <w:rPr>
          <w:rFonts w:ascii="Times New Roman" w:eastAsia="Calibri" w:hAnsi="Times New Roman" w:cs="Times New Roman"/>
          <w:bCs/>
          <w:sz w:val="24"/>
          <w:szCs w:val="24"/>
        </w:rPr>
        <w:t xml:space="preserve">tribunal finds the </w:t>
      </w:r>
      <w:r w:rsidR="0094157E" w:rsidRPr="00191502">
        <w:rPr>
          <w:rFonts w:ascii="Times New Roman" w:eastAsia="Calibri" w:hAnsi="Times New Roman" w:cs="Times New Roman"/>
          <w:bCs/>
          <w:sz w:val="24"/>
          <w:szCs w:val="24"/>
        </w:rPr>
        <w:t xml:space="preserve">remedial </w:t>
      </w:r>
      <w:r w:rsidR="00AA052C" w:rsidRPr="00191502">
        <w:rPr>
          <w:rFonts w:ascii="Times New Roman" w:eastAsia="Calibri" w:hAnsi="Times New Roman" w:cs="Times New Roman"/>
          <w:bCs/>
          <w:sz w:val="24"/>
          <w:szCs w:val="24"/>
        </w:rPr>
        <w:t>measure inconsistent or disprop</w:t>
      </w:r>
      <w:r w:rsidR="00FB307E" w:rsidRPr="00191502">
        <w:rPr>
          <w:rFonts w:ascii="Times New Roman" w:eastAsia="Calibri" w:hAnsi="Times New Roman" w:cs="Times New Roman"/>
          <w:bCs/>
          <w:sz w:val="24"/>
          <w:szCs w:val="24"/>
        </w:rPr>
        <w:t>ortionate</w:t>
      </w:r>
      <w:r w:rsidR="00467757" w:rsidRPr="00191502">
        <w:rPr>
          <w:rFonts w:ascii="Times New Roman" w:eastAsia="Calibri" w:hAnsi="Times New Roman" w:cs="Times New Roman"/>
          <w:bCs/>
          <w:sz w:val="24"/>
          <w:szCs w:val="24"/>
        </w:rPr>
        <w:t xml:space="preserve">, it must cease or be adjusted, otherwise the other party may apply </w:t>
      </w:r>
      <w:r w:rsidR="00E56BC8" w:rsidRPr="00191502">
        <w:rPr>
          <w:rFonts w:ascii="Times New Roman" w:eastAsia="Calibri" w:hAnsi="Times New Roman" w:cs="Times New Roman"/>
          <w:bCs/>
          <w:sz w:val="24"/>
          <w:szCs w:val="24"/>
        </w:rPr>
        <w:t>compensation measures</w:t>
      </w:r>
      <w:r w:rsidR="00E3187F" w:rsidRPr="00191502">
        <w:rPr>
          <w:rFonts w:ascii="Times New Roman" w:eastAsia="Calibri" w:hAnsi="Times New Roman" w:cs="Times New Roman"/>
          <w:bCs/>
          <w:sz w:val="24"/>
          <w:szCs w:val="24"/>
        </w:rPr>
        <w:t xml:space="preserve"> through suspension of obligations</w:t>
      </w:r>
      <w:r w:rsidR="00A310F2" w:rsidRPr="00191502">
        <w:rPr>
          <w:rFonts w:ascii="Times New Roman" w:eastAsia="Calibri" w:hAnsi="Times New Roman" w:cs="Times New Roman"/>
          <w:bCs/>
          <w:sz w:val="24"/>
          <w:szCs w:val="24"/>
        </w:rPr>
        <w:t xml:space="preserve"> in any area of the TCA</w:t>
      </w:r>
      <w:r w:rsidR="00E56BC8" w:rsidRPr="00191502">
        <w:rPr>
          <w:rFonts w:ascii="Times New Roman" w:eastAsia="Calibri" w:hAnsi="Times New Roman" w:cs="Times New Roman"/>
          <w:bCs/>
          <w:sz w:val="24"/>
          <w:szCs w:val="24"/>
        </w:rPr>
        <w:t>.</w:t>
      </w:r>
      <w:r w:rsidR="00E676F5" w:rsidRPr="00191502">
        <w:rPr>
          <w:rStyle w:val="FootnoteReference"/>
          <w:rFonts w:ascii="Times New Roman" w:eastAsia="Calibri" w:hAnsi="Times New Roman" w:cs="Times New Roman"/>
          <w:bCs/>
          <w:sz w:val="24"/>
          <w:szCs w:val="24"/>
        </w:rPr>
        <w:footnoteReference w:id="62"/>
      </w:r>
      <w:r w:rsidR="009B1F56" w:rsidRPr="00191502">
        <w:rPr>
          <w:rFonts w:ascii="Times New Roman" w:eastAsia="Calibri" w:hAnsi="Times New Roman" w:cs="Times New Roman"/>
          <w:bCs/>
          <w:sz w:val="24"/>
          <w:szCs w:val="24"/>
        </w:rPr>
        <w:t xml:space="preserve"> </w:t>
      </w:r>
    </w:p>
    <w:p w14:paraId="51CDB121" w14:textId="5B1121BE" w:rsidR="00511655" w:rsidRPr="00191502" w:rsidRDefault="00511655" w:rsidP="00976218">
      <w:pPr>
        <w:spacing w:after="0" w:line="240" w:lineRule="auto"/>
        <w:rPr>
          <w:rFonts w:ascii="Times New Roman" w:eastAsia="Calibri" w:hAnsi="Times New Roman" w:cs="Times New Roman"/>
          <w:bCs/>
          <w:sz w:val="24"/>
          <w:szCs w:val="24"/>
        </w:rPr>
      </w:pPr>
    </w:p>
    <w:p w14:paraId="530840C2" w14:textId="2A49CAA9" w:rsidR="00EE4B36" w:rsidRPr="0086593F" w:rsidRDefault="00EE4B36" w:rsidP="00EE4B36">
      <w:pPr>
        <w:rPr>
          <w:rFonts w:ascii="Times New Roman" w:hAnsi="Times New Roman" w:cs="Times New Roman"/>
          <w:bCs/>
          <w:sz w:val="24"/>
          <w:szCs w:val="24"/>
        </w:rPr>
      </w:pPr>
      <w:r w:rsidRPr="0086593F">
        <w:rPr>
          <w:rFonts w:ascii="Times New Roman" w:hAnsi="Times New Roman" w:cs="Times New Roman"/>
          <w:bCs/>
          <w:sz w:val="24"/>
          <w:szCs w:val="24"/>
        </w:rPr>
        <w:t xml:space="preserve">Certain aspects of the level playing field – labour and social standards, environment and climate, other instruments for sustainable development </w:t>
      </w:r>
      <w:r w:rsidR="00191502" w:rsidRPr="0086593F">
        <w:rPr>
          <w:rFonts w:ascii="Times New Roman" w:hAnsi="Times New Roman" w:cs="Times New Roman"/>
          <w:bCs/>
          <w:sz w:val="24"/>
          <w:szCs w:val="24"/>
        </w:rPr>
        <w:t xml:space="preserve">are subject to </w:t>
      </w:r>
      <w:r w:rsidRPr="0086593F">
        <w:rPr>
          <w:rFonts w:ascii="Times New Roman" w:hAnsi="Times New Roman" w:cs="Times New Roman"/>
          <w:bCs/>
          <w:sz w:val="24"/>
          <w:szCs w:val="24"/>
        </w:rPr>
        <w:t xml:space="preserve">dispute resolution </w:t>
      </w:r>
      <w:r w:rsidR="00191502" w:rsidRPr="0086593F">
        <w:rPr>
          <w:rFonts w:ascii="Times New Roman" w:hAnsi="Times New Roman" w:cs="Times New Roman"/>
          <w:bCs/>
          <w:sz w:val="24"/>
          <w:szCs w:val="24"/>
        </w:rPr>
        <w:t xml:space="preserve">through </w:t>
      </w:r>
      <w:r w:rsidRPr="0086593F">
        <w:rPr>
          <w:rFonts w:ascii="Times New Roman" w:hAnsi="Times New Roman" w:cs="Times New Roman"/>
          <w:bCs/>
          <w:sz w:val="24"/>
          <w:szCs w:val="24"/>
        </w:rPr>
        <w:t xml:space="preserve">initial consultation with civil society groups and international organisations, with </w:t>
      </w:r>
      <w:r w:rsidR="0086593F" w:rsidRPr="0086593F">
        <w:rPr>
          <w:rFonts w:ascii="Times New Roman" w:hAnsi="Times New Roman" w:cs="Times New Roman"/>
          <w:bCs/>
          <w:sz w:val="24"/>
          <w:szCs w:val="24"/>
        </w:rPr>
        <w:t xml:space="preserve">a </w:t>
      </w:r>
      <w:r w:rsidRPr="0086593F">
        <w:rPr>
          <w:rFonts w:ascii="Times New Roman" w:hAnsi="Times New Roman" w:cs="Times New Roman"/>
          <w:bCs/>
          <w:sz w:val="24"/>
          <w:szCs w:val="24"/>
        </w:rPr>
        <w:t xml:space="preserve">decision taken by a panel of experts. </w:t>
      </w:r>
      <w:r w:rsidR="0086593F" w:rsidRPr="0086593F">
        <w:rPr>
          <w:rFonts w:ascii="Times New Roman" w:hAnsi="Times New Roman" w:cs="Times New Roman"/>
          <w:bCs/>
          <w:sz w:val="24"/>
          <w:szCs w:val="24"/>
        </w:rPr>
        <w:t>L</w:t>
      </w:r>
      <w:r w:rsidRPr="0086593F">
        <w:rPr>
          <w:rFonts w:ascii="Times New Roman" w:hAnsi="Times New Roman" w:cs="Times New Roman"/>
          <w:bCs/>
          <w:sz w:val="24"/>
          <w:szCs w:val="24"/>
        </w:rPr>
        <w:t>ack of resolution may still lead to compensation, rebalancing or suspension of the obligations</w:t>
      </w:r>
      <w:r w:rsidR="0086593F" w:rsidRPr="0086593F">
        <w:rPr>
          <w:rFonts w:ascii="Times New Roman" w:hAnsi="Times New Roman" w:cs="Times New Roman"/>
          <w:bCs/>
          <w:sz w:val="24"/>
          <w:szCs w:val="24"/>
        </w:rPr>
        <w:t xml:space="preserve"> and the involvement of an arbitral tribunal</w:t>
      </w:r>
      <w:r w:rsidRPr="0086593F">
        <w:rPr>
          <w:rFonts w:ascii="Times New Roman" w:hAnsi="Times New Roman" w:cs="Times New Roman"/>
          <w:bCs/>
          <w:sz w:val="24"/>
          <w:szCs w:val="24"/>
        </w:rPr>
        <w:t>.</w:t>
      </w:r>
    </w:p>
    <w:p w14:paraId="73868C63" w14:textId="74D620B6" w:rsidR="005424B4" w:rsidRDefault="00CB7DD9" w:rsidP="00217554">
      <w:pPr>
        <w:spacing w:after="0" w:line="240" w:lineRule="auto"/>
        <w:rPr>
          <w:rFonts w:ascii="Times New Roman" w:eastAsia="Calibri" w:hAnsi="Times New Roman" w:cs="Times New Roman"/>
          <w:bCs/>
          <w:sz w:val="24"/>
          <w:szCs w:val="24"/>
        </w:rPr>
      </w:pPr>
      <w:r w:rsidRPr="00F24A60">
        <w:rPr>
          <w:rFonts w:ascii="Times New Roman" w:eastAsia="Calibri" w:hAnsi="Times New Roman" w:cs="Times New Roman"/>
          <w:bCs/>
          <w:sz w:val="24"/>
          <w:szCs w:val="24"/>
        </w:rPr>
        <w:t>Art 9.4</w:t>
      </w:r>
      <w:r w:rsidR="00305B45">
        <w:rPr>
          <w:rFonts w:ascii="Times New Roman" w:eastAsia="Calibri" w:hAnsi="Times New Roman" w:cs="Times New Roman"/>
          <w:bCs/>
          <w:sz w:val="24"/>
          <w:szCs w:val="24"/>
        </w:rPr>
        <w:t xml:space="preserve">(1) </w:t>
      </w:r>
      <w:r w:rsidR="00183794" w:rsidRPr="00F24A60">
        <w:rPr>
          <w:rFonts w:ascii="Times New Roman" w:hAnsi="Times New Roman" w:cs="Times New Roman"/>
          <w:sz w:val="24"/>
          <w:szCs w:val="24"/>
        </w:rPr>
        <w:t xml:space="preserve">on </w:t>
      </w:r>
      <w:r w:rsidRPr="00F24A60">
        <w:rPr>
          <w:rFonts w:ascii="Times New Roman" w:hAnsi="Times New Roman" w:cs="Times New Roman"/>
          <w:sz w:val="24"/>
          <w:szCs w:val="24"/>
        </w:rPr>
        <w:t>rebalancing</w:t>
      </w:r>
      <w:r w:rsidR="00183794" w:rsidRPr="00F24A60">
        <w:rPr>
          <w:rFonts w:ascii="Times New Roman" w:hAnsi="Times New Roman" w:cs="Times New Roman"/>
          <w:sz w:val="24"/>
          <w:szCs w:val="24"/>
        </w:rPr>
        <w:t xml:space="preserve"> encapsulates</w:t>
      </w:r>
      <w:r w:rsidR="00183794">
        <w:rPr>
          <w:rFonts w:ascii="Times New Roman" w:hAnsi="Times New Roman" w:cs="Times New Roman"/>
          <w:sz w:val="24"/>
          <w:szCs w:val="24"/>
        </w:rPr>
        <w:t xml:space="preserve"> </w:t>
      </w:r>
      <w:r w:rsidR="00AD076C">
        <w:rPr>
          <w:rFonts w:ascii="Times New Roman" w:hAnsi="Times New Roman" w:cs="Times New Roman"/>
          <w:sz w:val="24"/>
          <w:szCs w:val="24"/>
        </w:rPr>
        <w:t>the parties’ regulatory autonomy regarding future policies – but at a cost</w:t>
      </w:r>
      <w:r w:rsidR="00217554">
        <w:rPr>
          <w:rFonts w:ascii="Times New Roman" w:hAnsi="Times New Roman" w:cs="Times New Roman"/>
          <w:sz w:val="24"/>
          <w:szCs w:val="24"/>
        </w:rPr>
        <w:t>: “</w:t>
      </w:r>
      <w:r w:rsidRPr="00997397">
        <w:rPr>
          <w:rFonts w:ascii="Times New Roman" w:eastAsia="Calibri" w:hAnsi="Times New Roman" w:cs="Times New Roman"/>
          <w:bCs/>
          <w:sz w:val="24"/>
          <w:szCs w:val="24"/>
        </w:rPr>
        <w:t>the Parties acknowledge that significant divergences</w:t>
      </w:r>
      <w:r w:rsidR="00217554">
        <w:rPr>
          <w:rFonts w:ascii="Times New Roman" w:eastAsia="Calibri" w:hAnsi="Times New Roman" w:cs="Times New Roman"/>
          <w:bCs/>
          <w:sz w:val="24"/>
          <w:szCs w:val="24"/>
        </w:rPr>
        <w:t>…</w:t>
      </w:r>
      <w:r w:rsidRPr="00997397">
        <w:rPr>
          <w:rFonts w:ascii="Times New Roman" w:eastAsia="Calibri" w:hAnsi="Times New Roman" w:cs="Times New Roman"/>
          <w:bCs/>
          <w:sz w:val="24"/>
          <w:szCs w:val="24"/>
        </w:rPr>
        <w:t>can be capable of impacting trade or investment between the Parties in a manner that changes the circumstances that have formed the basis for the conclusion of this Agreement.”</w:t>
      </w:r>
      <w:r w:rsidR="00217554">
        <w:rPr>
          <w:rFonts w:ascii="Times New Roman" w:eastAsia="Calibri" w:hAnsi="Times New Roman" w:cs="Times New Roman"/>
          <w:bCs/>
          <w:sz w:val="24"/>
          <w:szCs w:val="24"/>
        </w:rPr>
        <w:t xml:space="preserve"> </w:t>
      </w:r>
      <w:r w:rsidR="00B23EE9" w:rsidRPr="00997397">
        <w:rPr>
          <w:rFonts w:ascii="Times New Roman" w:eastAsia="Calibri" w:hAnsi="Times New Roman" w:cs="Times New Roman"/>
          <w:bCs/>
          <w:sz w:val="24"/>
          <w:szCs w:val="24"/>
        </w:rPr>
        <w:t>Deviation from the level playing field standards entitles the other party to adopt unilateral rebalancing measures</w:t>
      </w:r>
      <w:r w:rsidR="00E60B08" w:rsidRPr="00997397">
        <w:rPr>
          <w:rStyle w:val="FootnoteReference"/>
          <w:rFonts w:ascii="Times New Roman" w:eastAsia="Calibri" w:hAnsi="Times New Roman" w:cs="Times New Roman"/>
          <w:bCs/>
          <w:sz w:val="24"/>
          <w:szCs w:val="24"/>
        </w:rPr>
        <w:footnoteReference w:id="63"/>
      </w:r>
      <w:r w:rsidR="00B23EE9" w:rsidRPr="00997397">
        <w:rPr>
          <w:rFonts w:ascii="Times New Roman" w:eastAsia="Calibri" w:hAnsi="Times New Roman" w:cs="Times New Roman"/>
          <w:bCs/>
          <w:sz w:val="24"/>
          <w:szCs w:val="24"/>
        </w:rPr>
        <w:t xml:space="preserve"> </w:t>
      </w:r>
      <w:r w:rsidR="00EF3AB6">
        <w:rPr>
          <w:rFonts w:ascii="Times New Roman" w:eastAsia="Calibri" w:hAnsi="Times New Roman" w:cs="Times New Roman"/>
          <w:bCs/>
          <w:sz w:val="24"/>
          <w:szCs w:val="24"/>
        </w:rPr>
        <w:t>“i</w:t>
      </w:r>
      <w:r w:rsidR="0086032A" w:rsidRPr="00997397">
        <w:rPr>
          <w:rFonts w:ascii="Times New Roman" w:eastAsia="Calibri" w:hAnsi="Times New Roman" w:cs="Times New Roman"/>
          <w:bCs/>
          <w:sz w:val="24"/>
          <w:szCs w:val="24"/>
        </w:rPr>
        <w:t xml:space="preserve">f </w:t>
      </w:r>
      <w:r w:rsidR="0086032A" w:rsidRPr="007D78CC">
        <w:rPr>
          <w:rFonts w:ascii="Times New Roman" w:eastAsia="Calibri" w:hAnsi="Times New Roman" w:cs="Times New Roman"/>
          <w:bCs/>
          <w:i/>
          <w:iCs/>
          <w:sz w:val="24"/>
          <w:szCs w:val="24"/>
        </w:rPr>
        <w:t>material impacts on trade or investment</w:t>
      </w:r>
      <w:r w:rsidR="0086032A" w:rsidRPr="00997397">
        <w:rPr>
          <w:rFonts w:ascii="Times New Roman" w:eastAsia="Calibri" w:hAnsi="Times New Roman" w:cs="Times New Roman"/>
          <w:bCs/>
          <w:sz w:val="24"/>
          <w:szCs w:val="24"/>
        </w:rPr>
        <w:t xml:space="preserve"> </w:t>
      </w:r>
      <w:r w:rsidR="00AC781E">
        <w:rPr>
          <w:rFonts w:ascii="Times New Roman" w:eastAsia="Calibri" w:hAnsi="Times New Roman" w:cs="Times New Roman"/>
          <w:bCs/>
          <w:sz w:val="24"/>
          <w:szCs w:val="24"/>
        </w:rPr>
        <w:t>…[arise]</w:t>
      </w:r>
      <w:r w:rsidR="0086032A" w:rsidRPr="00997397">
        <w:rPr>
          <w:rFonts w:ascii="Times New Roman" w:eastAsia="Calibri" w:hAnsi="Times New Roman" w:cs="Times New Roman"/>
          <w:bCs/>
          <w:sz w:val="24"/>
          <w:szCs w:val="24"/>
        </w:rPr>
        <w:t xml:space="preserve"> </w:t>
      </w:r>
      <w:r w:rsidR="0086032A" w:rsidRPr="007D78CC">
        <w:rPr>
          <w:rFonts w:ascii="Times New Roman" w:eastAsia="Calibri" w:hAnsi="Times New Roman" w:cs="Times New Roman"/>
          <w:bCs/>
          <w:i/>
          <w:iCs/>
          <w:sz w:val="24"/>
          <w:szCs w:val="24"/>
        </w:rPr>
        <w:t>as a result of significant divergences</w:t>
      </w:r>
      <w:r w:rsidR="0086032A" w:rsidRPr="00997397">
        <w:rPr>
          <w:rFonts w:ascii="Times New Roman" w:eastAsia="Calibri" w:hAnsi="Times New Roman" w:cs="Times New Roman"/>
          <w:bCs/>
          <w:sz w:val="24"/>
          <w:szCs w:val="24"/>
        </w:rPr>
        <w:t xml:space="preserve"> between the Parties</w:t>
      </w:r>
      <w:r w:rsidR="00AC781E">
        <w:rPr>
          <w:rFonts w:ascii="Times New Roman" w:eastAsia="Calibri" w:hAnsi="Times New Roman" w:cs="Times New Roman"/>
          <w:bCs/>
          <w:sz w:val="24"/>
          <w:szCs w:val="24"/>
        </w:rPr>
        <w:t>…</w:t>
      </w:r>
      <w:r w:rsidR="0086032A" w:rsidRPr="00997397">
        <w:rPr>
          <w:rFonts w:ascii="Times New Roman" w:eastAsia="Calibri" w:hAnsi="Times New Roman" w:cs="Times New Roman"/>
          <w:bCs/>
          <w:sz w:val="24"/>
          <w:szCs w:val="24"/>
        </w:rPr>
        <w:t xml:space="preserve">Such measures shall be restricted with respect to their </w:t>
      </w:r>
      <w:r w:rsidR="0086032A" w:rsidRPr="00997397">
        <w:rPr>
          <w:rFonts w:ascii="Times New Roman" w:eastAsia="Calibri" w:hAnsi="Times New Roman" w:cs="Times New Roman"/>
          <w:bCs/>
          <w:sz w:val="24"/>
          <w:szCs w:val="24"/>
        </w:rPr>
        <w:lastRenderedPageBreak/>
        <w:t>scope and duration to what is strictly necessary and proportionate in order to remedy the situation. Priority shall be given to such measures as will least disturb the functioning of this Agreement. A Party’s assessment of these impacts shall be based on reliable evidence and not merely on conjecture or remote possibility”</w:t>
      </w:r>
      <w:r w:rsidR="005424B4" w:rsidRPr="00997397">
        <w:rPr>
          <w:rFonts w:ascii="Times New Roman" w:eastAsia="Calibri" w:hAnsi="Times New Roman" w:cs="Times New Roman"/>
          <w:bCs/>
          <w:sz w:val="24"/>
          <w:szCs w:val="24"/>
        </w:rPr>
        <w:t xml:space="preserve"> </w:t>
      </w:r>
      <w:r w:rsidR="007073FE">
        <w:rPr>
          <w:rFonts w:ascii="Times New Roman" w:eastAsia="Calibri" w:hAnsi="Times New Roman" w:cs="Times New Roman"/>
          <w:bCs/>
          <w:sz w:val="24"/>
          <w:szCs w:val="24"/>
        </w:rPr>
        <w:t>(emphasis added).</w:t>
      </w:r>
    </w:p>
    <w:p w14:paraId="55819A69" w14:textId="77777777" w:rsidR="00AC781E" w:rsidRPr="00997397" w:rsidRDefault="00AC781E" w:rsidP="00217554">
      <w:pPr>
        <w:spacing w:after="0" w:line="240" w:lineRule="auto"/>
        <w:rPr>
          <w:rFonts w:ascii="Times New Roman" w:eastAsia="Calibri" w:hAnsi="Times New Roman" w:cs="Times New Roman"/>
          <w:bCs/>
          <w:sz w:val="24"/>
          <w:szCs w:val="24"/>
        </w:rPr>
      </w:pPr>
    </w:p>
    <w:p w14:paraId="35106E1D" w14:textId="5ADE14B8" w:rsidR="009E3DEE" w:rsidRPr="00997397" w:rsidRDefault="00D0042A" w:rsidP="006C4B48">
      <w:pPr>
        <w:rPr>
          <w:rFonts w:ascii="Times New Roman" w:eastAsia="Calibri" w:hAnsi="Times New Roman" w:cs="Times New Roman"/>
          <w:bCs/>
          <w:sz w:val="24"/>
          <w:szCs w:val="24"/>
        </w:rPr>
      </w:pPr>
      <w:r w:rsidRPr="00997397">
        <w:rPr>
          <w:rFonts w:ascii="Times New Roman" w:eastAsia="Calibri" w:hAnsi="Times New Roman" w:cs="Times New Roman"/>
          <w:bCs/>
          <w:sz w:val="24"/>
          <w:szCs w:val="24"/>
        </w:rPr>
        <w:t xml:space="preserve">The concepts of ‘material impacts’, ‘significant divergence’ and ‘reliable evidence’ are undefined, leaving it to each party to interpret them. It is possible to imagine that there may be material impact on trade or investment which arise for reasons other than significant divergences between the parties, so this could be viewed as a two-part test. </w:t>
      </w:r>
      <w:r w:rsidR="0000749B" w:rsidRPr="00997397">
        <w:rPr>
          <w:rFonts w:ascii="Times New Roman" w:eastAsia="Calibri" w:hAnsi="Times New Roman" w:cs="Times New Roman"/>
          <w:bCs/>
          <w:sz w:val="24"/>
          <w:szCs w:val="24"/>
        </w:rPr>
        <w:t>Alternatively,</w:t>
      </w:r>
      <w:r w:rsidRPr="00997397">
        <w:rPr>
          <w:rFonts w:ascii="Times New Roman" w:eastAsia="Calibri" w:hAnsi="Times New Roman" w:cs="Times New Roman"/>
          <w:bCs/>
          <w:sz w:val="24"/>
          <w:szCs w:val="24"/>
        </w:rPr>
        <w:t xml:space="preserve"> the ‘significance’ of the divergence might be determined by the fact that some degree of divergence has caused a material impact on trade or investment. </w:t>
      </w:r>
      <w:r w:rsidR="00754602">
        <w:rPr>
          <w:rFonts w:ascii="Times New Roman" w:eastAsia="Calibri" w:hAnsi="Times New Roman" w:cs="Times New Roman"/>
          <w:bCs/>
          <w:sz w:val="24"/>
          <w:szCs w:val="24"/>
        </w:rPr>
        <w:t>T</w:t>
      </w:r>
      <w:r w:rsidRPr="00997397">
        <w:rPr>
          <w:rFonts w:ascii="Times New Roman" w:eastAsia="Calibri" w:hAnsi="Times New Roman" w:cs="Times New Roman"/>
          <w:bCs/>
          <w:sz w:val="24"/>
          <w:szCs w:val="24"/>
        </w:rPr>
        <w:t>hese interpretations will be d</w:t>
      </w:r>
      <w:r w:rsidR="00754602">
        <w:rPr>
          <w:rFonts w:ascii="Times New Roman" w:eastAsia="Calibri" w:hAnsi="Times New Roman" w:cs="Times New Roman"/>
          <w:bCs/>
          <w:sz w:val="24"/>
          <w:szCs w:val="24"/>
        </w:rPr>
        <w:t xml:space="preserve">ebated </w:t>
      </w:r>
      <w:r w:rsidR="0070054E" w:rsidRPr="00997397">
        <w:rPr>
          <w:rFonts w:ascii="Times New Roman" w:eastAsia="Calibri" w:hAnsi="Times New Roman" w:cs="Times New Roman"/>
          <w:bCs/>
          <w:sz w:val="24"/>
          <w:szCs w:val="24"/>
        </w:rPr>
        <w:t xml:space="preserve">at political level </w:t>
      </w:r>
      <w:r w:rsidRPr="00997397">
        <w:rPr>
          <w:rFonts w:ascii="Times New Roman" w:eastAsia="Calibri" w:hAnsi="Times New Roman" w:cs="Times New Roman"/>
          <w:bCs/>
          <w:sz w:val="24"/>
          <w:szCs w:val="24"/>
        </w:rPr>
        <w:t>in the PC</w:t>
      </w:r>
      <w:r w:rsidR="00E60B08" w:rsidRPr="00997397">
        <w:rPr>
          <w:rFonts w:ascii="Times New Roman" w:eastAsia="Calibri" w:hAnsi="Times New Roman" w:cs="Times New Roman"/>
          <w:bCs/>
          <w:sz w:val="24"/>
          <w:szCs w:val="24"/>
        </w:rPr>
        <w:t xml:space="preserve"> </w:t>
      </w:r>
      <w:r w:rsidR="0070054E" w:rsidRPr="00997397">
        <w:rPr>
          <w:rFonts w:ascii="Times New Roman" w:eastAsia="Calibri" w:hAnsi="Times New Roman" w:cs="Times New Roman"/>
          <w:bCs/>
          <w:sz w:val="24"/>
          <w:szCs w:val="24"/>
        </w:rPr>
        <w:t>(</w:t>
      </w:r>
      <w:r w:rsidR="00E60B08" w:rsidRPr="00997397">
        <w:rPr>
          <w:rFonts w:ascii="Times New Roman" w:eastAsia="Calibri" w:hAnsi="Times New Roman" w:cs="Times New Roman"/>
          <w:bCs/>
          <w:sz w:val="24"/>
          <w:szCs w:val="24"/>
        </w:rPr>
        <w:t>and SCs</w:t>
      </w:r>
      <w:r w:rsidR="0070054E" w:rsidRPr="00997397">
        <w:rPr>
          <w:rFonts w:ascii="Times New Roman" w:eastAsia="Calibri" w:hAnsi="Times New Roman" w:cs="Times New Roman"/>
          <w:bCs/>
          <w:sz w:val="24"/>
          <w:szCs w:val="24"/>
        </w:rPr>
        <w:t>)</w:t>
      </w:r>
      <w:r w:rsidR="005736CD" w:rsidRPr="00997397">
        <w:rPr>
          <w:rFonts w:ascii="Times New Roman" w:eastAsia="Calibri" w:hAnsi="Times New Roman" w:cs="Times New Roman"/>
          <w:bCs/>
          <w:sz w:val="24"/>
          <w:szCs w:val="24"/>
        </w:rPr>
        <w:t xml:space="preserve"> as well as through </w:t>
      </w:r>
      <w:r w:rsidR="00E60B08" w:rsidRPr="00997397">
        <w:rPr>
          <w:rFonts w:ascii="Times New Roman" w:eastAsia="Calibri" w:hAnsi="Times New Roman" w:cs="Times New Roman"/>
          <w:bCs/>
          <w:sz w:val="24"/>
          <w:szCs w:val="24"/>
        </w:rPr>
        <w:t>the arbitral tribunals and panels of experts</w:t>
      </w:r>
      <w:r w:rsidR="00A82716" w:rsidRPr="00997397">
        <w:rPr>
          <w:rFonts w:ascii="Times New Roman" w:eastAsia="Calibri" w:hAnsi="Times New Roman" w:cs="Times New Roman"/>
          <w:bCs/>
          <w:sz w:val="24"/>
          <w:szCs w:val="24"/>
        </w:rPr>
        <w:t>, since the intention to take rebalancing measures must by notified t</w:t>
      </w:r>
      <w:r w:rsidR="0070054E" w:rsidRPr="00997397">
        <w:rPr>
          <w:rFonts w:ascii="Times New Roman" w:eastAsia="Calibri" w:hAnsi="Times New Roman" w:cs="Times New Roman"/>
          <w:bCs/>
          <w:sz w:val="24"/>
          <w:szCs w:val="24"/>
        </w:rPr>
        <w:t>hrough</w:t>
      </w:r>
      <w:r w:rsidR="00A82716" w:rsidRPr="00997397">
        <w:rPr>
          <w:rFonts w:ascii="Times New Roman" w:eastAsia="Calibri" w:hAnsi="Times New Roman" w:cs="Times New Roman"/>
          <w:bCs/>
          <w:sz w:val="24"/>
          <w:szCs w:val="24"/>
        </w:rPr>
        <w:t xml:space="preserve"> the PC</w:t>
      </w:r>
      <w:r w:rsidR="009A48F2" w:rsidRPr="00997397">
        <w:rPr>
          <w:rFonts w:ascii="Times New Roman" w:eastAsia="Calibri" w:hAnsi="Times New Roman" w:cs="Times New Roman"/>
          <w:bCs/>
          <w:sz w:val="24"/>
          <w:szCs w:val="24"/>
        </w:rPr>
        <w:t xml:space="preserve"> to</w:t>
      </w:r>
      <w:r w:rsidR="007976D5" w:rsidRPr="00997397">
        <w:rPr>
          <w:rFonts w:ascii="Times New Roman" w:eastAsia="Calibri" w:hAnsi="Times New Roman" w:cs="Times New Roman"/>
          <w:bCs/>
          <w:sz w:val="24"/>
          <w:szCs w:val="24"/>
        </w:rPr>
        <w:t xml:space="preserve"> trigger consultations</w:t>
      </w:r>
      <w:r w:rsidRPr="00997397">
        <w:rPr>
          <w:rFonts w:ascii="Times New Roman" w:eastAsia="Calibri" w:hAnsi="Times New Roman" w:cs="Times New Roman"/>
          <w:bCs/>
          <w:sz w:val="24"/>
          <w:szCs w:val="24"/>
        </w:rPr>
        <w:t>.</w:t>
      </w:r>
      <w:r w:rsidR="0070054E" w:rsidRPr="00997397">
        <w:rPr>
          <w:rStyle w:val="FootnoteReference"/>
          <w:rFonts w:ascii="Times New Roman" w:eastAsia="Calibri" w:hAnsi="Times New Roman" w:cs="Times New Roman"/>
          <w:bCs/>
          <w:sz w:val="24"/>
          <w:szCs w:val="24"/>
        </w:rPr>
        <w:footnoteReference w:id="64"/>
      </w:r>
      <w:r w:rsidRPr="00997397">
        <w:rPr>
          <w:rFonts w:ascii="Times New Roman" w:eastAsia="Calibri" w:hAnsi="Times New Roman" w:cs="Times New Roman"/>
          <w:bCs/>
          <w:sz w:val="24"/>
          <w:szCs w:val="24"/>
        </w:rPr>
        <w:t xml:space="preserve"> </w:t>
      </w:r>
      <w:r w:rsidR="006C4B48" w:rsidRPr="00997397">
        <w:rPr>
          <w:rFonts w:ascii="Times New Roman" w:eastAsia="Calibri" w:hAnsi="Times New Roman" w:cs="Times New Roman"/>
          <w:bCs/>
          <w:sz w:val="24"/>
          <w:szCs w:val="24"/>
        </w:rPr>
        <w:t>Indeed,</w:t>
      </w:r>
      <w:r w:rsidR="006D2790" w:rsidRPr="00997397">
        <w:rPr>
          <w:rFonts w:ascii="Times New Roman" w:eastAsia="Calibri" w:hAnsi="Times New Roman" w:cs="Times New Roman"/>
          <w:bCs/>
          <w:sz w:val="24"/>
          <w:szCs w:val="24"/>
        </w:rPr>
        <w:t xml:space="preserve"> in the similar wording</w:t>
      </w:r>
      <w:r w:rsidR="006C4B48" w:rsidRPr="00997397">
        <w:rPr>
          <w:rFonts w:ascii="Times New Roman" w:eastAsia="Calibri" w:hAnsi="Times New Roman" w:cs="Times New Roman"/>
          <w:bCs/>
          <w:sz w:val="24"/>
          <w:szCs w:val="24"/>
        </w:rPr>
        <w:t xml:space="preserve"> regarding remedial measures on subsidies,</w:t>
      </w:r>
      <w:r w:rsidR="003219FE" w:rsidRPr="00997397">
        <w:rPr>
          <w:rStyle w:val="FootnoteReference"/>
          <w:rFonts w:ascii="Times New Roman" w:eastAsia="Calibri" w:hAnsi="Times New Roman" w:cs="Times New Roman"/>
          <w:bCs/>
          <w:sz w:val="24"/>
          <w:szCs w:val="24"/>
        </w:rPr>
        <w:t xml:space="preserve"> </w:t>
      </w:r>
      <w:r w:rsidR="003219FE" w:rsidRPr="00997397">
        <w:rPr>
          <w:rStyle w:val="FootnoteReference"/>
          <w:rFonts w:ascii="Times New Roman" w:eastAsia="Calibri" w:hAnsi="Times New Roman" w:cs="Times New Roman"/>
          <w:bCs/>
          <w:sz w:val="24"/>
          <w:szCs w:val="24"/>
        </w:rPr>
        <w:footnoteReference w:id="65"/>
      </w:r>
      <w:r w:rsidR="006C4B48" w:rsidRPr="00997397">
        <w:rPr>
          <w:rFonts w:ascii="Times New Roman" w:eastAsia="Calibri" w:hAnsi="Times New Roman" w:cs="Times New Roman"/>
          <w:bCs/>
          <w:sz w:val="24"/>
          <w:szCs w:val="24"/>
        </w:rPr>
        <w:t xml:space="preserve"> </w:t>
      </w:r>
      <w:r w:rsidR="00240756" w:rsidRPr="00997397">
        <w:rPr>
          <w:rFonts w:ascii="Times New Roman" w:eastAsia="Calibri" w:hAnsi="Times New Roman" w:cs="Times New Roman"/>
          <w:bCs/>
          <w:sz w:val="24"/>
          <w:szCs w:val="24"/>
        </w:rPr>
        <w:t xml:space="preserve">the PC </w:t>
      </w:r>
      <w:r w:rsidR="008F124F" w:rsidRPr="00997397">
        <w:rPr>
          <w:rFonts w:ascii="Times New Roman" w:eastAsia="Calibri" w:hAnsi="Times New Roman" w:cs="Times New Roman"/>
          <w:bCs/>
          <w:sz w:val="24"/>
          <w:szCs w:val="24"/>
        </w:rPr>
        <w:t>“</w:t>
      </w:r>
      <w:r w:rsidR="006C4B48" w:rsidRPr="00997397">
        <w:rPr>
          <w:rFonts w:ascii="Times New Roman" w:eastAsia="Calibri" w:hAnsi="Times New Roman" w:cs="Times New Roman"/>
          <w:bCs/>
          <w:sz w:val="24"/>
          <w:szCs w:val="24"/>
        </w:rPr>
        <w:t>may maintain an illustrative list of what would amount to a</w:t>
      </w:r>
      <w:r w:rsidR="008F124F" w:rsidRPr="00997397">
        <w:rPr>
          <w:rFonts w:ascii="Times New Roman" w:eastAsia="Calibri" w:hAnsi="Times New Roman" w:cs="Times New Roman"/>
          <w:bCs/>
          <w:sz w:val="24"/>
          <w:szCs w:val="24"/>
        </w:rPr>
        <w:t xml:space="preserve"> </w:t>
      </w:r>
      <w:r w:rsidR="006C4B48" w:rsidRPr="00997397">
        <w:rPr>
          <w:rFonts w:ascii="Times New Roman" w:eastAsia="Calibri" w:hAnsi="Times New Roman" w:cs="Times New Roman"/>
          <w:bCs/>
          <w:sz w:val="24"/>
          <w:szCs w:val="24"/>
        </w:rPr>
        <w:t>significant negative effect on trade or investment</w:t>
      </w:r>
      <w:r w:rsidR="00240756" w:rsidRPr="00997397">
        <w:rPr>
          <w:rFonts w:ascii="Times New Roman" w:eastAsia="Calibri" w:hAnsi="Times New Roman" w:cs="Times New Roman"/>
          <w:bCs/>
          <w:sz w:val="24"/>
          <w:szCs w:val="24"/>
        </w:rPr>
        <w:t>”</w:t>
      </w:r>
      <w:r w:rsidR="003219FE" w:rsidRPr="00997397">
        <w:rPr>
          <w:rFonts w:ascii="Times New Roman" w:eastAsia="Calibri" w:hAnsi="Times New Roman" w:cs="Times New Roman"/>
          <w:bCs/>
          <w:sz w:val="24"/>
          <w:szCs w:val="24"/>
        </w:rPr>
        <w:t>.</w:t>
      </w:r>
      <w:r w:rsidR="006C4B48" w:rsidRPr="00997397">
        <w:rPr>
          <w:rStyle w:val="FootnoteReference"/>
          <w:rFonts w:ascii="Times New Roman" w:eastAsia="Calibri" w:hAnsi="Times New Roman" w:cs="Times New Roman"/>
          <w:bCs/>
          <w:sz w:val="24"/>
          <w:szCs w:val="24"/>
        </w:rPr>
        <w:footnoteReference w:id="66"/>
      </w:r>
    </w:p>
    <w:p w14:paraId="74027A22" w14:textId="61D73500" w:rsidR="00C15C4E" w:rsidRPr="00046381" w:rsidRDefault="007D7197" w:rsidP="00046381">
      <w:pPr>
        <w:rPr>
          <w:rFonts w:ascii="Times New Roman" w:hAnsi="Times New Roman" w:cs="Times New Roman"/>
          <w:bCs/>
          <w:sz w:val="24"/>
          <w:szCs w:val="24"/>
        </w:rPr>
      </w:pPr>
      <w:r w:rsidRPr="00300C67">
        <w:rPr>
          <w:rFonts w:ascii="Times New Roman" w:eastAsia="Calibri" w:hAnsi="Times New Roman" w:cs="Times New Roman"/>
          <w:bCs/>
          <w:sz w:val="24"/>
          <w:szCs w:val="24"/>
        </w:rPr>
        <w:t xml:space="preserve">Divergence-minimizing mechanisms are also found away from the </w:t>
      </w:r>
      <w:r w:rsidR="00157042">
        <w:rPr>
          <w:rFonts w:ascii="Times New Roman" w:eastAsia="Calibri" w:hAnsi="Times New Roman" w:cs="Times New Roman"/>
          <w:bCs/>
          <w:sz w:val="24"/>
          <w:szCs w:val="24"/>
        </w:rPr>
        <w:t>level playing field</w:t>
      </w:r>
      <w:r w:rsidRPr="00300C67">
        <w:rPr>
          <w:rFonts w:ascii="Times New Roman" w:eastAsia="Calibri" w:hAnsi="Times New Roman" w:cs="Times New Roman"/>
          <w:bCs/>
          <w:sz w:val="24"/>
          <w:szCs w:val="24"/>
        </w:rPr>
        <w:t xml:space="preserve"> provisions</w:t>
      </w:r>
      <w:r w:rsidR="00300C67" w:rsidRPr="00300C67">
        <w:rPr>
          <w:rFonts w:ascii="Times New Roman" w:eastAsia="Calibri" w:hAnsi="Times New Roman" w:cs="Times New Roman"/>
          <w:bCs/>
          <w:sz w:val="24"/>
          <w:szCs w:val="24"/>
        </w:rPr>
        <w:t xml:space="preserve">, </w:t>
      </w:r>
      <w:r w:rsidR="001A532E">
        <w:rPr>
          <w:rFonts w:ascii="Times New Roman" w:eastAsia="Calibri" w:hAnsi="Times New Roman" w:cs="Times New Roman"/>
          <w:bCs/>
          <w:sz w:val="24"/>
          <w:szCs w:val="24"/>
        </w:rPr>
        <w:t>aligned with</w:t>
      </w:r>
      <w:r w:rsidR="00300C67" w:rsidRPr="00300C67">
        <w:rPr>
          <w:rFonts w:ascii="Times New Roman" w:eastAsia="Calibri" w:hAnsi="Times New Roman" w:cs="Times New Roman"/>
          <w:bCs/>
          <w:sz w:val="24"/>
          <w:szCs w:val="24"/>
        </w:rPr>
        <w:t xml:space="preserve"> international standards</w:t>
      </w:r>
      <w:r w:rsidRPr="00300C67">
        <w:rPr>
          <w:rFonts w:ascii="Times New Roman" w:eastAsia="Calibri" w:hAnsi="Times New Roman" w:cs="Times New Roman"/>
          <w:bCs/>
          <w:sz w:val="24"/>
          <w:szCs w:val="24"/>
        </w:rPr>
        <w:t>.</w:t>
      </w:r>
      <w:r w:rsidR="001617B0">
        <w:rPr>
          <w:rFonts w:ascii="Times New Roman" w:hAnsi="Times New Roman" w:cs="Times New Roman"/>
          <w:sz w:val="24"/>
          <w:szCs w:val="24"/>
        </w:rPr>
        <w:t xml:space="preserve"> </w:t>
      </w:r>
      <w:r w:rsidR="003D1FE1">
        <w:rPr>
          <w:rFonts w:ascii="Times New Roman" w:hAnsi="Times New Roman" w:cs="Times New Roman"/>
          <w:sz w:val="24"/>
          <w:szCs w:val="24"/>
        </w:rPr>
        <w:t>On technical regulations,</w:t>
      </w:r>
      <w:r w:rsidR="00317105" w:rsidRPr="00997397">
        <w:rPr>
          <w:rFonts w:ascii="Times New Roman" w:eastAsia="Calibri" w:hAnsi="Times New Roman" w:cs="Times New Roman"/>
          <w:bCs/>
          <w:sz w:val="24"/>
          <w:szCs w:val="24"/>
        </w:rPr>
        <w:t xml:space="preserve"> </w:t>
      </w:r>
      <w:r w:rsidR="00E1065B">
        <w:rPr>
          <w:rFonts w:ascii="Times New Roman" w:eastAsia="Calibri" w:hAnsi="Times New Roman" w:cs="Times New Roman"/>
          <w:bCs/>
          <w:sz w:val="24"/>
          <w:szCs w:val="24"/>
        </w:rPr>
        <w:t xml:space="preserve">the parties shall increase convergence with </w:t>
      </w:r>
      <w:r w:rsidR="00CB2681">
        <w:rPr>
          <w:rFonts w:ascii="Times New Roman" w:eastAsia="Calibri" w:hAnsi="Times New Roman" w:cs="Times New Roman"/>
          <w:bCs/>
          <w:sz w:val="24"/>
          <w:szCs w:val="24"/>
        </w:rPr>
        <w:t xml:space="preserve">relevant </w:t>
      </w:r>
      <w:r w:rsidR="00E1065B">
        <w:rPr>
          <w:rFonts w:ascii="Times New Roman" w:eastAsia="Calibri" w:hAnsi="Times New Roman" w:cs="Times New Roman"/>
          <w:bCs/>
          <w:sz w:val="24"/>
          <w:szCs w:val="24"/>
        </w:rPr>
        <w:t>i</w:t>
      </w:r>
      <w:r w:rsidR="00C87A4C">
        <w:rPr>
          <w:rFonts w:ascii="Times New Roman" w:eastAsia="Calibri" w:hAnsi="Times New Roman" w:cs="Times New Roman"/>
          <w:bCs/>
          <w:sz w:val="24"/>
          <w:szCs w:val="24"/>
        </w:rPr>
        <w:t>nternational standards</w:t>
      </w:r>
      <w:r w:rsidR="00E1065B">
        <w:rPr>
          <w:rFonts w:ascii="Times New Roman" w:eastAsia="Calibri" w:hAnsi="Times New Roman" w:cs="Times New Roman"/>
          <w:bCs/>
          <w:sz w:val="24"/>
          <w:szCs w:val="24"/>
        </w:rPr>
        <w:t xml:space="preserve"> and take in</w:t>
      </w:r>
      <w:r w:rsidR="00CB2681">
        <w:rPr>
          <w:rFonts w:ascii="Times New Roman" w:eastAsia="Calibri" w:hAnsi="Times New Roman" w:cs="Times New Roman"/>
          <w:bCs/>
          <w:sz w:val="24"/>
          <w:szCs w:val="24"/>
        </w:rPr>
        <w:t xml:space="preserve">to account </w:t>
      </w:r>
      <w:r w:rsidR="00EB4483" w:rsidRPr="00997397">
        <w:rPr>
          <w:rFonts w:ascii="Times New Roman" w:eastAsia="Calibri" w:hAnsi="Times New Roman" w:cs="Times New Roman"/>
          <w:bCs/>
          <w:sz w:val="24"/>
          <w:szCs w:val="24"/>
        </w:rPr>
        <w:t xml:space="preserve">any changes in the circumstances that have given rise to divergence from </w:t>
      </w:r>
      <w:r w:rsidR="00CB2681">
        <w:rPr>
          <w:rFonts w:ascii="Times New Roman" w:eastAsia="Calibri" w:hAnsi="Times New Roman" w:cs="Times New Roman"/>
          <w:bCs/>
          <w:sz w:val="24"/>
          <w:szCs w:val="24"/>
        </w:rPr>
        <w:t>them.</w:t>
      </w:r>
      <w:r w:rsidR="00CB2681" w:rsidRPr="00CB2681">
        <w:rPr>
          <w:rStyle w:val="FootnoteReference"/>
          <w:rFonts w:ascii="Times New Roman" w:hAnsi="Times New Roman" w:cs="Times New Roman"/>
          <w:sz w:val="24"/>
          <w:szCs w:val="24"/>
        </w:rPr>
        <w:t xml:space="preserve"> </w:t>
      </w:r>
      <w:r w:rsidR="00CB2681">
        <w:rPr>
          <w:rStyle w:val="FootnoteReference"/>
          <w:rFonts w:ascii="Times New Roman" w:hAnsi="Times New Roman" w:cs="Times New Roman"/>
          <w:sz w:val="24"/>
          <w:szCs w:val="24"/>
        </w:rPr>
        <w:footnoteReference w:id="67"/>
      </w:r>
      <w:r w:rsidR="004E6BBA">
        <w:rPr>
          <w:rFonts w:ascii="Times New Roman" w:hAnsi="Times New Roman" w:cs="Times New Roman"/>
          <w:sz w:val="24"/>
          <w:szCs w:val="24"/>
        </w:rPr>
        <w:t xml:space="preserve"> Similarly</w:t>
      </w:r>
      <w:r w:rsidR="00A776D3">
        <w:rPr>
          <w:rFonts w:ascii="Times New Roman" w:hAnsi="Times New Roman" w:cs="Times New Roman"/>
          <w:sz w:val="24"/>
          <w:szCs w:val="24"/>
        </w:rPr>
        <w:t>,</w:t>
      </w:r>
      <w:r w:rsidR="004E6BBA">
        <w:rPr>
          <w:rFonts w:ascii="Times New Roman" w:hAnsi="Times New Roman" w:cs="Times New Roman"/>
          <w:sz w:val="24"/>
          <w:szCs w:val="24"/>
        </w:rPr>
        <w:t xml:space="preserve"> regulatory impact assessments</w:t>
      </w:r>
      <w:r w:rsidR="007365B6">
        <w:rPr>
          <w:rFonts w:ascii="Times New Roman" w:hAnsi="Times New Roman" w:cs="Times New Roman"/>
          <w:sz w:val="24"/>
          <w:szCs w:val="24"/>
        </w:rPr>
        <w:t xml:space="preserve"> should </w:t>
      </w:r>
      <w:r w:rsidR="00AA50A8">
        <w:rPr>
          <w:rFonts w:ascii="Times New Roman" w:hAnsi="Times New Roman" w:cs="Times New Roman"/>
          <w:sz w:val="24"/>
          <w:szCs w:val="24"/>
        </w:rPr>
        <w:t xml:space="preserve">show how different options </w:t>
      </w:r>
      <w:r w:rsidR="00AA50A8" w:rsidRPr="00997397">
        <w:rPr>
          <w:rFonts w:ascii="Times New Roman" w:eastAsia="Calibri" w:hAnsi="Times New Roman" w:cs="Times New Roman"/>
          <w:bCs/>
          <w:sz w:val="24"/>
          <w:szCs w:val="24"/>
        </w:rPr>
        <w:t>relate to relevant international standards, including the reasons for any divergence</w:t>
      </w:r>
      <w:r w:rsidR="00AA50A8">
        <w:rPr>
          <w:rFonts w:ascii="Times New Roman" w:eastAsia="Calibri" w:hAnsi="Times New Roman" w:cs="Times New Roman"/>
          <w:bCs/>
          <w:sz w:val="24"/>
          <w:szCs w:val="24"/>
        </w:rPr>
        <w:t>.</w:t>
      </w:r>
      <w:r w:rsidR="00AA50A8">
        <w:rPr>
          <w:rStyle w:val="FootnoteReference"/>
          <w:rFonts w:ascii="Times New Roman" w:eastAsia="Calibri" w:hAnsi="Times New Roman" w:cs="Times New Roman"/>
          <w:bCs/>
          <w:sz w:val="24"/>
          <w:szCs w:val="24"/>
        </w:rPr>
        <w:footnoteReference w:id="68"/>
      </w:r>
      <w:r w:rsidR="00451B22">
        <w:rPr>
          <w:rFonts w:ascii="Times New Roman" w:eastAsia="Calibri" w:hAnsi="Times New Roman" w:cs="Times New Roman"/>
          <w:bCs/>
          <w:sz w:val="24"/>
          <w:szCs w:val="24"/>
        </w:rPr>
        <w:t xml:space="preserve"> </w:t>
      </w:r>
      <w:r w:rsidR="00A776D3">
        <w:rPr>
          <w:rFonts w:ascii="Times New Roman" w:eastAsia="Calibri" w:hAnsi="Times New Roman" w:cs="Times New Roman"/>
          <w:bCs/>
          <w:sz w:val="24"/>
          <w:szCs w:val="24"/>
        </w:rPr>
        <w:t>On motor vehicles and equipment</w:t>
      </w:r>
      <w:r w:rsidR="006554D9">
        <w:rPr>
          <w:rFonts w:ascii="Times New Roman" w:hAnsi="Times New Roman" w:cs="Times New Roman"/>
          <w:sz w:val="24"/>
          <w:szCs w:val="24"/>
        </w:rPr>
        <w:t xml:space="preserve">, </w:t>
      </w:r>
      <w:r w:rsidR="00A776D3">
        <w:rPr>
          <w:rFonts w:ascii="Times New Roman" w:hAnsi="Times New Roman" w:cs="Times New Roman"/>
          <w:sz w:val="24"/>
          <w:szCs w:val="24"/>
        </w:rPr>
        <w:t xml:space="preserve">if the EU or UK </w:t>
      </w:r>
      <w:r w:rsidR="008C498C" w:rsidRPr="00997397">
        <w:rPr>
          <w:rFonts w:ascii="Times New Roman" w:eastAsia="Calibri" w:hAnsi="Times New Roman" w:cs="Times New Roman"/>
          <w:bCs/>
          <w:sz w:val="24"/>
          <w:szCs w:val="24"/>
        </w:rPr>
        <w:t xml:space="preserve">introduces a domestic technical regulation, marking, or conformity assessment procedure </w:t>
      </w:r>
      <w:r w:rsidR="00461583">
        <w:rPr>
          <w:rFonts w:ascii="Times New Roman" w:eastAsia="Calibri" w:hAnsi="Times New Roman" w:cs="Times New Roman"/>
          <w:bCs/>
          <w:sz w:val="24"/>
          <w:szCs w:val="24"/>
        </w:rPr>
        <w:t xml:space="preserve">they must </w:t>
      </w:r>
      <w:r w:rsidR="008C498C" w:rsidRPr="00997397">
        <w:rPr>
          <w:rFonts w:ascii="Times New Roman" w:eastAsia="Calibri" w:hAnsi="Times New Roman" w:cs="Times New Roman"/>
          <w:bCs/>
          <w:sz w:val="24"/>
          <w:szCs w:val="24"/>
        </w:rPr>
        <w:t xml:space="preserve">identify the parts which substantially diverge from the relevant </w:t>
      </w:r>
      <w:r w:rsidR="004F1EE5">
        <w:rPr>
          <w:rFonts w:ascii="Times New Roman" w:eastAsia="Calibri" w:hAnsi="Times New Roman" w:cs="Times New Roman"/>
          <w:bCs/>
          <w:sz w:val="24"/>
          <w:szCs w:val="24"/>
        </w:rPr>
        <w:t xml:space="preserve">international </w:t>
      </w:r>
      <w:r w:rsidR="006554D9">
        <w:rPr>
          <w:rFonts w:ascii="Times New Roman" w:eastAsia="Calibri" w:hAnsi="Times New Roman" w:cs="Times New Roman"/>
          <w:bCs/>
          <w:sz w:val="24"/>
          <w:szCs w:val="24"/>
        </w:rPr>
        <w:t xml:space="preserve">regulations </w:t>
      </w:r>
      <w:r w:rsidR="008C498C" w:rsidRPr="00997397">
        <w:rPr>
          <w:rFonts w:ascii="Times New Roman" w:eastAsia="Calibri" w:hAnsi="Times New Roman" w:cs="Times New Roman"/>
          <w:bCs/>
          <w:sz w:val="24"/>
          <w:szCs w:val="24"/>
        </w:rPr>
        <w:t>and provide justification for the divergence.</w:t>
      </w:r>
      <w:r w:rsidR="006554D9" w:rsidRPr="006554D9">
        <w:rPr>
          <w:rStyle w:val="FootnoteReference"/>
          <w:rFonts w:ascii="Times New Roman" w:eastAsia="Calibri" w:hAnsi="Times New Roman" w:cs="Times New Roman"/>
          <w:bCs/>
          <w:sz w:val="24"/>
          <w:szCs w:val="24"/>
        </w:rPr>
        <w:t xml:space="preserve"> </w:t>
      </w:r>
      <w:r w:rsidR="004F1EE5">
        <w:rPr>
          <w:rFonts w:ascii="Times New Roman" w:eastAsia="Calibri" w:hAnsi="Times New Roman" w:cs="Times New Roman"/>
          <w:bCs/>
          <w:sz w:val="24"/>
          <w:szCs w:val="24"/>
        </w:rPr>
        <w:t xml:space="preserve">The domestic </w:t>
      </w:r>
      <w:r w:rsidR="009A63C3">
        <w:rPr>
          <w:rFonts w:ascii="Times New Roman" w:eastAsia="Calibri" w:hAnsi="Times New Roman" w:cs="Times New Roman"/>
          <w:bCs/>
          <w:sz w:val="24"/>
          <w:szCs w:val="24"/>
        </w:rPr>
        <w:t>measures</w:t>
      </w:r>
      <w:r w:rsidR="004F1EE5">
        <w:rPr>
          <w:rFonts w:ascii="Times New Roman" w:eastAsia="Calibri" w:hAnsi="Times New Roman" w:cs="Times New Roman"/>
          <w:bCs/>
          <w:sz w:val="24"/>
          <w:szCs w:val="24"/>
        </w:rPr>
        <w:t xml:space="preserve"> then need to </w:t>
      </w:r>
      <w:r w:rsidR="009A63C3">
        <w:rPr>
          <w:rFonts w:ascii="Times New Roman" w:eastAsia="Calibri" w:hAnsi="Times New Roman" w:cs="Times New Roman"/>
          <w:bCs/>
          <w:sz w:val="24"/>
          <w:szCs w:val="24"/>
        </w:rPr>
        <w:t xml:space="preserve">be </w:t>
      </w:r>
      <w:r w:rsidR="006D445C">
        <w:rPr>
          <w:rFonts w:ascii="Times New Roman" w:eastAsia="Calibri" w:hAnsi="Times New Roman" w:cs="Times New Roman"/>
          <w:bCs/>
          <w:sz w:val="24"/>
          <w:szCs w:val="24"/>
        </w:rPr>
        <w:t>self-</w:t>
      </w:r>
      <w:r w:rsidR="009A63C3">
        <w:rPr>
          <w:rFonts w:ascii="Times New Roman" w:eastAsia="Calibri" w:hAnsi="Times New Roman" w:cs="Times New Roman"/>
          <w:bCs/>
          <w:sz w:val="24"/>
          <w:szCs w:val="24"/>
        </w:rPr>
        <w:t>reviewed at regular intervals at least every five years.</w:t>
      </w:r>
      <w:r w:rsidR="009A63C3" w:rsidRPr="009A63C3">
        <w:rPr>
          <w:rStyle w:val="FootnoteReference"/>
          <w:rFonts w:ascii="Times New Roman" w:eastAsia="Calibri" w:hAnsi="Times New Roman" w:cs="Times New Roman"/>
          <w:bCs/>
          <w:sz w:val="24"/>
          <w:szCs w:val="24"/>
        </w:rPr>
        <w:t xml:space="preserve"> </w:t>
      </w:r>
      <w:r w:rsidR="009A63C3">
        <w:rPr>
          <w:rStyle w:val="FootnoteReference"/>
          <w:rFonts w:ascii="Times New Roman" w:eastAsia="Calibri" w:hAnsi="Times New Roman" w:cs="Times New Roman"/>
          <w:bCs/>
          <w:sz w:val="24"/>
          <w:szCs w:val="24"/>
        </w:rPr>
        <w:footnoteReference w:id="69"/>
      </w:r>
      <w:r w:rsidR="009A63C3">
        <w:rPr>
          <w:rFonts w:ascii="Times New Roman" w:eastAsia="Calibri" w:hAnsi="Times New Roman" w:cs="Times New Roman"/>
          <w:bCs/>
          <w:sz w:val="24"/>
          <w:szCs w:val="24"/>
        </w:rPr>
        <w:t xml:space="preserve">  </w:t>
      </w:r>
    </w:p>
    <w:p w14:paraId="16BD1D1A" w14:textId="43E25A4D" w:rsidR="00FE63DB" w:rsidRDefault="00111E1C" w:rsidP="002D46A5">
      <w:pPr>
        <w:spacing w:line="240" w:lineRule="auto"/>
        <w:rPr>
          <w:rFonts w:ascii="Times New Roman" w:hAnsi="Times New Roman" w:cs="Times New Roman"/>
          <w:bCs/>
          <w:sz w:val="24"/>
          <w:szCs w:val="24"/>
        </w:rPr>
      </w:pPr>
      <w:r w:rsidRPr="00997397">
        <w:rPr>
          <w:rFonts w:ascii="Times New Roman" w:hAnsi="Times New Roman" w:cs="Times New Roman"/>
          <w:bCs/>
          <w:sz w:val="24"/>
          <w:szCs w:val="24"/>
        </w:rPr>
        <w:t>In addition to the governance</w:t>
      </w:r>
      <w:r w:rsidR="00390ECA">
        <w:rPr>
          <w:rFonts w:ascii="Times New Roman" w:hAnsi="Times New Roman" w:cs="Times New Roman"/>
          <w:bCs/>
          <w:sz w:val="24"/>
          <w:szCs w:val="24"/>
        </w:rPr>
        <w:t xml:space="preserve"> and</w:t>
      </w:r>
      <w:r w:rsidRPr="00997397">
        <w:rPr>
          <w:rFonts w:ascii="Times New Roman" w:hAnsi="Times New Roman" w:cs="Times New Roman"/>
          <w:bCs/>
          <w:sz w:val="24"/>
          <w:szCs w:val="24"/>
        </w:rPr>
        <w:t xml:space="preserve"> dispute mechanisms </w:t>
      </w:r>
      <w:r w:rsidR="00AC7D0F">
        <w:rPr>
          <w:rFonts w:ascii="Times New Roman" w:hAnsi="Times New Roman" w:cs="Times New Roman"/>
          <w:bCs/>
          <w:sz w:val="24"/>
          <w:szCs w:val="24"/>
        </w:rPr>
        <w:t xml:space="preserve">concerning </w:t>
      </w:r>
      <w:r w:rsidR="001E5302">
        <w:rPr>
          <w:rFonts w:ascii="Times New Roman" w:hAnsi="Times New Roman" w:cs="Times New Roman"/>
          <w:bCs/>
          <w:sz w:val="24"/>
          <w:szCs w:val="24"/>
        </w:rPr>
        <w:t>measures adopted after 1 January 2021</w:t>
      </w:r>
      <w:r w:rsidRPr="00997397">
        <w:rPr>
          <w:rFonts w:ascii="Times New Roman" w:hAnsi="Times New Roman" w:cs="Times New Roman"/>
          <w:bCs/>
          <w:sz w:val="24"/>
          <w:szCs w:val="24"/>
        </w:rPr>
        <w:t xml:space="preserve"> described above, some </w:t>
      </w:r>
      <w:r w:rsidR="003615F7">
        <w:rPr>
          <w:rFonts w:ascii="Times New Roman" w:hAnsi="Times New Roman" w:cs="Times New Roman"/>
          <w:bCs/>
          <w:sz w:val="24"/>
          <w:szCs w:val="24"/>
        </w:rPr>
        <w:t>level playing field</w:t>
      </w:r>
      <w:r w:rsidRPr="00997397">
        <w:rPr>
          <w:rFonts w:ascii="Times New Roman" w:hAnsi="Times New Roman" w:cs="Times New Roman"/>
          <w:bCs/>
          <w:sz w:val="24"/>
          <w:szCs w:val="24"/>
        </w:rPr>
        <w:t xml:space="preserve"> </w:t>
      </w:r>
      <w:r w:rsidR="0016106F" w:rsidRPr="00997397">
        <w:rPr>
          <w:rFonts w:ascii="Times New Roman" w:hAnsi="Times New Roman" w:cs="Times New Roman"/>
          <w:bCs/>
          <w:sz w:val="24"/>
          <w:szCs w:val="24"/>
        </w:rPr>
        <w:t xml:space="preserve">aspects </w:t>
      </w:r>
      <w:r w:rsidRPr="00997397">
        <w:rPr>
          <w:rFonts w:ascii="Times New Roman" w:hAnsi="Times New Roman" w:cs="Times New Roman"/>
          <w:bCs/>
          <w:sz w:val="24"/>
          <w:szCs w:val="24"/>
        </w:rPr>
        <w:t xml:space="preserve">require </w:t>
      </w:r>
      <w:r w:rsidR="001F5B21" w:rsidRPr="00997397">
        <w:rPr>
          <w:rFonts w:ascii="Times New Roman" w:hAnsi="Times New Roman" w:cs="Times New Roman"/>
          <w:bCs/>
          <w:sz w:val="24"/>
          <w:szCs w:val="24"/>
        </w:rPr>
        <w:t>domestic implementation</w:t>
      </w:r>
      <w:r w:rsidR="00A865FB" w:rsidRPr="00997397">
        <w:rPr>
          <w:rFonts w:ascii="Times New Roman" w:hAnsi="Times New Roman" w:cs="Times New Roman"/>
          <w:bCs/>
          <w:sz w:val="24"/>
          <w:szCs w:val="24"/>
        </w:rPr>
        <w:t xml:space="preserve"> an</w:t>
      </w:r>
      <w:r w:rsidR="00741312" w:rsidRPr="00997397">
        <w:rPr>
          <w:rFonts w:ascii="Times New Roman" w:hAnsi="Times New Roman" w:cs="Times New Roman"/>
          <w:bCs/>
          <w:sz w:val="24"/>
          <w:szCs w:val="24"/>
        </w:rPr>
        <w:t>d institutions</w:t>
      </w:r>
      <w:r w:rsidR="001F5B21" w:rsidRPr="00997397">
        <w:rPr>
          <w:rFonts w:ascii="Times New Roman" w:hAnsi="Times New Roman" w:cs="Times New Roman"/>
          <w:bCs/>
          <w:sz w:val="24"/>
          <w:szCs w:val="24"/>
        </w:rPr>
        <w:t xml:space="preserve">. </w:t>
      </w:r>
      <w:r w:rsidR="00D16210" w:rsidRPr="00997397">
        <w:rPr>
          <w:rFonts w:ascii="Times New Roman" w:hAnsi="Times New Roman" w:cs="Times New Roman"/>
          <w:bCs/>
          <w:sz w:val="24"/>
          <w:szCs w:val="24"/>
        </w:rPr>
        <w:t xml:space="preserve">This includes </w:t>
      </w:r>
      <w:r w:rsidR="001F5B21" w:rsidRPr="00997397">
        <w:rPr>
          <w:rFonts w:ascii="Times New Roman" w:hAnsi="Times New Roman" w:cs="Times New Roman"/>
          <w:bCs/>
          <w:sz w:val="24"/>
          <w:szCs w:val="24"/>
        </w:rPr>
        <w:t xml:space="preserve">control of subsidies by </w:t>
      </w:r>
      <w:r w:rsidR="00FE5681" w:rsidRPr="00997397">
        <w:rPr>
          <w:rFonts w:ascii="Times New Roman" w:hAnsi="Times New Roman" w:cs="Times New Roman"/>
          <w:bCs/>
          <w:sz w:val="24"/>
          <w:szCs w:val="24"/>
        </w:rPr>
        <w:t xml:space="preserve">an independent </w:t>
      </w:r>
      <w:r w:rsidR="001F5B21" w:rsidRPr="00997397">
        <w:rPr>
          <w:rFonts w:ascii="Times New Roman" w:hAnsi="Times New Roman" w:cs="Times New Roman"/>
          <w:bCs/>
          <w:sz w:val="24"/>
          <w:szCs w:val="24"/>
        </w:rPr>
        <w:t>domestic authorit</w:t>
      </w:r>
      <w:r w:rsidR="00FE5681" w:rsidRPr="00997397">
        <w:rPr>
          <w:rFonts w:ascii="Times New Roman" w:hAnsi="Times New Roman" w:cs="Times New Roman"/>
          <w:bCs/>
          <w:sz w:val="24"/>
          <w:szCs w:val="24"/>
        </w:rPr>
        <w:t>y</w:t>
      </w:r>
      <w:r w:rsidR="00AF2D41">
        <w:rPr>
          <w:rFonts w:ascii="Times New Roman" w:hAnsi="Times New Roman" w:cs="Times New Roman"/>
          <w:bCs/>
          <w:sz w:val="24"/>
          <w:szCs w:val="24"/>
        </w:rPr>
        <w:t>,</w:t>
      </w:r>
      <w:r w:rsidR="001F5B21" w:rsidRPr="00997397">
        <w:rPr>
          <w:rFonts w:ascii="Times New Roman" w:hAnsi="Times New Roman" w:cs="Times New Roman"/>
          <w:bCs/>
          <w:sz w:val="24"/>
          <w:szCs w:val="24"/>
        </w:rPr>
        <w:t xml:space="preserve"> and</w:t>
      </w:r>
      <w:r w:rsidR="00AF2D41">
        <w:rPr>
          <w:rFonts w:ascii="Times New Roman" w:hAnsi="Times New Roman" w:cs="Times New Roman"/>
          <w:bCs/>
          <w:sz w:val="24"/>
          <w:szCs w:val="24"/>
        </w:rPr>
        <w:t xml:space="preserve"> access to redress</w:t>
      </w:r>
      <w:r w:rsidR="00FB026E" w:rsidRPr="00997397">
        <w:rPr>
          <w:rFonts w:ascii="Times New Roman" w:hAnsi="Times New Roman" w:cs="Times New Roman"/>
          <w:bCs/>
          <w:sz w:val="24"/>
          <w:szCs w:val="24"/>
        </w:rPr>
        <w:t xml:space="preserve"> for private parties </w:t>
      </w:r>
      <w:r w:rsidR="003D23EA">
        <w:rPr>
          <w:rFonts w:ascii="Times New Roman" w:hAnsi="Times New Roman" w:cs="Times New Roman"/>
          <w:bCs/>
          <w:sz w:val="24"/>
          <w:szCs w:val="24"/>
        </w:rPr>
        <w:t>in the</w:t>
      </w:r>
      <w:r w:rsidR="00FB026E" w:rsidRPr="00997397">
        <w:rPr>
          <w:rFonts w:ascii="Times New Roman" w:hAnsi="Times New Roman" w:cs="Times New Roman"/>
          <w:bCs/>
          <w:sz w:val="24"/>
          <w:szCs w:val="24"/>
        </w:rPr>
        <w:t xml:space="preserve"> other jurisdiction</w:t>
      </w:r>
      <w:r w:rsidR="00AF2D41">
        <w:rPr>
          <w:rFonts w:ascii="Times New Roman" w:hAnsi="Times New Roman" w:cs="Times New Roman"/>
          <w:bCs/>
          <w:sz w:val="24"/>
          <w:szCs w:val="24"/>
        </w:rPr>
        <w:t>.</w:t>
      </w:r>
      <w:r w:rsidR="00FB026E" w:rsidRPr="00997397">
        <w:rPr>
          <w:rStyle w:val="FootnoteReference"/>
          <w:rFonts w:ascii="Times New Roman" w:hAnsi="Times New Roman" w:cs="Times New Roman"/>
          <w:bCs/>
          <w:sz w:val="24"/>
          <w:szCs w:val="24"/>
        </w:rPr>
        <w:footnoteReference w:id="70"/>
      </w:r>
      <w:r w:rsidR="00FB026E" w:rsidRPr="00997397">
        <w:rPr>
          <w:rFonts w:ascii="Times New Roman" w:hAnsi="Times New Roman" w:cs="Times New Roman"/>
          <w:bCs/>
          <w:sz w:val="24"/>
          <w:szCs w:val="24"/>
        </w:rPr>
        <w:t xml:space="preserve"> </w:t>
      </w:r>
      <w:r w:rsidR="00576D4B" w:rsidRPr="00997397">
        <w:rPr>
          <w:rFonts w:ascii="Times New Roman" w:hAnsi="Times New Roman" w:cs="Times New Roman"/>
          <w:bCs/>
          <w:sz w:val="24"/>
          <w:szCs w:val="24"/>
        </w:rPr>
        <w:t xml:space="preserve">Courts must be empowered to </w:t>
      </w:r>
      <w:r w:rsidR="00B97481" w:rsidRPr="00997397">
        <w:rPr>
          <w:rFonts w:ascii="Times New Roman" w:hAnsi="Times New Roman" w:cs="Times New Roman"/>
          <w:bCs/>
          <w:sz w:val="24"/>
          <w:szCs w:val="24"/>
        </w:rPr>
        <w:t>prohibit, suspend or recover subsidies</w:t>
      </w:r>
      <w:r w:rsidR="0011486F" w:rsidRPr="00997397">
        <w:rPr>
          <w:rStyle w:val="FootnoteReference"/>
          <w:rFonts w:ascii="Times New Roman" w:hAnsi="Times New Roman" w:cs="Times New Roman"/>
          <w:bCs/>
          <w:sz w:val="24"/>
          <w:szCs w:val="24"/>
        </w:rPr>
        <w:footnoteReference w:id="71"/>
      </w:r>
      <w:r w:rsidR="00B97481" w:rsidRPr="00997397">
        <w:rPr>
          <w:rFonts w:ascii="Times New Roman" w:hAnsi="Times New Roman" w:cs="Times New Roman"/>
          <w:bCs/>
          <w:sz w:val="24"/>
          <w:szCs w:val="24"/>
        </w:rPr>
        <w:t xml:space="preserve"> </w:t>
      </w:r>
      <w:r w:rsidR="00576D4B" w:rsidRPr="00997397">
        <w:rPr>
          <w:rFonts w:ascii="Times New Roman" w:hAnsi="Times New Roman" w:cs="Times New Roman"/>
          <w:bCs/>
          <w:sz w:val="24"/>
          <w:szCs w:val="24"/>
        </w:rPr>
        <w:t xml:space="preserve">if </w:t>
      </w:r>
      <w:r w:rsidR="005D7805" w:rsidRPr="00997397">
        <w:rPr>
          <w:rFonts w:ascii="Times New Roman" w:hAnsi="Times New Roman" w:cs="Times New Roman"/>
          <w:bCs/>
          <w:sz w:val="24"/>
          <w:szCs w:val="24"/>
        </w:rPr>
        <w:t>they have</w:t>
      </w:r>
      <w:r w:rsidR="00B75B4C" w:rsidRPr="00997397">
        <w:rPr>
          <w:rFonts w:ascii="Times New Roman" w:hAnsi="Times New Roman" w:cs="Times New Roman"/>
          <w:bCs/>
          <w:sz w:val="24"/>
          <w:szCs w:val="24"/>
        </w:rPr>
        <w:t xml:space="preserve"> not been granted according to t</w:t>
      </w:r>
      <w:r w:rsidR="00E72388" w:rsidRPr="00997397">
        <w:rPr>
          <w:rFonts w:ascii="Times New Roman" w:hAnsi="Times New Roman" w:cs="Times New Roman"/>
          <w:bCs/>
          <w:sz w:val="24"/>
          <w:szCs w:val="24"/>
        </w:rPr>
        <w:t>h</w:t>
      </w:r>
      <w:r w:rsidR="00B75B4C" w:rsidRPr="00997397">
        <w:rPr>
          <w:rFonts w:ascii="Times New Roman" w:hAnsi="Times New Roman" w:cs="Times New Roman"/>
          <w:bCs/>
          <w:sz w:val="24"/>
          <w:szCs w:val="24"/>
        </w:rPr>
        <w:t>e general principles on subsidies</w:t>
      </w:r>
      <w:r w:rsidR="005D2C0D" w:rsidRPr="00997397">
        <w:rPr>
          <w:rFonts w:ascii="Times New Roman" w:hAnsi="Times New Roman" w:cs="Times New Roman"/>
          <w:bCs/>
          <w:sz w:val="24"/>
          <w:szCs w:val="24"/>
        </w:rPr>
        <w:t xml:space="preserve"> (</w:t>
      </w:r>
      <w:r w:rsidR="00F927D8" w:rsidRPr="00997397">
        <w:rPr>
          <w:rFonts w:ascii="Times New Roman" w:hAnsi="Times New Roman" w:cs="Times New Roman"/>
          <w:bCs/>
          <w:sz w:val="24"/>
          <w:szCs w:val="24"/>
        </w:rPr>
        <w:t xml:space="preserve">including a specific </w:t>
      </w:r>
      <w:r w:rsidR="005D2C0D" w:rsidRPr="00997397">
        <w:rPr>
          <w:rFonts w:ascii="Times New Roman" w:hAnsi="Times New Roman" w:cs="Times New Roman"/>
          <w:bCs/>
          <w:sz w:val="24"/>
          <w:szCs w:val="24"/>
        </w:rPr>
        <w:t>public interest</w:t>
      </w:r>
      <w:r w:rsidR="00105361" w:rsidRPr="00997397">
        <w:rPr>
          <w:rFonts w:ascii="Times New Roman" w:hAnsi="Times New Roman" w:cs="Times New Roman"/>
          <w:bCs/>
          <w:sz w:val="24"/>
          <w:szCs w:val="24"/>
        </w:rPr>
        <w:t xml:space="preserve"> objective, remedying market failure, according to necessity and proportionality</w:t>
      </w:r>
      <w:r w:rsidR="00713FF4" w:rsidRPr="00997397">
        <w:rPr>
          <w:rStyle w:val="FootnoteReference"/>
          <w:rFonts w:ascii="Times New Roman" w:hAnsi="Times New Roman" w:cs="Times New Roman"/>
          <w:bCs/>
          <w:sz w:val="24"/>
          <w:szCs w:val="24"/>
        </w:rPr>
        <w:footnoteReference w:id="72"/>
      </w:r>
      <w:r w:rsidR="00E11F79" w:rsidRPr="00997397">
        <w:rPr>
          <w:rFonts w:ascii="Times New Roman" w:hAnsi="Times New Roman" w:cs="Times New Roman"/>
          <w:bCs/>
          <w:sz w:val="24"/>
          <w:szCs w:val="24"/>
        </w:rPr>
        <w:t>)</w:t>
      </w:r>
      <w:r w:rsidR="00B75B4C" w:rsidRPr="00997397">
        <w:rPr>
          <w:rFonts w:ascii="Times New Roman" w:hAnsi="Times New Roman" w:cs="Times New Roman"/>
          <w:bCs/>
          <w:sz w:val="24"/>
          <w:szCs w:val="24"/>
        </w:rPr>
        <w:t xml:space="preserve">, and, if applicable, the </w:t>
      </w:r>
      <w:r w:rsidR="007B7D2A" w:rsidRPr="00997397">
        <w:rPr>
          <w:rFonts w:ascii="Times New Roman" w:hAnsi="Times New Roman" w:cs="Times New Roman"/>
          <w:bCs/>
          <w:sz w:val="24"/>
          <w:szCs w:val="24"/>
        </w:rPr>
        <w:t xml:space="preserve">relevant </w:t>
      </w:r>
      <w:r w:rsidR="00B75B4C" w:rsidRPr="00997397">
        <w:rPr>
          <w:rFonts w:ascii="Times New Roman" w:hAnsi="Times New Roman" w:cs="Times New Roman"/>
          <w:bCs/>
          <w:sz w:val="24"/>
          <w:szCs w:val="24"/>
        </w:rPr>
        <w:t>principles</w:t>
      </w:r>
      <w:r w:rsidR="007B7D2A" w:rsidRPr="00997397">
        <w:rPr>
          <w:rFonts w:ascii="Times New Roman" w:hAnsi="Times New Roman" w:cs="Times New Roman"/>
          <w:bCs/>
          <w:sz w:val="24"/>
          <w:szCs w:val="24"/>
        </w:rPr>
        <w:t xml:space="preserve"> on particular sectors or types of aid</w:t>
      </w:r>
      <w:r w:rsidR="00B75B4C" w:rsidRPr="00997397">
        <w:rPr>
          <w:rFonts w:ascii="Times New Roman" w:hAnsi="Times New Roman" w:cs="Times New Roman"/>
          <w:bCs/>
          <w:sz w:val="24"/>
          <w:szCs w:val="24"/>
        </w:rPr>
        <w:t xml:space="preserve">. </w:t>
      </w:r>
      <w:r w:rsidR="00FE2055">
        <w:rPr>
          <w:rFonts w:ascii="Times New Roman" w:hAnsi="Times New Roman" w:cs="Times New Roman"/>
          <w:bCs/>
          <w:sz w:val="24"/>
          <w:szCs w:val="24"/>
        </w:rPr>
        <w:t>Details of s</w:t>
      </w:r>
      <w:r w:rsidR="00093E60" w:rsidRPr="00997397">
        <w:rPr>
          <w:rFonts w:ascii="Times New Roman" w:hAnsi="Times New Roman" w:cs="Times New Roman"/>
          <w:bCs/>
          <w:sz w:val="24"/>
          <w:szCs w:val="24"/>
        </w:rPr>
        <w:t xml:space="preserve">ubsidies are required to be published online within </w:t>
      </w:r>
      <w:r w:rsidR="00EB4ACD">
        <w:rPr>
          <w:rFonts w:ascii="Times New Roman" w:hAnsi="Times New Roman" w:cs="Times New Roman"/>
          <w:bCs/>
          <w:sz w:val="24"/>
          <w:szCs w:val="24"/>
        </w:rPr>
        <w:t xml:space="preserve">six </w:t>
      </w:r>
      <w:r w:rsidR="00093E60" w:rsidRPr="00997397">
        <w:rPr>
          <w:rFonts w:ascii="Times New Roman" w:hAnsi="Times New Roman" w:cs="Times New Roman"/>
          <w:bCs/>
          <w:sz w:val="24"/>
          <w:szCs w:val="24"/>
        </w:rPr>
        <w:t>months,</w:t>
      </w:r>
      <w:r w:rsidR="00FE2055">
        <w:rPr>
          <w:rFonts w:ascii="Times New Roman" w:hAnsi="Times New Roman" w:cs="Times New Roman"/>
          <w:bCs/>
          <w:sz w:val="24"/>
          <w:szCs w:val="24"/>
        </w:rPr>
        <w:t xml:space="preserve"> and </w:t>
      </w:r>
      <w:r w:rsidR="00093E60" w:rsidRPr="00997397">
        <w:rPr>
          <w:rFonts w:ascii="Times New Roman" w:hAnsi="Times New Roman" w:cs="Times New Roman"/>
          <w:bCs/>
          <w:sz w:val="24"/>
          <w:szCs w:val="24"/>
        </w:rPr>
        <w:t>for tax measure</w:t>
      </w:r>
      <w:r w:rsidR="007F302F" w:rsidRPr="00997397">
        <w:rPr>
          <w:rFonts w:ascii="Times New Roman" w:hAnsi="Times New Roman" w:cs="Times New Roman"/>
          <w:bCs/>
          <w:sz w:val="24"/>
          <w:szCs w:val="24"/>
        </w:rPr>
        <w:t>s</w:t>
      </w:r>
      <w:r w:rsidR="00FE2055" w:rsidRPr="00FE2055">
        <w:rPr>
          <w:rFonts w:ascii="Times New Roman" w:hAnsi="Times New Roman" w:cs="Times New Roman"/>
          <w:bCs/>
          <w:sz w:val="24"/>
          <w:szCs w:val="24"/>
        </w:rPr>
        <w:t xml:space="preserve"> </w:t>
      </w:r>
      <w:r w:rsidR="00FE2055" w:rsidRPr="00997397">
        <w:rPr>
          <w:rFonts w:ascii="Times New Roman" w:hAnsi="Times New Roman" w:cs="Times New Roman"/>
          <w:bCs/>
          <w:sz w:val="24"/>
          <w:szCs w:val="24"/>
        </w:rPr>
        <w:t xml:space="preserve">within </w:t>
      </w:r>
      <w:r w:rsidR="00FE2055">
        <w:rPr>
          <w:rFonts w:ascii="Times New Roman" w:hAnsi="Times New Roman" w:cs="Times New Roman"/>
          <w:bCs/>
          <w:sz w:val="24"/>
          <w:szCs w:val="24"/>
        </w:rPr>
        <w:t>one</w:t>
      </w:r>
      <w:r w:rsidR="00FE2055" w:rsidRPr="00997397">
        <w:rPr>
          <w:rFonts w:ascii="Times New Roman" w:hAnsi="Times New Roman" w:cs="Times New Roman"/>
          <w:bCs/>
          <w:sz w:val="24"/>
          <w:szCs w:val="24"/>
        </w:rPr>
        <w:t xml:space="preserve"> year</w:t>
      </w:r>
      <w:r w:rsidR="007F302F" w:rsidRPr="00997397">
        <w:rPr>
          <w:rFonts w:ascii="Times New Roman" w:hAnsi="Times New Roman" w:cs="Times New Roman"/>
          <w:bCs/>
          <w:sz w:val="24"/>
          <w:szCs w:val="24"/>
        </w:rPr>
        <w:t>. This would allow</w:t>
      </w:r>
      <w:r w:rsidR="00BF1380" w:rsidRPr="00997397">
        <w:rPr>
          <w:rFonts w:ascii="Times New Roman" w:hAnsi="Times New Roman" w:cs="Times New Roman"/>
          <w:bCs/>
          <w:sz w:val="24"/>
          <w:szCs w:val="24"/>
        </w:rPr>
        <w:t xml:space="preserve"> the </w:t>
      </w:r>
      <w:r w:rsidR="00042680">
        <w:rPr>
          <w:rFonts w:ascii="Times New Roman" w:hAnsi="Times New Roman" w:cs="Times New Roman"/>
          <w:bCs/>
          <w:sz w:val="24"/>
          <w:szCs w:val="24"/>
        </w:rPr>
        <w:t>EU or UK</w:t>
      </w:r>
      <w:r w:rsidR="00A05773" w:rsidRPr="00997397">
        <w:rPr>
          <w:rFonts w:ascii="Times New Roman" w:hAnsi="Times New Roman" w:cs="Times New Roman"/>
          <w:bCs/>
          <w:sz w:val="24"/>
          <w:szCs w:val="24"/>
        </w:rPr>
        <w:t xml:space="preserve"> </w:t>
      </w:r>
      <w:r w:rsidR="00BF1380" w:rsidRPr="00997397">
        <w:rPr>
          <w:rFonts w:ascii="Times New Roman" w:hAnsi="Times New Roman" w:cs="Times New Roman"/>
          <w:bCs/>
          <w:sz w:val="24"/>
          <w:szCs w:val="24"/>
        </w:rPr>
        <w:t xml:space="preserve">to raise any issues within the </w:t>
      </w:r>
      <w:r w:rsidR="003615F7">
        <w:rPr>
          <w:rFonts w:ascii="Times New Roman" w:hAnsi="Times New Roman" w:cs="Times New Roman"/>
          <w:bCs/>
          <w:sz w:val="24"/>
          <w:szCs w:val="24"/>
        </w:rPr>
        <w:t>level playing field</w:t>
      </w:r>
      <w:r w:rsidR="00EA4AF1" w:rsidRPr="00997397">
        <w:rPr>
          <w:rFonts w:ascii="Times New Roman" w:hAnsi="Times New Roman" w:cs="Times New Roman"/>
          <w:bCs/>
          <w:sz w:val="24"/>
          <w:szCs w:val="24"/>
        </w:rPr>
        <w:t xml:space="preserve"> SC</w:t>
      </w:r>
      <w:r w:rsidR="00EA4AF1" w:rsidRPr="00997397">
        <w:rPr>
          <w:rStyle w:val="FootnoteReference"/>
          <w:rFonts w:ascii="Times New Roman" w:hAnsi="Times New Roman" w:cs="Times New Roman"/>
          <w:bCs/>
          <w:sz w:val="24"/>
          <w:szCs w:val="24"/>
        </w:rPr>
        <w:footnoteReference w:id="73"/>
      </w:r>
      <w:r w:rsidR="00EA4AF1" w:rsidRPr="00997397">
        <w:rPr>
          <w:rFonts w:ascii="Times New Roman" w:hAnsi="Times New Roman" w:cs="Times New Roman"/>
          <w:bCs/>
          <w:sz w:val="24"/>
          <w:szCs w:val="24"/>
        </w:rPr>
        <w:t xml:space="preserve"> </w:t>
      </w:r>
      <w:r w:rsidR="008D310A" w:rsidRPr="00997397">
        <w:rPr>
          <w:rFonts w:ascii="Times New Roman" w:hAnsi="Times New Roman" w:cs="Times New Roman"/>
          <w:bCs/>
          <w:sz w:val="24"/>
          <w:szCs w:val="24"/>
        </w:rPr>
        <w:t xml:space="preserve">or for competitors or other </w:t>
      </w:r>
      <w:r w:rsidR="00093E60" w:rsidRPr="00997397">
        <w:rPr>
          <w:rFonts w:ascii="Times New Roman" w:hAnsi="Times New Roman" w:cs="Times New Roman"/>
          <w:bCs/>
          <w:sz w:val="24"/>
          <w:szCs w:val="24"/>
        </w:rPr>
        <w:t xml:space="preserve">interested parties </w:t>
      </w:r>
      <w:r w:rsidR="008D310A" w:rsidRPr="00997397">
        <w:rPr>
          <w:rFonts w:ascii="Times New Roman" w:hAnsi="Times New Roman" w:cs="Times New Roman"/>
          <w:bCs/>
          <w:sz w:val="24"/>
          <w:szCs w:val="24"/>
        </w:rPr>
        <w:t>to</w:t>
      </w:r>
      <w:r w:rsidR="00093E60" w:rsidRPr="00997397">
        <w:rPr>
          <w:rFonts w:ascii="Times New Roman" w:hAnsi="Times New Roman" w:cs="Times New Roman"/>
          <w:bCs/>
          <w:sz w:val="24"/>
          <w:szCs w:val="24"/>
        </w:rPr>
        <w:t xml:space="preserve"> challenge </w:t>
      </w:r>
      <w:r w:rsidR="008D310A" w:rsidRPr="00997397">
        <w:rPr>
          <w:rFonts w:ascii="Times New Roman" w:hAnsi="Times New Roman" w:cs="Times New Roman"/>
          <w:bCs/>
          <w:sz w:val="24"/>
          <w:szCs w:val="24"/>
        </w:rPr>
        <w:t xml:space="preserve">measures </w:t>
      </w:r>
      <w:r w:rsidR="007F302F" w:rsidRPr="00997397">
        <w:rPr>
          <w:rFonts w:ascii="Times New Roman" w:hAnsi="Times New Roman" w:cs="Times New Roman"/>
          <w:bCs/>
          <w:sz w:val="24"/>
          <w:szCs w:val="24"/>
        </w:rPr>
        <w:t xml:space="preserve">through </w:t>
      </w:r>
      <w:r w:rsidR="008D310A" w:rsidRPr="00997397">
        <w:rPr>
          <w:rFonts w:ascii="Times New Roman" w:hAnsi="Times New Roman" w:cs="Times New Roman"/>
          <w:bCs/>
          <w:sz w:val="24"/>
          <w:szCs w:val="24"/>
        </w:rPr>
        <w:t xml:space="preserve">the </w:t>
      </w:r>
      <w:r w:rsidR="007F302F" w:rsidRPr="00997397">
        <w:rPr>
          <w:rFonts w:ascii="Times New Roman" w:hAnsi="Times New Roman" w:cs="Times New Roman"/>
          <w:bCs/>
          <w:sz w:val="24"/>
          <w:szCs w:val="24"/>
        </w:rPr>
        <w:t>courts</w:t>
      </w:r>
      <w:r w:rsidR="00093E60" w:rsidRPr="00997397">
        <w:rPr>
          <w:rFonts w:ascii="Times New Roman" w:hAnsi="Times New Roman" w:cs="Times New Roman"/>
          <w:bCs/>
          <w:sz w:val="24"/>
          <w:szCs w:val="24"/>
        </w:rPr>
        <w:t>.</w:t>
      </w:r>
      <w:r w:rsidR="00F31D3D">
        <w:rPr>
          <w:rFonts w:ascii="Times New Roman" w:hAnsi="Times New Roman" w:cs="Times New Roman"/>
          <w:bCs/>
          <w:sz w:val="24"/>
          <w:szCs w:val="24"/>
        </w:rPr>
        <w:t xml:space="preserve"> </w:t>
      </w:r>
      <w:r w:rsidR="00C04052" w:rsidRPr="00997397">
        <w:rPr>
          <w:rFonts w:ascii="Times New Roman" w:eastAsia="Calibri" w:hAnsi="Times New Roman" w:cs="Times New Roman"/>
          <w:bCs/>
          <w:sz w:val="24"/>
          <w:szCs w:val="24"/>
        </w:rPr>
        <w:t xml:space="preserve">There are also </w:t>
      </w:r>
      <w:r w:rsidR="00C04052" w:rsidRPr="00997397">
        <w:rPr>
          <w:rFonts w:ascii="Times New Roman" w:eastAsia="Calibri" w:hAnsi="Times New Roman" w:cs="Times New Roman"/>
          <w:bCs/>
          <w:sz w:val="24"/>
          <w:szCs w:val="24"/>
        </w:rPr>
        <w:lastRenderedPageBreak/>
        <w:t>requirements to maintain independent authorities</w:t>
      </w:r>
      <w:r w:rsidR="00AB7049">
        <w:rPr>
          <w:rFonts w:ascii="Times New Roman" w:eastAsia="Calibri" w:hAnsi="Times New Roman" w:cs="Times New Roman"/>
          <w:bCs/>
          <w:sz w:val="24"/>
          <w:szCs w:val="24"/>
        </w:rPr>
        <w:t xml:space="preserve"> and an enforcement system, for example in competition law,</w:t>
      </w:r>
      <w:r w:rsidR="00AB7049" w:rsidRPr="00AB7049">
        <w:rPr>
          <w:rStyle w:val="FootnoteReference"/>
          <w:rFonts w:ascii="Times New Roman" w:hAnsi="Times New Roman" w:cs="Times New Roman"/>
          <w:bCs/>
          <w:sz w:val="24"/>
          <w:szCs w:val="24"/>
        </w:rPr>
        <w:t xml:space="preserve"> </w:t>
      </w:r>
      <w:r w:rsidR="00AB7049" w:rsidRPr="00997397">
        <w:rPr>
          <w:rStyle w:val="FootnoteReference"/>
          <w:rFonts w:ascii="Times New Roman" w:hAnsi="Times New Roman" w:cs="Times New Roman"/>
          <w:bCs/>
          <w:sz w:val="24"/>
          <w:szCs w:val="24"/>
        </w:rPr>
        <w:footnoteReference w:id="74"/>
      </w:r>
      <w:r w:rsidR="00AB7049">
        <w:rPr>
          <w:rFonts w:ascii="Times New Roman" w:eastAsia="Calibri" w:hAnsi="Times New Roman" w:cs="Times New Roman"/>
          <w:bCs/>
          <w:sz w:val="24"/>
          <w:szCs w:val="24"/>
        </w:rPr>
        <w:t xml:space="preserve"> </w:t>
      </w:r>
      <w:r w:rsidR="00C04052" w:rsidRPr="00997397">
        <w:rPr>
          <w:rFonts w:ascii="Times New Roman" w:eastAsia="Calibri" w:hAnsi="Times New Roman" w:cs="Times New Roman"/>
          <w:bCs/>
          <w:sz w:val="24"/>
          <w:szCs w:val="24"/>
        </w:rPr>
        <w:t>telecoms</w:t>
      </w:r>
      <w:r w:rsidR="00AB7049">
        <w:rPr>
          <w:rStyle w:val="FootnoteReference"/>
          <w:rFonts w:ascii="Times New Roman" w:eastAsia="Calibri" w:hAnsi="Times New Roman" w:cs="Times New Roman"/>
          <w:bCs/>
          <w:sz w:val="24"/>
          <w:szCs w:val="24"/>
        </w:rPr>
        <w:footnoteReference w:id="75"/>
      </w:r>
      <w:r w:rsidR="00C04052" w:rsidRPr="00997397">
        <w:rPr>
          <w:rFonts w:ascii="Times New Roman" w:eastAsia="Calibri" w:hAnsi="Times New Roman" w:cs="Times New Roman"/>
          <w:bCs/>
          <w:sz w:val="24"/>
          <w:szCs w:val="24"/>
        </w:rPr>
        <w:t xml:space="preserve"> and energy</w:t>
      </w:r>
      <w:r w:rsidR="00061F94">
        <w:rPr>
          <w:rFonts w:ascii="Times New Roman" w:eastAsia="Calibri" w:hAnsi="Times New Roman" w:cs="Times New Roman"/>
          <w:bCs/>
          <w:sz w:val="24"/>
          <w:szCs w:val="24"/>
        </w:rPr>
        <w:t>.</w:t>
      </w:r>
      <w:r w:rsidR="00061F94">
        <w:rPr>
          <w:rStyle w:val="FootnoteReference"/>
          <w:rFonts w:ascii="Times New Roman" w:eastAsia="Calibri" w:hAnsi="Times New Roman" w:cs="Times New Roman"/>
          <w:bCs/>
          <w:sz w:val="24"/>
          <w:szCs w:val="24"/>
        </w:rPr>
        <w:footnoteReference w:id="76"/>
      </w:r>
      <w:r w:rsidR="00FE63DB">
        <w:rPr>
          <w:rFonts w:ascii="Times New Roman" w:hAnsi="Times New Roman" w:cs="Times New Roman"/>
          <w:bCs/>
          <w:sz w:val="24"/>
          <w:szCs w:val="24"/>
        </w:rPr>
        <w:t xml:space="preserve"> </w:t>
      </w:r>
    </w:p>
    <w:p w14:paraId="2FD11664" w14:textId="77777777" w:rsidR="003B4A36" w:rsidRDefault="006B7695" w:rsidP="001F2770">
      <w:pPr>
        <w:rPr>
          <w:rFonts w:ascii="Times New Roman" w:hAnsi="Times New Roman" w:cs="Times New Roman"/>
          <w:bCs/>
          <w:sz w:val="24"/>
          <w:szCs w:val="24"/>
        </w:rPr>
      </w:pPr>
      <w:r w:rsidRPr="00997397">
        <w:rPr>
          <w:rFonts w:ascii="Times New Roman" w:hAnsi="Times New Roman" w:cs="Times New Roman"/>
          <w:bCs/>
          <w:sz w:val="24"/>
          <w:szCs w:val="24"/>
        </w:rPr>
        <w:t xml:space="preserve">The provisions on labour and social standards and </w:t>
      </w:r>
      <w:r w:rsidR="00BF152C">
        <w:rPr>
          <w:rFonts w:ascii="Times New Roman" w:hAnsi="Times New Roman" w:cs="Times New Roman"/>
          <w:bCs/>
          <w:sz w:val="24"/>
          <w:szCs w:val="24"/>
        </w:rPr>
        <w:t xml:space="preserve">on </w:t>
      </w:r>
      <w:r w:rsidRPr="00997397">
        <w:rPr>
          <w:rFonts w:ascii="Times New Roman" w:hAnsi="Times New Roman" w:cs="Times New Roman"/>
          <w:bCs/>
          <w:sz w:val="24"/>
          <w:szCs w:val="24"/>
        </w:rPr>
        <w:t>environment and climate are similar</w:t>
      </w:r>
      <w:r w:rsidR="00877D09" w:rsidRPr="00997397">
        <w:rPr>
          <w:rFonts w:ascii="Times New Roman" w:hAnsi="Times New Roman" w:cs="Times New Roman"/>
          <w:bCs/>
          <w:sz w:val="24"/>
          <w:szCs w:val="24"/>
        </w:rPr>
        <w:t xml:space="preserve"> in terms of requiring </w:t>
      </w:r>
      <w:r w:rsidR="00326CD6" w:rsidRPr="00997397">
        <w:rPr>
          <w:rFonts w:ascii="Times New Roman" w:hAnsi="Times New Roman" w:cs="Times New Roman"/>
          <w:bCs/>
          <w:sz w:val="24"/>
          <w:szCs w:val="24"/>
        </w:rPr>
        <w:t xml:space="preserve">effective domestic </w:t>
      </w:r>
      <w:r w:rsidR="00792FAF" w:rsidRPr="00997397">
        <w:rPr>
          <w:rFonts w:ascii="Times New Roman" w:hAnsi="Times New Roman" w:cs="Times New Roman"/>
          <w:bCs/>
          <w:sz w:val="24"/>
          <w:szCs w:val="24"/>
        </w:rPr>
        <w:t>enforcement</w:t>
      </w:r>
      <w:r w:rsidR="00326CD6" w:rsidRPr="00997397">
        <w:rPr>
          <w:rFonts w:ascii="Times New Roman" w:hAnsi="Times New Roman" w:cs="Times New Roman"/>
          <w:bCs/>
          <w:sz w:val="24"/>
          <w:szCs w:val="24"/>
        </w:rPr>
        <w:t xml:space="preserve">, including </w:t>
      </w:r>
      <w:r w:rsidR="00792FAF" w:rsidRPr="00997397">
        <w:rPr>
          <w:rFonts w:ascii="Times New Roman" w:hAnsi="Times New Roman" w:cs="Times New Roman"/>
          <w:bCs/>
          <w:sz w:val="24"/>
          <w:szCs w:val="24"/>
        </w:rPr>
        <w:t>administrative</w:t>
      </w:r>
      <w:r w:rsidR="002D1402" w:rsidRPr="00997397">
        <w:rPr>
          <w:rFonts w:ascii="Times New Roman" w:hAnsi="Times New Roman" w:cs="Times New Roman"/>
          <w:bCs/>
          <w:sz w:val="24"/>
          <w:szCs w:val="24"/>
        </w:rPr>
        <w:t xml:space="preserve"> and </w:t>
      </w:r>
      <w:r w:rsidR="00792FAF" w:rsidRPr="00997397">
        <w:rPr>
          <w:rFonts w:ascii="Times New Roman" w:hAnsi="Times New Roman" w:cs="Times New Roman"/>
          <w:bCs/>
          <w:sz w:val="24"/>
          <w:szCs w:val="24"/>
        </w:rPr>
        <w:t>judicial</w:t>
      </w:r>
      <w:r w:rsidR="002D1402" w:rsidRPr="00997397">
        <w:rPr>
          <w:rFonts w:ascii="Times New Roman" w:hAnsi="Times New Roman" w:cs="Times New Roman"/>
          <w:bCs/>
          <w:sz w:val="24"/>
          <w:szCs w:val="24"/>
        </w:rPr>
        <w:t xml:space="preserve"> </w:t>
      </w:r>
      <w:r w:rsidR="00D321B7" w:rsidRPr="00997397">
        <w:rPr>
          <w:rFonts w:ascii="Times New Roman" w:hAnsi="Times New Roman" w:cs="Times New Roman"/>
          <w:bCs/>
          <w:sz w:val="24"/>
          <w:szCs w:val="24"/>
        </w:rPr>
        <w:t xml:space="preserve">authorities and </w:t>
      </w:r>
      <w:r w:rsidR="002D1402" w:rsidRPr="00997397">
        <w:rPr>
          <w:rFonts w:ascii="Times New Roman" w:hAnsi="Times New Roman" w:cs="Times New Roman"/>
          <w:bCs/>
          <w:sz w:val="24"/>
          <w:szCs w:val="24"/>
        </w:rPr>
        <w:t xml:space="preserve">proceedings </w:t>
      </w:r>
      <w:r w:rsidRPr="00997397">
        <w:rPr>
          <w:rFonts w:ascii="Times New Roman" w:hAnsi="Times New Roman" w:cs="Times New Roman"/>
          <w:bCs/>
          <w:sz w:val="24"/>
          <w:szCs w:val="24"/>
        </w:rPr>
        <w:t xml:space="preserve">empowered to provide </w:t>
      </w:r>
      <w:r w:rsidR="00792FAF" w:rsidRPr="00997397">
        <w:rPr>
          <w:rFonts w:ascii="Times New Roman" w:hAnsi="Times New Roman" w:cs="Times New Roman"/>
          <w:bCs/>
          <w:sz w:val="24"/>
          <w:szCs w:val="24"/>
        </w:rPr>
        <w:t xml:space="preserve">appropriate and effective </w:t>
      </w:r>
      <w:r w:rsidR="00D321B7" w:rsidRPr="00997397">
        <w:rPr>
          <w:rFonts w:ascii="Times New Roman" w:hAnsi="Times New Roman" w:cs="Times New Roman"/>
          <w:bCs/>
          <w:sz w:val="24"/>
          <w:szCs w:val="24"/>
        </w:rPr>
        <w:t xml:space="preserve">review, </w:t>
      </w:r>
      <w:r w:rsidR="00792FAF" w:rsidRPr="00997397">
        <w:rPr>
          <w:rFonts w:ascii="Times New Roman" w:hAnsi="Times New Roman" w:cs="Times New Roman"/>
          <w:bCs/>
          <w:sz w:val="24"/>
          <w:szCs w:val="24"/>
        </w:rPr>
        <w:t>remedies and sanctions</w:t>
      </w:r>
      <w:r w:rsidRPr="00997397">
        <w:rPr>
          <w:rFonts w:ascii="Times New Roman" w:hAnsi="Times New Roman" w:cs="Times New Roman"/>
          <w:bCs/>
          <w:sz w:val="24"/>
          <w:szCs w:val="24"/>
        </w:rPr>
        <w:t>.</w:t>
      </w:r>
      <w:r w:rsidR="002D343B" w:rsidRPr="00997397">
        <w:rPr>
          <w:rStyle w:val="FootnoteReference"/>
          <w:rFonts w:ascii="Times New Roman" w:hAnsi="Times New Roman" w:cs="Times New Roman"/>
          <w:bCs/>
          <w:sz w:val="24"/>
          <w:szCs w:val="24"/>
        </w:rPr>
        <w:footnoteReference w:id="77"/>
      </w:r>
      <w:r w:rsidR="002A7BA3" w:rsidRPr="00997397">
        <w:rPr>
          <w:rFonts w:ascii="Times New Roman" w:hAnsi="Times New Roman" w:cs="Times New Roman"/>
          <w:bCs/>
          <w:sz w:val="24"/>
          <w:szCs w:val="24"/>
        </w:rPr>
        <w:t xml:space="preserve"> </w:t>
      </w:r>
      <w:r w:rsidR="00E02552" w:rsidRPr="00997397">
        <w:rPr>
          <w:rFonts w:ascii="Times New Roman" w:hAnsi="Times New Roman" w:cs="Times New Roman"/>
          <w:bCs/>
          <w:sz w:val="24"/>
          <w:szCs w:val="24"/>
        </w:rPr>
        <w:t>In environmental matters t</w:t>
      </w:r>
      <w:r w:rsidR="000B25DA" w:rsidRPr="00997397">
        <w:rPr>
          <w:rFonts w:ascii="Times New Roman" w:hAnsi="Times New Roman" w:cs="Times New Roman"/>
          <w:bCs/>
          <w:sz w:val="24"/>
          <w:szCs w:val="24"/>
        </w:rPr>
        <w:t>here is a commitment</w:t>
      </w:r>
      <w:r w:rsidR="005969DA" w:rsidRPr="00997397">
        <w:rPr>
          <w:rFonts w:ascii="Times New Roman" w:hAnsi="Times New Roman" w:cs="Times New Roman"/>
          <w:bCs/>
          <w:sz w:val="24"/>
          <w:szCs w:val="24"/>
        </w:rPr>
        <w:t xml:space="preserve"> to cooperation </w:t>
      </w:r>
      <w:r w:rsidR="00E02552" w:rsidRPr="00997397">
        <w:rPr>
          <w:rFonts w:ascii="Times New Roman" w:hAnsi="Times New Roman" w:cs="Times New Roman"/>
          <w:bCs/>
          <w:sz w:val="24"/>
          <w:szCs w:val="24"/>
        </w:rPr>
        <w:t xml:space="preserve">between agencies, but </w:t>
      </w:r>
      <w:r w:rsidR="00970626" w:rsidRPr="00997397">
        <w:rPr>
          <w:rFonts w:ascii="Times New Roman" w:hAnsi="Times New Roman" w:cs="Times New Roman"/>
          <w:bCs/>
          <w:sz w:val="24"/>
          <w:szCs w:val="24"/>
        </w:rPr>
        <w:t xml:space="preserve">it is </w:t>
      </w:r>
      <w:r w:rsidR="00E02552" w:rsidRPr="00997397">
        <w:rPr>
          <w:rFonts w:ascii="Times New Roman" w:hAnsi="Times New Roman" w:cs="Times New Roman"/>
          <w:bCs/>
          <w:sz w:val="24"/>
          <w:szCs w:val="24"/>
        </w:rPr>
        <w:t>looser than on competition</w:t>
      </w:r>
      <w:r w:rsidR="00DB56E7" w:rsidRPr="00997397">
        <w:rPr>
          <w:rFonts w:ascii="Times New Roman" w:hAnsi="Times New Roman" w:cs="Times New Roman"/>
          <w:bCs/>
          <w:sz w:val="24"/>
          <w:szCs w:val="24"/>
        </w:rPr>
        <w:t xml:space="preserve"> and subsidies</w:t>
      </w:r>
      <w:r w:rsidR="005969DA" w:rsidRPr="00997397">
        <w:rPr>
          <w:rFonts w:ascii="Times New Roman" w:hAnsi="Times New Roman" w:cs="Times New Roman"/>
          <w:bCs/>
          <w:sz w:val="24"/>
          <w:szCs w:val="24"/>
        </w:rPr>
        <w:t>: “the Parties shall ensure that the European Commission and the [UK] supervisory bodies regularly meet with each other and co-operate on the effective monitoring and enforcement of the law”</w:t>
      </w:r>
      <w:r w:rsidR="00262404" w:rsidRPr="00997397">
        <w:rPr>
          <w:rFonts w:ascii="Times New Roman" w:hAnsi="Times New Roman" w:cs="Times New Roman"/>
          <w:bCs/>
          <w:sz w:val="24"/>
          <w:szCs w:val="24"/>
        </w:rPr>
        <w:t>.</w:t>
      </w:r>
      <w:r w:rsidR="005969DA" w:rsidRPr="00997397">
        <w:rPr>
          <w:rStyle w:val="FootnoteReference"/>
          <w:rFonts w:ascii="Times New Roman" w:hAnsi="Times New Roman" w:cs="Times New Roman"/>
          <w:bCs/>
          <w:sz w:val="24"/>
          <w:szCs w:val="24"/>
        </w:rPr>
        <w:footnoteReference w:id="78"/>
      </w:r>
      <w:r w:rsidR="000B25DA" w:rsidRPr="00997397">
        <w:rPr>
          <w:rFonts w:ascii="Times New Roman" w:hAnsi="Times New Roman" w:cs="Times New Roman"/>
          <w:bCs/>
          <w:sz w:val="24"/>
          <w:szCs w:val="24"/>
        </w:rPr>
        <w:t xml:space="preserve"> </w:t>
      </w:r>
      <w:r w:rsidR="00FB63F7">
        <w:rPr>
          <w:rFonts w:ascii="Times New Roman" w:hAnsi="Times New Roman" w:cs="Times New Roman"/>
          <w:bCs/>
          <w:sz w:val="24"/>
          <w:szCs w:val="24"/>
        </w:rPr>
        <w:t xml:space="preserve"> </w:t>
      </w:r>
    </w:p>
    <w:p w14:paraId="74B51481" w14:textId="0A4A4E11" w:rsidR="00045393" w:rsidRPr="00B0744D" w:rsidRDefault="003B4A36" w:rsidP="001F2770">
      <w:pPr>
        <w:rPr>
          <w:rFonts w:ascii="Times New Roman" w:hAnsi="Times New Roman" w:cs="Times New Roman"/>
          <w:bCs/>
          <w:sz w:val="24"/>
          <w:szCs w:val="24"/>
        </w:rPr>
      </w:pPr>
      <w:r w:rsidRPr="00B0744D">
        <w:rPr>
          <w:rFonts w:ascii="Times New Roman" w:hAnsi="Times New Roman" w:cs="Times New Roman"/>
          <w:bCs/>
          <w:sz w:val="24"/>
          <w:szCs w:val="24"/>
        </w:rPr>
        <w:t xml:space="preserve">These complex arrangements </w:t>
      </w:r>
      <w:r w:rsidR="00A17147" w:rsidRPr="00B0744D">
        <w:rPr>
          <w:rFonts w:ascii="Times New Roman" w:hAnsi="Times New Roman" w:cs="Times New Roman"/>
          <w:bCs/>
          <w:sz w:val="24"/>
          <w:szCs w:val="24"/>
        </w:rPr>
        <w:t xml:space="preserve">are an inevitable result of </w:t>
      </w:r>
      <w:r w:rsidR="00125E2F" w:rsidRPr="00B0744D">
        <w:rPr>
          <w:rFonts w:ascii="Times New Roman" w:hAnsi="Times New Roman" w:cs="Times New Roman"/>
          <w:bCs/>
          <w:sz w:val="24"/>
          <w:szCs w:val="24"/>
        </w:rPr>
        <w:t xml:space="preserve">politically charged trade-offs. </w:t>
      </w:r>
      <w:r w:rsidR="00567FF8" w:rsidRPr="00B0744D">
        <w:rPr>
          <w:rFonts w:ascii="Times New Roman" w:hAnsi="Times New Roman" w:cs="Times New Roman"/>
          <w:bCs/>
          <w:sz w:val="24"/>
          <w:szCs w:val="24"/>
        </w:rPr>
        <w:t xml:space="preserve">References to international </w:t>
      </w:r>
      <w:r w:rsidR="00AC5E70" w:rsidRPr="00B0744D">
        <w:rPr>
          <w:rFonts w:ascii="Times New Roman" w:hAnsi="Times New Roman" w:cs="Times New Roman"/>
          <w:bCs/>
          <w:sz w:val="24"/>
          <w:szCs w:val="24"/>
        </w:rPr>
        <w:t>commitments</w:t>
      </w:r>
      <w:r w:rsidR="00567FF8" w:rsidRPr="00B0744D">
        <w:rPr>
          <w:rFonts w:ascii="Times New Roman" w:hAnsi="Times New Roman" w:cs="Times New Roman"/>
          <w:bCs/>
          <w:sz w:val="24"/>
          <w:szCs w:val="24"/>
        </w:rPr>
        <w:t xml:space="preserve"> inject some neutrality, although in </w:t>
      </w:r>
      <w:r w:rsidR="00B0744D" w:rsidRPr="00B0744D">
        <w:rPr>
          <w:rFonts w:ascii="Times New Roman" w:hAnsi="Times New Roman" w:cs="Times New Roman"/>
          <w:bCs/>
          <w:sz w:val="24"/>
          <w:szCs w:val="24"/>
        </w:rPr>
        <w:t xml:space="preserve">practice </w:t>
      </w:r>
      <w:r w:rsidR="00567FF8" w:rsidRPr="00B0744D">
        <w:rPr>
          <w:rFonts w:ascii="Times New Roman" w:hAnsi="Times New Roman" w:cs="Times New Roman"/>
          <w:bCs/>
          <w:sz w:val="24"/>
          <w:szCs w:val="24"/>
        </w:rPr>
        <w:t xml:space="preserve">those standards will </w:t>
      </w:r>
      <w:r w:rsidR="00B0744D" w:rsidRPr="00B0744D">
        <w:rPr>
          <w:rFonts w:ascii="Times New Roman" w:hAnsi="Times New Roman" w:cs="Times New Roman"/>
          <w:bCs/>
          <w:sz w:val="24"/>
          <w:szCs w:val="24"/>
        </w:rPr>
        <w:t xml:space="preserve">often </w:t>
      </w:r>
      <w:r w:rsidR="00567FF8" w:rsidRPr="00B0744D">
        <w:rPr>
          <w:rFonts w:ascii="Times New Roman" w:hAnsi="Times New Roman" w:cs="Times New Roman"/>
          <w:bCs/>
          <w:sz w:val="24"/>
          <w:szCs w:val="24"/>
        </w:rPr>
        <w:t xml:space="preserve">be based on EU policy leadership. </w:t>
      </w:r>
      <w:r w:rsidR="002C4CD3" w:rsidRPr="00B0744D">
        <w:rPr>
          <w:rFonts w:ascii="Times New Roman" w:hAnsi="Times New Roman" w:cs="Times New Roman"/>
          <w:bCs/>
          <w:sz w:val="24"/>
          <w:szCs w:val="24"/>
        </w:rPr>
        <w:t>The c</w:t>
      </w:r>
      <w:r w:rsidR="00CA63DA" w:rsidRPr="00B0744D">
        <w:rPr>
          <w:rFonts w:ascii="Times New Roman" w:hAnsi="Times New Roman" w:cs="Times New Roman"/>
          <w:bCs/>
          <w:sz w:val="24"/>
          <w:szCs w:val="24"/>
        </w:rPr>
        <w:t xml:space="preserve">ompensation and suspension </w:t>
      </w:r>
      <w:r w:rsidR="00D74D8F" w:rsidRPr="00B0744D">
        <w:rPr>
          <w:rFonts w:ascii="Times New Roman" w:hAnsi="Times New Roman" w:cs="Times New Roman"/>
          <w:bCs/>
          <w:sz w:val="24"/>
          <w:szCs w:val="24"/>
        </w:rPr>
        <w:t>mechanisms</w:t>
      </w:r>
      <w:r w:rsidR="00CA63DA" w:rsidRPr="00B0744D">
        <w:rPr>
          <w:rFonts w:ascii="Times New Roman" w:hAnsi="Times New Roman" w:cs="Times New Roman"/>
          <w:bCs/>
          <w:sz w:val="24"/>
          <w:szCs w:val="24"/>
        </w:rPr>
        <w:t xml:space="preserve">, </w:t>
      </w:r>
      <w:r w:rsidR="00D74D8F" w:rsidRPr="00B0744D">
        <w:rPr>
          <w:rFonts w:ascii="Times New Roman" w:hAnsi="Times New Roman" w:cs="Times New Roman"/>
          <w:bCs/>
          <w:sz w:val="24"/>
          <w:szCs w:val="24"/>
        </w:rPr>
        <w:t>ultimately</w:t>
      </w:r>
      <w:r w:rsidR="00CA63DA" w:rsidRPr="00B0744D">
        <w:rPr>
          <w:rFonts w:ascii="Times New Roman" w:hAnsi="Times New Roman" w:cs="Times New Roman"/>
          <w:bCs/>
          <w:sz w:val="24"/>
          <w:szCs w:val="24"/>
        </w:rPr>
        <w:t xml:space="preserve"> in any are</w:t>
      </w:r>
      <w:r w:rsidR="00D74D8F" w:rsidRPr="00B0744D">
        <w:rPr>
          <w:rFonts w:ascii="Times New Roman" w:hAnsi="Times New Roman" w:cs="Times New Roman"/>
          <w:bCs/>
          <w:sz w:val="24"/>
          <w:szCs w:val="24"/>
        </w:rPr>
        <w:t>a</w:t>
      </w:r>
      <w:r w:rsidR="00CA63DA" w:rsidRPr="00B0744D">
        <w:rPr>
          <w:rFonts w:ascii="Times New Roman" w:hAnsi="Times New Roman" w:cs="Times New Roman"/>
          <w:bCs/>
          <w:sz w:val="24"/>
          <w:szCs w:val="24"/>
        </w:rPr>
        <w:t xml:space="preserve"> of the TCA, </w:t>
      </w:r>
      <w:r w:rsidR="00B0744D" w:rsidRPr="00B0744D">
        <w:rPr>
          <w:rFonts w:ascii="Times New Roman" w:hAnsi="Times New Roman" w:cs="Times New Roman"/>
          <w:bCs/>
          <w:sz w:val="24"/>
          <w:szCs w:val="24"/>
        </w:rPr>
        <w:t>as a last resort</w:t>
      </w:r>
      <w:r w:rsidR="0093300F" w:rsidRPr="00B0744D">
        <w:rPr>
          <w:rFonts w:ascii="Times New Roman" w:hAnsi="Times New Roman" w:cs="Times New Roman"/>
          <w:bCs/>
          <w:sz w:val="24"/>
          <w:szCs w:val="24"/>
        </w:rPr>
        <w:t xml:space="preserve"> create knock-on effects and </w:t>
      </w:r>
      <w:r w:rsidRPr="00B0744D">
        <w:rPr>
          <w:rFonts w:ascii="Times New Roman" w:hAnsi="Times New Roman" w:cs="Times New Roman"/>
          <w:bCs/>
          <w:sz w:val="24"/>
          <w:szCs w:val="24"/>
        </w:rPr>
        <w:t xml:space="preserve">blur the boundaries between </w:t>
      </w:r>
      <w:r w:rsidR="00D74D8F" w:rsidRPr="00B0744D">
        <w:rPr>
          <w:rFonts w:ascii="Times New Roman" w:hAnsi="Times New Roman" w:cs="Times New Roman"/>
          <w:bCs/>
          <w:sz w:val="24"/>
          <w:szCs w:val="24"/>
        </w:rPr>
        <w:t>sectors</w:t>
      </w:r>
      <w:r w:rsidRPr="00B0744D">
        <w:rPr>
          <w:rFonts w:ascii="Times New Roman" w:hAnsi="Times New Roman" w:cs="Times New Roman"/>
          <w:bCs/>
          <w:sz w:val="24"/>
          <w:szCs w:val="24"/>
        </w:rPr>
        <w:t xml:space="preserve">. </w:t>
      </w:r>
      <w:r w:rsidR="004607FB" w:rsidRPr="00B0744D">
        <w:rPr>
          <w:rFonts w:ascii="Times New Roman" w:hAnsi="Times New Roman" w:cs="Times New Roman"/>
          <w:bCs/>
          <w:sz w:val="24"/>
          <w:szCs w:val="24"/>
        </w:rPr>
        <w:t>In the conte</w:t>
      </w:r>
      <w:r w:rsidR="00B0744D" w:rsidRPr="00B0744D">
        <w:rPr>
          <w:rFonts w:ascii="Times New Roman" w:hAnsi="Times New Roman" w:cs="Times New Roman"/>
          <w:bCs/>
          <w:sz w:val="24"/>
          <w:szCs w:val="24"/>
        </w:rPr>
        <w:t>x</w:t>
      </w:r>
      <w:r w:rsidR="004607FB" w:rsidRPr="00B0744D">
        <w:rPr>
          <w:rFonts w:ascii="Times New Roman" w:hAnsi="Times New Roman" w:cs="Times New Roman"/>
          <w:bCs/>
          <w:sz w:val="24"/>
          <w:szCs w:val="24"/>
        </w:rPr>
        <w:t xml:space="preserve">t of triggering unilateral rebalancing measures, </w:t>
      </w:r>
      <w:r w:rsidR="00185BAC" w:rsidRPr="00B0744D">
        <w:rPr>
          <w:rFonts w:ascii="Times New Roman" w:hAnsi="Times New Roman" w:cs="Times New Roman"/>
          <w:bCs/>
          <w:sz w:val="24"/>
          <w:szCs w:val="24"/>
        </w:rPr>
        <w:t xml:space="preserve">as noted </w:t>
      </w:r>
      <w:r w:rsidR="002929DB" w:rsidRPr="00B0744D">
        <w:rPr>
          <w:rFonts w:ascii="Times New Roman" w:hAnsi="Times New Roman" w:cs="Times New Roman"/>
          <w:bCs/>
          <w:sz w:val="24"/>
          <w:szCs w:val="24"/>
        </w:rPr>
        <w:t>above ‘</w:t>
      </w:r>
      <w:r w:rsidR="00185BAC" w:rsidRPr="00E36BCC">
        <w:rPr>
          <w:rFonts w:ascii="Times New Roman" w:hAnsi="Times New Roman" w:cs="Times New Roman"/>
          <w:bCs/>
          <w:sz w:val="24"/>
          <w:szCs w:val="24"/>
        </w:rPr>
        <w:t>material impacts on trade or investmen</w:t>
      </w:r>
      <w:r w:rsidR="002929DB" w:rsidRPr="004D577C">
        <w:rPr>
          <w:rFonts w:ascii="Times New Roman" w:hAnsi="Times New Roman" w:cs="Times New Roman"/>
          <w:bCs/>
          <w:sz w:val="24"/>
          <w:szCs w:val="24"/>
        </w:rPr>
        <w:t>t’</w:t>
      </w:r>
      <w:r w:rsidR="002929DB" w:rsidRPr="00B0744D">
        <w:rPr>
          <w:rFonts w:ascii="Times New Roman" w:hAnsi="Times New Roman" w:cs="Times New Roman"/>
          <w:bCs/>
          <w:sz w:val="24"/>
          <w:szCs w:val="24"/>
        </w:rPr>
        <w:t xml:space="preserve"> ‘</w:t>
      </w:r>
      <w:proofErr w:type="gramStart"/>
      <w:r w:rsidR="00185BAC" w:rsidRPr="00B0744D">
        <w:rPr>
          <w:rFonts w:ascii="Times New Roman" w:hAnsi="Times New Roman" w:cs="Times New Roman"/>
          <w:bCs/>
          <w:sz w:val="24"/>
          <w:szCs w:val="24"/>
        </w:rPr>
        <w:t>as a result of</w:t>
      </w:r>
      <w:proofErr w:type="gramEnd"/>
      <w:r w:rsidR="00185BAC" w:rsidRPr="00B0744D">
        <w:rPr>
          <w:rFonts w:ascii="Times New Roman" w:hAnsi="Times New Roman" w:cs="Times New Roman"/>
          <w:bCs/>
          <w:sz w:val="24"/>
          <w:szCs w:val="24"/>
        </w:rPr>
        <w:t xml:space="preserve"> significant divergences between the Parties</w:t>
      </w:r>
      <w:r w:rsidR="002929DB" w:rsidRPr="00B0744D">
        <w:rPr>
          <w:rFonts w:ascii="Times New Roman" w:hAnsi="Times New Roman" w:cs="Times New Roman"/>
          <w:bCs/>
          <w:sz w:val="24"/>
          <w:szCs w:val="24"/>
        </w:rPr>
        <w:t>’</w:t>
      </w:r>
      <w:r w:rsidR="00A4773D" w:rsidRPr="00B0744D">
        <w:rPr>
          <w:rFonts w:ascii="Times New Roman" w:hAnsi="Times New Roman" w:cs="Times New Roman"/>
          <w:bCs/>
          <w:sz w:val="24"/>
          <w:szCs w:val="24"/>
        </w:rPr>
        <w:t xml:space="preserve"> are rather vague tests, susceptible to</w:t>
      </w:r>
      <w:r w:rsidR="00185BAC" w:rsidRPr="00B0744D">
        <w:rPr>
          <w:rFonts w:ascii="Times New Roman" w:hAnsi="Times New Roman" w:cs="Times New Roman"/>
          <w:bCs/>
          <w:sz w:val="24"/>
          <w:szCs w:val="24"/>
        </w:rPr>
        <w:t xml:space="preserve"> </w:t>
      </w:r>
      <w:r w:rsidR="004607FB" w:rsidRPr="00B0744D">
        <w:rPr>
          <w:rFonts w:ascii="Times New Roman" w:hAnsi="Times New Roman" w:cs="Times New Roman"/>
          <w:bCs/>
          <w:sz w:val="24"/>
          <w:szCs w:val="24"/>
        </w:rPr>
        <w:t>d</w:t>
      </w:r>
      <w:r w:rsidR="00125E2F" w:rsidRPr="00B0744D">
        <w:rPr>
          <w:rFonts w:ascii="Times New Roman" w:hAnsi="Times New Roman" w:cs="Times New Roman"/>
          <w:bCs/>
          <w:sz w:val="24"/>
          <w:szCs w:val="24"/>
        </w:rPr>
        <w:t>ivergent</w:t>
      </w:r>
      <w:r w:rsidR="00A90EC6" w:rsidRPr="00B0744D">
        <w:rPr>
          <w:rFonts w:ascii="Times New Roman" w:hAnsi="Times New Roman" w:cs="Times New Roman"/>
          <w:bCs/>
          <w:sz w:val="24"/>
          <w:szCs w:val="24"/>
        </w:rPr>
        <w:t xml:space="preserve"> </w:t>
      </w:r>
      <w:r w:rsidR="00AB4574" w:rsidRPr="00B0744D">
        <w:rPr>
          <w:rFonts w:ascii="Times New Roman" w:hAnsi="Times New Roman" w:cs="Times New Roman"/>
          <w:bCs/>
          <w:sz w:val="24"/>
          <w:szCs w:val="24"/>
        </w:rPr>
        <w:t xml:space="preserve">- </w:t>
      </w:r>
      <w:r w:rsidR="00A90EC6" w:rsidRPr="00B0744D">
        <w:rPr>
          <w:rFonts w:ascii="Times New Roman" w:hAnsi="Times New Roman" w:cs="Times New Roman"/>
          <w:bCs/>
          <w:sz w:val="24"/>
          <w:szCs w:val="24"/>
        </w:rPr>
        <w:t>and politically expedient</w:t>
      </w:r>
      <w:r w:rsidR="00125E2F" w:rsidRPr="00B0744D">
        <w:rPr>
          <w:rFonts w:ascii="Times New Roman" w:hAnsi="Times New Roman" w:cs="Times New Roman"/>
          <w:bCs/>
          <w:sz w:val="24"/>
          <w:szCs w:val="24"/>
        </w:rPr>
        <w:t xml:space="preserve"> </w:t>
      </w:r>
      <w:r w:rsidR="00DB37DA" w:rsidRPr="00B0744D">
        <w:rPr>
          <w:rFonts w:ascii="Times New Roman" w:hAnsi="Times New Roman" w:cs="Times New Roman"/>
          <w:bCs/>
          <w:sz w:val="24"/>
          <w:szCs w:val="24"/>
        </w:rPr>
        <w:t xml:space="preserve">to each side </w:t>
      </w:r>
      <w:r w:rsidR="00A4773D" w:rsidRPr="00B0744D">
        <w:rPr>
          <w:rFonts w:ascii="Times New Roman" w:hAnsi="Times New Roman" w:cs="Times New Roman"/>
          <w:bCs/>
          <w:sz w:val="24"/>
          <w:szCs w:val="24"/>
        </w:rPr>
        <w:t>–</w:t>
      </w:r>
      <w:r w:rsidR="00DB37DA" w:rsidRPr="00B0744D">
        <w:rPr>
          <w:rFonts w:ascii="Times New Roman" w:hAnsi="Times New Roman" w:cs="Times New Roman"/>
          <w:bCs/>
          <w:sz w:val="24"/>
          <w:szCs w:val="24"/>
        </w:rPr>
        <w:t xml:space="preserve"> </w:t>
      </w:r>
      <w:r w:rsidR="00125E2F" w:rsidRPr="00B0744D">
        <w:rPr>
          <w:rFonts w:ascii="Times New Roman" w:hAnsi="Times New Roman" w:cs="Times New Roman"/>
          <w:bCs/>
          <w:sz w:val="24"/>
          <w:szCs w:val="24"/>
        </w:rPr>
        <w:t>interpretations</w:t>
      </w:r>
      <w:r w:rsidR="00A4773D" w:rsidRPr="00B0744D">
        <w:rPr>
          <w:rFonts w:ascii="Times New Roman" w:hAnsi="Times New Roman" w:cs="Times New Roman"/>
          <w:bCs/>
          <w:sz w:val="24"/>
          <w:szCs w:val="24"/>
        </w:rPr>
        <w:t xml:space="preserve">. </w:t>
      </w:r>
      <w:r w:rsidR="00AA1E27" w:rsidRPr="00B0744D">
        <w:rPr>
          <w:rFonts w:ascii="Times New Roman" w:hAnsi="Times New Roman" w:cs="Times New Roman"/>
          <w:bCs/>
          <w:sz w:val="24"/>
          <w:szCs w:val="24"/>
        </w:rPr>
        <w:t xml:space="preserve">To </w:t>
      </w:r>
      <w:r w:rsidR="00A40A45" w:rsidRPr="00B0744D">
        <w:rPr>
          <w:rFonts w:ascii="Times New Roman" w:hAnsi="Times New Roman" w:cs="Times New Roman"/>
          <w:bCs/>
          <w:sz w:val="24"/>
          <w:szCs w:val="24"/>
        </w:rPr>
        <w:t xml:space="preserve">minimize </w:t>
      </w:r>
      <w:r w:rsidR="00533BAF" w:rsidRPr="00B0744D">
        <w:rPr>
          <w:rFonts w:ascii="Times New Roman" w:hAnsi="Times New Roman" w:cs="Times New Roman"/>
          <w:bCs/>
          <w:sz w:val="24"/>
          <w:szCs w:val="24"/>
        </w:rPr>
        <w:t xml:space="preserve">damaging </w:t>
      </w:r>
      <w:r w:rsidR="00A40A45" w:rsidRPr="00B0744D">
        <w:rPr>
          <w:rFonts w:ascii="Times New Roman" w:hAnsi="Times New Roman" w:cs="Times New Roman"/>
          <w:bCs/>
          <w:sz w:val="24"/>
          <w:szCs w:val="24"/>
        </w:rPr>
        <w:t xml:space="preserve">tit-for-tat </w:t>
      </w:r>
      <w:r w:rsidR="009E12FC" w:rsidRPr="00B0744D">
        <w:rPr>
          <w:rFonts w:ascii="Times New Roman" w:hAnsi="Times New Roman" w:cs="Times New Roman"/>
          <w:bCs/>
          <w:sz w:val="24"/>
          <w:szCs w:val="24"/>
        </w:rPr>
        <w:t>disputes,</w:t>
      </w:r>
      <w:r w:rsidR="00A40A45" w:rsidRPr="00B0744D">
        <w:rPr>
          <w:rFonts w:ascii="Times New Roman" w:hAnsi="Times New Roman" w:cs="Times New Roman"/>
          <w:bCs/>
          <w:sz w:val="24"/>
          <w:szCs w:val="24"/>
        </w:rPr>
        <w:t xml:space="preserve"> it would </w:t>
      </w:r>
      <w:r w:rsidR="005369CD" w:rsidRPr="00B0744D">
        <w:rPr>
          <w:rFonts w:ascii="Times New Roman" w:hAnsi="Times New Roman" w:cs="Times New Roman"/>
          <w:bCs/>
          <w:sz w:val="24"/>
          <w:szCs w:val="24"/>
        </w:rPr>
        <w:t xml:space="preserve">be preferable to develop </w:t>
      </w:r>
      <w:r w:rsidR="00AD04B4" w:rsidRPr="00B0744D">
        <w:rPr>
          <w:rFonts w:ascii="Times New Roman" w:hAnsi="Times New Roman" w:cs="Times New Roman"/>
          <w:bCs/>
          <w:sz w:val="24"/>
          <w:szCs w:val="24"/>
        </w:rPr>
        <w:t xml:space="preserve">objective </w:t>
      </w:r>
      <w:r w:rsidR="00CF6AFA" w:rsidRPr="00B0744D">
        <w:rPr>
          <w:rFonts w:ascii="Times New Roman" w:hAnsi="Times New Roman" w:cs="Times New Roman"/>
          <w:bCs/>
          <w:sz w:val="24"/>
          <w:szCs w:val="24"/>
        </w:rPr>
        <w:t xml:space="preserve">measures. </w:t>
      </w:r>
      <w:r w:rsidR="00533BAF" w:rsidRPr="00B0744D">
        <w:rPr>
          <w:rFonts w:ascii="Times New Roman" w:hAnsi="Times New Roman" w:cs="Times New Roman"/>
          <w:bCs/>
          <w:sz w:val="24"/>
          <w:szCs w:val="24"/>
        </w:rPr>
        <w:t>This is a</w:t>
      </w:r>
      <w:r w:rsidR="005926A3" w:rsidRPr="00B0744D">
        <w:rPr>
          <w:rFonts w:ascii="Times New Roman" w:hAnsi="Times New Roman" w:cs="Times New Roman"/>
          <w:bCs/>
          <w:sz w:val="24"/>
          <w:szCs w:val="24"/>
        </w:rPr>
        <w:t xml:space="preserve"> further</w:t>
      </w:r>
      <w:r w:rsidR="00533BAF" w:rsidRPr="00B0744D">
        <w:rPr>
          <w:rFonts w:ascii="Times New Roman" w:hAnsi="Times New Roman" w:cs="Times New Roman"/>
          <w:bCs/>
          <w:sz w:val="24"/>
          <w:szCs w:val="24"/>
        </w:rPr>
        <w:t xml:space="preserve"> argument for the involvement of s</w:t>
      </w:r>
      <w:r w:rsidR="005D2BAE" w:rsidRPr="00B0744D">
        <w:rPr>
          <w:rFonts w:ascii="Times New Roman" w:hAnsi="Times New Roman" w:cs="Times New Roman"/>
          <w:bCs/>
          <w:sz w:val="24"/>
          <w:szCs w:val="24"/>
        </w:rPr>
        <w:t>ectoral authorities and expertise.</w:t>
      </w:r>
    </w:p>
    <w:p w14:paraId="00DB6D3D" w14:textId="77777777" w:rsidR="00045393" w:rsidRPr="00997397" w:rsidRDefault="00045393" w:rsidP="00045393">
      <w:pPr>
        <w:tabs>
          <w:tab w:val="center" w:pos="4513"/>
        </w:tabs>
        <w:spacing w:after="0" w:line="240" w:lineRule="auto"/>
        <w:rPr>
          <w:rFonts w:ascii="Times New Roman" w:eastAsia="Calibri" w:hAnsi="Times New Roman" w:cs="Times New Roman"/>
          <w:b/>
          <w:sz w:val="24"/>
          <w:szCs w:val="24"/>
        </w:rPr>
      </w:pPr>
    </w:p>
    <w:p w14:paraId="69D20269" w14:textId="128F2D72" w:rsidR="006433A9" w:rsidRPr="00343360" w:rsidRDefault="00343360" w:rsidP="006433A9">
      <w:pPr>
        <w:tabs>
          <w:tab w:val="center" w:pos="4513"/>
        </w:tabs>
        <w:spacing w:after="0" w:line="240" w:lineRule="auto"/>
        <w:rPr>
          <w:rFonts w:ascii="Times New Roman" w:eastAsia="Calibri" w:hAnsi="Times New Roman" w:cs="Times New Roman"/>
          <w:b/>
          <w:sz w:val="24"/>
          <w:szCs w:val="24"/>
        </w:rPr>
      </w:pPr>
      <w:r w:rsidRPr="00343360">
        <w:rPr>
          <w:rFonts w:ascii="Times New Roman" w:eastAsia="Calibri" w:hAnsi="Times New Roman" w:cs="Times New Roman"/>
          <w:b/>
          <w:sz w:val="24"/>
          <w:szCs w:val="24"/>
        </w:rPr>
        <w:t xml:space="preserve">3. </w:t>
      </w:r>
      <w:r w:rsidR="005B66FF">
        <w:rPr>
          <w:rFonts w:ascii="Times New Roman" w:eastAsia="Calibri" w:hAnsi="Times New Roman" w:cs="Times New Roman"/>
          <w:b/>
          <w:sz w:val="24"/>
          <w:szCs w:val="24"/>
        </w:rPr>
        <w:t>Regulatory</w:t>
      </w:r>
      <w:r w:rsidR="006433A9">
        <w:rPr>
          <w:rFonts w:ascii="Times New Roman" w:eastAsia="Calibri" w:hAnsi="Times New Roman" w:cs="Times New Roman"/>
          <w:b/>
          <w:sz w:val="24"/>
          <w:szCs w:val="24"/>
        </w:rPr>
        <w:t xml:space="preserve"> Extension and</w:t>
      </w:r>
      <w:r w:rsidR="006433A9" w:rsidRPr="00343360">
        <w:rPr>
          <w:rFonts w:ascii="Times New Roman" w:eastAsia="Calibri" w:hAnsi="Times New Roman" w:cs="Times New Roman"/>
          <w:b/>
          <w:sz w:val="24"/>
          <w:szCs w:val="24"/>
        </w:rPr>
        <w:t xml:space="preserve"> the </w:t>
      </w:r>
      <w:r w:rsidR="006433A9">
        <w:rPr>
          <w:rFonts w:ascii="Times New Roman" w:eastAsia="Calibri" w:hAnsi="Times New Roman" w:cs="Times New Roman"/>
          <w:b/>
          <w:sz w:val="24"/>
          <w:szCs w:val="24"/>
        </w:rPr>
        <w:t>M</w:t>
      </w:r>
      <w:r w:rsidR="006433A9" w:rsidRPr="00343360">
        <w:rPr>
          <w:rFonts w:ascii="Times New Roman" w:eastAsia="Calibri" w:hAnsi="Times New Roman" w:cs="Times New Roman"/>
          <w:b/>
          <w:sz w:val="24"/>
          <w:szCs w:val="24"/>
        </w:rPr>
        <w:t xml:space="preserve">ultilevel </w:t>
      </w:r>
      <w:r w:rsidR="006433A9">
        <w:rPr>
          <w:rFonts w:ascii="Times New Roman" w:eastAsia="Calibri" w:hAnsi="Times New Roman" w:cs="Times New Roman"/>
          <w:b/>
          <w:sz w:val="24"/>
          <w:szCs w:val="24"/>
        </w:rPr>
        <w:t>G</w:t>
      </w:r>
      <w:r w:rsidR="006433A9" w:rsidRPr="00343360">
        <w:rPr>
          <w:rFonts w:ascii="Times New Roman" w:eastAsia="Calibri" w:hAnsi="Times New Roman" w:cs="Times New Roman"/>
          <w:b/>
          <w:sz w:val="24"/>
          <w:szCs w:val="24"/>
        </w:rPr>
        <w:t xml:space="preserve">overnance </w:t>
      </w:r>
      <w:r w:rsidR="006433A9">
        <w:rPr>
          <w:rFonts w:ascii="Times New Roman" w:eastAsia="Calibri" w:hAnsi="Times New Roman" w:cs="Times New Roman"/>
          <w:b/>
          <w:sz w:val="24"/>
          <w:szCs w:val="24"/>
        </w:rPr>
        <w:t>R</w:t>
      </w:r>
      <w:r w:rsidR="006433A9" w:rsidRPr="00343360">
        <w:rPr>
          <w:rFonts w:ascii="Times New Roman" w:eastAsia="Calibri" w:hAnsi="Times New Roman" w:cs="Times New Roman"/>
          <w:b/>
          <w:sz w:val="24"/>
          <w:szCs w:val="24"/>
        </w:rPr>
        <w:t xml:space="preserve">ole of </w:t>
      </w:r>
      <w:r w:rsidR="006433A9">
        <w:rPr>
          <w:rFonts w:ascii="Times New Roman" w:eastAsia="Calibri" w:hAnsi="Times New Roman" w:cs="Times New Roman"/>
          <w:b/>
          <w:sz w:val="24"/>
          <w:szCs w:val="24"/>
        </w:rPr>
        <w:t>R</w:t>
      </w:r>
      <w:r w:rsidR="006433A9" w:rsidRPr="00343360">
        <w:rPr>
          <w:rFonts w:ascii="Times New Roman" w:eastAsia="Calibri" w:hAnsi="Times New Roman" w:cs="Times New Roman"/>
          <w:b/>
          <w:sz w:val="24"/>
          <w:szCs w:val="24"/>
        </w:rPr>
        <w:t xml:space="preserve">egulatory </w:t>
      </w:r>
      <w:r w:rsidR="006433A9">
        <w:rPr>
          <w:rFonts w:ascii="Times New Roman" w:eastAsia="Calibri" w:hAnsi="Times New Roman" w:cs="Times New Roman"/>
          <w:b/>
          <w:sz w:val="24"/>
          <w:szCs w:val="24"/>
        </w:rPr>
        <w:t>A</w:t>
      </w:r>
      <w:r w:rsidR="006433A9" w:rsidRPr="00343360">
        <w:rPr>
          <w:rFonts w:ascii="Times New Roman" w:eastAsia="Calibri" w:hAnsi="Times New Roman" w:cs="Times New Roman"/>
          <w:b/>
          <w:sz w:val="24"/>
          <w:szCs w:val="24"/>
        </w:rPr>
        <w:t>gencies</w:t>
      </w:r>
      <w:r w:rsidR="006433A9">
        <w:rPr>
          <w:rFonts w:ascii="Times New Roman" w:eastAsia="Calibri" w:hAnsi="Times New Roman" w:cs="Times New Roman"/>
          <w:b/>
          <w:sz w:val="24"/>
          <w:szCs w:val="24"/>
        </w:rPr>
        <w:t xml:space="preserve"> and Networks</w:t>
      </w:r>
    </w:p>
    <w:p w14:paraId="6F3CD19A" w14:textId="77777777" w:rsidR="00A77B4A" w:rsidRDefault="00A77B4A" w:rsidP="00343360">
      <w:pPr>
        <w:tabs>
          <w:tab w:val="center" w:pos="4513"/>
        </w:tabs>
        <w:spacing w:after="0" w:line="240" w:lineRule="auto"/>
        <w:rPr>
          <w:rFonts w:ascii="Times New Roman" w:eastAsia="Calibri" w:hAnsi="Times New Roman" w:cs="Times New Roman"/>
          <w:b/>
          <w:sz w:val="24"/>
          <w:szCs w:val="24"/>
        </w:rPr>
      </w:pPr>
    </w:p>
    <w:p w14:paraId="53461245" w14:textId="438AA9BE" w:rsidR="00FE0608" w:rsidRPr="00997397" w:rsidRDefault="0014616F" w:rsidP="00CA1A5A">
      <w:pPr>
        <w:rPr>
          <w:rFonts w:ascii="Times New Roman" w:hAnsi="Times New Roman" w:cs="Times New Roman"/>
          <w:sz w:val="24"/>
          <w:szCs w:val="24"/>
        </w:rPr>
      </w:pPr>
      <w:r w:rsidRPr="00997397">
        <w:rPr>
          <w:rFonts w:ascii="Times New Roman" w:hAnsi="Times New Roman" w:cs="Times New Roman"/>
          <w:sz w:val="24"/>
          <w:szCs w:val="24"/>
        </w:rPr>
        <w:t>Below the overarching governance structures of the trade relationship, a significant aspect of institutional architecture is regulatory cooperation and agencies.</w:t>
      </w:r>
      <w:r>
        <w:rPr>
          <w:rFonts w:ascii="Times New Roman" w:hAnsi="Times New Roman" w:cs="Times New Roman"/>
          <w:sz w:val="24"/>
          <w:szCs w:val="24"/>
        </w:rPr>
        <w:t xml:space="preserve"> </w:t>
      </w:r>
      <w:r w:rsidR="00310E60">
        <w:rPr>
          <w:rFonts w:ascii="Times New Roman" w:hAnsi="Times New Roman" w:cs="Times New Roman"/>
          <w:sz w:val="24"/>
          <w:szCs w:val="24"/>
        </w:rPr>
        <w:t>Despite i</w:t>
      </w:r>
      <w:r w:rsidR="006F7D15">
        <w:rPr>
          <w:rFonts w:ascii="Times New Roman" w:hAnsi="Times New Roman" w:cs="Times New Roman"/>
          <w:sz w:val="24"/>
          <w:szCs w:val="24"/>
        </w:rPr>
        <w:t>t</w:t>
      </w:r>
      <w:r w:rsidR="00310E60">
        <w:rPr>
          <w:rFonts w:ascii="Times New Roman" w:hAnsi="Times New Roman" w:cs="Times New Roman"/>
          <w:sz w:val="24"/>
          <w:szCs w:val="24"/>
        </w:rPr>
        <w:t xml:space="preserve">s practical </w:t>
      </w:r>
      <w:r w:rsidR="006F7D15">
        <w:rPr>
          <w:rFonts w:ascii="Times New Roman" w:hAnsi="Times New Roman" w:cs="Times New Roman"/>
          <w:sz w:val="24"/>
          <w:szCs w:val="24"/>
        </w:rPr>
        <w:t>importance to the future relationship</w:t>
      </w:r>
      <w:r w:rsidR="001C73F4">
        <w:rPr>
          <w:rFonts w:ascii="Times New Roman" w:hAnsi="Times New Roman" w:cs="Times New Roman"/>
          <w:sz w:val="24"/>
          <w:szCs w:val="24"/>
        </w:rPr>
        <w:t>,</w:t>
      </w:r>
      <w:r w:rsidR="006F7D15">
        <w:rPr>
          <w:rFonts w:ascii="Times New Roman" w:hAnsi="Times New Roman" w:cs="Times New Roman"/>
          <w:sz w:val="24"/>
          <w:szCs w:val="24"/>
        </w:rPr>
        <w:t xml:space="preserve"> this aspect garnered much less attention during the negotiations</w:t>
      </w:r>
      <w:r w:rsidR="00E9731A">
        <w:rPr>
          <w:rFonts w:ascii="Times New Roman" w:hAnsi="Times New Roman" w:cs="Times New Roman"/>
          <w:sz w:val="24"/>
          <w:szCs w:val="24"/>
        </w:rPr>
        <w:t xml:space="preserve">. </w:t>
      </w:r>
      <w:r w:rsidR="00FE0608" w:rsidRPr="00145F3C">
        <w:rPr>
          <w:rFonts w:ascii="Times New Roman" w:hAnsi="Times New Roman" w:cs="Times New Roman"/>
          <w:sz w:val="24"/>
          <w:szCs w:val="24"/>
        </w:rPr>
        <w:t>As a Member State, the UK was integrated in the EU’s multilevel governance structure,</w:t>
      </w:r>
      <w:r w:rsidR="00FE0608" w:rsidRPr="00145F3C">
        <w:rPr>
          <w:rStyle w:val="FootnoteReference"/>
          <w:rFonts w:ascii="Times New Roman" w:hAnsi="Times New Roman" w:cs="Times New Roman"/>
          <w:sz w:val="24"/>
          <w:szCs w:val="24"/>
        </w:rPr>
        <w:footnoteReference w:id="79"/>
      </w:r>
      <w:r w:rsidR="00FE0608" w:rsidRPr="00145F3C">
        <w:rPr>
          <w:rFonts w:ascii="Times New Roman" w:hAnsi="Times New Roman" w:cs="Times New Roman"/>
          <w:sz w:val="24"/>
          <w:szCs w:val="24"/>
        </w:rPr>
        <w:t xml:space="preserve"> including EU agencies and regulatory networks. Administrative authorities and technocratic expertise will play an important role in assessing and managing potential divergence as it arises. </w:t>
      </w:r>
      <w:r w:rsidR="00FE0608" w:rsidRPr="00145F3C">
        <w:rPr>
          <w:rFonts w:ascii="Times New Roman" w:hAnsi="Times New Roman" w:cs="Times New Roman"/>
          <w:bCs/>
          <w:sz w:val="24"/>
          <w:szCs w:val="24"/>
        </w:rPr>
        <w:t>Functionalist cooperation through</w:t>
      </w:r>
      <w:r w:rsidR="00FE0608" w:rsidRPr="00145F3C">
        <w:rPr>
          <w:rFonts w:ascii="Times New Roman" w:hAnsi="Times New Roman" w:cs="Times New Roman"/>
          <w:sz w:val="24"/>
          <w:szCs w:val="24"/>
        </w:rPr>
        <w:t xml:space="preserve"> technocratic agencies and softer coordination mechanisms in networks will therefore be central to the prospects for regulatory differentiation. Not only are administrative agencies important for assessing the extent of regulatory differentiation, which will often be a technical judgment </w:t>
      </w:r>
      <w:proofErr w:type="gramStart"/>
      <w:r w:rsidR="00FE0608" w:rsidRPr="00145F3C">
        <w:rPr>
          <w:rFonts w:ascii="Times New Roman" w:hAnsi="Times New Roman" w:cs="Times New Roman"/>
          <w:sz w:val="24"/>
          <w:szCs w:val="24"/>
        </w:rPr>
        <w:t>in a given</w:t>
      </w:r>
      <w:proofErr w:type="gramEnd"/>
      <w:r w:rsidR="00FE0608" w:rsidRPr="00145F3C">
        <w:rPr>
          <w:rFonts w:ascii="Times New Roman" w:hAnsi="Times New Roman" w:cs="Times New Roman"/>
          <w:sz w:val="24"/>
          <w:szCs w:val="24"/>
        </w:rPr>
        <w:t xml:space="preserve"> policy area, but </w:t>
      </w:r>
      <w:r w:rsidR="00FE0608" w:rsidRPr="00145F3C">
        <w:rPr>
          <w:rFonts w:ascii="Times New Roman" w:hAnsi="Times New Roman" w:cs="Times New Roman"/>
          <w:sz w:val="24"/>
          <w:szCs w:val="24"/>
        </w:rPr>
        <w:lastRenderedPageBreak/>
        <w:t xml:space="preserve">cooperation </w:t>
      </w:r>
      <w:r w:rsidR="00FB3B32">
        <w:rPr>
          <w:rFonts w:ascii="Times New Roman" w:hAnsi="Times New Roman" w:cs="Times New Roman"/>
          <w:sz w:val="24"/>
          <w:szCs w:val="24"/>
        </w:rPr>
        <w:t xml:space="preserve">and mutual interest </w:t>
      </w:r>
      <w:r w:rsidR="00FE0608" w:rsidRPr="00145F3C">
        <w:rPr>
          <w:rFonts w:ascii="Times New Roman" w:hAnsi="Times New Roman" w:cs="Times New Roman"/>
          <w:sz w:val="24"/>
          <w:szCs w:val="24"/>
        </w:rPr>
        <w:t xml:space="preserve">between them may also make such differentiation </w:t>
      </w:r>
      <w:r w:rsidR="00CE4B74">
        <w:rPr>
          <w:rFonts w:ascii="Times New Roman" w:hAnsi="Times New Roman" w:cs="Times New Roman"/>
          <w:sz w:val="24"/>
          <w:szCs w:val="24"/>
        </w:rPr>
        <w:t xml:space="preserve">for </w:t>
      </w:r>
      <w:r w:rsidR="00FD1546">
        <w:rPr>
          <w:rFonts w:ascii="Times New Roman" w:hAnsi="Times New Roman" w:cs="Times New Roman"/>
          <w:sz w:val="24"/>
          <w:szCs w:val="24"/>
        </w:rPr>
        <w:t>politics’</w:t>
      </w:r>
      <w:r w:rsidR="00CE4B74">
        <w:rPr>
          <w:rFonts w:ascii="Times New Roman" w:hAnsi="Times New Roman" w:cs="Times New Roman"/>
          <w:sz w:val="24"/>
          <w:szCs w:val="24"/>
        </w:rPr>
        <w:t xml:space="preserve"> sake </w:t>
      </w:r>
      <w:r w:rsidR="00FE0608" w:rsidRPr="00145F3C">
        <w:rPr>
          <w:rFonts w:ascii="Times New Roman" w:hAnsi="Times New Roman" w:cs="Times New Roman"/>
          <w:sz w:val="24"/>
          <w:szCs w:val="24"/>
        </w:rPr>
        <w:t>less likely.</w:t>
      </w:r>
      <w:r w:rsidR="00FE0608" w:rsidRPr="00145F3C">
        <w:rPr>
          <w:rStyle w:val="FootnoteReference"/>
          <w:rFonts w:ascii="Times New Roman" w:hAnsi="Times New Roman" w:cs="Times New Roman"/>
          <w:sz w:val="24"/>
          <w:szCs w:val="24"/>
        </w:rPr>
        <w:footnoteReference w:id="80"/>
      </w:r>
      <w:r w:rsidR="0064704D">
        <w:rPr>
          <w:rFonts w:ascii="Times New Roman" w:hAnsi="Times New Roman" w:cs="Times New Roman"/>
          <w:sz w:val="24"/>
          <w:szCs w:val="24"/>
        </w:rPr>
        <w:t xml:space="preserve"> </w:t>
      </w:r>
    </w:p>
    <w:p w14:paraId="67295E15" w14:textId="46D3DA51" w:rsidR="00030F49" w:rsidRDefault="00030F49" w:rsidP="0014616F">
      <w:pPr>
        <w:spacing w:line="240" w:lineRule="auto"/>
        <w:rPr>
          <w:rFonts w:ascii="Times New Roman" w:eastAsia="Calibri" w:hAnsi="Times New Roman" w:cs="Times New Roman"/>
          <w:bCs/>
          <w:sz w:val="24"/>
          <w:szCs w:val="24"/>
        </w:rPr>
      </w:pPr>
      <w:r w:rsidRPr="00030F49">
        <w:rPr>
          <w:rFonts w:ascii="Times New Roman" w:eastAsia="Calibri" w:hAnsi="Times New Roman" w:cs="Times New Roman"/>
          <w:bCs/>
          <w:sz w:val="24"/>
          <w:szCs w:val="24"/>
        </w:rPr>
        <w:t xml:space="preserve">In the Political Declaration, the EU and UK committed </w:t>
      </w:r>
      <w:r w:rsidR="00AC1B61">
        <w:rPr>
          <w:rFonts w:ascii="Times New Roman" w:hAnsi="Times New Roman" w:cs="Times New Roman"/>
          <w:sz w:val="24"/>
          <w:szCs w:val="24"/>
        </w:rPr>
        <w:t xml:space="preserve">to make arrangements for appropriate cooperation </w:t>
      </w:r>
      <w:r w:rsidR="00AC1B61" w:rsidRPr="00030F49">
        <w:rPr>
          <w:rFonts w:ascii="Times New Roman" w:hAnsi="Times New Roman" w:cs="Times New Roman"/>
          <w:sz w:val="24"/>
          <w:szCs w:val="24"/>
        </w:rPr>
        <w:t>between regulators on data protection</w:t>
      </w:r>
      <w:r w:rsidR="00AC1B61" w:rsidRPr="00030F49">
        <w:rPr>
          <w:rStyle w:val="FootnoteReference"/>
          <w:rFonts w:ascii="Times New Roman" w:hAnsi="Times New Roman" w:cs="Times New Roman"/>
          <w:sz w:val="24"/>
          <w:szCs w:val="24"/>
        </w:rPr>
        <w:footnoteReference w:id="81"/>
      </w:r>
      <w:r w:rsidR="00AC1B61" w:rsidRPr="00030F49">
        <w:rPr>
          <w:rFonts w:ascii="Times New Roman" w:eastAsia="Calibri" w:hAnsi="Times New Roman" w:cs="Times New Roman"/>
          <w:bCs/>
          <w:sz w:val="24"/>
          <w:szCs w:val="24"/>
        </w:rPr>
        <w:t xml:space="preserve"> </w:t>
      </w:r>
      <w:r w:rsidR="00AC1B61">
        <w:rPr>
          <w:rFonts w:ascii="Times New Roman" w:eastAsia="Calibri" w:hAnsi="Times New Roman" w:cs="Times New Roman"/>
          <w:bCs/>
          <w:sz w:val="24"/>
          <w:szCs w:val="24"/>
        </w:rPr>
        <w:t xml:space="preserve">and </w:t>
      </w:r>
      <w:r w:rsidRPr="00030F49">
        <w:rPr>
          <w:rFonts w:ascii="Times New Roman" w:eastAsia="Calibri" w:hAnsi="Times New Roman" w:cs="Times New Roman"/>
          <w:bCs/>
          <w:sz w:val="24"/>
          <w:szCs w:val="24"/>
        </w:rPr>
        <w:t>to “explore the possibility” of cooperation between the UK authorities and EU agencies, “such as” the European Medicines Authority</w:t>
      </w:r>
      <w:r w:rsidR="00F5712A">
        <w:rPr>
          <w:rFonts w:ascii="Times New Roman" w:eastAsia="Calibri" w:hAnsi="Times New Roman" w:cs="Times New Roman"/>
          <w:bCs/>
          <w:sz w:val="24"/>
          <w:szCs w:val="24"/>
        </w:rPr>
        <w:t xml:space="preserve"> (EMA)</w:t>
      </w:r>
      <w:r w:rsidRPr="00030F49">
        <w:rPr>
          <w:rFonts w:ascii="Times New Roman" w:eastAsia="Calibri" w:hAnsi="Times New Roman" w:cs="Times New Roman"/>
          <w:bCs/>
          <w:sz w:val="24"/>
          <w:szCs w:val="24"/>
        </w:rPr>
        <w:t xml:space="preserve">, European Chemicals Agency </w:t>
      </w:r>
      <w:r w:rsidR="00F5712A">
        <w:rPr>
          <w:rFonts w:ascii="Times New Roman" w:eastAsia="Calibri" w:hAnsi="Times New Roman" w:cs="Times New Roman"/>
          <w:bCs/>
          <w:sz w:val="24"/>
          <w:szCs w:val="24"/>
        </w:rPr>
        <w:t xml:space="preserve">(ECHA) </w:t>
      </w:r>
      <w:r w:rsidRPr="00030F49">
        <w:rPr>
          <w:rFonts w:ascii="Times New Roman" w:eastAsia="Calibri" w:hAnsi="Times New Roman" w:cs="Times New Roman"/>
          <w:bCs/>
          <w:sz w:val="24"/>
          <w:szCs w:val="24"/>
        </w:rPr>
        <w:t>and European Aviation Safety Agency</w:t>
      </w:r>
      <w:r w:rsidR="00F5712A">
        <w:rPr>
          <w:rFonts w:ascii="Times New Roman" w:eastAsia="Calibri" w:hAnsi="Times New Roman" w:cs="Times New Roman"/>
          <w:bCs/>
          <w:sz w:val="24"/>
          <w:szCs w:val="24"/>
        </w:rPr>
        <w:t xml:space="preserve"> (EASA)</w:t>
      </w:r>
      <w:r w:rsidR="00AC1B61">
        <w:rPr>
          <w:rFonts w:ascii="Times New Roman" w:eastAsia="Calibri" w:hAnsi="Times New Roman" w:cs="Times New Roman"/>
          <w:bCs/>
          <w:sz w:val="24"/>
          <w:szCs w:val="24"/>
        </w:rPr>
        <w:t>.</w:t>
      </w:r>
      <w:r w:rsidRPr="00030F49">
        <w:rPr>
          <w:rStyle w:val="FootnoteReference"/>
          <w:rFonts w:ascii="Times New Roman" w:eastAsia="Calibri" w:hAnsi="Times New Roman" w:cs="Times New Roman"/>
          <w:bCs/>
          <w:sz w:val="24"/>
          <w:szCs w:val="24"/>
        </w:rPr>
        <w:footnoteReference w:id="82"/>
      </w:r>
      <w:r w:rsidRPr="00030F49">
        <w:rPr>
          <w:rFonts w:ascii="Times New Roman" w:eastAsia="Calibri" w:hAnsi="Times New Roman" w:cs="Times New Roman"/>
          <w:bCs/>
          <w:sz w:val="24"/>
          <w:szCs w:val="24"/>
        </w:rPr>
        <w:t xml:space="preserve"> The mention of these specific agencies indicated the priorities of the UK government, but the wording also denotes the non-exhaustive nature of the list. Notably, even at this point cooperation rather than membership was the aim, even where the respective agency founding Regulations would allow </w:t>
      </w:r>
      <w:r w:rsidR="003F35B4">
        <w:rPr>
          <w:rFonts w:ascii="Times New Roman" w:eastAsia="Calibri" w:hAnsi="Times New Roman" w:cs="Times New Roman"/>
          <w:bCs/>
          <w:sz w:val="24"/>
          <w:szCs w:val="24"/>
        </w:rPr>
        <w:t>membership</w:t>
      </w:r>
      <w:r w:rsidRPr="00030F49">
        <w:rPr>
          <w:rFonts w:ascii="Times New Roman" w:eastAsia="Calibri" w:hAnsi="Times New Roman" w:cs="Times New Roman"/>
          <w:bCs/>
          <w:sz w:val="24"/>
          <w:szCs w:val="24"/>
        </w:rPr>
        <w:t>.</w:t>
      </w:r>
      <w:r w:rsidR="003F35B4">
        <w:rPr>
          <w:rStyle w:val="FootnoteReference"/>
          <w:rFonts w:ascii="Times New Roman" w:eastAsia="Calibri" w:hAnsi="Times New Roman" w:cs="Times New Roman"/>
          <w:bCs/>
          <w:sz w:val="24"/>
          <w:szCs w:val="24"/>
        </w:rPr>
        <w:footnoteReference w:id="83"/>
      </w:r>
      <w:r w:rsidRPr="00030F49">
        <w:rPr>
          <w:rFonts w:ascii="Times New Roman" w:eastAsia="Calibri" w:hAnsi="Times New Roman" w:cs="Times New Roman"/>
          <w:bCs/>
          <w:sz w:val="24"/>
          <w:szCs w:val="24"/>
        </w:rPr>
        <w:t xml:space="preserve"> </w:t>
      </w:r>
    </w:p>
    <w:p w14:paraId="560DEAFD" w14:textId="77777777" w:rsidR="00BA4E8B" w:rsidRPr="00997397" w:rsidRDefault="00A24AF5" w:rsidP="00BA4E8B">
      <w:pPr>
        <w:rPr>
          <w:rFonts w:ascii="Times New Roman" w:hAnsi="Times New Roman" w:cs="Times New Roman"/>
          <w:bCs/>
          <w:sz w:val="24"/>
          <w:szCs w:val="24"/>
        </w:rPr>
      </w:pPr>
      <w:r>
        <w:rPr>
          <w:rFonts w:ascii="Times New Roman" w:hAnsi="Times New Roman" w:cs="Times New Roman"/>
          <w:sz w:val="24"/>
          <w:szCs w:val="24"/>
        </w:rPr>
        <w:t>A</w:t>
      </w:r>
      <w:r w:rsidR="0019776E" w:rsidRPr="00030F49">
        <w:rPr>
          <w:rFonts w:ascii="Times New Roman" w:hAnsi="Times New Roman" w:cs="Times New Roman"/>
          <w:sz w:val="24"/>
          <w:szCs w:val="24"/>
        </w:rPr>
        <w:t xml:space="preserve">gency membership was no longer explicitly mentioned in the UK and EU negotiating positions by February 2020, and the TCA </w:t>
      </w:r>
      <w:r w:rsidR="00BA4E8B">
        <w:rPr>
          <w:rFonts w:ascii="Times New Roman" w:hAnsi="Times New Roman" w:cs="Times New Roman"/>
          <w:sz w:val="24"/>
          <w:szCs w:val="24"/>
        </w:rPr>
        <w:t xml:space="preserve">outcome </w:t>
      </w:r>
      <w:r w:rsidR="0019776E" w:rsidRPr="00030F49">
        <w:rPr>
          <w:rFonts w:ascii="Times New Roman" w:hAnsi="Times New Roman" w:cs="Times New Roman"/>
          <w:sz w:val="24"/>
          <w:szCs w:val="24"/>
        </w:rPr>
        <w:t xml:space="preserve">confirms that </w:t>
      </w:r>
      <w:r w:rsidR="00AF2044">
        <w:rPr>
          <w:rFonts w:ascii="Times New Roman" w:hAnsi="Times New Roman" w:cs="Times New Roman"/>
          <w:sz w:val="24"/>
          <w:szCs w:val="24"/>
        </w:rPr>
        <w:t xml:space="preserve">as of 1 January 2021 </w:t>
      </w:r>
      <w:r w:rsidR="0019776E" w:rsidRPr="00030F49">
        <w:rPr>
          <w:rFonts w:ascii="Times New Roman" w:hAnsi="Times New Roman" w:cs="Times New Roman"/>
          <w:sz w:val="24"/>
          <w:szCs w:val="24"/>
        </w:rPr>
        <w:t>there is no UK participation in any EU agencies.</w:t>
      </w:r>
      <w:r w:rsidR="0046647D" w:rsidRPr="00030F49">
        <w:rPr>
          <w:rFonts w:ascii="Times New Roman" w:hAnsi="Times New Roman" w:cs="Times New Roman"/>
          <w:sz w:val="24"/>
          <w:szCs w:val="24"/>
        </w:rPr>
        <w:t xml:space="preserve"> </w:t>
      </w:r>
      <w:r w:rsidR="0046647D" w:rsidRPr="0046647D">
        <w:rPr>
          <w:rFonts w:ascii="Times New Roman" w:hAnsi="Times New Roman" w:cs="Times New Roman"/>
          <w:i/>
          <w:iCs/>
          <w:sz w:val="24"/>
          <w:szCs w:val="24"/>
        </w:rPr>
        <w:t xml:space="preserve"> </w:t>
      </w:r>
      <w:r w:rsidR="009F1562" w:rsidRPr="00997397">
        <w:rPr>
          <w:rFonts w:ascii="Times New Roman" w:hAnsi="Times New Roman" w:cs="Times New Roman"/>
          <w:bCs/>
          <w:sz w:val="24"/>
          <w:szCs w:val="24"/>
        </w:rPr>
        <w:t xml:space="preserve">There is no </w:t>
      </w:r>
      <w:r w:rsidR="00BA4E8B">
        <w:rPr>
          <w:rFonts w:ascii="Times New Roman" w:hAnsi="Times New Roman" w:cs="Times New Roman"/>
          <w:bCs/>
          <w:sz w:val="24"/>
          <w:szCs w:val="24"/>
        </w:rPr>
        <w:t>PC</w:t>
      </w:r>
      <w:r w:rsidR="009F1562" w:rsidRPr="00997397">
        <w:rPr>
          <w:rFonts w:ascii="Times New Roman" w:hAnsi="Times New Roman" w:cs="Times New Roman"/>
          <w:bCs/>
          <w:sz w:val="24"/>
          <w:szCs w:val="24"/>
        </w:rPr>
        <w:t xml:space="preserve"> secretariat</w:t>
      </w:r>
      <w:r w:rsidR="009F5750" w:rsidRPr="00997397">
        <w:rPr>
          <w:rFonts w:ascii="Times New Roman" w:hAnsi="Times New Roman" w:cs="Times New Roman"/>
          <w:bCs/>
          <w:sz w:val="24"/>
          <w:szCs w:val="24"/>
        </w:rPr>
        <w:t>,</w:t>
      </w:r>
      <w:r w:rsidR="009F1562" w:rsidRPr="00997397">
        <w:rPr>
          <w:rFonts w:ascii="Times New Roman" w:hAnsi="Times New Roman" w:cs="Times New Roman"/>
          <w:bCs/>
          <w:sz w:val="24"/>
          <w:szCs w:val="24"/>
        </w:rPr>
        <w:t xml:space="preserve"> and no participation, much less membership, in EU agencies.</w:t>
      </w:r>
      <w:r w:rsidR="009F1562" w:rsidRPr="00997397">
        <w:rPr>
          <w:rFonts w:ascii="Times New Roman" w:eastAsia="Calibri" w:hAnsi="Times New Roman" w:cs="Times New Roman"/>
          <w:bCs/>
          <w:sz w:val="24"/>
          <w:szCs w:val="24"/>
        </w:rPr>
        <w:t xml:space="preserve"> </w:t>
      </w:r>
      <w:r w:rsidR="00BA4E8B" w:rsidRPr="00997397">
        <w:rPr>
          <w:rFonts w:ascii="Times New Roman" w:hAnsi="Times New Roman" w:cs="Times New Roman"/>
          <w:bCs/>
          <w:sz w:val="24"/>
          <w:szCs w:val="24"/>
        </w:rPr>
        <w:t xml:space="preserve">Instead the TCA contains piecemeal arrangements including regulatory cooperation provisions and bilateral links between EU agencies and UK designated regulatory authorities. </w:t>
      </w:r>
    </w:p>
    <w:p w14:paraId="0D4CF2B7" w14:textId="6C29459C" w:rsidR="00B30BCB" w:rsidRPr="00A24AF5" w:rsidRDefault="00251CAC" w:rsidP="00223E39">
      <w:pPr>
        <w:rPr>
          <w:rFonts w:ascii="Times New Roman" w:eastAsia="Calibri" w:hAnsi="Times New Roman" w:cs="Times New Roman"/>
          <w:bCs/>
          <w:i/>
          <w:iCs/>
          <w:sz w:val="24"/>
          <w:szCs w:val="24"/>
        </w:rPr>
      </w:pPr>
      <w:r w:rsidRPr="00997397">
        <w:rPr>
          <w:rFonts w:ascii="Times New Roman" w:eastAsia="Calibri" w:hAnsi="Times New Roman" w:cs="Times New Roman"/>
          <w:bCs/>
          <w:sz w:val="24"/>
          <w:szCs w:val="24"/>
        </w:rPr>
        <w:t>T</w:t>
      </w:r>
      <w:r w:rsidR="00FF58BD" w:rsidRPr="00997397">
        <w:rPr>
          <w:rFonts w:ascii="Times New Roman" w:eastAsia="Calibri" w:hAnsi="Times New Roman" w:cs="Times New Roman"/>
          <w:bCs/>
          <w:sz w:val="24"/>
          <w:szCs w:val="24"/>
        </w:rPr>
        <w:t xml:space="preserve">he </w:t>
      </w:r>
      <w:r w:rsidR="00B741E1" w:rsidRPr="00997397">
        <w:rPr>
          <w:rFonts w:ascii="Times New Roman" w:eastAsia="Calibri" w:hAnsi="Times New Roman" w:cs="Times New Roman"/>
          <w:bCs/>
          <w:sz w:val="24"/>
          <w:szCs w:val="24"/>
        </w:rPr>
        <w:t xml:space="preserve">TCA specialised </w:t>
      </w:r>
      <w:r w:rsidR="00FF58BD" w:rsidRPr="00997397">
        <w:rPr>
          <w:rFonts w:ascii="Times New Roman" w:eastAsia="Calibri" w:hAnsi="Times New Roman" w:cs="Times New Roman"/>
          <w:bCs/>
          <w:sz w:val="24"/>
          <w:szCs w:val="24"/>
        </w:rPr>
        <w:t xml:space="preserve">sectoral </w:t>
      </w:r>
      <w:r w:rsidR="00B741E1" w:rsidRPr="00997397">
        <w:rPr>
          <w:rFonts w:ascii="Times New Roman" w:eastAsia="Calibri" w:hAnsi="Times New Roman" w:cs="Times New Roman"/>
          <w:bCs/>
          <w:sz w:val="24"/>
          <w:szCs w:val="24"/>
        </w:rPr>
        <w:t xml:space="preserve">committees </w:t>
      </w:r>
      <w:r w:rsidR="007C76C1">
        <w:rPr>
          <w:rFonts w:ascii="Times New Roman" w:eastAsia="Calibri" w:hAnsi="Times New Roman" w:cs="Times New Roman"/>
          <w:bCs/>
          <w:sz w:val="24"/>
          <w:szCs w:val="24"/>
        </w:rPr>
        <w:t xml:space="preserve">(e.g. </w:t>
      </w:r>
      <w:r w:rsidR="007C76C1" w:rsidRPr="00997397">
        <w:rPr>
          <w:rFonts w:ascii="Times New Roman" w:eastAsia="Calibri" w:hAnsi="Times New Roman" w:cs="Times New Roman"/>
          <w:bCs/>
          <w:sz w:val="24"/>
          <w:szCs w:val="24"/>
        </w:rPr>
        <w:t>on energy, aviation safety</w:t>
      </w:r>
      <w:r w:rsidR="00E7003A">
        <w:rPr>
          <w:rFonts w:ascii="Times New Roman" w:eastAsia="Calibri" w:hAnsi="Times New Roman" w:cs="Times New Roman"/>
          <w:bCs/>
          <w:sz w:val="24"/>
          <w:szCs w:val="24"/>
        </w:rPr>
        <w:t>,</w:t>
      </w:r>
      <w:r w:rsidR="007C76C1">
        <w:rPr>
          <w:rFonts w:ascii="Times New Roman" w:eastAsia="Calibri" w:hAnsi="Times New Roman" w:cs="Times New Roman"/>
          <w:bCs/>
          <w:sz w:val="24"/>
          <w:szCs w:val="24"/>
        </w:rPr>
        <w:t xml:space="preserve"> and </w:t>
      </w:r>
      <w:r w:rsidR="007C76C1" w:rsidRPr="00997397">
        <w:rPr>
          <w:rFonts w:ascii="Times New Roman" w:eastAsia="Calibri" w:hAnsi="Times New Roman" w:cs="Times New Roman"/>
          <w:bCs/>
          <w:sz w:val="24"/>
          <w:szCs w:val="24"/>
        </w:rPr>
        <w:t>transport</w:t>
      </w:r>
      <w:r w:rsidR="007C76C1">
        <w:rPr>
          <w:rFonts w:ascii="Times New Roman" w:eastAsia="Calibri" w:hAnsi="Times New Roman" w:cs="Times New Roman"/>
          <w:bCs/>
          <w:sz w:val="24"/>
          <w:szCs w:val="24"/>
        </w:rPr>
        <w:t xml:space="preserve">) </w:t>
      </w:r>
      <w:r w:rsidR="00B741E1" w:rsidRPr="00997397">
        <w:rPr>
          <w:rFonts w:ascii="Times New Roman" w:eastAsia="Calibri" w:hAnsi="Times New Roman" w:cs="Times New Roman"/>
          <w:bCs/>
          <w:sz w:val="24"/>
          <w:szCs w:val="24"/>
        </w:rPr>
        <w:t>and working groups</w:t>
      </w:r>
      <w:r w:rsidR="00FF58BD" w:rsidRPr="00997397">
        <w:rPr>
          <w:rFonts w:ascii="Times New Roman" w:eastAsia="Calibri" w:hAnsi="Times New Roman" w:cs="Times New Roman"/>
          <w:bCs/>
          <w:sz w:val="24"/>
          <w:szCs w:val="24"/>
        </w:rPr>
        <w:t xml:space="preserve"> </w:t>
      </w:r>
      <w:r w:rsidR="007C76C1">
        <w:rPr>
          <w:rFonts w:ascii="Times New Roman" w:eastAsia="Calibri" w:hAnsi="Times New Roman" w:cs="Times New Roman"/>
          <w:bCs/>
          <w:sz w:val="24"/>
          <w:szCs w:val="24"/>
        </w:rPr>
        <w:t xml:space="preserve">(e.g. on medicinal products) </w:t>
      </w:r>
      <w:r w:rsidR="00FF58BD" w:rsidRPr="00997397">
        <w:rPr>
          <w:rFonts w:ascii="Times New Roman" w:eastAsia="Calibri" w:hAnsi="Times New Roman" w:cs="Times New Roman"/>
          <w:bCs/>
          <w:sz w:val="24"/>
          <w:szCs w:val="24"/>
        </w:rPr>
        <w:t xml:space="preserve">are </w:t>
      </w:r>
      <w:r w:rsidR="0091791D" w:rsidRPr="00997397">
        <w:rPr>
          <w:rFonts w:ascii="Times New Roman" w:eastAsia="Calibri" w:hAnsi="Times New Roman" w:cs="Times New Roman"/>
          <w:bCs/>
          <w:sz w:val="24"/>
          <w:szCs w:val="24"/>
        </w:rPr>
        <w:t xml:space="preserve">not </w:t>
      </w:r>
      <w:r w:rsidR="00B741E1" w:rsidRPr="00997397">
        <w:rPr>
          <w:rFonts w:ascii="Times New Roman" w:eastAsia="Calibri" w:hAnsi="Times New Roman" w:cs="Times New Roman"/>
          <w:bCs/>
          <w:sz w:val="24"/>
          <w:szCs w:val="24"/>
        </w:rPr>
        <w:t xml:space="preserve">intended to </w:t>
      </w:r>
      <w:r w:rsidR="00A23CB3">
        <w:rPr>
          <w:rFonts w:ascii="Times New Roman" w:eastAsia="Calibri" w:hAnsi="Times New Roman" w:cs="Times New Roman"/>
          <w:bCs/>
          <w:sz w:val="24"/>
          <w:szCs w:val="24"/>
        </w:rPr>
        <w:t>confer a status comparable to</w:t>
      </w:r>
      <w:r w:rsidR="00A51B6D">
        <w:rPr>
          <w:rFonts w:ascii="Times New Roman" w:eastAsia="Calibri" w:hAnsi="Times New Roman" w:cs="Times New Roman"/>
          <w:bCs/>
          <w:sz w:val="24"/>
          <w:szCs w:val="24"/>
        </w:rPr>
        <w:t xml:space="preserve"> </w:t>
      </w:r>
      <w:r w:rsidR="00F42FA5" w:rsidRPr="00997397">
        <w:rPr>
          <w:rFonts w:ascii="Times New Roman" w:eastAsia="Calibri" w:hAnsi="Times New Roman" w:cs="Times New Roman"/>
          <w:bCs/>
          <w:sz w:val="24"/>
          <w:szCs w:val="24"/>
        </w:rPr>
        <w:t>UK</w:t>
      </w:r>
      <w:r w:rsidR="00B741E1" w:rsidRPr="00997397">
        <w:rPr>
          <w:rFonts w:ascii="Times New Roman" w:eastAsia="Calibri" w:hAnsi="Times New Roman" w:cs="Times New Roman"/>
          <w:bCs/>
          <w:sz w:val="24"/>
          <w:szCs w:val="24"/>
        </w:rPr>
        <w:t xml:space="preserve"> participation in </w:t>
      </w:r>
      <w:r w:rsidR="00F42FA5" w:rsidRPr="00997397">
        <w:rPr>
          <w:rFonts w:ascii="Times New Roman" w:eastAsia="Calibri" w:hAnsi="Times New Roman" w:cs="Times New Roman"/>
          <w:bCs/>
          <w:sz w:val="24"/>
          <w:szCs w:val="24"/>
        </w:rPr>
        <w:t>E</w:t>
      </w:r>
      <w:r w:rsidR="00E66994" w:rsidRPr="00997397">
        <w:rPr>
          <w:rFonts w:ascii="Times New Roman" w:eastAsia="Calibri" w:hAnsi="Times New Roman" w:cs="Times New Roman"/>
          <w:bCs/>
          <w:sz w:val="24"/>
          <w:szCs w:val="24"/>
        </w:rPr>
        <w:t>U</w:t>
      </w:r>
      <w:r w:rsidR="00F42FA5" w:rsidRPr="00997397">
        <w:rPr>
          <w:rFonts w:ascii="Times New Roman" w:eastAsia="Calibri" w:hAnsi="Times New Roman" w:cs="Times New Roman"/>
          <w:bCs/>
          <w:sz w:val="24"/>
          <w:szCs w:val="24"/>
        </w:rPr>
        <w:t xml:space="preserve"> agencies</w:t>
      </w:r>
      <w:r w:rsidR="00A51B6D">
        <w:rPr>
          <w:rFonts w:ascii="Times New Roman" w:eastAsia="Calibri" w:hAnsi="Times New Roman" w:cs="Times New Roman"/>
          <w:bCs/>
          <w:sz w:val="24"/>
          <w:szCs w:val="24"/>
        </w:rPr>
        <w:t>.</w:t>
      </w:r>
      <w:r w:rsidR="00E66994" w:rsidRPr="00997397">
        <w:rPr>
          <w:rFonts w:ascii="Times New Roman" w:eastAsia="Calibri" w:hAnsi="Times New Roman" w:cs="Times New Roman"/>
          <w:bCs/>
          <w:sz w:val="24"/>
          <w:szCs w:val="24"/>
        </w:rPr>
        <w:t xml:space="preserve"> </w:t>
      </w:r>
      <w:r w:rsidR="00FB6985" w:rsidRPr="00997397">
        <w:rPr>
          <w:rFonts w:ascii="Times New Roman" w:eastAsia="Calibri" w:hAnsi="Times New Roman" w:cs="Times New Roman"/>
          <w:bCs/>
          <w:sz w:val="24"/>
          <w:szCs w:val="24"/>
        </w:rPr>
        <w:t>For example</w:t>
      </w:r>
      <w:r w:rsidR="00761EBD" w:rsidRPr="00997397">
        <w:rPr>
          <w:rFonts w:ascii="Times New Roman" w:eastAsia="Calibri" w:hAnsi="Times New Roman" w:cs="Times New Roman"/>
          <w:bCs/>
          <w:sz w:val="24"/>
          <w:szCs w:val="24"/>
        </w:rPr>
        <w:t>,</w:t>
      </w:r>
      <w:r w:rsidR="00FB6985" w:rsidRPr="00997397">
        <w:rPr>
          <w:rFonts w:ascii="Times New Roman" w:eastAsia="Calibri" w:hAnsi="Times New Roman" w:cs="Times New Roman"/>
          <w:bCs/>
          <w:sz w:val="24"/>
          <w:szCs w:val="24"/>
        </w:rPr>
        <w:t xml:space="preserve"> </w:t>
      </w:r>
      <w:r w:rsidR="00223E39">
        <w:rPr>
          <w:rFonts w:ascii="Times New Roman" w:eastAsia="Calibri" w:hAnsi="Times New Roman" w:cs="Times New Roman"/>
          <w:bCs/>
          <w:sz w:val="24"/>
          <w:szCs w:val="24"/>
        </w:rPr>
        <w:t>this is made</w:t>
      </w:r>
      <w:r w:rsidR="00FB6985" w:rsidRPr="00997397">
        <w:rPr>
          <w:rFonts w:ascii="Times New Roman" w:eastAsia="Calibri" w:hAnsi="Times New Roman" w:cs="Times New Roman"/>
          <w:bCs/>
          <w:sz w:val="24"/>
          <w:szCs w:val="24"/>
        </w:rPr>
        <w:t xml:space="preserve"> explicit</w:t>
      </w:r>
      <w:r w:rsidR="005C51A0" w:rsidRPr="00997397">
        <w:rPr>
          <w:rFonts w:ascii="Times New Roman" w:eastAsia="Calibri" w:hAnsi="Times New Roman" w:cs="Times New Roman"/>
          <w:bCs/>
          <w:sz w:val="24"/>
          <w:szCs w:val="24"/>
        </w:rPr>
        <w:t xml:space="preserve"> </w:t>
      </w:r>
      <w:proofErr w:type="gramStart"/>
      <w:r w:rsidR="005C51A0" w:rsidRPr="00997397">
        <w:rPr>
          <w:rFonts w:ascii="Times New Roman" w:eastAsia="Calibri" w:hAnsi="Times New Roman" w:cs="Times New Roman"/>
          <w:bCs/>
          <w:sz w:val="24"/>
          <w:szCs w:val="24"/>
        </w:rPr>
        <w:t>with regard to</w:t>
      </w:r>
      <w:proofErr w:type="gramEnd"/>
      <w:r w:rsidR="005C51A0" w:rsidRPr="00997397">
        <w:rPr>
          <w:rFonts w:ascii="Times New Roman" w:eastAsia="Calibri" w:hAnsi="Times New Roman" w:cs="Times New Roman"/>
          <w:bCs/>
          <w:sz w:val="24"/>
          <w:szCs w:val="24"/>
        </w:rPr>
        <w:t xml:space="preserve"> the Agency for the Cooperation of Energy Regulators (ACER)</w:t>
      </w:r>
      <w:r w:rsidRPr="00997397">
        <w:rPr>
          <w:rFonts w:ascii="Times New Roman" w:eastAsia="Calibri" w:hAnsi="Times New Roman" w:cs="Times New Roman"/>
          <w:bCs/>
          <w:sz w:val="24"/>
          <w:szCs w:val="24"/>
        </w:rPr>
        <w:t>.</w:t>
      </w:r>
      <w:r w:rsidR="000E625B">
        <w:rPr>
          <w:rStyle w:val="FootnoteReference"/>
          <w:rFonts w:ascii="Times New Roman" w:eastAsia="Calibri" w:hAnsi="Times New Roman" w:cs="Times New Roman"/>
          <w:bCs/>
          <w:sz w:val="24"/>
          <w:szCs w:val="24"/>
        </w:rPr>
        <w:footnoteReference w:id="84"/>
      </w:r>
      <w:r w:rsidRPr="00997397">
        <w:rPr>
          <w:rFonts w:ascii="Times New Roman" w:eastAsia="Calibri" w:hAnsi="Times New Roman" w:cs="Times New Roman"/>
          <w:bCs/>
          <w:sz w:val="24"/>
          <w:szCs w:val="24"/>
        </w:rPr>
        <w:t xml:space="preserve"> </w:t>
      </w:r>
      <w:r w:rsidR="00B30BCB" w:rsidRPr="00997397">
        <w:rPr>
          <w:rFonts w:ascii="Times New Roman" w:eastAsia="Calibri" w:hAnsi="Times New Roman" w:cs="Times New Roman"/>
          <w:bCs/>
          <w:sz w:val="24"/>
          <w:szCs w:val="24"/>
        </w:rPr>
        <w:t>Furthermore, regulatory cooperation activities in particular policy areas are voluntary</w:t>
      </w:r>
      <w:r w:rsidR="00B30BCB">
        <w:rPr>
          <w:rFonts w:ascii="Times New Roman" w:eastAsia="Calibri" w:hAnsi="Times New Roman" w:cs="Times New Roman"/>
          <w:bCs/>
          <w:sz w:val="24"/>
          <w:szCs w:val="24"/>
        </w:rPr>
        <w:t>.</w:t>
      </w:r>
      <w:r w:rsidR="00B30BCB">
        <w:rPr>
          <w:rStyle w:val="FootnoteReference"/>
          <w:rFonts w:ascii="Times New Roman" w:eastAsia="Calibri" w:hAnsi="Times New Roman" w:cs="Times New Roman"/>
          <w:bCs/>
          <w:sz w:val="24"/>
          <w:szCs w:val="24"/>
        </w:rPr>
        <w:footnoteReference w:id="85"/>
      </w:r>
    </w:p>
    <w:p w14:paraId="1E8BB42F" w14:textId="0AF52C33" w:rsidR="00DE0952" w:rsidRPr="00383D3E" w:rsidRDefault="005264D8" w:rsidP="005E5C4A">
      <w:pPr>
        <w:spacing w:line="240" w:lineRule="auto"/>
        <w:rPr>
          <w:rFonts w:ascii="Times New Roman" w:hAnsi="Times New Roman" w:cs="Times New Roman"/>
          <w:sz w:val="24"/>
          <w:szCs w:val="24"/>
        </w:rPr>
      </w:pPr>
      <w:r w:rsidRPr="00997397">
        <w:rPr>
          <w:rFonts w:ascii="Times New Roman" w:hAnsi="Times New Roman" w:cs="Times New Roman"/>
          <w:iCs/>
          <w:sz w:val="24"/>
          <w:szCs w:val="24"/>
        </w:rPr>
        <w:t>The TCA</w:t>
      </w:r>
      <w:r w:rsidR="0025338D">
        <w:rPr>
          <w:rFonts w:ascii="Times New Roman" w:hAnsi="Times New Roman" w:cs="Times New Roman"/>
          <w:iCs/>
          <w:sz w:val="24"/>
          <w:szCs w:val="24"/>
        </w:rPr>
        <w:t xml:space="preserve">’s </w:t>
      </w:r>
      <w:r w:rsidRPr="00997397">
        <w:rPr>
          <w:rFonts w:ascii="Times New Roman" w:hAnsi="Times New Roman" w:cs="Times New Roman"/>
          <w:sz w:val="24"/>
          <w:szCs w:val="24"/>
        </w:rPr>
        <w:t xml:space="preserve">piecemeal approach in different policy areas through bilateral cooperation </w:t>
      </w:r>
      <w:r w:rsidR="0025338D">
        <w:rPr>
          <w:rFonts w:ascii="Times New Roman" w:hAnsi="Times New Roman" w:cs="Times New Roman"/>
          <w:sz w:val="24"/>
          <w:szCs w:val="24"/>
        </w:rPr>
        <w:t xml:space="preserve">includes </w:t>
      </w:r>
      <w:r w:rsidRPr="00997397">
        <w:rPr>
          <w:rFonts w:ascii="Times New Roman" w:hAnsi="Times New Roman" w:cs="Times New Roman"/>
          <w:sz w:val="24"/>
          <w:szCs w:val="24"/>
        </w:rPr>
        <w:t>information sharing, recognition of existing testing procedures, simplified procedures for EU and UK traders to demonstrate compliance with the other party’s rules, and shared commitments to apply international standards. There are various references to links between EU agencies and designated UK regulatory authorities</w:t>
      </w:r>
      <w:r>
        <w:rPr>
          <w:rFonts w:ascii="Times New Roman" w:hAnsi="Times New Roman" w:cs="Times New Roman"/>
          <w:sz w:val="24"/>
          <w:szCs w:val="24"/>
        </w:rPr>
        <w:t xml:space="preserve">. </w:t>
      </w:r>
      <w:r w:rsidR="00F44B63" w:rsidRPr="00997397">
        <w:rPr>
          <w:rFonts w:ascii="Times New Roman" w:eastAsia="Calibri" w:hAnsi="Times New Roman" w:cs="Times New Roman"/>
          <w:bCs/>
          <w:sz w:val="24"/>
          <w:szCs w:val="24"/>
        </w:rPr>
        <w:t xml:space="preserve">As laid out in </w:t>
      </w:r>
      <w:r w:rsidR="00910E57" w:rsidRPr="00997397">
        <w:rPr>
          <w:rFonts w:ascii="Times New Roman" w:hAnsi="Times New Roman" w:cs="Times New Roman"/>
          <w:sz w:val="24"/>
          <w:szCs w:val="24"/>
        </w:rPr>
        <w:t>Title X</w:t>
      </w:r>
      <w:r w:rsidR="007C5D3F" w:rsidRPr="00997397">
        <w:rPr>
          <w:rFonts w:ascii="Times New Roman" w:hAnsi="Times New Roman" w:cs="Times New Roman"/>
          <w:sz w:val="24"/>
          <w:szCs w:val="24"/>
        </w:rPr>
        <w:t xml:space="preserve"> on good regulatory practices and regulatory cooperation</w:t>
      </w:r>
      <w:r w:rsidR="00F44B63" w:rsidRPr="00997397">
        <w:rPr>
          <w:rFonts w:ascii="Times New Roman" w:hAnsi="Times New Roman" w:cs="Times New Roman"/>
          <w:sz w:val="24"/>
          <w:szCs w:val="24"/>
        </w:rPr>
        <w:t xml:space="preserve">, the </w:t>
      </w:r>
      <w:r w:rsidR="00A85B24" w:rsidRPr="00997397">
        <w:rPr>
          <w:rFonts w:ascii="Times New Roman" w:hAnsi="Times New Roman" w:cs="Times New Roman"/>
          <w:sz w:val="24"/>
          <w:szCs w:val="24"/>
        </w:rPr>
        <w:t>Specialised Committee on Regulatory Cooperation is charged with</w:t>
      </w:r>
      <w:r w:rsidR="00E51E01" w:rsidRPr="00997397">
        <w:rPr>
          <w:rFonts w:ascii="Times New Roman" w:hAnsi="Times New Roman" w:cs="Times New Roman"/>
          <w:sz w:val="24"/>
          <w:szCs w:val="24"/>
        </w:rPr>
        <w:t xml:space="preserve"> rather general obligations: </w:t>
      </w:r>
      <w:r w:rsidR="00A85B24" w:rsidRPr="00997397">
        <w:rPr>
          <w:rFonts w:ascii="Times New Roman" w:hAnsi="Times New Roman" w:cs="Times New Roman"/>
          <w:sz w:val="24"/>
          <w:szCs w:val="24"/>
        </w:rPr>
        <w:t xml:space="preserve"> ‘enhancing and promoting’ regulatory cooperation between EU and UK</w:t>
      </w:r>
      <w:r w:rsidR="00916FA2" w:rsidRPr="00997397">
        <w:rPr>
          <w:rFonts w:ascii="Times New Roman" w:hAnsi="Times New Roman" w:cs="Times New Roman"/>
          <w:sz w:val="24"/>
          <w:szCs w:val="24"/>
        </w:rPr>
        <w:t xml:space="preserve">, exchanging views, and </w:t>
      </w:r>
      <w:r w:rsidR="00F44B63" w:rsidRPr="00997397">
        <w:rPr>
          <w:rFonts w:ascii="Times New Roman" w:hAnsi="Times New Roman" w:cs="Times New Roman"/>
          <w:sz w:val="24"/>
          <w:szCs w:val="24"/>
        </w:rPr>
        <w:t xml:space="preserve">encouraging </w:t>
      </w:r>
      <w:r w:rsidR="00A13339">
        <w:rPr>
          <w:rFonts w:ascii="Times New Roman" w:hAnsi="Times New Roman" w:cs="Times New Roman"/>
          <w:sz w:val="24"/>
          <w:szCs w:val="24"/>
        </w:rPr>
        <w:t xml:space="preserve">their </w:t>
      </w:r>
      <w:r w:rsidR="00F44B63" w:rsidRPr="00997397">
        <w:rPr>
          <w:rFonts w:ascii="Times New Roman" w:hAnsi="Times New Roman" w:cs="Times New Roman"/>
          <w:sz w:val="24"/>
          <w:szCs w:val="24"/>
        </w:rPr>
        <w:t>cooperation in interna</w:t>
      </w:r>
      <w:r w:rsidR="006B640F">
        <w:rPr>
          <w:rFonts w:ascii="Times New Roman" w:hAnsi="Times New Roman" w:cs="Times New Roman"/>
          <w:sz w:val="24"/>
          <w:szCs w:val="24"/>
        </w:rPr>
        <w:t>tiona</w:t>
      </w:r>
      <w:r w:rsidR="00F44B63" w:rsidRPr="00997397">
        <w:rPr>
          <w:rFonts w:ascii="Times New Roman" w:hAnsi="Times New Roman" w:cs="Times New Roman"/>
          <w:sz w:val="24"/>
          <w:szCs w:val="24"/>
        </w:rPr>
        <w:t>l fora</w:t>
      </w:r>
      <w:r w:rsidR="00FA20AD" w:rsidRPr="00997397">
        <w:rPr>
          <w:rFonts w:ascii="Times New Roman" w:hAnsi="Times New Roman" w:cs="Times New Roman"/>
          <w:sz w:val="24"/>
          <w:szCs w:val="24"/>
        </w:rPr>
        <w:t xml:space="preserve">. </w:t>
      </w:r>
    </w:p>
    <w:p w14:paraId="7BFA36C3" w14:textId="36A8ED1C" w:rsidR="00BE3FBC" w:rsidRDefault="00AC2BE1" w:rsidP="00AC2BE1">
      <w:pPr>
        <w:spacing w:after="0" w:line="240" w:lineRule="auto"/>
        <w:rPr>
          <w:rFonts w:ascii="Times New Roman" w:hAnsi="Times New Roman" w:cs="Times New Roman"/>
          <w:sz w:val="24"/>
          <w:szCs w:val="24"/>
        </w:rPr>
      </w:pPr>
      <w:r w:rsidRPr="00997397">
        <w:rPr>
          <w:rFonts w:ascii="Times New Roman" w:eastAsia="Calibri" w:hAnsi="Times New Roman" w:cs="Times New Roman"/>
          <w:bCs/>
          <w:sz w:val="24"/>
          <w:szCs w:val="24"/>
        </w:rPr>
        <w:t>There is no overarching provision to notify policy and legislative changes on each side, which would allo</w:t>
      </w:r>
      <w:r w:rsidR="004D1513">
        <w:rPr>
          <w:rFonts w:ascii="Times New Roman" w:eastAsia="Calibri" w:hAnsi="Times New Roman" w:cs="Times New Roman"/>
          <w:bCs/>
          <w:sz w:val="24"/>
          <w:szCs w:val="24"/>
        </w:rPr>
        <w:t>w</w:t>
      </w:r>
      <w:r w:rsidR="00597BAA">
        <w:rPr>
          <w:rFonts w:ascii="Times New Roman" w:eastAsia="Calibri" w:hAnsi="Times New Roman" w:cs="Times New Roman"/>
          <w:bCs/>
          <w:sz w:val="24"/>
          <w:szCs w:val="24"/>
        </w:rPr>
        <w:t xml:space="preserve"> review of</w:t>
      </w:r>
      <w:r>
        <w:rPr>
          <w:rFonts w:ascii="Times New Roman" w:eastAsia="Calibri" w:hAnsi="Times New Roman" w:cs="Times New Roman"/>
          <w:bCs/>
          <w:sz w:val="24"/>
          <w:szCs w:val="24"/>
        </w:rPr>
        <w:t xml:space="preserve"> alignment or divergence</w:t>
      </w:r>
      <w:r w:rsidRPr="00997397">
        <w:rPr>
          <w:rFonts w:ascii="Times New Roman" w:eastAsia="Calibri" w:hAnsi="Times New Roman" w:cs="Times New Roman"/>
          <w:bCs/>
          <w:sz w:val="24"/>
          <w:szCs w:val="24"/>
        </w:rPr>
        <w:t xml:space="preserve"> over time</w:t>
      </w:r>
      <w:r>
        <w:rPr>
          <w:rFonts w:ascii="Times New Roman" w:eastAsia="Calibri" w:hAnsi="Times New Roman" w:cs="Times New Roman"/>
          <w:bCs/>
          <w:sz w:val="24"/>
          <w:szCs w:val="24"/>
        </w:rPr>
        <w:t xml:space="preserve">. However, </w:t>
      </w:r>
      <w:r w:rsidRPr="00AC2BE1">
        <w:rPr>
          <w:rFonts w:ascii="Times New Roman" w:eastAsia="Calibri" w:hAnsi="Times New Roman" w:cs="Times New Roman"/>
          <w:bCs/>
          <w:sz w:val="24"/>
          <w:szCs w:val="24"/>
        </w:rPr>
        <w:t>u</w:t>
      </w:r>
      <w:r w:rsidR="00DE0952" w:rsidRPr="00AC2BE1">
        <w:rPr>
          <w:rFonts w:ascii="Times New Roman" w:hAnsi="Times New Roman" w:cs="Times New Roman"/>
          <w:sz w:val="24"/>
          <w:szCs w:val="24"/>
        </w:rPr>
        <w:t>nder the transparency title, Article</w:t>
      </w:r>
      <w:r w:rsidR="00DE0952" w:rsidRPr="00997397">
        <w:rPr>
          <w:rFonts w:ascii="Times New Roman" w:hAnsi="Times New Roman" w:cs="Times New Roman"/>
          <w:sz w:val="24"/>
          <w:szCs w:val="24"/>
        </w:rPr>
        <w:t xml:space="preserve"> TRNSY.4(1)</w:t>
      </w:r>
      <w:r w:rsidR="00F30895">
        <w:rPr>
          <w:rFonts w:ascii="Times New Roman" w:hAnsi="Times New Roman" w:cs="Times New Roman"/>
          <w:sz w:val="24"/>
          <w:szCs w:val="24"/>
        </w:rPr>
        <w:t xml:space="preserve"> on transparency</w:t>
      </w:r>
      <w:r w:rsidR="00DE0952" w:rsidRPr="00997397">
        <w:rPr>
          <w:rFonts w:ascii="Times New Roman" w:hAnsi="Times New Roman" w:cs="Times New Roman"/>
          <w:sz w:val="24"/>
          <w:szCs w:val="24"/>
        </w:rPr>
        <w:t xml:space="preserve"> </w:t>
      </w:r>
      <w:r w:rsidR="006B1544">
        <w:rPr>
          <w:rFonts w:ascii="Times New Roman" w:hAnsi="Times New Roman" w:cs="Times New Roman"/>
          <w:sz w:val="24"/>
          <w:szCs w:val="24"/>
        </w:rPr>
        <w:t xml:space="preserve">states that </w:t>
      </w:r>
      <w:r w:rsidR="00DE0952" w:rsidRPr="00997397">
        <w:rPr>
          <w:rFonts w:ascii="Times New Roman" w:hAnsi="Times New Roman" w:cs="Times New Roman"/>
          <w:sz w:val="24"/>
          <w:szCs w:val="24"/>
        </w:rPr>
        <w:t xml:space="preserve">“each Party shall ensure that its laws, regulations, procedures and administrative rulings of general application are </w:t>
      </w:r>
      <w:r w:rsidR="00DE0952" w:rsidRPr="00997397">
        <w:rPr>
          <w:rFonts w:ascii="Times New Roman" w:hAnsi="Times New Roman" w:cs="Times New Roman"/>
          <w:sz w:val="24"/>
          <w:szCs w:val="24"/>
        </w:rPr>
        <w:lastRenderedPageBreak/>
        <w:t xml:space="preserve">promptly published”. </w:t>
      </w:r>
      <w:r w:rsidR="00B251B6">
        <w:rPr>
          <w:rFonts w:ascii="Times New Roman" w:eastAsia="Calibri" w:hAnsi="Times New Roman" w:cs="Times New Roman"/>
          <w:bCs/>
          <w:sz w:val="24"/>
          <w:szCs w:val="24"/>
        </w:rPr>
        <w:t xml:space="preserve">The good regulatory practices title </w:t>
      </w:r>
      <w:r w:rsidR="00A65D12" w:rsidRPr="00997397">
        <w:rPr>
          <w:rFonts w:ascii="Times New Roman" w:hAnsi="Times New Roman" w:cs="Times New Roman"/>
          <w:sz w:val="24"/>
          <w:szCs w:val="24"/>
        </w:rPr>
        <w:t>contains a general requirement for</w:t>
      </w:r>
      <w:r w:rsidR="00A44249" w:rsidRPr="00997397">
        <w:rPr>
          <w:rFonts w:ascii="Times New Roman" w:hAnsi="Times New Roman" w:cs="Times New Roman"/>
          <w:sz w:val="24"/>
          <w:szCs w:val="24"/>
        </w:rPr>
        <w:t xml:space="preserve"> </w:t>
      </w:r>
      <w:r w:rsidR="00426EB4" w:rsidRPr="00997397">
        <w:rPr>
          <w:rFonts w:ascii="Times New Roman" w:hAnsi="Times New Roman" w:cs="Times New Roman"/>
          <w:sz w:val="24"/>
          <w:szCs w:val="24"/>
        </w:rPr>
        <w:t xml:space="preserve">information on planned </w:t>
      </w:r>
      <w:r w:rsidR="00904D3C" w:rsidRPr="00997397">
        <w:rPr>
          <w:rFonts w:ascii="Times New Roman" w:hAnsi="Times New Roman" w:cs="Times New Roman"/>
          <w:sz w:val="24"/>
          <w:szCs w:val="24"/>
        </w:rPr>
        <w:t>‘</w:t>
      </w:r>
      <w:r w:rsidR="00A44249" w:rsidRPr="00997397">
        <w:rPr>
          <w:rFonts w:ascii="Times New Roman" w:hAnsi="Times New Roman" w:cs="Times New Roman"/>
          <w:sz w:val="24"/>
          <w:szCs w:val="24"/>
        </w:rPr>
        <w:t>major</w:t>
      </w:r>
      <w:r w:rsidR="00904D3C" w:rsidRPr="00997397">
        <w:rPr>
          <w:rFonts w:ascii="Times New Roman" w:hAnsi="Times New Roman" w:cs="Times New Roman"/>
          <w:sz w:val="24"/>
          <w:szCs w:val="24"/>
        </w:rPr>
        <w:t xml:space="preserve">’ </w:t>
      </w:r>
      <w:r w:rsidR="00324CE2" w:rsidRPr="00997397">
        <w:rPr>
          <w:rFonts w:ascii="Times New Roman" w:hAnsi="Times New Roman" w:cs="Times New Roman"/>
          <w:sz w:val="24"/>
          <w:szCs w:val="24"/>
        </w:rPr>
        <w:t xml:space="preserve">(as understood by each party) </w:t>
      </w:r>
      <w:r w:rsidR="00426EB4" w:rsidRPr="00997397">
        <w:rPr>
          <w:rFonts w:ascii="Times New Roman" w:hAnsi="Times New Roman" w:cs="Times New Roman"/>
          <w:sz w:val="24"/>
          <w:szCs w:val="24"/>
        </w:rPr>
        <w:t>regulatory measures</w:t>
      </w:r>
      <w:r w:rsidR="00A44249" w:rsidRPr="00997397">
        <w:rPr>
          <w:rFonts w:ascii="Times New Roman" w:hAnsi="Times New Roman" w:cs="Times New Roman"/>
          <w:sz w:val="24"/>
          <w:szCs w:val="24"/>
        </w:rPr>
        <w:t xml:space="preserve"> to be released </w:t>
      </w:r>
      <w:r w:rsidR="00BE71E4">
        <w:rPr>
          <w:rFonts w:ascii="Times New Roman" w:hAnsi="Times New Roman" w:cs="Times New Roman"/>
          <w:sz w:val="24"/>
          <w:szCs w:val="24"/>
        </w:rPr>
        <w:t xml:space="preserve">at </w:t>
      </w:r>
      <w:r w:rsidR="00A44249" w:rsidRPr="00997397">
        <w:rPr>
          <w:rFonts w:ascii="Times New Roman" w:hAnsi="Times New Roman" w:cs="Times New Roman"/>
          <w:sz w:val="24"/>
          <w:szCs w:val="24"/>
        </w:rPr>
        <w:t>least once a year</w:t>
      </w:r>
      <w:r w:rsidR="00570C47" w:rsidRPr="00997397">
        <w:rPr>
          <w:rFonts w:ascii="Times New Roman" w:hAnsi="Times New Roman" w:cs="Times New Roman"/>
          <w:sz w:val="24"/>
          <w:szCs w:val="24"/>
        </w:rPr>
        <w:t xml:space="preserve">, </w:t>
      </w:r>
      <w:r w:rsidR="00611973" w:rsidRPr="00997397">
        <w:rPr>
          <w:rFonts w:ascii="Times New Roman" w:hAnsi="Times New Roman" w:cs="Times New Roman"/>
          <w:sz w:val="24"/>
          <w:szCs w:val="24"/>
        </w:rPr>
        <w:t xml:space="preserve">and </w:t>
      </w:r>
      <w:r w:rsidR="00A65D12" w:rsidRPr="00997397">
        <w:rPr>
          <w:rFonts w:ascii="Times New Roman" w:hAnsi="Times New Roman" w:cs="Times New Roman"/>
          <w:sz w:val="24"/>
          <w:szCs w:val="24"/>
        </w:rPr>
        <w:t xml:space="preserve">for those measures </w:t>
      </w:r>
      <w:r w:rsidR="00A44249" w:rsidRPr="00997397">
        <w:rPr>
          <w:rFonts w:ascii="Times New Roman" w:hAnsi="Times New Roman" w:cs="Times New Roman"/>
          <w:sz w:val="24"/>
          <w:szCs w:val="24"/>
        </w:rPr>
        <w:t xml:space="preserve">to include </w:t>
      </w:r>
      <w:r w:rsidR="00570C47" w:rsidRPr="00997397">
        <w:rPr>
          <w:rFonts w:ascii="Times New Roman" w:hAnsi="Times New Roman" w:cs="Times New Roman"/>
          <w:sz w:val="24"/>
          <w:szCs w:val="24"/>
        </w:rPr>
        <w:t xml:space="preserve">public consultation </w:t>
      </w:r>
      <w:r w:rsidR="00DB1099" w:rsidRPr="00997397">
        <w:rPr>
          <w:rFonts w:ascii="Times New Roman" w:hAnsi="Times New Roman" w:cs="Times New Roman"/>
          <w:sz w:val="24"/>
          <w:szCs w:val="24"/>
        </w:rPr>
        <w:t xml:space="preserve">on drafts </w:t>
      </w:r>
      <w:r w:rsidR="00570C47" w:rsidRPr="00997397">
        <w:rPr>
          <w:rFonts w:ascii="Times New Roman" w:hAnsi="Times New Roman" w:cs="Times New Roman"/>
          <w:sz w:val="24"/>
          <w:szCs w:val="24"/>
        </w:rPr>
        <w:t>and impact assessments.</w:t>
      </w:r>
      <w:r w:rsidR="00B251B6">
        <w:rPr>
          <w:rStyle w:val="FootnoteReference"/>
          <w:rFonts w:ascii="Times New Roman" w:hAnsi="Times New Roman" w:cs="Times New Roman"/>
          <w:sz w:val="24"/>
          <w:szCs w:val="24"/>
        </w:rPr>
        <w:footnoteReference w:id="86"/>
      </w:r>
      <w:r w:rsidR="00426EB4" w:rsidRPr="00997397">
        <w:rPr>
          <w:rFonts w:ascii="Times New Roman" w:hAnsi="Times New Roman" w:cs="Times New Roman"/>
          <w:sz w:val="24"/>
          <w:szCs w:val="24"/>
        </w:rPr>
        <w:t xml:space="preserve"> </w:t>
      </w:r>
      <w:r w:rsidR="00324CE2">
        <w:rPr>
          <w:rFonts w:ascii="Times New Roman" w:hAnsi="Times New Roman" w:cs="Times New Roman"/>
          <w:sz w:val="24"/>
          <w:szCs w:val="24"/>
        </w:rPr>
        <w:t>A</w:t>
      </w:r>
      <w:r w:rsidR="00704A7E" w:rsidRPr="00997397">
        <w:rPr>
          <w:rFonts w:ascii="Times New Roman" w:hAnsi="Times New Roman" w:cs="Times New Roman"/>
          <w:sz w:val="24"/>
          <w:szCs w:val="24"/>
        </w:rPr>
        <w:t xml:space="preserve"> </w:t>
      </w:r>
      <w:r w:rsidR="00710D64" w:rsidRPr="00997397">
        <w:rPr>
          <w:rFonts w:ascii="Times New Roman" w:hAnsi="Times New Roman" w:cs="Times New Roman"/>
          <w:sz w:val="24"/>
          <w:szCs w:val="24"/>
        </w:rPr>
        <w:t>publicly available</w:t>
      </w:r>
      <w:r w:rsidR="00704A7E" w:rsidRPr="00997397">
        <w:rPr>
          <w:rFonts w:ascii="Times New Roman" w:hAnsi="Times New Roman" w:cs="Times New Roman"/>
          <w:sz w:val="24"/>
          <w:szCs w:val="24"/>
        </w:rPr>
        <w:t xml:space="preserve"> register of regulatory measures in force</w:t>
      </w:r>
      <w:r w:rsidR="00324CE2">
        <w:rPr>
          <w:rFonts w:ascii="Times New Roman" w:hAnsi="Times New Roman" w:cs="Times New Roman"/>
          <w:sz w:val="24"/>
          <w:szCs w:val="24"/>
        </w:rPr>
        <w:t xml:space="preserve"> is also required</w:t>
      </w:r>
      <w:r w:rsidR="00704A7E" w:rsidRPr="00997397">
        <w:rPr>
          <w:rFonts w:ascii="Times New Roman" w:hAnsi="Times New Roman" w:cs="Times New Roman"/>
          <w:sz w:val="24"/>
          <w:szCs w:val="24"/>
        </w:rPr>
        <w:t>.</w:t>
      </w:r>
      <w:r w:rsidR="00324CE2">
        <w:rPr>
          <w:rStyle w:val="FootnoteReference"/>
          <w:rFonts w:ascii="Times New Roman" w:hAnsi="Times New Roman" w:cs="Times New Roman"/>
          <w:sz w:val="24"/>
          <w:szCs w:val="24"/>
        </w:rPr>
        <w:footnoteReference w:id="87"/>
      </w:r>
    </w:p>
    <w:p w14:paraId="099D1C3F" w14:textId="77777777" w:rsidR="000B1FAE" w:rsidRPr="002631D6" w:rsidRDefault="000B1FAE" w:rsidP="00AC2BE1">
      <w:pPr>
        <w:spacing w:after="0" w:line="240" w:lineRule="auto"/>
        <w:rPr>
          <w:rFonts w:ascii="Times New Roman" w:eastAsia="Calibri" w:hAnsi="Times New Roman" w:cs="Times New Roman"/>
          <w:bCs/>
          <w:sz w:val="24"/>
          <w:szCs w:val="24"/>
        </w:rPr>
      </w:pPr>
    </w:p>
    <w:p w14:paraId="37282B57" w14:textId="1EC2AEE7" w:rsidR="00C70EEA" w:rsidRPr="00997397" w:rsidRDefault="00426EB4" w:rsidP="005E5C4A">
      <w:pPr>
        <w:spacing w:line="240" w:lineRule="auto"/>
        <w:rPr>
          <w:rFonts w:ascii="Times New Roman" w:hAnsi="Times New Roman" w:cs="Times New Roman"/>
          <w:sz w:val="24"/>
          <w:szCs w:val="24"/>
        </w:rPr>
      </w:pPr>
      <w:r w:rsidRPr="00997397">
        <w:rPr>
          <w:rFonts w:ascii="Times New Roman" w:hAnsi="Times New Roman" w:cs="Times New Roman"/>
          <w:sz w:val="24"/>
          <w:szCs w:val="24"/>
        </w:rPr>
        <w:t>More specifically, t</w:t>
      </w:r>
      <w:r w:rsidR="00FA20AD" w:rsidRPr="00997397">
        <w:rPr>
          <w:rFonts w:ascii="Times New Roman" w:hAnsi="Times New Roman" w:cs="Times New Roman"/>
          <w:sz w:val="24"/>
          <w:szCs w:val="24"/>
        </w:rPr>
        <w:t>here are provisions on exchange of information concerning customs legislation</w:t>
      </w:r>
      <w:r w:rsidR="00886427">
        <w:rPr>
          <w:rStyle w:val="FootnoteReference"/>
          <w:rFonts w:ascii="Times New Roman" w:hAnsi="Times New Roman" w:cs="Times New Roman"/>
          <w:sz w:val="24"/>
          <w:szCs w:val="24"/>
        </w:rPr>
        <w:footnoteReference w:id="88"/>
      </w:r>
      <w:r w:rsidR="00FA20AD" w:rsidRPr="00997397">
        <w:rPr>
          <w:rFonts w:ascii="Times New Roman" w:hAnsi="Times New Roman" w:cs="Times New Roman"/>
          <w:sz w:val="24"/>
          <w:szCs w:val="24"/>
        </w:rPr>
        <w:t xml:space="preserve"> and a requirement for legislation to be published through the internet</w:t>
      </w:r>
      <w:r w:rsidR="00EE1ADE">
        <w:rPr>
          <w:rFonts w:ascii="Times New Roman" w:hAnsi="Times New Roman" w:cs="Times New Roman"/>
          <w:sz w:val="24"/>
          <w:szCs w:val="24"/>
        </w:rPr>
        <w:t>.</w:t>
      </w:r>
      <w:r w:rsidR="005D3DEB">
        <w:rPr>
          <w:rStyle w:val="FootnoteReference"/>
          <w:rFonts w:ascii="Times New Roman" w:hAnsi="Times New Roman" w:cs="Times New Roman"/>
          <w:sz w:val="24"/>
          <w:szCs w:val="24"/>
        </w:rPr>
        <w:footnoteReference w:id="89"/>
      </w:r>
      <w:r w:rsidR="00FA20AD" w:rsidRPr="00997397">
        <w:rPr>
          <w:rFonts w:ascii="Times New Roman" w:hAnsi="Times New Roman" w:cs="Times New Roman"/>
          <w:sz w:val="24"/>
          <w:szCs w:val="24"/>
        </w:rPr>
        <w:t xml:space="preserve"> </w:t>
      </w:r>
      <w:r w:rsidR="00886427">
        <w:rPr>
          <w:rFonts w:ascii="Times New Roman" w:hAnsi="Times New Roman" w:cs="Times New Roman"/>
          <w:sz w:val="24"/>
          <w:szCs w:val="24"/>
        </w:rPr>
        <w:t>When</w:t>
      </w:r>
      <w:r w:rsidR="00FA20AD" w:rsidRPr="00997397">
        <w:rPr>
          <w:rFonts w:ascii="Times New Roman" w:hAnsi="Times New Roman" w:cs="Times New Roman"/>
          <w:sz w:val="24"/>
          <w:szCs w:val="24"/>
        </w:rPr>
        <w:t xml:space="preserve"> developing a major technical regulation which may have a significant effect on trade, there must be a public consultation allowing ‘persons of the other Party’ to give views on the same terms as those of its own nationals.</w:t>
      </w:r>
      <w:r w:rsidR="00886427">
        <w:rPr>
          <w:rStyle w:val="FootnoteReference"/>
          <w:rFonts w:ascii="Times New Roman" w:hAnsi="Times New Roman" w:cs="Times New Roman"/>
          <w:sz w:val="24"/>
          <w:szCs w:val="24"/>
        </w:rPr>
        <w:footnoteReference w:id="90"/>
      </w:r>
      <w:r w:rsidR="00A62E77" w:rsidRPr="00997397">
        <w:rPr>
          <w:rFonts w:ascii="Times New Roman" w:hAnsi="Times New Roman" w:cs="Times New Roman"/>
          <w:sz w:val="24"/>
          <w:szCs w:val="24"/>
        </w:rPr>
        <w:t xml:space="preserve"> In aviation safety</w:t>
      </w:r>
      <w:r w:rsidR="00FF72EF">
        <w:rPr>
          <w:rStyle w:val="FootnoteReference"/>
          <w:rFonts w:ascii="Times New Roman" w:hAnsi="Times New Roman" w:cs="Times New Roman"/>
          <w:sz w:val="24"/>
          <w:szCs w:val="24"/>
        </w:rPr>
        <w:footnoteReference w:id="91"/>
      </w:r>
      <w:r w:rsidR="00A62E77" w:rsidRPr="00997397">
        <w:rPr>
          <w:rFonts w:ascii="Times New Roman" w:hAnsi="Times New Roman" w:cs="Times New Roman"/>
          <w:sz w:val="24"/>
          <w:szCs w:val="24"/>
        </w:rPr>
        <w:t xml:space="preserve"> </w:t>
      </w:r>
      <w:r w:rsidR="00FF72EF" w:rsidRPr="00997397">
        <w:rPr>
          <w:rFonts w:ascii="Times New Roman" w:hAnsi="Times New Roman" w:cs="Times New Roman"/>
          <w:sz w:val="24"/>
          <w:szCs w:val="24"/>
        </w:rPr>
        <w:t>and in medicinal products</w:t>
      </w:r>
      <w:r w:rsidR="00FF72EF">
        <w:rPr>
          <w:rStyle w:val="FootnoteReference"/>
          <w:rFonts w:ascii="Times New Roman" w:hAnsi="Times New Roman" w:cs="Times New Roman"/>
          <w:sz w:val="24"/>
          <w:szCs w:val="24"/>
        </w:rPr>
        <w:footnoteReference w:id="92"/>
      </w:r>
      <w:r w:rsidR="00FF72EF" w:rsidRPr="00997397">
        <w:rPr>
          <w:rFonts w:ascii="Times New Roman" w:hAnsi="Times New Roman" w:cs="Times New Roman"/>
          <w:sz w:val="24"/>
          <w:szCs w:val="24"/>
        </w:rPr>
        <w:t xml:space="preserve"> </w:t>
      </w:r>
      <w:r w:rsidR="00A719E2" w:rsidRPr="00997397">
        <w:rPr>
          <w:rFonts w:ascii="Times New Roman" w:hAnsi="Times New Roman" w:cs="Times New Roman"/>
          <w:sz w:val="24"/>
          <w:szCs w:val="24"/>
        </w:rPr>
        <w:t>there must be an opportunity to comment on significant changes to laws and regulations</w:t>
      </w:r>
      <w:r w:rsidR="00FF72EF">
        <w:rPr>
          <w:rFonts w:ascii="Times New Roman" w:hAnsi="Times New Roman" w:cs="Times New Roman"/>
          <w:sz w:val="24"/>
          <w:szCs w:val="24"/>
        </w:rPr>
        <w:t>.</w:t>
      </w:r>
    </w:p>
    <w:p w14:paraId="757F6954" w14:textId="135D7390" w:rsidR="00512556" w:rsidRPr="00997397" w:rsidRDefault="002D641B" w:rsidP="001F7215">
      <w:pPr>
        <w:spacing w:line="240" w:lineRule="auto"/>
        <w:rPr>
          <w:rFonts w:ascii="Times New Roman" w:hAnsi="Times New Roman" w:cs="Times New Roman"/>
          <w:sz w:val="24"/>
          <w:szCs w:val="24"/>
        </w:rPr>
      </w:pPr>
      <w:r>
        <w:rPr>
          <w:rFonts w:ascii="Times New Roman" w:hAnsi="Times New Roman" w:cs="Times New Roman"/>
          <w:sz w:val="24"/>
          <w:szCs w:val="24"/>
        </w:rPr>
        <w:t xml:space="preserve">Article </w:t>
      </w:r>
      <w:r w:rsidR="00D81819" w:rsidRPr="00997397">
        <w:rPr>
          <w:rFonts w:ascii="Times New Roman" w:hAnsi="Times New Roman" w:cs="Times New Roman"/>
          <w:sz w:val="24"/>
          <w:szCs w:val="24"/>
        </w:rPr>
        <w:t>GRP</w:t>
      </w:r>
      <w:r w:rsidR="008109A6" w:rsidRPr="00997397">
        <w:rPr>
          <w:rFonts w:ascii="Times New Roman" w:hAnsi="Times New Roman" w:cs="Times New Roman"/>
          <w:sz w:val="24"/>
          <w:szCs w:val="24"/>
        </w:rPr>
        <w:t>.1(</w:t>
      </w:r>
      <w:r w:rsidR="00D81819" w:rsidRPr="00997397">
        <w:rPr>
          <w:rFonts w:ascii="Times New Roman" w:hAnsi="Times New Roman" w:cs="Times New Roman"/>
          <w:sz w:val="24"/>
          <w:szCs w:val="24"/>
        </w:rPr>
        <w:t>3</w:t>
      </w:r>
      <w:r w:rsidR="008109A6" w:rsidRPr="00997397">
        <w:rPr>
          <w:rFonts w:ascii="Times New Roman" w:hAnsi="Times New Roman" w:cs="Times New Roman"/>
          <w:sz w:val="24"/>
          <w:szCs w:val="24"/>
        </w:rPr>
        <w:t xml:space="preserve">) </w:t>
      </w:r>
      <w:r w:rsidR="00F30895">
        <w:rPr>
          <w:rFonts w:ascii="Times New Roman" w:hAnsi="Times New Roman" w:cs="Times New Roman"/>
          <w:sz w:val="24"/>
          <w:szCs w:val="24"/>
        </w:rPr>
        <w:t xml:space="preserve">on good regulatory practices </w:t>
      </w:r>
      <w:r w:rsidR="008109A6" w:rsidRPr="00997397">
        <w:rPr>
          <w:rFonts w:ascii="Times New Roman" w:hAnsi="Times New Roman" w:cs="Times New Roman"/>
          <w:sz w:val="24"/>
          <w:szCs w:val="24"/>
        </w:rPr>
        <w:t>states that “Nothing in this Title shall affect the right of a Party to define or regulate its own levels of protection in pursuit or furtherance of its public policy objectives</w:t>
      </w:r>
      <w:r w:rsidR="00137B9E" w:rsidRPr="00997397">
        <w:rPr>
          <w:rFonts w:ascii="Times New Roman" w:hAnsi="Times New Roman" w:cs="Times New Roman"/>
          <w:sz w:val="24"/>
          <w:szCs w:val="24"/>
        </w:rPr>
        <w:t xml:space="preserve">” </w:t>
      </w:r>
      <w:r w:rsidR="008109A6" w:rsidRPr="00997397">
        <w:rPr>
          <w:rFonts w:ascii="Times New Roman" w:hAnsi="Times New Roman" w:cs="Times New Roman"/>
          <w:sz w:val="24"/>
          <w:szCs w:val="24"/>
        </w:rPr>
        <w:t>in</w:t>
      </w:r>
      <w:r w:rsidR="007910A6" w:rsidRPr="00997397">
        <w:rPr>
          <w:rFonts w:ascii="Times New Roman" w:hAnsi="Times New Roman" w:cs="Times New Roman"/>
          <w:sz w:val="24"/>
          <w:szCs w:val="24"/>
        </w:rPr>
        <w:t xml:space="preserve"> a non-exhaustive list of policy areas</w:t>
      </w:r>
      <w:r w:rsidR="00383CFB" w:rsidRPr="00997397">
        <w:rPr>
          <w:rFonts w:ascii="Times New Roman" w:hAnsi="Times New Roman" w:cs="Times New Roman"/>
          <w:sz w:val="24"/>
          <w:szCs w:val="24"/>
        </w:rPr>
        <w:t xml:space="preserve">. </w:t>
      </w:r>
      <w:r w:rsidR="00435018" w:rsidRPr="00997397">
        <w:rPr>
          <w:rFonts w:ascii="Times New Roman" w:hAnsi="Times New Roman" w:cs="Times New Roman"/>
          <w:sz w:val="24"/>
          <w:szCs w:val="24"/>
        </w:rPr>
        <w:t>While each side has regulatory autonomy,</w:t>
      </w:r>
      <w:r w:rsidR="00866DE6" w:rsidRPr="00997397">
        <w:rPr>
          <w:rFonts w:ascii="Times New Roman" w:hAnsi="Times New Roman" w:cs="Times New Roman"/>
          <w:sz w:val="24"/>
          <w:szCs w:val="24"/>
        </w:rPr>
        <w:t xml:space="preserve"> </w:t>
      </w:r>
      <w:r w:rsidR="00701CA7" w:rsidRPr="00997397">
        <w:rPr>
          <w:rFonts w:ascii="Times New Roman" w:hAnsi="Times New Roman" w:cs="Times New Roman"/>
          <w:sz w:val="24"/>
          <w:szCs w:val="24"/>
        </w:rPr>
        <w:t xml:space="preserve">some of </w:t>
      </w:r>
      <w:r w:rsidR="00866DE6" w:rsidRPr="00997397">
        <w:rPr>
          <w:rFonts w:ascii="Times New Roman" w:hAnsi="Times New Roman" w:cs="Times New Roman"/>
          <w:sz w:val="24"/>
          <w:szCs w:val="24"/>
        </w:rPr>
        <w:t>these areas</w:t>
      </w:r>
      <w:r>
        <w:rPr>
          <w:rFonts w:ascii="Times New Roman" w:hAnsi="Times New Roman" w:cs="Times New Roman"/>
          <w:sz w:val="24"/>
          <w:szCs w:val="24"/>
        </w:rPr>
        <w:t>,</w:t>
      </w:r>
      <w:r w:rsidR="00866DE6" w:rsidRPr="00997397">
        <w:rPr>
          <w:rFonts w:ascii="Times New Roman" w:hAnsi="Times New Roman" w:cs="Times New Roman"/>
          <w:sz w:val="24"/>
          <w:szCs w:val="24"/>
        </w:rPr>
        <w:t xml:space="preserve"> </w:t>
      </w:r>
      <w:r w:rsidRPr="00997397">
        <w:rPr>
          <w:rFonts w:ascii="Times New Roman" w:hAnsi="Times New Roman" w:cs="Times New Roman"/>
          <w:sz w:val="24"/>
          <w:szCs w:val="24"/>
        </w:rPr>
        <w:t>which include labour conditions, and the environment and climate change</w:t>
      </w:r>
      <w:r>
        <w:rPr>
          <w:rFonts w:ascii="Times New Roman" w:hAnsi="Times New Roman" w:cs="Times New Roman"/>
          <w:sz w:val="24"/>
          <w:szCs w:val="24"/>
        </w:rPr>
        <w:t>,</w:t>
      </w:r>
      <w:r w:rsidRPr="00997397">
        <w:rPr>
          <w:rFonts w:ascii="Times New Roman" w:hAnsi="Times New Roman" w:cs="Times New Roman"/>
          <w:sz w:val="24"/>
          <w:szCs w:val="24"/>
        </w:rPr>
        <w:t xml:space="preserve"> </w:t>
      </w:r>
      <w:r w:rsidR="00866DE6" w:rsidRPr="00997397">
        <w:rPr>
          <w:rFonts w:ascii="Times New Roman" w:hAnsi="Times New Roman" w:cs="Times New Roman"/>
          <w:sz w:val="24"/>
          <w:szCs w:val="24"/>
        </w:rPr>
        <w:t xml:space="preserve">clearly link to the level playing field provisions and </w:t>
      </w:r>
      <w:r w:rsidR="00435018" w:rsidRPr="00997397">
        <w:rPr>
          <w:rFonts w:ascii="Times New Roman" w:hAnsi="Times New Roman" w:cs="Times New Roman"/>
          <w:sz w:val="24"/>
          <w:szCs w:val="24"/>
        </w:rPr>
        <w:t xml:space="preserve">consequences </w:t>
      </w:r>
      <w:r w:rsidR="00383CFB" w:rsidRPr="00997397">
        <w:rPr>
          <w:rFonts w:ascii="Times New Roman" w:hAnsi="Times New Roman" w:cs="Times New Roman"/>
          <w:sz w:val="24"/>
          <w:szCs w:val="24"/>
        </w:rPr>
        <w:t xml:space="preserve">for </w:t>
      </w:r>
      <w:r w:rsidR="00435018" w:rsidRPr="00997397">
        <w:rPr>
          <w:rFonts w:ascii="Times New Roman" w:hAnsi="Times New Roman" w:cs="Times New Roman"/>
          <w:sz w:val="24"/>
          <w:szCs w:val="24"/>
        </w:rPr>
        <w:t>differentiation.</w:t>
      </w:r>
      <w:r w:rsidR="00A71DAB" w:rsidRPr="00997397">
        <w:rPr>
          <w:rFonts w:ascii="Times New Roman" w:hAnsi="Times New Roman" w:cs="Times New Roman"/>
          <w:sz w:val="24"/>
          <w:szCs w:val="24"/>
        </w:rPr>
        <w:t xml:space="preserve"> </w:t>
      </w:r>
    </w:p>
    <w:p w14:paraId="72F3016D" w14:textId="1B9E5B08" w:rsidR="00B4196A" w:rsidRDefault="0061683E" w:rsidP="00367FE9">
      <w:pPr>
        <w:spacing w:line="240" w:lineRule="auto"/>
        <w:rPr>
          <w:rFonts w:ascii="Times New Roman" w:hAnsi="Times New Roman" w:cs="Times New Roman"/>
          <w:sz w:val="24"/>
          <w:szCs w:val="24"/>
        </w:rPr>
      </w:pPr>
      <w:r>
        <w:rPr>
          <w:rFonts w:ascii="Times New Roman" w:hAnsi="Times New Roman" w:cs="Times New Roman"/>
          <w:sz w:val="24"/>
          <w:szCs w:val="24"/>
        </w:rPr>
        <w:t>In terms of bilateral links, t</w:t>
      </w:r>
      <w:r w:rsidR="00B4196A" w:rsidRPr="00997397">
        <w:rPr>
          <w:rFonts w:ascii="Times New Roman" w:hAnsi="Times New Roman" w:cs="Times New Roman"/>
          <w:sz w:val="24"/>
          <w:szCs w:val="24"/>
        </w:rPr>
        <w:t>he deepest cooperatio</w:t>
      </w:r>
      <w:r w:rsidR="005D2275" w:rsidRPr="00997397">
        <w:rPr>
          <w:rFonts w:ascii="Times New Roman" w:hAnsi="Times New Roman" w:cs="Times New Roman"/>
          <w:sz w:val="24"/>
          <w:szCs w:val="24"/>
        </w:rPr>
        <w:t xml:space="preserve">n between agencies set out in the TCA is </w:t>
      </w:r>
      <w:r w:rsidR="00407A70" w:rsidRPr="00997397">
        <w:rPr>
          <w:rFonts w:ascii="Times New Roman" w:hAnsi="Times New Roman" w:cs="Times New Roman"/>
          <w:sz w:val="24"/>
          <w:szCs w:val="24"/>
        </w:rPr>
        <w:t>in</w:t>
      </w:r>
      <w:r w:rsidR="005D2275" w:rsidRPr="00997397">
        <w:rPr>
          <w:rFonts w:ascii="Times New Roman" w:hAnsi="Times New Roman" w:cs="Times New Roman"/>
          <w:sz w:val="24"/>
          <w:szCs w:val="24"/>
        </w:rPr>
        <w:t xml:space="preserve"> energy and aviation. </w:t>
      </w:r>
      <w:r w:rsidR="00407A70" w:rsidRPr="00997397">
        <w:rPr>
          <w:rFonts w:ascii="Times New Roman" w:hAnsi="Times New Roman" w:cs="Times New Roman"/>
          <w:sz w:val="24"/>
          <w:szCs w:val="24"/>
        </w:rPr>
        <w:t xml:space="preserve">In energy, </w:t>
      </w:r>
      <w:r w:rsidR="00B4196A" w:rsidRPr="00997397">
        <w:rPr>
          <w:rFonts w:ascii="Times New Roman" w:hAnsi="Times New Roman" w:cs="Times New Roman"/>
          <w:sz w:val="24"/>
          <w:szCs w:val="24"/>
        </w:rPr>
        <w:t xml:space="preserve">transmission system operators </w:t>
      </w:r>
      <w:r w:rsidR="003B5B2B" w:rsidRPr="00997397">
        <w:rPr>
          <w:rFonts w:ascii="Times New Roman" w:hAnsi="Times New Roman" w:cs="Times New Roman"/>
          <w:sz w:val="24"/>
          <w:szCs w:val="24"/>
        </w:rPr>
        <w:t xml:space="preserve">are required to </w:t>
      </w:r>
      <w:r w:rsidR="00B4196A" w:rsidRPr="00997397">
        <w:rPr>
          <w:rFonts w:ascii="Times New Roman" w:hAnsi="Times New Roman" w:cs="Times New Roman"/>
          <w:sz w:val="24"/>
          <w:szCs w:val="24"/>
        </w:rPr>
        <w:t xml:space="preserve">request the opinions of </w:t>
      </w:r>
      <w:r>
        <w:rPr>
          <w:rFonts w:ascii="Times New Roman" w:hAnsi="Times New Roman" w:cs="Times New Roman"/>
          <w:sz w:val="24"/>
          <w:szCs w:val="24"/>
        </w:rPr>
        <w:t>ACER</w:t>
      </w:r>
      <w:r w:rsidR="00B4196A" w:rsidRPr="00997397">
        <w:rPr>
          <w:rFonts w:ascii="Times New Roman" w:hAnsi="Times New Roman" w:cs="Times New Roman"/>
          <w:sz w:val="24"/>
          <w:szCs w:val="24"/>
        </w:rPr>
        <w:t xml:space="preserve"> and </w:t>
      </w:r>
      <w:r w:rsidR="009B5FF3" w:rsidRPr="00997397">
        <w:rPr>
          <w:rFonts w:ascii="Times New Roman" w:hAnsi="Times New Roman" w:cs="Times New Roman"/>
          <w:sz w:val="24"/>
          <w:szCs w:val="24"/>
        </w:rPr>
        <w:t xml:space="preserve">the designated </w:t>
      </w:r>
      <w:r w:rsidR="0050384C" w:rsidRPr="00997397">
        <w:rPr>
          <w:rFonts w:ascii="Times New Roman" w:hAnsi="Times New Roman" w:cs="Times New Roman"/>
          <w:sz w:val="24"/>
          <w:szCs w:val="24"/>
        </w:rPr>
        <w:t>UK r</w:t>
      </w:r>
      <w:r w:rsidR="00B4196A" w:rsidRPr="00997397">
        <w:rPr>
          <w:rFonts w:ascii="Times New Roman" w:hAnsi="Times New Roman" w:cs="Times New Roman"/>
          <w:sz w:val="24"/>
          <w:szCs w:val="24"/>
        </w:rPr>
        <w:t>egulatory authority</w:t>
      </w:r>
      <w:r w:rsidR="009B5FF3" w:rsidRPr="00997397">
        <w:rPr>
          <w:rFonts w:ascii="Times New Roman" w:hAnsi="Times New Roman" w:cs="Times New Roman"/>
          <w:sz w:val="24"/>
          <w:szCs w:val="24"/>
        </w:rPr>
        <w:t>.</w:t>
      </w:r>
      <w:r w:rsidR="009B5FF3" w:rsidRPr="00997397">
        <w:rPr>
          <w:rStyle w:val="FootnoteReference"/>
          <w:rFonts w:ascii="Times New Roman" w:hAnsi="Times New Roman" w:cs="Times New Roman"/>
          <w:sz w:val="24"/>
          <w:szCs w:val="24"/>
        </w:rPr>
        <w:footnoteReference w:id="93"/>
      </w:r>
      <w:r>
        <w:rPr>
          <w:rFonts w:ascii="Times New Roman" w:hAnsi="Times New Roman" w:cs="Times New Roman"/>
          <w:sz w:val="24"/>
          <w:szCs w:val="24"/>
        </w:rPr>
        <w:t xml:space="preserve"> </w:t>
      </w:r>
      <w:r w:rsidR="0005671E" w:rsidRPr="00997397">
        <w:rPr>
          <w:rFonts w:ascii="Times New Roman" w:hAnsi="Times New Roman" w:cs="Times New Roman"/>
          <w:sz w:val="24"/>
          <w:szCs w:val="24"/>
        </w:rPr>
        <w:t>Further, those authorities should “</w:t>
      </w:r>
      <w:r w:rsidR="00B4196A" w:rsidRPr="00997397">
        <w:rPr>
          <w:rFonts w:ascii="Times New Roman" w:hAnsi="Times New Roman" w:cs="Times New Roman"/>
          <w:sz w:val="24"/>
          <w:szCs w:val="24"/>
        </w:rPr>
        <w:t>develop contacts and enter into administrative arrangements as soon as possible</w:t>
      </w:r>
      <w:r w:rsidR="0005671E" w:rsidRPr="00997397">
        <w:rPr>
          <w:rFonts w:ascii="Times New Roman" w:hAnsi="Times New Roman" w:cs="Times New Roman"/>
          <w:sz w:val="24"/>
          <w:szCs w:val="24"/>
        </w:rPr>
        <w:t>”</w:t>
      </w:r>
      <w:r w:rsidR="001D671A" w:rsidRPr="00997397">
        <w:rPr>
          <w:rFonts w:ascii="Times New Roman" w:hAnsi="Times New Roman" w:cs="Times New Roman"/>
          <w:sz w:val="24"/>
          <w:szCs w:val="24"/>
        </w:rPr>
        <w:t>.</w:t>
      </w:r>
      <w:r w:rsidR="001D671A" w:rsidRPr="00997397">
        <w:rPr>
          <w:rStyle w:val="FootnoteReference"/>
          <w:rFonts w:ascii="Times New Roman" w:hAnsi="Times New Roman" w:cs="Times New Roman"/>
          <w:sz w:val="24"/>
          <w:szCs w:val="24"/>
        </w:rPr>
        <w:footnoteReference w:id="94"/>
      </w:r>
      <w:r w:rsidR="00B4196A" w:rsidRPr="00997397">
        <w:rPr>
          <w:rFonts w:ascii="Times New Roman" w:hAnsi="Times New Roman" w:cs="Times New Roman"/>
          <w:sz w:val="24"/>
          <w:szCs w:val="24"/>
        </w:rPr>
        <w:t xml:space="preserve"> </w:t>
      </w:r>
      <w:r w:rsidR="00367FE9" w:rsidRPr="00367FE9">
        <w:rPr>
          <w:rFonts w:ascii="Times New Roman" w:eastAsia="Calibri" w:hAnsi="Times New Roman" w:cs="Times New Roman"/>
          <w:bCs/>
          <w:sz w:val="24"/>
          <w:szCs w:val="24"/>
        </w:rPr>
        <w:t>Some provisions do extend to exchange of information on market monitoring and enforcement</w:t>
      </w:r>
      <w:r w:rsidR="00367FE9">
        <w:rPr>
          <w:rFonts w:ascii="Times New Roman" w:eastAsia="Calibri" w:hAnsi="Times New Roman" w:cs="Times New Roman"/>
          <w:bCs/>
          <w:sz w:val="24"/>
          <w:szCs w:val="24"/>
        </w:rPr>
        <w:t>.</w:t>
      </w:r>
      <w:r w:rsidR="00367FE9" w:rsidRPr="00367FE9">
        <w:rPr>
          <w:rStyle w:val="FootnoteReference"/>
          <w:rFonts w:ascii="Times New Roman" w:eastAsia="Calibri" w:hAnsi="Times New Roman" w:cs="Times New Roman"/>
          <w:bCs/>
          <w:sz w:val="24"/>
          <w:szCs w:val="24"/>
        </w:rPr>
        <w:footnoteReference w:id="95"/>
      </w:r>
      <w:r w:rsidR="00367FE9" w:rsidRPr="00367FE9">
        <w:rPr>
          <w:rFonts w:ascii="Times New Roman" w:eastAsia="Calibri" w:hAnsi="Times New Roman" w:cs="Times New Roman"/>
          <w:bCs/>
          <w:sz w:val="24"/>
          <w:szCs w:val="24"/>
        </w:rPr>
        <w:t xml:space="preserve"> </w:t>
      </w:r>
      <w:r w:rsidR="00AF5007" w:rsidRPr="00367FE9">
        <w:rPr>
          <w:rFonts w:ascii="Times New Roman" w:hAnsi="Times New Roman" w:cs="Times New Roman"/>
          <w:sz w:val="24"/>
          <w:szCs w:val="24"/>
        </w:rPr>
        <w:t>In aviation</w:t>
      </w:r>
      <w:r w:rsidR="00443954" w:rsidRPr="00367FE9">
        <w:rPr>
          <w:rFonts w:ascii="Times New Roman" w:hAnsi="Times New Roman" w:cs="Times New Roman"/>
          <w:sz w:val="24"/>
          <w:szCs w:val="24"/>
        </w:rPr>
        <w:t>, i</w:t>
      </w:r>
      <w:r w:rsidR="00AF5007" w:rsidRPr="00367FE9">
        <w:rPr>
          <w:rFonts w:ascii="Times New Roman" w:hAnsi="Times New Roman" w:cs="Times New Roman"/>
          <w:sz w:val="24"/>
          <w:szCs w:val="24"/>
        </w:rPr>
        <w:t>n specific</w:t>
      </w:r>
      <w:r w:rsidR="00AF5007" w:rsidRPr="00997397">
        <w:rPr>
          <w:rFonts w:ascii="Times New Roman" w:hAnsi="Times New Roman" w:cs="Times New Roman"/>
          <w:sz w:val="24"/>
          <w:szCs w:val="24"/>
        </w:rPr>
        <w:t xml:space="preserve"> investigations and oversight in aviation safety, one party’s authority may act as an observer in the other</w:t>
      </w:r>
      <w:r w:rsidR="00443954" w:rsidRPr="00997397">
        <w:rPr>
          <w:rFonts w:ascii="Times New Roman" w:hAnsi="Times New Roman" w:cs="Times New Roman"/>
          <w:sz w:val="24"/>
          <w:szCs w:val="24"/>
        </w:rPr>
        <w:t>’s</w:t>
      </w:r>
      <w:r w:rsidR="00E10CDD" w:rsidRPr="00997397">
        <w:rPr>
          <w:rFonts w:ascii="Times New Roman" w:hAnsi="Times New Roman" w:cs="Times New Roman"/>
          <w:sz w:val="24"/>
          <w:szCs w:val="24"/>
        </w:rPr>
        <w:t xml:space="preserve"> (</w:t>
      </w:r>
      <w:r w:rsidR="00FE0310">
        <w:rPr>
          <w:rFonts w:ascii="Times New Roman" w:hAnsi="Times New Roman" w:cs="Times New Roman"/>
          <w:sz w:val="24"/>
          <w:szCs w:val="24"/>
        </w:rPr>
        <w:t xml:space="preserve">again, </w:t>
      </w:r>
      <w:r w:rsidR="00E10CDD" w:rsidRPr="00997397">
        <w:rPr>
          <w:rFonts w:ascii="Times New Roman" w:hAnsi="Times New Roman" w:cs="Times New Roman"/>
          <w:sz w:val="24"/>
          <w:szCs w:val="24"/>
        </w:rPr>
        <w:t>without amounting to “systematic participation”)</w:t>
      </w:r>
      <w:r w:rsidR="00443954" w:rsidRPr="00997397">
        <w:rPr>
          <w:rFonts w:ascii="Times New Roman" w:hAnsi="Times New Roman" w:cs="Times New Roman"/>
          <w:sz w:val="24"/>
          <w:szCs w:val="24"/>
        </w:rPr>
        <w:t>,</w:t>
      </w:r>
      <w:r w:rsidR="00AF5007" w:rsidRPr="00997397">
        <w:rPr>
          <w:rFonts w:ascii="Times New Roman" w:hAnsi="Times New Roman" w:cs="Times New Roman"/>
          <w:sz w:val="24"/>
          <w:szCs w:val="24"/>
        </w:rPr>
        <w:t xml:space="preserve"> exchange information and provide assistance</w:t>
      </w:r>
      <w:r w:rsidR="00E10CDD" w:rsidRPr="00997397">
        <w:rPr>
          <w:rFonts w:ascii="Times New Roman" w:hAnsi="Times New Roman" w:cs="Times New Roman"/>
          <w:sz w:val="24"/>
          <w:szCs w:val="24"/>
        </w:rPr>
        <w:t>.</w:t>
      </w:r>
      <w:r w:rsidR="00443954" w:rsidRPr="00997397">
        <w:rPr>
          <w:rStyle w:val="FootnoteReference"/>
          <w:rFonts w:ascii="Times New Roman" w:hAnsi="Times New Roman" w:cs="Times New Roman"/>
          <w:sz w:val="24"/>
          <w:szCs w:val="24"/>
        </w:rPr>
        <w:footnoteReference w:id="96"/>
      </w:r>
      <w:r w:rsidR="00AF5007" w:rsidRPr="00997397">
        <w:rPr>
          <w:rFonts w:ascii="Times New Roman" w:hAnsi="Times New Roman" w:cs="Times New Roman"/>
          <w:sz w:val="24"/>
          <w:szCs w:val="24"/>
        </w:rPr>
        <w:t xml:space="preserve"> </w:t>
      </w:r>
    </w:p>
    <w:p w14:paraId="00657906" w14:textId="0B3962E2" w:rsidR="0005597C" w:rsidRPr="00997397" w:rsidRDefault="0005597C" w:rsidP="0005597C">
      <w:pPr>
        <w:rPr>
          <w:rFonts w:ascii="Times New Roman" w:hAnsi="Times New Roman" w:cs="Times New Roman"/>
          <w:sz w:val="24"/>
          <w:szCs w:val="24"/>
        </w:rPr>
      </w:pPr>
      <w:r w:rsidRPr="00997397">
        <w:rPr>
          <w:rFonts w:ascii="Times New Roman" w:hAnsi="Times New Roman" w:cs="Times New Roman"/>
          <w:sz w:val="24"/>
          <w:szCs w:val="24"/>
        </w:rPr>
        <w:t>Regarding medicinal products, the TCA provides for the recognition of results of inspections carried out by each side’s authorities,</w:t>
      </w:r>
      <w:r w:rsidRPr="00997397">
        <w:rPr>
          <w:rStyle w:val="FootnoteReference"/>
          <w:rFonts w:ascii="Times New Roman" w:hAnsi="Times New Roman" w:cs="Times New Roman"/>
          <w:sz w:val="24"/>
          <w:szCs w:val="24"/>
        </w:rPr>
        <w:footnoteReference w:id="97"/>
      </w:r>
      <w:r w:rsidRPr="00997397">
        <w:rPr>
          <w:rFonts w:ascii="Times New Roman" w:hAnsi="Times New Roman" w:cs="Times New Roman"/>
          <w:sz w:val="24"/>
          <w:szCs w:val="24"/>
        </w:rPr>
        <w:t xml:space="preserve"> but with rights to suspend that recognition, to be discussed in the Working Group on Medicinal Products.</w:t>
      </w:r>
      <w:r w:rsidRPr="00997397">
        <w:rPr>
          <w:rStyle w:val="FootnoteReference"/>
          <w:rFonts w:ascii="Times New Roman" w:hAnsi="Times New Roman" w:cs="Times New Roman"/>
          <w:sz w:val="24"/>
          <w:szCs w:val="24"/>
        </w:rPr>
        <w:footnoteReference w:id="98"/>
      </w:r>
      <w:r w:rsidRPr="00997397">
        <w:rPr>
          <w:rFonts w:ascii="Times New Roman" w:hAnsi="Times New Roman" w:cs="Times New Roman"/>
          <w:sz w:val="24"/>
          <w:szCs w:val="24"/>
        </w:rPr>
        <w:t xml:space="preserve"> Otherwise they shall ‘endeavour’ to consult each other and cooperate in relevant international bodies.</w:t>
      </w:r>
      <w:r w:rsidRPr="00997397">
        <w:rPr>
          <w:rStyle w:val="FootnoteReference"/>
          <w:rFonts w:ascii="Times New Roman" w:hAnsi="Times New Roman" w:cs="Times New Roman"/>
          <w:sz w:val="24"/>
          <w:szCs w:val="24"/>
        </w:rPr>
        <w:footnoteReference w:id="99"/>
      </w:r>
      <w:r w:rsidRPr="00997397">
        <w:rPr>
          <w:rFonts w:ascii="Times New Roman" w:hAnsi="Times New Roman" w:cs="Times New Roman"/>
          <w:sz w:val="24"/>
          <w:szCs w:val="24"/>
        </w:rPr>
        <w:t xml:space="preserve"> This is a far cry from the level of involvement in the </w:t>
      </w:r>
      <w:r w:rsidR="00F5712A">
        <w:rPr>
          <w:rFonts w:ascii="Times New Roman" w:hAnsi="Times New Roman" w:cs="Times New Roman"/>
          <w:sz w:val="24"/>
          <w:szCs w:val="24"/>
        </w:rPr>
        <w:t>EMA</w:t>
      </w:r>
      <w:r w:rsidRPr="00997397">
        <w:rPr>
          <w:rFonts w:ascii="Times New Roman" w:hAnsi="Times New Roman" w:cs="Times New Roman"/>
          <w:sz w:val="24"/>
          <w:szCs w:val="24"/>
        </w:rPr>
        <w:t xml:space="preserve"> and </w:t>
      </w:r>
      <w:r w:rsidR="00F5712A">
        <w:rPr>
          <w:rFonts w:ascii="Times New Roman" w:hAnsi="Times New Roman" w:cs="Times New Roman"/>
          <w:sz w:val="24"/>
          <w:szCs w:val="24"/>
        </w:rPr>
        <w:t xml:space="preserve">UK </w:t>
      </w:r>
      <w:r w:rsidR="00C96F92" w:rsidRPr="00C96F92">
        <w:rPr>
          <w:rFonts w:ascii="Times New Roman" w:hAnsi="Times New Roman" w:cs="Times New Roman"/>
          <w:sz w:val="24"/>
          <w:szCs w:val="24"/>
        </w:rPr>
        <w:t>Medicines and Healthcare products Regulatory Agency</w:t>
      </w:r>
      <w:r w:rsidRPr="00997397">
        <w:rPr>
          <w:rFonts w:ascii="Times New Roman" w:hAnsi="Times New Roman" w:cs="Times New Roman"/>
          <w:sz w:val="24"/>
          <w:szCs w:val="24"/>
        </w:rPr>
        <w:t>.</w:t>
      </w:r>
    </w:p>
    <w:p w14:paraId="25170D49" w14:textId="3CD4FC9F" w:rsidR="0005597C" w:rsidRPr="00997397" w:rsidRDefault="00B975C6" w:rsidP="002F5D06">
      <w:pPr>
        <w:rPr>
          <w:rFonts w:ascii="Times New Roman" w:hAnsi="Times New Roman" w:cs="Times New Roman"/>
          <w:sz w:val="24"/>
          <w:szCs w:val="24"/>
        </w:rPr>
      </w:pPr>
      <w:r w:rsidRPr="00997397">
        <w:rPr>
          <w:rFonts w:ascii="Times New Roman" w:hAnsi="Times New Roman" w:cs="Times New Roman"/>
          <w:sz w:val="24"/>
          <w:szCs w:val="24"/>
        </w:rPr>
        <w:t>There is a framework for cooperation on market surveillance and product safety, recognising “the importance of building mutual trust based on shared information”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0"/>
      </w:r>
      <w:r w:rsidRPr="00997397">
        <w:rPr>
          <w:rFonts w:ascii="Times New Roman" w:hAnsi="Times New Roman" w:cs="Times New Roman"/>
          <w:sz w:val="24"/>
          <w:szCs w:val="24"/>
        </w:rPr>
        <w:t xml:space="preserve"> Administrative </w:t>
      </w:r>
      <w:r w:rsidRPr="00997397">
        <w:rPr>
          <w:rFonts w:ascii="Times New Roman" w:hAnsi="Times New Roman" w:cs="Times New Roman"/>
          <w:sz w:val="24"/>
          <w:szCs w:val="24"/>
        </w:rPr>
        <w:lastRenderedPageBreak/>
        <w:t>agencies may also play a role in technical discussions  which can be requested if  “a Party considers that a draft or proposed technical regulation or conformity assessment procedure of the other Party might have a significant effect on trade between them.”</w:t>
      </w:r>
      <w:r>
        <w:rPr>
          <w:rStyle w:val="FootnoteReference"/>
          <w:rFonts w:ascii="Times New Roman" w:hAnsi="Times New Roman" w:cs="Times New Roman"/>
          <w:sz w:val="24"/>
          <w:szCs w:val="24"/>
        </w:rPr>
        <w:footnoteReference w:id="101"/>
      </w:r>
      <w:r w:rsidRPr="00B975C6">
        <w:rPr>
          <w:rFonts w:ascii="Times New Roman" w:hAnsi="Times New Roman" w:cs="Times New Roman"/>
          <w:sz w:val="24"/>
          <w:szCs w:val="24"/>
        </w:rPr>
        <w:t xml:space="preserve"> </w:t>
      </w:r>
    </w:p>
    <w:p w14:paraId="6810860D" w14:textId="0BDD51B0" w:rsidR="008A589E" w:rsidRPr="00145F3C" w:rsidRDefault="00AE1011" w:rsidP="00145F3C">
      <w:pPr>
        <w:rPr>
          <w:rFonts w:ascii="Times New Roman" w:hAnsi="Times New Roman" w:cs="Times New Roman"/>
          <w:bCs/>
          <w:sz w:val="24"/>
          <w:szCs w:val="24"/>
        </w:rPr>
      </w:pPr>
      <w:r>
        <w:rPr>
          <w:rFonts w:ascii="Times New Roman" w:hAnsi="Times New Roman" w:cs="Times New Roman"/>
          <w:iCs/>
          <w:sz w:val="24"/>
          <w:szCs w:val="24"/>
        </w:rPr>
        <w:t xml:space="preserve">In some areas the TCA itself does not set up cooperation but instead </w:t>
      </w:r>
      <w:r w:rsidR="00F80328">
        <w:rPr>
          <w:rFonts w:ascii="Times New Roman" w:hAnsi="Times New Roman" w:cs="Times New Roman"/>
          <w:iCs/>
          <w:sz w:val="24"/>
          <w:szCs w:val="24"/>
        </w:rPr>
        <w:t>the EU and UK</w:t>
      </w:r>
      <w:r w:rsidR="00D00091" w:rsidRPr="00997397">
        <w:rPr>
          <w:rFonts w:ascii="Times New Roman" w:hAnsi="Times New Roman" w:cs="Times New Roman"/>
          <w:iCs/>
          <w:sz w:val="24"/>
          <w:szCs w:val="24"/>
        </w:rPr>
        <w:t xml:space="preserve"> ‘encourag</w:t>
      </w:r>
      <w:r w:rsidR="00F80328">
        <w:rPr>
          <w:rFonts w:ascii="Times New Roman" w:hAnsi="Times New Roman" w:cs="Times New Roman"/>
          <w:iCs/>
          <w:sz w:val="24"/>
          <w:szCs w:val="24"/>
        </w:rPr>
        <w:t>e</w:t>
      </w:r>
      <w:r w:rsidR="00D00091" w:rsidRPr="00997397">
        <w:rPr>
          <w:rFonts w:ascii="Times New Roman" w:hAnsi="Times New Roman" w:cs="Times New Roman"/>
          <w:iCs/>
          <w:sz w:val="24"/>
          <w:szCs w:val="24"/>
        </w:rPr>
        <w:t>’ administrative authorities to cooperate with their counterparts</w:t>
      </w:r>
      <w:r w:rsidR="006E00D9">
        <w:rPr>
          <w:rFonts w:ascii="Times New Roman" w:hAnsi="Times New Roman" w:cs="Times New Roman"/>
          <w:iCs/>
          <w:sz w:val="24"/>
          <w:szCs w:val="24"/>
        </w:rPr>
        <w:t>, for example</w:t>
      </w:r>
      <w:r w:rsidR="006E00D9" w:rsidRPr="00997397">
        <w:rPr>
          <w:rFonts w:ascii="Times New Roman" w:hAnsi="Times New Roman" w:cs="Times New Roman"/>
          <w:iCs/>
          <w:sz w:val="24"/>
          <w:szCs w:val="24"/>
        </w:rPr>
        <w:t xml:space="preserve"> on sustainable food systems,</w:t>
      </w:r>
      <w:r w:rsidR="000010EF">
        <w:rPr>
          <w:rStyle w:val="FootnoteReference"/>
          <w:rFonts w:ascii="Times New Roman" w:hAnsi="Times New Roman" w:cs="Times New Roman"/>
          <w:iCs/>
          <w:sz w:val="24"/>
          <w:szCs w:val="24"/>
        </w:rPr>
        <w:footnoteReference w:id="102"/>
      </w:r>
      <w:r w:rsidR="006E00D9" w:rsidRPr="00997397">
        <w:rPr>
          <w:rFonts w:ascii="Times New Roman" w:hAnsi="Times New Roman" w:cs="Times New Roman"/>
          <w:iCs/>
          <w:sz w:val="24"/>
          <w:szCs w:val="24"/>
        </w:rPr>
        <w:t xml:space="preserve"> on standards,</w:t>
      </w:r>
      <w:r w:rsidR="0059133B">
        <w:rPr>
          <w:rStyle w:val="FootnoteReference"/>
          <w:rFonts w:ascii="Times New Roman" w:hAnsi="Times New Roman" w:cs="Times New Roman"/>
          <w:iCs/>
          <w:sz w:val="24"/>
          <w:szCs w:val="24"/>
        </w:rPr>
        <w:footnoteReference w:id="103"/>
      </w:r>
      <w:r w:rsidR="006E00D9" w:rsidRPr="00997397">
        <w:rPr>
          <w:rFonts w:ascii="Times New Roman" w:hAnsi="Times New Roman" w:cs="Times New Roman"/>
          <w:iCs/>
          <w:sz w:val="24"/>
          <w:szCs w:val="24"/>
        </w:rPr>
        <w:t xml:space="preserve"> </w:t>
      </w:r>
      <w:r w:rsidR="000010EF">
        <w:rPr>
          <w:rFonts w:ascii="Times New Roman" w:hAnsi="Times New Roman" w:cs="Times New Roman"/>
          <w:iCs/>
          <w:sz w:val="24"/>
          <w:szCs w:val="24"/>
        </w:rPr>
        <w:t xml:space="preserve">and </w:t>
      </w:r>
      <w:r w:rsidR="006E00D9" w:rsidRPr="00997397">
        <w:rPr>
          <w:rFonts w:ascii="Times New Roman" w:hAnsi="Times New Roman" w:cs="Times New Roman"/>
          <w:iCs/>
          <w:sz w:val="24"/>
          <w:szCs w:val="24"/>
        </w:rPr>
        <w:t>between customs authorities</w:t>
      </w:r>
      <w:r w:rsidR="000010EF">
        <w:rPr>
          <w:rFonts w:ascii="Times New Roman" w:hAnsi="Times New Roman" w:cs="Times New Roman"/>
          <w:iCs/>
          <w:sz w:val="24"/>
          <w:szCs w:val="24"/>
        </w:rPr>
        <w:t>.</w:t>
      </w:r>
      <w:r w:rsidR="0059133B">
        <w:rPr>
          <w:rStyle w:val="FootnoteReference"/>
          <w:rFonts w:ascii="Times New Roman" w:hAnsi="Times New Roman" w:cs="Times New Roman"/>
          <w:iCs/>
          <w:sz w:val="24"/>
          <w:szCs w:val="24"/>
        </w:rPr>
        <w:footnoteReference w:id="104"/>
      </w:r>
      <w:r w:rsidR="000010EF">
        <w:rPr>
          <w:rFonts w:ascii="Times New Roman" w:hAnsi="Times New Roman" w:cs="Times New Roman"/>
          <w:iCs/>
          <w:sz w:val="24"/>
          <w:szCs w:val="24"/>
        </w:rPr>
        <w:t xml:space="preserve"> The most prominent example is in competition enforcement</w:t>
      </w:r>
      <w:r w:rsidR="000010EF" w:rsidRPr="00997397">
        <w:rPr>
          <w:rFonts w:ascii="Times New Roman" w:hAnsi="Times New Roman" w:cs="Times New Roman"/>
          <w:iCs/>
          <w:sz w:val="24"/>
          <w:szCs w:val="24"/>
        </w:rPr>
        <w:t xml:space="preserve"> </w:t>
      </w:r>
      <w:r w:rsidR="000010EF">
        <w:rPr>
          <w:rFonts w:ascii="Times New Roman" w:hAnsi="Times New Roman" w:cs="Times New Roman"/>
          <w:iCs/>
          <w:sz w:val="24"/>
          <w:szCs w:val="24"/>
        </w:rPr>
        <w:t xml:space="preserve">where there is </w:t>
      </w:r>
      <w:r w:rsidR="00B34C54">
        <w:rPr>
          <w:rFonts w:ascii="Times New Roman" w:hAnsi="Times New Roman" w:cs="Times New Roman"/>
          <w:iCs/>
          <w:sz w:val="24"/>
          <w:szCs w:val="24"/>
        </w:rPr>
        <w:t xml:space="preserve">explicit </w:t>
      </w:r>
      <w:r w:rsidR="000010EF">
        <w:rPr>
          <w:rFonts w:ascii="Times New Roman" w:hAnsi="Times New Roman" w:cs="Times New Roman"/>
          <w:iCs/>
          <w:sz w:val="24"/>
          <w:szCs w:val="24"/>
        </w:rPr>
        <w:t xml:space="preserve">reference to </w:t>
      </w:r>
      <w:r w:rsidR="000010EF" w:rsidRPr="00997397">
        <w:rPr>
          <w:rFonts w:ascii="Times New Roman" w:hAnsi="Times New Roman" w:cs="Times New Roman"/>
          <w:bCs/>
          <w:sz w:val="24"/>
          <w:szCs w:val="24"/>
        </w:rPr>
        <w:t xml:space="preserve">subsequent cooperation agreements between </w:t>
      </w:r>
      <w:r w:rsidR="00B45D8B">
        <w:rPr>
          <w:rFonts w:ascii="Times New Roman" w:hAnsi="Times New Roman" w:cs="Times New Roman"/>
          <w:bCs/>
          <w:sz w:val="24"/>
          <w:szCs w:val="24"/>
        </w:rPr>
        <w:t>each side’s</w:t>
      </w:r>
      <w:r w:rsidR="000010EF" w:rsidRPr="00997397">
        <w:rPr>
          <w:rFonts w:ascii="Times New Roman" w:hAnsi="Times New Roman" w:cs="Times New Roman"/>
          <w:bCs/>
          <w:sz w:val="24"/>
          <w:szCs w:val="24"/>
        </w:rPr>
        <w:t xml:space="preserve"> authorities</w:t>
      </w:r>
      <w:r w:rsidR="00B45D8B" w:rsidRPr="00B45D8B">
        <w:rPr>
          <w:rFonts w:ascii="Times New Roman" w:hAnsi="Times New Roman" w:cs="Times New Roman"/>
          <w:bCs/>
          <w:sz w:val="24"/>
          <w:szCs w:val="24"/>
        </w:rPr>
        <w:t>, including exchange of confidential information.</w:t>
      </w:r>
      <w:r w:rsidR="00B45D8B" w:rsidRPr="00B45D8B">
        <w:rPr>
          <w:rStyle w:val="FootnoteReference"/>
          <w:rFonts w:ascii="Times New Roman" w:hAnsi="Times New Roman" w:cs="Times New Roman"/>
          <w:bCs/>
          <w:sz w:val="24"/>
          <w:szCs w:val="24"/>
        </w:rPr>
        <w:footnoteReference w:id="105"/>
      </w:r>
      <w:r w:rsidR="00B45D8B" w:rsidRPr="00B45D8B">
        <w:rPr>
          <w:rFonts w:ascii="Times New Roman" w:hAnsi="Times New Roman" w:cs="Times New Roman"/>
          <w:bCs/>
          <w:sz w:val="24"/>
          <w:szCs w:val="24"/>
        </w:rPr>
        <w:t xml:space="preserve"> Similarly, the provisions on subsidies allow for a cooperation framework between the respective independent authorities.</w:t>
      </w:r>
      <w:r w:rsidR="00B45D8B" w:rsidRPr="00B45D8B">
        <w:rPr>
          <w:rStyle w:val="FootnoteReference"/>
          <w:rFonts w:ascii="Times New Roman" w:hAnsi="Times New Roman" w:cs="Times New Roman"/>
          <w:bCs/>
          <w:sz w:val="24"/>
          <w:szCs w:val="24"/>
        </w:rPr>
        <w:footnoteReference w:id="106"/>
      </w:r>
      <w:r w:rsidR="008D5D52">
        <w:rPr>
          <w:rFonts w:ascii="Times New Roman" w:hAnsi="Times New Roman" w:cs="Times New Roman"/>
          <w:bCs/>
          <w:sz w:val="24"/>
          <w:szCs w:val="24"/>
        </w:rPr>
        <w:t xml:space="preserve"> </w:t>
      </w:r>
      <w:r w:rsidR="00FE5240" w:rsidRPr="0094284F">
        <w:rPr>
          <w:rFonts w:ascii="Times New Roman" w:hAnsi="Times New Roman" w:cs="Times New Roman"/>
          <w:sz w:val="24"/>
          <w:szCs w:val="24"/>
        </w:rPr>
        <w:t xml:space="preserve">Significantly, </w:t>
      </w:r>
      <w:r w:rsidR="0005597C" w:rsidRPr="0094284F">
        <w:rPr>
          <w:rFonts w:ascii="Times New Roman" w:hAnsi="Times New Roman" w:cs="Times New Roman"/>
          <w:sz w:val="24"/>
          <w:szCs w:val="24"/>
        </w:rPr>
        <w:t xml:space="preserve">Art </w:t>
      </w:r>
      <w:r w:rsidR="003A617E" w:rsidRPr="0094284F">
        <w:rPr>
          <w:rFonts w:ascii="Times New Roman" w:hAnsi="Times New Roman" w:cs="Times New Roman"/>
          <w:sz w:val="24"/>
          <w:szCs w:val="24"/>
        </w:rPr>
        <w:t xml:space="preserve">GRP.3(3) states that the Title does not apply to regulatory authorities and regulatory measures, regulatory practices or approaches of the </w:t>
      </w:r>
      <w:r w:rsidR="003A617E" w:rsidRPr="0094284F">
        <w:rPr>
          <w:rFonts w:ascii="Times New Roman" w:hAnsi="Times New Roman" w:cs="Times New Roman"/>
          <w:i/>
          <w:iCs/>
          <w:sz w:val="24"/>
          <w:szCs w:val="24"/>
        </w:rPr>
        <w:t>Member States</w:t>
      </w:r>
      <w:r w:rsidR="003548F9" w:rsidRPr="0007326A">
        <w:rPr>
          <w:rFonts w:ascii="Times New Roman" w:hAnsi="Times New Roman" w:cs="Times New Roman"/>
          <w:sz w:val="24"/>
          <w:szCs w:val="24"/>
        </w:rPr>
        <w:t>,</w:t>
      </w:r>
      <w:r w:rsidR="003548F9">
        <w:rPr>
          <w:rFonts w:ascii="Times New Roman" w:hAnsi="Times New Roman" w:cs="Times New Roman"/>
          <w:i/>
          <w:iCs/>
          <w:sz w:val="24"/>
          <w:szCs w:val="24"/>
        </w:rPr>
        <w:t xml:space="preserve"> </w:t>
      </w:r>
      <w:r w:rsidR="003548F9" w:rsidRPr="0007326A">
        <w:rPr>
          <w:rFonts w:ascii="Times New Roman" w:hAnsi="Times New Roman" w:cs="Times New Roman"/>
          <w:sz w:val="24"/>
          <w:szCs w:val="24"/>
        </w:rPr>
        <w:t xml:space="preserve">so the TCA is silent </w:t>
      </w:r>
      <w:r w:rsidR="0007326A" w:rsidRPr="0007326A">
        <w:rPr>
          <w:rFonts w:ascii="Times New Roman" w:hAnsi="Times New Roman" w:cs="Times New Roman"/>
          <w:sz w:val="24"/>
          <w:szCs w:val="24"/>
        </w:rPr>
        <w:t>on the role of</w:t>
      </w:r>
      <w:r w:rsidR="0007326A">
        <w:rPr>
          <w:rFonts w:ascii="Times New Roman" w:hAnsi="Times New Roman" w:cs="Times New Roman"/>
          <w:i/>
          <w:iCs/>
          <w:sz w:val="24"/>
          <w:szCs w:val="24"/>
        </w:rPr>
        <w:t xml:space="preserve"> </w:t>
      </w:r>
      <w:r w:rsidR="003A617E" w:rsidRPr="0094284F">
        <w:rPr>
          <w:rFonts w:ascii="Times New Roman" w:hAnsi="Times New Roman" w:cs="Times New Roman"/>
          <w:sz w:val="24"/>
          <w:szCs w:val="24"/>
        </w:rPr>
        <w:t xml:space="preserve">regulatory networks </w:t>
      </w:r>
      <w:r w:rsidR="002146D1" w:rsidRPr="0094284F">
        <w:rPr>
          <w:rFonts w:ascii="Times New Roman" w:hAnsi="Times New Roman" w:cs="Times New Roman"/>
          <w:sz w:val="24"/>
          <w:szCs w:val="24"/>
        </w:rPr>
        <w:t xml:space="preserve">in which the UK </w:t>
      </w:r>
      <w:r w:rsidR="00B50A71" w:rsidRPr="0094284F">
        <w:rPr>
          <w:rFonts w:ascii="Times New Roman" w:hAnsi="Times New Roman" w:cs="Times New Roman"/>
          <w:sz w:val="24"/>
          <w:szCs w:val="24"/>
        </w:rPr>
        <w:t xml:space="preserve">authorities </w:t>
      </w:r>
      <w:r w:rsidR="00C63806" w:rsidRPr="0094284F">
        <w:rPr>
          <w:rFonts w:ascii="Times New Roman" w:hAnsi="Times New Roman" w:cs="Times New Roman"/>
          <w:sz w:val="24"/>
          <w:szCs w:val="24"/>
        </w:rPr>
        <w:t xml:space="preserve">coordinated with </w:t>
      </w:r>
      <w:r w:rsidR="00B50A71" w:rsidRPr="0094284F">
        <w:rPr>
          <w:rFonts w:ascii="Times New Roman" w:hAnsi="Times New Roman" w:cs="Times New Roman"/>
          <w:sz w:val="24"/>
          <w:szCs w:val="24"/>
        </w:rPr>
        <w:t>their national counterparts.</w:t>
      </w:r>
      <w:bookmarkStart w:id="4" w:name="_Hlk26391763"/>
    </w:p>
    <w:bookmarkEnd w:id="4"/>
    <w:p w14:paraId="7598A76E" w14:textId="330C50E4" w:rsidR="00CE77C3" w:rsidRPr="00997397" w:rsidRDefault="006628FA" w:rsidP="00CE77C3">
      <w:pPr>
        <w:spacing w:line="240" w:lineRule="auto"/>
        <w:rPr>
          <w:rFonts w:ascii="Times New Roman" w:eastAsia="Calibri" w:hAnsi="Times New Roman" w:cs="Times New Roman"/>
          <w:bCs/>
          <w:sz w:val="24"/>
          <w:szCs w:val="24"/>
        </w:rPr>
      </w:pPr>
      <w:r w:rsidRPr="00997397">
        <w:rPr>
          <w:rFonts w:ascii="Times New Roman" w:hAnsi="Times New Roman" w:cs="Times New Roman"/>
          <w:sz w:val="24"/>
          <w:szCs w:val="24"/>
        </w:rPr>
        <w:t>The literature on</w:t>
      </w:r>
      <w:r w:rsidR="008D1911" w:rsidRPr="00997397">
        <w:rPr>
          <w:rFonts w:ascii="Times New Roman" w:hAnsi="Times New Roman" w:cs="Times New Roman"/>
          <w:sz w:val="24"/>
          <w:szCs w:val="24"/>
        </w:rPr>
        <w:t xml:space="preserve"> the</w:t>
      </w:r>
      <w:r w:rsidRPr="00997397">
        <w:rPr>
          <w:rFonts w:ascii="Times New Roman" w:hAnsi="Times New Roman" w:cs="Times New Roman"/>
          <w:sz w:val="24"/>
          <w:szCs w:val="24"/>
        </w:rPr>
        <w:t xml:space="preserve"> </w:t>
      </w:r>
      <w:r w:rsidR="00DF04E6" w:rsidRPr="00997397">
        <w:rPr>
          <w:rFonts w:ascii="Times New Roman" w:hAnsi="Times New Roman" w:cs="Times New Roman"/>
          <w:sz w:val="24"/>
          <w:szCs w:val="24"/>
        </w:rPr>
        <w:t>EU</w:t>
      </w:r>
      <w:r w:rsidR="001F339B" w:rsidRPr="00997397">
        <w:rPr>
          <w:rFonts w:ascii="Times New Roman" w:hAnsi="Times New Roman" w:cs="Times New Roman"/>
          <w:sz w:val="24"/>
          <w:szCs w:val="24"/>
        </w:rPr>
        <w:t xml:space="preserve"> </w:t>
      </w:r>
      <w:r w:rsidR="008D1911" w:rsidRPr="00997397">
        <w:rPr>
          <w:rFonts w:ascii="Times New Roman" w:hAnsi="Times New Roman" w:cs="Times New Roman"/>
          <w:sz w:val="24"/>
          <w:szCs w:val="24"/>
        </w:rPr>
        <w:t>as</w:t>
      </w:r>
      <w:r w:rsidR="008557D5" w:rsidRPr="00997397">
        <w:rPr>
          <w:rFonts w:ascii="Times New Roman" w:hAnsi="Times New Roman" w:cs="Times New Roman"/>
          <w:sz w:val="24"/>
          <w:szCs w:val="24"/>
        </w:rPr>
        <w:t xml:space="preserve"> an external regulator posits that </w:t>
      </w:r>
      <w:r w:rsidR="001F339B" w:rsidRPr="00997397">
        <w:rPr>
          <w:rFonts w:ascii="Times New Roman" w:hAnsi="Times New Roman" w:cs="Times New Roman"/>
          <w:sz w:val="24"/>
          <w:szCs w:val="24"/>
        </w:rPr>
        <w:t xml:space="preserve">regulatory extension </w:t>
      </w:r>
      <w:r w:rsidR="00D823E2" w:rsidRPr="00997397">
        <w:rPr>
          <w:rFonts w:ascii="Times New Roman" w:hAnsi="Times New Roman" w:cs="Times New Roman"/>
          <w:sz w:val="24"/>
          <w:szCs w:val="24"/>
        </w:rPr>
        <w:t>occur</w:t>
      </w:r>
      <w:r w:rsidR="000B215D">
        <w:rPr>
          <w:rFonts w:ascii="Times New Roman" w:hAnsi="Times New Roman" w:cs="Times New Roman"/>
          <w:sz w:val="24"/>
          <w:szCs w:val="24"/>
        </w:rPr>
        <w:t>s</w:t>
      </w:r>
      <w:r w:rsidR="00D823E2" w:rsidRPr="00997397">
        <w:rPr>
          <w:rFonts w:ascii="Times New Roman" w:hAnsi="Times New Roman" w:cs="Times New Roman"/>
          <w:sz w:val="24"/>
          <w:szCs w:val="24"/>
        </w:rPr>
        <w:t xml:space="preserve"> </w:t>
      </w:r>
      <w:r w:rsidR="001F339B" w:rsidRPr="00997397">
        <w:rPr>
          <w:rFonts w:ascii="Times New Roman" w:hAnsi="Times New Roman" w:cs="Times New Roman"/>
          <w:sz w:val="24"/>
          <w:szCs w:val="24"/>
        </w:rPr>
        <w:t xml:space="preserve">through </w:t>
      </w:r>
      <w:r w:rsidR="00881E2B" w:rsidRPr="00997397">
        <w:rPr>
          <w:rFonts w:ascii="Times New Roman" w:hAnsi="Times New Roman" w:cs="Times New Roman"/>
          <w:sz w:val="24"/>
          <w:szCs w:val="24"/>
        </w:rPr>
        <w:t xml:space="preserve">both </w:t>
      </w:r>
      <w:r w:rsidR="008557D5" w:rsidRPr="00997397">
        <w:rPr>
          <w:rFonts w:ascii="Times New Roman" w:hAnsi="Times New Roman" w:cs="Times New Roman"/>
          <w:sz w:val="24"/>
          <w:szCs w:val="24"/>
        </w:rPr>
        <w:t>political and technocrati</w:t>
      </w:r>
      <w:r w:rsidR="00881E2B" w:rsidRPr="00997397">
        <w:rPr>
          <w:rFonts w:ascii="Times New Roman" w:hAnsi="Times New Roman" w:cs="Times New Roman"/>
          <w:sz w:val="24"/>
          <w:szCs w:val="24"/>
        </w:rPr>
        <w:t>c institutions</w:t>
      </w:r>
      <w:r w:rsidR="00460A05" w:rsidRPr="00997397">
        <w:rPr>
          <w:rFonts w:ascii="Times New Roman" w:hAnsi="Times New Roman" w:cs="Times New Roman"/>
          <w:sz w:val="24"/>
          <w:szCs w:val="24"/>
        </w:rPr>
        <w:t>,</w:t>
      </w:r>
      <w:r w:rsidR="001F339B" w:rsidRPr="00997397">
        <w:rPr>
          <w:rFonts w:ascii="Times New Roman" w:hAnsi="Times New Roman" w:cs="Times New Roman"/>
          <w:sz w:val="24"/>
          <w:szCs w:val="24"/>
        </w:rPr>
        <w:t xml:space="preserve"> </w:t>
      </w:r>
      <w:r w:rsidR="00A075A2" w:rsidRPr="00997397">
        <w:rPr>
          <w:rFonts w:ascii="Times New Roman" w:hAnsi="Times New Roman" w:cs="Times New Roman"/>
          <w:sz w:val="24"/>
          <w:szCs w:val="24"/>
        </w:rPr>
        <w:t>and different modes of governance: hierarchy, competition</w:t>
      </w:r>
      <w:r w:rsidR="00853011" w:rsidRPr="00997397">
        <w:rPr>
          <w:rFonts w:ascii="Times New Roman" w:hAnsi="Times New Roman" w:cs="Times New Roman"/>
          <w:sz w:val="24"/>
          <w:szCs w:val="24"/>
        </w:rPr>
        <w:t xml:space="preserve"> through the market</w:t>
      </w:r>
      <w:r w:rsidR="00A075A2" w:rsidRPr="00997397">
        <w:rPr>
          <w:rFonts w:ascii="Times New Roman" w:hAnsi="Times New Roman" w:cs="Times New Roman"/>
          <w:sz w:val="24"/>
          <w:szCs w:val="24"/>
        </w:rPr>
        <w:t xml:space="preserve">, </w:t>
      </w:r>
      <w:r w:rsidR="00853011" w:rsidRPr="00997397">
        <w:rPr>
          <w:rFonts w:ascii="Times New Roman" w:hAnsi="Times New Roman" w:cs="Times New Roman"/>
          <w:sz w:val="24"/>
          <w:szCs w:val="24"/>
        </w:rPr>
        <w:t>coordination and</w:t>
      </w:r>
      <w:r w:rsidR="008443B1">
        <w:rPr>
          <w:rFonts w:ascii="Times New Roman" w:hAnsi="Times New Roman" w:cs="Times New Roman"/>
          <w:sz w:val="24"/>
          <w:szCs w:val="24"/>
        </w:rPr>
        <w:t xml:space="preserve"> </w:t>
      </w:r>
      <w:r w:rsidR="00A075A2" w:rsidRPr="00997397">
        <w:rPr>
          <w:rFonts w:ascii="Times New Roman" w:hAnsi="Times New Roman" w:cs="Times New Roman"/>
          <w:sz w:val="24"/>
          <w:szCs w:val="24"/>
        </w:rPr>
        <w:t>network</w:t>
      </w:r>
      <w:r w:rsidR="00853011" w:rsidRPr="00997397">
        <w:rPr>
          <w:rFonts w:ascii="Times New Roman" w:hAnsi="Times New Roman" w:cs="Times New Roman"/>
          <w:sz w:val="24"/>
          <w:szCs w:val="24"/>
        </w:rPr>
        <w:t>s.</w:t>
      </w:r>
      <w:r w:rsidR="00F06A65" w:rsidRPr="00997397">
        <w:rPr>
          <w:rFonts w:ascii="Times New Roman" w:hAnsi="Times New Roman" w:cs="Times New Roman"/>
          <w:sz w:val="24"/>
          <w:szCs w:val="24"/>
          <w:vertAlign w:val="superscript"/>
        </w:rPr>
        <w:footnoteReference w:id="107"/>
      </w:r>
      <w:r w:rsidR="00D76B11">
        <w:rPr>
          <w:rFonts w:ascii="Times New Roman" w:hAnsi="Times New Roman" w:cs="Times New Roman"/>
          <w:sz w:val="24"/>
          <w:szCs w:val="24"/>
        </w:rPr>
        <w:t xml:space="preserve"> </w:t>
      </w:r>
      <w:r w:rsidR="00C77FA1">
        <w:rPr>
          <w:rFonts w:ascii="Times New Roman" w:eastAsia="Calibri" w:hAnsi="Times New Roman" w:cs="Times New Roman"/>
          <w:bCs/>
          <w:sz w:val="24"/>
          <w:szCs w:val="24"/>
        </w:rPr>
        <w:t xml:space="preserve">The interplay </w:t>
      </w:r>
      <w:r w:rsidR="00D76B11">
        <w:rPr>
          <w:rFonts w:ascii="Times New Roman" w:eastAsia="Calibri" w:hAnsi="Times New Roman" w:cs="Times New Roman"/>
          <w:bCs/>
          <w:sz w:val="24"/>
          <w:szCs w:val="24"/>
        </w:rPr>
        <w:t xml:space="preserve">of these factors will influence the </w:t>
      </w:r>
      <w:r w:rsidR="006A78D3">
        <w:rPr>
          <w:rFonts w:ascii="Times New Roman" w:eastAsia="Calibri" w:hAnsi="Times New Roman" w:cs="Times New Roman"/>
          <w:bCs/>
          <w:sz w:val="24"/>
          <w:szCs w:val="24"/>
        </w:rPr>
        <w:t>prospects for</w:t>
      </w:r>
      <w:r w:rsidR="00D76B11">
        <w:rPr>
          <w:rFonts w:ascii="Times New Roman" w:eastAsia="Calibri" w:hAnsi="Times New Roman" w:cs="Times New Roman"/>
          <w:bCs/>
          <w:sz w:val="24"/>
          <w:szCs w:val="24"/>
        </w:rPr>
        <w:t xml:space="preserve"> </w:t>
      </w:r>
      <w:r w:rsidR="00D76B11" w:rsidRPr="003454C4">
        <w:rPr>
          <w:rFonts w:ascii="Times New Roman" w:eastAsia="Calibri" w:hAnsi="Times New Roman" w:cs="Times New Roman"/>
          <w:bCs/>
          <w:sz w:val="24"/>
          <w:szCs w:val="24"/>
        </w:rPr>
        <w:t>regulatory differentiation.</w:t>
      </w:r>
      <w:r w:rsidR="00CE77C3" w:rsidRPr="003454C4">
        <w:rPr>
          <w:rFonts w:ascii="Times New Roman" w:eastAsia="Calibri" w:hAnsi="Times New Roman" w:cs="Times New Roman"/>
          <w:bCs/>
          <w:sz w:val="24"/>
          <w:szCs w:val="24"/>
        </w:rPr>
        <w:t xml:space="preserve"> </w:t>
      </w:r>
      <w:r w:rsidR="00CE77C3" w:rsidRPr="006A78D3">
        <w:rPr>
          <w:rFonts w:ascii="Times New Roman" w:eastAsia="Calibri" w:hAnsi="Times New Roman" w:cs="Times New Roman"/>
          <w:bCs/>
          <w:sz w:val="24"/>
          <w:szCs w:val="24"/>
        </w:rPr>
        <w:t xml:space="preserve">‘Territorial extension’ </w:t>
      </w:r>
      <w:r w:rsidR="006A78D3">
        <w:rPr>
          <w:rFonts w:ascii="Times New Roman" w:eastAsia="Calibri" w:hAnsi="Times New Roman" w:cs="Times New Roman"/>
          <w:bCs/>
          <w:sz w:val="24"/>
          <w:szCs w:val="24"/>
        </w:rPr>
        <w:t>may not only o</w:t>
      </w:r>
      <w:r w:rsidR="003C6C11">
        <w:rPr>
          <w:rFonts w:ascii="Times New Roman" w:eastAsia="Calibri" w:hAnsi="Times New Roman" w:cs="Times New Roman"/>
          <w:bCs/>
          <w:sz w:val="24"/>
          <w:szCs w:val="24"/>
        </w:rPr>
        <w:t>c</w:t>
      </w:r>
      <w:r w:rsidR="006A78D3">
        <w:rPr>
          <w:rFonts w:ascii="Times New Roman" w:eastAsia="Calibri" w:hAnsi="Times New Roman" w:cs="Times New Roman"/>
          <w:bCs/>
          <w:sz w:val="24"/>
          <w:szCs w:val="24"/>
        </w:rPr>
        <w:t xml:space="preserve">cur at country level, but also </w:t>
      </w:r>
      <w:r w:rsidR="003C6C11">
        <w:rPr>
          <w:rFonts w:ascii="Times New Roman" w:eastAsia="Calibri" w:hAnsi="Times New Roman" w:cs="Times New Roman"/>
          <w:bCs/>
          <w:sz w:val="24"/>
          <w:szCs w:val="24"/>
        </w:rPr>
        <w:t>at the level of business or transactions.</w:t>
      </w:r>
      <w:r w:rsidR="00CE77C3" w:rsidRPr="006A78D3">
        <w:rPr>
          <w:rStyle w:val="FootnoteReference"/>
          <w:rFonts w:ascii="Times New Roman" w:hAnsi="Times New Roman" w:cs="Times New Roman"/>
          <w:sz w:val="24"/>
          <w:szCs w:val="24"/>
        </w:rPr>
        <w:footnoteReference w:id="108"/>
      </w:r>
    </w:p>
    <w:p w14:paraId="05CEF9C1" w14:textId="77777777" w:rsidR="00DE05CB" w:rsidRDefault="00057F6A" w:rsidP="00D03DFF">
      <w:pPr>
        <w:spacing w:line="240" w:lineRule="auto"/>
        <w:rPr>
          <w:rFonts w:ascii="Times New Roman" w:eastAsia="Calibri" w:hAnsi="Times New Roman" w:cs="Times New Roman"/>
          <w:bCs/>
          <w:sz w:val="24"/>
          <w:szCs w:val="24"/>
        </w:rPr>
      </w:pPr>
      <w:r w:rsidRPr="00997397">
        <w:rPr>
          <w:rFonts w:ascii="Times New Roman" w:hAnsi="Times New Roman" w:cs="Times New Roman"/>
          <w:sz w:val="24"/>
          <w:szCs w:val="24"/>
        </w:rPr>
        <w:t xml:space="preserve">First, the foreign policy mode includes </w:t>
      </w:r>
      <w:r w:rsidR="00AC45A9">
        <w:rPr>
          <w:rFonts w:ascii="Times New Roman" w:hAnsi="Times New Roman" w:cs="Times New Roman"/>
          <w:sz w:val="24"/>
          <w:szCs w:val="24"/>
        </w:rPr>
        <w:t xml:space="preserve">agreements with the EU </w:t>
      </w:r>
      <w:r w:rsidR="00B106B1">
        <w:rPr>
          <w:rFonts w:ascii="Times New Roman" w:hAnsi="Times New Roman" w:cs="Times New Roman"/>
          <w:sz w:val="24"/>
          <w:szCs w:val="24"/>
        </w:rPr>
        <w:t xml:space="preserve">and </w:t>
      </w:r>
      <w:r w:rsidRPr="00997397">
        <w:rPr>
          <w:rFonts w:ascii="Times New Roman" w:hAnsi="Times New Roman" w:cs="Times New Roman"/>
          <w:sz w:val="24"/>
          <w:szCs w:val="24"/>
        </w:rPr>
        <w:t>legislation referring to third countries</w:t>
      </w:r>
      <w:r w:rsidRPr="00997397">
        <w:rPr>
          <w:rFonts w:ascii="Times New Roman" w:hAnsi="Times New Roman" w:cs="Times New Roman"/>
          <w:sz w:val="24"/>
          <w:szCs w:val="24"/>
          <w:lang w:val="en-US"/>
        </w:rPr>
        <w:t xml:space="preserve"> </w:t>
      </w:r>
      <w:r w:rsidRPr="00997397">
        <w:rPr>
          <w:rFonts w:ascii="Times New Roman" w:hAnsi="Times New Roman" w:cs="Times New Roman"/>
          <w:sz w:val="24"/>
          <w:szCs w:val="24"/>
        </w:rPr>
        <w:t>extending regulatory commitments to third</w:t>
      </w:r>
      <w:r w:rsidR="00B106B1">
        <w:rPr>
          <w:rFonts w:ascii="Times New Roman" w:hAnsi="Times New Roman" w:cs="Times New Roman"/>
          <w:sz w:val="24"/>
          <w:szCs w:val="24"/>
        </w:rPr>
        <w:t xml:space="preserve"> </w:t>
      </w:r>
      <w:r w:rsidRPr="00997397">
        <w:rPr>
          <w:rFonts w:ascii="Times New Roman" w:hAnsi="Times New Roman" w:cs="Times New Roman"/>
          <w:sz w:val="24"/>
          <w:szCs w:val="24"/>
        </w:rPr>
        <w:t xml:space="preserve">country </w:t>
      </w:r>
      <w:r w:rsidR="00B106B1">
        <w:rPr>
          <w:rFonts w:ascii="Times New Roman" w:hAnsi="Times New Roman" w:cs="Times New Roman"/>
          <w:sz w:val="24"/>
          <w:szCs w:val="24"/>
        </w:rPr>
        <w:t>actors</w:t>
      </w:r>
      <w:r w:rsidRPr="00997397">
        <w:rPr>
          <w:rFonts w:ascii="Times New Roman" w:hAnsi="Times New Roman" w:cs="Times New Roman"/>
          <w:sz w:val="24"/>
          <w:szCs w:val="24"/>
        </w:rPr>
        <w:t>.</w:t>
      </w:r>
      <w:r w:rsidRPr="00997397">
        <w:rPr>
          <w:rFonts w:ascii="Times New Roman" w:hAnsi="Times New Roman" w:cs="Times New Roman"/>
          <w:sz w:val="24"/>
          <w:szCs w:val="24"/>
          <w:vertAlign w:val="superscript"/>
        </w:rPr>
        <w:footnoteReference w:id="109"/>
      </w:r>
      <w:r w:rsidRPr="00997397">
        <w:rPr>
          <w:rFonts w:ascii="Times New Roman" w:hAnsi="Times New Roman" w:cs="Times New Roman"/>
          <w:sz w:val="24"/>
          <w:szCs w:val="24"/>
        </w:rPr>
        <w:t xml:space="preserve">  </w:t>
      </w:r>
      <w:r w:rsidR="00CB61B3">
        <w:rPr>
          <w:rFonts w:ascii="Times New Roman" w:hAnsi="Times New Roman" w:cs="Times New Roman"/>
          <w:sz w:val="24"/>
          <w:szCs w:val="24"/>
        </w:rPr>
        <w:t xml:space="preserve">These dynamics map on to hierarchy and competition. </w:t>
      </w:r>
      <w:r w:rsidR="00690B3A" w:rsidRPr="00997397">
        <w:rPr>
          <w:rFonts w:ascii="Times New Roman" w:eastAsia="Calibri" w:hAnsi="Times New Roman" w:cs="Times New Roman"/>
          <w:bCs/>
          <w:sz w:val="24"/>
          <w:szCs w:val="24"/>
        </w:rPr>
        <w:t>Hierarchy</w:t>
      </w:r>
      <w:r w:rsidR="00D23434">
        <w:rPr>
          <w:rFonts w:ascii="Times New Roman" w:eastAsia="Calibri" w:hAnsi="Times New Roman" w:cs="Times New Roman"/>
          <w:bCs/>
          <w:sz w:val="24"/>
          <w:szCs w:val="24"/>
        </w:rPr>
        <w:t xml:space="preserve"> is characterised by </w:t>
      </w:r>
      <w:r w:rsidR="00690B3A" w:rsidRPr="00997397">
        <w:rPr>
          <w:rFonts w:ascii="Times New Roman" w:eastAsia="Calibri" w:hAnsi="Times New Roman" w:cs="Times New Roman"/>
          <w:bCs/>
          <w:sz w:val="24"/>
          <w:szCs w:val="24"/>
        </w:rPr>
        <w:t>coercive</w:t>
      </w:r>
      <w:r w:rsidR="00A12457">
        <w:rPr>
          <w:rFonts w:ascii="Times New Roman" w:eastAsia="Calibri" w:hAnsi="Times New Roman" w:cs="Times New Roman"/>
          <w:bCs/>
          <w:sz w:val="24"/>
          <w:szCs w:val="24"/>
        </w:rPr>
        <w:t>,</w:t>
      </w:r>
      <w:r w:rsidR="00690B3A" w:rsidRPr="00997397">
        <w:rPr>
          <w:rFonts w:ascii="Times New Roman" w:eastAsia="Calibri" w:hAnsi="Times New Roman" w:cs="Times New Roman"/>
          <w:bCs/>
          <w:sz w:val="24"/>
          <w:szCs w:val="24"/>
        </w:rPr>
        <w:t xml:space="preserve"> rule-based discipline </w:t>
      </w:r>
      <w:r w:rsidR="00A12457">
        <w:rPr>
          <w:rFonts w:ascii="Times New Roman" w:eastAsia="Calibri" w:hAnsi="Times New Roman" w:cs="Times New Roman"/>
          <w:bCs/>
          <w:sz w:val="24"/>
          <w:szCs w:val="24"/>
        </w:rPr>
        <w:t>with</w:t>
      </w:r>
      <w:r w:rsidR="00690B3A" w:rsidRPr="00997397">
        <w:rPr>
          <w:rFonts w:ascii="Times New Roman" w:eastAsia="Calibri" w:hAnsi="Times New Roman" w:cs="Times New Roman"/>
          <w:bCs/>
          <w:sz w:val="24"/>
          <w:szCs w:val="24"/>
        </w:rPr>
        <w:t xml:space="preserve"> implementation and enforcement through public institutions</w:t>
      </w:r>
      <w:r w:rsidR="000B0563">
        <w:rPr>
          <w:rFonts w:ascii="Times New Roman" w:eastAsia="Calibri" w:hAnsi="Times New Roman" w:cs="Times New Roman"/>
          <w:bCs/>
          <w:sz w:val="24"/>
          <w:szCs w:val="24"/>
        </w:rPr>
        <w:t>.</w:t>
      </w:r>
      <w:r w:rsidR="003A1003">
        <w:rPr>
          <w:rStyle w:val="FootnoteReference"/>
          <w:rFonts w:ascii="Times New Roman" w:eastAsia="Calibri" w:hAnsi="Times New Roman" w:cs="Times New Roman"/>
          <w:bCs/>
          <w:sz w:val="24"/>
          <w:szCs w:val="24"/>
        </w:rPr>
        <w:footnoteReference w:id="110"/>
      </w:r>
      <w:r w:rsidR="00690B3A" w:rsidRPr="00997397">
        <w:rPr>
          <w:rFonts w:ascii="Times New Roman" w:eastAsia="Calibri" w:hAnsi="Times New Roman" w:cs="Times New Roman"/>
          <w:bCs/>
          <w:sz w:val="24"/>
          <w:szCs w:val="24"/>
        </w:rPr>
        <w:t xml:space="preserve"> </w:t>
      </w:r>
      <w:r w:rsidR="00A12457">
        <w:rPr>
          <w:rFonts w:ascii="Times New Roman" w:hAnsi="Times New Roman" w:cs="Times New Roman"/>
          <w:sz w:val="24"/>
          <w:szCs w:val="24"/>
        </w:rPr>
        <w:t xml:space="preserve">We could see </w:t>
      </w:r>
      <w:r w:rsidR="000B0563">
        <w:rPr>
          <w:rFonts w:ascii="Times New Roman" w:hAnsi="Times New Roman" w:cs="Times New Roman"/>
          <w:sz w:val="24"/>
          <w:szCs w:val="24"/>
        </w:rPr>
        <w:t>the overarching governance structures of the TCA</w:t>
      </w:r>
      <w:r w:rsidR="00A12457">
        <w:rPr>
          <w:rFonts w:ascii="Times New Roman" w:hAnsi="Times New Roman" w:cs="Times New Roman"/>
          <w:sz w:val="24"/>
          <w:szCs w:val="24"/>
        </w:rPr>
        <w:t xml:space="preserve"> as exemplifying this</w:t>
      </w:r>
      <w:r w:rsidR="000B0563">
        <w:rPr>
          <w:rFonts w:ascii="Times New Roman" w:hAnsi="Times New Roman" w:cs="Times New Roman"/>
          <w:sz w:val="24"/>
          <w:szCs w:val="24"/>
        </w:rPr>
        <w:t xml:space="preserve">. </w:t>
      </w:r>
      <w:r w:rsidR="003D5B85">
        <w:rPr>
          <w:rFonts w:ascii="Times New Roman" w:hAnsi="Times New Roman" w:cs="Times New Roman"/>
          <w:sz w:val="24"/>
          <w:szCs w:val="24"/>
        </w:rPr>
        <w:t>Meanwhile, c</w:t>
      </w:r>
      <w:r w:rsidR="003D5B85" w:rsidRPr="00997397">
        <w:rPr>
          <w:rFonts w:ascii="Times New Roman" w:eastAsia="Calibri" w:hAnsi="Times New Roman" w:cs="Times New Roman"/>
          <w:bCs/>
          <w:sz w:val="24"/>
          <w:szCs w:val="24"/>
        </w:rPr>
        <w:t>ompetition</w:t>
      </w:r>
      <w:r w:rsidR="003D5B85">
        <w:rPr>
          <w:rFonts w:ascii="Times New Roman" w:eastAsia="Calibri" w:hAnsi="Times New Roman" w:cs="Times New Roman"/>
          <w:bCs/>
          <w:sz w:val="24"/>
          <w:szCs w:val="24"/>
        </w:rPr>
        <w:t xml:space="preserve"> implies the </w:t>
      </w:r>
      <w:r w:rsidR="003D5B85" w:rsidRPr="00997397">
        <w:rPr>
          <w:rFonts w:ascii="Times New Roman" w:eastAsia="Calibri" w:hAnsi="Times New Roman" w:cs="Times New Roman"/>
          <w:bCs/>
          <w:sz w:val="24"/>
          <w:szCs w:val="24"/>
        </w:rPr>
        <w:t xml:space="preserve">behaviour of multinational market actors in continuing to comply with EU rules and norms – even in their non-EU market activities </w:t>
      </w:r>
      <w:r w:rsidR="003D5B85">
        <w:rPr>
          <w:rFonts w:ascii="Times New Roman" w:eastAsia="Calibri" w:hAnsi="Times New Roman" w:cs="Times New Roman"/>
          <w:bCs/>
          <w:sz w:val="24"/>
          <w:szCs w:val="24"/>
        </w:rPr>
        <w:t xml:space="preserve">contributing to the </w:t>
      </w:r>
      <w:r w:rsidR="003D5B85" w:rsidRPr="00997397">
        <w:rPr>
          <w:rFonts w:ascii="Times New Roman" w:eastAsia="Calibri" w:hAnsi="Times New Roman" w:cs="Times New Roman"/>
          <w:bCs/>
          <w:sz w:val="24"/>
          <w:szCs w:val="24"/>
        </w:rPr>
        <w:t>diff</w:t>
      </w:r>
      <w:r w:rsidR="003D5B85">
        <w:rPr>
          <w:rFonts w:ascii="Times New Roman" w:eastAsia="Calibri" w:hAnsi="Times New Roman" w:cs="Times New Roman"/>
          <w:bCs/>
          <w:sz w:val="24"/>
          <w:szCs w:val="24"/>
        </w:rPr>
        <w:t>usion of</w:t>
      </w:r>
      <w:r w:rsidR="003D5B85" w:rsidRPr="00997397">
        <w:rPr>
          <w:rFonts w:ascii="Times New Roman" w:eastAsia="Calibri" w:hAnsi="Times New Roman" w:cs="Times New Roman"/>
          <w:bCs/>
          <w:sz w:val="24"/>
          <w:szCs w:val="24"/>
        </w:rPr>
        <w:t xml:space="preserve"> EU rules and norms beyond the territory of the EU</w:t>
      </w:r>
      <w:r w:rsidR="003D5B85">
        <w:rPr>
          <w:rFonts w:ascii="Times New Roman" w:eastAsia="Calibri" w:hAnsi="Times New Roman" w:cs="Times New Roman"/>
          <w:bCs/>
          <w:sz w:val="24"/>
          <w:szCs w:val="24"/>
        </w:rPr>
        <w:t>.</w:t>
      </w:r>
      <w:r w:rsidR="003D5B85">
        <w:rPr>
          <w:rStyle w:val="FootnoteReference"/>
          <w:rFonts w:ascii="Times New Roman" w:eastAsia="Calibri" w:hAnsi="Times New Roman" w:cs="Times New Roman"/>
          <w:bCs/>
          <w:sz w:val="24"/>
          <w:szCs w:val="24"/>
        </w:rPr>
        <w:footnoteReference w:id="111"/>
      </w:r>
      <w:r w:rsidR="00DE05CB">
        <w:rPr>
          <w:rFonts w:ascii="Times New Roman" w:eastAsia="Calibri" w:hAnsi="Times New Roman" w:cs="Times New Roman"/>
          <w:bCs/>
          <w:sz w:val="24"/>
          <w:szCs w:val="24"/>
        </w:rPr>
        <w:t xml:space="preserve"> </w:t>
      </w:r>
    </w:p>
    <w:p w14:paraId="55E748E6" w14:textId="2F7AA80E" w:rsidR="00482332" w:rsidRPr="00997397" w:rsidRDefault="00116311" w:rsidP="00D03DFF">
      <w:pPr>
        <w:spacing w:line="240" w:lineRule="auto"/>
        <w:rPr>
          <w:rFonts w:ascii="Times New Roman" w:eastAsia="Calibri" w:hAnsi="Times New Roman" w:cs="Times New Roman"/>
          <w:bCs/>
          <w:sz w:val="24"/>
          <w:szCs w:val="24"/>
        </w:rPr>
      </w:pPr>
      <w:r>
        <w:rPr>
          <w:rFonts w:ascii="Times New Roman" w:hAnsi="Times New Roman" w:cs="Times New Roman"/>
          <w:sz w:val="24"/>
          <w:szCs w:val="24"/>
        </w:rPr>
        <w:t xml:space="preserve">Regarding the element of competition, </w:t>
      </w:r>
      <w:r w:rsidR="00713772">
        <w:rPr>
          <w:rFonts w:ascii="Times New Roman" w:eastAsia="Calibri" w:hAnsi="Times New Roman" w:cs="Times New Roman"/>
          <w:bCs/>
          <w:sz w:val="24"/>
          <w:szCs w:val="24"/>
        </w:rPr>
        <w:t>d</w:t>
      </w:r>
      <w:r w:rsidR="006C148E" w:rsidRPr="00997397">
        <w:rPr>
          <w:rFonts w:ascii="Times New Roman" w:eastAsia="Calibri" w:hAnsi="Times New Roman" w:cs="Times New Roman"/>
          <w:bCs/>
          <w:sz w:val="24"/>
          <w:szCs w:val="24"/>
        </w:rPr>
        <w:t xml:space="preserve">ifferences in product </w:t>
      </w:r>
      <w:r w:rsidR="00125FD4" w:rsidRPr="00997397">
        <w:rPr>
          <w:rFonts w:ascii="Times New Roman" w:eastAsia="Calibri" w:hAnsi="Times New Roman" w:cs="Times New Roman"/>
          <w:bCs/>
          <w:sz w:val="24"/>
          <w:szCs w:val="24"/>
        </w:rPr>
        <w:t xml:space="preserve">standards between jurisdictions </w:t>
      </w:r>
      <w:r w:rsidR="006C148E" w:rsidRPr="00997397">
        <w:rPr>
          <w:rFonts w:ascii="Times New Roman" w:eastAsia="Calibri" w:hAnsi="Times New Roman" w:cs="Times New Roman"/>
          <w:bCs/>
          <w:sz w:val="24"/>
          <w:szCs w:val="24"/>
        </w:rPr>
        <w:t xml:space="preserve">lead to increased costs </w:t>
      </w:r>
      <w:r w:rsidR="00125FD4" w:rsidRPr="00997397">
        <w:rPr>
          <w:rFonts w:ascii="Times New Roman" w:eastAsia="Calibri" w:hAnsi="Times New Roman" w:cs="Times New Roman"/>
          <w:bCs/>
          <w:sz w:val="24"/>
          <w:szCs w:val="24"/>
        </w:rPr>
        <w:t xml:space="preserve">and uncertainty </w:t>
      </w:r>
      <w:r w:rsidR="006C148E" w:rsidRPr="00997397">
        <w:rPr>
          <w:rFonts w:ascii="Times New Roman" w:eastAsia="Calibri" w:hAnsi="Times New Roman" w:cs="Times New Roman"/>
          <w:bCs/>
          <w:sz w:val="24"/>
          <w:szCs w:val="24"/>
        </w:rPr>
        <w:t xml:space="preserve">for </w:t>
      </w:r>
      <w:proofErr w:type="gramStart"/>
      <w:r w:rsidR="006C148E" w:rsidRPr="00997397">
        <w:rPr>
          <w:rFonts w:ascii="Times New Roman" w:eastAsia="Calibri" w:hAnsi="Times New Roman" w:cs="Times New Roman"/>
          <w:bCs/>
          <w:sz w:val="24"/>
          <w:szCs w:val="24"/>
        </w:rPr>
        <w:t>business</w:t>
      </w:r>
      <w:r w:rsidR="00125FD4" w:rsidRPr="00997397">
        <w:rPr>
          <w:rFonts w:ascii="Times New Roman" w:eastAsia="Calibri" w:hAnsi="Times New Roman" w:cs="Times New Roman"/>
          <w:bCs/>
          <w:sz w:val="24"/>
          <w:szCs w:val="24"/>
        </w:rPr>
        <w:t>es</w:t>
      </w:r>
      <w:r w:rsidR="00970E4D" w:rsidRPr="00997397">
        <w:rPr>
          <w:rFonts w:ascii="Times New Roman" w:eastAsia="Calibri" w:hAnsi="Times New Roman" w:cs="Times New Roman"/>
          <w:bCs/>
          <w:sz w:val="24"/>
          <w:szCs w:val="24"/>
        </w:rPr>
        <w:t>, since</w:t>
      </w:r>
      <w:proofErr w:type="gramEnd"/>
      <w:r w:rsidR="00970E4D" w:rsidRPr="00997397">
        <w:rPr>
          <w:rFonts w:ascii="Times New Roman" w:eastAsia="Calibri" w:hAnsi="Times New Roman" w:cs="Times New Roman"/>
          <w:bCs/>
          <w:sz w:val="24"/>
          <w:szCs w:val="24"/>
        </w:rPr>
        <w:t xml:space="preserve"> different production lines </w:t>
      </w:r>
      <w:r w:rsidR="00ED5354" w:rsidRPr="00997397">
        <w:rPr>
          <w:rFonts w:ascii="Times New Roman" w:eastAsia="Calibri" w:hAnsi="Times New Roman" w:cs="Times New Roman"/>
          <w:bCs/>
          <w:sz w:val="24"/>
          <w:szCs w:val="24"/>
        </w:rPr>
        <w:t>for sale in different counties are inefficient</w:t>
      </w:r>
      <w:r w:rsidR="006C148E" w:rsidRPr="00997397">
        <w:rPr>
          <w:rFonts w:ascii="Times New Roman" w:eastAsia="Calibri" w:hAnsi="Times New Roman" w:cs="Times New Roman"/>
          <w:bCs/>
          <w:sz w:val="24"/>
          <w:szCs w:val="24"/>
        </w:rPr>
        <w:t>.</w:t>
      </w:r>
      <w:r w:rsidR="00125FD4" w:rsidRPr="00997397">
        <w:rPr>
          <w:rFonts w:ascii="Times New Roman" w:eastAsia="Calibri" w:hAnsi="Times New Roman" w:cs="Times New Roman"/>
          <w:bCs/>
          <w:sz w:val="24"/>
          <w:szCs w:val="24"/>
        </w:rPr>
        <w:t xml:space="preserve"> </w:t>
      </w:r>
      <w:r w:rsidR="000C5197">
        <w:rPr>
          <w:rFonts w:ascii="Times New Roman" w:eastAsia="Calibri" w:hAnsi="Times New Roman" w:cs="Times New Roman"/>
          <w:bCs/>
          <w:sz w:val="24"/>
          <w:szCs w:val="24"/>
        </w:rPr>
        <w:t>A</w:t>
      </w:r>
      <w:r w:rsidR="00004AFF" w:rsidRPr="00997397">
        <w:rPr>
          <w:rFonts w:ascii="Times New Roman" w:eastAsia="Calibri" w:hAnsi="Times New Roman" w:cs="Times New Roman"/>
          <w:bCs/>
          <w:sz w:val="24"/>
          <w:szCs w:val="24"/>
        </w:rPr>
        <w:t xml:space="preserve"> de facto </w:t>
      </w:r>
      <w:r w:rsidR="000C5197">
        <w:rPr>
          <w:rFonts w:ascii="Times New Roman" w:eastAsia="Calibri" w:hAnsi="Times New Roman" w:cs="Times New Roman"/>
          <w:bCs/>
          <w:sz w:val="24"/>
          <w:szCs w:val="24"/>
        </w:rPr>
        <w:t>‘</w:t>
      </w:r>
      <w:r w:rsidR="00004AFF" w:rsidRPr="00997397">
        <w:rPr>
          <w:rFonts w:ascii="Times New Roman" w:eastAsia="Calibri" w:hAnsi="Times New Roman" w:cs="Times New Roman"/>
          <w:bCs/>
          <w:sz w:val="24"/>
          <w:szCs w:val="24"/>
        </w:rPr>
        <w:t>Brussels</w:t>
      </w:r>
      <w:r w:rsidR="004A4AEE" w:rsidRPr="00997397">
        <w:rPr>
          <w:rFonts w:ascii="Times New Roman" w:eastAsia="Calibri" w:hAnsi="Times New Roman" w:cs="Times New Roman"/>
          <w:bCs/>
          <w:sz w:val="24"/>
          <w:szCs w:val="24"/>
        </w:rPr>
        <w:t xml:space="preserve"> effect</w:t>
      </w:r>
      <w:r w:rsidR="000C5197">
        <w:rPr>
          <w:rFonts w:ascii="Times New Roman" w:eastAsia="Calibri" w:hAnsi="Times New Roman" w:cs="Times New Roman"/>
          <w:bCs/>
          <w:sz w:val="24"/>
          <w:szCs w:val="24"/>
        </w:rPr>
        <w:t>’</w:t>
      </w:r>
      <w:r w:rsidR="00690B3A" w:rsidRPr="00690B3A">
        <w:rPr>
          <w:rStyle w:val="FootnoteReference"/>
          <w:rFonts w:ascii="Times New Roman" w:hAnsi="Times New Roman" w:cs="Times New Roman"/>
          <w:sz w:val="24"/>
          <w:szCs w:val="24"/>
        </w:rPr>
        <w:footnoteReference w:id="112"/>
      </w:r>
      <w:r w:rsidR="00690B3A">
        <w:rPr>
          <w:rFonts w:ascii="Times New Roman" w:eastAsia="Calibri" w:hAnsi="Times New Roman" w:cs="Times New Roman"/>
          <w:bCs/>
          <w:sz w:val="24"/>
          <w:szCs w:val="24"/>
        </w:rPr>
        <w:t xml:space="preserve"> </w:t>
      </w:r>
      <w:r w:rsidR="004A4AEE" w:rsidRPr="00997397">
        <w:rPr>
          <w:rFonts w:ascii="Times New Roman" w:eastAsia="Calibri" w:hAnsi="Times New Roman" w:cs="Times New Roman"/>
          <w:bCs/>
          <w:sz w:val="24"/>
          <w:szCs w:val="24"/>
        </w:rPr>
        <w:t xml:space="preserve">operates when firms and market actors </w:t>
      </w:r>
      <w:r w:rsidR="000D5379" w:rsidRPr="00997397">
        <w:rPr>
          <w:rFonts w:ascii="Times New Roman" w:eastAsia="Calibri" w:hAnsi="Times New Roman" w:cs="Times New Roman"/>
          <w:bCs/>
          <w:sz w:val="24"/>
          <w:szCs w:val="24"/>
        </w:rPr>
        <w:t xml:space="preserve">required to produce </w:t>
      </w:r>
      <w:r w:rsidR="006C148E" w:rsidRPr="00997397">
        <w:rPr>
          <w:rFonts w:ascii="Times New Roman" w:eastAsia="Calibri" w:hAnsi="Times New Roman" w:cs="Times New Roman"/>
          <w:bCs/>
          <w:sz w:val="24"/>
          <w:szCs w:val="24"/>
        </w:rPr>
        <w:t>good</w:t>
      </w:r>
      <w:r w:rsidR="00F14C78" w:rsidRPr="00997397">
        <w:rPr>
          <w:rFonts w:ascii="Times New Roman" w:eastAsia="Calibri" w:hAnsi="Times New Roman" w:cs="Times New Roman"/>
          <w:bCs/>
          <w:sz w:val="24"/>
          <w:szCs w:val="24"/>
        </w:rPr>
        <w:t>s</w:t>
      </w:r>
      <w:r w:rsidR="006C148E" w:rsidRPr="00997397">
        <w:rPr>
          <w:rFonts w:ascii="Times New Roman" w:eastAsia="Calibri" w:hAnsi="Times New Roman" w:cs="Times New Roman"/>
          <w:bCs/>
          <w:sz w:val="24"/>
          <w:szCs w:val="24"/>
        </w:rPr>
        <w:t xml:space="preserve"> to EU standards for the EU market </w:t>
      </w:r>
      <w:r w:rsidR="00F14C78" w:rsidRPr="00997397">
        <w:rPr>
          <w:rFonts w:ascii="Times New Roman" w:eastAsia="Calibri" w:hAnsi="Times New Roman" w:cs="Times New Roman"/>
          <w:bCs/>
          <w:sz w:val="24"/>
          <w:szCs w:val="24"/>
        </w:rPr>
        <w:t>rationally</w:t>
      </w:r>
      <w:r w:rsidR="00A16502" w:rsidRPr="00997397">
        <w:rPr>
          <w:rFonts w:ascii="Times New Roman" w:eastAsia="Calibri" w:hAnsi="Times New Roman" w:cs="Times New Roman"/>
          <w:bCs/>
          <w:sz w:val="24"/>
          <w:szCs w:val="24"/>
        </w:rPr>
        <w:t xml:space="preserve"> decide to comply with those same standards for their other geographic markets.</w:t>
      </w:r>
      <w:r w:rsidR="003C0AAA" w:rsidRPr="00997397">
        <w:rPr>
          <w:rFonts w:ascii="Times New Roman" w:eastAsia="Calibri" w:hAnsi="Times New Roman" w:cs="Times New Roman"/>
          <w:bCs/>
          <w:sz w:val="24"/>
          <w:szCs w:val="24"/>
        </w:rPr>
        <w:t xml:space="preserve"> </w:t>
      </w:r>
      <w:r w:rsidR="00FB1907" w:rsidRPr="00997397">
        <w:rPr>
          <w:rFonts w:ascii="Times New Roman" w:eastAsia="Calibri" w:hAnsi="Times New Roman" w:cs="Times New Roman"/>
          <w:bCs/>
          <w:sz w:val="24"/>
          <w:szCs w:val="24"/>
        </w:rPr>
        <w:t xml:space="preserve">This </w:t>
      </w:r>
      <w:r w:rsidR="003A6AB3" w:rsidRPr="00997397">
        <w:rPr>
          <w:rFonts w:ascii="Times New Roman" w:eastAsia="Calibri" w:hAnsi="Times New Roman" w:cs="Times New Roman"/>
          <w:bCs/>
          <w:sz w:val="24"/>
          <w:szCs w:val="24"/>
        </w:rPr>
        <w:t xml:space="preserve">incentive </w:t>
      </w:r>
      <w:r w:rsidR="0007152C" w:rsidRPr="00997397">
        <w:rPr>
          <w:rFonts w:ascii="Times New Roman" w:eastAsia="Calibri" w:hAnsi="Times New Roman" w:cs="Times New Roman"/>
          <w:bCs/>
          <w:sz w:val="24"/>
          <w:szCs w:val="24"/>
        </w:rPr>
        <w:t xml:space="preserve">to over-comply with EU rules is reflected in Bradford’s condition of </w:t>
      </w:r>
      <w:r w:rsidR="003B7896">
        <w:rPr>
          <w:rFonts w:ascii="Times New Roman" w:eastAsia="Calibri" w:hAnsi="Times New Roman" w:cs="Times New Roman"/>
          <w:bCs/>
          <w:sz w:val="24"/>
          <w:szCs w:val="24"/>
        </w:rPr>
        <w:t>‘</w:t>
      </w:r>
      <w:r w:rsidR="0007152C" w:rsidRPr="00997397">
        <w:rPr>
          <w:rFonts w:ascii="Times New Roman" w:eastAsia="Calibri" w:hAnsi="Times New Roman" w:cs="Times New Roman"/>
          <w:bCs/>
          <w:sz w:val="24"/>
          <w:szCs w:val="24"/>
        </w:rPr>
        <w:t xml:space="preserve">non-divisibility of </w:t>
      </w:r>
      <w:r w:rsidR="0007152C" w:rsidRPr="00997397">
        <w:rPr>
          <w:rFonts w:ascii="Times New Roman" w:eastAsia="Calibri" w:hAnsi="Times New Roman" w:cs="Times New Roman"/>
          <w:bCs/>
          <w:sz w:val="24"/>
          <w:szCs w:val="24"/>
        </w:rPr>
        <w:lastRenderedPageBreak/>
        <w:t>standards</w:t>
      </w:r>
      <w:r w:rsidR="003B7896">
        <w:rPr>
          <w:rFonts w:ascii="Times New Roman" w:eastAsia="Calibri" w:hAnsi="Times New Roman" w:cs="Times New Roman"/>
          <w:bCs/>
          <w:sz w:val="24"/>
          <w:szCs w:val="24"/>
        </w:rPr>
        <w:t>’</w:t>
      </w:r>
      <w:r w:rsidR="00E57131" w:rsidRPr="00997397">
        <w:rPr>
          <w:rFonts w:ascii="Times New Roman" w:eastAsia="Calibri" w:hAnsi="Times New Roman" w:cs="Times New Roman"/>
          <w:bCs/>
          <w:sz w:val="24"/>
          <w:szCs w:val="24"/>
        </w:rPr>
        <w:t xml:space="preserve">, particularly </w:t>
      </w:r>
      <w:r w:rsidR="00FD2D46" w:rsidRPr="00997397">
        <w:rPr>
          <w:rFonts w:ascii="Times New Roman" w:eastAsia="Calibri" w:hAnsi="Times New Roman" w:cs="Times New Roman"/>
          <w:bCs/>
          <w:sz w:val="24"/>
          <w:szCs w:val="24"/>
        </w:rPr>
        <w:t xml:space="preserve">economic </w:t>
      </w:r>
      <w:r w:rsidR="004779E0" w:rsidRPr="00997397">
        <w:rPr>
          <w:rFonts w:ascii="Times New Roman" w:eastAsia="Calibri" w:hAnsi="Times New Roman" w:cs="Times New Roman"/>
          <w:bCs/>
          <w:sz w:val="24"/>
          <w:szCs w:val="24"/>
        </w:rPr>
        <w:t xml:space="preserve">- </w:t>
      </w:r>
      <w:r w:rsidR="00FD2D46" w:rsidRPr="00997397">
        <w:rPr>
          <w:rFonts w:ascii="Times New Roman" w:eastAsia="Calibri" w:hAnsi="Times New Roman" w:cs="Times New Roman"/>
          <w:bCs/>
          <w:sz w:val="24"/>
          <w:szCs w:val="24"/>
        </w:rPr>
        <w:t>it is less expensive for producers to comply with one standard than several</w:t>
      </w:r>
      <w:r w:rsidR="004779E0" w:rsidRPr="00997397">
        <w:rPr>
          <w:rFonts w:ascii="Times New Roman" w:eastAsia="Calibri" w:hAnsi="Times New Roman" w:cs="Times New Roman"/>
          <w:bCs/>
          <w:sz w:val="24"/>
          <w:szCs w:val="24"/>
        </w:rPr>
        <w:t xml:space="preserve"> - </w:t>
      </w:r>
      <w:r w:rsidR="00482332" w:rsidRPr="00997397">
        <w:rPr>
          <w:rFonts w:ascii="Times New Roman" w:eastAsia="Calibri" w:hAnsi="Times New Roman" w:cs="Times New Roman"/>
          <w:bCs/>
          <w:sz w:val="24"/>
          <w:szCs w:val="24"/>
        </w:rPr>
        <w:t xml:space="preserve">and technical </w:t>
      </w:r>
      <w:r w:rsidR="004779E0" w:rsidRPr="00997397">
        <w:rPr>
          <w:rFonts w:ascii="Times New Roman" w:eastAsia="Calibri" w:hAnsi="Times New Roman" w:cs="Times New Roman"/>
          <w:bCs/>
          <w:sz w:val="24"/>
          <w:szCs w:val="24"/>
        </w:rPr>
        <w:t xml:space="preserve">- </w:t>
      </w:r>
      <w:r w:rsidR="00390694">
        <w:rPr>
          <w:rFonts w:ascii="Times New Roman" w:eastAsia="Calibri" w:hAnsi="Times New Roman" w:cs="Times New Roman"/>
          <w:bCs/>
          <w:sz w:val="24"/>
          <w:szCs w:val="24"/>
        </w:rPr>
        <w:t>where</w:t>
      </w:r>
      <w:r w:rsidR="00C1153B" w:rsidRPr="00997397">
        <w:rPr>
          <w:rFonts w:ascii="Times New Roman" w:eastAsia="Calibri" w:hAnsi="Times New Roman" w:cs="Times New Roman"/>
          <w:bCs/>
          <w:sz w:val="24"/>
          <w:szCs w:val="24"/>
        </w:rPr>
        <w:t xml:space="preserve"> </w:t>
      </w:r>
      <w:r w:rsidR="001551EA" w:rsidRPr="00997397">
        <w:rPr>
          <w:rFonts w:ascii="Times New Roman" w:eastAsia="Calibri" w:hAnsi="Times New Roman" w:cs="Times New Roman"/>
          <w:bCs/>
          <w:sz w:val="24"/>
          <w:szCs w:val="24"/>
        </w:rPr>
        <w:t>firms cannot produce goods with different specifications for different markets</w:t>
      </w:r>
      <w:r w:rsidR="0073563E" w:rsidRPr="00997397">
        <w:rPr>
          <w:rFonts w:ascii="Times New Roman" w:eastAsia="Calibri" w:hAnsi="Times New Roman" w:cs="Times New Roman"/>
          <w:bCs/>
          <w:sz w:val="24"/>
          <w:szCs w:val="24"/>
        </w:rPr>
        <w:t>.</w:t>
      </w:r>
    </w:p>
    <w:p w14:paraId="3CCED72C" w14:textId="6F325C9F" w:rsidR="005376D7" w:rsidRPr="00456B32" w:rsidRDefault="00390694" w:rsidP="00D03DFF">
      <w:pPr>
        <w:spacing w:line="240" w:lineRule="auto"/>
        <w:rPr>
          <w:rFonts w:ascii="Times New Roman" w:eastAsia="Calibri" w:hAnsi="Times New Roman" w:cs="Times New Roman"/>
          <w:bCs/>
          <w:sz w:val="24"/>
          <w:szCs w:val="24"/>
        </w:rPr>
      </w:pPr>
      <w:r w:rsidRPr="003269D3">
        <w:rPr>
          <w:rFonts w:ascii="Times New Roman" w:eastAsia="Calibri" w:hAnsi="Times New Roman" w:cs="Times New Roman"/>
          <w:bCs/>
          <w:sz w:val="24"/>
          <w:szCs w:val="24"/>
        </w:rPr>
        <w:t xml:space="preserve">This is linked to </w:t>
      </w:r>
      <w:r w:rsidR="00482332" w:rsidRPr="003269D3">
        <w:rPr>
          <w:rFonts w:ascii="Times New Roman" w:eastAsia="Calibri" w:hAnsi="Times New Roman" w:cs="Times New Roman"/>
          <w:bCs/>
          <w:sz w:val="24"/>
          <w:szCs w:val="24"/>
        </w:rPr>
        <w:t>Bradford’s third type of non-divisibility</w:t>
      </w:r>
      <w:r w:rsidR="00A4101A" w:rsidRPr="003269D3">
        <w:rPr>
          <w:rFonts w:ascii="Times New Roman" w:eastAsia="Calibri" w:hAnsi="Times New Roman" w:cs="Times New Roman"/>
          <w:bCs/>
          <w:sz w:val="24"/>
          <w:szCs w:val="24"/>
        </w:rPr>
        <w:t xml:space="preserve"> of standards</w:t>
      </w:r>
      <w:r w:rsidR="00482332" w:rsidRPr="003269D3">
        <w:rPr>
          <w:rFonts w:ascii="Times New Roman" w:eastAsia="Calibri" w:hAnsi="Times New Roman" w:cs="Times New Roman"/>
          <w:bCs/>
          <w:sz w:val="24"/>
          <w:szCs w:val="24"/>
        </w:rPr>
        <w:t xml:space="preserve">: </w:t>
      </w:r>
      <w:r w:rsidR="00EA67A8" w:rsidRPr="003269D3">
        <w:rPr>
          <w:rFonts w:ascii="Times New Roman" w:eastAsia="Calibri" w:hAnsi="Times New Roman" w:cs="Times New Roman"/>
          <w:bCs/>
          <w:sz w:val="24"/>
          <w:szCs w:val="24"/>
        </w:rPr>
        <w:t>legal</w:t>
      </w:r>
      <w:r w:rsidR="00A66C00" w:rsidRPr="003269D3">
        <w:rPr>
          <w:rFonts w:ascii="Times New Roman" w:eastAsia="Calibri" w:hAnsi="Times New Roman" w:cs="Times New Roman"/>
          <w:bCs/>
          <w:sz w:val="24"/>
          <w:szCs w:val="24"/>
        </w:rPr>
        <w:t xml:space="preserve"> non-</w:t>
      </w:r>
      <w:r w:rsidR="00626562" w:rsidRPr="003269D3">
        <w:rPr>
          <w:rFonts w:ascii="Times New Roman" w:eastAsia="Calibri" w:hAnsi="Times New Roman" w:cs="Times New Roman"/>
          <w:bCs/>
          <w:sz w:val="24"/>
          <w:szCs w:val="24"/>
        </w:rPr>
        <w:t>divisibility</w:t>
      </w:r>
      <w:r w:rsidR="00424491" w:rsidRPr="003269D3">
        <w:rPr>
          <w:rFonts w:ascii="Times New Roman" w:eastAsia="Calibri" w:hAnsi="Times New Roman" w:cs="Times New Roman"/>
          <w:bCs/>
          <w:sz w:val="24"/>
          <w:szCs w:val="24"/>
        </w:rPr>
        <w:t xml:space="preserve">, </w:t>
      </w:r>
      <w:r w:rsidR="009D1C99">
        <w:rPr>
          <w:rFonts w:ascii="Times New Roman" w:eastAsia="Calibri" w:hAnsi="Times New Roman" w:cs="Times New Roman"/>
          <w:bCs/>
          <w:sz w:val="24"/>
          <w:szCs w:val="24"/>
        </w:rPr>
        <w:t>develop</w:t>
      </w:r>
      <w:r w:rsidR="00483E1C">
        <w:rPr>
          <w:rFonts w:ascii="Times New Roman" w:eastAsia="Calibri" w:hAnsi="Times New Roman" w:cs="Times New Roman"/>
          <w:bCs/>
          <w:sz w:val="24"/>
          <w:szCs w:val="24"/>
        </w:rPr>
        <w:t>ed by Scott</w:t>
      </w:r>
      <w:r w:rsidR="00A6129C" w:rsidRPr="003269D3">
        <w:rPr>
          <w:rFonts w:ascii="Times New Roman" w:eastAsia="Calibri" w:hAnsi="Times New Roman" w:cs="Times New Roman"/>
          <w:bCs/>
          <w:sz w:val="24"/>
          <w:szCs w:val="24"/>
        </w:rPr>
        <w:t>.</w:t>
      </w:r>
      <w:r w:rsidR="00A6129C" w:rsidRPr="003269D3">
        <w:rPr>
          <w:rStyle w:val="FootnoteReference"/>
          <w:rFonts w:ascii="Times New Roman" w:eastAsia="Calibri" w:hAnsi="Times New Roman" w:cs="Times New Roman"/>
          <w:bCs/>
          <w:sz w:val="24"/>
          <w:szCs w:val="24"/>
        </w:rPr>
        <w:footnoteReference w:id="113"/>
      </w:r>
      <w:r w:rsidR="00A6129C" w:rsidRPr="003269D3">
        <w:rPr>
          <w:rFonts w:ascii="Times New Roman" w:eastAsia="Calibri" w:hAnsi="Times New Roman" w:cs="Times New Roman"/>
          <w:bCs/>
          <w:sz w:val="24"/>
          <w:szCs w:val="24"/>
        </w:rPr>
        <w:t xml:space="preserve"> </w:t>
      </w:r>
      <w:r w:rsidR="00483E1C" w:rsidRPr="00456B32">
        <w:rPr>
          <w:rFonts w:ascii="Times New Roman" w:eastAsia="Calibri" w:hAnsi="Times New Roman" w:cs="Times New Roman"/>
          <w:bCs/>
          <w:sz w:val="24"/>
          <w:szCs w:val="24"/>
        </w:rPr>
        <w:t>Going beyond de facto incentives, f</w:t>
      </w:r>
      <w:r w:rsidR="00EA0E88" w:rsidRPr="00456B32">
        <w:rPr>
          <w:rFonts w:ascii="Times New Roman" w:eastAsia="Calibri" w:hAnsi="Times New Roman" w:cs="Times New Roman"/>
          <w:bCs/>
          <w:sz w:val="24"/>
          <w:szCs w:val="24"/>
        </w:rPr>
        <w:t>irm-level territorial extension requires third country companies to comply with EU law even when they are not producing goods for the EU market</w:t>
      </w:r>
      <w:r w:rsidR="00943134" w:rsidRPr="00456B32">
        <w:rPr>
          <w:rFonts w:ascii="Times New Roman" w:eastAsia="Calibri" w:hAnsi="Times New Roman" w:cs="Times New Roman"/>
          <w:bCs/>
          <w:sz w:val="24"/>
          <w:szCs w:val="24"/>
        </w:rPr>
        <w:t>.</w:t>
      </w:r>
      <w:r w:rsidR="00943134" w:rsidRPr="00456B32">
        <w:rPr>
          <w:rFonts w:ascii="Times New Roman" w:eastAsia="Calibri" w:hAnsi="Times New Roman" w:cs="Times New Roman"/>
          <w:bCs/>
          <w:i/>
          <w:iCs/>
          <w:sz w:val="24"/>
          <w:szCs w:val="24"/>
        </w:rPr>
        <w:t xml:space="preserve"> </w:t>
      </w:r>
      <w:r w:rsidR="003668A2" w:rsidRPr="00456B32">
        <w:rPr>
          <w:rFonts w:ascii="Times New Roman" w:eastAsia="Calibri" w:hAnsi="Times New Roman" w:cs="Times New Roman"/>
          <w:bCs/>
          <w:sz w:val="24"/>
          <w:szCs w:val="24"/>
        </w:rPr>
        <w:t>C</w:t>
      </w:r>
      <w:r w:rsidR="009B4870" w:rsidRPr="00456B32">
        <w:rPr>
          <w:rFonts w:ascii="Times New Roman" w:eastAsia="Calibri" w:hAnsi="Times New Roman" w:cs="Times New Roman"/>
          <w:bCs/>
          <w:sz w:val="24"/>
          <w:szCs w:val="24"/>
        </w:rPr>
        <w:t>ountry-level territorial extension operates to make EU market access</w:t>
      </w:r>
      <w:r w:rsidR="001841A0" w:rsidRPr="00456B32">
        <w:rPr>
          <w:rFonts w:ascii="Times New Roman" w:eastAsia="Calibri" w:hAnsi="Times New Roman" w:cs="Times New Roman"/>
          <w:bCs/>
          <w:sz w:val="24"/>
          <w:szCs w:val="24"/>
        </w:rPr>
        <w:t xml:space="preserve"> </w:t>
      </w:r>
      <w:r w:rsidR="009B4870" w:rsidRPr="00456B32">
        <w:rPr>
          <w:rFonts w:ascii="Times New Roman" w:eastAsia="Calibri" w:hAnsi="Times New Roman" w:cs="Times New Roman"/>
          <w:bCs/>
          <w:sz w:val="24"/>
          <w:szCs w:val="24"/>
        </w:rPr>
        <w:t>conditional upon the content of third country law</w:t>
      </w:r>
      <w:r w:rsidR="0095675D" w:rsidRPr="00456B32">
        <w:rPr>
          <w:rFonts w:ascii="Times New Roman" w:eastAsia="Calibri" w:hAnsi="Times New Roman" w:cs="Times New Roman"/>
          <w:bCs/>
          <w:sz w:val="24"/>
          <w:szCs w:val="24"/>
        </w:rPr>
        <w:t>,</w:t>
      </w:r>
      <w:r w:rsidR="00D66DE5" w:rsidRPr="00456B32">
        <w:rPr>
          <w:rFonts w:ascii="Times New Roman" w:eastAsia="Calibri" w:hAnsi="Times New Roman" w:cs="Times New Roman"/>
          <w:bCs/>
          <w:sz w:val="24"/>
          <w:szCs w:val="24"/>
        </w:rPr>
        <w:t xml:space="preserve"> g</w:t>
      </w:r>
      <w:r w:rsidR="00375962" w:rsidRPr="00456B32">
        <w:rPr>
          <w:rFonts w:ascii="Times New Roman" w:eastAsia="Calibri" w:hAnsi="Times New Roman" w:cs="Times New Roman"/>
          <w:bCs/>
          <w:sz w:val="24"/>
          <w:szCs w:val="24"/>
        </w:rPr>
        <w:t>iv</w:t>
      </w:r>
      <w:r w:rsidR="0095675D" w:rsidRPr="00456B32">
        <w:rPr>
          <w:rFonts w:ascii="Times New Roman" w:eastAsia="Calibri" w:hAnsi="Times New Roman" w:cs="Times New Roman"/>
          <w:bCs/>
          <w:sz w:val="24"/>
          <w:szCs w:val="24"/>
        </w:rPr>
        <w:t>ing</w:t>
      </w:r>
      <w:r w:rsidR="00375962" w:rsidRPr="00456B32">
        <w:rPr>
          <w:rFonts w:ascii="Times New Roman" w:eastAsia="Calibri" w:hAnsi="Times New Roman" w:cs="Times New Roman"/>
          <w:bCs/>
          <w:sz w:val="24"/>
          <w:szCs w:val="24"/>
        </w:rPr>
        <w:t xml:space="preserve"> rise to the de jure Brussels effect.</w:t>
      </w:r>
      <w:r w:rsidR="001B739D" w:rsidRPr="00456B32">
        <w:rPr>
          <w:rFonts w:ascii="Times New Roman" w:eastAsia="Calibri" w:hAnsi="Times New Roman" w:cs="Times New Roman"/>
          <w:bCs/>
          <w:sz w:val="24"/>
          <w:szCs w:val="24"/>
        </w:rPr>
        <w:t xml:space="preserve"> Th</w:t>
      </w:r>
      <w:r w:rsidR="005376D7" w:rsidRPr="00456B32">
        <w:rPr>
          <w:rFonts w:ascii="Times New Roman" w:eastAsia="Calibri" w:hAnsi="Times New Roman" w:cs="Times New Roman"/>
          <w:bCs/>
          <w:sz w:val="24"/>
          <w:szCs w:val="24"/>
        </w:rPr>
        <w:t xml:space="preserve">is </w:t>
      </w:r>
      <w:r w:rsidR="001B739D" w:rsidRPr="00456B32">
        <w:rPr>
          <w:rFonts w:ascii="Times New Roman" w:eastAsia="Calibri" w:hAnsi="Times New Roman" w:cs="Times New Roman"/>
          <w:bCs/>
          <w:sz w:val="24"/>
          <w:szCs w:val="24"/>
        </w:rPr>
        <w:t>de jure effect occurs when a third country incorporates EU standards into its domestic legislation.</w:t>
      </w:r>
      <w:r w:rsidR="001B739D" w:rsidRPr="00456B32">
        <w:rPr>
          <w:rStyle w:val="FootnoteReference"/>
          <w:rFonts w:ascii="Times New Roman" w:eastAsia="Calibri" w:hAnsi="Times New Roman" w:cs="Times New Roman"/>
          <w:bCs/>
          <w:sz w:val="24"/>
          <w:szCs w:val="24"/>
        </w:rPr>
        <w:footnoteReference w:id="114"/>
      </w:r>
      <w:r w:rsidR="001B739D" w:rsidRPr="00456B32">
        <w:rPr>
          <w:rFonts w:ascii="Times New Roman" w:eastAsia="Calibri" w:hAnsi="Times New Roman" w:cs="Times New Roman"/>
          <w:bCs/>
          <w:sz w:val="24"/>
          <w:szCs w:val="24"/>
        </w:rPr>
        <w:t xml:space="preserve"> </w:t>
      </w:r>
      <w:r w:rsidR="005376D7" w:rsidRPr="00456B32">
        <w:rPr>
          <w:rFonts w:ascii="Times New Roman" w:eastAsia="Calibri" w:hAnsi="Times New Roman" w:cs="Times New Roman"/>
          <w:bCs/>
          <w:sz w:val="24"/>
          <w:szCs w:val="24"/>
        </w:rPr>
        <w:t>The UK has done this initially through its EU (With</w:t>
      </w:r>
      <w:r w:rsidR="008B36D3" w:rsidRPr="00456B32">
        <w:rPr>
          <w:rFonts w:ascii="Times New Roman" w:eastAsia="Calibri" w:hAnsi="Times New Roman" w:cs="Times New Roman"/>
          <w:bCs/>
          <w:sz w:val="24"/>
          <w:szCs w:val="24"/>
        </w:rPr>
        <w:t>drawal Agreement) Act 2018, with the immediate priority of avoiding lacunae in domestic law.</w:t>
      </w:r>
    </w:p>
    <w:p w14:paraId="72A03922" w14:textId="754EA3B4" w:rsidR="00FB1907" w:rsidRPr="003269D3" w:rsidRDefault="00BE3312" w:rsidP="00D03DFF">
      <w:pPr>
        <w:spacing w:line="240" w:lineRule="auto"/>
        <w:rPr>
          <w:rFonts w:ascii="Times New Roman" w:eastAsia="Calibri" w:hAnsi="Times New Roman" w:cs="Times New Roman"/>
          <w:bCs/>
          <w:sz w:val="24"/>
          <w:szCs w:val="24"/>
        </w:rPr>
      </w:pPr>
      <w:r w:rsidRPr="009925AD">
        <w:rPr>
          <w:rFonts w:ascii="Times New Roman" w:hAnsi="Times New Roman" w:cs="Times New Roman"/>
          <w:sz w:val="24"/>
          <w:szCs w:val="24"/>
        </w:rPr>
        <w:t>This raises the question of whether the pull of EU regulation wears off over time</w:t>
      </w:r>
      <w:r w:rsidR="009925AD" w:rsidRPr="009925AD">
        <w:rPr>
          <w:rFonts w:ascii="Times New Roman" w:hAnsi="Times New Roman" w:cs="Times New Roman"/>
          <w:sz w:val="24"/>
          <w:szCs w:val="24"/>
        </w:rPr>
        <w:t xml:space="preserve">, and the constraining impact of the </w:t>
      </w:r>
      <w:r w:rsidR="0017427E" w:rsidRPr="009925AD">
        <w:rPr>
          <w:rFonts w:ascii="Times New Roman" w:eastAsia="Calibri" w:hAnsi="Times New Roman" w:cs="Times New Roman"/>
          <w:bCs/>
          <w:sz w:val="24"/>
          <w:szCs w:val="24"/>
        </w:rPr>
        <w:t xml:space="preserve">TCA </w:t>
      </w:r>
      <w:r w:rsidR="001B739D" w:rsidRPr="009925AD">
        <w:rPr>
          <w:rFonts w:ascii="Times New Roman" w:eastAsia="Calibri" w:hAnsi="Times New Roman" w:cs="Times New Roman"/>
          <w:bCs/>
          <w:sz w:val="24"/>
          <w:szCs w:val="24"/>
        </w:rPr>
        <w:t>level playing field provisions</w:t>
      </w:r>
      <w:r w:rsidR="0017427E" w:rsidRPr="009925AD">
        <w:rPr>
          <w:rFonts w:ascii="Times New Roman" w:eastAsia="Calibri" w:hAnsi="Times New Roman" w:cs="Times New Roman"/>
          <w:bCs/>
          <w:sz w:val="24"/>
          <w:szCs w:val="24"/>
        </w:rPr>
        <w:t xml:space="preserve"> and rebalancing measures</w:t>
      </w:r>
      <w:r w:rsidR="009925AD" w:rsidRPr="009925AD">
        <w:rPr>
          <w:rFonts w:ascii="Times New Roman" w:eastAsia="Calibri" w:hAnsi="Times New Roman" w:cs="Times New Roman"/>
          <w:bCs/>
          <w:sz w:val="24"/>
          <w:szCs w:val="24"/>
        </w:rPr>
        <w:t>.</w:t>
      </w:r>
    </w:p>
    <w:p w14:paraId="66C6C328" w14:textId="211470D3" w:rsidR="007872BC" w:rsidRDefault="003B7AC2" w:rsidP="006613AB">
      <w:pPr>
        <w:spacing w:line="240" w:lineRule="auto"/>
        <w:rPr>
          <w:rFonts w:ascii="Times New Roman" w:hAnsi="Times New Roman" w:cs="Times New Roman"/>
          <w:sz w:val="24"/>
          <w:szCs w:val="24"/>
        </w:rPr>
      </w:pPr>
      <w:r>
        <w:rPr>
          <w:rFonts w:ascii="Times New Roman" w:eastAsia="Calibri" w:hAnsi="Times New Roman" w:cs="Times New Roman"/>
          <w:bCs/>
          <w:sz w:val="24"/>
          <w:szCs w:val="24"/>
        </w:rPr>
        <w:t xml:space="preserve">It is important to </w:t>
      </w:r>
      <w:r w:rsidR="00384876">
        <w:rPr>
          <w:rFonts w:ascii="Times New Roman" w:eastAsia="Calibri" w:hAnsi="Times New Roman" w:cs="Times New Roman"/>
          <w:bCs/>
          <w:sz w:val="24"/>
          <w:szCs w:val="24"/>
        </w:rPr>
        <w:t>bear in mind</w:t>
      </w:r>
      <w:r>
        <w:rPr>
          <w:rFonts w:ascii="Times New Roman" w:eastAsia="Calibri" w:hAnsi="Times New Roman" w:cs="Times New Roman"/>
          <w:bCs/>
          <w:sz w:val="24"/>
          <w:szCs w:val="24"/>
        </w:rPr>
        <w:t>, however, that r</w:t>
      </w:r>
      <w:r w:rsidR="00D25FCC" w:rsidRPr="00997397">
        <w:rPr>
          <w:rFonts w:ascii="Times New Roman" w:eastAsia="Calibri" w:hAnsi="Times New Roman" w:cs="Times New Roman"/>
          <w:bCs/>
          <w:sz w:val="24"/>
          <w:szCs w:val="24"/>
        </w:rPr>
        <w:t xml:space="preserve">ules may be developed </w:t>
      </w:r>
      <w:r w:rsidR="00075344" w:rsidRPr="00997397">
        <w:rPr>
          <w:rFonts w:ascii="Times New Roman" w:eastAsia="Calibri" w:hAnsi="Times New Roman" w:cs="Times New Roman"/>
          <w:bCs/>
          <w:sz w:val="24"/>
          <w:szCs w:val="24"/>
        </w:rPr>
        <w:t>not only through</w:t>
      </w:r>
      <w:r w:rsidR="001B349E" w:rsidRPr="00997397">
        <w:rPr>
          <w:rFonts w:ascii="Times New Roman" w:eastAsia="Calibri" w:hAnsi="Times New Roman" w:cs="Times New Roman"/>
          <w:bCs/>
          <w:sz w:val="24"/>
          <w:szCs w:val="24"/>
        </w:rPr>
        <w:t xml:space="preserve"> </w:t>
      </w:r>
      <w:r w:rsidR="00456B32">
        <w:rPr>
          <w:rFonts w:ascii="Times New Roman" w:eastAsia="Calibri" w:hAnsi="Times New Roman" w:cs="Times New Roman"/>
          <w:bCs/>
          <w:sz w:val="24"/>
          <w:szCs w:val="24"/>
        </w:rPr>
        <w:t xml:space="preserve">governmental rule-making and </w:t>
      </w:r>
      <w:r w:rsidR="007F1538">
        <w:rPr>
          <w:rFonts w:ascii="Times New Roman" w:eastAsia="Calibri" w:hAnsi="Times New Roman" w:cs="Times New Roman"/>
          <w:bCs/>
          <w:sz w:val="24"/>
          <w:szCs w:val="24"/>
        </w:rPr>
        <w:t xml:space="preserve">primary </w:t>
      </w:r>
      <w:r w:rsidR="001B349E" w:rsidRPr="00997397">
        <w:rPr>
          <w:rFonts w:ascii="Times New Roman" w:eastAsia="Calibri" w:hAnsi="Times New Roman" w:cs="Times New Roman"/>
          <w:bCs/>
          <w:sz w:val="24"/>
          <w:szCs w:val="24"/>
        </w:rPr>
        <w:t>legislation,</w:t>
      </w:r>
      <w:r w:rsidR="00C45295">
        <w:rPr>
          <w:rFonts w:ascii="Times New Roman" w:eastAsia="Calibri" w:hAnsi="Times New Roman" w:cs="Times New Roman"/>
          <w:bCs/>
          <w:sz w:val="24"/>
          <w:szCs w:val="24"/>
        </w:rPr>
        <w:t xml:space="preserve"> </w:t>
      </w:r>
      <w:r w:rsidR="001B349E" w:rsidRPr="00997397">
        <w:rPr>
          <w:rFonts w:ascii="Times New Roman" w:eastAsia="Calibri" w:hAnsi="Times New Roman" w:cs="Times New Roman"/>
          <w:bCs/>
          <w:sz w:val="24"/>
          <w:szCs w:val="24"/>
        </w:rPr>
        <w:t xml:space="preserve">but </w:t>
      </w:r>
      <w:r w:rsidR="00D25FCC" w:rsidRPr="00997397">
        <w:rPr>
          <w:rFonts w:ascii="Times New Roman" w:eastAsia="Calibri" w:hAnsi="Times New Roman" w:cs="Times New Roman"/>
          <w:bCs/>
          <w:sz w:val="24"/>
          <w:szCs w:val="24"/>
        </w:rPr>
        <w:t>at a sectoral level</w:t>
      </w:r>
      <w:r w:rsidR="001B349E" w:rsidRPr="00997397">
        <w:rPr>
          <w:rFonts w:ascii="Times New Roman" w:eastAsia="Calibri" w:hAnsi="Times New Roman" w:cs="Times New Roman"/>
          <w:bCs/>
          <w:sz w:val="24"/>
          <w:szCs w:val="24"/>
        </w:rPr>
        <w:t xml:space="preserve"> </w:t>
      </w:r>
      <w:r w:rsidR="005358F4" w:rsidRPr="00997397">
        <w:rPr>
          <w:rFonts w:ascii="Times New Roman" w:eastAsia="Calibri" w:hAnsi="Times New Roman" w:cs="Times New Roman"/>
          <w:bCs/>
          <w:sz w:val="24"/>
          <w:szCs w:val="24"/>
        </w:rPr>
        <w:t>between regulators and in some cases with stakeholders them</w:t>
      </w:r>
      <w:r w:rsidR="00F5316C" w:rsidRPr="00997397">
        <w:rPr>
          <w:rFonts w:ascii="Times New Roman" w:eastAsia="Calibri" w:hAnsi="Times New Roman" w:cs="Times New Roman"/>
          <w:bCs/>
          <w:sz w:val="24"/>
          <w:szCs w:val="24"/>
        </w:rPr>
        <w:t>selves.</w:t>
      </w:r>
      <w:r w:rsidR="00C45295">
        <w:rPr>
          <w:rStyle w:val="FootnoteReference"/>
          <w:rFonts w:ascii="Times New Roman" w:eastAsia="Calibri" w:hAnsi="Times New Roman" w:cs="Times New Roman"/>
          <w:bCs/>
          <w:sz w:val="24"/>
          <w:szCs w:val="24"/>
        </w:rPr>
        <w:footnoteReference w:id="115"/>
      </w:r>
      <w:r w:rsidR="006613AB">
        <w:rPr>
          <w:rFonts w:ascii="Times New Roman" w:eastAsia="Calibri" w:hAnsi="Times New Roman" w:cs="Times New Roman"/>
          <w:bCs/>
          <w:sz w:val="24"/>
          <w:szCs w:val="24"/>
        </w:rPr>
        <w:t xml:space="preserve"> </w:t>
      </w:r>
      <w:r w:rsidR="00AD112A">
        <w:rPr>
          <w:rFonts w:ascii="Times New Roman" w:hAnsi="Times New Roman" w:cs="Times New Roman"/>
          <w:sz w:val="24"/>
          <w:szCs w:val="24"/>
        </w:rPr>
        <w:t xml:space="preserve">This leads us to the </w:t>
      </w:r>
      <w:r w:rsidR="001F339B" w:rsidRPr="00997397">
        <w:rPr>
          <w:rFonts w:ascii="Times New Roman" w:hAnsi="Times New Roman" w:cs="Times New Roman"/>
          <w:sz w:val="24"/>
          <w:szCs w:val="24"/>
        </w:rPr>
        <w:t xml:space="preserve">second </w:t>
      </w:r>
      <w:r w:rsidR="00745FBE" w:rsidRPr="00997397">
        <w:rPr>
          <w:rFonts w:ascii="Times New Roman" w:hAnsi="Times New Roman" w:cs="Times New Roman"/>
          <w:sz w:val="24"/>
          <w:szCs w:val="24"/>
        </w:rPr>
        <w:t>type of instit</w:t>
      </w:r>
      <w:r w:rsidR="00E24A9A" w:rsidRPr="00997397">
        <w:rPr>
          <w:rFonts w:ascii="Times New Roman" w:hAnsi="Times New Roman" w:cs="Times New Roman"/>
          <w:sz w:val="24"/>
          <w:szCs w:val="24"/>
        </w:rPr>
        <w:t>utional interaction</w:t>
      </w:r>
      <w:r w:rsidR="00AD112A">
        <w:rPr>
          <w:rFonts w:ascii="Times New Roman" w:hAnsi="Times New Roman" w:cs="Times New Roman"/>
          <w:sz w:val="24"/>
          <w:szCs w:val="24"/>
        </w:rPr>
        <w:t xml:space="preserve">, </w:t>
      </w:r>
      <w:r w:rsidR="001F339B" w:rsidRPr="00997397">
        <w:rPr>
          <w:rFonts w:ascii="Times New Roman" w:hAnsi="Times New Roman" w:cs="Times New Roman"/>
          <w:sz w:val="24"/>
          <w:szCs w:val="24"/>
        </w:rPr>
        <w:t>through technical cooperation between</w:t>
      </w:r>
      <w:r w:rsidR="00C87DC5" w:rsidRPr="00997397">
        <w:rPr>
          <w:rFonts w:ascii="Times New Roman" w:hAnsi="Times New Roman" w:cs="Times New Roman"/>
          <w:sz w:val="24"/>
          <w:szCs w:val="24"/>
        </w:rPr>
        <w:t xml:space="preserve"> sectoral </w:t>
      </w:r>
      <w:r w:rsidR="00EB57B5" w:rsidRPr="00997397">
        <w:rPr>
          <w:rFonts w:ascii="Times New Roman" w:hAnsi="Times New Roman" w:cs="Times New Roman"/>
          <w:sz w:val="24"/>
          <w:szCs w:val="24"/>
        </w:rPr>
        <w:t>regulatory</w:t>
      </w:r>
      <w:r w:rsidR="001F339B" w:rsidRPr="00997397">
        <w:rPr>
          <w:rFonts w:ascii="Times New Roman" w:hAnsi="Times New Roman" w:cs="Times New Roman"/>
          <w:sz w:val="24"/>
          <w:szCs w:val="24"/>
        </w:rPr>
        <w:t xml:space="preserve"> agencies</w:t>
      </w:r>
      <w:r w:rsidR="00745FBE" w:rsidRPr="00997397">
        <w:rPr>
          <w:rFonts w:ascii="Times New Roman" w:hAnsi="Times New Roman" w:cs="Times New Roman"/>
          <w:sz w:val="24"/>
          <w:szCs w:val="24"/>
        </w:rPr>
        <w:t xml:space="preserve">. </w:t>
      </w:r>
      <w:r w:rsidR="001F339B" w:rsidRPr="00997397">
        <w:rPr>
          <w:rFonts w:ascii="Times New Roman" w:hAnsi="Times New Roman" w:cs="Times New Roman"/>
          <w:sz w:val="24"/>
          <w:szCs w:val="24"/>
        </w:rPr>
        <w:t xml:space="preserve">This </w:t>
      </w:r>
      <w:r w:rsidR="0058631F">
        <w:rPr>
          <w:rFonts w:ascii="Times New Roman" w:hAnsi="Times New Roman" w:cs="Times New Roman"/>
          <w:sz w:val="24"/>
          <w:szCs w:val="24"/>
        </w:rPr>
        <w:t>maps onto the modes of co</w:t>
      </w:r>
      <w:r w:rsidR="009E01D8">
        <w:rPr>
          <w:rFonts w:ascii="Times New Roman" w:hAnsi="Times New Roman" w:cs="Times New Roman"/>
          <w:sz w:val="24"/>
          <w:szCs w:val="24"/>
        </w:rPr>
        <w:t xml:space="preserve">ordination and </w:t>
      </w:r>
      <w:r w:rsidR="001F339B" w:rsidRPr="00997397">
        <w:rPr>
          <w:rFonts w:ascii="Times New Roman" w:hAnsi="Times New Roman" w:cs="Times New Roman"/>
          <w:sz w:val="24"/>
          <w:szCs w:val="24"/>
        </w:rPr>
        <w:t>networks</w:t>
      </w:r>
      <w:r w:rsidR="00F26075" w:rsidRPr="006B6DC2">
        <w:rPr>
          <w:rFonts w:ascii="Times New Roman" w:hAnsi="Times New Roman" w:cs="Times New Roman"/>
          <w:sz w:val="24"/>
          <w:szCs w:val="24"/>
        </w:rPr>
        <w:t xml:space="preserve">. </w:t>
      </w:r>
      <w:r w:rsidR="009E01D8" w:rsidRPr="006B6DC2">
        <w:rPr>
          <w:rFonts w:ascii="Times New Roman" w:eastAsia="Calibri" w:hAnsi="Times New Roman" w:cs="Times New Roman"/>
          <w:bCs/>
          <w:sz w:val="24"/>
          <w:szCs w:val="24"/>
        </w:rPr>
        <w:t xml:space="preserve">Coordination </w:t>
      </w:r>
      <w:r w:rsidR="00F26075" w:rsidRPr="006B6DC2">
        <w:rPr>
          <w:rFonts w:ascii="Times New Roman" w:eastAsia="Calibri" w:hAnsi="Times New Roman" w:cs="Times New Roman"/>
          <w:bCs/>
          <w:sz w:val="24"/>
          <w:szCs w:val="24"/>
        </w:rPr>
        <w:t xml:space="preserve">implies </w:t>
      </w:r>
      <w:r w:rsidR="009E01D8" w:rsidRPr="006B6DC2">
        <w:rPr>
          <w:rFonts w:ascii="Times New Roman" w:eastAsia="Calibri" w:hAnsi="Times New Roman" w:cs="Times New Roman"/>
          <w:bCs/>
          <w:sz w:val="24"/>
          <w:szCs w:val="24"/>
        </w:rPr>
        <w:t>voluntary mutual agreement</w:t>
      </w:r>
      <w:r w:rsidR="00A625D4" w:rsidRPr="006B6DC2">
        <w:rPr>
          <w:rFonts w:ascii="Times New Roman" w:eastAsia="Calibri" w:hAnsi="Times New Roman" w:cs="Times New Roman"/>
          <w:bCs/>
          <w:sz w:val="24"/>
          <w:szCs w:val="24"/>
        </w:rPr>
        <w:t xml:space="preserve"> w</w:t>
      </w:r>
      <w:r w:rsidR="009E01D8" w:rsidRPr="006B6DC2">
        <w:rPr>
          <w:rFonts w:ascii="Times New Roman" w:eastAsia="Calibri" w:hAnsi="Times New Roman" w:cs="Times New Roman"/>
          <w:bCs/>
          <w:sz w:val="24"/>
          <w:szCs w:val="24"/>
        </w:rPr>
        <w:t xml:space="preserve">ithout transferring </w:t>
      </w:r>
      <w:proofErr w:type="gramStart"/>
      <w:r w:rsidR="009E01D8" w:rsidRPr="006B6DC2">
        <w:rPr>
          <w:rFonts w:ascii="Times New Roman" w:eastAsia="Calibri" w:hAnsi="Times New Roman" w:cs="Times New Roman"/>
          <w:bCs/>
          <w:sz w:val="24"/>
          <w:szCs w:val="24"/>
        </w:rPr>
        <w:t>rule-making</w:t>
      </w:r>
      <w:proofErr w:type="gramEnd"/>
      <w:r w:rsidR="00C01FBC" w:rsidRPr="006B6DC2">
        <w:rPr>
          <w:rFonts w:ascii="Times New Roman" w:eastAsia="Calibri" w:hAnsi="Times New Roman" w:cs="Times New Roman"/>
          <w:bCs/>
          <w:sz w:val="24"/>
          <w:szCs w:val="24"/>
        </w:rPr>
        <w:t xml:space="preserve"> to an external authority</w:t>
      </w:r>
      <w:r w:rsidR="0065400F">
        <w:rPr>
          <w:rFonts w:ascii="Times New Roman" w:eastAsia="Calibri" w:hAnsi="Times New Roman" w:cs="Times New Roman"/>
          <w:bCs/>
          <w:sz w:val="24"/>
          <w:szCs w:val="24"/>
        </w:rPr>
        <w:t xml:space="preserve"> (such as mutual recognition</w:t>
      </w:r>
      <w:r w:rsidR="004B2873">
        <w:rPr>
          <w:rFonts w:ascii="Times New Roman" w:eastAsia="Calibri" w:hAnsi="Times New Roman" w:cs="Times New Roman"/>
          <w:bCs/>
          <w:sz w:val="24"/>
          <w:szCs w:val="24"/>
        </w:rPr>
        <w:t xml:space="preserve"> mechanisms</w:t>
      </w:r>
      <w:r w:rsidR="0065400F">
        <w:rPr>
          <w:rFonts w:ascii="Times New Roman" w:eastAsia="Calibri" w:hAnsi="Times New Roman" w:cs="Times New Roman"/>
          <w:bCs/>
          <w:sz w:val="24"/>
          <w:szCs w:val="24"/>
        </w:rPr>
        <w:t>)</w:t>
      </w:r>
      <w:r w:rsidR="004B2873">
        <w:rPr>
          <w:rFonts w:ascii="Times New Roman" w:eastAsia="Calibri" w:hAnsi="Times New Roman" w:cs="Times New Roman"/>
          <w:bCs/>
          <w:sz w:val="24"/>
          <w:szCs w:val="24"/>
        </w:rPr>
        <w:t xml:space="preserve">. In the context of the TCA this would include </w:t>
      </w:r>
      <w:r w:rsidR="00C56BA9">
        <w:rPr>
          <w:rFonts w:ascii="Times New Roman" w:eastAsia="Calibri" w:hAnsi="Times New Roman" w:cs="Times New Roman"/>
          <w:bCs/>
          <w:sz w:val="24"/>
          <w:szCs w:val="24"/>
        </w:rPr>
        <w:t xml:space="preserve">relatively </w:t>
      </w:r>
      <w:r w:rsidR="004B2873">
        <w:rPr>
          <w:rFonts w:ascii="Times New Roman" w:eastAsia="Calibri" w:hAnsi="Times New Roman" w:cs="Times New Roman"/>
          <w:bCs/>
          <w:sz w:val="24"/>
          <w:szCs w:val="24"/>
        </w:rPr>
        <w:t>weak regulatory cooperation measures</w:t>
      </w:r>
      <w:r w:rsidR="009E00F6">
        <w:rPr>
          <w:rFonts w:ascii="Times New Roman" w:eastAsia="Calibri" w:hAnsi="Times New Roman" w:cs="Times New Roman"/>
          <w:bCs/>
          <w:sz w:val="24"/>
          <w:szCs w:val="24"/>
        </w:rPr>
        <w:t xml:space="preserve"> and the groundwork for unilateral equivalence decisions in data and financial services.</w:t>
      </w:r>
      <w:r w:rsidR="0065400F">
        <w:rPr>
          <w:rFonts w:ascii="Times New Roman" w:eastAsia="Calibri" w:hAnsi="Times New Roman" w:cs="Times New Roman"/>
          <w:bCs/>
          <w:sz w:val="24"/>
          <w:szCs w:val="24"/>
        </w:rPr>
        <w:t xml:space="preserve"> N</w:t>
      </w:r>
      <w:r w:rsidR="00E717B9" w:rsidRPr="006B6DC2">
        <w:rPr>
          <w:rFonts w:ascii="Times New Roman" w:eastAsia="Calibri" w:hAnsi="Times New Roman" w:cs="Times New Roman"/>
          <w:bCs/>
          <w:sz w:val="24"/>
          <w:szCs w:val="24"/>
        </w:rPr>
        <w:t>etwork</w:t>
      </w:r>
      <w:r w:rsidR="0065400F">
        <w:rPr>
          <w:rFonts w:ascii="Times New Roman" w:eastAsia="Calibri" w:hAnsi="Times New Roman" w:cs="Times New Roman"/>
          <w:bCs/>
          <w:sz w:val="24"/>
          <w:szCs w:val="24"/>
        </w:rPr>
        <w:t>s</w:t>
      </w:r>
      <w:r w:rsidR="00E717B9" w:rsidRPr="006B6DC2">
        <w:rPr>
          <w:rFonts w:ascii="Times New Roman" w:eastAsia="Calibri" w:hAnsi="Times New Roman" w:cs="Times New Roman"/>
          <w:bCs/>
          <w:sz w:val="24"/>
          <w:szCs w:val="24"/>
        </w:rPr>
        <w:t xml:space="preserve"> impl</w:t>
      </w:r>
      <w:r w:rsidR="0065400F">
        <w:rPr>
          <w:rFonts w:ascii="Times New Roman" w:eastAsia="Calibri" w:hAnsi="Times New Roman" w:cs="Times New Roman"/>
          <w:bCs/>
          <w:sz w:val="24"/>
          <w:szCs w:val="24"/>
        </w:rPr>
        <w:t>y</w:t>
      </w:r>
      <w:r w:rsidR="00E717B9" w:rsidRPr="006B6DC2">
        <w:rPr>
          <w:rFonts w:ascii="Times New Roman" w:eastAsia="Calibri" w:hAnsi="Times New Roman" w:cs="Times New Roman"/>
          <w:bCs/>
          <w:sz w:val="24"/>
          <w:szCs w:val="24"/>
        </w:rPr>
        <w:t xml:space="preserve"> </w:t>
      </w:r>
      <w:r w:rsidR="00192AF1" w:rsidRPr="006B6DC2">
        <w:rPr>
          <w:rFonts w:ascii="Times New Roman" w:eastAsia="Calibri" w:hAnsi="Times New Roman" w:cs="Times New Roman"/>
          <w:bCs/>
          <w:sz w:val="24"/>
          <w:szCs w:val="24"/>
        </w:rPr>
        <w:t>sharing or production of knowledge among communities of</w:t>
      </w:r>
      <w:r w:rsidR="00675D7F" w:rsidRPr="006B6DC2">
        <w:rPr>
          <w:rFonts w:ascii="Times New Roman" w:eastAsia="Calibri" w:hAnsi="Times New Roman" w:cs="Times New Roman"/>
          <w:bCs/>
          <w:sz w:val="24"/>
          <w:szCs w:val="24"/>
        </w:rPr>
        <w:t>, inter alia, regulators and standard-setting bodies.</w:t>
      </w:r>
      <w:r w:rsidR="00675D7F" w:rsidRPr="006B6DC2">
        <w:rPr>
          <w:rStyle w:val="FootnoteReference"/>
          <w:rFonts w:ascii="Times New Roman" w:eastAsia="Calibri" w:hAnsi="Times New Roman" w:cs="Times New Roman"/>
          <w:bCs/>
          <w:sz w:val="24"/>
          <w:szCs w:val="24"/>
        </w:rPr>
        <w:footnoteReference w:id="116"/>
      </w:r>
      <w:r w:rsidR="00467D1E">
        <w:rPr>
          <w:rFonts w:ascii="Times New Roman" w:eastAsia="Calibri" w:hAnsi="Times New Roman" w:cs="Times New Roman"/>
          <w:bCs/>
          <w:sz w:val="24"/>
          <w:szCs w:val="24"/>
        </w:rPr>
        <w:t xml:space="preserve"> </w:t>
      </w:r>
      <w:r w:rsidR="00113C35">
        <w:rPr>
          <w:rFonts w:ascii="Times New Roman" w:eastAsia="Calibri" w:hAnsi="Times New Roman" w:cs="Times New Roman"/>
          <w:bCs/>
          <w:sz w:val="24"/>
          <w:szCs w:val="24"/>
        </w:rPr>
        <w:t>Here</w:t>
      </w:r>
      <w:r w:rsidR="00886C8A">
        <w:rPr>
          <w:rFonts w:ascii="Times New Roman" w:eastAsia="Calibri" w:hAnsi="Times New Roman" w:cs="Times New Roman"/>
          <w:bCs/>
          <w:sz w:val="24"/>
          <w:szCs w:val="24"/>
        </w:rPr>
        <w:t>,</w:t>
      </w:r>
      <w:r w:rsidR="00113C35">
        <w:rPr>
          <w:rFonts w:ascii="Times New Roman" w:eastAsia="Calibri" w:hAnsi="Times New Roman" w:cs="Times New Roman"/>
          <w:bCs/>
          <w:sz w:val="24"/>
          <w:szCs w:val="24"/>
        </w:rPr>
        <w:t xml:space="preserve"> </w:t>
      </w:r>
      <w:r w:rsidR="001F339B" w:rsidRPr="00997397">
        <w:rPr>
          <w:rFonts w:ascii="Times New Roman" w:hAnsi="Times New Roman" w:cs="Times New Roman"/>
          <w:sz w:val="24"/>
          <w:szCs w:val="24"/>
        </w:rPr>
        <w:t xml:space="preserve">EU inﬂuence </w:t>
      </w:r>
      <w:r w:rsidR="00680333">
        <w:rPr>
          <w:rFonts w:ascii="Times New Roman" w:hAnsi="Times New Roman" w:cs="Times New Roman"/>
          <w:sz w:val="24"/>
          <w:szCs w:val="24"/>
        </w:rPr>
        <w:t xml:space="preserve">is extended </w:t>
      </w:r>
      <w:r w:rsidR="001F339B" w:rsidRPr="00997397">
        <w:rPr>
          <w:rFonts w:ascii="Times New Roman" w:hAnsi="Times New Roman" w:cs="Times New Roman"/>
          <w:sz w:val="24"/>
          <w:szCs w:val="24"/>
        </w:rPr>
        <w:t>through more subtle mechanisms of learning and sociali</w:t>
      </w:r>
      <w:r w:rsidR="009441F4">
        <w:rPr>
          <w:rFonts w:ascii="Times New Roman" w:hAnsi="Times New Roman" w:cs="Times New Roman"/>
          <w:sz w:val="24"/>
          <w:szCs w:val="24"/>
        </w:rPr>
        <w:t>z</w:t>
      </w:r>
      <w:r w:rsidR="001F339B" w:rsidRPr="00997397">
        <w:rPr>
          <w:rFonts w:ascii="Times New Roman" w:hAnsi="Times New Roman" w:cs="Times New Roman"/>
          <w:sz w:val="24"/>
          <w:szCs w:val="24"/>
        </w:rPr>
        <w:t>ation. Third country regulators may be co-opted through functionalist extension of EU law and policy on a sectoral or policy area basis.</w:t>
      </w:r>
      <w:r w:rsidR="001F339B" w:rsidRPr="00997397">
        <w:rPr>
          <w:rFonts w:ascii="Times New Roman" w:hAnsi="Times New Roman" w:cs="Times New Roman"/>
          <w:sz w:val="24"/>
          <w:szCs w:val="24"/>
          <w:vertAlign w:val="superscript"/>
        </w:rPr>
        <w:footnoteReference w:id="117"/>
      </w:r>
      <w:r w:rsidR="001F339B" w:rsidRPr="00997397">
        <w:rPr>
          <w:rFonts w:ascii="Times New Roman" w:hAnsi="Times New Roman" w:cs="Times New Roman"/>
          <w:sz w:val="24"/>
          <w:szCs w:val="24"/>
        </w:rPr>
        <w:t xml:space="preserve"> </w:t>
      </w:r>
    </w:p>
    <w:p w14:paraId="32043DAD" w14:textId="20888CD0" w:rsidR="003A677C" w:rsidRPr="00997397" w:rsidRDefault="007872BC" w:rsidP="003A677C">
      <w:pPr>
        <w:spacing w:line="240" w:lineRule="auto"/>
        <w:rPr>
          <w:rFonts w:ascii="Times New Roman" w:hAnsi="Times New Roman" w:cs="Times New Roman"/>
          <w:sz w:val="24"/>
          <w:szCs w:val="24"/>
        </w:rPr>
      </w:pPr>
      <w:r>
        <w:rPr>
          <w:rFonts w:ascii="Times New Roman" w:hAnsi="Times New Roman" w:cs="Times New Roman"/>
          <w:sz w:val="24"/>
          <w:szCs w:val="24"/>
        </w:rPr>
        <w:t xml:space="preserve">The role of regulators </w:t>
      </w:r>
      <w:r w:rsidR="00447BFD">
        <w:rPr>
          <w:rFonts w:ascii="Times New Roman" w:hAnsi="Times New Roman" w:cs="Times New Roman"/>
          <w:sz w:val="24"/>
          <w:szCs w:val="24"/>
        </w:rPr>
        <w:t>and administrative institutions is likely to be significant in the trajectory of the EU-UK trade relationship</w:t>
      </w:r>
      <w:r w:rsidR="0076112D">
        <w:rPr>
          <w:rFonts w:ascii="Times New Roman" w:hAnsi="Times New Roman" w:cs="Times New Roman"/>
          <w:sz w:val="24"/>
          <w:szCs w:val="24"/>
        </w:rPr>
        <w:t>, separately from the high</w:t>
      </w:r>
      <w:r w:rsidR="00E22E9B">
        <w:rPr>
          <w:rFonts w:ascii="Times New Roman" w:hAnsi="Times New Roman" w:cs="Times New Roman"/>
          <w:sz w:val="24"/>
          <w:szCs w:val="24"/>
        </w:rPr>
        <w:t>-</w:t>
      </w:r>
      <w:r w:rsidR="0076112D">
        <w:rPr>
          <w:rFonts w:ascii="Times New Roman" w:hAnsi="Times New Roman" w:cs="Times New Roman"/>
          <w:sz w:val="24"/>
          <w:szCs w:val="24"/>
        </w:rPr>
        <w:t>level political dynamics.</w:t>
      </w:r>
      <w:r w:rsidR="001A7DA8">
        <w:rPr>
          <w:rFonts w:ascii="Times New Roman" w:hAnsi="Times New Roman" w:cs="Times New Roman"/>
          <w:sz w:val="24"/>
          <w:szCs w:val="24"/>
        </w:rPr>
        <w:t xml:space="preserve"> As others have noted, </w:t>
      </w:r>
      <w:r w:rsidR="00E36106">
        <w:rPr>
          <w:rFonts w:ascii="Times New Roman" w:hAnsi="Times New Roman" w:cs="Times New Roman"/>
          <w:sz w:val="24"/>
          <w:szCs w:val="24"/>
        </w:rPr>
        <w:t xml:space="preserve">the presence of </w:t>
      </w:r>
      <w:r w:rsidR="00E36106" w:rsidRPr="003F747B">
        <w:rPr>
          <w:rFonts w:ascii="Times New Roman" w:hAnsi="Times New Roman" w:cs="Times New Roman"/>
          <w:sz w:val="24"/>
          <w:szCs w:val="24"/>
        </w:rPr>
        <w:t xml:space="preserve">independent regulatory bodies and </w:t>
      </w:r>
      <w:r w:rsidR="00AD3373" w:rsidRPr="003F747B">
        <w:rPr>
          <w:rFonts w:ascii="Times New Roman" w:hAnsi="Times New Roman" w:cs="Times New Roman"/>
          <w:sz w:val="24"/>
          <w:szCs w:val="24"/>
        </w:rPr>
        <w:t>“</w:t>
      </w:r>
      <w:r w:rsidR="00E36106" w:rsidRPr="003F747B">
        <w:rPr>
          <w:rFonts w:ascii="Times New Roman" w:hAnsi="Times New Roman" w:cs="Times New Roman"/>
          <w:sz w:val="24"/>
          <w:szCs w:val="24"/>
        </w:rPr>
        <w:t xml:space="preserve">regulatory clashes between jurisdictions creates a demand for cross-national initiatives to </w:t>
      </w:r>
      <w:r w:rsidR="00AD3373" w:rsidRPr="003F747B">
        <w:rPr>
          <w:rFonts w:ascii="Times New Roman" w:hAnsi="Times New Roman" w:cs="Times New Roman"/>
          <w:sz w:val="24"/>
          <w:szCs w:val="24"/>
        </w:rPr>
        <w:t>‘</w:t>
      </w:r>
      <w:r w:rsidR="00E36106" w:rsidRPr="003F747B">
        <w:rPr>
          <w:rFonts w:ascii="Times New Roman" w:hAnsi="Times New Roman" w:cs="Times New Roman"/>
          <w:sz w:val="24"/>
          <w:szCs w:val="24"/>
        </w:rPr>
        <w:t>solve</w:t>
      </w:r>
      <w:r w:rsidR="00AD3373" w:rsidRPr="003F747B">
        <w:rPr>
          <w:rFonts w:ascii="Times New Roman" w:hAnsi="Times New Roman" w:cs="Times New Roman"/>
          <w:sz w:val="24"/>
          <w:szCs w:val="24"/>
        </w:rPr>
        <w:t>’</w:t>
      </w:r>
      <w:r w:rsidR="00E36106" w:rsidRPr="003F747B">
        <w:rPr>
          <w:rFonts w:ascii="Times New Roman" w:hAnsi="Times New Roman" w:cs="Times New Roman"/>
          <w:sz w:val="24"/>
          <w:szCs w:val="24"/>
        </w:rPr>
        <w:t xml:space="preserve"> these clashes, whether through formal or informal means</w:t>
      </w:r>
      <w:r w:rsidR="00AD3373" w:rsidRPr="003F747B">
        <w:rPr>
          <w:rFonts w:ascii="Times New Roman" w:hAnsi="Times New Roman" w:cs="Times New Roman"/>
          <w:sz w:val="24"/>
          <w:szCs w:val="24"/>
        </w:rPr>
        <w:t>”</w:t>
      </w:r>
      <w:r w:rsidR="003F747B">
        <w:rPr>
          <w:rFonts w:ascii="Times New Roman" w:hAnsi="Times New Roman" w:cs="Times New Roman"/>
          <w:sz w:val="24"/>
          <w:szCs w:val="24"/>
        </w:rPr>
        <w:t>.</w:t>
      </w:r>
      <w:r w:rsidR="00AD3373" w:rsidRPr="00BB0D69">
        <w:rPr>
          <w:rStyle w:val="FootnoteReference"/>
          <w:rFonts w:ascii="Times New Roman" w:hAnsi="Times New Roman" w:cs="Times New Roman"/>
          <w:sz w:val="24"/>
          <w:szCs w:val="24"/>
        </w:rPr>
        <w:footnoteReference w:id="118"/>
      </w:r>
      <w:r w:rsidR="00D735CB">
        <w:rPr>
          <w:rFonts w:ascii="Times New Roman" w:hAnsi="Times New Roman" w:cs="Times New Roman"/>
          <w:sz w:val="24"/>
          <w:szCs w:val="24"/>
        </w:rPr>
        <w:t xml:space="preserve"> </w:t>
      </w:r>
      <w:r w:rsidR="00D735CB" w:rsidRPr="00200B58">
        <w:rPr>
          <w:rFonts w:ascii="Times New Roman" w:hAnsi="Times New Roman" w:cs="Times New Roman"/>
          <w:sz w:val="24"/>
          <w:szCs w:val="24"/>
        </w:rPr>
        <w:t>T</w:t>
      </w:r>
      <w:r w:rsidR="00495C92" w:rsidRPr="00200B58">
        <w:rPr>
          <w:rFonts w:ascii="Times New Roman" w:hAnsi="Times New Roman" w:cs="Times New Roman"/>
          <w:sz w:val="24"/>
          <w:szCs w:val="24"/>
        </w:rPr>
        <w:t>rans</w:t>
      </w:r>
      <w:r w:rsidR="00F76DAE">
        <w:rPr>
          <w:rFonts w:ascii="Times New Roman" w:hAnsi="Times New Roman" w:cs="Times New Roman"/>
          <w:sz w:val="24"/>
          <w:szCs w:val="24"/>
        </w:rPr>
        <w:t>national executive</w:t>
      </w:r>
      <w:r w:rsidR="00495C92" w:rsidRPr="00200B58">
        <w:rPr>
          <w:rFonts w:ascii="Times New Roman" w:hAnsi="Times New Roman" w:cs="Times New Roman"/>
          <w:sz w:val="24"/>
          <w:szCs w:val="24"/>
        </w:rPr>
        <w:t xml:space="preserve"> bodies are therefore open for mutual inﬂuence in regulatory co-ordination</w:t>
      </w:r>
      <w:r w:rsidR="00200B58" w:rsidRPr="00200B58">
        <w:rPr>
          <w:rFonts w:ascii="Times New Roman" w:hAnsi="Times New Roman" w:cs="Times New Roman"/>
          <w:sz w:val="24"/>
          <w:szCs w:val="24"/>
        </w:rPr>
        <w:t>.</w:t>
      </w:r>
      <w:r w:rsidR="00200B58" w:rsidRPr="00200B58">
        <w:rPr>
          <w:rStyle w:val="FootnoteReference"/>
          <w:rFonts w:ascii="Times New Roman" w:hAnsi="Times New Roman" w:cs="Times New Roman"/>
          <w:sz w:val="24"/>
          <w:szCs w:val="24"/>
        </w:rPr>
        <w:footnoteReference w:id="119"/>
      </w:r>
      <w:r w:rsidR="00495C92" w:rsidRPr="00200B58">
        <w:rPr>
          <w:rFonts w:ascii="Times New Roman" w:hAnsi="Times New Roman" w:cs="Times New Roman"/>
          <w:sz w:val="24"/>
          <w:szCs w:val="24"/>
        </w:rPr>
        <w:t xml:space="preserve"> </w:t>
      </w:r>
      <w:r w:rsidR="006A5B46" w:rsidRPr="00F14E21">
        <w:rPr>
          <w:rFonts w:ascii="Times New Roman" w:hAnsi="Times New Roman" w:cs="Times New Roman"/>
          <w:sz w:val="24"/>
          <w:szCs w:val="24"/>
        </w:rPr>
        <w:t>Lavenex</w:t>
      </w:r>
      <w:r w:rsidR="00F14E21">
        <w:rPr>
          <w:rFonts w:ascii="Times New Roman" w:hAnsi="Times New Roman" w:cs="Times New Roman"/>
          <w:sz w:val="24"/>
          <w:szCs w:val="24"/>
        </w:rPr>
        <w:t>’s research</w:t>
      </w:r>
      <w:r w:rsidR="006A5B46" w:rsidRPr="00F14E21">
        <w:rPr>
          <w:rFonts w:ascii="Times New Roman" w:hAnsi="Times New Roman" w:cs="Times New Roman"/>
          <w:sz w:val="24"/>
          <w:szCs w:val="24"/>
        </w:rPr>
        <w:t xml:space="preserve"> finds that </w:t>
      </w:r>
      <w:r w:rsidR="00745D4C" w:rsidRPr="00F14E21">
        <w:rPr>
          <w:rFonts w:ascii="Times New Roman" w:hAnsi="Times New Roman" w:cs="Times New Roman"/>
          <w:sz w:val="24"/>
          <w:szCs w:val="24"/>
        </w:rPr>
        <w:t xml:space="preserve">external differentiation follows sector-specific functionalist dynamics that are only loosely </w:t>
      </w:r>
      <w:r w:rsidR="00526D3E" w:rsidRPr="00F14E21">
        <w:rPr>
          <w:rFonts w:ascii="Times New Roman" w:hAnsi="Times New Roman" w:cs="Times New Roman"/>
          <w:sz w:val="24"/>
          <w:szCs w:val="24"/>
        </w:rPr>
        <w:t>linked</w:t>
      </w:r>
      <w:r w:rsidR="00745D4C" w:rsidRPr="00F14E21">
        <w:rPr>
          <w:rFonts w:ascii="Times New Roman" w:hAnsi="Times New Roman" w:cs="Times New Roman"/>
          <w:sz w:val="24"/>
          <w:szCs w:val="24"/>
        </w:rPr>
        <w:t xml:space="preserve"> to overarching </w:t>
      </w:r>
      <w:r w:rsidR="00B179EB">
        <w:rPr>
          <w:rFonts w:ascii="Times New Roman" w:hAnsi="Times New Roman" w:cs="Times New Roman"/>
          <w:sz w:val="24"/>
          <w:szCs w:val="24"/>
        </w:rPr>
        <w:t xml:space="preserve">foreign policy </w:t>
      </w:r>
      <w:r w:rsidR="00ED5AFC">
        <w:rPr>
          <w:rFonts w:ascii="Times New Roman" w:hAnsi="Times New Roman" w:cs="Times New Roman"/>
          <w:sz w:val="24"/>
          <w:szCs w:val="24"/>
        </w:rPr>
        <w:t>agreements</w:t>
      </w:r>
      <w:r w:rsidR="00F14E21" w:rsidRPr="00F14E21">
        <w:rPr>
          <w:rFonts w:ascii="Times New Roman" w:hAnsi="Times New Roman" w:cs="Times New Roman"/>
          <w:sz w:val="24"/>
          <w:szCs w:val="24"/>
        </w:rPr>
        <w:t xml:space="preserve"> (such as the European Economic Area (EEA), the European Neighbourhood Policy, and the bilateral agreements with Switzerland)</w:t>
      </w:r>
      <w:r w:rsidR="00526D3E" w:rsidRPr="00F14E21">
        <w:rPr>
          <w:rFonts w:ascii="Times New Roman" w:hAnsi="Times New Roman" w:cs="Times New Roman"/>
          <w:sz w:val="24"/>
          <w:szCs w:val="24"/>
        </w:rPr>
        <w:t>.</w:t>
      </w:r>
      <w:r w:rsidR="00255485" w:rsidRPr="00F14E21">
        <w:rPr>
          <w:rStyle w:val="FootnoteReference"/>
          <w:rFonts w:ascii="Times New Roman" w:hAnsi="Times New Roman" w:cs="Times New Roman"/>
          <w:sz w:val="24"/>
          <w:szCs w:val="24"/>
        </w:rPr>
        <w:footnoteReference w:id="120"/>
      </w:r>
      <w:r w:rsidR="00255485" w:rsidRPr="00F14E21">
        <w:rPr>
          <w:rFonts w:ascii="Times New Roman" w:hAnsi="Times New Roman" w:cs="Times New Roman"/>
          <w:sz w:val="24"/>
          <w:szCs w:val="24"/>
        </w:rPr>
        <w:t xml:space="preserve"> </w:t>
      </w:r>
      <w:r w:rsidR="00FB7085">
        <w:rPr>
          <w:rFonts w:ascii="Times New Roman" w:hAnsi="Times New Roman" w:cs="Times New Roman"/>
          <w:sz w:val="24"/>
          <w:szCs w:val="24"/>
        </w:rPr>
        <w:t>Of particular pertinence</w:t>
      </w:r>
      <w:r w:rsidR="002831BA" w:rsidRPr="00F14E21">
        <w:rPr>
          <w:rFonts w:ascii="Times New Roman" w:hAnsi="Times New Roman" w:cs="Times New Roman"/>
          <w:sz w:val="24"/>
          <w:szCs w:val="24"/>
        </w:rPr>
        <w:t xml:space="preserve"> to the UK’s position as a former Member State,</w:t>
      </w:r>
      <w:r w:rsidR="00570C37" w:rsidRPr="00F14E21">
        <w:rPr>
          <w:rFonts w:ascii="Times New Roman" w:hAnsi="Times New Roman" w:cs="Times New Roman"/>
          <w:sz w:val="24"/>
          <w:szCs w:val="24"/>
        </w:rPr>
        <w:t xml:space="preserve"> </w:t>
      </w:r>
      <w:r w:rsidR="00570C37" w:rsidRPr="00F14E21">
        <w:rPr>
          <w:rFonts w:ascii="Times New Roman" w:hAnsi="Times New Roman" w:cs="Times New Roman"/>
          <w:sz w:val="24"/>
          <w:szCs w:val="24"/>
        </w:rPr>
        <w:lastRenderedPageBreak/>
        <w:t>institutional path</w:t>
      </w:r>
      <w:r w:rsidR="00EE55B1" w:rsidRPr="00F14E21">
        <w:rPr>
          <w:rFonts w:ascii="Times New Roman" w:hAnsi="Times New Roman" w:cs="Times New Roman"/>
          <w:sz w:val="24"/>
          <w:szCs w:val="24"/>
        </w:rPr>
        <w:t xml:space="preserve"> </w:t>
      </w:r>
      <w:r w:rsidR="00570C37" w:rsidRPr="00F14E21">
        <w:rPr>
          <w:rFonts w:ascii="Times New Roman" w:hAnsi="Times New Roman" w:cs="Times New Roman"/>
          <w:sz w:val="24"/>
          <w:szCs w:val="24"/>
        </w:rPr>
        <w:t xml:space="preserve">dependencies </w:t>
      </w:r>
      <w:r w:rsidR="00EE55B1" w:rsidRPr="00F14E21">
        <w:rPr>
          <w:rFonts w:ascii="Times New Roman" w:hAnsi="Times New Roman" w:cs="Times New Roman"/>
          <w:sz w:val="24"/>
          <w:szCs w:val="24"/>
        </w:rPr>
        <w:t xml:space="preserve">are significant </w:t>
      </w:r>
      <w:r w:rsidR="00570C37" w:rsidRPr="00F14E21">
        <w:rPr>
          <w:rFonts w:ascii="Times New Roman" w:hAnsi="Times New Roman" w:cs="Times New Roman"/>
          <w:sz w:val="24"/>
          <w:szCs w:val="24"/>
        </w:rPr>
        <w:t xml:space="preserve">in </w:t>
      </w:r>
      <w:r w:rsidR="00EE55B1" w:rsidRPr="00F14E21">
        <w:rPr>
          <w:rFonts w:ascii="Times New Roman" w:hAnsi="Times New Roman" w:cs="Times New Roman"/>
          <w:sz w:val="24"/>
          <w:szCs w:val="24"/>
        </w:rPr>
        <w:t xml:space="preserve">extending </w:t>
      </w:r>
      <w:r w:rsidR="00570C37" w:rsidRPr="00F14E21">
        <w:rPr>
          <w:rFonts w:ascii="Times New Roman" w:hAnsi="Times New Roman" w:cs="Times New Roman"/>
          <w:sz w:val="24"/>
          <w:szCs w:val="24"/>
        </w:rPr>
        <w:t xml:space="preserve">governance modes </w:t>
      </w:r>
      <w:r w:rsidR="004611B4" w:rsidRPr="00F14E21">
        <w:rPr>
          <w:rFonts w:ascii="Times New Roman" w:hAnsi="Times New Roman" w:cs="Times New Roman"/>
          <w:sz w:val="24"/>
          <w:szCs w:val="24"/>
        </w:rPr>
        <w:t>beyond the EU</w:t>
      </w:r>
      <w:r w:rsidR="007A77EB" w:rsidRPr="00F14E21">
        <w:rPr>
          <w:rFonts w:ascii="Times New Roman" w:hAnsi="Times New Roman" w:cs="Times New Roman"/>
          <w:sz w:val="24"/>
          <w:szCs w:val="24"/>
        </w:rPr>
        <w:t>’s</w:t>
      </w:r>
      <w:r w:rsidR="004611B4" w:rsidRPr="00F14E21">
        <w:rPr>
          <w:rFonts w:ascii="Times New Roman" w:hAnsi="Times New Roman" w:cs="Times New Roman"/>
          <w:sz w:val="24"/>
          <w:szCs w:val="24"/>
        </w:rPr>
        <w:t xml:space="preserve"> territory</w:t>
      </w:r>
      <w:r w:rsidR="007C73EB" w:rsidRPr="00F14E21">
        <w:rPr>
          <w:rFonts w:ascii="Times New Roman" w:hAnsi="Times New Roman" w:cs="Times New Roman"/>
          <w:sz w:val="24"/>
          <w:szCs w:val="24"/>
        </w:rPr>
        <w:t xml:space="preserve">, and </w:t>
      </w:r>
      <w:r w:rsidR="00342190">
        <w:rPr>
          <w:rFonts w:ascii="Times New Roman" w:hAnsi="Times New Roman" w:cs="Times New Roman"/>
          <w:sz w:val="24"/>
          <w:szCs w:val="24"/>
        </w:rPr>
        <w:t>political structures</w:t>
      </w:r>
      <w:r w:rsidR="007C73EB" w:rsidRPr="00F14E21">
        <w:rPr>
          <w:rFonts w:ascii="Times New Roman" w:hAnsi="Times New Roman" w:cs="Times New Roman"/>
          <w:sz w:val="24"/>
          <w:szCs w:val="24"/>
        </w:rPr>
        <w:t xml:space="preserve"> lack the ability to fully steer them.</w:t>
      </w:r>
      <w:r w:rsidR="006219B5" w:rsidRPr="00F14E21">
        <w:rPr>
          <w:rStyle w:val="FootnoteReference"/>
          <w:rFonts w:ascii="Times New Roman" w:hAnsi="Times New Roman" w:cs="Times New Roman"/>
          <w:sz w:val="24"/>
          <w:szCs w:val="24"/>
        </w:rPr>
        <w:footnoteReference w:id="121"/>
      </w:r>
    </w:p>
    <w:p w14:paraId="4E0F3BE1" w14:textId="279E3616" w:rsidR="001C6E93" w:rsidRPr="00DE5B69" w:rsidRDefault="00FB7085" w:rsidP="00C65655">
      <w:pPr>
        <w:autoSpaceDE w:val="0"/>
        <w:autoSpaceDN w:val="0"/>
        <w:adjustRightInd w:val="0"/>
        <w:spacing w:after="0" w:line="240" w:lineRule="auto"/>
        <w:rPr>
          <w:rFonts w:ascii="Times New Roman" w:hAnsi="Times New Roman" w:cs="Times New Roman"/>
          <w:sz w:val="24"/>
          <w:szCs w:val="24"/>
        </w:rPr>
      </w:pPr>
      <w:r w:rsidRPr="00C65655">
        <w:rPr>
          <w:rFonts w:ascii="Times New Roman" w:hAnsi="Times New Roman" w:cs="Times New Roman"/>
          <w:bCs/>
          <w:sz w:val="24"/>
          <w:szCs w:val="24"/>
        </w:rPr>
        <w:t>T</w:t>
      </w:r>
      <w:r w:rsidR="001F339B" w:rsidRPr="00C65655">
        <w:rPr>
          <w:rFonts w:ascii="Times New Roman" w:hAnsi="Times New Roman" w:cs="Times New Roman"/>
          <w:bCs/>
          <w:sz w:val="24"/>
          <w:szCs w:val="24"/>
        </w:rPr>
        <w:t>he UK will experience mechanisms of European integration even without membership</w:t>
      </w:r>
      <w:r w:rsidR="00516A12" w:rsidRPr="00C65655">
        <w:rPr>
          <w:rFonts w:ascii="Times New Roman" w:hAnsi="Times New Roman" w:cs="Times New Roman"/>
          <w:bCs/>
          <w:sz w:val="24"/>
          <w:szCs w:val="24"/>
        </w:rPr>
        <w:t xml:space="preserve"> given t</w:t>
      </w:r>
      <w:r w:rsidR="00E53651" w:rsidRPr="00C65655">
        <w:rPr>
          <w:rFonts w:ascii="Times New Roman" w:hAnsi="Times New Roman" w:cs="Times New Roman"/>
          <w:sz w:val="24"/>
          <w:szCs w:val="24"/>
        </w:rPr>
        <w:t xml:space="preserve">he interdependence </w:t>
      </w:r>
      <w:r w:rsidR="00516A12" w:rsidRPr="00C65655">
        <w:rPr>
          <w:rFonts w:ascii="Times New Roman" w:hAnsi="Times New Roman" w:cs="Times New Roman"/>
          <w:sz w:val="24"/>
          <w:szCs w:val="24"/>
        </w:rPr>
        <w:t xml:space="preserve">of </w:t>
      </w:r>
      <w:r w:rsidR="00E53651" w:rsidRPr="00C65655">
        <w:rPr>
          <w:rFonts w:ascii="Times New Roman" w:hAnsi="Times New Roman" w:cs="Times New Roman"/>
          <w:sz w:val="24"/>
          <w:szCs w:val="24"/>
        </w:rPr>
        <w:t>the EU and UK markets</w:t>
      </w:r>
      <w:r w:rsidR="00997435" w:rsidRPr="00C65655">
        <w:rPr>
          <w:rFonts w:ascii="Times New Roman" w:hAnsi="Times New Roman" w:cs="Times New Roman"/>
          <w:sz w:val="24"/>
          <w:szCs w:val="24"/>
        </w:rPr>
        <w:t xml:space="preserve">. </w:t>
      </w:r>
      <w:r w:rsidR="001F339B" w:rsidRPr="00C65655">
        <w:rPr>
          <w:rFonts w:ascii="Times New Roman" w:hAnsi="Times New Roman" w:cs="Times New Roman"/>
          <w:bCs/>
          <w:sz w:val="24"/>
          <w:szCs w:val="24"/>
        </w:rPr>
        <w:t>As Trondal &amp; K</w:t>
      </w:r>
      <w:r w:rsidR="00454975" w:rsidRPr="00C65655">
        <w:rPr>
          <w:rFonts w:ascii="Times New Roman" w:hAnsi="Times New Roman" w:cs="Times New Roman"/>
          <w:bCs/>
          <w:sz w:val="24"/>
          <w:szCs w:val="24"/>
        </w:rPr>
        <w:t>ü</w:t>
      </w:r>
      <w:r w:rsidR="001F339B" w:rsidRPr="00C65655">
        <w:rPr>
          <w:rFonts w:ascii="Times New Roman" w:hAnsi="Times New Roman" w:cs="Times New Roman"/>
          <w:bCs/>
          <w:sz w:val="24"/>
          <w:szCs w:val="24"/>
        </w:rPr>
        <w:t xml:space="preserve">hn observe drawing </w:t>
      </w:r>
      <w:r w:rsidR="009B21BB">
        <w:rPr>
          <w:rFonts w:ascii="Times New Roman" w:hAnsi="Times New Roman" w:cs="Times New Roman"/>
          <w:bCs/>
          <w:sz w:val="24"/>
          <w:szCs w:val="24"/>
        </w:rPr>
        <w:t xml:space="preserve">from </w:t>
      </w:r>
      <w:r w:rsidR="001F339B" w:rsidRPr="00C65655">
        <w:rPr>
          <w:rFonts w:ascii="Times New Roman" w:hAnsi="Times New Roman" w:cs="Times New Roman"/>
          <w:bCs/>
          <w:sz w:val="24"/>
          <w:szCs w:val="24"/>
        </w:rPr>
        <w:t xml:space="preserve">the position of Norway, </w:t>
      </w:r>
      <w:r w:rsidR="00142CE7" w:rsidRPr="00C65655">
        <w:rPr>
          <w:rFonts w:ascii="Times New Roman" w:hAnsi="Times New Roman" w:cs="Times New Roman"/>
          <w:bCs/>
          <w:sz w:val="24"/>
          <w:szCs w:val="24"/>
        </w:rPr>
        <w:t xml:space="preserve">civil servants and administrative </w:t>
      </w:r>
      <w:r w:rsidR="001F339B" w:rsidRPr="00C65655">
        <w:rPr>
          <w:rFonts w:ascii="Times New Roman" w:hAnsi="Times New Roman" w:cs="Times New Roman"/>
          <w:bCs/>
          <w:sz w:val="24"/>
          <w:szCs w:val="24"/>
        </w:rPr>
        <w:t xml:space="preserve">officials are tightly interwoven </w:t>
      </w:r>
      <w:r w:rsidR="00CA2D8E" w:rsidRPr="00C65655">
        <w:rPr>
          <w:rFonts w:ascii="Times New Roman" w:hAnsi="Times New Roman" w:cs="Times New Roman"/>
          <w:bCs/>
          <w:sz w:val="24"/>
          <w:szCs w:val="24"/>
        </w:rPr>
        <w:t xml:space="preserve">into </w:t>
      </w:r>
      <w:r w:rsidR="001F339B" w:rsidRPr="00C65655">
        <w:rPr>
          <w:rFonts w:ascii="Times New Roman" w:hAnsi="Times New Roman" w:cs="Times New Roman"/>
          <w:bCs/>
          <w:sz w:val="24"/>
          <w:szCs w:val="24"/>
        </w:rPr>
        <w:t>and influenced by EU institutions</w:t>
      </w:r>
      <w:r w:rsidR="00A72E1E" w:rsidRPr="00C65655">
        <w:rPr>
          <w:rFonts w:ascii="Times New Roman" w:hAnsi="Times New Roman" w:cs="Times New Roman"/>
          <w:bCs/>
          <w:sz w:val="24"/>
          <w:szCs w:val="24"/>
        </w:rPr>
        <w:t>, largely as a result of “</w:t>
      </w:r>
      <w:r w:rsidR="002E277D" w:rsidRPr="00C65655">
        <w:rPr>
          <w:rFonts w:ascii="Times New Roman" w:eastAsia="TimesNewRomanPSMT" w:hAnsi="Times New Roman" w:cs="Times New Roman"/>
          <w:sz w:val="24"/>
          <w:szCs w:val="24"/>
        </w:rPr>
        <w:t>increased institutionalization of the European multilevel administrative system</w:t>
      </w:r>
      <w:r w:rsidR="00C65655" w:rsidRPr="00C65655">
        <w:rPr>
          <w:rFonts w:ascii="Times New Roman" w:eastAsia="TimesNewRomanPSMT" w:hAnsi="Times New Roman" w:cs="Times New Roman"/>
          <w:sz w:val="24"/>
          <w:szCs w:val="24"/>
        </w:rPr>
        <w:t xml:space="preserve"> </w:t>
      </w:r>
      <w:r w:rsidR="002E277D" w:rsidRPr="00C65655">
        <w:rPr>
          <w:rFonts w:ascii="Times New Roman" w:eastAsia="TimesNewRomanPSMT" w:hAnsi="Times New Roman" w:cs="Times New Roman"/>
          <w:sz w:val="24"/>
          <w:szCs w:val="24"/>
        </w:rPr>
        <w:t>in which national agencies have acquired a larger position as access points</w:t>
      </w:r>
      <w:r w:rsidR="00C65655" w:rsidRPr="00C65655">
        <w:rPr>
          <w:rFonts w:ascii="Times New Roman" w:eastAsia="TimesNewRomanPSMT" w:hAnsi="Times New Roman" w:cs="Times New Roman"/>
          <w:sz w:val="24"/>
          <w:szCs w:val="24"/>
        </w:rPr>
        <w:t xml:space="preserve"> </w:t>
      </w:r>
      <w:r w:rsidR="002E277D" w:rsidRPr="00C65655">
        <w:rPr>
          <w:rFonts w:ascii="Times New Roman" w:eastAsia="TimesNewRomanPSMT" w:hAnsi="Times New Roman" w:cs="Times New Roman"/>
          <w:sz w:val="24"/>
          <w:szCs w:val="24"/>
        </w:rPr>
        <w:t>for EU agencies</w:t>
      </w:r>
      <w:r w:rsidR="00A72E1E" w:rsidRPr="00C65655">
        <w:rPr>
          <w:rFonts w:ascii="Times New Roman" w:eastAsia="TimesNewRomanPSMT" w:hAnsi="Times New Roman" w:cs="Times New Roman"/>
          <w:sz w:val="24"/>
          <w:szCs w:val="24"/>
        </w:rPr>
        <w:t>.”</w:t>
      </w:r>
      <w:r w:rsidR="00621F47" w:rsidRPr="00C65655">
        <w:rPr>
          <w:rStyle w:val="FootnoteReference"/>
          <w:rFonts w:ascii="Times New Roman" w:eastAsia="TimesNewRomanPSMT" w:hAnsi="Times New Roman" w:cs="Times New Roman"/>
          <w:sz w:val="24"/>
          <w:szCs w:val="24"/>
        </w:rPr>
        <w:footnoteReference w:id="122"/>
      </w:r>
      <w:r w:rsidR="00A72E1E" w:rsidRPr="00C65655">
        <w:rPr>
          <w:rFonts w:ascii="Times New Roman" w:eastAsia="TimesNewRomanPSMT" w:hAnsi="Times New Roman" w:cs="Times New Roman"/>
          <w:sz w:val="24"/>
          <w:szCs w:val="24"/>
        </w:rPr>
        <w:t xml:space="preserve"> </w:t>
      </w:r>
      <w:r w:rsidR="001F339B" w:rsidRPr="00C65655">
        <w:rPr>
          <w:rFonts w:ascii="Times New Roman" w:hAnsi="Times New Roman" w:cs="Times New Roman"/>
          <w:bCs/>
          <w:sz w:val="24"/>
          <w:szCs w:val="24"/>
        </w:rPr>
        <w:t xml:space="preserve">Their longitudinal data on the domestic context showed </w:t>
      </w:r>
      <w:r w:rsidR="00FD785C" w:rsidRPr="00C65655">
        <w:rPr>
          <w:rFonts w:ascii="Times New Roman" w:hAnsi="Times New Roman" w:cs="Times New Roman"/>
          <w:bCs/>
          <w:sz w:val="24"/>
          <w:szCs w:val="24"/>
        </w:rPr>
        <w:t xml:space="preserve">that </w:t>
      </w:r>
      <w:r w:rsidR="001F339B" w:rsidRPr="00C65655">
        <w:rPr>
          <w:rFonts w:ascii="Times New Roman" w:hAnsi="Times New Roman" w:cs="Times New Roman"/>
          <w:bCs/>
          <w:sz w:val="24"/>
          <w:szCs w:val="24"/>
        </w:rPr>
        <w:t xml:space="preserve">officials </w:t>
      </w:r>
      <w:r w:rsidR="00FD785C" w:rsidRPr="00C65655">
        <w:rPr>
          <w:rFonts w:ascii="Times New Roman" w:hAnsi="Times New Roman" w:cs="Times New Roman"/>
          <w:bCs/>
          <w:sz w:val="24"/>
          <w:szCs w:val="24"/>
        </w:rPr>
        <w:t>had</w:t>
      </w:r>
      <w:r w:rsidR="001F339B" w:rsidRPr="00C65655">
        <w:rPr>
          <w:rFonts w:ascii="Times New Roman" w:hAnsi="Times New Roman" w:cs="Times New Roman"/>
          <w:bCs/>
          <w:sz w:val="24"/>
          <w:szCs w:val="24"/>
        </w:rPr>
        <w:t xml:space="preserve"> become </w:t>
      </w:r>
      <w:r w:rsidR="00FD785C" w:rsidRPr="00C65655">
        <w:rPr>
          <w:rFonts w:ascii="Times New Roman" w:hAnsi="Times New Roman" w:cs="Times New Roman"/>
          <w:bCs/>
          <w:sz w:val="24"/>
          <w:szCs w:val="24"/>
        </w:rPr>
        <w:t xml:space="preserve">more </w:t>
      </w:r>
      <w:r w:rsidR="001F339B" w:rsidRPr="00C65655">
        <w:rPr>
          <w:rFonts w:ascii="Times New Roman" w:hAnsi="Times New Roman" w:cs="Times New Roman"/>
          <w:bCs/>
          <w:sz w:val="24"/>
          <w:szCs w:val="24"/>
        </w:rPr>
        <w:t>integrated into the EU’s multilevel administrative</w:t>
      </w:r>
      <w:r w:rsidR="001F339B" w:rsidRPr="00997397">
        <w:rPr>
          <w:rFonts w:ascii="Times New Roman" w:hAnsi="Times New Roman" w:cs="Times New Roman"/>
          <w:bCs/>
          <w:sz w:val="24"/>
          <w:szCs w:val="24"/>
        </w:rPr>
        <w:t xml:space="preserve"> over time, and</w:t>
      </w:r>
      <w:r w:rsidR="00DE32DD">
        <w:rPr>
          <w:rFonts w:ascii="Times New Roman" w:hAnsi="Times New Roman" w:cs="Times New Roman"/>
          <w:bCs/>
          <w:sz w:val="24"/>
          <w:szCs w:val="24"/>
        </w:rPr>
        <w:t xml:space="preserve"> that “(a</w:t>
      </w:r>
      <w:r w:rsidR="001F339B" w:rsidRPr="00997397">
        <w:rPr>
          <w:rFonts w:ascii="Times New Roman" w:hAnsi="Times New Roman" w:cs="Times New Roman"/>
          <w:bCs/>
          <w:sz w:val="24"/>
          <w:szCs w:val="24"/>
        </w:rPr>
        <w:t>dministrative) integration beyond membership is promoted and nudged by favourable organi</w:t>
      </w:r>
      <w:r w:rsidR="009B6F44">
        <w:rPr>
          <w:rFonts w:ascii="Times New Roman" w:hAnsi="Times New Roman" w:cs="Times New Roman"/>
          <w:bCs/>
          <w:sz w:val="24"/>
          <w:szCs w:val="24"/>
        </w:rPr>
        <w:t>z</w:t>
      </w:r>
      <w:r w:rsidR="001F339B" w:rsidRPr="00997397">
        <w:rPr>
          <w:rFonts w:ascii="Times New Roman" w:hAnsi="Times New Roman" w:cs="Times New Roman"/>
          <w:bCs/>
          <w:sz w:val="24"/>
          <w:szCs w:val="24"/>
        </w:rPr>
        <w:t>ational conditions at the domestic level.”</w:t>
      </w:r>
      <w:r w:rsidR="001F339B" w:rsidRPr="00997397">
        <w:rPr>
          <w:rFonts w:ascii="Times New Roman" w:hAnsi="Times New Roman" w:cs="Times New Roman"/>
          <w:bCs/>
          <w:sz w:val="24"/>
          <w:szCs w:val="24"/>
          <w:vertAlign w:val="superscript"/>
        </w:rPr>
        <w:footnoteReference w:id="123"/>
      </w:r>
      <w:r w:rsidR="001F339B" w:rsidRPr="00997397">
        <w:rPr>
          <w:rFonts w:ascii="Times New Roman" w:hAnsi="Times New Roman" w:cs="Times New Roman"/>
          <w:sz w:val="24"/>
          <w:szCs w:val="24"/>
        </w:rPr>
        <w:t xml:space="preserve"> </w:t>
      </w:r>
      <w:r w:rsidR="001F339B" w:rsidRPr="00997397">
        <w:rPr>
          <w:rFonts w:ascii="Times New Roman" w:hAnsi="Times New Roman" w:cs="Times New Roman"/>
          <w:bCs/>
          <w:sz w:val="24"/>
          <w:szCs w:val="24"/>
        </w:rPr>
        <w:t xml:space="preserve">Thus, they </w:t>
      </w:r>
      <w:r w:rsidR="00B01AA5">
        <w:rPr>
          <w:rFonts w:ascii="Times New Roman" w:hAnsi="Times New Roman" w:cs="Times New Roman"/>
          <w:bCs/>
          <w:sz w:val="24"/>
          <w:szCs w:val="24"/>
        </w:rPr>
        <w:t xml:space="preserve">expect </w:t>
      </w:r>
      <w:r w:rsidR="001F339B" w:rsidRPr="00997397">
        <w:rPr>
          <w:rFonts w:ascii="Times New Roman" w:hAnsi="Times New Roman" w:cs="Times New Roman"/>
          <w:bCs/>
          <w:sz w:val="24"/>
          <w:szCs w:val="24"/>
        </w:rPr>
        <w:t xml:space="preserve">the UK </w:t>
      </w:r>
      <w:r w:rsidR="00B01AA5">
        <w:rPr>
          <w:rFonts w:ascii="Times New Roman" w:hAnsi="Times New Roman" w:cs="Times New Roman"/>
          <w:bCs/>
          <w:sz w:val="24"/>
          <w:szCs w:val="24"/>
        </w:rPr>
        <w:t>to</w:t>
      </w:r>
      <w:r w:rsidR="001F339B" w:rsidRPr="00997397">
        <w:rPr>
          <w:rFonts w:ascii="Times New Roman" w:hAnsi="Times New Roman" w:cs="Times New Roman"/>
          <w:bCs/>
          <w:sz w:val="24"/>
          <w:szCs w:val="24"/>
        </w:rPr>
        <w:t xml:space="preserve"> experience “silent EEA-ization”.</w:t>
      </w:r>
      <w:r w:rsidR="001F339B" w:rsidRPr="00997397">
        <w:rPr>
          <w:rFonts w:ascii="Times New Roman" w:hAnsi="Times New Roman" w:cs="Times New Roman"/>
          <w:bCs/>
          <w:sz w:val="24"/>
          <w:szCs w:val="24"/>
          <w:vertAlign w:val="superscript"/>
        </w:rPr>
        <w:footnoteReference w:id="124"/>
      </w:r>
      <w:r w:rsidR="001F339B" w:rsidRPr="00997397">
        <w:rPr>
          <w:rFonts w:ascii="Times New Roman" w:hAnsi="Times New Roman" w:cs="Times New Roman"/>
          <w:bCs/>
          <w:sz w:val="24"/>
          <w:szCs w:val="24"/>
        </w:rPr>
        <w:t xml:space="preserve"> </w:t>
      </w:r>
      <w:r w:rsidR="001F339B" w:rsidRPr="00997397">
        <w:rPr>
          <w:rFonts w:ascii="Times New Roman" w:hAnsi="Times New Roman" w:cs="Times New Roman"/>
          <w:sz w:val="24"/>
          <w:szCs w:val="24"/>
        </w:rPr>
        <w:t xml:space="preserve">While the UK does not have Norway-style alignment </w:t>
      </w:r>
      <w:r w:rsidR="00842C46" w:rsidRPr="00997397">
        <w:rPr>
          <w:rFonts w:ascii="Times New Roman" w:hAnsi="Times New Roman" w:cs="Times New Roman"/>
          <w:sz w:val="24"/>
          <w:szCs w:val="24"/>
        </w:rPr>
        <w:t xml:space="preserve">or extension of the EU acquis </w:t>
      </w:r>
      <w:r w:rsidR="001F339B" w:rsidRPr="00997397">
        <w:rPr>
          <w:rFonts w:ascii="Times New Roman" w:hAnsi="Times New Roman" w:cs="Times New Roman"/>
          <w:sz w:val="24"/>
          <w:szCs w:val="24"/>
        </w:rPr>
        <w:t xml:space="preserve">as a ‘quasi-member’ through the EEA, it starts from a position of even greater integration as a former full EU Member State. </w:t>
      </w:r>
      <w:r w:rsidR="00456038" w:rsidRPr="00997397">
        <w:rPr>
          <w:rFonts w:ascii="Times New Roman" w:hAnsi="Times New Roman" w:cs="Times New Roman"/>
          <w:sz w:val="24"/>
          <w:szCs w:val="24"/>
        </w:rPr>
        <w:t xml:space="preserve">EU law is </w:t>
      </w:r>
      <w:r w:rsidR="000C573F">
        <w:rPr>
          <w:rFonts w:ascii="Times New Roman" w:hAnsi="Times New Roman" w:cs="Times New Roman"/>
          <w:sz w:val="24"/>
          <w:szCs w:val="24"/>
        </w:rPr>
        <w:t xml:space="preserve">already </w:t>
      </w:r>
      <w:r w:rsidR="00456038" w:rsidRPr="00997397">
        <w:rPr>
          <w:rFonts w:ascii="Times New Roman" w:hAnsi="Times New Roman" w:cs="Times New Roman"/>
          <w:sz w:val="24"/>
          <w:szCs w:val="24"/>
        </w:rPr>
        <w:t>embedded through the UK’s domestic (legislation and) administrative institutions.</w:t>
      </w:r>
      <w:r w:rsidR="00DE5B69">
        <w:rPr>
          <w:rFonts w:ascii="Times New Roman" w:hAnsi="Times New Roman" w:cs="Times New Roman"/>
          <w:sz w:val="24"/>
          <w:szCs w:val="24"/>
        </w:rPr>
        <w:t xml:space="preserve"> </w:t>
      </w:r>
      <w:r w:rsidR="001C6E93">
        <w:rPr>
          <w:rFonts w:ascii="Times New Roman" w:hAnsi="Times New Roman" w:cs="Times New Roman"/>
          <w:sz w:val="24"/>
          <w:szCs w:val="24"/>
        </w:rPr>
        <w:t>Moreover, w</w:t>
      </w:r>
      <w:r w:rsidR="001C6E93" w:rsidRPr="004F61CE">
        <w:rPr>
          <w:rFonts w:ascii="Times New Roman" w:hAnsi="Times New Roman" w:cs="Times New Roman"/>
          <w:bCs/>
          <w:sz w:val="24"/>
          <w:szCs w:val="24"/>
        </w:rPr>
        <w:t>ithdrawal from the EU affects the UK’s future domestic regulatory architecture</w:t>
      </w:r>
      <w:r w:rsidR="00DE5B69">
        <w:rPr>
          <w:rFonts w:ascii="Times New Roman" w:hAnsi="Times New Roman" w:cs="Times New Roman"/>
          <w:bCs/>
          <w:sz w:val="24"/>
          <w:szCs w:val="24"/>
        </w:rPr>
        <w:t xml:space="preserve">, either by designating </w:t>
      </w:r>
      <w:r w:rsidR="00DE5B69" w:rsidRPr="004F61CE">
        <w:rPr>
          <w:rFonts w:ascii="Times New Roman" w:hAnsi="Times New Roman" w:cs="Times New Roman"/>
          <w:iCs/>
          <w:sz w:val="24"/>
          <w:szCs w:val="24"/>
        </w:rPr>
        <w:t>existing authorities or establish</w:t>
      </w:r>
      <w:r w:rsidR="00DE5B69">
        <w:rPr>
          <w:rFonts w:ascii="Times New Roman" w:hAnsi="Times New Roman" w:cs="Times New Roman"/>
          <w:iCs/>
          <w:sz w:val="24"/>
          <w:szCs w:val="24"/>
        </w:rPr>
        <w:t>ing</w:t>
      </w:r>
      <w:r w:rsidR="00DE5B69" w:rsidRPr="004F61CE">
        <w:rPr>
          <w:rFonts w:ascii="Times New Roman" w:hAnsi="Times New Roman" w:cs="Times New Roman"/>
          <w:iCs/>
          <w:sz w:val="24"/>
          <w:szCs w:val="24"/>
        </w:rPr>
        <w:t xml:space="preserve"> new ones</w:t>
      </w:r>
      <w:r w:rsidR="00F508C3">
        <w:rPr>
          <w:rFonts w:ascii="Times New Roman" w:hAnsi="Times New Roman" w:cs="Times New Roman"/>
          <w:bCs/>
          <w:sz w:val="24"/>
          <w:szCs w:val="24"/>
        </w:rPr>
        <w:t>: f</w:t>
      </w:r>
      <w:r w:rsidR="001C6E93" w:rsidRPr="004F61CE">
        <w:rPr>
          <w:rFonts w:ascii="Times New Roman" w:hAnsi="Times New Roman" w:cs="Times New Roman"/>
          <w:bCs/>
          <w:sz w:val="24"/>
          <w:szCs w:val="24"/>
        </w:rPr>
        <w:t xml:space="preserve">irst, it must transfer or duplicate </w:t>
      </w:r>
      <w:r w:rsidR="00693396">
        <w:rPr>
          <w:rFonts w:ascii="Times New Roman" w:hAnsi="Times New Roman" w:cs="Times New Roman"/>
          <w:bCs/>
          <w:sz w:val="24"/>
          <w:szCs w:val="24"/>
        </w:rPr>
        <w:t xml:space="preserve">previously EU </w:t>
      </w:r>
      <w:r w:rsidR="001C6E93" w:rsidRPr="004F61CE">
        <w:rPr>
          <w:rFonts w:ascii="Times New Roman" w:hAnsi="Times New Roman" w:cs="Times New Roman"/>
          <w:bCs/>
          <w:sz w:val="24"/>
          <w:szCs w:val="24"/>
        </w:rPr>
        <w:t xml:space="preserve">competences from the EU level, and second, </w:t>
      </w:r>
      <w:r w:rsidR="00424C77">
        <w:rPr>
          <w:rFonts w:ascii="Times New Roman" w:hAnsi="Times New Roman" w:cs="Times New Roman"/>
          <w:bCs/>
          <w:sz w:val="24"/>
          <w:szCs w:val="24"/>
        </w:rPr>
        <w:t xml:space="preserve">there are </w:t>
      </w:r>
      <w:r w:rsidR="00693396">
        <w:rPr>
          <w:rFonts w:ascii="Times New Roman" w:hAnsi="Times New Roman" w:cs="Times New Roman"/>
          <w:bCs/>
          <w:sz w:val="24"/>
          <w:szCs w:val="24"/>
        </w:rPr>
        <w:t>in</w:t>
      </w:r>
      <w:r w:rsidR="001C6E93" w:rsidRPr="004F61CE">
        <w:rPr>
          <w:rFonts w:ascii="Times New Roman" w:hAnsi="Times New Roman" w:cs="Times New Roman"/>
          <w:bCs/>
          <w:sz w:val="24"/>
          <w:szCs w:val="24"/>
        </w:rPr>
        <w:t xml:space="preserve">stitutional </w:t>
      </w:r>
      <w:r w:rsidR="00424C77">
        <w:rPr>
          <w:rFonts w:ascii="Times New Roman" w:hAnsi="Times New Roman" w:cs="Times New Roman"/>
          <w:bCs/>
          <w:sz w:val="24"/>
          <w:szCs w:val="24"/>
        </w:rPr>
        <w:t>obligations</w:t>
      </w:r>
      <w:r w:rsidR="001C6E93" w:rsidRPr="004F61CE">
        <w:rPr>
          <w:rFonts w:ascii="Times New Roman" w:hAnsi="Times New Roman" w:cs="Times New Roman"/>
          <w:bCs/>
          <w:sz w:val="24"/>
          <w:szCs w:val="24"/>
        </w:rPr>
        <w:t xml:space="preserve"> arising from the WA and TCA</w:t>
      </w:r>
      <w:r w:rsidR="00424C77">
        <w:rPr>
          <w:rFonts w:ascii="Times New Roman" w:hAnsi="Times New Roman" w:cs="Times New Roman"/>
          <w:bCs/>
          <w:sz w:val="24"/>
          <w:szCs w:val="24"/>
        </w:rPr>
        <w:t>.</w:t>
      </w:r>
      <w:r w:rsidR="00DE5B69">
        <w:rPr>
          <w:rStyle w:val="FootnoteReference"/>
          <w:rFonts w:ascii="Times New Roman" w:hAnsi="Times New Roman" w:cs="Times New Roman"/>
          <w:bCs/>
          <w:sz w:val="24"/>
          <w:szCs w:val="24"/>
        </w:rPr>
        <w:footnoteReference w:id="125"/>
      </w:r>
      <w:r w:rsidR="001C6E93" w:rsidRPr="004F61CE">
        <w:rPr>
          <w:rFonts w:ascii="Times New Roman" w:hAnsi="Times New Roman" w:cs="Times New Roman"/>
          <w:bCs/>
          <w:sz w:val="24"/>
          <w:szCs w:val="24"/>
        </w:rPr>
        <w:t xml:space="preserve"> </w:t>
      </w:r>
    </w:p>
    <w:p w14:paraId="28C0421E" w14:textId="77777777" w:rsidR="00EF16C9" w:rsidRPr="00997397" w:rsidRDefault="00EF16C9" w:rsidP="00D53E12">
      <w:pPr>
        <w:spacing w:line="240" w:lineRule="auto"/>
        <w:rPr>
          <w:rFonts w:ascii="Times New Roman" w:hAnsi="Times New Roman" w:cs="Times New Roman"/>
          <w:b/>
          <w:bCs/>
          <w:sz w:val="24"/>
          <w:szCs w:val="24"/>
        </w:rPr>
      </w:pPr>
    </w:p>
    <w:p w14:paraId="4FD1C62B" w14:textId="7678CEBD" w:rsidR="00F52856" w:rsidRPr="00997397" w:rsidRDefault="002438DF" w:rsidP="00D53E12">
      <w:pPr>
        <w:spacing w:line="240" w:lineRule="auto"/>
        <w:rPr>
          <w:rFonts w:ascii="Times New Roman" w:hAnsi="Times New Roman" w:cs="Times New Roman"/>
          <w:b/>
          <w:bCs/>
          <w:sz w:val="24"/>
          <w:szCs w:val="24"/>
        </w:rPr>
      </w:pPr>
      <w:r>
        <w:rPr>
          <w:rFonts w:ascii="Times New Roman" w:hAnsi="Times New Roman" w:cs="Times New Roman"/>
          <w:b/>
          <w:bCs/>
          <w:sz w:val="24"/>
          <w:szCs w:val="24"/>
        </w:rPr>
        <w:t>4.</w:t>
      </w:r>
      <w:r w:rsidR="00F52856" w:rsidRPr="00997397">
        <w:rPr>
          <w:rFonts w:ascii="Times New Roman" w:hAnsi="Times New Roman" w:cs="Times New Roman"/>
          <w:b/>
          <w:bCs/>
          <w:sz w:val="24"/>
          <w:szCs w:val="24"/>
        </w:rPr>
        <w:t xml:space="preserve"> Conclusions</w:t>
      </w:r>
    </w:p>
    <w:p w14:paraId="0EA3EECD" w14:textId="399EB910" w:rsidR="00D34847" w:rsidRPr="000D60F9" w:rsidRDefault="007E1CE4" w:rsidP="000D60F9">
      <w:pPr>
        <w:spacing w:line="240" w:lineRule="auto"/>
        <w:rPr>
          <w:rFonts w:ascii="Times New Roman" w:hAnsi="Times New Roman" w:cs="Times New Roman"/>
          <w:sz w:val="24"/>
          <w:szCs w:val="24"/>
        </w:rPr>
      </w:pPr>
      <w:r>
        <w:rPr>
          <w:rFonts w:ascii="Times New Roman" w:hAnsi="Times New Roman" w:cs="Times New Roman"/>
          <w:sz w:val="24"/>
          <w:szCs w:val="24"/>
        </w:rPr>
        <w:t>A</w:t>
      </w:r>
      <w:r w:rsidR="00885F3D" w:rsidRPr="00997397">
        <w:rPr>
          <w:rFonts w:ascii="Times New Roman" w:hAnsi="Times New Roman" w:cs="Times New Roman"/>
          <w:sz w:val="24"/>
          <w:szCs w:val="24"/>
        </w:rPr>
        <w:t>s of 1 January 2021, the UK and the EU are two distinct regulatory and legal spaces.</w:t>
      </w:r>
      <w:r w:rsidR="00885F3D" w:rsidRPr="00997397">
        <w:rPr>
          <w:rStyle w:val="FootnoteReference"/>
          <w:rFonts w:ascii="Times New Roman" w:hAnsi="Times New Roman" w:cs="Times New Roman"/>
          <w:sz w:val="24"/>
          <w:szCs w:val="24"/>
        </w:rPr>
        <w:footnoteReference w:id="126"/>
      </w:r>
      <w:r w:rsidR="00885F3D" w:rsidRPr="00997397">
        <w:rPr>
          <w:rFonts w:ascii="Times New Roman" w:hAnsi="Times New Roman" w:cs="Times New Roman"/>
          <w:sz w:val="24"/>
          <w:szCs w:val="24"/>
        </w:rPr>
        <w:t xml:space="preserve"> </w:t>
      </w:r>
      <w:r w:rsidR="00DD2DC0">
        <w:rPr>
          <w:rFonts w:ascii="Times New Roman" w:hAnsi="Times New Roman" w:cs="Times New Roman"/>
          <w:sz w:val="24"/>
          <w:szCs w:val="24"/>
        </w:rPr>
        <w:t>The TCA recognises regulatory autonomy</w:t>
      </w:r>
      <w:r w:rsidR="00604AB7">
        <w:rPr>
          <w:rFonts w:ascii="Times New Roman" w:hAnsi="Times New Roman" w:cs="Times New Roman"/>
          <w:sz w:val="24"/>
          <w:szCs w:val="24"/>
        </w:rPr>
        <w:t xml:space="preserve"> - b</w:t>
      </w:r>
      <w:r w:rsidR="003805FB">
        <w:rPr>
          <w:rFonts w:ascii="Times New Roman" w:hAnsi="Times New Roman" w:cs="Times New Roman"/>
          <w:sz w:val="24"/>
          <w:szCs w:val="24"/>
        </w:rPr>
        <w:t>ut at a cost</w:t>
      </w:r>
      <w:r w:rsidR="00A10BF4">
        <w:rPr>
          <w:rFonts w:ascii="Times New Roman" w:hAnsi="Times New Roman" w:cs="Times New Roman"/>
          <w:sz w:val="24"/>
          <w:szCs w:val="24"/>
        </w:rPr>
        <w:t xml:space="preserve">. </w:t>
      </w:r>
      <w:r w:rsidR="007E3549" w:rsidRPr="00997397">
        <w:rPr>
          <w:rFonts w:ascii="Times New Roman" w:eastAsia="Calibri" w:hAnsi="Times New Roman" w:cs="Times New Roman"/>
          <w:bCs/>
          <w:sz w:val="24"/>
          <w:szCs w:val="24"/>
        </w:rPr>
        <w:t xml:space="preserve">Overarching governance arrangements </w:t>
      </w:r>
      <w:r w:rsidR="00461538">
        <w:rPr>
          <w:rFonts w:ascii="Times New Roman" w:eastAsia="Calibri" w:hAnsi="Times New Roman" w:cs="Times New Roman"/>
          <w:bCs/>
          <w:sz w:val="24"/>
          <w:szCs w:val="24"/>
        </w:rPr>
        <w:t xml:space="preserve">explicitly </w:t>
      </w:r>
      <w:r w:rsidR="003568E1">
        <w:rPr>
          <w:rFonts w:ascii="Times New Roman" w:eastAsia="Calibri" w:hAnsi="Times New Roman" w:cs="Times New Roman"/>
          <w:bCs/>
          <w:sz w:val="24"/>
          <w:szCs w:val="24"/>
        </w:rPr>
        <w:t xml:space="preserve">aim to </w:t>
      </w:r>
      <w:r w:rsidR="007E3549" w:rsidRPr="00997397">
        <w:rPr>
          <w:rFonts w:ascii="Times New Roman" w:eastAsia="Calibri" w:hAnsi="Times New Roman" w:cs="Times New Roman"/>
          <w:bCs/>
          <w:sz w:val="24"/>
          <w:szCs w:val="24"/>
        </w:rPr>
        <w:t>constrain regulatory competitiveness.</w:t>
      </w:r>
      <w:r w:rsidR="006552FE">
        <w:rPr>
          <w:rFonts w:ascii="Times New Roman" w:eastAsia="Calibri" w:hAnsi="Times New Roman" w:cs="Times New Roman"/>
          <w:bCs/>
          <w:sz w:val="24"/>
          <w:szCs w:val="24"/>
        </w:rPr>
        <w:t xml:space="preserve"> </w:t>
      </w:r>
      <w:r w:rsidR="003568E1">
        <w:rPr>
          <w:rFonts w:ascii="Times New Roman" w:eastAsia="Calibri" w:hAnsi="Times New Roman" w:cs="Times New Roman"/>
          <w:bCs/>
          <w:sz w:val="24"/>
          <w:szCs w:val="24"/>
        </w:rPr>
        <w:t>In maintaining a level playing field, a</w:t>
      </w:r>
      <w:r w:rsidR="003B0EE9">
        <w:rPr>
          <w:rFonts w:ascii="Times New Roman" w:eastAsia="Calibri" w:hAnsi="Times New Roman" w:cs="Times New Roman"/>
          <w:bCs/>
          <w:sz w:val="24"/>
          <w:szCs w:val="24"/>
        </w:rPr>
        <w:t xml:space="preserve"> lot may hang on the interpretation of ‘material’ impact on trade and investment </w:t>
      </w:r>
      <w:proofErr w:type="gramStart"/>
      <w:r w:rsidR="003B0EE9">
        <w:rPr>
          <w:rFonts w:ascii="Times New Roman" w:eastAsia="Calibri" w:hAnsi="Times New Roman" w:cs="Times New Roman"/>
          <w:bCs/>
          <w:sz w:val="24"/>
          <w:szCs w:val="24"/>
        </w:rPr>
        <w:t>as a result of</w:t>
      </w:r>
      <w:proofErr w:type="gramEnd"/>
      <w:r w:rsidR="003B0EE9">
        <w:rPr>
          <w:rFonts w:ascii="Times New Roman" w:eastAsia="Calibri" w:hAnsi="Times New Roman" w:cs="Times New Roman"/>
          <w:bCs/>
          <w:sz w:val="24"/>
          <w:szCs w:val="24"/>
        </w:rPr>
        <w:t xml:space="preserve"> ‘significant’ divergences</w:t>
      </w:r>
      <w:r w:rsidR="0097185D">
        <w:rPr>
          <w:rFonts w:ascii="Times New Roman" w:eastAsia="Calibri" w:hAnsi="Times New Roman" w:cs="Times New Roman"/>
          <w:bCs/>
          <w:sz w:val="24"/>
          <w:szCs w:val="24"/>
        </w:rPr>
        <w:t xml:space="preserve">. </w:t>
      </w:r>
      <w:r w:rsidR="00A10BF4">
        <w:rPr>
          <w:rFonts w:ascii="Times New Roman" w:hAnsi="Times New Roman" w:cs="Times New Roman"/>
          <w:sz w:val="24"/>
          <w:szCs w:val="24"/>
        </w:rPr>
        <w:t>Other factors act</w:t>
      </w:r>
      <w:r w:rsidR="00722C85">
        <w:rPr>
          <w:rFonts w:ascii="Times New Roman" w:hAnsi="Times New Roman" w:cs="Times New Roman"/>
          <w:sz w:val="24"/>
          <w:szCs w:val="24"/>
        </w:rPr>
        <w:t>ing</w:t>
      </w:r>
      <w:r w:rsidR="00A10BF4">
        <w:rPr>
          <w:rFonts w:ascii="Times New Roman" w:hAnsi="Times New Roman" w:cs="Times New Roman"/>
          <w:sz w:val="24"/>
          <w:szCs w:val="24"/>
        </w:rPr>
        <w:t xml:space="preserve"> to r</w:t>
      </w:r>
      <w:r w:rsidR="00C1406D">
        <w:rPr>
          <w:rFonts w:ascii="Times New Roman" w:hAnsi="Times New Roman" w:cs="Times New Roman"/>
          <w:sz w:val="24"/>
          <w:szCs w:val="24"/>
        </w:rPr>
        <w:t xml:space="preserve">estrain or disincentivize </w:t>
      </w:r>
      <w:r w:rsidR="00A10BF4">
        <w:rPr>
          <w:rFonts w:ascii="Times New Roman" w:hAnsi="Times New Roman" w:cs="Times New Roman"/>
          <w:sz w:val="24"/>
          <w:szCs w:val="24"/>
        </w:rPr>
        <w:t>regulatory differentiation</w:t>
      </w:r>
      <w:r w:rsidR="00604AB7">
        <w:rPr>
          <w:rFonts w:ascii="Times New Roman" w:hAnsi="Times New Roman" w:cs="Times New Roman"/>
          <w:sz w:val="24"/>
          <w:szCs w:val="24"/>
        </w:rPr>
        <w:t xml:space="preserve"> include </w:t>
      </w:r>
      <w:r w:rsidR="008C4136">
        <w:rPr>
          <w:rFonts w:ascii="Times New Roman" w:hAnsi="Times New Roman" w:cs="Times New Roman"/>
          <w:sz w:val="24"/>
          <w:szCs w:val="24"/>
        </w:rPr>
        <w:t>commitment</w:t>
      </w:r>
      <w:r w:rsidR="00C56EF5">
        <w:rPr>
          <w:rFonts w:ascii="Times New Roman" w:hAnsi="Times New Roman" w:cs="Times New Roman"/>
          <w:sz w:val="24"/>
          <w:szCs w:val="24"/>
        </w:rPr>
        <w:t>s</w:t>
      </w:r>
      <w:r w:rsidR="008C4136">
        <w:rPr>
          <w:rFonts w:ascii="Times New Roman" w:hAnsi="Times New Roman" w:cs="Times New Roman"/>
          <w:sz w:val="24"/>
          <w:szCs w:val="24"/>
        </w:rPr>
        <w:t xml:space="preserve"> on convergence to international standards (</w:t>
      </w:r>
      <w:r w:rsidR="00DA4B3A">
        <w:rPr>
          <w:rFonts w:ascii="Times New Roman" w:hAnsi="Times New Roman" w:cs="Times New Roman"/>
          <w:sz w:val="24"/>
          <w:szCs w:val="24"/>
        </w:rPr>
        <w:t>many</w:t>
      </w:r>
      <w:r w:rsidR="008C4136">
        <w:rPr>
          <w:rFonts w:ascii="Times New Roman" w:hAnsi="Times New Roman" w:cs="Times New Roman"/>
          <w:sz w:val="24"/>
          <w:szCs w:val="24"/>
        </w:rPr>
        <w:t xml:space="preserve"> of which are</w:t>
      </w:r>
      <w:r w:rsidR="00C56EF5">
        <w:rPr>
          <w:rFonts w:ascii="Times New Roman" w:hAnsi="Times New Roman" w:cs="Times New Roman"/>
          <w:sz w:val="24"/>
          <w:szCs w:val="24"/>
        </w:rPr>
        <w:t>,</w:t>
      </w:r>
      <w:r w:rsidR="008C4136">
        <w:rPr>
          <w:rFonts w:ascii="Times New Roman" w:hAnsi="Times New Roman" w:cs="Times New Roman"/>
          <w:sz w:val="24"/>
          <w:szCs w:val="24"/>
        </w:rPr>
        <w:t xml:space="preserve"> in practice</w:t>
      </w:r>
      <w:r w:rsidR="00C56EF5">
        <w:rPr>
          <w:rFonts w:ascii="Times New Roman" w:hAnsi="Times New Roman" w:cs="Times New Roman"/>
          <w:sz w:val="24"/>
          <w:szCs w:val="24"/>
        </w:rPr>
        <w:t>,</w:t>
      </w:r>
      <w:r w:rsidR="008C4136">
        <w:rPr>
          <w:rFonts w:ascii="Times New Roman" w:hAnsi="Times New Roman" w:cs="Times New Roman"/>
          <w:sz w:val="24"/>
          <w:szCs w:val="24"/>
        </w:rPr>
        <w:t xml:space="preserve"> based on EU standards)</w:t>
      </w:r>
      <w:r w:rsidR="00241529">
        <w:rPr>
          <w:rFonts w:ascii="Times New Roman" w:hAnsi="Times New Roman" w:cs="Times New Roman"/>
          <w:sz w:val="24"/>
          <w:szCs w:val="24"/>
        </w:rPr>
        <w:t xml:space="preserve"> – and in some cases a duty to review adherence and explain any divergences from these,</w:t>
      </w:r>
      <w:r w:rsidR="008C4136">
        <w:rPr>
          <w:rFonts w:ascii="Times New Roman" w:hAnsi="Times New Roman" w:cs="Times New Roman"/>
          <w:sz w:val="24"/>
          <w:szCs w:val="24"/>
        </w:rPr>
        <w:t xml:space="preserve"> </w:t>
      </w:r>
      <w:r w:rsidR="00604AB7">
        <w:rPr>
          <w:rFonts w:ascii="Times New Roman" w:hAnsi="Times New Roman" w:cs="Times New Roman"/>
          <w:sz w:val="24"/>
          <w:szCs w:val="24"/>
        </w:rPr>
        <w:t xml:space="preserve">transparency </w:t>
      </w:r>
      <w:r w:rsidR="00017A13">
        <w:rPr>
          <w:rFonts w:ascii="Times New Roman" w:hAnsi="Times New Roman" w:cs="Times New Roman"/>
          <w:sz w:val="24"/>
          <w:szCs w:val="24"/>
        </w:rPr>
        <w:t xml:space="preserve">requirements </w:t>
      </w:r>
      <w:r w:rsidR="00604AB7">
        <w:rPr>
          <w:rFonts w:ascii="Times New Roman" w:hAnsi="Times New Roman" w:cs="Times New Roman"/>
          <w:sz w:val="24"/>
          <w:szCs w:val="24"/>
        </w:rPr>
        <w:t xml:space="preserve">on </w:t>
      </w:r>
      <w:r w:rsidR="00062FC6">
        <w:rPr>
          <w:rFonts w:ascii="Times New Roman" w:hAnsi="Times New Roman" w:cs="Times New Roman"/>
          <w:sz w:val="24"/>
          <w:szCs w:val="24"/>
        </w:rPr>
        <w:t>new regulations</w:t>
      </w:r>
      <w:r w:rsidR="00604AB7">
        <w:rPr>
          <w:rFonts w:ascii="Times New Roman" w:hAnsi="Times New Roman" w:cs="Times New Roman"/>
          <w:sz w:val="24"/>
          <w:szCs w:val="24"/>
        </w:rPr>
        <w:t xml:space="preserve">, </w:t>
      </w:r>
      <w:r w:rsidR="0037456C">
        <w:rPr>
          <w:rFonts w:ascii="Times New Roman" w:hAnsi="Times New Roman" w:cs="Times New Roman"/>
          <w:sz w:val="24"/>
          <w:szCs w:val="24"/>
        </w:rPr>
        <w:t>and unilateral equivalence decisions still to be taken</w:t>
      </w:r>
      <w:r w:rsidR="00944F2E">
        <w:rPr>
          <w:rFonts w:ascii="Times New Roman" w:hAnsi="Times New Roman" w:cs="Times New Roman"/>
          <w:sz w:val="24"/>
          <w:szCs w:val="24"/>
        </w:rPr>
        <w:t xml:space="preserve">. Still other elements may be more organic, including </w:t>
      </w:r>
      <w:r w:rsidR="00F30F30">
        <w:rPr>
          <w:rFonts w:ascii="Times New Roman" w:hAnsi="Times New Roman" w:cs="Times New Roman"/>
          <w:sz w:val="24"/>
          <w:szCs w:val="24"/>
        </w:rPr>
        <w:t xml:space="preserve">functionalist cooperation in sector-specific policy communities, and </w:t>
      </w:r>
      <w:r w:rsidR="00F30F30">
        <w:rPr>
          <w:rFonts w:ascii="Times New Roman" w:hAnsi="Times New Roman" w:cs="Times New Roman"/>
          <w:sz w:val="24"/>
          <w:szCs w:val="24"/>
        </w:rPr>
        <w:lastRenderedPageBreak/>
        <w:t xml:space="preserve">the path dependency which comes from </w:t>
      </w:r>
      <w:r w:rsidR="00017A13">
        <w:rPr>
          <w:rFonts w:ascii="Times New Roman" w:hAnsi="Times New Roman" w:cs="Times New Roman"/>
          <w:sz w:val="24"/>
          <w:szCs w:val="24"/>
        </w:rPr>
        <w:t xml:space="preserve">the </w:t>
      </w:r>
      <w:r w:rsidR="00CA7439">
        <w:rPr>
          <w:rFonts w:ascii="Times New Roman" w:hAnsi="Times New Roman" w:cs="Times New Roman"/>
          <w:sz w:val="24"/>
          <w:szCs w:val="24"/>
        </w:rPr>
        <w:t>existing deep embeddedness of EU law in the UK.</w:t>
      </w:r>
      <w:r w:rsidR="000D60F9">
        <w:rPr>
          <w:rFonts w:ascii="Times New Roman" w:hAnsi="Times New Roman" w:cs="Times New Roman"/>
          <w:sz w:val="24"/>
          <w:szCs w:val="24"/>
        </w:rPr>
        <w:t xml:space="preserve"> </w:t>
      </w:r>
      <w:r w:rsidR="00D34847" w:rsidRPr="00997397">
        <w:rPr>
          <w:rFonts w:ascii="Times New Roman" w:hAnsi="Times New Roman" w:cs="Times New Roman"/>
          <w:bCs/>
          <w:sz w:val="24"/>
          <w:szCs w:val="24"/>
        </w:rPr>
        <w:t xml:space="preserve">Withdrawal from the EU </w:t>
      </w:r>
      <w:r w:rsidR="000D60F9">
        <w:rPr>
          <w:rFonts w:ascii="Times New Roman" w:hAnsi="Times New Roman" w:cs="Times New Roman"/>
          <w:bCs/>
          <w:sz w:val="24"/>
          <w:szCs w:val="24"/>
        </w:rPr>
        <w:t xml:space="preserve">also </w:t>
      </w:r>
      <w:r w:rsidR="00D34847" w:rsidRPr="00997397">
        <w:rPr>
          <w:rFonts w:ascii="Times New Roman" w:hAnsi="Times New Roman" w:cs="Times New Roman"/>
          <w:bCs/>
          <w:sz w:val="24"/>
          <w:szCs w:val="24"/>
        </w:rPr>
        <w:t xml:space="preserve">affects the UK’s </w:t>
      </w:r>
      <w:r w:rsidR="000D60F9">
        <w:rPr>
          <w:rFonts w:ascii="Times New Roman" w:hAnsi="Times New Roman" w:cs="Times New Roman"/>
          <w:bCs/>
          <w:sz w:val="24"/>
          <w:szCs w:val="24"/>
        </w:rPr>
        <w:t xml:space="preserve">future </w:t>
      </w:r>
      <w:r w:rsidR="00D34847" w:rsidRPr="00997397">
        <w:rPr>
          <w:rFonts w:ascii="Times New Roman" w:hAnsi="Times New Roman" w:cs="Times New Roman"/>
          <w:bCs/>
          <w:sz w:val="24"/>
          <w:szCs w:val="24"/>
        </w:rPr>
        <w:t>domestic regulatory architecture</w:t>
      </w:r>
      <w:r w:rsidR="000D60F9">
        <w:rPr>
          <w:rFonts w:ascii="Times New Roman" w:hAnsi="Times New Roman" w:cs="Times New Roman"/>
          <w:bCs/>
          <w:sz w:val="24"/>
          <w:szCs w:val="24"/>
        </w:rPr>
        <w:t xml:space="preserve">. </w:t>
      </w:r>
    </w:p>
    <w:p w14:paraId="1E7D00CB" w14:textId="4E30A3DC" w:rsidR="00AC40EF" w:rsidRDefault="00A96627" w:rsidP="00935D37">
      <w:pPr>
        <w:rPr>
          <w:rFonts w:ascii="Times New Roman" w:hAnsi="Times New Roman" w:cs="Times New Roman"/>
          <w:bCs/>
          <w:sz w:val="24"/>
          <w:szCs w:val="24"/>
        </w:rPr>
      </w:pPr>
      <w:r>
        <w:rPr>
          <w:rFonts w:ascii="Times New Roman" w:eastAsia="Calibri" w:hAnsi="Times New Roman" w:cs="Times New Roman"/>
          <w:bCs/>
          <w:sz w:val="24"/>
          <w:szCs w:val="24"/>
        </w:rPr>
        <w:t>In terms of governance archi</w:t>
      </w:r>
      <w:r w:rsidR="0074735E">
        <w:rPr>
          <w:rFonts w:ascii="Times New Roman" w:eastAsia="Calibri" w:hAnsi="Times New Roman" w:cs="Times New Roman"/>
          <w:bCs/>
          <w:sz w:val="24"/>
          <w:szCs w:val="24"/>
        </w:rPr>
        <w:t>tecture, the</w:t>
      </w:r>
      <w:r w:rsidR="00C63D18" w:rsidRPr="00007577">
        <w:rPr>
          <w:rFonts w:ascii="Times New Roman" w:eastAsia="Calibri" w:hAnsi="Times New Roman" w:cs="Times New Roman"/>
          <w:bCs/>
          <w:sz w:val="24"/>
          <w:szCs w:val="24"/>
        </w:rPr>
        <w:t xml:space="preserve"> high-level, political mechanism</w:t>
      </w:r>
      <w:r w:rsidR="004263DF" w:rsidRPr="00007577">
        <w:rPr>
          <w:rFonts w:ascii="Times New Roman" w:eastAsia="Calibri" w:hAnsi="Times New Roman" w:cs="Times New Roman"/>
          <w:bCs/>
          <w:sz w:val="24"/>
          <w:szCs w:val="24"/>
        </w:rPr>
        <w:t>s</w:t>
      </w:r>
      <w:r w:rsidR="00C63D18" w:rsidRPr="00007577">
        <w:rPr>
          <w:rFonts w:ascii="Times New Roman" w:eastAsia="Calibri" w:hAnsi="Times New Roman" w:cs="Times New Roman"/>
          <w:bCs/>
          <w:sz w:val="24"/>
          <w:szCs w:val="24"/>
        </w:rPr>
        <w:t xml:space="preserve"> </w:t>
      </w:r>
      <w:r w:rsidR="006F30C9" w:rsidRPr="00007577">
        <w:rPr>
          <w:rFonts w:ascii="Times New Roman" w:eastAsia="Calibri" w:hAnsi="Times New Roman" w:cs="Times New Roman"/>
          <w:bCs/>
          <w:sz w:val="24"/>
          <w:szCs w:val="24"/>
        </w:rPr>
        <w:t xml:space="preserve">- </w:t>
      </w:r>
      <w:r w:rsidR="00C63D18" w:rsidRPr="00007577">
        <w:rPr>
          <w:rFonts w:ascii="Times New Roman" w:eastAsia="Calibri" w:hAnsi="Times New Roman" w:cs="Times New Roman"/>
          <w:bCs/>
          <w:sz w:val="24"/>
          <w:szCs w:val="24"/>
        </w:rPr>
        <w:t>albeit underpinned by a legal framework</w:t>
      </w:r>
      <w:r w:rsidR="00A40BB3" w:rsidRPr="00007577">
        <w:rPr>
          <w:rFonts w:ascii="Times New Roman" w:eastAsia="Calibri" w:hAnsi="Times New Roman" w:cs="Times New Roman"/>
          <w:bCs/>
          <w:sz w:val="24"/>
          <w:szCs w:val="24"/>
        </w:rPr>
        <w:t xml:space="preserve"> </w:t>
      </w:r>
      <w:r w:rsidR="006F30C9" w:rsidRPr="00007577">
        <w:rPr>
          <w:rFonts w:ascii="Times New Roman" w:eastAsia="Calibri" w:hAnsi="Times New Roman" w:cs="Times New Roman"/>
          <w:bCs/>
          <w:sz w:val="24"/>
          <w:szCs w:val="24"/>
        </w:rPr>
        <w:t>-</w:t>
      </w:r>
      <w:r w:rsidR="0074735E">
        <w:rPr>
          <w:rFonts w:ascii="Times New Roman" w:eastAsia="Calibri" w:hAnsi="Times New Roman" w:cs="Times New Roman"/>
          <w:bCs/>
          <w:sz w:val="24"/>
          <w:szCs w:val="24"/>
        </w:rPr>
        <w:t xml:space="preserve"> of</w:t>
      </w:r>
      <w:r w:rsidR="006F30C9" w:rsidRPr="00007577">
        <w:rPr>
          <w:rFonts w:ascii="Times New Roman" w:eastAsia="Calibri" w:hAnsi="Times New Roman" w:cs="Times New Roman"/>
          <w:bCs/>
          <w:sz w:val="24"/>
          <w:szCs w:val="24"/>
        </w:rPr>
        <w:t xml:space="preserve"> the </w:t>
      </w:r>
      <w:r w:rsidR="00D63ABD" w:rsidRPr="00007577">
        <w:rPr>
          <w:rFonts w:ascii="Times New Roman" w:eastAsia="Calibri" w:hAnsi="Times New Roman" w:cs="Times New Roman"/>
          <w:bCs/>
          <w:sz w:val="24"/>
          <w:szCs w:val="24"/>
        </w:rPr>
        <w:t xml:space="preserve">WA </w:t>
      </w:r>
      <w:r w:rsidR="006F30C9" w:rsidRPr="00007577">
        <w:rPr>
          <w:rFonts w:ascii="Times New Roman" w:eastAsia="Calibri" w:hAnsi="Times New Roman" w:cs="Times New Roman"/>
          <w:bCs/>
          <w:sz w:val="24"/>
          <w:szCs w:val="24"/>
        </w:rPr>
        <w:t xml:space="preserve">Joint Committee </w:t>
      </w:r>
      <w:r w:rsidR="00A40BB3" w:rsidRPr="00007577">
        <w:rPr>
          <w:rFonts w:ascii="Times New Roman" w:eastAsia="Calibri" w:hAnsi="Times New Roman" w:cs="Times New Roman"/>
          <w:bCs/>
          <w:sz w:val="24"/>
          <w:szCs w:val="24"/>
        </w:rPr>
        <w:t xml:space="preserve">and </w:t>
      </w:r>
      <w:r w:rsidR="00D63ABD" w:rsidRPr="00007577">
        <w:rPr>
          <w:rFonts w:ascii="Times New Roman" w:eastAsia="Calibri" w:hAnsi="Times New Roman" w:cs="Times New Roman"/>
          <w:bCs/>
          <w:sz w:val="24"/>
          <w:szCs w:val="24"/>
        </w:rPr>
        <w:t xml:space="preserve">TCA </w:t>
      </w:r>
      <w:r w:rsidR="00A40BB3" w:rsidRPr="00007577">
        <w:rPr>
          <w:rFonts w:ascii="Times New Roman" w:eastAsia="Calibri" w:hAnsi="Times New Roman" w:cs="Times New Roman"/>
          <w:bCs/>
          <w:sz w:val="24"/>
          <w:szCs w:val="24"/>
        </w:rPr>
        <w:t xml:space="preserve">Partnership Council </w:t>
      </w:r>
      <w:r w:rsidR="004263DF" w:rsidRPr="00007577">
        <w:rPr>
          <w:rFonts w:ascii="Times New Roman" w:eastAsia="Calibri" w:hAnsi="Times New Roman" w:cs="Times New Roman"/>
          <w:bCs/>
          <w:sz w:val="24"/>
          <w:szCs w:val="24"/>
        </w:rPr>
        <w:t xml:space="preserve">are relatively blunt </w:t>
      </w:r>
      <w:r w:rsidR="00C63D18" w:rsidRPr="00007577">
        <w:rPr>
          <w:rFonts w:ascii="Times New Roman" w:eastAsia="Calibri" w:hAnsi="Times New Roman" w:cs="Times New Roman"/>
          <w:bCs/>
          <w:sz w:val="24"/>
          <w:szCs w:val="24"/>
        </w:rPr>
        <w:t>instrument</w:t>
      </w:r>
      <w:r w:rsidR="004263DF" w:rsidRPr="00007577">
        <w:rPr>
          <w:rFonts w:ascii="Times New Roman" w:eastAsia="Calibri" w:hAnsi="Times New Roman" w:cs="Times New Roman"/>
          <w:bCs/>
          <w:sz w:val="24"/>
          <w:szCs w:val="24"/>
        </w:rPr>
        <w:t>s</w:t>
      </w:r>
      <w:r w:rsidR="00C63D18" w:rsidRPr="00007577">
        <w:rPr>
          <w:rFonts w:ascii="Times New Roman" w:eastAsia="Calibri" w:hAnsi="Times New Roman" w:cs="Times New Roman"/>
          <w:bCs/>
          <w:sz w:val="24"/>
          <w:szCs w:val="24"/>
        </w:rPr>
        <w:t>.</w:t>
      </w:r>
      <w:r w:rsidR="004263DF" w:rsidRPr="00007577">
        <w:rPr>
          <w:rFonts w:ascii="Times New Roman" w:eastAsia="Calibri" w:hAnsi="Times New Roman" w:cs="Times New Roman"/>
          <w:bCs/>
          <w:sz w:val="24"/>
          <w:szCs w:val="24"/>
        </w:rPr>
        <w:t xml:space="preserve"> </w:t>
      </w:r>
      <w:r w:rsidR="008D4873" w:rsidRPr="00007577">
        <w:rPr>
          <w:rFonts w:ascii="Times New Roman" w:eastAsia="Calibri" w:hAnsi="Times New Roman" w:cs="Times New Roman"/>
          <w:bCs/>
          <w:sz w:val="24"/>
          <w:szCs w:val="24"/>
        </w:rPr>
        <w:t xml:space="preserve">The </w:t>
      </w:r>
      <w:r w:rsidR="005D0B65" w:rsidRPr="00007577">
        <w:rPr>
          <w:rFonts w:ascii="Times New Roman" w:eastAsia="Calibri" w:hAnsi="Times New Roman" w:cs="Times New Roman"/>
          <w:bCs/>
          <w:sz w:val="24"/>
          <w:szCs w:val="24"/>
        </w:rPr>
        <w:t>relevance</w:t>
      </w:r>
      <w:r w:rsidR="008D4873" w:rsidRPr="00007577">
        <w:rPr>
          <w:rFonts w:ascii="Times New Roman" w:eastAsia="Calibri" w:hAnsi="Times New Roman" w:cs="Times New Roman"/>
          <w:bCs/>
          <w:sz w:val="24"/>
          <w:szCs w:val="24"/>
        </w:rPr>
        <w:t xml:space="preserve"> of functionalist </w:t>
      </w:r>
      <w:r w:rsidR="005D0B65" w:rsidRPr="00007577">
        <w:rPr>
          <w:rFonts w:ascii="Times New Roman" w:eastAsia="Calibri" w:hAnsi="Times New Roman" w:cs="Times New Roman"/>
          <w:bCs/>
          <w:sz w:val="24"/>
          <w:szCs w:val="24"/>
        </w:rPr>
        <w:t xml:space="preserve">perspectives may </w:t>
      </w:r>
      <w:r w:rsidR="008D4873" w:rsidRPr="00007577">
        <w:rPr>
          <w:rFonts w:ascii="Times New Roman" w:eastAsia="Calibri" w:hAnsi="Times New Roman" w:cs="Times New Roman"/>
          <w:bCs/>
          <w:sz w:val="24"/>
          <w:szCs w:val="24"/>
        </w:rPr>
        <w:t xml:space="preserve">increase </w:t>
      </w:r>
      <w:r w:rsidR="005779C3" w:rsidRPr="00007577">
        <w:rPr>
          <w:rFonts w:ascii="Times New Roman" w:eastAsia="Calibri" w:hAnsi="Times New Roman" w:cs="Times New Roman"/>
          <w:bCs/>
          <w:sz w:val="24"/>
          <w:szCs w:val="24"/>
        </w:rPr>
        <w:t xml:space="preserve">as </w:t>
      </w:r>
      <w:r w:rsidR="005D0B65" w:rsidRPr="00007577">
        <w:rPr>
          <w:rFonts w:ascii="Times New Roman" w:eastAsia="Calibri" w:hAnsi="Times New Roman" w:cs="Times New Roman"/>
          <w:bCs/>
          <w:sz w:val="24"/>
          <w:szCs w:val="24"/>
        </w:rPr>
        <w:t>reality</w:t>
      </w:r>
      <w:r w:rsidR="005779C3" w:rsidRPr="00007577">
        <w:rPr>
          <w:rFonts w:ascii="Times New Roman" w:eastAsia="Calibri" w:hAnsi="Times New Roman" w:cs="Times New Roman"/>
          <w:bCs/>
          <w:sz w:val="24"/>
          <w:szCs w:val="24"/>
        </w:rPr>
        <w:t xml:space="preserve"> begins to bite.</w:t>
      </w:r>
      <w:r w:rsidR="008D4873" w:rsidRPr="00007577">
        <w:rPr>
          <w:rFonts w:ascii="Times New Roman" w:eastAsia="Calibri" w:hAnsi="Times New Roman" w:cs="Times New Roman"/>
          <w:bCs/>
          <w:sz w:val="24"/>
          <w:szCs w:val="24"/>
        </w:rPr>
        <w:t xml:space="preserve"> </w:t>
      </w:r>
      <w:r w:rsidR="00A40BB3" w:rsidRPr="00007577">
        <w:rPr>
          <w:rFonts w:ascii="Times New Roman" w:eastAsia="Calibri" w:hAnsi="Times New Roman" w:cs="Times New Roman"/>
          <w:bCs/>
          <w:sz w:val="24"/>
          <w:szCs w:val="24"/>
        </w:rPr>
        <w:t xml:space="preserve">Now that the relationship is moving beyond the transition period, </w:t>
      </w:r>
      <w:r w:rsidR="00C63D18" w:rsidRPr="00007577">
        <w:rPr>
          <w:rFonts w:ascii="Times New Roman" w:eastAsia="Calibri" w:hAnsi="Times New Roman" w:cs="Times New Roman"/>
          <w:bCs/>
          <w:sz w:val="24"/>
          <w:szCs w:val="24"/>
        </w:rPr>
        <w:t>market access and regulatory cooperation may be</w:t>
      </w:r>
      <w:r w:rsidR="00A40BB3" w:rsidRPr="00007577">
        <w:rPr>
          <w:rFonts w:ascii="Times New Roman" w:eastAsia="Calibri" w:hAnsi="Times New Roman" w:cs="Times New Roman"/>
          <w:bCs/>
          <w:sz w:val="24"/>
          <w:szCs w:val="24"/>
        </w:rPr>
        <w:t>come</w:t>
      </w:r>
      <w:r w:rsidR="00C63D18" w:rsidRPr="00007577">
        <w:rPr>
          <w:rFonts w:ascii="Times New Roman" w:eastAsia="Calibri" w:hAnsi="Times New Roman" w:cs="Times New Roman"/>
          <w:bCs/>
          <w:sz w:val="24"/>
          <w:szCs w:val="24"/>
        </w:rPr>
        <w:t xml:space="preserve"> more important for the UK than (the appearance of) taking back control. The role of networks between regulators, decentralised horizontal coordination, and the existing embeddedness of EU law and standards through administrative institutions </w:t>
      </w:r>
      <w:r w:rsidR="003911E9" w:rsidRPr="00007577">
        <w:rPr>
          <w:rFonts w:ascii="Times New Roman" w:eastAsia="Calibri" w:hAnsi="Times New Roman" w:cs="Times New Roman"/>
          <w:bCs/>
          <w:sz w:val="24"/>
          <w:szCs w:val="24"/>
        </w:rPr>
        <w:t>are</w:t>
      </w:r>
      <w:r w:rsidR="00C63D18" w:rsidRPr="00007577">
        <w:rPr>
          <w:rFonts w:ascii="Times New Roman" w:eastAsia="Calibri" w:hAnsi="Times New Roman" w:cs="Times New Roman"/>
          <w:bCs/>
          <w:sz w:val="24"/>
          <w:szCs w:val="24"/>
        </w:rPr>
        <w:t xml:space="preserve"> therefore significant factor</w:t>
      </w:r>
      <w:r w:rsidR="003911E9" w:rsidRPr="00007577">
        <w:rPr>
          <w:rFonts w:ascii="Times New Roman" w:eastAsia="Calibri" w:hAnsi="Times New Roman" w:cs="Times New Roman"/>
          <w:bCs/>
          <w:sz w:val="24"/>
          <w:szCs w:val="24"/>
        </w:rPr>
        <w:t>s</w:t>
      </w:r>
      <w:r w:rsidR="00C63D18" w:rsidRPr="00007577">
        <w:rPr>
          <w:rFonts w:ascii="Times New Roman" w:eastAsia="Calibri" w:hAnsi="Times New Roman" w:cs="Times New Roman"/>
          <w:bCs/>
          <w:sz w:val="24"/>
          <w:szCs w:val="24"/>
        </w:rPr>
        <w:t xml:space="preserve">. </w:t>
      </w:r>
      <w:r w:rsidR="00D10DF7" w:rsidRPr="00007577">
        <w:rPr>
          <w:rFonts w:ascii="Times New Roman" w:eastAsia="Calibri" w:hAnsi="Times New Roman" w:cs="Times New Roman"/>
          <w:bCs/>
          <w:sz w:val="24"/>
          <w:szCs w:val="24"/>
        </w:rPr>
        <w:t>M</w:t>
      </w:r>
      <w:r w:rsidR="00C63D18" w:rsidRPr="00007577">
        <w:rPr>
          <w:rFonts w:ascii="Times New Roman" w:eastAsia="Calibri" w:hAnsi="Times New Roman" w:cs="Times New Roman"/>
          <w:bCs/>
          <w:sz w:val="24"/>
          <w:szCs w:val="24"/>
        </w:rPr>
        <w:t>onitoring and managing regulatory alignment requir</w:t>
      </w:r>
      <w:r w:rsidR="00D10DF7" w:rsidRPr="00007577">
        <w:rPr>
          <w:rFonts w:ascii="Times New Roman" w:eastAsia="Calibri" w:hAnsi="Times New Roman" w:cs="Times New Roman"/>
          <w:bCs/>
          <w:sz w:val="24"/>
          <w:szCs w:val="24"/>
        </w:rPr>
        <w:t>es</w:t>
      </w:r>
      <w:r w:rsidR="00C63D18" w:rsidRPr="00007577">
        <w:rPr>
          <w:rFonts w:ascii="Times New Roman" w:eastAsia="Calibri" w:hAnsi="Times New Roman" w:cs="Times New Roman"/>
          <w:bCs/>
          <w:sz w:val="24"/>
          <w:szCs w:val="24"/>
        </w:rPr>
        <w:t xml:space="preserve"> </w:t>
      </w:r>
      <w:r w:rsidR="00D10DF7" w:rsidRPr="00007577">
        <w:rPr>
          <w:rFonts w:ascii="Times New Roman" w:eastAsia="Calibri" w:hAnsi="Times New Roman" w:cs="Times New Roman"/>
          <w:bCs/>
          <w:sz w:val="24"/>
          <w:szCs w:val="24"/>
        </w:rPr>
        <w:t xml:space="preserve">technical </w:t>
      </w:r>
      <w:r w:rsidR="00C63D18" w:rsidRPr="00007577">
        <w:rPr>
          <w:rFonts w:ascii="Times New Roman" w:eastAsia="Calibri" w:hAnsi="Times New Roman" w:cs="Times New Roman"/>
          <w:bCs/>
          <w:sz w:val="24"/>
          <w:szCs w:val="24"/>
        </w:rPr>
        <w:t>assessments, put</w:t>
      </w:r>
      <w:r w:rsidR="00D10DF7" w:rsidRPr="00007577">
        <w:rPr>
          <w:rFonts w:ascii="Times New Roman" w:eastAsia="Calibri" w:hAnsi="Times New Roman" w:cs="Times New Roman"/>
          <w:bCs/>
          <w:sz w:val="24"/>
          <w:szCs w:val="24"/>
        </w:rPr>
        <w:t>ting technoc</w:t>
      </w:r>
      <w:r w:rsidR="00D63ABD" w:rsidRPr="00007577">
        <w:rPr>
          <w:rFonts w:ascii="Times New Roman" w:eastAsia="Calibri" w:hAnsi="Times New Roman" w:cs="Times New Roman"/>
          <w:bCs/>
          <w:sz w:val="24"/>
          <w:szCs w:val="24"/>
        </w:rPr>
        <w:t>ratic</w:t>
      </w:r>
      <w:r w:rsidR="00C63D18" w:rsidRPr="00007577">
        <w:rPr>
          <w:rFonts w:ascii="Times New Roman" w:eastAsia="Calibri" w:hAnsi="Times New Roman" w:cs="Times New Roman"/>
          <w:bCs/>
          <w:sz w:val="24"/>
          <w:szCs w:val="24"/>
        </w:rPr>
        <w:t xml:space="preserve"> executive authorities in a </w:t>
      </w:r>
      <w:r w:rsidR="00D63ABD" w:rsidRPr="00007577">
        <w:rPr>
          <w:rFonts w:ascii="Times New Roman" w:eastAsia="Calibri" w:hAnsi="Times New Roman" w:cs="Times New Roman"/>
          <w:bCs/>
          <w:sz w:val="24"/>
          <w:szCs w:val="24"/>
        </w:rPr>
        <w:t>central</w:t>
      </w:r>
      <w:r w:rsidR="00C63D18" w:rsidRPr="00007577">
        <w:rPr>
          <w:rFonts w:ascii="Times New Roman" w:eastAsia="Calibri" w:hAnsi="Times New Roman" w:cs="Times New Roman"/>
          <w:bCs/>
          <w:sz w:val="24"/>
          <w:szCs w:val="24"/>
        </w:rPr>
        <w:t xml:space="preserve"> position</w:t>
      </w:r>
      <w:r w:rsidR="00D10DF7" w:rsidRPr="00007577">
        <w:rPr>
          <w:rFonts w:ascii="Times New Roman" w:eastAsia="Calibri" w:hAnsi="Times New Roman" w:cs="Times New Roman"/>
          <w:bCs/>
          <w:sz w:val="24"/>
          <w:szCs w:val="24"/>
        </w:rPr>
        <w:t xml:space="preserve">. </w:t>
      </w:r>
      <w:r w:rsidR="00C63D18" w:rsidRPr="00007577">
        <w:rPr>
          <w:rFonts w:ascii="Times New Roman" w:eastAsia="Calibri" w:hAnsi="Times New Roman" w:cs="Times New Roman"/>
          <w:bCs/>
          <w:sz w:val="24"/>
          <w:szCs w:val="24"/>
        </w:rPr>
        <w:t xml:space="preserve">The non-Member State UK therefore represents an ideal empirical case study (and case studies in particular sectors) to </w:t>
      </w:r>
      <w:r w:rsidR="00715F04" w:rsidRPr="00007577">
        <w:rPr>
          <w:rFonts w:ascii="Times New Roman" w:eastAsia="Calibri" w:hAnsi="Times New Roman" w:cs="Times New Roman"/>
          <w:bCs/>
          <w:sz w:val="24"/>
          <w:szCs w:val="24"/>
        </w:rPr>
        <w:t xml:space="preserve">test </w:t>
      </w:r>
      <w:r w:rsidR="001E0867" w:rsidRPr="00007577">
        <w:rPr>
          <w:rFonts w:ascii="Times New Roman" w:eastAsia="Calibri" w:hAnsi="Times New Roman" w:cs="Times New Roman"/>
          <w:bCs/>
          <w:sz w:val="24"/>
          <w:szCs w:val="24"/>
        </w:rPr>
        <w:t xml:space="preserve">and combine the </w:t>
      </w:r>
      <w:r w:rsidR="00C63D18" w:rsidRPr="00007577">
        <w:rPr>
          <w:rFonts w:ascii="Times New Roman" w:eastAsia="Calibri" w:hAnsi="Times New Roman" w:cs="Times New Roman"/>
          <w:bCs/>
          <w:sz w:val="24"/>
          <w:szCs w:val="24"/>
        </w:rPr>
        <w:t>‘Brussels effect’ and the external regulatory reach of the EU</w:t>
      </w:r>
      <w:r w:rsidR="001E0867" w:rsidRPr="00007577">
        <w:rPr>
          <w:rFonts w:ascii="Times New Roman" w:eastAsia="Calibri" w:hAnsi="Times New Roman" w:cs="Times New Roman"/>
          <w:bCs/>
          <w:sz w:val="24"/>
          <w:szCs w:val="24"/>
        </w:rPr>
        <w:t>, and</w:t>
      </w:r>
      <w:r w:rsidR="00C63D18" w:rsidRPr="00007577">
        <w:rPr>
          <w:rFonts w:ascii="Times New Roman" w:eastAsia="Calibri" w:hAnsi="Times New Roman" w:cs="Times New Roman"/>
          <w:bCs/>
          <w:sz w:val="24"/>
          <w:szCs w:val="24"/>
        </w:rPr>
        <w:t xml:space="preserve"> multilevel governance and administrative integration </w:t>
      </w:r>
      <w:r w:rsidR="00B91496" w:rsidRPr="00007577">
        <w:rPr>
          <w:rFonts w:ascii="Times New Roman" w:eastAsia="Calibri" w:hAnsi="Times New Roman" w:cs="Times New Roman"/>
          <w:bCs/>
          <w:sz w:val="24"/>
          <w:szCs w:val="24"/>
        </w:rPr>
        <w:t>beyond its borders.</w:t>
      </w:r>
    </w:p>
    <w:p w14:paraId="67B7ACFD" w14:textId="7182CC47" w:rsidR="00F44046" w:rsidRPr="0097185D" w:rsidRDefault="000434D6" w:rsidP="0097185D">
      <w:pPr>
        <w:spacing w:line="240" w:lineRule="auto"/>
        <w:rPr>
          <w:rFonts w:ascii="Times New Roman" w:hAnsi="Times New Roman" w:cs="Times New Roman"/>
          <w:sz w:val="24"/>
          <w:szCs w:val="24"/>
        </w:rPr>
      </w:pPr>
      <w:r>
        <w:rPr>
          <w:rFonts w:ascii="Times New Roman" w:hAnsi="Times New Roman" w:cs="Times New Roman"/>
          <w:bCs/>
          <w:sz w:val="24"/>
          <w:szCs w:val="24"/>
        </w:rPr>
        <w:t xml:space="preserve">It remains to be seen how </w:t>
      </w:r>
      <w:r w:rsidR="00935D37">
        <w:rPr>
          <w:rFonts w:ascii="Times New Roman" w:hAnsi="Times New Roman" w:cs="Times New Roman"/>
          <w:bCs/>
          <w:sz w:val="24"/>
          <w:szCs w:val="24"/>
        </w:rPr>
        <w:t>willing</w:t>
      </w:r>
      <w:r w:rsidR="00AC40EF">
        <w:rPr>
          <w:rFonts w:ascii="Times New Roman" w:hAnsi="Times New Roman" w:cs="Times New Roman"/>
          <w:bCs/>
          <w:sz w:val="24"/>
          <w:szCs w:val="24"/>
        </w:rPr>
        <w:t xml:space="preserve"> each side</w:t>
      </w:r>
      <w:r w:rsidR="00F345B2">
        <w:rPr>
          <w:rFonts w:ascii="Times New Roman" w:hAnsi="Times New Roman" w:cs="Times New Roman"/>
          <w:bCs/>
          <w:sz w:val="24"/>
          <w:szCs w:val="24"/>
        </w:rPr>
        <w:t xml:space="preserve"> the EU and UK </w:t>
      </w:r>
      <w:r>
        <w:rPr>
          <w:rFonts w:ascii="Times New Roman" w:hAnsi="Times New Roman" w:cs="Times New Roman"/>
          <w:bCs/>
          <w:sz w:val="24"/>
          <w:szCs w:val="24"/>
        </w:rPr>
        <w:t xml:space="preserve">will be </w:t>
      </w:r>
      <w:r w:rsidR="00F345B2">
        <w:rPr>
          <w:rFonts w:ascii="Times New Roman" w:hAnsi="Times New Roman" w:cs="Times New Roman"/>
          <w:bCs/>
          <w:sz w:val="24"/>
          <w:szCs w:val="24"/>
        </w:rPr>
        <w:t xml:space="preserve">to </w:t>
      </w:r>
      <w:r w:rsidR="00935D37">
        <w:rPr>
          <w:rFonts w:ascii="Times New Roman" w:hAnsi="Times New Roman" w:cs="Times New Roman"/>
          <w:bCs/>
          <w:sz w:val="24"/>
          <w:szCs w:val="24"/>
        </w:rPr>
        <w:t>activate</w:t>
      </w:r>
      <w:r w:rsidR="00F345B2">
        <w:rPr>
          <w:rFonts w:ascii="Times New Roman" w:hAnsi="Times New Roman" w:cs="Times New Roman"/>
          <w:bCs/>
          <w:sz w:val="24"/>
          <w:szCs w:val="24"/>
        </w:rPr>
        <w:t xml:space="preserve"> </w:t>
      </w:r>
      <w:r>
        <w:rPr>
          <w:rFonts w:ascii="Times New Roman" w:hAnsi="Times New Roman" w:cs="Times New Roman"/>
          <w:bCs/>
          <w:sz w:val="24"/>
          <w:szCs w:val="24"/>
        </w:rPr>
        <w:t xml:space="preserve">the </w:t>
      </w:r>
      <w:r w:rsidR="00F345B2">
        <w:rPr>
          <w:rFonts w:ascii="Times New Roman" w:hAnsi="Times New Roman" w:cs="Times New Roman"/>
          <w:bCs/>
          <w:sz w:val="24"/>
          <w:szCs w:val="24"/>
        </w:rPr>
        <w:t>remedial and rebalancing measures established through the hierarchical discipline of the WA and the TCA</w:t>
      </w:r>
      <w:r w:rsidR="00236D33">
        <w:rPr>
          <w:rFonts w:ascii="Times New Roman" w:hAnsi="Times New Roman" w:cs="Times New Roman"/>
          <w:bCs/>
          <w:sz w:val="24"/>
          <w:szCs w:val="24"/>
        </w:rPr>
        <w:t xml:space="preserve"> </w:t>
      </w:r>
      <w:r w:rsidR="00495F72">
        <w:rPr>
          <w:rFonts w:ascii="Times New Roman" w:hAnsi="Times New Roman" w:cs="Times New Roman"/>
          <w:bCs/>
          <w:sz w:val="24"/>
          <w:szCs w:val="24"/>
        </w:rPr>
        <w:t xml:space="preserve">- </w:t>
      </w:r>
      <w:r w:rsidR="009F2074">
        <w:rPr>
          <w:rFonts w:ascii="Times New Roman" w:hAnsi="Times New Roman" w:cs="Times New Roman"/>
          <w:bCs/>
          <w:sz w:val="24"/>
          <w:szCs w:val="24"/>
        </w:rPr>
        <w:t>with t</w:t>
      </w:r>
      <w:r w:rsidR="0078791C">
        <w:rPr>
          <w:rFonts w:ascii="Times New Roman" w:hAnsi="Times New Roman" w:cs="Times New Roman"/>
          <w:bCs/>
          <w:sz w:val="24"/>
          <w:szCs w:val="24"/>
        </w:rPr>
        <w:t xml:space="preserve">he </w:t>
      </w:r>
      <w:r w:rsidR="005449BA">
        <w:rPr>
          <w:rFonts w:ascii="Times New Roman" w:hAnsi="Times New Roman" w:cs="Times New Roman"/>
          <w:bCs/>
          <w:sz w:val="24"/>
          <w:szCs w:val="24"/>
        </w:rPr>
        <w:t>ultimate possibility of suspension</w:t>
      </w:r>
      <w:r w:rsidR="009F2074">
        <w:rPr>
          <w:rFonts w:ascii="Times New Roman" w:hAnsi="Times New Roman" w:cs="Times New Roman"/>
          <w:bCs/>
          <w:sz w:val="24"/>
          <w:szCs w:val="24"/>
        </w:rPr>
        <w:t xml:space="preserve"> of obligations</w:t>
      </w:r>
      <w:r w:rsidR="005449BA">
        <w:rPr>
          <w:rFonts w:ascii="Times New Roman" w:hAnsi="Times New Roman" w:cs="Times New Roman"/>
          <w:bCs/>
          <w:sz w:val="24"/>
          <w:szCs w:val="24"/>
        </w:rPr>
        <w:t xml:space="preserve"> </w:t>
      </w:r>
      <w:r w:rsidR="0054719D">
        <w:rPr>
          <w:rFonts w:ascii="Times New Roman" w:hAnsi="Times New Roman" w:cs="Times New Roman"/>
          <w:bCs/>
          <w:sz w:val="24"/>
          <w:szCs w:val="24"/>
        </w:rPr>
        <w:t>and harmful tit-for-tat retaliation</w:t>
      </w:r>
      <w:r w:rsidR="00495F72">
        <w:rPr>
          <w:rFonts w:ascii="Times New Roman" w:hAnsi="Times New Roman" w:cs="Times New Roman"/>
          <w:bCs/>
          <w:sz w:val="24"/>
          <w:szCs w:val="24"/>
        </w:rPr>
        <w:t xml:space="preserve"> - </w:t>
      </w:r>
      <w:r w:rsidR="007D4B1E" w:rsidRPr="00007577">
        <w:rPr>
          <w:rFonts w:ascii="Times New Roman" w:hAnsi="Times New Roman" w:cs="Times New Roman"/>
          <w:bCs/>
          <w:sz w:val="24"/>
          <w:szCs w:val="24"/>
        </w:rPr>
        <w:t xml:space="preserve">or whether </w:t>
      </w:r>
      <w:r w:rsidR="00495F72" w:rsidRPr="00007577">
        <w:rPr>
          <w:rFonts w:ascii="Times New Roman" w:hAnsi="Times New Roman" w:cs="Times New Roman"/>
          <w:bCs/>
          <w:sz w:val="24"/>
          <w:szCs w:val="24"/>
        </w:rPr>
        <w:t xml:space="preserve">any </w:t>
      </w:r>
      <w:r w:rsidR="007D4B1E" w:rsidRPr="00007577">
        <w:rPr>
          <w:rFonts w:ascii="Times New Roman" w:hAnsi="Times New Roman" w:cs="Times New Roman"/>
          <w:bCs/>
          <w:sz w:val="24"/>
          <w:szCs w:val="24"/>
        </w:rPr>
        <w:t xml:space="preserve">regulatory differentiation will be mediated through </w:t>
      </w:r>
      <w:r w:rsidRPr="00007577">
        <w:rPr>
          <w:rFonts w:ascii="Times New Roman" w:hAnsi="Times New Roman" w:cs="Times New Roman"/>
          <w:bCs/>
          <w:sz w:val="24"/>
          <w:szCs w:val="24"/>
        </w:rPr>
        <w:t>coordination and networks</w:t>
      </w:r>
      <w:r w:rsidR="005B3517" w:rsidRPr="00007577">
        <w:rPr>
          <w:rFonts w:ascii="Times New Roman" w:hAnsi="Times New Roman" w:cs="Times New Roman"/>
          <w:bCs/>
          <w:sz w:val="24"/>
          <w:szCs w:val="24"/>
        </w:rPr>
        <w:t>.</w:t>
      </w:r>
      <w:r w:rsidR="00495F72">
        <w:rPr>
          <w:rFonts w:ascii="Times New Roman" w:hAnsi="Times New Roman" w:cs="Times New Roman"/>
          <w:bCs/>
          <w:sz w:val="24"/>
          <w:szCs w:val="24"/>
        </w:rPr>
        <w:t xml:space="preserve"> </w:t>
      </w:r>
      <w:r w:rsidR="009954D0" w:rsidRPr="00997397">
        <w:rPr>
          <w:rFonts w:ascii="Times New Roman" w:hAnsi="Times New Roman" w:cs="Times New Roman"/>
          <w:sz w:val="24"/>
          <w:szCs w:val="24"/>
        </w:rPr>
        <w:t>Continued engagement within regulatory networks is likely to be beneficial for both the EU and the UK in terms of coordination, sharing of technical expertise and opportunities for influence.</w:t>
      </w:r>
      <w:r w:rsidR="009954D0">
        <w:rPr>
          <w:rFonts w:ascii="Times New Roman" w:hAnsi="Times New Roman" w:cs="Times New Roman"/>
          <w:sz w:val="24"/>
          <w:szCs w:val="24"/>
        </w:rPr>
        <w:t xml:space="preserve"> </w:t>
      </w:r>
      <w:r w:rsidR="00915D3A">
        <w:rPr>
          <w:rFonts w:ascii="Times New Roman" w:hAnsi="Times New Roman" w:cs="Times New Roman"/>
          <w:bCs/>
          <w:sz w:val="24"/>
          <w:szCs w:val="24"/>
        </w:rPr>
        <w:t>In making their own decisions on which regulatory standards to adhere to, t</w:t>
      </w:r>
      <w:r w:rsidR="00F1263D">
        <w:rPr>
          <w:rFonts w:ascii="Times New Roman" w:hAnsi="Times New Roman" w:cs="Times New Roman"/>
          <w:bCs/>
          <w:sz w:val="24"/>
          <w:szCs w:val="24"/>
        </w:rPr>
        <w:t xml:space="preserve">he economic </w:t>
      </w:r>
      <w:r w:rsidR="00B1613E">
        <w:rPr>
          <w:rFonts w:ascii="Times New Roman" w:hAnsi="Times New Roman" w:cs="Times New Roman"/>
          <w:bCs/>
          <w:sz w:val="24"/>
          <w:szCs w:val="24"/>
        </w:rPr>
        <w:t>necessit</w:t>
      </w:r>
      <w:r w:rsidR="008740A5">
        <w:rPr>
          <w:rFonts w:ascii="Times New Roman" w:hAnsi="Times New Roman" w:cs="Times New Roman"/>
          <w:bCs/>
          <w:sz w:val="24"/>
          <w:szCs w:val="24"/>
        </w:rPr>
        <w:t>ies</w:t>
      </w:r>
      <w:r w:rsidR="00F1263D">
        <w:rPr>
          <w:rFonts w:ascii="Times New Roman" w:hAnsi="Times New Roman" w:cs="Times New Roman"/>
          <w:bCs/>
          <w:sz w:val="24"/>
          <w:szCs w:val="24"/>
        </w:rPr>
        <w:t xml:space="preserve"> of business</w:t>
      </w:r>
      <w:r w:rsidR="008740A5">
        <w:rPr>
          <w:rFonts w:ascii="Times New Roman" w:hAnsi="Times New Roman" w:cs="Times New Roman"/>
          <w:bCs/>
          <w:sz w:val="24"/>
          <w:szCs w:val="24"/>
        </w:rPr>
        <w:t xml:space="preserve">es </w:t>
      </w:r>
      <w:r w:rsidR="00F65870">
        <w:rPr>
          <w:rFonts w:ascii="Times New Roman" w:hAnsi="Times New Roman" w:cs="Times New Roman"/>
          <w:bCs/>
          <w:sz w:val="24"/>
          <w:szCs w:val="24"/>
        </w:rPr>
        <w:t xml:space="preserve">will be </w:t>
      </w:r>
      <w:r w:rsidR="00287A2A">
        <w:rPr>
          <w:rFonts w:ascii="Times New Roman" w:hAnsi="Times New Roman" w:cs="Times New Roman"/>
          <w:bCs/>
          <w:sz w:val="24"/>
          <w:szCs w:val="24"/>
        </w:rPr>
        <w:t xml:space="preserve">another </w:t>
      </w:r>
      <w:r w:rsidR="00F65870">
        <w:rPr>
          <w:rFonts w:ascii="Times New Roman" w:hAnsi="Times New Roman" w:cs="Times New Roman"/>
          <w:bCs/>
          <w:sz w:val="24"/>
          <w:szCs w:val="24"/>
        </w:rPr>
        <w:t xml:space="preserve">important </w:t>
      </w:r>
      <w:r w:rsidR="00287A2A">
        <w:rPr>
          <w:rFonts w:ascii="Times New Roman" w:hAnsi="Times New Roman" w:cs="Times New Roman"/>
          <w:bCs/>
          <w:sz w:val="24"/>
          <w:szCs w:val="24"/>
        </w:rPr>
        <w:t xml:space="preserve">factor in the prospects for divergence. </w:t>
      </w:r>
    </w:p>
    <w:p w14:paraId="2DDBEC17" w14:textId="77777777" w:rsidR="0083397A" w:rsidRDefault="00804918" w:rsidP="0097185D">
      <w:pPr>
        <w:rPr>
          <w:rFonts w:ascii="Times New Roman" w:hAnsi="Times New Roman" w:cs="Times New Roman"/>
          <w:bCs/>
          <w:sz w:val="24"/>
          <w:szCs w:val="24"/>
        </w:rPr>
      </w:pPr>
      <w:r w:rsidRPr="00997397">
        <w:rPr>
          <w:rFonts w:ascii="Times New Roman" w:hAnsi="Times New Roman" w:cs="Times New Roman"/>
          <w:bCs/>
          <w:sz w:val="24"/>
          <w:szCs w:val="24"/>
        </w:rPr>
        <w:t>In the context of the wider themes of this volume</w:t>
      </w:r>
      <w:r w:rsidR="003A5010">
        <w:rPr>
          <w:rFonts w:ascii="Times New Roman" w:hAnsi="Times New Roman" w:cs="Times New Roman"/>
          <w:bCs/>
          <w:sz w:val="24"/>
          <w:szCs w:val="24"/>
        </w:rPr>
        <w:t xml:space="preserve">, the EU-UK trade relationship </w:t>
      </w:r>
      <w:r w:rsidR="00DF20CF">
        <w:rPr>
          <w:rFonts w:ascii="Times New Roman" w:hAnsi="Times New Roman" w:cs="Times New Roman"/>
          <w:bCs/>
          <w:sz w:val="24"/>
          <w:szCs w:val="24"/>
        </w:rPr>
        <w:t>and its governance architecture</w:t>
      </w:r>
      <w:r w:rsidR="003A5010">
        <w:rPr>
          <w:rFonts w:ascii="Times New Roman" w:hAnsi="Times New Roman" w:cs="Times New Roman"/>
          <w:bCs/>
          <w:sz w:val="24"/>
          <w:szCs w:val="24"/>
        </w:rPr>
        <w:t xml:space="preserve"> engage questions </w:t>
      </w:r>
      <w:r w:rsidR="00DF20CF">
        <w:rPr>
          <w:rFonts w:ascii="Times New Roman" w:hAnsi="Times New Roman" w:cs="Times New Roman"/>
          <w:bCs/>
          <w:sz w:val="24"/>
          <w:szCs w:val="24"/>
        </w:rPr>
        <w:t xml:space="preserve">of </w:t>
      </w:r>
      <w:r w:rsidR="00CE6118">
        <w:rPr>
          <w:rFonts w:ascii="Times New Roman" w:hAnsi="Times New Roman" w:cs="Times New Roman"/>
          <w:bCs/>
          <w:sz w:val="24"/>
          <w:szCs w:val="24"/>
        </w:rPr>
        <w:t>membership and participation, rights and obligations, and</w:t>
      </w:r>
      <w:r w:rsidR="00CE6118" w:rsidRPr="00CE6118">
        <w:rPr>
          <w:rFonts w:ascii="Times New Roman" w:hAnsi="Times New Roman" w:cs="Times New Roman"/>
          <w:bCs/>
          <w:sz w:val="24"/>
          <w:szCs w:val="24"/>
        </w:rPr>
        <w:t xml:space="preserve"> </w:t>
      </w:r>
      <w:r w:rsidR="00CE6118">
        <w:rPr>
          <w:rFonts w:ascii="Times New Roman" w:hAnsi="Times New Roman" w:cs="Times New Roman"/>
          <w:bCs/>
          <w:sz w:val="24"/>
          <w:szCs w:val="24"/>
        </w:rPr>
        <w:t>internal and external differentiation.</w:t>
      </w:r>
      <w:r w:rsidR="0083397A">
        <w:rPr>
          <w:rFonts w:ascii="Times New Roman" w:hAnsi="Times New Roman" w:cs="Times New Roman"/>
          <w:bCs/>
          <w:sz w:val="24"/>
          <w:szCs w:val="24"/>
        </w:rPr>
        <w:t xml:space="preserve"> </w:t>
      </w:r>
    </w:p>
    <w:p w14:paraId="29E22AF2" w14:textId="4CC51B31" w:rsidR="0097185D" w:rsidRPr="00997397" w:rsidRDefault="0083397A" w:rsidP="0083397A">
      <w:pPr>
        <w:rPr>
          <w:rFonts w:ascii="Times New Roman" w:hAnsi="Times New Roman" w:cs="Times New Roman"/>
          <w:sz w:val="24"/>
          <w:szCs w:val="24"/>
        </w:rPr>
      </w:pPr>
      <w:r w:rsidRPr="0083397A">
        <w:rPr>
          <w:rFonts w:ascii="Times New Roman" w:hAnsi="Times New Roman" w:cs="Times New Roman"/>
          <w:bCs/>
          <w:sz w:val="24"/>
          <w:szCs w:val="24"/>
        </w:rPr>
        <w:t>Regarding membership and participation</w:t>
      </w:r>
      <w:r>
        <w:rPr>
          <w:rFonts w:ascii="Times New Roman" w:hAnsi="Times New Roman" w:cs="Times New Roman"/>
          <w:bCs/>
          <w:sz w:val="24"/>
          <w:szCs w:val="24"/>
        </w:rPr>
        <w:t>,</w:t>
      </w:r>
      <w:r w:rsidRPr="0083397A">
        <w:rPr>
          <w:rFonts w:ascii="Times New Roman" w:hAnsi="Times New Roman" w:cs="Times New Roman"/>
          <w:sz w:val="24"/>
          <w:szCs w:val="24"/>
        </w:rPr>
        <w:t xml:space="preserve"> </w:t>
      </w:r>
      <w:r w:rsidRPr="008E395C">
        <w:rPr>
          <w:rFonts w:ascii="Times New Roman" w:hAnsi="Times New Roman" w:cs="Times New Roman"/>
          <w:sz w:val="24"/>
          <w:szCs w:val="24"/>
          <w:highlight w:val="yellow"/>
        </w:rPr>
        <w:t>th</w:t>
      </w:r>
      <w:r w:rsidR="003E4944" w:rsidRPr="008E395C">
        <w:rPr>
          <w:rFonts w:ascii="Times New Roman" w:hAnsi="Times New Roman" w:cs="Times New Roman"/>
          <w:sz w:val="24"/>
          <w:szCs w:val="24"/>
          <w:highlight w:val="yellow"/>
        </w:rPr>
        <w:t>is volume’s</w:t>
      </w:r>
      <w:r w:rsidR="003E78D5">
        <w:rPr>
          <w:rFonts w:ascii="Times New Roman" w:hAnsi="Times New Roman" w:cs="Times New Roman"/>
          <w:sz w:val="24"/>
          <w:szCs w:val="24"/>
          <w:highlight w:val="yellow"/>
        </w:rPr>
        <w:t xml:space="preserve"> </w:t>
      </w:r>
      <w:r w:rsidRPr="003E78D5">
        <w:rPr>
          <w:rFonts w:ascii="Times New Roman" w:hAnsi="Times New Roman" w:cs="Times New Roman"/>
          <w:sz w:val="24"/>
          <w:szCs w:val="24"/>
          <w:highlight w:val="yellow"/>
        </w:rPr>
        <w:t>introduction</w:t>
      </w:r>
      <w:r w:rsidRPr="008E395C">
        <w:rPr>
          <w:rFonts w:ascii="Times New Roman" w:hAnsi="Times New Roman" w:cs="Times New Roman"/>
          <w:sz w:val="24"/>
          <w:szCs w:val="24"/>
          <w:highlight w:val="yellow"/>
        </w:rPr>
        <w:t xml:space="preserve"> suggests</w:t>
      </w:r>
      <w:r w:rsidRPr="00997397">
        <w:rPr>
          <w:rFonts w:ascii="Times New Roman" w:hAnsi="Times New Roman" w:cs="Times New Roman"/>
          <w:sz w:val="24"/>
          <w:szCs w:val="24"/>
        </w:rPr>
        <w:t xml:space="preserve"> that “membership also implies full involvement in enforcement procedures”.</w:t>
      </w:r>
      <w:r>
        <w:rPr>
          <w:rFonts w:ascii="Times New Roman" w:hAnsi="Times New Roman" w:cs="Times New Roman"/>
          <w:bCs/>
          <w:sz w:val="24"/>
          <w:szCs w:val="24"/>
        </w:rPr>
        <w:t xml:space="preserve"> </w:t>
      </w:r>
      <w:r w:rsidR="009C2139">
        <w:rPr>
          <w:rFonts w:ascii="Times New Roman" w:hAnsi="Times New Roman" w:cs="Times New Roman"/>
          <w:bCs/>
          <w:sz w:val="24"/>
          <w:szCs w:val="24"/>
        </w:rPr>
        <w:t>M</w:t>
      </w:r>
      <w:r>
        <w:rPr>
          <w:rFonts w:ascii="Times New Roman" w:hAnsi="Times New Roman" w:cs="Times New Roman"/>
          <w:bCs/>
          <w:sz w:val="24"/>
          <w:szCs w:val="24"/>
        </w:rPr>
        <w:t xml:space="preserve">apping the </w:t>
      </w:r>
      <w:r w:rsidRPr="0083397A">
        <w:rPr>
          <w:rFonts w:ascii="Times New Roman" w:hAnsi="Times New Roman" w:cs="Times New Roman"/>
          <w:bCs/>
          <w:sz w:val="24"/>
          <w:szCs w:val="24"/>
        </w:rPr>
        <w:t xml:space="preserve">scope of external differentiation </w:t>
      </w:r>
      <w:r w:rsidR="009C2139">
        <w:rPr>
          <w:rFonts w:ascii="Times New Roman" w:hAnsi="Times New Roman" w:cs="Times New Roman"/>
          <w:bCs/>
          <w:sz w:val="24"/>
          <w:szCs w:val="24"/>
        </w:rPr>
        <w:t>may require s</w:t>
      </w:r>
      <w:r w:rsidR="006A5134" w:rsidRPr="0083397A">
        <w:rPr>
          <w:rFonts w:ascii="Times New Roman" w:hAnsi="Times New Roman" w:cs="Times New Roman"/>
          <w:bCs/>
          <w:sz w:val="24"/>
          <w:szCs w:val="24"/>
        </w:rPr>
        <w:t>eparat</w:t>
      </w:r>
      <w:r w:rsidR="009C2139">
        <w:rPr>
          <w:rFonts w:ascii="Times New Roman" w:hAnsi="Times New Roman" w:cs="Times New Roman"/>
          <w:bCs/>
          <w:sz w:val="24"/>
          <w:szCs w:val="24"/>
        </w:rPr>
        <w:t>ing</w:t>
      </w:r>
      <w:r w:rsidRPr="0083397A">
        <w:rPr>
          <w:rFonts w:ascii="Times New Roman" w:hAnsi="Times New Roman" w:cs="Times New Roman"/>
          <w:bCs/>
          <w:sz w:val="24"/>
          <w:szCs w:val="24"/>
        </w:rPr>
        <w:t xml:space="preserve"> </w:t>
      </w:r>
      <w:r>
        <w:rPr>
          <w:rFonts w:ascii="Times New Roman" w:hAnsi="Times New Roman" w:cs="Times New Roman"/>
          <w:bCs/>
          <w:sz w:val="24"/>
          <w:szCs w:val="24"/>
        </w:rPr>
        <w:t xml:space="preserve">consideration of </w:t>
      </w:r>
      <w:r w:rsidRPr="0083397A">
        <w:rPr>
          <w:rFonts w:ascii="Times New Roman" w:hAnsi="Times New Roman" w:cs="Times New Roman"/>
          <w:bCs/>
          <w:sz w:val="24"/>
          <w:szCs w:val="24"/>
        </w:rPr>
        <w:t>decision-making and enforcement functions.</w:t>
      </w:r>
      <w:r>
        <w:rPr>
          <w:rFonts w:ascii="Times New Roman" w:hAnsi="Times New Roman" w:cs="Times New Roman"/>
          <w:b/>
          <w:sz w:val="24"/>
          <w:szCs w:val="24"/>
        </w:rPr>
        <w:t xml:space="preserve"> </w:t>
      </w:r>
      <w:r w:rsidRPr="0083397A">
        <w:rPr>
          <w:rFonts w:ascii="Times New Roman" w:hAnsi="Times New Roman" w:cs="Times New Roman"/>
          <w:bCs/>
          <w:sz w:val="24"/>
          <w:szCs w:val="24"/>
        </w:rPr>
        <w:t>The UK has clearly not been involved in EU decision-making procedures since withdrawal</w:t>
      </w:r>
      <w:r>
        <w:rPr>
          <w:rFonts w:ascii="Times New Roman" w:hAnsi="Times New Roman" w:cs="Times New Roman"/>
          <w:bCs/>
          <w:sz w:val="24"/>
          <w:szCs w:val="24"/>
        </w:rPr>
        <w:t xml:space="preserve"> on 31 January 2020</w:t>
      </w:r>
      <w:r w:rsidRPr="0083397A">
        <w:rPr>
          <w:rFonts w:ascii="Times New Roman" w:hAnsi="Times New Roman" w:cs="Times New Roman"/>
          <w:bCs/>
          <w:sz w:val="24"/>
          <w:szCs w:val="24"/>
        </w:rPr>
        <w:t>, including during the transition period. It is</w:t>
      </w:r>
      <w:r w:rsidRPr="00997397">
        <w:rPr>
          <w:rFonts w:ascii="Times New Roman" w:hAnsi="Times New Roman" w:cs="Times New Roman"/>
          <w:sz w:val="24"/>
          <w:szCs w:val="24"/>
        </w:rPr>
        <w:t xml:space="preserve"> nonetheless involved in some enforcement procedures</w:t>
      </w:r>
      <w:r>
        <w:rPr>
          <w:rFonts w:ascii="Times New Roman" w:hAnsi="Times New Roman" w:cs="Times New Roman"/>
          <w:sz w:val="24"/>
          <w:szCs w:val="24"/>
        </w:rPr>
        <w:t>, for example</w:t>
      </w:r>
      <w:r w:rsidRPr="00997397">
        <w:rPr>
          <w:rFonts w:ascii="Times New Roman" w:hAnsi="Times New Roman" w:cs="Times New Roman"/>
          <w:sz w:val="24"/>
          <w:szCs w:val="24"/>
        </w:rPr>
        <w:t xml:space="preserve"> collecting customs </w:t>
      </w:r>
      <w:r>
        <w:rPr>
          <w:rFonts w:ascii="Times New Roman" w:hAnsi="Times New Roman" w:cs="Times New Roman"/>
          <w:sz w:val="24"/>
          <w:szCs w:val="24"/>
        </w:rPr>
        <w:t xml:space="preserve">duties and carrying out checks </w:t>
      </w:r>
      <w:r w:rsidRPr="00997397">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Pr="00997397">
        <w:rPr>
          <w:rFonts w:ascii="Times New Roman" w:hAnsi="Times New Roman" w:cs="Times New Roman"/>
          <w:sz w:val="24"/>
          <w:szCs w:val="24"/>
        </w:rPr>
        <w:t>EU’s behalf</w:t>
      </w:r>
      <w:r w:rsidRPr="0083397A">
        <w:rPr>
          <w:rFonts w:ascii="Times New Roman" w:hAnsi="Times New Roman" w:cs="Times New Roman"/>
          <w:i/>
          <w:iCs/>
          <w:sz w:val="24"/>
          <w:szCs w:val="24"/>
        </w:rPr>
        <w:t xml:space="preserve">. </w:t>
      </w:r>
      <w:r w:rsidR="00F102BE">
        <w:rPr>
          <w:rFonts w:ascii="Times New Roman" w:hAnsi="Times New Roman" w:cs="Times New Roman"/>
          <w:sz w:val="24"/>
          <w:szCs w:val="24"/>
        </w:rPr>
        <w:t xml:space="preserve">There is </w:t>
      </w:r>
      <w:r w:rsidR="00F102BE">
        <w:rPr>
          <w:rFonts w:ascii="Times New Roman" w:hAnsi="Times New Roman" w:cs="Times New Roman"/>
          <w:bCs/>
          <w:sz w:val="24"/>
          <w:szCs w:val="24"/>
        </w:rPr>
        <w:t>n</w:t>
      </w:r>
      <w:r w:rsidR="0097185D" w:rsidRPr="00997397">
        <w:rPr>
          <w:rFonts w:ascii="Times New Roman" w:hAnsi="Times New Roman" w:cs="Times New Roman"/>
          <w:bCs/>
          <w:sz w:val="24"/>
          <w:szCs w:val="24"/>
        </w:rPr>
        <w:t>o membership or lesser participation in agencies, even where a third country is allowed</w:t>
      </w:r>
      <w:r>
        <w:rPr>
          <w:rFonts w:ascii="Times New Roman" w:hAnsi="Times New Roman" w:cs="Times New Roman"/>
          <w:bCs/>
          <w:sz w:val="24"/>
          <w:szCs w:val="24"/>
        </w:rPr>
        <w:t xml:space="preserve">. There is also a distinction between </w:t>
      </w:r>
      <w:r w:rsidR="0097185D" w:rsidRPr="00997397">
        <w:rPr>
          <w:rFonts w:ascii="Times New Roman" w:hAnsi="Times New Roman" w:cs="Times New Roman"/>
          <w:sz w:val="24"/>
          <w:szCs w:val="24"/>
        </w:rPr>
        <w:t>‘membership’ and ‘participation’</w:t>
      </w:r>
      <w:r>
        <w:rPr>
          <w:rFonts w:ascii="Times New Roman" w:hAnsi="Times New Roman" w:cs="Times New Roman"/>
          <w:sz w:val="24"/>
          <w:szCs w:val="24"/>
        </w:rPr>
        <w:t xml:space="preserve"> in EU agencies. While under Theresa</w:t>
      </w:r>
      <w:r w:rsidR="009C2139">
        <w:rPr>
          <w:rFonts w:ascii="Times New Roman" w:hAnsi="Times New Roman" w:cs="Times New Roman"/>
          <w:sz w:val="24"/>
          <w:szCs w:val="24"/>
        </w:rPr>
        <w:t xml:space="preserve"> </w:t>
      </w:r>
      <w:r>
        <w:rPr>
          <w:rFonts w:ascii="Times New Roman" w:hAnsi="Times New Roman" w:cs="Times New Roman"/>
          <w:sz w:val="24"/>
          <w:szCs w:val="24"/>
        </w:rPr>
        <w:t>May</w:t>
      </w:r>
      <w:r w:rsidR="009C2139">
        <w:rPr>
          <w:rFonts w:ascii="Times New Roman" w:hAnsi="Times New Roman" w:cs="Times New Roman"/>
          <w:sz w:val="24"/>
          <w:szCs w:val="24"/>
        </w:rPr>
        <w:t>’s</w:t>
      </w:r>
      <w:r>
        <w:rPr>
          <w:rFonts w:ascii="Times New Roman" w:hAnsi="Times New Roman" w:cs="Times New Roman"/>
          <w:sz w:val="24"/>
          <w:szCs w:val="24"/>
        </w:rPr>
        <w:t xml:space="preserve"> government UK participation in particular agencies</w:t>
      </w:r>
      <w:r w:rsidR="00422827">
        <w:rPr>
          <w:rFonts w:ascii="Times New Roman" w:hAnsi="Times New Roman" w:cs="Times New Roman"/>
          <w:sz w:val="24"/>
          <w:szCs w:val="24"/>
        </w:rPr>
        <w:t xml:space="preserve"> had been</w:t>
      </w:r>
      <w:r>
        <w:rPr>
          <w:rFonts w:ascii="Times New Roman" w:hAnsi="Times New Roman" w:cs="Times New Roman"/>
          <w:sz w:val="24"/>
          <w:szCs w:val="24"/>
        </w:rPr>
        <w:t xml:space="preserve"> </w:t>
      </w:r>
      <w:r w:rsidR="009C2139">
        <w:rPr>
          <w:rFonts w:ascii="Times New Roman" w:hAnsi="Times New Roman" w:cs="Times New Roman"/>
          <w:sz w:val="24"/>
          <w:szCs w:val="24"/>
        </w:rPr>
        <w:t>the aim</w:t>
      </w:r>
      <w:r>
        <w:rPr>
          <w:rFonts w:ascii="Times New Roman" w:hAnsi="Times New Roman" w:cs="Times New Roman"/>
          <w:sz w:val="24"/>
          <w:szCs w:val="24"/>
        </w:rPr>
        <w:t xml:space="preserve">, </w:t>
      </w:r>
      <w:r w:rsidR="009C2139">
        <w:rPr>
          <w:rFonts w:ascii="Times New Roman" w:hAnsi="Times New Roman" w:cs="Times New Roman"/>
          <w:sz w:val="24"/>
          <w:szCs w:val="24"/>
        </w:rPr>
        <w:t xml:space="preserve">ultimately </w:t>
      </w:r>
      <w:r w:rsidR="002D1045">
        <w:rPr>
          <w:rFonts w:ascii="Times New Roman" w:hAnsi="Times New Roman" w:cs="Times New Roman"/>
          <w:sz w:val="24"/>
          <w:szCs w:val="24"/>
        </w:rPr>
        <w:t xml:space="preserve">the Johnson government’s change of position meant </w:t>
      </w:r>
      <w:r w:rsidR="00082381">
        <w:rPr>
          <w:rFonts w:ascii="Times New Roman" w:hAnsi="Times New Roman" w:cs="Times New Roman"/>
          <w:sz w:val="24"/>
          <w:szCs w:val="24"/>
        </w:rPr>
        <w:t xml:space="preserve">that </w:t>
      </w:r>
      <w:r w:rsidR="009C2139">
        <w:rPr>
          <w:rFonts w:ascii="Times New Roman" w:hAnsi="Times New Roman" w:cs="Times New Roman"/>
          <w:sz w:val="24"/>
          <w:szCs w:val="24"/>
        </w:rPr>
        <w:t xml:space="preserve">this </w:t>
      </w:r>
      <w:r w:rsidR="00082381">
        <w:rPr>
          <w:rFonts w:ascii="Times New Roman" w:hAnsi="Times New Roman" w:cs="Times New Roman"/>
          <w:sz w:val="24"/>
          <w:szCs w:val="24"/>
        </w:rPr>
        <w:t>was no longer pursued</w:t>
      </w:r>
      <w:r w:rsidR="009C2139">
        <w:rPr>
          <w:rFonts w:ascii="Times New Roman" w:hAnsi="Times New Roman" w:cs="Times New Roman"/>
          <w:sz w:val="24"/>
          <w:szCs w:val="24"/>
        </w:rPr>
        <w:t xml:space="preserve">, even where participation is allowed in the relevant founding Regulation of the agency. As noted in this chapter, there are various provisions in the WA and TCA for interinstitutional links between EU institutions and UK authorities. </w:t>
      </w:r>
      <w:r>
        <w:rPr>
          <w:rFonts w:ascii="Times New Roman" w:hAnsi="Times New Roman" w:cs="Times New Roman"/>
          <w:sz w:val="24"/>
          <w:szCs w:val="24"/>
        </w:rPr>
        <w:t xml:space="preserve">There may </w:t>
      </w:r>
      <w:r w:rsidR="009C2139">
        <w:rPr>
          <w:rFonts w:ascii="Times New Roman" w:hAnsi="Times New Roman" w:cs="Times New Roman"/>
          <w:sz w:val="24"/>
          <w:szCs w:val="24"/>
        </w:rPr>
        <w:t xml:space="preserve">also </w:t>
      </w:r>
      <w:r>
        <w:rPr>
          <w:rFonts w:ascii="Times New Roman" w:hAnsi="Times New Roman" w:cs="Times New Roman"/>
          <w:sz w:val="24"/>
          <w:szCs w:val="24"/>
        </w:rPr>
        <w:t xml:space="preserve">be scope for the UK to remain involved in </w:t>
      </w:r>
      <w:r w:rsidR="009C2139">
        <w:rPr>
          <w:rFonts w:ascii="Times New Roman" w:hAnsi="Times New Roman" w:cs="Times New Roman"/>
          <w:sz w:val="24"/>
          <w:szCs w:val="24"/>
        </w:rPr>
        <w:t xml:space="preserve">regulatory networks alongside the European Commission and member state counterparts - </w:t>
      </w:r>
      <w:r>
        <w:rPr>
          <w:rFonts w:ascii="Times New Roman" w:hAnsi="Times New Roman" w:cs="Times New Roman"/>
          <w:sz w:val="24"/>
          <w:szCs w:val="24"/>
        </w:rPr>
        <w:t>the TCA is silent on this</w:t>
      </w:r>
      <w:r w:rsidR="00E7754B">
        <w:rPr>
          <w:rFonts w:ascii="Times New Roman" w:hAnsi="Times New Roman" w:cs="Times New Roman"/>
          <w:sz w:val="24"/>
          <w:szCs w:val="24"/>
        </w:rPr>
        <w:t xml:space="preserve">, but </w:t>
      </w:r>
      <w:r w:rsidR="00E62A82">
        <w:rPr>
          <w:rFonts w:ascii="Times New Roman" w:hAnsi="Times New Roman" w:cs="Times New Roman"/>
          <w:sz w:val="24"/>
          <w:szCs w:val="24"/>
        </w:rPr>
        <w:t>such</w:t>
      </w:r>
      <w:r w:rsidR="004B7B2C">
        <w:rPr>
          <w:rFonts w:ascii="Times New Roman" w:hAnsi="Times New Roman" w:cs="Times New Roman"/>
          <w:sz w:val="24"/>
          <w:szCs w:val="24"/>
        </w:rPr>
        <w:t xml:space="preserve"> practical coordination is</w:t>
      </w:r>
      <w:r w:rsidR="00E62A82">
        <w:rPr>
          <w:rFonts w:ascii="Times New Roman" w:hAnsi="Times New Roman" w:cs="Times New Roman"/>
          <w:sz w:val="24"/>
          <w:szCs w:val="24"/>
        </w:rPr>
        <w:t xml:space="preserve"> likely to be beneficial to both sides</w:t>
      </w:r>
      <w:r>
        <w:rPr>
          <w:rFonts w:ascii="Times New Roman" w:hAnsi="Times New Roman" w:cs="Times New Roman"/>
          <w:sz w:val="24"/>
          <w:szCs w:val="24"/>
        </w:rPr>
        <w:t>.</w:t>
      </w:r>
    </w:p>
    <w:p w14:paraId="703725BE" w14:textId="7F23D735" w:rsidR="0097185D" w:rsidRPr="00057F58" w:rsidRDefault="003C3146" w:rsidP="00057F58">
      <w:pPr>
        <w:spacing w:line="240" w:lineRule="auto"/>
        <w:rPr>
          <w:rFonts w:ascii="Times New Roman" w:hAnsi="Times New Roman" w:cs="Times New Roman"/>
          <w:bCs/>
          <w:sz w:val="24"/>
          <w:szCs w:val="24"/>
        </w:rPr>
      </w:pPr>
      <w:r w:rsidRPr="003C3146">
        <w:rPr>
          <w:rFonts w:ascii="Times New Roman" w:hAnsi="Times New Roman" w:cs="Times New Roman"/>
          <w:sz w:val="24"/>
          <w:szCs w:val="24"/>
        </w:rPr>
        <w:lastRenderedPageBreak/>
        <w:t xml:space="preserve">Being an EU Member State entails </w:t>
      </w:r>
      <w:r w:rsidR="009C2139">
        <w:rPr>
          <w:rFonts w:ascii="Times New Roman" w:hAnsi="Times New Roman" w:cs="Times New Roman"/>
          <w:sz w:val="24"/>
          <w:szCs w:val="24"/>
        </w:rPr>
        <w:t>‘</w:t>
      </w:r>
      <w:r w:rsidRPr="003C3146">
        <w:rPr>
          <w:rFonts w:ascii="Times New Roman" w:hAnsi="Times New Roman" w:cs="Times New Roman"/>
          <w:sz w:val="24"/>
          <w:szCs w:val="24"/>
        </w:rPr>
        <w:t>a series of rights and obligations</w:t>
      </w:r>
      <w:r w:rsidR="009C2139">
        <w:rPr>
          <w:rFonts w:ascii="Times New Roman" w:hAnsi="Times New Roman" w:cs="Times New Roman"/>
          <w:sz w:val="24"/>
          <w:szCs w:val="24"/>
        </w:rPr>
        <w:t>’</w:t>
      </w:r>
      <w:r w:rsidRPr="003C3146">
        <w:rPr>
          <w:rFonts w:ascii="Times New Roman" w:hAnsi="Times New Roman" w:cs="Times New Roman"/>
          <w:sz w:val="24"/>
          <w:szCs w:val="24"/>
        </w:rPr>
        <w:t xml:space="preserve">, including </w:t>
      </w:r>
      <w:r w:rsidR="009C2139">
        <w:rPr>
          <w:rFonts w:ascii="Times New Roman" w:hAnsi="Times New Roman" w:cs="Times New Roman"/>
          <w:sz w:val="24"/>
          <w:szCs w:val="24"/>
        </w:rPr>
        <w:t xml:space="preserve">the </w:t>
      </w:r>
      <w:r w:rsidRPr="003C3146">
        <w:rPr>
          <w:rFonts w:ascii="Times New Roman" w:hAnsi="Times New Roman" w:cs="Times New Roman"/>
          <w:sz w:val="24"/>
          <w:szCs w:val="24"/>
        </w:rPr>
        <w:t>duty of loyal</w:t>
      </w:r>
      <w:r w:rsidR="00057F58">
        <w:rPr>
          <w:rFonts w:ascii="Times New Roman" w:hAnsi="Times New Roman" w:cs="Times New Roman"/>
          <w:sz w:val="24"/>
          <w:szCs w:val="24"/>
        </w:rPr>
        <w:t xml:space="preserve"> or sincere</w:t>
      </w:r>
      <w:r w:rsidRPr="003C3146">
        <w:rPr>
          <w:rFonts w:ascii="Times New Roman" w:hAnsi="Times New Roman" w:cs="Times New Roman"/>
          <w:sz w:val="24"/>
          <w:szCs w:val="24"/>
        </w:rPr>
        <w:t xml:space="preserve"> cooperation</w:t>
      </w:r>
      <w:r w:rsidR="009C2139" w:rsidRPr="00EE12BC">
        <w:rPr>
          <w:rFonts w:ascii="Times New Roman" w:hAnsi="Times New Roman" w:cs="Times New Roman"/>
          <w:sz w:val="24"/>
          <w:szCs w:val="24"/>
        </w:rPr>
        <w:t>.</w:t>
      </w:r>
      <w:r w:rsidR="009C2139">
        <w:rPr>
          <w:rFonts w:ascii="Times New Roman" w:hAnsi="Times New Roman" w:cs="Times New Roman"/>
          <w:sz w:val="24"/>
          <w:szCs w:val="24"/>
        </w:rPr>
        <w:t xml:space="preserve"> The balance of rights and obligations came up frequently in the EU-UK withdrawal negotiations alongside references to ‘cherry-picking’. In the final text, the specific wording of ‘l</w:t>
      </w:r>
      <w:r w:rsidRPr="003C3146">
        <w:rPr>
          <w:rFonts w:ascii="Times New Roman" w:hAnsi="Times New Roman" w:cs="Times New Roman"/>
          <w:sz w:val="24"/>
          <w:szCs w:val="24"/>
        </w:rPr>
        <w:t>oyal cooperation</w:t>
      </w:r>
      <w:r w:rsidR="009C2139">
        <w:rPr>
          <w:rFonts w:ascii="Times New Roman" w:hAnsi="Times New Roman" w:cs="Times New Roman"/>
          <w:sz w:val="24"/>
          <w:szCs w:val="24"/>
        </w:rPr>
        <w:t>’ was</w:t>
      </w:r>
      <w:r w:rsidRPr="003C3146">
        <w:rPr>
          <w:rFonts w:ascii="Times New Roman" w:hAnsi="Times New Roman" w:cs="Times New Roman"/>
          <w:sz w:val="24"/>
          <w:szCs w:val="24"/>
        </w:rPr>
        <w:t xml:space="preserve"> </w:t>
      </w:r>
      <w:r w:rsidR="009C2139">
        <w:rPr>
          <w:rFonts w:ascii="Times New Roman" w:hAnsi="Times New Roman" w:cs="Times New Roman"/>
          <w:sz w:val="24"/>
          <w:szCs w:val="24"/>
        </w:rPr>
        <w:t xml:space="preserve">eventually </w:t>
      </w:r>
      <w:r w:rsidRPr="003C3146">
        <w:rPr>
          <w:rFonts w:ascii="Times New Roman" w:hAnsi="Times New Roman" w:cs="Times New Roman"/>
          <w:sz w:val="24"/>
          <w:szCs w:val="24"/>
        </w:rPr>
        <w:t>dropped in favour of the less EU-specific ‘good faith’</w:t>
      </w:r>
      <w:r w:rsidR="00057F58">
        <w:rPr>
          <w:rFonts w:ascii="Times New Roman" w:hAnsi="Times New Roman" w:cs="Times New Roman"/>
          <w:sz w:val="24"/>
          <w:szCs w:val="24"/>
        </w:rPr>
        <w:t>,</w:t>
      </w:r>
      <w:r w:rsidR="009C2139">
        <w:rPr>
          <w:rStyle w:val="FootnoteReference"/>
          <w:rFonts w:ascii="Times New Roman" w:hAnsi="Times New Roman" w:cs="Times New Roman"/>
          <w:sz w:val="24"/>
          <w:szCs w:val="24"/>
        </w:rPr>
        <w:footnoteReference w:id="127"/>
      </w:r>
      <w:r w:rsidR="00057F58">
        <w:rPr>
          <w:rFonts w:ascii="Times New Roman" w:hAnsi="Times New Roman" w:cs="Times New Roman"/>
          <w:sz w:val="24"/>
          <w:szCs w:val="24"/>
        </w:rPr>
        <w:t xml:space="preserve"> except with reference to the transition period.</w:t>
      </w:r>
      <w:r w:rsidR="00057F58">
        <w:rPr>
          <w:rStyle w:val="FootnoteReference"/>
          <w:rFonts w:ascii="Times New Roman" w:hAnsi="Times New Roman" w:cs="Times New Roman"/>
          <w:sz w:val="24"/>
          <w:szCs w:val="24"/>
        </w:rPr>
        <w:footnoteReference w:id="128"/>
      </w:r>
      <w:r w:rsidR="00057F58">
        <w:rPr>
          <w:rFonts w:ascii="Times New Roman" w:hAnsi="Times New Roman" w:cs="Times New Roman"/>
          <w:sz w:val="24"/>
          <w:szCs w:val="24"/>
        </w:rPr>
        <w:t xml:space="preserve"> </w:t>
      </w:r>
      <w:r w:rsidR="00057F58">
        <w:rPr>
          <w:rFonts w:ascii="Times New Roman" w:hAnsi="Times New Roman" w:cs="Times New Roman"/>
          <w:bCs/>
          <w:sz w:val="24"/>
          <w:szCs w:val="24"/>
        </w:rPr>
        <w:t>In the TCA, the level playing field arrangements state that e</w:t>
      </w:r>
      <w:r w:rsidR="00057F58" w:rsidRPr="00057F58">
        <w:rPr>
          <w:rFonts w:ascii="Times New Roman" w:hAnsi="Times New Roman" w:cs="Times New Roman"/>
          <w:bCs/>
          <w:sz w:val="24"/>
          <w:szCs w:val="24"/>
        </w:rPr>
        <w:t xml:space="preserve">ither </w:t>
      </w:r>
      <w:r w:rsidR="00057F58">
        <w:rPr>
          <w:rFonts w:ascii="Times New Roman" w:hAnsi="Times New Roman" w:cs="Times New Roman"/>
          <w:bCs/>
          <w:sz w:val="24"/>
          <w:szCs w:val="24"/>
        </w:rPr>
        <w:t>p</w:t>
      </w:r>
      <w:r w:rsidR="00057F58" w:rsidRPr="00057F58">
        <w:rPr>
          <w:rFonts w:ascii="Times New Roman" w:hAnsi="Times New Roman" w:cs="Times New Roman"/>
          <w:bCs/>
          <w:sz w:val="24"/>
          <w:szCs w:val="24"/>
        </w:rPr>
        <w:t>arty may request a review of the TCA Trade Heading to assess whether it “delivers an appropriate balance of rights and obligations”</w:t>
      </w:r>
      <w:r w:rsidR="00057F58">
        <w:rPr>
          <w:rStyle w:val="FootnoteReference"/>
          <w:rFonts w:ascii="Times New Roman" w:hAnsi="Times New Roman" w:cs="Times New Roman"/>
          <w:bCs/>
          <w:sz w:val="24"/>
          <w:szCs w:val="24"/>
        </w:rPr>
        <w:footnoteReference w:id="129"/>
      </w:r>
      <w:r w:rsidR="00057F58">
        <w:rPr>
          <w:rFonts w:ascii="Times New Roman" w:hAnsi="Times New Roman" w:cs="Times New Roman"/>
          <w:bCs/>
          <w:sz w:val="24"/>
          <w:szCs w:val="24"/>
        </w:rPr>
        <w:t xml:space="preserve"> On safeguard measures, which either side may introduce to deal with </w:t>
      </w:r>
      <w:r w:rsidR="00057F58" w:rsidRPr="00057F58">
        <w:rPr>
          <w:rFonts w:ascii="Times New Roman" w:hAnsi="Times New Roman" w:cs="Times New Roman"/>
          <w:bCs/>
          <w:sz w:val="24"/>
          <w:szCs w:val="24"/>
        </w:rPr>
        <w:t>serious economic, societal or environmental difficulties</w:t>
      </w:r>
      <w:r w:rsidR="00057F58">
        <w:rPr>
          <w:rFonts w:ascii="Times New Roman" w:hAnsi="Times New Roman" w:cs="Times New Roman"/>
          <w:bCs/>
          <w:sz w:val="24"/>
          <w:szCs w:val="24"/>
        </w:rPr>
        <w:t>, the trigger for the other party to take proportionate rebalancing measures is if a safeguard measure “</w:t>
      </w:r>
      <w:r w:rsidR="00057F58" w:rsidRPr="00997397">
        <w:rPr>
          <w:rFonts w:ascii="Times New Roman" w:hAnsi="Times New Roman" w:cs="Times New Roman"/>
          <w:sz w:val="24"/>
          <w:szCs w:val="24"/>
        </w:rPr>
        <w:t xml:space="preserve">creates an imbalance between </w:t>
      </w:r>
      <w:r w:rsidR="00057F58" w:rsidRPr="00057F58">
        <w:rPr>
          <w:rFonts w:ascii="Times New Roman" w:hAnsi="Times New Roman" w:cs="Times New Roman"/>
          <w:sz w:val="24"/>
          <w:szCs w:val="24"/>
        </w:rPr>
        <w:t xml:space="preserve">the rights and obligations </w:t>
      </w:r>
      <w:r w:rsidR="00057F58" w:rsidRPr="00997397">
        <w:rPr>
          <w:rFonts w:ascii="Times New Roman" w:hAnsi="Times New Roman" w:cs="Times New Roman"/>
          <w:sz w:val="24"/>
          <w:szCs w:val="24"/>
        </w:rPr>
        <w:t>under this Agreement or under any supplementing agreement</w:t>
      </w:r>
      <w:r w:rsidR="00057F58">
        <w:rPr>
          <w:rFonts w:ascii="Times New Roman" w:hAnsi="Times New Roman" w:cs="Times New Roman"/>
          <w:sz w:val="24"/>
          <w:szCs w:val="24"/>
        </w:rPr>
        <w:t>.”</w:t>
      </w:r>
      <w:r w:rsidR="00057F58">
        <w:rPr>
          <w:rStyle w:val="FootnoteReference"/>
          <w:rFonts w:ascii="Times New Roman" w:hAnsi="Times New Roman" w:cs="Times New Roman"/>
          <w:sz w:val="24"/>
          <w:szCs w:val="24"/>
        </w:rPr>
        <w:footnoteReference w:id="130"/>
      </w:r>
    </w:p>
    <w:p w14:paraId="5EC33091" w14:textId="29E73FFB" w:rsidR="00C8380F" w:rsidRPr="00997397" w:rsidRDefault="006911D8" w:rsidP="00082381">
      <w:pPr>
        <w:spacing w:line="240" w:lineRule="auto"/>
        <w:rPr>
          <w:rFonts w:ascii="Times New Roman" w:hAnsi="Times New Roman" w:cs="Times New Roman"/>
          <w:sz w:val="24"/>
          <w:szCs w:val="24"/>
        </w:rPr>
      </w:pPr>
      <w:r>
        <w:rPr>
          <w:rFonts w:ascii="Times New Roman" w:hAnsi="Times New Roman" w:cs="Times New Roman"/>
          <w:bCs/>
          <w:sz w:val="24"/>
          <w:szCs w:val="24"/>
        </w:rPr>
        <w:t>Following years of internal differentiation</w:t>
      </w:r>
      <w:r w:rsidR="00057F58">
        <w:rPr>
          <w:rFonts w:ascii="Times New Roman" w:hAnsi="Times New Roman" w:cs="Times New Roman"/>
          <w:bCs/>
          <w:sz w:val="24"/>
          <w:szCs w:val="24"/>
        </w:rPr>
        <w:t xml:space="preserve">, the UK </w:t>
      </w:r>
      <w:r w:rsidR="003B39E0">
        <w:rPr>
          <w:rFonts w:ascii="Times New Roman" w:hAnsi="Times New Roman" w:cs="Times New Roman"/>
          <w:bCs/>
          <w:sz w:val="24"/>
          <w:szCs w:val="24"/>
        </w:rPr>
        <w:t>took</w:t>
      </w:r>
      <w:r w:rsidR="00057F58">
        <w:rPr>
          <w:rFonts w:ascii="Times New Roman" w:hAnsi="Times New Roman" w:cs="Times New Roman"/>
          <w:bCs/>
          <w:sz w:val="24"/>
          <w:szCs w:val="24"/>
        </w:rPr>
        <w:t xml:space="preserve"> the ultimate opt-out</w:t>
      </w:r>
      <w:r w:rsidR="003B39E0">
        <w:rPr>
          <w:rFonts w:ascii="Times New Roman" w:hAnsi="Times New Roman" w:cs="Times New Roman"/>
          <w:bCs/>
          <w:sz w:val="24"/>
          <w:szCs w:val="24"/>
        </w:rPr>
        <w:t xml:space="preserve">. </w:t>
      </w:r>
      <w:r w:rsidR="000C3E0C">
        <w:rPr>
          <w:rFonts w:ascii="Times New Roman" w:hAnsi="Times New Roman" w:cs="Times New Roman"/>
          <w:bCs/>
          <w:sz w:val="24"/>
          <w:szCs w:val="24"/>
        </w:rPr>
        <w:t>A</w:t>
      </w:r>
      <w:r w:rsidR="00415254">
        <w:rPr>
          <w:rFonts w:ascii="Times New Roman" w:hAnsi="Times New Roman" w:cs="Times New Roman"/>
          <w:bCs/>
          <w:sz w:val="24"/>
          <w:szCs w:val="24"/>
        </w:rPr>
        <w:t xml:space="preserve">dding to </w:t>
      </w:r>
      <w:r w:rsidR="00E2663A">
        <w:rPr>
          <w:rFonts w:ascii="Times New Roman" w:hAnsi="Times New Roman" w:cs="Times New Roman"/>
          <w:bCs/>
          <w:sz w:val="24"/>
          <w:szCs w:val="24"/>
        </w:rPr>
        <w:t xml:space="preserve">the EU’s </w:t>
      </w:r>
      <w:r w:rsidR="00415254">
        <w:rPr>
          <w:rFonts w:ascii="Times New Roman" w:hAnsi="Times New Roman" w:cs="Times New Roman"/>
          <w:bCs/>
          <w:sz w:val="24"/>
          <w:szCs w:val="24"/>
        </w:rPr>
        <w:t>existing models of close relation</w:t>
      </w:r>
      <w:r w:rsidR="006D4563">
        <w:rPr>
          <w:rFonts w:ascii="Times New Roman" w:hAnsi="Times New Roman" w:cs="Times New Roman"/>
          <w:bCs/>
          <w:sz w:val="24"/>
          <w:szCs w:val="24"/>
        </w:rPr>
        <w:t>ships</w:t>
      </w:r>
      <w:r w:rsidR="00D80C9C">
        <w:rPr>
          <w:rFonts w:ascii="Times New Roman" w:hAnsi="Times New Roman" w:cs="Times New Roman"/>
          <w:bCs/>
          <w:sz w:val="24"/>
          <w:szCs w:val="24"/>
        </w:rPr>
        <w:t xml:space="preserve"> without membership</w:t>
      </w:r>
      <w:r w:rsidR="006D4563">
        <w:rPr>
          <w:rFonts w:ascii="Times New Roman" w:hAnsi="Times New Roman" w:cs="Times New Roman"/>
          <w:bCs/>
          <w:sz w:val="24"/>
          <w:szCs w:val="24"/>
        </w:rPr>
        <w:t>, such as those with the EEA and Switzerland, i</w:t>
      </w:r>
      <w:r w:rsidR="003B39E0">
        <w:rPr>
          <w:rFonts w:ascii="Times New Roman" w:hAnsi="Times New Roman" w:cs="Times New Roman"/>
          <w:bCs/>
          <w:sz w:val="24"/>
          <w:szCs w:val="24"/>
        </w:rPr>
        <w:t xml:space="preserve">ts unique </w:t>
      </w:r>
      <w:r w:rsidR="005B3112">
        <w:rPr>
          <w:rFonts w:ascii="Times New Roman" w:hAnsi="Times New Roman" w:cs="Times New Roman"/>
          <w:bCs/>
          <w:sz w:val="24"/>
          <w:szCs w:val="24"/>
        </w:rPr>
        <w:t>situ</w:t>
      </w:r>
      <w:r w:rsidR="00D6489A">
        <w:rPr>
          <w:rFonts w:ascii="Times New Roman" w:hAnsi="Times New Roman" w:cs="Times New Roman"/>
          <w:bCs/>
          <w:sz w:val="24"/>
          <w:szCs w:val="24"/>
        </w:rPr>
        <w:t>a</w:t>
      </w:r>
      <w:r w:rsidR="00656F36">
        <w:rPr>
          <w:rFonts w:ascii="Times New Roman" w:hAnsi="Times New Roman" w:cs="Times New Roman"/>
          <w:bCs/>
          <w:sz w:val="24"/>
          <w:szCs w:val="24"/>
        </w:rPr>
        <w:t>tion as a former Member State</w:t>
      </w:r>
      <w:r w:rsidR="003B39E0">
        <w:rPr>
          <w:rFonts w:ascii="Times New Roman" w:hAnsi="Times New Roman" w:cs="Times New Roman"/>
          <w:bCs/>
          <w:sz w:val="24"/>
          <w:szCs w:val="24"/>
        </w:rPr>
        <w:t xml:space="preserve"> invites </w:t>
      </w:r>
      <w:r w:rsidR="00887429">
        <w:rPr>
          <w:rFonts w:ascii="Times New Roman" w:hAnsi="Times New Roman" w:cs="Times New Roman"/>
          <w:bCs/>
          <w:sz w:val="24"/>
          <w:szCs w:val="24"/>
        </w:rPr>
        <w:t>reconsideration of</w:t>
      </w:r>
      <w:r w:rsidR="003B39E0">
        <w:rPr>
          <w:rFonts w:ascii="Times New Roman" w:hAnsi="Times New Roman" w:cs="Times New Roman"/>
          <w:bCs/>
          <w:sz w:val="24"/>
          <w:szCs w:val="24"/>
        </w:rPr>
        <w:t xml:space="preserve"> the conceptualization of external differentiation along territorial and functional lines</w:t>
      </w:r>
      <w:r w:rsidR="00EE5BBF">
        <w:rPr>
          <w:rFonts w:ascii="Times New Roman" w:eastAsia="Calibri" w:hAnsi="Times New Roman" w:cs="Times New Roman"/>
          <w:bCs/>
          <w:sz w:val="24"/>
          <w:szCs w:val="24"/>
        </w:rPr>
        <w:t>.</w:t>
      </w:r>
      <w:r w:rsidR="003B39E0">
        <w:rPr>
          <w:rFonts w:ascii="Times New Roman" w:eastAsia="Calibri" w:hAnsi="Times New Roman" w:cs="Times New Roman"/>
          <w:bCs/>
          <w:sz w:val="24"/>
          <w:szCs w:val="24"/>
        </w:rPr>
        <w:t xml:space="preserve"> The UK’s position </w:t>
      </w:r>
      <w:r w:rsidR="003B39E0" w:rsidRPr="00007577">
        <w:rPr>
          <w:rFonts w:ascii="Times New Roman" w:eastAsia="Calibri" w:hAnsi="Times New Roman" w:cs="Times New Roman"/>
          <w:bCs/>
          <w:sz w:val="24"/>
          <w:szCs w:val="24"/>
        </w:rPr>
        <w:t xml:space="preserve">represents an </w:t>
      </w:r>
      <w:r w:rsidR="005B66FF">
        <w:rPr>
          <w:rFonts w:ascii="Times New Roman" w:eastAsia="Calibri" w:hAnsi="Times New Roman" w:cs="Times New Roman"/>
          <w:bCs/>
          <w:sz w:val="24"/>
          <w:szCs w:val="24"/>
        </w:rPr>
        <w:t>opportunity</w:t>
      </w:r>
      <w:r w:rsidR="003B39E0" w:rsidRPr="00007577">
        <w:rPr>
          <w:rFonts w:ascii="Times New Roman" w:eastAsia="Calibri" w:hAnsi="Times New Roman" w:cs="Times New Roman"/>
          <w:bCs/>
          <w:sz w:val="24"/>
          <w:szCs w:val="24"/>
        </w:rPr>
        <w:t xml:space="preserve"> to test </w:t>
      </w:r>
      <w:r w:rsidR="003B39E0">
        <w:rPr>
          <w:rFonts w:ascii="Times New Roman" w:eastAsia="Calibri" w:hAnsi="Times New Roman" w:cs="Times New Roman"/>
          <w:bCs/>
          <w:sz w:val="24"/>
          <w:szCs w:val="24"/>
        </w:rPr>
        <w:t xml:space="preserve">in real time </w:t>
      </w:r>
      <w:r w:rsidR="003B39E0" w:rsidRPr="00007577">
        <w:rPr>
          <w:rFonts w:ascii="Times New Roman" w:eastAsia="Calibri" w:hAnsi="Times New Roman" w:cs="Times New Roman"/>
          <w:bCs/>
          <w:sz w:val="24"/>
          <w:szCs w:val="24"/>
        </w:rPr>
        <w:t xml:space="preserve">the </w:t>
      </w:r>
      <w:r w:rsidR="005B66FF">
        <w:rPr>
          <w:rFonts w:ascii="Times New Roman" w:eastAsia="Calibri" w:hAnsi="Times New Roman" w:cs="Times New Roman"/>
          <w:bCs/>
          <w:sz w:val="24"/>
          <w:szCs w:val="24"/>
        </w:rPr>
        <w:t xml:space="preserve">EU’s </w:t>
      </w:r>
      <w:r w:rsidR="003B39E0" w:rsidRPr="00007577">
        <w:rPr>
          <w:rFonts w:ascii="Times New Roman" w:eastAsia="Calibri" w:hAnsi="Times New Roman" w:cs="Times New Roman"/>
          <w:bCs/>
          <w:sz w:val="24"/>
          <w:szCs w:val="24"/>
        </w:rPr>
        <w:t xml:space="preserve">external regulatory reach and </w:t>
      </w:r>
      <w:r w:rsidR="003B39E0">
        <w:rPr>
          <w:rFonts w:ascii="Times New Roman" w:eastAsia="Calibri" w:hAnsi="Times New Roman" w:cs="Times New Roman"/>
          <w:bCs/>
          <w:sz w:val="24"/>
          <w:szCs w:val="24"/>
        </w:rPr>
        <w:t xml:space="preserve">the significance of institutional architecture. </w:t>
      </w:r>
    </w:p>
    <w:sectPr w:rsidR="00C8380F" w:rsidRPr="0099739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53389" w14:textId="77777777" w:rsidR="00A52CB8" w:rsidRDefault="00A52CB8" w:rsidP="0069222C">
      <w:pPr>
        <w:spacing w:after="0" w:line="240" w:lineRule="auto"/>
      </w:pPr>
      <w:r>
        <w:separator/>
      </w:r>
    </w:p>
  </w:endnote>
  <w:endnote w:type="continuationSeparator" w:id="0">
    <w:p w14:paraId="236012B7" w14:textId="77777777" w:rsidR="00A52CB8" w:rsidRDefault="00A52CB8" w:rsidP="00692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824657"/>
      <w:docPartObj>
        <w:docPartGallery w:val="Page Numbers (Bottom of Page)"/>
        <w:docPartUnique/>
      </w:docPartObj>
    </w:sdtPr>
    <w:sdtEndPr>
      <w:rPr>
        <w:noProof/>
      </w:rPr>
    </w:sdtEndPr>
    <w:sdtContent>
      <w:p w14:paraId="68B99DD5" w14:textId="0E0B516E" w:rsidR="0083397A" w:rsidRDefault="0083397A">
        <w:pPr>
          <w:pStyle w:val="Footer"/>
          <w:jc w:val="right"/>
        </w:pPr>
        <w:r>
          <w:fldChar w:fldCharType="begin"/>
        </w:r>
        <w:r>
          <w:instrText xml:space="preserve"> PAGE   \* MERGEFORMAT </w:instrText>
        </w:r>
        <w:r>
          <w:fldChar w:fldCharType="separate"/>
        </w:r>
        <w:r w:rsidR="002F3620">
          <w:rPr>
            <w:noProof/>
          </w:rPr>
          <w:t>6</w:t>
        </w:r>
        <w:r>
          <w:rPr>
            <w:noProof/>
          </w:rPr>
          <w:fldChar w:fldCharType="end"/>
        </w:r>
      </w:p>
    </w:sdtContent>
  </w:sdt>
  <w:p w14:paraId="3B9047CC" w14:textId="77777777" w:rsidR="0083397A" w:rsidRDefault="00833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117A7" w14:textId="77777777" w:rsidR="00A52CB8" w:rsidRDefault="00A52CB8" w:rsidP="0069222C">
      <w:pPr>
        <w:spacing w:after="0" w:line="240" w:lineRule="auto"/>
      </w:pPr>
      <w:r>
        <w:separator/>
      </w:r>
    </w:p>
  </w:footnote>
  <w:footnote w:type="continuationSeparator" w:id="0">
    <w:p w14:paraId="2954D2B8" w14:textId="77777777" w:rsidR="00A52CB8" w:rsidRDefault="00A52CB8" w:rsidP="0069222C">
      <w:pPr>
        <w:spacing w:after="0" w:line="240" w:lineRule="auto"/>
      </w:pPr>
      <w:r>
        <w:continuationSeparator/>
      </w:r>
    </w:p>
  </w:footnote>
  <w:footnote w:id="1">
    <w:p w14:paraId="5685A333" w14:textId="5057AFB5"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t>*</w:t>
      </w:r>
      <w:r w:rsidRPr="004D577C">
        <w:rPr>
          <w:rFonts w:ascii="Times New Roman" w:hAnsi="Times New Roman" w:cs="Times New Roman"/>
        </w:rPr>
        <w:t xml:space="preserve"> Senior Lecturer in Law, University of York</w:t>
      </w:r>
    </w:p>
  </w:footnote>
  <w:footnote w:id="2">
    <w:p w14:paraId="4A0D87BB" w14:textId="3F1AA4B8" w:rsidR="0083397A" w:rsidRPr="004D577C" w:rsidRDefault="0083397A" w:rsidP="00057F58">
      <w:pPr>
        <w:pStyle w:val="FootnoteText"/>
        <w:rPr>
          <w:rFonts w:ascii="Times New Roman" w:hAnsi="Times New Roman" w:cs="Times New Roman"/>
          <w:i/>
          <w:i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Trade and Cooperation Agreement [2020] OJ L444/14</w:t>
      </w:r>
      <w:r w:rsidR="00915997" w:rsidRPr="004D577C">
        <w:rPr>
          <w:rFonts w:ascii="Times New Roman" w:hAnsi="Times New Roman" w:cs="Times New Roman"/>
        </w:rPr>
        <w:t xml:space="preserve">. </w:t>
      </w:r>
      <w:r w:rsidRPr="00C63F66">
        <w:rPr>
          <w:rFonts w:ascii="Times New Roman" w:hAnsi="Times New Roman" w:cs="Times New Roman"/>
        </w:rPr>
        <w:t xml:space="preserve"> </w:t>
      </w:r>
      <w:r w:rsidR="00915997" w:rsidRPr="00982449">
        <w:rPr>
          <w:rFonts w:ascii="Times New Roman" w:hAnsi="Times New Roman" w:cs="Times New Roman"/>
        </w:rPr>
        <w:t>Running to almost 1500 pages, the T</w:t>
      </w:r>
      <w:r w:rsidR="00915997" w:rsidRPr="004D577C">
        <w:rPr>
          <w:rFonts w:ascii="Times New Roman" w:hAnsi="Times New Roman" w:cs="Times New Roman"/>
        </w:rPr>
        <w:t xml:space="preserve">CA is made up of seven Parts: (1) common and institutional provisions,  (2) trade, transport, fisheries, and other arrangements, (3) law enforcement and judicial cooperation in criminal matters, (4) thematic cooperation (in health security and cyber security), (5) participation in Union programmes, sound financial management and financial provisions, (6) dispute settlement and horizontal provisions, and (7) final provisions. Part Two on trade, transport, fisheries and other arrangements comprises six Headings: (1) trade, (2) aviation, (3) road transport, (4) social security coordination and visas for short-term visits, (5) fisheries, and (6) other provisions. Each Part is further divided into Titles. There are also 48 annexes, covering product-specific rules or further definitions, and three Protocols (with their own annexes) on administrative assistance and combating fraud in the tax field, on mutual assistance in customs matters, and on social security coordination. Acronyms denote these sub-divisions to avoid a lengthy numbering </w:t>
      </w:r>
      <w:proofErr w:type="gramStart"/>
      <w:r w:rsidR="00915997" w:rsidRPr="004D577C">
        <w:rPr>
          <w:rFonts w:ascii="Times New Roman" w:hAnsi="Times New Roman" w:cs="Times New Roman"/>
        </w:rPr>
        <w:t>system</w:t>
      </w:r>
      <w:proofErr w:type="gramEnd"/>
      <w:r w:rsidR="00271C1A" w:rsidRPr="004D577C">
        <w:rPr>
          <w:rFonts w:ascii="Times New Roman" w:hAnsi="Times New Roman" w:cs="Times New Roman"/>
        </w:rPr>
        <w:t xml:space="preserve"> </w:t>
      </w:r>
      <w:r w:rsidR="00271C1A" w:rsidRPr="004D577C">
        <w:rPr>
          <w:rFonts w:ascii="Times New Roman" w:hAnsi="Times New Roman" w:cs="Times New Roman"/>
          <w:i/>
          <w:iCs/>
          <w:highlight w:val="yellow"/>
        </w:rPr>
        <w:t>but this system is provisional pending ratification</w:t>
      </w:r>
      <w:r w:rsidR="00915997" w:rsidRPr="004D577C">
        <w:rPr>
          <w:rFonts w:ascii="Times New Roman" w:hAnsi="Times New Roman" w:cs="Times New Roman"/>
          <w:i/>
          <w:iCs/>
          <w:highlight w:val="yellow"/>
        </w:rPr>
        <w:t>.</w:t>
      </w:r>
    </w:p>
  </w:footnote>
  <w:footnote w:id="3">
    <w:p w14:paraId="36E83F41" w14:textId="4FCCCF1E"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United Kingdom Internal Market HC Bill </w:t>
      </w:r>
      <w:r w:rsidRPr="00C63F66">
        <w:rPr>
          <w:rFonts w:ascii="Times New Roman" w:hAnsi="Times New Roman" w:cs="Times New Roman"/>
        </w:rPr>
        <w:t>(2019-21) [177]</w:t>
      </w:r>
      <w:r w:rsidR="005462F6" w:rsidRPr="00982449">
        <w:rPr>
          <w:rFonts w:ascii="Times New Roman" w:hAnsi="Times New Roman" w:cs="Times New Roman"/>
        </w:rPr>
        <w:t xml:space="preserve"> introduced in September 2020</w:t>
      </w:r>
      <w:r w:rsidRPr="00982449">
        <w:rPr>
          <w:rFonts w:ascii="Times New Roman" w:hAnsi="Times New Roman" w:cs="Times New Roman"/>
        </w:rPr>
        <w:t>; European Commission press release ‘Withdrawal Agreement: European Commission sends letter of formal notice to the United Kingdom for breach of its obligations’ 1 October 2020 &lt;</w:t>
      </w:r>
      <w:hyperlink r:id="rId1" w:history="1">
        <w:r w:rsidRPr="004D577C">
          <w:rPr>
            <w:rStyle w:val="Hyperlink"/>
            <w:rFonts w:ascii="Times New Roman" w:hAnsi="Times New Roman" w:cs="Times New Roman"/>
          </w:rPr>
          <w:t>https://ec.europa.eu/commission/presscorner/detail/en/IP_20_1798</w:t>
        </w:r>
      </w:hyperlink>
      <w:r w:rsidRPr="004D577C">
        <w:rPr>
          <w:rFonts w:ascii="Times New Roman" w:hAnsi="Times New Roman" w:cs="Times New Roman"/>
        </w:rPr>
        <w:t>&gt; accessed 28 February 2021. The controversial clauses were subsequently removed and do not appear in the UK Inte</w:t>
      </w:r>
      <w:r w:rsidRPr="00C63F66">
        <w:rPr>
          <w:rFonts w:ascii="Times New Roman" w:hAnsi="Times New Roman" w:cs="Times New Roman"/>
        </w:rPr>
        <w:t>rnal Market Act 2020.</w:t>
      </w:r>
      <w:r w:rsidR="0056563D" w:rsidRPr="00982449">
        <w:rPr>
          <w:rFonts w:ascii="Times New Roman" w:hAnsi="Times New Roman" w:cs="Times New Roman"/>
        </w:rPr>
        <w:t xml:space="preserve"> However, the European Commission </w:t>
      </w:r>
      <w:r w:rsidR="00FA71F4" w:rsidRPr="00982449">
        <w:rPr>
          <w:rFonts w:ascii="Times New Roman" w:hAnsi="Times New Roman" w:cs="Times New Roman"/>
        </w:rPr>
        <w:t xml:space="preserve">subsequently sent a </w:t>
      </w:r>
      <w:r w:rsidR="00FB16E9" w:rsidRPr="00982449">
        <w:rPr>
          <w:rFonts w:ascii="Times New Roman" w:hAnsi="Times New Roman" w:cs="Times New Roman"/>
        </w:rPr>
        <w:t>letter of formal notice to the UK on 15 March</w:t>
      </w:r>
      <w:r w:rsidR="0067480A" w:rsidRPr="00982449">
        <w:rPr>
          <w:rFonts w:ascii="Times New Roman" w:hAnsi="Times New Roman" w:cs="Times New Roman"/>
        </w:rPr>
        <w:t xml:space="preserve"> 2021</w:t>
      </w:r>
      <w:r w:rsidR="00FB16E9" w:rsidRPr="004D577C">
        <w:rPr>
          <w:rFonts w:ascii="Times New Roman" w:hAnsi="Times New Roman" w:cs="Times New Roman"/>
        </w:rPr>
        <w:t xml:space="preserve"> for breach of its </w:t>
      </w:r>
      <w:r w:rsidR="0062644A" w:rsidRPr="004D577C">
        <w:rPr>
          <w:rFonts w:ascii="Times New Roman" w:hAnsi="Times New Roman" w:cs="Times New Roman"/>
        </w:rPr>
        <w:t>obligations under the Northern Ireland Protocol</w:t>
      </w:r>
      <w:r w:rsidR="00821224" w:rsidRPr="004D577C">
        <w:rPr>
          <w:rFonts w:ascii="Times New Roman" w:hAnsi="Times New Roman" w:cs="Times New Roman"/>
        </w:rPr>
        <w:t xml:space="preserve"> and </w:t>
      </w:r>
      <w:r w:rsidR="00FC0FE4" w:rsidRPr="004D577C">
        <w:rPr>
          <w:rFonts w:ascii="Times New Roman" w:hAnsi="Times New Roman" w:cs="Times New Roman"/>
        </w:rPr>
        <w:t>its</w:t>
      </w:r>
      <w:r w:rsidR="00821224" w:rsidRPr="004D577C">
        <w:rPr>
          <w:rFonts w:ascii="Times New Roman" w:hAnsi="Times New Roman" w:cs="Times New Roman"/>
        </w:rPr>
        <w:t xml:space="preserve"> good faith obligation under the Withdrawal Agreement</w:t>
      </w:r>
      <w:r w:rsidR="0062644A" w:rsidRPr="004D577C">
        <w:rPr>
          <w:rFonts w:ascii="Times New Roman" w:hAnsi="Times New Roman" w:cs="Times New Roman"/>
        </w:rPr>
        <w:t xml:space="preserve">: </w:t>
      </w:r>
      <w:r w:rsidR="00821224" w:rsidRPr="004D577C">
        <w:rPr>
          <w:rFonts w:ascii="Times New Roman" w:hAnsi="Times New Roman" w:cs="Times New Roman"/>
        </w:rPr>
        <w:t>l</w:t>
      </w:r>
      <w:r w:rsidR="003649C0" w:rsidRPr="004D577C">
        <w:rPr>
          <w:rFonts w:ascii="Times New Roman" w:hAnsi="Times New Roman" w:cs="Times New Roman"/>
        </w:rPr>
        <w:t xml:space="preserve">etter from Vice-President Maroš Šefčovič to David Frost </w:t>
      </w:r>
      <w:r w:rsidR="0067480A" w:rsidRPr="004D577C">
        <w:rPr>
          <w:rFonts w:ascii="Times New Roman" w:hAnsi="Times New Roman" w:cs="Times New Roman"/>
        </w:rPr>
        <w:t>&lt;</w:t>
      </w:r>
      <w:r w:rsidR="00B15C98" w:rsidRPr="004D577C">
        <w:rPr>
          <w:rFonts w:ascii="Times New Roman" w:hAnsi="Times New Roman" w:cs="Times New Roman"/>
        </w:rPr>
        <w:t>https://ec.europa.eu/info/sites/info/files/lettre_to_lord_frost_1532021_en.pdf</w:t>
      </w:r>
      <w:r w:rsidR="0067480A" w:rsidRPr="004D577C">
        <w:rPr>
          <w:rFonts w:ascii="Times New Roman" w:hAnsi="Times New Roman" w:cs="Times New Roman"/>
        </w:rPr>
        <w:t>&gt; accessed 23 March 2021</w:t>
      </w:r>
    </w:p>
  </w:footnote>
  <w:footnote w:id="4">
    <w:p w14:paraId="6A502E2A" w14:textId="765192D2" w:rsidR="0083397A" w:rsidRPr="00982449" w:rsidRDefault="0083397A" w:rsidP="00057F58">
      <w:pPr>
        <w:pStyle w:val="FootnoteText"/>
        <w:rPr>
          <w:rFonts w:ascii="Times New Roman" w:hAnsi="Times New Roman" w:cs="Times New Roman"/>
          <w:bCs/>
          <w:i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C63F66">
        <w:rPr>
          <w:rFonts w:ascii="Times New Roman" w:hAnsi="Times New Roman" w:cs="Times New Roman"/>
          <w:bCs/>
          <w:iCs/>
        </w:rPr>
        <w:t xml:space="preserve">Council of the EU, Annex to Council Decision authorising the opening of </w:t>
      </w:r>
      <w:r w:rsidRPr="00982449">
        <w:rPr>
          <w:rFonts w:ascii="Times New Roman" w:hAnsi="Times New Roman" w:cs="Times New Roman"/>
          <w:bCs/>
          <w:iCs/>
        </w:rPr>
        <w:t>negotiations with the United Kingdom of Great Britain and Northern Ireland for a new partnership agreement,</w:t>
      </w:r>
      <w:r w:rsidRPr="00982449">
        <w:rPr>
          <w:rFonts w:ascii="Times New Roman" w:hAnsi="Times New Roman" w:cs="Times New Roman"/>
        </w:rPr>
        <w:t xml:space="preserve"> </w:t>
      </w:r>
      <w:r w:rsidRPr="00982449">
        <w:rPr>
          <w:rFonts w:ascii="Times New Roman" w:hAnsi="Times New Roman" w:cs="Times New Roman"/>
          <w:bCs/>
          <w:iCs/>
        </w:rPr>
        <w:t>5870/20 ADD 1 REV 3, Brussels 25 February 2020, para 149</w:t>
      </w:r>
    </w:p>
  </w:footnote>
  <w:footnote w:id="5">
    <w:p w14:paraId="2F38E474" w14:textId="1E3E30EE" w:rsidR="0083397A" w:rsidRPr="004D577C" w:rsidRDefault="0083397A" w:rsidP="00057F58">
      <w:pPr>
        <w:spacing w:after="0" w:line="240" w:lineRule="auto"/>
        <w:rPr>
          <w:rFonts w:ascii="Times New Roman" w:eastAsia="Calibri" w:hAnsi="Times New Roman" w:cs="Times New Roman"/>
          <w:bCs/>
          <w:iCs/>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w:t>
      </w:r>
      <w:r w:rsidRPr="00C63F66">
        <w:rPr>
          <w:rFonts w:ascii="Times New Roman" w:eastAsia="Calibri" w:hAnsi="Times New Roman" w:cs="Times New Roman"/>
          <w:bCs/>
          <w:iCs/>
          <w:sz w:val="20"/>
          <w:szCs w:val="20"/>
        </w:rPr>
        <w:t>Notwithstanding the Northern Ireland Protocol and the level playing field it agreed to in</w:t>
      </w:r>
      <w:r w:rsidRPr="00982449">
        <w:rPr>
          <w:rFonts w:ascii="Times New Roman" w:eastAsia="Calibri" w:hAnsi="Times New Roman" w:cs="Times New Roman"/>
          <w:bCs/>
          <w:iCs/>
          <w:sz w:val="20"/>
          <w:szCs w:val="20"/>
        </w:rPr>
        <w:t xml:space="preserve"> the Political Declaration, the UK’s approach set out that it “[would] not agree to any obligation for our laws to be aligned with the EU’s…”, nor to the EU institutions having any jurisdiction in the UK: </w:t>
      </w:r>
      <w:r w:rsidRPr="00982449">
        <w:rPr>
          <w:rFonts w:ascii="Times New Roman" w:hAnsi="Times New Roman" w:cs="Times New Roman"/>
          <w:sz w:val="20"/>
          <w:szCs w:val="20"/>
        </w:rPr>
        <w:t xml:space="preserve">HM Government ‘The Future Relationship with the EU: the UK’s approach to negotiations’ CP211, </w:t>
      </w:r>
      <w:r w:rsidR="005C7F3A" w:rsidRPr="00982449">
        <w:rPr>
          <w:rFonts w:ascii="Times New Roman" w:hAnsi="Times New Roman" w:cs="Times New Roman"/>
          <w:sz w:val="20"/>
          <w:szCs w:val="20"/>
        </w:rPr>
        <w:t xml:space="preserve">27 </w:t>
      </w:r>
      <w:r w:rsidRPr="004D577C">
        <w:rPr>
          <w:rFonts w:ascii="Times New Roman" w:hAnsi="Times New Roman" w:cs="Times New Roman"/>
          <w:sz w:val="20"/>
          <w:szCs w:val="20"/>
        </w:rPr>
        <w:t>February 2020, para 5</w:t>
      </w:r>
    </w:p>
  </w:footnote>
  <w:footnote w:id="6">
    <w:p w14:paraId="3BAABEA8" w14:textId="0A2B0A5D" w:rsidR="0083397A" w:rsidRPr="00982449" w:rsidRDefault="0083397A" w:rsidP="00057F58">
      <w:pPr>
        <w:spacing w:after="0" w:line="240" w:lineRule="auto"/>
        <w:rPr>
          <w:rFonts w:ascii="Times New Roman" w:eastAsia="Calibri" w:hAnsi="Times New Roman" w:cs="Times New Roman"/>
          <w:bCs/>
          <w:iCs/>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w:t>
      </w:r>
      <w:proofErr w:type="gramStart"/>
      <w:r w:rsidRPr="009D6E19">
        <w:rPr>
          <w:rFonts w:ascii="Times New Roman" w:hAnsi="Times New Roman" w:cs="Times New Roman"/>
          <w:sz w:val="20"/>
          <w:szCs w:val="20"/>
        </w:rPr>
        <w:t>Ibid;</w:t>
      </w:r>
      <w:proofErr w:type="gramEnd"/>
      <w:r w:rsidRPr="00C63F66">
        <w:rPr>
          <w:rFonts w:ascii="Times New Roman" w:hAnsi="Times New Roman" w:cs="Times New Roman"/>
          <w:sz w:val="20"/>
          <w:szCs w:val="20"/>
        </w:rPr>
        <w:t xml:space="preserve"> Prime Minister Boris Johnson’s statement UIN HCWS86 on UK/EU relations made on 3 February 2020 referred to a </w:t>
      </w:r>
      <w:r w:rsidRPr="00982449">
        <w:rPr>
          <w:rFonts w:ascii="Times New Roman" w:eastAsia="Calibri" w:hAnsi="Times New Roman" w:cs="Times New Roman"/>
          <w:bCs/>
          <w:iCs/>
          <w:sz w:val="20"/>
          <w:szCs w:val="20"/>
        </w:rPr>
        <w:t>“…suite of agreements”.</w:t>
      </w:r>
    </w:p>
  </w:footnote>
  <w:footnote w:id="7">
    <w:p w14:paraId="1D43F004" w14:textId="0D1CDD2C"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9D6E19">
        <w:rPr>
          <w:rFonts w:ascii="Times New Roman" w:eastAsia="Calibri" w:hAnsi="Times New Roman" w:cs="Times New Roman"/>
          <w:bCs/>
          <w:iCs/>
        </w:rPr>
        <w:t xml:space="preserve">Withdrawal </w:t>
      </w:r>
      <w:r w:rsidRPr="00C63F66">
        <w:rPr>
          <w:rFonts w:ascii="Times New Roman" w:eastAsia="Calibri" w:hAnsi="Times New Roman" w:cs="Times New Roman"/>
          <w:bCs/>
          <w:iCs/>
        </w:rPr>
        <w:t>Agreement</w:t>
      </w:r>
      <w:r w:rsidRPr="00982449">
        <w:rPr>
          <w:rStyle w:val="Hyperlink"/>
          <w:rFonts w:ascii="Times New Roman" w:eastAsia="Calibri" w:hAnsi="Times New Roman" w:cs="Times New Roman"/>
          <w:bCs/>
          <w:iCs/>
          <w:u w:val="none"/>
        </w:rPr>
        <w:t xml:space="preserve"> </w:t>
      </w:r>
      <w:r w:rsidRPr="00982449">
        <w:rPr>
          <w:rFonts w:ascii="Times New Roman" w:hAnsi="Times New Roman" w:cs="Times New Roman"/>
        </w:rPr>
        <w:t>and Political Declaration [2019] OJ C384 I/01</w:t>
      </w:r>
    </w:p>
  </w:footnote>
  <w:footnote w:id="8">
    <w:p w14:paraId="26AF0910" w14:textId="0622CF22" w:rsidR="0083397A" w:rsidRPr="00C63F66"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INST.13 TCA states the PC is a forum to resolve disputes at political level. Regarding the Withdrawal Agreement, the UK’s domestic EU (Withdrawal Agreement) Act 2020 states that only a Minister can co-chair the JC (s. </w:t>
      </w:r>
      <w:r w:rsidRPr="009D6E19">
        <w:rPr>
          <w:rFonts w:ascii="Times New Roman" w:hAnsi="Times New Roman" w:cs="Times New Roman"/>
        </w:rPr>
        <w:t xml:space="preserve">34). </w:t>
      </w:r>
    </w:p>
  </w:footnote>
  <w:footnote w:id="9">
    <w:p w14:paraId="4A289CE3" w14:textId="6B9572F3"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‘Brexit forces German logistics group to suspend UK deliveries’ </w:t>
      </w:r>
      <w:r w:rsidRPr="009D6E19">
        <w:rPr>
          <w:rFonts w:ascii="Times New Roman" w:hAnsi="Times New Roman" w:cs="Times New Roman"/>
          <w:i/>
          <w:iCs/>
        </w:rPr>
        <w:t>Financial Times</w:t>
      </w:r>
      <w:r w:rsidRPr="00C63F66">
        <w:rPr>
          <w:rFonts w:ascii="Times New Roman" w:hAnsi="Times New Roman" w:cs="Times New Roman"/>
        </w:rPr>
        <w:t>, 13 January 2021 &lt;</w:t>
      </w:r>
      <w:hyperlink r:id="rId2" w:history="1">
        <w:r w:rsidRPr="004D577C">
          <w:rPr>
            <w:rStyle w:val="Hyperlink"/>
            <w:rFonts w:ascii="Times New Roman" w:hAnsi="Times New Roman" w:cs="Times New Roman"/>
          </w:rPr>
          <w:t>https://www.ft.com/content/27069111-be39-446f-8cf1-ed216400b171</w:t>
        </w:r>
      </w:hyperlink>
      <w:r w:rsidRPr="004D577C">
        <w:rPr>
          <w:rStyle w:val="Hyperlink"/>
          <w:rFonts w:ascii="Times New Roman" w:hAnsi="Times New Roman" w:cs="Times New Roman"/>
        </w:rPr>
        <w:t>&gt;</w:t>
      </w:r>
      <w:r w:rsidRPr="009D6E19">
        <w:rPr>
          <w:rFonts w:ascii="Times New Roman" w:hAnsi="Times New Roman" w:cs="Times New Roman"/>
        </w:rPr>
        <w:t>, ‘One</w:t>
      </w:r>
      <w:r w:rsidRPr="00C63F66">
        <w:rPr>
          <w:rFonts w:ascii="Times New Roman" w:hAnsi="Times New Roman" w:cs="Times New Roman"/>
        </w:rPr>
        <w:t xml:space="preserve"> in 10 lorries turned back at border in post-Brexit chaos’, </w:t>
      </w:r>
      <w:r w:rsidRPr="00982449">
        <w:rPr>
          <w:rFonts w:ascii="Times New Roman" w:hAnsi="Times New Roman" w:cs="Times New Roman"/>
          <w:i/>
          <w:iCs/>
        </w:rPr>
        <w:t>The Telegraph</w:t>
      </w:r>
      <w:r w:rsidRPr="00982449">
        <w:rPr>
          <w:rFonts w:ascii="Times New Roman" w:hAnsi="Times New Roman" w:cs="Times New Roman"/>
        </w:rPr>
        <w:t>, 14 January 2021 &lt;</w:t>
      </w:r>
      <w:hyperlink r:id="rId3" w:history="1">
        <w:r w:rsidRPr="004D577C">
          <w:rPr>
            <w:rStyle w:val="Hyperlink"/>
            <w:rFonts w:ascii="Times New Roman" w:hAnsi="Times New Roman" w:cs="Times New Roman"/>
          </w:rPr>
          <w:t>https://www.telegraph.co.uk/technology/2021/01/14/one-10-deliveries-uk-eu-turned-back-border-amid-post-brexit/</w:t>
        </w:r>
      </w:hyperlink>
      <w:r w:rsidRPr="004D577C">
        <w:rPr>
          <w:rStyle w:val="Hyperlink"/>
          <w:rFonts w:ascii="Times New Roman" w:hAnsi="Times New Roman" w:cs="Times New Roman"/>
        </w:rPr>
        <w:t>&gt;</w:t>
      </w:r>
      <w:r w:rsidRPr="009D6E19">
        <w:rPr>
          <w:rFonts w:ascii="Times New Roman" w:hAnsi="Times New Roman" w:cs="Times New Roman"/>
        </w:rPr>
        <w:t xml:space="preserve">, '’Absolute carnage': EU hauliers reject UK jobs over Brexit rules’ </w:t>
      </w:r>
      <w:r w:rsidRPr="00C63F66">
        <w:rPr>
          <w:rFonts w:ascii="Times New Roman" w:hAnsi="Times New Roman" w:cs="Times New Roman"/>
          <w:i/>
          <w:iCs/>
        </w:rPr>
        <w:t>The Guardian</w:t>
      </w:r>
      <w:r w:rsidRPr="00982449">
        <w:rPr>
          <w:rFonts w:ascii="Times New Roman" w:hAnsi="Times New Roman" w:cs="Times New Roman"/>
        </w:rPr>
        <w:t>, 20 January 2021 &lt;</w:t>
      </w:r>
      <w:hyperlink r:id="rId4" w:history="1">
        <w:r w:rsidRPr="004D577C">
          <w:rPr>
            <w:rStyle w:val="Hyperlink"/>
            <w:rFonts w:ascii="Times New Roman" w:hAnsi="Times New Roman" w:cs="Times New Roman"/>
          </w:rPr>
          <w:t>https://www.theguardian.com/politics/2021/jan/20/absolute-carnage-eu-hauliers-reject-uk-jobs-over-brexit-rules</w:t>
        </w:r>
      </w:hyperlink>
      <w:r w:rsidRPr="004D577C">
        <w:rPr>
          <w:rFonts w:ascii="Times New Roman" w:hAnsi="Times New Roman" w:cs="Times New Roman"/>
        </w:rPr>
        <w:t xml:space="preserve">&gt; </w:t>
      </w:r>
    </w:p>
  </w:footnote>
  <w:footnote w:id="10">
    <w:p w14:paraId="13179279" w14:textId="278E5767" w:rsidR="0083397A" w:rsidRPr="004D577C" w:rsidRDefault="0083397A" w:rsidP="00057F58">
      <w:pPr>
        <w:pStyle w:val="FootnoteText"/>
        <w:rPr>
          <w:rFonts w:ascii="Times New Roman" w:hAnsi="Times New Roman" w:cs="Times New Roman"/>
          <w:i/>
          <w:i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HM Government, </w:t>
      </w:r>
      <w:r w:rsidRPr="009D6E19">
        <w:rPr>
          <w:rFonts w:ascii="Times New Roman" w:hAnsi="Times New Roman" w:cs="Times New Roman"/>
          <w:i/>
          <w:iCs/>
        </w:rPr>
        <w:t xml:space="preserve">The Future Relationship between the </w:t>
      </w:r>
      <w:proofErr w:type="gramStart"/>
      <w:r w:rsidRPr="009D6E19">
        <w:rPr>
          <w:rFonts w:ascii="Times New Roman" w:hAnsi="Times New Roman" w:cs="Times New Roman"/>
          <w:i/>
          <w:iCs/>
        </w:rPr>
        <w:t>UK</w:t>
      </w:r>
      <w:proofErr w:type="gramEnd"/>
      <w:r w:rsidRPr="009D6E19">
        <w:rPr>
          <w:rFonts w:ascii="Times New Roman" w:hAnsi="Times New Roman" w:cs="Times New Roman"/>
          <w:i/>
          <w:iCs/>
        </w:rPr>
        <w:t xml:space="preserve"> and the EU</w:t>
      </w:r>
      <w:r w:rsidRPr="00C63F66">
        <w:rPr>
          <w:rFonts w:ascii="Times New Roman" w:hAnsi="Times New Roman" w:cs="Times New Roman"/>
        </w:rPr>
        <w:t xml:space="preserve"> (White Paper, Cm 9593, July 201</w:t>
      </w:r>
      <w:r w:rsidRPr="00982449">
        <w:rPr>
          <w:rFonts w:ascii="Times New Roman" w:hAnsi="Times New Roman" w:cs="Times New Roman"/>
        </w:rPr>
        <w:t>8), p</w:t>
      </w:r>
      <w:r w:rsidRPr="004D577C">
        <w:rPr>
          <w:rFonts w:ascii="Times New Roman" w:hAnsi="Times New Roman" w:cs="Times New Roman"/>
        </w:rPr>
        <w:t xml:space="preserve"> 2</w:t>
      </w:r>
    </w:p>
  </w:footnote>
  <w:footnote w:id="11">
    <w:p w14:paraId="2F479C5F" w14:textId="3D99B5A5"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9D6E19">
        <w:rPr>
          <w:rFonts w:ascii="Times New Roman" w:hAnsi="Times New Roman" w:cs="Times New Roman"/>
        </w:rPr>
        <w:t xml:space="preserve">See also </w:t>
      </w:r>
      <w:r w:rsidR="00F44CF2" w:rsidRPr="00C63F66">
        <w:rPr>
          <w:rFonts w:ascii="Times New Roman" w:hAnsi="Times New Roman" w:cs="Times New Roman"/>
        </w:rPr>
        <w:t xml:space="preserve">Franklin, </w:t>
      </w:r>
      <w:r w:rsidRPr="00982449">
        <w:rPr>
          <w:rFonts w:ascii="Times New Roman" w:hAnsi="Times New Roman" w:cs="Times New Roman"/>
        </w:rPr>
        <w:t>Trondal</w:t>
      </w:r>
      <w:r w:rsidR="00F44CF2" w:rsidRPr="00982449">
        <w:rPr>
          <w:rFonts w:ascii="Times New Roman" w:hAnsi="Times New Roman" w:cs="Times New Roman"/>
        </w:rPr>
        <w:t>, and Ott and Pirker</w:t>
      </w:r>
      <w:r w:rsidRPr="00982449">
        <w:rPr>
          <w:rFonts w:ascii="Times New Roman" w:hAnsi="Times New Roman" w:cs="Times New Roman"/>
        </w:rPr>
        <w:t xml:space="preserve"> in this volume regarding Norway</w:t>
      </w:r>
      <w:r w:rsidR="00F44CF2" w:rsidRPr="00982449">
        <w:rPr>
          <w:rFonts w:ascii="Times New Roman" w:hAnsi="Times New Roman" w:cs="Times New Roman"/>
        </w:rPr>
        <w:t xml:space="preserve"> and Switzerland</w:t>
      </w:r>
      <w:r w:rsidR="004051E7" w:rsidRPr="004D577C">
        <w:rPr>
          <w:rFonts w:ascii="Times New Roman" w:hAnsi="Times New Roman" w:cs="Times New Roman"/>
        </w:rPr>
        <w:t>;</w:t>
      </w:r>
      <w:r w:rsidRPr="004D577C">
        <w:rPr>
          <w:rFonts w:ascii="Times New Roman" w:hAnsi="Times New Roman" w:cs="Times New Roman"/>
        </w:rPr>
        <w:t xml:space="preserve"> Ben Rosamond ‘Brexit and the </w:t>
      </w:r>
      <w:r w:rsidR="00104BD5" w:rsidRPr="004D577C">
        <w:rPr>
          <w:rFonts w:ascii="Times New Roman" w:hAnsi="Times New Roman" w:cs="Times New Roman"/>
        </w:rPr>
        <w:t>P</w:t>
      </w:r>
      <w:r w:rsidRPr="004D577C">
        <w:rPr>
          <w:rFonts w:ascii="Times New Roman" w:hAnsi="Times New Roman" w:cs="Times New Roman"/>
        </w:rPr>
        <w:t xml:space="preserve">roblem of European </w:t>
      </w:r>
      <w:r w:rsidR="00104BD5" w:rsidRPr="004D577C">
        <w:rPr>
          <w:rFonts w:ascii="Times New Roman" w:hAnsi="Times New Roman" w:cs="Times New Roman"/>
        </w:rPr>
        <w:t>D</w:t>
      </w:r>
      <w:r w:rsidRPr="004D577C">
        <w:rPr>
          <w:rFonts w:ascii="Times New Roman" w:hAnsi="Times New Roman" w:cs="Times New Roman"/>
        </w:rPr>
        <w:t>isintegration’ (2016) 12 JCER 865, 865</w:t>
      </w:r>
    </w:p>
  </w:footnote>
  <w:footnote w:id="12">
    <w:p w14:paraId="691A3880" w14:textId="5F1E4F07"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Alan Dashwood ‘The Withdrawal Agreement: </w:t>
      </w:r>
      <w:r w:rsidR="00672B18" w:rsidRPr="009D6E19">
        <w:rPr>
          <w:rFonts w:ascii="Times New Roman" w:hAnsi="Times New Roman" w:cs="Times New Roman"/>
        </w:rPr>
        <w:t>C</w:t>
      </w:r>
      <w:r w:rsidRPr="00C63F66">
        <w:rPr>
          <w:rFonts w:ascii="Times New Roman" w:hAnsi="Times New Roman" w:cs="Times New Roman"/>
        </w:rPr>
        <w:t xml:space="preserve">ommon </w:t>
      </w:r>
      <w:r w:rsidR="00672B18" w:rsidRPr="00C63F66">
        <w:rPr>
          <w:rFonts w:ascii="Times New Roman" w:hAnsi="Times New Roman" w:cs="Times New Roman"/>
        </w:rPr>
        <w:t>P</w:t>
      </w:r>
      <w:r w:rsidRPr="00C63F66">
        <w:rPr>
          <w:rFonts w:ascii="Times New Roman" w:hAnsi="Times New Roman" w:cs="Times New Roman"/>
        </w:rPr>
        <w:t xml:space="preserve">rovisions, </w:t>
      </w:r>
      <w:r w:rsidR="00672B18" w:rsidRPr="00C63F66">
        <w:rPr>
          <w:rFonts w:ascii="Times New Roman" w:hAnsi="Times New Roman" w:cs="Times New Roman"/>
        </w:rPr>
        <w:t>G</w:t>
      </w:r>
      <w:r w:rsidRPr="00C63F66">
        <w:rPr>
          <w:rFonts w:ascii="Times New Roman" w:hAnsi="Times New Roman" w:cs="Times New Roman"/>
        </w:rPr>
        <w:t xml:space="preserve">overnance and </w:t>
      </w:r>
      <w:r w:rsidR="00672B18" w:rsidRPr="00982449">
        <w:rPr>
          <w:rFonts w:ascii="Times New Roman" w:hAnsi="Times New Roman" w:cs="Times New Roman"/>
        </w:rPr>
        <w:t>D</w:t>
      </w:r>
      <w:r w:rsidRPr="00982449">
        <w:rPr>
          <w:rFonts w:ascii="Times New Roman" w:hAnsi="Times New Roman" w:cs="Times New Roman"/>
        </w:rPr>
        <w:t xml:space="preserve">ispute </w:t>
      </w:r>
      <w:r w:rsidR="00672B18" w:rsidRPr="00982449">
        <w:rPr>
          <w:rFonts w:ascii="Times New Roman" w:hAnsi="Times New Roman" w:cs="Times New Roman"/>
        </w:rPr>
        <w:t>S</w:t>
      </w:r>
      <w:r w:rsidRPr="00982449">
        <w:rPr>
          <w:rFonts w:ascii="Times New Roman" w:hAnsi="Times New Roman" w:cs="Times New Roman"/>
        </w:rPr>
        <w:t xml:space="preserve">ettlement’ (2020) 45 ELRev 183, Michael Dougan ‘So </w:t>
      </w:r>
      <w:r w:rsidR="00672B18" w:rsidRPr="004D577C">
        <w:rPr>
          <w:rFonts w:ascii="Times New Roman" w:hAnsi="Times New Roman" w:cs="Times New Roman"/>
        </w:rPr>
        <w:t>L</w:t>
      </w:r>
      <w:r w:rsidRPr="004D577C">
        <w:rPr>
          <w:rFonts w:ascii="Times New Roman" w:hAnsi="Times New Roman" w:cs="Times New Roman"/>
        </w:rPr>
        <w:t xml:space="preserve">ong, </w:t>
      </w:r>
      <w:r w:rsidR="00672B18" w:rsidRPr="004D577C">
        <w:rPr>
          <w:rFonts w:ascii="Times New Roman" w:hAnsi="Times New Roman" w:cs="Times New Roman"/>
        </w:rPr>
        <w:t>F</w:t>
      </w:r>
      <w:r w:rsidRPr="004D577C">
        <w:rPr>
          <w:rFonts w:ascii="Times New Roman" w:hAnsi="Times New Roman" w:cs="Times New Roman"/>
        </w:rPr>
        <w:t xml:space="preserve">arewell, </w:t>
      </w:r>
      <w:r w:rsidR="00C82282" w:rsidRPr="004D577C">
        <w:rPr>
          <w:rFonts w:ascii="Times New Roman" w:hAnsi="Times New Roman" w:cs="Times New Roman"/>
        </w:rPr>
        <w:t>A</w:t>
      </w:r>
      <w:r w:rsidRPr="004D577C">
        <w:rPr>
          <w:rFonts w:ascii="Times New Roman" w:hAnsi="Times New Roman" w:cs="Times New Roman"/>
        </w:rPr>
        <w:t xml:space="preserve">uf </w:t>
      </w:r>
      <w:r w:rsidR="00C82282" w:rsidRPr="004D577C">
        <w:rPr>
          <w:rFonts w:ascii="Times New Roman" w:hAnsi="Times New Roman" w:cs="Times New Roman"/>
        </w:rPr>
        <w:t>W</w:t>
      </w:r>
      <w:r w:rsidRPr="004D577C">
        <w:rPr>
          <w:rFonts w:ascii="Times New Roman" w:hAnsi="Times New Roman" w:cs="Times New Roman"/>
        </w:rPr>
        <w:t xml:space="preserve">iedersehen, </w:t>
      </w:r>
      <w:r w:rsidR="00C82282" w:rsidRPr="004D577C">
        <w:rPr>
          <w:rFonts w:ascii="Times New Roman" w:hAnsi="Times New Roman" w:cs="Times New Roman"/>
        </w:rPr>
        <w:t>G</w:t>
      </w:r>
      <w:r w:rsidRPr="004D577C">
        <w:rPr>
          <w:rFonts w:ascii="Times New Roman" w:hAnsi="Times New Roman" w:cs="Times New Roman"/>
        </w:rPr>
        <w:t xml:space="preserve">oodbye: The UK’s </w:t>
      </w:r>
      <w:r w:rsidR="00C82282" w:rsidRPr="004D577C">
        <w:rPr>
          <w:rFonts w:ascii="Times New Roman" w:hAnsi="Times New Roman" w:cs="Times New Roman"/>
        </w:rPr>
        <w:t>W</w:t>
      </w:r>
      <w:r w:rsidRPr="004D577C">
        <w:rPr>
          <w:rFonts w:ascii="Times New Roman" w:hAnsi="Times New Roman" w:cs="Times New Roman"/>
        </w:rPr>
        <w:t xml:space="preserve">ithdrawal </w:t>
      </w:r>
      <w:r w:rsidR="00C82282" w:rsidRPr="004D577C">
        <w:rPr>
          <w:rFonts w:ascii="Times New Roman" w:hAnsi="Times New Roman" w:cs="Times New Roman"/>
        </w:rPr>
        <w:t>P</w:t>
      </w:r>
      <w:r w:rsidRPr="004D577C">
        <w:rPr>
          <w:rFonts w:ascii="Times New Roman" w:hAnsi="Times New Roman" w:cs="Times New Roman"/>
        </w:rPr>
        <w:t>ackage’ (2020) 57 CMLRev 631</w:t>
      </w:r>
    </w:p>
  </w:footnote>
  <w:footnote w:id="13">
    <w:p w14:paraId="0091492A" w14:textId="77777777" w:rsidR="0083397A" w:rsidRPr="00C63F66"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EU (Withdrawal Agreement) </w:t>
      </w:r>
      <w:r w:rsidRPr="009D6E19">
        <w:rPr>
          <w:rFonts w:ascii="Times New Roman" w:hAnsi="Times New Roman" w:cs="Times New Roman"/>
        </w:rPr>
        <w:t>Act 2020, s 5</w:t>
      </w:r>
    </w:p>
  </w:footnote>
  <w:footnote w:id="14">
    <w:p w14:paraId="2C7BFAF5" w14:textId="3FFF9DFF" w:rsidR="0083397A" w:rsidRPr="00C63F66"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164(3) WA </w:t>
      </w:r>
      <w:r w:rsidRPr="009D6E19">
        <w:rPr>
          <w:rFonts w:ascii="Times New Roman" w:hAnsi="Times New Roman" w:cs="Times New Roman"/>
        </w:rPr>
        <w:t>(n 6)</w:t>
      </w:r>
    </w:p>
  </w:footnote>
  <w:footnote w:id="15">
    <w:p w14:paraId="2C38562A" w14:textId="77777777"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On citizens’ rights, financial provisions, other separation provisions, and the geographical subcommittees on Northern Ireland, Gibraltar, and the sovereign base areas in Cyprus: Art 165 WA</w:t>
      </w:r>
    </w:p>
  </w:footnote>
  <w:footnote w:id="16">
    <w:p w14:paraId="69176E7D" w14:textId="705B3A08" w:rsidR="006F4E16" w:rsidRPr="00C63F66" w:rsidRDefault="006F4E16">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00350C24" w:rsidRPr="009D6E19">
        <w:rPr>
          <w:rFonts w:ascii="Times New Roman" w:hAnsi="Times New Roman" w:cs="Times New Roman"/>
        </w:rPr>
        <w:t>Art 165(3) WA</w:t>
      </w:r>
    </w:p>
  </w:footnote>
  <w:footnote w:id="17">
    <w:p w14:paraId="685750C7" w14:textId="667C3087" w:rsidR="00D51432" w:rsidRPr="00EE12BC" w:rsidRDefault="00D51432">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00BF5079" w:rsidRPr="009D6E19">
        <w:rPr>
          <w:rFonts w:ascii="Times New Roman" w:hAnsi="Times New Roman" w:cs="Times New Roman"/>
        </w:rPr>
        <w:t>Joint statement following the meeting of the Specialised Committee on Citizens’ Rights between the UK Government and European Commission</w:t>
      </w:r>
      <w:r w:rsidR="00BF5079" w:rsidRPr="00982449">
        <w:rPr>
          <w:rFonts w:ascii="Times New Roman" w:hAnsi="Times New Roman" w:cs="Times New Roman"/>
        </w:rPr>
        <w:t>, 23 February 2021, available at &lt;</w:t>
      </w:r>
      <w:hyperlink r:id="rId5" w:history="1">
        <w:r w:rsidR="00BF5079" w:rsidRPr="009D6E19">
          <w:rPr>
            <w:rStyle w:val="Hyperlink"/>
            <w:rFonts w:ascii="Times New Roman" w:hAnsi="Times New Roman" w:cs="Times New Roman"/>
          </w:rPr>
          <w:t>https://ec.europa.eu/info/publications/joint-statement-following-meeting-specialised-committee-citizens-rights-</w:t>
        </w:r>
        <w:r w:rsidR="00BF5079" w:rsidRPr="00AA6127">
          <w:rPr>
            <w:rStyle w:val="Hyperlink"/>
            <w:rFonts w:ascii="Times New Roman" w:hAnsi="Times New Roman" w:cs="Times New Roman"/>
          </w:rPr>
          <w:t>between-uk-government-and-european-commission-video-conference_en</w:t>
        </w:r>
      </w:hyperlink>
      <w:r w:rsidR="00BF5079" w:rsidRPr="004D577C">
        <w:rPr>
          <w:rFonts w:ascii="Times New Roman" w:hAnsi="Times New Roman" w:cs="Times New Roman"/>
        </w:rPr>
        <w:t>&gt;</w:t>
      </w:r>
      <w:r w:rsidR="00705620" w:rsidRPr="009D6E19">
        <w:rPr>
          <w:rFonts w:ascii="Times New Roman" w:hAnsi="Times New Roman" w:cs="Times New Roman"/>
        </w:rPr>
        <w:t xml:space="preserve"> accessed 26 March 2021</w:t>
      </w:r>
    </w:p>
  </w:footnote>
  <w:footnote w:id="18">
    <w:p w14:paraId="4C7B1794" w14:textId="1B0E6E6C" w:rsidR="00C271C1" w:rsidRPr="00AA6127" w:rsidRDefault="00C271C1">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00D13C57" w:rsidRPr="009D6E19">
        <w:rPr>
          <w:rFonts w:ascii="Times New Roman" w:hAnsi="Times New Roman" w:cs="Times New Roman"/>
        </w:rPr>
        <w:t>Statement following the second meeting of the Specialised Committee on Gibraltar between the European Union and the UK Governmen</w:t>
      </w:r>
      <w:r w:rsidR="00D13C57" w:rsidRPr="00982449">
        <w:rPr>
          <w:rFonts w:ascii="Times New Roman" w:hAnsi="Times New Roman" w:cs="Times New Roman"/>
        </w:rPr>
        <w:t xml:space="preserve">t, 18 November 2020, available at </w:t>
      </w:r>
      <w:r w:rsidR="001F2639" w:rsidRPr="00982449">
        <w:rPr>
          <w:rFonts w:ascii="Times New Roman" w:hAnsi="Times New Roman" w:cs="Times New Roman"/>
        </w:rPr>
        <w:t>&lt;</w:t>
      </w:r>
      <w:hyperlink r:id="rId6" w:history="1">
        <w:r w:rsidR="001F2639" w:rsidRPr="009D6E19">
          <w:rPr>
            <w:rStyle w:val="Hyperlink"/>
            <w:rFonts w:ascii="Times New Roman" w:hAnsi="Times New Roman" w:cs="Times New Roman"/>
          </w:rPr>
          <w:t>https://ec.europa.eu/</w:t>
        </w:r>
        <w:r w:rsidR="001F2639" w:rsidRPr="00AA6127">
          <w:rPr>
            <w:rStyle w:val="Hyperlink"/>
            <w:rFonts w:ascii="Times New Roman" w:hAnsi="Times New Roman" w:cs="Times New Roman"/>
          </w:rPr>
          <w:t>info/publications/statement-following-second-meeting-specialised-committee-gibraltar-between-european-union-and-uk-government_en</w:t>
        </w:r>
      </w:hyperlink>
      <w:r w:rsidR="001F2639" w:rsidRPr="004D577C">
        <w:rPr>
          <w:rFonts w:ascii="Times New Roman" w:hAnsi="Times New Roman" w:cs="Times New Roman"/>
        </w:rPr>
        <w:t>&gt;</w:t>
      </w:r>
      <w:r w:rsidR="00D13C57" w:rsidRPr="009D6E19">
        <w:rPr>
          <w:rFonts w:ascii="Times New Roman" w:hAnsi="Times New Roman" w:cs="Times New Roman"/>
        </w:rPr>
        <w:t xml:space="preserve"> accessed 26 March 2021</w:t>
      </w:r>
    </w:p>
  </w:footnote>
  <w:footnote w:id="19">
    <w:p w14:paraId="7D98F331" w14:textId="139A1504"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164(5) WA</w:t>
      </w:r>
    </w:p>
  </w:footnote>
  <w:footnote w:id="20">
    <w:p w14:paraId="560934E5" w14:textId="54D02145"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164(5)(f) WA</w:t>
      </w:r>
    </w:p>
  </w:footnote>
  <w:footnote w:id="21">
    <w:p w14:paraId="649E0281" w14:textId="0F78DBD0"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169 WA</w:t>
      </w:r>
    </w:p>
  </w:footnote>
  <w:footnote w:id="22">
    <w:p w14:paraId="6C369657" w14:textId="29AAC3C2"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180-181 WA</w:t>
      </w:r>
    </w:p>
  </w:footnote>
  <w:footnote w:id="23">
    <w:p w14:paraId="6F20B40E" w14:textId="0437FCC8"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174 WA</w:t>
      </w:r>
    </w:p>
  </w:footnote>
  <w:footnote w:id="24">
    <w:p w14:paraId="1AFB74AF" w14:textId="34634849"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Opinion 1/17</w:t>
      </w:r>
      <w:r w:rsidRPr="009D6E19">
        <w:rPr>
          <w:rFonts w:ascii="Times New Roman" w:hAnsi="Times New Roman" w:cs="Times New Roman"/>
          <w:i/>
          <w:iCs/>
        </w:rPr>
        <w:t xml:space="preserve"> CETA </w:t>
      </w:r>
      <w:proofErr w:type="gramStart"/>
      <w:r w:rsidRPr="00AA6127">
        <w:rPr>
          <w:rFonts w:ascii="Times New Roman" w:hAnsi="Times New Roman" w:cs="Times New Roman"/>
        </w:rPr>
        <w:t>C:2019:341</w:t>
      </w:r>
      <w:proofErr w:type="gramEnd"/>
      <w:r w:rsidRPr="00C63F66">
        <w:rPr>
          <w:rFonts w:ascii="Times New Roman" w:hAnsi="Times New Roman" w:cs="Times New Roman"/>
          <w:i/>
          <w:iCs/>
        </w:rPr>
        <w:t xml:space="preserve">, </w:t>
      </w:r>
      <w:r w:rsidRPr="00982449">
        <w:rPr>
          <w:rFonts w:ascii="Times New Roman" w:hAnsi="Times New Roman" w:cs="Times New Roman"/>
        </w:rPr>
        <w:t>Case C-284/16</w:t>
      </w:r>
      <w:r w:rsidRPr="00982449">
        <w:rPr>
          <w:rFonts w:ascii="Times New Roman" w:hAnsi="Times New Roman" w:cs="Times New Roman"/>
          <w:i/>
          <w:iCs/>
        </w:rPr>
        <w:t xml:space="preserve"> Achmea </w:t>
      </w:r>
      <w:r w:rsidRPr="00982449">
        <w:rPr>
          <w:rFonts w:ascii="Times New Roman" w:hAnsi="Times New Roman" w:cs="Times New Roman"/>
        </w:rPr>
        <w:t>C:2018:158</w:t>
      </w:r>
    </w:p>
  </w:footnote>
  <w:footnote w:id="25">
    <w:p w14:paraId="7AB8C6BB" w14:textId="51586552"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175-175 WA</w:t>
      </w:r>
    </w:p>
  </w:footnote>
  <w:footnote w:id="26">
    <w:p w14:paraId="32AC06CB" w14:textId="49EED535"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177-179 WA</w:t>
      </w:r>
    </w:p>
  </w:footnote>
  <w:footnote w:id="27">
    <w:p w14:paraId="16CF6705" w14:textId="694C2760" w:rsidR="0083397A" w:rsidRPr="00982449" w:rsidRDefault="0083397A" w:rsidP="00057F58">
      <w:pPr>
        <w:spacing w:after="0" w:line="240" w:lineRule="auto"/>
        <w:rPr>
          <w:rFonts w:ascii="Times New Roman" w:hAnsi="Times New Roman" w:cs="Times New Roman"/>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Kenneth Armstrong ‘Regulatory </w:t>
      </w:r>
      <w:r w:rsidR="00C82282" w:rsidRPr="00AA6127">
        <w:rPr>
          <w:rFonts w:ascii="Times New Roman" w:hAnsi="Times New Roman" w:cs="Times New Roman"/>
          <w:sz w:val="20"/>
          <w:szCs w:val="20"/>
        </w:rPr>
        <w:t>A</w:t>
      </w:r>
      <w:r w:rsidRPr="00C63F66">
        <w:rPr>
          <w:rFonts w:ascii="Times New Roman" w:hAnsi="Times New Roman" w:cs="Times New Roman"/>
          <w:sz w:val="20"/>
          <w:szCs w:val="20"/>
        </w:rPr>
        <w:t xml:space="preserve">lignment and </w:t>
      </w:r>
      <w:r w:rsidR="00C82282" w:rsidRPr="00982449">
        <w:rPr>
          <w:rFonts w:ascii="Times New Roman" w:hAnsi="Times New Roman" w:cs="Times New Roman"/>
          <w:sz w:val="20"/>
          <w:szCs w:val="20"/>
        </w:rPr>
        <w:t>D</w:t>
      </w:r>
      <w:r w:rsidRPr="00982449">
        <w:rPr>
          <w:rFonts w:ascii="Times New Roman" w:hAnsi="Times New Roman" w:cs="Times New Roman"/>
          <w:sz w:val="20"/>
          <w:szCs w:val="20"/>
        </w:rPr>
        <w:t xml:space="preserve">ivergence after Brexit’ (2018) 25 </w:t>
      </w:r>
      <w:r w:rsidR="00C82282" w:rsidRPr="00982449">
        <w:rPr>
          <w:rFonts w:ascii="Times New Roman" w:hAnsi="Times New Roman" w:cs="Times New Roman"/>
          <w:sz w:val="20"/>
          <w:szCs w:val="20"/>
        </w:rPr>
        <w:t>JEPP</w:t>
      </w:r>
      <w:r w:rsidRPr="00982449">
        <w:rPr>
          <w:rFonts w:ascii="Times New Roman" w:hAnsi="Times New Roman" w:cs="Times New Roman"/>
          <w:sz w:val="20"/>
          <w:szCs w:val="20"/>
        </w:rPr>
        <w:t xml:space="preserve"> 1099, 1112 </w:t>
      </w:r>
      <w:bookmarkStart w:id="2" w:name="_Hlk64454675"/>
    </w:p>
    <w:bookmarkEnd w:id="2"/>
  </w:footnote>
  <w:footnote w:id="28">
    <w:p w14:paraId="6A452BAB" w14:textId="1DF7664B"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158 WA</w:t>
      </w:r>
    </w:p>
  </w:footnote>
  <w:footnote w:id="29">
    <w:p w14:paraId="60EC3088" w14:textId="0490163C"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AA6127">
        <w:rPr>
          <w:rFonts w:ascii="Times New Roman" w:eastAsia="Calibri" w:hAnsi="Times New Roman" w:cs="Times New Roman"/>
          <w:bCs/>
        </w:rPr>
        <w:t xml:space="preserve">Art </w:t>
      </w:r>
      <w:r w:rsidRPr="00C63F66">
        <w:rPr>
          <w:rFonts w:ascii="Times New Roman" w:hAnsi="Times New Roman" w:cs="Times New Roman"/>
          <w:iCs/>
        </w:rPr>
        <w:t xml:space="preserve">159 WA. The </w:t>
      </w:r>
      <w:r w:rsidRPr="00982449">
        <w:rPr>
          <w:rFonts w:ascii="Times New Roman" w:eastAsia="Calibri" w:hAnsi="Times New Roman" w:cs="Times New Roman"/>
          <w:bCs/>
        </w:rPr>
        <w:t>JC is to decide after 8 years whether the IMA is still needed.</w:t>
      </w:r>
    </w:p>
  </w:footnote>
  <w:footnote w:id="30">
    <w:p w14:paraId="31FE8222" w14:textId="0EAC8508"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92 WA</w:t>
      </w:r>
    </w:p>
  </w:footnote>
  <w:footnote w:id="31">
    <w:p w14:paraId="7BE7BA27" w14:textId="1F4ADAB5"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78 WA</w:t>
      </w:r>
    </w:p>
  </w:footnote>
  <w:footnote w:id="32">
    <w:p w14:paraId="73761861" w14:textId="6034019D"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93 WA</w:t>
      </w:r>
    </w:p>
  </w:footnote>
  <w:footnote w:id="33">
    <w:p w14:paraId="67E522A1" w14:textId="5880F9BF"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86 WA</w:t>
      </w:r>
    </w:p>
  </w:footnote>
  <w:footnote w:id="34">
    <w:p w14:paraId="36062B94" w14:textId="06805BD1"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87 WA</w:t>
      </w:r>
    </w:p>
  </w:footnote>
  <w:footnote w:id="35">
    <w:p w14:paraId="47A4E703" w14:textId="6191469D"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n 2</w:t>
      </w:r>
    </w:p>
  </w:footnote>
  <w:footnote w:id="36">
    <w:p w14:paraId="418A990C"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162 WA</w:t>
      </w:r>
    </w:p>
  </w:footnote>
  <w:footnote w:id="37">
    <w:p w14:paraId="7D1E34E7" w14:textId="77777777" w:rsidR="0083397A" w:rsidRPr="00C63F66"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AA6127">
        <w:rPr>
          <w:rFonts w:ascii="Times New Roman" w:eastAsia="Calibri" w:hAnsi="Times New Roman" w:cs="Times New Roman"/>
          <w:bCs/>
        </w:rPr>
        <w:t>Art 161(3)(b) WA</w:t>
      </w:r>
    </w:p>
  </w:footnote>
  <w:footnote w:id="38">
    <w:p w14:paraId="0AE07011"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163 WA</w:t>
      </w:r>
    </w:p>
  </w:footnote>
  <w:footnote w:id="39">
    <w:p w14:paraId="5F37F040"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90 WA</w:t>
      </w:r>
    </w:p>
  </w:footnote>
  <w:footnote w:id="40">
    <w:p w14:paraId="7F3EBD20" w14:textId="3BA44C19" w:rsidR="0083397A" w:rsidRPr="00982449" w:rsidRDefault="0083397A" w:rsidP="00057F58">
      <w:pPr>
        <w:spacing w:after="0" w:line="240" w:lineRule="auto"/>
        <w:rPr>
          <w:rFonts w:ascii="Times New Roman" w:eastAsia="Calibri" w:hAnsi="Times New Roman" w:cs="Times New Roman"/>
          <w:bCs/>
          <w:iCs/>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w:t>
      </w:r>
      <w:r w:rsidRPr="004D577C">
        <w:rPr>
          <w:rFonts w:ascii="Times New Roman" w:eastAsia="Calibri" w:hAnsi="Times New Roman" w:cs="Times New Roman"/>
          <w:bCs/>
          <w:iCs/>
          <w:sz w:val="20"/>
          <w:szCs w:val="20"/>
        </w:rPr>
        <w:t>Council negotiating mandate</w:t>
      </w:r>
      <w:r w:rsidRPr="004D577C">
        <w:rPr>
          <w:rStyle w:val="Hyperlink"/>
          <w:rFonts w:ascii="Times New Roman" w:eastAsia="Calibri" w:hAnsi="Times New Roman" w:cs="Times New Roman"/>
          <w:bCs/>
          <w:iCs/>
          <w:color w:val="auto"/>
          <w:sz w:val="20"/>
          <w:szCs w:val="20"/>
          <w:u w:val="none"/>
        </w:rPr>
        <w:t xml:space="preserve"> (n 3)</w:t>
      </w:r>
      <w:r w:rsidRPr="00086CA9">
        <w:rPr>
          <w:rFonts w:ascii="Times New Roman" w:eastAsia="Calibri" w:hAnsi="Times New Roman" w:cs="Times New Roman"/>
          <w:bCs/>
          <w:iCs/>
          <w:sz w:val="20"/>
          <w:szCs w:val="20"/>
        </w:rPr>
        <w:t>,</w:t>
      </w:r>
      <w:r w:rsidRPr="0067760F">
        <w:rPr>
          <w:rFonts w:ascii="Times New Roman" w:eastAsia="Calibri" w:hAnsi="Times New Roman" w:cs="Times New Roman"/>
          <w:bCs/>
          <w:iCs/>
          <w:sz w:val="20"/>
          <w:szCs w:val="20"/>
        </w:rPr>
        <w:t xml:space="preserve"> </w:t>
      </w:r>
      <w:r w:rsidRPr="00AA6127">
        <w:rPr>
          <w:rFonts w:ascii="Times New Roman" w:eastAsia="Calibri" w:hAnsi="Times New Roman" w:cs="Times New Roman"/>
          <w:bCs/>
          <w:iCs/>
          <w:sz w:val="20"/>
          <w:szCs w:val="20"/>
        </w:rPr>
        <w:t xml:space="preserve">and </w:t>
      </w:r>
      <w:r w:rsidRPr="00DD6DB0">
        <w:rPr>
          <w:rFonts w:ascii="Times New Roman" w:hAnsi="Times New Roman" w:cs="Times New Roman"/>
          <w:iCs/>
          <w:sz w:val="20"/>
          <w:szCs w:val="20"/>
        </w:rPr>
        <w:t xml:space="preserve">European Commission, Draft text of the Agreement on the New Partnership with the United Kingdom, UKTF (2020) 14, </w:t>
      </w:r>
      <w:r w:rsidRPr="00982449">
        <w:rPr>
          <w:rFonts w:ascii="Times New Roman" w:eastAsia="Calibri" w:hAnsi="Times New Roman" w:cs="Times New Roman"/>
          <w:bCs/>
          <w:iCs/>
          <w:sz w:val="20"/>
          <w:szCs w:val="20"/>
        </w:rPr>
        <w:t>18 March 2020</w:t>
      </w:r>
    </w:p>
  </w:footnote>
  <w:footnote w:id="41">
    <w:p w14:paraId="6C40196F" w14:textId="31E92F6A" w:rsidR="0083397A" w:rsidRPr="004D577C" w:rsidRDefault="0083397A" w:rsidP="00057F58">
      <w:pPr>
        <w:pStyle w:val="FootnoteText"/>
        <w:rPr>
          <w:rFonts w:ascii="Times New Roman" w:hAnsi="Times New Roman" w:cs="Times New Roman"/>
          <w:bCs/>
          <w:i/>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4D577C">
        <w:rPr>
          <w:rFonts w:ascii="Times New Roman" w:hAnsi="Times New Roman" w:cs="Times New Roman"/>
          <w:bCs/>
          <w:i/>
        </w:rPr>
        <w:t xml:space="preserve"> </w:t>
      </w:r>
      <w:r w:rsidR="00E87489" w:rsidRPr="004D577C">
        <w:rPr>
          <w:rFonts w:ascii="Times New Roman" w:hAnsi="Times New Roman" w:cs="Times New Roman"/>
          <w:bCs/>
          <w:iCs/>
        </w:rPr>
        <w:t>T</w:t>
      </w:r>
      <w:r w:rsidR="00323E31" w:rsidRPr="004D577C">
        <w:rPr>
          <w:rFonts w:ascii="Times New Roman" w:hAnsi="Times New Roman" w:cs="Times New Roman"/>
          <w:bCs/>
          <w:iCs/>
        </w:rPr>
        <w:t>he UK’s Approach to Negotiations</w:t>
      </w:r>
      <w:r w:rsidR="00111328" w:rsidRPr="004D577C">
        <w:rPr>
          <w:rFonts w:ascii="Times New Roman" w:hAnsi="Times New Roman" w:cs="Times New Roman"/>
          <w:bCs/>
          <w:iCs/>
        </w:rPr>
        <w:t>,</w:t>
      </w:r>
      <w:r w:rsidR="00E87489" w:rsidRPr="004D577C">
        <w:rPr>
          <w:rFonts w:ascii="Times New Roman" w:hAnsi="Times New Roman" w:cs="Times New Roman"/>
          <w:bCs/>
          <w:iCs/>
        </w:rPr>
        <w:t xml:space="preserve"> </w:t>
      </w:r>
      <w:r w:rsidR="00111328" w:rsidRPr="004D577C">
        <w:rPr>
          <w:rFonts w:ascii="Times New Roman" w:hAnsi="Times New Roman" w:cs="Times New Roman"/>
          <w:bCs/>
          <w:iCs/>
        </w:rPr>
        <w:t xml:space="preserve">February 2020 </w:t>
      </w:r>
      <w:r w:rsidR="00E87489" w:rsidRPr="004D577C">
        <w:rPr>
          <w:rFonts w:ascii="Times New Roman" w:hAnsi="Times New Roman" w:cs="Times New Roman"/>
          <w:bCs/>
          <w:iCs/>
        </w:rPr>
        <w:t>(n 4)</w:t>
      </w:r>
      <w:r w:rsidR="00323E31" w:rsidRPr="004D577C">
        <w:rPr>
          <w:rFonts w:ascii="Times New Roman" w:hAnsi="Times New Roman" w:cs="Times New Roman"/>
          <w:bCs/>
          <w:iCs/>
        </w:rPr>
        <w:t xml:space="preserve">, </w:t>
      </w:r>
      <w:r w:rsidRPr="004D577C">
        <w:rPr>
          <w:rFonts w:ascii="Times New Roman" w:hAnsi="Times New Roman" w:cs="Times New Roman"/>
          <w:bCs/>
          <w:iCs/>
        </w:rPr>
        <w:t>para 6</w:t>
      </w:r>
      <w:r w:rsidR="00F93547" w:rsidRPr="004D577C">
        <w:rPr>
          <w:rFonts w:ascii="Times New Roman" w:hAnsi="Times New Roman" w:cs="Times New Roman"/>
          <w:bCs/>
          <w:iCs/>
        </w:rPr>
        <w:t xml:space="preserve">; </w:t>
      </w:r>
      <w:r w:rsidR="00BC5A35" w:rsidRPr="004D577C">
        <w:rPr>
          <w:rFonts w:ascii="Times New Roman" w:hAnsi="Times New Roman" w:cs="Times New Roman"/>
          <w:bCs/>
          <w:iCs/>
        </w:rPr>
        <w:t>Draft UK-EU Comprehe</w:t>
      </w:r>
      <w:r w:rsidR="00A5163F" w:rsidRPr="004D577C">
        <w:rPr>
          <w:rFonts w:ascii="Times New Roman" w:hAnsi="Times New Roman" w:cs="Times New Roman"/>
          <w:bCs/>
          <w:iCs/>
        </w:rPr>
        <w:t>nsive Free Trade Agreement</w:t>
      </w:r>
      <w:r w:rsidR="006B50E8" w:rsidRPr="004D577C">
        <w:rPr>
          <w:rFonts w:ascii="Times New Roman" w:hAnsi="Times New Roman" w:cs="Times New Roman"/>
          <w:bCs/>
          <w:iCs/>
        </w:rPr>
        <w:t xml:space="preserve">, </w:t>
      </w:r>
      <w:r w:rsidR="00CD003F" w:rsidRPr="004D577C">
        <w:rPr>
          <w:rFonts w:ascii="Times New Roman" w:hAnsi="Times New Roman" w:cs="Times New Roman"/>
          <w:bCs/>
          <w:iCs/>
        </w:rPr>
        <w:t xml:space="preserve">19 May 2020, </w:t>
      </w:r>
      <w:r w:rsidR="006B50E8" w:rsidRPr="004D577C">
        <w:rPr>
          <w:rFonts w:ascii="Times New Roman" w:hAnsi="Times New Roman" w:cs="Times New Roman"/>
          <w:bCs/>
          <w:iCs/>
        </w:rPr>
        <w:t>available at &lt;https://www.gov.uk/government/publications/our-approach-to-the-future-relationship-with-the-eu&gt; accessed 26 March 2021</w:t>
      </w:r>
    </w:p>
  </w:footnote>
  <w:footnote w:id="42">
    <w:p w14:paraId="0439BDC8" w14:textId="2661C745"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INST.1 TCA</w:t>
      </w:r>
    </w:p>
  </w:footnote>
  <w:footnote w:id="43">
    <w:p w14:paraId="78E41470" w14:textId="54BFC492"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INST.2(1) TCA. The Trade Committees are on goods, customs cooperation and rules of origin; sanitary and phytosanitary measures; technical barriers to trade; services, investment and digital trade; intellectual property; public procurement; regulatory </w:t>
      </w:r>
      <w:r w:rsidRPr="00086CA9">
        <w:rPr>
          <w:rFonts w:ascii="Times New Roman" w:hAnsi="Times New Roman" w:cs="Times New Roman"/>
        </w:rPr>
        <w:t xml:space="preserve">cooperation; level playing field; and administrative cooperation in VAT and recovery of taxes and duties. The other sectoral committees are on energy, air transport, aviation safety, road transport, social security coordination, fisheries, law enforcement </w:t>
      </w:r>
      <w:r w:rsidRPr="00982449">
        <w:rPr>
          <w:rFonts w:ascii="Times New Roman" w:hAnsi="Times New Roman" w:cs="Times New Roman"/>
        </w:rPr>
        <w:t xml:space="preserve">and judicial cooperation, and Union programmes </w:t>
      </w:r>
    </w:p>
  </w:footnote>
  <w:footnote w:id="44">
    <w:p w14:paraId="35B3F4DA" w14:textId="59CCB69F"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INST.3 TCA. The</w:t>
      </w:r>
      <w:r w:rsidR="00171D4F" w:rsidRPr="004D577C">
        <w:rPr>
          <w:rFonts w:ascii="Times New Roman" w:hAnsi="Times New Roman" w:cs="Times New Roman"/>
        </w:rPr>
        <w:t xml:space="preserve"> working groups</w:t>
      </w:r>
      <w:r w:rsidRPr="004D577C">
        <w:rPr>
          <w:rFonts w:ascii="Times New Roman" w:hAnsi="Times New Roman" w:cs="Times New Roman"/>
        </w:rPr>
        <w:t xml:space="preserve"> are on organic products, motor vehicles and parts, medicinal products, and social security coordination.</w:t>
      </w:r>
    </w:p>
  </w:footnote>
  <w:footnote w:id="45">
    <w:p w14:paraId="67E043C7" w14:textId="45A46AE5"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INST.1(4)(g) TCA</w:t>
      </w:r>
    </w:p>
  </w:footnote>
  <w:footnote w:id="46">
    <w:p w14:paraId="67D57A74" w14:textId="05DFC853" w:rsidR="00935C5E" w:rsidRPr="004D577C" w:rsidRDefault="00935C5E">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INST.2</w:t>
      </w:r>
      <w:r w:rsidR="0081054C" w:rsidRPr="004D577C">
        <w:rPr>
          <w:rFonts w:ascii="Times New Roman" w:hAnsi="Times New Roman" w:cs="Times New Roman"/>
        </w:rPr>
        <w:t>(5)-(7)</w:t>
      </w:r>
      <w:r w:rsidR="0028323D" w:rsidRPr="004D577C">
        <w:rPr>
          <w:rFonts w:ascii="Times New Roman" w:hAnsi="Times New Roman" w:cs="Times New Roman"/>
        </w:rPr>
        <w:t xml:space="preserve"> TCA</w:t>
      </w:r>
    </w:p>
  </w:footnote>
  <w:footnote w:id="47">
    <w:p w14:paraId="11DB3382" w14:textId="1909FFCD"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INST.36 TCA</w:t>
      </w:r>
    </w:p>
  </w:footnote>
  <w:footnote w:id="48">
    <w:p w14:paraId="2FBF0567" w14:textId="77777777" w:rsidR="00A57B5C" w:rsidRPr="004D577C" w:rsidRDefault="00A57B5C" w:rsidP="00A57B5C">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FINPROV.8 TCA</w:t>
      </w:r>
    </w:p>
  </w:footnote>
  <w:footnote w:id="49">
    <w:p w14:paraId="6E93BBF4" w14:textId="46293E72" w:rsidR="0083397A" w:rsidRPr="004D577C" w:rsidRDefault="0083397A" w:rsidP="00057F58">
      <w:pPr>
        <w:tabs>
          <w:tab w:val="center" w:pos="4513"/>
        </w:tabs>
        <w:spacing w:after="0" w:line="240" w:lineRule="auto"/>
        <w:rPr>
          <w:rFonts w:ascii="Times New Roman" w:eastAsia="Calibri" w:hAnsi="Times New Roman" w:cs="Times New Roman"/>
          <w:bCs/>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Political Declaration setting out the framework for the future relationship between the European Union and the United Kingdom [2019] OJ C384 I/02, para 77: </w:t>
      </w:r>
      <w:r w:rsidRPr="00086CA9">
        <w:rPr>
          <w:rFonts w:ascii="Times New Roman" w:eastAsia="Calibri" w:hAnsi="Times New Roman" w:cs="Times New Roman"/>
          <w:bCs/>
          <w:sz w:val="20"/>
          <w:szCs w:val="20"/>
        </w:rPr>
        <w:t xml:space="preserve">“Given the Union and the United Kingdom's </w:t>
      </w:r>
      <w:r w:rsidRPr="0067760F">
        <w:rPr>
          <w:rFonts w:ascii="Times New Roman" w:eastAsia="Calibri" w:hAnsi="Times New Roman" w:cs="Times New Roman"/>
          <w:bCs/>
          <w:i/>
          <w:iCs/>
          <w:sz w:val="20"/>
          <w:szCs w:val="20"/>
        </w:rPr>
        <w:t>geographic proximity and economic interdependence</w:t>
      </w:r>
      <w:r w:rsidRPr="00982449">
        <w:rPr>
          <w:rFonts w:ascii="Times New Roman" w:eastAsia="Calibri" w:hAnsi="Times New Roman" w:cs="Times New Roman"/>
          <w:bCs/>
          <w:sz w:val="20"/>
          <w:szCs w:val="20"/>
        </w:rPr>
        <w:t xml:space="preserve">, the future relationship must ensure open and fair competition, encompassing robust commitments to ensure a level playing field. The precise nature of commitments should be commensurate with the scope and depth of the future relationship and the economic connectedness of the Parties. These commitments should prevent distortions of trade and unfair competitive advantages. To that end, the Parties should </w:t>
      </w:r>
      <w:r w:rsidRPr="00982449">
        <w:rPr>
          <w:rFonts w:ascii="Times New Roman" w:eastAsia="Calibri" w:hAnsi="Times New Roman" w:cs="Times New Roman"/>
          <w:bCs/>
          <w:i/>
          <w:iCs/>
          <w:sz w:val="20"/>
          <w:szCs w:val="20"/>
        </w:rPr>
        <w:t>uphold the common high standards</w:t>
      </w:r>
      <w:r w:rsidRPr="004D577C">
        <w:rPr>
          <w:rFonts w:ascii="Times New Roman" w:eastAsia="Calibri" w:hAnsi="Times New Roman" w:cs="Times New Roman"/>
          <w:bCs/>
          <w:sz w:val="20"/>
          <w:szCs w:val="20"/>
        </w:rPr>
        <w:t xml:space="preserve"> applicable in the Union and the United Kingdom at the end of the transition period in the areas of state aid, competition, social and employment standards, environment, climate change, and relevant tax matters. The Parties should in particular </w:t>
      </w:r>
      <w:r w:rsidRPr="004D577C">
        <w:rPr>
          <w:rFonts w:ascii="Times New Roman" w:eastAsia="Calibri" w:hAnsi="Times New Roman" w:cs="Times New Roman"/>
          <w:bCs/>
          <w:i/>
          <w:iCs/>
          <w:sz w:val="20"/>
          <w:szCs w:val="20"/>
        </w:rPr>
        <w:t>maintain a robust and comprehensive framework for competition and state aid control</w:t>
      </w:r>
      <w:r w:rsidRPr="004D577C">
        <w:rPr>
          <w:rFonts w:ascii="Times New Roman" w:eastAsia="Calibri" w:hAnsi="Times New Roman" w:cs="Times New Roman"/>
          <w:bCs/>
          <w:sz w:val="20"/>
          <w:szCs w:val="20"/>
        </w:rPr>
        <w:t xml:space="preserve"> that prevents undue distortion of trade and competition; </w:t>
      </w:r>
      <w:r w:rsidRPr="004D577C">
        <w:rPr>
          <w:rFonts w:ascii="Times New Roman" w:eastAsia="Calibri" w:hAnsi="Times New Roman" w:cs="Times New Roman"/>
          <w:bCs/>
          <w:i/>
          <w:iCs/>
          <w:sz w:val="20"/>
          <w:szCs w:val="20"/>
        </w:rPr>
        <w:t>commit to the principles of good governance in the area of taxation</w:t>
      </w:r>
      <w:r w:rsidRPr="004D577C">
        <w:rPr>
          <w:rFonts w:ascii="Times New Roman" w:eastAsia="Calibri" w:hAnsi="Times New Roman" w:cs="Times New Roman"/>
          <w:bCs/>
          <w:sz w:val="20"/>
          <w:szCs w:val="20"/>
        </w:rPr>
        <w:t xml:space="preserve"> and to the curbing of harmful tax practices; and </w:t>
      </w:r>
      <w:r w:rsidRPr="004D577C">
        <w:rPr>
          <w:rFonts w:ascii="Times New Roman" w:eastAsia="Calibri" w:hAnsi="Times New Roman" w:cs="Times New Roman"/>
          <w:bCs/>
          <w:i/>
          <w:iCs/>
          <w:sz w:val="20"/>
          <w:szCs w:val="20"/>
        </w:rPr>
        <w:t>maintain environmental, social and employment standards at the current high levels provided by the existing common standards</w:t>
      </w:r>
      <w:r w:rsidRPr="004D577C">
        <w:rPr>
          <w:rFonts w:ascii="Times New Roman" w:eastAsia="Calibri" w:hAnsi="Times New Roman" w:cs="Times New Roman"/>
          <w:bCs/>
          <w:sz w:val="20"/>
          <w:szCs w:val="20"/>
        </w:rPr>
        <w:t xml:space="preserve">. In so doing, they should </w:t>
      </w:r>
      <w:r w:rsidRPr="004D577C">
        <w:rPr>
          <w:rFonts w:ascii="Times New Roman" w:eastAsia="Calibri" w:hAnsi="Times New Roman" w:cs="Times New Roman"/>
          <w:bCs/>
          <w:i/>
          <w:iCs/>
          <w:sz w:val="20"/>
          <w:szCs w:val="20"/>
        </w:rPr>
        <w:t>rely on appropriate and relevant Union and international standards</w:t>
      </w:r>
      <w:r w:rsidRPr="004D577C">
        <w:rPr>
          <w:rFonts w:ascii="Times New Roman" w:eastAsia="Calibri" w:hAnsi="Times New Roman" w:cs="Times New Roman"/>
          <w:bCs/>
          <w:sz w:val="20"/>
          <w:szCs w:val="20"/>
        </w:rPr>
        <w:t>, and include appropriate mechanisms to ensure effective implementation domestically, enforcement and dispute settlement. The future relationship should also promote adherence to and effective implementation of relevant internationally agreed principles and rules in these domains, including the Paris Agreement.” (emphasis added)</w:t>
      </w:r>
    </w:p>
  </w:footnote>
  <w:footnote w:id="50">
    <w:p w14:paraId="184AAE8F" w14:textId="6B266D6C" w:rsidR="0083397A" w:rsidRPr="009D6E19" w:rsidRDefault="0083397A" w:rsidP="00057F58">
      <w:pPr>
        <w:pStyle w:val="FootnoteText"/>
        <w:rPr>
          <w:rFonts w:ascii="Times New Roman" w:hAnsi="Times New Roman" w:cs="Times New Roman"/>
          <w:b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9D6E19">
        <w:rPr>
          <w:rFonts w:ascii="Times New Roman" w:eastAsia="Calibri" w:hAnsi="Times New Roman" w:cs="Times New Roman"/>
          <w:bCs/>
        </w:rPr>
        <w:t>UK Future Relationship White Paper</w:t>
      </w:r>
      <w:r w:rsidR="00DD6DB0">
        <w:rPr>
          <w:rFonts w:ascii="Times New Roman" w:eastAsia="Calibri" w:hAnsi="Times New Roman" w:cs="Times New Roman"/>
          <w:bCs/>
        </w:rPr>
        <w:t xml:space="preserve"> </w:t>
      </w:r>
      <w:r w:rsidR="009D6E19">
        <w:rPr>
          <w:rFonts w:ascii="Times New Roman" w:eastAsia="Calibri" w:hAnsi="Times New Roman" w:cs="Times New Roman"/>
          <w:bCs/>
        </w:rPr>
        <w:t>July 2018</w:t>
      </w:r>
      <w:r w:rsidR="00DD6DB0">
        <w:rPr>
          <w:rFonts w:ascii="Times New Roman" w:eastAsia="Calibri" w:hAnsi="Times New Roman" w:cs="Times New Roman"/>
          <w:bCs/>
        </w:rPr>
        <w:t>,</w:t>
      </w:r>
      <w:r w:rsidR="004B6F2C">
        <w:rPr>
          <w:rFonts w:ascii="Times New Roman" w:eastAsia="Calibri" w:hAnsi="Times New Roman" w:cs="Times New Roman"/>
          <w:bCs/>
        </w:rPr>
        <w:t xml:space="preserve"> </w:t>
      </w:r>
      <w:r w:rsidRPr="00086CA9">
        <w:rPr>
          <w:rFonts w:ascii="Times New Roman" w:eastAsia="Calibri" w:hAnsi="Times New Roman" w:cs="Times New Roman"/>
          <w:bCs/>
        </w:rPr>
        <w:t>n 9,</w:t>
      </w:r>
      <w:r w:rsidRPr="009D6E19">
        <w:rPr>
          <w:rFonts w:ascii="Times New Roman" w:eastAsia="Calibri" w:hAnsi="Times New Roman" w:cs="Times New Roman"/>
          <w:bCs/>
        </w:rPr>
        <w:t xml:space="preserve"> para 108</w:t>
      </w:r>
    </w:p>
  </w:footnote>
  <w:footnote w:id="51">
    <w:p w14:paraId="7B863E2E" w14:textId="2BD8E6F5"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LPF Art 1.1(4) TCA</w:t>
      </w:r>
    </w:p>
  </w:footnote>
  <w:footnote w:id="52">
    <w:p w14:paraId="10C57A62" w14:textId="0082E504"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5.2 TCA</w:t>
      </w:r>
    </w:p>
  </w:footnote>
  <w:footnote w:id="53">
    <w:p w14:paraId="02F4B72E" w14:textId="113B26EC"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5.3 TCA</w:t>
      </w:r>
    </w:p>
  </w:footnote>
  <w:footnote w:id="54">
    <w:p w14:paraId="01240E52" w14:textId="07F43C4E"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6.6(2), Art 7.2(2) TCA</w:t>
      </w:r>
    </w:p>
  </w:footnote>
  <w:footnote w:id="55">
    <w:p w14:paraId="5F461284" w14:textId="34065325"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6.2(4), Art 7.2(5) TCA</w:t>
      </w:r>
    </w:p>
  </w:footnote>
  <w:footnote w:id="56">
    <w:p w14:paraId="1E4141AB" w14:textId="3DE2AE21"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6.2(1), Art 7.2(1), Chapter 8 on sustainable development TCA</w:t>
      </w:r>
    </w:p>
  </w:footnote>
  <w:footnote w:id="57">
    <w:p w14:paraId="4880FD2F" w14:textId="059279D5"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6.4(2), Art 7.7(2), Art 8</w:t>
      </w:r>
      <w:r w:rsidRPr="009D6E19">
        <w:rPr>
          <w:rFonts w:ascii="Times New Roman" w:hAnsi="Times New Roman" w:cs="Times New Roman"/>
        </w:rPr>
        <w:t>.11 TCA</w:t>
      </w:r>
    </w:p>
  </w:footnote>
  <w:footnote w:id="58">
    <w:p w14:paraId="316A6451" w14:textId="23634839"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9.4 TCA</w:t>
      </w:r>
    </w:p>
  </w:footnote>
  <w:footnote w:id="59">
    <w:p w14:paraId="5B3A1CB4" w14:textId="499B982A"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3.12(1) TCA</w:t>
      </w:r>
    </w:p>
  </w:footnote>
  <w:footnote w:id="60">
    <w:p w14:paraId="20553AA8" w14:textId="2FF8B988"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3.12(9) in accordance with Article INST.14(2) TCA</w:t>
      </w:r>
    </w:p>
  </w:footnote>
  <w:footnote w:id="61">
    <w:p w14:paraId="12C3A1F4" w14:textId="58BD7B35" w:rsidR="0083397A" w:rsidRPr="009D6E1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ibid - Art 3.12(9) TCA</w:t>
      </w:r>
    </w:p>
  </w:footnote>
  <w:footnote w:id="62">
    <w:p w14:paraId="210EDED9" w14:textId="1B2A51E7" w:rsidR="0083397A" w:rsidRPr="00086CA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13.12(12), Article INST.34C TCA</w:t>
      </w:r>
    </w:p>
  </w:footnote>
  <w:footnote w:id="63">
    <w:p w14:paraId="06AD35EA" w14:textId="76546874" w:rsidR="0083397A" w:rsidRPr="00086CA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9.4 TCA</w:t>
      </w:r>
    </w:p>
  </w:footnote>
  <w:footnote w:id="64">
    <w:p w14:paraId="5AA0E21F" w14:textId="5E9AC800" w:rsidR="0083397A" w:rsidRPr="00086CA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9.4(3)(a) TCA</w:t>
      </w:r>
    </w:p>
  </w:footnote>
  <w:footnote w:id="65">
    <w:p w14:paraId="327A7490" w14:textId="4A950057" w:rsidR="0083397A" w:rsidRPr="00086CA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3.12(5), (6) TCA</w:t>
      </w:r>
    </w:p>
  </w:footnote>
  <w:footnote w:id="66">
    <w:p w14:paraId="11658C0E" w14:textId="3D25F57E" w:rsidR="0083397A" w:rsidRPr="00086CA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3.12(7) TCA</w:t>
      </w:r>
    </w:p>
  </w:footnote>
  <w:footnote w:id="67">
    <w:p w14:paraId="3F634A13" w14:textId="60EF1C99"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TBT.4(7) TCA. Se</w:t>
      </w:r>
      <w:r w:rsidRPr="00086CA9">
        <w:rPr>
          <w:rFonts w:ascii="Times New Roman" w:hAnsi="Times New Roman" w:cs="Times New Roman"/>
        </w:rPr>
        <w:t>e also Art TBT.5(1)(b) on standards and Art TBT.6(3)(c) on conformity assessment</w:t>
      </w:r>
    </w:p>
  </w:footnote>
  <w:footnote w:id="68">
    <w:p w14:paraId="371D8F88" w14:textId="1280ED42"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w:t>
      </w:r>
      <w:r w:rsidRPr="00086CA9">
        <w:rPr>
          <w:rFonts w:ascii="Times New Roman" w:eastAsia="Calibri" w:hAnsi="Times New Roman" w:cs="Times New Roman"/>
          <w:bCs/>
        </w:rPr>
        <w:t>rticle GRP.8(2)(d) TCA</w:t>
      </w:r>
    </w:p>
  </w:footnote>
  <w:footnote w:id="69">
    <w:p w14:paraId="03E51AF2" w14:textId="77777777"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Annex TBT-1 Art 5 TCA</w:t>
      </w:r>
    </w:p>
  </w:footnote>
  <w:footnote w:id="70">
    <w:p w14:paraId="71C40EC6" w14:textId="44BF0911" w:rsidR="0083397A" w:rsidRPr="0067760F"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An exception to the general principle in Art COMPROV.16 that the TCA itself is not to create rights for private parties dir</w:t>
      </w:r>
      <w:r w:rsidRPr="00E7630A">
        <w:rPr>
          <w:rFonts w:ascii="Times New Roman" w:hAnsi="Times New Roman" w:cs="Times New Roman"/>
        </w:rPr>
        <w:t>ectly invoked in the domestic legal systems of the Parties.</w:t>
      </w:r>
    </w:p>
  </w:footnote>
  <w:footnote w:id="71">
    <w:p w14:paraId="7F4B04BC" w14:textId="11280944"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3.10-3.11 TCA</w:t>
      </w:r>
    </w:p>
  </w:footnote>
  <w:footnote w:id="72">
    <w:p w14:paraId="0F6A5938" w14:textId="4CC68270"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3.4 TCA</w:t>
      </w:r>
    </w:p>
  </w:footnote>
  <w:footnote w:id="73">
    <w:p w14:paraId="39890B9F" w14:textId="5B8BB597"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3.7 TCA</w:t>
      </w:r>
    </w:p>
  </w:footnote>
  <w:footnote w:id="74">
    <w:p w14:paraId="1AB79EFB" w14:textId="2BAB65EE"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Title XI Art 2.2 and 2.3 TCA</w:t>
      </w:r>
    </w:p>
  </w:footnote>
  <w:footnote w:id="75">
    <w:p w14:paraId="48E013D5" w14:textId="7962AC82" w:rsidR="0083397A" w:rsidRPr="0067760F"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w:t>
      </w:r>
      <w:r w:rsidRPr="00E7630A">
        <w:rPr>
          <w:rFonts w:ascii="Times New Roman" w:eastAsia="Calibri" w:hAnsi="Times New Roman" w:cs="Times New Roman"/>
          <w:bCs/>
        </w:rPr>
        <w:t>SERVIN.5(22) TCA</w:t>
      </w:r>
    </w:p>
  </w:footnote>
  <w:footnote w:id="76">
    <w:p w14:paraId="02B9E38A" w14:textId="4A88960F" w:rsidR="0083397A" w:rsidRPr="0067760F"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w:t>
      </w:r>
      <w:r w:rsidRPr="00E7630A">
        <w:rPr>
          <w:rFonts w:ascii="Times New Roman" w:eastAsia="Calibri" w:hAnsi="Times New Roman" w:cs="Times New Roman"/>
          <w:bCs/>
        </w:rPr>
        <w:t>ENER.12 TCA</w:t>
      </w:r>
    </w:p>
  </w:footnote>
  <w:footnote w:id="77">
    <w:p w14:paraId="16C8F0AC" w14:textId="2CB77558"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6.3, Art 7.5 TCA</w:t>
      </w:r>
    </w:p>
  </w:footnote>
  <w:footnote w:id="78">
    <w:p w14:paraId="2A1F7F2F" w14:textId="31857DE2"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7.6 TCA</w:t>
      </w:r>
    </w:p>
  </w:footnote>
  <w:footnote w:id="79">
    <w:p w14:paraId="7165CCCB" w14:textId="361588C7"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See e.g. Morten Egeberg (ed) </w:t>
      </w:r>
      <w:r w:rsidRPr="00E7630A">
        <w:rPr>
          <w:rFonts w:ascii="Times New Roman" w:hAnsi="Times New Roman" w:cs="Times New Roman"/>
          <w:i/>
          <w:iCs/>
        </w:rPr>
        <w:t>Multilevel Union Administration: the Transformation of Executive Politics in Europe</w:t>
      </w:r>
      <w:r w:rsidRPr="00982449">
        <w:rPr>
          <w:rFonts w:ascii="Times New Roman" w:hAnsi="Times New Roman" w:cs="Times New Roman"/>
        </w:rPr>
        <w:t xml:space="preserve"> (Palgrave Macmillan, 2006), David Coen and Mark Thatcher  </w:t>
      </w:r>
      <w:r w:rsidR="00E142B4" w:rsidRPr="00982449">
        <w:rPr>
          <w:rFonts w:ascii="Times New Roman" w:hAnsi="Times New Roman" w:cs="Times New Roman"/>
        </w:rPr>
        <w:t>‘</w:t>
      </w:r>
      <w:r w:rsidRPr="00982449">
        <w:rPr>
          <w:rFonts w:ascii="Times New Roman" w:hAnsi="Times New Roman" w:cs="Times New Roman"/>
        </w:rPr>
        <w:t>Network Governance and Multi-Level Delegation: European Networks of Regulatory Agencies</w:t>
      </w:r>
      <w:r w:rsidR="00E142B4" w:rsidRPr="00982449">
        <w:rPr>
          <w:rFonts w:ascii="Times New Roman" w:hAnsi="Times New Roman" w:cs="Times New Roman"/>
        </w:rPr>
        <w:t>’</w:t>
      </w:r>
      <w:r w:rsidRPr="004D577C">
        <w:rPr>
          <w:rFonts w:ascii="Times New Roman" w:hAnsi="Times New Roman" w:cs="Times New Roman"/>
        </w:rPr>
        <w:t xml:space="preserve"> (2008) 28 Jnl Publ Pol 49, Arthur Benz, Andreas Corcaci and Jan Wolfgang Doser ‘Unravelling </w:t>
      </w:r>
      <w:r w:rsidR="00E02121" w:rsidRPr="004D577C">
        <w:rPr>
          <w:rFonts w:ascii="Times New Roman" w:hAnsi="Times New Roman" w:cs="Times New Roman"/>
        </w:rPr>
        <w:t>M</w:t>
      </w:r>
      <w:r w:rsidRPr="004D577C">
        <w:rPr>
          <w:rFonts w:ascii="Times New Roman" w:hAnsi="Times New Roman" w:cs="Times New Roman"/>
        </w:rPr>
        <w:t xml:space="preserve">ultilevel </w:t>
      </w:r>
      <w:r w:rsidR="00E02121" w:rsidRPr="004D577C">
        <w:rPr>
          <w:rFonts w:ascii="Times New Roman" w:hAnsi="Times New Roman" w:cs="Times New Roman"/>
        </w:rPr>
        <w:t>A</w:t>
      </w:r>
      <w:r w:rsidRPr="004D577C">
        <w:rPr>
          <w:rFonts w:ascii="Times New Roman" w:hAnsi="Times New Roman" w:cs="Times New Roman"/>
        </w:rPr>
        <w:t xml:space="preserve">dministration: </w:t>
      </w:r>
      <w:r w:rsidR="00E02121" w:rsidRPr="004D577C">
        <w:rPr>
          <w:rFonts w:ascii="Times New Roman" w:hAnsi="Times New Roman" w:cs="Times New Roman"/>
        </w:rPr>
        <w:t>P</w:t>
      </w:r>
      <w:r w:rsidRPr="004D577C">
        <w:rPr>
          <w:rFonts w:ascii="Times New Roman" w:hAnsi="Times New Roman" w:cs="Times New Roman"/>
        </w:rPr>
        <w:t xml:space="preserve">atterns and </w:t>
      </w:r>
      <w:r w:rsidR="00E02121" w:rsidRPr="004D577C">
        <w:rPr>
          <w:rFonts w:ascii="Times New Roman" w:hAnsi="Times New Roman" w:cs="Times New Roman"/>
        </w:rPr>
        <w:t>D</w:t>
      </w:r>
      <w:r w:rsidRPr="004D577C">
        <w:rPr>
          <w:rFonts w:ascii="Times New Roman" w:hAnsi="Times New Roman" w:cs="Times New Roman"/>
        </w:rPr>
        <w:t xml:space="preserve">ynamics of </w:t>
      </w:r>
      <w:r w:rsidR="00E02121" w:rsidRPr="004D577C">
        <w:rPr>
          <w:rFonts w:ascii="Times New Roman" w:hAnsi="Times New Roman" w:cs="Times New Roman"/>
        </w:rPr>
        <w:t>A</w:t>
      </w:r>
      <w:r w:rsidRPr="004D577C">
        <w:rPr>
          <w:rFonts w:ascii="Times New Roman" w:hAnsi="Times New Roman" w:cs="Times New Roman"/>
        </w:rPr>
        <w:t xml:space="preserve">dministrative </w:t>
      </w:r>
      <w:r w:rsidR="00E02121" w:rsidRPr="004D577C">
        <w:rPr>
          <w:rFonts w:ascii="Times New Roman" w:hAnsi="Times New Roman" w:cs="Times New Roman"/>
        </w:rPr>
        <w:t>C</w:t>
      </w:r>
      <w:r w:rsidRPr="004D577C">
        <w:rPr>
          <w:rFonts w:ascii="Times New Roman" w:hAnsi="Times New Roman" w:cs="Times New Roman"/>
        </w:rPr>
        <w:t xml:space="preserve">o-ordination in European </w:t>
      </w:r>
      <w:r w:rsidR="00E02121" w:rsidRPr="004D577C">
        <w:rPr>
          <w:rFonts w:ascii="Times New Roman" w:hAnsi="Times New Roman" w:cs="Times New Roman"/>
        </w:rPr>
        <w:t>G</w:t>
      </w:r>
      <w:r w:rsidRPr="004D577C">
        <w:rPr>
          <w:rFonts w:ascii="Times New Roman" w:hAnsi="Times New Roman" w:cs="Times New Roman"/>
        </w:rPr>
        <w:t>overnance’ (2016) 23 JEPP 999</w:t>
      </w:r>
    </w:p>
  </w:footnote>
  <w:footnote w:id="80">
    <w:p w14:paraId="696E7211" w14:textId="7DFA68ED" w:rsidR="0083397A" w:rsidRPr="0060145F"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See on epistemic communities, Peter M Haas 'Epistemic </w:t>
      </w:r>
      <w:r w:rsidR="00071D4B" w:rsidRPr="00E7630A">
        <w:rPr>
          <w:rFonts w:ascii="Times New Roman" w:hAnsi="Times New Roman" w:cs="Times New Roman"/>
        </w:rPr>
        <w:t>C</w:t>
      </w:r>
      <w:r w:rsidRPr="00E7630A">
        <w:rPr>
          <w:rFonts w:ascii="Times New Roman" w:hAnsi="Times New Roman" w:cs="Times New Roman"/>
        </w:rPr>
        <w:t xml:space="preserve">ommunities and </w:t>
      </w:r>
      <w:r w:rsidR="00071D4B" w:rsidRPr="00E7630A">
        <w:rPr>
          <w:rFonts w:ascii="Times New Roman" w:hAnsi="Times New Roman" w:cs="Times New Roman"/>
        </w:rPr>
        <w:t>I</w:t>
      </w:r>
      <w:r w:rsidRPr="00E7630A">
        <w:rPr>
          <w:rFonts w:ascii="Times New Roman" w:hAnsi="Times New Roman" w:cs="Times New Roman"/>
        </w:rPr>
        <w:t xml:space="preserve">nternational </w:t>
      </w:r>
      <w:r w:rsidR="00071D4B" w:rsidRPr="00E7630A">
        <w:rPr>
          <w:rFonts w:ascii="Times New Roman" w:hAnsi="Times New Roman" w:cs="Times New Roman"/>
        </w:rPr>
        <w:t>P</w:t>
      </w:r>
      <w:r w:rsidRPr="0067760F">
        <w:rPr>
          <w:rFonts w:ascii="Times New Roman" w:hAnsi="Times New Roman" w:cs="Times New Roman"/>
        </w:rPr>
        <w:t xml:space="preserve">olicy </w:t>
      </w:r>
      <w:r w:rsidR="00071D4B" w:rsidRPr="0067760F">
        <w:rPr>
          <w:rFonts w:ascii="Times New Roman" w:hAnsi="Times New Roman" w:cs="Times New Roman"/>
        </w:rPr>
        <w:t>C</w:t>
      </w:r>
      <w:r w:rsidRPr="0067760F">
        <w:rPr>
          <w:rFonts w:ascii="Times New Roman" w:hAnsi="Times New Roman" w:cs="Times New Roman"/>
        </w:rPr>
        <w:t>oordination' (1992) 46(1) Intl Org 1</w:t>
      </w:r>
    </w:p>
  </w:footnote>
  <w:footnote w:id="81">
    <w:p w14:paraId="3D19A6D1" w14:textId="5E567A91"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Political Declaration</w:t>
      </w:r>
      <w:r w:rsidR="00A40F8E" w:rsidRPr="00E7630A">
        <w:rPr>
          <w:rFonts w:ascii="Times New Roman" w:hAnsi="Times New Roman" w:cs="Times New Roman"/>
        </w:rPr>
        <w:t xml:space="preserve"> </w:t>
      </w:r>
      <w:r w:rsidR="00A40F8E" w:rsidRPr="0060145F">
        <w:rPr>
          <w:rFonts w:ascii="Times New Roman" w:hAnsi="Times New Roman" w:cs="Times New Roman"/>
          <w:lang w:val="es-ES"/>
        </w:rPr>
        <w:t>n 4</w:t>
      </w:r>
      <w:r w:rsidR="00691F0A">
        <w:rPr>
          <w:rFonts w:ascii="Times New Roman" w:hAnsi="Times New Roman" w:cs="Times New Roman"/>
          <w:lang w:val="es-ES"/>
        </w:rPr>
        <w:t>8</w:t>
      </w:r>
      <w:r w:rsidR="00A40F8E" w:rsidRPr="000B1FAE">
        <w:rPr>
          <w:rFonts w:ascii="Times New Roman" w:hAnsi="Times New Roman" w:cs="Times New Roman"/>
          <w:i/>
          <w:iCs/>
          <w:lang w:val="es-ES"/>
        </w:rPr>
        <w:t>,</w:t>
      </w:r>
      <w:r w:rsidR="00A40F8E" w:rsidRPr="00E7630A">
        <w:rPr>
          <w:rFonts w:ascii="Times New Roman" w:hAnsi="Times New Roman" w:cs="Times New Roman"/>
        </w:rPr>
        <w:t xml:space="preserve"> </w:t>
      </w:r>
      <w:r w:rsidRPr="00E7630A">
        <w:rPr>
          <w:rFonts w:ascii="Times New Roman" w:hAnsi="Times New Roman" w:cs="Times New Roman"/>
        </w:rPr>
        <w:t>para 10</w:t>
      </w:r>
    </w:p>
  </w:footnote>
  <w:footnote w:id="82">
    <w:p w14:paraId="42789CA0" w14:textId="0BFB15BA"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00EB632D" w:rsidRPr="0067760F">
        <w:rPr>
          <w:rFonts w:ascii="Times New Roman" w:hAnsi="Times New Roman" w:cs="Times New Roman"/>
        </w:rPr>
        <w:t>Ibid</w:t>
      </w:r>
      <w:r w:rsidR="0058687B" w:rsidRPr="0067760F">
        <w:rPr>
          <w:rFonts w:ascii="Times New Roman" w:hAnsi="Times New Roman" w:cs="Times New Roman"/>
        </w:rPr>
        <w:t>,</w:t>
      </w:r>
      <w:r w:rsidRPr="00E7630A">
        <w:rPr>
          <w:rFonts w:ascii="Times New Roman" w:hAnsi="Times New Roman" w:cs="Times New Roman"/>
        </w:rPr>
        <w:t xml:space="preserve"> para 23. See also para 61 regarding the European Aviation Safety Agency and para 65 regarding the European Maritime Safety Agency. This followed the previous UK position under Theresa May’s government stating its preparedness to “[accept] the rules of these agencie</w:t>
      </w:r>
      <w:r w:rsidRPr="00982449">
        <w:rPr>
          <w:rFonts w:ascii="Times New Roman" w:hAnsi="Times New Roman" w:cs="Times New Roman"/>
        </w:rPr>
        <w:t xml:space="preserve">s and contribut[e] to their costs, under new arrangements that recognise the UK will not be a Member State” in the Future Relationship White Paper </w:t>
      </w:r>
      <w:r w:rsidRPr="00E7630A">
        <w:rPr>
          <w:rFonts w:ascii="Times New Roman" w:hAnsi="Times New Roman" w:cs="Times New Roman"/>
        </w:rPr>
        <w:t>(n. 9), p 8, and the earlier version of the Political Declaration in which the UK would “consider aligning wi</w:t>
      </w:r>
      <w:r w:rsidRPr="00982449">
        <w:rPr>
          <w:rFonts w:ascii="Times New Roman" w:hAnsi="Times New Roman" w:cs="Times New Roman"/>
        </w:rPr>
        <w:t>th EU rules in relevant areas”: Council of the EU, Draft Political declaration setting out the framework for the future relationship between the EU and the UK, 22 November 2018, XT 21095/18, para 25.</w:t>
      </w:r>
      <w:r w:rsidRPr="00982449">
        <w:rPr>
          <w:rFonts w:ascii="Times New Roman" w:hAnsi="Times New Roman" w:cs="Times New Roman"/>
          <w:i/>
          <w:iCs/>
        </w:rPr>
        <w:t xml:space="preserve"> </w:t>
      </w:r>
    </w:p>
  </w:footnote>
  <w:footnote w:id="83">
    <w:p w14:paraId="5BE590D4" w14:textId="7D07D69B"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E7630A">
        <w:rPr>
          <w:rFonts w:ascii="Times New Roman" w:hAnsi="Times New Roman" w:cs="Times New Roman"/>
        </w:rPr>
        <w:t xml:space="preserve">See de Witte on selective membership of Union bodies </w:t>
      </w:r>
      <w:r w:rsidR="00F135E1" w:rsidRPr="00E7630A">
        <w:rPr>
          <w:rFonts w:ascii="Times New Roman" w:hAnsi="Times New Roman" w:cs="Times New Roman"/>
        </w:rPr>
        <w:t>and Milenkovic on the participation of Western Balkan States</w:t>
      </w:r>
      <w:r w:rsidR="00EB632D" w:rsidRPr="00982449">
        <w:rPr>
          <w:rFonts w:ascii="Times New Roman" w:hAnsi="Times New Roman" w:cs="Times New Roman"/>
        </w:rPr>
        <w:t xml:space="preserve"> in this volume.</w:t>
      </w:r>
    </w:p>
  </w:footnote>
  <w:footnote w:id="84">
    <w:p w14:paraId="41503859" w14:textId="572E783F" w:rsidR="0083397A" w:rsidRPr="0060145F"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w:t>
      </w:r>
      <w:r w:rsidRPr="00E7630A">
        <w:rPr>
          <w:rFonts w:ascii="Times New Roman" w:eastAsia="Calibri" w:hAnsi="Times New Roman" w:cs="Times New Roman"/>
          <w:bCs/>
        </w:rPr>
        <w:t>ENER.20 (2) TCA</w:t>
      </w:r>
    </w:p>
  </w:footnote>
  <w:footnote w:id="85">
    <w:p w14:paraId="3263726D" w14:textId="2A9BEBA9" w:rsidR="0083397A" w:rsidRPr="0060145F"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w:t>
      </w:r>
      <w:r w:rsidRPr="00E7630A">
        <w:rPr>
          <w:rFonts w:ascii="Times New Roman" w:eastAsia="Calibri" w:hAnsi="Times New Roman" w:cs="Times New Roman"/>
          <w:bCs/>
        </w:rPr>
        <w:t>GRP.12 TCA</w:t>
      </w:r>
    </w:p>
  </w:footnote>
  <w:footnote w:id="86">
    <w:p w14:paraId="3E58DEF2" w14:textId="1DCCF45D"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GRP.6 TCA</w:t>
      </w:r>
    </w:p>
  </w:footnote>
  <w:footnote w:id="87">
    <w:p w14:paraId="06D09B9C" w14:textId="716D5635"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GRP.10 TCA</w:t>
      </w:r>
    </w:p>
  </w:footnote>
  <w:footnote w:id="88">
    <w:p w14:paraId="1BA63380" w14:textId="7692511C"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CUSTMS.2(2)(a) TCA</w:t>
      </w:r>
    </w:p>
  </w:footnote>
  <w:footnote w:id="89">
    <w:p w14:paraId="30F78224" w14:textId="5CEB7F14"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CUSTMS.10 TCA</w:t>
      </w:r>
    </w:p>
  </w:footnote>
  <w:footnote w:id="90">
    <w:p w14:paraId="5432398A" w14:textId="69806157"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TBT.4(8) TCA</w:t>
      </w:r>
    </w:p>
  </w:footnote>
  <w:footnote w:id="91">
    <w:p w14:paraId="37433639" w14:textId="0F7B7C3B"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AVSAF.8 TCA</w:t>
      </w:r>
    </w:p>
  </w:footnote>
  <w:footnote w:id="92">
    <w:p w14:paraId="22A1582F" w14:textId="045D8695"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Annex TBT-2 Art 10 TCA</w:t>
      </w:r>
    </w:p>
  </w:footnote>
  <w:footnote w:id="93">
    <w:p w14:paraId="3F9D1AE2" w14:textId="4EC21A3A"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ENER.19(3) TCA</w:t>
      </w:r>
    </w:p>
  </w:footnote>
  <w:footnote w:id="94">
    <w:p w14:paraId="7097E3E9" w14:textId="3D9FAB49" w:rsidR="0083397A" w:rsidRPr="00E7630A"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ENER.20(1) TCA</w:t>
      </w:r>
    </w:p>
  </w:footnote>
  <w:footnote w:id="95">
    <w:p w14:paraId="426F0AB1" w14:textId="5587465A"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w:t>
      </w:r>
      <w:r w:rsidRPr="00AA6127">
        <w:rPr>
          <w:rFonts w:ascii="Times New Roman" w:eastAsia="Calibri" w:hAnsi="Times New Roman" w:cs="Times New Roman"/>
          <w:bCs/>
        </w:rPr>
        <w:t>ENER.20(3)) TCA</w:t>
      </w:r>
    </w:p>
  </w:footnote>
  <w:footnote w:id="96">
    <w:p w14:paraId="1589B172" w14:textId="5EBCC112"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AVSAF.8 TCA</w:t>
      </w:r>
    </w:p>
  </w:footnote>
  <w:footnote w:id="97">
    <w:p w14:paraId="4FE083F1"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Annex TBT-2 Art 5(1) TCA</w:t>
      </w:r>
    </w:p>
  </w:footnote>
  <w:footnote w:id="98">
    <w:p w14:paraId="73328732"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9 TCA</w:t>
      </w:r>
    </w:p>
  </w:footnote>
  <w:footnote w:id="99">
    <w:p w14:paraId="74797ECC"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Annex TBT-2 Art 10 TCA</w:t>
      </w:r>
    </w:p>
  </w:footnote>
  <w:footnote w:id="100">
    <w:p w14:paraId="3C119885" w14:textId="788D16A8"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TBT.9(1) TCA</w:t>
      </w:r>
    </w:p>
  </w:footnote>
  <w:footnote w:id="101">
    <w:p w14:paraId="18D5C587" w14:textId="6E86F901" w:rsidR="0083397A" w:rsidRPr="00AA6127" w:rsidRDefault="0083397A" w:rsidP="00057F58">
      <w:pPr>
        <w:spacing w:after="0" w:line="240" w:lineRule="auto"/>
        <w:rPr>
          <w:rFonts w:ascii="Times New Roman" w:hAnsi="Times New Roman" w:cs="Times New Roman"/>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Art TBT.10 TCA</w:t>
      </w:r>
    </w:p>
  </w:footnote>
  <w:footnote w:id="102">
    <w:p w14:paraId="610E04F0" w14:textId="61C4C0CB"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AA6127">
        <w:rPr>
          <w:rFonts w:ascii="Times New Roman" w:hAnsi="Times New Roman" w:cs="Times New Roman"/>
          <w:iCs/>
        </w:rPr>
        <w:t>Art SPS.18 TCA</w:t>
      </w:r>
    </w:p>
  </w:footnote>
  <w:footnote w:id="103">
    <w:p w14:paraId="5DA16DBE" w14:textId="5EE2B4E1"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AA6127">
        <w:rPr>
          <w:rFonts w:ascii="Times New Roman" w:hAnsi="Times New Roman" w:cs="Times New Roman"/>
          <w:iCs/>
        </w:rPr>
        <w:t>Art TBT.5 TCA</w:t>
      </w:r>
    </w:p>
  </w:footnote>
  <w:footnote w:id="104">
    <w:p w14:paraId="12CF99E7" w14:textId="783B6489"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AA6127">
        <w:rPr>
          <w:rFonts w:ascii="Times New Roman" w:hAnsi="Times New Roman" w:cs="Times New Roman"/>
          <w:iCs/>
        </w:rPr>
        <w:t>Art CUSTMS 18(4) TCA</w:t>
      </w:r>
    </w:p>
  </w:footnote>
  <w:footnote w:id="105">
    <w:p w14:paraId="31A743E3"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2.4 TCA</w:t>
      </w:r>
    </w:p>
  </w:footnote>
  <w:footnote w:id="106">
    <w:p w14:paraId="78E42A36" w14:textId="77777777" w:rsidR="0083397A" w:rsidRPr="00AA6127"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3.9(2) TCA</w:t>
      </w:r>
    </w:p>
  </w:footnote>
  <w:footnote w:id="107">
    <w:p w14:paraId="5D8BC0ED" w14:textId="2C1AAD9E" w:rsidR="0083397A" w:rsidRPr="00AA6127" w:rsidRDefault="0083397A" w:rsidP="00057F58">
      <w:pPr>
        <w:pStyle w:val="FootnoteText"/>
        <w:rPr>
          <w:rFonts w:ascii="Times New Roman" w:hAnsi="Times New Roman" w:cs="Times New Roman"/>
          <w:i/>
          <w:i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Sandra Lavenex ‘The </w:t>
      </w:r>
      <w:r w:rsidR="00B14EBD" w:rsidRPr="00AA6127">
        <w:rPr>
          <w:rFonts w:ascii="Times New Roman" w:hAnsi="Times New Roman" w:cs="Times New Roman"/>
        </w:rPr>
        <w:t>P</w:t>
      </w:r>
      <w:r w:rsidRPr="00AA6127">
        <w:rPr>
          <w:rFonts w:ascii="Times New Roman" w:hAnsi="Times New Roman" w:cs="Times New Roman"/>
        </w:rPr>
        <w:t xml:space="preserve">ower of </w:t>
      </w:r>
      <w:r w:rsidR="00B14EBD" w:rsidRPr="00AA6127">
        <w:rPr>
          <w:rFonts w:ascii="Times New Roman" w:hAnsi="Times New Roman" w:cs="Times New Roman"/>
        </w:rPr>
        <w:t>F</w:t>
      </w:r>
      <w:r w:rsidRPr="00AA6127">
        <w:rPr>
          <w:rFonts w:ascii="Times New Roman" w:hAnsi="Times New Roman" w:cs="Times New Roman"/>
        </w:rPr>
        <w:t xml:space="preserve">unctionalist </w:t>
      </w:r>
      <w:r w:rsidR="00B14EBD" w:rsidRPr="00AA6127">
        <w:rPr>
          <w:rFonts w:ascii="Times New Roman" w:hAnsi="Times New Roman" w:cs="Times New Roman"/>
        </w:rPr>
        <w:t>E</w:t>
      </w:r>
      <w:r w:rsidRPr="00AA6127">
        <w:rPr>
          <w:rFonts w:ascii="Times New Roman" w:hAnsi="Times New Roman" w:cs="Times New Roman"/>
        </w:rPr>
        <w:t xml:space="preserve">xtension: </w:t>
      </w:r>
      <w:r w:rsidR="001966E0" w:rsidRPr="00AA6127">
        <w:rPr>
          <w:rFonts w:ascii="Times New Roman" w:hAnsi="Times New Roman" w:cs="Times New Roman"/>
        </w:rPr>
        <w:t>H</w:t>
      </w:r>
      <w:r w:rsidRPr="00AA6127">
        <w:rPr>
          <w:rFonts w:ascii="Times New Roman" w:hAnsi="Times New Roman" w:cs="Times New Roman"/>
        </w:rPr>
        <w:t xml:space="preserve">ow EU </w:t>
      </w:r>
      <w:r w:rsidR="001966E0" w:rsidRPr="00AA6127">
        <w:rPr>
          <w:rFonts w:ascii="Times New Roman" w:hAnsi="Times New Roman" w:cs="Times New Roman"/>
        </w:rPr>
        <w:t>R</w:t>
      </w:r>
      <w:r w:rsidRPr="00AA6127">
        <w:rPr>
          <w:rFonts w:ascii="Times New Roman" w:hAnsi="Times New Roman" w:cs="Times New Roman"/>
        </w:rPr>
        <w:t xml:space="preserve">ules </w:t>
      </w:r>
      <w:r w:rsidR="001966E0" w:rsidRPr="00AA6127">
        <w:rPr>
          <w:rFonts w:ascii="Times New Roman" w:hAnsi="Times New Roman" w:cs="Times New Roman"/>
        </w:rPr>
        <w:t>T</w:t>
      </w:r>
      <w:r w:rsidRPr="00AA6127">
        <w:rPr>
          <w:rFonts w:ascii="Times New Roman" w:hAnsi="Times New Roman" w:cs="Times New Roman"/>
        </w:rPr>
        <w:t xml:space="preserve">ravel’ (2014) 21 JEPP 885, </w:t>
      </w:r>
      <w:r w:rsidRPr="004D577C">
        <w:rPr>
          <w:rFonts w:ascii="Times New Roman" w:hAnsi="Times New Roman" w:cs="Times New Roman"/>
        </w:rPr>
        <w:t>Armstrong</w:t>
      </w:r>
      <w:r w:rsidR="00901A8D" w:rsidRPr="004D577C">
        <w:rPr>
          <w:rFonts w:ascii="Times New Roman" w:hAnsi="Times New Roman" w:cs="Times New Roman"/>
        </w:rPr>
        <w:t xml:space="preserve"> </w:t>
      </w:r>
      <w:r w:rsidR="00AA6127">
        <w:rPr>
          <w:rFonts w:ascii="Times New Roman" w:hAnsi="Times New Roman" w:cs="Times New Roman"/>
        </w:rPr>
        <w:t xml:space="preserve">(2018) </w:t>
      </w:r>
      <w:r w:rsidR="00901A8D" w:rsidRPr="00AA6127">
        <w:rPr>
          <w:rFonts w:ascii="Times New Roman" w:hAnsi="Times New Roman" w:cs="Times New Roman"/>
        </w:rPr>
        <w:t>n 2</w:t>
      </w:r>
      <w:r w:rsidR="00AA6127" w:rsidRPr="00AA6127">
        <w:rPr>
          <w:rFonts w:ascii="Times New Roman" w:hAnsi="Times New Roman" w:cs="Times New Roman"/>
        </w:rPr>
        <w:t>6</w:t>
      </w:r>
    </w:p>
  </w:footnote>
  <w:footnote w:id="108">
    <w:p w14:paraId="746BBE0B" w14:textId="77777777" w:rsidR="0083397A" w:rsidRPr="00DD6DB0"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Joanne Scott ‘The Global Reach of EU Law’ in Marisa Cremona and Joanne Scott (eds) </w:t>
      </w:r>
      <w:r w:rsidRPr="00AA6127">
        <w:rPr>
          <w:rFonts w:ascii="Times New Roman" w:hAnsi="Times New Roman" w:cs="Times New Roman"/>
          <w:i/>
          <w:iCs/>
        </w:rPr>
        <w:t>EU Law Beyond Borders: The Extraterritorial Reach of EU Law</w:t>
      </w:r>
      <w:r w:rsidRPr="00DD6DB0">
        <w:rPr>
          <w:rFonts w:ascii="Times New Roman" w:hAnsi="Times New Roman" w:cs="Times New Roman"/>
        </w:rPr>
        <w:t xml:space="preserve"> (OUP, 2019)</w:t>
      </w:r>
    </w:p>
  </w:footnote>
  <w:footnote w:id="109">
    <w:p w14:paraId="04AB88D4" w14:textId="7585EC01"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Lavenex (2014) </w:t>
      </w:r>
      <w:r w:rsidRPr="007D7EC1">
        <w:rPr>
          <w:rFonts w:ascii="Times New Roman" w:hAnsi="Times New Roman" w:cs="Times New Roman"/>
        </w:rPr>
        <w:t>n 10</w:t>
      </w:r>
      <w:r w:rsidR="006814DC" w:rsidRPr="007D7EC1">
        <w:rPr>
          <w:rFonts w:ascii="Times New Roman" w:hAnsi="Times New Roman" w:cs="Times New Roman"/>
        </w:rPr>
        <w:t>6</w:t>
      </w:r>
      <w:r w:rsidRPr="003E7634">
        <w:rPr>
          <w:rFonts w:ascii="Times New Roman" w:hAnsi="Times New Roman" w:cs="Times New Roman"/>
        </w:rPr>
        <w:t>,</w:t>
      </w:r>
      <w:r w:rsidRPr="00982449">
        <w:rPr>
          <w:rFonts w:ascii="Times New Roman" w:hAnsi="Times New Roman" w:cs="Times New Roman"/>
        </w:rPr>
        <w:t xml:space="preserve"> J</w:t>
      </w:r>
      <w:r w:rsidR="00561407" w:rsidRPr="00982449">
        <w:rPr>
          <w:rFonts w:ascii="Times New Roman" w:hAnsi="Times New Roman" w:cs="Times New Roman"/>
        </w:rPr>
        <w:t>oanne</w:t>
      </w:r>
      <w:r w:rsidRPr="00982449">
        <w:rPr>
          <w:rFonts w:ascii="Times New Roman" w:hAnsi="Times New Roman" w:cs="Times New Roman"/>
        </w:rPr>
        <w:t xml:space="preserve"> Scott ‘Extraterritoriality and </w:t>
      </w:r>
      <w:r w:rsidR="002000FC" w:rsidRPr="00982449">
        <w:rPr>
          <w:rFonts w:ascii="Times New Roman" w:hAnsi="Times New Roman" w:cs="Times New Roman"/>
        </w:rPr>
        <w:t>T</w:t>
      </w:r>
      <w:r w:rsidRPr="004D577C">
        <w:rPr>
          <w:rFonts w:ascii="Times New Roman" w:hAnsi="Times New Roman" w:cs="Times New Roman"/>
        </w:rPr>
        <w:t xml:space="preserve">erritorial </w:t>
      </w:r>
      <w:r w:rsidR="002000FC" w:rsidRPr="004D577C">
        <w:rPr>
          <w:rFonts w:ascii="Times New Roman" w:hAnsi="Times New Roman" w:cs="Times New Roman"/>
        </w:rPr>
        <w:t>E</w:t>
      </w:r>
      <w:r w:rsidRPr="004D577C">
        <w:rPr>
          <w:rFonts w:ascii="Times New Roman" w:hAnsi="Times New Roman" w:cs="Times New Roman"/>
        </w:rPr>
        <w:t xml:space="preserve">xtension in EU </w:t>
      </w:r>
      <w:r w:rsidR="002000FC" w:rsidRPr="004D577C">
        <w:rPr>
          <w:rFonts w:ascii="Times New Roman" w:hAnsi="Times New Roman" w:cs="Times New Roman"/>
        </w:rPr>
        <w:t>L</w:t>
      </w:r>
      <w:r w:rsidRPr="004D577C">
        <w:rPr>
          <w:rFonts w:ascii="Times New Roman" w:hAnsi="Times New Roman" w:cs="Times New Roman"/>
        </w:rPr>
        <w:t xml:space="preserve">aw’ (2014) 62(1) Am J Comp L 87; </w:t>
      </w:r>
      <w:r w:rsidRPr="00EE12BC">
        <w:rPr>
          <w:rFonts w:ascii="Times New Roman" w:hAnsi="Times New Roman" w:cs="Times New Roman"/>
        </w:rPr>
        <w:t>Scott</w:t>
      </w:r>
      <w:r w:rsidR="00384765" w:rsidRPr="00EE12BC">
        <w:rPr>
          <w:rFonts w:ascii="Times New Roman" w:hAnsi="Times New Roman" w:cs="Times New Roman"/>
        </w:rPr>
        <w:t xml:space="preserve"> (2019)</w:t>
      </w:r>
      <w:r w:rsidRPr="00EE12BC">
        <w:rPr>
          <w:rFonts w:ascii="Times New Roman" w:hAnsi="Times New Roman" w:cs="Times New Roman"/>
        </w:rPr>
        <w:t xml:space="preserve"> </w:t>
      </w:r>
      <w:r w:rsidR="002000FC" w:rsidRPr="00EE12BC">
        <w:rPr>
          <w:rFonts w:ascii="Times New Roman" w:hAnsi="Times New Roman" w:cs="Times New Roman"/>
        </w:rPr>
        <w:t>ibid</w:t>
      </w:r>
      <w:r w:rsidR="002000FC" w:rsidRPr="004D577C">
        <w:rPr>
          <w:rFonts w:ascii="Times New Roman" w:hAnsi="Times New Roman" w:cs="Times New Roman"/>
        </w:rPr>
        <w:t xml:space="preserve"> </w:t>
      </w:r>
    </w:p>
  </w:footnote>
  <w:footnote w:id="110">
    <w:p w14:paraId="7502D72E" w14:textId="11E8AFD0"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Armstrong (2018) </w:t>
      </w:r>
      <w:r w:rsidRPr="00186127">
        <w:rPr>
          <w:rFonts w:ascii="Times New Roman" w:hAnsi="Times New Roman" w:cs="Times New Roman"/>
        </w:rPr>
        <w:t xml:space="preserve">n </w:t>
      </w:r>
      <w:r w:rsidR="005913D6" w:rsidRPr="00186127">
        <w:rPr>
          <w:rFonts w:ascii="Times New Roman" w:hAnsi="Times New Roman" w:cs="Times New Roman"/>
        </w:rPr>
        <w:t>2</w:t>
      </w:r>
      <w:r w:rsidR="00186127" w:rsidRPr="00186127">
        <w:rPr>
          <w:rFonts w:ascii="Times New Roman" w:hAnsi="Times New Roman" w:cs="Times New Roman"/>
        </w:rPr>
        <w:t>6</w:t>
      </w:r>
      <w:r w:rsidRPr="00186127">
        <w:rPr>
          <w:rFonts w:ascii="Times New Roman" w:hAnsi="Times New Roman" w:cs="Times New Roman"/>
        </w:rPr>
        <w:t>,</w:t>
      </w:r>
      <w:r w:rsidRPr="00982449">
        <w:rPr>
          <w:rFonts w:ascii="Times New Roman" w:hAnsi="Times New Roman" w:cs="Times New Roman"/>
        </w:rPr>
        <w:t xml:space="preserve"> 1105. See also Kenneth Armstrong ‘Regulatory Autonomy after EU Membership: Alignment, Divergence and the Discipline of Law’ (2020) 45 ELRev 207</w:t>
      </w:r>
    </w:p>
  </w:footnote>
  <w:footnote w:id="111">
    <w:p w14:paraId="578A0C9D" w14:textId="5360E27D" w:rsidR="0083397A" w:rsidRPr="00F64E31"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F64E31">
        <w:rPr>
          <w:rFonts w:ascii="Times New Roman" w:hAnsi="Times New Roman" w:cs="Times New Roman"/>
        </w:rPr>
        <w:t>Armstrong (2018)</w:t>
      </w:r>
      <w:r w:rsidR="00186127">
        <w:rPr>
          <w:rFonts w:ascii="Times New Roman" w:hAnsi="Times New Roman" w:cs="Times New Roman"/>
        </w:rPr>
        <w:t xml:space="preserve"> n 26</w:t>
      </w:r>
    </w:p>
  </w:footnote>
  <w:footnote w:id="112">
    <w:p w14:paraId="2464F347" w14:textId="2DFC4D4D"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w:t>
      </w:r>
      <w:r w:rsidR="00561407" w:rsidRPr="00AA6127">
        <w:rPr>
          <w:rFonts w:ascii="Times New Roman" w:hAnsi="Times New Roman" w:cs="Times New Roman"/>
        </w:rPr>
        <w:t>nu</w:t>
      </w:r>
      <w:r w:rsidRPr="00DD6DB0">
        <w:rPr>
          <w:rFonts w:ascii="Times New Roman" w:hAnsi="Times New Roman" w:cs="Times New Roman"/>
        </w:rPr>
        <w:t xml:space="preserve"> Bradford, ‘Th</w:t>
      </w:r>
      <w:r w:rsidRPr="00DD6DB0">
        <w:rPr>
          <w:rFonts w:ascii="Times New Roman" w:hAnsi="Times New Roman" w:cs="Times New Roman"/>
        </w:rPr>
        <w:softHyphen/>
        <w:t>e Brussels Effect’ (2015)107 Northwestern University Law Review 1</w:t>
      </w:r>
    </w:p>
  </w:footnote>
  <w:footnote w:id="113">
    <w:p w14:paraId="3C0FAF96" w14:textId="0D9CC33A"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ibid, 17-19, Scott (2019</w:t>
      </w:r>
      <w:r w:rsidRPr="00F17481">
        <w:rPr>
          <w:rFonts w:ascii="Times New Roman" w:hAnsi="Times New Roman" w:cs="Times New Roman"/>
        </w:rPr>
        <w:t xml:space="preserve">) </w:t>
      </w:r>
      <w:r w:rsidRPr="00964E46">
        <w:rPr>
          <w:rFonts w:ascii="Times New Roman" w:hAnsi="Times New Roman" w:cs="Times New Roman"/>
        </w:rPr>
        <w:t>n 10</w:t>
      </w:r>
      <w:r w:rsidR="00CC62B2" w:rsidRPr="00964E46">
        <w:rPr>
          <w:rFonts w:ascii="Times New Roman" w:hAnsi="Times New Roman" w:cs="Times New Roman"/>
        </w:rPr>
        <w:t>7</w:t>
      </w:r>
      <w:r w:rsidRPr="00964E46">
        <w:rPr>
          <w:rFonts w:ascii="Times New Roman" w:hAnsi="Times New Roman" w:cs="Times New Roman"/>
        </w:rPr>
        <w:t>,</w:t>
      </w:r>
      <w:r w:rsidRPr="00982449">
        <w:rPr>
          <w:rFonts w:ascii="Times New Roman" w:hAnsi="Times New Roman" w:cs="Times New Roman"/>
        </w:rPr>
        <w:t xml:space="preserve"> 32-33</w:t>
      </w:r>
    </w:p>
  </w:footnote>
  <w:footnote w:id="114">
    <w:p w14:paraId="27C67475" w14:textId="35C053E0"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Scott (2019) </w:t>
      </w:r>
      <w:r w:rsidRPr="00F17481">
        <w:rPr>
          <w:rFonts w:ascii="Times New Roman" w:hAnsi="Times New Roman" w:cs="Times New Roman"/>
        </w:rPr>
        <w:t>n 10</w:t>
      </w:r>
      <w:r w:rsidR="00F17481" w:rsidRPr="00F17481">
        <w:rPr>
          <w:rFonts w:ascii="Times New Roman" w:hAnsi="Times New Roman" w:cs="Times New Roman"/>
        </w:rPr>
        <w:t>7</w:t>
      </w:r>
      <w:r w:rsidRPr="00F17481">
        <w:rPr>
          <w:rFonts w:ascii="Times New Roman" w:hAnsi="Times New Roman" w:cs="Times New Roman"/>
        </w:rPr>
        <w:t>,</w:t>
      </w:r>
      <w:r w:rsidRPr="00982449">
        <w:rPr>
          <w:rFonts w:ascii="Times New Roman" w:hAnsi="Times New Roman" w:cs="Times New Roman"/>
        </w:rPr>
        <w:t xml:space="preserve"> 31</w:t>
      </w:r>
    </w:p>
  </w:footnote>
  <w:footnote w:id="115">
    <w:p w14:paraId="0CEB6F02" w14:textId="193889D3"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See Adrienne Héritier</w:t>
      </w:r>
      <w:r w:rsidRPr="00AA6127">
        <w:rPr>
          <w:rFonts w:ascii="Times New Roman" w:hAnsi="Times New Roman" w:cs="Times New Roman"/>
        </w:rPr>
        <w:t xml:space="preserve"> (2002) ‘New Modes of Governance in Europe: Policy Making without Legislating?’ (2002) IHS Political Science Series, No. 81 on ‘policy-making without legislating’ through transgovernmental committees and regulatory agencies</w:t>
      </w:r>
    </w:p>
  </w:footnote>
  <w:footnote w:id="116">
    <w:p w14:paraId="32B5B4B9" w14:textId="67153F51"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5F0067">
        <w:rPr>
          <w:rFonts w:ascii="Times New Roman" w:hAnsi="Times New Roman" w:cs="Times New Roman"/>
        </w:rPr>
        <w:t>n 7</w:t>
      </w:r>
      <w:r w:rsidR="00EF1330" w:rsidRPr="00964E46">
        <w:rPr>
          <w:rFonts w:ascii="Times New Roman" w:hAnsi="Times New Roman" w:cs="Times New Roman"/>
        </w:rPr>
        <w:t>9</w:t>
      </w:r>
      <w:r w:rsidRPr="00964E46">
        <w:rPr>
          <w:rFonts w:ascii="Times New Roman" w:hAnsi="Times New Roman" w:cs="Times New Roman"/>
          <w:i/>
          <w:iCs/>
        </w:rPr>
        <w:t>,</w:t>
      </w:r>
      <w:r w:rsidRPr="00982449">
        <w:rPr>
          <w:rFonts w:ascii="Times New Roman" w:hAnsi="Times New Roman" w:cs="Times New Roman"/>
          <w:i/>
          <w:iCs/>
        </w:rPr>
        <w:t xml:space="preserve"> </w:t>
      </w:r>
      <w:r w:rsidRPr="00754C87">
        <w:rPr>
          <w:rFonts w:ascii="Times New Roman" w:hAnsi="Times New Roman" w:cs="Times New Roman"/>
        </w:rPr>
        <w:t>Armstrong (2018)</w:t>
      </w:r>
      <w:r w:rsidRPr="00754C87">
        <w:rPr>
          <w:rFonts w:ascii="Times New Roman" w:hAnsi="Times New Roman" w:cs="Times New Roman"/>
          <w:i/>
          <w:iCs/>
        </w:rPr>
        <w:t xml:space="preserve"> </w:t>
      </w:r>
      <w:r w:rsidRPr="00754C87">
        <w:rPr>
          <w:rFonts w:ascii="Times New Roman" w:hAnsi="Times New Roman" w:cs="Times New Roman"/>
        </w:rPr>
        <w:t xml:space="preserve">n </w:t>
      </w:r>
      <w:r w:rsidR="00754C87" w:rsidRPr="00754C87">
        <w:rPr>
          <w:rFonts w:ascii="Times New Roman" w:hAnsi="Times New Roman" w:cs="Times New Roman"/>
        </w:rPr>
        <w:t>26</w:t>
      </w:r>
    </w:p>
  </w:footnote>
  <w:footnote w:id="117">
    <w:p w14:paraId="11BB42E6" w14:textId="7ACCF91F"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Lavenex (2014) </w:t>
      </w:r>
      <w:r w:rsidRPr="001B42AA">
        <w:rPr>
          <w:rFonts w:ascii="Times New Roman" w:hAnsi="Times New Roman" w:cs="Times New Roman"/>
        </w:rPr>
        <w:t>n 10</w:t>
      </w:r>
      <w:r w:rsidR="001B42AA" w:rsidRPr="00EE12BC">
        <w:rPr>
          <w:rFonts w:ascii="Times New Roman" w:hAnsi="Times New Roman" w:cs="Times New Roman"/>
        </w:rPr>
        <w:t>6</w:t>
      </w:r>
      <w:r w:rsidR="00561407" w:rsidRPr="00982449">
        <w:rPr>
          <w:rFonts w:ascii="Times New Roman" w:hAnsi="Times New Roman" w:cs="Times New Roman"/>
        </w:rPr>
        <w:t>,</w:t>
      </w:r>
      <w:r w:rsidRPr="00982449">
        <w:rPr>
          <w:rFonts w:ascii="Times New Roman" w:hAnsi="Times New Roman" w:cs="Times New Roman"/>
        </w:rPr>
        <w:t xml:space="preserve"> 887, 890 </w:t>
      </w:r>
    </w:p>
  </w:footnote>
  <w:footnote w:id="118">
    <w:p w14:paraId="4A4B4CA2" w14:textId="385BF9A3"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Henry Farrell and Abraham L Newman ‘Domestic Institutions beyond the Nation-State: Charting the New Interdependence Approach’ (2014) 66 World Politics 331, 345</w:t>
      </w:r>
    </w:p>
  </w:footnote>
  <w:footnote w:id="119">
    <w:p w14:paraId="61F60D48" w14:textId="368FB7D9"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Sandra Lavenex ‘The </w:t>
      </w:r>
      <w:r w:rsidR="00DA7077" w:rsidRPr="00DD6DB0">
        <w:rPr>
          <w:rFonts w:ascii="Times New Roman" w:hAnsi="Times New Roman" w:cs="Times New Roman"/>
        </w:rPr>
        <w:t>E</w:t>
      </w:r>
      <w:r w:rsidRPr="00982449">
        <w:rPr>
          <w:rFonts w:ascii="Times New Roman" w:hAnsi="Times New Roman" w:cs="Times New Roman"/>
        </w:rPr>
        <w:t xml:space="preserve">xternal </w:t>
      </w:r>
      <w:r w:rsidR="00DA7077" w:rsidRPr="00982449">
        <w:rPr>
          <w:rFonts w:ascii="Times New Roman" w:hAnsi="Times New Roman" w:cs="Times New Roman"/>
        </w:rPr>
        <w:t>F</w:t>
      </w:r>
      <w:r w:rsidRPr="00982449">
        <w:rPr>
          <w:rFonts w:ascii="Times New Roman" w:hAnsi="Times New Roman" w:cs="Times New Roman"/>
        </w:rPr>
        <w:t xml:space="preserve">ace of </w:t>
      </w:r>
      <w:r w:rsidR="00DA7077" w:rsidRPr="00982449">
        <w:rPr>
          <w:rFonts w:ascii="Times New Roman" w:hAnsi="Times New Roman" w:cs="Times New Roman"/>
        </w:rPr>
        <w:t>D</w:t>
      </w:r>
      <w:r w:rsidRPr="004D577C">
        <w:rPr>
          <w:rFonts w:ascii="Times New Roman" w:hAnsi="Times New Roman" w:cs="Times New Roman"/>
        </w:rPr>
        <w:t xml:space="preserve">ifferentiated </w:t>
      </w:r>
      <w:r w:rsidR="00DA7077" w:rsidRPr="004D577C">
        <w:rPr>
          <w:rFonts w:ascii="Times New Roman" w:hAnsi="Times New Roman" w:cs="Times New Roman"/>
        </w:rPr>
        <w:t>I</w:t>
      </w:r>
      <w:r w:rsidRPr="004D577C">
        <w:rPr>
          <w:rFonts w:ascii="Times New Roman" w:hAnsi="Times New Roman" w:cs="Times New Roman"/>
        </w:rPr>
        <w:t xml:space="preserve">ntegration: </w:t>
      </w:r>
      <w:r w:rsidR="00DA7077" w:rsidRPr="004D577C">
        <w:rPr>
          <w:rFonts w:ascii="Times New Roman" w:hAnsi="Times New Roman" w:cs="Times New Roman"/>
        </w:rPr>
        <w:t>T</w:t>
      </w:r>
      <w:r w:rsidRPr="004D577C">
        <w:rPr>
          <w:rFonts w:ascii="Times New Roman" w:hAnsi="Times New Roman" w:cs="Times New Roman"/>
        </w:rPr>
        <w:t xml:space="preserve">hird </w:t>
      </w:r>
      <w:r w:rsidR="00DA7077" w:rsidRPr="004D577C">
        <w:rPr>
          <w:rFonts w:ascii="Times New Roman" w:hAnsi="Times New Roman" w:cs="Times New Roman"/>
        </w:rPr>
        <w:t>C</w:t>
      </w:r>
      <w:r w:rsidRPr="004D577C">
        <w:rPr>
          <w:rFonts w:ascii="Times New Roman" w:hAnsi="Times New Roman" w:cs="Times New Roman"/>
        </w:rPr>
        <w:t xml:space="preserve">ountry </w:t>
      </w:r>
      <w:r w:rsidR="00DA7077" w:rsidRPr="004D577C">
        <w:rPr>
          <w:rFonts w:ascii="Times New Roman" w:hAnsi="Times New Roman" w:cs="Times New Roman"/>
        </w:rPr>
        <w:t>P</w:t>
      </w:r>
      <w:r w:rsidRPr="004D577C">
        <w:rPr>
          <w:rFonts w:ascii="Times New Roman" w:hAnsi="Times New Roman" w:cs="Times New Roman"/>
        </w:rPr>
        <w:t xml:space="preserve">articipation in EU </w:t>
      </w:r>
      <w:r w:rsidR="00DA7077" w:rsidRPr="004D577C">
        <w:rPr>
          <w:rFonts w:ascii="Times New Roman" w:hAnsi="Times New Roman" w:cs="Times New Roman"/>
        </w:rPr>
        <w:t>S</w:t>
      </w:r>
      <w:r w:rsidRPr="004D577C">
        <w:rPr>
          <w:rFonts w:ascii="Times New Roman" w:hAnsi="Times New Roman" w:cs="Times New Roman"/>
        </w:rPr>
        <w:t xml:space="preserve">ectoral </w:t>
      </w:r>
      <w:r w:rsidR="00DA7077" w:rsidRPr="004D577C">
        <w:rPr>
          <w:rFonts w:ascii="Times New Roman" w:hAnsi="Times New Roman" w:cs="Times New Roman"/>
        </w:rPr>
        <w:t>B</w:t>
      </w:r>
      <w:r w:rsidRPr="004D577C">
        <w:rPr>
          <w:rFonts w:ascii="Times New Roman" w:hAnsi="Times New Roman" w:cs="Times New Roman"/>
        </w:rPr>
        <w:t>odies’ (2015) 22 JEPP 836, 839</w:t>
      </w:r>
    </w:p>
  </w:footnote>
  <w:footnote w:id="120">
    <w:p w14:paraId="0575BAA0" w14:textId="4921A7E7" w:rsidR="0083397A" w:rsidRPr="00982449" w:rsidRDefault="0083397A" w:rsidP="00057F58">
      <w:pPr>
        <w:pStyle w:val="FootnoteText"/>
        <w:rPr>
          <w:rFonts w:ascii="Times New Roman" w:hAnsi="Times New Roman" w:cs="Times New Roman"/>
          <w:i/>
          <w:i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1B42AA">
        <w:rPr>
          <w:rFonts w:ascii="Times New Roman" w:hAnsi="Times New Roman" w:cs="Times New Roman"/>
        </w:rPr>
        <w:t>Ibid</w:t>
      </w:r>
    </w:p>
  </w:footnote>
  <w:footnote w:id="121">
    <w:p w14:paraId="076C1B41" w14:textId="4181D9DA"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 Lavenex, D Lehmkuhl &amp; N Wichmann ‘Modes of </w:t>
      </w:r>
      <w:r w:rsidR="00DA7077" w:rsidRPr="00DD6DB0">
        <w:rPr>
          <w:rFonts w:ascii="Times New Roman" w:hAnsi="Times New Roman" w:cs="Times New Roman"/>
        </w:rPr>
        <w:t>E</w:t>
      </w:r>
      <w:r w:rsidRPr="00982449">
        <w:rPr>
          <w:rFonts w:ascii="Times New Roman" w:hAnsi="Times New Roman" w:cs="Times New Roman"/>
        </w:rPr>
        <w:t xml:space="preserve">xternal </w:t>
      </w:r>
      <w:r w:rsidR="00DA7077" w:rsidRPr="00982449">
        <w:rPr>
          <w:rFonts w:ascii="Times New Roman" w:hAnsi="Times New Roman" w:cs="Times New Roman"/>
        </w:rPr>
        <w:t>G</w:t>
      </w:r>
      <w:r w:rsidRPr="00982449">
        <w:rPr>
          <w:rFonts w:ascii="Times New Roman" w:hAnsi="Times New Roman" w:cs="Times New Roman"/>
        </w:rPr>
        <w:t xml:space="preserve">overnance: </w:t>
      </w:r>
      <w:proofErr w:type="gramStart"/>
      <w:r w:rsidRPr="00982449">
        <w:rPr>
          <w:rFonts w:ascii="Times New Roman" w:hAnsi="Times New Roman" w:cs="Times New Roman"/>
        </w:rPr>
        <w:t>a</w:t>
      </w:r>
      <w:proofErr w:type="gramEnd"/>
      <w:r w:rsidRPr="00982449">
        <w:rPr>
          <w:rFonts w:ascii="Times New Roman" w:hAnsi="Times New Roman" w:cs="Times New Roman"/>
        </w:rPr>
        <w:t xml:space="preserve"> </w:t>
      </w:r>
      <w:r w:rsidR="00DA7077" w:rsidRPr="00982449">
        <w:rPr>
          <w:rFonts w:ascii="Times New Roman" w:hAnsi="Times New Roman" w:cs="Times New Roman"/>
        </w:rPr>
        <w:t>C</w:t>
      </w:r>
      <w:r w:rsidRPr="004D577C">
        <w:rPr>
          <w:rFonts w:ascii="Times New Roman" w:hAnsi="Times New Roman" w:cs="Times New Roman"/>
        </w:rPr>
        <w:t>ross-</w:t>
      </w:r>
      <w:r w:rsidR="00DA7077" w:rsidRPr="004D577C">
        <w:rPr>
          <w:rFonts w:ascii="Times New Roman" w:hAnsi="Times New Roman" w:cs="Times New Roman"/>
        </w:rPr>
        <w:t>N</w:t>
      </w:r>
      <w:r w:rsidRPr="004D577C">
        <w:rPr>
          <w:rFonts w:ascii="Times New Roman" w:hAnsi="Times New Roman" w:cs="Times New Roman"/>
        </w:rPr>
        <w:t xml:space="preserve">ational and </w:t>
      </w:r>
      <w:r w:rsidR="00DA7077" w:rsidRPr="004D577C">
        <w:rPr>
          <w:rFonts w:ascii="Times New Roman" w:hAnsi="Times New Roman" w:cs="Times New Roman"/>
        </w:rPr>
        <w:t>C</w:t>
      </w:r>
      <w:r w:rsidRPr="004D577C">
        <w:rPr>
          <w:rFonts w:ascii="Times New Roman" w:hAnsi="Times New Roman" w:cs="Times New Roman"/>
        </w:rPr>
        <w:t>ross-</w:t>
      </w:r>
      <w:r w:rsidR="00DA7077" w:rsidRPr="004D577C">
        <w:rPr>
          <w:rFonts w:ascii="Times New Roman" w:hAnsi="Times New Roman" w:cs="Times New Roman"/>
        </w:rPr>
        <w:t>S</w:t>
      </w:r>
      <w:r w:rsidRPr="004D577C">
        <w:rPr>
          <w:rFonts w:ascii="Times New Roman" w:hAnsi="Times New Roman" w:cs="Times New Roman"/>
        </w:rPr>
        <w:t xml:space="preserve">ectoral </w:t>
      </w:r>
      <w:r w:rsidR="00DA7077" w:rsidRPr="004D577C">
        <w:rPr>
          <w:rFonts w:ascii="Times New Roman" w:hAnsi="Times New Roman" w:cs="Times New Roman"/>
        </w:rPr>
        <w:t>C</w:t>
      </w:r>
      <w:r w:rsidRPr="004D577C">
        <w:rPr>
          <w:rFonts w:ascii="Times New Roman" w:hAnsi="Times New Roman" w:cs="Times New Roman"/>
        </w:rPr>
        <w:t>omparison’ (2009) 16 JEPP 813, 813</w:t>
      </w:r>
    </w:p>
  </w:footnote>
  <w:footnote w:id="122">
    <w:p w14:paraId="14ACDC40" w14:textId="7E0A6A7E"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Jarle Trondal and Nadja Kühn ‘Governing a Post-Brexit Europe and the </w:t>
      </w:r>
      <w:r w:rsidR="00DA7077" w:rsidRPr="00DD6DB0">
        <w:rPr>
          <w:rFonts w:ascii="Times New Roman" w:hAnsi="Times New Roman" w:cs="Times New Roman"/>
        </w:rPr>
        <w:t>C</w:t>
      </w:r>
      <w:r w:rsidRPr="00982449">
        <w:rPr>
          <w:rFonts w:ascii="Times New Roman" w:hAnsi="Times New Roman" w:cs="Times New Roman"/>
        </w:rPr>
        <w:t xml:space="preserve">ase of Norway: </w:t>
      </w:r>
      <w:r w:rsidR="00DA7077" w:rsidRPr="00982449">
        <w:rPr>
          <w:rFonts w:ascii="Times New Roman" w:hAnsi="Times New Roman" w:cs="Times New Roman"/>
        </w:rPr>
        <w:t>I</w:t>
      </w:r>
      <w:r w:rsidRPr="00982449">
        <w:rPr>
          <w:rFonts w:ascii="Times New Roman" w:hAnsi="Times New Roman" w:cs="Times New Roman"/>
        </w:rPr>
        <w:t xml:space="preserve">ntegration </w:t>
      </w:r>
      <w:r w:rsidR="00DA7077" w:rsidRPr="00982449">
        <w:rPr>
          <w:rFonts w:ascii="Times New Roman" w:hAnsi="Times New Roman" w:cs="Times New Roman"/>
        </w:rPr>
        <w:t>W</w:t>
      </w:r>
      <w:r w:rsidRPr="004D577C">
        <w:rPr>
          <w:rFonts w:ascii="Times New Roman" w:hAnsi="Times New Roman" w:cs="Times New Roman"/>
        </w:rPr>
        <w:t xml:space="preserve">ithout </w:t>
      </w:r>
      <w:r w:rsidR="00DA7077" w:rsidRPr="004D577C">
        <w:rPr>
          <w:rFonts w:ascii="Times New Roman" w:hAnsi="Times New Roman" w:cs="Times New Roman"/>
        </w:rPr>
        <w:t>M</w:t>
      </w:r>
      <w:r w:rsidRPr="004D577C">
        <w:rPr>
          <w:rFonts w:ascii="Times New Roman" w:hAnsi="Times New Roman" w:cs="Times New Roman"/>
        </w:rPr>
        <w:t xml:space="preserve">embership in an </w:t>
      </w:r>
      <w:r w:rsidR="00DA7077" w:rsidRPr="004D577C">
        <w:rPr>
          <w:rFonts w:ascii="Times New Roman" w:hAnsi="Times New Roman" w:cs="Times New Roman"/>
        </w:rPr>
        <w:t>A</w:t>
      </w:r>
      <w:r w:rsidRPr="004D577C">
        <w:rPr>
          <w:rFonts w:ascii="Times New Roman" w:hAnsi="Times New Roman" w:cs="Times New Roman"/>
        </w:rPr>
        <w:t xml:space="preserve">ffiliated </w:t>
      </w:r>
      <w:r w:rsidR="00DA7077" w:rsidRPr="004D577C">
        <w:rPr>
          <w:rFonts w:ascii="Times New Roman" w:hAnsi="Times New Roman" w:cs="Times New Roman"/>
        </w:rPr>
        <w:t>S</w:t>
      </w:r>
      <w:r w:rsidRPr="004D577C">
        <w:rPr>
          <w:rFonts w:ascii="Times New Roman" w:hAnsi="Times New Roman" w:cs="Times New Roman"/>
        </w:rPr>
        <w:t xml:space="preserve">tate’ in Stefan Gänzle, Benjamin Leruth and Jarle Trondal (eds) </w:t>
      </w:r>
      <w:r w:rsidRPr="004D577C">
        <w:rPr>
          <w:rFonts w:ascii="Times New Roman" w:hAnsi="Times New Roman" w:cs="Times New Roman"/>
          <w:i/>
          <w:iCs/>
        </w:rPr>
        <w:t>Differentiated Integration and Disintegration in a Post-Brexit</w:t>
      </w:r>
      <w:r w:rsidRPr="004D577C">
        <w:rPr>
          <w:rFonts w:ascii="Times New Roman" w:hAnsi="Times New Roman" w:cs="Times New Roman"/>
        </w:rPr>
        <w:t xml:space="preserve"> </w:t>
      </w:r>
      <w:r w:rsidRPr="004D577C">
        <w:rPr>
          <w:rFonts w:ascii="Times New Roman" w:hAnsi="Times New Roman" w:cs="Times New Roman"/>
          <w:i/>
          <w:iCs/>
        </w:rPr>
        <w:t>Era</w:t>
      </w:r>
      <w:r w:rsidRPr="004D577C">
        <w:rPr>
          <w:rFonts w:ascii="Times New Roman" w:hAnsi="Times New Roman" w:cs="Times New Roman"/>
        </w:rPr>
        <w:t xml:space="preserve"> (Routledge, 2019), 173</w:t>
      </w:r>
    </w:p>
  </w:footnote>
  <w:footnote w:id="123">
    <w:p w14:paraId="6765E8BB" w14:textId="15FACB46"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w:t>
      </w:r>
      <w:r w:rsidRPr="0036310A">
        <w:rPr>
          <w:rFonts w:ascii="Times New Roman" w:hAnsi="Times New Roman" w:cs="Times New Roman"/>
        </w:rPr>
        <w:t>Ibid,</w:t>
      </w:r>
      <w:r w:rsidRPr="00982449">
        <w:rPr>
          <w:rFonts w:ascii="Times New Roman" w:hAnsi="Times New Roman" w:cs="Times New Roman"/>
        </w:rPr>
        <w:t xml:space="preserve"> 165</w:t>
      </w:r>
    </w:p>
  </w:footnote>
  <w:footnote w:id="124">
    <w:p w14:paraId="1225B207" w14:textId="6AF0DC09" w:rsidR="0083397A" w:rsidRPr="004D577C"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Stefan Gänzle, Benjamin Leruth and Jarle Trondal ‘Whither </w:t>
      </w:r>
      <w:r w:rsidR="00DA7077" w:rsidRPr="00DD6DB0">
        <w:rPr>
          <w:rFonts w:ascii="Times New Roman" w:hAnsi="Times New Roman" w:cs="Times New Roman"/>
        </w:rPr>
        <w:t>D</w:t>
      </w:r>
      <w:r w:rsidRPr="00982449">
        <w:rPr>
          <w:rFonts w:ascii="Times New Roman" w:hAnsi="Times New Roman" w:cs="Times New Roman"/>
        </w:rPr>
        <w:t>ifferentiated (</w:t>
      </w:r>
      <w:r w:rsidR="00DA7077" w:rsidRPr="00982449">
        <w:rPr>
          <w:rFonts w:ascii="Times New Roman" w:hAnsi="Times New Roman" w:cs="Times New Roman"/>
        </w:rPr>
        <w:t>D</w:t>
      </w:r>
      <w:r w:rsidRPr="00982449">
        <w:rPr>
          <w:rFonts w:ascii="Times New Roman" w:hAnsi="Times New Roman" w:cs="Times New Roman"/>
        </w:rPr>
        <w:t>is)</w:t>
      </w:r>
      <w:r w:rsidR="00DA7077" w:rsidRPr="00982449">
        <w:rPr>
          <w:rFonts w:ascii="Times New Roman" w:hAnsi="Times New Roman" w:cs="Times New Roman"/>
        </w:rPr>
        <w:t>I</w:t>
      </w:r>
      <w:r w:rsidRPr="004D577C">
        <w:rPr>
          <w:rFonts w:ascii="Times New Roman" w:hAnsi="Times New Roman" w:cs="Times New Roman"/>
        </w:rPr>
        <w:t>ntegration in a ‘</w:t>
      </w:r>
      <w:r w:rsidR="00384876" w:rsidRPr="004D577C">
        <w:rPr>
          <w:rFonts w:ascii="Times New Roman" w:hAnsi="Times New Roman" w:cs="Times New Roman"/>
        </w:rPr>
        <w:t>P</w:t>
      </w:r>
      <w:r w:rsidRPr="004D577C">
        <w:rPr>
          <w:rFonts w:ascii="Times New Roman" w:hAnsi="Times New Roman" w:cs="Times New Roman"/>
        </w:rPr>
        <w:t>ost-Brexit</w:t>
      </w:r>
      <w:r w:rsidR="00384876" w:rsidRPr="004D577C">
        <w:rPr>
          <w:rFonts w:ascii="Times New Roman" w:hAnsi="Times New Roman" w:cs="Times New Roman"/>
        </w:rPr>
        <w:t xml:space="preserve"> E</w:t>
      </w:r>
      <w:r w:rsidRPr="004D577C">
        <w:rPr>
          <w:rFonts w:ascii="Times New Roman" w:hAnsi="Times New Roman" w:cs="Times New Roman"/>
        </w:rPr>
        <w:t xml:space="preserve">ra’? in Stefan Gänzle, Benjamin Leruth and Jarle Trondal (eds) </w:t>
      </w:r>
      <w:r w:rsidRPr="004D577C">
        <w:rPr>
          <w:rFonts w:ascii="Times New Roman" w:hAnsi="Times New Roman" w:cs="Times New Roman"/>
          <w:i/>
          <w:iCs/>
        </w:rPr>
        <w:t>Differentiated Integration and Disintegration in a Post-Brexit</w:t>
      </w:r>
      <w:r w:rsidRPr="004D577C">
        <w:rPr>
          <w:rFonts w:ascii="Times New Roman" w:hAnsi="Times New Roman" w:cs="Times New Roman"/>
        </w:rPr>
        <w:t xml:space="preserve"> </w:t>
      </w:r>
      <w:r w:rsidRPr="004D577C">
        <w:rPr>
          <w:rFonts w:ascii="Times New Roman" w:hAnsi="Times New Roman" w:cs="Times New Roman"/>
          <w:i/>
          <w:iCs/>
        </w:rPr>
        <w:t>Era</w:t>
      </w:r>
      <w:r w:rsidRPr="004D577C">
        <w:rPr>
          <w:rFonts w:ascii="Times New Roman" w:hAnsi="Times New Roman" w:cs="Times New Roman"/>
        </w:rPr>
        <w:t xml:space="preserve"> (Routledge, 2019), 243</w:t>
      </w:r>
    </w:p>
  </w:footnote>
  <w:footnote w:id="125">
    <w:p w14:paraId="18DF654C" w14:textId="3530C715" w:rsidR="0083397A" w:rsidRPr="00982449" w:rsidRDefault="0083397A"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New UK public bodies created following Brexit include the Office for Environmental Protection, the Independent Monitoring Authority for Citizens’ Rights, the Trade </w:t>
      </w:r>
      <w:r w:rsidRPr="00982449">
        <w:rPr>
          <w:rFonts w:ascii="Times New Roman" w:hAnsi="Times New Roman" w:cs="Times New Roman"/>
        </w:rPr>
        <w:t xml:space="preserve">Remedies Authority, the Office for the (UK) Internal Market (sitting within the CMA), and the UK Office for SPS Trade Assurance coordinating market access for imports of animals and animal products. The existing Competition and Markets Authority has taken on the subsidy oversight role required by the TCA. In chemicals, aviation and medicines, responsibilities from the EU level have been taken over by existing authorities: </w:t>
      </w:r>
      <w:proofErr w:type="gramStart"/>
      <w:r w:rsidRPr="00982449">
        <w:rPr>
          <w:rFonts w:ascii="Times New Roman" w:hAnsi="Times New Roman" w:cs="Times New Roman"/>
        </w:rPr>
        <w:t>the</w:t>
      </w:r>
      <w:proofErr w:type="gramEnd"/>
      <w:r w:rsidRPr="00982449">
        <w:rPr>
          <w:rFonts w:ascii="Times New Roman" w:hAnsi="Times New Roman" w:cs="Times New Roman"/>
        </w:rPr>
        <w:t xml:space="preserve"> Health &amp; Safety Executive and the Environment Agency, the Civil Aviation Authority, and the Medicines and Healthcare Products Regulatory Agency respectively.</w:t>
      </w:r>
    </w:p>
  </w:footnote>
  <w:footnote w:id="126">
    <w:p w14:paraId="483FC81D" w14:textId="754EF8E9" w:rsidR="0083397A" w:rsidRPr="00982449" w:rsidRDefault="0083397A" w:rsidP="00057F58">
      <w:pPr>
        <w:pStyle w:val="FootnoteText"/>
        <w:rPr>
          <w:rFonts w:ascii="Times New Roman" w:hAnsi="Times New Roman" w:cs="Times New Roman"/>
          <w:i/>
          <w:iCs/>
        </w:rPr>
      </w:pPr>
      <w:r w:rsidRPr="004D577C">
        <w:rPr>
          <w:rStyle w:val="FootnoteReference"/>
          <w:rFonts w:ascii="Times New Roman" w:hAnsi="Times New Roman" w:cs="Times New Roman"/>
        </w:rPr>
        <w:footnoteRef/>
      </w:r>
      <w:r w:rsidRPr="004D577C">
        <w:rPr>
          <w:rFonts w:ascii="Times New Roman" w:hAnsi="Times New Roman" w:cs="Times New Roman"/>
        </w:rPr>
        <w:t xml:space="preserve"> European Commission ‘EU-UK Trade and Cooperation Agreement: protecting European interests, ensuring fair competition, and continued cooperation in areas of mutual interest’ press</w:t>
      </w:r>
      <w:r w:rsidRPr="00982449">
        <w:rPr>
          <w:rFonts w:ascii="Times New Roman" w:hAnsi="Times New Roman" w:cs="Times New Roman"/>
        </w:rPr>
        <w:t xml:space="preserve"> release, 24 December 2020, available at &lt;</w:t>
      </w:r>
      <w:hyperlink r:id="rId7" w:history="1">
        <w:r w:rsidRPr="004D577C">
          <w:rPr>
            <w:rStyle w:val="Hyperlink"/>
            <w:rFonts w:ascii="Times New Roman" w:hAnsi="Times New Roman" w:cs="Times New Roman"/>
          </w:rPr>
          <w:t>https://ec.europa.eu/commission/presscorner/detail/en/ip_20_2531</w:t>
        </w:r>
      </w:hyperlink>
      <w:r w:rsidRPr="004D577C">
        <w:rPr>
          <w:rStyle w:val="Hyperlink"/>
          <w:rFonts w:ascii="Times New Roman" w:hAnsi="Times New Roman" w:cs="Times New Roman"/>
        </w:rPr>
        <w:t xml:space="preserve">&gt; </w:t>
      </w:r>
      <w:r w:rsidRPr="00982449">
        <w:rPr>
          <w:rStyle w:val="Hyperlink"/>
          <w:rFonts w:ascii="Times New Roman" w:hAnsi="Times New Roman" w:cs="Times New Roman"/>
          <w:color w:val="auto"/>
          <w:u w:val="none"/>
        </w:rPr>
        <w:t xml:space="preserve">accessed </w:t>
      </w:r>
      <w:r w:rsidR="00C37E92" w:rsidRPr="00982449">
        <w:rPr>
          <w:rStyle w:val="Hyperlink"/>
          <w:rFonts w:ascii="Times New Roman" w:hAnsi="Times New Roman" w:cs="Times New Roman"/>
          <w:color w:val="auto"/>
          <w:u w:val="none"/>
        </w:rPr>
        <w:t>7 March 2021</w:t>
      </w:r>
    </w:p>
  </w:footnote>
  <w:footnote w:id="127">
    <w:p w14:paraId="45435F3E" w14:textId="0E8F91C3" w:rsidR="009C2139" w:rsidRPr="00982449" w:rsidRDefault="009C2139"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5 WA</w:t>
      </w:r>
    </w:p>
  </w:footnote>
  <w:footnote w:id="128">
    <w:p w14:paraId="37EF200C" w14:textId="2C68FF01" w:rsidR="00057F58" w:rsidRPr="004D577C" w:rsidRDefault="00057F58"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129 (3):  “In accordance with the </w:t>
      </w:r>
      <w:r w:rsidRPr="00982449">
        <w:rPr>
          <w:rFonts w:ascii="Times New Roman" w:hAnsi="Times New Roman" w:cs="Times New Roman"/>
          <w:i/>
          <w:iCs/>
        </w:rPr>
        <w:t>principle of sincere cooperation</w:t>
      </w:r>
      <w:r w:rsidRPr="00982449">
        <w:rPr>
          <w:rFonts w:ascii="Times New Roman" w:hAnsi="Times New Roman" w:cs="Times New Roman"/>
        </w:rPr>
        <w:t>, the United Kingdom shall refrain, during the transition period, from any action or initiative which is likely to be prejudicial to the Union's interests, in particular in the framework of any international organisation, agency, conference or forum of which the United Kingdom is a party in its own right.”</w:t>
      </w:r>
      <w:r w:rsidR="00A12B65" w:rsidRPr="00982449">
        <w:rPr>
          <w:rFonts w:ascii="Times New Roman" w:hAnsi="Times New Roman" w:cs="Times New Roman"/>
        </w:rPr>
        <w:t xml:space="preserve"> (emphasis added)</w:t>
      </w:r>
    </w:p>
  </w:footnote>
  <w:footnote w:id="129">
    <w:p w14:paraId="21742236" w14:textId="0A49F9CA" w:rsidR="00057F58" w:rsidRPr="00982449" w:rsidRDefault="00057F58" w:rsidP="00057F58">
      <w:pPr>
        <w:spacing w:after="0" w:line="240" w:lineRule="auto"/>
        <w:rPr>
          <w:rFonts w:ascii="Times New Roman" w:hAnsi="Times New Roman" w:cs="Times New Roman"/>
          <w:bCs/>
          <w:sz w:val="20"/>
          <w:szCs w:val="20"/>
        </w:rPr>
      </w:pPr>
      <w:r w:rsidRPr="004D577C">
        <w:rPr>
          <w:rStyle w:val="FootnoteReference"/>
          <w:rFonts w:ascii="Times New Roman" w:hAnsi="Times New Roman" w:cs="Times New Roman"/>
          <w:sz w:val="20"/>
          <w:szCs w:val="20"/>
        </w:rPr>
        <w:footnoteRef/>
      </w:r>
      <w:r w:rsidRPr="004D577C">
        <w:rPr>
          <w:rFonts w:ascii="Times New Roman" w:hAnsi="Times New Roman" w:cs="Times New Roman"/>
          <w:sz w:val="20"/>
          <w:szCs w:val="20"/>
        </w:rPr>
        <w:t xml:space="preserve"> Art </w:t>
      </w:r>
      <w:r w:rsidRPr="00982449">
        <w:rPr>
          <w:rFonts w:ascii="Times New Roman" w:hAnsi="Times New Roman" w:cs="Times New Roman"/>
          <w:bCs/>
          <w:sz w:val="20"/>
          <w:szCs w:val="20"/>
        </w:rPr>
        <w:t>LPF Art 9.4(8)</w:t>
      </w:r>
      <w:r w:rsidRPr="00982449">
        <w:rPr>
          <w:rFonts w:ascii="Times New Roman" w:hAnsi="Times New Roman" w:cs="Times New Roman"/>
          <w:sz w:val="20"/>
          <w:szCs w:val="20"/>
        </w:rPr>
        <w:t xml:space="preserve"> TCA</w:t>
      </w:r>
    </w:p>
  </w:footnote>
  <w:footnote w:id="130">
    <w:p w14:paraId="66A5DA74" w14:textId="7D35FFB5" w:rsidR="00057F58" w:rsidRPr="00982449" w:rsidRDefault="00057F58" w:rsidP="00057F58">
      <w:pPr>
        <w:pStyle w:val="FootnoteText"/>
        <w:rPr>
          <w:rFonts w:ascii="Times New Roman" w:hAnsi="Times New Roman" w:cs="Times New Roman"/>
        </w:rPr>
      </w:pPr>
      <w:r w:rsidRPr="004D577C">
        <w:rPr>
          <w:rStyle w:val="FootnoteReference"/>
          <w:rFonts w:ascii="Times New Roman" w:hAnsi="Times New Roman" w:cs="Times New Roman"/>
        </w:rPr>
        <w:footnoteRef/>
      </w:r>
      <w:r w:rsidRPr="004D577C">
        <w:rPr>
          <w:rFonts w:ascii="Times New Roman" w:hAnsi="Times New Roman" w:cs="Times New Roman"/>
        </w:rPr>
        <w:t xml:space="preserve"> Art INST.36(4) TCA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63C85"/>
    <w:multiLevelType w:val="hybridMultilevel"/>
    <w:tmpl w:val="4BCC2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865C2"/>
    <w:multiLevelType w:val="hybridMultilevel"/>
    <w:tmpl w:val="B3DEF03A"/>
    <w:lvl w:ilvl="0" w:tplc="F8D0EC8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255AC"/>
    <w:multiLevelType w:val="hybridMultilevel"/>
    <w:tmpl w:val="EFC88738"/>
    <w:lvl w:ilvl="0" w:tplc="43CC34F4">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F9397F"/>
    <w:multiLevelType w:val="hybridMultilevel"/>
    <w:tmpl w:val="7FF08802"/>
    <w:lvl w:ilvl="0" w:tplc="1B2E077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31B58"/>
    <w:multiLevelType w:val="hybridMultilevel"/>
    <w:tmpl w:val="361AF826"/>
    <w:lvl w:ilvl="0" w:tplc="7C7E753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24CAD"/>
    <w:multiLevelType w:val="hybridMultilevel"/>
    <w:tmpl w:val="8F38D986"/>
    <w:lvl w:ilvl="0" w:tplc="9AB0F99E">
      <w:start w:val="1"/>
      <w:numFmt w:val="bullet"/>
      <w:lvlText w:val=""/>
      <w:lvlJc w:val="left"/>
      <w:pPr>
        <w:tabs>
          <w:tab w:val="num" w:pos="720"/>
        </w:tabs>
        <w:ind w:left="720" w:hanging="360"/>
      </w:pPr>
      <w:rPr>
        <w:rFonts w:ascii="Wingdings" w:hAnsi="Wingdings" w:hint="default"/>
      </w:rPr>
    </w:lvl>
    <w:lvl w:ilvl="1" w:tplc="B48A96AA" w:tentative="1">
      <w:start w:val="1"/>
      <w:numFmt w:val="bullet"/>
      <w:lvlText w:val=""/>
      <w:lvlJc w:val="left"/>
      <w:pPr>
        <w:tabs>
          <w:tab w:val="num" w:pos="1440"/>
        </w:tabs>
        <w:ind w:left="1440" w:hanging="360"/>
      </w:pPr>
      <w:rPr>
        <w:rFonts w:ascii="Wingdings" w:hAnsi="Wingdings" w:hint="default"/>
      </w:rPr>
    </w:lvl>
    <w:lvl w:ilvl="2" w:tplc="A2B6B398" w:tentative="1">
      <w:start w:val="1"/>
      <w:numFmt w:val="bullet"/>
      <w:lvlText w:val=""/>
      <w:lvlJc w:val="left"/>
      <w:pPr>
        <w:tabs>
          <w:tab w:val="num" w:pos="2160"/>
        </w:tabs>
        <w:ind w:left="2160" w:hanging="360"/>
      </w:pPr>
      <w:rPr>
        <w:rFonts w:ascii="Wingdings" w:hAnsi="Wingdings" w:hint="default"/>
      </w:rPr>
    </w:lvl>
    <w:lvl w:ilvl="3" w:tplc="4B4E7F30" w:tentative="1">
      <w:start w:val="1"/>
      <w:numFmt w:val="bullet"/>
      <w:lvlText w:val=""/>
      <w:lvlJc w:val="left"/>
      <w:pPr>
        <w:tabs>
          <w:tab w:val="num" w:pos="2880"/>
        </w:tabs>
        <w:ind w:left="2880" w:hanging="360"/>
      </w:pPr>
      <w:rPr>
        <w:rFonts w:ascii="Wingdings" w:hAnsi="Wingdings" w:hint="default"/>
      </w:rPr>
    </w:lvl>
    <w:lvl w:ilvl="4" w:tplc="DD0826D6" w:tentative="1">
      <w:start w:val="1"/>
      <w:numFmt w:val="bullet"/>
      <w:lvlText w:val=""/>
      <w:lvlJc w:val="left"/>
      <w:pPr>
        <w:tabs>
          <w:tab w:val="num" w:pos="3600"/>
        </w:tabs>
        <w:ind w:left="3600" w:hanging="360"/>
      </w:pPr>
      <w:rPr>
        <w:rFonts w:ascii="Wingdings" w:hAnsi="Wingdings" w:hint="default"/>
      </w:rPr>
    </w:lvl>
    <w:lvl w:ilvl="5" w:tplc="5526E7FA" w:tentative="1">
      <w:start w:val="1"/>
      <w:numFmt w:val="bullet"/>
      <w:lvlText w:val=""/>
      <w:lvlJc w:val="left"/>
      <w:pPr>
        <w:tabs>
          <w:tab w:val="num" w:pos="4320"/>
        </w:tabs>
        <w:ind w:left="4320" w:hanging="360"/>
      </w:pPr>
      <w:rPr>
        <w:rFonts w:ascii="Wingdings" w:hAnsi="Wingdings" w:hint="default"/>
      </w:rPr>
    </w:lvl>
    <w:lvl w:ilvl="6" w:tplc="0526F23C" w:tentative="1">
      <w:start w:val="1"/>
      <w:numFmt w:val="bullet"/>
      <w:lvlText w:val=""/>
      <w:lvlJc w:val="left"/>
      <w:pPr>
        <w:tabs>
          <w:tab w:val="num" w:pos="5040"/>
        </w:tabs>
        <w:ind w:left="5040" w:hanging="360"/>
      </w:pPr>
      <w:rPr>
        <w:rFonts w:ascii="Wingdings" w:hAnsi="Wingdings" w:hint="default"/>
      </w:rPr>
    </w:lvl>
    <w:lvl w:ilvl="7" w:tplc="78A6E576" w:tentative="1">
      <w:start w:val="1"/>
      <w:numFmt w:val="bullet"/>
      <w:lvlText w:val=""/>
      <w:lvlJc w:val="left"/>
      <w:pPr>
        <w:tabs>
          <w:tab w:val="num" w:pos="5760"/>
        </w:tabs>
        <w:ind w:left="5760" w:hanging="360"/>
      </w:pPr>
      <w:rPr>
        <w:rFonts w:ascii="Wingdings" w:hAnsi="Wingdings" w:hint="default"/>
      </w:rPr>
    </w:lvl>
    <w:lvl w:ilvl="8" w:tplc="8382867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E728FF"/>
    <w:multiLevelType w:val="hybridMultilevel"/>
    <w:tmpl w:val="0DCCC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FE7476"/>
    <w:multiLevelType w:val="multilevel"/>
    <w:tmpl w:val="401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7269D"/>
    <w:multiLevelType w:val="hybridMultilevel"/>
    <w:tmpl w:val="D828269C"/>
    <w:lvl w:ilvl="0" w:tplc="E5BC17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EC3"/>
    <w:rsid w:val="0000039E"/>
    <w:rsid w:val="000010EF"/>
    <w:rsid w:val="00001409"/>
    <w:rsid w:val="0000142C"/>
    <w:rsid w:val="000022A4"/>
    <w:rsid w:val="000025AB"/>
    <w:rsid w:val="00003533"/>
    <w:rsid w:val="000037BD"/>
    <w:rsid w:val="00004AFF"/>
    <w:rsid w:val="0000550D"/>
    <w:rsid w:val="00005BA7"/>
    <w:rsid w:val="0000660D"/>
    <w:rsid w:val="00006CAA"/>
    <w:rsid w:val="00006FBF"/>
    <w:rsid w:val="00007158"/>
    <w:rsid w:val="0000749B"/>
    <w:rsid w:val="00007577"/>
    <w:rsid w:val="00007665"/>
    <w:rsid w:val="000101EB"/>
    <w:rsid w:val="0001154F"/>
    <w:rsid w:val="00011D01"/>
    <w:rsid w:val="00012656"/>
    <w:rsid w:val="000126ED"/>
    <w:rsid w:val="000132AB"/>
    <w:rsid w:val="0001401C"/>
    <w:rsid w:val="000143D5"/>
    <w:rsid w:val="0001487D"/>
    <w:rsid w:val="00015144"/>
    <w:rsid w:val="00016270"/>
    <w:rsid w:val="00016424"/>
    <w:rsid w:val="000175EB"/>
    <w:rsid w:val="000178FA"/>
    <w:rsid w:val="00017A13"/>
    <w:rsid w:val="00017FC3"/>
    <w:rsid w:val="0002000B"/>
    <w:rsid w:val="00020D44"/>
    <w:rsid w:val="0002132D"/>
    <w:rsid w:val="00021D37"/>
    <w:rsid w:val="00021DFD"/>
    <w:rsid w:val="000220BC"/>
    <w:rsid w:val="000220D7"/>
    <w:rsid w:val="00027CD0"/>
    <w:rsid w:val="00030F49"/>
    <w:rsid w:val="00031583"/>
    <w:rsid w:val="00035351"/>
    <w:rsid w:val="000358EE"/>
    <w:rsid w:val="00035CBF"/>
    <w:rsid w:val="00035EBD"/>
    <w:rsid w:val="00036885"/>
    <w:rsid w:val="00036D66"/>
    <w:rsid w:val="0003737E"/>
    <w:rsid w:val="000379BA"/>
    <w:rsid w:val="00040019"/>
    <w:rsid w:val="0004033F"/>
    <w:rsid w:val="00040357"/>
    <w:rsid w:val="00040478"/>
    <w:rsid w:val="0004108E"/>
    <w:rsid w:val="0004148C"/>
    <w:rsid w:val="00042101"/>
    <w:rsid w:val="000421C8"/>
    <w:rsid w:val="000422CF"/>
    <w:rsid w:val="00042680"/>
    <w:rsid w:val="000434D6"/>
    <w:rsid w:val="00044436"/>
    <w:rsid w:val="00044442"/>
    <w:rsid w:val="00044809"/>
    <w:rsid w:val="00045393"/>
    <w:rsid w:val="00046381"/>
    <w:rsid w:val="0004723B"/>
    <w:rsid w:val="0004730C"/>
    <w:rsid w:val="0004731C"/>
    <w:rsid w:val="00047684"/>
    <w:rsid w:val="00047698"/>
    <w:rsid w:val="00050CC2"/>
    <w:rsid w:val="00051F45"/>
    <w:rsid w:val="00052565"/>
    <w:rsid w:val="00052B4C"/>
    <w:rsid w:val="000534FF"/>
    <w:rsid w:val="000537E7"/>
    <w:rsid w:val="000544DA"/>
    <w:rsid w:val="00054E32"/>
    <w:rsid w:val="000550FE"/>
    <w:rsid w:val="0005597C"/>
    <w:rsid w:val="000561A7"/>
    <w:rsid w:val="00056285"/>
    <w:rsid w:val="0005671E"/>
    <w:rsid w:val="00056D84"/>
    <w:rsid w:val="00057683"/>
    <w:rsid w:val="000577F8"/>
    <w:rsid w:val="00057B48"/>
    <w:rsid w:val="00057F58"/>
    <w:rsid w:val="00057F6A"/>
    <w:rsid w:val="00060F1D"/>
    <w:rsid w:val="00061164"/>
    <w:rsid w:val="00061F94"/>
    <w:rsid w:val="000622C1"/>
    <w:rsid w:val="00062A72"/>
    <w:rsid w:val="00062FC6"/>
    <w:rsid w:val="00064150"/>
    <w:rsid w:val="000662C1"/>
    <w:rsid w:val="00066565"/>
    <w:rsid w:val="00066D13"/>
    <w:rsid w:val="000677BE"/>
    <w:rsid w:val="00067F59"/>
    <w:rsid w:val="0007152C"/>
    <w:rsid w:val="00071A9E"/>
    <w:rsid w:val="00071D4B"/>
    <w:rsid w:val="00072C72"/>
    <w:rsid w:val="000731EB"/>
    <w:rsid w:val="0007326A"/>
    <w:rsid w:val="0007390C"/>
    <w:rsid w:val="0007473D"/>
    <w:rsid w:val="00075344"/>
    <w:rsid w:val="0007550F"/>
    <w:rsid w:val="00075B4B"/>
    <w:rsid w:val="00076AF9"/>
    <w:rsid w:val="00076CB7"/>
    <w:rsid w:val="00077A34"/>
    <w:rsid w:val="00077B09"/>
    <w:rsid w:val="000808DA"/>
    <w:rsid w:val="00082381"/>
    <w:rsid w:val="00083261"/>
    <w:rsid w:val="00085DE8"/>
    <w:rsid w:val="00086CA9"/>
    <w:rsid w:val="00087B0F"/>
    <w:rsid w:val="00090746"/>
    <w:rsid w:val="00090966"/>
    <w:rsid w:val="000909D2"/>
    <w:rsid w:val="000936DC"/>
    <w:rsid w:val="00093DBF"/>
    <w:rsid w:val="00093E60"/>
    <w:rsid w:val="0009436A"/>
    <w:rsid w:val="00094575"/>
    <w:rsid w:val="00095143"/>
    <w:rsid w:val="0009582B"/>
    <w:rsid w:val="00096B1D"/>
    <w:rsid w:val="00097853"/>
    <w:rsid w:val="00097B7B"/>
    <w:rsid w:val="000A0858"/>
    <w:rsid w:val="000A1671"/>
    <w:rsid w:val="000A199F"/>
    <w:rsid w:val="000A34A4"/>
    <w:rsid w:val="000A394D"/>
    <w:rsid w:val="000A3F14"/>
    <w:rsid w:val="000A56B8"/>
    <w:rsid w:val="000A5A01"/>
    <w:rsid w:val="000A7267"/>
    <w:rsid w:val="000B0029"/>
    <w:rsid w:val="000B04CA"/>
    <w:rsid w:val="000B0563"/>
    <w:rsid w:val="000B1003"/>
    <w:rsid w:val="000B19A8"/>
    <w:rsid w:val="000B1FAE"/>
    <w:rsid w:val="000B215D"/>
    <w:rsid w:val="000B2396"/>
    <w:rsid w:val="000B25AB"/>
    <w:rsid w:val="000B25DA"/>
    <w:rsid w:val="000B35AE"/>
    <w:rsid w:val="000B4625"/>
    <w:rsid w:val="000B4683"/>
    <w:rsid w:val="000B5D0F"/>
    <w:rsid w:val="000B6A9A"/>
    <w:rsid w:val="000B6E31"/>
    <w:rsid w:val="000B73C3"/>
    <w:rsid w:val="000B7624"/>
    <w:rsid w:val="000B7D77"/>
    <w:rsid w:val="000C003D"/>
    <w:rsid w:val="000C13C9"/>
    <w:rsid w:val="000C2BC0"/>
    <w:rsid w:val="000C2CBA"/>
    <w:rsid w:val="000C36FB"/>
    <w:rsid w:val="000C37D0"/>
    <w:rsid w:val="000C3E0C"/>
    <w:rsid w:val="000C5197"/>
    <w:rsid w:val="000C573F"/>
    <w:rsid w:val="000C5FEE"/>
    <w:rsid w:val="000C63ED"/>
    <w:rsid w:val="000C786D"/>
    <w:rsid w:val="000C78BC"/>
    <w:rsid w:val="000D09EC"/>
    <w:rsid w:val="000D131B"/>
    <w:rsid w:val="000D1845"/>
    <w:rsid w:val="000D223B"/>
    <w:rsid w:val="000D2D18"/>
    <w:rsid w:val="000D3F52"/>
    <w:rsid w:val="000D469E"/>
    <w:rsid w:val="000D4F91"/>
    <w:rsid w:val="000D5379"/>
    <w:rsid w:val="000D5F33"/>
    <w:rsid w:val="000D60F9"/>
    <w:rsid w:val="000D6493"/>
    <w:rsid w:val="000D6773"/>
    <w:rsid w:val="000D678C"/>
    <w:rsid w:val="000D70BF"/>
    <w:rsid w:val="000D7973"/>
    <w:rsid w:val="000E0417"/>
    <w:rsid w:val="000E1865"/>
    <w:rsid w:val="000E258D"/>
    <w:rsid w:val="000E32DF"/>
    <w:rsid w:val="000E4A51"/>
    <w:rsid w:val="000E4CE0"/>
    <w:rsid w:val="000E4E42"/>
    <w:rsid w:val="000E5336"/>
    <w:rsid w:val="000E598E"/>
    <w:rsid w:val="000E625B"/>
    <w:rsid w:val="000E6489"/>
    <w:rsid w:val="000E6A25"/>
    <w:rsid w:val="000E6C84"/>
    <w:rsid w:val="000E7C75"/>
    <w:rsid w:val="000F091A"/>
    <w:rsid w:val="000F0F35"/>
    <w:rsid w:val="000F13A2"/>
    <w:rsid w:val="000F296F"/>
    <w:rsid w:val="000F442F"/>
    <w:rsid w:val="000F44E0"/>
    <w:rsid w:val="000F4CBD"/>
    <w:rsid w:val="000F4DCF"/>
    <w:rsid w:val="000F622C"/>
    <w:rsid w:val="000F62EC"/>
    <w:rsid w:val="000F75EB"/>
    <w:rsid w:val="001006C3"/>
    <w:rsid w:val="00100C79"/>
    <w:rsid w:val="00102560"/>
    <w:rsid w:val="00103F46"/>
    <w:rsid w:val="00104BD5"/>
    <w:rsid w:val="00105361"/>
    <w:rsid w:val="00107793"/>
    <w:rsid w:val="00110528"/>
    <w:rsid w:val="0011098F"/>
    <w:rsid w:val="001112B9"/>
    <w:rsid w:val="00111328"/>
    <w:rsid w:val="00111E1C"/>
    <w:rsid w:val="001120B0"/>
    <w:rsid w:val="001130DE"/>
    <w:rsid w:val="0011381D"/>
    <w:rsid w:val="00113B99"/>
    <w:rsid w:val="00113C35"/>
    <w:rsid w:val="00113E63"/>
    <w:rsid w:val="0011486F"/>
    <w:rsid w:val="00115C7C"/>
    <w:rsid w:val="00116246"/>
    <w:rsid w:val="00116311"/>
    <w:rsid w:val="001179CE"/>
    <w:rsid w:val="00117FD3"/>
    <w:rsid w:val="0012131E"/>
    <w:rsid w:val="001226B5"/>
    <w:rsid w:val="00123C2F"/>
    <w:rsid w:val="00125E2F"/>
    <w:rsid w:val="00125F5B"/>
    <w:rsid w:val="00125FD4"/>
    <w:rsid w:val="001265D0"/>
    <w:rsid w:val="001267D6"/>
    <w:rsid w:val="001269F3"/>
    <w:rsid w:val="00126E75"/>
    <w:rsid w:val="00126F87"/>
    <w:rsid w:val="00126FAA"/>
    <w:rsid w:val="001270FE"/>
    <w:rsid w:val="00130EAD"/>
    <w:rsid w:val="001310BB"/>
    <w:rsid w:val="00131711"/>
    <w:rsid w:val="00131BFD"/>
    <w:rsid w:val="00131FCC"/>
    <w:rsid w:val="0013233E"/>
    <w:rsid w:val="0013258F"/>
    <w:rsid w:val="00132C11"/>
    <w:rsid w:val="00135F1E"/>
    <w:rsid w:val="00135F72"/>
    <w:rsid w:val="0013640C"/>
    <w:rsid w:val="001364A9"/>
    <w:rsid w:val="00136998"/>
    <w:rsid w:val="00136ED9"/>
    <w:rsid w:val="00137A07"/>
    <w:rsid w:val="00137B9E"/>
    <w:rsid w:val="001401B3"/>
    <w:rsid w:val="0014038D"/>
    <w:rsid w:val="0014078E"/>
    <w:rsid w:val="00140AB5"/>
    <w:rsid w:val="00140FF8"/>
    <w:rsid w:val="0014181D"/>
    <w:rsid w:val="00141880"/>
    <w:rsid w:val="00141C57"/>
    <w:rsid w:val="00142CE7"/>
    <w:rsid w:val="00143428"/>
    <w:rsid w:val="001435F5"/>
    <w:rsid w:val="00144C65"/>
    <w:rsid w:val="00144CBF"/>
    <w:rsid w:val="00144CDD"/>
    <w:rsid w:val="001451E9"/>
    <w:rsid w:val="00145D8B"/>
    <w:rsid w:val="00145F3C"/>
    <w:rsid w:val="00146021"/>
    <w:rsid w:val="00146022"/>
    <w:rsid w:val="0014616F"/>
    <w:rsid w:val="00146248"/>
    <w:rsid w:val="0014662E"/>
    <w:rsid w:val="00150A2E"/>
    <w:rsid w:val="001520AF"/>
    <w:rsid w:val="00152A9E"/>
    <w:rsid w:val="00153AD0"/>
    <w:rsid w:val="00153F40"/>
    <w:rsid w:val="001544B2"/>
    <w:rsid w:val="0015512C"/>
    <w:rsid w:val="001551EA"/>
    <w:rsid w:val="001562FB"/>
    <w:rsid w:val="00157042"/>
    <w:rsid w:val="0015711B"/>
    <w:rsid w:val="001600E5"/>
    <w:rsid w:val="001605A1"/>
    <w:rsid w:val="0016106F"/>
    <w:rsid w:val="00161479"/>
    <w:rsid w:val="001614B7"/>
    <w:rsid w:val="001617B0"/>
    <w:rsid w:val="001620AB"/>
    <w:rsid w:val="00163001"/>
    <w:rsid w:val="001631F1"/>
    <w:rsid w:val="00163277"/>
    <w:rsid w:val="00163D64"/>
    <w:rsid w:val="00163D6D"/>
    <w:rsid w:val="0016488D"/>
    <w:rsid w:val="001656C1"/>
    <w:rsid w:val="001658CE"/>
    <w:rsid w:val="00165E83"/>
    <w:rsid w:val="0016637F"/>
    <w:rsid w:val="00166578"/>
    <w:rsid w:val="00167D35"/>
    <w:rsid w:val="00170C59"/>
    <w:rsid w:val="00170C60"/>
    <w:rsid w:val="00171386"/>
    <w:rsid w:val="0017193C"/>
    <w:rsid w:val="00171D4F"/>
    <w:rsid w:val="00171D6E"/>
    <w:rsid w:val="001720B1"/>
    <w:rsid w:val="0017240A"/>
    <w:rsid w:val="001726C0"/>
    <w:rsid w:val="00172F8B"/>
    <w:rsid w:val="00173064"/>
    <w:rsid w:val="0017427E"/>
    <w:rsid w:val="00175117"/>
    <w:rsid w:val="0017546B"/>
    <w:rsid w:val="001756B5"/>
    <w:rsid w:val="001759C3"/>
    <w:rsid w:val="00176203"/>
    <w:rsid w:val="001769A4"/>
    <w:rsid w:val="00176A10"/>
    <w:rsid w:val="00176B84"/>
    <w:rsid w:val="001773CC"/>
    <w:rsid w:val="00177574"/>
    <w:rsid w:val="00180449"/>
    <w:rsid w:val="00180DFE"/>
    <w:rsid w:val="0018138D"/>
    <w:rsid w:val="001816AE"/>
    <w:rsid w:val="001818BE"/>
    <w:rsid w:val="00181B16"/>
    <w:rsid w:val="00182704"/>
    <w:rsid w:val="00182C95"/>
    <w:rsid w:val="00183794"/>
    <w:rsid w:val="00183ED0"/>
    <w:rsid w:val="00183ED9"/>
    <w:rsid w:val="001841A0"/>
    <w:rsid w:val="0018462C"/>
    <w:rsid w:val="00185BAC"/>
    <w:rsid w:val="00186127"/>
    <w:rsid w:val="001862ED"/>
    <w:rsid w:val="0018632A"/>
    <w:rsid w:val="0018632F"/>
    <w:rsid w:val="00186DA9"/>
    <w:rsid w:val="0018771F"/>
    <w:rsid w:val="001878F3"/>
    <w:rsid w:val="00190285"/>
    <w:rsid w:val="00191125"/>
    <w:rsid w:val="00191502"/>
    <w:rsid w:val="0019177F"/>
    <w:rsid w:val="00192AF1"/>
    <w:rsid w:val="00193412"/>
    <w:rsid w:val="00193B58"/>
    <w:rsid w:val="00194310"/>
    <w:rsid w:val="001949B4"/>
    <w:rsid w:val="00196345"/>
    <w:rsid w:val="001966E0"/>
    <w:rsid w:val="001968FD"/>
    <w:rsid w:val="00196E9B"/>
    <w:rsid w:val="00197021"/>
    <w:rsid w:val="00197121"/>
    <w:rsid w:val="0019776E"/>
    <w:rsid w:val="00197B17"/>
    <w:rsid w:val="001A06B2"/>
    <w:rsid w:val="001A125E"/>
    <w:rsid w:val="001A157B"/>
    <w:rsid w:val="001A2049"/>
    <w:rsid w:val="001A38F4"/>
    <w:rsid w:val="001A4EC3"/>
    <w:rsid w:val="001A532E"/>
    <w:rsid w:val="001A56BD"/>
    <w:rsid w:val="001A60E4"/>
    <w:rsid w:val="001A6DDB"/>
    <w:rsid w:val="001A72F3"/>
    <w:rsid w:val="001A7DA8"/>
    <w:rsid w:val="001B0ADE"/>
    <w:rsid w:val="001B0BB4"/>
    <w:rsid w:val="001B0C3D"/>
    <w:rsid w:val="001B0C73"/>
    <w:rsid w:val="001B0EF9"/>
    <w:rsid w:val="001B1E1A"/>
    <w:rsid w:val="001B253C"/>
    <w:rsid w:val="001B2593"/>
    <w:rsid w:val="001B2D12"/>
    <w:rsid w:val="001B2ED7"/>
    <w:rsid w:val="001B349E"/>
    <w:rsid w:val="001B3500"/>
    <w:rsid w:val="001B3CDB"/>
    <w:rsid w:val="001B42AA"/>
    <w:rsid w:val="001B43D6"/>
    <w:rsid w:val="001B4883"/>
    <w:rsid w:val="001B4BE4"/>
    <w:rsid w:val="001B4CA7"/>
    <w:rsid w:val="001B4CCA"/>
    <w:rsid w:val="001B5648"/>
    <w:rsid w:val="001B64C6"/>
    <w:rsid w:val="001B6E7C"/>
    <w:rsid w:val="001B7004"/>
    <w:rsid w:val="001B739D"/>
    <w:rsid w:val="001B7445"/>
    <w:rsid w:val="001B7865"/>
    <w:rsid w:val="001B7DC3"/>
    <w:rsid w:val="001C2988"/>
    <w:rsid w:val="001C310A"/>
    <w:rsid w:val="001C4634"/>
    <w:rsid w:val="001C468C"/>
    <w:rsid w:val="001C50B6"/>
    <w:rsid w:val="001C5472"/>
    <w:rsid w:val="001C5B66"/>
    <w:rsid w:val="001C64A1"/>
    <w:rsid w:val="001C6925"/>
    <w:rsid w:val="001C6E93"/>
    <w:rsid w:val="001C73F4"/>
    <w:rsid w:val="001D080D"/>
    <w:rsid w:val="001D0E23"/>
    <w:rsid w:val="001D107F"/>
    <w:rsid w:val="001D189E"/>
    <w:rsid w:val="001D199B"/>
    <w:rsid w:val="001D1FF0"/>
    <w:rsid w:val="001D2E7F"/>
    <w:rsid w:val="001D307C"/>
    <w:rsid w:val="001D341F"/>
    <w:rsid w:val="001D492D"/>
    <w:rsid w:val="001D4AB5"/>
    <w:rsid w:val="001D4F40"/>
    <w:rsid w:val="001D51F0"/>
    <w:rsid w:val="001D58F4"/>
    <w:rsid w:val="001D5D51"/>
    <w:rsid w:val="001D671A"/>
    <w:rsid w:val="001D6929"/>
    <w:rsid w:val="001D7602"/>
    <w:rsid w:val="001D7F2F"/>
    <w:rsid w:val="001E0867"/>
    <w:rsid w:val="001E0FC8"/>
    <w:rsid w:val="001E1E66"/>
    <w:rsid w:val="001E3104"/>
    <w:rsid w:val="001E35D7"/>
    <w:rsid w:val="001E3EE0"/>
    <w:rsid w:val="001E4160"/>
    <w:rsid w:val="001E46DD"/>
    <w:rsid w:val="001E5090"/>
    <w:rsid w:val="001E5302"/>
    <w:rsid w:val="001E5C1D"/>
    <w:rsid w:val="001E6367"/>
    <w:rsid w:val="001E7733"/>
    <w:rsid w:val="001F06C7"/>
    <w:rsid w:val="001F0972"/>
    <w:rsid w:val="001F12DC"/>
    <w:rsid w:val="001F15B5"/>
    <w:rsid w:val="001F1DAF"/>
    <w:rsid w:val="001F2020"/>
    <w:rsid w:val="001F2639"/>
    <w:rsid w:val="001F2770"/>
    <w:rsid w:val="001F339B"/>
    <w:rsid w:val="001F3ED6"/>
    <w:rsid w:val="001F5A85"/>
    <w:rsid w:val="001F5B21"/>
    <w:rsid w:val="001F5C3C"/>
    <w:rsid w:val="001F5C8B"/>
    <w:rsid w:val="001F7215"/>
    <w:rsid w:val="001F7225"/>
    <w:rsid w:val="001F7671"/>
    <w:rsid w:val="001F7C77"/>
    <w:rsid w:val="001F7D8D"/>
    <w:rsid w:val="002000FC"/>
    <w:rsid w:val="00200136"/>
    <w:rsid w:val="00200B58"/>
    <w:rsid w:val="0020103B"/>
    <w:rsid w:val="002011F1"/>
    <w:rsid w:val="0020180F"/>
    <w:rsid w:val="00201A1C"/>
    <w:rsid w:val="00201CFE"/>
    <w:rsid w:val="0020204C"/>
    <w:rsid w:val="00202406"/>
    <w:rsid w:val="00204036"/>
    <w:rsid w:val="00204126"/>
    <w:rsid w:val="002046D5"/>
    <w:rsid w:val="00204CE7"/>
    <w:rsid w:val="002050B0"/>
    <w:rsid w:val="00205167"/>
    <w:rsid w:val="002079CD"/>
    <w:rsid w:val="00207CA9"/>
    <w:rsid w:val="00207E87"/>
    <w:rsid w:val="00210695"/>
    <w:rsid w:val="00210E34"/>
    <w:rsid w:val="002113CA"/>
    <w:rsid w:val="00211AA6"/>
    <w:rsid w:val="00212188"/>
    <w:rsid w:val="002129F2"/>
    <w:rsid w:val="00212A7C"/>
    <w:rsid w:val="0021397C"/>
    <w:rsid w:val="00213A4B"/>
    <w:rsid w:val="002146D1"/>
    <w:rsid w:val="00217554"/>
    <w:rsid w:val="00217660"/>
    <w:rsid w:val="00220394"/>
    <w:rsid w:val="00220E9A"/>
    <w:rsid w:val="00221108"/>
    <w:rsid w:val="002214CA"/>
    <w:rsid w:val="00221F5D"/>
    <w:rsid w:val="0022244C"/>
    <w:rsid w:val="002229AB"/>
    <w:rsid w:val="00222F58"/>
    <w:rsid w:val="00223641"/>
    <w:rsid w:val="00223953"/>
    <w:rsid w:val="00223C31"/>
    <w:rsid w:val="00223E39"/>
    <w:rsid w:val="00224B80"/>
    <w:rsid w:val="002259D9"/>
    <w:rsid w:val="00225AB2"/>
    <w:rsid w:val="00225CFA"/>
    <w:rsid w:val="00226BAE"/>
    <w:rsid w:val="00227146"/>
    <w:rsid w:val="002307C2"/>
    <w:rsid w:val="00230AE8"/>
    <w:rsid w:val="00231451"/>
    <w:rsid w:val="00231A5C"/>
    <w:rsid w:val="00231E67"/>
    <w:rsid w:val="00232533"/>
    <w:rsid w:val="00232842"/>
    <w:rsid w:val="0023358A"/>
    <w:rsid w:val="002335FA"/>
    <w:rsid w:val="00234438"/>
    <w:rsid w:val="002348C7"/>
    <w:rsid w:val="00234A91"/>
    <w:rsid w:val="00234FB3"/>
    <w:rsid w:val="00236949"/>
    <w:rsid w:val="00236D33"/>
    <w:rsid w:val="0023751D"/>
    <w:rsid w:val="0024009F"/>
    <w:rsid w:val="00240756"/>
    <w:rsid w:val="00241239"/>
    <w:rsid w:val="00241529"/>
    <w:rsid w:val="0024173B"/>
    <w:rsid w:val="002420C2"/>
    <w:rsid w:val="0024217B"/>
    <w:rsid w:val="00243517"/>
    <w:rsid w:val="002435A8"/>
    <w:rsid w:val="002438DF"/>
    <w:rsid w:val="00243DF9"/>
    <w:rsid w:val="0024422D"/>
    <w:rsid w:val="00244A3C"/>
    <w:rsid w:val="00245605"/>
    <w:rsid w:val="00245F22"/>
    <w:rsid w:val="00246BE1"/>
    <w:rsid w:val="0024786A"/>
    <w:rsid w:val="00247F23"/>
    <w:rsid w:val="002506CC"/>
    <w:rsid w:val="00250D1C"/>
    <w:rsid w:val="00251CAC"/>
    <w:rsid w:val="0025271F"/>
    <w:rsid w:val="0025338D"/>
    <w:rsid w:val="002545A8"/>
    <w:rsid w:val="002548E1"/>
    <w:rsid w:val="00255485"/>
    <w:rsid w:val="0025556F"/>
    <w:rsid w:val="00256128"/>
    <w:rsid w:val="0025633B"/>
    <w:rsid w:val="00256AC4"/>
    <w:rsid w:val="00260ADD"/>
    <w:rsid w:val="00262404"/>
    <w:rsid w:val="0026242A"/>
    <w:rsid w:val="00262AF6"/>
    <w:rsid w:val="002631D6"/>
    <w:rsid w:val="00263330"/>
    <w:rsid w:val="00263753"/>
    <w:rsid w:val="00263F11"/>
    <w:rsid w:val="00265572"/>
    <w:rsid w:val="0027030B"/>
    <w:rsid w:val="002714A1"/>
    <w:rsid w:val="002715E3"/>
    <w:rsid w:val="00271C1A"/>
    <w:rsid w:val="00272507"/>
    <w:rsid w:val="002729BD"/>
    <w:rsid w:val="00272EB2"/>
    <w:rsid w:val="00273204"/>
    <w:rsid w:val="002745C2"/>
    <w:rsid w:val="002757DE"/>
    <w:rsid w:val="00275E5F"/>
    <w:rsid w:val="002764D1"/>
    <w:rsid w:val="00276A97"/>
    <w:rsid w:val="00276D6C"/>
    <w:rsid w:val="00277B2D"/>
    <w:rsid w:val="00277C3B"/>
    <w:rsid w:val="00277F87"/>
    <w:rsid w:val="00280F22"/>
    <w:rsid w:val="0028175B"/>
    <w:rsid w:val="00282A28"/>
    <w:rsid w:val="00282E1B"/>
    <w:rsid w:val="002831BA"/>
    <w:rsid w:val="0028323D"/>
    <w:rsid w:val="002837FD"/>
    <w:rsid w:val="002866D5"/>
    <w:rsid w:val="002867D2"/>
    <w:rsid w:val="00286CE4"/>
    <w:rsid w:val="00286E7B"/>
    <w:rsid w:val="00287010"/>
    <w:rsid w:val="00287499"/>
    <w:rsid w:val="00287A2A"/>
    <w:rsid w:val="00290477"/>
    <w:rsid w:val="002929DB"/>
    <w:rsid w:val="00292DA4"/>
    <w:rsid w:val="00293568"/>
    <w:rsid w:val="00293895"/>
    <w:rsid w:val="00295116"/>
    <w:rsid w:val="00296187"/>
    <w:rsid w:val="00296F09"/>
    <w:rsid w:val="00297164"/>
    <w:rsid w:val="0029776D"/>
    <w:rsid w:val="00297A1D"/>
    <w:rsid w:val="002A0686"/>
    <w:rsid w:val="002A1623"/>
    <w:rsid w:val="002A1BBC"/>
    <w:rsid w:val="002A24CE"/>
    <w:rsid w:val="002A2DC3"/>
    <w:rsid w:val="002A312A"/>
    <w:rsid w:val="002A382A"/>
    <w:rsid w:val="002A4428"/>
    <w:rsid w:val="002A4A59"/>
    <w:rsid w:val="002A4CC7"/>
    <w:rsid w:val="002A5E97"/>
    <w:rsid w:val="002A6F9C"/>
    <w:rsid w:val="002A794E"/>
    <w:rsid w:val="002A7BA3"/>
    <w:rsid w:val="002B046B"/>
    <w:rsid w:val="002B0742"/>
    <w:rsid w:val="002B17FA"/>
    <w:rsid w:val="002B27DE"/>
    <w:rsid w:val="002B3221"/>
    <w:rsid w:val="002B3290"/>
    <w:rsid w:val="002B3461"/>
    <w:rsid w:val="002B36BF"/>
    <w:rsid w:val="002B3BFA"/>
    <w:rsid w:val="002B4F6E"/>
    <w:rsid w:val="002B5056"/>
    <w:rsid w:val="002B5710"/>
    <w:rsid w:val="002B6061"/>
    <w:rsid w:val="002B60BF"/>
    <w:rsid w:val="002B60C7"/>
    <w:rsid w:val="002B621B"/>
    <w:rsid w:val="002B6315"/>
    <w:rsid w:val="002B6519"/>
    <w:rsid w:val="002B7287"/>
    <w:rsid w:val="002B7E7E"/>
    <w:rsid w:val="002C077B"/>
    <w:rsid w:val="002C0E98"/>
    <w:rsid w:val="002C1290"/>
    <w:rsid w:val="002C1B50"/>
    <w:rsid w:val="002C248D"/>
    <w:rsid w:val="002C2DC4"/>
    <w:rsid w:val="002C416E"/>
    <w:rsid w:val="002C43A4"/>
    <w:rsid w:val="002C4CD3"/>
    <w:rsid w:val="002C4DE2"/>
    <w:rsid w:val="002C50F8"/>
    <w:rsid w:val="002C5A26"/>
    <w:rsid w:val="002C6BB8"/>
    <w:rsid w:val="002C7891"/>
    <w:rsid w:val="002D04B2"/>
    <w:rsid w:val="002D076B"/>
    <w:rsid w:val="002D1045"/>
    <w:rsid w:val="002D13AA"/>
    <w:rsid w:val="002D1402"/>
    <w:rsid w:val="002D19FD"/>
    <w:rsid w:val="002D1C09"/>
    <w:rsid w:val="002D1E04"/>
    <w:rsid w:val="002D300C"/>
    <w:rsid w:val="002D343B"/>
    <w:rsid w:val="002D36B2"/>
    <w:rsid w:val="002D3E91"/>
    <w:rsid w:val="002D46A5"/>
    <w:rsid w:val="002D511F"/>
    <w:rsid w:val="002D5216"/>
    <w:rsid w:val="002D641B"/>
    <w:rsid w:val="002D66A8"/>
    <w:rsid w:val="002D6734"/>
    <w:rsid w:val="002D6A3B"/>
    <w:rsid w:val="002D6DB2"/>
    <w:rsid w:val="002D7787"/>
    <w:rsid w:val="002D7C64"/>
    <w:rsid w:val="002E02D6"/>
    <w:rsid w:val="002E0746"/>
    <w:rsid w:val="002E0D7E"/>
    <w:rsid w:val="002E0DB0"/>
    <w:rsid w:val="002E1E39"/>
    <w:rsid w:val="002E277D"/>
    <w:rsid w:val="002E2DD2"/>
    <w:rsid w:val="002E3B85"/>
    <w:rsid w:val="002E3D91"/>
    <w:rsid w:val="002E51D2"/>
    <w:rsid w:val="002E687A"/>
    <w:rsid w:val="002E6B49"/>
    <w:rsid w:val="002E7870"/>
    <w:rsid w:val="002E7FD6"/>
    <w:rsid w:val="002F0FDF"/>
    <w:rsid w:val="002F1A02"/>
    <w:rsid w:val="002F3620"/>
    <w:rsid w:val="002F364A"/>
    <w:rsid w:val="002F45DA"/>
    <w:rsid w:val="002F567F"/>
    <w:rsid w:val="002F586F"/>
    <w:rsid w:val="002F58CE"/>
    <w:rsid w:val="002F5D06"/>
    <w:rsid w:val="002F6F60"/>
    <w:rsid w:val="002F7073"/>
    <w:rsid w:val="002F7075"/>
    <w:rsid w:val="002F747D"/>
    <w:rsid w:val="003004DD"/>
    <w:rsid w:val="00300C67"/>
    <w:rsid w:val="00301910"/>
    <w:rsid w:val="00301BD7"/>
    <w:rsid w:val="00301E1E"/>
    <w:rsid w:val="00301E41"/>
    <w:rsid w:val="00301F23"/>
    <w:rsid w:val="00302226"/>
    <w:rsid w:val="00303F3F"/>
    <w:rsid w:val="00305046"/>
    <w:rsid w:val="00305618"/>
    <w:rsid w:val="00305B45"/>
    <w:rsid w:val="003061D7"/>
    <w:rsid w:val="00306583"/>
    <w:rsid w:val="00306F6E"/>
    <w:rsid w:val="003071C0"/>
    <w:rsid w:val="0031043A"/>
    <w:rsid w:val="00310D51"/>
    <w:rsid w:val="00310E60"/>
    <w:rsid w:val="00311A68"/>
    <w:rsid w:val="0031243B"/>
    <w:rsid w:val="00312602"/>
    <w:rsid w:val="00312950"/>
    <w:rsid w:val="00313445"/>
    <w:rsid w:val="00314836"/>
    <w:rsid w:val="0031518E"/>
    <w:rsid w:val="00315A29"/>
    <w:rsid w:val="00316574"/>
    <w:rsid w:val="0031685F"/>
    <w:rsid w:val="00317105"/>
    <w:rsid w:val="003173C1"/>
    <w:rsid w:val="003178A4"/>
    <w:rsid w:val="003219FE"/>
    <w:rsid w:val="00321F0B"/>
    <w:rsid w:val="00321FD3"/>
    <w:rsid w:val="00322D75"/>
    <w:rsid w:val="00322D89"/>
    <w:rsid w:val="0032302C"/>
    <w:rsid w:val="00323E31"/>
    <w:rsid w:val="00323EEC"/>
    <w:rsid w:val="00324CE2"/>
    <w:rsid w:val="00325A2D"/>
    <w:rsid w:val="0032610B"/>
    <w:rsid w:val="0032687E"/>
    <w:rsid w:val="0032695D"/>
    <w:rsid w:val="003269D3"/>
    <w:rsid w:val="00326CD6"/>
    <w:rsid w:val="00326D2D"/>
    <w:rsid w:val="00331D3E"/>
    <w:rsid w:val="00331FC6"/>
    <w:rsid w:val="00332377"/>
    <w:rsid w:val="003327C4"/>
    <w:rsid w:val="00332D18"/>
    <w:rsid w:val="00333892"/>
    <w:rsid w:val="0033436B"/>
    <w:rsid w:val="00334B32"/>
    <w:rsid w:val="0033628D"/>
    <w:rsid w:val="003371C8"/>
    <w:rsid w:val="00337526"/>
    <w:rsid w:val="003376FB"/>
    <w:rsid w:val="00340AF7"/>
    <w:rsid w:val="00342190"/>
    <w:rsid w:val="003428F0"/>
    <w:rsid w:val="003430B0"/>
    <w:rsid w:val="003430E9"/>
    <w:rsid w:val="00343214"/>
    <w:rsid w:val="00343360"/>
    <w:rsid w:val="003438C7"/>
    <w:rsid w:val="00344546"/>
    <w:rsid w:val="00344807"/>
    <w:rsid w:val="00344ED5"/>
    <w:rsid w:val="003454C4"/>
    <w:rsid w:val="003465FE"/>
    <w:rsid w:val="0034669F"/>
    <w:rsid w:val="00346B3D"/>
    <w:rsid w:val="00346EF2"/>
    <w:rsid w:val="00346F85"/>
    <w:rsid w:val="003473E4"/>
    <w:rsid w:val="00350333"/>
    <w:rsid w:val="00350893"/>
    <w:rsid w:val="003509A6"/>
    <w:rsid w:val="00350A5E"/>
    <w:rsid w:val="00350C24"/>
    <w:rsid w:val="00350E6D"/>
    <w:rsid w:val="003516AF"/>
    <w:rsid w:val="00351FAB"/>
    <w:rsid w:val="0035239A"/>
    <w:rsid w:val="003548F9"/>
    <w:rsid w:val="00354A4A"/>
    <w:rsid w:val="00354DBD"/>
    <w:rsid w:val="00356592"/>
    <w:rsid w:val="003568E1"/>
    <w:rsid w:val="00356CDC"/>
    <w:rsid w:val="003570CD"/>
    <w:rsid w:val="003574D0"/>
    <w:rsid w:val="00357877"/>
    <w:rsid w:val="00357B95"/>
    <w:rsid w:val="003601CD"/>
    <w:rsid w:val="0036035F"/>
    <w:rsid w:val="0036065E"/>
    <w:rsid w:val="00360C7C"/>
    <w:rsid w:val="00360E27"/>
    <w:rsid w:val="00360F58"/>
    <w:rsid w:val="003615F7"/>
    <w:rsid w:val="00361A11"/>
    <w:rsid w:val="00361FF7"/>
    <w:rsid w:val="0036235D"/>
    <w:rsid w:val="0036292A"/>
    <w:rsid w:val="00362CFE"/>
    <w:rsid w:val="00362ED5"/>
    <w:rsid w:val="0036310A"/>
    <w:rsid w:val="00363D8D"/>
    <w:rsid w:val="00364220"/>
    <w:rsid w:val="00364746"/>
    <w:rsid w:val="003649C0"/>
    <w:rsid w:val="00364B0D"/>
    <w:rsid w:val="00365100"/>
    <w:rsid w:val="003651A0"/>
    <w:rsid w:val="00365524"/>
    <w:rsid w:val="00365DEF"/>
    <w:rsid w:val="00365E4E"/>
    <w:rsid w:val="00366403"/>
    <w:rsid w:val="0036652B"/>
    <w:rsid w:val="0036675F"/>
    <w:rsid w:val="003668A2"/>
    <w:rsid w:val="0036783F"/>
    <w:rsid w:val="0036794E"/>
    <w:rsid w:val="00367FE9"/>
    <w:rsid w:val="003713C5"/>
    <w:rsid w:val="0037160D"/>
    <w:rsid w:val="003731DD"/>
    <w:rsid w:val="00374067"/>
    <w:rsid w:val="0037456C"/>
    <w:rsid w:val="003750A2"/>
    <w:rsid w:val="003758B7"/>
    <w:rsid w:val="00375962"/>
    <w:rsid w:val="003764B5"/>
    <w:rsid w:val="003771B1"/>
    <w:rsid w:val="003772F6"/>
    <w:rsid w:val="00377ADE"/>
    <w:rsid w:val="0038005B"/>
    <w:rsid w:val="003805FB"/>
    <w:rsid w:val="003806B0"/>
    <w:rsid w:val="00380CE6"/>
    <w:rsid w:val="0038122A"/>
    <w:rsid w:val="003813FC"/>
    <w:rsid w:val="00381AA7"/>
    <w:rsid w:val="003826CB"/>
    <w:rsid w:val="0038293A"/>
    <w:rsid w:val="00382CBF"/>
    <w:rsid w:val="00382D5D"/>
    <w:rsid w:val="0038321D"/>
    <w:rsid w:val="00383789"/>
    <w:rsid w:val="00383863"/>
    <w:rsid w:val="00383C66"/>
    <w:rsid w:val="00383CFB"/>
    <w:rsid w:val="00383D3E"/>
    <w:rsid w:val="00383E57"/>
    <w:rsid w:val="00384765"/>
    <w:rsid w:val="00384876"/>
    <w:rsid w:val="003859B9"/>
    <w:rsid w:val="00385B8D"/>
    <w:rsid w:val="00386FDF"/>
    <w:rsid w:val="0038763E"/>
    <w:rsid w:val="00390694"/>
    <w:rsid w:val="00390702"/>
    <w:rsid w:val="00390D10"/>
    <w:rsid w:val="00390ECA"/>
    <w:rsid w:val="003911E9"/>
    <w:rsid w:val="0039222B"/>
    <w:rsid w:val="003925CE"/>
    <w:rsid w:val="0039296D"/>
    <w:rsid w:val="00392DE9"/>
    <w:rsid w:val="00392EEC"/>
    <w:rsid w:val="0039345E"/>
    <w:rsid w:val="0039404B"/>
    <w:rsid w:val="00394244"/>
    <w:rsid w:val="00394472"/>
    <w:rsid w:val="003950FD"/>
    <w:rsid w:val="003957B8"/>
    <w:rsid w:val="00395F13"/>
    <w:rsid w:val="00396609"/>
    <w:rsid w:val="0039663B"/>
    <w:rsid w:val="00396C78"/>
    <w:rsid w:val="00397710"/>
    <w:rsid w:val="003A06D2"/>
    <w:rsid w:val="003A078E"/>
    <w:rsid w:val="003A0DDF"/>
    <w:rsid w:val="003A1003"/>
    <w:rsid w:val="003A133A"/>
    <w:rsid w:val="003A1A53"/>
    <w:rsid w:val="003A34EA"/>
    <w:rsid w:val="003A368F"/>
    <w:rsid w:val="003A3C9D"/>
    <w:rsid w:val="003A3DA2"/>
    <w:rsid w:val="003A443B"/>
    <w:rsid w:val="003A446D"/>
    <w:rsid w:val="003A44A2"/>
    <w:rsid w:val="003A4723"/>
    <w:rsid w:val="003A5010"/>
    <w:rsid w:val="003A55D9"/>
    <w:rsid w:val="003A5CFC"/>
    <w:rsid w:val="003A612E"/>
    <w:rsid w:val="003A617E"/>
    <w:rsid w:val="003A624C"/>
    <w:rsid w:val="003A6505"/>
    <w:rsid w:val="003A65CD"/>
    <w:rsid w:val="003A677C"/>
    <w:rsid w:val="003A69CE"/>
    <w:rsid w:val="003A6AB3"/>
    <w:rsid w:val="003B0020"/>
    <w:rsid w:val="003B07D5"/>
    <w:rsid w:val="003B0EE9"/>
    <w:rsid w:val="003B109D"/>
    <w:rsid w:val="003B168D"/>
    <w:rsid w:val="003B27B4"/>
    <w:rsid w:val="003B2AB0"/>
    <w:rsid w:val="003B2D37"/>
    <w:rsid w:val="003B308C"/>
    <w:rsid w:val="003B39E0"/>
    <w:rsid w:val="003B4A36"/>
    <w:rsid w:val="003B4F36"/>
    <w:rsid w:val="003B5B2B"/>
    <w:rsid w:val="003B5D1D"/>
    <w:rsid w:val="003B671D"/>
    <w:rsid w:val="003B6799"/>
    <w:rsid w:val="003B6BAF"/>
    <w:rsid w:val="003B6DFF"/>
    <w:rsid w:val="003B7050"/>
    <w:rsid w:val="003B76A7"/>
    <w:rsid w:val="003B77E1"/>
    <w:rsid w:val="003B7896"/>
    <w:rsid w:val="003B7A67"/>
    <w:rsid w:val="003B7AC2"/>
    <w:rsid w:val="003B7BF2"/>
    <w:rsid w:val="003B7D72"/>
    <w:rsid w:val="003C0117"/>
    <w:rsid w:val="003C0969"/>
    <w:rsid w:val="003C0AAA"/>
    <w:rsid w:val="003C0F85"/>
    <w:rsid w:val="003C1B37"/>
    <w:rsid w:val="003C2DB6"/>
    <w:rsid w:val="003C2E10"/>
    <w:rsid w:val="003C30D4"/>
    <w:rsid w:val="003C3146"/>
    <w:rsid w:val="003C38AA"/>
    <w:rsid w:val="003C409E"/>
    <w:rsid w:val="003C45AF"/>
    <w:rsid w:val="003C5D48"/>
    <w:rsid w:val="003C6AA4"/>
    <w:rsid w:val="003C6C11"/>
    <w:rsid w:val="003C6E93"/>
    <w:rsid w:val="003C6E9D"/>
    <w:rsid w:val="003C6F98"/>
    <w:rsid w:val="003D1FE1"/>
    <w:rsid w:val="003D23EA"/>
    <w:rsid w:val="003D36CA"/>
    <w:rsid w:val="003D4548"/>
    <w:rsid w:val="003D4639"/>
    <w:rsid w:val="003D497A"/>
    <w:rsid w:val="003D4C9E"/>
    <w:rsid w:val="003D5B85"/>
    <w:rsid w:val="003D5F0C"/>
    <w:rsid w:val="003E000F"/>
    <w:rsid w:val="003E0113"/>
    <w:rsid w:val="003E01B3"/>
    <w:rsid w:val="003E0BA5"/>
    <w:rsid w:val="003E0C4E"/>
    <w:rsid w:val="003E0EED"/>
    <w:rsid w:val="003E1479"/>
    <w:rsid w:val="003E1646"/>
    <w:rsid w:val="003E1CE4"/>
    <w:rsid w:val="003E30A1"/>
    <w:rsid w:val="003E3525"/>
    <w:rsid w:val="003E3A5D"/>
    <w:rsid w:val="003E3C22"/>
    <w:rsid w:val="003E4944"/>
    <w:rsid w:val="003E55E1"/>
    <w:rsid w:val="003E59CA"/>
    <w:rsid w:val="003E5E66"/>
    <w:rsid w:val="003E7634"/>
    <w:rsid w:val="003E78D5"/>
    <w:rsid w:val="003E7FF3"/>
    <w:rsid w:val="003F1258"/>
    <w:rsid w:val="003F2989"/>
    <w:rsid w:val="003F2BDB"/>
    <w:rsid w:val="003F2F6B"/>
    <w:rsid w:val="003F35B4"/>
    <w:rsid w:val="003F3AE0"/>
    <w:rsid w:val="003F4A49"/>
    <w:rsid w:val="003F4EC2"/>
    <w:rsid w:val="003F53A5"/>
    <w:rsid w:val="003F6314"/>
    <w:rsid w:val="003F671E"/>
    <w:rsid w:val="003F747B"/>
    <w:rsid w:val="003F7A67"/>
    <w:rsid w:val="00400A39"/>
    <w:rsid w:val="00400D5A"/>
    <w:rsid w:val="0040219B"/>
    <w:rsid w:val="004024FA"/>
    <w:rsid w:val="0040325D"/>
    <w:rsid w:val="00403E70"/>
    <w:rsid w:val="00404889"/>
    <w:rsid w:val="004051E7"/>
    <w:rsid w:val="00405603"/>
    <w:rsid w:val="00406366"/>
    <w:rsid w:val="00406808"/>
    <w:rsid w:val="00407569"/>
    <w:rsid w:val="00407A70"/>
    <w:rsid w:val="004102A8"/>
    <w:rsid w:val="00410302"/>
    <w:rsid w:val="00410E7F"/>
    <w:rsid w:val="00410FDB"/>
    <w:rsid w:val="004121B6"/>
    <w:rsid w:val="0041240E"/>
    <w:rsid w:val="00412FB2"/>
    <w:rsid w:val="00413ABA"/>
    <w:rsid w:val="00415254"/>
    <w:rsid w:val="004168E5"/>
    <w:rsid w:val="00416A54"/>
    <w:rsid w:val="00416AA0"/>
    <w:rsid w:val="00416E74"/>
    <w:rsid w:val="004179E2"/>
    <w:rsid w:val="004200BA"/>
    <w:rsid w:val="00420252"/>
    <w:rsid w:val="00420DD1"/>
    <w:rsid w:val="00420FD4"/>
    <w:rsid w:val="004210B5"/>
    <w:rsid w:val="00421AB5"/>
    <w:rsid w:val="00422150"/>
    <w:rsid w:val="00422445"/>
    <w:rsid w:val="00422508"/>
    <w:rsid w:val="00422827"/>
    <w:rsid w:val="00422890"/>
    <w:rsid w:val="0042296D"/>
    <w:rsid w:val="00423208"/>
    <w:rsid w:val="00423824"/>
    <w:rsid w:val="00423BBC"/>
    <w:rsid w:val="00423C8D"/>
    <w:rsid w:val="0042419B"/>
    <w:rsid w:val="00424491"/>
    <w:rsid w:val="00424C77"/>
    <w:rsid w:val="00425E3F"/>
    <w:rsid w:val="004260EE"/>
    <w:rsid w:val="004262EA"/>
    <w:rsid w:val="004263DF"/>
    <w:rsid w:val="00426505"/>
    <w:rsid w:val="00426517"/>
    <w:rsid w:val="00426EB4"/>
    <w:rsid w:val="00427DB6"/>
    <w:rsid w:val="0043010B"/>
    <w:rsid w:val="00431C28"/>
    <w:rsid w:val="00433973"/>
    <w:rsid w:val="004339D2"/>
    <w:rsid w:val="0043401D"/>
    <w:rsid w:val="00435018"/>
    <w:rsid w:val="00435F16"/>
    <w:rsid w:val="00435FD2"/>
    <w:rsid w:val="004372AB"/>
    <w:rsid w:val="00437479"/>
    <w:rsid w:val="004379A5"/>
    <w:rsid w:val="004400AF"/>
    <w:rsid w:val="004425C4"/>
    <w:rsid w:val="00442601"/>
    <w:rsid w:val="00442767"/>
    <w:rsid w:val="00442AA8"/>
    <w:rsid w:val="00442C76"/>
    <w:rsid w:val="00442E33"/>
    <w:rsid w:val="00442F50"/>
    <w:rsid w:val="00443954"/>
    <w:rsid w:val="00445094"/>
    <w:rsid w:val="004463E2"/>
    <w:rsid w:val="00447BFD"/>
    <w:rsid w:val="0045035D"/>
    <w:rsid w:val="00451B22"/>
    <w:rsid w:val="00451C19"/>
    <w:rsid w:val="0045223B"/>
    <w:rsid w:val="00452CF5"/>
    <w:rsid w:val="00454975"/>
    <w:rsid w:val="00455119"/>
    <w:rsid w:val="00456038"/>
    <w:rsid w:val="00456B32"/>
    <w:rsid w:val="00457E87"/>
    <w:rsid w:val="00457EEF"/>
    <w:rsid w:val="00457FE5"/>
    <w:rsid w:val="004604B1"/>
    <w:rsid w:val="004607CD"/>
    <w:rsid w:val="004607FB"/>
    <w:rsid w:val="00460A05"/>
    <w:rsid w:val="004611B4"/>
    <w:rsid w:val="00461479"/>
    <w:rsid w:val="00461538"/>
    <w:rsid w:val="00461583"/>
    <w:rsid w:val="00461AC2"/>
    <w:rsid w:val="004642BD"/>
    <w:rsid w:val="00464FCC"/>
    <w:rsid w:val="0046647D"/>
    <w:rsid w:val="00467051"/>
    <w:rsid w:val="00467757"/>
    <w:rsid w:val="00467B35"/>
    <w:rsid w:val="00467D1E"/>
    <w:rsid w:val="0047052B"/>
    <w:rsid w:val="00471B2B"/>
    <w:rsid w:val="00472017"/>
    <w:rsid w:val="00472439"/>
    <w:rsid w:val="00472EB2"/>
    <w:rsid w:val="00473873"/>
    <w:rsid w:val="00473C9C"/>
    <w:rsid w:val="00475072"/>
    <w:rsid w:val="00475912"/>
    <w:rsid w:val="0047663E"/>
    <w:rsid w:val="00476F1A"/>
    <w:rsid w:val="004771B6"/>
    <w:rsid w:val="004779E0"/>
    <w:rsid w:val="00481039"/>
    <w:rsid w:val="00481742"/>
    <w:rsid w:val="00481A27"/>
    <w:rsid w:val="00481F6B"/>
    <w:rsid w:val="00482083"/>
    <w:rsid w:val="00482332"/>
    <w:rsid w:val="00482DE2"/>
    <w:rsid w:val="004834EB"/>
    <w:rsid w:val="00483E1C"/>
    <w:rsid w:val="0048418A"/>
    <w:rsid w:val="00484335"/>
    <w:rsid w:val="00484516"/>
    <w:rsid w:val="00484696"/>
    <w:rsid w:val="00484BED"/>
    <w:rsid w:val="00485337"/>
    <w:rsid w:val="00487692"/>
    <w:rsid w:val="004876AC"/>
    <w:rsid w:val="00490654"/>
    <w:rsid w:val="00490F28"/>
    <w:rsid w:val="004917F7"/>
    <w:rsid w:val="00491870"/>
    <w:rsid w:val="00491B70"/>
    <w:rsid w:val="00491FAD"/>
    <w:rsid w:val="004921E9"/>
    <w:rsid w:val="00493B96"/>
    <w:rsid w:val="00493D83"/>
    <w:rsid w:val="00494264"/>
    <w:rsid w:val="00494DAF"/>
    <w:rsid w:val="00494E63"/>
    <w:rsid w:val="0049502E"/>
    <w:rsid w:val="00495625"/>
    <w:rsid w:val="004959E4"/>
    <w:rsid w:val="00495BAF"/>
    <w:rsid w:val="00495C92"/>
    <w:rsid w:val="00495F72"/>
    <w:rsid w:val="00497522"/>
    <w:rsid w:val="00497BDC"/>
    <w:rsid w:val="004A134F"/>
    <w:rsid w:val="004A1E65"/>
    <w:rsid w:val="004A29E2"/>
    <w:rsid w:val="004A3169"/>
    <w:rsid w:val="004A37D9"/>
    <w:rsid w:val="004A3BB8"/>
    <w:rsid w:val="004A40D9"/>
    <w:rsid w:val="004A4AEE"/>
    <w:rsid w:val="004A4B86"/>
    <w:rsid w:val="004A4D76"/>
    <w:rsid w:val="004A67BE"/>
    <w:rsid w:val="004A797B"/>
    <w:rsid w:val="004B0983"/>
    <w:rsid w:val="004B0E3A"/>
    <w:rsid w:val="004B0EB9"/>
    <w:rsid w:val="004B1603"/>
    <w:rsid w:val="004B21AD"/>
    <w:rsid w:val="004B2873"/>
    <w:rsid w:val="004B391D"/>
    <w:rsid w:val="004B3953"/>
    <w:rsid w:val="004B43F3"/>
    <w:rsid w:val="004B4D27"/>
    <w:rsid w:val="004B5F12"/>
    <w:rsid w:val="004B6F2C"/>
    <w:rsid w:val="004B71EB"/>
    <w:rsid w:val="004B7B2C"/>
    <w:rsid w:val="004C00C6"/>
    <w:rsid w:val="004C055D"/>
    <w:rsid w:val="004C18A9"/>
    <w:rsid w:val="004C1F5C"/>
    <w:rsid w:val="004C21BD"/>
    <w:rsid w:val="004C24A0"/>
    <w:rsid w:val="004C2F24"/>
    <w:rsid w:val="004C2FB8"/>
    <w:rsid w:val="004C3DA6"/>
    <w:rsid w:val="004C4058"/>
    <w:rsid w:val="004C44F2"/>
    <w:rsid w:val="004C5037"/>
    <w:rsid w:val="004C5A6B"/>
    <w:rsid w:val="004C642A"/>
    <w:rsid w:val="004C72F4"/>
    <w:rsid w:val="004C777A"/>
    <w:rsid w:val="004D0D2F"/>
    <w:rsid w:val="004D11D1"/>
    <w:rsid w:val="004D1421"/>
    <w:rsid w:val="004D1513"/>
    <w:rsid w:val="004D1D1C"/>
    <w:rsid w:val="004D20B2"/>
    <w:rsid w:val="004D2BEA"/>
    <w:rsid w:val="004D2F81"/>
    <w:rsid w:val="004D32BE"/>
    <w:rsid w:val="004D3E8D"/>
    <w:rsid w:val="004D47BE"/>
    <w:rsid w:val="004D4F0B"/>
    <w:rsid w:val="004D5131"/>
    <w:rsid w:val="004D51E5"/>
    <w:rsid w:val="004D577C"/>
    <w:rsid w:val="004D6327"/>
    <w:rsid w:val="004D658A"/>
    <w:rsid w:val="004D70F1"/>
    <w:rsid w:val="004D7E53"/>
    <w:rsid w:val="004E0008"/>
    <w:rsid w:val="004E0447"/>
    <w:rsid w:val="004E0FA3"/>
    <w:rsid w:val="004E1FBD"/>
    <w:rsid w:val="004E2E6D"/>
    <w:rsid w:val="004E4137"/>
    <w:rsid w:val="004E46E6"/>
    <w:rsid w:val="004E5B0C"/>
    <w:rsid w:val="004E64E0"/>
    <w:rsid w:val="004E68F4"/>
    <w:rsid w:val="004E6BBA"/>
    <w:rsid w:val="004E7373"/>
    <w:rsid w:val="004E78C9"/>
    <w:rsid w:val="004F193F"/>
    <w:rsid w:val="004F1EE5"/>
    <w:rsid w:val="004F3352"/>
    <w:rsid w:val="004F484D"/>
    <w:rsid w:val="004F48B4"/>
    <w:rsid w:val="004F61CE"/>
    <w:rsid w:val="004F6BB0"/>
    <w:rsid w:val="004F6BC7"/>
    <w:rsid w:val="004F72A7"/>
    <w:rsid w:val="004F7BF4"/>
    <w:rsid w:val="0050017A"/>
    <w:rsid w:val="005011CB"/>
    <w:rsid w:val="00501A8F"/>
    <w:rsid w:val="00502FC4"/>
    <w:rsid w:val="0050384C"/>
    <w:rsid w:val="00503A60"/>
    <w:rsid w:val="00503ED7"/>
    <w:rsid w:val="00504205"/>
    <w:rsid w:val="00504218"/>
    <w:rsid w:val="0050483E"/>
    <w:rsid w:val="00505991"/>
    <w:rsid w:val="00505FE5"/>
    <w:rsid w:val="005060A7"/>
    <w:rsid w:val="0050660B"/>
    <w:rsid w:val="00506E1E"/>
    <w:rsid w:val="005076C6"/>
    <w:rsid w:val="00510B67"/>
    <w:rsid w:val="00510D37"/>
    <w:rsid w:val="00510D68"/>
    <w:rsid w:val="00511655"/>
    <w:rsid w:val="00511BF5"/>
    <w:rsid w:val="00511CD2"/>
    <w:rsid w:val="00512556"/>
    <w:rsid w:val="00513204"/>
    <w:rsid w:val="00513544"/>
    <w:rsid w:val="00513D7F"/>
    <w:rsid w:val="0051418D"/>
    <w:rsid w:val="00514E88"/>
    <w:rsid w:val="005155CE"/>
    <w:rsid w:val="00515AAA"/>
    <w:rsid w:val="00515AC2"/>
    <w:rsid w:val="00515C58"/>
    <w:rsid w:val="00515CED"/>
    <w:rsid w:val="00516A12"/>
    <w:rsid w:val="0051709A"/>
    <w:rsid w:val="00517B3F"/>
    <w:rsid w:val="00520014"/>
    <w:rsid w:val="00520416"/>
    <w:rsid w:val="005209B8"/>
    <w:rsid w:val="00521735"/>
    <w:rsid w:val="00521C66"/>
    <w:rsid w:val="005230E8"/>
    <w:rsid w:val="005233C0"/>
    <w:rsid w:val="00524461"/>
    <w:rsid w:val="005264D8"/>
    <w:rsid w:val="00526CFA"/>
    <w:rsid w:val="00526D3E"/>
    <w:rsid w:val="00527A07"/>
    <w:rsid w:val="005302BC"/>
    <w:rsid w:val="005304FB"/>
    <w:rsid w:val="0053067B"/>
    <w:rsid w:val="00530C6E"/>
    <w:rsid w:val="00533191"/>
    <w:rsid w:val="00533BAF"/>
    <w:rsid w:val="0053431C"/>
    <w:rsid w:val="005358F4"/>
    <w:rsid w:val="005369CD"/>
    <w:rsid w:val="00536CFB"/>
    <w:rsid w:val="005376D7"/>
    <w:rsid w:val="00537F8A"/>
    <w:rsid w:val="005400BE"/>
    <w:rsid w:val="00540A3A"/>
    <w:rsid w:val="0054124A"/>
    <w:rsid w:val="00541DAE"/>
    <w:rsid w:val="00541F6D"/>
    <w:rsid w:val="00542439"/>
    <w:rsid w:val="005424B4"/>
    <w:rsid w:val="00542780"/>
    <w:rsid w:val="00543E6B"/>
    <w:rsid w:val="005449BA"/>
    <w:rsid w:val="00545234"/>
    <w:rsid w:val="005462F6"/>
    <w:rsid w:val="005463EC"/>
    <w:rsid w:val="00546961"/>
    <w:rsid w:val="00546AE0"/>
    <w:rsid w:val="0054719D"/>
    <w:rsid w:val="00547574"/>
    <w:rsid w:val="005477BD"/>
    <w:rsid w:val="00547981"/>
    <w:rsid w:val="0055054A"/>
    <w:rsid w:val="00550656"/>
    <w:rsid w:val="00550F68"/>
    <w:rsid w:val="00550FDF"/>
    <w:rsid w:val="00551161"/>
    <w:rsid w:val="005527AA"/>
    <w:rsid w:val="00552B2B"/>
    <w:rsid w:val="00552E0E"/>
    <w:rsid w:val="00553519"/>
    <w:rsid w:val="00553BE9"/>
    <w:rsid w:val="00553CF2"/>
    <w:rsid w:val="00555385"/>
    <w:rsid w:val="005568F4"/>
    <w:rsid w:val="00556C20"/>
    <w:rsid w:val="00556FBC"/>
    <w:rsid w:val="00557F23"/>
    <w:rsid w:val="00560237"/>
    <w:rsid w:val="00560C28"/>
    <w:rsid w:val="00560D49"/>
    <w:rsid w:val="005611BA"/>
    <w:rsid w:val="00561407"/>
    <w:rsid w:val="005616FF"/>
    <w:rsid w:val="0056204D"/>
    <w:rsid w:val="0056253E"/>
    <w:rsid w:val="00562815"/>
    <w:rsid w:val="0056351C"/>
    <w:rsid w:val="00563FB4"/>
    <w:rsid w:val="00565327"/>
    <w:rsid w:val="0056563D"/>
    <w:rsid w:val="00565C97"/>
    <w:rsid w:val="005679DA"/>
    <w:rsid w:val="00567FF8"/>
    <w:rsid w:val="00570C37"/>
    <w:rsid w:val="00570C47"/>
    <w:rsid w:val="005710EB"/>
    <w:rsid w:val="00572C50"/>
    <w:rsid w:val="00572FED"/>
    <w:rsid w:val="005736CD"/>
    <w:rsid w:val="005750BD"/>
    <w:rsid w:val="0057553B"/>
    <w:rsid w:val="005759B0"/>
    <w:rsid w:val="00575C78"/>
    <w:rsid w:val="005761AD"/>
    <w:rsid w:val="00576D4B"/>
    <w:rsid w:val="005778A8"/>
    <w:rsid w:val="005779C3"/>
    <w:rsid w:val="00577B37"/>
    <w:rsid w:val="005814E4"/>
    <w:rsid w:val="00581A74"/>
    <w:rsid w:val="005825E1"/>
    <w:rsid w:val="0058379E"/>
    <w:rsid w:val="0058433C"/>
    <w:rsid w:val="00584845"/>
    <w:rsid w:val="005849EB"/>
    <w:rsid w:val="0058631F"/>
    <w:rsid w:val="0058687B"/>
    <w:rsid w:val="0058699C"/>
    <w:rsid w:val="00586A7A"/>
    <w:rsid w:val="00587064"/>
    <w:rsid w:val="00590FEF"/>
    <w:rsid w:val="0059133B"/>
    <w:rsid w:val="005913D6"/>
    <w:rsid w:val="00592500"/>
    <w:rsid w:val="005926A3"/>
    <w:rsid w:val="005928DB"/>
    <w:rsid w:val="00592E36"/>
    <w:rsid w:val="0059311B"/>
    <w:rsid w:val="00593ACF"/>
    <w:rsid w:val="005944C8"/>
    <w:rsid w:val="00596043"/>
    <w:rsid w:val="005969DA"/>
    <w:rsid w:val="00596C69"/>
    <w:rsid w:val="00596F0E"/>
    <w:rsid w:val="00597021"/>
    <w:rsid w:val="0059783F"/>
    <w:rsid w:val="00597BAA"/>
    <w:rsid w:val="005A1543"/>
    <w:rsid w:val="005A15E2"/>
    <w:rsid w:val="005A19E0"/>
    <w:rsid w:val="005A1DC1"/>
    <w:rsid w:val="005A2643"/>
    <w:rsid w:val="005A3023"/>
    <w:rsid w:val="005A3114"/>
    <w:rsid w:val="005A3684"/>
    <w:rsid w:val="005A3718"/>
    <w:rsid w:val="005A377E"/>
    <w:rsid w:val="005A3D0F"/>
    <w:rsid w:val="005A42E8"/>
    <w:rsid w:val="005A49A9"/>
    <w:rsid w:val="005A6859"/>
    <w:rsid w:val="005A7AE5"/>
    <w:rsid w:val="005B0D69"/>
    <w:rsid w:val="005B150C"/>
    <w:rsid w:val="005B2295"/>
    <w:rsid w:val="005B2F02"/>
    <w:rsid w:val="005B3112"/>
    <w:rsid w:val="005B3296"/>
    <w:rsid w:val="005B3517"/>
    <w:rsid w:val="005B3A9A"/>
    <w:rsid w:val="005B4A02"/>
    <w:rsid w:val="005B4E13"/>
    <w:rsid w:val="005B5948"/>
    <w:rsid w:val="005B66FF"/>
    <w:rsid w:val="005B67F4"/>
    <w:rsid w:val="005B7A4B"/>
    <w:rsid w:val="005B7C6F"/>
    <w:rsid w:val="005C092B"/>
    <w:rsid w:val="005C147A"/>
    <w:rsid w:val="005C1C11"/>
    <w:rsid w:val="005C1D2A"/>
    <w:rsid w:val="005C217E"/>
    <w:rsid w:val="005C2669"/>
    <w:rsid w:val="005C31A8"/>
    <w:rsid w:val="005C338E"/>
    <w:rsid w:val="005C355B"/>
    <w:rsid w:val="005C43D7"/>
    <w:rsid w:val="005C48C8"/>
    <w:rsid w:val="005C4B88"/>
    <w:rsid w:val="005C4D64"/>
    <w:rsid w:val="005C51A0"/>
    <w:rsid w:val="005C65B1"/>
    <w:rsid w:val="005C7F3A"/>
    <w:rsid w:val="005D0B65"/>
    <w:rsid w:val="005D1C0B"/>
    <w:rsid w:val="005D2263"/>
    <w:rsid w:val="005D2275"/>
    <w:rsid w:val="005D2BAE"/>
    <w:rsid w:val="005D2C0D"/>
    <w:rsid w:val="005D383E"/>
    <w:rsid w:val="005D3DEB"/>
    <w:rsid w:val="005D4CF4"/>
    <w:rsid w:val="005D52D0"/>
    <w:rsid w:val="005D5E98"/>
    <w:rsid w:val="005D627B"/>
    <w:rsid w:val="005D6CD7"/>
    <w:rsid w:val="005D7634"/>
    <w:rsid w:val="005D7805"/>
    <w:rsid w:val="005E0247"/>
    <w:rsid w:val="005E0BC4"/>
    <w:rsid w:val="005E141D"/>
    <w:rsid w:val="005E2FCB"/>
    <w:rsid w:val="005E4493"/>
    <w:rsid w:val="005E481E"/>
    <w:rsid w:val="005E4FFD"/>
    <w:rsid w:val="005E5461"/>
    <w:rsid w:val="005E55C9"/>
    <w:rsid w:val="005E5A23"/>
    <w:rsid w:val="005E5C4A"/>
    <w:rsid w:val="005E5DC7"/>
    <w:rsid w:val="005E62F4"/>
    <w:rsid w:val="005E67A6"/>
    <w:rsid w:val="005E6F78"/>
    <w:rsid w:val="005F0067"/>
    <w:rsid w:val="005F0424"/>
    <w:rsid w:val="005F21DC"/>
    <w:rsid w:val="005F4B81"/>
    <w:rsid w:val="005F5CD6"/>
    <w:rsid w:val="005F6C57"/>
    <w:rsid w:val="005F6E76"/>
    <w:rsid w:val="005F79D6"/>
    <w:rsid w:val="005F7EB1"/>
    <w:rsid w:val="006000D6"/>
    <w:rsid w:val="00600600"/>
    <w:rsid w:val="0060145F"/>
    <w:rsid w:val="0060167B"/>
    <w:rsid w:val="00601F36"/>
    <w:rsid w:val="00602271"/>
    <w:rsid w:val="00602481"/>
    <w:rsid w:val="00602859"/>
    <w:rsid w:val="00602B09"/>
    <w:rsid w:val="00604AB7"/>
    <w:rsid w:val="006052D7"/>
    <w:rsid w:val="00605B08"/>
    <w:rsid w:val="00606058"/>
    <w:rsid w:val="00606431"/>
    <w:rsid w:val="00606B2F"/>
    <w:rsid w:val="006071E3"/>
    <w:rsid w:val="006072A8"/>
    <w:rsid w:val="006100A8"/>
    <w:rsid w:val="00610400"/>
    <w:rsid w:val="00611296"/>
    <w:rsid w:val="0061138E"/>
    <w:rsid w:val="00611560"/>
    <w:rsid w:val="00611973"/>
    <w:rsid w:val="006132E1"/>
    <w:rsid w:val="006133FE"/>
    <w:rsid w:val="00613B4F"/>
    <w:rsid w:val="00613F45"/>
    <w:rsid w:val="0061683E"/>
    <w:rsid w:val="00616BEB"/>
    <w:rsid w:val="00617321"/>
    <w:rsid w:val="00617582"/>
    <w:rsid w:val="006178A8"/>
    <w:rsid w:val="00620773"/>
    <w:rsid w:val="006219B5"/>
    <w:rsid w:val="00621F47"/>
    <w:rsid w:val="0062201B"/>
    <w:rsid w:val="00622108"/>
    <w:rsid w:val="006224D7"/>
    <w:rsid w:val="0062334C"/>
    <w:rsid w:val="006236F2"/>
    <w:rsid w:val="00623D05"/>
    <w:rsid w:val="00623F64"/>
    <w:rsid w:val="006241D9"/>
    <w:rsid w:val="00624898"/>
    <w:rsid w:val="00624AA4"/>
    <w:rsid w:val="006250DB"/>
    <w:rsid w:val="0062584F"/>
    <w:rsid w:val="0062644A"/>
    <w:rsid w:val="00626562"/>
    <w:rsid w:val="00626A7A"/>
    <w:rsid w:val="00627069"/>
    <w:rsid w:val="00627140"/>
    <w:rsid w:val="00627646"/>
    <w:rsid w:val="00631BB5"/>
    <w:rsid w:val="00631CFA"/>
    <w:rsid w:val="00633E77"/>
    <w:rsid w:val="006342ED"/>
    <w:rsid w:val="0063567E"/>
    <w:rsid w:val="00635B4C"/>
    <w:rsid w:val="00637F70"/>
    <w:rsid w:val="00641775"/>
    <w:rsid w:val="0064180B"/>
    <w:rsid w:val="00642022"/>
    <w:rsid w:val="006422E6"/>
    <w:rsid w:val="00642751"/>
    <w:rsid w:val="006433A9"/>
    <w:rsid w:val="006441E9"/>
    <w:rsid w:val="0064478F"/>
    <w:rsid w:val="00644FD9"/>
    <w:rsid w:val="00645635"/>
    <w:rsid w:val="006469DB"/>
    <w:rsid w:val="0064704D"/>
    <w:rsid w:val="006509CA"/>
    <w:rsid w:val="00651975"/>
    <w:rsid w:val="0065231D"/>
    <w:rsid w:val="006530E7"/>
    <w:rsid w:val="006539AD"/>
    <w:rsid w:val="0065400F"/>
    <w:rsid w:val="006541C5"/>
    <w:rsid w:val="006547C4"/>
    <w:rsid w:val="00654B0D"/>
    <w:rsid w:val="00654B69"/>
    <w:rsid w:val="006552FE"/>
    <w:rsid w:val="006554D9"/>
    <w:rsid w:val="00655A7E"/>
    <w:rsid w:val="0065671D"/>
    <w:rsid w:val="006568E6"/>
    <w:rsid w:val="00656CBF"/>
    <w:rsid w:val="00656DC8"/>
    <w:rsid w:val="00656F36"/>
    <w:rsid w:val="00657B83"/>
    <w:rsid w:val="00657C9B"/>
    <w:rsid w:val="00657E94"/>
    <w:rsid w:val="00660109"/>
    <w:rsid w:val="006601FD"/>
    <w:rsid w:val="006604B3"/>
    <w:rsid w:val="006613AB"/>
    <w:rsid w:val="00661E73"/>
    <w:rsid w:val="00662498"/>
    <w:rsid w:val="00662691"/>
    <w:rsid w:val="006628FA"/>
    <w:rsid w:val="00662F46"/>
    <w:rsid w:val="00663482"/>
    <w:rsid w:val="00663987"/>
    <w:rsid w:val="00663A0C"/>
    <w:rsid w:val="00663D1E"/>
    <w:rsid w:val="00664F7A"/>
    <w:rsid w:val="006656F8"/>
    <w:rsid w:val="0066668C"/>
    <w:rsid w:val="00667B23"/>
    <w:rsid w:val="00667D68"/>
    <w:rsid w:val="00667F34"/>
    <w:rsid w:val="00670644"/>
    <w:rsid w:val="00671B23"/>
    <w:rsid w:val="00672B18"/>
    <w:rsid w:val="00672F97"/>
    <w:rsid w:val="00673C59"/>
    <w:rsid w:val="0067480A"/>
    <w:rsid w:val="00675BBD"/>
    <w:rsid w:val="00675D7F"/>
    <w:rsid w:val="00676958"/>
    <w:rsid w:val="0067760F"/>
    <w:rsid w:val="00677F2C"/>
    <w:rsid w:val="00680333"/>
    <w:rsid w:val="006806D2"/>
    <w:rsid w:val="006814DC"/>
    <w:rsid w:val="00681A0B"/>
    <w:rsid w:val="00682916"/>
    <w:rsid w:val="006829D1"/>
    <w:rsid w:val="00682A4D"/>
    <w:rsid w:val="00683193"/>
    <w:rsid w:val="00683601"/>
    <w:rsid w:val="00683A34"/>
    <w:rsid w:val="00683DF9"/>
    <w:rsid w:val="006840D6"/>
    <w:rsid w:val="006845F9"/>
    <w:rsid w:val="006849B3"/>
    <w:rsid w:val="006860CB"/>
    <w:rsid w:val="0068642C"/>
    <w:rsid w:val="00686F71"/>
    <w:rsid w:val="00686FF3"/>
    <w:rsid w:val="006879F5"/>
    <w:rsid w:val="006901F5"/>
    <w:rsid w:val="0069082B"/>
    <w:rsid w:val="006908F1"/>
    <w:rsid w:val="00690981"/>
    <w:rsid w:val="00690B3A"/>
    <w:rsid w:val="00691052"/>
    <w:rsid w:val="006911D8"/>
    <w:rsid w:val="0069122C"/>
    <w:rsid w:val="00691951"/>
    <w:rsid w:val="00691BBB"/>
    <w:rsid w:val="00691F0A"/>
    <w:rsid w:val="0069222C"/>
    <w:rsid w:val="00693396"/>
    <w:rsid w:val="00693B2A"/>
    <w:rsid w:val="006948AB"/>
    <w:rsid w:val="0069497C"/>
    <w:rsid w:val="00694A65"/>
    <w:rsid w:val="00694BE8"/>
    <w:rsid w:val="0069540E"/>
    <w:rsid w:val="006956EF"/>
    <w:rsid w:val="00697750"/>
    <w:rsid w:val="00697996"/>
    <w:rsid w:val="00697B42"/>
    <w:rsid w:val="006A0BC3"/>
    <w:rsid w:val="006A1914"/>
    <w:rsid w:val="006A1D0A"/>
    <w:rsid w:val="006A20C6"/>
    <w:rsid w:val="006A2FF9"/>
    <w:rsid w:val="006A34E8"/>
    <w:rsid w:val="006A4BCB"/>
    <w:rsid w:val="006A5134"/>
    <w:rsid w:val="006A51E1"/>
    <w:rsid w:val="006A53AF"/>
    <w:rsid w:val="006A5801"/>
    <w:rsid w:val="006A583D"/>
    <w:rsid w:val="006A5B46"/>
    <w:rsid w:val="006A64D7"/>
    <w:rsid w:val="006A67E3"/>
    <w:rsid w:val="006A73B0"/>
    <w:rsid w:val="006A78D3"/>
    <w:rsid w:val="006A7928"/>
    <w:rsid w:val="006A7E5A"/>
    <w:rsid w:val="006B000B"/>
    <w:rsid w:val="006B0249"/>
    <w:rsid w:val="006B142F"/>
    <w:rsid w:val="006B1544"/>
    <w:rsid w:val="006B1650"/>
    <w:rsid w:val="006B1726"/>
    <w:rsid w:val="006B2970"/>
    <w:rsid w:val="006B2CED"/>
    <w:rsid w:val="006B324F"/>
    <w:rsid w:val="006B3BA3"/>
    <w:rsid w:val="006B4C98"/>
    <w:rsid w:val="006B4E5A"/>
    <w:rsid w:val="006B50E8"/>
    <w:rsid w:val="006B640F"/>
    <w:rsid w:val="006B6DC2"/>
    <w:rsid w:val="006B6ECB"/>
    <w:rsid w:val="006B70C9"/>
    <w:rsid w:val="006B75FC"/>
    <w:rsid w:val="006B7695"/>
    <w:rsid w:val="006B7F21"/>
    <w:rsid w:val="006B7FE7"/>
    <w:rsid w:val="006C0E64"/>
    <w:rsid w:val="006C148E"/>
    <w:rsid w:val="006C14F4"/>
    <w:rsid w:val="006C1FAC"/>
    <w:rsid w:val="006C2114"/>
    <w:rsid w:val="006C2F35"/>
    <w:rsid w:val="006C3EF4"/>
    <w:rsid w:val="006C42A8"/>
    <w:rsid w:val="006C4B48"/>
    <w:rsid w:val="006C4CD2"/>
    <w:rsid w:val="006C57A5"/>
    <w:rsid w:val="006C60E2"/>
    <w:rsid w:val="006C62C8"/>
    <w:rsid w:val="006C7282"/>
    <w:rsid w:val="006C7EA4"/>
    <w:rsid w:val="006D0C4C"/>
    <w:rsid w:val="006D135C"/>
    <w:rsid w:val="006D1372"/>
    <w:rsid w:val="006D167C"/>
    <w:rsid w:val="006D19B0"/>
    <w:rsid w:val="006D2048"/>
    <w:rsid w:val="006D2790"/>
    <w:rsid w:val="006D3DF9"/>
    <w:rsid w:val="006D416C"/>
    <w:rsid w:val="006D445C"/>
    <w:rsid w:val="006D4563"/>
    <w:rsid w:val="006D60EA"/>
    <w:rsid w:val="006D6633"/>
    <w:rsid w:val="006D6B64"/>
    <w:rsid w:val="006D73A2"/>
    <w:rsid w:val="006E00D9"/>
    <w:rsid w:val="006E0479"/>
    <w:rsid w:val="006E0A94"/>
    <w:rsid w:val="006E1474"/>
    <w:rsid w:val="006E159D"/>
    <w:rsid w:val="006E1BAC"/>
    <w:rsid w:val="006E2BE5"/>
    <w:rsid w:val="006E4EE4"/>
    <w:rsid w:val="006E4F17"/>
    <w:rsid w:val="006E5957"/>
    <w:rsid w:val="006E6DC7"/>
    <w:rsid w:val="006E6F62"/>
    <w:rsid w:val="006E6FB1"/>
    <w:rsid w:val="006E7FB3"/>
    <w:rsid w:val="006F06EB"/>
    <w:rsid w:val="006F0E6D"/>
    <w:rsid w:val="006F0F73"/>
    <w:rsid w:val="006F248B"/>
    <w:rsid w:val="006F30C9"/>
    <w:rsid w:val="006F3372"/>
    <w:rsid w:val="006F34D8"/>
    <w:rsid w:val="006F3B8D"/>
    <w:rsid w:val="006F40D3"/>
    <w:rsid w:val="006F41FE"/>
    <w:rsid w:val="006F4288"/>
    <w:rsid w:val="006F4E16"/>
    <w:rsid w:val="006F53BB"/>
    <w:rsid w:val="006F5904"/>
    <w:rsid w:val="006F5DA2"/>
    <w:rsid w:val="006F6022"/>
    <w:rsid w:val="006F65C0"/>
    <w:rsid w:val="006F7003"/>
    <w:rsid w:val="006F79B2"/>
    <w:rsid w:val="006F7D15"/>
    <w:rsid w:val="0070054E"/>
    <w:rsid w:val="0070063D"/>
    <w:rsid w:val="007008FE"/>
    <w:rsid w:val="00701C03"/>
    <w:rsid w:val="00701CA7"/>
    <w:rsid w:val="007022DE"/>
    <w:rsid w:val="0070275A"/>
    <w:rsid w:val="00702F72"/>
    <w:rsid w:val="00703A49"/>
    <w:rsid w:val="007043C0"/>
    <w:rsid w:val="00704A7E"/>
    <w:rsid w:val="007053EF"/>
    <w:rsid w:val="00705620"/>
    <w:rsid w:val="00707209"/>
    <w:rsid w:val="007073FE"/>
    <w:rsid w:val="00710110"/>
    <w:rsid w:val="00710382"/>
    <w:rsid w:val="00710A6C"/>
    <w:rsid w:val="00710D64"/>
    <w:rsid w:val="00711605"/>
    <w:rsid w:val="00711BAC"/>
    <w:rsid w:val="00711D8E"/>
    <w:rsid w:val="00712623"/>
    <w:rsid w:val="0071285C"/>
    <w:rsid w:val="00713556"/>
    <w:rsid w:val="00713772"/>
    <w:rsid w:val="00713C5E"/>
    <w:rsid w:val="00713E8C"/>
    <w:rsid w:val="00713FF4"/>
    <w:rsid w:val="0071465D"/>
    <w:rsid w:val="00714D54"/>
    <w:rsid w:val="0071585E"/>
    <w:rsid w:val="00715B50"/>
    <w:rsid w:val="00715F04"/>
    <w:rsid w:val="0071789D"/>
    <w:rsid w:val="0072107D"/>
    <w:rsid w:val="00721ED8"/>
    <w:rsid w:val="00722605"/>
    <w:rsid w:val="00722947"/>
    <w:rsid w:val="00722C85"/>
    <w:rsid w:val="00722E58"/>
    <w:rsid w:val="0072374C"/>
    <w:rsid w:val="00724EBD"/>
    <w:rsid w:val="00725811"/>
    <w:rsid w:val="007260D8"/>
    <w:rsid w:val="00730B26"/>
    <w:rsid w:val="00730CF1"/>
    <w:rsid w:val="00731A0F"/>
    <w:rsid w:val="00731AD2"/>
    <w:rsid w:val="007323F4"/>
    <w:rsid w:val="00732875"/>
    <w:rsid w:val="007333C0"/>
    <w:rsid w:val="00733A55"/>
    <w:rsid w:val="00733BDF"/>
    <w:rsid w:val="00733C18"/>
    <w:rsid w:val="00733D8A"/>
    <w:rsid w:val="007346E3"/>
    <w:rsid w:val="0073563E"/>
    <w:rsid w:val="007356CA"/>
    <w:rsid w:val="0073623A"/>
    <w:rsid w:val="007365B6"/>
    <w:rsid w:val="0073663D"/>
    <w:rsid w:val="007366C8"/>
    <w:rsid w:val="00736E83"/>
    <w:rsid w:val="00737CC8"/>
    <w:rsid w:val="00737FB6"/>
    <w:rsid w:val="007404A5"/>
    <w:rsid w:val="007407C1"/>
    <w:rsid w:val="00740976"/>
    <w:rsid w:val="00741312"/>
    <w:rsid w:val="0074182D"/>
    <w:rsid w:val="00742443"/>
    <w:rsid w:val="00742BF3"/>
    <w:rsid w:val="00742C0E"/>
    <w:rsid w:val="00745200"/>
    <w:rsid w:val="0074530C"/>
    <w:rsid w:val="00745CF5"/>
    <w:rsid w:val="00745D4C"/>
    <w:rsid w:val="00745FBE"/>
    <w:rsid w:val="007467CB"/>
    <w:rsid w:val="0074735E"/>
    <w:rsid w:val="007479FE"/>
    <w:rsid w:val="00750AE6"/>
    <w:rsid w:val="00751332"/>
    <w:rsid w:val="00751436"/>
    <w:rsid w:val="00752477"/>
    <w:rsid w:val="00752C1F"/>
    <w:rsid w:val="00753BA6"/>
    <w:rsid w:val="00754602"/>
    <w:rsid w:val="00754C87"/>
    <w:rsid w:val="0075508C"/>
    <w:rsid w:val="00755852"/>
    <w:rsid w:val="00755EA6"/>
    <w:rsid w:val="007563B0"/>
    <w:rsid w:val="007563DF"/>
    <w:rsid w:val="0075672B"/>
    <w:rsid w:val="007576CB"/>
    <w:rsid w:val="00757966"/>
    <w:rsid w:val="0076112D"/>
    <w:rsid w:val="00761EBD"/>
    <w:rsid w:val="00762C8E"/>
    <w:rsid w:val="00762E57"/>
    <w:rsid w:val="00763360"/>
    <w:rsid w:val="007639DD"/>
    <w:rsid w:val="00764139"/>
    <w:rsid w:val="0076466E"/>
    <w:rsid w:val="00765127"/>
    <w:rsid w:val="00766C64"/>
    <w:rsid w:val="007676DA"/>
    <w:rsid w:val="00770041"/>
    <w:rsid w:val="007703B7"/>
    <w:rsid w:val="00770B1C"/>
    <w:rsid w:val="0077111C"/>
    <w:rsid w:val="007714A3"/>
    <w:rsid w:val="0077272A"/>
    <w:rsid w:val="00772976"/>
    <w:rsid w:val="0077301A"/>
    <w:rsid w:val="00773747"/>
    <w:rsid w:val="0077394C"/>
    <w:rsid w:val="00774E17"/>
    <w:rsid w:val="007761D2"/>
    <w:rsid w:val="00776CA8"/>
    <w:rsid w:val="007774D4"/>
    <w:rsid w:val="00781A58"/>
    <w:rsid w:val="007822DD"/>
    <w:rsid w:val="007829DF"/>
    <w:rsid w:val="0078301F"/>
    <w:rsid w:val="007838BF"/>
    <w:rsid w:val="007848B0"/>
    <w:rsid w:val="00786AE7"/>
    <w:rsid w:val="007872BC"/>
    <w:rsid w:val="0078791C"/>
    <w:rsid w:val="00787FD7"/>
    <w:rsid w:val="0079042E"/>
    <w:rsid w:val="007904E2"/>
    <w:rsid w:val="0079057D"/>
    <w:rsid w:val="0079068C"/>
    <w:rsid w:val="00790F96"/>
    <w:rsid w:val="007910A6"/>
    <w:rsid w:val="0079152D"/>
    <w:rsid w:val="00791D7C"/>
    <w:rsid w:val="00792FAF"/>
    <w:rsid w:val="00793E1F"/>
    <w:rsid w:val="00794413"/>
    <w:rsid w:val="00794435"/>
    <w:rsid w:val="0079511A"/>
    <w:rsid w:val="007963A9"/>
    <w:rsid w:val="0079715F"/>
    <w:rsid w:val="007976D5"/>
    <w:rsid w:val="007A012B"/>
    <w:rsid w:val="007A0EC8"/>
    <w:rsid w:val="007A1722"/>
    <w:rsid w:val="007A1D5B"/>
    <w:rsid w:val="007A2248"/>
    <w:rsid w:val="007A2882"/>
    <w:rsid w:val="007A306D"/>
    <w:rsid w:val="007A338C"/>
    <w:rsid w:val="007A3782"/>
    <w:rsid w:val="007A3D09"/>
    <w:rsid w:val="007A4279"/>
    <w:rsid w:val="007A42D0"/>
    <w:rsid w:val="007A451B"/>
    <w:rsid w:val="007A5548"/>
    <w:rsid w:val="007A598F"/>
    <w:rsid w:val="007A619D"/>
    <w:rsid w:val="007A6B23"/>
    <w:rsid w:val="007A77EB"/>
    <w:rsid w:val="007B0C72"/>
    <w:rsid w:val="007B14F9"/>
    <w:rsid w:val="007B1FE0"/>
    <w:rsid w:val="007B21F0"/>
    <w:rsid w:val="007B26F8"/>
    <w:rsid w:val="007B2A97"/>
    <w:rsid w:val="007B2E02"/>
    <w:rsid w:val="007B2E65"/>
    <w:rsid w:val="007B39D5"/>
    <w:rsid w:val="007B43C7"/>
    <w:rsid w:val="007B4427"/>
    <w:rsid w:val="007B4872"/>
    <w:rsid w:val="007B5950"/>
    <w:rsid w:val="007B6094"/>
    <w:rsid w:val="007B63A2"/>
    <w:rsid w:val="007B6C5C"/>
    <w:rsid w:val="007B7576"/>
    <w:rsid w:val="007B7876"/>
    <w:rsid w:val="007B7D2A"/>
    <w:rsid w:val="007B7F9B"/>
    <w:rsid w:val="007C0974"/>
    <w:rsid w:val="007C190C"/>
    <w:rsid w:val="007C1C02"/>
    <w:rsid w:val="007C1F37"/>
    <w:rsid w:val="007C253F"/>
    <w:rsid w:val="007C2614"/>
    <w:rsid w:val="007C32DF"/>
    <w:rsid w:val="007C3673"/>
    <w:rsid w:val="007C516C"/>
    <w:rsid w:val="007C5D3F"/>
    <w:rsid w:val="007C61A1"/>
    <w:rsid w:val="007C69E4"/>
    <w:rsid w:val="007C73EB"/>
    <w:rsid w:val="007C7453"/>
    <w:rsid w:val="007C76C1"/>
    <w:rsid w:val="007C774F"/>
    <w:rsid w:val="007C7A82"/>
    <w:rsid w:val="007D1465"/>
    <w:rsid w:val="007D15B1"/>
    <w:rsid w:val="007D1BD8"/>
    <w:rsid w:val="007D2515"/>
    <w:rsid w:val="007D354F"/>
    <w:rsid w:val="007D389D"/>
    <w:rsid w:val="007D4B1E"/>
    <w:rsid w:val="007D5544"/>
    <w:rsid w:val="007D5F34"/>
    <w:rsid w:val="007D7197"/>
    <w:rsid w:val="007D7403"/>
    <w:rsid w:val="007D78CC"/>
    <w:rsid w:val="007D7EC1"/>
    <w:rsid w:val="007D7EC5"/>
    <w:rsid w:val="007E0455"/>
    <w:rsid w:val="007E09A6"/>
    <w:rsid w:val="007E0A7D"/>
    <w:rsid w:val="007E1CE4"/>
    <w:rsid w:val="007E1D8F"/>
    <w:rsid w:val="007E1F7A"/>
    <w:rsid w:val="007E2292"/>
    <w:rsid w:val="007E3549"/>
    <w:rsid w:val="007E6229"/>
    <w:rsid w:val="007E688C"/>
    <w:rsid w:val="007E68E6"/>
    <w:rsid w:val="007E71AB"/>
    <w:rsid w:val="007E733E"/>
    <w:rsid w:val="007E7499"/>
    <w:rsid w:val="007E7555"/>
    <w:rsid w:val="007F1538"/>
    <w:rsid w:val="007F2ED4"/>
    <w:rsid w:val="007F302F"/>
    <w:rsid w:val="007F3C30"/>
    <w:rsid w:val="007F3F89"/>
    <w:rsid w:val="007F69B4"/>
    <w:rsid w:val="007F6C84"/>
    <w:rsid w:val="007F721F"/>
    <w:rsid w:val="007F7A63"/>
    <w:rsid w:val="007F7AA0"/>
    <w:rsid w:val="007F7E03"/>
    <w:rsid w:val="007F7E1D"/>
    <w:rsid w:val="0080033B"/>
    <w:rsid w:val="00800BDD"/>
    <w:rsid w:val="00800C48"/>
    <w:rsid w:val="008030DE"/>
    <w:rsid w:val="00804918"/>
    <w:rsid w:val="00804EAA"/>
    <w:rsid w:val="00805D49"/>
    <w:rsid w:val="00805FFD"/>
    <w:rsid w:val="0080624A"/>
    <w:rsid w:val="008062E7"/>
    <w:rsid w:val="008079E9"/>
    <w:rsid w:val="00810446"/>
    <w:rsid w:val="0081051A"/>
    <w:rsid w:val="0081054C"/>
    <w:rsid w:val="00810635"/>
    <w:rsid w:val="008109A6"/>
    <w:rsid w:val="00810EFD"/>
    <w:rsid w:val="008112E5"/>
    <w:rsid w:val="00811EE7"/>
    <w:rsid w:val="008125BF"/>
    <w:rsid w:val="008136E1"/>
    <w:rsid w:val="00814029"/>
    <w:rsid w:val="008148F8"/>
    <w:rsid w:val="00815988"/>
    <w:rsid w:val="00815DAD"/>
    <w:rsid w:val="008161D8"/>
    <w:rsid w:val="00817606"/>
    <w:rsid w:val="00821224"/>
    <w:rsid w:val="00821681"/>
    <w:rsid w:val="00822086"/>
    <w:rsid w:val="008226CF"/>
    <w:rsid w:val="00822D11"/>
    <w:rsid w:val="00823742"/>
    <w:rsid w:val="00823B21"/>
    <w:rsid w:val="0082412C"/>
    <w:rsid w:val="00824151"/>
    <w:rsid w:val="0082607A"/>
    <w:rsid w:val="0082638F"/>
    <w:rsid w:val="008271E6"/>
    <w:rsid w:val="008300BD"/>
    <w:rsid w:val="00830511"/>
    <w:rsid w:val="00830E3E"/>
    <w:rsid w:val="0083128A"/>
    <w:rsid w:val="0083253A"/>
    <w:rsid w:val="008329B3"/>
    <w:rsid w:val="008331FF"/>
    <w:rsid w:val="0083397A"/>
    <w:rsid w:val="00833C64"/>
    <w:rsid w:val="00834361"/>
    <w:rsid w:val="00835503"/>
    <w:rsid w:val="008357D0"/>
    <w:rsid w:val="00836C68"/>
    <w:rsid w:val="00842C46"/>
    <w:rsid w:val="00843290"/>
    <w:rsid w:val="008443B1"/>
    <w:rsid w:val="00844B4C"/>
    <w:rsid w:val="00845A6A"/>
    <w:rsid w:val="008508A2"/>
    <w:rsid w:val="00850A10"/>
    <w:rsid w:val="00852211"/>
    <w:rsid w:val="00852C92"/>
    <w:rsid w:val="00852D91"/>
    <w:rsid w:val="00852F10"/>
    <w:rsid w:val="00853011"/>
    <w:rsid w:val="0085358D"/>
    <w:rsid w:val="00853F44"/>
    <w:rsid w:val="00854F92"/>
    <w:rsid w:val="008552FA"/>
    <w:rsid w:val="00855521"/>
    <w:rsid w:val="008557B5"/>
    <w:rsid w:val="008557D5"/>
    <w:rsid w:val="00855C1F"/>
    <w:rsid w:val="008601FA"/>
    <w:rsid w:val="0086032A"/>
    <w:rsid w:val="00860F80"/>
    <w:rsid w:val="00861215"/>
    <w:rsid w:val="008617FD"/>
    <w:rsid w:val="00861C84"/>
    <w:rsid w:val="008627D6"/>
    <w:rsid w:val="008642DE"/>
    <w:rsid w:val="0086593F"/>
    <w:rsid w:val="00866AE8"/>
    <w:rsid w:val="00866DE6"/>
    <w:rsid w:val="0086704B"/>
    <w:rsid w:val="00867A85"/>
    <w:rsid w:val="0087002A"/>
    <w:rsid w:val="0087096B"/>
    <w:rsid w:val="00871870"/>
    <w:rsid w:val="00872508"/>
    <w:rsid w:val="008735F7"/>
    <w:rsid w:val="00873F8E"/>
    <w:rsid w:val="008740A5"/>
    <w:rsid w:val="00874290"/>
    <w:rsid w:val="00875DA3"/>
    <w:rsid w:val="00875DC1"/>
    <w:rsid w:val="00875F84"/>
    <w:rsid w:val="00876713"/>
    <w:rsid w:val="008767A1"/>
    <w:rsid w:val="008771F9"/>
    <w:rsid w:val="00877A69"/>
    <w:rsid w:val="00877D09"/>
    <w:rsid w:val="00881340"/>
    <w:rsid w:val="008815CD"/>
    <w:rsid w:val="008818EC"/>
    <w:rsid w:val="00881D0F"/>
    <w:rsid w:val="00881E1B"/>
    <w:rsid w:val="00881E2B"/>
    <w:rsid w:val="00881FE4"/>
    <w:rsid w:val="008826BA"/>
    <w:rsid w:val="00882931"/>
    <w:rsid w:val="00882B73"/>
    <w:rsid w:val="00883365"/>
    <w:rsid w:val="00883406"/>
    <w:rsid w:val="00885850"/>
    <w:rsid w:val="00885F3D"/>
    <w:rsid w:val="008860A0"/>
    <w:rsid w:val="00886427"/>
    <w:rsid w:val="008868C2"/>
    <w:rsid w:val="00886C8A"/>
    <w:rsid w:val="0088723C"/>
    <w:rsid w:val="00887429"/>
    <w:rsid w:val="00887489"/>
    <w:rsid w:val="0088793F"/>
    <w:rsid w:val="00890223"/>
    <w:rsid w:val="0089036B"/>
    <w:rsid w:val="008909FE"/>
    <w:rsid w:val="008910CF"/>
    <w:rsid w:val="008916EE"/>
    <w:rsid w:val="008918E8"/>
    <w:rsid w:val="00891A08"/>
    <w:rsid w:val="00891A7A"/>
    <w:rsid w:val="00892D07"/>
    <w:rsid w:val="00893124"/>
    <w:rsid w:val="00894304"/>
    <w:rsid w:val="00895BFA"/>
    <w:rsid w:val="0089669F"/>
    <w:rsid w:val="0089725D"/>
    <w:rsid w:val="00897B4F"/>
    <w:rsid w:val="008A1291"/>
    <w:rsid w:val="008A165F"/>
    <w:rsid w:val="008A4500"/>
    <w:rsid w:val="008A48B6"/>
    <w:rsid w:val="008A4D0A"/>
    <w:rsid w:val="008A5035"/>
    <w:rsid w:val="008A589E"/>
    <w:rsid w:val="008A5A3F"/>
    <w:rsid w:val="008A64E8"/>
    <w:rsid w:val="008B046E"/>
    <w:rsid w:val="008B05B7"/>
    <w:rsid w:val="008B0799"/>
    <w:rsid w:val="008B07B2"/>
    <w:rsid w:val="008B0E51"/>
    <w:rsid w:val="008B1778"/>
    <w:rsid w:val="008B28BC"/>
    <w:rsid w:val="008B2E55"/>
    <w:rsid w:val="008B36D3"/>
    <w:rsid w:val="008B3C09"/>
    <w:rsid w:val="008B4389"/>
    <w:rsid w:val="008B4696"/>
    <w:rsid w:val="008B7C40"/>
    <w:rsid w:val="008C09DB"/>
    <w:rsid w:val="008C0A2C"/>
    <w:rsid w:val="008C1019"/>
    <w:rsid w:val="008C19CE"/>
    <w:rsid w:val="008C4136"/>
    <w:rsid w:val="008C498C"/>
    <w:rsid w:val="008C4DB1"/>
    <w:rsid w:val="008C4E2C"/>
    <w:rsid w:val="008C5CBA"/>
    <w:rsid w:val="008C64A9"/>
    <w:rsid w:val="008C68A0"/>
    <w:rsid w:val="008C6946"/>
    <w:rsid w:val="008C6C72"/>
    <w:rsid w:val="008C70CD"/>
    <w:rsid w:val="008C7C0A"/>
    <w:rsid w:val="008D13E2"/>
    <w:rsid w:val="008D1911"/>
    <w:rsid w:val="008D201E"/>
    <w:rsid w:val="008D276C"/>
    <w:rsid w:val="008D2C69"/>
    <w:rsid w:val="008D2DD2"/>
    <w:rsid w:val="008D310A"/>
    <w:rsid w:val="008D3323"/>
    <w:rsid w:val="008D4348"/>
    <w:rsid w:val="008D4873"/>
    <w:rsid w:val="008D59C3"/>
    <w:rsid w:val="008D5A0A"/>
    <w:rsid w:val="008D5D52"/>
    <w:rsid w:val="008D5E8B"/>
    <w:rsid w:val="008D6213"/>
    <w:rsid w:val="008D6BE4"/>
    <w:rsid w:val="008D7728"/>
    <w:rsid w:val="008E00B2"/>
    <w:rsid w:val="008E0CEC"/>
    <w:rsid w:val="008E1346"/>
    <w:rsid w:val="008E15F3"/>
    <w:rsid w:val="008E1F69"/>
    <w:rsid w:val="008E2768"/>
    <w:rsid w:val="008E33E2"/>
    <w:rsid w:val="008E395C"/>
    <w:rsid w:val="008E3A35"/>
    <w:rsid w:val="008E5604"/>
    <w:rsid w:val="008E5831"/>
    <w:rsid w:val="008E61CA"/>
    <w:rsid w:val="008F0D86"/>
    <w:rsid w:val="008F124F"/>
    <w:rsid w:val="008F1AAA"/>
    <w:rsid w:val="008F1D1A"/>
    <w:rsid w:val="008F1F38"/>
    <w:rsid w:val="008F20C9"/>
    <w:rsid w:val="008F2170"/>
    <w:rsid w:val="008F2FF1"/>
    <w:rsid w:val="008F364E"/>
    <w:rsid w:val="008F4D63"/>
    <w:rsid w:val="008F53D8"/>
    <w:rsid w:val="008F634E"/>
    <w:rsid w:val="008F65C2"/>
    <w:rsid w:val="008F7407"/>
    <w:rsid w:val="008F785E"/>
    <w:rsid w:val="008F7D07"/>
    <w:rsid w:val="00901A8D"/>
    <w:rsid w:val="00902902"/>
    <w:rsid w:val="0090359C"/>
    <w:rsid w:val="00904165"/>
    <w:rsid w:val="009047FF"/>
    <w:rsid w:val="00904D3C"/>
    <w:rsid w:val="00904F47"/>
    <w:rsid w:val="009052A8"/>
    <w:rsid w:val="0090632C"/>
    <w:rsid w:val="0090693E"/>
    <w:rsid w:val="00907B9A"/>
    <w:rsid w:val="0091003D"/>
    <w:rsid w:val="0091088A"/>
    <w:rsid w:val="00910E57"/>
    <w:rsid w:val="00910F88"/>
    <w:rsid w:val="0091144F"/>
    <w:rsid w:val="009114FE"/>
    <w:rsid w:val="00911A86"/>
    <w:rsid w:val="009123FA"/>
    <w:rsid w:val="00913227"/>
    <w:rsid w:val="00913FF0"/>
    <w:rsid w:val="00914191"/>
    <w:rsid w:val="00915744"/>
    <w:rsid w:val="00915997"/>
    <w:rsid w:val="00915D3A"/>
    <w:rsid w:val="00916FA2"/>
    <w:rsid w:val="00917795"/>
    <w:rsid w:val="0091791D"/>
    <w:rsid w:val="00917B9F"/>
    <w:rsid w:val="0092090C"/>
    <w:rsid w:val="00920F08"/>
    <w:rsid w:val="0092136B"/>
    <w:rsid w:val="00921434"/>
    <w:rsid w:val="009214C5"/>
    <w:rsid w:val="00921CC4"/>
    <w:rsid w:val="00922A5E"/>
    <w:rsid w:val="00924BA2"/>
    <w:rsid w:val="009259E2"/>
    <w:rsid w:val="00927C0E"/>
    <w:rsid w:val="00930ADF"/>
    <w:rsid w:val="00930CA0"/>
    <w:rsid w:val="00932A38"/>
    <w:rsid w:val="00932DFA"/>
    <w:rsid w:val="0093300F"/>
    <w:rsid w:val="00934365"/>
    <w:rsid w:val="00934CD1"/>
    <w:rsid w:val="00935BD1"/>
    <w:rsid w:val="00935C34"/>
    <w:rsid w:val="00935C5E"/>
    <w:rsid w:val="00935D37"/>
    <w:rsid w:val="00935D40"/>
    <w:rsid w:val="00936886"/>
    <w:rsid w:val="009368E9"/>
    <w:rsid w:val="009369C5"/>
    <w:rsid w:val="00937BA4"/>
    <w:rsid w:val="00940454"/>
    <w:rsid w:val="00940671"/>
    <w:rsid w:val="00940709"/>
    <w:rsid w:val="00940BB2"/>
    <w:rsid w:val="0094157E"/>
    <w:rsid w:val="0094168F"/>
    <w:rsid w:val="0094245D"/>
    <w:rsid w:val="0094284F"/>
    <w:rsid w:val="0094312C"/>
    <w:rsid w:val="00943134"/>
    <w:rsid w:val="00943F26"/>
    <w:rsid w:val="009441F4"/>
    <w:rsid w:val="00944775"/>
    <w:rsid w:val="00944F2E"/>
    <w:rsid w:val="009452A4"/>
    <w:rsid w:val="00946437"/>
    <w:rsid w:val="0094643A"/>
    <w:rsid w:val="00946E7E"/>
    <w:rsid w:val="0094706E"/>
    <w:rsid w:val="0094718F"/>
    <w:rsid w:val="00947869"/>
    <w:rsid w:val="00947A1F"/>
    <w:rsid w:val="00947BF8"/>
    <w:rsid w:val="009509A6"/>
    <w:rsid w:val="00950C84"/>
    <w:rsid w:val="0095174A"/>
    <w:rsid w:val="00951C3D"/>
    <w:rsid w:val="00952F54"/>
    <w:rsid w:val="009540A0"/>
    <w:rsid w:val="00954D81"/>
    <w:rsid w:val="0095675D"/>
    <w:rsid w:val="009567BA"/>
    <w:rsid w:val="0095693C"/>
    <w:rsid w:val="009577F1"/>
    <w:rsid w:val="0095794B"/>
    <w:rsid w:val="00957E60"/>
    <w:rsid w:val="00957F20"/>
    <w:rsid w:val="00961232"/>
    <w:rsid w:val="00961379"/>
    <w:rsid w:val="009639EA"/>
    <w:rsid w:val="00963B46"/>
    <w:rsid w:val="00964455"/>
    <w:rsid w:val="009646EB"/>
    <w:rsid w:val="00964932"/>
    <w:rsid w:val="00964E46"/>
    <w:rsid w:val="00965170"/>
    <w:rsid w:val="009651D4"/>
    <w:rsid w:val="00965825"/>
    <w:rsid w:val="00967CFC"/>
    <w:rsid w:val="00970626"/>
    <w:rsid w:val="00970E4D"/>
    <w:rsid w:val="009712A2"/>
    <w:rsid w:val="009717AE"/>
    <w:rsid w:val="0097185D"/>
    <w:rsid w:val="00971C5A"/>
    <w:rsid w:val="0097297F"/>
    <w:rsid w:val="00972D9A"/>
    <w:rsid w:val="00974BF3"/>
    <w:rsid w:val="00976218"/>
    <w:rsid w:val="009763E8"/>
    <w:rsid w:val="00977654"/>
    <w:rsid w:val="00977EEE"/>
    <w:rsid w:val="00981901"/>
    <w:rsid w:val="00981C6B"/>
    <w:rsid w:val="00982449"/>
    <w:rsid w:val="009825FA"/>
    <w:rsid w:val="00982877"/>
    <w:rsid w:val="00982A13"/>
    <w:rsid w:val="009834C8"/>
    <w:rsid w:val="009840F3"/>
    <w:rsid w:val="00987C4D"/>
    <w:rsid w:val="009917DD"/>
    <w:rsid w:val="009925AD"/>
    <w:rsid w:val="00992E2A"/>
    <w:rsid w:val="009954D0"/>
    <w:rsid w:val="009957C3"/>
    <w:rsid w:val="00995E00"/>
    <w:rsid w:val="00996133"/>
    <w:rsid w:val="009965C0"/>
    <w:rsid w:val="00997397"/>
    <w:rsid w:val="00997435"/>
    <w:rsid w:val="00997575"/>
    <w:rsid w:val="009A00B2"/>
    <w:rsid w:val="009A055A"/>
    <w:rsid w:val="009A0B10"/>
    <w:rsid w:val="009A0E63"/>
    <w:rsid w:val="009A1496"/>
    <w:rsid w:val="009A16B4"/>
    <w:rsid w:val="009A1DBE"/>
    <w:rsid w:val="009A2478"/>
    <w:rsid w:val="009A2C7E"/>
    <w:rsid w:val="009A3842"/>
    <w:rsid w:val="009A48F2"/>
    <w:rsid w:val="009A49EE"/>
    <w:rsid w:val="009A6175"/>
    <w:rsid w:val="009A63C3"/>
    <w:rsid w:val="009A69A9"/>
    <w:rsid w:val="009A6DC9"/>
    <w:rsid w:val="009A6F45"/>
    <w:rsid w:val="009A77C3"/>
    <w:rsid w:val="009B0504"/>
    <w:rsid w:val="009B09EC"/>
    <w:rsid w:val="009B100C"/>
    <w:rsid w:val="009B1F56"/>
    <w:rsid w:val="009B2031"/>
    <w:rsid w:val="009B21BB"/>
    <w:rsid w:val="009B279F"/>
    <w:rsid w:val="009B4870"/>
    <w:rsid w:val="009B4899"/>
    <w:rsid w:val="009B5FF3"/>
    <w:rsid w:val="009B6F44"/>
    <w:rsid w:val="009B7260"/>
    <w:rsid w:val="009B7625"/>
    <w:rsid w:val="009B780D"/>
    <w:rsid w:val="009B7C88"/>
    <w:rsid w:val="009B7DC1"/>
    <w:rsid w:val="009C0572"/>
    <w:rsid w:val="009C0B08"/>
    <w:rsid w:val="009C2139"/>
    <w:rsid w:val="009C2BC9"/>
    <w:rsid w:val="009C30E1"/>
    <w:rsid w:val="009C3465"/>
    <w:rsid w:val="009C3A7E"/>
    <w:rsid w:val="009C3D8B"/>
    <w:rsid w:val="009C5DB7"/>
    <w:rsid w:val="009C5EF3"/>
    <w:rsid w:val="009C714C"/>
    <w:rsid w:val="009C734D"/>
    <w:rsid w:val="009C74F1"/>
    <w:rsid w:val="009C7F6B"/>
    <w:rsid w:val="009D010C"/>
    <w:rsid w:val="009D0BB3"/>
    <w:rsid w:val="009D155A"/>
    <w:rsid w:val="009D1B96"/>
    <w:rsid w:val="009D1C99"/>
    <w:rsid w:val="009D2799"/>
    <w:rsid w:val="009D2CE6"/>
    <w:rsid w:val="009D3072"/>
    <w:rsid w:val="009D4C9E"/>
    <w:rsid w:val="009D63B5"/>
    <w:rsid w:val="009D6E19"/>
    <w:rsid w:val="009D7A2E"/>
    <w:rsid w:val="009D7AC0"/>
    <w:rsid w:val="009E00F6"/>
    <w:rsid w:val="009E01D8"/>
    <w:rsid w:val="009E0CB6"/>
    <w:rsid w:val="009E12FC"/>
    <w:rsid w:val="009E1320"/>
    <w:rsid w:val="009E1511"/>
    <w:rsid w:val="009E1A12"/>
    <w:rsid w:val="009E2C5F"/>
    <w:rsid w:val="009E2D83"/>
    <w:rsid w:val="009E3DEE"/>
    <w:rsid w:val="009E5516"/>
    <w:rsid w:val="009E65B5"/>
    <w:rsid w:val="009E6919"/>
    <w:rsid w:val="009E72E3"/>
    <w:rsid w:val="009E7B77"/>
    <w:rsid w:val="009F048D"/>
    <w:rsid w:val="009F1562"/>
    <w:rsid w:val="009F1740"/>
    <w:rsid w:val="009F1F55"/>
    <w:rsid w:val="009F2074"/>
    <w:rsid w:val="009F2AF6"/>
    <w:rsid w:val="009F3385"/>
    <w:rsid w:val="009F3531"/>
    <w:rsid w:val="009F37B1"/>
    <w:rsid w:val="009F3B09"/>
    <w:rsid w:val="009F3F6A"/>
    <w:rsid w:val="009F5750"/>
    <w:rsid w:val="009F5E4A"/>
    <w:rsid w:val="009F6035"/>
    <w:rsid w:val="009F6249"/>
    <w:rsid w:val="009F6660"/>
    <w:rsid w:val="009F7569"/>
    <w:rsid w:val="009F7B1A"/>
    <w:rsid w:val="00A00557"/>
    <w:rsid w:val="00A00EF8"/>
    <w:rsid w:val="00A00FDF"/>
    <w:rsid w:val="00A0204E"/>
    <w:rsid w:val="00A026D7"/>
    <w:rsid w:val="00A0364C"/>
    <w:rsid w:val="00A04588"/>
    <w:rsid w:val="00A05773"/>
    <w:rsid w:val="00A0627E"/>
    <w:rsid w:val="00A06D8B"/>
    <w:rsid w:val="00A07228"/>
    <w:rsid w:val="00A075A2"/>
    <w:rsid w:val="00A07626"/>
    <w:rsid w:val="00A1019A"/>
    <w:rsid w:val="00A10BF4"/>
    <w:rsid w:val="00A10C1D"/>
    <w:rsid w:val="00A11820"/>
    <w:rsid w:val="00A11970"/>
    <w:rsid w:val="00A11D28"/>
    <w:rsid w:val="00A1209D"/>
    <w:rsid w:val="00A120D3"/>
    <w:rsid w:val="00A12457"/>
    <w:rsid w:val="00A12B65"/>
    <w:rsid w:val="00A13339"/>
    <w:rsid w:val="00A136FB"/>
    <w:rsid w:val="00A1434D"/>
    <w:rsid w:val="00A1447A"/>
    <w:rsid w:val="00A158E9"/>
    <w:rsid w:val="00A16502"/>
    <w:rsid w:val="00A1674D"/>
    <w:rsid w:val="00A16F0B"/>
    <w:rsid w:val="00A17147"/>
    <w:rsid w:val="00A1718D"/>
    <w:rsid w:val="00A173C9"/>
    <w:rsid w:val="00A1757A"/>
    <w:rsid w:val="00A17BB9"/>
    <w:rsid w:val="00A21007"/>
    <w:rsid w:val="00A218F5"/>
    <w:rsid w:val="00A21C53"/>
    <w:rsid w:val="00A21EB9"/>
    <w:rsid w:val="00A22617"/>
    <w:rsid w:val="00A22B03"/>
    <w:rsid w:val="00A232F4"/>
    <w:rsid w:val="00A23820"/>
    <w:rsid w:val="00A23BFA"/>
    <w:rsid w:val="00A23CB3"/>
    <w:rsid w:val="00A23D12"/>
    <w:rsid w:val="00A248F8"/>
    <w:rsid w:val="00A24AF5"/>
    <w:rsid w:val="00A25B6B"/>
    <w:rsid w:val="00A25EAD"/>
    <w:rsid w:val="00A262FA"/>
    <w:rsid w:val="00A30903"/>
    <w:rsid w:val="00A30A58"/>
    <w:rsid w:val="00A310F2"/>
    <w:rsid w:val="00A331BA"/>
    <w:rsid w:val="00A347C8"/>
    <w:rsid w:val="00A34D56"/>
    <w:rsid w:val="00A35789"/>
    <w:rsid w:val="00A364BD"/>
    <w:rsid w:val="00A3667B"/>
    <w:rsid w:val="00A366E6"/>
    <w:rsid w:val="00A36BAD"/>
    <w:rsid w:val="00A3709B"/>
    <w:rsid w:val="00A37C89"/>
    <w:rsid w:val="00A40799"/>
    <w:rsid w:val="00A40A1A"/>
    <w:rsid w:val="00A40A45"/>
    <w:rsid w:val="00A40BB3"/>
    <w:rsid w:val="00A40F8E"/>
    <w:rsid w:val="00A4101A"/>
    <w:rsid w:val="00A4122E"/>
    <w:rsid w:val="00A42067"/>
    <w:rsid w:val="00A43089"/>
    <w:rsid w:val="00A4391E"/>
    <w:rsid w:val="00A43E8C"/>
    <w:rsid w:val="00A44249"/>
    <w:rsid w:val="00A449AB"/>
    <w:rsid w:val="00A44B10"/>
    <w:rsid w:val="00A44ED0"/>
    <w:rsid w:val="00A451C8"/>
    <w:rsid w:val="00A456AC"/>
    <w:rsid w:val="00A45847"/>
    <w:rsid w:val="00A46251"/>
    <w:rsid w:val="00A465A2"/>
    <w:rsid w:val="00A476A4"/>
    <w:rsid w:val="00A4773D"/>
    <w:rsid w:val="00A47F19"/>
    <w:rsid w:val="00A500EF"/>
    <w:rsid w:val="00A509A1"/>
    <w:rsid w:val="00A50A74"/>
    <w:rsid w:val="00A50BF8"/>
    <w:rsid w:val="00A513F0"/>
    <w:rsid w:val="00A51433"/>
    <w:rsid w:val="00A5163F"/>
    <w:rsid w:val="00A516FD"/>
    <w:rsid w:val="00A5181B"/>
    <w:rsid w:val="00A51B6D"/>
    <w:rsid w:val="00A52901"/>
    <w:rsid w:val="00A52CB8"/>
    <w:rsid w:val="00A52FC7"/>
    <w:rsid w:val="00A5496E"/>
    <w:rsid w:val="00A5576E"/>
    <w:rsid w:val="00A55D08"/>
    <w:rsid w:val="00A55DD4"/>
    <w:rsid w:val="00A56DD9"/>
    <w:rsid w:val="00A57658"/>
    <w:rsid w:val="00A57B5C"/>
    <w:rsid w:val="00A6074C"/>
    <w:rsid w:val="00A60E97"/>
    <w:rsid w:val="00A6129C"/>
    <w:rsid w:val="00A612F7"/>
    <w:rsid w:val="00A6167D"/>
    <w:rsid w:val="00A616FE"/>
    <w:rsid w:val="00A61F33"/>
    <w:rsid w:val="00A625D4"/>
    <w:rsid w:val="00A62BF3"/>
    <w:rsid w:val="00A62D78"/>
    <w:rsid w:val="00A62E77"/>
    <w:rsid w:val="00A63511"/>
    <w:rsid w:val="00A63B4A"/>
    <w:rsid w:val="00A63DDA"/>
    <w:rsid w:val="00A65C2C"/>
    <w:rsid w:val="00A65D12"/>
    <w:rsid w:val="00A66C00"/>
    <w:rsid w:val="00A66E9A"/>
    <w:rsid w:val="00A67C7E"/>
    <w:rsid w:val="00A7029B"/>
    <w:rsid w:val="00A7097F"/>
    <w:rsid w:val="00A70B52"/>
    <w:rsid w:val="00A70ED3"/>
    <w:rsid w:val="00A714F7"/>
    <w:rsid w:val="00A716D9"/>
    <w:rsid w:val="00A719E2"/>
    <w:rsid w:val="00A71DAB"/>
    <w:rsid w:val="00A725FD"/>
    <w:rsid w:val="00A72625"/>
    <w:rsid w:val="00A72D8B"/>
    <w:rsid w:val="00A72E1E"/>
    <w:rsid w:val="00A7354D"/>
    <w:rsid w:val="00A7373F"/>
    <w:rsid w:val="00A74B2C"/>
    <w:rsid w:val="00A74E99"/>
    <w:rsid w:val="00A758DB"/>
    <w:rsid w:val="00A76615"/>
    <w:rsid w:val="00A77447"/>
    <w:rsid w:val="00A776D3"/>
    <w:rsid w:val="00A777FD"/>
    <w:rsid w:val="00A77B4A"/>
    <w:rsid w:val="00A77E38"/>
    <w:rsid w:val="00A80132"/>
    <w:rsid w:val="00A80CC6"/>
    <w:rsid w:val="00A819D4"/>
    <w:rsid w:val="00A81DE8"/>
    <w:rsid w:val="00A82040"/>
    <w:rsid w:val="00A82658"/>
    <w:rsid w:val="00A82716"/>
    <w:rsid w:val="00A82A2D"/>
    <w:rsid w:val="00A83589"/>
    <w:rsid w:val="00A83622"/>
    <w:rsid w:val="00A83D26"/>
    <w:rsid w:val="00A84EBE"/>
    <w:rsid w:val="00A85B24"/>
    <w:rsid w:val="00A865FB"/>
    <w:rsid w:val="00A86994"/>
    <w:rsid w:val="00A86C20"/>
    <w:rsid w:val="00A86D0B"/>
    <w:rsid w:val="00A902A3"/>
    <w:rsid w:val="00A903D3"/>
    <w:rsid w:val="00A90847"/>
    <w:rsid w:val="00A90B7D"/>
    <w:rsid w:val="00A90EC6"/>
    <w:rsid w:val="00A91062"/>
    <w:rsid w:val="00A91EDC"/>
    <w:rsid w:val="00A922B0"/>
    <w:rsid w:val="00A92ADD"/>
    <w:rsid w:val="00A932E9"/>
    <w:rsid w:val="00A9377F"/>
    <w:rsid w:val="00A93796"/>
    <w:rsid w:val="00A9386C"/>
    <w:rsid w:val="00A94106"/>
    <w:rsid w:val="00A95666"/>
    <w:rsid w:val="00A961A8"/>
    <w:rsid w:val="00A96627"/>
    <w:rsid w:val="00A96A97"/>
    <w:rsid w:val="00A96B43"/>
    <w:rsid w:val="00A96ED6"/>
    <w:rsid w:val="00A96F5F"/>
    <w:rsid w:val="00A977DB"/>
    <w:rsid w:val="00A97DC9"/>
    <w:rsid w:val="00AA052C"/>
    <w:rsid w:val="00AA0BDD"/>
    <w:rsid w:val="00AA1E27"/>
    <w:rsid w:val="00AA2AF5"/>
    <w:rsid w:val="00AA2ECB"/>
    <w:rsid w:val="00AA3934"/>
    <w:rsid w:val="00AA3C4D"/>
    <w:rsid w:val="00AA3E15"/>
    <w:rsid w:val="00AA4078"/>
    <w:rsid w:val="00AA4D20"/>
    <w:rsid w:val="00AA50A8"/>
    <w:rsid w:val="00AA6127"/>
    <w:rsid w:val="00AA6176"/>
    <w:rsid w:val="00AA649B"/>
    <w:rsid w:val="00AA69E3"/>
    <w:rsid w:val="00AA7BEC"/>
    <w:rsid w:val="00AA7CB7"/>
    <w:rsid w:val="00AB10BC"/>
    <w:rsid w:val="00AB132E"/>
    <w:rsid w:val="00AB1DDD"/>
    <w:rsid w:val="00AB2C0C"/>
    <w:rsid w:val="00AB2F09"/>
    <w:rsid w:val="00AB43FB"/>
    <w:rsid w:val="00AB4574"/>
    <w:rsid w:val="00AB4DBB"/>
    <w:rsid w:val="00AB566A"/>
    <w:rsid w:val="00AB5D9A"/>
    <w:rsid w:val="00AB5EC3"/>
    <w:rsid w:val="00AB6076"/>
    <w:rsid w:val="00AB7049"/>
    <w:rsid w:val="00AB7224"/>
    <w:rsid w:val="00AB78BA"/>
    <w:rsid w:val="00AC073D"/>
    <w:rsid w:val="00AC1B61"/>
    <w:rsid w:val="00AC2478"/>
    <w:rsid w:val="00AC2AE8"/>
    <w:rsid w:val="00AC2BE1"/>
    <w:rsid w:val="00AC3B98"/>
    <w:rsid w:val="00AC40EF"/>
    <w:rsid w:val="00AC45A9"/>
    <w:rsid w:val="00AC5A5D"/>
    <w:rsid w:val="00AC5E70"/>
    <w:rsid w:val="00AC5FC6"/>
    <w:rsid w:val="00AC6816"/>
    <w:rsid w:val="00AC6C00"/>
    <w:rsid w:val="00AC6EB6"/>
    <w:rsid w:val="00AC7099"/>
    <w:rsid w:val="00AC781E"/>
    <w:rsid w:val="00AC7CED"/>
    <w:rsid w:val="00AC7D0F"/>
    <w:rsid w:val="00AD0325"/>
    <w:rsid w:val="00AD04B4"/>
    <w:rsid w:val="00AD0597"/>
    <w:rsid w:val="00AD076C"/>
    <w:rsid w:val="00AD0942"/>
    <w:rsid w:val="00AD112A"/>
    <w:rsid w:val="00AD1C1D"/>
    <w:rsid w:val="00AD1DF0"/>
    <w:rsid w:val="00AD1EAF"/>
    <w:rsid w:val="00AD251F"/>
    <w:rsid w:val="00AD3373"/>
    <w:rsid w:val="00AD4375"/>
    <w:rsid w:val="00AD667F"/>
    <w:rsid w:val="00AD6D2E"/>
    <w:rsid w:val="00AD6E04"/>
    <w:rsid w:val="00AD7626"/>
    <w:rsid w:val="00AE099F"/>
    <w:rsid w:val="00AE1011"/>
    <w:rsid w:val="00AE122B"/>
    <w:rsid w:val="00AE1642"/>
    <w:rsid w:val="00AE1877"/>
    <w:rsid w:val="00AE1E17"/>
    <w:rsid w:val="00AE2A9B"/>
    <w:rsid w:val="00AE3E87"/>
    <w:rsid w:val="00AE4329"/>
    <w:rsid w:val="00AE4F54"/>
    <w:rsid w:val="00AE5B76"/>
    <w:rsid w:val="00AE62EE"/>
    <w:rsid w:val="00AE639D"/>
    <w:rsid w:val="00AE6634"/>
    <w:rsid w:val="00AE7BFE"/>
    <w:rsid w:val="00AE7D2D"/>
    <w:rsid w:val="00AF04E8"/>
    <w:rsid w:val="00AF1D01"/>
    <w:rsid w:val="00AF2044"/>
    <w:rsid w:val="00AF2D41"/>
    <w:rsid w:val="00AF3668"/>
    <w:rsid w:val="00AF3CF8"/>
    <w:rsid w:val="00AF3EB9"/>
    <w:rsid w:val="00AF42B6"/>
    <w:rsid w:val="00AF4366"/>
    <w:rsid w:val="00AF4950"/>
    <w:rsid w:val="00AF5007"/>
    <w:rsid w:val="00AF5060"/>
    <w:rsid w:val="00AF5251"/>
    <w:rsid w:val="00AF6539"/>
    <w:rsid w:val="00AF6D53"/>
    <w:rsid w:val="00AF6F34"/>
    <w:rsid w:val="00B00349"/>
    <w:rsid w:val="00B00523"/>
    <w:rsid w:val="00B00908"/>
    <w:rsid w:val="00B0135A"/>
    <w:rsid w:val="00B015B8"/>
    <w:rsid w:val="00B01AA5"/>
    <w:rsid w:val="00B02DB6"/>
    <w:rsid w:val="00B03355"/>
    <w:rsid w:val="00B04813"/>
    <w:rsid w:val="00B04C6C"/>
    <w:rsid w:val="00B05120"/>
    <w:rsid w:val="00B05247"/>
    <w:rsid w:val="00B0595E"/>
    <w:rsid w:val="00B05D4A"/>
    <w:rsid w:val="00B07262"/>
    <w:rsid w:val="00B0744D"/>
    <w:rsid w:val="00B07984"/>
    <w:rsid w:val="00B106B1"/>
    <w:rsid w:val="00B108AB"/>
    <w:rsid w:val="00B10B23"/>
    <w:rsid w:val="00B11544"/>
    <w:rsid w:val="00B11F36"/>
    <w:rsid w:val="00B132AA"/>
    <w:rsid w:val="00B13EA5"/>
    <w:rsid w:val="00B13F94"/>
    <w:rsid w:val="00B14991"/>
    <w:rsid w:val="00B14EBD"/>
    <w:rsid w:val="00B158C9"/>
    <w:rsid w:val="00B15A01"/>
    <w:rsid w:val="00B15C98"/>
    <w:rsid w:val="00B1613E"/>
    <w:rsid w:val="00B16449"/>
    <w:rsid w:val="00B16483"/>
    <w:rsid w:val="00B1681D"/>
    <w:rsid w:val="00B179EB"/>
    <w:rsid w:val="00B2106D"/>
    <w:rsid w:val="00B21A2F"/>
    <w:rsid w:val="00B21A6A"/>
    <w:rsid w:val="00B21FEA"/>
    <w:rsid w:val="00B22759"/>
    <w:rsid w:val="00B23E87"/>
    <w:rsid w:val="00B23EE9"/>
    <w:rsid w:val="00B240AD"/>
    <w:rsid w:val="00B24834"/>
    <w:rsid w:val="00B251B6"/>
    <w:rsid w:val="00B25B12"/>
    <w:rsid w:val="00B260BE"/>
    <w:rsid w:val="00B2617E"/>
    <w:rsid w:val="00B268E6"/>
    <w:rsid w:val="00B27EF7"/>
    <w:rsid w:val="00B308B9"/>
    <w:rsid w:val="00B30BCB"/>
    <w:rsid w:val="00B3107D"/>
    <w:rsid w:val="00B3283C"/>
    <w:rsid w:val="00B32EF4"/>
    <w:rsid w:val="00B34C54"/>
    <w:rsid w:val="00B34E8D"/>
    <w:rsid w:val="00B34F85"/>
    <w:rsid w:val="00B35CB9"/>
    <w:rsid w:val="00B35F3D"/>
    <w:rsid w:val="00B37247"/>
    <w:rsid w:val="00B379CA"/>
    <w:rsid w:val="00B4196A"/>
    <w:rsid w:val="00B4242D"/>
    <w:rsid w:val="00B459D3"/>
    <w:rsid w:val="00B45D8B"/>
    <w:rsid w:val="00B45DA8"/>
    <w:rsid w:val="00B45DBA"/>
    <w:rsid w:val="00B45F41"/>
    <w:rsid w:val="00B50A71"/>
    <w:rsid w:val="00B52E3D"/>
    <w:rsid w:val="00B52FD1"/>
    <w:rsid w:val="00B5331D"/>
    <w:rsid w:val="00B539AB"/>
    <w:rsid w:val="00B54ABE"/>
    <w:rsid w:val="00B54D31"/>
    <w:rsid w:val="00B55004"/>
    <w:rsid w:val="00B56296"/>
    <w:rsid w:val="00B56614"/>
    <w:rsid w:val="00B56A98"/>
    <w:rsid w:val="00B56CE5"/>
    <w:rsid w:val="00B56DD8"/>
    <w:rsid w:val="00B56F23"/>
    <w:rsid w:val="00B575DA"/>
    <w:rsid w:val="00B57DAC"/>
    <w:rsid w:val="00B619EA"/>
    <w:rsid w:val="00B62531"/>
    <w:rsid w:val="00B62CC6"/>
    <w:rsid w:val="00B63C04"/>
    <w:rsid w:val="00B63F5C"/>
    <w:rsid w:val="00B641C9"/>
    <w:rsid w:val="00B645BA"/>
    <w:rsid w:val="00B64DA2"/>
    <w:rsid w:val="00B65CB8"/>
    <w:rsid w:val="00B6621C"/>
    <w:rsid w:val="00B668B1"/>
    <w:rsid w:val="00B66CE9"/>
    <w:rsid w:val="00B675C3"/>
    <w:rsid w:val="00B67C08"/>
    <w:rsid w:val="00B67EBE"/>
    <w:rsid w:val="00B67F8B"/>
    <w:rsid w:val="00B70A8E"/>
    <w:rsid w:val="00B70E66"/>
    <w:rsid w:val="00B70EA4"/>
    <w:rsid w:val="00B71662"/>
    <w:rsid w:val="00B71C97"/>
    <w:rsid w:val="00B72C30"/>
    <w:rsid w:val="00B72FF0"/>
    <w:rsid w:val="00B741E1"/>
    <w:rsid w:val="00B74564"/>
    <w:rsid w:val="00B74AC2"/>
    <w:rsid w:val="00B75B4C"/>
    <w:rsid w:val="00B76608"/>
    <w:rsid w:val="00B76B0F"/>
    <w:rsid w:val="00B7708A"/>
    <w:rsid w:val="00B7710D"/>
    <w:rsid w:val="00B81CE1"/>
    <w:rsid w:val="00B82140"/>
    <w:rsid w:val="00B82284"/>
    <w:rsid w:val="00B82435"/>
    <w:rsid w:val="00B8411C"/>
    <w:rsid w:val="00B85BF5"/>
    <w:rsid w:val="00B86FB6"/>
    <w:rsid w:val="00B875A1"/>
    <w:rsid w:val="00B8766D"/>
    <w:rsid w:val="00B87EC1"/>
    <w:rsid w:val="00B9044F"/>
    <w:rsid w:val="00B9083A"/>
    <w:rsid w:val="00B909E0"/>
    <w:rsid w:val="00B90D2C"/>
    <w:rsid w:val="00B90EA9"/>
    <w:rsid w:val="00B91496"/>
    <w:rsid w:val="00B92AA5"/>
    <w:rsid w:val="00B948B5"/>
    <w:rsid w:val="00B94C39"/>
    <w:rsid w:val="00B950E2"/>
    <w:rsid w:val="00B96301"/>
    <w:rsid w:val="00B966B2"/>
    <w:rsid w:val="00B97069"/>
    <w:rsid w:val="00B97238"/>
    <w:rsid w:val="00B97481"/>
    <w:rsid w:val="00B975C6"/>
    <w:rsid w:val="00B97DAF"/>
    <w:rsid w:val="00BA0D39"/>
    <w:rsid w:val="00BA269C"/>
    <w:rsid w:val="00BA277C"/>
    <w:rsid w:val="00BA27BD"/>
    <w:rsid w:val="00BA2CBC"/>
    <w:rsid w:val="00BA2F33"/>
    <w:rsid w:val="00BA30ED"/>
    <w:rsid w:val="00BA31F3"/>
    <w:rsid w:val="00BA357C"/>
    <w:rsid w:val="00BA36B1"/>
    <w:rsid w:val="00BA4460"/>
    <w:rsid w:val="00BA4C29"/>
    <w:rsid w:val="00BA4C95"/>
    <w:rsid w:val="00BA4E8B"/>
    <w:rsid w:val="00BA4ECB"/>
    <w:rsid w:val="00BA565D"/>
    <w:rsid w:val="00BA633E"/>
    <w:rsid w:val="00BA66D5"/>
    <w:rsid w:val="00BB0BAF"/>
    <w:rsid w:val="00BB0D69"/>
    <w:rsid w:val="00BB12CF"/>
    <w:rsid w:val="00BB1376"/>
    <w:rsid w:val="00BB5647"/>
    <w:rsid w:val="00BB5835"/>
    <w:rsid w:val="00BB6F60"/>
    <w:rsid w:val="00BB7002"/>
    <w:rsid w:val="00BB7110"/>
    <w:rsid w:val="00BB7BBF"/>
    <w:rsid w:val="00BB7FA6"/>
    <w:rsid w:val="00BC0648"/>
    <w:rsid w:val="00BC0B10"/>
    <w:rsid w:val="00BC1B6A"/>
    <w:rsid w:val="00BC1C26"/>
    <w:rsid w:val="00BC1ED4"/>
    <w:rsid w:val="00BC1F3F"/>
    <w:rsid w:val="00BC224C"/>
    <w:rsid w:val="00BC22D4"/>
    <w:rsid w:val="00BC2503"/>
    <w:rsid w:val="00BC28B7"/>
    <w:rsid w:val="00BC34E0"/>
    <w:rsid w:val="00BC401C"/>
    <w:rsid w:val="00BC413E"/>
    <w:rsid w:val="00BC43D9"/>
    <w:rsid w:val="00BC440A"/>
    <w:rsid w:val="00BC4FD7"/>
    <w:rsid w:val="00BC5A35"/>
    <w:rsid w:val="00BC5AC7"/>
    <w:rsid w:val="00BC5BE4"/>
    <w:rsid w:val="00BC6035"/>
    <w:rsid w:val="00BC778F"/>
    <w:rsid w:val="00BC7BAE"/>
    <w:rsid w:val="00BC7CC4"/>
    <w:rsid w:val="00BD176E"/>
    <w:rsid w:val="00BD1B13"/>
    <w:rsid w:val="00BD1BBE"/>
    <w:rsid w:val="00BD1F29"/>
    <w:rsid w:val="00BD2A51"/>
    <w:rsid w:val="00BD2B27"/>
    <w:rsid w:val="00BD2BCE"/>
    <w:rsid w:val="00BD3882"/>
    <w:rsid w:val="00BD4FD3"/>
    <w:rsid w:val="00BD5D95"/>
    <w:rsid w:val="00BD60DA"/>
    <w:rsid w:val="00BD68DC"/>
    <w:rsid w:val="00BD7018"/>
    <w:rsid w:val="00BD7A09"/>
    <w:rsid w:val="00BE029C"/>
    <w:rsid w:val="00BE0677"/>
    <w:rsid w:val="00BE13F8"/>
    <w:rsid w:val="00BE1BB5"/>
    <w:rsid w:val="00BE2580"/>
    <w:rsid w:val="00BE25CC"/>
    <w:rsid w:val="00BE2AA2"/>
    <w:rsid w:val="00BE2DC3"/>
    <w:rsid w:val="00BE3312"/>
    <w:rsid w:val="00BE347C"/>
    <w:rsid w:val="00BE3FBC"/>
    <w:rsid w:val="00BE4277"/>
    <w:rsid w:val="00BE4347"/>
    <w:rsid w:val="00BE4A4A"/>
    <w:rsid w:val="00BE5B4A"/>
    <w:rsid w:val="00BE69CB"/>
    <w:rsid w:val="00BE71E4"/>
    <w:rsid w:val="00BE78BB"/>
    <w:rsid w:val="00BF0343"/>
    <w:rsid w:val="00BF1380"/>
    <w:rsid w:val="00BF152C"/>
    <w:rsid w:val="00BF19F3"/>
    <w:rsid w:val="00BF261B"/>
    <w:rsid w:val="00BF2688"/>
    <w:rsid w:val="00BF2C82"/>
    <w:rsid w:val="00BF3170"/>
    <w:rsid w:val="00BF5079"/>
    <w:rsid w:val="00BF575C"/>
    <w:rsid w:val="00BF5BFA"/>
    <w:rsid w:val="00BF7ACD"/>
    <w:rsid w:val="00BF7B91"/>
    <w:rsid w:val="00BF7CBB"/>
    <w:rsid w:val="00C00207"/>
    <w:rsid w:val="00C006E1"/>
    <w:rsid w:val="00C00795"/>
    <w:rsid w:val="00C01406"/>
    <w:rsid w:val="00C01FBC"/>
    <w:rsid w:val="00C0287E"/>
    <w:rsid w:val="00C04052"/>
    <w:rsid w:val="00C0445D"/>
    <w:rsid w:val="00C0485B"/>
    <w:rsid w:val="00C06203"/>
    <w:rsid w:val="00C0669F"/>
    <w:rsid w:val="00C06767"/>
    <w:rsid w:val="00C071F7"/>
    <w:rsid w:val="00C106DA"/>
    <w:rsid w:val="00C10FE6"/>
    <w:rsid w:val="00C1153B"/>
    <w:rsid w:val="00C122FE"/>
    <w:rsid w:val="00C127F6"/>
    <w:rsid w:val="00C12940"/>
    <w:rsid w:val="00C13DD4"/>
    <w:rsid w:val="00C1406D"/>
    <w:rsid w:val="00C1504E"/>
    <w:rsid w:val="00C155CD"/>
    <w:rsid w:val="00C158E2"/>
    <w:rsid w:val="00C159EA"/>
    <w:rsid w:val="00C15C4E"/>
    <w:rsid w:val="00C15F22"/>
    <w:rsid w:val="00C160AF"/>
    <w:rsid w:val="00C164E3"/>
    <w:rsid w:val="00C171D2"/>
    <w:rsid w:val="00C17984"/>
    <w:rsid w:val="00C17D26"/>
    <w:rsid w:val="00C20FEF"/>
    <w:rsid w:val="00C21216"/>
    <w:rsid w:val="00C2190C"/>
    <w:rsid w:val="00C2199D"/>
    <w:rsid w:val="00C21F4E"/>
    <w:rsid w:val="00C22F44"/>
    <w:rsid w:val="00C23135"/>
    <w:rsid w:val="00C2316E"/>
    <w:rsid w:val="00C235F3"/>
    <w:rsid w:val="00C23616"/>
    <w:rsid w:val="00C25061"/>
    <w:rsid w:val="00C267A6"/>
    <w:rsid w:val="00C271C1"/>
    <w:rsid w:val="00C27B10"/>
    <w:rsid w:val="00C27CA4"/>
    <w:rsid w:val="00C30C1D"/>
    <w:rsid w:val="00C312E9"/>
    <w:rsid w:val="00C31C6E"/>
    <w:rsid w:val="00C3316E"/>
    <w:rsid w:val="00C3402F"/>
    <w:rsid w:val="00C344C9"/>
    <w:rsid w:val="00C34ABC"/>
    <w:rsid w:val="00C34F6F"/>
    <w:rsid w:val="00C35D90"/>
    <w:rsid w:val="00C35DAD"/>
    <w:rsid w:val="00C35DC9"/>
    <w:rsid w:val="00C36DCB"/>
    <w:rsid w:val="00C37DDF"/>
    <w:rsid w:val="00C37E92"/>
    <w:rsid w:val="00C41930"/>
    <w:rsid w:val="00C420B1"/>
    <w:rsid w:val="00C4257A"/>
    <w:rsid w:val="00C42A40"/>
    <w:rsid w:val="00C45295"/>
    <w:rsid w:val="00C453F4"/>
    <w:rsid w:val="00C4650D"/>
    <w:rsid w:val="00C4660F"/>
    <w:rsid w:val="00C47570"/>
    <w:rsid w:val="00C476F0"/>
    <w:rsid w:val="00C47E8F"/>
    <w:rsid w:val="00C5025B"/>
    <w:rsid w:val="00C5059E"/>
    <w:rsid w:val="00C510A7"/>
    <w:rsid w:val="00C5147E"/>
    <w:rsid w:val="00C528E1"/>
    <w:rsid w:val="00C52D4A"/>
    <w:rsid w:val="00C535D5"/>
    <w:rsid w:val="00C53B7F"/>
    <w:rsid w:val="00C5468B"/>
    <w:rsid w:val="00C548DE"/>
    <w:rsid w:val="00C54EF4"/>
    <w:rsid w:val="00C55C51"/>
    <w:rsid w:val="00C55C76"/>
    <w:rsid w:val="00C5677E"/>
    <w:rsid w:val="00C56BA9"/>
    <w:rsid w:val="00C56EF5"/>
    <w:rsid w:val="00C57EAE"/>
    <w:rsid w:val="00C614F2"/>
    <w:rsid w:val="00C61596"/>
    <w:rsid w:val="00C61812"/>
    <w:rsid w:val="00C630EB"/>
    <w:rsid w:val="00C631ED"/>
    <w:rsid w:val="00C63806"/>
    <w:rsid w:val="00C63D18"/>
    <w:rsid w:val="00C63F66"/>
    <w:rsid w:val="00C64E3C"/>
    <w:rsid w:val="00C655F5"/>
    <w:rsid w:val="00C65655"/>
    <w:rsid w:val="00C65ADF"/>
    <w:rsid w:val="00C65FDA"/>
    <w:rsid w:val="00C6715F"/>
    <w:rsid w:val="00C70EEA"/>
    <w:rsid w:val="00C71C24"/>
    <w:rsid w:val="00C72158"/>
    <w:rsid w:val="00C72AAF"/>
    <w:rsid w:val="00C72CB6"/>
    <w:rsid w:val="00C73C1E"/>
    <w:rsid w:val="00C74320"/>
    <w:rsid w:val="00C74453"/>
    <w:rsid w:val="00C75109"/>
    <w:rsid w:val="00C75219"/>
    <w:rsid w:val="00C755EF"/>
    <w:rsid w:val="00C75CC8"/>
    <w:rsid w:val="00C75E3F"/>
    <w:rsid w:val="00C76A43"/>
    <w:rsid w:val="00C77FA1"/>
    <w:rsid w:val="00C80FF2"/>
    <w:rsid w:val="00C81A53"/>
    <w:rsid w:val="00C821BE"/>
    <w:rsid w:val="00C82282"/>
    <w:rsid w:val="00C8244D"/>
    <w:rsid w:val="00C82B6D"/>
    <w:rsid w:val="00C8380F"/>
    <w:rsid w:val="00C85960"/>
    <w:rsid w:val="00C86F2C"/>
    <w:rsid w:val="00C871E7"/>
    <w:rsid w:val="00C87A4C"/>
    <w:rsid w:val="00C87DC5"/>
    <w:rsid w:val="00C9040D"/>
    <w:rsid w:val="00C910B4"/>
    <w:rsid w:val="00C91E4A"/>
    <w:rsid w:val="00C939D9"/>
    <w:rsid w:val="00C93AF7"/>
    <w:rsid w:val="00C93E06"/>
    <w:rsid w:val="00C947BE"/>
    <w:rsid w:val="00C94894"/>
    <w:rsid w:val="00C94FCC"/>
    <w:rsid w:val="00C957B7"/>
    <w:rsid w:val="00C96523"/>
    <w:rsid w:val="00C96F92"/>
    <w:rsid w:val="00C9747F"/>
    <w:rsid w:val="00C97CB9"/>
    <w:rsid w:val="00CA0C04"/>
    <w:rsid w:val="00CA0CEA"/>
    <w:rsid w:val="00CA11C7"/>
    <w:rsid w:val="00CA1A5A"/>
    <w:rsid w:val="00CA2A82"/>
    <w:rsid w:val="00CA2D8E"/>
    <w:rsid w:val="00CA3468"/>
    <w:rsid w:val="00CA4A11"/>
    <w:rsid w:val="00CA63DA"/>
    <w:rsid w:val="00CA7439"/>
    <w:rsid w:val="00CB0FCE"/>
    <w:rsid w:val="00CB1C54"/>
    <w:rsid w:val="00CB21E2"/>
    <w:rsid w:val="00CB2681"/>
    <w:rsid w:val="00CB3A3C"/>
    <w:rsid w:val="00CB3E34"/>
    <w:rsid w:val="00CB40DF"/>
    <w:rsid w:val="00CB4F2D"/>
    <w:rsid w:val="00CB5896"/>
    <w:rsid w:val="00CB61B3"/>
    <w:rsid w:val="00CB655C"/>
    <w:rsid w:val="00CB72A0"/>
    <w:rsid w:val="00CB7DD9"/>
    <w:rsid w:val="00CB7FE5"/>
    <w:rsid w:val="00CC0BBC"/>
    <w:rsid w:val="00CC0ECE"/>
    <w:rsid w:val="00CC1F0C"/>
    <w:rsid w:val="00CC1F83"/>
    <w:rsid w:val="00CC2735"/>
    <w:rsid w:val="00CC2EEC"/>
    <w:rsid w:val="00CC3241"/>
    <w:rsid w:val="00CC4038"/>
    <w:rsid w:val="00CC4A27"/>
    <w:rsid w:val="00CC618B"/>
    <w:rsid w:val="00CC62B2"/>
    <w:rsid w:val="00CC716B"/>
    <w:rsid w:val="00CC791A"/>
    <w:rsid w:val="00CC7BBA"/>
    <w:rsid w:val="00CD003F"/>
    <w:rsid w:val="00CD0237"/>
    <w:rsid w:val="00CD2FD3"/>
    <w:rsid w:val="00CD3190"/>
    <w:rsid w:val="00CD3F67"/>
    <w:rsid w:val="00CD5A1E"/>
    <w:rsid w:val="00CD5CC1"/>
    <w:rsid w:val="00CD6364"/>
    <w:rsid w:val="00CD6ADB"/>
    <w:rsid w:val="00CE01E2"/>
    <w:rsid w:val="00CE08B5"/>
    <w:rsid w:val="00CE162B"/>
    <w:rsid w:val="00CE1B32"/>
    <w:rsid w:val="00CE2338"/>
    <w:rsid w:val="00CE2C46"/>
    <w:rsid w:val="00CE2D39"/>
    <w:rsid w:val="00CE40E2"/>
    <w:rsid w:val="00CE4B74"/>
    <w:rsid w:val="00CE6118"/>
    <w:rsid w:val="00CE6AB9"/>
    <w:rsid w:val="00CE6E69"/>
    <w:rsid w:val="00CE6F27"/>
    <w:rsid w:val="00CE77C3"/>
    <w:rsid w:val="00CE79B3"/>
    <w:rsid w:val="00CF0A34"/>
    <w:rsid w:val="00CF0DE8"/>
    <w:rsid w:val="00CF0E0A"/>
    <w:rsid w:val="00CF2503"/>
    <w:rsid w:val="00CF2B92"/>
    <w:rsid w:val="00CF36BA"/>
    <w:rsid w:val="00CF36EE"/>
    <w:rsid w:val="00CF3B76"/>
    <w:rsid w:val="00CF4916"/>
    <w:rsid w:val="00CF4B14"/>
    <w:rsid w:val="00CF4F78"/>
    <w:rsid w:val="00CF5CE7"/>
    <w:rsid w:val="00CF680E"/>
    <w:rsid w:val="00CF69A3"/>
    <w:rsid w:val="00CF6AFA"/>
    <w:rsid w:val="00CF774E"/>
    <w:rsid w:val="00CF7919"/>
    <w:rsid w:val="00D00091"/>
    <w:rsid w:val="00D0042A"/>
    <w:rsid w:val="00D007D5"/>
    <w:rsid w:val="00D00B82"/>
    <w:rsid w:val="00D01320"/>
    <w:rsid w:val="00D02ED0"/>
    <w:rsid w:val="00D03BF8"/>
    <w:rsid w:val="00D03DFF"/>
    <w:rsid w:val="00D041F8"/>
    <w:rsid w:val="00D04F33"/>
    <w:rsid w:val="00D05017"/>
    <w:rsid w:val="00D050AA"/>
    <w:rsid w:val="00D05C38"/>
    <w:rsid w:val="00D05DAA"/>
    <w:rsid w:val="00D05F02"/>
    <w:rsid w:val="00D10033"/>
    <w:rsid w:val="00D10715"/>
    <w:rsid w:val="00D10DF7"/>
    <w:rsid w:val="00D1253E"/>
    <w:rsid w:val="00D1258A"/>
    <w:rsid w:val="00D12B98"/>
    <w:rsid w:val="00D132D7"/>
    <w:rsid w:val="00D13C57"/>
    <w:rsid w:val="00D14781"/>
    <w:rsid w:val="00D149DB"/>
    <w:rsid w:val="00D16210"/>
    <w:rsid w:val="00D16B96"/>
    <w:rsid w:val="00D16DD7"/>
    <w:rsid w:val="00D173AD"/>
    <w:rsid w:val="00D17755"/>
    <w:rsid w:val="00D17C52"/>
    <w:rsid w:val="00D20614"/>
    <w:rsid w:val="00D20D8C"/>
    <w:rsid w:val="00D21CAF"/>
    <w:rsid w:val="00D2309D"/>
    <w:rsid w:val="00D23434"/>
    <w:rsid w:val="00D23705"/>
    <w:rsid w:val="00D23BD2"/>
    <w:rsid w:val="00D24B38"/>
    <w:rsid w:val="00D2543D"/>
    <w:rsid w:val="00D25FCC"/>
    <w:rsid w:val="00D26194"/>
    <w:rsid w:val="00D2648C"/>
    <w:rsid w:val="00D26601"/>
    <w:rsid w:val="00D26F4E"/>
    <w:rsid w:val="00D2713C"/>
    <w:rsid w:val="00D316B8"/>
    <w:rsid w:val="00D321B7"/>
    <w:rsid w:val="00D3239A"/>
    <w:rsid w:val="00D32562"/>
    <w:rsid w:val="00D336E1"/>
    <w:rsid w:val="00D33CD9"/>
    <w:rsid w:val="00D33D8C"/>
    <w:rsid w:val="00D34847"/>
    <w:rsid w:val="00D356F6"/>
    <w:rsid w:val="00D36346"/>
    <w:rsid w:val="00D369D3"/>
    <w:rsid w:val="00D37590"/>
    <w:rsid w:val="00D400B6"/>
    <w:rsid w:val="00D402FB"/>
    <w:rsid w:val="00D407C2"/>
    <w:rsid w:val="00D41125"/>
    <w:rsid w:val="00D411C1"/>
    <w:rsid w:val="00D41BE1"/>
    <w:rsid w:val="00D42826"/>
    <w:rsid w:val="00D42D67"/>
    <w:rsid w:val="00D4370B"/>
    <w:rsid w:val="00D43A0E"/>
    <w:rsid w:val="00D43EC9"/>
    <w:rsid w:val="00D44009"/>
    <w:rsid w:val="00D4628F"/>
    <w:rsid w:val="00D465F5"/>
    <w:rsid w:val="00D46AC0"/>
    <w:rsid w:val="00D47062"/>
    <w:rsid w:val="00D51432"/>
    <w:rsid w:val="00D5170A"/>
    <w:rsid w:val="00D51AA5"/>
    <w:rsid w:val="00D5271F"/>
    <w:rsid w:val="00D52E32"/>
    <w:rsid w:val="00D52F0F"/>
    <w:rsid w:val="00D532D7"/>
    <w:rsid w:val="00D53780"/>
    <w:rsid w:val="00D53E12"/>
    <w:rsid w:val="00D54A87"/>
    <w:rsid w:val="00D55599"/>
    <w:rsid w:val="00D5573E"/>
    <w:rsid w:val="00D557D1"/>
    <w:rsid w:val="00D55945"/>
    <w:rsid w:val="00D560F3"/>
    <w:rsid w:val="00D5689C"/>
    <w:rsid w:val="00D56AD7"/>
    <w:rsid w:val="00D56F17"/>
    <w:rsid w:val="00D57176"/>
    <w:rsid w:val="00D57585"/>
    <w:rsid w:val="00D57867"/>
    <w:rsid w:val="00D604AE"/>
    <w:rsid w:val="00D6175E"/>
    <w:rsid w:val="00D62066"/>
    <w:rsid w:val="00D62FC1"/>
    <w:rsid w:val="00D633D1"/>
    <w:rsid w:val="00D63A1F"/>
    <w:rsid w:val="00D63ABD"/>
    <w:rsid w:val="00D6489A"/>
    <w:rsid w:val="00D65237"/>
    <w:rsid w:val="00D654D0"/>
    <w:rsid w:val="00D659D9"/>
    <w:rsid w:val="00D65D83"/>
    <w:rsid w:val="00D66042"/>
    <w:rsid w:val="00D6612E"/>
    <w:rsid w:val="00D66DE5"/>
    <w:rsid w:val="00D67844"/>
    <w:rsid w:val="00D67CAF"/>
    <w:rsid w:val="00D67E15"/>
    <w:rsid w:val="00D67EFE"/>
    <w:rsid w:val="00D70768"/>
    <w:rsid w:val="00D70BE1"/>
    <w:rsid w:val="00D70C88"/>
    <w:rsid w:val="00D70DD3"/>
    <w:rsid w:val="00D717FB"/>
    <w:rsid w:val="00D73032"/>
    <w:rsid w:val="00D735CB"/>
    <w:rsid w:val="00D74101"/>
    <w:rsid w:val="00D74D8F"/>
    <w:rsid w:val="00D75DD6"/>
    <w:rsid w:val="00D76B11"/>
    <w:rsid w:val="00D80C9C"/>
    <w:rsid w:val="00D81819"/>
    <w:rsid w:val="00D823E2"/>
    <w:rsid w:val="00D83541"/>
    <w:rsid w:val="00D83860"/>
    <w:rsid w:val="00D83D16"/>
    <w:rsid w:val="00D84D86"/>
    <w:rsid w:val="00D851E5"/>
    <w:rsid w:val="00D85D15"/>
    <w:rsid w:val="00D86D36"/>
    <w:rsid w:val="00D87261"/>
    <w:rsid w:val="00D8747B"/>
    <w:rsid w:val="00D87732"/>
    <w:rsid w:val="00D879CB"/>
    <w:rsid w:val="00D87F23"/>
    <w:rsid w:val="00D900C3"/>
    <w:rsid w:val="00D9010D"/>
    <w:rsid w:val="00D9015C"/>
    <w:rsid w:val="00D91076"/>
    <w:rsid w:val="00D9202F"/>
    <w:rsid w:val="00D92FCD"/>
    <w:rsid w:val="00D938FD"/>
    <w:rsid w:val="00D93B7E"/>
    <w:rsid w:val="00D943D2"/>
    <w:rsid w:val="00D95F96"/>
    <w:rsid w:val="00DA092B"/>
    <w:rsid w:val="00DA2360"/>
    <w:rsid w:val="00DA2940"/>
    <w:rsid w:val="00DA31F4"/>
    <w:rsid w:val="00DA3CBA"/>
    <w:rsid w:val="00DA448A"/>
    <w:rsid w:val="00DA49CB"/>
    <w:rsid w:val="00DA4B3A"/>
    <w:rsid w:val="00DA656C"/>
    <w:rsid w:val="00DA6B8D"/>
    <w:rsid w:val="00DA7077"/>
    <w:rsid w:val="00DA7F39"/>
    <w:rsid w:val="00DB00F5"/>
    <w:rsid w:val="00DB1099"/>
    <w:rsid w:val="00DB140E"/>
    <w:rsid w:val="00DB2968"/>
    <w:rsid w:val="00DB349C"/>
    <w:rsid w:val="00DB37DA"/>
    <w:rsid w:val="00DB41E9"/>
    <w:rsid w:val="00DB5548"/>
    <w:rsid w:val="00DB56E7"/>
    <w:rsid w:val="00DC1C8F"/>
    <w:rsid w:val="00DC2177"/>
    <w:rsid w:val="00DC513A"/>
    <w:rsid w:val="00DC5638"/>
    <w:rsid w:val="00DC59E6"/>
    <w:rsid w:val="00DC76D1"/>
    <w:rsid w:val="00DC7FDB"/>
    <w:rsid w:val="00DD0D14"/>
    <w:rsid w:val="00DD0ECA"/>
    <w:rsid w:val="00DD10EF"/>
    <w:rsid w:val="00DD1FCD"/>
    <w:rsid w:val="00DD29ED"/>
    <w:rsid w:val="00DD2DC0"/>
    <w:rsid w:val="00DD2FBF"/>
    <w:rsid w:val="00DD3A8F"/>
    <w:rsid w:val="00DD3CBD"/>
    <w:rsid w:val="00DD3FCE"/>
    <w:rsid w:val="00DD4573"/>
    <w:rsid w:val="00DD4AC9"/>
    <w:rsid w:val="00DD5554"/>
    <w:rsid w:val="00DD56B7"/>
    <w:rsid w:val="00DD5C02"/>
    <w:rsid w:val="00DD61AC"/>
    <w:rsid w:val="00DD636C"/>
    <w:rsid w:val="00DD682B"/>
    <w:rsid w:val="00DD6DB0"/>
    <w:rsid w:val="00DD7E17"/>
    <w:rsid w:val="00DE04E6"/>
    <w:rsid w:val="00DE05CB"/>
    <w:rsid w:val="00DE0820"/>
    <w:rsid w:val="00DE0952"/>
    <w:rsid w:val="00DE250A"/>
    <w:rsid w:val="00DE25E7"/>
    <w:rsid w:val="00DE2C32"/>
    <w:rsid w:val="00DE3045"/>
    <w:rsid w:val="00DE30D2"/>
    <w:rsid w:val="00DE32DD"/>
    <w:rsid w:val="00DE35D5"/>
    <w:rsid w:val="00DE420D"/>
    <w:rsid w:val="00DE525D"/>
    <w:rsid w:val="00DE54E3"/>
    <w:rsid w:val="00DE5B69"/>
    <w:rsid w:val="00DE6B36"/>
    <w:rsid w:val="00DE6F9D"/>
    <w:rsid w:val="00DE7253"/>
    <w:rsid w:val="00DE7A8A"/>
    <w:rsid w:val="00DE7BF2"/>
    <w:rsid w:val="00DE7D72"/>
    <w:rsid w:val="00DF04E6"/>
    <w:rsid w:val="00DF20CF"/>
    <w:rsid w:val="00DF323E"/>
    <w:rsid w:val="00DF3849"/>
    <w:rsid w:val="00DF3C72"/>
    <w:rsid w:val="00DF6AF1"/>
    <w:rsid w:val="00DF7983"/>
    <w:rsid w:val="00DF7A78"/>
    <w:rsid w:val="00E00279"/>
    <w:rsid w:val="00E008C4"/>
    <w:rsid w:val="00E00F38"/>
    <w:rsid w:val="00E01A9F"/>
    <w:rsid w:val="00E02121"/>
    <w:rsid w:val="00E02552"/>
    <w:rsid w:val="00E02795"/>
    <w:rsid w:val="00E02BBD"/>
    <w:rsid w:val="00E02D5D"/>
    <w:rsid w:val="00E03533"/>
    <w:rsid w:val="00E036E6"/>
    <w:rsid w:val="00E03796"/>
    <w:rsid w:val="00E03B38"/>
    <w:rsid w:val="00E04929"/>
    <w:rsid w:val="00E05DFD"/>
    <w:rsid w:val="00E07CCA"/>
    <w:rsid w:val="00E103ED"/>
    <w:rsid w:val="00E1065B"/>
    <w:rsid w:val="00E10CDD"/>
    <w:rsid w:val="00E11092"/>
    <w:rsid w:val="00E110A1"/>
    <w:rsid w:val="00E1154F"/>
    <w:rsid w:val="00E11F79"/>
    <w:rsid w:val="00E12920"/>
    <w:rsid w:val="00E12BEA"/>
    <w:rsid w:val="00E13208"/>
    <w:rsid w:val="00E1320E"/>
    <w:rsid w:val="00E13E34"/>
    <w:rsid w:val="00E13F32"/>
    <w:rsid w:val="00E142B4"/>
    <w:rsid w:val="00E14B18"/>
    <w:rsid w:val="00E150D9"/>
    <w:rsid w:val="00E1515D"/>
    <w:rsid w:val="00E162ED"/>
    <w:rsid w:val="00E17334"/>
    <w:rsid w:val="00E17784"/>
    <w:rsid w:val="00E21A94"/>
    <w:rsid w:val="00E220C6"/>
    <w:rsid w:val="00E22B4F"/>
    <w:rsid w:val="00E22E9B"/>
    <w:rsid w:val="00E23F0A"/>
    <w:rsid w:val="00E24A9A"/>
    <w:rsid w:val="00E24AE0"/>
    <w:rsid w:val="00E24E39"/>
    <w:rsid w:val="00E2537E"/>
    <w:rsid w:val="00E25659"/>
    <w:rsid w:val="00E26047"/>
    <w:rsid w:val="00E2663A"/>
    <w:rsid w:val="00E267F9"/>
    <w:rsid w:val="00E27500"/>
    <w:rsid w:val="00E27BE4"/>
    <w:rsid w:val="00E306A1"/>
    <w:rsid w:val="00E3142F"/>
    <w:rsid w:val="00E31876"/>
    <w:rsid w:val="00E3187F"/>
    <w:rsid w:val="00E327BC"/>
    <w:rsid w:val="00E3281E"/>
    <w:rsid w:val="00E33186"/>
    <w:rsid w:val="00E338EA"/>
    <w:rsid w:val="00E34420"/>
    <w:rsid w:val="00E35D5C"/>
    <w:rsid w:val="00E36106"/>
    <w:rsid w:val="00E364AE"/>
    <w:rsid w:val="00E36500"/>
    <w:rsid w:val="00E367BC"/>
    <w:rsid w:val="00E36BCC"/>
    <w:rsid w:val="00E373C2"/>
    <w:rsid w:val="00E40853"/>
    <w:rsid w:val="00E41ADC"/>
    <w:rsid w:val="00E41AF7"/>
    <w:rsid w:val="00E42BE7"/>
    <w:rsid w:val="00E430AA"/>
    <w:rsid w:val="00E4401B"/>
    <w:rsid w:val="00E44209"/>
    <w:rsid w:val="00E44789"/>
    <w:rsid w:val="00E44B9E"/>
    <w:rsid w:val="00E44DF1"/>
    <w:rsid w:val="00E44F70"/>
    <w:rsid w:val="00E4508C"/>
    <w:rsid w:val="00E45EE1"/>
    <w:rsid w:val="00E46511"/>
    <w:rsid w:val="00E46BB9"/>
    <w:rsid w:val="00E47A14"/>
    <w:rsid w:val="00E508E4"/>
    <w:rsid w:val="00E50A45"/>
    <w:rsid w:val="00E51047"/>
    <w:rsid w:val="00E51BAD"/>
    <w:rsid w:val="00E51E01"/>
    <w:rsid w:val="00E52E7A"/>
    <w:rsid w:val="00E53431"/>
    <w:rsid w:val="00E53651"/>
    <w:rsid w:val="00E538A4"/>
    <w:rsid w:val="00E54516"/>
    <w:rsid w:val="00E54D04"/>
    <w:rsid w:val="00E550F4"/>
    <w:rsid w:val="00E551AB"/>
    <w:rsid w:val="00E55883"/>
    <w:rsid w:val="00E558A3"/>
    <w:rsid w:val="00E55AF0"/>
    <w:rsid w:val="00E56BC8"/>
    <w:rsid w:val="00E57131"/>
    <w:rsid w:val="00E57D62"/>
    <w:rsid w:val="00E60109"/>
    <w:rsid w:val="00E6064B"/>
    <w:rsid w:val="00E609C8"/>
    <w:rsid w:val="00E60B08"/>
    <w:rsid w:val="00E60E31"/>
    <w:rsid w:val="00E6106C"/>
    <w:rsid w:val="00E61EFA"/>
    <w:rsid w:val="00E6239B"/>
    <w:rsid w:val="00E62474"/>
    <w:rsid w:val="00E624BC"/>
    <w:rsid w:val="00E62731"/>
    <w:rsid w:val="00E62A82"/>
    <w:rsid w:val="00E63027"/>
    <w:rsid w:val="00E640C1"/>
    <w:rsid w:val="00E64C30"/>
    <w:rsid w:val="00E65269"/>
    <w:rsid w:val="00E66994"/>
    <w:rsid w:val="00E66A90"/>
    <w:rsid w:val="00E67156"/>
    <w:rsid w:val="00E676F5"/>
    <w:rsid w:val="00E7003A"/>
    <w:rsid w:val="00E70E0F"/>
    <w:rsid w:val="00E71627"/>
    <w:rsid w:val="00E717B9"/>
    <w:rsid w:val="00E7194C"/>
    <w:rsid w:val="00E71B2D"/>
    <w:rsid w:val="00E71FAF"/>
    <w:rsid w:val="00E72388"/>
    <w:rsid w:val="00E72867"/>
    <w:rsid w:val="00E72B47"/>
    <w:rsid w:val="00E73B5A"/>
    <w:rsid w:val="00E74241"/>
    <w:rsid w:val="00E747CB"/>
    <w:rsid w:val="00E74D23"/>
    <w:rsid w:val="00E74F3D"/>
    <w:rsid w:val="00E76249"/>
    <w:rsid w:val="00E7630A"/>
    <w:rsid w:val="00E766E2"/>
    <w:rsid w:val="00E768D8"/>
    <w:rsid w:val="00E76FD8"/>
    <w:rsid w:val="00E77161"/>
    <w:rsid w:val="00E7719E"/>
    <w:rsid w:val="00E7754B"/>
    <w:rsid w:val="00E80341"/>
    <w:rsid w:val="00E8123B"/>
    <w:rsid w:val="00E81B64"/>
    <w:rsid w:val="00E81E23"/>
    <w:rsid w:val="00E8291B"/>
    <w:rsid w:val="00E830D4"/>
    <w:rsid w:val="00E8389E"/>
    <w:rsid w:val="00E83F0D"/>
    <w:rsid w:val="00E83F4A"/>
    <w:rsid w:val="00E84C49"/>
    <w:rsid w:val="00E85904"/>
    <w:rsid w:val="00E85C80"/>
    <w:rsid w:val="00E860BC"/>
    <w:rsid w:val="00E861C6"/>
    <w:rsid w:val="00E87489"/>
    <w:rsid w:val="00E877E3"/>
    <w:rsid w:val="00E90090"/>
    <w:rsid w:val="00E90AA3"/>
    <w:rsid w:val="00E90B86"/>
    <w:rsid w:val="00E90F80"/>
    <w:rsid w:val="00E90FEB"/>
    <w:rsid w:val="00E92326"/>
    <w:rsid w:val="00E933CE"/>
    <w:rsid w:val="00E94AC5"/>
    <w:rsid w:val="00E9526E"/>
    <w:rsid w:val="00E95DF3"/>
    <w:rsid w:val="00E95EE0"/>
    <w:rsid w:val="00E96A2D"/>
    <w:rsid w:val="00E9731A"/>
    <w:rsid w:val="00E977B9"/>
    <w:rsid w:val="00E97AB2"/>
    <w:rsid w:val="00EA07FC"/>
    <w:rsid w:val="00EA0E88"/>
    <w:rsid w:val="00EA14EA"/>
    <w:rsid w:val="00EA1BA8"/>
    <w:rsid w:val="00EA33ED"/>
    <w:rsid w:val="00EA4AF1"/>
    <w:rsid w:val="00EA61F8"/>
    <w:rsid w:val="00EA62E2"/>
    <w:rsid w:val="00EA67A8"/>
    <w:rsid w:val="00EA6AD4"/>
    <w:rsid w:val="00EA735C"/>
    <w:rsid w:val="00EA73F2"/>
    <w:rsid w:val="00EA7AE2"/>
    <w:rsid w:val="00EB1973"/>
    <w:rsid w:val="00EB2833"/>
    <w:rsid w:val="00EB4478"/>
    <w:rsid w:val="00EB4483"/>
    <w:rsid w:val="00EB4A92"/>
    <w:rsid w:val="00EB4ACD"/>
    <w:rsid w:val="00EB57B5"/>
    <w:rsid w:val="00EB5BEE"/>
    <w:rsid w:val="00EB5FBC"/>
    <w:rsid w:val="00EB632D"/>
    <w:rsid w:val="00EB70D2"/>
    <w:rsid w:val="00EB72B5"/>
    <w:rsid w:val="00EB73A4"/>
    <w:rsid w:val="00EB7C5D"/>
    <w:rsid w:val="00EC0710"/>
    <w:rsid w:val="00EC0DB7"/>
    <w:rsid w:val="00EC0DDB"/>
    <w:rsid w:val="00EC115B"/>
    <w:rsid w:val="00EC1366"/>
    <w:rsid w:val="00EC527B"/>
    <w:rsid w:val="00EC5281"/>
    <w:rsid w:val="00EC5897"/>
    <w:rsid w:val="00EC6313"/>
    <w:rsid w:val="00EC6F08"/>
    <w:rsid w:val="00ED08D9"/>
    <w:rsid w:val="00ED2378"/>
    <w:rsid w:val="00ED2BB4"/>
    <w:rsid w:val="00ED2E65"/>
    <w:rsid w:val="00ED34CD"/>
    <w:rsid w:val="00ED5302"/>
    <w:rsid w:val="00ED5354"/>
    <w:rsid w:val="00ED5945"/>
    <w:rsid w:val="00ED5AFC"/>
    <w:rsid w:val="00ED632F"/>
    <w:rsid w:val="00ED63AD"/>
    <w:rsid w:val="00ED67FF"/>
    <w:rsid w:val="00ED6C11"/>
    <w:rsid w:val="00ED704B"/>
    <w:rsid w:val="00ED7B29"/>
    <w:rsid w:val="00ED7D13"/>
    <w:rsid w:val="00EE029B"/>
    <w:rsid w:val="00EE06DC"/>
    <w:rsid w:val="00EE12BC"/>
    <w:rsid w:val="00EE16C8"/>
    <w:rsid w:val="00EE1ADE"/>
    <w:rsid w:val="00EE1EE5"/>
    <w:rsid w:val="00EE2790"/>
    <w:rsid w:val="00EE2911"/>
    <w:rsid w:val="00EE2F2C"/>
    <w:rsid w:val="00EE357B"/>
    <w:rsid w:val="00EE3619"/>
    <w:rsid w:val="00EE38BE"/>
    <w:rsid w:val="00EE4114"/>
    <w:rsid w:val="00EE48A8"/>
    <w:rsid w:val="00EE4B36"/>
    <w:rsid w:val="00EE4C2E"/>
    <w:rsid w:val="00EE4E82"/>
    <w:rsid w:val="00EE55B1"/>
    <w:rsid w:val="00EE5B3C"/>
    <w:rsid w:val="00EE5BBF"/>
    <w:rsid w:val="00EE63EB"/>
    <w:rsid w:val="00EE65F8"/>
    <w:rsid w:val="00EE7640"/>
    <w:rsid w:val="00EF07B8"/>
    <w:rsid w:val="00EF123F"/>
    <w:rsid w:val="00EF1330"/>
    <w:rsid w:val="00EF16C9"/>
    <w:rsid w:val="00EF1BDA"/>
    <w:rsid w:val="00EF2121"/>
    <w:rsid w:val="00EF2FFA"/>
    <w:rsid w:val="00EF3A25"/>
    <w:rsid w:val="00EF3AB6"/>
    <w:rsid w:val="00EF408E"/>
    <w:rsid w:val="00EF439D"/>
    <w:rsid w:val="00EF49AB"/>
    <w:rsid w:val="00EF4BC4"/>
    <w:rsid w:val="00EF5636"/>
    <w:rsid w:val="00EF5B85"/>
    <w:rsid w:val="00EF5F43"/>
    <w:rsid w:val="00EF68BE"/>
    <w:rsid w:val="00EF68FB"/>
    <w:rsid w:val="00EF6B9A"/>
    <w:rsid w:val="00EF71AE"/>
    <w:rsid w:val="00EF75D0"/>
    <w:rsid w:val="00EF7A8C"/>
    <w:rsid w:val="00EF7F9B"/>
    <w:rsid w:val="00F002AD"/>
    <w:rsid w:val="00F0339B"/>
    <w:rsid w:val="00F035F6"/>
    <w:rsid w:val="00F0488A"/>
    <w:rsid w:val="00F052AC"/>
    <w:rsid w:val="00F06111"/>
    <w:rsid w:val="00F06217"/>
    <w:rsid w:val="00F06A65"/>
    <w:rsid w:val="00F06D2C"/>
    <w:rsid w:val="00F07808"/>
    <w:rsid w:val="00F102BE"/>
    <w:rsid w:val="00F10F7E"/>
    <w:rsid w:val="00F11058"/>
    <w:rsid w:val="00F1139C"/>
    <w:rsid w:val="00F11D46"/>
    <w:rsid w:val="00F11F09"/>
    <w:rsid w:val="00F12143"/>
    <w:rsid w:val="00F12232"/>
    <w:rsid w:val="00F1263D"/>
    <w:rsid w:val="00F135E1"/>
    <w:rsid w:val="00F13DEE"/>
    <w:rsid w:val="00F1405D"/>
    <w:rsid w:val="00F14C78"/>
    <w:rsid w:val="00F14E21"/>
    <w:rsid w:val="00F151F7"/>
    <w:rsid w:val="00F1558B"/>
    <w:rsid w:val="00F1588E"/>
    <w:rsid w:val="00F15E04"/>
    <w:rsid w:val="00F16245"/>
    <w:rsid w:val="00F166E9"/>
    <w:rsid w:val="00F16BA5"/>
    <w:rsid w:val="00F17481"/>
    <w:rsid w:val="00F20ED0"/>
    <w:rsid w:val="00F213AE"/>
    <w:rsid w:val="00F22847"/>
    <w:rsid w:val="00F228ED"/>
    <w:rsid w:val="00F22EB4"/>
    <w:rsid w:val="00F23276"/>
    <w:rsid w:val="00F24A60"/>
    <w:rsid w:val="00F24F3C"/>
    <w:rsid w:val="00F2522E"/>
    <w:rsid w:val="00F254BC"/>
    <w:rsid w:val="00F259A6"/>
    <w:rsid w:val="00F25E6B"/>
    <w:rsid w:val="00F25E76"/>
    <w:rsid w:val="00F26075"/>
    <w:rsid w:val="00F26679"/>
    <w:rsid w:val="00F268E0"/>
    <w:rsid w:val="00F27C74"/>
    <w:rsid w:val="00F27D76"/>
    <w:rsid w:val="00F301B5"/>
    <w:rsid w:val="00F30895"/>
    <w:rsid w:val="00F309D4"/>
    <w:rsid w:val="00F30ED1"/>
    <w:rsid w:val="00F30F30"/>
    <w:rsid w:val="00F31114"/>
    <w:rsid w:val="00F3156F"/>
    <w:rsid w:val="00F31D3D"/>
    <w:rsid w:val="00F31FDC"/>
    <w:rsid w:val="00F32E0C"/>
    <w:rsid w:val="00F342CE"/>
    <w:rsid w:val="00F345B2"/>
    <w:rsid w:val="00F3495A"/>
    <w:rsid w:val="00F368BB"/>
    <w:rsid w:val="00F40C2C"/>
    <w:rsid w:val="00F4247E"/>
    <w:rsid w:val="00F42B4B"/>
    <w:rsid w:val="00F42FA5"/>
    <w:rsid w:val="00F43176"/>
    <w:rsid w:val="00F44046"/>
    <w:rsid w:val="00F44B63"/>
    <w:rsid w:val="00F44CF2"/>
    <w:rsid w:val="00F45B59"/>
    <w:rsid w:val="00F45D6B"/>
    <w:rsid w:val="00F45E60"/>
    <w:rsid w:val="00F4638C"/>
    <w:rsid w:val="00F508C3"/>
    <w:rsid w:val="00F50B61"/>
    <w:rsid w:val="00F521E3"/>
    <w:rsid w:val="00F52676"/>
    <w:rsid w:val="00F52856"/>
    <w:rsid w:val="00F5316C"/>
    <w:rsid w:val="00F540AC"/>
    <w:rsid w:val="00F546CA"/>
    <w:rsid w:val="00F55444"/>
    <w:rsid w:val="00F55A8E"/>
    <w:rsid w:val="00F5604D"/>
    <w:rsid w:val="00F5618E"/>
    <w:rsid w:val="00F56A00"/>
    <w:rsid w:val="00F5709D"/>
    <w:rsid w:val="00F5712A"/>
    <w:rsid w:val="00F60259"/>
    <w:rsid w:val="00F6167E"/>
    <w:rsid w:val="00F62CB8"/>
    <w:rsid w:val="00F64103"/>
    <w:rsid w:val="00F648D6"/>
    <w:rsid w:val="00F64E31"/>
    <w:rsid w:val="00F64F38"/>
    <w:rsid w:val="00F65594"/>
    <w:rsid w:val="00F655B8"/>
    <w:rsid w:val="00F65870"/>
    <w:rsid w:val="00F66D01"/>
    <w:rsid w:val="00F67082"/>
    <w:rsid w:val="00F6712A"/>
    <w:rsid w:val="00F70016"/>
    <w:rsid w:val="00F70669"/>
    <w:rsid w:val="00F712B5"/>
    <w:rsid w:val="00F7132F"/>
    <w:rsid w:val="00F71924"/>
    <w:rsid w:val="00F71D80"/>
    <w:rsid w:val="00F71E75"/>
    <w:rsid w:val="00F71F89"/>
    <w:rsid w:val="00F73AF3"/>
    <w:rsid w:val="00F73EA0"/>
    <w:rsid w:val="00F74D4C"/>
    <w:rsid w:val="00F754DA"/>
    <w:rsid w:val="00F7649A"/>
    <w:rsid w:val="00F76DAE"/>
    <w:rsid w:val="00F77386"/>
    <w:rsid w:val="00F80194"/>
    <w:rsid w:val="00F80328"/>
    <w:rsid w:val="00F8057E"/>
    <w:rsid w:val="00F808E7"/>
    <w:rsid w:val="00F80EAA"/>
    <w:rsid w:val="00F81702"/>
    <w:rsid w:val="00F81B2A"/>
    <w:rsid w:val="00F81C69"/>
    <w:rsid w:val="00F82718"/>
    <w:rsid w:val="00F829FE"/>
    <w:rsid w:val="00F82D5E"/>
    <w:rsid w:val="00F82F2F"/>
    <w:rsid w:val="00F834FB"/>
    <w:rsid w:val="00F8369D"/>
    <w:rsid w:val="00F83AFA"/>
    <w:rsid w:val="00F8465A"/>
    <w:rsid w:val="00F84E22"/>
    <w:rsid w:val="00F85678"/>
    <w:rsid w:val="00F85CDF"/>
    <w:rsid w:val="00F879E5"/>
    <w:rsid w:val="00F87C6F"/>
    <w:rsid w:val="00F90684"/>
    <w:rsid w:val="00F90DCF"/>
    <w:rsid w:val="00F915E1"/>
    <w:rsid w:val="00F91910"/>
    <w:rsid w:val="00F91A84"/>
    <w:rsid w:val="00F91B43"/>
    <w:rsid w:val="00F91D1C"/>
    <w:rsid w:val="00F91D31"/>
    <w:rsid w:val="00F91E46"/>
    <w:rsid w:val="00F91E59"/>
    <w:rsid w:val="00F922F0"/>
    <w:rsid w:val="00F9246F"/>
    <w:rsid w:val="00F92540"/>
    <w:rsid w:val="00F9259D"/>
    <w:rsid w:val="00F927D8"/>
    <w:rsid w:val="00F93008"/>
    <w:rsid w:val="00F93547"/>
    <w:rsid w:val="00F93910"/>
    <w:rsid w:val="00F93AFD"/>
    <w:rsid w:val="00F93C32"/>
    <w:rsid w:val="00F94E02"/>
    <w:rsid w:val="00F94E7B"/>
    <w:rsid w:val="00F969E9"/>
    <w:rsid w:val="00F96DC1"/>
    <w:rsid w:val="00F971F8"/>
    <w:rsid w:val="00F976D1"/>
    <w:rsid w:val="00F97E9B"/>
    <w:rsid w:val="00FA06D6"/>
    <w:rsid w:val="00FA20AD"/>
    <w:rsid w:val="00FA21D2"/>
    <w:rsid w:val="00FA2785"/>
    <w:rsid w:val="00FA3ECD"/>
    <w:rsid w:val="00FA3FB3"/>
    <w:rsid w:val="00FA423A"/>
    <w:rsid w:val="00FA4794"/>
    <w:rsid w:val="00FA4983"/>
    <w:rsid w:val="00FA559C"/>
    <w:rsid w:val="00FA56FE"/>
    <w:rsid w:val="00FA5DFB"/>
    <w:rsid w:val="00FA6FA2"/>
    <w:rsid w:val="00FA71AD"/>
    <w:rsid w:val="00FA71F4"/>
    <w:rsid w:val="00FB026E"/>
    <w:rsid w:val="00FB16E9"/>
    <w:rsid w:val="00FB1907"/>
    <w:rsid w:val="00FB2B0E"/>
    <w:rsid w:val="00FB307E"/>
    <w:rsid w:val="00FB3B32"/>
    <w:rsid w:val="00FB3CD6"/>
    <w:rsid w:val="00FB4668"/>
    <w:rsid w:val="00FB52DD"/>
    <w:rsid w:val="00FB53AB"/>
    <w:rsid w:val="00FB58BF"/>
    <w:rsid w:val="00FB63F7"/>
    <w:rsid w:val="00FB6985"/>
    <w:rsid w:val="00FB7085"/>
    <w:rsid w:val="00FC0FE4"/>
    <w:rsid w:val="00FC1305"/>
    <w:rsid w:val="00FC178D"/>
    <w:rsid w:val="00FC1D4B"/>
    <w:rsid w:val="00FC24C7"/>
    <w:rsid w:val="00FC2E2D"/>
    <w:rsid w:val="00FC37DB"/>
    <w:rsid w:val="00FC3D3F"/>
    <w:rsid w:val="00FC3D4E"/>
    <w:rsid w:val="00FC52A3"/>
    <w:rsid w:val="00FC59C4"/>
    <w:rsid w:val="00FC5F33"/>
    <w:rsid w:val="00FC6AD3"/>
    <w:rsid w:val="00FC7218"/>
    <w:rsid w:val="00FC780D"/>
    <w:rsid w:val="00FC7FA4"/>
    <w:rsid w:val="00FD06EE"/>
    <w:rsid w:val="00FD0D07"/>
    <w:rsid w:val="00FD1546"/>
    <w:rsid w:val="00FD2D22"/>
    <w:rsid w:val="00FD2D46"/>
    <w:rsid w:val="00FD4C6B"/>
    <w:rsid w:val="00FD4E76"/>
    <w:rsid w:val="00FD55F9"/>
    <w:rsid w:val="00FD60C5"/>
    <w:rsid w:val="00FD6632"/>
    <w:rsid w:val="00FD699D"/>
    <w:rsid w:val="00FD71EF"/>
    <w:rsid w:val="00FD72B5"/>
    <w:rsid w:val="00FD785C"/>
    <w:rsid w:val="00FE0310"/>
    <w:rsid w:val="00FE035F"/>
    <w:rsid w:val="00FE0608"/>
    <w:rsid w:val="00FE1A0F"/>
    <w:rsid w:val="00FE1C49"/>
    <w:rsid w:val="00FE2055"/>
    <w:rsid w:val="00FE2467"/>
    <w:rsid w:val="00FE353D"/>
    <w:rsid w:val="00FE36AA"/>
    <w:rsid w:val="00FE47DD"/>
    <w:rsid w:val="00FE5240"/>
    <w:rsid w:val="00FE53B6"/>
    <w:rsid w:val="00FE5681"/>
    <w:rsid w:val="00FE5D6F"/>
    <w:rsid w:val="00FE63DB"/>
    <w:rsid w:val="00FE64A4"/>
    <w:rsid w:val="00FE7BD3"/>
    <w:rsid w:val="00FE7EFA"/>
    <w:rsid w:val="00FF1054"/>
    <w:rsid w:val="00FF12FD"/>
    <w:rsid w:val="00FF1FAD"/>
    <w:rsid w:val="00FF25C2"/>
    <w:rsid w:val="00FF36D2"/>
    <w:rsid w:val="00FF389A"/>
    <w:rsid w:val="00FF402C"/>
    <w:rsid w:val="00FF4110"/>
    <w:rsid w:val="00FF44FA"/>
    <w:rsid w:val="00FF4A29"/>
    <w:rsid w:val="00FF4B21"/>
    <w:rsid w:val="00FF58BD"/>
    <w:rsid w:val="00FF5C5B"/>
    <w:rsid w:val="00FF646F"/>
    <w:rsid w:val="00FF6BB0"/>
    <w:rsid w:val="00FF6D8C"/>
    <w:rsid w:val="00FF72EF"/>
    <w:rsid w:val="00FF7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AE44B"/>
  <w15:chartTrackingRefBased/>
  <w15:docId w15:val="{EDC974C1-240F-444F-ABAE-1CF86CAE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1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C6E"/>
    <w:pPr>
      <w:ind w:left="720"/>
      <w:contextualSpacing/>
    </w:pPr>
  </w:style>
  <w:style w:type="paragraph" w:styleId="FootnoteText">
    <w:name w:val="footnote text"/>
    <w:basedOn w:val="Normal"/>
    <w:link w:val="FootnoteTextChar"/>
    <w:uiPriority w:val="99"/>
    <w:unhideWhenUsed/>
    <w:rsid w:val="0069222C"/>
    <w:pPr>
      <w:spacing w:after="0" w:line="240" w:lineRule="auto"/>
    </w:pPr>
    <w:rPr>
      <w:sz w:val="20"/>
      <w:szCs w:val="20"/>
    </w:rPr>
  </w:style>
  <w:style w:type="character" w:customStyle="1" w:styleId="FootnoteTextChar">
    <w:name w:val="Footnote Text Char"/>
    <w:basedOn w:val="DefaultParagraphFont"/>
    <w:link w:val="FootnoteText"/>
    <w:uiPriority w:val="99"/>
    <w:rsid w:val="0069222C"/>
    <w:rPr>
      <w:sz w:val="20"/>
      <w:szCs w:val="20"/>
    </w:rPr>
  </w:style>
  <w:style w:type="character" w:styleId="FootnoteReference">
    <w:name w:val="footnote reference"/>
    <w:basedOn w:val="DefaultParagraphFont"/>
    <w:unhideWhenUsed/>
    <w:qFormat/>
    <w:rsid w:val="0069222C"/>
    <w:rPr>
      <w:vertAlign w:val="superscript"/>
    </w:rPr>
  </w:style>
  <w:style w:type="character" w:styleId="Hyperlink">
    <w:name w:val="Hyperlink"/>
    <w:basedOn w:val="DefaultParagraphFont"/>
    <w:uiPriority w:val="99"/>
    <w:unhideWhenUsed/>
    <w:rsid w:val="0069222C"/>
    <w:rPr>
      <w:color w:val="0563C1" w:themeColor="hyperlink"/>
      <w:u w:val="single"/>
    </w:rPr>
  </w:style>
  <w:style w:type="character" w:customStyle="1" w:styleId="UnresolvedMention1">
    <w:name w:val="Unresolved Mention1"/>
    <w:basedOn w:val="DefaultParagraphFont"/>
    <w:uiPriority w:val="99"/>
    <w:semiHidden/>
    <w:unhideWhenUsed/>
    <w:rsid w:val="0069222C"/>
    <w:rPr>
      <w:color w:val="605E5C"/>
      <w:shd w:val="clear" w:color="auto" w:fill="E1DFDD"/>
    </w:rPr>
  </w:style>
  <w:style w:type="character" w:styleId="FollowedHyperlink">
    <w:name w:val="FollowedHyperlink"/>
    <w:basedOn w:val="DefaultParagraphFont"/>
    <w:uiPriority w:val="99"/>
    <w:semiHidden/>
    <w:unhideWhenUsed/>
    <w:rsid w:val="001968FD"/>
    <w:rPr>
      <w:color w:val="954F72" w:themeColor="followedHyperlink"/>
      <w:u w:val="single"/>
    </w:rPr>
  </w:style>
  <w:style w:type="character" w:customStyle="1" w:styleId="UnresolvedMention2">
    <w:name w:val="Unresolved Mention2"/>
    <w:basedOn w:val="DefaultParagraphFont"/>
    <w:uiPriority w:val="99"/>
    <w:semiHidden/>
    <w:unhideWhenUsed/>
    <w:rsid w:val="00913FF0"/>
    <w:rPr>
      <w:color w:val="605E5C"/>
      <w:shd w:val="clear" w:color="auto" w:fill="E1DFDD"/>
    </w:rPr>
  </w:style>
  <w:style w:type="table" w:styleId="TableGrid">
    <w:name w:val="Table Grid"/>
    <w:basedOn w:val="TableNormal"/>
    <w:uiPriority w:val="39"/>
    <w:rsid w:val="0071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3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D8B"/>
  </w:style>
  <w:style w:type="paragraph" w:styleId="Footer">
    <w:name w:val="footer"/>
    <w:basedOn w:val="Normal"/>
    <w:link w:val="FooterChar"/>
    <w:uiPriority w:val="99"/>
    <w:unhideWhenUsed/>
    <w:rsid w:val="009C3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D8B"/>
  </w:style>
  <w:style w:type="paragraph" w:styleId="BalloonText">
    <w:name w:val="Balloon Text"/>
    <w:basedOn w:val="Normal"/>
    <w:link w:val="BalloonTextChar"/>
    <w:uiPriority w:val="99"/>
    <w:semiHidden/>
    <w:unhideWhenUsed/>
    <w:rsid w:val="00B11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F36"/>
    <w:rPr>
      <w:rFonts w:ascii="Segoe UI" w:hAnsi="Segoe UI" w:cs="Segoe UI"/>
      <w:sz w:val="18"/>
      <w:szCs w:val="18"/>
    </w:rPr>
  </w:style>
  <w:style w:type="paragraph" w:styleId="EndnoteText">
    <w:name w:val="endnote text"/>
    <w:basedOn w:val="Normal"/>
    <w:link w:val="EndnoteTextChar"/>
    <w:uiPriority w:val="99"/>
    <w:semiHidden/>
    <w:unhideWhenUsed/>
    <w:rsid w:val="00A412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122E"/>
    <w:rPr>
      <w:sz w:val="20"/>
      <w:szCs w:val="20"/>
    </w:rPr>
  </w:style>
  <w:style w:type="character" w:styleId="EndnoteReference">
    <w:name w:val="endnote reference"/>
    <w:basedOn w:val="DefaultParagraphFont"/>
    <w:uiPriority w:val="99"/>
    <w:semiHidden/>
    <w:unhideWhenUsed/>
    <w:rsid w:val="00A4122E"/>
    <w:rPr>
      <w:vertAlign w:val="superscript"/>
    </w:rPr>
  </w:style>
  <w:style w:type="character" w:styleId="CommentReference">
    <w:name w:val="annotation reference"/>
    <w:basedOn w:val="DefaultParagraphFont"/>
    <w:uiPriority w:val="99"/>
    <w:semiHidden/>
    <w:unhideWhenUsed/>
    <w:rsid w:val="001179CE"/>
    <w:rPr>
      <w:sz w:val="16"/>
      <w:szCs w:val="16"/>
    </w:rPr>
  </w:style>
  <w:style w:type="paragraph" w:styleId="CommentText">
    <w:name w:val="annotation text"/>
    <w:basedOn w:val="Normal"/>
    <w:link w:val="CommentTextChar"/>
    <w:uiPriority w:val="99"/>
    <w:semiHidden/>
    <w:unhideWhenUsed/>
    <w:rsid w:val="001179CE"/>
    <w:pPr>
      <w:spacing w:line="240" w:lineRule="auto"/>
    </w:pPr>
    <w:rPr>
      <w:sz w:val="20"/>
      <w:szCs w:val="20"/>
    </w:rPr>
  </w:style>
  <w:style w:type="character" w:customStyle="1" w:styleId="CommentTextChar">
    <w:name w:val="Comment Text Char"/>
    <w:basedOn w:val="DefaultParagraphFont"/>
    <w:link w:val="CommentText"/>
    <w:uiPriority w:val="99"/>
    <w:semiHidden/>
    <w:rsid w:val="001179CE"/>
    <w:rPr>
      <w:sz w:val="20"/>
      <w:szCs w:val="20"/>
    </w:rPr>
  </w:style>
  <w:style w:type="paragraph" w:styleId="CommentSubject">
    <w:name w:val="annotation subject"/>
    <w:basedOn w:val="CommentText"/>
    <w:next w:val="CommentText"/>
    <w:link w:val="CommentSubjectChar"/>
    <w:uiPriority w:val="99"/>
    <w:semiHidden/>
    <w:unhideWhenUsed/>
    <w:rsid w:val="001179CE"/>
    <w:rPr>
      <w:b/>
      <w:bCs/>
    </w:rPr>
  </w:style>
  <w:style w:type="character" w:customStyle="1" w:styleId="CommentSubjectChar">
    <w:name w:val="Comment Subject Char"/>
    <w:basedOn w:val="CommentTextChar"/>
    <w:link w:val="CommentSubject"/>
    <w:uiPriority w:val="99"/>
    <w:semiHidden/>
    <w:rsid w:val="001179CE"/>
    <w:rPr>
      <w:b/>
      <w:bCs/>
      <w:sz w:val="20"/>
      <w:szCs w:val="20"/>
    </w:rPr>
  </w:style>
  <w:style w:type="character" w:styleId="UnresolvedMention">
    <w:name w:val="Unresolved Mention"/>
    <w:basedOn w:val="DefaultParagraphFont"/>
    <w:uiPriority w:val="99"/>
    <w:semiHidden/>
    <w:unhideWhenUsed/>
    <w:rsid w:val="00674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007183">
      <w:bodyDiv w:val="1"/>
      <w:marLeft w:val="0"/>
      <w:marRight w:val="0"/>
      <w:marTop w:val="0"/>
      <w:marBottom w:val="0"/>
      <w:divBdr>
        <w:top w:val="none" w:sz="0" w:space="0" w:color="auto"/>
        <w:left w:val="none" w:sz="0" w:space="0" w:color="auto"/>
        <w:bottom w:val="none" w:sz="0" w:space="0" w:color="auto"/>
        <w:right w:val="none" w:sz="0" w:space="0" w:color="auto"/>
      </w:divBdr>
    </w:div>
    <w:div w:id="1210730047">
      <w:bodyDiv w:val="1"/>
      <w:marLeft w:val="0"/>
      <w:marRight w:val="0"/>
      <w:marTop w:val="0"/>
      <w:marBottom w:val="0"/>
      <w:divBdr>
        <w:top w:val="none" w:sz="0" w:space="0" w:color="auto"/>
        <w:left w:val="none" w:sz="0" w:space="0" w:color="auto"/>
        <w:bottom w:val="none" w:sz="0" w:space="0" w:color="auto"/>
        <w:right w:val="none" w:sz="0" w:space="0" w:color="auto"/>
      </w:divBdr>
      <w:divsChild>
        <w:div w:id="219826614">
          <w:marLeft w:val="0"/>
          <w:marRight w:val="0"/>
          <w:marTop w:val="154"/>
          <w:marBottom w:val="0"/>
          <w:divBdr>
            <w:top w:val="none" w:sz="0" w:space="0" w:color="auto"/>
            <w:left w:val="none" w:sz="0" w:space="0" w:color="auto"/>
            <w:bottom w:val="none" w:sz="0" w:space="0" w:color="auto"/>
            <w:right w:val="none" w:sz="0" w:space="0" w:color="auto"/>
          </w:divBdr>
        </w:div>
        <w:div w:id="2077195366">
          <w:marLeft w:val="0"/>
          <w:marRight w:val="0"/>
          <w:marTop w:val="154"/>
          <w:marBottom w:val="0"/>
          <w:divBdr>
            <w:top w:val="none" w:sz="0" w:space="0" w:color="auto"/>
            <w:left w:val="none" w:sz="0" w:space="0" w:color="auto"/>
            <w:bottom w:val="none" w:sz="0" w:space="0" w:color="auto"/>
            <w:right w:val="none" w:sz="0" w:space="0" w:color="auto"/>
          </w:divBdr>
        </w:div>
        <w:div w:id="1408310536">
          <w:marLeft w:val="0"/>
          <w:marRight w:val="0"/>
          <w:marTop w:val="154"/>
          <w:marBottom w:val="0"/>
          <w:divBdr>
            <w:top w:val="none" w:sz="0" w:space="0" w:color="auto"/>
            <w:left w:val="none" w:sz="0" w:space="0" w:color="auto"/>
            <w:bottom w:val="none" w:sz="0" w:space="0" w:color="auto"/>
            <w:right w:val="none" w:sz="0" w:space="0" w:color="auto"/>
          </w:divBdr>
        </w:div>
        <w:div w:id="416707376">
          <w:marLeft w:val="0"/>
          <w:marRight w:val="0"/>
          <w:marTop w:val="154"/>
          <w:marBottom w:val="0"/>
          <w:divBdr>
            <w:top w:val="none" w:sz="0" w:space="0" w:color="auto"/>
            <w:left w:val="none" w:sz="0" w:space="0" w:color="auto"/>
            <w:bottom w:val="none" w:sz="0" w:space="0" w:color="auto"/>
            <w:right w:val="none" w:sz="0" w:space="0" w:color="auto"/>
          </w:divBdr>
        </w:div>
        <w:div w:id="1315836701">
          <w:marLeft w:val="0"/>
          <w:marRight w:val="0"/>
          <w:marTop w:val="154"/>
          <w:marBottom w:val="0"/>
          <w:divBdr>
            <w:top w:val="none" w:sz="0" w:space="0" w:color="auto"/>
            <w:left w:val="none" w:sz="0" w:space="0" w:color="auto"/>
            <w:bottom w:val="none" w:sz="0" w:space="0" w:color="auto"/>
            <w:right w:val="none" w:sz="0" w:space="0" w:color="auto"/>
          </w:divBdr>
        </w:div>
      </w:divsChild>
    </w:div>
    <w:div w:id="159766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telegraph.co.uk/technology/2021/01/14/one-10-deliveries-uk-eu-turned-back-border-amid-post-brexit/" TargetMode="External"/><Relationship Id="rId7" Type="http://schemas.openxmlformats.org/officeDocument/2006/relationships/hyperlink" Target="https://ec.europa.eu/commission/presscorner/detail/en/ip_20_2531" TargetMode="External"/><Relationship Id="rId2" Type="http://schemas.openxmlformats.org/officeDocument/2006/relationships/hyperlink" Target="https://www.ft.com/content/27069111-be39-446f-8cf1-ed216400b171" TargetMode="External"/><Relationship Id="rId1" Type="http://schemas.openxmlformats.org/officeDocument/2006/relationships/hyperlink" Target="https://ec.europa.eu/commission/presscorner/detail/en/IP_20_1798" TargetMode="External"/><Relationship Id="rId6" Type="http://schemas.openxmlformats.org/officeDocument/2006/relationships/hyperlink" Target="https://ec.europa.eu/info/publications/statement-following-second-meeting-specialised-committee-gibraltar-between-european-union-and-uk-government_en" TargetMode="External"/><Relationship Id="rId5" Type="http://schemas.openxmlformats.org/officeDocument/2006/relationships/hyperlink" Target="https://ec.europa.eu/info/publications/joint-statement-following-meeting-specialised-committee-citizens-rights-between-uk-government-and-european-commission-video-conference_en" TargetMode="External"/><Relationship Id="rId4" Type="http://schemas.openxmlformats.org/officeDocument/2006/relationships/hyperlink" Target="https://www.theguardian.com/politics/2021/jan/20/absolute-carnage-eu-hauliers-reject-uk-jobs-over-brexit-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89FCFB26E8148BF0480163A3142BE" ma:contentTypeVersion="10" ma:contentTypeDescription="Create a new document." ma:contentTypeScope="" ma:versionID="e2807c941e0c608f02431bd701a8efa1">
  <xsd:schema xmlns:xsd="http://www.w3.org/2001/XMLSchema" xmlns:xs="http://www.w3.org/2001/XMLSchema" xmlns:p="http://schemas.microsoft.com/office/2006/metadata/properties" xmlns:ns3="4a3aca83-2211-4832-bd87-643269cf5087" targetNamespace="http://schemas.microsoft.com/office/2006/metadata/properties" ma:root="true" ma:fieldsID="1a6d37243fb307688a6ee465ad30bfc9" ns3:_="">
    <xsd:import namespace="4a3aca83-2211-4832-bd87-643269cf50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aca83-2211-4832-bd87-643269cf5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5D873-BC6A-4614-90D5-CCB01EB01E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45A6E6-2020-47F1-950D-DF263804F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aca83-2211-4832-bd87-643269cf5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AB640-C059-41B7-80D0-13D5CF435BC5}">
  <ds:schemaRefs>
    <ds:schemaRef ds:uri="http://schemas.openxmlformats.org/officeDocument/2006/bibliography"/>
  </ds:schemaRefs>
</ds:datastoreItem>
</file>

<file path=customXml/itemProps4.xml><?xml version="1.0" encoding="utf-8"?>
<ds:datastoreItem xmlns:ds="http://schemas.openxmlformats.org/officeDocument/2006/customXml" ds:itemID="{27FE451A-0264-488D-9E57-799495B73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6847</Words>
  <Characters>39031</Characters>
  <Application>Microsoft Office Word</Application>
  <DocSecurity>0</DocSecurity>
  <Lines>325</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Wright</dc:creator>
  <cp:keywords/>
  <dc:description/>
  <cp:lastModifiedBy>Kathryn Wright</cp:lastModifiedBy>
  <cp:revision>9</cp:revision>
  <dcterms:created xsi:type="dcterms:W3CDTF">2021-03-26T21:16:00Z</dcterms:created>
  <dcterms:modified xsi:type="dcterms:W3CDTF">2021-03-26T21:22:00Z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0x010100FE889FCFB26E8148BF0480163A3142BE</vt:lpwstr>
  </property>
</Properties>
</file>