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557A5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Long-term dynamic changes in attached and planktonic microbial communities in a contaminated aquifer</w:t>
      </w:r>
    </w:p>
    <w:p w14:paraId="1D44309B" w14:textId="77777777" w:rsidR="00267E22" w:rsidRPr="00410D11" w:rsidRDefault="00267E22" w:rsidP="001656AE">
      <w:pPr>
        <w:rPr>
          <w:rFonts w:ascii="Times New Roman" w:hAnsi="Times New Roman" w:cs="Times New Roman"/>
        </w:rPr>
      </w:pPr>
    </w:p>
    <w:p w14:paraId="5C09769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Juan F. Mujica-</w:t>
      </w:r>
      <w:proofErr w:type="spellStart"/>
      <w:r w:rsidRPr="00410D11">
        <w:rPr>
          <w:rFonts w:ascii="Times New Roman" w:hAnsi="Times New Roman" w:cs="Times New Roman"/>
        </w:rPr>
        <w:t>Alarcon</w:t>
      </w:r>
      <w:r w:rsidRPr="00410D11">
        <w:rPr>
          <w:rFonts w:ascii="Times New Roman" w:hAnsi="Times New Roman" w:cs="Times New Roman"/>
          <w:vertAlign w:val="superscript"/>
        </w:rPr>
        <w:t>ab</w:t>
      </w:r>
      <w:proofErr w:type="spellEnd"/>
      <w:r w:rsidRPr="00410D11">
        <w:rPr>
          <w:rFonts w:ascii="Times New Roman" w:hAnsi="Times New Roman" w:cs="Times New Roman"/>
        </w:rPr>
        <w:t xml:space="preserve">, Steven F. </w:t>
      </w:r>
      <w:proofErr w:type="spellStart"/>
      <w:r w:rsidRPr="00410D11">
        <w:rPr>
          <w:rFonts w:ascii="Times New Roman" w:hAnsi="Times New Roman" w:cs="Times New Roman"/>
        </w:rPr>
        <w:t>Thornton</w:t>
      </w:r>
      <w:r w:rsidRPr="00410D11">
        <w:rPr>
          <w:rFonts w:ascii="Times New Roman" w:hAnsi="Times New Roman" w:cs="Times New Roman"/>
          <w:vertAlign w:val="superscript"/>
        </w:rPr>
        <w:t>a</w:t>
      </w:r>
      <w:proofErr w:type="spellEnd"/>
      <w:r w:rsidRPr="00410D11">
        <w:rPr>
          <w:rFonts w:ascii="Times New Roman" w:hAnsi="Times New Roman" w:cs="Times New Roman"/>
        </w:rPr>
        <w:t xml:space="preserve">, Stephen A. </w:t>
      </w:r>
      <w:proofErr w:type="spellStart"/>
      <w:r w:rsidRPr="00410D11">
        <w:rPr>
          <w:rFonts w:ascii="Times New Roman" w:hAnsi="Times New Roman" w:cs="Times New Roman"/>
        </w:rPr>
        <w:t>Rolfe</w:t>
      </w:r>
      <w:r w:rsidRPr="00410D11">
        <w:rPr>
          <w:rFonts w:ascii="Times New Roman" w:hAnsi="Times New Roman" w:cs="Times New Roman"/>
          <w:vertAlign w:val="superscript"/>
        </w:rPr>
        <w:t>b</w:t>
      </w:r>
      <w:proofErr w:type="spellEnd"/>
      <w:r w:rsidRPr="00410D11">
        <w:rPr>
          <w:rFonts w:ascii="Times New Roman" w:hAnsi="Times New Roman" w:cs="Times New Roman"/>
        </w:rPr>
        <w:t>#</w:t>
      </w:r>
    </w:p>
    <w:p w14:paraId="72172EE2" w14:textId="77777777" w:rsidR="00267E22" w:rsidRPr="00410D11" w:rsidRDefault="00267E22" w:rsidP="001656AE">
      <w:pPr>
        <w:rPr>
          <w:rFonts w:ascii="Times New Roman" w:hAnsi="Times New Roman" w:cs="Times New Roman"/>
        </w:rPr>
      </w:pPr>
      <w:r w:rsidRPr="00410D11">
        <w:rPr>
          <w:rFonts w:ascii="Times New Roman" w:hAnsi="Times New Roman" w:cs="Times New Roman"/>
          <w:vertAlign w:val="superscript"/>
        </w:rPr>
        <w:t>a</w:t>
      </w:r>
      <w:r w:rsidRPr="00410D11">
        <w:rPr>
          <w:rFonts w:ascii="Times New Roman" w:hAnsi="Times New Roman" w:cs="Times New Roman"/>
        </w:rPr>
        <w:t xml:space="preserve"> Groundwater Protection and Restoration Group, Department of Civil and Structural Engineering, University of Sheffield, Sheffield, United Kingdom</w:t>
      </w:r>
    </w:p>
    <w:p w14:paraId="7E6E7E7F" w14:textId="77777777" w:rsidR="00267E22" w:rsidRPr="00410D11" w:rsidRDefault="00267E22" w:rsidP="001656AE">
      <w:pPr>
        <w:rPr>
          <w:rFonts w:ascii="Times New Roman" w:hAnsi="Times New Roman" w:cs="Times New Roman"/>
        </w:rPr>
      </w:pPr>
      <w:r w:rsidRPr="00410D11">
        <w:rPr>
          <w:rFonts w:ascii="Times New Roman" w:hAnsi="Times New Roman" w:cs="Times New Roman"/>
          <w:vertAlign w:val="superscript"/>
        </w:rPr>
        <w:t>b</w:t>
      </w:r>
      <w:r w:rsidRPr="00410D11">
        <w:rPr>
          <w:rFonts w:ascii="Times New Roman" w:hAnsi="Times New Roman" w:cs="Times New Roman"/>
        </w:rPr>
        <w:t xml:space="preserve"> Department of Animal and Plant Sciences, University of Sheffield, Sheffield, United Kingdom</w:t>
      </w:r>
    </w:p>
    <w:p w14:paraId="6FF7CBA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Running head: Microbial community dynamics in a contaminated aquifer</w:t>
      </w:r>
    </w:p>
    <w:p w14:paraId="104C360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#Address correspondence to Stephen A Rolfe, </w:t>
      </w:r>
      <w:bookmarkStart w:id="0" w:name="_Hlk51940661"/>
      <w:r w:rsidRPr="00410D11">
        <w:rPr>
          <w:rFonts w:ascii="Times New Roman" w:hAnsi="Times New Roman" w:cs="Times New Roman"/>
        </w:rPr>
        <w:t>s.rolfe@sheffield.ac.uk</w:t>
      </w:r>
      <w:bookmarkEnd w:id="0"/>
    </w:p>
    <w:p w14:paraId="56C0C610" w14:textId="77777777" w:rsidR="00267E22" w:rsidRPr="00410D11" w:rsidRDefault="00267E22" w:rsidP="001656AE">
      <w:pPr>
        <w:spacing w:after="160"/>
        <w:jc w:val="left"/>
        <w:rPr>
          <w:rFonts w:ascii="Times New Roman" w:hAnsi="Times New Roman" w:cs="Times New Roman"/>
        </w:rPr>
      </w:pPr>
      <w:r w:rsidRPr="00410D11">
        <w:rPr>
          <w:rFonts w:ascii="Times New Roman" w:hAnsi="Times New Roman" w:cs="Times New Roman"/>
        </w:rPr>
        <w:br w:type="page"/>
      </w:r>
    </w:p>
    <w:p w14:paraId="3C7B3DC3" w14:textId="77777777" w:rsidR="00267E22" w:rsidRPr="00410D11" w:rsidRDefault="00267E22" w:rsidP="000B17D5">
      <w:pPr>
        <w:rPr>
          <w:rFonts w:ascii="Times New Roman" w:hAnsi="Times New Roman" w:cs="Times New Roman"/>
        </w:rPr>
      </w:pPr>
      <w:r w:rsidRPr="00410D11">
        <w:rPr>
          <w:rFonts w:ascii="Times New Roman" w:hAnsi="Times New Roman" w:cs="Times New Roman"/>
          <w:b/>
          <w:bCs/>
        </w:rPr>
        <w:lastRenderedPageBreak/>
        <w:t xml:space="preserve">Abstract </w:t>
      </w:r>
    </w:p>
    <w:p w14:paraId="5EFD3588" w14:textId="77777777" w:rsidR="00267E22" w:rsidRPr="00410D11" w:rsidRDefault="00267E22" w:rsidP="00943FDF">
      <w:pPr>
        <w:rPr>
          <w:rFonts w:ascii="Times New Roman" w:hAnsi="Times New Roman" w:cs="Times New Roman"/>
          <w:color w:val="000000"/>
        </w:rPr>
      </w:pPr>
      <w:bookmarkStart w:id="1" w:name="_Hlk53129420"/>
      <w:r w:rsidRPr="00410D11">
        <w:rPr>
          <w:rFonts w:ascii="Times New Roman" w:hAnsi="Times New Roman" w:cs="Times New Roman"/>
          <w:color w:val="000000"/>
        </w:rPr>
        <w:t>Biodegradation is responsible for most contaminant removal in plumes of organic compounds and is fastest at the plume fringe where microbial cell numbers and activity are highest. As the plume migrates from the source, groundwater containing the contaminants and planktonic microbial community encounters uncontaminated substrata on which an attached community subsequently develops. While attached microbial communities are important for biodegradation</w:t>
      </w:r>
      <w:r>
        <w:rPr>
          <w:rFonts w:ascii="Times New Roman" w:hAnsi="Times New Roman" w:cs="Times New Roman"/>
          <w:color w:val="000000"/>
        </w:rPr>
        <w:t>,</w:t>
      </w:r>
      <w:r w:rsidRPr="00410D11">
        <w:rPr>
          <w:rFonts w:ascii="Times New Roman" w:hAnsi="Times New Roman" w:cs="Times New Roman"/>
          <w:color w:val="000000"/>
        </w:rPr>
        <w:t xml:space="preserve"> the time needed for their establishment, the</w:t>
      </w:r>
      <w:r>
        <w:rPr>
          <w:rFonts w:ascii="Times New Roman" w:hAnsi="Times New Roman" w:cs="Times New Roman"/>
          <w:color w:val="000000"/>
        </w:rPr>
        <w:t>ir</w:t>
      </w:r>
      <w:r w:rsidRPr="00410D11">
        <w:rPr>
          <w:rFonts w:ascii="Times New Roman" w:hAnsi="Times New Roman" w:cs="Times New Roman"/>
          <w:color w:val="000000"/>
        </w:rPr>
        <w:t xml:space="preserve"> relationship with the planktonic community and the processes controlling their development are not well understood. We compare the dynamics of development of attached microbial communities on sterile substrata in the field and laboratory microcosms, sampled simultaneously at intervals over two years. We show that attached microbial cell numbers increased rapidly and stabilised after similar periods of incubation (~100 days) in both field and microcosm experiments. These timescales were similar even though variation in the contaminant source evident in the field was absent in microcosm studies, implying that this period was an emergent property of the attached microbial community. 16S rRNA gene sequencing showed that attached and planktonic communities differed markedly, with many attached organisms strongly preferring attachment. Successional processes were evident, both in community diversity indices and from community network analysis. Community development was governed by both deterministic and stochastic processes and was related to the predilection of community members for different lifestyles and the geochemical environment</w:t>
      </w:r>
      <w:r>
        <w:rPr>
          <w:rFonts w:ascii="Times New Roman" w:hAnsi="Times New Roman" w:cs="Times New Roman"/>
          <w:color w:val="000000"/>
        </w:rPr>
        <w:t>.</w:t>
      </w:r>
    </w:p>
    <w:bookmarkEnd w:id="1"/>
    <w:p w14:paraId="32FB9E7D" w14:textId="77777777" w:rsidR="00267E22" w:rsidRDefault="00267E22" w:rsidP="000F4661">
      <w:pPr>
        <w:rPr>
          <w:rFonts w:ascii="Times New Roman" w:hAnsi="Times New Roman" w:cs="Times New Roman"/>
          <w:b/>
          <w:bCs/>
        </w:rPr>
      </w:pPr>
      <w:r>
        <w:rPr>
          <w:rFonts w:ascii="Times New Roman" w:hAnsi="Times New Roman" w:cs="Times New Roman"/>
          <w:b/>
          <w:bCs/>
        </w:rPr>
        <w:t>Main findings:</w:t>
      </w:r>
    </w:p>
    <w:p w14:paraId="79FBF374" w14:textId="77777777" w:rsidR="00267E22" w:rsidRPr="008A1EEC" w:rsidRDefault="00267E22" w:rsidP="000F4661">
      <w:r>
        <w:t>Attached microbial communities take ~100 days to develop when a substrate is exposed to a contaminant plume in both field and laboratory microcosm experiments. The attached and planktonic communities differ markedly, with community structure driven by a combination of deterministic and stochastic processes, with networks of microbes showing strong preference for attached growth.</w:t>
      </w:r>
    </w:p>
    <w:p w14:paraId="51B7A55F" w14:textId="77777777" w:rsidR="00267E22" w:rsidRDefault="00267E22" w:rsidP="000F4661">
      <w:pPr>
        <w:rPr>
          <w:rFonts w:ascii="Times New Roman" w:hAnsi="Times New Roman" w:cs="Times New Roman"/>
          <w:bCs/>
        </w:rPr>
      </w:pPr>
      <w:r w:rsidRPr="00410D11">
        <w:rPr>
          <w:rFonts w:ascii="Times New Roman" w:hAnsi="Times New Roman" w:cs="Times New Roman"/>
          <w:b/>
          <w:bCs/>
        </w:rPr>
        <w:t xml:space="preserve">Keywords: </w:t>
      </w:r>
      <w:r w:rsidRPr="00410D11">
        <w:rPr>
          <w:rFonts w:ascii="Times New Roman" w:hAnsi="Times New Roman" w:cs="Times New Roman"/>
          <w:bCs/>
        </w:rPr>
        <w:t>attachment, microbial dynamics, community preferences</w:t>
      </w:r>
    </w:p>
    <w:p w14:paraId="0D500DA6" w14:textId="77777777" w:rsidR="00267E22" w:rsidRPr="00410D11" w:rsidRDefault="00267E22" w:rsidP="001656AE">
      <w:pPr>
        <w:spacing w:after="160"/>
        <w:jc w:val="left"/>
        <w:rPr>
          <w:rFonts w:ascii="Times New Roman" w:hAnsi="Times New Roman" w:cs="Times New Roman"/>
          <w:b/>
          <w:bCs/>
        </w:rPr>
      </w:pPr>
      <w:r w:rsidRPr="00410D11">
        <w:rPr>
          <w:rFonts w:ascii="Times New Roman" w:hAnsi="Times New Roman" w:cs="Times New Roman"/>
          <w:b/>
          <w:bCs/>
        </w:rPr>
        <w:br w:type="page"/>
      </w:r>
    </w:p>
    <w:p w14:paraId="53284E81"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lastRenderedPageBreak/>
        <w:t>Introduction</w:t>
      </w:r>
    </w:p>
    <w:p w14:paraId="4C58835A" w14:textId="77777777" w:rsidR="00267E22" w:rsidRPr="00410D11" w:rsidRDefault="00267E22" w:rsidP="001656AE">
      <w:pPr>
        <w:rPr>
          <w:rFonts w:ascii="Times New Roman" w:hAnsi="Times New Roman" w:cs="Times New Roman"/>
          <w:szCs w:val="20"/>
        </w:rPr>
      </w:pPr>
      <w:r w:rsidRPr="00410D11">
        <w:rPr>
          <w:rFonts w:ascii="Times New Roman" w:hAnsi="Times New Roman" w:cs="Times New Roman"/>
        </w:rPr>
        <w:t xml:space="preserve">Groundwater contamination represents a major threat to the environment and human health </w:t>
      </w:r>
      <w:r>
        <w:rPr>
          <w:rFonts w:ascii="Times New Roman" w:hAnsi="Times New Roman" w:cs="Times New Roman"/>
          <w:noProof/>
        </w:rPr>
        <w:t>(Schwarzenbach et al., 2010)</w:t>
      </w:r>
      <w:r w:rsidRPr="00410D11">
        <w:rPr>
          <w:rFonts w:ascii="Times New Roman" w:hAnsi="Times New Roman" w:cs="Times New Roman"/>
        </w:rPr>
        <w:t xml:space="preserve"> and its remediation requires large economic and technical investments </w:t>
      </w:r>
      <w:r>
        <w:rPr>
          <w:rFonts w:ascii="Times New Roman" w:hAnsi="Times New Roman" w:cs="Times New Roman"/>
          <w:noProof/>
        </w:rPr>
        <w:t>(Wilson et al., 2007)</w:t>
      </w:r>
      <w:r w:rsidRPr="00410D11">
        <w:rPr>
          <w:rFonts w:ascii="Times New Roman" w:hAnsi="Times New Roman" w:cs="Times New Roman"/>
        </w:rPr>
        <w:t xml:space="preserve">. Of the numerous remediation techniques available, Monitored Natural Attenuation (MNA) has emerged as a cost effective, risk-based strategy to manage groundwater contaminated with petroleum hydrocarbons, chlorinated </w:t>
      </w:r>
      <w:proofErr w:type="gramStart"/>
      <w:r w:rsidRPr="00410D11">
        <w:rPr>
          <w:rFonts w:ascii="Times New Roman" w:hAnsi="Times New Roman" w:cs="Times New Roman"/>
        </w:rPr>
        <w:t>solvents</w:t>
      </w:r>
      <w:proofErr w:type="gramEnd"/>
      <w:r w:rsidRPr="00410D11">
        <w:rPr>
          <w:rFonts w:ascii="Times New Roman" w:hAnsi="Times New Roman" w:cs="Times New Roman"/>
        </w:rPr>
        <w:t xml:space="preserve"> and aromatic compounds </w:t>
      </w:r>
      <w:r>
        <w:rPr>
          <w:rFonts w:ascii="Times New Roman" w:hAnsi="Times New Roman" w:cs="Times New Roman"/>
          <w:noProof/>
        </w:rPr>
        <w:t>(McGuire et al., 2004; Rivett and Thornton, 2008; Thornton et al., 2001a)</w:t>
      </w:r>
      <w:r w:rsidRPr="00410D11">
        <w:rPr>
          <w:rFonts w:ascii="Times New Roman" w:hAnsi="Times New Roman" w:cs="Times New Roman"/>
        </w:rPr>
        <w:t xml:space="preserve">. MNA relies on an understanding of the physical, </w:t>
      </w:r>
      <w:proofErr w:type="gramStart"/>
      <w:r w:rsidRPr="00410D11">
        <w:rPr>
          <w:rFonts w:ascii="Times New Roman" w:hAnsi="Times New Roman" w:cs="Times New Roman"/>
        </w:rPr>
        <w:t>chemical</w:t>
      </w:r>
      <w:proofErr w:type="gramEnd"/>
      <w:r w:rsidRPr="00410D11">
        <w:rPr>
          <w:rFonts w:ascii="Times New Roman" w:hAnsi="Times New Roman" w:cs="Times New Roman"/>
        </w:rPr>
        <w:t xml:space="preserve"> and biological processes that reduce the toxicity, mobility and concentration of contaminants </w:t>
      </w:r>
      <w:r>
        <w:rPr>
          <w:rFonts w:ascii="Times New Roman" w:hAnsi="Times New Roman" w:cs="Times New Roman"/>
          <w:noProof/>
        </w:rPr>
        <w:t>(Carey et al., 2000)</w:t>
      </w:r>
      <w:r w:rsidRPr="00410D11">
        <w:rPr>
          <w:rFonts w:ascii="Times New Roman" w:hAnsi="Times New Roman" w:cs="Times New Roman"/>
        </w:rPr>
        <w:t>. Of these processes, only biodegradation can reduce the pollutant mass. In contaminated aquifers, biodegradation is naturally enhanced at the chemical interface between the background groundwater and the contaminant plume, known as the</w:t>
      </w:r>
      <w:r w:rsidRPr="00410D11">
        <w:rPr>
          <w:rFonts w:ascii="Times New Roman" w:hAnsi="Times New Roman" w:cs="Times New Roman"/>
          <w:i/>
        </w:rPr>
        <w:t xml:space="preserve"> plume fringe</w:t>
      </w:r>
      <w:r w:rsidRPr="00410D11">
        <w:rPr>
          <w:rFonts w:ascii="Times New Roman" w:hAnsi="Times New Roman" w:cs="Times New Roman"/>
        </w:rPr>
        <w:t xml:space="preserve">, where cell numbers rise and the </w:t>
      </w:r>
      <w:r w:rsidRPr="00410D11">
        <w:rPr>
          <w:rFonts w:ascii="Times New Roman" w:hAnsi="Times New Roman" w:cs="Times New Roman"/>
          <w:szCs w:val="20"/>
        </w:rPr>
        <w:t xml:space="preserve">activity of microorganisms is high compared to surrounding locations </w:t>
      </w:r>
      <w:r>
        <w:rPr>
          <w:rFonts w:ascii="Times New Roman" w:hAnsi="Times New Roman" w:cs="Times New Roman"/>
          <w:noProof/>
          <w:szCs w:val="20"/>
        </w:rPr>
        <w:t>(Lerner et al., 2000; Pickup et al., 2001; Thornton et al., 2001b; Tuxen et al., 2006a; Tuxen et al., 2006b)</w:t>
      </w:r>
      <w:r w:rsidRPr="00410D11">
        <w:rPr>
          <w:rFonts w:ascii="Times New Roman" w:hAnsi="Times New Roman" w:cs="Times New Roman"/>
          <w:szCs w:val="20"/>
        </w:rPr>
        <w:t xml:space="preserve">. This zone of enhanced microbial activity is supported by dissolved electron acceptors supplied from the background groundwater by dispersion, which mix with electron donors from the core of the </w:t>
      </w:r>
      <w:proofErr w:type="gramStart"/>
      <w:r w:rsidRPr="00410D11">
        <w:rPr>
          <w:rFonts w:ascii="Times New Roman" w:hAnsi="Times New Roman" w:cs="Times New Roman"/>
          <w:szCs w:val="20"/>
        </w:rPr>
        <w:t xml:space="preserve">plume  </w:t>
      </w:r>
      <w:r>
        <w:rPr>
          <w:rFonts w:ascii="Times New Roman" w:hAnsi="Times New Roman" w:cs="Times New Roman"/>
          <w:noProof/>
          <w:szCs w:val="20"/>
        </w:rPr>
        <w:t>(</w:t>
      </w:r>
      <w:proofErr w:type="gramEnd"/>
      <w:r>
        <w:rPr>
          <w:rFonts w:ascii="Times New Roman" w:hAnsi="Times New Roman" w:cs="Times New Roman"/>
          <w:noProof/>
          <w:szCs w:val="20"/>
        </w:rPr>
        <w:t>Rees et al., 2007; Thornton et al., 2001a; Thornton et al., 2001b; Wilson et al., 2004)</w:t>
      </w:r>
    </w:p>
    <w:p w14:paraId="7AB40163" w14:textId="77777777" w:rsidR="00267E22" w:rsidRPr="00410D11" w:rsidRDefault="00267E22" w:rsidP="001656AE">
      <w:pPr>
        <w:pStyle w:val="NoSpacing"/>
        <w:spacing w:line="480" w:lineRule="auto"/>
        <w:jc w:val="both"/>
        <w:rPr>
          <w:rFonts w:ascii="Times New Roman" w:hAnsi="Times New Roman" w:cs="Times New Roman"/>
        </w:rPr>
      </w:pPr>
      <w:r w:rsidRPr="00410D11">
        <w:rPr>
          <w:rFonts w:ascii="Times New Roman" w:hAnsi="Times New Roman" w:cs="Times New Roman"/>
        </w:rPr>
        <w:t xml:space="preserve">The biodegradation activity of a microbial community results from contributions from both planktonic and attached members. Attached and planktonic communities often differ in abundance, </w:t>
      </w:r>
      <w:proofErr w:type="gramStart"/>
      <w:r w:rsidRPr="00410D11">
        <w:rPr>
          <w:rFonts w:ascii="Times New Roman" w:hAnsi="Times New Roman" w:cs="Times New Roman"/>
        </w:rPr>
        <w:t>membership</w:t>
      </w:r>
      <w:proofErr w:type="gramEnd"/>
      <w:r w:rsidRPr="00410D11">
        <w:rPr>
          <w:rFonts w:ascii="Times New Roman" w:hAnsi="Times New Roman" w:cs="Times New Roman"/>
        </w:rPr>
        <w:t xml:space="preserve"> and function. For example, </w:t>
      </w:r>
      <w:proofErr w:type="spellStart"/>
      <w:r w:rsidRPr="00410D11">
        <w:rPr>
          <w:rFonts w:ascii="Times New Roman" w:hAnsi="Times New Roman" w:cs="Times New Roman"/>
        </w:rPr>
        <w:t>Rizoulis</w:t>
      </w:r>
      <w:proofErr w:type="spellEnd"/>
      <w:r w:rsidRPr="00410D11">
        <w:rPr>
          <w:rFonts w:ascii="Times New Roman" w:hAnsi="Times New Roman" w:cs="Times New Roman"/>
        </w:rPr>
        <w:t xml:space="preserve"> </w:t>
      </w:r>
      <w:r w:rsidRPr="00410D11">
        <w:rPr>
          <w:rFonts w:ascii="Times New Roman" w:hAnsi="Times New Roman" w:cs="Times New Roman"/>
          <w:i/>
          <w:iCs/>
        </w:rPr>
        <w:t>et al</w:t>
      </w:r>
      <w:r w:rsidRPr="00410D11">
        <w:rPr>
          <w:rFonts w:ascii="Times New Roman" w:hAnsi="Times New Roman" w:cs="Times New Roman"/>
        </w:rPr>
        <w:t xml:space="preserve"> </w:t>
      </w:r>
      <w:r>
        <w:rPr>
          <w:rFonts w:ascii="Times New Roman" w:hAnsi="Times New Roman" w:cs="Times New Roman"/>
          <w:noProof/>
        </w:rPr>
        <w:t>(Rizoulis et al., 2013)</w:t>
      </w:r>
      <w:r w:rsidRPr="00410D11">
        <w:rPr>
          <w:rFonts w:ascii="Times New Roman" w:hAnsi="Times New Roman" w:cs="Times New Roman"/>
        </w:rPr>
        <w:t xml:space="preserve"> found that the composition of attached and microbial communities differed at 30 metres below ground level (</w:t>
      </w:r>
      <w:proofErr w:type="spellStart"/>
      <w:r w:rsidRPr="00410D11">
        <w:rPr>
          <w:rFonts w:ascii="Times New Roman" w:hAnsi="Times New Roman" w:cs="Times New Roman"/>
        </w:rPr>
        <w:t>mbgl</w:t>
      </w:r>
      <w:proofErr w:type="spellEnd"/>
      <w:r w:rsidRPr="00410D11">
        <w:rPr>
          <w:rFonts w:ascii="Times New Roman" w:hAnsi="Times New Roman" w:cs="Times New Roman"/>
        </w:rPr>
        <w:t xml:space="preserve">) in a phenol-contaminated aquifer. In a creosote-contaminated sandy aquifer, the majority of microbes were bound to particles </w:t>
      </w:r>
      <w:r>
        <w:rPr>
          <w:rFonts w:ascii="Times New Roman" w:hAnsi="Times New Roman" w:cs="Times New Roman"/>
          <w:noProof/>
        </w:rPr>
        <w:t>(Godsy et al., 1992)</w:t>
      </w:r>
      <w:r w:rsidRPr="00410D11">
        <w:rPr>
          <w:rFonts w:ascii="Times New Roman" w:hAnsi="Times New Roman" w:cs="Times New Roman"/>
        </w:rPr>
        <w:t xml:space="preserve"> with </w:t>
      </w:r>
      <w:proofErr w:type="spellStart"/>
      <w:r w:rsidRPr="00410D11">
        <w:rPr>
          <w:rFonts w:ascii="Times New Roman" w:hAnsi="Times New Roman" w:cs="Times New Roman"/>
        </w:rPr>
        <w:t>denitrifiers</w:t>
      </w:r>
      <w:proofErr w:type="spellEnd"/>
      <w:r w:rsidRPr="00410D11">
        <w:rPr>
          <w:rFonts w:ascii="Times New Roman" w:hAnsi="Times New Roman" w:cs="Times New Roman"/>
        </w:rPr>
        <w:t xml:space="preserve"> showing a strong preference for attachment (84-97%). In pristine aquifers, archaeal communities were found to be predominantly planktonic </w:t>
      </w:r>
      <w:r>
        <w:rPr>
          <w:rFonts w:ascii="Times New Roman" w:hAnsi="Times New Roman" w:cs="Times New Roman"/>
          <w:noProof/>
        </w:rPr>
        <w:t>(Flynn et al., 2013; Gregory et al., 2014)</w:t>
      </w:r>
      <w:r w:rsidRPr="00410D11">
        <w:rPr>
          <w:rFonts w:ascii="Times New Roman" w:hAnsi="Times New Roman" w:cs="Times New Roman"/>
        </w:rPr>
        <w:t xml:space="preserve">. Despite their acknowledged importance, the role of attached microbial communities that develop on aquifer substrata is poorly understood </w:t>
      </w:r>
      <w:r>
        <w:rPr>
          <w:rFonts w:ascii="Times New Roman" w:hAnsi="Times New Roman" w:cs="Times New Roman"/>
          <w:noProof/>
        </w:rPr>
        <w:t>(Gregory et al., 2014; Griebler et al., 2002)</w:t>
      </w:r>
      <w:r w:rsidRPr="00410D11">
        <w:rPr>
          <w:rFonts w:ascii="Times New Roman" w:hAnsi="Times New Roman" w:cs="Times New Roman"/>
        </w:rPr>
        <w:t xml:space="preserve">. This lack of knowledge arises from the inherent difficultly in sampling attached communities. Aquifer cores provide access to attached communities but only at a single time point. To overcome these limitations, </w:t>
      </w:r>
      <w:r w:rsidRPr="00410D11">
        <w:rPr>
          <w:rFonts w:ascii="Times New Roman" w:hAnsi="Times New Roman" w:cs="Times New Roman"/>
        </w:rPr>
        <w:lastRenderedPageBreak/>
        <w:t xml:space="preserve">material can be incubated in laboratory microcosms </w:t>
      </w:r>
      <w:r>
        <w:rPr>
          <w:rFonts w:ascii="Times New Roman" w:hAnsi="Times New Roman" w:cs="Times New Roman"/>
          <w:noProof/>
        </w:rPr>
        <w:t>(Elliott et al., 2010; Rivett and Thornton, 2008; Tuxen et al., 2006a)</w:t>
      </w:r>
      <w:r w:rsidRPr="00410D11">
        <w:rPr>
          <w:rFonts w:ascii="Times New Roman" w:hAnsi="Times New Roman" w:cs="Times New Roman"/>
        </w:rPr>
        <w:t xml:space="preserve"> or sterile substrates can be incubated </w:t>
      </w:r>
      <w:r w:rsidRPr="00410D11">
        <w:rPr>
          <w:rFonts w:ascii="Times New Roman" w:hAnsi="Times New Roman" w:cs="Times New Roman"/>
          <w:i/>
          <w:iCs/>
        </w:rPr>
        <w:t xml:space="preserve">in situ </w:t>
      </w:r>
      <w:r>
        <w:rPr>
          <w:rFonts w:ascii="Times New Roman" w:hAnsi="Times New Roman" w:cs="Times New Roman"/>
          <w:iCs/>
          <w:noProof/>
        </w:rPr>
        <w:t>(Converse et al., 2015; Silver et al., 2010)</w:t>
      </w:r>
      <w:r w:rsidRPr="00410D11">
        <w:rPr>
          <w:rFonts w:ascii="Times New Roman" w:hAnsi="Times New Roman" w:cs="Times New Roman"/>
          <w:i/>
          <w:iCs/>
        </w:rPr>
        <w:t xml:space="preserve"> </w:t>
      </w:r>
      <w:r w:rsidRPr="00410D11">
        <w:rPr>
          <w:rFonts w:ascii="Times New Roman" w:hAnsi="Times New Roman" w:cs="Times New Roman"/>
        </w:rPr>
        <w:t xml:space="preserve">to allow attached communities to develop. These two approaches complement each other, but there have been few systematic, long-duration studies of the time required for attached communities to develop, the changes in microbial composition that occur during this time and comparisons of field and microcosm samples in contaminated aquifers. Developing this understanding is important in contaminated aquifers, given the key role of biodegradation processes in reducing the environmental risk of pollutant releases to groundwater.   </w:t>
      </w:r>
    </w:p>
    <w:p w14:paraId="66A6302B" w14:textId="77777777" w:rsidR="00267E22" w:rsidRPr="00410D11" w:rsidRDefault="00267E22" w:rsidP="001656AE">
      <w:pPr>
        <w:pStyle w:val="NoSpacing"/>
        <w:spacing w:line="480" w:lineRule="auto"/>
        <w:jc w:val="both"/>
        <w:rPr>
          <w:rFonts w:ascii="Times New Roman" w:hAnsi="Times New Roman" w:cs="Times New Roman"/>
        </w:rPr>
      </w:pPr>
      <w:r w:rsidRPr="00410D11">
        <w:rPr>
          <w:rFonts w:ascii="Times New Roman" w:hAnsi="Times New Roman" w:cs="Times New Roman"/>
        </w:rPr>
        <w:t xml:space="preserve">Microbial successions during biofilm formation have been described in other environments, from oligotrophic systems such as lakes </w:t>
      </w:r>
      <w:r>
        <w:rPr>
          <w:rFonts w:ascii="Times New Roman" w:hAnsi="Times New Roman" w:cs="Times New Roman"/>
          <w:noProof/>
        </w:rPr>
        <w:t>(Brislawn et al., 2019; Jackson et al., 2001)</w:t>
      </w:r>
      <w:r w:rsidRPr="00410D11">
        <w:rPr>
          <w:rFonts w:ascii="Times New Roman" w:hAnsi="Times New Roman" w:cs="Times New Roman"/>
        </w:rPr>
        <w:t xml:space="preserve">, model water distribution systems </w:t>
      </w:r>
      <w:r>
        <w:rPr>
          <w:rFonts w:ascii="Times New Roman" w:hAnsi="Times New Roman" w:cs="Times New Roman"/>
          <w:noProof/>
        </w:rPr>
        <w:t>(Martiny et al., 2003)</w:t>
      </w:r>
      <w:r w:rsidRPr="00410D11">
        <w:rPr>
          <w:rFonts w:ascii="Times New Roman" w:hAnsi="Times New Roman" w:cs="Times New Roman"/>
        </w:rPr>
        <w:t xml:space="preserve">, substrates exposed by receding glaciers </w:t>
      </w:r>
      <w:r>
        <w:rPr>
          <w:rFonts w:ascii="Times New Roman" w:hAnsi="Times New Roman" w:cs="Times New Roman"/>
          <w:noProof/>
        </w:rPr>
        <w:t>(Zumsteg et al., 2012)</w:t>
      </w:r>
      <w:r w:rsidRPr="00410D11">
        <w:rPr>
          <w:rFonts w:ascii="Times New Roman" w:hAnsi="Times New Roman" w:cs="Times New Roman"/>
        </w:rPr>
        <w:t xml:space="preserve"> and streams </w:t>
      </w:r>
      <w:r>
        <w:rPr>
          <w:rFonts w:ascii="Times New Roman" w:hAnsi="Times New Roman" w:cs="Times New Roman"/>
          <w:noProof/>
        </w:rPr>
        <w:t>(Besemer et al., 2012)</w:t>
      </w:r>
      <w:r w:rsidRPr="00410D11">
        <w:rPr>
          <w:rFonts w:ascii="Times New Roman" w:hAnsi="Times New Roman" w:cs="Times New Roman"/>
        </w:rPr>
        <w:t xml:space="preserve"> to carbon-enriched environments such as greywater </w:t>
      </w:r>
      <w:r>
        <w:rPr>
          <w:rFonts w:ascii="Times New Roman" w:hAnsi="Times New Roman" w:cs="Times New Roman"/>
          <w:noProof/>
        </w:rPr>
        <w:t>(Truu et al., 2019)</w:t>
      </w:r>
      <w:r w:rsidRPr="00410D11">
        <w:rPr>
          <w:rFonts w:ascii="Times New Roman" w:hAnsi="Times New Roman" w:cs="Times New Roman"/>
        </w:rPr>
        <w:t xml:space="preserve">   and waste water distribution systems </w:t>
      </w:r>
      <w:r>
        <w:rPr>
          <w:rFonts w:ascii="Times New Roman" w:hAnsi="Times New Roman" w:cs="Times New Roman"/>
          <w:noProof/>
        </w:rPr>
        <w:t>(Zhang et al., 2019)</w:t>
      </w:r>
      <w:r w:rsidRPr="00410D11">
        <w:rPr>
          <w:rFonts w:ascii="Times New Roman" w:hAnsi="Times New Roman" w:cs="Times New Roman"/>
        </w:rPr>
        <w:t xml:space="preserve">, coal seams </w:t>
      </w:r>
      <w:r>
        <w:rPr>
          <w:rFonts w:ascii="Times New Roman" w:hAnsi="Times New Roman" w:cs="Times New Roman"/>
          <w:noProof/>
        </w:rPr>
        <w:t>(Beckmann et al., 2019; Vick et al., 2019)</w:t>
      </w:r>
      <w:r w:rsidRPr="00410D11">
        <w:rPr>
          <w:rFonts w:ascii="Times New Roman" w:hAnsi="Times New Roman" w:cs="Times New Roman"/>
        </w:rPr>
        <w:t xml:space="preserve"> and bioreactors </w:t>
      </w:r>
      <w:r>
        <w:rPr>
          <w:rFonts w:ascii="Times New Roman" w:hAnsi="Times New Roman" w:cs="Times New Roman"/>
          <w:noProof/>
        </w:rPr>
        <w:t>(Liebana et al., 2019)</w:t>
      </w:r>
      <w:r w:rsidRPr="00410D11">
        <w:rPr>
          <w:rFonts w:ascii="Times New Roman" w:hAnsi="Times New Roman" w:cs="Times New Roman"/>
        </w:rPr>
        <w:t xml:space="preserve">. The time-scales and trajectories of these successions are governed by stochastic and/or deterministic processes that are often highly dependent on the environment </w:t>
      </w:r>
      <w:r>
        <w:rPr>
          <w:rFonts w:ascii="Times New Roman" w:hAnsi="Times New Roman" w:cs="Times New Roman"/>
          <w:noProof/>
        </w:rPr>
        <w:t>(Fierer et al., 2010)</w:t>
      </w:r>
      <w:r w:rsidRPr="00410D11">
        <w:rPr>
          <w:rFonts w:ascii="Times New Roman" w:hAnsi="Times New Roman" w:cs="Times New Roman"/>
        </w:rPr>
        <w:t>.</w:t>
      </w:r>
      <w:r>
        <w:rPr>
          <w:rFonts w:ascii="Times New Roman" w:hAnsi="Times New Roman" w:cs="Times New Roman"/>
        </w:rPr>
        <w:t xml:space="preserve"> Understanding these processes provides insight into the factors that control community assembly </w:t>
      </w:r>
      <w:r>
        <w:rPr>
          <w:rFonts w:ascii="Times New Roman" w:hAnsi="Times New Roman" w:cs="Times New Roman"/>
          <w:noProof/>
        </w:rPr>
        <w:t>(Stegen et al., 2012)</w:t>
      </w:r>
      <w:r>
        <w:rPr>
          <w:rFonts w:ascii="Times New Roman" w:hAnsi="Times New Roman" w:cs="Times New Roman"/>
        </w:rPr>
        <w:t xml:space="preserve">. </w:t>
      </w:r>
      <w:r w:rsidRPr="00410D11">
        <w:rPr>
          <w:rFonts w:ascii="Times New Roman" w:hAnsi="Times New Roman" w:cs="Times New Roman"/>
        </w:rPr>
        <w:t>Interactions between organisms are also important drivers of biofilm community assemblage</w:t>
      </w:r>
      <w:r>
        <w:rPr>
          <w:rFonts w:ascii="Times New Roman" w:hAnsi="Times New Roman" w:cs="Times New Roman"/>
        </w:rPr>
        <w:t xml:space="preserve"> and can be uncovered by network analysis, identifying microbes that co-occur and show a preference for attached growth</w:t>
      </w:r>
      <w:r w:rsidRPr="00410D11">
        <w:rPr>
          <w:rFonts w:ascii="Times New Roman" w:hAnsi="Times New Roman" w:cs="Times New Roman"/>
        </w:rPr>
        <w:t xml:space="preserve">. Biofilm formation is a complex and dynamic multi-stage process. Primary colonizers attach to substrates and produce a variety of extracellular polymeric substances (EPS) that strengthen binding, </w:t>
      </w:r>
      <w:proofErr w:type="gramStart"/>
      <w:r w:rsidRPr="00410D11">
        <w:rPr>
          <w:rFonts w:ascii="Times New Roman" w:hAnsi="Times New Roman" w:cs="Times New Roman"/>
        </w:rPr>
        <w:t>adhesion</w:t>
      </w:r>
      <w:proofErr w:type="gramEnd"/>
      <w:r w:rsidRPr="00410D11">
        <w:rPr>
          <w:rFonts w:ascii="Times New Roman" w:hAnsi="Times New Roman" w:cs="Times New Roman"/>
        </w:rPr>
        <w:t xml:space="preserve"> and cohesion of cells </w:t>
      </w:r>
      <w:r>
        <w:rPr>
          <w:rFonts w:ascii="Times New Roman" w:hAnsi="Times New Roman" w:cs="Times New Roman"/>
          <w:noProof/>
        </w:rPr>
        <w:t>(Costerton et al., 1995; Stoodley et al., 2002; Wingender et al., 1999)</w:t>
      </w:r>
      <w:r w:rsidRPr="00410D11">
        <w:rPr>
          <w:rFonts w:ascii="Times New Roman" w:hAnsi="Times New Roman" w:cs="Times New Roman"/>
        </w:rPr>
        <w:t xml:space="preserve">. These early colonisers can proliferate </w:t>
      </w:r>
      <w:r w:rsidRPr="00410D11">
        <w:rPr>
          <w:rFonts w:ascii="Times New Roman" w:hAnsi="Times New Roman" w:cs="Times New Roman"/>
          <w:i/>
        </w:rPr>
        <w:t xml:space="preserve">in situ </w:t>
      </w:r>
      <w:r w:rsidRPr="00410D11">
        <w:rPr>
          <w:rFonts w:ascii="Times New Roman" w:hAnsi="Times New Roman" w:cs="Times New Roman"/>
        </w:rPr>
        <w:t>but also facilitate the attachment of late colonizers by co-adhesion. The resulting cell aggregates form micro-colonies eventually leading to the development of multi-species biofilm</w:t>
      </w:r>
      <w:r>
        <w:rPr>
          <w:rFonts w:ascii="Times New Roman" w:hAnsi="Times New Roman" w:cs="Times New Roman"/>
        </w:rPr>
        <w:t>s</w:t>
      </w:r>
      <w:r w:rsidRPr="00410D11">
        <w:rPr>
          <w:rFonts w:ascii="Times New Roman" w:hAnsi="Times New Roman" w:cs="Times New Roman"/>
        </w:rPr>
        <w:t xml:space="preserve"> in which diverse physical and metabolic interactions can occur </w:t>
      </w:r>
      <w:r>
        <w:rPr>
          <w:rFonts w:ascii="Times New Roman" w:hAnsi="Times New Roman" w:cs="Times New Roman"/>
          <w:noProof/>
        </w:rPr>
        <w:t>(Hall-Stoodley et al., 2004; Rickard et al., 2003)</w:t>
      </w:r>
      <w:r w:rsidRPr="00410D11">
        <w:rPr>
          <w:rFonts w:ascii="Times New Roman" w:hAnsi="Times New Roman" w:cs="Times New Roman"/>
        </w:rPr>
        <w:t>.</w:t>
      </w:r>
    </w:p>
    <w:p w14:paraId="1092CF8B" w14:textId="77777777" w:rsidR="00267E22" w:rsidRPr="00410D11" w:rsidRDefault="00267E22" w:rsidP="001656AE">
      <w:pPr>
        <w:pStyle w:val="NoSpacing"/>
        <w:spacing w:line="480" w:lineRule="auto"/>
        <w:jc w:val="both"/>
        <w:rPr>
          <w:rFonts w:ascii="Times New Roman" w:hAnsi="Times New Roman" w:cs="Times New Roman"/>
        </w:rPr>
      </w:pPr>
      <w:r w:rsidRPr="00410D11">
        <w:rPr>
          <w:rFonts w:ascii="Times New Roman" w:hAnsi="Times New Roman" w:cs="Times New Roman"/>
        </w:rPr>
        <w:t xml:space="preserve">Cell numbers in uncontaminated aquifers are typically very low, reflecting the oligotrophic environment. Microbial numbers typically increase </w:t>
      </w:r>
      <w:proofErr w:type="gramStart"/>
      <w:r w:rsidRPr="00410D11">
        <w:rPr>
          <w:rFonts w:ascii="Times New Roman" w:hAnsi="Times New Roman" w:cs="Times New Roman"/>
        </w:rPr>
        <w:t>100-1000 fold</w:t>
      </w:r>
      <w:proofErr w:type="gramEnd"/>
      <w:r w:rsidRPr="00410D11">
        <w:rPr>
          <w:rFonts w:ascii="Times New Roman" w:hAnsi="Times New Roman" w:cs="Times New Roman"/>
        </w:rPr>
        <w:t xml:space="preserve"> at a contaminant plume fringe due to </w:t>
      </w:r>
      <w:r w:rsidRPr="00410D11">
        <w:rPr>
          <w:rFonts w:ascii="Times New Roman" w:hAnsi="Times New Roman" w:cs="Times New Roman"/>
        </w:rPr>
        <w:lastRenderedPageBreak/>
        <w:t xml:space="preserve">the increased availability of carbon and energetically favourable electron acceptors, with a concomitant increase in biodegradation rates </w:t>
      </w:r>
      <w:r>
        <w:rPr>
          <w:rFonts w:ascii="Times New Roman" w:hAnsi="Times New Roman" w:cs="Times New Roman"/>
          <w:noProof/>
        </w:rPr>
        <w:t>(Thornton et al., 2001a; Tuxen et al., 2006a; Tuxen et al., 2006b)</w:t>
      </w:r>
      <w:r w:rsidRPr="00410D11">
        <w:rPr>
          <w:rFonts w:ascii="Times New Roman" w:hAnsi="Times New Roman" w:cs="Times New Roman"/>
        </w:rPr>
        <w:t>. As plumes advance, previously uncontaminated aquifer substrate encounters the mobile aqueous phase, but the sequence and timing of microbial development on the substratum in response to these incursions is poorly understood. Given the relative importance of the attached and planktonic microbial communities in biodegradation, understanding these processes is vital for parameterising models that underpin MNA implementation and, more generally, understanding the microbial ecology of natural environments.</w:t>
      </w:r>
    </w:p>
    <w:p w14:paraId="6B30CCE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The aim of this study was to examine how attached microbial communities developed at the anaerobic fringe of a plume of phenolic compounds in a sandstone aquifer </w:t>
      </w:r>
      <w:r>
        <w:rPr>
          <w:rFonts w:ascii="Times New Roman" w:hAnsi="Times New Roman" w:cs="Times New Roman"/>
          <w:noProof/>
        </w:rPr>
        <w:t>(Lerner et al., 2000; Thornton et al., 2001b)</w:t>
      </w:r>
      <w:r w:rsidRPr="00410D11">
        <w:rPr>
          <w:rFonts w:ascii="Times New Roman" w:hAnsi="Times New Roman" w:cs="Times New Roman"/>
        </w:rPr>
        <w:t>. This plume is migrating slowly (1-10 m year</w:t>
      </w:r>
      <w:r w:rsidRPr="00410D11">
        <w:rPr>
          <w:rFonts w:ascii="Times New Roman" w:hAnsi="Times New Roman" w:cs="Times New Roman"/>
          <w:vertAlign w:val="superscript"/>
        </w:rPr>
        <w:t>-1</w:t>
      </w:r>
      <w:r w:rsidRPr="00410D11">
        <w:rPr>
          <w:rFonts w:ascii="Times New Roman" w:hAnsi="Times New Roman" w:cs="Times New Roman"/>
        </w:rPr>
        <w:t xml:space="preserve">) and biodegradation is also slow, with only 4% of the original contaminant input consumed over 47 years </w:t>
      </w:r>
      <w:r>
        <w:rPr>
          <w:rFonts w:ascii="Times New Roman" w:hAnsi="Times New Roman" w:cs="Times New Roman"/>
          <w:noProof/>
        </w:rPr>
        <w:t>(Thornton et al., 2001a)</w:t>
      </w:r>
      <w:r w:rsidRPr="00410D11">
        <w:rPr>
          <w:rFonts w:ascii="Times New Roman" w:hAnsi="Times New Roman" w:cs="Times New Roman"/>
        </w:rPr>
        <w:t>. At the plume fringe cell numbers increase</w:t>
      </w:r>
      <w:r>
        <w:rPr>
          <w:rFonts w:ascii="Times New Roman" w:hAnsi="Times New Roman" w:cs="Times New Roman"/>
        </w:rPr>
        <w:t>d</w:t>
      </w:r>
      <w:r w:rsidRPr="00410D11">
        <w:rPr>
          <w:rFonts w:ascii="Times New Roman" w:hAnsi="Times New Roman" w:cs="Times New Roman"/>
        </w:rPr>
        <w:t xml:space="preserve"> by several orders of magnitude and conditions quickly become anaerobic as oxygen in the groundwater </w:t>
      </w:r>
      <w:r>
        <w:rPr>
          <w:rFonts w:ascii="Times New Roman" w:hAnsi="Times New Roman" w:cs="Times New Roman"/>
        </w:rPr>
        <w:t>wa</w:t>
      </w:r>
      <w:r w:rsidRPr="00410D11">
        <w:rPr>
          <w:rFonts w:ascii="Times New Roman" w:hAnsi="Times New Roman" w:cs="Times New Roman"/>
        </w:rPr>
        <w:t xml:space="preserve">s consumed by respiration </w:t>
      </w:r>
      <w:r>
        <w:rPr>
          <w:rFonts w:ascii="Times New Roman" w:hAnsi="Times New Roman" w:cs="Times New Roman"/>
          <w:noProof/>
        </w:rPr>
        <w:t>(Pickup et al., 2001; Thornton et al., 2001b)</w:t>
      </w:r>
      <w:r w:rsidRPr="00410D11">
        <w:rPr>
          <w:rFonts w:ascii="Times New Roman" w:hAnsi="Times New Roman" w:cs="Times New Roman"/>
        </w:rPr>
        <w:t xml:space="preserve">. We incubated substratum (of the same mineralogy as the aquifer) </w:t>
      </w:r>
      <w:r w:rsidRPr="00410D11">
        <w:rPr>
          <w:rFonts w:ascii="Times New Roman" w:hAnsi="Times New Roman" w:cs="Times New Roman"/>
          <w:i/>
        </w:rPr>
        <w:t xml:space="preserve">in situ </w:t>
      </w:r>
      <w:r w:rsidRPr="00410D11">
        <w:rPr>
          <w:rFonts w:ascii="Times New Roman" w:hAnsi="Times New Roman" w:cs="Times New Roman"/>
        </w:rPr>
        <w:t xml:space="preserve">at the plume fringe and concurrently in laboratory microcosms, using groundwater from the plume fringe as inoculum. Measurements were made over an extended period (days-years) allowing us to compare, directly, community development </w:t>
      </w:r>
      <w:r w:rsidRPr="00410D11">
        <w:rPr>
          <w:rFonts w:ascii="Times New Roman" w:hAnsi="Times New Roman" w:cs="Times New Roman"/>
          <w:i/>
          <w:iCs/>
        </w:rPr>
        <w:t xml:space="preserve">in situ </w:t>
      </w:r>
      <w:r w:rsidRPr="00410D11">
        <w:rPr>
          <w:rFonts w:ascii="Times New Roman" w:hAnsi="Times New Roman" w:cs="Times New Roman"/>
        </w:rPr>
        <w:t xml:space="preserve">and in microcosms. Specifically, we wanted to determine how quickly attached communities developed when exposed to a contaminant plume and its associated planktonic microbial community, the relationship between attached and planktonic communities, how community structure changed over time and the mechanisms that controlled these processes. We hypothesized that some microbial groups from the planktonic community would preferentially attach to the substrate, thus dominating early stages of attached communities then, as the biofilm matured, other groups would increase in relative abundance. We also explored the processes that governed community assemblage and identified networks of organisms that developed in attached communities. </w:t>
      </w:r>
    </w:p>
    <w:p w14:paraId="4A30B538"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Results</w:t>
      </w:r>
    </w:p>
    <w:p w14:paraId="49A50B52" w14:textId="77777777" w:rsidR="00267E22" w:rsidRPr="00410D11" w:rsidRDefault="00267E22" w:rsidP="001656AE">
      <w:pPr>
        <w:rPr>
          <w:rFonts w:ascii="Times New Roman" w:hAnsi="Times New Roman" w:cs="Times New Roman"/>
          <w:i/>
        </w:rPr>
      </w:pPr>
      <w:r w:rsidRPr="00410D11">
        <w:rPr>
          <w:rFonts w:ascii="Times New Roman" w:hAnsi="Times New Roman" w:cs="Times New Roman"/>
        </w:rPr>
        <w:lastRenderedPageBreak/>
        <w:t xml:space="preserve">Groundwater was sampled at the fringe (30 metres below ground level - </w:t>
      </w:r>
      <w:proofErr w:type="spellStart"/>
      <w:r w:rsidRPr="00410D11">
        <w:rPr>
          <w:rFonts w:ascii="Times New Roman" w:hAnsi="Times New Roman" w:cs="Times New Roman"/>
        </w:rPr>
        <w:t>mbgl</w:t>
      </w:r>
      <w:proofErr w:type="spellEnd"/>
      <w:r w:rsidRPr="00410D11">
        <w:rPr>
          <w:rFonts w:ascii="Times New Roman" w:hAnsi="Times New Roman" w:cs="Times New Roman"/>
        </w:rPr>
        <w:t xml:space="preserve">) of a phenol plume in a sandstone aquifer using a multilevel groundwater sampler (MLS). This region of the plume is contaminated with a mixture of phenolic compounds (phenol, cresols, xylenols) and represents the most active area of biodegradation </w:t>
      </w:r>
      <w:r>
        <w:rPr>
          <w:rFonts w:ascii="Times New Roman" w:hAnsi="Times New Roman" w:cs="Times New Roman"/>
          <w:noProof/>
        </w:rPr>
        <w:t>(Thornton et al., 2001b)</w:t>
      </w:r>
      <w:r w:rsidRPr="00410D11">
        <w:rPr>
          <w:rFonts w:ascii="Times New Roman" w:hAnsi="Times New Roman" w:cs="Times New Roman"/>
        </w:rPr>
        <w:t>. Large numbers of planktonic cells are present (10</w:t>
      </w:r>
      <w:r w:rsidRPr="00410D11">
        <w:rPr>
          <w:rFonts w:ascii="Times New Roman" w:hAnsi="Times New Roman" w:cs="Times New Roman"/>
          <w:vertAlign w:val="superscript"/>
        </w:rPr>
        <w:t xml:space="preserve">10 </w:t>
      </w:r>
      <w:r w:rsidRPr="00410D11">
        <w:rPr>
          <w:rFonts w:ascii="Times New Roman" w:hAnsi="Times New Roman" w:cs="Times New Roman"/>
        </w:rPr>
        <w:t>planktonic</w:t>
      </w:r>
      <w:r w:rsidRPr="00410D11">
        <w:rPr>
          <w:rFonts w:ascii="Times New Roman" w:hAnsi="Times New Roman" w:cs="Times New Roman"/>
          <w:vertAlign w:val="superscript"/>
        </w:rPr>
        <w:t xml:space="preserve"> </w:t>
      </w:r>
      <w:r w:rsidRPr="00410D11">
        <w:rPr>
          <w:rFonts w:ascii="Times New Roman" w:hAnsi="Times New Roman" w:cs="Times New Roman"/>
        </w:rPr>
        <w:t>cells L</w:t>
      </w:r>
      <w:r w:rsidRPr="00410D11">
        <w:rPr>
          <w:rFonts w:ascii="Times New Roman" w:hAnsi="Times New Roman" w:cs="Times New Roman"/>
          <w:vertAlign w:val="superscript"/>
        </w:rPr>
        <w:t>-1</w:t>
      </w:r>
      <w:r w:rsidRPr="00410D11">
        <w:rPr>
          <w:rFonts w:ascii="Times New Roman" w:hAnsi="Times New Roman" w:cs="Times New Roman"/>
        </w:rPr>
        <w:t xml:space="preserve">) compared to the surrounding uncontaminated groundwater where cell numbers are ~1000-fold lower </w:t>
      </w:r>
      <w:r>
        <w:rPr>
          <w:rFonts w:ascii="Times New Roman" w:hAnsi="Times New Roman" w:cs="Times New Roman"/>
          <w:noProof/>
        </w:rPr>
        <w:t>(Pickup et al., 2001)</w:t>
      </w:r>
      <w:r w:rsidRPr="00410D11">
        <w:rPr>
          <w:rFonts w:ascii="Times New Roman" w:hAnsi="Times New Roman" w:cs="Times New Roman"/>
        </w:rPr>
        <w:t xml:space="preserve">. This groundwater was used to establish microcosms which contained sterilised sand of the same composition as the aquifer matrix. At the same time, small bags of the sand substratum were introduced into the aquifer (suspended within the 0.5m screen of the MLS used to collect the groundwater). Groundwater and </w:t>
      </w:r>
      <w:proofErr w:type="gramStart"/>
      <w:r w:rsidRPr="00410D11">
        <w:rPr>
          <w:rFonts w:ascii="Times New Roman" w:hAnsi="Times New Roman" w:cs="Times New Roman"/>
        </w:rPr>
        <w:t>sand bags</w:t>
      </w:r>
      <w:proofErr w:type="gramEnd"/>
      <w:r w:rsidRPr="00410D11">
        <w:rPr>
          <w:rFonts w:ascii="Times New Roman" w:hAnsi="Times New Roman" w:cs="Times New Roman"/>
        </w:rPr>
        <w:t xml:space="preserve"> were then collected from the field site, and </w:t>
      </w:r>
      <w:r>
        <w:rPr>
          <w:rFonts w:ascii="Times New Roman" w:hAnsi="Times New Roman" w:cs="Times New Roman"/>
        </w:rPr>
        <w:t xml:space="preserve">aqueous phase </w:t>
      </w:r>
      <w:r w:rsidRPr="00410D11">
        <w:rPr>
          <w:rFonts w:ascii="Times New Roman" w:hAnsi="Times New Roman" w:cs="Times New Roman"/>
        </w:rPr>
        <w:t>and sand were sampled from laboratory microcosms, to determine how attached and planktonic communities developed over the 780 days of the experiment. Sampling was completed at the same time intervals and analysis was destructive, so each sample represented an independent biological replicate.</w:t>
      </w:r>
    </w:p>
    <w:p w14:paraId="5BB02ACB"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Geochemistry and microbial abundance</w:t>
      </w:r>
    </w:p>
    <w:p w14:paraId="10669E1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Selected geochemical measurements of groundwater samples from the field and the aqueous phase of microcosms are shown in Fig. 1. In the field there were marked changes in groundwater chemistry during the experiment (Fig. 1A). At the start of the experiment the phenol concentration was 308 mg L</w:t>
      </w:r>
      <w:r w:rsidRPr="00410D11">
        <w:rPr>
          <w:rFonts w:ascii="Times New Roman" w:hAnsi="Times New Roman" w:cs="Times New Roman"/>
          <w:vertAlign w:val="superscript"/>
        </w:rPr>
        <w:t>-1</w:t>
      </w:r>
      <w:r w:rsidRPr="00410D11">
        <w:rPr>
          <w:rFonts w:ascii="Times New Roman" w:hAnsi="Times New Roman" w:cs="Times New Roman"/>
        </w:rPr>
        <w:t xml:space="preserve">, </w:t>
      </w:r>
      <w:proofErr w:type="spellStart"/>
      <w:proofErr w:type="gramStart"/>
      <w:r w:rsidRPr="00410D11">
        <w:rPr>
          <w:rFonts w:ascii="Times New Roman" w:hAnsi="Times New Roman" w:cs="Times New Roman"/>
        </w:rPr>
        <w:t>m,p</w:t>
      </w:r>
      <w:proofErr w:type="spellEnd"/>
      <w:proofErr w:type="gramEnd"/>
      <w:r w:rsidRPr="00410D11">
        <w:rPr>
          <w:rFonts w:ascii="Times New Roman" w:hAnsi="Times New Roman" w:cs="Times New Roman"/>
        </w:rPr>
        <w:t>-cresols 146 mg L</w:t>
      </w:r>
      <w:r w:rsidRPr="00410D11">
        <w:rPr>
          <w:rFonts w:ascii="Times New Roman" w:hAnsi="Times New Roman" w:cs="Times New Roman"/>
          <w:vertAlign w:val="superscript"/>
        </w:rPr>
        <w:t>-1</w:t>
      </w:r>
      <w:r w:rsidRPr="00410D11">
        <w:rPr>
          <w:rFonts w:ascii="Times New Roman" w:hAnsi="Times New Roman" w:cs="Times New Roman"/>
        </w:rPr>
        <w:t>, o-cresols 12 mg L</w:t>
      </w:r>
      <w:r w:rsidRPr="00410D11">
        <w:rPr>
          <w:rFonts w:ascii="Times New Roman" w:hAnsi="Times New Roman" w:cs="Times New Roman"/>
          <w:vertAlign w:val="superscript"/>
        </w:rPr>
        <w:t xml:space="preserve">-1 </w:t>
      </w:r>
      <w:r w:rsidRPr="00410D11">
        <w:rPr>
          <w:rFonts w:ascii="Times New Roman" w:hAnsi="Times New Roman" w:cs="Times New Roman"/>
        </w:rPr>
        <w:t>and xylenols 67 mg L</w:t>
      </w:r>
      <w:r w:rsidRPr="00410D11">
        <w:rPr>
          <w:rFonts w:ascii="Times New Roman" w:hAnsi="Times New Roman" w:cs="Times New Roman"/>
          <w:vertAlign w:val="superscript"/>
        </w:rPr>
        <w:t>-1</w:t>
      </w:r>
      <w:r w:rsidRPr="00410D11">
        <w:rPr>
          <w:rFonts w:ascii="Times New Roman" w:hAnsi="Times New Roman" w:cs="Times New Roman"/>
        </w:rPr>
        <w:t>. During the first 100 days, the concentrations of these organic compounds varied markedly, decreasing to approximately half the starting concentrations within 7 days and then rising to values approximately double the starting concentrations by 100 days. Concentrations then fell and, by the end of the experiment (780 days), were much lower (~4.0 mg L</w:t>
      </w:r>
      <w:r w:rsidRPr="00410D11">
        <w:rPr>
          <w:rFonts w:ascii="Times New Roman" w:hAnsi="Times New Roman" w:cs="Times New Roman"/>
          <w:vertAlign w:val="superscript"/>
        </w:rPr>
        <w:t>-1</w:t>
      </w:r>
      <w:r w:rsidRPr="00410D11">
        <w:rPr>
          <w:rFonts w:ascii="Times New Roman" w:hAnsi="Times New Roman" w:cs="Times New Roman"/>
        </w:rPr>
        <w:t>). These changes arose from natural variation in the contaminant plume source term and were accompanied by changes in the concentration of soluble electron acceptors. The concentrations of the reduced electron acceptors Fe</w:t>
      </w:r>
      <w:r w:rsidRPr="00410D11">
        <w:rPr>
          <w:rFonts w:ascii="Times New Roman" w:hAnsi="Times New Roman" w:cs="Times New Roman"/>
          <w:vertAlign w:val="superscript"/>
        </w:rPr>
        <w:t>2+</w:t>
      </w:r>
      <w:r w:rsidRPr="00410D11">
        <w:rPr>
          <w:rFonts w:ascii="Times New Roman" w:hAnsi="Times New Roman" w:cs="Times New Roman"/>
        </w:rPr>
        <w:t xml:space="preserve"> and Mn</w:t>
      </w:r>
      <w:r w:rsidRPr="00410D11">
        <w:rPr>
          <w:rFonts w:ascii="Times New Roman" w:hAnsi="Times New Roman" w:cs="Times New Roman"/>
          <w:vertAlign w:val="superscript"/>
        </w:rPr>
        <w:t xml:space="preserve">2+ </w:t>
      </w:r>
      <w:r w:rsidRPr="00410D11">
        <w:rPr>
          <w:rFonts w:ascii="Times New Roman" w:hAnsi="Times New Roman" w:cs="Times New Roman"/>
        </w:rPr>
        <w:t xml:space="preserve">followed the same pattern as the phenolics, indicative of anaerobic respiratory processes deeper within the plume </w:t>
      </w:r>
      <w:r w:rsidRPr="00410D11">
        <w:rPr>
          <w:rFonts w:ascii="Times New Roman" w:hAnsi="Times New Roman" w:cs="Times New Roman"/>
          <w:noProof/>
        </w:rPr>
        <w:t>(9)</w:t>
      </w:r>
      <w:r w:rsidRPr="00410D11">
        <w:rPr>
          <w:rFonts w:ascii="Times New Roman" w:hAnsi="Times New Roman" w:cs="Times New Roman"/>
        </w:rPr>
        <w:t>. The concentration of nitrate showed the opposite pattern, falling from a starting concentration of 30 mg L</w:t>
      </w:r>
      <w:r w:rsidRPr="00410D11">
        <w:rPr>
          <w:rFonts w:ascii="Times New Roman" w:hAnsi="Times New Roman" w:cs="Times New Roman"/>
          <w:vertAlign w:val="superscript"/>
        </w:rPr>
        <w:t xml:space="preserve">-1 </w:t>
      </w:r>
      <w:r w:rsidRPr="00410D11">
        <w:rPr>
          <w:rFonts w:ascii="Times New Roman" w:hAnsi="Times New Roman" w:cs="Times New Roman"/>
        </w:rPr>
        <w:t>to values between 5-10 mg L</w:t>
      </w:r>
      <w:r w:rsidRPr="00410D11">
        <w:rPr>
          <w:rFonts w:ascii="Times New Roman" w:hAnsi="Times New Roman" w:cs="Times New Roman"/>
          <w:vertAlign w:val="superscript"/>
        </w:rPr>
        <w:t>-1</w:t>
      </w:r>
      <w:r w:rsidRPr="00410D11">
        <w:rPr>
          <w:rFonts w:ascii="Times New Roman" w:hAnsi="Times New Roman" w:cs="Times New Roman"/>
        </w:rPr>
        <w:t>. Sulphate remained relatively constant, between 10 and 30 mg L</w:t>
      </w:r>
      <w:r w:rsidRPr="00410D11">
        <w:rPr>
          <w:rFonts w:ascii="Times New Roman" w:hAnsi="Times New Roman" w:cs="Times New Roman"/>
          <w:vertAlign w:val="superscript"/>
        </w:rPr>
        <w:t>-1</w:t>
      </w:r>
      <w:r w:rsidRPr="00410D11">
        <w:rPr>
          <w:rFonts w:ascii="Times New Roman" w:hAnsi="Times New Roman" w:cs="Times New Roman"/>
        </w:rPr>
        <w:t xml:space="preserve">. </w:t>
      </w:r>
    </w:p>
    <w:p w14:paraId="4BCAB05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lastRenderedPageBreak/>
        <w:t>As expected, variation in the geochemistry of the laboratory microcosms was much lower, as source term variation was eliminated</w:t>
      </w:r>
      <w:r>
        <w:rPr>
          <w:rFonts w:ascii="Times New Roman" w:hAnsi="Times New Roman" w:cs="Times New Roman"/>
        </w:rPr>
        <w:t xml:space="preserve"> due to the static nature of these systems</w:t>
      </w:r>
      <w:r w:rsidRPr="00410D11">
        <w:rPr>
          <w:rFonts w:ascii="Times New Roman" w:hAnsi="Times New Roman" w:cs="Times New Roman"/>
        </w:rPr>
        <w:t>. Concentrations of phenol, cresols and xylenols remained relatively constant during the experiment, with &lt;8% consumed, consistent with the slow rates of biodegradation seen at this site. However, limited biodegradation of organic compounds in the live microcosms occurred, as shown by the accumulation of the metabolites 4-hydroxybenzoic acid and 4-hydroxy-3-methyl benzoic acid at concentrations of ~0.1 mg L</w:t>
      </w:r>
      <w:r w:rsidRPr="00410D11">
        <w:rPr>
          <w:rFonts w:ascii="Times New Roman" w:hAnsi="Times New Roman" w:cs="Times New Roman"/>
          <w:vertAlign w:val="superscript"/>
        </w:rPr>
        <w:t xml:space="preserve">-1 </w:t>
      </w:r>
      <w:r w:rsidRPr="00410D11">
        <w:rPr>
          <w:rFonts w:ascii="Times New Roman" w:hAnsi="Times New Roman" w:cs="Times New Roman"/>
        </w:rPr>
        <w:t>after 47 days. These metabolites persisted during the experiment (Fig. S1). There was greater variation in the concentrations of electron acceptors (or their reduced products). Soluble Fe</w:t>
      </w:r>
      <w:r w:rsidRPr="00410D11">
        <w:rPr>
          <w:rFonts w:ascii="Times New Roman" w:hAnsi="Times New Roman" w:cs="Times New Roman"/>
          <w:vertAlign w:val="superscript"/>
        </w:rPr>
        <w:t>2+</w:t>
      </w:r>
      <w:r w:rsidRPr="00410D11">
        <w:rPr>
          <w:rFonts w:ascii="Times New Roman" w:hAnsi="Times New Roman" w:cs="Times New Roman"/>
        </w:rPr>
        <w:t xml:space="preserve"> decreased from 1.3 mg L</w:t>
      </w:r>
      <w:r w:rsidRPr="00410D11">
        <w:rPr>
          <w:rFonts w:ascii="Times New Roman" w:hAnsi="Times New Roman" w:cs="Times New Roman"/>
          <w:vertAlign w:val="superscript"/>
        </w:rPr>
        <w:t>-1</w:t>
      </w:r>
      <w:r w:rsidRPr="00410D11">
        <w:rPr>
          <w:rFonts w:ascii="Times New Roman" w:hAnsi="Times New Roman" w:cs="Times New Roman"/>
        </w:rPr>
        <w:t xml:space="preserve"> to 0.3 mg L</w:t>
      </w:r>
      <w:r w:rsidRPr="00410D11">
        <w:rPr>
          <w:rFonts w:ascii="Times New Roman" w:hAnsi="Times New Roman" w:cs="Times New Roman"/>
          <w:vertAlign w:val="superscript"/>
        </w:rPr>
        <w:t>-1</w:t>
      </w:r>
      <w:r w:rsidRPr="00410D11">
        <w:rPr>
          <w:rFonts w:ascii="Times New Roman" w:hAnsi="Times New Roman" w:cs="Times New Roman"/>
        </w:rPr>
        <w:t xml:space="preserve"> in the live microcosms. Soluble Mn</w:t>
      </w:r>
      <w:r w:rsidRPr="00410D11">
        <w:rPr>
          <w:rFonts w:ascii="Times New Roman" w:hAnsi="Times New Roman" w:cs="Times New Roman"/>
          <w:vertAlign w:val="superscript"/>
        </w:rPr>
        <w:t xml:space="preserve">2+ </w:t>
      </w:r>
      <w:r w:rsidRPr="00410D11">
        <w:rPr>
          <w:rFonts w:ascii="Times New Roman" w:hAnsi="Times New Roman" w:cs="Times New Roman"/>
        </w:rPr>
        <w:t>increased from 0.9 mg L</w:t>
      </w:r>
      <w:r w:rsidRPr="00410D11">
        <w:rPr>
          <w:rFonts w:ascii="Times New Roman" w:hAnsi="Times New Roman" w:cs="Times New Roman"/>
          <w:vertAlign w:val="superscript"/>
        </w:rPr>
        <w:t xml:space="preserve">-1 </w:t>
      </w:r>
      <w:r w:rsidRPr="00410D11">
        <w:rPr>
          <w:rFonts w:ascii="Times New Roman" w:hAnsi="Times New Roman" w:cs="Times New Roman"/>
        </w:rPr>
        <w:t>to 3.5 mg L</w:t>
      </w:r>
      <w:r w:rsidRPr="00410D11">
        <w:rPr>
          <w:rFonts w:ascii="Times New Roman" w:hAnsi="Times New Roman" w:cs="Times New Roman"/>
          <w:vertAlign w:val="superscript"/>
        </w:rPr>
        <w:t>-1</w:t>
      </w:r>
      <w:r w:rsidRPr="00410D11">
        <w:rPr>
          <w:rFonts w:ascii="Times New Roman" w:hAnsi="Times New Roman" w:cs="Times New Roman"/>
        </w:rPr>
        <w:t xml:space="preserve">, </w:t>
      </w:r>
      <w:r>
        <w:rPr>
          <w:rFonts w:ascii="Times New Roman" w:hAnsi="Times New Roman" w:cs="Times New Roman"/>
        </w:rPr>
        <w:t xml:space="preserve">similar changes </w:t>
      </w:r>
      <w:r w:rsidRPr="00410D11">
        <w:rPr>
          <w:rFonts w:ascii="Times New Roman" w:hAnsi="Times New Roman" w:cs="Times New Roman"/>
        </w:rPr>
        <w:t>occurred in both live and abiotic systems, indicating a geochemical interaction between the groundwater and introduced substrate, with differences between the abiotic and biotic samples only evident at later time-points, after 400 and 780 days. The nitrate concentration decreased rapidly from 20.7 mg L</w:t>
      </w:r>
      <w:r w:rsidRPr="00410D11">
        <w:rPr>
          <w:rFonts w:ascii="Times New Roman" w:hAnsi="Times New Roman" w:cs="Times New Roman"/>
          <w:vertAlign w:val="superscript"/>
        </w:rPr>
        <w:t>-1</w:t>
      </w:r>
      <w:r w:rsidRPr="00410D11">
        <w:rPr>
          <w:rFonts w:ascii="Times New Roman" w:hAnsi="Times New Roman" w:cs="Times New Roman"/>
        </w:rPr>
        <w:t xml:space="preserve"> to 0.3 mg L</w:t>
      </w:r>
      <w:r w:rsidRPr="00410D11">
        <w:rPr>
          <w:rFonts w:ascii="Times New Roman" w:hAnsi="Times New Roman" w:cs="Times New Roman"/>
          <w:vertAlign w:val="superscript"/>
        </w:rPr>
        <w:t>-1</w:t>
      </w:r>
      <w:r w:rsidRPr="00410D11">
        <w:rPr>
          <w:rFonts w:ascii="Times New Roman" w:hAnsi="Times New Roman" w:cs="Times New Roman"/>
        </w:rPr>
        <w:t xml:space="preserve"> and continued to decline, likely due to consumption by denitrification. Nitrate could not be measured in the abiotic controls as the sterilizing agent sodium </w:t>
      </w:r>
      <w:proofErr w:type="spellStart"/>
      <w:r w:rsidRPr="00410D11">
        <w:rPr>
          <w:rFonts w:ascii="Times New Roman" w:hAnsi="Times New Roman" w:cs="Times New Roman"/>
        </w:rPr>
        <w:t>azide</w:t>
      </w:r>
      <w:proofErr w:type="spellEnd"/>
      <w:r w:rsidRPr="00410D11">
        <w:rPr>
          <w:rFonts w:ascii="Times New Roman" w:hAnsi="Times New Roman" w:cs="Times New Roman"/>
        </w:rPr>
        <w:t xml:space="preserve"> interfered with the assay. The sulphate concentration remained stable during the experiment. </w:t>
      </w:r>
    </w:p>
    <w:p w14:paraId="39DCD6D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The number of attached and planktonic microbial cells in field and microcosm samples are shown in Fig. 2. In the field, planktonic cell numbers declined from an initial value of 1.8 x 10</w:t>
      </w:r>
      <w:r w:rsidRPr="00410D11">
        <w:rPr>
          <w:rFonts w:ascii="Times New Roman" w:hAnsi="Times New Roman" w:cs="Times New Roman"/>
          <w:vertAlign w:val="superscript"/>
        </w:rPr>
        <w:t>10</w:t>
      </w:r>
      <w:r w:rsidRPr="00410D11">
        <w:rPr>
          <w:rFonts w:ascii="Times New Roman" w:hAnsi="Times New Roman" w:cs="Times New Roman"/>
        </w:rPr>
        <w:t xml:space="preserve"> cells L</w:t>
      </w:r>
      <w:r w:rsidRPr="00410D11">
        <w:rPr>
          <w:rFonts w:ascii="Times New Roman" w:hAnsi="Times New Roman" w:cs="Times New Roman"/>
          <w:vertAlign w:val="superscript"/>
        </w:rPr>
        <w:t>-1</w:t>
      </w:r>
      <w:r w:rsidRPr="00410D11">
        <w:rPr>
          <w:rFonts w:ascii="Times New Roman" w:hAnsi="Times New Roman" w:cs="Times New Roman"/>
        </w:rPr>
        <w:t xml:space="preserve"> to ~ 1 x 10</w:t>
      </w:r>
      <w:r w:rsidRPr="00410D11">
        <w:rPr>
          <w:rFonts w:ascii="Times New Roman" w:hAnsi="Times New Roman" w:cs="Times New Roman"/>
          <w:vertAlign w:val="superscript"/>
        </w:rPr>
        <w:t xml:space="preserve">9 </w:t>
      </w:r>
      <w:r w:rsidRPr="00410D11">
        <w:rPr>
          <w:rFonts w:ascii="Times New Roman" w:hAnsi="Times New Roman" w:cs="Times New Roman"/>
        </w:rPr>
        <w:t>cells L</w:t>
      </w:r>
      <w:r w:rsidRPr="00410D11">
        <w:rPr>
          <w:rFonts w:ascii="Times New Roman" w:hAnsi="Times New Roman" w:cs="Times New Roman"/>
          <w:vertAlign w:val="superscript"/>
        </w:rPr>
        <w:t>-1</w:t>
      </w:r>
      <w:r w:rsidRPr="00410D11">
        <w:rPr>
          <w:rFonts w:ascii="Times New Roman" w:hAnsi="Times New Roman" w:cs="Times New Roman"/>
        </w:rPr>
        <w:t>. Attached cell numbers rose rapidly over the first 100 days. After 1 week ~2 x 10</w:t>
      </w:r>
      <w:r w:rsidRPr="00410D11">
        <w:rPr>
          <w:rFonts w:ascii="Times New Roman" w:hAnsi="Times New Roman" w:cs="Times New Roman"/>
          <w:vertAlign w:val="superscript"/>
        </w:rPr>
        <w:t>7</w:t>
      </w:r>
      <w:r w:rsidRPr="00410D11">
        <w:rPr>
          <w:rFonts w:ascii="Times New Roman" w:hAnsi="Times New Roman" w:cs="Times New Roman"/>
        </w:rPr>
        <w:t xml:space="preserve"> cells L</w:t>
      </w:r>
      <w:r w:rsidRPr="00410D11">
        <w:rPr>
          <w:rFonts w:ascii="Times New Roman" w:hAnsi="Times New Roman" w:cs="Times New Roman"/>
          <w:vertAlign w:val="superscript"/>
        </w:rPr>
        <w:t>-1</w:t>
      </w:r>
      <w:r w:rsidRPr="00410D11">
        <w:rPr>
          <w:rFonts w:ascii="Times New Roman" w:hAnsi="Times New Roman" w:cs="Times New Roman"/>
        </w:rPr>
        <w:t xml:space="preserve"> had attached, increasing to ~2 x 10</w:t>
      </w:r>
      <w:r w:rsidRPr="00410D11">
        <w:rPr>
          <w:rFonts w:ascii="Times New Roman" w:hAnsi="Times New Roman" w:cs="Times New Roman"/>
          <w:vertAlign w:val="superscript"/>
        </w:rPr>
        <w:t xml:space="preserve">9 </w:t>
      </w:r>
      <w:r w:rsidRPr="00410D11">
        <w:rPr>
          <w:rFonts w:ascii="Times New Roman" w:hAnsi="Times New Roman" w:cs="Times New Roman"/>
        </w:rPr>
        <w:t>cells L</w:t>
      </w:r>
      <w:r w:rsidRPr="00410D11">
        <w:rPr>
          <w:rFonts w:ascii="Times New Roman" w:hAnsi="Times New Roman" w:cs="Times New Roman"/>
          <w:vertAlign w:val="superscript"/>
        </w:rPr>
        <w:t>-1</w:t>
      </w:r>
      <w:r w:rsidRPr="00410D11">
        <w:rPr>
          <w:rFonts w:ascii="Times New Roman" w:hAnsi="Times New Roman" w:cs="Times New Roman"/>
        </w:rPr>
        <w:t xml:space="preserve"> by 104 days and increasing slowly thereafter. In microcosms, planktonic cell numbers fell to ~ 7 x 10</w:t>
      </w:r>
      <w:r w:rsidRPr="00410D11">
        <w:rPr>
          <w:rFonts w:ascii="Times New Roman" w:hAnsi="Times New Roman" w:cs="Times New Roman"/>
          <w:vertAlign w:val="superscript"/>
        </w:rPr>
        <w:t xml:space="preserve">8 </w:t>
      </w:r>
      <w:r w:rsidRPr="00410D11">
        <w:rPr>
          <w:rFonts w:ascii="Times New Roman" w:hAnsi="Times New Roman" w:cs="Times New Roman"/>
        </w:rPr>
        <w:t>cells L</w:t>
      </w:r>
      <w:r w:rsidRPr="00410D11">
        <w:rPr>
          <w:rFonts w:ascii="Times New Roman" w:hAnsi="Times New Roman" w:cs="Times New Roman"/>
          <w:vertAlign w:val="superscript"/>
        </w:rPr>
        <w:t>-1</w:t>
      </w:r>
      <w:r w:rsidRPr="00410D11">
        <w:rPr>
          <w:rFonts w:ascii="Times New Roman" w:hAnsi="Times New Roman" w:cs="Times New Roman"/>
        </w:rPr>
        <w:t xml:space="preserve"> but then recovered to ~1 x 10</w:t>
      </w:r>
      <w:r w:rsidRPr="00410D11">
        <w:rPr>
          <w:rFonts w:ascii="Times New Roman" w:hAnsi="Times New Roman" w:cs="Times New Roman"/>
          <w:vertAlign w:val="superscript"/>
        </w:rPr>
        <w:t>10</w:t>
      </w:r>
      <w:r w:rsidRPr="00410D11">
        <w:rPr>
          <w:rFonts w:ascii="Times New Roman" w:hAnsi="Times New Roman" w:cs="Times New Roman"/>
        </w:rPr>
        <w:t xml:space="preserve"> cells L</w:t>
      </w:r>
      <w:r w:rsidRPr="00410D11">
        <w:rPr>
          <w:rFonts w:ascii="Times New Roman" w:hAnsi="Times New Roman" w:cs="Times New Roman"/>
          <w:vertAlign w:val="superscript"/>
        </w:rPr>
        <w:t>-1</w:t>
      </w:r>
      <w:r w:rsidRPr="00410D11">
        <w:rPr>
          <w:rFonts w:ascii="Times New Roman" w:hAnsi="Times New Roman" w:cs="Times New Roman"/>
        </w:rPr>
        <w:t>. Attached cell numbers in microcosms followed a similar pattern to that seen in the field, with numbers rising over the first 100 days to reach ~2 x 10</w:t>
      </w:r>
      <w:r w:rsidRPr="00410D11">
        <w:rPr>
          <w:rFonts w:ascii="Times New Roman" w:hAnsi="Times New Roman" w:cs="Times New Roman"/>
          <w:vertAlign w:val="superscript"/>
        </w:rPr>
        <w:t xml:space="preserve">9 </w:t>
      </w:r>
      <w:r w:rsidRPr="00410D11">
        <w:rPr>
          <w:rFonts w:ascii="Times New Roman" w:hAnsi="Times New Roman" w:cs="Times New Roman"/>
        </w:rPr>
        <w:t>cells L</w:t>
      </w:r>
      <w:r w:rsidRPr="00410D11">
        <w:rPr>
          <w:rFonts w:ascii="Times New Roman" w:hAnsi="Times New Roman" w:cs="Times New Roman"/>
          <w:vertAlign w:val="superscript"/>
        </w:rPr>
        <w:t>-1</w:t>
      </w:r>
      <w:r w:rsidRPr="00410D11">
        <w:rPr>
          <w:rFonts w:ascii="Times New Roman" w:hAnsi="Times New Roman" w:cs="Times New Roman"/>
        </w:rPr>
        <w:t>. Statistical analysis using ANCOVA of log-transformed cell counts showed that in all communities there were significant differences over time. There was no significant difference between field and microcosm attached cell numbers (</w:t>
      </w:r>
      <w:r w:rsidRPr="00410D11">
        <w:rPr>
          <w:rFonts w:ascii="Times New Roman" w:hAnsi="Times New Roman" w:cs="Times New Roman"/>
          <w:i/>
          <w:iCs/>
        </w:rPr>
        <w:t xml:space="preserve">p </w:t>
      </w:r>
      <w:r w:rsidRPr="00410D11">
        <w:rPr>
          <w:rFonts w:ascii="Times New Roman" w:hAnsi="Times New Roman" w:cs="Times New Roman"/>
        </w:rPr>
        <w:t>= 0.99), but planktonic samples differed at later timepoints (</w:t>
      </w:r>
      <w:r w:rsidRPr="00410D11">
        <w:rPr>
          <w:rFonts w:ascii="Times New Roman" w:hAnsi="Times New Roman" w:cs="Times New Roman"/>
          <w:i/>
          <w:iCs/>
        </w:rPr>
        <w:t xml:space="preserve">p </w:t>
      </w:r>
      <w:r w:rsidRPr="00410D11">
        <w:rPr>
          <w:rFonts w:ascii="Times New Roman" w:hAnsi="Times New Roman" w:cs="Times New Roman"/>
        </w:rPr>
        <w:t>=</w:t>
      </w:r>
      <w:r w:rsidRPr="00410D11">
        <w:rPr>
          <w:rFonts w:ascii="Times New Roman" w:hAnsi="Times New Roman" w:cs="Times New Roman"/>
          <w:i/>
          <w:iCs/>
        </w:rPr>
        <w:t xml:space="preserve"> </w:t>
      </w:r>
      <w:r w:rsidRPr="00410D11">
        <w:rPr>
          <w:rFonts w:ascii="Times New Roman" w:hAnsi="Times New Roman" w:cs="Times New Roman"/>
        </w:rPr>
        <w:t>0.</w:t>
      </w:r>
      <w:r>
        <w:rPr>
          <w:rFonts w:ascii="Times New Roman" w:hAnsi="Times New Roman" w:cs="Times New Roman"/>
        </w:rPr>
        <w:t>0</w:t>
      </w:r>
      <w:r w:rsidRPr="00410D11">
        <w:rPr>
          <w:rFonts w:ascii="Times New Roman" w:hAnsi="Times New Roman" w:cs="Times New Roman"/>
        </w:rPr>
        <w:t>125 for the interaction ‘sample x day’). Microscopic analysis of the sediments showed that the attached cells were widely separated and formed only small aggregates (Fig. S</w:t>
      </w:r>
      <w:r>
        <w:rPr>
          <w:rFonts w:ascii="Times New Roman" w:hAnsi="Times New Roman" w:cs="Times New Roman"/>
        </w:rPr>
        <w:t>2</w:t>
      </w:r>
      <w:r w:rsidRPr="00410D11">
        <w:rPr>
          <w:rFonts w:ascii="Times New Roman" w:hAnsi="Times New Roman" w:cs="Times New Roman"/>
        </w:rPr>
        <w:t>).</w:t>
      </w:r>
    </w:p>
    <w:p w14:paraId="682B0E5C"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lastRenderedPageBreak/>
        <w:t xml:space="preserve">Microbial community structure and diversity </w:t>
      </w:r>
    </w:p>
    <w:p w14:paraId="56D2BCD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The structure and diversity of the planktonic and attached microbial communities were assessed by extraction of total DNA followed by amplification and high-throughput sequencing of 16S rRNA genes. A mean of 77,292 sequences per sample were obtained from 69 independent samples (See Table S1 for details). A total of 14,892 Operational Taxonomic Units (OTUs) were identified at 97% sequence similarity. After removing taxa that were poorly represented (less than 30 reads across all samples) and those that did not appear at least 3 times in 20% of the samples, 786 unique OTUs were identified of which 780 were classified as bacteria, and only 6 as Archaea. The composition of the microbial communities was broadly similar at the Class taxonomic level (Fig. 3 A) with major contributions from Proteobacteria (particularly α, β and γ), </w:t>
      </w:r>
      <w:r>
        <w:rPr>
          <w:rFonts w:ascii="Times New Roman" w:hAnsi="Times New Roman" w:cs="Times New Roman"/>
        </w:rPr>
        <w:t xml:space="preserve">Actinobacteria, </w:t>
      </w:r>
      <w:proofErr w:type="spellStart"/>
      <w:r w:rsidRPr="00410D11">
        <w:rPr>
          <w:rFonts w:ascii="Times New Roman" w:hAnsi="Times New Roman" w:cs="Times New Roman"/>
        </w:rPr>
        <w:t>Bacteriodia</w:t>
      </w:r>
      <w:proofErr w:type="spellEnd"/>
      <w:r w:rsidRPr="00410D11">
        <w:rPr>
          <w:rFonts w:ascii="Times New Roman" w:hAnsi="Times New Roman" w:cs="Times New Roman"/>
        </w:rPr>
        <w:t xml:space="preserve">, Bacilli and Clostridia. </w:t>
      </w:r>
    </w:p>
    <w:p w14:paraId="6DA40ACD" w14:textId="77777777" w:rsidR="00267E22" w:rsidRPr="00410D11" w:rsidRDefault="00267E22" w:rsidP="001656AE">
      <w:pPr>
        <w:rPr>
          <w:rFonts w:ascii="Times New Roman" w:hAnsi="Times New Roman" w:cs="Times New Roman"/>
          <w:bCs/>
        </w:rPr>
      </w:pPr>
      <w:r w:rsidRPr="00410D11">
        <w:rPr>
          <w:rFonts w:ascii="Times New Roman" w:hAnsi="Times New Roman" w:cs="Times New Roman"/>
        </w:rPr>
        <w:t xml:space="preserve">Principal components analysis using the phylogenetically-aware </w:t>
      </w:r>
      <w:proofErr w:type="spellStart"/>
      <w:r w:rsidRPr="00410D11">
        <w:rPr>
          <w:rFonts w:ascii="Times New Roman" w:hAnsi="Times New Roman" w:cs="Times New Roman"/>
        </w:rPr>
        <w:t>Unifrac</w:t>
      </w:r>
      <w:proofErr w:type="spellEnd"/>
      <w:r w:rsidRPr="00410D11">
        <w:rPr>
          <w:rFonts w:ascii="Times New Roman" w:hAnsi="Times New Roman" w:cs="Times New Roman"/>
        </w:rPr>
        <w:t xml:space="preserve"> distance measure based on OTU presence/absence (Fig. 3B) showed clear separation of attached and planktonic samples in the field and microcosms.</w:t>
      </w:r>
      <w:r w:rsidRPr="00410D11">
        <w:rPr>
          <w:rFonts w:ascii="Times New Roman" w:hAnsi="Times New Roman" w:cs="Times New Roman"/>
          <w:bCs/>
        </w:rPr>
        <w:t xml:space="preserve"> In an analysis weighted for OTU abundance (Fig. 3C) differences between systems were less evident. Permutational multivariate analysis of variance (PERMANOVA) analysis showed that there was a significant effect of time (p = 0.008) for each community in the field and in microcosms. </w:t>
      </w:r>
    </w:p>
    <w:p w14:paraId="493F543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Richness and Inverse Simpson indices are shown in Fig. 3 D, E. In field samples, the richness of the planktonic community was relatively constant over time whereas the richness of the attached community was initially lower than that of the planktonic community (p = 0.014) and increased over time. In microcosm samples, the richness of attached and planktonic samples was similar (p = 0.903) and remained constant over time. The richness of attached samples was similar between field and microcosm samples, but the richness of planktonic samples was greater in field samples compared to planktonic samples. The Inverse Simpson indices of planktonic samples was relatively constant during the experiment, but marked changes were evident in both field and microcosm attached communities. In both communities the Inverse Simpson index was greatest at the earliest timepoint measured (7 days) </w:t>
      </w:r>
      <w:r w:rsidRPr="00410D11">
        <w:rPr>
          <w:rFonts w:ascii="Times New Roman" w:hAnsi="Times New Roman" w:cs="Times New Roman"/>
        </w:rPr>
        <w:lastRenderedPageBreak/>
        <w:t>and then decreased markedly over the following 40 days. The index then increased again over the following year.</w:t>
      </w:r>
      <w:r w:rsidRPr="00410D11" w:rsidDel="00A311AA">
        <w:rPr>
          <w:rFonts w:ascii="Times New Roman" w:hAnsi="Times New Roman" w:cs="Times New Roman"/>
        </w:rPr>
        <w:t xml:space="preserve"> </w:t>
      </w:r>
    </w:p>
    <w:p w14:paraId="1D8F3BB8"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Differences between attached and planktonic microbial communities.</w:t>
      </w:r>
    </w:p>
    <w:p w14:paraId="1AF2C4F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A generalized linear model implemented in DESeq2 was used to identify microbes in field or microcosm communities that showed a preference for the attached or planktonic phase. Comparisons were made for each time point separately. Of the 786 unique OTUs in the filtered data set, 110 OTUs showed a preference for the attached phase and 267 showed a preference for the planktonic phase. Significant overlap was evident between field and microcosm samples, with 30 OTUs common in the attached communities and 94 in the planktonic communities. </w:t>
      </w:r>
    </w:p>
    <w:p w14:paraId="6E7BA16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Fig. 4 shows the relative abundance of these OTUs grouped by Class. In both field and microcosm samples, </w:t>
      </w:r>
      <w:bookmarkStart w:id="2" w:name="_Hlk53129725"/>
      <w:r w:rsidRPr="00410D11">
        <w:rPr>
          <w:rFonts w:ascii="Times New Roman" w:hAnsi="Times New Roman" w:cs="Times New Roman"/>
        </w:rPr>
        <w:t>members of the α-, β- and γ-Proteobacteria showed preferential attachment</w:t>
      </w:r>
      <w:bookmarkEnd w:id="2"/>
      <w:r w:rsidRPr="00410D11">
        <w:rPr>
          <w:rFonts w:ascii="Times New Roman" w:hAnsi="Times New Roman" w:cs="Times New Roman"/>
        </w:rPr>
        <w:t xml:space="preserve">. The α-Proteobacteria included </w:t>
      </w:r>
      <w:proofErr w:type="spellStart"/>
      <w:r w:rsidRPr="00410D11">
        <w:rPr>
          <w:rFonts w:ascii="Times New Roman" w:hAnsi="Times New Roman" w:cs="Times New Roman"/>
        </w:rPr>
        <w:t>Sphingomonads</w:t>
      </w:r>
      <w:proofErr w:type="spellEnd"/>
      <w:r w:rsidRPr="00410D11">
        <w:rPr>
          <w:rFonts w:ascii="Times New Roman" w:hAnsi="Times New Roman" w:cs="Times New Roman"/>
        </w:rPr>
        <w:t xml:space="preserve"> and </w:t>
      </w:r>
      <w:proofErr w:type="spellStart"/>
      <w:r w:rsidRPr="00410D11">
        <w:rPr>
          <w:rFonts w:ascii="Times New Roman" w:hAnsi="Times New Roman" w:cs="Times New Roman"/>
        </w:rPr>
        <w:t>Methylobacteria</w:t>
      </w:r>
      <w:proofErr w:type="spellEnd"/>
      <w:r w:rsidRPr="00410D11">
        <w:rPr>
          <w:rFonts w:ascii="Times New Roman" w:hAnsi="Times New Roman" w:cs="Times New Roman"/>
        </w:rPr>
        <w:t xml:space="preserve">, the β-Proteobacteria included </w:t>
      </w:r>
      <w:proofErr w:type="spellStart"/>
      <w:r w:rsidRPr="00410D11">
        <w:rPr>
          <w:rFonts w:ascii="Times New Roman" w:hAnsi="Times New Roman" w:cs="Times New Roman"/>
        </w:rPr>
        <w:t>Oxalobacteria</w:t>
      </w:r>
      <w:proofErr w:type="spellEnd"/>
      <w:r w:rsidRPr="00410D11">
        <w:rPr>
          <w:rFonts w:ascii="Times New Roman" w:hAnsi="Times New Roman" w:cs="Times New Roman"/>
        </w:rPr>
        <w:t xml:space="preserve"> and the γ -Proteobacteria included </w:t>
      </w:r>
      <w:proofErr w:type="spellStart"/>
      <w:r w:rsidRPr="00410D11">
        <w:rPr>
          <w:rFonts w:ascii="Times New Roman" w:hAnsi="Times New Roman" w:cs="Times New Roman"/>
        </w:rPr>
        <w:t>Alkanindiges</w:t>
      </w:r>
      <w:proofErr w:type="spellEnd"/>
      <w:r w:rsidRPr="00410D11">
        <w:rPr>
          <w:rFonts w:ascii="Times New Roman" w:hAnsi="Times New Roman" w:cs="Times New Roman"/>
        </w:rPr>
        <w:t xml:space="preserve"> and Pseudomonads. In microcosms members of the Bacilli and Actinobacteria also showed preferential attachment (although the latter were only significant at later time points). </w:t>
      </w:r>
    </w:p>
    <w:p w14:paraId="17ECE76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The preferentially planktonic communities in the field and microcosms included members of the </w:t>
      </w:r>
      <w:bookmarkStart w:id="3" w:name="_Hlk53129750"/>
      <w:proofErr w:type="spellStart"/>
      <w:r w:rsidRPr="00410D11">
        <w:rPr>
          <w:rFonts w:ascii="Times New Roman" w:hAnsi="Times New Roman" w:cs="Times New Roman"/>
        </w:rPr>
        <w:t>Bacteroidia</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Bacteroidales</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sp</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Paludibacter</w:t>
      </w:r>
      <w:proofErr w:type="spellEnd"/>
      <w:r w:rsidRPr="00410D11">
        <w:rPr>
          <w:rFonts w:ascii="Times New Roman" w:hAnsi="Times New Roman" w:cs="Times New Roman"/>
        </w:rPr>
        <w:t xml:space="preserve"> and </w:t>
      </w:r>
      <w:proofErr w:type="spellStart"/>
      <w:r w:rsidRPr="00410D11">
        <w:rPr>
          <w:rFonts w:ascii="Times New Roman" w:hAnsi="Times New Roman" w:cs="Times New Roman"/>
        </w:rPr>
        <w:t>Porphyromonadaceae</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sp</w:t>
      </w:r>
      <w:proofErr w:type="spellEnd"/>
      <w:r w:rsidRPr="00410D11">
        <w:rPr>
          <w:rFonts w:ascii="Times New Roman" w:hAnsi="Times New Roman" w:cs="Times New Roman"/>
        </w:rPr>
        <w:t>), Clostridia (</w:t>
      </w:r>
      <w:proofErr w:type="spellStart"/>
      <w:r w:rsidRPr="00410D11">
        <w:rPr>
          <w:rFonts w:ascii="Times New Roman" w:hAnsi="Times New Roman" w:cs="Times New Roman"/>
        </w:rPr>
        <w:t>Anaerococcus</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Desulfosporosinus</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Sedimentibacter</w:t>
      </w:r>
      <w:proofErr w:type="spellEnd"/>
      <w:r w:rsidRPr="00410D11">
        <w:rPr>
          <w:rFonts w:ascii="Times New Roman" w:hAnsi="Times New Roman" w:cs="Times New Roman"/>
        </w:rPr>
        <w:t xml:space="preserve"> and </w:t>
      </w:r>
      <w:proofErr w:type="spellStart"/>
      <w:r w:rsidRPr="00410D11">
        <w:rPr>
          <w:rFonts w:ascii="Times New Roman" w:hAnsi="Times New Roman" w:cs="Times New Roman"/>
        </w:rPr>
        <w:t>Veillonellaceae</w:t>
      </w:r>
      <w:proofErr w:type="spellEnd"/>
      <w:r w:rsidRPr="00410D11">
        <w:rPr>
          <w:rFonts w:ascii="Times New Roman" w:hAnsi="Times New Roman" w:cs="Times New Roman"/>
        </w:rPr>
        <w:t>) and diverse β-Proteobacteria (</w:t>
      </w:r>
      <w:proofErr w:type="spellStart"/>
      <w:r w:rsidRPr="00410D11">
        <w:rPr>
          <w:rFonts w:ascii="Times New Roman" w:hAnsi="Times New Roman" w:cs="Times New Roman"/>
        </w:rPr>
        <w:t>Azoarcus</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Comamonadaceae</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sp</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Gallionella</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Rhodocyclaceae</w:t>
      </w:r>
      <w:proofErr w:type="spellEnd"/>
      <w:r w:rsidRPr="00410D11">
        <w:rPr>
          <w:rFonts w:ascii="Times New Roman" w:hAnsi="Times New Roman" w:cs="Times New Roman"/>
        </w:rPr>
        <w:t xml:space="preserve"> </w:t>
      </w:r>
      <w:proofErr w:type="spellStart"/>
      <w:proofErr w:type="gramStart"/>
      <w:r w:rsidRPr="00410D11">
        <w:rPr>
          <w:rFonts w:ascii="Times New Roman" w:hAnsi="Times New Roman" w:cs="Times New Roman"/>
        </w:rPr>
        <w:t>sp</w:t>
      </w:r>
      <w:proofErr w:type="spellEnd"/>
      <w:r w:rsidRPr="00410D11">
        <w:rPr>
          <w:rFonts w:ascii="Times New Roman" w:hAnsi="Times New Roman" w:cs="Times New Roman"/>
        </w:rPr>
        <w:t xml:space="preserve"> ,</w:t>
      </w:r>
      <w:proofErr w:type="gramEnd"/>
      <w:r w:rsidRPr="00410D11">
        <w:rPr>
          <w:rFonts w:ascii="Times New Roman" w:hAnsi="Times New Roman" w:cs="Times New Roman"/>
        </w:rPr>
        <w:t xml:space="preserve"> </w:t>
      </w:r>
      <w:proofErr w:type="spellStart"/>
      <w:r w:rsidRPr="00410D11">
        <w:rPr>
          <w:rFonts w:ascii="Times New Roman" w:hAnsi="Times New Roman" w:cs="Times New Roman"/>
        </w:rPr>
        <w:t>Simplicispira</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Sulfuritalea</w:t>
      </w:r>
      <w:proofErr w:type="spellEnd"/>
      <w:r w:rsidRPr="00410D11">
        <w:rPr>
          <w:rFonts w:ascii="Times New Roman" w:hAnsi="Times New Roman" w:cs="Times New Roman"/>
        </w:rPr>
        <w:t>, Thiobacillus). In the field, preferentially planktonic communities also included members of the δ-Proteobacteria (</w:t>
      </w:r>
      <w:proofErr w:type="spellStart"/>
      <w:r w:rsidRPr="00410D11">
        <w:rPr>
          <w:rFonts w:ascii="Times New Roman" w:hAnsi="Times New Roman" w:cs="Times New Roman"/>
        </w:rPr>
        <w:t>Desulfobacteraceae</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sp</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Desulfobulbaceae</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sp</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Desulfovibrio</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Geobacter</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Syntrophorhabdaceae</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sp</w:t>
      </w:r>
      <w:proofErr w:type="spellEnd"/>
      <w:r w:rsidRPr="00410D11">
        <w:rPr>
          <w:rFonts w:ascii="Times New Roman" w:hAnsi="Times New Roman" w:cs="Times New Roman"/>
        </w:rPr>
        <w:t xml:space="preserve">) and </w:t>
      </w:r>
      <w:proofErr w:type="spellStart"/>
      <w:r w:rsidRPr="00410D11">
        <w:rPr>
          <w:rFonts w:ascii="Times New Roman" w:hAnsi="Times New Roman" w:cs="Times New Roman"/>
        </w:rPr>
        <w:t>Synergistia</w:t>
      </w:r>
      <w:proofErr w:type="spellEnd"/>
      <w:r w:rsidRPr="00410D11">
        <w:rPr>
          <w:rFonts w:ascii="Times New Roman" w:hAnsi="Times New Roman" w:cs="Times New Roman"/>
        </w:rPr>
        <w:t>.</w:t>
      </w:r>
    </w:p>
    <w:bookmarkEnd w:id="3"/>
    <w:p w14:paraId="767650B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A network analysis was performed on the microbes that showed preferential attachment in the microcosms (Fig. 5a). Of the 82 OTUs that were preferential </w:t>
      </w:r>
      <w:proofErr w:type="spellStart"/>
      <w:r w:rsidRPr="00410D11">
        <w:rPr>
          <w:rFonts w:ascii="Times New Roman" w:hAnsi="Times New Roman" w:cs="Times New Roman"/>
        </w:rPr>
        <w:t>attachers</w:t>
      </w:r>
      <w:proofErr w:type="spellEnd"/>
      <w:r w:rsidRPr="00410D11">
        <w:rPr>
          <w:rFonts w:ascii="Times New Roman" w:hAnsi="Times New Roman" w:cs="Times New Roman"/>
        </w:rPr>
        <w:t xml:space="preserve">, 61 were members of the network and formed 10 submodules. The largest submodule (I) contained 11 members, including </w:t>
      </w:r>
      <w:proofErr w:type="spellStart"/>
      <w:r w:rsidRPr="00410D11">
        <w:rPr>
          <w:rFonts w:ascii="Times New Roman" w:hAnsi="Times New Roman" w:cs="Times New Roman"/>
        </w:rPr>
        <w:t>Moraxellaceae</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i/>
          <w:iCs/>
        </w:rPr>
        <w:t>Alkanindiges</w:t>
      </w:r>
      <w:proofErr w:type="spellEnd"/>
      <w:r w:rsidRPr="00410D11">
        <w:rPr>
          <w:rFonts w:ascii="Times New Roman" w:hAnsi="Times New Roman" w:cs="Times New Roman"/>
          <w:i/>
          <w:iCs/>
        </w:rPr>
        <w:t xml:space="preserve"> </w:t>
      </w:r>
      <w:proofErr w:type="spellStart"/>
      <w:r w:rsidRPr="00410D11">
        <w:rPr>
          <w:rFonts w:ascii="Times New Roman" w:hAnsi="Times New Roman" w:cs="Times New Roman"/>
          <w:i/>
          <w:iCs/>
        </w:rPr>
        <w:t>spp</w:t>
      </w:r>
      <w:proofErr w:type="spellEnd"/>
      <w:r w:rsidRPr="00410D11">
        <w:rPr>
          <w:rFonts w:ascii="Times New Roman" w:hAnsi="Times New Roman" w:cs="Times New Roman"/>
        </w:rPr>
        <w:t xml:space="preserve">) and </w:t>
      </w:r>
      <w:proofErr w:type="spellStart"/>
      <w:r w:rsidRPr="00410D11">
        <w:rPr>
          <w:rFonts w:ascii="Times New Roman" w:hAnsi="Times New Roman" w:cs="Times New Roman"/>
        </w:rPr>
        <w:t>Oxalobacteraceae</w:t>
      </w:r>
      <w:proofErr w:type="spellEnd"/>
      <w:r w:rsidRPr="00410D11">
        <w:rPr>
          <w:rFonts w:ascii="Times New Roman" w:hAnsi="Times New Roman" w:cs="Times New Roman"/>
        </w:rPr>
        <w:t xml:space="preserve">. Other large submodules were (II) including </w:t>
      </w:r>
      <w:proofErr w:type="spellStart"/>
      <w:r w:rsidRPr="00410D11">
        <w:rPr>
          <w:rFonts w:ascii="Times New Roman" w:hAnsi="Times New Roman" w:cs="Times New Roman"/>
        </w:rPr>
        <w:lastRenderedPageBreak/>
        <w:t>Rhodospirillaceae</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i/>
          <w:iCs/>
        </w:rPr>
        <w:t>Magnetospirillum</w:t>
      </w:r>
      <w:proofErr w:type="spellEnd"/>
      <w:r w:rsidRPr="00410D11">
        <w:rPr>
          <w:rFonts w:ascii="Times New Roman" w:hAnsi="Times New Roman" w:cs="Times New Roman"/>
          <w:i/>
          <w:iCs/>
        </w:rPr>
        <w:t xml:space="preserve"> spp.</w:t>
      </w:r>
      <w:r w:rsidRPr="00410D11">
        <w:rPr>
          <w:rFonts w:ascii="Times New Roman" w:hAnsi="Times New Roman" w:cs="Times New Roman"/>
        </w:rPr>
        <w:t xml:space="preserve">) (III) including </w:t>
      </w:r>
      <w:proofErr w:type="spellStart"/>
      <w:r w:rsidRPr="00410D11">
        <w:rPr>
          <w:rFonts w:ascii="Times New Roman" w:hAnsi="Times New Roman" w:cs="Times New Roman"/>
          <w:i/>
          <w:iCs/>
        </w:rPr>
        <w:t>Corynebacteriaceae</w:t>
      </w:r>
      <w:proofErr w:type="spellEnd"/>
      <w:r w:rsidRPr="00410D11">
        <w:rPr>
          <w:rFonts w:ascii="Times New Roman" w:hAnsi="Times New Roman" w:cs="Times New Roman"/>
          <w:i/>
          <w:iCs/>
        </w:rPr>
        <w:t xml:space="preserve"> </w:t>
      </w:r>
      <w:r w:rsidRPr="00410D11">
        <w:rPr>
          <w:rFonts w:ascii="Times New Roman" w:hAnsi="Times New Roman" w:cs="Times New Roman"/>
        </w:rPr>
        <w:t xml:space="preserve">(IV) including </w:t>
      </w:r>
      <w:r w:rsidRPr="00410D11">
        <w:rPr>
          <w:rFonts w:ascii="Times New Roman" w:hAnsi="Times New Roman" w:cs="Times New Roman"/>
          <w:i/>
          <w:iCs/>
        </w:rPr>
        <w:t>Pseudomonadaceae</w:t>
      </w:r>
      <w:r w:rsidRPr="00410D11">
        <w:rPr>
          <w:rFonts w:ascii="Times New Roman" w:hAnsi="Times New Roman" w:cs="Times New Roman"/>
        </w:rPr>
        <w:t xml:space="preserve"> (XIII) including </w:t>
      </w:r>
      <w:proofErr w:type="spellStart"/>
      <w:r w:rsidRPr="00410D11">
        <w:rPr>
          <w:rFonts w:ascii="Times New Roman" w:hAnsi="Times New Roman" w:cs="Times New Roman"/>
          <w:i/>
          <w:iCs/>
        </w:rPr>
        <w:t>Methylobacteriaceae</w:t>
      </w:r>
      <w:proofErr w:type="spellEnd"/>
      <w:r w:rsidRPr="00410D11">
        <w:rPr>
          <w:rFonts w:ascii="Times New Roman" w:hAnsi="Times New Roman" w:cs="Times New Roman"/>
        </w:rPr>
        <w:t xml:space="preserve"> (IX) which contained </w:t>
      </w:r>
      <w:r w:rsidRPr="00410D11">
        <w:rPr>
          <w:rFonts w:ascii="Times New Roman" w:hAnsi="Times New Roman" w:cs="Times New Roman"/>
          <w:i/>
          <w:iCs/>
        </w:rPr>
        <w:t>Pseudomonadaceae</w:t>
      </w:r>
      <w:r w:rsidRPr="00410D11">
        <w:rPr>
          <w:rFonts w:ascii="Times New Roman" w:hAnsi="Times New Roman" w:cs="Times New Roman"/>
        </w:rPr>
        <w:t xml:space="preserve"> and </w:t>
      </w:r>
      <w:proofErr w:type="spellStart"/>
      <w:r w:rsidRPr="00410D11">
        <w:rPr>
          <w:rFonts w:ascii="Times New Roman" w:hAnsi="Times New Roman" w:cs="Times New Roman"/>
          <w:i/>
          <w:iCs/>
        </w:rPr>
        <w:t>Sphingomonadaceae</w:t>
      </w:r>
      <w:proofErr w:type="spellEnd"/>
      <w:r w:rsidRPr="00410D11">
        <w:rPr>
          <w:rFonts w:ascii="Times New Roman" w:hAnsi="Times New Roman" w:cs="Times New Roman"/>
          <w:i/>
          <w:iCs/>
        </w:rPr>
        <w:t>.</w:t>
      </w:r>
      <w:r w:rsidRPr="00410D11">
        <w:rPr>
          <w:rFonts w:ascii="Times New Roman" w:hAnsi="Times New Roman" w:cs="Times New Roman"/>
        </w:rPr>
        <w:t xml:space="preserve"> Figure 5b shows the relative abundance of the major submodules and their change over time. In most cases initial high values measured 7 days after incubation fell and then recovered. The recovery in submodule II was maximal at 101 days, in submodules III, IV, V and IX was maximal at 174-400 days and in submodule IIX was maximal at 780 days.</w:t>
      </w:r>
    </w:p>
    <w:p w14:paraId="3403E881"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 xml:space="preserve">Processes controlling community </w:t>
      </w:r>
      <w:proofErr w:type="gramStart"/>
      <w:r w:rsidRPr="00410D11">
        <w:rPr>
          <w:rFonts w:ascii="Times New Roman" w:hAnsi="Times New Roman" w:cs="Times New Roman"/>
          <w:b/>
          <w:bCs/>
        </w:rPr>
        <w:t>assembly</w:t>
      </w:r>
      <w:proofErr w:type="gramEnd"/>
    </w:p>
    <w:p w14:paraId="14FB7D4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Clear phylogenetic patterns were evident within these data, with some classes of OTUs showing marked preferences for attached or planktonic growth (</w:t>
      </w:r>
      <w:proofErr w:type="gramStart"/>
      <w:r w:rsidRPr="00410D11">
        <w:rPr>
          <w:rFonts w:ascii="Times New Roman" w:hAnsi="Times New Roman" w:cs="Times New Roman"/>
        </w:rPr>
        <w:t>e.g.</w:t>
      </w:r>
      <w:proofErr w:type="gramEnd"/>
      <w:r w:rsidRPr="00410D11">
        <w:rPr>
          <w:rFonts w:ascii="Times New Roman" w:hAnsi="Times New Roman" w:cs="Times New Roman"/>
        </w:rPr>
        <w:t xml:space="preserve"> the majority of γ -Proteobacteria showed preferential attachment whilst </w:t>
      </w:r>
      <w:proofErr w:type="spellStart"/>
      <w:r w:rsidRPr="00410D11">
        <w:rPr>
          <w:rFonts w:ascii="Times New Roman" w:hAnsi="Times New Roman" w:cs="Times New Roman"/>
        </w:rPr>
        <w:t>Bacteroidia</w:t>
      </w:r>
      <w:proofErr w:type="spellEnd"/>
      <w:r w:rsidRPr="00410D11">
        <w:rPr>
          <w:rFonts w:ascii="Times New Roman" w:hAnsi="Times New Roman" w:cs="Times New Roman"/>
        </w:rPr>
        <w:t xml:space="preserve">, Clostridia and δ-Proteobacteria wee preferentially planktonic). To determine the potential ecological processes driving microbial community development in these different samples, ecological models were analysed using the approach described in </w:t>
      </w:r>
      <w:r>
        <w:rPr>
          <w:rFonts w:ascii="Times New Roman" w:hAnsi="Times New Roman" w:cs="Times New Roman"/>
          <w:noProof/>
        </w:rPr>
        <w:t>(Stegen et al., 2012)</w:t>
      </w:r>
      <w:r>
        <w:rPr>
          <w:rFonts w:ascii="Times New Roman" w:hAnsi="Times New Roman" w:cs="Times New Roman"/>
        </w:rPr>
        <w:t xml:space="preserve">. </w:t>
      </w:r>
      <w:r w:rsidRPr="00410D11">
        <w:rPr>
          <w:rFonts w:ascii="Times New Roman" w:hAnsi="Times New Roman" w:cs="Times New Roman"/>
        </w:rPr>
        <w:t>β-mean taxon distances were calculated for each pairwise comparison. The deviation of this value from that expected by chance is known as the β-nearest taxon index (βNTI)</w:t>
      </w:r>
      <w:r>
        <w:rPr>
          <w:rFonts w:ascii="Times New Roman" w:hAnsi="Times New Roman" w:cs="Times New Roman"/>
        </w:rPr>
        <w:t xml:space="preserve">. Values </w:t>
      </w:r>
      <w:r w:rsidRPr="00410D11">
        <w:rPr>
          <w:rFonts w:ascii="Times New Roman" w:hAnsi="Times New Roman" w:cs="Times New Roman"/>
        </w:rPr>
        <w:t xml:space="preserve">of 2 or greater </w:t>
      </w:r>
      <w:r>
        <w:rPr>
          <w:rFonts w:ascii="Times New Roman" w:hAnsi="Times New Roman" w:cs="Times New Roman"/>
        </w:rPr>
        <w:t xml:space="preserve">indicate that </w:t>
      </w:r>
      <w:r w:rsidRPr="00410D11">
        <w:rPr>
          <w:rFonts w:ascii="Times New Roman" w:hAnsi="Times New Roman" w:cs="Times New Roman"/>
        </w:rPr>
        <w:t>communities diff</w:t>
      </w:r>
      <w:r>
        <w:rPr>
          <w:rFonts w:ascii="Times New Roman" w:hAnsi="Times New Roman" w:cs="Times New Roman"/>
        </w:rPr>
        <w:t>er</w:t>
      </w:r>
      <w:r w:rsidRPr="00410D11">
        <w:rPr>
          <w:rFonts w:ascii="Times New Roman" w:hAnsi="Times New Roman" w:cs="Times New Roman"/>
        </w:rPr>
        <w:t xml:space="preserve"> </w:t>
      </w:r>
      <w:r>
        <w:rPr>
          <w:rFonts w:ascii="Times New Roman" w:hAnsi="Times New Roman" w:cs="Times New Roman"/>
        </w:rPr>
        <w:t xml:space="preserve">more </w:t>
      </w:r>
      <w:r w:rsidRPr="00410D11">
        <w:rPr>
          <w:rFonts w:ascii="Times New Roman" w:hAnsi="Times New Roman" w:cs="Times New Roman"/>
        </w:rPr>
        <w:t>than expected by chance</w:t>
      </w:r>
      <w:r>
        <w:rPr>
          <w:rFonts w:ascii="Times New Roman" w:hAnsi="Times New Roman" w:cs="Times New Roman"/>
        </w:rPr>
        <w:t xml:space="preserve"> and values less </w:t>
      </w:r>
      <w:r w:rsidRPr="00410D11">
        <w:rPr>
          <w:rFonts w:ascii="Times New Roman" w:hAnsi="Times New Roman" w:cs="Times New Roman"/>
        </w:rPr>
        <w:t xml:space="preserve">than -2 </w:t>
      </w:r>
      <w:r>
        <w:rPr>
          <w:rFonts w:ascii="Times New Roman" w:hAnsi="Times New Roman" w:cs="Times New Roman"/>
        </w:rPr>
        <w:t xml:space="preserve">indicate </w:t>
      </w:r>
      <w:r w:rsidRPr="00410D11">
        <w:rPr>
          <w:rFonts w:ascii="Times New Roman" w:hAnsi="Times New Roman" w:cs="Times New Roman"/>
        </w:rPr>
        <w:t>more similar</w:t>
      </w:r>
      <w:r>
        <w:rPr>
          <w:rFonts w:ascii="Times New Roman" w:hAnsi="Times New Roman" w:cs="Times New Roman"/>
        </w:rPr>
        <w:t>ity</w:t>
      </w:r>
      <w:r w:rsidRPr="00410D11">
        <w:rPr>
          <w:rFonts w:ascii="Times New Roman" w:hAnsi="Times New Roman" w:cs="Times New Roman"/>
        </w:rPr>
        <w:t xml:space="preserve"> than by chance. Values of βNTI between -2 and 2 are indicative of stochastic processes. Stochastic processes </w:t>
      </w:r>
      <w:r>
        <w:rPr>
          <w:rFonts w:ascii="Times New Roman" w:hAnsi="Times New Roman" w:cs="Times New Roman"/>
        </w:rPr>
        <w:t xml:space="preserve">were </w:t>
      </w:r>
      <w:r w:rsidRPr="00410D11">
        <w:rPr>
          <w:rFonts w:ascii="Times New Roman" w:hAnsi="Times New Roman" w:cs="Times New Roman"/>
        </w:rPr>
        <w:t xml:space="preserve">analysed using </w:t>
      </w:r>
      <w:proofErr w:type="spellStart"/>
      <w:r w:rsidRPr="00410D11">
        <w:rPr>
          <w:rFonts w:ascii="Times New Roman" w:hAnsi="Times New Roman" w:cs="Times New Roman"/>
        </w:rPr>
        <w:t>Raup</w:t>
      </w:r>
      <w:proofErr w:type="spellEnd"/>
      <w:r w:rsidRPr="00410D11">
        <w:rPr>
          <w:rFonts w:ascii="Times New Roman" w:hAnsi="Times New Roman" w:cs="Times New Roman"/>
        </w:rPr>
        <w:t xml:space="preserve">-Crick measurements. After scaling, </w:t>
      </w:r>
      <w:r>
        <w:rPr>
          <w:rFonts w:ascii="Times New Roman" w:hAnsi="Times New Roman" w:cs="Times New Roman"/>
        </w:rPr>
        <w:t>BC</w:t>
      </w:r>
      <w:r>
        <w:rPr>
          <w:rFonts w:ascii="Times New Roman" w:hAnsi="Times New Roman" w:cs="Times New Roman"/>
          <w:vertAlign w:val="subscript"/>
        </w:rPr>
        <w:t>RC</w:t>
      </w:r>
      <w:r w:rsidRPr="00410D11">
        <w:rPr>
          <w:rFonts w:ascii="Times New Roman" w:hAnsi="Times New Roman" w:cs="Times New Roman"/>
        </w:rPr>
        <w:t xml:space="preserve"> values greater than 0.95 indicate dispersal limitation, whereas values less than -0.95 indicate homogenising dispersal</w:t>
      </w:r>
      <w:r>
        <w:rPr>
          <w:rFonts w:ascii="Times New Roman" w:hAnsi="Times New Roman" w:cs="Times New Roman"/>
        </w:rPr>
        <w:t xml:space="preserve"> </w:t>
      </w:r>
      <w:proofErr w:type="gramStart"/>
      <w:r>
        <w:rPr>
          <w:rFonts w:ascii="Times New Roman" w:hAnsi="Times New Roman" w:cs="Times New Roman"/>
        </w:rPr>
        <w:t xml:space="preserve">- </w:t>
      </w:r>
      <w:r w:rsidRPr="00410D11">
        <w:rPr>
          <w:rFonts w:ascii="Times New Roman" w:hAnsi="Times New Roman" w:cs="Times New Roman"/>
        </w:rPr>
        <w:t xml:space="preserve"> intermediate</w:t>
      </w:r>
      <w:proofErr w:type="gramEnd"/>
      <w:r w:rsidRPr="00410D11">
        <w:rPr>
          <w:rFonts w:ascii="Times New Roman" w:hAnsi="Times New Roman" w:cs="Times New Roman"/>
        </w:rPr>
        <w:t xml:space="preserve"> values indicate that multiple processes are operating.</w:t>
      </w:r>
    </w:p>
    <w:p w14:paraId="0F029DA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Calculations were performed for both individual replicates and the means of replicates for all samples (field and microcosm). The results obtained were for individual samples and aggregated means were similar</w:t>
      </w:r>
      <w:r>
        <w:rPr>
          <w:rFonts w:ascii="Times New Roman" w:hAnsi="Times New Roman" w:cs="Times New Roman"/>
        </w:rPr>
        <w:t>,</w:t>
      </w:r>
      <w:r w:rsidRPr="00410D11">
        <w:rPr>
          <w:rFonts w:ascii="Times New Roman" w:hAnsi="Times New Roman" w:cs="Times New Roman"/>
        </w:rPr>
        <w:t xml:space="preserve"> so only results from mean values are shown for clarity. Fig. 6 shows the βNTI and BC</w:t>
      </w:r>
      <w:r w:rsidRPr="00410D11">
        <w:rPr>
          <w:rFonts w:ascii="Times New Roman" w:hAnsi="Times New Roman" w:cs="Times New Roman"/>
          <w:vertAlign w:val="subscript"/>
        </w:rPr>
        <w:t>RC</w:t>
      </w:r>
      <w:r w:rsidRPr="00410D11">
        <w:rPr>
          <w:rFonts w:ascii="Times New Roman" w:hAnsi="Times New Roman" w:cs="Times New Roman"/>
        </w:rPr>
        <w:t xml:space="preserve"> values calculated for field and microcosm, attached and planktonic samples. Values for BC</w:t>
      </w:r>
      <w:r w:rsidRPr="00410D11">
        <w:rPr>
          <w:rFonts w:ascii="Times New Roman" w:hAnsi="Times New Roman" w:cs="Times New Roman"/>
          <w:vertAlign w:val="subscript"/>
        </w:rPr>
        <w:t>RC</w:t>
      </w:r>
      <w:r w:rsidRPr="00410D11">
        <w:rPr>
          <w:rFonts w:ascii="Times New Roman" w:hAnsi="Times New Roman" w:cs="Times New Roman"/>
        </w:rPr>
        <w:t xml:space="preserve"> are only informative for stochastic processes, so are shown only when βNTI values were between -2 and 2.</w:t>
      </w:r>
    </w:p>
    <w:p w14:paraId="72680A9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Overall, a mixture of deterministic and stochastic processes was operating. For those comparisons found to be deterministic all βNTI values were &gt;2 (red squares in Fig. 6), indicative of variable selection </w:t>
      </w:r>
      <w:r w:rsidRPr="00410D11">
        <w:rPr>
          <w:rFonts w:ascii="Times New Roman" w:hAnsi="Times New Roman" w:cs="Times New Roman"/>
        </w:rPr>
        <w:lastRenderedPageBreak/>
        <w:t>where communities differ more than expected by chance. Where stochastic processes were indicated, the majority were either mixed or had values of BC</w:t>
      </w:r>
      <w:r w:rsidRPr="00410D11">
        <w:rPr>
          <w:rFonts w:ascii="Times New Roman" w:hAnsi="Times New Roman" w:cs="Times New Roman"/>
          <w:vertAlign w:val="subscript"/>
        </w:rPr>
        <w:t xml:space="preserve">RC </w:t>
      </w:r>
      <w:r w:rsidRPr="00410D11">
        <w:rPr>
          <w:rFonts w:ascii="Times New Roman" w:hAnsi="Times New Roman" w:cs="Times New Roman"/>
        </w:rPr>
        <w:t>&gt;0.95, indicating that turnover between communities was greater than expected by chance. The exception to this were later timepoints within planktonic microcosm communities with values of BC</w:t>
      </w:r>
      <w:r w:rsidRPr="00410D11">
        <w:rPr>
          <w:rFonts w:ascii="Times New Roman" w:hAnsi="Times New Roman" w:cs="Times New Roman"/>
          <w:vertAlign w:val="subscript"/>
        </w:rPr>
        <w:t xml:space="preserve">RC </w:t>
      </w:r>
      <w:r w:rsidRPr="00410D11">
        <w:rPr>
          <w:rFonts w:ascii="Times New Roman" w:hAnsi="Times New Roman" w:cs="Times New Roman"/>
        </w:rPr>
        <w:t>&lt; -0.95, found when communities can freely move within environments.</w:t>
      </w:r>
    </w:p>
    <w:p w14:paraId="1C6ABEF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Within a single community (</w:t>
      </w:r>
      <w:proofErr w:type="gramStart"/>
      <w:r w:rsidRPr="00410D11">
        <w:rPr>
          <w:rFonts w:ascii="Times New Roman" w:hAnsi="Times New Roman" w:cs="Times New Roman"/>
        </w:rPr>
        <w:t>e.g.</w:t>
      </w:r>
      <w:proofErr w:type="gramEnd"/>
      <w:r w:rsidRPr="00410D11">
        <w:rPr>
          <w:rFonts w:ascii="Times New Roman" w:hAnsi="Times New Roman" w:cs="Times New Roman"/>
        </w:rPr>
        <w:t xml:space="preserve"> comparisons made within attached field samples at different times) this mixture of deterministic and attached processes operated over time (highlighted with dotted lines in Fig. 6). In contrast, comparisons between attached field and planktonic field samples were dominated by deterministic responses which was true, albeit to a lesser extent, of comparisons between attached microcosm and planktonic microcosm communities.</w:t>
      </w:r>
    </w:p>
    <w:p w14:paraId="462CAC1F"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rPr>
        <w:t xml:space="preserve"> </w:t>
      </w:r>
      <w:r w:rsidRPr="00410D11">
        <w:rPr>
          <w:rFonts w:ascii="Times New Roman" w:hAnsi="Times New Roman" w:cs="Times New Roman"/>
          <w:b/>
          <w:bCs/>
        </w:rPr>
        <w:t>Discussion</w:t>
      </w:r>
    </w:p>
    <w:p w14:paraId="3AD4096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The aim of this study was to investigate microbial community development as biofilms formed at a chemical interface in a contaminated aquifer, in this case, the fringe of a phenol plume. Such locations are typically characterised by steep gradients in geochemical conditions such as contaminants, their metabolites and terminal electron acceptors. Despite the very high carbon availability at these sites, microbial numbers are relatively low as other factors (typically N and P) limit microbial growth </w:t>
      </w:r>
      <w:r>
        <w:rPr>
          <w:rFonts w:ascii="Times New Roman" w:hAnsi="Times New Roman" w:cs="Times New Roman"/>
          <w:noProof/>
        </w:rPr>
        <w:t>(Demoling et al., 2007)</w:t>
      </w:r>
      <w:r w:rsidRPr="00410D11">
        <w:rPr>
          <w:rFonts w:ascii="Times New Roman" w:hAnsi="Times New Roman" w:cs="Times New Roman"/>
        </w:rPr>
        <w:t xml:space="preserve">, in both planktonic and attached phases. Even after extended periods of incubation, biofilms are sparse and not limited by the availability of attachment sites. </w:t>
      </w:r>
    </w:p>
    <w:p w14:paraId="7379ED6A"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 xml:space="preserve">Geochemical variation at the plume fringe and microcosms </w:t>
      </w:r>
    </w:p>
    <w:p w14:paraId="2795E76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In the field chemical concentrations at the lower plume fringe </w:t>
      </w:r>
      <w:r>
        <w:rPr>
          <w:rFonts w:ascii="Times New Roman" w:hAnsi="Times New Roman" w:cs="Times New Roman"/>
        </w:rPr>
        <w:t>of this site are known to vary</w:t>
      </w:r>
      <w:r w:rsidRPr="00410D11">
        <w:rPr>
          <w:rFonts w:ascii="Times New Roman" w:hAnsi="Times New Roman" w:cs="Times New Roman"/>
        </w:rPr>
        <w:t xml:space="preserve"> markedly over time </w:t>
      </w:r>
      <w:r>
        <w:rPr>
          <w:rFonts w:ascii="Times New Roman" w:hAnsi="Times New Roman" w:cs="Times New Roman"/>
          <w:noProof/>
        </w:rPr>
        <w:t>(Lerner et al., 2000; Pickup et al., 2001; Spence et al., 2001; Thornton et al., 2001b)</w:t>
      </w:r>
      <w:r w:rsidRPr="00410D11">
        <w:rPr>
          <w:rFonts w:ascii="Times New Roman" w:hAnsi="Times New Roman" w:cs="Times New Roman"/>
        </w:rPr>
        <w:t xml:space="preserve"> as a consequence of source term variation and vertical transverse </w:t>
      </w:r>
      <w:proofErr w:type="gramStart"/>
      <w:r w:rsidRPr="00410D11">
        <w:rPr>
          <w:rFonts w:ascii="Times New Roman" w:hAnsi="Times New Roman" w:cs="Times New Roman"/>
        </w:rPr>
        <w:t xml:space="preserve">dispersion  </w:t>
      </w:r>
      <w:r>
        <w:rPr>
          <w:rFonts w:ascii="Times New Roman" w:hAnsi="Times New Roman" w:cs="Times New Roman"/>
          <w:noProof/>
        </w:rPr>
        <w:t>(</w:t>
      </w:r>
      <w:proofErr w:type="gramEnd"/>
      <w:r>
        <w:rPr>
          <w:rFonts w:ascii="Times New Roman" w:hAnsi="Times New Roman" w:cs="Times New Roman"/>
          <w:noProof/>
        </w:rPr>
        <w:t>Thornton et al., 2001a; Thornton et al., 2001b)</w:t>
      </w:r>
      <w:r w:rsidRPr="00410D11">
        <w:rPr>
          <w:rFonts w:ascii="Times New Roman" w:hAnsi="Times New Roman" w:cs="Times New Roman"/>
        </w:rPr>
        <w:t>. These processes support the enhanced microbial activity and rates of biodegradation at the fringe due to constant re-supply of dissolved electron acceptors (</w:t>
      </w:r>
      <w:proofErr w:type="gramStart"/>
      <w:r w:rsidRPr="00410D11">
        <w:rPr>
          <w:rFonts w:ascii="Times New Roman" w:hAnsi="Times New Roman" w:cs="Times New Roman"/>
        </w:rPr>
        <w:t>e.g.</w:t>
      </w:r>
      <w:proofErr w:type="gramEnd"/>
      <w:r w:rsidRPr="00410D11">
        <w:rPr>
          <w:rFonts w:ascii="Times New Roman" w:hAnsi="Times New Roman" w:cs="Times New Roman"/>
        </w:rPr>
        <w:t xml:space="preserve"> nitrate and sulphate) in background groundwater to the plume </w:t>
      </w:r>
      <w:r>
        <w:rPr>
          <w:rFonts w:ascii="Times New Roman" w:hAnsi="Times New Roman" w:cs="Times New Roman"/>
          <w:noProof/>
        </w:rPr>
        <w:t>(Baker et al., 2012; Kummel et al., 2015; Lerner et al., 2000; Meckenstock et al., 2015; Thornton et al., 2001b; Tuxen et al., 2006a)</w:t>
      </w:r>
      <w:r w:rsidRPr="00410D11">
        <w:rPr>
          <w:rFonts w:ascii="Times New Roman" w:hAnsi="Times New Roman" w:cs="Times New Roman"/>
        </w:rPr>
        <w:t xml:space="preserve">. In the microcosms </w:t>
      </w:r>
      <w:r w:rsidRPr="00410D11">
        <w:rPr>
          <w:rFonts w:ascii="Times New Roman" w:hAnsi="Times New Roman" w:cs="Times New Roman"/>
        </w:rPr>
        <w:lastRenderedPageBreak/>
        <w:t>these processes d</w:t>
      </w:r>
      <w:r>
        <w:rPr>
          <w:rFonts w:ascii="Times New Roman" w:hAnsi="Times New Roman" w:cs="Times New Roman"/>
        </w:rPr>
        <w:t>id</w:t>
      </w:r>
      <w:r w:rsidRPr="00410D11">
        <w:rPr>
          <w:rFonts w:ascii="Times New Roman" w:hAnsi="Times New Roman" w:cs="Times New Roman"/>
        </w:rPr>
        <w:t xml:space="preserve"> not occur and hence contaminant concentrations remain</w:t>
      </w:r>
      <w:r>
        <w:rPr>
          <w:rFonts w:ascii="Times New Roman" w:hAnsi="Times New Roman" w:cs="Times New Roman"/>
        </w:rPr>
        <w:t>ed</w:t>
      </w:r>
      <w:r w:rsidRPr="00410D11">
        <w:rPr>
          <w:rFonts w:ascii="Times New Roman" w:hAnsi="Times New Roman" w:cs="Times New Roman"/>
        </w:rPr>
        <w:t xml:space="preserve"> relatively stable. Phenolic compounds were biodegraded, as evident from the accumulation of organic metabolites 4-hydroxybenzoic acid and 4-hydroxy-3-methyl benzoic acid which originate from metabolism of phenol, </w:t>
      </w:r>
      <w:r w:rsidRPr="00410D11">
        <w:rPr>
          <w:rFonts w:ascii="Times New Roman" w:hAnsi="Times New Roman" w:cs="Times New Roman"/>
          <w:i/>
        </w:rPr>
        <w:t>o-</w:t>
      </w:r>
      <w:r w:rsidRPr="00410D11">
        <w:rPr>
          <w:rFonts w:ascii="Times New Roman" w:hAnsi="Times New Roman" w:cs="Times New Roman"/>
        </w:rPr>
        <w:t xml:space="preserve">cresol and </w:t>
      </w:r>
      <w:r w:rsidRPr="00410D11">
        <w:rPr>
          <w:rFonts w:ascii="Times New Roman" w:hAnsi="Times New Roman" w:cs="Times New Roman"/>
          <w:i/>
        </w:rPr>
        <w:t>p-</w:t>
      </w:r>
      <w:r w:rsidRPr="00410D11">
        <w:rPr>
          <w:rFonts w:ascii="Times New Roman" w:hAnsi="Times New Roman" w:cs="Times New Roman"/>
        </w:rPr>
        <w:t xml:space="preserve">cresol via para-carboxylation and anaerobic oxidation </w:t>
      </w:r>
      <w:r>
        <w:rPr>
          <w:rFonts w:ascii="Times New Roman" w:hAnsi="Times New Roman" w:cs="Times New Roman"/>
          <w:noProof/>
        </w:rPr>
        <w:t>(Bisaillon et al., 1991; Boll and Fuchs, 2005; Bossert and Young, 1986)</w:t>
      </w:r>
      <w:r w:rsidRPr="00410D11">
        <w:rPr>
          <w:rFonts w:ascii="Times New Roman" w:hAnsi="Times New Roman" w:cs="Times New Roman"/>
        </w:rPr>
        <w:t xml:space="preserve">. These organic metabolites also accumulated in the anaerobic anode chamber of microbial biofuel cells established using groundwater from the upper plume fringe (12 </w:t>
      </w:r>
      <w:proofErr w:type="spellStart"/>
      <w:r w:rsidRPr="00410D11">
        <w:rPr>
          <w:rFonts w:ascii="Times New Roman" w:hAnsi="Times New Roman" w:cs="Times New Roman"/>
        </w:rPr>
        <w:t>mbgl</w:t>
      </w:r>
      <w:proofErr w:type="spellEnd"/>
      <w:r w:rsidRPr="00410D11">
        <w:rPr>
          <w:rFonts w:ascii="Times New Roman" w:hAnsi="Times New Roman" w:cs="Times New Roman"/>
        </w:rPr>
        <w:t xml:space="preserve">) from this field site </w:t>
      </w:r>
      <w:r>
        <w:rPr>
          <w:rFonts w:ascii="Times New Roman" w:hAnsi="Times New Roman" w:cs="Times New Roman"/>
          <w:noProof/>
        </w:rPr>
        <w:t>(Hedbavna et al., 2016)</w:t>
      </w:r>
      <w:r w:rsidRPr="00410D11">
        <w:rPr>
          <w:rFonts w:ascii="Times New Roman" w:hAnsi="Times New Roman" w:cs="Times New Roman"/>
        </w:rPr>
        <w:t>.</w:t>
      </w:r>
    </w:p>
    <w:p w14:paraId="3CDB49D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Changes in concentrations of dissolved electron acceptors in the field were masked by source term variation but were evident in the </w:t>
      </w:r>
      <w:r>
        <w:rPr>
          <w:rFonts w:ascii="Times New Roman" w:hAnsi="Times New Roman" w:cs="Times New Roman"/>
        </w:rPr>
        <w:t xml:space="preserve">static </w:t>
      </w:r>
      <w:r w:rsidRPr="00410D11">
        <w:rPr>
          <w:rFonts w:ascii="Times New Roman" w:hAnsi="Times New Roman" w:cs="Times New Roman"/>
        </w:rPr>
        <w:t>microcosms</w:t>
      </w:r>
      <w:r>
        <w:rPr>
          <w:rFonts w:ascii="Times New Roman" w:hAnsi="Times New Roman" w:cs="Times New Roman"/>
        </w:rPr>
        <w:t>, where source term variation was eliminated</w:t>
      </w:r>
      <w:r w:rsidRPr="00410D11">
        <w:rPr>
          <w:rFonts w:ascii="Times New Roman" w:hAnsi="Times New Roman" w:cs="Times New Roman"/>
        </w:rPr>
        <w:t xml:space="preserve">. As expected, nitrate, an energetically favourable electron acceptor, was utilised quickly in the anaerobic biodegradation of the phenolic compounds </w:t>
      </w:r>
      <w:r>
        <w:rPr>
          <w:rFonts w:ascii="Times New Roman" w:hAnsi="Times New Roman" w:cs="Times New Roman"/>
          <w:noProof/>
        </w:rPr>
        <w:t>(Gonzalez et al., 2006)</w:t>
      </w:r>
      <w:r w:rsidRPr="00410D11">
        <w:rPr>
          <w:rFonts w:ascii="Times New Roman" w:hAnsi="Times New Roman" w:cs="Times New Roman"/>
        </w:rPr>
        <w:t xml:space="preserve">. This confirms the presence of either nitrate reducers or denitrifying activity, which have been observed in groundwater monitoring wells at the field site and in microcosms constructed with this groundwater as inoculum </w:t>
      </w:r>
      <w:r>
        <w:rPr>
          <w:rFonts w:ascii="Times New Roman" w:hAnsi="Times New Roman" w:cs="Times New Roman"/>
          <w:noProof/>
        </w:rPr>
        <w:t>(Spence et al., 2001; Williams et al., 2001)</w:t>
      </w:r>
      <w:r w:rsidRPr="00410D11">
        <w:rPr>
          <w:rFonts w:ascii="Times New Roman" w:hAnsi="Times New Roman" w:cs="Times New Roman"/>
        </w:rPr>
        <w:t xml:space="preserve">. The increased concentration of dissolved manganese most likely resulted from the microbial reduction of manganese oxide coatings on the aquifer material </w:t>
      </w:r>
      <w:r>
        <w:rPr>
          <w:rFonts w:ascii="Times New Roman" w:hAnsi="Times New Roman" w:cs="Times New Roman"/>
          <w:noProof/>
        </w:rPr>
        <w:t>(Baker et al., 2012; Lerner, 2002; Lerner et al., 2000; Thornton et al., 2001b)</w:t>
      </w:r>
      <w:r w:rsidRPr="00410D11">
        <w:rPr>
          <w:rFonts w:ascii="Times New Roman" w:hAnsi="Times New Roman" w:cs="Times New Roman"/>
        </w:rPr>
        <w:t xml:space="preserve">. The difference between live and abiotic microcosms at the later stages of the experiment may be related to the activity of manganese reducers, which have been described in contaminant plumes in groundwater </w:t>
      </w:r>
      <w:r>
        <w:rPr>
          <w:rFonts w:ascii="Times New Roman" w:hAnsi="Times New Roman" w:cs="Times New Roman"/>
          <w:noProof/>
        </w:rPr>
        <w:t>(Christensen et al., 2000; Gounot, 1994)</w:t>
      </w:r>
      <w:r w:rsidRPr="00410D11">
        <w:rPr>
          <w:rFonts w:ascii="Times New Roman" w:hAnsi="Times New Roman" w:cs="Times New Roman"/>
        </w:rPr>
        <w:t xml:space="preserve"> and observed in the phenolic plume in this aquifer </w:t>
      </w:r>
      <w:r>
        <w:rPr>
          <w:rFonts w:ascii="Times New Roman" w:hAnsi="Times New Roman" w:cs="Times New Roman"/>
          <w:noProof/>
        </w:rPr>
        <w:t>(Pickup et al., 2001; Rizoulis et al., 2013; Thornton et al., 2001a)</w:t>
      </w:r>
      <w:r w:rsidRPr="00410D11">
        <w:rPr>
          <w:rFonts w:ascii="Times New Roman" w:hAnsi="Times New Roman" w:cs="Times New Roman"/>
        </w:rPr>
        <w:t xml:space="preserve">. Although sulphate reduction was not evident, sulphate reducing bacteria in the Class </w:t>
      </w:r>
      <w:r w:rsidRPr="00410D11">
        <w:rPr>
          <w:rFonts w:ascii="Times New Roman" w:hAnsi="Times New Roman" w:cs="Times New Roman"/>
          <w:i/>
        </w:rPr>
        <w:t>delta-proteobacteria</w:t>
      </w:r>
      <w:r w:rsidRPr="00410D11">
        <w:rPr>
          <w:rFonts w:ascii="Times New Roman" w:hAnsi="Times New Roman" w:cs="Times New Roman"/>
        </w:rPr>
        <w:t xml:space="preserve"> (</w:t>
      </w:r>
      <w:proofErr w:type="gramStart"/>
      <w:r w:rsidRPr="00410D11">
        <w:rPr>
          <w:rFonts w:ascii="Times New Roman" w:hAnsi="Times New Roman" w:cs="Times New Roman"/>
        </w:rPr>
        <w:t>e.g.</w:t>
      </w:r>
      <w:proofErr w:type="gramEnd"/>
      <w:r w:rsidRPr="00410D11">
        <w:rPr>
          <w:rFonts w:ascii="Times New Roman" w:hAnsi="Times New Roman" w:cs="Times New Roman"/>
        </w:rPr>
        <w:t xml:space="preserve"> </w:t>
      </w:r>
      <w:proofErr w:type="spellStart"/>
      <w:r w:rsidRPr="00410D11">
        <w:rPr>
          <w:rFonts w:ascii="Times New Roman" w:hAnsi="Times New Roman" w:cs="Times New Roman"/>
          <w:i/>
        </w:rPr>
        <w:t>Desulfobacterales</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i/>
        </w:rPr>
        <w:t>Desulfovibrionales</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i/>
        </w:rPr>
        <w:t>Desulfomonadales</w:t>
      </w:r>
      <w:proofErr w:type="spellEnd"/>
      <w:r w:rsidRPr="00410D11">
        <w:rPr>
          <w:rFonts w:ascii="Times New Roman" w:hAnsi="Times New Roman" w:cs="Times New Roman"/>
        </w:rPr>
        <w:t xml:space="preserve">) were identified in the attached and planktonic communities of microcosms. These taxa can use sulphate as an electron acceptor in different anaerobic environments </w:t>
      </w:r>
      <w:r>
        <w:rPr>
          <w:rFonts w:ascii="Times New Roman" w:hAnsi="Times New Roman" w:cs="Times New Roman"/>
          <w:noProof/>
        </w:rPr>
        <w:t>(Kuever, 2014; Song et al., 2015; Varon-Lopez et al., 2014; Zapata-Peñasco et al., 2016)</w:t>
      </w:r>
      <w:r w:rsidRPr="00410D11">
        <w:rPr>
          <w:rFonts w:ascii="Times New Roman" w:hAnsi="Times New Roman" w:cs="Times New Roman"/>
        </w:rPr>
        <w:t>.</w:t>
      </w:r>
    </w:p>
    <w:p w14:paraId="43AC7467"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 xml:space="preserve">Timescales for </w:t>
      </w:r>
      <w:r>
        <w:rPr>
          <w:rFonts w:ascii="Times New Roman" w:hAnsi="Times New Roman" w:cs="Times New Roman"/>
          <w:b/>
          <w:bCs/>
        </w:rPr>
        <w:t xml:space="preserve">development of </w:t>
      </w:r>
      <w:r w:rsidRPr="00410D11">
        <w:rPr>
          <w:rFonts w:ascii="Times New Roman" w:hAnsi="Times New Roman" w:cs="Times New Roman"/>
          <w:b/>
          <w:bCs/>
        </w:rPr>
        <w:t>attached</w:t>
      </w:r>
      <w:r>
        <w:rPr>
          <w:rFonts w:ascii="Times New Roman" w:hAnsi="Times New Roman" w:cs="Times New Roman"/>
          <w:b/>
          <w:bCs/>
        </w:rPr>
        <w:t xml:space="preserve"> </w:t>
      </w:r>
      <w:r w:rsidRPr="00410D11">
        <w:rPr>
          <w:rFonts w:ascii="Times New Roman" w:hAnsi="Times New Roman" w:cs="Times New Roman"/>
          <w:b/>
          <w:bCs/>
        </w:rPr>
        <w:t xml:space="preserve">microbial </w:t>
      </w:r>
      <w:r>
        <w:rPr>
          <w:rFonts w:ascii="Times New Roman" w:hAnsi="Times New Roman" w:cs="Times New Roman"/>
          <w:b/>
          <w:bCs/>
        </w:rPr>
        <w:t xml:space="preserve">communities </w:t>
      </w:r>
      <w:r w:rsidRPr="00410D11">
        <w:rPr>
          <w:rFonts w:ascii="Times New Roman" w:hAnsi="Times New Roman" w:cs="Times New Roman"/>
          <w:b/>
          <w:bCs/>
        </w:rPr>
        <w:t xml:space="preserve">and phylogenetic differences between attached and planktonic </w:t>
      </w:r>
      <w:proofErr w:type="gramStart"/>
      <w:r w:rsidRPr="00410D11">
        <w:rPr>
          <w:rFonts w:ascii="Times New Roman" w:hAnsi="Times New Roman" w:cs="Times New Roman"/>
          <w:b/>
          <w:bCs/>
        </w:rPr>
        <w:t>communities</w:t>
      </w:r>
      <w:proofErr w:type="gramEnd"/>
    </w:p>
    <w:p w14:paraId="49FA6F3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lastRenderedPageBreak/>
        <w:t xml:space="preserve">Cell numbers in the planktonic and attached microbial communities in the aquifer and microcosms were consistent with previous studies at this site </w:t>
      </w:r>
      <w:r>
        <w:rPr>
          <w:rFonts w:ascii="Times New Roman" w:hAnsi="Times New Roman" w:cs="Times New Roman"/>
          <w:noProof/>
        </w:rPr>
        <w:t>(Elliott et al., 2010; Pickup et al., 2001; Rizoulis et al., 2013)</w:t>
      </w:r>
      <w:r w:rsidRPr="00410D11">
        <w:rPr>
          <w:rFonts w:ascii="Times New Roman" w:hAnsi="Times New Roman" w:cs="Times New Roman"/>
        </w:rPr>
        <w:t xml:space="preserve">. Despite the differences in geochemistry and planktonic communities between field and microcosm experiments, the numbers of attached cells increased at similar rates in both environments, reaching a maximum value after ~100 days. The time needed for attached cell numbers to stabilise, despite variation in the stability of the geochemistry of the systems, can therefore be considered as an emergent property of the microbial community </w:t>
      </w:r>
      <w:r>
        <w:rPr>
          <w:rFonts w:ascii="Times New Roman" w:hAnsi="Times New Roman" w:cs="Times New Roman"/>
          <w:noProof/>
        </w:rPr>
        <w:t>(Casadevall et al., 2011)</w:t>
      </w:r>
      <w:r w:rsidRPr="00410D11">
        <w:rPr>
          <w:rFonts w:ascii="Times New Roman" w:hAnsi="Times New Roman" w:cs="Times New Roman"/>
        </w:rPr>
        <w:t xml:space="preserve">. Phylogenetic analysis of microbial 16S rRNA genes indicated that planktonic and attached communities differed from each other, whether considering presence/absence, relative </w:t>
      </w:r>
      <w:proofErr w:type="gramStart"/>
      <w:r w:rsidRPr="00410D11">
        <w:rPr>
          <w:rFonts w:ascii="Times New Roman" w:hAnsi="Times New Roman" w:cs="Times New Roman"/>
        </w:rPr>
        <w:t>abundance</w:t>
      </w:r>
      <w:proofErr w:type="gramEnd"/>
      <w:r w:rsidRPr="00410D11">
        <w:rPr>
          <w:rFonts w:ascii="Times New Roman" w:hAnsi="Times New Roman" w:cs="Times New Roman"/>
        </w:rPr>
        <w:t xml:space="preserve"> or phylogenetic relatedness. </w:t>
      </w:r>
      <w:proofErr w:type="spellStart"/>
      <w:r w:rsidRPr="00410D11">
        <w:rPr>
          <w:rFonts w:ascii="Times New Roman" w:hAnsi="Times New Roman" w:cs="Times New Roman"/>
        </w:rPr>
        <w:t>Rizolulis</w:t>
      </w:r>
      <w:proofErr w:type="spellEnd"/>
      <w:r w:rsidRPr="00410D11">
        <w:rPr>
          <w:rFonts w:ascii="Times New Roman" w:hAnsi="Times New Roman" w:cs="Times New Roman"/>
        </w:rPr>
        <w:t xml:space="preserve"> </w:t>
      </w:r>
      <w:r w:rsidRPr="00410D11">
        <w:rPr>
          <w:rFonts w:ascii="Times New Roman" w:hAnsi="Times New Roman" w:cs="Times New Roman"/>
          <w:i/>
        </w:rPr>
        <w:t xml:space="preserve">et al </w:t>
      </w:r>
      <w:r>
        <w:rPr>
          <w:rFonts w:ascii="Times New Roman" w:hAnsi="Times New Roman" w:cs="Times New Roman"/>
          <w:noProof/>
        </w:rPr>
        <w:t>(Rizoulis et al., 2013)</w:t>
      </w:r>
      <w:r w:rsidRPr="00410D11">
        <w:rPr>
          <w:rFonts w:ascii="Times New Roman" w:hAnsi="Times New Roman" w:cs="Times New Roman"/>
        </w:rPr>
        <w:t xml:space="preserve"> also found that these communities differed in samples collected from this same site (30 </w:t>
      </w:r>
      <w:proofErr w:type="spellStart"/>
      <w:r w:rsidRPr="00410D11">
        <w:rPr>
          <w:rFonts w:ascii="Times New Roman" w:hAnsi="Times New Roman" w:cs="Times New Roman"/>
        </w:rPr>
        <w:t>mbgl</w:t>
      </w:r>
      <w:proofErr w:type="spellEnd"/>
      <w:proofErr w:type="gramStart"/>
      <w:r w:rsidRPr="00410D11">
        <w:rPr>
          <w:rFonts w:ascii="Times New Roman" w:hAnsi="Times New Roman" w:cs="Times New Roman"/>
        </w:rPr>
        <w:t>), but</w:t>
      </w:r>
      <w:proofErr w:type="gramEnd"/>
      <w:r w:rsidRPr="00410D11">
        <w:rPr>
          <w:rFonts w:ascii="Times New Roman" w:hAnsi="Times New Roman" w:cs="Times New Roman"/>
        </w:rPr>
        <w:t xml:space="preserve"> studied only a single time point. Differences in abundance and community composition have also been observed in other aquifers </w:t>
      </w:r>
      <w:r>
        <w:rPr>
          <w:rFonts w:ascii="Times New Roman" w:hAnsi="Times New Roman" w:cs="Times New Roman"/>
          <w:noProof/>
        </w:rPr>
        <w:t>(Flynn et al., 2013; Godsy et al., 1992; Gregory et al., 2014; Griebler et al., 2002; Lehman et al., 2001a; Lehman et al., 2001b)</w:t>
      </w:r>
      <w:r w:rsidRPr="00410D11">
        <w:rPr>
          <w:rFonts w:ascii="Times New Roman" w:hAnsi="Times New Roman" w:cs="Times New Roman"/>
          <w:noProof/>
        </w:rPr>
        <w:t>.</w:t>
      </w:r>
    </w:p>
    <w:p w14:paraId="27890B4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The differences in attached and planktonic communities that we observed were sustained over time in both field and microcosm samples. In biofilms that develop in nutrient-rich environments, space for attachment is often a limiting factor and competition for space a major driver of community composition </w:t>
      </w:r>
      <w:r>
        <w:rPr>
          <w:rFonts w:ascii="Times New Roman" w:hAnsi="Times New Roman" w:cs="Times New Roman"/>
          <w:noProof/>
        </w:rPr>
        <w:t>(Ellis et al., 2015; Ghoul and Mitri, 2016)</w:t>
      </w:r>
      <w:r w:rsidRPr="00410D11">
        <w:rPr>
          <w:rFonts w:ascii="Times New Roman" w:hAnsi="Times New Roman" w:cs="Times New Roman"/>
        </w:rPr>
        <w:t xml:space="preserve">. However, in many natural environments, nutrients (in this case, particularly P and, to a lesser extent, N) are limiting, such that biofilms are relatively sparse. Microscopic analysis of grains showed that space was not a limiting factor, even after extended incubation periods. For the planktonic field samples, richness (community membership) and diversity (as assessed by the Inverse Simpson index) were relatively high during the experiment but varied as a consequence of changing field conditions. In the microcosms planktonic richness and diversity were somewhat lower, with a marked fall in diversity at the outset of the experiment, accompanied by a transient fall in planktonic cell numbers. This can be attributed to a ‘bottle effect’ </w:t>
      </w:r>
      <w:r>
        <w:rPr>
          <w:rFonts w:ascii="Times New Roman" w:hAnsi="Times New Roman" w:cs="Times New Roman"/>
          <w:noProof/>
        </w:rPr>
        <w:t>(Holm et al., 1992)</w:t>
      </w:r>
      <w:r w:rsidRPr="00410D11">
        <w:rPr>
          <w:rFonts w:ascii="Times New Roman" w:hAnsi="Times New Roman" w:cs="Times New Roman"/>
        </w:rPr>
        <w:t xml:space="preserve">, where a proportion of microbes from the field environment were not able to establish in the microcosms whilst others grew preferentially, reducing overall diversity. The attached field and microcosm communities responded in a similar manner to each other. Initial cell numbers were low, but diversity </w:t>
      </w:r>
      <w:r w:rsidRPr="00410D11">
        <w:rPr>
          <w:rFonts w:ascii="Times New Roman" w:hAnsi="Times New Roman" w:cs="Times New Roman"/>
        </w:rPr>
        <w:lastRenderedPageBreak/>
        <w:t xml:space="preserve">was high, indicating that diverse planktonic cells had attached to the uncolonized grains. As the incubation continued, attached cell numbers increased rapidly whilst diversity decreased, which we attribute to proliferation of a subset of the attached community with a preference for this growth phase. Diversity then increased (up to 200 days), consistent with recruitment of additional community members, either as a consequence of their ability to attach to existing biofilm members and/or metabolic interactions due to metabolite availability. Once attached community numbers had stabilised (100 days+) diversity fell, which we attribute to competition within the attached community and selection of preferential </w:t>
      </w:r>
      <w:proofErr w:type="spellStart"/>
      <w:r w:rsidRPr="00410D11">
        <w:rPr>
          <w:rFonts w:ascii="Times New Roman" w:hAnsi="Times New Roman" w:cs="Times New Roman"/>
        </w:rPr>
        <w:t>attachers</w:t>
      </w:r>
      <w:proofErr w:type="spellEnd"/>
      <w:r w:rsidRPr="00410D11">
        <w:rPr>
          <w:rFonts w:ascii="Times New Roman" w:hAnsi="Times New Roman" w:cs="Times New Roman"/>
        </w:rPr>
        <w:t xml:space="preserve">. </w:t>
      </w:r>
    </w:p>
    <w:p w14:paraId="4F82D0D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These patterns were reflected in the relative abundance of OTUs that formed submodules in the network of preferentially attached microbes. Their relative abundance tended to fall, then recover, with different submodules showing maximum relative abundance at different times, indicative of successional processes within the attached community. These continued even after extended periods of incubation (780 days), showing that the composition of the attached community was dynamic.</w:t>
      </w:r>
    </w:p>
    <w:p w14:paraId="6893132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Dynamic changes in attached communities have been observed during the development of multi-species biofilms in drinking water distribution systems, human dental </w:t>
      </w:r>
      <w:proofErr w:type="gramStart"/>
      <w:r w:rsidRPr="00410D11">
        <w:rPr>
          <w:rFonts w:ascii="Times New Roman" w:hAnsi="Times New Roman" w:cs="Times New Roman"/>
        </w:rPr>
        <w:t>plaque</w:t>
      </w:r>
      <w:proofErr w:type="gramEnd"/>
      <w:r w:rsidRPr="00410D11">
        <w:rPr>
          <w:rFonts w:ascii="Times New Roman" w:hAnsi="Times New Roman" w:cs="Times New Roman"/>
        </w:rPr>
        <w:t xml:space="preserve"> and colon </w:t>
      </w:r>
      <w:r>
        <w:rPr>
          <w:rFonts w:ascii="Times New Roman" w:hAnsi="Times New Roman" w:cs="Times New Roman"/>
          <w:noProof/>
        </w:rPr>
        <w:t>(Jackson, 2003; Marsh, 2004; Martiny et al., 2003; O'Toole et al., 2000; O'Toole and Kolter, 1998; Rickard et al., 2003; Wingender et al., 1999)</w:t>
      </w:r>
      <w:r w:rsidRPr="00410D11">
        <w:rPr>
          <w:rFonts w:ascii="Times New Roman" w:hAnsi="Times New Roman" w:cs="Times New Roman"/>
        </w:rPr>
        <w:t xml:space="preserve">. These dynamic changes during the development of attached communities are consistent with microbial ecological successions expected to occur when new substrates become available and begin to be colonised by different members of the planktonic microbial community, and by different interactions (physical and metabolic) between the attached community members. Successions have been described in biofilms of oligotrophic environments (streams, rivers, and simulated-marine systems) where interactions between </w:t>
      </w:r>
      <w:proofErr w:type="spellStart"/>
      <w:r w:rsidRPr="00410D11">
        <w:rPr>
          <w:rFonts w:ascii="Times New Roman" w:hAnsi="Times New Roman" w:cs="Times New Roman"/>
        </w:rPr>
        <w:t>attachers</w:t>
      </w:r>
      <w:proofErr w:type="spellEnd"/>
      <w:r w:rsidRPr="00410D11">
        <w:rPr>
          <w:rFonts w:ascii="Times New Roman" w:hAnsi="Times New Roman" w:cs="Times New Roman"/>
        </w:rPr>
        <w:t xml:space="preserve"> occur as biofilms develop </w:t>
      </w:r>
      <w:r>
        <w:rPr>
          <w:rFonts w:ascii="Times New Roman" w:hAnsi="Times New Roman" w:cs="Times New Roman"/>
          <w:noProof/>
        </w:rPr>
        <w:t>(Besemer et al., 2012; Brislawn et al., 2019; Lyautey et al., 2005; Moura et al., 2018; Poltak and Cooper, 2011; Woodcock and Sloan, 2017)</w:t>
      </w:r>
      <w:r w:rsidRPr="00410D11">
        <w:rPr>
          <w:rFonts w:ascii="Times New Roman" w:hAnsi="Times New Roman" w:cs="Times New Roman"/>
        </w:rPr>
        <w:t>. Similar dynamic changes also occur in carbon-enriched environments (</w:t>
      </w:r>
      <w:proofErr w:type="gramStart"/>
      <w:r w:rsidRPr="00410D11">
        <w:rPr>
          <w:rFonts w:ascii="Times New Roman" w:hAnsi="Times New Roman" w:cs="Times New Roman"/>
        </w:rPr>
        <w:t>i.e.</w:t>
      </w:r>
      <w:proofErr w:type="gramEnd"/>
      <w:r w:rsidRPr="00410D11">
        <w:rPr>
          <w:rFonts w:ascii="Times New Roman" w:hAnsi="Times New Roman" w:cs="Times New Roman"/>
        </w:rPr>
        <w:t xml:space="preserve"> wastewater bioreactors and distribution systems, coal seams and filters used in greywater treatment), with cell numbers increasing during biofilm development and changes in the relative abundances of </w:t>
      </w:r>
      <w:r w:rsidRPr="00410D11">
        <w:rPr>
          <w:rFonts w:ascii="Times New Roman" w:hAnsi="Times New Roman" w:cs="Times New Roman"/>
        </w:rPr>
        <w:lastRenderedPageBreak/>
        <w:t xml:space="preserve">different microbial groups </w:t>
      </w:r>
      <w:r>
        <w:rPr>
          <w:rFonts w:ascii="Times New Roman" w:hAnsi="Times New Roman" w:cs="Times New Roman"/>
          <w:noProof/>
        </w:rPr>
        <w:t>(Beckmann et al., 2019; Lequette et al., 2019; Liebana et al., 2019; Truu et al., 2019; Vick et al., 2019; Zhang et al., 2019)</w:t>
      </w:r>
      <w:r w:rsidRPr="00410D11">
        <w:rPr>
          <w:rFonts w:ascii="Times New Roman" w:hAnsi="Times New Roman" w:cs="Times New Roman"/>
          <w:noProof/>
        </w:rPr>
        <w:t>.</w:t>
      </w:r>
      <w:r w:rsidRPr="00410D11">
        <w:rPr>
          <w:rFonts w:ascii="Times New Roman" w:hAnsi="Times New Roman" w:cs="Times New Roman"/>
        </w:rPr>
        <w:t xml:space="preserve"> </w:t>
      </w:r>
    </w:p>
    <w:p w14:paraId="6D52EF2C" w14:textId="77777777" w:rsidR="00267E22" w:rsidRPr="00410D11" w:rsidRDefault="00267E22" w:rsidP="001656AE">
      <w:pPr>
        <w:rPr>
          <w:rFonts w:ascii="Times New Roman" w:hAnsi="Times New Roman" w:cs="Times New Roman"/>
        </w:rPr>
      </w:pPr>
      <w:r w:rsidRPr="00410D11">
        <w:rPr>
          <w:rFonts w:ascii="Times New Roman" w:hAnsi="Times New Roman" w:cs="Times New Roman"/>
          <w:b/>
          <w:bCs/>
        </w:rPr>
        <w:t xml:space="preserve">Processes controlling community </w:t>
      </w:r>
      <w:proofErr w:type="gramStart"/>
      <w:r w:rsidRPr="00410D11">
        <w:rPr>
          <w:rFonts w:ascii="Times New Roman" w:hAnsi="Times New Roman" w:cs="Times New Roman"/>
          <w:b/>
          <w:bCs/>
        </w:rPr>
        <w:t>assembly</w:t>
      </w:r>
      <w:proofErr w:type="gramEnd"/>
    </w:p>
    <w:p w14:paraId="21AE5EA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Both deterministic and stochastic processes (or mixtures of the two) have been proposed to explain the trajectory and time scales of microbial successions. For example, it has been suggested that stochastic processes (</w:t>
      </w:r>
      <w:proofErr w:type="gramStart"/>
      <w:r w:rsidRPr="00410D11">
        <w:rPr>
          <w:rFonts w:ascii="Times New Roman" w:hAnsi="Times New Roman" w:cs="Times New Roman"/>
        </w:rPr>
        <w:t>e.g.</w:t>
      </w:r>
      <w:proofErr w:type="gramEnd"/>
      <w:r w:rsidRPr="00410D11">
        <w:rPr>
          <w:rFonts w:ascii="Times New Roman" w:hAnsi="Times New Roman" w:cs="Times New Roman"/>
        </w:rPr>
        <w:t xml:space="preserve"> stochastic attachment, reproduction and death) are the major drivers of successions at early stages during biofilm formation, especially in rapidly changing communities, in which early recruitment is largely dependent on the source planktonic community </w:t>
      </w:r>
      <w:r>
        <w:rPr>
          <w:rFonts w:ascii="Times New Roman" w:hAnsi="Times New Roman" w:cs="Times New Roman"/>
          <w:noProof/>
        </w:rPr>
        <w:t>(Besemer et al., 2007; Fierer et al., 2010; Martiny et al., 2003)</w:t>
      </w:r>
      <w:r w:rsidRPr="00410D11">
        <w:rPr>
          <w:rFonts w:ascii="Times New Roman" w:hAnsi="Times New Roman" w:cs="Times New Roman"/>
        </w:rPr>
        <w:t>. In contrast, other studies point to deterministic processes (</w:t>
      </w:r>
      <w:proofErr w:type="gramStart"/>
      <w:r w:rsidRPr="00410D11">
        <w:rPr>
          <w:rFonts w:ascii="Times New Roman" w:hAnsi="Times New Roman" w:cs="Times New Roman"/>
        </w:rPr>
        <w:t>e.g.</w:t>
      </w:r>
      <w:proofErr w:type="gramEnd"/>
      <w:r w:rsidRPr="00410D11">
        <w:rPr>
          <w:rFonts w:ascii="Times New Roman" w:hAnsi="Times New Roman" w:cs="Times New Roman"/>
        </w:rPr>
        <w:t xml:space="preserve"> selection) having a greater influence during the early stages of microbial succession, mostly driven by the ability of some microbes to overcome the new environmental conditions imposed by disturbances </w:t>
      </w:r>
      <w:r>
        <w:rPr>
          <w:rFonts w:ascii="Times New Roman" w:hAnsi="Times New Roman" w:cs="Times New Roman"/>
          <w:noProof/>
        </w:rPr>
        <w:t>(Liebana et al., 2019)</w:t>
      </w:r>
      <w:r w:rsidRPr="00410D11">
        <w:rPr>
          <w:rFonts w:ascii="Times New Roman" w:hAnsi="Times New Roman" w:cs="Times New Roman"/>
          <w:noProof/>
        </w:rPr>
        <w:t>.</w:t>
      </w:r>
      <w:r w:rsidRPr="00410D11">
        <w:rPr>
          <w:rFonts w:ascii="Times New Roman" w:hAnsi="Times New Roman" w:cs="Times New Roman"/>
        </w:rPr>
        <w:t xml:space="preserve"> Different processes also influence the medium and late stages of biofilm formation. For example, stochastic processes are proposed to be more important in biofilm formation in hyper-saline lakes </w:t>
      </w:r>
      <w:r>
        <w:rPr>
          <w:rFonts w:ascii="Times New Roman" w:hAnsi="Times New Roman" w:cs="Times New Roman"/>
          <w:noProof/>
        </w:rPr>
        <w:t>(Brislawn et al., 2019)</w:t>
      </w:r>
      <w:r w:rsidRPr="00410D11">
        <w:rPr>
          <w:rFonts w:ascii="Times New Roman" w:hAnsi="Times New Roman" w:cs="Times New Roman"/>
        </w:rPr>
        <w:t xml:space="preserve"> whilst deterministic processes, such as competition, influence biofilm development in rivers </w:t>
      </w:r>
      <w:r>
        <w:rPr>
          <w:rFonts w:ascii="Times New Roman" w:hAnsi="Times New Roman" w:cs="Times New Roman"/>
          <w:noProof/>
        </w:rPr>
        <w:t>(Besemer et al., 2012)</w:t>
      </w:r>
      <w:r w:rsidRPr="00410D11">
        <w:rPr>
          <w:rFonts w:ascii="Times New Roman" w:hAnsi="Times New Roman" w:cs="Times New Roman"/>
        </w:rPr>
        <w:t xml:space="preserve">. Despite this variation in mechanisms, time-dependency is a common factor which is influenced by the type of community (planktonic or attached) or disturbances </w:t>
      </w:r>
      <w:r>
        <w:rPr>
          <w:rFonts w:ascii="Times New Roman" w:hAnsi="Times New Roman" w:cs="Times New Roman"/>
          <w:noProof/>
        </w:rPr>
        <w:t>(Zhou et al., 2014)</w:t>
      </w:r>
      <w:r w:rsidRPr="00410D11">
        <w:rPr>
          <w:rFonts w:ascii="Times New Roman" w:hAnsi="Times New Roman" w:cs="Times New Roman"/>
        </w:rPr>
        <w:t>.</w:t>
      </w:r>
    </w:p>
    <w:p w14:paraId="3972D7B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In the current study, analysis of the processes that controlled microbial community structure demonstrated that both deterministic and stochastic processes were important. Where deterministic processes operated, βNTI values were always positive indicating that communities were more different than expected by chance. Changes in field, planktonic samples over time were dominated by source-term variation. During the first 100 days of sampling, total phenolics were high and variable but were lower and more stable thereafter. Field planktonic samples represent ‘volumes’ of groundwater flowing past the sampling well. High phenolic concentrations have a strong selective effect on the microbial community leading to high, positive βNTI values if the environment differs between sampling points. After 100 days, when conditions were less variable, βNTI values were lower and stochastic processes </w:t>
      </w:r>
      <w:r w:rsidRPr="00410D11">
        <w:rPr>
          <w:rFonts w:ascii="Times New Roman" w:hAnsi="Times New Roman" w:cs="Times New Roman"/>
        </w:rPr>
        <w:lastRenderedPageBreak/>
        <w:t xml:space="preserve">became important, indicative of dispersal limitation. In field, attached communities, a mixture of deterministic and stochastic processes operated. Strong deterministic processes were evident in comparisons between field, attached and planktonic communities, supporting the view that organisms are adapted to the different growth phases. </w:t>
      </w:r>
    </w:p>
    <w:p w14:paraId="05CA11D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Broadly similar responses were seen in microcosm samples although deterministic processes, whilst evident, were less strong. At later timepoints (100 days+) planktonic, microcosm communities were driven by stochastic processes with high dispersal, </w:t>
      </w:r>
      <w:proofErr w:type="gramStart"/>
      <w:r w:rsidRPr="00410D11">
        <w:rPr>
          <w:rFonts w:ascii="Times New Roman" w:hAnsi="Times New Roman" w:cs="Times New Roman"/>
        </w:rPr>
        <w:t>i.e.</w:t>
      </w:r>
      <w:proofErr w:type="gramEnd"/>
      <w:r w:rsidRPr="00410D11">
        <w:rPr>
          <w:rFonts w:ascii="Times New Roman" w:hAnsi="Times New Roman" w:cs="Times New Roman"/>
        </w:rPr>
        <w:t xml:space="preserve"> organisms within these systems could mix freely. This is expected as the planktonic community had adapted to the stable microcosm environment and differences between samples occurred large by chance. Deterministic processes were still evident in comparisons between microcosm, attached and planktonic communities. </w:t>
      </w:r>
    </w:p>
    <w:p w14:paraId="341A81AD" w14:textId="77777777" w:rsidR="00267E22" w:rsidRPr="00410D11" w:rsidRDefault="00267E22" w:rsidP="001656AE">
      <w:pPr>
        <w:pStyle w:val="Normal1"/>
        <w:spacing w:line="480" w:lineRule="auto"/>
        <w:jc w:val="both"/>
        <w:rPr>
          <w:rFonts w:ascii="Times New Roman" w:hAnsi="Times New Roman" w:cs="Times New Roman"/>
        </w:rPr>
      </w:pPr>
      <w:r w:rsidRPr="00410D11">
        <w:rPr>
          <w:rFonts w:ascii="Times New Roman" w:hAnsi="Times New Roman" w:cs="Times New Roman"/>
        </w:rPr>
        <w:t xml:space="preserve">High throughput sequencing of 16S rRNA genes allowed us to identify OTUs that showed a preference for attached or planktonic growth phases. These preferences were evident in a large proportion of the total community. Whilst organisms that showed a preference for growth in the planktonic phase were still present in the attached phase, albeit at lower abundance, preferential </w:t>
      </w:r>
      <w:proofErr w:type="spellStart"/>
      <w:r w:rsidRPr="00410D11">
        <w:rPr>
          <w:rFonts w:ascii="Times New Roman" w:hAnsi="Times New Roman" w:cs="Times New Roman"/>
        </w:rPr>
        <w:t>attachers</w:t>
      </w:r>
      <w:proofErr w:type="spellEnd"/>
      <w:r w:rsidRPr="00410D11">
        <w:rPr>
          <w:rFonts w:ascii="Times New Roman" w:hAnsi="Times New Roman" w:cs="Times New Roman"/>
        </w:rPr>
        <w:t xml:space="preserve"> showed a much more polarised response, being largely absent from the planktonic phase. This preference could be related to the advantages associated with living within biofilms in chemically changeable environments </w:t>
      </w:r>
      <w:r>
        <w:rPr>
          <w:rFonts w:ascii="Times New Roman" w:hAnsi="Times New Roman" w:cs="Times New Roman"/>
          <w:noProof/>
        </w:rPr>
        <w:t>(Hall-Stoodley et al., 2004; Watnick and Kolter, 2000)</w:t>
      </w:r>
      <w:r w:rsidRPr="00410D11">
        <w:rPr>
          <w:rFonts w:ascii="Times New Roman" w:hAnsi="Times New Roman" w:cs="Times New Roman"/>
        </w:rPr>
        <w:t>, or close physical association facilitating metabolic interactions. The ability to resist environmental disturbances (</w:t>
      </w:r>
      <w:proofErr w:type="gramStart"/>
      <w:r w:rsidRPr="00410D11">
        <w:rPr>
          <w:rFonts w:ascii="Times New Roman" w:hAnsi="Times New Roman" w:cs="Times New Roman"/>
        </w:rPr>
        <w:t>e.g.</w:t>
      </w:r>
      <w:proofErr w:type="gramEnd"/>
      <w:r w:rsidRPr="00410D11">
        <w:rPr>
          <w:rFonts w:ascii="Times New Roman" w:hAnsi="Times New Roman" w:cs="Times New Roman"/>
        </w:rPr>
        <w:t xml:space="preserve"> changes in temperature, pH, aqueous geochemistry) can be tolerated more successfully when microbes are associated in heterogeneous environments, and protected with EPS </w:t>
      </w:r>
      <w:r>
        <w:rPr>
          <w:rFonts w:ascii="Times New Roman" w:hAnsi="Times New Roman" w:cs="Times New Roman"/>
          <w:noProof/>
        </w:rPr>
        <w:t>(Jefferson, 2004; Stewart and Franklin, 2008)</w:t>
      </w:r>
      <w:r w:rsidRPr="00410D11">
        <w:rPr>
          <w:rFonts w:ascii="Times New Roman" w:hAnsi="Times New Roman" w:cs="Times New Roman"/>
        </w:rPr>
        <w:t xml:space="preserve">. Other advantages include the transfer of advantageous genetic material </w:t>
      </w:r>
      <w:r>
        <w:rPr>
          <w:rFonts w:ascii="Times New Roman" w:hAnsi="Times New Roman" w:cs="Times New Roman"/>
          <w:noProof/>
        </w:rPr>
        <w:t>(Angles et al., 1993; Hausner and Wuertz, 1999; Watnick and Kolter, 2000)</w:t>
      </w:r>
      <w:r w:rsidRPr="00410D11">
        <w:rPr>
          <w:rFonts w:ascii="Times New Roman" w:hAnsi="Times New Roman" w:cs="Times New Roman"/>
        </w:rPr>
        <w:t xml:space="preserve"> and the recycling of electron acceptors in environments where these molecules are limited </w:t>
      </w:r>
      <w:r>
        <w:rPr>
          <w:rFonts w:ascii="Times New Roman" w:hAnsi="Times New Roman" w:cs="Times New Roman"/>
          <w:noProof/>
        </w:rPr>
        <w:t>(Hernandez and Newman, 2001)</w:t>
      </w:r>
      <w:r w:rsidRPr="00410D11">
        <w:rPr>
          <w:rFonts w:ascii="Times New Roman" w:hAnsi="Times New Roman" w:cs="Times New Roman"/>
        </w:rPr>
        <w:t xml:space="preserve">. Although a ‘bottle effect’ is evident in the microcosm samples, our data show that preferences for attachment are also seen in samples incubated in the field, with some of the same OTUs found in both field and microcosm samples. For example, preferential </w:t>
      </w:r>
      <w:proofErr w:type="spellStart"/>
      <w:r w:rsidRPr="00410D11">
        <w:rPr>
          <w:rFonts w:ascii="Times New Roman" w:hAnsi="Times New Roman" w:cs="Times New Roman"/>
        </w:rPr>
        <w:t>attachers</w:t>
      </w:r>
      <w:proofErr w:type="spellEnd"/>
      <w:r w:rsidRPr="00410D11">
        <w:rPr>
          <w:rFonts w:ascii="Times New Roman" w:hAnsi="Times New Roman" w:cs="Times New Roman"/>
        </w:rPr>
        <w:t xml:space="preserve"> included members of the </w:t>
      </w:r>
      <w:proofErr w:type="spellStart"/>
      <w:r w:rsidRPr="00410D11">
        <w:rPr>
          <w:rFonts w:ascii="Times New Roman" w:hAnsi="Times New Roman" w:cs="Times New Roman"/>
          <w:i/>
          <w:iCs/>
        </w:rPr>
        <w:t>Alkanindiges</w:t>
      </w:r>
      <w:proofErr w:type="spellEnd"/>
      <w:r w:rsidRPr="00410D11">
        <w:rPr>
          <w:rFonts w:ascii="Times New Roman" w:hAnsi="Times New Roman" w:cs="Times New Roman"/>
        </w:rPr>
        <w:t xml:space="preserve"> in both field microcosm and field samples, which are known hydrocarbon degraders. </w:t>
      </w:r>
    </w:p>
    <w:p w14:paraId="77EDA243" w14:textId="77777777" w:rsidR="00267E22" w:rsidRPr="00410D11" w:rsidRDefault="00267E22" w:rsidP="001656AE">
      <w:pPr>
        <w:pStyle w:val="Normal1"/>
        <w:spacing w:line="480" w:lineRule="auto"/>
        <w:jc w:val="both"/>
        <w:rPr>
          <w:rFonts w:ascii="Times New Roman" w:hAnsi="Times New Roman" w:cs="Times New Roman"/>
        </w:rPr>
      </w:pPr>
      <w:r w:rsidRPr="00410D11">
        <w:rPr>
          <w:rFonts w:ascii="Times New Roman" w:hAnsi="Times New Roman" w:cs="Times New Roman"/>
        </w:rPr>
        <w:lastRenderedPageBreak/>
        <w:t>The preference of specific OTUs for the aquifer sediment could be explained by different physical and physiological properties (</w:t>
      </w:r>
      <w:proofErr w:type="gramStart"/>
      <w:r w:rsidRPr="00410D11">
        <w:rPr>
          <w:rFonts w:ascii="Times New Roman" w:hAnsi="Times New Roman" w:cs="Times New Roman"/>
        </w:rPr>
        <w:t>e.g.</w:t>
      </w:r>
      <w:proofErr w:type="gramEnd"/>
      <w:r w:rsidRPr="00410D11">
        <w:rPr>
          <w:rFonts w:ascii="Times New Roman" w:hAnsi="Times New Roman" w:cs="Times New Roman"/>
        </w:rPr>
        <w:t xml:space="preserve"> presence of extracellular motile organelles and production of EPS) aiding their rapid attachment. Network analysis identified 10 main submodules within the preferential </w:t>
      </w:r>
      <w:proofErr w:type="spellStart"/>
      <w:r w:rsidRPr="00410D11">
        <w:rPr>
          <w:rFonts w:ascii="Times New Roman" w:hAnsi="Times New Roman" w:cs="Times New Roman"/>
        </w:rPr>
        <w:t>attachers</w:t>
      </w:r>
      <w:proofErr w:type="spellEnd"/>
      <w:r w:rsidRPr="00410D11">
        <w:rPr>
          <w:rFonts w:ascii="Times New Roman" w:hAnsi="Times New Roman" w:cs="Times New Roman"/>
        </w:rPr>
        <w:t xml:space="preserve">, which included many OTUs with known abilities to degrade organic compounds. Module I included </w:t>
      </w:r>
      <w:proofErr w:type="spellStart"/>
      <w:r w:rsidRPr="00410D11">
        <w:rPr>
          <w:rFonts w:ascii="Times New Roman" w:hAnsi="Times New Roman" w:cs="Times New Roman"/>
          <w:i/>
          <w:iCs/>
        </w:rPr>
        <w:t>Alkanindiges</w:t>
      </w:r>
      <w:proofErr w:type="spellEnd"/>
      <w:r w:rsidRPr="00410D11">
        <w:rPr>
          <w:rFonts w:ascii="Times New Roman" w:hAnsi="Times New Roman" w:cs="Times New Roman"/>
          <w:i/>
          <w:iCs/>
        </w:rPr>
        <w:t xml:space="preserve"> spp.</w:t>
      </w:r>
      <w:r w:rsidRPr="00410D11">
        <w:rPr>
          <w:rFonts w:ascii="Times New Roman" w:hAnsi="Times New Roman" w:cs="Times New Roman"/>
        </w:rPr>
        <w:t xml:space="preserve"> (Family </w:t>
      </w:r>
      <w:proofErr w:type="spellStart"/>
      <w:r w:rsidRPr="00410D11">
        <w:rPr>
          <w:rFonts w:ascii="Times New Roman" w:hAnsi="Times New Roman" w:cs="Times New Roman"/>
        </w:rPr>
        <w:t>Moraxellaceae</w:t>
      </w:r>
      <w:proofErr w:type="spellEnd"/>
      <w:r w:rsidRPr="00410D11">
        <w:rPr>
          <w:rFonts w:ascii="Times New Roman" w:hAnsi="Times New Roman" w:cs="Times New Roman"/>
        </w:rPr>
        <w:t xml:space="preserve">), whilst module II contained </w:t>
      </w:r>
      <w:proofErr w:type="spellStart"/>
      <w:r w:rsidRPr="00410D11">
        <w:rPr>
          <w:rFonts w:ascii="Times New Roman" w:hAnsi="Times New Roman" w:cs="Times New Roman"/>
          <w:i/>
          <w:iCs/>
        </w:rPr>
        <w:t>Magnetospirillum</w:t>
      </w:r>
      <w:proofErr w:type="spellEnd"/>
      <w:r w:rsidRPr="00410D11">
        <w:rPr>
          <w:rFonts w:ascii="Times New Roman" w:hAnsi="Times New Roman" w:cs="Times New Roman"/>
        </w:rPr>
        <w:t xml:space="preserve"> </w:t>
      </w:r>
      <w:r w:rsidRPr="00410D11">
        <w:rPr>
          <w:rFonts w:ascii="Times New Roman" w:hAnsi="Times New Roman" w:cs="Times New Roman"/>
          <w:i/>
        </w:rPr>
        <w:t>spp</w:t>
      </w:r>
      <w:r w:rsidRPr="00410D11">
        <w:rPr>
          <w:rFonts w:ascii="Times New Roman" w:hAnsi="Times New Roman" w:cs="Times New Roman"/>
        </w:rPr>
        <w:t xml:space="preserve">. These are able to degrade aromatic compounds, particularly </w:t>
      </w:r>
      <w:r w:rsidRPr="00410D11">
        <w:rPr>
          <w:rFonts w:ascii="Times New Roman" w:hAnsi="Times New Roman" w:cs="Times New Roman"/>
          <w:i/>
          <w:iCs/>
        </w:rPr>
        <w:t>p</w:t>
      </w:r>
      <w:r w:rsidRPr="00410D11">
        <w:rPr>
          <w:rFonts w:ascii="Times New Roman" w:hAnsi="Times New Roman" w:cs="Times New Roman"/>
        </w:rPr>
        <w:t xml:space="preserve">-cresol using iron as an electron acceptor and have been identified in biofilms of pump and treat systems treating gasoline-contaminated groundwater </w:t>
      </w:r>
      <w:r>
        <w:rPr>
          <w:rFonts w:ascii="Times New Roman" w:hAnsi="Times New Roman" w:cs="Times New Roman"/>
          <w:noProof/>
        </w:rPr>
        <w:t>(Benedek et al., 2016; Shinoda et al., 2005)</w:t>
      </w:r>
      <w:r w:rsidRPr="00410D11">
        <w:rPr>
          <w:rFonts w:ascii="Times New Roman" w:hAnsi="Times New Roman" w:cs="Times New Roman"/>
        </w:rPr>
        <w:t xml:space="preserve">. Module III contained several </w:t>
      </w:r>
      <w:proofErr w:type="spellStart"/>
      <w:r w:rsidRPr="00410D11">
        <w:rPr>
          <w:rFonts w:ascii="Times New Roman" w:hAnsi="Times New Roman" w:cs="Times New Roman"/>
          <w:i/>
          <w:iCs/>
        </w:rPr>
        <w:t>Cornybacterium</w:t>
      </w:r>
      <w:proofErr w:type="spellEnd"/>
      <w:r w:rsidRPr="00410D11">
        <w:rPr>
          <w:rFonts w:ascii="Times New Roman" w:hAnsi="Times New Roman" w:cs="Times New Roman"/>
        </w:rPr>
        <w:t xml:space="preserve"> spp. which are able to use manganese as an electron acceptor and are proposed to be present in aquifer sediments </w:t>
      </w:r>
      <w:r>
        <w:rPr>
          <w:rFonts w:ascii="Times New Roman" w:hAnsi="Times New Roman" w:cs="Times New Roman"/>
          <w:noProof/>
        </w:rPr>
        <w:t>(Di-Ruggiero and Gounot, 1990; Du et al., 2010)</w:t>
      </w:r>
      <w:r w:rsidRPr="00410D11">
        <w:rPr>
          <w:rFonts w:ascii="Times New Roman" w:hAnsi="Times New Roman" w:cs="Times New Roman"/>
        </w:rPr>
        <w:t xml:space="preserve">. Some organisms found to be preferential </w:t>
      </w:r>
      <w:proofErr w:type="spellStart"/>
      <w:r w:rsidRPr="00410D11">
        <w:rPr>
          <w:rFonts w:ascii="Times New Roman" w:hAnsi="Times New Roman" w:cs="Times New Roman"/>
        </w:rPr>
        <w:t>attachers</w:t>
      </w:r>
      <w:proofErr w:type="spellEnd"/>
      <w:r w:rsidRPr="00410D11">
        <w:rPr>
          <w:rFonts w:ascii="Times New Roman" w:hAnsi="Times New Roman" w:cs="Times New Roman"/>
        </w:rPr>
        <w:t xml:space="preserve"> included those first identified as human or animal associated (</w:t>
      </w:r>
      <w:proofErr w:type="gramStart"/>
      <w:r w:rsidRPr="00410D11">
        <w:rPr>
          <w:rFonts w:ascii="Times New Roman" w:hAnsi="Times New Roman" w:cs="Times New Roman"/>
        </w:rPr>
        <w:t>e.g.</w:t>
      </w:r>
      <w:proofErr w:type="gramEnd"/>
      <w:r w:rsidRPr="00410D11">
        <w:rPr>
          <w:rFonts w:ascii="Times New Roman" w:hAnsi="Times New Roman" w:cs="Times New Roman"/>
        </w:rPr>
        <w:t xml:space="preserve"> members of the </w:t>
      </w:r>
      <w:r w:rsidRPr="00410D11">
        <w:rPr>
          <w:rFonts w:ascii="Times New Roman" w:hAnsi="Times New Roman" w:cs="Times New Roman"/>
          <w:i/>
          <w:iCs/>
        </w:rPr>
        <w:t xml:space="preserve">Neisseria </w:t>
      </w:r>
      <w:r w:rsidRPr="00410D11">
        <w:rPr>
          <w:rFonts w:ascii="Times New Roman" w:hAnsi="Times New Roman" w:cs="Times New Roman"/>
        </w:rPr>
        <w:t xml:space="preserve">or </w:t>
      </w:r>
      <w:proofErr w:type="spellStart"/>
      <w:r w:rsidRPr="00410D11">
        <w:rPr>
          <w:rFonts w:ascii="Times New Roman" w:hAnsi="Times New Roman" w:cs="Times New Roman"/>
          <w:i/>
          <w:iCs/>
        </w:rPr>
        <w:t>Staphylococcaceae</w:t>
      </w:r>
      <w:proofErr w:type="spellEnd"/>
      <w:r w:rsidRPr="00410D11">
        <w:rPr>
          <w:rFonts w:ascii="Times New Roman" w:hAnsi="Times New Roman" w:cs="Times New Roman"/>
        </w:rPr>
        <w:t xml:space="preserve">), (module VIII), but many of these have subsequently been identified in environmental samples and associated with biofilms. </w:t>
      </w:r>
      <w:r w:rsidRPr="00410D11">
        <w:rPr>
          <w:rFonts w:ascii="Times New Roman" w:hAnsi="Times New Roman" w:cs="Times New Roman"/>
          <w:i/>
        </w:rPr>
        <w:t>Staphylococcus</w:t>
      </w:r>
      <w:r w:rsidRPr="00410D11">
        <w:rPr>
          <w:rFonts w:ascii="Times New Roman" w:hAnsi="Times New Roman" w:cs="Times New Roman"/>
        </w:rPr>
        <w:t xml:space="preserve"> spp. have been detected in groundwater from contaminated aquifers </w:t>
      </w:r>
      <w:r>
        <w:rPr>
          <w:rFonts w:ascii="Times New Roman" w:hAnsi="Times New Roman" w:cs="Times New Roman"/>
          <w:noProof/>
        </w:rPr>
        <w:t>(Grisey et al., 2010; Krapac et al., 2002; Ozler and Aydin, 2008)</w:t>
      </w:r>
      <w:r w:rsidRPr="00410D11">
        <w:rPr>
          <w:rFonts w:ascii="Times New Roman" w:hAnsi="Times New Roman" w:cs="Times New Roman"/>
        </w:rPr>
        <w:t xml:space="preserve"> and is known to form biofilms on environmental surfaces </w:t>
      </w:r>
      <w:r>
        <w:rPr>
          <w:rFonts w:ascii="Times New Roman" w:hAnsi="Times New Roman" w:cs="Times New Roman"/>
          <w:noProof/>
        </w:rPr>
        <w:t>(Leroy et al., 2010)</w:t>
      </w:r>
      <w:r w:rsidRPr="00410D11">
        <w:rPr>
          <w:rFonts w:ascii="Times New Roman" w:hAnsi="Times New Roman" w:cs="Times New Roman"/>
        </w:rPr>
        <w:t xml:space="preserve">. </w:t>
      </w:r>
      <w:r w:rsidRPr="00410D11">
        <w:rPr>
          <w:rFonts w:ascii="Times New Roman" w:hAnsi="Times New Roman" w:cs="Times New Roman"/>
          <w:i/>
          <w:iCs/>
        </w:rPr>
        <w:t xml:space="preserve">Neisseria spp. </w:t>
      </w:r>
      <w:r w:rsidRPr="00410D11">
        <w:rPr>
          <w:rFonts w:ascii="Times New Roman" w:hAnsi="Times New Roman" w:cs="Times New Roman"/>
        </w:rPr>
        <w:t xml:space="preserve">are commonly found associated with animal hosts but also in contaminated environments and can degrade pollutants </w:t>
      </w:r>
      <w:r>
        <w:rPr>
          <w:rFonts w:ascii="Times New Roman" w:hAnsi="Times New Roman" w:cs="Times New Roman"/>
          <w:noProof/>
        </w:rPr>
        <w:t>(Liu et al., 2015)</w:t>
      </w:r>
      <w:r w:rsidRPr="00410D11">
        <w:rPr>
          <w:rFonts w:ascii="Times New Roman" w:hAnsi="Times New Roman" w:cs="Times New Roman"/>
        </w:rPr>
        <w:t xml:space="preserve">. In the field, late colonisers included </w:t>
      </w:r>
      <w:r w:rsidRPr="00410D11">
        <w:rPr>
          <w:rFonts w:ascii="Times New Roman" w:hAnsi="Times New Roman" w:cs="Times New Roman"/>
          <w:i/>
          <w:iCs/>
        </w:rPr>
        <w:t xml:space="preserve">Ellin6607 sp., </w:t>
      </w:r>
      <w:proofErr w:type="spellStart"/>
      <w:r w:rsidRPr="00410D11">
        <w:rPr>
          <w:rFonts w:ascii="Times New Roman" w:hAnsi="Times New Roman" w:cs="Times New Roman"/>
          <w:i/>
        </w:rPr>
        <w:t>Dokdonella</w:t>
      </w:r>
      <w:proofErr w:type="spellEnd"/>
      <w:r w:rsidRPr="00410D11">
        <w:rPr>
          <w:rFonts w:ascii="Times New Roman" w:hAnsi="Times New Roman" w:cs="Times New Roman"/>
          <w:i/>
        </w:rPr>
        <w:t xml:space="preserve"> </w:t>
      </w:r>
      <w:r w:rsidRPr="00410D11">
        <w:rPr>
          <w:rFonts w:ascii="Times New Roman" w:hAnsi="Times New Roman" w:cs="Times New Roman"/>
          <w:i/>
          <w:iCs/>
        </w:rPr>
        <w:t>sp</w:t>
      </w:r>
      <w:r w:rsidRPr="00410D11">
        <w:rPr>
          <w:rFonts w:ascii="Times New Roman" w:hAnsi="Times New Roman" w:cs="Times New Roman"/>
          <w:iCs/>
        </w:rPr>
        <w:t xml:space="preserve">., which has been described in biofilms used to treat wastewater </w:t>
      </w:r>
      <w:r>
        <w:rPr>
          <w:rFonts w:ascii="Times New Roman" w:hAnsi="Times New Roman" w:cs="Times New Roman"/>
          <w:iCs/>
          <w:noProof/>
        </w:rPr>
        <w:t>(Jiang et al., 2018; Xia et al., 2005)</w:t>
      </w:r>
      <w:r w:rsidRPr="00410D11">
        <w:rPr>
          <w:rFonts w:ascii="Times New Roman" w:hAnsi="Times New Roman" w:cs="Times New Roman"/>
          <w:iCs/>
        </w:rPr>
        <w:t xml:space="preserve"> and </w:t>
      </w:r>
      <w:r w:rsidRPr="00410D11">
        <w:rPr>
          <w:rFonts w:ascii="Times New Roman" w:hAnsi="Times New Roman" w:cs="Times New Roman"/>
          <w:i/>
          <w:iCs/>
        </w:rPr>
        <w:t>Rhodococcus sp</w:t>
      </w:r>
      <w:r w:rsidRPr="00410D11">
        <w:rPr>
          <w:rFonts w:ascii="Times New Roman" w:hAnsi="Times New Roman" w:cs="Times New Roman"/>
          <w:iCs/>
        </w:rPr>
        <w:t xml:space="preserve">. reported in biofilters treating naphthenic acids </w:t>
      </w:r>
      <w:r>
        <w:rPr>
          <w:rFonts w:ascii="Times New Roman" w:hAnsi="Times New Roman" w:cs="Times New Roman"/>
          <w:iCs/>
          <w:noProof/>
        </w:rPr>
        <w:t>(Zhang et al., 2019)</w:t>
      </w:r>
      <w:r w:rsidRPr="00410D11">
        <w:rPr>
          <w:rFonts w:ascii="Times New Roman" w:hAnsi="Times New Roman" w:cs="Times New Roman"/>
          <w:iCs/>
        </w:rPr>
        <w:t xml:space="preserve">. Other modules (IV and IX) contained other common degraders such as </w:t>
      </w:r>
      <w:r w:rsidRPr="00410D11">
        <w:rPr>
          <w:rFonts w:ascii="Times New Roman" w:hAnsi="Times New Roman" w:cs="Times New Roman"/>
          <w:i/>
        </w:rPr>
        <w:t>Pseudomonas</w:t>
      </w:r>
      <w:r w:rsidRPr="00410D11">
        <w:rPr>
          <w:rFonts w:ascii="Times New Roman" w:hAnsi="Times New Roman" w:cs="Times New Roman"/>
          <w:iCs/>
        </w:rPr>
        <w:t xml:space="preserve"> and </w:t>
      </w:r>
      <w:proofErr w:type="spellStart"/>
      <w:r w:rsidRPr="00410D11">
        <w:rPr>
          <w:rFonts w:ascii="Times New Roman" w:hAnsi="Times New Roman" w:cs="Times New Roman"/>
          <w:i/>
        </w:rPr>
        <w:t>Sphingomonas</w:t>
      </w:r>
      <w:proofErr w:type="spellEnd"/>
      <w:r w:rsidRPr="00410D11">
        <w:rPr>
          <w:rFonts w:ascii="Times New Roman" w:hAnsi="Times New Roman" w:cs="Times New Roman"/>
          <w:iCs/>
        </w:rPr>
        <w:t xml:space="preserve"> spp. </w:t>
      </w:r>
      <w:r w:rsidRPr="00410D11">
        <w:rPr>
          <w:rFonts w:ascii="Times New Roman" w:hAnsi="Times New Roman" w:cs="Times New Roman"/>
        </w:rPr>
        <w:t xml:space="preserve">These have been described as early colonisers and EPS producers during biofilm formation on reverse osmosis </w:t>
      </w:r>
      <w:proofErr w:type="gramStart"/>
      <w:r w:rsidRPr="00410D11">
        <w:rPr>
          <w:rFonts w:ascii="Times New Roman" w:hAnsi="Times New Roman" w:cs="Times New Roman"/>
        </w:rPr>
        <w:t>membranes, and</w:t>
      </w:r>
      <w:proofErr w:type="gramEnd"/>
      <w:r w:rsidRPr="00410D11">
        <w:rPr>
          <w:rFonts w:ascii="Times New Roman" w:hAnsi="Times New Roman" w:cs="Times New Roman"/>
        </w:rPr>
        <w:t xml:space="preserve"> facilitating the attachment of other microbes </w:t>
      </w:r>
      <w:r>
        <w:rPr>
          <w:rFonts w:ascii="Times New Roman" w:hAnsi="Times New Roman" w:cs="Times New Roman"/>
          <w:noProof/>
        </w:rPr>
        <w:t>(Bereschenko et al., 2010; Vu et al., 2009)</w:t>
      </w:r>
      <w:r w:rsidRPr="00410D11">
        <w:rPr>
          <w:rFonts w:ascii="Times New Roman" w:hAnsi="Times New Roman" w:cs="Times New Roman"/>
          <w:noProof/>
        </w:rPr>
        <w:t>.</w:t>
      </w:r>
    </w:p>
    <w:p w14:paraId="7276CB10" w14:textId="77777777" w:rsidR="00267E22" w:rsidRPr="00410D11" w:rsidRDefault="00267E22" w:rsidP="001656AE">
      <w:pPr>
        <w:pStyle w:val="Normal1"/>
        <w:spacing w:line="480" w:lineRule="auto"/>
        <w:jc w:val="both"/>
        <w:rPr>
          <w:rFonts w:ascii="Times New Roman" w:hAnsi="Times New Roman" w:cs="Times New Roman"/>
        </w:rPr>
      </w:pPr>
      <w:r w:rsidRPr="00410D11">
        <w:rPr>
          <w:rFonts w:ascii="Times New Roman" w:hAnsi="Times New Roman" w:cs="Times New Roman"/>
        </w:rPr>
        <w:t xml:space="preserve">Preferential planktonic OTUs were more flexible, in that they were also represented in the attached community at moderate relative abundances. This could reflect their ability to express different properties or physiological states according to their lifestyle </w:t>
      </w:r>
      <w:r>
        <w:rPr>
          <w:rFonts w:ascii="Times New Roman" w:hAnsi="Times New Roman" w:cs="Times New Roman"/>
          <w:noProof/>
        </w:rPr>
        <w:t>(Costerton et al., 2003; Mah and O'Toole, 2001; Moreno-Paz et al., 2010)</w:t>
      </w:r>
      <w:r w:rsidRPr="00410D11">
        <w:rPr>
          <w:rFonts w:ascii="Times New Roman" w:hAnsi="Times New Roman" w:cs="Times New Roman"/>
        </w:rPr>
        <w:t xml:space="preserve">. This is a common strategy used by microbial community members </w:t>
      </w:r>
      <w:r w:rsidRPr="00410D11">
        <w:rPr>
          <w:rFonts w:ascii="Times New Roman" w:hAnsi="Times New Roman" w:cs="Times New Roman"/>
        </w:rPr>
        <w:lastRenderedPageBreak/>
        <w:t xml:space="preserve">during their lifecycle, which can include attachment and detachment events during the biofilm formation </w:t>
      </w:r>
      <w:r>
        <w:rPr>
          <w:rFonts w:ascii="Times New Roman" w:hAnsi="Times New Roman" w:cs="Times New Roman"/>
          <w:noProof/>
        </w:rPr>
        <w:t>(Watnick and Kolter, 2000)</w:t>
      </w:r>
      <w:r w:rsidRPr="00410D11">
        <w:rPr>
          <w:rFonts w:ascii="Times New Roman" w:hAnsi="Times New Roman" w:cs="Times New Roman"/>
        </w:rPr>
        <w:t>.</w:t>
      </w:r>
    </w:p>
    <w:p w14:paraId="52592636" w14:textId="77777777" w:rsidR="00267E22" w:rsidRPr="00410D11" w:rsidRDefault="00267E22" w:rsidP="001656AE">
      <w:pPr>
        <w:pStyle w:val="Normal1"/>
        <w:spacing w:line="480" w:lineRule="auto"/>
        <w:jc w:val="both"/>
        <w:rPr>
          <w:rFonts w:ascii="Times New Roman" w:hAnsi="Times New Roman" w:cs="Times New Roman"/>
        </w:rPr>
      </w:pPr>
      <w:r w:rsidRPr="00410D11">
        <w:rPr>
          <w:rFonts w:ascii="Times New Roman" w:hAnsi="Times New Roman" w:cs="Times New Roman"/>
        </w:rPr>
        <w:t>The microbial dynamics (</w:t>
      </w:r>
      <w:proofErr w:type="gramStart"/>
      <w:r w:rsidRPr="00410D11">
        <w:rPr>
          <w:rFonts w:ascii="Times New Roman" w:hAnsi="Times New Roman" w:cs="Times New Roman"/>
        </w:rPr>
        <w:t>i.e.</w:t>
      </w:r>
      <w:proofErr w:type="gramEnd"/>
      <w:r w:rsidRPr="00410D11">
        <w:rPr>
          <w:rFonts w:ascii="Times New Roman" w:hAnsi="Times New Roman" w:cs="Times New Roman"/>
        </w:rPr>
        <w:t xml:space="preserve"> time scale of microbial attachment, progressive changes in diversity indices and preferences for different growth phases) seen in this study are likely to be relevant to other systems where space for attachment is not limited, but other limitations (e.g. micronutrients) restrict microbial growth, leading to the formation of sparse biofilms. The microcosm samples mirrored many aspects of the </w:t>
      </w:r>
      <w:proofErr w:type="gramStart"/>
      <w:r w:rsidRPr="00410D11">
        <w:rPr>
          <w:rFonts w:ascii="Times New Roman" w:hAnsi="Times New Roman" w:cs="Times New Roman"/>
          <w:i/>
          <w:iCs/>
        </w:rPr>
        <w:t>in situ</w:t>
      </w:r>
      <w:proofErr w:type="gramEnd"/>
      <w:r w:rsidRPr="00410D11">
        <w:rPr>
          <w:rFonts w:ascii="Times New Roman" w:hAnsi="Times New Roman" w:cs="Times New Roman"/>
          <w:i/>
          <w:iCs/>
        </w:rPr>
        <w:t xml:space="preserve"> </w:t>
      </w:r>
      <w:r w:rsidRPr="00410D11">
        <w:rPr>
          <w:rFonts w:ascii="Times New Roman" w:hAnsi="Times New Roman" w:cs="Times New Roman"/>
        </w:rPr>
        <w:t xml:space="preserve">field samples, demonstrating that microcosm studies can replicate many aspects of attached community development </w:t>
      </w:r>
      <w:r w:rsidRPr="00410D11">
        <w:rPr>
          <w:rFonts w:ascii="Times New Roman" w:hAnsi="Times New Roman" w:cs="Times New Roman"/>
          <w:i/>
        </w:rPr>
        <w:t xml:space="preserve">in situ. </w:t>
      </w:r>
      <w:r w:rsidRPr="00410D11">
        <w:rPr>
          <w:rFonts w:ascii="Times New Roman" w:hAnsi="Times New Roman" w:cs="Times New Roman"/>
        </w:rPr>
        <w:t>This has significant implications for studies seeking to parameterise models underpinning the application of bioremediation or MNA for groundwater treatment, as microcosm studies are amenable to manipulation, thus allowing different field and intervention scenarios to be investigated.</w:t>
      </w:r>
    </w:p>
    <w:p w14:paraId="411BDA22" w14:textId="77777777" w:rsidR="00267E22" w:rsidRPr="00410D11" w:rsidRDefault="00267E22" w:rsidP="001656AE">
      <w:pPr>
        <w:pStyle w:val="Normal1"/>
        <w:spacing w:line="480" w:lineRule="auto"/>
        <w:jc w:val="both"/>
        <w:rPr>
          <w:rFonts w:ascii="Times New Roman" w:hAnsi="Times New Roman" w:cs="Times New Roman"/>
          <w:b/>
          <w:bCs/>
        </w:rPr>
      </w:pPr>
      <w:r w:rsidRPr="00410D11">
        <w:rPr>
          <w:rFonts w:ascii="Times New Roman" w:hAnsi="Times New Roman" w:cs="Times New Roman"/>
          <w:b/>
          <w:bCs/>
        </w:rPr>
        <w:t>Conclusions</w:t>
      </w:r>
    </w:p>
    <w:p w14:paraId="648C0F22" w14:textId="77777777" w:rsidR="00267E22" w:rsidRPr="00410D11" w:rsidRDefault="00267E22" w:rsidP="001656AE">
      <w:pPr>
        <w:pStyle w:val="NormalWeb"/>
        <w:spacing w:line="480" w:lineRule="auto"/>
        <w:rPr>
          <w:rFonts w:eastAsia="Calibri"/>
          <w:color w:val="000000"/>
          <w:sz w:val="22"/>
          <w:szCs w:val="22"/>
        </w:rPr>
      </w:pPr>
      <w:r w:rsidRPr="00410D11">
        <w:rPr>
          <w:rFonts w:eastAsia="Calibri"/>
          <w:color w:val="000000"/>
          <w:sz w:val="22"/>
          <w:szCs w:val="22"/>
        </w:rPr>
        <w:t xml:space="preserve">This study has shown that numerically-stable attached microbial communities developed after ~100 days when sterile aquifer material was introduced into a complex planktonic community in a contaminated aquifer. This interval is therefore </w:t>
      </w:r>
      <w:r>
        <w:rPr>
          <w:rFonts w:eastAsia="Calibri"/>
          <w:color w:val="000000"/>
          <w:sz w:val="22"/>
          <w:szCs w:val="22"/>
        </w:rPr>
        <w:t xml:space="preserve">likely </w:t>
      </w:r>
      <w:r w:rsidRPr="00410D11">
        <w:rPr>
          <w:rFonts w:eastAsia="Calibri"/>
          <w:color w:val="000000"/>
          <w:sz w:val="22"/>
          <w:szCs w:val="22"/>
        </w:rPr>
        <w:t xml:space="preserve">an emergent property of the attached microbial communities, as </w:t>
      </w:r>
      <w:r w:rsidRPr="00410D11">
        <w:rPr>
          <w:rFonts w:eastAsia="Calibri"/>
          <w:i/>
          <w:color w:val="000000"/>
          <w:sz w:val="22"/>
          <w:szCs w:val="22"/>
        </w:rPr>
        <w:t xml:space="preserve">in situ </w:t>
      </w:r>
      <w:r w:rsidRPr="00410D11">
        <w:rPr>
          <w:rFonts w:eastAsia="Calibri"/>
          <w:color w:val="000000"/>
          <w:sz w:val="22"/>
          <w:szCs w:val="22"/>
        </w:rPr>
        <w:t>and laboratory microcosms required a remarkably similar period for cell numbers to stabilise. However, community membership continued to change over longer periods. We provide evidence that significant numbers of community members show</w:t>
      </w:r>
      <w:r>
        <w:rPr>
          <w:rFonts w:eastAsia="Calibri"/>
          <w:color w:val="000000"/>
          <w:sz w:val="22"/>
          <w:szCs w:val="22"/>
        </w:rPr>
        <w:t>ed</w:t>
      </w:r>
      <w:r w:rsidRPr="00410D11">
        <w:rPr>
          <w:rFonts w:eastAsia="Calibri"/>
          <w:color w:val="000000"/>
          <w:sz w:val="22"/>
          <w:szCs w:val="22"/>
        </w:rPr>
        <w:t xml:space="preserve"> preferences for different lifestyles. Attached members showed a strong predilection for attachment to substrates and co-occurred with microbes with similar preferences. These findings are of relevance to environments where the carbon supply is not </w:t>
      </w:r>
      <w:proofErr w:type="gramStart"/>
      <w:r w:rsidRPr="00410D11">
        <w:rPr>
          <w:rFonts w:eastAsia="Calibri"/>
          <w:color w:val="000000"/>
          <w:sz w:val="22"/>
          <w:szCs w:val="22"/>
        </w:rPr>
        <w:t>limited</w:t>
      </w:r>
      <w:proofErr w:type="gramEnd"/>
      <w:r w:rsidRPr="00410D11">
        <w:rPr>
          <w:rFonts w:eastAsia="Calibri"/>
          <w:color w:val="000000"/>
          <w:sz w:val="22"/>
          <w:szCs w:val="22"/>
        </w:rPr>
        <w:t xml:space="preserve"> and the attached community develops as sparse biofilms. In such systems, the time scale of microbial attachment is often assumed, but here we offer evidence of the periods required for different aspects of the community to become apparent. In terms of plume management and hydrogeological modelling, our study explores microbial dynamics and community membership that is often put into a “black-box”, by management or engineered interventions that seek to remediate groundwater contamination. These data will help parameterise models underpinning the application of </w:t>
      </w:r>
      <w:r w:rsidRPr="00410D11">
        <w:rPr>
          <w:rFonts w:eastAsia="Calibri"/>
          <w:color w:val="000000"/>
          <w:sz w:val="22"/>
          <w:szCs w:val="22"/>
        </w:rPr>
        <w:lastRenderedPageBreak/>
        <w:t>bioremediation and MNA for the treatment and management of contaminated groundwater in a more realistic manner.</w:t>
      </w:r>
    </w:p>
    <w:p w14:paraId="6C2D81D0"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Methods</w:t>
      </w:r>
    </w:p>
    <w:p w14:paraId="28D9E912"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Substrate preparation</w:t>
      </w:r>
    </w:p>
    <w:p w14:paraId="4ACF2F94" w14:textId="77777777" w:rsidR="00267E22" w:rsidRPr="00410D11" w:rsidRDefault="00267E22" w:rsidP="001656AE">
      <w:pPr>
        <w:rPr>
          <w:rFonts w:ascii="Times New Roman" w:hAnsi="Times New Roman" w:cs="Times New Roman"/>
        </w:rPr>
      </w:pPr>
      <w:proofErr w:type="spellStart"/>
      <w:r w:rsidRPr="00410D11">
        <w:rPr>
          <w:rFonts w:ascii="Times New Roman" w:hAnsi="Times New Roman" w:cs="Times New Roman"/>
        </w:rPr>
        <w:t>Permo</w:t>
      </w:r>
      <w:proofErr w:type="spellEnd"/>
      <w:r w:rsidRPr="00410D11">
        <w:rPr>
          <w:rFonts w:ascii="Times New Roman" w:hAnsi="Times New Roman" w:cs="Times New Roman"/>
        </w:rPr>
        <w:t xml:space="preserve">-Triassic red sandstone with similar mineralogy to the original aquifer material, as described by Harrison </w:t>
      </w:r>
      <w:r w:rsidRPr="00410D11">
        <w:rPr>
          <w:rFonts w:ascii="Times New Roman" w:hAnsi="Times New Roman" w:cs="Times New Roman"/>
          <w:i/>
          <w:iCs/>
        </w:rPr>
        <w:t>et al</w:t>
      </w:r>
      <w:r w:rsidRPr="00410D11">
        <w:rPr>
          <w:rFonts w:ascii="Times New Roman" w:hAnsi="Times New Roman" w:cs="Times New Roman"/>
        </w:rPr>
        <w:t xml:space="preserve"> </w:t>
      </w:r>
      <w:r>
        <w:rPr>
          <w:rFonts w:ascii="Times New Roman" w:hAnsi="Times New Roman" w:cs="Times New Roman"/>
          <w:noProof/>
        </w:rPr>
        <w:t>(Harrison et al., 2001)</w:t>
      </w:r>
      <w:r w:rsidRPr="00410D11">
        <w:rPr>
          <w:rFonts w:ascii="Times New Roman" w:hAnsi="Times New Roman" w:cs="Times New Roman"/>
        </w:rPr>
        <w:t xml:space="preserve">, was obtained from Penkridge </w:t>
      </w:r>
      <w:proofErr w:type="spellStart"/>
      <w:r w:rsidRPr="00410D11">
        <w:rPr>
          <w:rFonts w:ascii="Times New Roman" w:hAnsi="Times New Roman" w:cs="Times New Roman"/>
        </w:rPr>
        <w:t>Pottal</w:t>
      </w:r>
      <w:proofErr w:type="spellEnd"/>
      <w:r w:rsidRPr="00410D11">
        <w:rPr>
          <w:rFonts w:ascii="Times New Roman" w:hAnsi="Times New Roman" w:cs="Times New Roman"/>
        </w:rPr>
        <w:t xml:space="preserve"> Pool (Hanson Aggregates, Penkridge, UK). The sandstone was crushed and size-fractionated using 150 and 300 μm sieves (</w:t>
      </w:r>
      <w:proofErr w:type="spellStart"/>
      <w:r w:rsidRPr="00410D11">
        <w:rPr>
          <w:rFonts w:ascii="Times New Roman" w:hAnsi="Times New Roman" w:cs="Times New Roman"/>
        </w:rPr>
        <w:t>Endecotts</w:t>
      </w:r>
      <w:proofErr w:type="spellEnd"/>
      <w:r w:rsidRPr="00410D11">
        <w:rPr>
          <w:rFonts w:ascii="Times New Roman" w:hAnsi="Times New Roman" w:cs="Times New Roman"/>
        </w:rPr>
        <w:t xml:space="preserve"> </w:t>
      </w:r>
      <w:r>
        <w:rPr>
          <w:rFonts w:ascii="Times New Roman" w:hAnsi="Times New Roman" w:cs="Times New Roman"/>
        </w:rPr>
        <w:t>L</w:t>
      </w:r>
      <w:r w:rsidRPr="00410D11">
        <w:rPr>
          <w:rFonts w:ascii="Times New Roman" w:hAnsi="Times New Roman" w:cs="Times New Roman"/>
        </w:rPr>
        <w:t xml:space="preserve">td, London, UK) to remove coarse components. This fraction is representative of the </w:t>
      </w:r>
      <w:proofErr w:type="gramStart"/>
      <w:r w:rsidRPr="00410D11">
        <w:rPr>
          <w:rFonts w:ascii="Times New Roman" w:hAnsi="Times New Roman" w:cs="Times New Roman"/>
          <w:i/>
        </w:rPr>
        <w:t>in situ</w:t>
      </w:r>
      <w:proofErr w:type="gramEnd"/>
      <w:r w:rsidRPr="00410D11">
        <w:rPr>
          <w:rFonts w:ascii="Times New Roman" w:hAnsi="Times New Roman" w:cs="Times New Roman"/>
          <w:i/>
        </w:rPr>
        <w:t xml:space="preserve"> </w:t>
      </w:r>
      <w:r w:rsidRPr="00410D11">
        <w:rPr>
          <w:rFonts w:ascii="Times New Roman" w:hAnsi="Times New Roman" w:cs="Times New Roman"/>
        </w:rPr>
        <w:t>aquifer material. The prepared material was sterilized by autoclaving at 121°C for 20 min.</w:t>
      </w:r>
    </w:p>
    <w:p w14:paraId="09612B05"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Microcosm design and inoculum</w:t>
      </w:r>
    </w:p>
    <w:p w14:paraId="6FBC01A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The microcosms were assembled under aseptic and anaerobic conditions using an anaerobic chamber (</w:t>
      </w:r>
      <w:proofErr w:type="spellStart"/>
      <w:r w:rsidRPr="00410D11">
        <w:rPr>
          <w:rFonts w:ascii="Times New Roman" w:hAnsi="Times New Roman" w:cs="Times New Roman"/>
        </w:rPr>
        <w:t>PlasLabs</w:t>
      </w:r>
      <w:proofErr w:type="spellEnd"/>
      <w:r w:rsidRPr="00410D11">
        <w:rPr>
          <w:rFonts w:ascii="Times New Roman" w:hAnsi="Times New Roman" w:cs="Times New Roman"/>
        </w:rPr>
        <w:t xml:space="preserve"> 815-Glove Box, </w:t>
      </w:r>
      <w:proofErr w:type="spellStart"/>
      <w:r w:rsidRPr="00410D11">
        <w:rPr>
          <w:rFonts w:ascii="Times New Roman" w:hAnsi="Times New Roman" w:cs="Times New Roman"/>
        </w:rPr>
        <w:t>PlasLabs</w:t>
      </w:r>
      <w:proofErr w:type="spellEnd"/>
      <w:r w:rsidRPr="00410D11">
        <w:rPr>
          <w:rFonts w:ascii="Times New Roman" w:hAnsi="Times New Roman" w:cs="Times New Roman"/>
        </w:rPr>
        <w:t xml:space="preserve"> Inc, USA). Each microcosm consisted of a 0.125 L Wheaton glass serum bottles washed with </w:t>
      </w:r>
      <w:proofErr w:type="spellStart"/>
      <w:r w:rsidRPr="00410D11">
        <w:rPr>
          <w:rFonts w:ascii="Times New Roman" w:hAnsi="Times New Roman" w:cs="Times New Roman"/>
        </w:rPr>
        <w:t>Decon</w:t>
      </w:r>
      <w:proofErr w:type="spellEnd"/>
      <w:r w:rsidRPr="00410D11">
        <w:rPr>
          <w:rFonts w:ascii="Times New Roman" w:hAnsi="Times New Roman" w:cs="Times New Roman"/>
        </w:rPr>
        <w:t xml:space="preserve"> 90® and 0.1 M HNO</w:t>
      </w:r>
      <w:r w:rsidRPr="00410D11">
        <w:rPr>
          <w:rFonts w:ascii="Times New Roman" w:hAnsi="Times New Roman" w:cs="Times New Roman"/>
          <w:vertAlign w:val="subscript"/>
        </w:rPr>
        <w:t>3</w:t>
      </w:r>
      <w:r w:rsidRPr="00410D11">
        <w:rPr>
          <w:rFonts w:ascii="Times New Roman" w:hAnsi="Times New Roman" w:cs="Times New Roman"/>
        </w:rPr>
        <w:t xml:space="preserve">. All bottles were sterilized by autoclaving at 121°C for 20 min. Groundwater from the contaminant plume fringe previously characterized </w:t>
      </w:r>
      <w:r>
        <w:rPr>
          <w:rFonts w:ascii="Times New Roman" w:hAnsi="Times New Roman" w:cs="Times New Roman"/>
          <w:noProof/>
        </w:rPr>
        <w:t>(Pickup et al., 2001; Thornton et al., 2001b; Williams et al., 2001)</w:t>
      </w:r>
      <w:r w:rsidRPr="00410D11">
        <w:rPr>
          <w:rFonts w:ascii="Times New Roman" w:hAnsi="Times New Roman" w:cs="Times New Roman"/>
        </w:rPr>
        <w:t xml:space="preserve"> and containing a mixture of phenol, cresols and xylenols was collected from the 0.5m screen of </w:t>
      </w:r>
      <w:proofErr w:type="gramStart"/>
      <w:r w:rsidRPr="00410D11">
        <w:rPr>
          <w:rFonts w:ascii="Times New Roman" w:hAnsi="Times New Roman" w:cs="Times New Roman"/>
        </w:rPr>
        <w:t>a</w:t>
      </w:r>
      <w:proofErr w:type="gramEnd"/>
      <w:r w:rsidRPr="00410D11">
        <w:rPr>
          <w:rFonts w:ascii="Times New Roman" w:hAnsi="Times New Roman" w:cs="Times New Roman"/>
        </w:rPr>
        <w:t xml:space="preserve"> MLS 30 </w:t>
      </w:r>
      <w:proofErr w:type="spellStart"/>
      <w:r w:rsidRPr="00410D11">
        <w:rPr>
          <w:rFonts w:ascii="Times New Roman" w:hAnsi="Times New Roman" w:cs="Times New Roman"/>
        </w:rPr>
        <w:t>mbgl</w:t>
      </w:r>
      <w:proofErr w:type="spellEnd"/>
      <w:r w:rsidRPr="00410D11">
        <w:rPr>
          <w:rFonts w:ascii="Times New Roman" w:hAnsi="Times New Roman" w:cs="Times New Roman"/>
        </w:rPr>
        <w:t xml:space="preserve"> at the study site using a peristaltic pump and transferred via a closed system into sterile, N</w:t>
      </w:r>
      <w:r w:rsidRPr="00410D11">
        <w:rPr>
          <w:rFonts w:ascii="Times New Roman" w:hAnsi="Times New Roman" w:cs="Times New Roman"/>
          <w:vertAlign w:val="subscript"/>
        </w:rPr>
        <w:t>2</w:t>
      </w:r>
      <w:r w:rsidRPr="00410D11">
        <w:rPr>
          <w:rFonts w:ascii="Times New Roman" w:hAnsi="Times New Roman" w:cs="Times New Roman"/>
        </w:rPr>
        <w:t xml:space="preserve">-filled amber glass bottles </w:t>
      </w:r>
      <w:r>
        <w:rPr>
          <w:rFonts w:ascii="Times New Roman" w:hAnsi="Times New Roman" w:cs="Times New Roman"/>
          <w:noProof/>
        </w:rPr>
        <w:t>(Elliott et al., 2010)</w:t>
      </w:r>
      <w:r w:rsidRPr="00410D11">
        <w:rPr>
          <w:rFonts w:ascii="Times New Roman" w:hAnsi="Times New Roman" w:cs="Times New Roman"/>
        </w:rPr>
        <w:t>. Each microcosm consisted of 100 g of sterilized aquifer material and 0.1 L of groundwater. Microcosms were sealed with an aluminium crimp cap and butyl rubber stopper (</w:t>
      </w:r>
      <w:proofErr w:type="spellStart"/>
      <w:r w:rsidRPr="00410D11">
        <w:rPr>
          <w:rFonts w:ascii="Times New Roman" w:hAnsi="Times New Roman" w:cs="Times New Roman"/>
        </w:rPr>
        <w:t>Fisherbrand</w:t>
      </w:r>
      <w:proofErr w:type="spellEnd"/>
      <w:r w:rsidRPr="00410D11">
        <w:rPr>
          <w:rFonts w:ascii="Times New Roman" w:hAnsi="Times New Roman" w:cs="Times New Roman"/>
        </w:rPr>
        <w:t xml:space="preserve">, UK). Abiotic controls were constructed in a similar way and included sodium </w:t>
      </w:r>
      <w:proofErr w:type="spellStart"/>
      <w:r w:rsidRPr="00410D11">
        <w:rPr>
          <w:rFonts w:ascii="Times New Roman" w:hAnsi="Times New Roman" w:cs="Times New Roman"/>
        </w:rPr>
        <w:t>azide</w:t>
      </w:r>
      <w:proofErr w:type="spellEnd"/>
      <w:r w:rsidRPr="00410D11">
        <w:rPr>
          <w:rFonts w:ascii="Times New Roman" w:hAnsi="Times New Roman" w:cs="Times New Roman"/>
        </w:rPr>
        <w:t xml:space="preserve"> (NaN</w:t>
      </w:r>
      <w:r w:rsidRPr="00410D11">
        <w:rPr>
          <w:rFonts w:ascii="Times New Roman" w:hAnsi="Times New Roman" w:cs="Times New Roman"/>
          <w:vertAlign w:val="subscript"/>
        </w:rPr>
        <w:t>3</w:t>
      </w:r>
      <w:r w:rsidRPr="00410D11">
        <w:rPr>
          <w:rFonts w:ascii="Times New Roman" w:hAnsi="Times New Roman" w:cs="Times New Roman"/>
        </w:rPr>
        <w:t>) at a final concentration of 2 g L</w:t>
      </w:r>
      <w:r w:rsidRPr="00410D11">
        <w:rPr>
          <w:rFonts w:ascii="Times New Roman" w:hAnsi="Times New Roman" w:cs="Times New Roman"/>
          <w:vertAlign w:val="superscript"/>
        </w:rPr>
        <w:t>-1</w:t>
      </w:r>
      <w:r w:rsidRPr="00410D11">
        <w:rPr>
          <w:rFonts w:ascii="Times New Roman" w:hAnsi="Times New Roman" w:cs="Times New Roman"/>
        </w:rPr>
        <w:t xml:space="preserve"> to inhibit microbial activity. The microcosms were incubated at 10°C in the dark.</w:t>
      </w:r>
    </w:p>
    <w:p w14:paraId="1A9875A2"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 xml:space="preserve">Incubation </w:t>
      </w:r>
      <w:r w:rsidRPr="00410D11">
        <w:rPr>
          <w:rFonts w:ascii="Times New Roman" w:hAnsi="Times New Roman" w:cs="Times New Roman"/>
          <w:b/>
          <w:bCs/>
          <w:i/>
        </w:rPr>
        <w:t>in situ</w:t>
      </w:r>
    </w:p>
    <w:p w14:paraId="65E57508" w14:textId="77777777" w:rsidR="00267E22" w:rsidRPr="00410D11" w:rsidRDefault="00267E22" w:rsidP="001656AE">
      <w:pPr>
        <w:rPr>
          <w:rFonts w:ascii="Times New Roman" w:hAnsi="Times New Roman" w:cs="Times New Roman"/>
          <w:b/>
          <w:bCs/>
          <w:i/>
          <w:iCs/>
        </w:rPr>
      </w:pPr>
      <w:r w:rsidRPr="00410D11">
        <w:rPr>
          <w:rFonts w:ascii="Times New Roman" w:hAnsi="Times New Roman" w:cs="Times New Roman"/>
        </w:rPr>
        <w:t>Sterile nylon mesh (100 μm pore diameter) (</w:t>
      </w:r>
      <w:proofErr w:type="spellStart"/>
      <w:r w:rsidRPr="00410D11">
        <w:rPr>
          <w:rFonts w:ascii="Times New Roman" w:hAnsi="Times New Roman" w:cs="Times New Roman"/>
        </w:rPr>
        <w:t>Plastok</w:t>
      </w:r>
      <w:proofErr w:type="spellEnd"/>
      <w:r w:rsidRPr="00410D11">
        <w:rPr>
          <w:rFonts w:ascii="Times New Roman" w:hAnsi="Times New Roman" w:cs="Times New Roman"/>
        </w:rPr>
        <w:t xml:space="preserve">, Ltd., Birkenhead, UK) was used to construct 10 cm long bags filled with 75 g of prepared sand grains. Sandbags were placed in a </w:t>
      </w:r>
      <w:proofErr w:type="gramStart"/>
      <w:r w:rsidRPr="00410D11">
        <w:rPr>
          <w:rFonts w:ascii="Times New Roman" w:hAnsi="Times New Roman" w:cs="Times New Roman"/>
        </w:rPr>
        <w:t>316 grade</w:t>
      </w:r>
      <w:proofErr w:type="gramEnd"/>
      <w:r w:rsidRPr="00410D11">
        <w:rPr>
          <w:rFonts w:ascii="Times New Roman" w:hAnsi="Times New Roman" w:cs="Times New Roman"/>
        </w:rPr>
        <w:t xml:space="preserve"> stainless steel cage (50 cm length x 4 cm diameter) which was suspended on May 29</w:t>
      </w:r>
      <w:r w:rsidRPr="00410D11">
        <w:rPr>
          <w:rFonts w:ascii="Times New Roman" w:hAnsi="Times New Roman" w:cs="Times New Roman"/>
          <w:vertAlign w:val="superscript"/>
        </w:rPr>
        <w:t xml:space="preserve">th </w:t>
      </w:r>
      <w:r w:rsidRPr="00410D11">
        <w:rPr>
          <w:rFonts w:ascii="Times New Roman" w:hAnsi="Times New Roman" w:cs="Times New Roman"/>
        </w:rPr>
        <w:t xml:space="preserve">2014 in the middle of a </w:t>
      </w:r>
      <w:r w:rsidRPr="00410D11">
        <w:rPr>
          <w:rFonts w:ascii="Times New Roman" w:hAnsi="Times New Roman" w:cs="Times New Roman"/>
        </w:rPr>
        <w:lastRenderedPageBreak/>
        <w:t xml:space="preserve">0.5m screen at 30 </w:t>
      </w:r>
      <w:proofErr w:type="spellStart"/>
      <w:r w:rsidRPr="00410D11">
        <w:rPr>
          <w:rFonts w:ascii="Times New Roman" w:hAnsi="Times New Roman" w:cs="Times New Roman"/>
        </w:rPr>
        <w:t>mbgl</w:t>
      </w:r>
      <w:proofErr w:type="spellEnd"/>
      <w:r w:rsidRPr="00410D11">
        <w:rPr>
          <w:rFonts w:ascii="Times New Roman" w:hAnsi="Times New Roman" w:cs="Times New Roman"/>
        </w:rPr>
        <w:t xml:space="preserve"> within the MLS (BH59) used for the incubation experiment at the field site </w:t>
      </w:r>
      <w:r>
        <w:rPr>
          <w:rFonts w:ascii="Times New Roman" w:hAnsi="Times New Roman" w:cs="Times New Roman"/>
          <w:noProof/>
        </w:rPr>
        <w:t>(Thornton et al., 2001b)</w:t>
      </w:r>
      <w:r w:rsidRPr="00410D11">
        <w:rPr>
          <w:rFonts w:ascii="Times New Roman" w:hAnsi="Times New Roman" w:cs="Times New Roman"/>
        </w:rPr>
        <w:t xml:space="preserve">. </w:t>
      </w:r>
      <w:r>
        <w:rPr>
          <w:rFonts w:ascii="Times New Roman" w:hAnsi="Times New Roman" w:cs="Times New Roman"/>
        </w:rPr>
        <w:t>A schematic of the experimental design is shown in Figure S3.</w:t>
      </w:r>
    </w:p>
    <w:p w14:paraId="2EC7A20D"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Microcosm sampling</w:t>
      </w:r>
    </w:p>
    <w:p w14:paraId="3BA0A70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Triplicate microcosms were sampled destructively at 7, 23, 47, 104, 174, 400 and 780 days after inoculation. Triplicate abiotic controls were also sampled. The supernatant was removed with a sterile pipette and 30 mL filtered through a sterile 0.22 µm filter (Whatman® polycarbonate membrane, 25 mm diameter), and stored at -80°C prior to DNA extraction. A 5 mL sample of the supernatant was fixed with 4% (v/v) formaldehyde and stored at 4°C for cell counts. The remaining supernatant was filtered with a 0.22 μm filter and stored at 4°C for chemical analysis. Two aliquots were fixed using HNO</w:t>
      </w:r>
      <w:r w:rsidRPr="00410D11">
        <w:rPr>
          <w:rFonts w:ascii="Times New Roman" w:hAnsi="Times New Roman" w:cs="Times New Roman"/>
          <w:vertAlign w:val="subscript"/>
        </w:rPr>
        <w:t>3</w:t>
      </w:r>
      <w:r w:rsidRPr="00410D11">
        <w:rPr>
          <w:rFonts w:ascii="Times New Roman" w:hAnsi="Times New Roman" w:cs="Times New Roman"/>
        </w:rPr>
        <w:t xml:space="preserve"> at a final concentration of either 1 or 10% for metal analysis. The sediments were collected and homogenized using a sterile spatula. The homogenized sediments were separated into two aliquots, one stored at -80°C for DNA extraction and the other fixed with 4% formaldehyde and stored at 4°C for cell counts.</w:t>
      </w:r>
    </w:p>
    <w:p w14:paraId="1D33F336"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Field</w:t>
      </w:r>
      <w:r w:rsidRPr="00410D11">
        <w:rPr>
          <w:rFonts w:ascii="Times New Roman" w:hAnsi="Times New Roman" w:cs="Times New Roman"/>
          <w:b/>
          <w:bCs/>
          <w:i/>
          <w:iCs/>
        </w:rPr>
        <w:t xml:space="preserve"> </w:t>
      </w:r>
      <w:r w:rsidRPr="00410D11">
        <w:rPr>
          <w:rFonts w:ascii="Times New Roman" w:hAnsi="Times New Roman" w:cs="Times New Roman"/>
          <w:b/>
          <w:bCs/>
        </w:rPr>
        <w:t>sampling</w:t>
      </w:r>
    </w:p>
    <w:p w14:paraId="6D061F4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For </w:t>
      </w:r>
      <w:proofErr w:type="gramStart"/>
      <w:r w:rsidRPr="00410D11">
        <w:rPr>
          <w:rFonts w:ascii="Times New Roman" w:hAnsi="Times New Roman" w:cs="Times New Roman"/>
        </w:rPr>
        <w:t>sand bag</w:t>
      </w:r>
      <w:proofErr w:type="gramEnd"/>
      <w:r w:rsidRPr="00410D11">
        <w:rPr>
          <w:rFonts w:ascii="Times New Roman" w:hAnsi="Times New Roman" w:cs="Times New Roman"/>
        </w:rPr>
        <w:t xml:space="preserve"> collection the well head casing above ground was covered with a clear polythene bag and a hose introduced into the monitoring well below the water table (approximately 4 </w:t>
      </w:r>
      <w:proofErr w:type="spellStart"/>
      <w:r w:rsidRPr="00410D11">
        <w:rPr>
          <w:rFonts w:ascii="Times New Roman" w:hAnsi="Times New Roman" w:cs="Times New Roman"/>
        </w:rPr>
        <w:t>mbgl</w:t>
      </w:r>
      <w:proofErr w:type="spellEnd"/>
      <w:r w:rsidRPr="00410D11">
        <w:rPr>
          <w:rFonts w:ascii="Times New Roman" w:hAnsi="Times New Roman" w:cs="Times New Roman"/>
        </w:rPr>
        <w:t>) to purge the standing water and overlying head space with N</w:t>
      </w:r>
      <w:r w:rsidRPr="00410D11">
        <w:rPr>
          <w:rFonts w:ascii="Times New Roman" w:hAnsi="Times New Roman" w:cs="Times New Roman"/>
          <w:vertAlign w:val="subscript"/>
        </w:rPr>
        <w:t>2</w:t>
      </w:r>
      <w:r w:rsidRPr="00410D11">
        <w:rPr>
          <w:rFonts w:ascii="Times New Roman" w:hAnsi="Times New Roman" w:cs="Times New Roman"/>
        </w:rPr>
        <w:t xml:space="preserve"> within the casing, to ensure anaerobic conditions for sample retrieval. The metal cage containing the </w:t>
      </w:r>
      <w:proofErr w:type="gramStart"/>
      <w:r w:rsidRPr="00410D11">
        <w:rPr>
          <w:rFonts w:ascii="Times New Roman" w:hAnsi="Times New Roman" w:cs="Times New Roman"/>
        </w:rPr>
        <w:t>sand bags</w:t>
      </w:r>
      <w:proofErr w:type="gramEnd"/>
      <w:r w:rsidRPr="00410D11">
        <w:rPr>
          <w:rFonts w:ascii="Times New Roman" w:hAnsi="Times New Roman" w:cs="Times New Roman"/>
        </w:rPr>
        <w:t xml:space="preserve"> was then brought to the surface inside the polythene bag under a steady flow of N</w:t>
      </w:r>
      <w:r w:rsidRPr="00410D11">
        <w:rPr>
          <w:rFonts w:ascii="Times New Roman" w:hAnsi="Times New Roman" w:cs="Times New Roman"/>
          <w:vertAlign w:val="subscript"/>
        </w:rPr>
        <w:t>2</w:t>
      </w:r>
      <w:r w:rsidRPr="00410D11">
        <w:rPr>
          <w:rFonts w:ascii="Times New Roman" w:hAnsi="Times New Roman" w:cs="Times New Roman"/>
        </w:rPr>
        <w:t xml:space="preserve"> and one sand bag removed and placed in an N</w:t>
      </w:r>
      <w:r w:rsidRPr="00410D11">
        <w:rPr>
          <w:rFonts w:ascii="Times New Roman" w:hAnsi="Times New Roman" w:cs="Times New Roman"/>
          <w:vertAlign w:val="subscript"/>
        </w:rPr>
        <w:t>2</w:t>
      </w:r>
      <w:r w:rsidRPr="00410D11">
        <w:rPr>
          <w:rFonts w:ascii="Times New Roman" w:hAnsi="Times New Roman" w:cs="Times New Roman"/>
        </w:rPr>
        <w:t xml:space="preserve">-filled container (sterile </w:t>
      </w:r>
      <w:proofErr w:type="spellStart"/>
      <w:r w:rsidRPr="00410D11">
        <w:rPr>
          <w:rFonts w:ascii="Times New Roman" w:hAnsi="Times New Roman" w:cs="Times New Roman"/>
        </w:rPr>
        <w:t>Anaerocult</w:t>
      </w:r>
      <w:proofErr w:type="spellEnd"/>
      <w:r w:rsidRPr="00410D11">
        <w:rPr>
          <w:rFonts w:ascii="Times New Roman" w:hAnsi="Times New Roman" w:cs="Times New Roman"/>
        </w:rPr>
        <w:t xml:space="preserve"> jar). All manipulations of the </w:t>
      </w:r>
      <w:proofErr w:type="gramStart"/>
      <w:r w:rsidRPr="00410D11">
        <w:rPr>
          <w:rFonts w:ascii="Times New Roman" w:hAnsi="Times New Roman" w:cs="Times New Roman"/>
        </w:rPr>
        <w:t>sand bags</w:t>
      </w:r>
      <w:proofErr w:type="gramEnd"/>
      <w:r w:rsidRPr="00410D11">
        <w:rPr>
          <w:rFonts w:ascii="Times New Roman" w:hAnsi="Times New Roman" w:cs="Times New Roman"/>
        </w:rPr>
        <w:t xml:space="preserve"> at the field site were undertaken inside the polythene bag under an N</w:t>
      </w:r>
      <w:r w:rsidRPr="00410D11">
        <w:rPr>
          <w:rFonts w:ascii="Times New Roman" w:hAnsi="Times New Roman" w:cs="Times New Roman"/>
          <w:vertAlign w:val="subscript"/>
        </w:rPr>
        <w:t>2</w:t>
      </w:r>
      <w:r w:rsidRPr="00410D11">
        <w:rPr>
          <w:rFonts w:ascii="Times New Roman" w:hAnsi="Times New Roman" w:cs="Times New Roman"/>
        </w:rPr>
        <w:t xml:space="preserve"> atmosphere. The metal cage was then lowered back into position within the well screen for future sampling. Groundwater from 30 </w:t>
      </w:r>
      <w:proofErr w:type="spellStart"/>
      <w:r w:rsidRPr="00410D11">
        <w:rPr>
          <w:rFonts w:ascii="Times New Roman" w:hAnsi="Times New Roman" w:cs="Times New Roman"/>
        </w:rPr>
        <w:t>mbgl</w:t>
      </w:r>
      <w:proofErr w:type="spellEnd"/>
      <w:r w:rsidRPr="00410D11">
        <w:rPr>
          <w:rFonts w:ascii="Times New Roman" w:hAnsi="Times New Roman" w:cs="Times New Roman"/>
        </w:rPr>
        <w:t xml:space="preserve"> depth was collected at the same time for </w:t>
      </w:r>
      <w:proofErr w:type="spellStart"/>
      <w:r w:rsidRPr="00410D11">
        <w:rPr>
          <w:rFonts w:ascii="Times New Roman" w:hAnsi="Times New Roman" w:cs="Times New Roman"/>
        </w:rPr>
        <w:t>hydrochemical</w:t>
      </w:r>
      <w:proofErr w:type="spellEnd"/>
      <w:r w:rsidRPr="00410D11">
        <w:rPr>
          <w:rFonts w:ascii="Times New Roman" w:hAnsi="Times New Roman" w:cs="Times New Roman"/>
        </w:rPr>
        <w:t xml:space="preserve"> and microbiological analysis using sampling tubes attached to the MLS </w:t>
      </w:r>
      <w:r>
        <w:rPr>
          <w:rFonts w:ascii="Times New Roman" w:hAnsi="Times New Roman" w:cs="Times New Roman"/>
          <w:noProof/>
        </w:rPr>
        <w:t>(Thornton et al., 2001b)</w:t>
      </w:r>
      <w:r w:rsidRPr="00410D11">
        <w:rPr>
          <w:rFonts w:ascii="Times New Roman" w:hAnsi="Times New Roman" w:cs="Times New Roman"/>
        </w:rPr>
        <w:t>. Samples were taken after 30 min purging of the sample tubes with a peristaltic pump at a rate of ~0.1 L min</w:t>
      </w:r>
      <w:r w:rsidRPr="00410D11">
        <w:rPr>
          <w:rFonts w:ascii="Times New Roman" w:hAnsi="Times New Roman" w:cs="Times New Roman"/>
          <w:vertAlign w:val="superscript"/>
        </w:rPr>
        <w:t xml:space="preserve">-1 </w:t>
      </w:r>
      <w:r w:rsidRPr="00410D11">
        <w:rPr>
          <w:rFonts w:ascii="Times New Roman" w:hAnsi="Times New Roman" w:cs="Times New Roman"/>
        </w:rPr>
        <w:t>for 20 minutes, filtered onsite and preserved as per samples collected from the microcosm experiments.</w:t>
      </w:r>
    </w:p>
    <w:p w14:paraId="1EEADDA2"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lastRenderedPageBreak/>
        <w:t xml:space="preserve">Cell </w:t>
      </w:r>
      <w:proofErr w:type="gramStart"/>
      <w:r w:rsidRPr="00410D11">
        <w:rPr>
          <w:rFonts w:ascii="Times New Roman" w:hAnsi="Times New Roman" w:cs="Times New Roman"/>
          <w:b/>
          <w:bCs/>
        </w:rPr>
        <w:t>counts</w:t>
      </w:r>
      <w:proofErr w:type="gramEnd"/>
    </w:p>
    <w:p w14:paraId="334546A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Groundwater and supernatant from microcosm samples was filtered through black 0.22 µm filters (Whatman® polycarbonate membranes, 25 mm diameter). Sediments samples were placed on a Cover Well™ Imaging Chamber (300 µL volume and 0.9 mm depth) (Science services, UK). Sand grains were washed with filter-sterilised 0.15 M NaCl. Samples were stained with 200 </w:t>
      </w:r>
      <w:proofErr w:type="spellStart"/>
      <w:r w:rsidRPr="00410D11">
        <w:rPr>
          <w:rFonts w:ascii="Times New Roman" w:hAnsi="Times New Roman" w:cs="Times New Roman"/>
        </w:rPr>
        <w:t>μL</w:t>
      </w:r>
      <w:proofErr w:type="spellEnd"/>
      <w:r w:rsidRPr="00410D11">
        <w:rPr>
          <w:rFonts w:ascii="Times New Roman" w:hAnsi="Times New Roman" w:cs="Times New Roman"/>
        </w:rPr>
        <w:t xml:space="preserve"> of SYTO® 9 (Green Fluorescent Nucleic Acid Stain; Dilution 1:800) for 15 minutes. At least 10 randomly distributed fields of view were visualized with a RT-KE Slider 7.4 digital camera (Diagnostic Instruments, USA) and epifluorescence microscope (BX50, Olympus Optical Co., London, UK) using excitation at 470 nm and emission at 510 nm. Fluorescent microbial cells were counted using Image Pro Plus version 4.5 (</w:t>
      </w:r>
      <w:proofErr w:type="spellStart"/>
      <w:r w:rsidRPr="00410D11">
        <w:rPr>
          <w:rFonts w:ascii="Times New Roman" w:hAnsi="Times New Roman" w:cs="Times New Roman"/>
        </w:rPr>
        <w:t>MediaCybernetics</w:t>
      </w:r>
      <w:proofErr w:type="spellEnd"/>
      <w:r w:rsidRPr="00410D11">
        <w:rPr>
          <w:rFonts w:ascii="Times New Roman" w:hAnsi="Times New Roman" w:cs="Times New Roman"/>
        </w:rPr>
        <w:t xml:space="preserve">, UK) </w:t>
      </w:r>
      <w:r>
        <w:rPr>
          <w:rFonts w:ascii="Times New Roman" w:hAnsi="Times New Roman" w:cs="Times New Roman"/>
          <w:noProof/>
        </w:rPr>
        <w:t>(Rizoulis et al., 2013)</w:t>
      </w:r>
      <w:r w:rsidRPr="00410D11">
        <w:rPr>
          <w:rFonts w:ascii="Times New Roman" w:hAnsi="Times New Roman" w:cs="Times New Roman"/>
        </w:rPr>
        <w:t xml:space="preserve">. For the grains multiple images were taken at different focal planes under both bright field and fluorescent light, and an extended depth-of-field image produced. To calculate cell numbers in the attached community, the average grain size diameter was measured (215.6 µm) and the volume of 1 grain was estimated using </w:t>
      </w:r>
      <w:proofErr w:type="spellStart"/>
      <w:r w:rsidRPr="00410D11">
        <w:rPr>
          <w:rFonts w:ascii="Times New Roman" w:hAnsi="Times New Roman" w:cs="Times New Roman"/>
        </w:rPr>
        <w:t>V</w:t>
      </w:r>
      <w:r w:rsidRPr="00410D11">
        <w:rPr>
          <w:rFonts w:ascii="Times New Roman" w:hAnsi="Times New Roman" w:cs="Times New Roman"/>
          <w:vertAlign w:val="subscript"/>
        </w:rPr>
        <w:t>grain</w:t>
      </w:r>
      <w:proofErr w:type="spellEnd"/>
      <w:r w:rsidRPr="00410D11">
        <w:rPr>
          <w:rFonts w:ascii="Times New Roman" w:hAnsi="Times New Roman" w:cs="Times New Roman"/>
        </w:rPr>
        <w:t xml:space="preserve"> = 4/3πr</w:t>
      </w:r>
      <w:r w:rsidRPr="00410D11">
        <w:rPr>
          <w:rFonts w:ascii="Times New Roman" w:hAnsi="Times New Roman" w:cs="Times New Roman"/>
          <w:vertAlign w:val="superscript"/>
        </w:rPr>
        <w:t>3</w:t>
      </w:r>
      <w:r w:rsidRPr="00410D11">
        <w:rPr>
          <w:rFonts w:ascii="Times New Roman" w:hAnsi="Times New Roman" w:cs="Times New Roman"/>
        </w:rPr>
        <w:t xml:space="preserve">, where r is the radius. The volume was used to estimate the number of grains contained in 1 mL, assuming an aquifer porosity of 26% </w:t>
      </w:r>
      <w:r w:rsidRPr="00410D11">
        <w:rPr>
          <w:rFonts w:ascii="Times New Roman" w:hAnsi="Times New Roman" w:cs="Times New Roman"/>
          <w:noProof/>
        </w:rPr>
        <w:t>(7)</w:t>
      </w:r>
      <w:r w:rsidRPr="00410D11">
        <w:rPr>
          <w:rFonts w:ascii="Times New Roman" w:hAnsi="Times New Roman" w:cs="Times New Roman"/>
        </w:rPr>
        <w:t xml:space="preserve">. Using the average number of bacteria attached to 1 grain and considering only one side of the grain could be imaged </w:t>
      </w:r>
      <w:r>
        <w:rPr>
          <w:rFonts w:ascii="Times New Roman" w:hAnsi="Times New Roman" w:cs="Times New Roman"/>
          <w:noProof/>
        </w:rPr>
        <w:t>(Gough and Stahl, 2003)</w:t>
      </w:r>
      <w:r w:rsidRPr="00410D11">
        <w:rPr>
          <w:rFonts w:ascii="Times New Roman" w:hAnsi="Times New Roman" w:cs="Times New Roman"/>
        </w:rPr>
        <w:t xml:space="preserve">, the cell densities of the biofilm were calculated for 1 mL of water-saturated sand. </w:t>
      </w:r>
    </w:p>
    <w:p w14:paraId="03B33980"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DNA extraction</w:t>
      </w:r>
    </w:p>
    <w:p w14:paraId="0DB1A10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DNA from the planktonic community was extracted using the </w:t>
      </w:r>
      <w:proofErr w:type="spellStart"/>
      <w:r w:rsidRPr="00410D11">
        <w:rPr>
          <w:rFonts w:ascii="Times New Roman" w:hAnsi="Times New Roman" w:cs="Times New Roman"/>
        </w:rPr>
        <w:t>UltraClean</w:t>
      </w:r>
      <w:proofErr w:type="spellEnd"/>
      <w:r w:rsidRPr="00410D11">
        <w:rPr>
          <w:rFonts w:ascii="Times New Roman" w:hAnsi="Times New Roman" w:cs="Times New Roman"/>
        </w:rPr>
        <w:t>® Microbial DNA Isolation kit (</w:t>
      </w:r>
      <w:proofErr w:type="spellStart"/>
      <w:r w:rsidRPr="00410D11">
        <w:rPr>
          <w:rFonts w:ascii="Times New Roman" w:hAnsi="Times New Roman" w:cs="Times New Roman"/>
        </w:rPr>
        <w:t>Mo</w:t>
      </w:r>
      <w:r>
        <w:rPr>
          <w:rFonts w:ascii="Times New Roman" w:hAnsi="Times New Roman" w:cs="Times New Roman"/>
        </w:rPr>
        <w:t>B</w:t>
      </w:r>
      <w:r w:rsidRPr="00410D11">
        <w:rPr>
          <w:rFonts w:ascii="Times New Roman" w:hAnsi="Times New Roman" w:cs="Times New Roman"/>
        </w:rPr>
        <w:t>io</w:t>
      </w:r>
      <w:proofErr w:type="spellEnd"/>
      <w:r>
        <w:rPr>
          <w:rFonts w:ascii="Times New Roman" w:hAnsi="Times New Roman" w:cs="Times New Roman"/>
        </w:rPr>
        <w:t>, UK</w:t>
      </w:r>
      <w:r w:rsidRPr="00410D11">
        <w:rPr>
          <w:rFonts w:ascii="Times New Roman" w:hAnsi="Times New Roman" w:cs="Times New Roman"/>
        </w:rPr>
        <w:t xml:space="preserve">). The polycarbonate membrane used to collect the planktonic community was placed into the microbead tube and then processed according to the manufacturer’s instructions. DNA from the attached community was extracted using the </w:t>
      </w:r>
      <w:proofErr w:type="spellStart"/>
      <w:r w:rsidRPr="00410D11">
        <w:rPr>
          <w:rFonts w:ascii="Times New Roman" w:hAnsi="Times New Roman" w:cs="Times New Roman"/>
        </w:rPr>
        <w:t>PowerSoil</w:t>
      </w:r>
      <w:proofErr w:type="spellEnd"/>
      <w:r w:rsidRPr="00410D11">
        <w:rPr>
          <w:rFonts w:ascii="Times New Roman" w:hAnsi="Times New Roman" w:cs="Times New Roman"/>
        </w:rPr>
        <w:t>® DNA Isolation Kit (</w:t>
      </w:r>
      <w:r>
        <w:rPr>
          <w:rFonts w:ascii="Times New Roman" w:hAnsi="Times New Roman" w:cs="Times New Roman"/>
        </w:rPr>
        <w:t>Qiagen, UK</w:t>
      </w:r>
      <w:r w:rsidRPr="00410D11">
        <w:rPr>
          <w:rFonts w:ascii="Times New Roman" w:hAnsi="Times New Roman" w:cs="Times New Roman"/>
        </w:rPr>
        <w:t xml:space="preserve">). DNA from sediments was concentrated using the DNA obtained from 6 independent extractions per sample, plus 1200 µL of pure ethanol and a final concentration of 11 mM of NaCl. The sample was centrifuged at 10000 </w:t>
      </w:r>
      <w:r w:rsidRPr="00410D11">
        <w:rPr>
          <w:rFonts w:ascii="Times New Roman" w:hAnsi="Times New Roman" w:cs="Times New Roman"/>
          <w:i/>
        </w:rPr>
        <w:t>g</w:t>
      </w:r>
      <w:r w:rsidRPr="00410D11">
        <w:rPr>
          <w:rFonts w:ascii="Times New Roman" w:hAnsi="Times New Roman" w:cs="Times New Roman"/>
        </w:rPr>
        <w:t xml:space="preserve"> for 5 min and dried in a vacuum centrifuge before resuspension in 50 µL of ultrapure water. </w:t>
      </w:r>
    </w:p>
    <w:p w14:paraId="727AF529"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16S rRNA gene fragment library preparation</w:t>
      </w:r>
    </w:p>
    <w:p w14:paraId="721C168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lastRenderedPageBreak/>
        <w:t xml:space="preserve">To remove inhibitors from DNA extracted from sediment, 30 µL of DNA solution from each sediment sample was diluted with 470 µL ultrapure water and re-concentrated using a </w:t>
      </w:r>
      <w:proofErr w:type="spellStart"/>
      <w:r w:rsidRPr="00410D11">
        <w:rPr>
          <w:rStyle w:val="il"/>
          <w:rFonts w:ascii="Times New Roman" w:hAnsi="Times New Roman" w:cs="Times New Roman"/>
          <w:color w:val="222222"/>
          <w:shd w:val="clear" w:color="auto" w:fill="FFFFFF"/>
        </w:rPr>
        <w:t>Microcon</w:t>
      </w:r>
      <w:proofErr w:type="spellEnd"/>
      <w:r w:rsidRPr="00410D11">
        <w:rPr>
          <w:rStyle w:val="il"/>
          <w:rFonts w:ascii="Times New Roman" w:hAnsi="Times New Roman" w:cs="Times New Roman"/>
          <w:color w:val="222222"/>
          <w:shd w:val="clear" w:color="auto" w:fill="FFFFFF"/>
        </w:rPr>
        <w:t xml:space="preserve"> device (</w:t>
      </w:r>
      <w:r w:rsidRPr="00410D11">
        <w:rPr>
          <w:rFonts w:ascii="Times New Roman" w:hAnsi="Times New Roman" w:cs="Times New Roman"/>
          <w:color w:val="222222"/>
          <w:shd w:val="clear" w:color="auto" w:fill="FFFFFF"/>
        </w:rPr>
        <w:t xml:space="preserve">DNA Fast Flow PCR Grade with </w:t>
      </w:r>
      <w:proofErr w:type="spellStart"/>
      <w:r w:rsidRPr="00410D11">
        <w:rPr>
          <w:rFonts w:ascii="Times New Roman" w:hAnsi="Times New Roman" w:cs="Times New Roman"/>
          <w:color w:val="222222"/>
          <w:shd w:val="clear" w:color="auto" w:fill="FFFFFF"/>
        </w:rPr>
        <w:t>Ultracel</w:t>
      </w:r>
      <w:proofErr w:type="spellEnd"/>
      <w:r w:rsidRPr="00410D11">
        <w:rPr>
          <w:rFonts w:ascii="Times New Roman" w:hAnsi="Times New Roman" w:cs="Times New Roman"/>
          <w:color w:val="222222"/>
          <w:shd w:val="clear" w:color="auto" w:fill="FFFFFF"/>
        </w:rPr>
        <w:t xml:space="preserve"> membrane, </w:t>
      </w:r>
      <w:r w:rsidRPr="00410D11">
        <w:rPr>
          <w:rFonts w:ascii="Times New Roman" w:hAnsi="Times New Roman" w:cs="Times New Roman"/>
        </w:rPr>
        <w:t>Merck</w:t>
      </w:r>
      <w:r w:rsidRPr="00410D11">
        <w:rPr>
          <w:rFonts w:ascii="Times New Roman" w:hAnsi="Times New Roman" w:cs="Times New Roman"/>
          <w:color w:val="222222"/>
          <w:shd w:val="clear" w:color="auto" w:fill="FFFFFF"/>
        </w:rPr>
        <w:t>) according to the manufacturer's instructions</w:t>
      </w:r>
      <w:r w:rsidRPr="00410D11">
        <w:rPr>
          <w:rFonts w:ascii="Times New Roman" w:hAnsi="Times New Roman" w:cs="Times New Roman"/>
        </w:rPr>
        <w:t xml:space="preserve">. Three aliquots from each sample were amplified in separate PCR reactions using the primer pair Illumina-341F (5`- TCGTCGGCAGCGTCAGATGTGTATAAGAGACAGCCTACGGGNGGCWGCAG -3`) and Illumina-805R (5`- GTCTCGTGGGCTCGGAGATGTGTATAAGAGACAGGACTACHVGGGTATCTAATCC -3`) </w:t>
      </w:r>
      <w:r>
        <w:rPr>
          <w:rFonts w:ascii="Times New Roman" w:hAnsi="Times New Roman" w:cs="Times New Roman"/>
          <w:noProof/>
        </w:rPr>
        <w:t>(Klindworth et al., 2013)</w:t>
      </w:r>
      <w:r w:rsidRPr="00410D11">
        <w:rPr>
          <w:rFonts w:ascii="Times New Roman" w:hAnsi="Times New Roman" w:cs="Times New Roman"/>
        </w:rPr>
        <w:t xml:space="preserve">. The PCR conditions were 95 °C for 5 minutes, 30 cycles of 95°C for 40 s, 55.0°C for 60 s, and 72°C for 60 s and then a final step of 72°C for 7 min. 2% (w/v) agarose gels were used to visualize the amplicons. Amplification conditions were chosen to produce bands of low-to-mid intensity </w:t>
      </w:r>
      <w:r>
        <w:rPr>
          <w:rFonts w:ascii="Times New Roman" w:hAnsi="Times New Roman" w:cs="Times New Roman"/>
          <w:noProof/>
        </w:rPr>
        <w:t>(Ihrmark et al., 2012)</w:t>
      </w:r>
      <w:r w:rsidRPr="00410D11">
        <w:rPr>
          <w:rFonts w:ascii="Times New Roman" w:hAnsi="Times New Roman" w:cs="Times New Roman"/>
        </w:rPr>
        <w:t xml:space="preserve">. If high band intensities were obtained, input DNA samples were diluted until the desired intensity was obtained. The PCR products from each amplification were pooled and purified using </w:t>
      </w:r>
      <w:proofErr w:type="spellStart"/>
      <w:r w:rsidRPr="00410D11">
        <w:rPr>
          <w:rFonts w:ascii="Times New Roman" w:hAnsi="Times New Roman" w:cs="Times New Roman"/>
        </w:rPr>
        <w:t>AMPure</w:t>
      </w:r>
      <w:proofErr w:type="spellEnd"/>
      <w:r w:rsidRPr="00410D11">
        <w:rPr>
          <w:rFonts w:ascii="Times New Roman" w:hAnsi="Times New Roman" w:cs="Times New Roman"/>
        </w:rPr>
        <w:t xml:space="preserve"> XP PCR purification beads in ratio of 1:0.95 (</w:t>
      </w:r>
      <w:proofErr w:type="spellStart"/>
      <w:proofErr w:type="gramStart"/>
      <w:r w:rsidRPr="00410D11">
        <w:rPr>
          <w:rFonts w:ascii="Times New Roman" w:hAnsi="Times New Roman" w:cs="Times New Roman"/>
        </w:rPr>
        <w:t>sample:beads</w:t>
      </w:r>
      <w:proofErr w:type="spellEnd"/>
      <w:proofErr w:type="gramEnd"/>
      <w:r w:rsidRPr="00410D11">
        <w:rPr>
          <w:rFonts w:ascii="Times New Roman" w:hAnsi="Times New Roman" w:cs="Times New Roman"/>
        </w:rPr>
        <w:t xml:space="preserve">) according to the manufacturer instructions (Beckman Coulter). A 5 µL volume of purified amplicons was indexed using Illumina </w:t>
      </w:r>
      <w:proofErr w:type="spellStart"/>
      <w:r w:rsidRPr="00410D11">
        <w:rPr>
          <w:rFonts w:ascii="Times New Roman" w:hAnsi="Times New Roman" w:cs="Times New Roman"/>
        </w:rPr>
        <w:t>Nextera</w:t>
      </w:r>
      <w:proofErr w:type="spellEnd"/>
      <w:r w:rsidRPr="00410D11">
        <w:rPr>
          <w:rFonts w:ascii="Times New Roman" w:hAnsi="Times New Roman" w:cs="Times New Roman"/>
        </w:rPr>
        <w:t xml:space="preserve">® XT DNA Library Preparation Kit (Illumina). The Index-PCR conditions were 95 °C for 3 minutes, 12 cycles of 95°C for 30 s, 55.0°C for 30 s, and 72°C for 30 s, and then a final step of 72°C for 5 min. The </w:t>
      </w:r>
      <w:proofErr w:type="spellStart"/>
      <w:r w:rsidRPr="00410D11">
        <w:rPr>
          <w:rFonts w:ascii="Times New Roman" w:hAnsi="Times New Roman" w:cs="Times New Roman"/>
        </w:rPr>
        <w:t>AMPure</w:t>
      </w:r>
      <w:proofErr w:type="spellEnd"/>
      <w:r w:rsidRPr="00410D11">
        <w:rPr>
          <w:rFonts w:ascii="Times New Roman" w:hAnsi="Times New Roman" w:cs="Times New Roman"/>
        </w:rPr>
        <w:t xml:space="preserve"> purification step was repeated. Quantification of the final Indexed samples was made using Quant-</w:t>
      </w:r>
      <w:proofErr w:type="spellStart"/>
      <w:r w:rsidRPr="00410D11">
        <w:rPr>
          <w:rFonts w:ascii="Times New Roman" w:hAnsi="Times New Roman" w:cs="Times New Roman"/>
        </w:rPr>
        <w:t>iT</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PicoGreen</w:t>
      </w:r>
      <w:proofErr w:type="spellEnd"/>
      <w:r w:rsidRPr="00410D11">
        <w:rPr>
          <w:rFonts w:ascii="Times New Roman" w:hAnsi="Times New Roman" w:cs="Times New Roman"/>
        </w:rPr>
        <w:t>™ dsDNA Assay Kit (</w:t>
      </w:r>
      <w:proofErr w:type="spellStart"/>
      <w:r w:rsidRPr="00410D11">
        <w:rPr>
          <w:rFonts w:ascii="Times New Roman" w:hAnsi="Times New Roman" w:cs="Times New Roman"/>
        </w:rPr>
        <w:t>Thermoscientific</w:t>
      </w:r>
      <w:proofErr w:type="spellEnd"/>
      <w:r w:rsidRPr="00410D11">
        <w:rPr>
          <w:rFonts w:ascii="Times New Roman" w:hAnsi="Times New Roman" w:cs="Times New Roman"/>
        </w:rPr>
        <w:t>, UK). Samples were diluted as required to a final concentration of 16 ng DNA µL</w:t>
      </w:r>
      <w:r w:rsidRPr="00410D11">
        <w:rPr>
          <w:rFonts w:ascii="Times New Roman" w:hAnsi="Times New Roman" w:cs="Times New Roman"/>
          <w:vertAlign w:val="superscript"/>
        </w:rPr>
        <w:t>-1</w:t>
      </w:r>
      <w:r w:rsidRPr="00410D11">
        <w:rPr>
          <w:rFonts w:ascii="Times New Roman" w:hAnsi="Times New Roman" w:cs="Times New Roman"/>
        </w:rPr>
        <w:t xml:space="preserve"> to produce a library for sequencing. Samples were sequenced by synthesis using the </w:t>
      </w:r>
      <w:proofErr w:type="spellStart"/>
      <w:r w:rsidRPr="00410D11">
        <w:rPr>
          <w:rFonts w:ascii="Times New Roman" w:hAnsi="Times New Roman" w:cs="Times New Roman"/>
        </w:rPr>
        <w:t>Illumina</w:t>
      </w:r>
      <w:r w:rsidRPr="00410D11">
        <w:rPr>
          <w:rFonts w:ascii="Times New Roman" w:hAnsi="Times New Roman" w:cs="Times New Roman"/>
          <w:vertAlign w:val="superscript"/>
        </w:rPr>
        <w:t>R</w:t>
      </w:r>
      <w:proofErr w:type="spellEnd"/>
      <w:r w:rsidRPr="00410D11">
        <w:rPr>
          <w:rFonts w:ascii="Times New Roman" w:hAnsi="Times New Roman" w:cs="Times New Roman"/>
        </w:rPr>
        <w:t xml:space="preserve"> </w:t>
      </w:r>
      <w:proofErr w:type="spellStart"/>
      <w:r w:rsidRPr="00410D11">
        <w:rPr>
          <w:rFonts w:ascii="Times New Roman" w:hAnsi="Times New Roman" w:cs="Times New Roman"/>
        </w:rPr>
        <w:t>MiSeq</w:t>
      </w:r>
      <w:proofErr w:type="spellEnd"/>
      <w:r w:rsidRPr="00410D11">
        <w:rPr>
          <w:rFonts w:ascii="Times New Roman" w:hAnsi="Times New Roman" w:cs="Times New Roman"/>
        </w:rPr>
        <w:t xml:space="preserve"> instrument, on a V2 chemistry flow cell with 250bp paired end reads at the Earlham Institute (Norwich Research Park Innovation Centre, Colney Ln, </w:t>
      </w:r>
      <w:proofErr w:type="spellStart"/>
      <w:proofErr w:type="gramStart"/>
      <w:r w:rsidRPr="00410D11">
        <w:rPr>
          <w:rFonts w:ascii="Times New Roman" w:hAnsi="Times New Roman" w:cs="Times New Roman"/>
        </w:rPr>
        <w:t>Norwich,UK</w:t>
      </w:r>
      <w:proofErr w:type="spellEnd"/>
      <w:proofErr w:type="gramEnd"/>
      <w:r w:rsidRPr="00410D11">
        <w:rPr>
          <w:rFonts w:ascii="Times New Roman" w:hAnsi="Times New Roman" w:cs="Times New Roman"/>
        </w:rPr>
        <w:t>, NR4 7UZ).</w:t>
      </w:r>
    </w:p>
    <w:p w14:paraId="3A9879BB"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Bioinformatic analysis</w:t>
      </w:r>
    </w:p>
    <w:p w14:paraId="0682C23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Demultiplexed 16S rRNA sequences were provided by The Earlham Institute as forward (R1) and reverse (R2) reads in FASTQ format. For quality checks </w:t>
      </w:r>
      <w:proofErr w:type="spellStart"/>
      <w:r w:rsidRPr="00410D11">
        <w:rPr>
          <w:rFonts w:ascii="Times New Roman" w:hAnsi="Times New Roman" w:cs="Times New Roman"/>
        </w:rPr>
        <w:t>Usearch</w:t>
      </w:r>
      <w:proofErr w:type="spellEnd"/>
      <w:r w:rsidRPr="00410D11">
        <w:rPr>
          <w:rFonts w:ascii="Times New Roman" w:hAnsi="Times New Roman" w:cs="Times New Roman"/>
        </w:rPr>
        <w:t xml:space="preserve"> 8.1 </w:t>
      </w:r>
      <w:r>
        <w:rPr>
          <w:rFonts w:ascii="Times New Roman" w:hAnsi="Times New Roman" w:cs="Times New Roman"/>
          <w:noProof/>
        </w:rPr>
        <w:t>(Edgar, 2010)</w:t>
      </w:r>
      <w:r w:rsidRPr="00410D11">
        <w:rPr>
          <w:rFonts w:ascii="Times New Roman" w:hAnsi="Times New Roman" w:cs="Times New Roman"/>
        </w:rPr>
        <w:t xml:space="preserve"> was used. For data processing Quantitative Insights into Microbial Ecology (QIIME) was used </w:t>
      </w:r>
      <w:r>
        <w:rPr>
          <w:rFonts w:ascii="Times New Roman" w:hAnsi="Times New Roman" w:cs="Times New Roman"/>
          <w:noProof/>
        </w:rPr>
        <w:t>(Caporaso et al., 2010)</w:t>
      </w:r>
      <w:r w:rsidRPr="00410D11">
        <w:rPr>
          <w:rFonts w:ascii="Times New Roman" w:hAnsi="Times New Roman" w:cs="Times New Roman"/>
        </w:rPr>
        <w:t xml:space="preserve">. </w:t>
      </w:r>
      <w:r w:rsidRPr="00410D11">
        <w:rPr>
          <w:rFonts w:ascii="Times New Roman" w:hAnsi="Times New Roman" w:cs="Times New Roman"/>
        </w:rPr>
        <w:lastRenderedPageBreak/>
        <w:t xml:space="preserve">Sequences with greater than 1 in 1000 errors and short reads below 350 bp were removed. The forward and reverse reads were merged and converted to FASTA format. The primer sequences (17 bp from 5’ and 21 bp from 3’ ends respectively) were removed. Chimeras were identified and removed using </w:t>
      </w:r>
      <w:r w:rsidRPr="00410D11">
        <w:rPr>
          <w:rFonts w:ascii="Times New Roman" w:hAnsi="Times New Roman" w:cs="Times New Roman"/>
          <w:i/>
        </w:rPr>
        <w:t xml:space="preserve">de novo </w:t>
      </w:r>
      <w:r w:rsidRPr="00410D11">
        <w:rPr>
          <w:rFonts w:ascii="Times New Roman" w:hAnsi="Times New Roman" w:cs="Times New Roman"/>
        </w:rPr>
        <w:t xml:space="preserve">abundances and comparing with the RDP gold data base </w:t>
      </w:r>
      <w:r>
        <w:rPr>
          <w:rFonts w:ascii="Times New Roman" w:hAnsi="Times New Roman" w:cs="Times New Roman"/>
          <w:noProof/>
        </w:rPr>
        <w:t>(Wang et al., 2007)</w:t>
      </w:r>
      <w:r w:rsidRPr="00410D11">
        <w:rPr>
          <w:rFonts w:ascii="Times New Roman" w:hAnsi="Times New Roman" w:cs="Times New Roman"/>
        </w:rPr>
        <w:t xml:space="preserve">. A </w:t>
      </w:r>
      <w:proofErr w:type="spellStart"/>
      <w:r w:rsidRPr="00410D11">
        <w:rPr>
          <w:rFonts w:ascii="Times New Roman" w:hAnsi="Times New Roman" w:cs="Times New Roman"/>
        </w:rPr>
        <w:t>biom</w:t>
      </w:r>
      <w:proofErr w:type="spellEnd"/>
      <w:r w:rsidRPr="00410D11">
        <w:rPr>
          <w:rFonts w:ascii="Times New Roman" w:hAnsi="Times New Roman" w:cs="Times New Roman"/>
        </w:rPr>
        <w:t xml:space="preserve"> table was generated using </w:t>
      </w:r>
      <w:proofErr w:type="spellStart"/>
      <w:r w:rsidRPr="00410D11">
        <w:rPr>
          <w:rFonts w:ascii="Times New Roman" w:hAnsi="Times New Roman" w:cs="Times New Roman"/>
        </w:rPr>
        <w:t>Greengenes</w:t>
      </w:r>
      <w:proofErr w:type="spellEnd"/>
      <w:r w:rsidRPr="00410D11">
        <w:rPr>
          <w:rFonts w:ascii="Times New Roman" w:hAnsi="Times New Roman" w:cs="Times New Roman"/>
        </w:rPr>
        <w:t xml:space="preserve"> data base </w:t>
      </w:r>
      <w:r>
        <w:rPr>
          <w:rFonts w:ascii="Times New Roman" w:hAnsi="Times New Roman" w:cs="Times New Roman"/>
          <w:noProof/>
        </w:rPr>
        <w:t>(DeSantis et al., 2006; McDonald et al., 2012)</w:t>
      </w:r>
      <w:r w:rsidRPr="00410D11">
        <w:rPr>
          <w:rFonts w:ascii="Times New Roman" w:hAnsi="Times New Roman" w:cs="Times New Roman"/>
        </w:rPr>
        <w:t xml:space="preserve"> at 97% similarity. Further processing was performed using the </w:t>
      </w:r>
      <w:proofErr w:type="spellStart"/>
      <w:r w:rsidRPr="00410D11">
        <w:rPr>
          <w:rFonts w:ascii="Times New Roman" w:hAnsi="Times New Roman" w:cs="Times New Roman"/>
        </w:rPr>
        <w:t>phyloseq</w:t>
      </w:r>
      <w:proofErr w:type="spellEnd"/>
      <w:r w:rsidRPr="00410D11">
        <w:rPr>
          <w:rFonts w:ascii="Times New Roman" w:hAnsi="Times New Roman" w:cs="Times New Roman"/>
        </w:rPr>
        <w:t xml:space="preserve"> package </w:t>
      </w:r>
      <w:r>
        <w:rPr>
          <w:rFonts w:ascii="Times New Roman" w:hAnsi="Times New Roman" w:cs="Times New Roman"/>
          <w:noProof/>
        </w:rPr>
        <w:t>(McMurdie and Holmes, 2013</w:t>
      </w:r>
      <w:proofErr w:type="gramStart"/>
      <w:r>
        <w:rPr>
          <w:rFonts w:ascii="Times New Roman" w:hAnsi="Times New Roman" w:cs="Times New Roman"/>
          <w:noProof/>
        </w:rPr>
        <w:t>)</w:t>
      </w:r>
      <w:r w:rsidRPr="00410D11">
        <w:rPr>
          <w:rFonts w:ascii="Times New Roman" w:hAnsi="Times New Roman" w:cs="Times New Roman"/>
        </w:rPr>
        <w:t xml:space="preserve">  in</w:t>
      </w:r>
      <w:proofErr w:type="gramEnd"/>
      <w:r w:rsidRPr="00410D11">
        <w:rPr>
          <w:rFonts w:ascii="Times New Roman" w:hAnsi="Times New Roman" w:cs="Times New Roman"/>
        </w:rPr>
        <w:t xml:space="preserve"> R</w:t>
      </w:r>
      <w:r>
        <w:rPr>
          <w:rFonts w:ascii="Times New Roman" w:hAnsi="Times New Roman" w:cs="Times New Roman"/>
        </w:rPr>
        <w:t xml:space="preserve"> </w:t>
      </w:r>
      <w:r>
        <w:rPr>
          <w:rFonts w:ascii="Times New Roman" w:hAnsi="Times New Roman" w:cs="Times New Roman"/>
          <w:noProof/>
        </w:rPr>
        <w:t>(R Core Team, 2020)</w:t>
      </w:r>
      <w:r w:rsidRPr="00410D11">
        <w:rPr>
          <w:rFonts w:ascii="Times New Roman" w:hAnsi="Times New Roman" w:cs="Times New Roman"/>
        </w:rPr>
        <w:t xml:space="preserve"> . Where needed, samples were rarefied to the same sequencing depth (20,000 reads). Principal components analysis using weighted and unweighted </w:t>
      </w:r>
      <w:proofErr w:type="spellStart"/>
      <w:r w:rsidRPr="00410D11">
        <w:rPr>
          <w:rFonts w:ascii="Times New Roman" w:hAnsi="Times New Roman" w:cs="Times New Roman"/>
        </w:rPr>
        <w:t>Unifrac</w:t>
      </w:r>
      <w:proofErr w:type="spellEnd"/>
      <w:r w:rsidRPr="00410D11">
        <w:rPr>
          <w:rFonts w:ascii="Times New Roman" w:hAnsi="Times New Roman" w:cs="Times New Roman"/>
        </w:rPr>
        <w:t xml:space="preserve"> distances was used to visualise distances between samples and statistical analysis of samples performed by </w:t>
      </w:r>
      <w:proofErr w:type="spellStart"/>
      <w:r w:rsidRPr="00410D11">
        <w:rPr>
          <w:rFonts w:ascii="Times New Roman" w:hAnsi="Times New Roman" w:cs="Times New Roman"/>
        </w:rPr>
        <w:t>Permanova</w:t>
      </w:r>
      <w:proofErr w:type="spellEnd"/>
      <w:r w:rsidRPr="00410D11">
        <w:rPr>
          <w:rFonts w:ascii="Times New Roman" w:hAnsi="Times New Roman" w:cs="Times New Roman"/>
        </w:rPr>
        <w:t xml:space="preserve"> using the ‘</w:t>
      </w:r>
      <w:proofErr w:type="spellStart"/>
      <w:r w:rsidRPr="00410D11">
        <w:rPr>
          <w:rFonts w:ascii="Times New Roman" w:hAnsi="Times New Roman" w:cs="Times New Roman"/>
        </w:rPr>
        <w:t>adonis</w:t>
      </w:r>
      <w:proofErr w:type="spellEnd"/>
      <w:r w:rsidRPr="00410D11">
        <w:rPr>
          <w:rFonts w:ascii="Times New Roman" w:hAnsi="Times New Roman" w:cs="Times New Roman"/>
        </w:rPr>
        <w:t xml:space="preserve">’ package </w:t>
      </w:r>
      <w:r>
        <w:rPr>
          <w:rFonts w:ascii="Times New Roman" w:hAnsi="Times New Roman" w:cs="Times New Roman"/>
          <w:noProof/>
        </w:rPr>
        <w:t>(Lozupone et al., 2011)</w:t>
      </w:r>
      <w:r w:rsidRPr="00410D11">
        <w:rPr>
          <w:rFonts w:ascii="Times New Roman" w:hAnsi="Times New Roman" w:cs="Times New Roman"/>
        </w:rPr>
        <w:t xml:space="preserve">. Differential OTU abundance was determined with DESeq2 using unrarefied data and parametric estimation of the count-variance relationship </w:t>
      </w:r>
      <w:r>
        <w:rPr>
          <w:rFonts w:ascii="Times New Roman" w:hAnsi="Times New Roman" w:cs="Times New Roman"/>
          <w:noProof/>
        </w:rPr>
        <w:t>(Love et al., 2014)</w:t>
      </w:r>
      <w:r w:rsidRPr="00410D11">
        <w:rPr>
          <w:rFonts w:ascii="Times New Roman" w:hAnsi="Times New Roman" w:cs="Times New Roman"/>
        </w:rPr>
        <w:t>. Network analysis used the ‘</w:t>
      </w:r>
      <w:proofErr w:type="spellStart"/>
      <w:r w:rsidRPr="00410D11">
        <w:rPr>
          <w:rFonts w:ascii="Times New Roman" w:hAnsi="Times New Roman" w:cs="Times New Roman"/>
        </w:rPr>
        <w:t>spiecEasi</w:t>
      </w:r>
      <w:proofErr w:type="spellEnd"/>
      <w:r w:rsidRPr="00410D11">
        <w:rPr>
          <w:rFonts w:ascii="Times New Roman" w:hAnsi="Times New Roman" w:cs="Times New Roman"/>
        </w:rPr>
        <w:t xml:space="preserve">’ package </w:t>
      </w:r>
      <w:r>
        <w:rPr>
          <w:rFonts w:ascii="Times New Roman" w:hAnsi="Times New Roman" w:cs="Times New Roman"/>
          <w:noProof/>
        </w:rPr>
        <w:t>(Kurtz et al., 2015)</w:t>
      </w:r>
      <w:r w:rsidRPr="00410D11">
        <w:rPr>
          <w:rFonts w:ascii="Times New Roman" w:hAnsi="Times New Roman" w:cs="Times New Roman"/>
        </w:rPr>
        <w:t xml:space="preserve"> with submodules identified using the ‘</w:t>
      </w:r>
      <w:proofErr w:type="spellStart"/>
      <w:r w:rsidRPr="00410D11">
        <w:rPr>
          <w:rFonts w:ascii="Times New Roman" w:hAnsi="Times New Roman" w:cs="Times New Roman"/>
        </w:rPr>
        <w:t>cluster_fast_greedy</w:t>
      </w:r>
      <w:proofErr w:type="spellEnd"/>
      <w:r w:rsidRPr="00410D11">
        <w:rPr>
          <w:rFonts w:ascii="Times New Roman" w:hAnsi="Times New Roman" w:cs="Times New Roman"/>
        </w:rPr>
        <w:t xml:space="preserve">’ algorithm </w:t>
      </w:r>
      <w:r>
        <w:rPr>
          <w:rFonts w:ascii="Times New Roman" w:hAnsi="Times New Roman" w:cs="Times New Roman"/>
          <w:noProof/>
        </w:rPr>
        <w:t>(Clauset et al., 2004)</w:t>
      </w:r>
      <w:r w:rsidRPr="00410D11">
        <w:rPr>
          <w:rFonts w:ascii="Times New Roman" w:hAnsi="Times New Roman" w:cs="Times New Roman"/>
        </w:rPr>
        <w:t xml:space="preserve"> implemented in the package ‘</w:t>
      </w:r>
      <w:proofErr w:type="spellStart"/>
      <w:r w:rsidRPr="00410D11">
        <w:rPr>
          <w:rFonts w:ascii="Times New Roman" w:hAnsi="Times New Roman" w:cs="Times New Roman"/>
        </w:rPr>
        <w:t>igraph</w:t>
      </w:r>
      <w:proofErr w:type="spellEnd"/>
      <w:r w:rsidRPr="00410D11">
        <w:rPr>
          <w:rFonts w:ascii="Times New Roman" w:hAnsi="Times New Roman" w:cs="Times New Roman"/>
        </w:rPr>
        <w:t xml:space="preserve">’ </w:t>
      </w:r>
      <w:r>
        <w:rPr>
          <w:rFonts w:ascii="Times New Roman" w:hAnsi="Times New Roman" w:cs="Times New Roman"/>
          <w:noProof/>
        </w:rPr>
        <w:t>(Csardi and Nepusz, 2006)</w:t>
      </w:r>
      <w:r w:rsidRPr="00410D11">
        <w:rPr>
          <w:rFonts w:ascii="Times New Roman" w:hAnsi="Times New Roman" w:cs="Times New Roman"/>
        </w:rPr>
        <w:t xml:space="preserve">. Ecological models described in </w:t>
      </w:r>
      <w:r>
        <w:rPr>
          <w:rFonts w:ascii="Times New Roman" w:hAnsi="Times New Roman" w:cs="Times New Roman"/>
          <w:noProof/>
        </w:rPr>
        <w:t>(Stegen et al., 2012)</w:t>
      </w:r>
      <w:r w:rsidRPr="00410D11">
        <w:rPr>
          <w:rFonts w:ascii="Times New Roman" w:hAnsi="Times New Roman" w:cs="Times New Roman"/>
        </w:rPr>
        <w:t xml:space="preserve"> were implemented using code adapted from </w:t>
      </w:r>
      <w:r>
        <w:rPr>
          <w:rFonts w:ascii="Times New Roman" w:hAnsi="Times New Roman" w:cs="Times New Roman"/>
          <w:iCs/>
          <w:noProof/>
        </w:rPr>
        <w:t>(Danczak et al., 2018)</w:t>
      </w:r>
    </w:p>
    <w:p w14:paraId="6160A1AC"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Chemical analysis</w:t>
      </w:r>
    </w:p>
    <w:p w14:paraId="5327357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Chemical analysis of groundwater samples was performed as described in </w:t>
      </w:r>
      <w:r w:rsidRPr="00410D11">
        <w:rPr>
          <w:rFonts w:ascii="Times New Roman" w:hAnsi="Times New Roman" w:cs="Times New Roman"/>
          <w:noProof/>
        </w:rPr>
        <w:t>[18, 48]</w:t>
      </w:r>
      <w:r w:rsidRPr="00410D11">
        <w:rPr>
          <w:rFonts w:ascii="Times New Roman" w:hAnsi="Times New Roman" w:cs="Times New Roman"/>
        </w:rPr>
        <w:t xml:space="preserve">. Phenol, o-cresol, m/p-cresol, xylenols (2,3-xylenol, 2,4/2,5-xylenol, 2,6-xylenol, 3,5-xylenol, 3,6-xylenol), 4-hydroxybenzoic acid and 4-hydroxy-3-methyl benzoic acid were analysed by high-pressure liquid chromatography (HPLC). The stationary phase was an </w:t>
      </w:r>
      <w:proofErr w:type="spellStart"/>
      <w:r w:rsidRPr="00410D11">
        <w:rPr>
          <w:rFonts w:ascii="Times New Roman" w:hAnsi="Times New Roman" w:cs="Times New Roman"/>
        </w:rPr>
        <w:t>Hypersil</w:t>
      </w:r>
      <w:proofErr w:type="spellEnd"/>
      <w:r w:rsidRPr="00410D11">
        <w:rPr>
          <w:rFonts w:ascii="Times New Roman" w:hAnsi="Times New Roman" w:cs="Times New Roman"/>
        </w:rPr>
        <w:t xml:space="preserve"> C18 column, 250 mm length, 4.6mm diameter and 5 µm particle size (Thermo Scientific, UK). The mobile phase consisted of 20% pure Acetonitrile HPLC grade (Merck, UK) and 80% of a 1% (v/v) acetic acid solution. The instrument used was a Perkin-Elmer Series 200 (Perkin Elmer, UK) system with a UV/VIS detector calibrated with standards and analytical quality controls. The method detection limit and precision w</w:t>
      </w:r>
      <w:r>
        <w:rPr>
          <w:rFonts w:ascii="Times New Roman" w:hAnsi="Times New Roman" w:cs="Times New Roman"/>
        </w:rPr>
        <w:t>ere</w:t>
      </w:r>
      <w:r w:rsidRPr="00410D11">
        <w:rPr>
          <w:rFonts w:ascii="Times New Roman" w:hAnsi="Times New Roman" w:cs="Times New Roman"/>
        </w:rPr>
        <w:t xml:space="preserve"> 1mg L</w:t>
      </w:r>
      <w:r w:rsidRPr="00410D11">
        <w:rPr>
          <w:rFonts w:ascii="Times New Roman" w:hAnsi="Times New Roman" w:cs="Times New Roman"/>
          <w:vertAlign w:val="superscript"/>
        </w:rPr>
        <w:t>-1</w:t>
      </w:r>
      <w:r w:rsidRPr="00410D11">
        <w:rPr>
          <w:rFonts w:ascii="Times New Roman" w:hAnsi="Times New Roman" w:cs="Times New Roman"/>
        </w:rPr>
        <w:t xml:space="preserve"> and ± 5%, respectively. A 1 mL sample volume was put into a 2 mL glass vial (</w:t>
      </w:r>
      <w:proofErr w:type="spellStart"/>
      <w:r w:rsidRPr="00410D11">
        <w:rPr>
          <w:rFonts w:ascii="Times New Roman" w:hAnsi="Times New Roman" w:cs="Times New Roman"/>
        </w:rPr>
        <w:t>Restek</w:t>
      </w:r>
      <w:proofErr w:type="spellEnd"/>
      <w:r w:rsidRPr="00410D11">
        <w:rPr>
          <w:rFonts w:ascii="Times New Roman" w:hAnsi="Times New Roman" w:cs="Times New Roman"/>
        </w:rPr>
        <w:t xml:space="preserve">, UK) and 100 µL of sample was injected into the instrument. For the mass spectrometry analysis different fractions of the HPLC eluent were collected in 2 mL glass vials filled with nitrogen. The samples were manually </w:t>
      </w:r>
      <w:r w:rsidRPr="00410D11">
        <w:rPr>
          <w:rFonts w:ascii="Times New Roman" w:hAnsi="Times New Roman" w:cs="Times New Roman"/>
        </w:rPr>
        <w:lastRenderedPageBreak/>
        <w:t xml:space="preserve">injected into a </w:t>
      </w:r>
      <w:proofErr w:type="spellStart"/>
      <w:r w:rsidRPr="00410D11">
        <w:rPr>
          <w:rFonts w:ascii="Times New Roman" w:hAnsi="Times New Roman" w:cs="Times New Roman"/>
        </w:rPr>
        <w:t>QStar</w:t>
      </w:r>
      <w:proofErr w:type="spellEnd"/>
      <w:r w:rsidRPr="00410D11">
        <w:rPr>
          <w:rFonts w:ascii="Times New Roman" w:hAnsi="Times New Roman" w:cs="Times New Roman"/>
        </w:rPr>
        <w:t xml:space="preserve"> Elite (ABI </w:t>
      </w:r>
      <w:proofErr w:type="spellStart"/>
      <w:r w:rsidRPr="00410D11">
        <w:rPr>
          <w:rFonts w:ascii="Times New Roman" w:hAnsi="Times New Roman" w:cs="Times New Roman"/>
        </w:rPr>
        <w:t>Sciex</w:t>
      </w:r>
      <w:proofErr w:type="spellEnd"/>
      <w:r w:rsidRPr="00410D11">
        <w:rPr>
          <w:rFonts w:ascii="Times New Roman" w:hAnsi="Times New Roman" w:cs="Times New Roman"/>
        </w:rPr>
        <w:t xml:space="preserve">, UK) mass spectrometer with an </w:t>
      </w:r>
      <w:proofErr w:type="spellStart"/>
      <w:r w:rsidRPr="00410D11">
        <w:rPr>
          <w:rFonts w:ascii="Times New Roman" w:hAnsi="Times New Roman" w:cs="Times New Roman"/>
        </w:rPr>
        <w:t>ion</w:t>
      </w:r>
      <w:proofErr w:type="spellEnd"/>
      <w:r w:rsidRPr="00410D11">
        <w:rPr>
          <w:rFonts w:ascii="Times New Roman" w:hAnsi="Times New Roman" w:cs="Times New Roman"/>
        </w:rPr>
        <w:t xml:space="preserve"> spray injector. Samples were run in negative mode; the ion spray voltage was -38000 </w:t>
      </w:r>
      <w:proofErr w:type="gramStart"/>
      <w:r w:rsidRPr="00410D11">
        <w:rPr>
          <w:rFonts w:ascii="Times New Roman" w:hAnsi="Times New Roman" w:cs="Times New Roman"/>
        </w:rPr>
        <w:t>V</w:t>
      </w:r>
      <w:proofErr w:type="gramEnd"/>
      <w:r w:rsidRPr="00410D11">
        <w:rPr>
          <w:rFonts w:ascii="Times New Roman" w:hAnsi="Times New Roman" w:cs="Times New Roman"/>
        </w:rPr>
        <w:t xml:space="preserve"> and the source temperature was 100⁰C. Major ions (including NO</w:t>
      </w:r>
      <w:r w:rsidRPr="00410D11">
        <w:rPr>
          <w:rFonts w:ascii="Times New Roman" w:hAnsi="Times New Roman" w:cs="Times New Roman"/>
          <w:vertAlign w:val="subscript"/>
        </w:rPr>
        <w:t>3</w:t>
      </w:r>
      <w:r w:rsidRPr="00410D11">
        <w:rPr>
          <w:rFonts w:ascii="Times New Roman" w:hAnsi="Times New Roman" w:cs="Times New Roman"/>
          <w:vertAlign w:val="superscript"/>
        </w:rPr>
        <w:t>-</w:t>
      </w:r>
      <w:r w:rsidRPr="00410D11">
        <w:rPr>
          <w:rFonts w:ascii="Times New Roman" w:hAnsi="Times New Roman" w:cs="Times New Roman"/>
        </w:rPr>
        <w:t>, NO</w:t>
      </w:r>
      <w:r w:rsidRPr="00410D11">
        <w:rPr>
          <w:rFonts w:ascii="Times New Roman" w:hAnsi="Times New Roman" w:cs="Times New Roman"/>
          <w:vertAlign w:val="subscript"/>
        </w:rPr>
        <w:t>2</w:t>
      </w:r>
      <w:r w:rsidRPr="00410D11">
        <w:rPr>
          <w:rFonts w:ascii="Times New Roman" w:hAnsi="Times New Roman" w:cs="Times New Roman"/>
          <w:vertAlign w:val="superscript"/>
        </w:rPr>
        <w:t>-</w:t>
      </w:r>
      <w:r w:rsidRPr="00410D11">
        <w:rPr>
          <w:rFonts w:ascii="Times New Roman" w:hAnsi="Times New Roman" w:cs="Times New Roman"/>
        </w:rPr>
        <w:t xml:space="preserve"> and SO</w:t>
      </w:r>
      <w:r w:rsidRPr="00410D11">
        <w:rPr>
          <w:rFonts w:ascii="Times New Roman" w:hAnsi="Times New Roman" w:cs="Times New Roman"/>
          <w:vertAlign w:val="subscript"/>
        </w:rPr>
        <w:t>4</w:t>
      </w:r>
      <w:r w:rsidRPr="00410D11">
        <w:rPr>
          <w:rFonts w:ascii="Times New Roman" w:hAnsi="Times New Roman" w:cs="Times New Roman"/>
          <w:vertAlign w:val="superscript"/>
        </w:rPr>
        <w:t>2-</w:t>
      </w:r>
      <w:r w:rsidRPr="00410D11">
        <w:rPr>
          <w:rFonts w:ascii="Times New Roman" w:hAnsi="Times New Roman" w:cs="Times New Roman"/>
        </w:rPr>
        <w:t xml:space="preserve">) were determined by ion chromatography using a </w:t>
      </w:r>
      <w:proofErr w:type="spellStart"/>
      <w:r w:rsidRPr="00410D11">
        <w:rPr>
          <w:rFonts w:ascii="Times New Roman" w:hAnsi="Times New Roman" w:cs="Times New Roman"/>
        </w:rPr>
        <w:t>Dionex</w:t>
      </w:r>
      <w:proofErr w:type="spellEnd"/>
      <w:r w:rsidRPr="00410D11">
        <w:rPr>
          <w:rFonts w:ascii="Times New Roman" w:hAnsi="Times New Roman" w:cs="Times New Roman"/>
        </w:rPr>
        <w:t xml:space="preserve"> 3000 (Thermo Scientific, UK) system with a detection limit of 1 mg L</w:t>
      </w:r>
      <w:r w:rsidRPr="00410D11">
        <w:rPr>
          <w:rFonts w:ascii="Times New Roman" w:hAnsi="Times New Roman" w:cs="Times New Roman"/>
          <w:vertAlign w:val="superscript"/>
        </w:rPr>
        <w:t>-1</w:t>
      </w:r>
      <w:r w:rsidRPr="00410D11">
        <w:rPr>
          <w:rFonts w:ascii="Times New Roman" w:hAnsi="Times New Roman" w:cs="Times New Roman"/>
        </w:rPr>
        <w:t xml:space="preserve"> and precision of ± 3%. Samples were diluted 10 times and put in 2 mL glass vials. Metal (Mn </w:t>
      </w:r>
      <w:r w:rsidRPr="00410D11">
        <w:rPr>
          <w:rFonts w:ascii="Times New Roman" w:hAnsi="Times New Roman" w:cs="Times New Roman"/>
          <w:vertAlign w:val="superscript"/>
        </w:rPr>
        <w:t>2+</w:t>
      </w:r>
      <w:r w:rsidRPr="00410D11">
        <w:rPr>
          <w:rFonts w:ascii="Times New Roman" w:hAnsi="Times New Roman" w:cs="Times New Roman"/>
        </w:rPr>
        <w:t>, Fe</w:t>
      </w:r>
      <w:r w:rsidRPr="00410D11">
        <w:rPr>
          <w:rFonts w:ascii="Times New Roman" w:hAnsi="Times New Roman" w:cs="Times New Roman"/>
          <w:vertAlign w:val="superscript"/>
        </w:rPr>
        <w:t>2+</w:t>
      </w:r>
      <w:r w:rsidRPr="00410D11">
        <w:rPr>
          <w:rFonts w:ascii="Times New Roman" w:hAnsi="Times New Roman" w:cs="Times New Roman"/>
        </w:rPr>
        <w:t>) concentrations were determined by inductively coupled plasma spectrophotometry using a Spectro Flame M120 instrument with a detection limit of 0.01 mg L</w:t>
      </w:r>
      <w:r w:rsidRPr="00410D11">
        <w:rPr>
          <w:rFonts w:ascii="Times New Roman" w:hAnsi="Times New Roman" w:cs="Times New Roman"/>
          <w:vertAlign w:val="superscript"/>
        </w:rPr>
        <w:t>-1</w:t>
      </w:r>
      <w:r w:rsidRPr="00410D11">
        <w:rPr>
          <w:rFonts w:ascii="Times New Roman" w:hAnsi="Times New Roman" w:cs="Times New Roman"/>
        </w:rPr>
        <w:t xml:space="preserve"> and precision of ± 2%. Samples were serially diluted to 10, 20, 50 and 100 times and acidified at 1% using trace metal grade nitric acid (Fischer Chemical, UK. </w:t>
      </w:r>
    </w:p>
    <w:p w14:paraId="223A612F"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Data availability</w:t>
      </w:r>
    </w:p>
    <w:p w14:paraId="34AF0AD6" w14:textId="77777777" w:rsidR="00267E22" w:rsidRPr="00410D11" w:rsidRDefault="00267E22" w:rsidP="001656AE">
      <w:pPr>
        <w:rPr>
          <w:rFonts w:ascii="Times New Roman" w:hAnsi="Times New Roman" w:cs="Times New Roman"/>
          <w:sz w:val="20"/>
          <w:szCs w:val="20"/>
        </w:rPr>
      </w:pPr>
      <w:r w:rsidRPr="00410D11">
        <w:rPr>
          <w:rFonts w:ascii="Times New Roman" w:hAnsi="Times New Roman" w:cs="Times New Roman"/>
          <w:shd w:val="clear" w:color="auto" w:fill="FFFFFF"/>
        </w:rPr>
        <w:t xml:space="preserve">The 16S rRNA gene sequences are available through the European Nucleotide Archive (ENA) at the European Bioinformatics Institute (EBI) under accession number </w:t>
      </w:r>
      <w:r w:rsidRPr="00410D11">
        <w:rPr>
          <w:rFonts w:ascii="Times New Roman" w:hAnsi="Times New Roman" w:cs="Times New Roman"/>
          <w:color w:val="222222"/>
          <w:shd w:val="clear" w:color="auto" w:fill="FFFFFF"/>
        </w:rPr>
        <w:t>PRJEB34776</w:t>
      </w:r>
      <w:r w:rsidRPr="00410D11">
        <w:rPr>
          <w:rFonts w:ascii="Times New Roman" w:hAnsi="Times New Roman" w:cs="Times New Roman"/>
          <w:shd w:val="clear" w:color="auto" w:fill="FFFFFF"/>
        </w:rPr>
        <w:t xml:space="preserve">. </w:t>
      </w:r>
    </w:p>
    <w:p w14:paraId="3A3F8783"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Acknowledgements</w:t>
      </w:r>
    </w:p>
    <w:p w14:paraId="323E8947" w14:textId="77777777" w:rsidR="00267E22" w:rsidRPr="00410D11" w:rsidRDefault="00267E22" w:rsidP="001656AE">
      <w:pPr>
        <w:rPr>
          <w:rFonts w:ascii="Times New Roman" w:hAnsi="Times New Roman" w:cs="Times New Roman"/>
        </w:rPr>
      </w:pPr>
      <w:r w:rsidRPr="00410D11">
        <w:rPr>
          <w:rFonts w:ascii="Times New Roman" w:hAnsi="Times New Roman" w:cs="Times New Roman"/>
          <w:shd w:val="clear" w:color="auto" w:fill="FFFFFF"/>
        </w:rPr>
        <w:t xml:space="preserve">JFMA was funded by the </w:t>
      </w:r>
      <w:r w:rsidRPr="00410D11">
        <w:rPr>
          <w:rFonts w:ascii="Times New Roman" w:hAnsi="Times New Roman" w:cs="Times New Roman"/>
        </w:rPr>
        <w:t xml:space="preserve">scholarship programme </w:t>
      </w:r>
      <w:proofErr w:type="spellStart"/>
      <w:r w:rsidRPr="00410D11">
        <w:rPr>
          <w:rFonts w:ascii="Times New Roman" w:hAnsi="Times New Roman" w:cs="Times New Roman"/>
        </w:rPr>
        <w:t>Becas</w:t>
      </w:r>
      <w:proofErr w:type="spellEnd"/>
      <w:r w:rsidRPr="00410D11">
        <w:rPr>
          <w:rFonts w:ascii="Times New Roman" w:hAnsi="Times New Roman" w:cs="Times New Roman"/>
        </w:rPr>
        <w:t xml:space="preserve"> Chile </w:t>
      </w:r>
      <w:r w:rsidRPr="00410D11">
        <w:rPr>
          <w:rFonts w:ascii="Times New Roman" w:hAnsi="Times New Roman" w:cs="Times New Roman"/>
          <w:shd w:val="clear" w:color="auto" w:fill="FFFFFF"/>
        </w:rPr>
        <w:t xml:space="preserve">granted by the Government of Chile (CONICYT PAI/IAC </w:t>
      </w:r>
      <w:r w:rsidRPr="00410D11">
        <w:rPr>
          <w:rFonts w:ascii="Times New Roman" w:hAnsi="Times New Roman" w:cs="Times New Roman"/>
          <w:color w:val="2B2E2F"/>
          <w:shd w:val="clear" w:color="auto" w:fill="FFFFFF"/>
        </w:rPr>
        <w:t>72140249</w:t>
      </w:r>
      <w:r w:rsidRPr="00410D11">
        <w:rPr>
          <w:rFonts w:ascii="Times New Roman" w:hAnsi="Times New Roman" w:cs="Times New Roman"/>
          <w:shd w:val="clear" w:color="auto" w:fill="FFFFFF"/>
        </w:rPr>
        <w:t>)</w:t>
      </w:r>
      <w:r w:rsidRPr="00410D11">
        <w:rPr>
          <w:rFonts w:ascii="Times New Roman" w:hAnsi="Times New Roman" w:cs="Times New Roman"/>
        </w:rPr>
        <w:t xml:space="preserve">. </w:t>
      </w:r>
      <w:r w:rsidRPr="00410D11">
        <w:rPr>
          <w:rFonts w:ascii="Times New Roman" w:hAnsi="Times New Roman" w:cs="Times New Roman"/>
          <w:shd w:val="clear" w:color="auto" w:fill="FFFFFF"/>
        </w:rPr>
        <w:t xml:space="preserve">JFMA, SFT, SAR conceptualized and designed the experiments. JFMA performed experiments. JFMA, SAR </w:t>
      </w:r>
      <w:proofErr w:type="spellStart"/>
      <w:r w:rsidRPr="00410D11">
        <w:rPr>
          <w:rFonts w:ascii="Times New Roman" w:hAnsi="Times New Roman" w:cs="Times New Roman"/>
          <w:shd w:val="clear" w:color="auto" w:fill="FFFFFF"/>
        </w:rPr>
        <w:t>analyzed</w:t>
      </w:r>
      <w:proofErr w:type="spellEnd"/>
      <w:r w:rsidRPr="00410D11">
        <w:rPr>
          <w:rFonts w:ascii="Times New Roman" w:hAnsi="Times New Roman" w:cs="Times New Roman"/>
          <w:shd w:val="clear" w:color="auto" w:fill="FFFFFF"/>
        </w:rPr>
        <w:t xml:space="preserve"> experimental results. JFMA, </w:t>
      </w:r>
      <w:r w:rsidRPr="00410D11">
        <w:rPr>
          <w:rFonts w:ascii="Times New Roman" w:hAnsi="Times New Roman" w:cs="Times New Roman"/>
        </w:rPr>
        <w:t>SFT</w:t>
      </w:r>
      <w:r w:rsidRPr="00410D11">
        <w:rPr>
          <w:rFonts w:ascii="Times New Roman" w:hAnsi="Times New Roman" w:cs="Times New Roman"/>
          <w:shd w:val="clear" w:color="auto" w:fill="FFFFFF"/>
        </w:rPr>
        <w:t>, S</w:t>
      </w:r>
      <w:r>
        <w:rPr>
          <w:rFonts w:ascii="Times New Roman" w:hAnsi="Times New Roman" w:cs="Times New Roman"/>
          <w:shd w:val="clear" w:color="auto" w:fill="FFFFFF"/>
        </w:rPr>
        <w:t>A</w:t>
      </w:r>
      <w:r w:rsidRPr="00410D11">
        <w:rPr>
          <w:rFonts w:ascii="Times New Roman" w:hAnsi="Times New Roman" w:cs="Times New Roman"/>
          <w:shd w:val="clear" w:color="auto" w:fill="FFFFFF"/>
        </w:rPr>
        <w:t>R interpreted the results and wrote the manuscript. All authors read and approved the final manuscript. The funders had no role in study design, data collection and interpretation, or the decision to submit the work for publication. We have no competing financial interest to declare.</w:t>
      </w:r>
    </w:p>
    <w:p w14:paraId="242536B8" w14:textId="77777777" w:rsidR="00267E22" w:rsidRPr="00410D11" w:rsidRDefault="00267E22" w:rsidP="001656AE">
      <w:pPr>
        <w:rPr>
          <w:rFonts w:ascii="Times New Roman" w:hAnsi="Times New Roman" w:cs="Times New Roman"/>
        </w:rPr>
      </w:pPr>
    </w:p>
    <w:p w14:paraId="42B10716" w14:textId="77777777" w:rsidR="00267E22" w:rsidRPr="00410D11" w:rsidRDefault="00267E22" w:rsidP="001656AE">
      <w:pPr>
        <w:rPr>
          <w:rFonts w:ascii="Times New Roman" w:hAnsi="Times New Roman" w:cs="Times New Roman"/>
        </w:rPr>
      </w:pPr>
      <w:r w:rsidRPr="00410D11">
        <w:rPr>
          <w:rFonts w:ascii="Times New Roman" w:hAnsi="Times New Roman" w:cs="Times New Roman"/>
          <w:noProof/>
          <w:lang w:eastAsia="en-GB"/>
        </w:rPr>
        <w:lastRenderedPageBreak/>
        <w:drawing>
          <wp:inline distT="0" distB="0" distL="0" distR="0" wp14:anchorId="206D5630" wp14:editId="1D902D68">
            <wp:extent cx="3257217" cy="7369791"/>
            <wp:effectExtent l="0" t="0" r="635" b="3175"/>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7709" cy="7393530"/>
                    </a:xfrm>
                    <a:prstGeom prst="rect">
                      <a:avLst/>
                    </a:prstGeom>
                  </pic:spPr>
                </pic:pic>
              </a:graphicData>
            </a:graphic>
          </wp:inline>
        </w:drawing>
      </w:r>
    </w:p>
    <w:p w14:paraId="1C69B37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Figure 1 </w:t>
      </w:r>
    </w:p>
    <w:p w14:paraId="1E16488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Concentration of phenolic compounds (phenol, m/p-cresols, o-cresols and xylenols), soluble electron acceptors (nitrate and sulfate) and metals (Fe</w:t>
      </w:r>
      <w:r w:rsidRPr="00410D11">
        <w:rPr>
          <w:rFonts w:ascii="Times New Roman" w:hAnsi="Times New Roman" w:cs="Times New Roman"/>
          <w:vertAlign w:val="superscript"/>
        </w:rPr>
        <w:t>2+</w:t>
      </w:r>
      <w:r w:rsidRPr="00410D11">
        <w:rPr>
          <w:rFonts w:ascii="Times New Roman" w:hAnsi="Times New Roman" w:cs="Times New Roman"/>
        </w:rPr>
        <w:t xml:space="preserve"> and Mn</w:t>
      </w:r>
      <w:r w:rsidRPr="00410D11">
        <w:rPr>
          <w:rFonts w:ascii="Times New Roman" w:hAnsi="Times New Roman" w:cs="Times New Roman"/>
          <w:vertAlign w:val="superscript"/>
        </w:rPr>
        <w:t>2+</w:t>
      </w:r>
      <w:r w:rsidRPr="00410D11">
        <w:rPr>
          <w:rFonts w:ascii="Times New Roman" w:hAnsi="Times New Roman" w:cs="Times New Roman"/>
        </w:rPr>
        <w:t xml:space="preserve">) in field and microcosm samples. Single </w:t>
      </w:r>
      <w:r w:rsidRPr="00410D11">
        <w:rPr>
          <w:rFonts w:ascii="Times New Roman" w:hAnsi="Times New Roman" w:cs="Times New Roman"/>
        </w:rPr>
        <w:lastRenderedPageBreak/>
        <w:t>measurements were made for field samples. Microcosm samples are means +/- SD for triplicate samples. Live/field samples are shown as open circles and abiotic controls are shown as closed circles.</w:t>
      </w:r>
    </w:p>
    <w:p w14:paraId="57E91F4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br w:type="page"/>
      </w:r>
    </w:p>
    <w:p w14:paraId="25620EDC" w14:textId="77777777" w:rsidR="00267E22" w:rsidRPr="00410D11" w:rsidRDefault="00267E22" w:rsidP="001656AE">
      <w:pPr>
        <w:rPr>
          <w:rFonts w:ascii="Times New Roman" w:hAnsi="Times New Roman" w:cs="Times New Roman"/>
        </w:rPr>
      </w:pPr>
    </w:p>
    <w:p w14:paraId="3DE0D182" w14:textId="77777777" w:rsidR="00267E22" w:rsidRPr="00410D11" w:rsidRDefault="00267E22" w:rsidP="001656AE">
      <w:pPr>
        <w:rPr>
          <w:rFonts w:ascii="Times New Roman" w:hAnsi="Times New Roman" w:cs="Times New Roman"/>
        </w:rPr>
      </w:pPr>
      <w:r w:rsidRPr="00410D11">
        <w:rPr>
          <w:rFonts w:ascii="Times New Roman" w:hAnsi="Times New Roman" w:cs="Times New Roman"/>
          <w:noProof/>
          <w:lang w:eastAsia="en-GB"/>
        </w:rPr>
        <w:drawing>
          <wp:inline distT="0" distB="0" distL="0" distR="0" wp14:anchorId="3F2AAA93" wp14:editId="62DEA14B">
            <wp:extent cx="4539544" cy="2811439"/>
            <wp:effectExtent l="0" t="0" r="0" b="8255"/>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5795" cy="2815310"/>
                    </a:xfrm>
                    <a:prstGeom prst="rect">
                      <a:avLst/>
                    </a:prstGeom>
                  </pic:spPr>
                </pic:pic>
              </a:graphicData>
            </a:graphic>
          </wp:inline>
        </w:drawing>
      </w:r>
    </w:p>
    <w:p w14:paraId="74D23BE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Figure 2.</w:t>
      </w:r>
    </w:p>
    <w:p w14:paraId="4051A27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 (closed circles) and planktonic (open circles) cells in (A) field and (B) microcosm samples. Results are means +/- SD.</w:t>
      </w:r>
    </w:p>
    <w:p w14:paraId="16D20E3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br w:type="page"/>
      </w:r>
    </w:p>
    <w:p w14:paraId="13771D4F" w14:textId="77777777" w:rsidR="00267E22" w:rsidRPr="00410D11" w:rsidRDefault="00267E22" w:rsidP="001656AE">
      <w:pPr>
        <w:rPr>
          <w:rFonts w:ascii="Times New Roman" w:hAnsi="Times New Roman" w:cs="Times New Roman"/>
        </w:rPr>
      </w:pPr>
      <w:r>
        <w:rPr>
          <w:rFonts w:ascii="Times New Roman" w:hAnsi="Times New Roman" w:cs="Times New Roman"/>
          <w:noProof/>
        </w:rPr>
        <w:lastRenderedPageBreak/>
        <w:drawing>
          <wp:inline distT="0" distB="0" distL="0" distR="0" wp14:anchorId="11DE9690" wp14:editId="2342BD66">
            <wp:extent cx="5731510" cy="5436870"/>
            <wp:effectExtent l="0" t="0" r="254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436870"/>
                    </a:xfrm>
                    <a:prstGeom prst="rect">
                      <a:avLst/>
                    </a:prstGeom>
                  </pic:spPr>
                </pic:pic>
              </a:graphicData>
            </a:graphic>
          </wp:inline>
        </w:drawing>
      </w:r>
    </w:p>
    <w:p w14:paraId="5BAC195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Figure 3</w:t>
      </w:r>
    </w:p>
    <w:p w14:paraId="74542C6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Analysis of community composition. (A) Composition of planktonic and attached microbial communities at the Class level. Average values are shown for microcosm samples, field samples are a single measurement. Classes that contribute &lt;3% of the total are shown as ‘Other’ for clarity. Principal components analysis using the phylogenetically</w:t>
      </w:r>
      <w:r>
        <w:rPr>
          <w:rFonts w:ascii="Times New Roman" w:hAnsi="Times New Roman" w:cs="Times New Roman"/>
        </w:rPr>
        <w:t>-</w:t>
      </w:r>
      <w:r w:rsidRPr="00410D11">
        <w:rPr>
          <w:rFonts w:ascii="Times New Roman" w:hAnsi="Times New Roman" w:cs="Times New Roman"/>
        </w:rPr>
        <w:t xml:space="preserve">aware distance measure </w:t>
      </w:r>
      <w:proofErr w:type="spellStart"/>
      <w:r w:rsidRPr="00410D11">
        <w:rPr>
          <w:rFonts w:ascii="Times New Roman" w:hAnsi="Times New Roman" w:cs="Times New Roman"/>
        </w:rPr>
        <w:t>Unifrac</w:t>
      </w:r>
      <w:proofErr w:type="spellEnd"/>
      <w:r w:rsidRPr="00410D11">
        <w:rPr>
          <w:rFonts w:ascii="Times New Roman" w:hAnsi="Times New Roman" w:cs="Times New Roman"/>
        </w:rPr>
        <w:t>, calculated on (B) presence/absence (unweighted) or (C) weighted for OTU abundance.</w:t>
      </w:r>
      <w:r>
        <w:rPr>
          <w:rFonts w:ascii="Times New Roman" w:hAnsi="Times New Roman" w:cs="Times New Roman"/>
        </w:rPr>
        <w:t xml:space="preserve"> Attached (circles) and planktonic (squares) are coloured according to time after the start of incubation. The ellipses indicate the 95% confidence intervals of attached or planktonic samples in field and microcosm experiment for all timepoints. </w:t>
      </w:r>
      <w:r w:rsidRPr="00410D11">
        <w:rPr>
          <w:rFonts w:ascii="Times New Roman" w:hAnsi="Times New Roman" w:cs="Times New Roman"/>
        </w:rPr>
        <w:t xml:space="preserve"> (D) Richness and (E) Inverse Simpson values for these microbial communities. Individual </w:t>
      </w:r>
      <w:r w:rsidRPr="00410D11">
        <w:rPr>
          <w:rFonts w:ascii="Times New Roman" w:hAnsi="Times New Roman" w:cs="Times New Roman"/>
        </w:rPr>
        <w:lastRenderedPageBreak/>
        <w:t xml:space="preserve">values for each sample are shown as points (filled circles - attached, open circles -planktonic) with the solid line connecting means +/- SE (grey). </w:t>
      </w:r>
    </w:p>
    <w:p w14:paraId="5C38BF3D" w14:textId="77777777" w:rsidR="00267E22" w:rsidRPr="00410D11" w:rsidRDefault="00267E22" w:rsidP="001656AE">
      <w:pPr>
        <w:spacing w:after="160"/>
        <w:jc w:val="left"/>
        <w:rPr>
          <w:rFonts w:ascii="Times New Roman" w:hAnsi="Times New Roman" w:cs="Times New Roman"/>
        </w:rPr>
      </w:pPr>
      <w:r w:rsidRPr="00410D11">
        <w:rPr>
          <w:rFonts w:ascii="Times New Roman" w:hAnsi="Times New Roman" w:cs="Times New Roman"/>
        </w:rPr>
        <w:br w:type="page"/>
      </w:r>
    </w:p>
    <w:p w14:paraId="080D742F" w14:textId="77777777" w:rsidR="00267E22" w:rsidRPr="00410D11" w:rsidRDefault="00267E22" w:rsidP="001656AE">
      <w:pPr>
        <w:rPr>
          <w:rFonts w:ascii="Times New Roman" w:hAnsi="Times New Roman" w:cs="Times New Roman"/>
        </w:rPr>
      </w:pPr>
      <w:r>
        <w:rPr>
          <w:rFonts w:ascii="Times New Roman" w:hAnsi="Times New Roman" w:cs="Times New Roman"/>
          <w:noProof/>
        </w:rPr>
        <w:lastRenderedPageBreak/>
        <w:drawing>
          <wp:inline distT="0" distB="0" distL="0" distR="0" wp14:anchorId="5268B68A" wp14:editId="162FA6B9">
            <wp:extent cx="5731510" cy="4867275"/>
            <wp:effectExtent l="0" t="0" r="2540" b="952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867275"/>
                    </a:xfrm>
                    <a:prstGeom prst="rect">
                      <a:avLst/>
                    </a:prstGeom>
                  </pic:spPr>
                </pic:pic>
              </a:graphicData>
            </a:graphic>
          </wp:inline>
        </w:drawing>
      </w:r>
    </w:p>
    <w:p w14:paraId="072EED9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Figure 4.</w:t>
      </w:r>
    </w:p>
    <w:p w14:paraId="2E5C99E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Relative abundance of OTUs grouped by Class that exhibit a preference for attached or planktonic growth. The relative abundance of OTUs that were significantly different on the specified days are shown as coloured bars. White bars show the relative abundance of the same OTUs on days where the differences were not statistically significantly different. Grey bars show the total relative abundance of all OTUs in the Class. Only Classes where the relative abundance exceeded 3% are shown for clarity. Values below the axis show relative abundance in the attached phase, values above the axis in the planktonic phase. Each OTU is separated by black lines. Results are shown as the mean of 3 individual replicates.</w:t>
      </w:r>
    </w:p>
    <w:p w14:paraId="3188548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br w:type="page"/>
      </w:r>
    </w:p>
    <w:p w14:paraId="561EDE29" w14:textId="77777777" w:rsidR="00267E22" w:rsidRPr="00410D11" w:rsidRDefault="00267E22" w:rsidP="001656AE">
      <w:pPr>
        <w:rPr>
          <w:rFonts w:ascii="Times New Roman" w:hAnsi="Times New Roman" w:cs="Times New Roman"/>
        </w:rPr>
      </w:pPr>
    </w:p>
    <w:p w14:paraId="793DAA0D" w14:textId="77777777" w:rsidR="00267E22" w:rsidRPr="00410D11" w:rsidRDefault="00267E22" w:rsidP="001656AE">
      <w:pPr>
        <w:rPr>
          <w:rFonts w:ascii="Times New Roman" w:hAnsi="Times New Roman" w:cs="Times New Roman"/>
        </w:rPr>
      </w:pPr>
      <w:r w:rsidRPr="00410D11">
        <w:rPr>
          <w:rFonts w:ascii="Times New Roman" w:hAnsi="Times New Roman" w:cs="Times New Roman"/>
          <w:noProof/>
          <w:lang w:eastAsia="en-GB"/>
        </w:rPr>
        <w:drawing>
          <wp:inline distT="0" distB="0" distL="0" distR="0" wp14:anchorId="3D1BD1D6" wp14:editId="6F4DD548">
            <wp:extent cx="4047879" cy="6346209"/>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9386" cy="6348572"/>
                    </a:xfrm>
                    <a:prstGeom prst="rect">
                      <a:avLst/>
                    </a:prstGeom>
                  </pic:spPr>
                </pic:pic>
              </a:graphicData>
            </a:graphic>
          </wp:inline>
        </w:drawing>
      </w:r>
    </w:p>
    <w:p w14:paraId="4DB1A8C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Figure 5. Network analysis of OTUs that showed preferential attachment in microcosms. (A)  Networks of OTUs that show preferential attachment coloured at the Family taxonomic level. Submodules are labelled I-X. (B) shows the relative abundance of major submodules in microcosm samples. Values in the planktonic phase are shown above the x axis, values in the attached phase, below the x axis. Values are the means of three independent replicate microcosms.</w:t>
      </w:r>
    </w:p>
    <w:p w14:paraId="33A50ECC" w14:textId="77777777" w:rsidR="00267E22" w:rsidRPr="00410D11" w:rsidRDefault="00267E22" w:rsidP="001656AE">
      <w:pPr>
        <w:rPr>
          <w:rFonts w:ascii="Times New Roman" w:hAnsi="Times New Roman" w:cs="Times New Roman"/>
        </w:rPr>
      </w:pPr>
      <w:r w:rsidRPr="00410D11">
        <w:rPr>
          <w:rFonts w:ascii="Times New Roman" w:hAnsi="Times New Roman" w:cs="Times New Roman"/>
          <w:noProof/>
          <w:lang w:eastAsia="en-GB"/>
        </w:rPr>
        <w:lastRenderedPageBreak/>
        <w:drawing>
          <wp:inline distT="0" distB="0" distL="0" distR="0" wp14:anchorId="17FC237E" wp14:editId="3EEA67D3">
            <wp:extent cx="5731510" cy="2167255"/>
            <wp:effectExtent l="0" t="0" r="2540" b="444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167255"/>
                    </a:xfrm>
                    <a:prstGeom prst="rect">
                      <a:avLst/>
                    </a:prstGeom>
                  </pic:spPr>
                </pic:pic>
              </a:graphicData>
            </a:graphic>
          </wp:inline>
        </w:drawing>
      </w:r>
      <w:r w:rsidRPr="00410D11">
        <w:rPr>
          <w:rFonts w:ascii="Times New Roman" w:hAnsi="Times New Roman" w:cs="Times New Roman"/>
        </w:rPr>
        <w:t>Figure 6. βNTI (upper, right) and BC</w:t>
      </w:r>
      <w:r w:rsidRPr="00410D11">
        <w:rPr>
          <w:rFonts w:ascii="Times New Roman" w:hAnsi="Times New Roman" w:cs="Times New Roman"/>
          <w:vertAlign w:val="subscript"/>
        </w:rPr>
        <w:t xml:space="preserve">RP </w:t>
      </w:r>
      <w:r w:rsidRPr="00410D11">
        <w:rPr>
          <w:rFonts w:ascii="Times New Roman" w:hAnsi="Times New Roman" w:cs="Times New Roman"/>
        </w:rPr>
        <w:t>(lower, left) values for (A) field and (B) microcosm samples. βNTI values are shown in red for deterministic processes (&gt;2) and yellow/grey for stochastic processes (between -2 and 2). No values were below -2. BC</w:t>
      </w:r>
      <w:r w:rsidRPr="00410D11">
        <w:rPr>
          <w:rFonts w:ascii="Times New Roman" w:hAnsi="Times New Roman" w:cs="Times New Roman"/>
          <w:vertAlign w:val="subscript"/>
        </w:rPr>
        <w:t>RP</w:t>
      </w:r>
      <w:r w:rsidRPr="00410D11">
        <w:rPr>
          <w:rFonts w:ascii="Times New Roman" w:hAnsi="Times New Roman" w:cs="Times New Roman"/>
        </w:rPr>
        <w:t xml:space="preserve"> values are only shown where stochastic processes are prevalent. BC</w:t>
      </w:r>
      <w:r w:rsidRPr="00410D11">
        <w:rPr>
          <w:rFonts w:ascii="Times New Roman" w:hAnsi="Times New Roman" w:cs="Times New Roman"/>
          <w:vertAlign w:val="subscript"/>
        </w:rPr>
        <w:t xml:space="preserve">RC </w:t>
      </w:r>
      <w:r w:rsidRPr="00410D11">
        <w:rPr>
          <w:rFonts w:ascii="Times New Roman" w:hAnsi="Times New Roman" w:cs="Times New Roman"/>
        </w:rPr>
        <w:t>values above 0.95 (green) and below -0.95 (blue) indicative of single stochastic processes are shown as bold colours. Intermediate values, indicative of multiple processes, are shown as pale colours.</w:t>
      </w:r>
    </w:p>
    <w:p w14:paraId="5E35718A" w14:textId="77777777" w:rsidR="00267E22" w:rsidRPr="00410D11" w:rsidRDefault="00267E22" w:rsidP="001656AE">
      <w:pPr>
        <w:rPr>
          <w:rFonts w:ascii="Times New Roman" w:hAnsi="Times New Roman" w:cs="Times New Roman"/>
        </w:rPr>
      </w:pPr>
    </w:p>
    <w:p w14:paraId="43519546" w14:textId="77777777" w:rsidR="00267E22" w:rsidRPr="00410D11" w:rsidRDefault="00267E22" w:rsidP="001656AE">
      <w:pPr>
        <w:pStyle w:val="Normal1"/>
        <w:spacing w:line="480" w:lineRule="auto"/>
        <w:jc w:val="both"/>
        <w:rPr>
          <w:rFonts w:ascii="Times New Roman" w:hAnsi="Times New Roman" w:cs="Times New Roman"/>
          <w:b/>
        </w:rPr>
      </w:pPr>
    </w:p>
    <w:p w14:paraId="2BD8659D" w14:textId="77777777" w:rsidR="00267E22" w:rsidRPr="00410D11" w:rsidRDefault="00267E22" w:rsidP="001656AE">
      <w:pPr>
        <w:rPr>
          <w:rFonts w:ascii="Times New Roman" w:hAnsi="Times New Roman" w:cs="Times New Roman"/>
        </w:rPr>
      </w:pPr>
    </w:p>
    <w:p w14:paraId="27BF00F1" w14:textId="77777777" w:rsidR="00267E22" w:rsidRPr="00410D11" w:rsidRDefault="00267E22" w:rsidP="001656AE">
      <w:pPr>
        <w:rPr>
          <w:rFonts w:ascii="Times New Roman" w:hAnsi="Times New Roman" w:cs="Times New Roman"/>
        </w:rPr>
      </w:pPr>
    </w:p>
    <w:p w14:paraId="6593ED46" w14:textId="77777777" w:rsidR="00267E22" w:rsidRPr="00410D11" w:rsidRDefault="00267E22" w:rsidP="001656AE">
      <w:pPr>
        <w:rPr>
          <w:rFonts w:ascii="Times New Roman" w:hAnsi="Times New Roman" w:cs="Times New Roman"/>
        </w:rPr>
      </w:pPr>
    </w:p>
    <w:p w14:paraId="77027A75" w14:textId="77777777" w:rsidR="00267E22" w:rsidRPr="00410D11" w:rsidRDefault="00267E22" w:rsidP="001656AE">
      <w:pPr>
        <w:rPr>
          <w:rFonts w:ascii="Times New Roman" w:hAnsi="Times New Roman" w:cs="Times New Roman"/>
          <w:lang w:eastAsia="en-GB"/>
        </w:rPr>
      </w:pPr>
    </w:p>
    <w:p w14:paraId="3520C727" w14:textId="77777777" w:rsidR="00267E22" w:rsidRPr="00410D11" w:rsidRDefault="00267E22" w:rsidP="001656AE">
      <w:pPr>
        <w:rPr>
          <w:rFonts w:ascii="Times New Roman" w:hAnsi="Times New Roman" w:cs="Times New Roman"/>
          <w:lang w:eastAsia="en-GB"/>
        </w:rPr>
      </w:pPr>
    </w:p>
    <w:p w14:paraId="4584E554" w14:textId="77777777" w:rsidR="00267E22" w:rsidRPr="00410D11" w:rsidRDefault="00267E22" w:rsidP="001656AE">
      <w:pPr>
        <w:rPr>
          <w:rFonts w:ascii="Times New Roman" w:hAnsi="Times New Roman" w:cs="Times New Roman"/>
          <w:lang w:eastAsia="en-GB"/>
        </w:rPr>
      </w:pPr>
    </w:p>
    <w:p w14:paraId="165EB045" w14:textId="77777777" w:rsidR="00267E22" w:rsidRPr="00410D11" w:rsidRDefault="00267E22" w:rsidP="001656AE">
      <w:pPr>
        <w:rPr>
          <w:rFonts w:ascii="Times New Roman" w:hAnsi="Times New Roman" w:cs="Times New Roman"/>
          <w:lang w:eastAsia="en-GB"/>
        </w:rPr>
      </w:pPr>
    </w:p>
    <w:p w14:paraId="499CF7FF" w14:textId="77777777" w:rsidR="00267E22" w:rsidRDefault="00267E22" w:rsidP="001656AE">
      <w:pPr>
        <w:pStyle w:val="Normal1"/>
        <w:spacing w:line="480" w:lineRule="auto"/>
        <w:jc w:val="both"/>
        <w:rPr>
          <w:rFonts w:ascii="Times New Roman" w:hAnsi="Times New Roman" w:cs="Times New Roman"/>
          <w:b/>
        </w:rPr>
      </w:pPr>
    </w:p>
    <w:p w14:paraId="25E2BC91" w14:textId="77777777" w:rsidR="00267E22" w:rsidRPr="00410D11" w:rsidRDefault="00267E22" w:rsidP="001656AE">
      <w:pPr>
        <w:pStyle w:val="Normal1"/>
        <w:spacing w:line="480" w:lineRule="auto"/>
        <w:jc w:val="both"/>
        <w:rPr>
          <w:rFonts w:ascii="Times New Roman" w:hAnsi="Times New Roman" w:cs="Times New Roman"/>
          <w:b/>
        </w:rPr>
      </w:pPr>
      <w:r w:rsidRPr="00410D11">
        <w:rPr>
          <w:rFonts w:ascii="Times New Roman" w:hAnsi="Times New Roman" w:cs="Times New Roman"/>
          <w:b/>
        </w:rPr>
        <w:lastRenderedPageBreak/>
        <w:t>Supplementary Figures</w:t>
      </w:r>
    </w:p>
    <w:p w14:paraId="0668D2BB" w14:textId="77777777" w:rsidR="00267E22" w:rsidRPr="00410D11" w:rsidRDefault="00267E22" w:rsidP="001656AE">
      <w:pPr>
        <w:pStyle w:val="Normal1"/>
        <w:spacing w:line="480" w:lineRule="auto"/>
        <w:jc w:val="both"/>
        <w:rPr>
          <w:rFonts w:ascii="Times New Roman" w:hAnsi="Times New Roman" w:cs="Times New Roman"/>
          <w:b/>
        </w:rPr>
      </w:pPr>
    </w:p>
    <w:p w14:paraId="7E69116B" w14:textId="77777777" w:rsidR="00267E22" w:rsidRPr="00410D11" w:rsidRDefault="00267E22" w:rsidP="001656AE">
      <w:pPr>
        <w:rPr>
          <w:rFonts w:ascii="Times New Roman" w:hAnsi="Times New Roman" w:cs="Times New Roman"/>
        </w:rPr>
      </w:pPr>
      <w:r w:rsidRPr="00410D11">
        <w:rPr>
          <w:rFonts w:ascii="Times New Roman" w:hAnsi="Times New Roman" w:cs="Times New Roman"/>
          <w:noProof/>
          <w:lang w:eastAsia="en-GB"/>
        </w:rPr>
        <mc:AlternateContent>
          <mc:Choice Requires="wps">
            <w:drawing>
              <wp:anchor distT="0" distB="0" distL="114300" distR="114300" simplePos="0" relativeHeight="251660288" behindDoc="0" locked="0" layoutInCell="1" allowOverlap="1" wp14:anchorId="419DD555" wp14:editId="5F0DE2E3">
                <wp:simplePos x="0" y="0"/>
                <wp:positionH relativeFrom="column">
                  <wp:posOffset>2798389</wp:posOffset>
                </wp:positionH>
                <wp:positionV relativeFrom="paragraph">
                  <wp:posOffset>-83185</wp:posOffset>
                </wp:positionV>
                <wp:extent cx="233680" cy="2413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233680" cy="241300"/>
                        </a:xfrm>
                        <a:prstGeom prst="rect">
                          <a:avLst/>
                        </a:prstGeom>
                        <a:solidFill>
                          <a:schemeClr val="lt1"/>
                        </a:solidFill>
                        <a:ln w="6350">
                          <a:noFill/>
                        </a:ln>
                      </wps:spPr>
                      <wps:txbx>
                        <w:txbxContent>
                          <w:p w14:paraId="427461A3" w14:textId="77777777" w:rsidR="00267E22" w:rsidRPr="00483FE9" w:rsidRDefault="00267E22" w:rsidP="00483FE9">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9DD555" id="_x0000_t202" coordsize="21600,21600" o:spt="202" path="m,l,21600r21600,l21600,xe">
                <v:stroke joinstyle="miter"/>
                <v:path gradientshapeok="t" o:connecttype="rect"/>
              </v:shapetype>
              <v:shape id="Text Box 6" o:spid="_x0000_s1026" type="#_x0000_t202" style="position:absolute;left:0;text-align:left;margin-left:220.35pt;margin-top:-6.55pt;width:18.4pt;height: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" fillcolor="white [3201]" stroked="f" strokeweight=".5pt">
                <v:textbox>
                  <w:txbxContent>
                    <w:p w14:paraId="427461A3" w14:textId="77777777" w:rsidR="00267E22" w:rsidRPr="00483FE9" w:rsidRDefault="00267E22" w:rsidP="00483FE9">
                      <w:pPr>
                        <w:rPr>
                          <w:b/>
                          <w:bCs/>
                        </w:rPr>
                      </w:pPr>
                      <w:r>
                        <w:rPr>
                          <w:b/>
                          <w:bCs/>
                        </w:rPr>
                        <w:t>B</w:t>
                      </w:r>
                    </w:p>
                  </w:txbxContent>
                </v:textbox>
              </v:shape>
            </w:pict>
          </mc:Fallback>
        </mc:AlternateContent>
      </w:r>
      <w:r w:rsidRPr="00410D11">
        <w:rPr>
          <w:rFonts w:ascii="Times New Roman" w:hAnsi="Times New Roman" w:cs="Times New Roman"/>
          <w:noProof/>
          <w:lang w:eastAsia="en-GB"/>
        </w:rPr>
        <mc:AlternateContent>
          <mc:Choice Requires="wps">
            <w:drawing>
              <wp:anchor distT="0" distB="0" distL="114300" distR="114300" simplePos="0" relativeHeight="251659264" behindDoc="0" locked="0" layoutInCell="1" allowOverlap="1" wp14:anchorId="32C60378" wp14:editId="717FE6BC">
                <wp:simplePos x="0" y="0"/>
                <wp:positionH relativeFrom="column">
                  <wp:posOffset>-1905</wp:posOffset>
                </wp:positionH>
                <wp:positionV relativeFrom="paragraph">
                  <wp:posOffset>-77414</wp:posOffset>
                </wp:positionV>
                <wp:extent cx="233680" cy="2413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33680" cy="241300"/>
                        </a:xfrm>
                        <a:prstGeom prst="rect">
                          <a:avLst/>
                        </a:prstGeom>
                        <a:solidFill>
                          <a:schemeClr val="lt1"/>
                        </a:solidFill>
                        <a:ln w="6350">
                          <a:noFill/>
                        </a:ln>
                      </wps:spPr>
                      <wps:txbx>
                        <w:txbxContent>
                          <w:p w14:paraId="796E4FC1" w14:textId="77777777" w:rsidR="00267E22" w:rsidRPr="00483FE9" w:rsidRDefault="00267E22">
                            <w:pPr>
                              <w:rPr>
                                <w:b/>
                                <w:bCs/>
                              </w:rPr>
                            </w:pPr>
                            <w:r w:rsidRPr="00483FE9">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60378" id="Text Box 4" o:spid="_x0000_s1027" type="#_x0000_t202" style="position:absolute;left:0;text-align:left;margin-left:-.15pt;margin-top:-6.1pt;width:18.4pt;height: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" fillcolor="white [3201]" stroked="f" strokeweight=".5pt">
                <v:textbox>
                  <w:txbxContent>
                    <w:p w14:paraId="796E4FC1" w14:textId="77777777" w:rsidR="00267E22" w:rsidRPr="00483FE9" w:rsidRDefault="00267E22">
                      <w:pPr>
                        <w:rPr>
                          <w:b/>
                          <w:bCs/>
                        </w:rPr>
                      </w:pPr>
                      <w:r w:rsidRPr="00483FE9">
                        <w:rPr>
                          <w:b/>
                          <w:bCs/>
                        </w:rPr>
                        <w:t>A</w:t>
                      </w:r>
                    </w:p>
                  </w:txbxContent>
                </v:textbox>
              </v:shape>
            </w:pict>
          </mc:Fallback>
        </mc:AlternateContent>
      </w:r>
      <w:r w:rsidRPr="007D717B">
        <w:rPr>
          <w:noProof/>
        </w:rPr>
        <w:drawing>
          <wp:inline distT="0" distB="0" distL="0" distR="0" wp14:anchorId="52C3B9D3" wp14:editId="39BCB37D">
            <wp:extent cx="5731510" cy="3190875"/>
            <wp:effectExtent l="0" t="0" r="2540" b="9525"/>
            <wp:docPr id="5" name="Picture 5" descr="C:\Users\bo1jfm\Desktop\Paper_01\Final for submission\sup_fig_s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1jfm\Desktop\Paper_01\Final for submission\sup_fig_s1 - Cop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190875"/>
                    </a:xfrm>
                    <a:prstGeom prst="rect">
                      <a:avLst/>
                    </a:prstGeom>
                    <a:noFill/>
                    <a:ln>
                      <a:noFill/>
                    </a:ln>
                  </pic:spPr>
                </pic:pic>
              </a:graphicData>
            </a:graphic>
          </wp:inline>
        </w:drawing>
      </w:r>
    </w:p>
    <w:p w14:paraId="1FCE2CA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Figure S1.</w:t>
      </w:r>
    </w:p>
    <w:p w14:paraId="439318F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 xml:space="preserve">Detection of metabolic intermediates in the microcosm. (A) </w:t>
      </w:r>
      <w:bookmarkStart w:id="4" w:name="_Hlk47606454"/>
      <w:r w:rsidRPr="00410D11">
        <w:rPr>
          <w:rFonts w:ascii="Times New Roman" w:hAnsi="Times New Roman" w:cs="Times New Roman"/>
        </w:rPr>
        <w:t>4-hydroxybenzoic acid, (B) 4-hydroxy-3-methyl benzoic acid</w:t>
      </w:r>
      <w:bookmarkEnd w:id="4"/>
      <w:r w:rsidRPr="00410D11">
        <w:rPr>
          <w:rFonts w:ascii="Times New Roman" w:hAnsi="Times New Roman" w:cs="Times New Roman"/>
        </w:rPr>
        <w:t>. Results are the mean +/- SE of 3 independent replicates.</w:t>
      </w:r>
    </w:p>
    <w:p w14:paraId="7D30CA6F" w14:textId="77777777" w:rsidR="00267E22" w:rsidRPr="00410D11" w:rsidRDefault="00267E22" w:rsidP="001656AE">
      <w:pPr>
        <w:pStyle w:val="Normal1"/>
        <w:spacing w:line="480" w:lineRule="auto"/>
        <w:jc w:val="both"/>
        <w:rPr>
          <w:rFonts w:ascii="Times New Roman" w:hAnsi="Times New Roman" w:cs="Times New Roman"/>
          <w:b/>
        </w:rPr>
      </w:pPr>
    </w:p>
    <w:p w14:paraId="53D31250" w14:textId="77777777" w:rsidR="00267E22" w:rsidRPr="00410D11" w:rsidRDefault="00267E22" w:rsidP="001656AE">
      <w:pPr>
        <w:pStyle w:val="Normal1"/>
        <w:spacing w:line="480" w:lineRule="auto"/>
        <w:jc w:val="both"/>
        <w:rPr>
          <w:rFonts w:ascii="Times New Roman" w:hAnsi="Times New Roman" w:cs="Times New Roman"/>
          <w:b/>
        </w:rPr>
      </w:pPr>
    </w:p>
    <w:p w14:paraId="637268FE" w14:textId="77777777" w:rsidR="00267E22" w:rsidRPr="00410D11" w:rsidRDefault="00267E22" w:rsidP="001656AE">
      <w:pPr>
        <w:rPr>
          <w:rFonts w:ascii="Times New Roman" w:hAnsi="Times New Roman" w:cs="Times New Roman"/>
        </w:rPr>
      </w:pPr>
    </w:p>
    <w:p w14:paraId="3732C1A0" w14:textId="77777777" w:rsidR="00267E22" w:rsidRPr="00410D11" w:rsidRDefault="00267E22" w:rsidP="001656AE">
      <w:pPr>
        <w:rPr>
          <w:rFonts w:ascii="Times New Roman" w:hAnsi="Times New Roman" w:cs="Times New Roman"/>
        </w:rPr>
      </w:pPr>
      <w:r w:rsidRPr="00410D11">
        <w:rPr>
          <w:rFonts w:ascii="Times New Roman" w:hAnsi="Times New Roman" w:cs="Times New Roman"/>
          <w:noProof/>
          <w:lang w:eastAsia="en-GB"/>
        </w:rPr>
        <w:lastRenderedPageBreak/>
        <w:drawing>
          <wp:inline distT="0" distB="0" distL="0" distR="0" wp14:anchorId="173E821A" wp14:editId="5411E20E">
            <wp:extent cx="5115405" cy="6610350"/>
            <wp:effectExtent l="0" t="0" r="9525" b="0"/>
            <wp:docPr id="10" name="Picture 10" descr="C:\Users\bo1jfm\Desktop\Paper_01\microscopy\supplementray grai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1jfm\Desktop\Paper_01\microscopy\supplementray grains-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230" b="3393"/>
                    <a:stretch/>
                  </pic:blipFill>
                  <pic:spPr bwMode="auto">
                    <a:xfrm>
                      <a:off x="0" y="0"/>
                      <a:ext cx="5119134" cy="6615169"/>
                    </a:xfrm>
                    <a:prstGeom prst="rect">
                      <a:avLst/>
                    </a:prstGeom>
                    <a:noFill/>
                    <a:ln>
                      <a:noFill/>
                    </a:ln>
                    <a:extLst>
                      <a:ext uri="{53640926-AAD7-44D8-BBD7-CCE9431645EC}">
                        <a14:shadowObscured xmlns:a14="http://schemas.microsoft.com/office/drawing/2010/main"/>
                      </a:ext>
                    </a:extLst>
                  </pic:spPr>
                </pic:pic>
              </a:graphicData>
            </a:graphic>
          </wp:inline>
        </w:drawing>
      </w:r>
      <w:r w:rsidRPr="00410D11">
        <w:rPr>
          <w:rFonts w:ascii="Times New Roman" w:hAnsi="Times New Roman" w:cs="Times New Roman"/>
          <w:b/>
          <w:bCs/>
        </w:rPr>
        <w:t xml:space="preserve"> </w:t>
      </w:r>
    </w:p>
    <w:p w14:paraId="313AD97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Figure S2.</w:t>
      </w:r>
    </w:p>
    <w:p w14:paraId="39B46E03" w14:textId="77777777" w:rsidR="00267E22" w:rsidRDefault="00267E22" w:rsidP="001656AE">
      <w:pPr>
        <w:rPr>
          <w:rFonts w:ascii="Times New Roman" w:hAnsi="Times New Roman" w:cs="Times New Roman"/>
        </w:rPr>
      </w:pPr>
      <w:r w:rsidRPr="00410D11">
        <w:rPr>
          <w:rFonts w:ascii="Times New Roman" w:hAnsi="Times New Roman" w:cs="Times New Roman"/>
        </w:rPr>
        <w:t>Sand grains from field and microcosm samples harvested at different time intervals. Each picture is a composite image generated by a combination of bright field and fluorescence images. Scale bar = 120 µm.</w:t>
      </w:r>
    </w:p>
    <w:p w14:paraId="59ED3823" w14:textId="77777777" w:rsidR="00267E22" w:rsidRDefault="00267E22">
      <w:pPr>
        <w:spacing w:after="160" w:line="259" w:lineRule="auto"/>
        <w:jc w:val="left"/>
        <w:rPr>
          <w:rFonts w:ascii="Times New Roman" w:hAnsi="Times New Roman" w:cs="Times New Roman"/>
        </w:rPr>
      </w:pPr>
      <w:r>
        <w:rPr>
          <w:rFonts w:ascii="Times New Roman" w:hAnsi="Times New Roman" w:cs="Times New Roman"/>
        </w:rPr>
        <w:br w:type="page"/>
      </w:r>
    </w:p>
    <w:p w14:paraId="7C8F88C1" w14:textId="77777777" w:rsidR="00267E22" w:rsidRDefault="00267E22" w:rsidP="001656AE">
      <w:pPr>
        <w:rPr>
          <w:rFonts w:ascii="Times New Roman" w:hAnsi="Times New Roman" w:cs="Times New Roman"/>
        </w:rPr>
      </w:pPr>
      <w:r>
        <w:rPr>
          <w:rFonts w:ascii="Times New Roman" w:hAnsi="Times New Roman" w:cs="Times New Roman"/>
        </w:rPr>
        <w:lastRenderedPageBreak/>
        <w:t>Figure S3</w:t>
      </w:r>
    </w:p>
    <w:p w14:paraId="297E3F7D" w14:textId="77777777" w:rsidR="00267E22" w:rsidRPr="00410D11" w:rsidRDefault="00267E22" w:rsidP="001656AE">
      <w:pPr>
        <w:rPr>
          <w:rFonts w:ascii="Times New Roman" w:hAnsi="Times New Roman" w:cs="Times New Roman"/>
        </w:rPr>
      </w:pPr>
      <w:r>
        <w:rPr>
          <w:rFonts w:ascii="Times New Roman" w:hAnsi="Times New Roman" w:cs="Times New Roman"/>
          <w:noProof/>
        </w:rPr>
        <w:drawing>
          <wp:inline distT="0" distB="0" distL="0" distR="0" wp14:anchorId="4D1A1F48" wp14:editId="7E2EF215">
            <wp:extent cx="5667375" cy="3724275"/>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rotWithShape="1">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b="53563"/>
                    <a:stretch/>
                  </pic:blipFill>
                  <pic:spPr bwMode="auto">
                    <a:xfrm>
                      <a:off x="0" y="0"/>
                      <a:ext cx="5667375" cy="3724275"/>
                    </a:xfrm>
                    <a:prstGeom prst="rect">
                      <a:avLst/>
                    </a:prstGeom>
                    <a:ln>
                      <a:noFill/>
                    </a:ln>
                    <a:extLst>
                      <a:ext uri="{53640926-AAD7-44D8-BBD7-CCE9431645EC}">
                        <a14:shadowObscured xmlns:a14="http://schemas.microsoft.com/office/drawing/2010/main"/>
                      </a:ext>
                    </a:extLst>
                  </pic:spPr>
                </pic:pic>
              </a:graphicData>
            </a:graphic>
          </wp:inline>
        </w:drawing>
      </w:r>
    </w:p>
    <w:p w14:paraId="6B565D1F" w14:textId="77777777" w:rsidR="00267E22" w:rsidRDefault="00267E22" w:rsidP="009A5D0D">
      <w:pPr>
        <w:pStyle w:val="Normal1"/>
        <w:spacing w:line="480" w:lineRule="auto"/>
        <w:jc w:val="both"/>
        <w:rPr>
          <w:rFonts w:ascii="Times New Roman" w:hAnsi="Times New Roman" w:cs="Times New Roman"/>
        </w:rPr>
      </w:pPr>
      <w:r>
        <w:rPr>
          <w:rFonts w:ascii="Times New Roman" w:hAnsi="Times New Roman" w:cs="Times New Roman"/>
        </w:rPr>
        <w:t xml:space="preserve">A schematic representation of the experimental design (not to scale). (A) the contaminated plume extends from the source into an uncontaminated sandstone aquifer. Microbial activity is greatest in the plume fringe. The borehole contains a multi-level sampler and an open screen. (B) A cage containing bags of aquifer material was suspended at 30 </w:t>
      </w:r>
      <w:proofErr w:type="spellStart"/>
      <w:r>
        <w:rPr>
          <w:rFonts w:ascii="Times New Roman" w:hAnsi="Times New Roman" w:cs="Times New Roman"/>
        </w:rPr>
        <w:t>mbgl</w:t>
      </w:r>
      <w:proofErr w:type="spellEnd"/>
      <w:r>
        <w:rPr>
          <w:rFonts w:ascii="Times New Roman" w:hAnsi="Times New Roman" w:cs="Times New Roman"/>
        </w:rPr>
        <w:t xml:space="preserve"> in the lower plume fringe. Bags were removed at intervals for sampling. (C) Microcosms were established containing aquifer material and groundwater pumped from 30 </w:t>
      </w:r>
      <w:proofErr w:type="spellStart"/>
      <w:r>
        <w:rPr>
          <w:rFonts w:ascii="Times New Roman" w:hAnsi="Times New Roman" w:cs="Times New Roman"/>
        </w:rPr>
        <w:t>mbgl</w:t>
      </w:r>
      <w:proofErr w:type="spellEnd"/>
      <w:r>
        <w:rPr>
          <w:rFonts w:ascii="Times New Roman" w:hAnsi="Times New Roman" w:cs="Times New Roman"/>
        </w:rPr>
        <w:t xml:space="preserve"> (containing planktonic microbial communities) and sampled destructively at intervals.</w:t>
      </w:r>
    </w:p>
    <w:p w14:paraId="6B3F6FBC" w14:textId="77777777" w:rsidR="00267E22" w:rsidRPr="00410D11" w:rsidRDefault="00267E22" w:rsidP="001656AE">
      <w:pPr>
        <w:spacing w:after="160"/>
        <w:jc w:val="left"/>
        <w:rPr>
          <w:rFonts w:ascii="Times New Roman" w:eastAsia="Calibri" w:hAnsi="Times New Roman" w:cs="Times New Roman"/>
          <w:color w:val="000000"/>
          <w:lang w:eastAsia="en-GB"/>
        </w:rPr>
      </w:pPr>
      <w:r w:rsidRPr="00410D11">
        <w:rPr>
          <w:rFonts w:ascii="Times New Roman" w:hAnsi="Times New Roman" w:cs="Times New Roman"/>
        </w:rPr>
        <w:br w:type="page"/>
      </w:r>
    </w:p>
    <w:p w14:paraId="7BAE7AB3" w14:textId="77777777" w:rsidR="00267E22" w:rsidRPr="00410D11" w:rsidRDefault="00267E22" w:rsidP="001656AE">
      <w:pPr>
        <w:pStyle w:val="Normal1"/>
        <w:spacing w:line="480" w:lineRule="auto"/>
        <w:jc w:val="both"/>
        <w:rPr>
          <w:rFonts w:ascii="Times New Roman" w:hAnsi="Times New Roman" w:cs="Times New Roman"/>
        </w:rPr>
      </w:pPr>
      <w:r w:rsidRPr="00410D11">
        <w:rPr>
          <w:rFonts w:ascii="Times New Roman" w:hAnsi="Times New Roman" w:cs="Times New Roman"/>
        </w:rPr>
        <w:lastRenderedPageBreak/>
        <w:t xml:space="preserve">Table S1. </w:t>
      </w:r>
    </w:p>
    <w:p w14:paraId="6FA62B85" w14:textId="77777777" w:rsidR="00267E22" w:rsidRPr="00410D11" w:rsidRDefault="00267E22" w:rsidP="001656AE">
      <w:pPr>
        <w:pStyle w:val="Normal1"/>
        <w:spacing w:line="480" w:lineRule="auto"/>
        <w:jc w:val="both"/>
        <w:rPr>
          <w:rFonts w:ascii="Times New Roman" w:hAnsi="Times New Roman" w:cs="Times New Roman"/>
        </w:rPr>
      </w:pPr>
      <w:r w:rsidRPr="00410D11">
        <w:rPr>
          <w:rFonts w:ascii="Times New Roman" w:hAnsi="Times New Roman" w:cs="Times New Roman"/>
        </w:rPr>
        <w:t>Number of raw reads obtained from Illumina sequencing of each sample.</w:t>
      </w:r>
    </w:p>
    <w:tbl>
      <w:tblPr>
        <w:tblW w:w="0" w:type="auto"/>
        <w:tblInd w:w="-38" w:type="dxa"/>
        <w:tblLayout w:type="fixed"/>
        <w:tblLook w:val="0000" w:firstRow="0" w:lastRow="0" w:firstColumn="0" w:lastColumn="0" w:noHBand="0" w:noVBand="0"/>
      </w:tblPr>
      <w:tblGrid>
        <w:gridCol w:w="1466"/>
        <w:gridCol w:w="1479"/>
        <w:gridCol w:w="1478"/>
        <w:gridCol w:w="1579"/>
        <w:gridCol w:w="1956"/>
      </w:tblGrid>
      <w:tr w:rsidR="00267E22" w:rsidRPr="00410D11" w14:paraId="1EC9C242" w14:textId="77777777" w:rsidTr="00820C30">
        <w:trPr>
          <w:cantSplit/>
          <w:trHeight w:val="290"/>
          <w:tblHeader/>
        </w:trPr>
        <w:tc>
          <w:tcPr>
            <w:tcW w:w="1466" w:type="dxa"/>
            <w:tcBorders>
              <w:top w:val="single" w:sz="6" w:space="0" w:color="auto"/>
              <w:left w:val="single" w:sz="6" w:space="0" w:color="auto"/>
              <w:bottom w:val="single" w:sz="6" w:space="0" w:color="auto"/>
              <w:right w:val="single" w:sz="6" w:space="0" w:color="auto"/>
            </w:tcBorders>
          </w:tcPr>
          <w:p w14:paraId="54E08F5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Experiment</w:t>
            </w:r>
          </w:p>
        </w:tc>
        <w:tc>
          <w:tcPr>
            <w:tcW w:w="1479" w:type="dxa"/>
            <w:tcBorders>
              <w:top w:val="single" w:sz="6" w:space="0" w:color="auto"/>
              <w:left w:val="single" w:sz="6" w:space="0" w:color="auto"/>
              <w:bottom w:val="single" w:sz="6" w:space="0" w:color="auto"/>
              <w:right w:val="single" w:sz="6" w:space="0" w:color="auto"/>
            </w:tcBorders>
          </w:tcPr>
          <w:p w14:paraId="45E6F5F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Community</w:t>
            </w:r>
          </w:p>
        </w:tc>
        <w:tc>
          <w:tcPr>
            <w:tcW w:w="1478" w:type="dxa"/>
            <w:tcBorders>
              <w:top w:val="single" w:sz="6" w:space="0" w:color="auto"/>
              <w:left w:val="single" w:sz="6" w:space="0" w:color="auto"/>
              <w:bottom w:val="single" w:sz="6" w:space="0" w:color="auto"/>
              <w:right w:val="single" w:sz="6" w:space="0" w:color="auto"/>
            </w:tcBorders>
          </w:tcPr>
          <w:p w14:paraId="4876A88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Days</w:t>
            </w:r>
          </w:p>
        </w:tc>
        <w:tc>
          <w:tcPr>
            <w:tcW w:w="1579" w:type="dxa"/>
            <w:tcBorders>
              <w:top w:val="single" w:sz="6" w:space="0" w:color="auto"/>
              <w:left w:val="single" w:sz="6" w:space="0" w:color="auto"/>
              <w:bottom w:val="single" w:sz="6" w:space="0" w:color="auto"/>
              <w:right w:val="single" w:sz="6" w:space="0" w:color="auto"/>
            </w:tcBorders>
          </w:tcPr>
          <w:p w14:paraId="0B2CD5F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Replicate</w:t>
            </w:r>
          </w:p>
        </w:tc>
        <w:tc>
          <w:tcPr>
            <w:tcW w:w="1956" w:type="dxa"/>
            <w:tcBorders>
              <w:top w:val="single" w:sz="6" w:space="0" w:color="auto"/>
              <w:left w:val="single" w:sz="6" w:space="0" w:color="auto"/>
              <w:bottom w:val="single" w:sz="6" w:space="0" w:color="auto"/>
              <w:right w:val="single" w:sz="6" w:space="0" w:color="auto"/>
            </w:tcBorders>
          </w:tcPr>
          <w:p w14:paraId="5218DC5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Number of reads</w:t>
            </w:r>
          </w:p>
        </w:tc>
      </w:tr>
      <w:tr w:rsidR="00267E22" w:rsidRPr="00410D11" w14:paraId="260ACF32"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3D2E30D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3014CAA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28AE352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579" w:type="dxa"/>
            <w:tcBorders>
              <w:top w:val="single" w:sz="6" w:space="0" w:color="auto"/>
              <w:left w:val="single" w:sz="6" w:space="0" w:color="auto"/>
              <w:bottom w:val="single" w:sz="6" w:space="0" w:color="auto"/>
              <w:right w:val="single" w:sz="6" w:space="0" w:color="auto"/>
            </w:tcBorders>
          </w:tcPr>
          <w:p w14:paraId="3E3977D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3DB6BA0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55105</w:t>
            </w:r>
          </w:p>
        </w:tc>
      </w:tr>
      <w:tr w:rsidR="00267E22" w:rsidRPr="00410D11" w14:paraId="3AA48D0D"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07BB7D4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3EC26EB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441DBBA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579" w:type="dxa"/>
            <w:tcBorders>
              <w:top w:val="single" w:sz="6" w:space="0" w:color="auto"/>
              <w:left w:val="single" w:sz="6" w:space="0" w:color="auto"/>
              <w:bottom w:val="single" w:sz="6" w:space="0" w:color="auto"/>
              <w:right w:val="single" w:sz="6" w:space="0" w:color="auto"/>
            </w:tcBorders>
          </w:tcPr>
          <w:p w14:paraId="43B5658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21043CF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73617</w:t>
            </w:r>
          </w:p>
        </w:tc>
      </w:tr>
      <w:tr w:rsidR="00267E22" w:rsidRPr="00410D11" w14:paraId="7A860C6F"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55C40F1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5D83468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1036C30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579" w:type="dxa"/>
            <w:tcBorders>
              <w:top w:val="single" w:sz="6" w:space="0" w:color="auto"/>
              <w:left w:val="single" w:sz="6" w:space="0" w:color="auto"/>
              <w:bottom w:val="single" w:sz="6" w:space="0" w:color="auto"/>
              <w:right w:val="single" w:sz="6" w:space="0" w:color="auto"/>
            </w:tcBorders>
          </w:tcPr>
          <w:p w14:paraId="1FE5A12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4764A11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183761</w:t>
            </w:r>
          </w:p>
        </w:tc>
      </w:tr>
      <w:tr w:rsidR="00267E22" w:rsidRPr="00410D11" w14:paraId="5D783C3C"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0397E6E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7582DB7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3829C45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w:t>
            </w:r>
          </w:p>
        </w:tc>
        <w:tc>
          <w:tcPr>
            <w:tcW w:w="1579" w:type="dxa"/>
            <w:tcBorders>
              <w:top w:val="single" w:sz="6" w:space="0" w:color="auto"/>
              <w:left w:val="single" w:sz="6" w:space="0" w:color="auto"/>
              <w:bottom w:val="single" w:sz="6" w:space="0" w:color="auto"/>
              <w:right w:val="single" w:sz="6" w:space="0" w:color="auto"/>
            </w:tcBorders>
          </w:tcPr>
          <w:p w14:paraId="355CFC8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4B502A6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59842</w:t>
            </w:r>
          </w:p>
        </w:tc>
      </w:tr>
      <w:tr w:rsidR="00267E22" w:rsidRPr="00410D11" w14:paraId="7C642E84"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68ABC32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206B9F7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5BD082D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w:t>
            </w:r>
          </w:p>
        </w:tc>
        <w:tc>
          <w:tcPr>
            <w:tcW w:w="1579" w:type="dxa"/>
            <w:tcBorders>
              <w:top w:val="single" w:sz="6" w:space="0" w:color="auto"/>
              <w:left w:val="single" w:sz="6" w:space="0" w:color="auto"/>
              <w:bottom w:val="single" w:sz="6" w:space="0" w:color="auto"/>
              <w:right w:val="single" w:sz="6" w:space="0" w:color="auto"/>
            </w:tcBorders>
          </w:tcPr>
          <w:p w14:paraId="6937AB2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17ADAA1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72127</w:t>
            </w:r>
          </w:p>
        </w:tc>
      </w:tr>
      <w:tr w:rsidR="00267E22" w:rsidRPr="00410D11" w14:paraId="222C0C38"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2A59743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44CB478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4584DE9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w:t>
            </w:r>
          </w:p>
        </w:tc>
        <w:tc>
          <w:tcPr>
            <w:tcW w:w="1579" w:type="dxa"/>
            <w:tcBorders>
              <w:top w:val="single" w:sz="6" w:space="0" w:color="auto"/>
              <w:left w:val="single" w:sz="6" w:space="0" w:color="auto"/>
              <w:bottom w:val="single" w:sz="6" w:space="0" w:color="auto"/>
              <w:right w:val="single" w:sz="6" w:space="0" w:color="auto"/>
            </w:tcBorders>
          </w:tcPr>
          <w:p w14:paraId="155B1B3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632F21A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59432</w:t>
            </w:r>
          </w:p>
        </w:tc>
      </w:tr>
      <w:tr w:rsidR="00267E22" w:rsidRPr="00410D11" w14:paraId="61FEBA18"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0EDD8B6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643A883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3488D25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23</w:t>
            </w:r>
          </w:p>
        </w:tc>
        <w:tc>
          <w:tcPr>
            <w:tcW w:w="1579" w:type="dxa"/>
            <w:tcBorders>
              <w:top w:val="single" w:sz="6" w:space="0" w:color="auto"/>
              <w:left w:val="single" w:sz="6" w:space="0" w:color="auto"/>
              <w:bottom w:val="single" w:sz="6" w:space="0" w:color="auto"/>
              <w:right w:val="single" w:sz="6" w:space="0" w:color="auto"/>
            </w:tcBorders>
          </w:tcPr>
          <w:p w14:paraId="7FF93E9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17E25C6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99547</w:t>
            </w:r>
          </w:p>
        </w:tc>
      </w:tr>
      <w:tr w:rsidR="00267E22" w:rsidRPr="00410D11" w14:paraId="2CA755F4"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0436282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2CAF163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53F32E3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23</w:t>
            </w:r>
          </w:p>
        </w:tc>
        <w:tc>
          <w:tcPr>
            <w:tcW w:w="1579" w:type="dxa"/>
            <w:tcBorders>
              <w:top w:val="single" w:sz="6" w:space="0" w:color="auto"/>
              <w:left w:val="single" w:sz="6" w:space="0" w:color="auto"/>
              <w:bottom w:val="single" w:sz="6" w:space="0" w:color="auto"/>
              <w:right w:val="single" w:sz="6" w:space="0" w:color="auto"/>
            </w:tcBorders>
          </w:tcPr>
          <w:p w14:paraId="3340DAB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5A132CB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1765343</w:t>
            </w:r>
          </w:p>
        </w:tc>
      </w:tr>
      <w:tr w:rsidR="00267E22" w:rsidRPr="00410D11" w14:paraId="31E1CAB9"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2A99339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525C889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42F1AC5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23</w:t>
            </w:r>
          </w:p>
        </w:tc>
        <w:tc>
          <w:tcPr>
            <w:tcW w:w="1579" w:type="dxa"/>
            <w:tcBorders>
              <w:top w:val="single" w:sz="6" w:space="0" w:color="auto"/>
              <w:left w:val="single" w:sz="6" w:space="0" w:color="auto"/>
              <w:bottom w:val="single" w:sz="6" w:space="0" w:color="auto"/>
              <w:right w:val="single" w:sz="6" w:space="0" w:color="auto"/>
            </w:tcBorders>
          </w:tcPr>
          <w:p w14:paraId="4C6CDC5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074D0C6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1418557</w:t>
            </w:r>
          </w:p>
        </w:tc>
      </w:tr>
      <w:tr w:rsidR="00267E22" w:rsidRPr="00410D11" w14:paraId="38F318EC"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3E2AE5F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0EC5D90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5723AB4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47</w:t>
            </w:r>
          </w:p>
        </w:tc>
        <w:tc>
          <w:tcPr>
            <w:tcW w:w="1579" w:type="dxa"/>
            <w:tcBorders>
              <w:top w:val="single" w:sz="6" w:space="0" w:color="auto"/>
              <w:left w:val="single" w:sz="6" w:space="0" w:color="auto"/>
              <w:bottom w:val="single" w:sz="6" w:space="0" w:color="auto"/>
              <w:right w:val="single" w:sz="6" w:space="0" w:color="auto"/>
            </w:tcBorders>
          </w:tcPr>
          <w:p w14:paraId="0E6E6C1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3D35185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63590</w:t>
            </w:r>
          </w:p>
        </w:tc>
      </w:tr>
      <w:tr w:rsidR="00267E22" w:rsidRPr="00410D11" w14:paraId="3CF04951"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610FD75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37C635D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4A0C939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104</w:t>
            </w:r>
          </w:p>
        </w:tc>
        <w:tc>
          <w:tcPr>
            <w:tcW w:w="1579" w:type="dxa"/>
            <w:tcBorders>
              <w:top w:val="single" w:sz="6" w:space="0" w:color="auto"/>
              <w:left w:val="single" w:sz="6" w:space="0" w:color="auto"/>
              <w:bottom w:val="single" w:sz="6" w:space="0" w:color="auto"/>
              <w:right w:val="single" w:sz="6" w:space="0" w:color="auto"/>
            </w:tcBorders>
          </w:tcPr>
          <w:p w14:paraId="5F878FF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6EAB4E8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171336</w:t>
            </w:r>
          </w:p>
        </w:tc>
      </w:tr>
      <w:tr w:rsidR="00267E22" w:rsidRPr="00410D11" w14:paraId="79A51606"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69396BC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5AE8E32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335FF11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104</w:t>
            </w:r>
          </w:p>
        </w:tc>
        <w:tc>
          <w:tcPr>
            <w:tcW w:w="1579" w:type="dxa"/>
            <w:tcBorders>
              <w:top w:val="single" w:sz="6" w:space="0" w:color="auto"/>
              <w:left w:val="single" w:sz="6" w:space="0" w:color="auto"/>
              <w:bottom w:val="single" w:sz="6" w:space="0" w:color="auto"/>
              <w:right w:val="single" w:sz="6" w:space="0" w:color="auto"/>
            </w:tcBorders>
          </w:tcPr>
          <w:p w14:paraId="02AFEA1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31B4A18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111678</w:t>
            </w:r>
          </w:p>
        </w:tc>
      </w:tr>
      <w:tr w:rsidR="00267E22" w:rsidRPr="00410D11" w14:paraId="0B956447"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4D4AE98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4DEEAC5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5856C24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104</w:t>
            </w:r>
          </w:p>
        </w:tc>
        <w:tc>
          <w:tcPr>
            <w:tcW w:w="1579" w:type="dxa"/>
            <w:tcBorders>
              <w:top w:val="single" w:sz="6" w:space="0" w:color="auto"/>
              <w:left w:val="single" w:sz="6" w:space="0" w:color="auto"/>
              <w:bottom w:val="single" w:sz="6" w:space="0" w:color="auto"/>
              <w:right w:val="single" w:sz="6" w:space="0" w:color="auto"/>
            </w:tcBorders>
          </w:tcPr>
          <w:p w14:paraId="1367DF8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12F63D2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380181</w:t>
            </w:r>
          </w:p>
        </w:tc>
      </w:tr>
      <w:tr w:rsidR="00267E22" w:rsidRPr="00410D11" w14:paraId="5D69E080"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7D34C07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6BC8C32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0FF3062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174</w:t>
            </w:r>
          </w:p>
        </w:tc>
        <w:tc>
          <w:tcPr>
            <w:tcW w:w="1579" w:type="dxa"/>
            <w:tcBorders>
              <w:top w:val="single" w:sz="6" w:space="0" w:color="auto"/>
              <w:left w:val="single" w:sz="6" w:space="0" w:color="auto"/>
              <w:bottom w:val="single" w:sz="6" w:space="0" w:color="auto"/>
              <w:right w:val="single" w:sz="6" w:space="0" w:color="auto"/>
            </w:tcBorders>
          </w:tcPr>
          <w:p w14:paraId="7941054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4E74443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109356</w:t>
            </w:r>
          </w:p>
        </w:tc>
      </w:tr>
      <w:tr w:rsidR="00267E22" w:rsidRPr="00410D11" w14:paraId="2F3BBA63"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41D6654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58F7C89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34D6BEA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174</w:t>
            </w:r>
          </w:p>
        </w:tc>
        <w:tc>
          <w:tcPr>
            <w:tcW w:w="1579" w:type="dxa"/>
            <w:tcBorders>
              <w:top w:val="single" w:sz="6" w:space="0" w:color="auto"/>
              <w:left w:val="single" w:sz="6" w:space="0" w:color="auto"/>
              <w:bottom w:val="single" w:sz="6" w:space="0" w:color="auto"/>
              <w:right w:val="single" w:sz="6" w:space="0" w:color="auto"/>
            </w:tcBorders>
          </w:tcPr>
          <w:p w14:paraId="2D5D64F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72F8009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221472</w:t>
            </w:r>
          </w:p>
        </w:tc>
      </w:tr>
      <w:tr w:rsidR="00267E22" w:rsidRPr="00410D11" w14:paraId="145F53B8"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216A227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7FB9C39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1490675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174</w:t>
            </w:r>
          </w:p>
        </w:tc>
        <w:tc>
          <w:tcPr>
            <w:tcW w:w="1579" w:type="dxa"/>
            <w:tcBorders>
              <w:top w:val="single" w:sz="6" w:space="0" w:color="auto"/>
              <w:left w:val="single" w:sz="6" w:space="0" w:color="auto"/>
              <w:bottom w:val="single" w:sz="6" w:space="0" w:color="auto"/>
              <w:right w:val="single" w:sz="6" w:space="0" w:color="auto"/>
            </w:tcBorders>
          </w:tcPr>
          <w:p w14:paraId="02D87FF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46B1218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70912</w:t>
            </w:r>
          </w:p>
        </w:tc>
      </w:tr>
      <w:tr w:rsidR="00267E22" w:rsidRPr="00410D11" w14:paraId="310F9B95"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281B7C0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lastRenderedPageBreak/>
              <w:t>Field</w:t>
            </w:r>
          </w:p>
        </w:tc>
        <w:tc>
          <w:tcPr>
            <w:tcW w:w="1479" w:type="dxa"/>
            <w:tcBorders>
              <w:top w:val="single" w:sz="6" w:space="0" w:color="auto"/>
              <w:left w:val="single" w:sz="6" w:space="0" w:color="auto"/>
              <w:bottom w:val="single" w:sz="6" w:space="0" w:color="auto"/>
              <w:right w:val="single" w:sz="6" w:space="0" w:color="auto"/>
            </w:tcBorders>
          </w:tcPr>
          <w:p w14:paraId="41711B1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2B29FED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400</w:t>
            </w:r>
          </w:p>
        </w:tc>
        <w:tc>
          <w:tcPr>
            <w:tcW w:w="1579" w:type="dxa"/>
            <w:tcBorders>
              <w:top w:val="single" w:sz="6" w:space="0" w:color="auto"/>
              <w:left w:val="single" w:sz="6" w:space="0" w:color="auto"/>
              <w:bottom w:val="single" w:sz="6" w:space="0" w:color="auto"/>
              <w:right w:val="single" w:sz="6" w:space="0" w:color="auto"/>
            </w:tcBorders>
          </w:tcPr>
          <w:p w14:paraId="0521D5F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7E1970F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118496</w:t>
            </w:r>
          </w:p>
        </w:tc>
      </w:tr>
      <w:tr w:rsidR="00267E22" w:rsidRPr="00410D11" w14:paraId="772D5E46"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3ED073A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5DF297C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3EB6792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780</w:t>
            </w:r>
          </w:p>
        </w:tc>
        <w:tc>
          <w:tcPr>
            <w:tcW w:w="1579" w:type="dxa"/>
            <w:tcBorders>
              <w:top w:val="single" w:sz="6" w:space="0" w:color="auto"/>
              <w:left w:val="single" w:sz="6" w:space="0" w:color="auto"/>
              <w:bottom w:val="single" w:sz="6" w:space="0" w:color="auto"/>
              <w:right w:val="single" w:sz="6" w:space="0" w:color="auto"/>
            </w:tcBorders>
          </w:tcPr>
          <w:p w14:paraId="7952934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6FE9CB6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94094</w:t>
            </w:r>
          </w:p>
        </w:tc>
      </w:tr>
      <w:tr w:rsidR="00267E22" w:rsidRPr="00410D11" w14:paraId="08502228"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2286894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1E4C7D2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7768E76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780</w:t>
            </w:r>
          </w:p>
        </w:tc>
        <w:tc>
          <w:tcPr>
            <w:tcW w:w="1579" w:type="dxa"/>
            <w:tcBorders>
              <w:top w:val="single" w:sz="6" w:space="0" w:color="auto"/>
              <w:left w:val="single" w:sz="6" w:space="0" w:color="auto"/>
              <w:bottom w:val="single" w:sz="6" w:space="0" w:color="auto"/>
              <w:right w:val="single" w:sz="6" w:space="0" w:color="auto"/>
            </w:tcBorders>
          </w:tcPr>
          <w:p w14:paraId="0E83204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577A425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214858</w:t>
            </w:r>
          </w:p>
        </w:tc>
      </w:tr>
      <w:tr w:rsidR="00267E22" w:rsidRPr="00410D11" w14:paraId="251A9604"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053B197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474DE31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120EE8C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780</w:t>
            </w:r>
          </w:p>
        </w:tc>
        <w:tc>
          <w:tcPr>
            <w:tcW w:w="1579" w:type="dxa"/>
            <w:tcBorders>
              <w:top w:val="single" w:sz="6" w:space="0" w:color="auto"/>
              <w:left w:val="single" w:sz="6" w:space="0" w:color="auto"/>
              <w:bottom w:val="single" w:sz="6" w:space="0" w:color="auto"/>
              <w:right w:val="single" w:sz="6" w:space="0" w:color="auto"/>
            </w:tcBorders>
          </w:tcPr>
          <w:p w14:paraId="61046C2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01B558C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328323</w:t>
            </w:r>
          </w:p>
        </w:tc>
      </w:tr>
      <w:tr w:rsidR="00267E22" w:rsidRPr="00410D11" w14:paraId="56380907"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07F9F04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1A8274B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19C50D9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w:t>
            </w:r>
          </w:p>
        </w:tc>
        <w:tc>
          <w:tcPr>
            <w:tcW w:w="1579" w:type="dxa"/>
            <w:tcBorders>
              <w:top w:val="single" w:sz="6" w:space="0" w:color="auto"/>
              <w:left w:val="single" w:sz="6" w:space="0" w:color="auto"/>
              <w:bottom w:val="single" w:sz="6" w:space="0" w:color="auto"/>
              <w:right w:val="single" w:sz="6" w:space="0" w:color="auto"/>
            </w:tcBorders>
          </w:tcPr>
          <w:p w14:paraId="37A723A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220FE10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135412</w:t>
            </w:r>
          </w:p>
        </w:tc>
      </w:tr>
      <w:tr w:rsidR="00267E22" w:rsidRPr="00410D11" w14:paraId="2B0D3E82"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3EBF42A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4A6E180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7C9D9AD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23</w:t>
            </w:r>
          </w:p>
        </w:tc>
        <w:tc>
          <w:tcPr>
            <w:tcW w:w="1579" w:type="dxa"/>
            <w:tcBorders>
              <w:top w:val="single" w:sz="6" w:space="0" w:color="auto"/>
              <w:left w:val="single" w:sz="6" w:space="0" w:color="auto"/>
              <w:bottom w:val="single" w:sz="6" w:space="0" w:color="auto"/>
              <w:right w:val="single" w:sz="6" w:space="0" w:color="auto"/>
            </w:tcBorders>
          </w:tcPr>
          <w:p w14:paraId="4549139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1F80CB8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174019</w:t>
            </w:r>
          </w:p>
        </w:tc>
      </w:tr>
      <w:tr w:rsidR="00267E22" w:rsidRPr="00410D11" w14:paraId="20FD751C"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3623BEB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14595DB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436DBF8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47</w:t>
            </w:r>
          </w:p>
        </w:tc>
        <w:tc>
          <w:tcPr>
            <w:tcW w:w="1579" w:type="dxa"/>
            <w:tcBorders>
              <w:top w:val="single" w:sz="6" w:space="0" w:color="auto"/>
              <w:left w:val="single" w:sz="6" w:space="0" w:color="auto"/>
              <w:bottom w:val="single" w:sz="6" w:space="0" w:color="auto"/>
              <w:right w:val="single" w:sz="6" w:space="0" w:color="auto"/>
            </w:tcBorders>
          </w:tcPr>
          <w:p w14:paraId="645A5E4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79DFFD1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148332</w:t>
            </w:r>
          </w:p>
        </w:tc>
      </w:tr>
      <w:tr w:rsidR="00267E22" w:rsidRPr="00410D11" w14:paraId="36E41DF5"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3682828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47D60FD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7A2B928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104</w:t>
            </w:r>
          </w:p>
        </w:tc>
        <w:tc>
          <w:tcPr>
            <w:tcW w:w="1579" w:type="dxa"/>
            <w:tcBorders>
              <w:top w:val="single" w:sz="6" w:space="0" w:color="auto"/>
              <w:left w:val="single" w:sz="6" w:space="0" w:color="auto"/>
              <w:bottom w:val="single" w:sz="6" w:space="0" w:color="auto"/>
              <w:right w:val="single" w:sz="6" w:space="0" w:color="auto"/>
            </w:tcBorders>
          </w:tcPr>
          <w:p w14:paraId="74A1784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718FDB7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141337</w:t>
            </w:r>
          </w:p>
        </w:tc>
      </w:tr>
      <w:tr w:rsidR="00267E22" w:rsidRPr="00410D11" w14:paraId="0EAC3252"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685E07D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7A60642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5EF009B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174</w:t>
            </w:r>
          </w:p>
        </w:tc>
        <w:tc>
          <w:tcPr>
            <w:tcW w:w="1579" w:type="dxa"/>
            <w:tcBorders>
              <w:top w:val="single" w:sz="6" w:space="0" w:color="auto"/>
              <w:left w:val="single" w:sz="6" w:space="0" w:color="auto"/>
              <w:bottom w:val="single" w:sz="6" w:space="0" w:color="auto"/>
              <w:right w:val="single" w:sz="6" w:space="0" w:color="auto"/>
            </w:tcBorders>
          </w:tcPr>
          <w:p w14:paraId="39B14C3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61C6475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136631</w:t>
            </w:r>
          </w:p>
        </w:tc>
      </w:tr>
      <w:tr w:rsidR="00267E22" w:rsidRPr="00410D11" w14:paraId="43831180"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7F13397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1F90ADF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0C6E18C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400</w:t>
            </w:r>
          </w:p>
        </w:tc>
        <w:tc>
          <w:tcPr>
            <w:tcW w:w="1579" w:type="dxa"/>
            <w:tcBorders>
              <w:top w:val="single" w:sz="6" w:space="0" w:color="auto"/>
              <w:left w:val="single" w:sz="6" w:space="0" w:color="auto"/>
              <w:bottom w:val="single" w:sz="6" w:space="0" w:color="auto"/>
              <w:right w:val="single" w:sz="6" w:space="0" w:color="auto"/>
            </w:tcBorders>
          </w:tcPr>
          <w:p w14:paraId="76B9211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373691C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199871</w:t>
            </w:r>
          </w:p>
        </w:tc>
      </w:tr>
      <w:tr w:rsidR="00267E22" w:rsidRPr="00410D11" w14:paraId="413EC8E8"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16433AA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2C2E331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036B076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780</w:t>
            </w:r>
          </w:p>
        </w:tc>
        <w:tc>
          <w:tcPr>
            <w:tcW w:w="1579" w:type="dxa"/>
            <w:tcBorders>
              <w:top w:val="single" w:sz="6" w:space="0" w:color="auto"/>
              <w:left w:val="single" w:sz="6" w:space="0" w:color="auto"/>
              <w:bottom w:val="single" w:sz="6" w:space="0" w:color="auto"/>
              <w:right w:val="single" w:sz="6" w:space="0" w:color="auto"/>
            </w:tcBorders>
          </w:tcPr>
          <w:p w14:paraId="3C087CB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2CA496E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111830</w:t>
            </w:r>
          </w:p>
        </w:tc>
      </w:tr>
      <w:tr w:rsidR="00267E22" w:rsidRPr="00410D11" w14:paraId="02C5BB53"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20AE38B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Field</w:t>
            </w:r>
          </w:p>
        </w:tc>
        <w:tc>
          <w:tcPr>
            <w:tcW w:w="1479" w:type="dxa"/>
            <w:tcBorders>
              <w:top w:val="single" w:sz="6" w:space="0" w:color="auto"/>
              <w:left w:val="single" w:sz="6" w:space="0" w:color="auto"/>
              <w:bottom w:val="single" w:sz="6" w:space="0" w:color="auto"/>
              <w:right w:val="single" w:sz="6" w:space="0" w:color="auto"/>
            </w:tcBorders>
          </w:tcPr>
          <w:p w14:paraId="56C25C1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795373C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780</w:t>
            </w:r>
          </w:p>
        </w:tc>
        <w:tc>
          <w:tcPr>
            <w:tcW w:w="1579" w:type="dxa"/>
            <w:tcBorders>
              <w:top w:val="single" w:sz="6" w:space="0" w:color="auto"/>
              <w:left w:val="single" w:sz="6" w:space="0" w:color="auto"/>
              <w:bottom w:val="single" w:sz="6" w:space="0" w:color="auto"/>
              <w:right w:val="single" w:sz="6" w:space="0" w:color="auto"/>
            </w:tcBorders>
          </w:tcPr>
          <w:p w14:paraId="118DBDE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05BB700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215380</w:t>
            </w:r>
          </w:p>
        </w:tc>
      </w:tr>
      <w:tr w:rsidR="00267E22" w:rsidRPr="00410D11" w14:paraId="32FEE26B"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76B01F8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5DB5E5E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2642468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w:t>
            </w:r>
          </w:p>
        </w:tc>
        <w:tc>
          <w:tcPr>
            <w:tcW w:w="1579" w:type="dxa"/>
            <w:tcBorders>
              <w:top w:val="single" w:sz="6" w:space="0" w:color="auto"/>
              <w:left w:val="single" w:sz="6" w:space="0" w:color="auto"/>
              <w:bottom w:val="single" w:sz="6" w:space="0" w:color="auto"/>
              <w:right w:val="single" w:sz="6" w:space="0" w:color="auto"/>
            </w:tcBorders>
          </w:tcPr>
          <w:p w14:paraId="57999BC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3AFA64E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102863</w:t>
            </w:r>
          </w:p>
        </w:tc>
      </w:tr>
      <w:tr w:rsidR="00267E22" w:rsidRPr="00410D11" w14:paraId="5A670C9E"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7740E22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0F32119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0ED8E87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w:t>
            </w:r>
          </w:p>
        </w:tc>
        <w:tc>
          <w:tcPr>
            <w:tcW w:w="1579" w:type="dxa"/>
            <w:tcBorders>
              <w:top w:val="single" w:sz="6" w:space="0" w:color="auto"/>
              <w:left w:val="single" w:sz="6" w:space="0" w:color="auto"/>
              <w:bottom w:val="single" w:sz="6" w:space="0" w:color="auto"/>
              <w:right w:val="single" w:sz="6" w:space="0" w:color="auto"/>
            </w:tcBorders>
          </w:tcPr>
          <w:p w14:paraId="325B736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796608A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137868</w:t>
            </w:r>
          </w:p>
        </w:tc>
      </w:tr>
      <w:tr w:rsidR="00267E22" w:rsidRPr="00410D11" w14:paraId="4EFE8957"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3E5BDF5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6593F38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77F37E7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w:t>
            </w:r>
          </w:p>
        </w:tc>
        <w:tc>
          <w:tcPr>
            <w:tcW w:w="1579" w:type="dxa"/>
            <w:tcBorders>
              <w:top w:val="single" w:sz="6" w:space="0" w:color="auto"/>
              <w:left w:val="single" w:sz="6" w:space="0" w:color="auto"/>
              <w:bottom w:val="single" w:sz="6" w:space="0" w:color="auto"/>
              <w:right w:val="single" w:sz="6" w:space="0" w:color="auto"/>
            </w:tcBorders>
          </w:tcPr>
          <w:p w14:paraId="5347093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673A9F4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109377</w:t>
            </w:r>
          </w:p>
        </w:tc>
      </w:tr>
      <w:tr w:rsidR="00267E22" w:rsidRPr="00410D11" w14:paraId="761B478F"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15E7C12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76EA846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1DE6784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23</w:t>
            </w:r>
          </w:p>
        </w:tc>
        <w:tc>
          <w:tcPr>
            <w:tcW w:w="1579" w:type="dxa"/>
            <w:tcBorders>
              <w:top w:val="single" w:sz="6" w:space="0" w:color="auto"/>
              <w:left w:val="single" w:sz="6" w:space="0" w:color="auto"/>
              <w:bottom w:val="single" w:sz="6" w:space="0" w:color="auto"/>
              <w:right w:val="single" w:sz="6" w:space="0" w:color="auto"/>
            </w:tcBorders>
          </w:tcPr>
          <w:p w14:paraId="2DA1F8D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39D3316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42961</w:t>
            </w:r>
          </w:p>
        </w:tc>
      </w:tr>
      <w:tr w:rsidR="00267E22" w:rsidRPr="00410D11" w14:paraId="3A2DBA53"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0F951E8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66C1ECC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38A4604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23</w:t>
            </w:r>
          </w:p>
        </w:tc>
        <w:tc>
          <w:tcPr>
            <w:tcW w:w="1579" w:type="dxa"/>
            <w:tcBorders>
              <w:top w:val="single" w:sz="6" w:space="0" w:color="auto"/>
              <w:left w:val="single" w:sz="6" w:space="0" w:color="auto"/>
              <w:bottom w:val="single" w:sz="6" w:space="0" w:color="auto"/>
              <w:right w:val="single" w:sz="6" w:space="0" w:color="auto"/>
            </w:tcBorders>
          </w:tcPr>
          <w:p w14:paraId="150F996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127C008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73554</w:t>
            </w:r>
          </w:p>
        </w:tc>
      </w:tr>
      <w:tr w:rsidR="00267E22" w:rsidRPr="00410D11" w14:paraId="7F97E739"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0751D63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69941AE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71D8F3B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23</w:t>
            </w:r>
          </w:p>
        </w:tc>
        <w:tc>
          <w:tcPr>
            <w:tcW w:w="1579" w:type="dxa"/>
            <w:tcBorders>
              <w:top w:val="single" w:sz="6" w:space="0" w:color="auto"/>
              <w:left w:val="single" w:sz="6" w:space="0" w:color="auto"/>
              <w:bottom w:val="single" w:sz="6" w:space="0" w:color="auto"/>
              <w:right w:val="single" w:sz="6" w:space="0" w:color="auto"/>
            </w:tcBorders>
          </w:tcPr>
          <w:p w14:paraId="2B0AD7F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5A0B53B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89403</w:t>
            </w:r>
          </w:p>
        </w:tc>
      </w:tr>
      <w:tr w:rsidR="00267E22" w:rsidRPr="00410D11" w14:paraId="79A0B131"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018E820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lastRenderedPageBreak/>
              <w:t>microcosm</w:t>
            </w:r>
          </w:p>
        </w:tc>
        <w:tc>
          <w:tcPr>
            <w:tcW w:w="1479" w:type="dxa"/>
            <w:tcBorders>
              <w:top w:val="single" w:sz="6" w:space="0" w:color="auto"/>
              <w:left w:val="single" w:sz="6" w:space="0" w:color="auto"/>
              <w:bottom w:val="single" w:sz="6" w:space="0" w:color="auto"/>
              <w:right w:val="single" w:sz="6" w:space="0" w:color="auto"/>
            </w:tcBorders>
          </w:tcPr>
          <w:p w14:paraId="531FE87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0A2507F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47</w:t>
            </w:r>
          </w:p>
        </w:tc>
        <w:tc>
          <w:tcPr>
            <w:tcW w:w="1579" w:type="dxa"/>
            <w:tcBorders>
              <w:top w:val="single" w:sz="6" w:space="0" w:color="auto"/>
              <w:left w:val="single" w:sz="6" w:space="0" w:color="auto"/>
              <w:bottom w:val="single" w:sz="6" w:space="0" w:color="auto"/>
              <w:right w:val="single" w:sz="6" w:space="0" w:color="auto"/>
            </w:tcBorders>
          </w:tcPr>
          <w:p w14:paraId="49AFC75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777FB71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97212</w:t>
            </w:r>
          </w:p>
        </w:tc>
      </w:tr>
      <w:tr w:rsidR="00267E22" w:rsidRPr="00410D11" w14:paraId="48D19BAE"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24BAA71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27A9657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28A74C7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47</w:t>
            </w:r>
          </w:p>
        </w:tc>
        <w:tc>
          <w:tcPr>
            <w:tcW w:w="1579" w:type="dxa"/>
            <w:tcBorders>
              <w:top w:val="single" w:sz="6" w:space="0" w:color="auto"/>
              <w:left w:val="single" w:sz="6" w:space="0" w:color="auto"/>
              <w:bottom w:val="single" w:sz="6" w:space="0" w:color="auto"/>
              <w:right w:val="single" w:sz="6" w:space="0" w:color="auto"/>
            </w:tcBorders>
          </w:tcPr>
          <w:p w14:paraId="352D6C3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2A9C4A0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97847</w:t>
            </w:r>
          </w:p>
        </w:tc>
      </w:tr>
      <w:tr w:rsidR="00267E22" w:rsidRPr="00410D11" w14:paraId="6E87CD41"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2C4E3C9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5076AF7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7437315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47</w:t>
            </w:r>
          </w:p>
        </w:tc>
        <w:tc>
          <w:tcPr>
            <w:tcW w:w="1579" w:type="dxa"/>
            <w:tcBorders>
              <w:top w:val="single" w:sz="6" w:space="0" w:color="auto"/>
              <w:left w:val="single" w:sz="6" w:space="0" w:color="auto"/>
              <w:bottom w:val="single" w:sz="6" w:space="0" w:color="auto"/>
              <w:right w:val="single" w:sz="6" w:space="0" w:color="auto"/>
            </w:tcBorders>
          </w:tcPr>
          <w:p w14:paraId="046BC14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34E273F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40338</w:t>
            </w:r>
          </w:p>
        </w:tc>
      </w:tr>
      <w:tr w:rsidR="00267E22" w:rsidRPr="00410D11" w14:paraId="1F937606"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6ADA207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4D1D283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729C807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104</w:t>
            </w:r>
          </w:p>
        </w:tc>
        <w:tc>
          <w:tcPr>
            <w:tcW w:w="1579" w:type="dxa"/>
            <w:tcBorders>
              <w:top w:val="single" w:sz="6" w:space="0" w:color="auto"/>
              <w:left w:val="single" w:sz="6" w:space="0" w:color="auto"/>
              <w:bottom w:val="single" w:sz="6" w:space="0" w:color="auto"/>
              <w:right w:val="single" w:sz="6" w:space="0" w:color="auto"/>
            </w:tcBorders>
          </w:tcPr>
          <w:p w14:paraId="78FA830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3D812C7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188413</w:t>
            </w:r>
          </w:p>
        </w:tc>
      </w:tr>
      <w:tr w:rsidR="00267E22" w:rsidRPr="00410D11" w14:paraId="12803FDB"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77237EC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27C34D6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0A7DD37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104</w:t>
            </w:r>
          </w:p>
        </w:tc>
        <w:tc>
          <w:tcPr>
            <w:tcW w:w="1579" w:type="dxa"/>
            <w:tcBorders>
              <w:top w:val="single" w:sz="6" w:space="0" w:color="auto"/>
              <w:left w:val="single" w:sz="6" w:space="0" w:color="auto"/>
              <w:bottom w:val="single" w:sz="6" w:space="0" w:color="auto"/>
              <w:right w:val="single" w:sz="6" w:space="0" w:color="auto"/>
            </w:tcBorders>
          </w:tcPr>
          <w:p w14:paraId="1826750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1663ECC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178445</w:t>
            </w:r>
          </w:p>
        </w:tc>
      </w:tr>
      <w:tr w:rsidR="00267E22" w:rsidRPr="00410D11" w14:paraId="4D2D3A23"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5D1E5DB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70FD44C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3F44CC0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104</w:t>
            </w:r>
          </w:p>
        </w:tc>
        <w:tc>
          <w:tcPr>
            <w:tcW w:w="1579" w:type="dxa"/>
            <w:tcBorders>
              <w:top w:val="single" w:sz="6" w:space="0" w:color="auto"/>
              <w:left w:val="single" w:sz="6" w:space="0" w:color="auto"/>
              <w:bottom w:val="single" w:sz="6" w:space="0" w:color="auto"/>
              <w:right w:val="single" w:sz="6" w:space="0" w:color="auto"/>
            </w:tcBorders>
          </w:tcPr>
          <w:p w14:paraId="4D540FD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2CF1A3F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202026</w:t>
            </w:r>
          </w:p>
        </w:tc>
      </w:tr>
      <w:tr w:rsidR="00267E22" w:rsidRPr="00410D11" w14:paraId="454687AB"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5B1C3C0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65371D1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0E652CE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174</w:t>
            </w:r>
          </w:p>
        </w:tc>
        <w:tc>
          <w:tcPr>
            <w:tcW w:w="1579" w:type="dxa"/>
            <w:tcBorders>
              <w:top w:val="single" w:sz="6" w:space="0" w:color="auto"/>
              <w:left w:val="single" w:sz="6" w:space="0" w:color="auto"/>
              <w:bottom w:val="single" w:sz="6" w:space="0" w:color="auto"/>
              <w:right w:val="single" w:sz="6" w:space="0" w:color="auto"/>
            </w:tcBorders>
          </w:tcPr>
          <w:p w14:paraId="5A77FF9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4896339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126224</w:t>
            </w:r>
          </w:p>
        </w:tc>
      </w:tr>
      <w:tr w:rsidR="00267E22" w:rsidRPr="00410D11" w14:paraId="2F71E6CD"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3DCF741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5AA5E02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28947EA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174</w:t>
            </w:r>
          </w:p>
        </w:tc>
        <w:tc>
          <w:tcPr>
            <w:tcW w:w="1579" w:type="dxa"/>
            <w:tcBorders>
              <w:top w:val="single" w:sz="6" w:space="0" w:color="auto"/>
              <w:left w:val="single" w:sz="6" w:space="0" w:color="auto"/>
              <w:bottom w:val="single" w:sz="6" w:space="0" w:color="auto"/>
              <w:right w:val="single" w:sz="6" w:space="0" w:color="auto"/>
            </w:tcBorders>
          </w:tcPr>
          <w:p w14:paraId="63CA86C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6BA18B8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257205</w:t>
            </w:r>
          </w:p>
        </w:tc>
      </w:tr>
      <w:tr w:rsidR="00267E22" w:rsidRPr="00410D11" w14:paraId="7DC3372A"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3FB0019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5E39E3C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6DE3648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174</w:t>
            </w:r>
          </w:p>
        </w:tc>
        <w:tc>
          <w:tcPr>
            <w:tcW w:w="1579" w:type="dxa"/>
            <w:tcBorders>
              <w:top w:val="single" w:sz="6" w:space="0" w:color="auto"/>
              <w:left w:val="single" w:sz="6" w:space="0" w:color="auto"/>
              <w:bottom w:val="single" w:sz="6" w:space="0" w:color="auto"/>
              <w:right w:val="single" w:sz="6" w:space="0" w:color="auto"/>
            </w:tcBorders>
          </w:tcPr>
          <w:p w14:paraId="4793EA0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1085F2E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106340</w:t>
            </w:r>
          </w:p>
        </w:tc>
      </w:tr>
      <w:tr w:rsidR="00267E22" w:rsidRPr="00410D11" w14:paraId="7DD5E40B"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4528448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34D931F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0B5F1C3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400</w:t>
            </w:r>
          </w:p>
        </w:tc>
        <w:tc>
          <w:tcPr>
            <w:tcW w:w="1579" w:type="dxa"/>
            <w:tcBorders>
              <w:top w:val="single" w:sz="6" w:space="0" w:color="auto"/>
              <w:left w:val="single" w:sz="6" w:space="0" w:color="auto"/>
              <w:bottom w:val="single" w:sz="6" w:space="0" w:color="auto"/>
              <w:right w:val="single" w:sz="6" w:space="0" w:color="auto"/>
            </w:tcBorders>
          </w:tcPr>
          <w:p w14:paraId="5ACB108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3B45BFA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173618</w:t>
            </w:r>
          </w:p>
        </w:tc>
      </w:tr>
      <w:tr w:rsidR="00267E22" w:rsidRPr="00410D11" w14:paraId="0E6BE606"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119A88A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70798F3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0278FAD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400</w:t>
            </w:r>
          </w:p>
        </w:tc>
        <w:tc>
          <w:tcPr>
            <w:tcW w:w="1579" w:type="dxa"/>
            <w:tcBorders>
              <w:top w:val="single" w:sz="6" w:space="0" w:color="auto"/>
              <w:left w:val="single" w:sz="6" w:space="0" w:color="auto"/>
              <w:bottom w:val="single" w:sz="6" w:space="0" w:color="auto"/>
              <w:right w:val="single" w:sz="6" w:space="0" w:color="auto"/>
            </w:tcBorders>
          </w:tcPr>
          <w:p w14:paraId="763AEDE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4DC4B54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107969</w:t>
            </w:r>
          </w:p>
        </w:tc>
      </w:tr>
      <w:tr w:rsidR="00267E22" w:rsidRPr="00410D11" w14:paraId="6C6E9F1F"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5C643D9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0C9C63D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66ADE9B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780</w:t>
            </w:r>
          </w:p>
        </w:tc>
        <w:tc>
          <w:tcPr>
            <w:tcW w:w="1579" w:type="dxa"/>
            <w:tcBorders>
              <w:top w:val="single" w:sz="6" w:space="0" w:color="auto"/>
              <w:left w:val="single" w:sz="6" w:space="0" w:color="auto"/>
              <w:bottom w:val="single" w:sz="6" w:space="0" w:color="auto"/>
              <w:right w:val="single" w:sz="6" w:space="0" w:color="auto"/>
            </w:tcBorders>
          </w:tcPr>
          <w:p w14:paraId="38ED0D4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7923C5F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120948</w:t>
            </w:r>
          </w:p>
        </w:tc>
      </w:tr>
      <w:tr w:rsidR="00267E22" w:rsidRPr="00410D11" w14:paraId="136F8CD6"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6ADB54F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7B58109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7C81C1A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780</w:t>
            </w:r>
          </w:p>
        </w:tc>
        <w:tc>
          <w:tcPr>
            <w:tcW w:w="1579" w:type="dxa"/>
            <w:tcBorders>
              <w:top w:val="single" w:sz="6" w:space="0" w:color="auto"/>
              <w:left w:val="single" w:sz="6" w:space="0" w:color="auto"/>
              <w:bottom w:val="single" w:sz="6" w:space="0" w:color="auto"/>
              <w:right w:val="single" w:sz="6" w:space="0" w:color="auto"/>
            </w:tcBorders>
          </w:tcPr>
          <w:p w14:paraId="18F0130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4D1756F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207263</w:t>
            </w:r>
          </w:p>
        </w:tc>
      </w:tr>
      <w:tr w:rsidR="00267E22" w:rsidRPr="00410D11" w14:paraId="6D9C7343"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397A981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2F2902C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planktonic</w:t>
            </w:r>
          </w:p>
        </w:tc>
        <w:tc>
          <w:tcPr>
            <w:tcW w:w="1478" w:type="dxa"/>
            <w:tcBorders>
              <w:top w:val="single" w:sz="6" w:space="0" w:color="auto"/>
              <w:left w:val="single" w:sz="6" w:space="0" w:color="auto"/>
              <w:bottom w:val="single" w:sz="6" w:space="0" w:color="auto"/>
              <w:right w:val="single" w:sz="6" w:space="0" w:color="auto"/>
            </w:tcBorders>
          </w:tcPr>
          <w:p w14:paraId="535D032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780</w:t>
            </w:r>
          </w:p>
        </w:tc>
        <w:tc>
          <w:tcPr>
            <w:tcW w:w="1579" w:type="dxa"/>
            <w:tcBorders>
              <w:top w:val="single" w:sz="6" w:space="0" w:color="auto"/>
              <w:left w:val="single" w:sz="6" w:space="0" w:color="auto"/>
              <w:bottom w:val="single" w:sz="6" w:space="0" w:color="auto"/>
              <w:right w:val="single" w:sz="6" w:space="0" w:color="auto"/>
            </w:tcBorders>
          </w:tcPr>
          <w:p w14:paraId="324FE8F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3EA8D26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119448</w:t>
            </w:r>
          </w:p>
        </w:tc>
      </w:tr>
      <w:tr w:rsidR="00267E22" w:rsidRPr="00410D11" w14:paraId="6C115F1B"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25FEB3D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3747467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4466C52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w:t>
            </w:r>
          </w:p>
        </w:tc>
        <w:tc>
          <w:tcPr>
            <w:tcW w:w="1579" w:type="dxa"/>
            <w:tcBorders>
              <w:top w:val="single" w:sz="6" w:space="0" w:color="auto"/>
              <w:left w:val="single" w:sz="6" w:space="0" w:color="auto"/>
              <w:bottom w:val="single" w:sz="6" w:space="0" w:color="auto"/>
              <w:right w:val="single" w:sz="6" w:space="0" w:color="auto"/>
            </w:tcBorders>
          </w:tcPr>
          <w:p w14:paraId="35A744E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6D0B784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46479</w:t>
            </w:r>
          </w:p>
        </w:tc>
      </w:tr>
      <w:tr w:rsidR="00267E22" w:rsidRPr="00410D11" w14:paraId="64A5D392"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717A74A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01D9655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0C1253A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w:t>
            </w:r>
          </w:p>
        </w:tc>
        <w:tc>
          <w:tcPr>
            <w:tcW w:w="1579" w:type="dxa"/>
            <w:tcBorders>
              <w:top w:val="single" w:sz="6" w:space="0" w:color="auto"/>
              <w:left w:val="single" w:sz="6" w:space="0" w:color="auto"/>
              <w:bottom w:val="single" w:sz="6" w:space="0" w:color="auto"/>
              <w:right w:val="single" w:sz="6" w:space="0" w:color="auto"/>
            </w:tcBorders>
          </w:tcPr>
          <w:p w14:paraId="3620610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1337F45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123521</w:t>
            </w:r>
          </w:p>
        </w:tc>
      </w:tr>
      <w:tr w:rsidR="00267E22" w:rsidRPr="00410D11" w14:paraId="30C6667A"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48B26EB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004D504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310E3ED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w:t>
            </w:r>
          </w:p>
        </w:tc>
        <w:tc>
          <w:tcPr>
            <w:tcW w:w="1579" w:type="dxa"/>
            <w:tcBorders>
              <w:top w:val="single" w:sz="6" w:space="0" w:color="auto"/>
              <w:left w:val="single" w:sz="6" w:space="0" w:color="auto"/>
              <w:bottom w:val="single" w:sz="6" w:space="0" w:color="auto"/>
              <w:right w:val="single" w:sz="6" w:space="0" w:color="auto"/>
            </w:tcBorders>
          </w:tcPr>
          <w:p w14:paraId="0A8D7FA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7167A8D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183626</w:t>
            </w:r>
          </w:p>
        </w:tc>
      </w:tr>
      <w:tr w:rsidR="00267E22" w:rsidRPr="00410D11" w14:paraId="57490B28"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46562CB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72FE2C8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1BFE9B1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23</w:t>
            </w:r>
          </w:p>
        </w:tc>
        <w:tc>
          <w:tcPr>
            <w:tcW w:w="1579" w:type="dxa"/>
            <w:tcBorders>
              <w:top w:val="single" w:sz="6" w:space="0" w:color="auto"/>
              <w:left w:val="single" w:sz="6" w:space="0" w:color="auto"/>
              <w:bottom w:val="single" w:sz="6" w:space="0" w:color="auto"/>
              <w:right w:val="single" w:sz="6" w:space="0" w:color="auto"/>
            </w:tcBorders>
          </w:tcPr>
          <w:p w14:paraId="1190CB2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7ACE4C1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71008</w:t>
            </w:r>
          </w:p>
        </w:tc>
      </w:tr>
      <w:tr w:rsidR="00267E22" w:rsidRPr="00410D11" w14:paraId="2FFB1021"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283DD56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lastRenderedPageBreak/>
              <w:t>microcosm</w:t>
            </w:r>
          </w:p>
        </w:tc>
        <w:tc>
          <w:tcPr>
            <w:tcW w:w="1479" w:type="dxa"/>
            <w:tcBorders>
              <w:top w:val="single" w:sz="6" w:space="0" w:color="auto"/>
              <w:left w:val="single" w:sz="6" w:space="0" w:color="auto"/>
              <w:bottom w:val="single" w:sz="6" w:space="0" w:color="auto"/>
              <w:right w:val="single" w:sz="6" w:space="0" w:color="auto"/>
            </w:tcBorders>
          </w:tcPr>
          <w:p w14:paraId="67316C8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6E1E084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23</w:t>
            </w:r>
          </w:p>
        </w:tc>
        <w:tc>
          <w:tcPr>
            <w:tcW w:w="1579" w:type="dxa"/>
            <w:tcBorders>
              <w:top w:val="single" w:sz="6" w:space="0" w:color="auto"/>
              <w:left w:val="single" w:sz="6" w:space="0" w:color="auto"/>
              <w:bottom w:val="single" w:sz="6" w:space="0" w:color="auto"/>
              <w:right w:val="single" w:sz="6" w:space="0" w:color="auto"/>
            </w:tcBorders>
          </w:tcPr>
          <w:p w14:paraId="1131833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33827CD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141528</w:t>
            </w:r>
          </w:p>
        </w:tc>
      </w:tr>
      <w:tr w:rsidR="00267E22" w:rsidRPr="00410D11" w14:paraId="4B9DA8AE"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4DA6904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09FA399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5F80B72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23</w:t>
            </w:r>
          </w:p>
        </w:tc>
        <w:tc>
          <w:tcPr>
            <w:tcW w:w="1579" w:type="dxa"/>
            <w:tcBorders>
              <w:top w:val="single" w:sz="6" w:space="0" w:color="auto"/>
              <w:left w:val="single" w:sz="6" w:space="0" w:color="auto"/>
              <w:bottom w:val="single" w:sz="6" w:space="0" w:color="auto"/>
              <w:right w:val="single" w:sz="6" w:space="0" w:color="auto"/>
            </w:tcBorders>
          </w:tcPr>
          <w:p w14:paraId="67FFA78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55CA43F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140979</w:t>
            </w:r>
          </w:p>
        </w:tc>
      </w:tr>
      <w:tr w:rsidR="00267E22" w:rsidRPr="00410D11" w14:paraId="271A0A8A"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7A5CE82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59435BA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081F680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47</w:t>
            </w:r>
          </w:p>
        </w:tc>
        <w:tc>
          <w:tcPr>
            <w:tcW w:w="1579" w:type="dxa"/>
            <w:tcBorders>
              <w:top w:val="single" w:sz="6" w:space="0" w:color="auto"/>
              <w:left w:val="single" w:sz="6" w:space="0" w:color="auto"/>
              <w:bottom w:val="single" w:sz="6" w:space="0" w:color="auto"/>
              <w:right w:val="single" w:sz="6" w:space="0" w:color="auto"/>
            </w:tcBorders>
          </w:tcPr>
          <w:p w14:paraId="37E709B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356CB9A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69046</w:t>
            </w:r>
          </w:p>
        </w:tc>
      </w:tr>
      <w:tr w:rsidR="00267E22" w:rsidRPr="00410D11" w14:paraId="39AD5B9C"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2D131AB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50F3A18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2D87F4A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47</w:t>
            </w:r>
          </w:p>
        </w:tc>
        <w:tc>
          <w:tcPr>
            <w:tcW w:w="1579" w:type="dxa"/>
            <w:tcBorders>
              <w:top w:val="single" w:sz="6" w:space="0" w:color="auto"/>
              <w:left w:val="single" w:sz="6" w:space="0" w:color="auto"/>
              <w:bottom w:val="single" w:sz="6" w:space="0" w:color="auto"/>
              <w:right w:val="single" w:sz="6" w:space="0" w:color="auto"/>
            </w:tcBorders>
          </w:tcPr>
          <w:p w14:paraId="53C2AC1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6E5122B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123380</w:t>
            </w:r>
          </w:p>
        </w:tc>
      </w:tr>
      <w:tr w:rsidR="00267E22" w:rsidRPr="00410D11" w14:paraId="321C886E"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4AA0523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037E694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2398F70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47</w:t>
            </w:r>
          </w:p>
        </w:tc>
        <w:tc>
          <w:tcPr>
            <w:tcW w:w="1579" w:type="dxa"/>
            <w:tcBorders>
              <w:top w:val="single" w:sz="6" w:space="0" w:color="auto"/>
              <w:left w:val="single" w:sz="6" w:space="0" w:color="auto"/>
              <w:bottom w:val="single" w:sz="6" w:space="0" w:color="auto"/>
              <w:right w:val="single" w:sz="6" w:space="0" w:color="auto"/>
            </w:tcBorders>
          </w:tcPr>
          <w:p w14:paraId="3E4A5AA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45859E7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314380</w:t>
            </w:r>
          </w:p>
        </w:tc>
      </w:tr>
      <w:tr w:rsidR="00267E22" w:rsidRPr="00410D11" w14:paraId="0CFDD52A"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0BAAB7F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2F5FFD3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1082A85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104</w:t>
            </w:r>
          </w:p>
        </w:tc>
        <w:tc>
          <w:tcPr>
            <w:tcW w:w="1579" w:type="dxa"/>
            <w:tcBorders>
              <w:top w:val="single" w:sz="6" w:space="0" w:color="auto"/>
              <w:left w:val="single" w:sz="6" w:space="0" w:color="auto"/>
              <w:bottom w:val="single" w:sz="6" w:space="0" w:color="auto"/>
              <w:right w:val="single" w:sz="6" w:space="0" w:color="auto"/>
            </w:tcBorders>
          </w:tcPr>
          <w:p w14:paraId="7F81A8C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2C351F4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261587</w:t>
            </w:r>
          </w:p>
        </w:tc>
      </w:tr>
      <w:tr w:rsidR="00267E22" w:rsidRPr="00410D11" w14:paraId="6D936BA8"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00E7751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4A83BC1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3AD4665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104</w:t>
            </w:r>
          </w:p>
        </w:tc>
        <w:tc>
          <w:tcPr>
            <w:tcW w:w="1579" w:type="dxa"/>
            <w:tcBorders>
              <w:top w:val="single" w:sz="6" w:space="0" w:color="auto"/>
              <w:left w:val="single" w:sz="6" w:space="0" w:color="auto"/>
              <w:bottom w:val="single" w:sz="6" w:space="0" w:color="auto"/>
              <w:right w:val="single" w:sz="6" w:space="0" w:color="auto"/>
            </w:tcBorders>
          </w:tcPr>
          <w:p w14:paraId="01664F8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4D05AB8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275096</w:t>
            </w:r>
          </w:p>
        </w:tc>
      </w:tr>
      <w:tr w:rsidR="00267E22" w:rsidRPr="00410D11" w14:paraId="0710F8B3"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4B96081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55C2129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114FB40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104</w:t>
            </w:r>
          </w:p>
        </w:tc>
        <w:tc>
          <w:tcPr>
            <w:tcW w:w="1579" w:type="dxa"/>
            <w:tcBorders>
              <w:top w:val="single" w:sz="6" w:space="0" w:color="auto"/>
              <w:left w:val="single" w:sz="6" w:space="0" w:color="auto"/>
              <w:bottom w:val="single" w:sz="6" w:space="0" w:color="auto"/>
              <w:right w:val="single" w:sz="6" w:space="0" w:color="auto"/>
            </w:tcBorders>
          </w:tcPr>
          <w:p w14:paraId="39B91D9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0DB22A6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80089</w:t>
            </w:r>
          </w:p>
        </w:tc>
      </w:tr>
      <w:tr w:rsidR="00267E22" w:rsidRPr="00410D11" w14:paraId="246D1393"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3121B19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74A78B8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5AA1B74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174</w:t>
            </w:r>
          </w:p>
        </w:tc>
        <w:tc>
          <w:tcPr>
            <w:tcW w:w="1579" w:type="dxa"/>
            <w:tcBorders>
              <w:top w:val="single" w:sz="6" w:space="0" w:color="auto"/>
              <w:left w:val="single" w:sz="6" w:space="0" w:color="auto"/>
              <w:bottom w:val="single" w:sz="6" w:space="0" w:color="auto"/>
              <w:right w:val="single" w:sz="6" w:space="0" w:color="auto"/>
            </w:tcBorders>
          </w:tcPr>
          <w:p w14:paraId="0900FFD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0663241D"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316528</w:t>
            </w:r>
          </w:p>
        </w:tc>
      </w:tr>
      <w:tr w:rsidR="00267E22" w:rsidRPr="00410D11" w14:paraId="7724D2AD"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0794BA3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6FB93C6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304E320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174</w:t>
            </w:r>
          </w:p>
        </w:tc>
        <w:tc>
          <w:tcPr>
            <w:tcW w:w="1579" w:type="dxa"/>
            <w:tcBorders>
              <w:top w:val="single" w:sz="6" w:space="0" w:color="auto"/>
              <w:left w:val="single" w:sz="6" w:space="0" w:color="auto"/>
              <w:bottom w:val="single" w:sz="6" w:space="0" w:color="auto"/>
              <w:right w:val="single" w:sz="6" w:space="0" w:color="auto"/>
            </w:tcBorders>
          </w:tcPr>
          <w:p w14:paraId="42E0FF0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4CA5290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92254</w:t>
            </w:r>
          </w:p>
        </w:tc>
      </w:tr>
      <w:tr w:rsidR="00267E22" w:rsidRPr="00410D11" w14:paraId="20512395"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5AB339D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28BE1A9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200FAD0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174</w:t>
            </w:r>
          </w:p>
        </w:tc>
        <w:tc>
          <w:tcPr>
            <w:tcW w:w="1579" w:type="dxa"/>
            <w:tcBorders>
              <w:top w:val="single" w:sz="6" w:space="0" w:color="auto"/>
              <w:left w:val="single" w:sz="6" w:space="0" w:color="auto"/>
              <w:bottom w:val="single" w:sz="6" w:space="0" w:color="auto"/>
              <w:right w:val="single" w:sz="6" w:space="0" w:color="auto"/>
            </w:tcBorders>
          </w:tcPr>
          <w:p w14:paraId="146E0E5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5D299BF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163186</w:t>
            </w:r>
          </w:p>
        </w:tc>
      </w:tr>
      <w:tr w:rsidR="00267E22" w:rsidRPr="00410D11" w14:paraId="1619CFD8"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63CEBE3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0D64B2A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6B25921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400</w:t>
            </w:r>
          </w:p>
        </w:tc>
        <w:tc>
          <w:tcPr>
            <w:tcW w:w="1579" w:type="dxa"/>
            <w:tcBorders>
              <w:top w:val="single" w:sz="6" w:space="0" w:color="auto"/>
              <w:left w:val="single" w:sz="6" w:space="0" w:color="auto"/>
              <w:bottom w:val="single" w:sz="6" w:space="0" w:color="auto"/>
              <w:right w:val="single" w:sz="6" w:space="0" w:color="auto"/>
            </w:tcBorders>
          </w:tcPr>
          <w:p w14:paraId="1B637B9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528A137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173335</w:t>
            </w:r>
          </w:p>
        </w:tc>
      </w:tr>
      <w:tr w:rsidR="00267E22" w:rsidRPr="00410D11" w14:paraId="208C7F64"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77473E7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033594B6"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3996C649"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400</w:t>
            </w:r>
          </w:p>
        </w:tc>
        <w:tc>
          <w:tcPr>
            <w:tcW w:w="1579" w:type="dxa"/>
            <w:tcBorders>
              <w:top w:val="single" w:sz="6" w:space="0" w:color="auto"/>
              <w:left w:val="single" w:sz="6" w:space="0" w:color="auto"/>
              <w:bottom w:val="single" w:sz="6" w:space="0" w:color="auto"/>
              <w:right w:val="single" w:sz="6" w:space="0" w:color="auto"/>
            </w:tcBorders>
          </w:tcPr>
          <w:p w14:paraId="6841B2E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3B78B38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135966</w:t>
            </w:r>
          </w:p>
        </w:tc>
      </w:tr>
      <w:tr w:rsidR="00267E22" w:rsidRPr="00410D11" w14:paraId="40382E6F"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48FFD30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194F9A1F"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1DD8644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400</w:t>
            </w:r>
          </w:p>
        </w:tc>
        <w:tc>
          <w:tcPr>
            <w:tcW w:w="1579" w:type="dxa"/>
            <w:tcBorders>
              <w:top w:val="single" w:sz="6" w:space="0" w:color="auto"/>
              <w:left w:val="single" w:sz="6" w:space="0" w:color="auto"/>
              <w:bottom w:val="single" w:sz="6" w:space="0" w:color="auto"/>
              <w:right w:val="single" w:sz="6" w:space="0" w:color="auto"/>
            </w:tcBorders>
          </w:tcPr>
          <w:p w14:paraId="118C3A3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4BA2D0FC"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153211</w:t>
            </w:r>
          </w:p>
        </w:tc>
      </w:tr>
      <w:tr w:rsidR="00267E22" w:rsidRPr="00410D11" w14:paraId="49C16913"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465A3ED3"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0F29111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3580D960"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780</w:t>
            </w:r>
          </w:p>
        </w:tc>
        <w:tc>
          <w:tcPr>
            <w:tcW w:w="1579" w:type="dxa"/>
            <w:tcBorders>
              <w:top w:val="single" w:sz="6" w:space="0" w:color="auto"/>
              <w:left w:val="single" w:sz="6" w:space="0" w:color="auto"/>
              <w:bottom w:val="single" w:sz="6" w:space="0" w:color="auto"/>
              <w:right w:val="single" w:sz="6" w:space="0" w:color="auto"/>
            </w:tcBorders>
          </w:tcPr>
          <w:p w14:paraId="2B1FF8B1"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w:t>
            </w:r>
          </w:p>
        </w:tc>
        <w:tc>
          <w:tcPr>
            <w:tcW w:w="1956" w:type="dxa"/>
            <w:tcBorders>
              <w:top w:val="single" w:sz="6" w:space="0" w:color="auto"/>
              <w:left w:val="single" w:sz="6" w:space="0" w:color="auto"/>
              <w:bottom w:val="single" w:sz="6" w:space="0" w:color="auto"/>
              <w:right w:val="single" w:sz="6" w:space="0" w:color="auto"/>
            </w:tcBorders>
          </w:tcPr>
          <w:p w14:paraId="0494565A"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134676</w:t>
            </w:r>
          </w:p>
        </w:tc>
      </w:tr>
      <w:tr w:rsidR="00267E22" w:rsidRPr="00410D11" w14:paraId="2493800B"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1BE8E874"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512A68D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630574A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780</w:t>
            </w:r>
          </w:p>
        </w:tc>
        <w:tc>
          <w:tcPr>
            <w:tcW w:w="1579" w:type="dxa"/>
            <w:tcBorders>
              <w:top w:val="single" w:sz="6" w:space="0" w:color="auto"/>
              <w:left w:val="single" w:sz="6" w:space="0" w:color="auto"/>
              <w:bottom w:val="single" w:sz="6" w:space="0" w:color="auto"/>
              <w:right w:val="single" w:sz="6" w:space="0" w:color="auto"/>
            </w:tcBorders>
          </w:tcPr>
          <w:p w14:paraId="6359BF87"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2</w:t>
            </w:r>
          </w:p>
        </w:tc>
        <w:tc>
          <w:tcPr>
            <w:tcW w:w="1956" w:type="dxa"/>
            <w:tcBorders>
              <w:top w:val="single" w:sz="6" w:space="0" w:color="auto"/>
              <w:left w:val="single" w:sz="6" w:space="0" w:color="auto"/>
              <w:bottom w:val="single" w:sz="6" w:space="0" w:color="auto"/>
              <w:right w:val="single" w:sz="6" w:space="0" w:color="auto"/>
            </w:tcBorders>
          </w:tcPr>
          <w:p w14:paraId="05157E1B"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164373</w:t>
            </w:r>
          </w:p>
        </w:tc>
      </w:tr>
      <w:tr w:rsidR="00267E22" w:rsidRPr="00410D11" w14:paraId="5DC6D190" w14:textId="77777777" w:rsidTr="00820C30">
        <w:trPr>
          <w:trHeight w:val="290"/>
        </w:trPr>
        <w:tc>
          <w:tcPr>
            <w:tcW w:w="1466" w:type="dxa"/>
            <w:tcBorders>
              <w:top w:val="single" w:sz="6" w:space="0" w:color="auto"/>
              <w:left w:val="single" w:sz="6" w:space="0" w:color="auto"/>
              <w:bottom w:val="single" w:sz="6" w:space="0" w:color="auto"/>
              <w:right w:val="single" w:sz="6" w:space="0" w:color="auto"/>
            </w:tcBorders>
          </w:tcPr>
          <w:p w14:paraId="49A3DC3E"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microcosm</w:t>
            </w:r>
          </w:p>
        </w:tc>
        <w:tc>
          <w:tcPr>
            <w:tcW w:w="1479" w:type="dxa"/>
            <w:tcBorders>
              <w:top w:val="single" w:sz="6" w:space="0" w:color="auto"/>
              <w:left w:val="single" w:sz="6" w:space="0" w:color="auto"/>
              <w:bottom w:val="single" w:sz="6" w:space="0" w:color="auto"/>
              <w:right w:val="single" w:sz="6" w:space="0" w:color="auto"/>
            </w:tcBorders>
          </w:tcPr>
          <w:p w14:paraId="2E4523D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attached</w:t>
            </w:r>
          </w:p>
        </w:tc>
        <w:tc>
          <w:tcPr>
            <w:tcW w:w="1478" w:type="dxa"/>
            <w:tcBorders>
              <w:top w:val="single" w:sz="6" w:space="0" w:color="auto"/>
              <w:left w:val="single" w:sz="6" w:space="0" w:color="auto"/>
              <w:bottom w:val="single" w:sz="6" w:space="0" w:color="auto"/>
              <w:right w:val="single" w:sz="6" w:space="0" w:color="auto"/>
            </w:tcBorders>
          </w:tcPr>
          <w:p w14:paraId="2D7CEFD5"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780</w:t>
            </w:r>
          </w:p>
        </w:tc>
        <w:tc>
          <w:tcPr>
            <w:tcW w:w="1579" w:type="dxa"/>
            <w:tcBorders>
              <w:top w:val="single" w:sz="6" w:space="0" w:color="auto"/>
              <w:left w:val="single" w:sz="6" w:space="0" w:color="auto"/>
              <w:bottom w:val="single" w:sz="6" w:space="0" w:color="auto"/>
              <w:right w:val="single" w:sz="6" w:space="0" w:color="auto"/>
            </w:tcBorders>
          </w:tcPr>
          <w:p w14:paraId="2D099A78"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3</w:t>
            </w:r>
          </w:p>
        </w:tc>
        <w:tc>
          <w:tcPr>
            <w:tcW w:w="1956" w:type="dxa"/>
            <w:tcBorders>
              <w:top w:val="single" w:sz="6" w:space="0" w:color="auto"/>
              <w:left w:val="single" w:sz="6" w:space="0" w:color="auto"/>
              <w:bottom w:val="single" w:sz="6" w:space="0" w:color="auto"/>
              <w:right w:val="single" w:sz="6" w:space="0" w:color="auto"/>
            </w:tcBorders>
          </w:tcPr>
          <w:p w14:paraId="6477AA22" w14:textId="77777777" w:rsidR="00267E22" w:rsidRPr="00410D11" w:rsidRDefault="00267E22" w:rsidP="001656AE">
            <w:pPr>
              <w:rPr>
                <w:rFonts w:ascii="Times New Roman" w:hAnsi="Times New Roman" w:cs="Times New Roman"/>
              </w:rPr>
            </w:pPr>
            <w:r w:rsidRPr="00410D11">
              <w:rPr>
                <w:rFonts w:ascii="Times New Roman" w:hAnsi="Times New Roman" w:cs="Times New Roman"/>
              </w:rPr>
              <w:t>115956</w:t>
            </w:r>
          </w:p>
        </w:tc>
      </w:tr>
    </w:tbl>
    <w:p w14:paraId="2F625AC7" w14:textId="77777777" w:rsidR="00267E22" w:rsidRPr="00410D11" w:rsidRDefault="00267E22" w:rsidP="001656AE">
      <w:pPr>
        <w:rPr>
          <w:rFonts w:ascii="Times New Roman" w:hAnsi="Times New Roman" w:cs="Times New Roman"/>
        </w:rPr>
      </w:pPr>
    </w:p>
    <w:p w14:paraId="6B41597C" w14:textId="77777777" w:rsidR="00267E22" w:rsidRPr="00410D11" w:rsidRDefault="00267E22" w:rsidP="00410D11">
      <w:pPr>
        <w:widowControl w:val="0"/>
        <w:autoSpaceDE w:val="0"/>
        <w:autoSpaceDN w:val="0"/>
        <w:adjustRightInd w:val="0"/>
        <w:spacing w:after="160"/>
        <w:ind w:left="480" w:hanging="480"/>
        <w:rPr>
          <w:rFonts w:ascii="Times New Roman" w:hAnsi="Times New Roman" w:cs="Times New Roman"/>
          <w:b/>
        </w:rPr>
      </w:pPr>
      <w:r w:rsidRPr="00410D11">
        <w:rPr>
          <w:rFonts w:ascii="Times New Roman" w:hAnsi="Times New Roman" w:cs="Times New Roman"/>
          <w:b/>
        </w:rPr>
        <w:t>Abbreviations</w:t>
      </w:r>
    </w:p>
    <w:p w14:paraId="4512D80B" w14:textId="77777777" w:rsidR="00267E22" w:rsidRPr="00410D11" w:rsidRDefault="00267E22" w:rsidP="00410D11">
      <w:pPr>
        <w:widowControl w:val="0"/>
        <w:autoSpaceDE w:val="0"/>
        <w:autoSpaceDN w:val="0"/>
        <w:adjustRightInd w:val="0"/>
        <w:spacing w:after="160"/>
        <w:ind w:left="480" w:hanging="480"/>
        <w:rPr>
          <w:rFonts w:ascii="Times New Roman" w:hAnsi="Times New Roman" w:cs="Times New Roman"/>
          <w:b/>
        </w:rPr>
      </w:pPr>
      <w:r w:rsidRPr="00410D11">
        <w:rPr>
          <w:rFonts w:ascii="Times New Roman" w:hAnsi="Times New Roman" w:cs="Times New Roman"/>
          <w:b/>
        </w:rPr>
        <w:lastRenderedPageBreak/>
        <w:t xml:space="preserve">MNA: </w:t>
      </w:r>
      <w:r w:rsidRPr="00410D11">
        <w:rPr>
          <w:rFonts w:ascii="Times New Roman" w:hAnsi="Times New Roman" w:cs="Times New Roman"/>
        </w:rPr>
        <w:t>Monitored Natural Attenuation</w:t>
      </w:r>
    </w:p>
    <w:p w14:paraId="7EF6EA58" w14:textId="77777777" w:rsidR="00267E22" w:rsidRPr="00410D11" w:rsidRDefault="00267E22" w:rsidP="00410D11">
      <w:pPr>
        <w:widowControl w:val="0"/>
        <w:autoSpaceDE w:val="0"/>
        <w:autoSpaceDN w:val="0"/>
        <w:adjustRightInd w:val="0"/>
        <w:spacing w:after="160"/>
        <w:ind w:left="480" w:hanging="480"/>
        <w:rPr>
          <w:rFonts w:ascii="Times New Roman" w:hAnsi="Times New Roman" w:cs="Times New Roman"/>
        </w:rPr>
      </w:pPr>
      <w:r w:rsidRPr="00410D11">
        <w:rPr>
          <w:rFonts w:ascii="Times New Roman" w:hAnsi="Times New Roman" w:cs="Times New Roman"/>
          <w:b/>
        </w:rPr>
        <w:t xml:space="preserve">EPS: </w:t>
      </w:r>
      <w:r w:rsidRPr="00410D11">
        <w:rPr>
          <w:rFonts w:ascii="Times New Roman" w:hAnsi="Times New Roman" w:cs="Times New Roman"/>
        </w:rPr>
        <w:t>Extracellular polymeric substances</w:t>
      </w:r>
    </w:p>
    <w:p w14:paraId="618935B1" w14:textId="77777777" w:rsidR="00267E22" w:rsidRPr="005D21B0" w:rsidRDefault="00267E22" w:rsidP="00410D11">
      <w:pPr>
        <w:widowControl w:val="0"/>
        <w:autoSpaceDE w:val="0"/>
        <w:autoSpaceDN w:val="0"/>
        <w:adjustRightInd w:val="0"/>
        <w:spacing w:after="160"/>
        <w:ind w:left="480" w:hanging="480"/>
        <w:rPr>
          <w:rFonts w:ascii="Times New Roman" w:hAnsi="Times New Roman" w:cs="Times New Roman"/>
          <w:bCs/>
        </w:rPr>
      </w:pPr>
      <w:r w:rsidRPr="005D21B0">
        <w:rPr>
          <w:rFonts w:ascii="Times New Roman" w:hAnsi="Times New Roman" w:cs="Times New Roman"/>
          <w:b/>
        </w:rPr>
        <w:t>MLS</w:t>
      </w:r>
      <w:r w:rsidRPr="005D21B0">
        <w:rPr>
          <w:rFonts w:ascii="Times New Roman" w:hAnsi="Times New Roman" w:cs="Times New Roman"/>
          <w:bCs/>
        </w:rPr>
        <w:t>: Multilevel groundwater sampler</w:t>
      </w:r>
    </w:p>
    <w:p w14:paraId="67DDADBA" w14:textId="77777777" w:rsidR="00267E22" w:rsidRPr="00410D11" w:rsidRDefault="00267E22" w:rsidP="00410D11">
      <w:pPr>
        <w:widowControl w:val="0"/>
        <w:autoSpaceDE w:val="0"/>
        <w:autoSpaceDN w:val="0"/>
        <w:adjustRightInd w:val="0"/>
        <w:spacing w:after="160"/>
        <w:ind w:left="480" w:hanging="480"/>
        <w:rPr>
          <w:rFonts w:ascii="Times New Roman" w:hAnsi="Times New Roman" w:cs="Times New Roman"/>
          <w:b/>
        </w:rPr>
      </w:pPr>
      <w:proofErr w:type="spellStart"/>
      <w:r w:rsidRPr="00410D11">
        <w:rPr>
          <w:rFonts w:ascii="Times New Roman" w:hAnsi="Times New Roman" w:cs="Times New Roman"/>
          <w:b/>
        </w:rPr>
        <w:t>mbgl</w:t>
      </w:r>
      <w:proofErr w:type="spellEnd"/>
      <w:r w:rsidRPr="00410D11">
        <w:rPr>
          <w:rFonts w:ascii="Times New Roman" w:hAnsi="Times New Roman" w:cs="Times New Roman"/>
          <w:b/>
        </w:rPr>
        <w:t xml:space="preserve">: </w:t>
      </w:r>
      <w:r w:rsidRPr="00410D11">
        <w:rPr>
          <w:rFonts w:ascii="Times New Roman" w:hAnsi="Times New Roman" w:cs="Times New Roman"/>
          <w:bCs/>
        </w:rPr>
        <w:t>M</w:t>
      </w:r>
      <w:r w:rsidRPr="00410D11">
        <w:rPr>
          <w:rFonts w:ascii="Times New Roman" w:hAnsi="Times New Roman" w:cs="Times New Roman"/>
        </w:rPr>
        <w:t xml:space="preserve">etres below ground </w:t>
      </w:r>
      <w:proofErr w:type="gramStart"/>
      <w:r w:rsidRPr="00410D11">
        <w:rPr>
          <w:rFonts w:ascii="Times New Roman" w:hAnsi="Times New Roman" w:cs="Times New Roman"/>
        </w:rPr>
        <w:t>level</w:t>
      </w:r>
      <w:proofErr w:type="gramEnd"/>
    </w:p>
    <w:p w14:paraId="3E5E9E06" w14:textId="77777777" w:rsidR="00267E22" w:rsidRPr="00410D11" w:rsidRDefault="00267E22" w:rsidP="00410D11">
      <w:pPr>
        <w:widowControl w:val="0"/>
        <w:autoSpaceDE w:val="0"/>
        <w:autoSpaceDN w:val="0"/>
        <w:adjustRightInd w:val="0"/>
        <w:spacing w:after="160"/>
        <w:ind w:left="480" w:hanging="480"/>
        <w:rPr>
          <w:rFonts w:ascii="Times New Roman" w:hAnsi="Times New Roman" w:cs="Times New Roman"/>
          <w:b/>
        </w:rPr>
      </w:pPr>
      <w:r w:rsidRPr="00410D11">
        <w:rPr>
          <w:rFonts w:ascii="Times New Roman" w:hAnsi="Times New Roman" w:cs="Times New Roman"/>
          <w:b/>
        </w:rPr>
        <w:t xml:space="preserve">OTUs: </w:t>
      </w:r>
      <w:r w:rsidRPr="00410D11">
        <w:rPr>
          <w:rFonts w:ascii="Times New Roman" w:hAnsi="Times New Roman" w:cs="Times New Roman"/>
          <w:bCs/>
        </w:rPr>
        <w:t>O</w:t>
      </w:r>
      <w:r w:rsidRPr="00410D11">
        <w:rPr>
          <w:rFonts w:ascii="Times New Roman" w:hAnsi="Times New Roman" w:cs="Times New Roman"/>
        </w:rPr>
        <w:t>perational taxonomic units</w:t>
      </w:r>
    </w:p>
    <w:p w14:paraId="4EE123C5" w14:textId="77777777" w:rsidR="00267E22" w:rsidRPr="005D21B0" w:rsidRDefault="00267E22" w:rsidP="00410D11">
      <w:pPr>
        <w:widowControl w:val="0"/>
        <w:autoSpaceDE w:val="0"/>
        <w:autoSpaceDN w:val="0"/>
        <w:adjustRightInd w:val="0"/>
        <w:spacing w:after="160"/>
        <w:ind w:left="480" w:hanging="480"/>
        <w:rPr>
          <w:rFonts w:ascii="Times New Roman" w:hAnsi="Times New Roman" w:cs="Times New Roman"/>
          <w:bCs/>
        </w:rPr>
      </w:pPr>
      <w:r w:rsidRPr="005D21B0">
        <w:rPr>
          <w:rFonts w:ascii="Times New Roman" w:hAnsi="Times New Roman" w:cs="Times New Roman"/>
          <w:b/>
        </w:rPr>
        <w:t xml:space="preserve">PERMANOVA: </w:t>
      </w:r>
      <w:r w:rsidRPr="005D21B0">
        <w:rPr>
          <w:rFonts w:ascii="Times New Roman" w:hAnsi="Times New Roman" w:cs="Times New Roman"/>
          <w:bCs/>
        </w:rPr>
        <w:t>Permutational multivariate analysis of variance</w:t>
      </w:r>
    </w:p>
    <w:p w14:paraId="2E26235F" w14:textId="77777777" w:rsidR="00267E22" w:rsidRDefault="00267E22" w:rsidP="00410D11">
      <w:pPr>
        <w:widowControl w:val="0"/>
        <w:autoSpaceDE w:val="0"/>
        <w:autoSpaceDN w:val="0"/>
        <w:adjustRightInd w:val="0"/>
        <w:spacing w:after="160"/>
        <w:ind w:left="480" w:hanging="480"/>
        <w:rPr>
          <w:rFonts w:ascii="Times New Roman" w:hAnsi="Times New Roman" w:cs="Times New Roman"/>
          <w:bCs/>
          <w:lang w:val="it-IT"/>
        </w:rPr>
      </w:pPr>
      <w:r>
        <w:rPr>
          <w:rFonts w:ascii="Times New Roman" w:hAnsi="Times New Roman" w:cs="Times New Roman"/>
          <w:b/>
          <w:lang w:val="it-IT"/>
        </w:rPr>
        <w:t>ANCOVA:</w:t>
      </w:r>
      <w:r>
        <w:rPr>
          <w:rFonts w:ascii="Times New Roman" w:hAnsi="Times New Roman" w:cs="Times New Roman"/>
          <w:bCs/>
          <w:lang w:val="it-IT"/>
        </w:rPr>
        <w:t xml:space="preserve"> Analyis of covariance</w:t>
      </w:r>
    </w:p>
    <w:p w14:paraId="0827AF15" w14:textId="77777777" w:rsidR="00267E22" w:rsidRDefault="00267E22" w:rsidP="00410D11">
      <w:pPr>
        <w:widowControl w:val="0"/>
        <w:autoSpaceDE w:val="0"/>
        <w:autoSpaceDN w:val="0"/>
        <w:adjustRightInd w:val="0"/>
        <w:spacing w:after="160"/>
        <w:ind w:left="480" w:hanging="480"/>
        <w:rPr>
          <w:rFonts w:ascii="Times New Roman" w:hAnsi="Times New Roman" w:cs="Times New Roman"/>
        </w:rPr>
      </w:pPr>
      <w:r w:rsidRPr="005D21B0">
        <w:rPr>
          <w:rFonts w:ascii="Times New Roman" w:hAnsi="Times New Roman" w:cs="Times New Roman"/>
          <w:b/>
          <w:bCs/>
        </w:rPr>
        <w:t>βNTI</w:t>
      </w:r>
      <w:r>
        <w:rPr>
          <w:rFonts w:ascii="Times New Roman" w:hAnsi="Times New Roman" w:cs="Times New Roman"/>
          <w:b/>
          <w:bCs/>
        </w:rPr>
        <w:t xml:space="preserve">: </w:t>
      </w:r>
      <w:r w:rsidRPr="00410D11">
        <w:rPr>
          <w:rFonts w:ascii="Times New Roman" w:hAnsi="Times New Roman" w:cs="Times New Roman"/>
        </w:rPr>
        <w:t>β-nearest taxon index</w:t>
      </w:r>
    </w:p>
    <w:p w14:paraId="75747B9D" w14:textId="77777777" w:rsidR="00267E22" w:rsidRDefault="00267E22" w:rsidP="00410D11">
      <w:pPr>
        <w:widowControl w:val="0"/>
        <w:autoSpaceDE w:val="0"/>
        <w:autoSpaceDN w:val="0"/>
        <w:adjustRightInd w:val="0"/>
        <w:spacing w:after="160"/>
        <w:ind w:left="480" w:hanging="480"/>
        <w:rPr>
          <w:rFonts w:ascii="Times New Roman" w:hAnsi="Times New Roman" w:cs="Times New Roman"/>
        </w:rPr>
      </w:pPr>
      <w:r>
        <w:rPr>
          <w:rFonts w:ascii="Times New Roman" w:hAnsi="Times New Roman" w:cs="Times New Roman"/>
          <w:b/>
          <w:bCs/>
        </w:rPr>
        <w:t>BC</w:t>
      </w:r>
      <w:r>
        <w:rPr>
          <w:rFonts w:ascii="Times New Roman" w:hAnsi="Times New Roman" w:cs="Times New Roman"/>
          <w:b/>
          <w:bCs/>
          <w:vertAlign w:val="subscript"/>
        </w:rPr>
        <w:t>RC</w:t>
      </w:r>
      <w:r w:rsidRPr="005D21B0">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Raup</w:t>
      </w:r>
      <w:proofErr w:type="spellEnd"/>
      <w:r>
        <w:rPr>
          <w:rFonts w:ascii="Times New Roman" w:hAnsi="Times New Roman" w:cs="Times New Roman"/>
        </w:rPr>
        <w:t>-Crick (Bray Curtis)</w:t>
      </w:r>
    </w:p>
    <w:p w14:paraId="10B71EB7" w14:textId="77777777" w:rsidR="00267E22" w:rsidRPr="005D21B0" w:rsidRDefault="00267E22" w:rsidP="00410D11">
      <w:pPr>
        <w:widowControl w:val="0"/>
        <w:autoSpaceDE w:val="0"/>
        <w:autoSpaceDN w:val="0"/>
        <w:adjustRightInd w:val="0"/>
        <w:spacing w:after="160"/>
        <w:ind w:left="480" w:hanging="480"/>
        <w:rPr>
          <w:rFonts w:ascii="Times New Roman" w:hAnsi="Times New Roman" w:cs="Times New Roman"/>
        </w:rPr>
      </w:pPr>
      <w:r w:rsidRPr="005D21B0">
        <w:rPr>
          <w:rFonts w:ascii="Times New Roman" w:hAnsi="Times New Roman" w:cs="Times New Roman"/>
          <w:b/>
          <w:bCs/>
        </w:rPr>
        <w:t xml:space="preserve">rRNA: </w:t>
      </w:r>
      <w:r w:rsidRPr="005D21B0">
        <w:rPr>
          <w:rFonts w:ascii="Times New Roman" w:hAnsi="Times New Roman" w:cs="Times New Roman"/>
        </w:rPr>
        <w:t>ribosomal RNA</w:t>
      </w:r>
    </w:p>
    <w:p w14:paraId="5C21FC84" w14:textId="77777777" w:rsidR="00267E22" w:rsidRPr="00410D11" w:rsidRDefault="00267E22" w:rsidP="001656AE">
      <w:pPr>
        <w:rPr>
          <w:rFonts w:ascii="Times New Roman" w:hAnsi="Times New Roman" w:cs="Times New Roman"/>
          <w:b/>
          <w:bCs/>
        </w:rPr>
      </w:pPr>
      <w:r w:rsidRPr="00410D11">
        <w:rPr>
          <w:rFonts w:ascii="Times New Roman" w:hAnsi="Times New Roman" w:cs="Times New Roman"/>
          <w:b/>
          <w:bCs/>
        </w:rPr>
        <w:t>References</w:t>
      </w:r>
    </w:p>
    <w:p w14:paraId="1EE129F9" w14:textId="77777777" w:rsidR="00267E22" w:rsidRPr="00EA34AE" w:rsidRDefault="00267E22" w:rsidP="00EA34AE">
      <w:pPr>
        <w:pStyle w:val="EndNoteBibliography"/>
        <w:spacing w:after="0"/>
      </w:pPr>
      <w:bookmarkStart w:id="5" w:name="_Hlk52988441"/>
      <w:r w:rsidRPr="00EA34AE">
        <w:t>Angles, M.L., Marshall, K.C., Goodman, A.E., 1993. Plasmid Transfer between Marine Bacteria in the Aqueous Phase and Biofilms in Reactor Microcosms. Applied and Environmental Microbiology 59, 843-850.</w:t>
      </w:r>
    </w:p>
    <w:p w14:paraId="3F13FD04" w14:textId="77777777" w:rsidR="00267E22" w:rsidRPr="00EA34AE" w:rsidRDefault="00267E22" w:rsidP="00EA34AE">
      <w:pPr>
        <w:pStyle w:val="EndNoteBibliography"/>
        <w:spacing w:after="0"/>
      </w:pPr>
      <w:r w:rsidRPr="00EA34AE">
        <w:t>Baker, K.M., Bottrell, S.H., Thornton, S.F., Peel, K.E., Spence, M.J., 2012. Effect of contaminant concentration on in situ bacterial sulfate reduction and methanogenesis in phenol-contaminated groundwater. Applied Geochemistry 27, 2010-2018.</w:t>
      </w:r>
    </w:p>
    <w:p w14:paraId="7CDE47D5" w14:textId="77777777" w:rsidR="00267E22" w:rsidRPr="00EA34AE" w:rsidRDefault="00267E22" w:rsidP="00EA34AE">
      <w:pPr>
        <w:pStyle w:val="EndNoteBibliography"/>
        <w:spacing w:after="0"/>
      </w:pPr>
      <w:r w:rsidRPr="00EA34AE">
        <w:t>Beckmann, S., Luk, A.W.S., Gutierrez-Zamora, M.L., Chong, N.H.H., Thomas, T., Lee, M., Manefield, M., 2019. Long-term succession in a coal seam microbiome during in situ biostimulation of coalbed-methane generation. ISME Journal 13, 632-650.</w:t>
      </w:r>
    </w:p>
    <w:p w14:paraId="7676BE39" w14:textId="77777777" w:rsidR="00267E22" w:rsidRPr="00EA34AE" w:rsidRDefault="00267E22" w:rsidP="00EA34AE">
      <w:pPr>
        <w:pStyle w:val="EndNoteBibliography"/>
        <w:spacing w:after="0"/>
      </w:pPr>
      <w:r w:rsidRPr="00EA34AE">
        <w:t>Benedek, T., Tancsics, A., Szabo, I., Farkas, M., Szoboszlay, S., Fabian, K., Maroti, G., Kriszt, B., 2016. Polyphasic analysis of an Azoarcus-Leptothrix-dominated bacterial biofilm developed on stainless steel surface in a gasoline-contaminated hypoxic groundwater. Environmental Science and Pollution Research 23, 9019-9035.</w:t>
      </w:r>
    </w:p>
    <w:p w14:paraId="446C76AF" w14:textId="77777777" w:rsidR="00267E22" w:rsidRPr="00EA34AE" w:rsidRDefault="00267E22" w:rsidP="00EA34AE">
      <w:pPr>
        <w:pStyle w:val="EndNoteBibliography"/>
        <w:spacing w:after="0"/>
      </w:pPr>
      <w:r w:rsidRPr="00EA34AE">
        <w:t>Bereschenko, L.A., Stams, A.J., Euverink, G.J., van Loosdrecht, M.C., 2010. Biofilm formation on reverse osmosis membranes is initiated and dominated by Sphingomonas spp. Applied and Environmental Microbiology 76, 2623-2632.</w:t>
      </w:r>
    </w:p>
    <w:p w14:paraId="1011F9A9" w14:textId="77777777" w:rsidR="00267E22" w:rsidRPr="00EA34AE" w:rsidRDefault="00267E22" w:rsidP="00EA34AE">
      <w:pPr>
        <w:pStyle w:val="EndNoteBibliography"/>
        <w:spacing w:after="0"/>
      </w:pPr>
      <w:r w:rsidRPr="00EA34AE">
        <w:t>Besemer, K., Peter, H., Logue, J.B., Langenheder, S., Lindstrom, E.S., Tranvik, L.J., Battin, T.J., 2012. Unraveling assembly of stream biofilm communities. ISME Journal 6, 1459-1468.</w:t>
      </w:r>
    </w:p>
    <w:p w14:paraId="1CA372F5" w14:textId="77777777" w:rsidR="00267E22" w:rsidRPr="00EA34AE" w:rsidRDefault="00267E22" w:rsidP="00EA34AE">
      <w:pPr>
        <w:pStyle w:val="EndNoteBibliography"/>
        <w:spacing w:after="0"/>
      </w:pPr>
      <w:r w:rsidRPr="00EA34AE">
        <w:t>Besemer, K., Singer, G., Limberger, R., Chlup, A.K., Hochedlinger, G., Hodl, I., Baranyi, C., Battin, T.J., 2007. Biophysical controls on community succession in stream biofilms. Applied and Environmental Microbiology 73, 4966-4974.</w:t>
      </w:r>
    </w:p>
    <w:p w14:paraId="457DDB13" w14:textId="77777777" w:rsidR="00267E22" w:rsidRPr="00EA34AE" w:rsidRDefault="00267E22" w:rsidP="00EA34AE">
      <w:pPr>
        <w:pStyle w:val="EndNoteBibliography"/>
        <w:spacing w:after="0"/>
      </w:pPr>
      <w:r w:rsidRPr="00EA34AE">
        <w:t>Bisaillon, J.G., Lepine, F., Beaudet, R., Sylvestre, M., 1991. Carboxylation of o-cresol by an anaerobic consortium under methanogenic conditions. Applied and Environmental Microbiology 57, 2131-2134.</w:t>
      </w:r>
    </w:p>
    <w:p w14:paraId="084A38FA" w14:textId="77777777" w:rsidR="00267E22" w:rsidRPr="00EA34AE" w:rsidRDefault="00267E22" w:rsidP="00EA34AE">
      <w:pPr>
        <w:pStyle w:val="EndNoteBibliography"/>
        <w:spacing w:after="0"/>
      </w:pPr>
      <w:r w:rsidRPr="00EA34AE">
        <w:lastRenderedPageBreak/>
        <w:t>Boll, M., Fuchs, G., 2005. Unusual reactions involved in anaerobic metabolism of phenolic compounds. Biological Chemistry 386, 989-997.</w:t>
      </w:r>
    </w:p>
    <w:p w14:paraId="227896D4" w14:textId="77777777" w:rsidR="00267E22" w:rsidRPr="00EA34AE" w:rsidRDefault="00267E22" w:rsidP="00EA34AE">
      <w:pPr>
        <w:pStyle w:val="EndNoteBibliography"/>
        <w:spacing w:after="0"/>
      </w:pPr>
      <w:r w:rsidRPr="00EA34AE">
        <w:t>Bossert, I.D., Young, L.Y., 1986. Anaerobic oxidation of p-cresol by a denitrifying bacterium. Applied and Environmental Microbiology 52, 1117-1122.</w:t>
      </w:r>
    </w:p>
    <w:p w14:paraId="073F0BDA" w14:textId="77777777" w:rsidR="00267E22" w:rsidRPr="00EA34AE" w:rsidRDefault="00267E22" w:rsidP="00EA34AE">
      <w:pPr>
        <w:pStyle w:val="EndNoteBibliography"/>
        <w:spacing w:after="0"/>
      </w:pPr>
      <w:r w:rsidRPr="00EA34AE">
        <w:t>Brislawn, C.J., Graham, E.B., Dana, K., Ihardt, P., Fansler, S.J., Chrisler, W.B., Cliff, J.B., Stegen, J.C., Moran, J.J., Bernstein, H.C., 2019. Forfeiting the priority effect: turnover defines biofilm community succession. ISME Journal 13, 1865-1877.</w:t>
      </w:r>
    </w:p>
    <w:p w14:paraId="18B64C97" w14:textId="77777777" w:rsidR="00267E22" w:rsidRPr="00EA34AE" w:rsidRDefault="00267E22" w:rsidP="00EA34AE">
      <w:pPr>
        <w:pStyle w:val="EndNoteBibliography"/>
        <w:spacing w:after="0"/>
      </w:pPr>
      <w:r w:rsidRPr="00EA34AE">
        <w:t>Caporaso, J.G., Kuczynski, J., Stombaugh, J., Bittinger, K., Bushman, F.D., Costello, E.K., Fierer, N., Pena, A.G., Goodrich, J.K., Gordon, J.I., Huttley, G.A., Kelley, S.T., Knights, D., Koenig, J.E., Ley, R.E., Lozupone, C.A., McDonald, D., Muegge, B.D., Pirrung, M., Reeder, J., Sevinsky, J.R., Turnbaugh, P.J., Walters, W.A., Widmann, J., Yatsunenko, T., Zaneveld, J., Knight, R., 2010. QIIME allows analysis of high-throughput community sequencing data. Nature Methods 7, 335-336.</w:t>
      </w:r>
    </w:p>
    <w:p w14:paraId="24A4FEA5" w14:textId="77777777" w:rsidR="00267E22" w:rsidRPr="00EA34AE" w:rsidRDefault="00267E22" w:rsidP="00EA34AE">
      <w:pPr>
        <w:pStyle w:val="EndNoteBibliography"/>
        <w:spacing w:after="0"/>
      </w:pPr>
      <w:r w:rsidRPr="00EA34AE">
        <w:t>Carey, M., Finnamore, J., Morrey, M., Marsland, P., 2000. Guidance on the assessment and monitoring of natural attentuation of contaminants in groundwater, R &amp; D Publication 95. Environment Agency.</w:t>
      </w:r>
    </w:p>
    <w:p w14:paraId="68C9C5D9" w14:textId="77777777" w:rsidR="00267E22" w:rsidRPr="00EA34AE" w:rsidRDefault="00267E22" w:rsidP="00EA34AE">
      <w:pPr>
        <w:pStyle w:val="EndNoteBibliography"/>
        <w:spacing w:after="0"/>
      </w:pPr>
      <w:r w:rsidRPr="00EA34AE">
        <w:t>Casadevall, A., Fang, F.C., Pirofski, L.A., 2011. Microbial virulence as an emergent property: consequences and opportunities. PLOS Pathogens 7, e1002136.</w:t>
      </w:r>
    </w:p>
    <w:p w14:paraId="1FB801BB" w14:textId="77777777" w:rsidR="00267E22" w:rsidRPr="00EA34AE" w:rsidRDefault="00267E22" w:rsidP="00EA34AE">
      <w:pPr>
        <w:pStyle w:val="EndNoteBibliography"/>
        <w:spacing w:after="0"/>
      </w:pPr>
      <w:r w:rsidRPr="00EA34AE">
        <w:t>Christensen, T.H., Bjerg, P.L., Banwart, S.A., Jakobsen, R., Heron, G., Albrechtsen, H.-J., 2000. Characterization of redox conditions in groundwater contaminant plumes. Journal of Contaminant Hydrology 45, 165-241.</w:t>
      </w:r>
    </w:p>
    <w:p w14:paraId="71272BFC" w14:textId="77777777" w:rsidR="00267E22" w:rsidRPr="00EA34AE" w:rsidRDefault="00267E22" w:rsidP="00EA34AE">
      <w:pPr>
        <w:pStyle w:val="EndNoteBibliography"/>
        <w:spacing w:after="0"/>
      </w:pPr>
      <w:r w:rsidRPr="00EA34AE">
        <w:t>Clauset, A., Newman, M.E., Moore, C., 2004. Finding community structure in very large networks. Physical Review E 70, 066111.</w:t>
      </w:r>
    </w:p>
    <w:p w14:paraId="06CF6693" w14:textId="77777777" w:rsidR="00267E22" w:rsidRPr="00EA34AE" w:rsidRDefault="00267E22" w:rsidP="00EA34AE">
      <w:pPr>
        <w:pStyle w:val="EndNoteBibliography"/>
        <w:spacing w:after="0"/>
      </w:pPr>
      <w:r w:rsidRPr="00EA34AE">
        <w:t>Converse, B.J., McKinley, J.P., Resch, C.T., Roden, E.E., 2015. Microbial mineral colonization across a subsurface redox transition zone. Frontiers in Microbiology 6, 858.</w:t>
      </w:r>
    </w:p>
    <w:p w14:paraId="5D9ECAF9" w14:textId="77777777" w:rsidR="00267E22" w:rsidRPr="00EA34AE" w:rsidRDefault="00267E22" w:rsidP="00EA34AE">
      <w:pPr>
        <w:pStyle w:val="EndNoteBibliography"/>
        <w:spacing w:after="0"/>
      </w:pPr>
      <w:r w:rsidRPr="00EA34AE">
        <w:t>Costerton, J.W., Lewandowski, Z., Caldwell, D.E., Korber, D.R., Lappin-Scott, H.M., 1995. Microbial biofilms. Annual Review of Microbiology 49, 711-745.</w:t>
      </w:r>
    </w:p>
    <w:p w14:paraId="2FDDADCA" w14:textId="77777777" w:rsidR="00267E22" w:rsidRPr="00EA34AE" w:rsidRDefault="00267E22" w:rsidP="00EA34AE">
      <w:pPr>
        <w:pStyle w:val="EndNoteBibliography"/>
        <w:spacing w:after="0"/>
      </w:pPr>
      <w:r w:rsidRPr="00EA34AE">
        <w:t>Costerton, W., Veeh, R., Shirtliff, M., Pasmore, M., Post, C., Ehrlich, G., 2003. The application of biofilm science to the study and control of chronic bacterial infections. Journal of Clinical Investigation 112, 1466-1477.</w:t>
      </w:r>
    </w:p>
    <w:p w14:paraId="6660F778" w14:textId="77777777" w:rsidR="00267E22" w:rsidRPr="00EA34AE" w:rsidRDefault="00267E22" w:rsidP="00EA34AE">
      <w:pPr>
        <w:pStyle w:val="EndNoteBibliography"/>
        <w:spacing w:after="0"/>
      </w:pPr>
      <w:r w:rsidRPr="00EA34AE">
        <w:t>Csardi, G., Nepusz, T., 2006. The igraph software package for complex network research. InterJournal, complex systems 1695, 1-9.</w:t>
      </w:r>
    </w:p>
    <w:p w14:paraId="3102B5AC" w14:textId="77777777" w:rsidR="00267E22" w:rsidRPr="00EA34AE" w:rsidRDefault="00267E22" w:rsidP="00EA34AE">
      <w:pPr>
        <w:pStyle w:val="EndNoteBibliography"/>
        <w:spacing w:after="0"/>
      </w:pPr>
      <w:r w:rsidRPr="00EA34AE">
        <w:t>Danczak, R.E., Johnston, M.D., Kenah, C., Slattery, M., Wilkins, M.J., 2018. Microbial community cohesion mediates community turnover in unperturbed aquifers. mSystems 3, e00066-00018.</w:t>
      </w:r>
    </w:p>
    <w:p w14:paraId="500063B8" w14:textId="77777777" w:rsidR="00267E22" w:rsidRPr="00EA34AE" w:rsidRDefault="00267E22" w:rsidP="00EA34AE">
      <w:pPr>
        <w:pStyle w:val="EndNoteBibliography"/>
        <w:spacing w:after="0"/>
      </w:pPr>
      <w:r w:rsidRPr="00EA34AE">
        <w:t>Demoling, F., Figueroa, D., Bååth, E., 2007. Comparison of factors limiting bacterial growth in different soils. Soil Biology and Biochemistry 39, 2485-2495.</w:t>
      </w:r>
    </w:p>
    <w:p w14:paraId="39FE7AB0" w14:textId="77777777" w:rsidR="00267E22" w:rsidRPr="00EA34AE" w:rsidRDefault="00267E22" w:rsidP="00EA34AE">
      <w:pPr>
        <w:pStyle w:val="EndNoteBibliography"/>
        <w:spacing w:after="0"/>
      </w:pPr>
      <w:r w:rsidRPr="00EA34AE">
        <w:t>DeSantis, T.Z., Hugenholtz, P., Larsen, N., Rojas, M., Brodie, E.L., Keller, K., Huber, T., Dalevi, D., Hu, P., Andersen, G.L., 2006. Greengenes, a chimera-checked 16S rRNA gene database and workbench compatible with ARB. Applied and Environmental Microbiology 72, 5069-5072.</w:t>
      </w:r>
    </w:p>
    <w:p w14:paraId="72B57A8A" w14:textId="77777777" w:rsidR="00267E22" w:rsidRPr="00EA34AE" w:rsidRDefault="00267E22" w:rsidP="00EA34AE">
      <w:pPr>
        <w:pStyle w:val="EndNoteBibliography"/>
        <w:spacing w:after="0"/>
      </w:pPr>
      <w:r w:rsidRPr="00EA34AE">
        <w:t>Di-Ruggiero, J., Gounot, A.M., 1990. Microbial manganese reduction mediated by bacterial strains isolated from aquifer sediments. Microbial Ecology 20, 53-63.</w:t>
      </w:r>
    </w:p>
    <w:p w14:paraId="372B00B6" w14:textId="77777777" w:rsidR="00267E22" w:rsidRPr="00EA34AE" w:rsidRDefault="00267E22" w:rsidP="00EA34AE">
      <w:pPr>
        <w:pStyle w:val="EndNoteBibliography"/>
        <w:spacing w:after="0"/>
      </w:pPr>
      <w:r w:rsidRPr="00EA34AE">
        <w:t>Du, Z.J., Jordan, E.M., Rooney, A.P., Chen, G.J., Austin, B., 2010. Corynebacterium marinum sp. nov. isolated from coastal sediment. International Journal of Systematic and Evolutionary Microbiology 60, 1944-1947.</w:t>
      </w:r>
    </w:p>
    <w:p w14:paraId="07C71445" w14:textId="77777777" w:rsidR="00267E22" w:rsidRPr="00EA34AE" w:rsidRDefault="00267E22" w:rsidP="00EA34AE">
      <w:pPr>
        <w:pStyle w:val="EndNoteBibliography"/>
        <w:spacing w:after="0"/>
      </w:pPr>
      <w:r w:rsidRPr="00EA34AE">
        <w:t>Edgar, R.C., 2010. Search and clustering orders of magnitude faster than BLAST. Bioinformatics 26, 2460-2461.</w:t>
      </w:r>
    </w:p>
    <w:p w14:paraId="7B615FD9" w14:textId="77777777" w:rsidR="00267E22" w:rsidRPr="00EA34AE" w:rsidRDefault="00267E22" w:rsidP="00EA34AE">
      <w:pPr>
        <w:pStyle w:val="EndNoteBibliography"/>
        <w:spacing w:after="0"/>
      </w:pPr>
      <w:r w:rsidRPr="00EA34AE">
        <w:t>Elliott, D.R., Scholes, J.D., Thornton, S.F., Rizoulis, A., Banwart, S.A., Rolfe, S.A., 2010. Dynamic changes in microbial community structure and function in phenol-degrading microcosms inoculated with cells from a contaminated aquifer. FEMS Microbiology Ecology 71, 247-259.</w:t>
      </w:r>
    </w:p>
    <w:p w14:paraId="61A6FE4B" w14:textId="77777777" w:rsidR="00267E22" w:rsidRPr="00EA34AE" w:rsidRDefault="00267E22" w:rsidP="00EA34AE">
      <w:pPr>
        <w:pStyle w:val="EndNoteBibliography"/>
        <w:spacing w:after="0"/>
      </w:pPr>
      <w:r w:rsidRPr="00EA34AE">
        <w:t>Ellis, C.N., Traverse, C.C., Mayo-Smith, L., Buskirk, S.W., Cooper, V.S., 2015. Character displacement and the evolution of niche complementarity in a model biofilm community. Evolution 69, 283-293.</w:t>
      </w:r>
    </w:p>
    <w:p w14:paraId="5E7663D4" w14:textId="77777777" w:rsidR="00267E22" w:rsidRPr="00EA34AE" w:rsidRDefault="00267E22" w:rsidP="00EA34AE">
      <w:pPr>
        <w:pStyle w:val="EndNoteBibliography"/>
        <w:spacing w:after="0"/>
      </w:pPr>
      <w:r w:rsidRPr="00EA34AE">
        <w:t>Fierer, N., Nemergut, D., Knight, R., Craine, J.M., 2010. Changes through time: integrating microorganisms into the study of succession. Research in Microbiology 161, 635-642.</w:t>
      </w:r>
    </w:p>
    <w:p w14:paraId="7EE09B05" w14:textId="77777777" w:rsidR="00267E22" w:rsidRPr="00EA34AE" w:rsidRDefault="00267E22" w:rsidP="00EA34AE">
      <w:pPr>
        <w:pStyle w:val="EndNoteBibliography"/>
        <w:spacing w:after="0"/>
      </w:pPr>
      <w:r w:rsidRPr="00EA34AE">
        <w:lastRenderedPageBreak/>
        <w:t>Flynn, T.M., Sanford, R.A., Ryu, H., Bethke, C.M., Levine, A.D., Ashbolt, N.J., Santo Domingo, J.W., 2013. Functional microbial diversity explains groundwater chemistry in a pristine aquifer. BMC Microbiology 13, 146.</w:t>
      </w:r>
    </w:p>
    <w:p w14:paraId="09A81B50" w14:textId="77777777" w:rsidR="00267E22" w:rsidRPr="00EA34AE" w:rsidRDefault="00267E22" w:rsidP="00EA34AE">
      <w:pPr>
        <w:pStyle w:val="EndNoteBibliography"/>
        <w:spacing w:after="0"/>
      </w:pPr>
      <w:r w:rsidRPr="00EA34AE">
        <w:t>Ghoul, M., Mitri, S., 2016. The Ecology and Evolution of Microbial Competition. Trends in Microbiology 24, 833-845.</w:t>
      </w:r>
    </w:p>
    <w:p w14:paraId="112C6F5B" w14:textId="77777777" w:rsidR="00267E22" w:rsidRPr="00EA34AE" w:rsidRDefault="00267E22" w:rsidP="00EA34AE">
      <w:pPr>
        <w:pStyle w:val="EndNoteBibliography"/>
        <w:spacing w:after="0"/>
      </w:pPr>
      <w:r w:rsidRPr="00EA34AE">
        <w:t>Godsy, E.M., Goerlitz, D.F., Grbicgalic, D., 1992. Methanogenic biodegradation of creosote contaminants in natural and simulated ground-water ecosystems. Ground Water 30, 232-242.</w:t>
      </w:r>
    </w:p>
    <w:p w14:paraId="70B8BEBD" w14:textId="77777777" w:rsidR="00267E22" w:rsidRPr="00EA34AE" w:rsidRDefault="00267E22" w:rsidP="00EA34AE">
      <w:pPr>
        <w:pStyle w:val="EndNoteBibliography"/>
        <w:spacing w:after="0"/>
      </w:pPr>
      <w:r w:rsidRPr="00EA34AE">
        <w:t>Gonzalez, P.J., Correia, C., Moura, I., Brondino, C.D., Moura, J.J., 2006. Bacterial nitrate reductases: Molecular and biological aspects of nitrate reduction. Journal of Inorganic Biochemistry 100, 1015-1023.</w:t>
      </w:r>
    </w:p>
    <w:p w14:paraId="7A7A39D7" w14:textId="77777777" w:rsidR="00267E22" w:rsidRPr="00EA34AE" w:rsidRDefault="00267E22" w:rsidP="00EA34AE">
      <w:pPr>
        <w:pStyle w:val="EndNoteBibliography"/>
        <w:spacing w:after="0"/>
      </w:pPr>
      <w:r w:rsidRPr="00EA34AE">
        <w:t>Gough, H.L., Stahl, D.A., 2003. Optimization of direct cell counting in sediment. Journal of Microbiological Methods 52, 39-46.</w:t>
      </w:r>
    </w:p>
    <w:p w14:paraId="3E09DD93" w14:textId="77777777" w:rsidR="00267E22" w:rsidRPr="00EA34AE" w:rsidRDefault="00267E22" w:rsidP="00EA34AE">
      <w:pPr>
        <w:pStyle w:val="EndNoteBibliography"/>
        <w:spacing w:after="0"/>
      </w:pPr>
      <w:r w:rsidRPr="00EA34AE">
        <w:t>Gounot, A.M., 1994. Microbial oxidation and reduction of manganese: consequences in groundwater and applications. FEMS Microbiology Reviews 14, 339-349.</w:t>
      </w:r>
    </w:p>
    <w:p w14:paraId="1B861C9B" w14:textId="77777777" w:rsidR="00267E22" w:rsidRPr="00EA34AE" w:rsidRDefault="00267E22" w:rsidP="00EA34AE">
      <w:pPr>
        <w:pStyle w:val="EndNoteBibliography"/>
        <w:spacing w:after="0"/>
      </w:pPr>
      <w:r w:rsidRPr="00EA34AE">
        <w:t>Gregory, S.P., Maurice, L.D., West, J.M., Gooddy, D.C., 2014. Microbial communities in UK aquifers: current understanding and future research needs. Quarterly Journal of Engineering Geology and Hydrogeology 47, 145-157.</w:t>
      </w:r>
    </w:p>
    <w:p w14:paraId="030435BD" w14:textId="77777777" w:rsidR="00267E22" w:rsidRPr="00EA34AE" w:rsidRDefault="00267E22" w:rsidP="00EA34AE">
      <w:pPr>
        <w:pStyle w:val="EndNoteBibliography"/>
        <w:spacing w:after="0"/>
      </w:pPr>
      <w:r w:rsidRPr="00EA34AE">
        <w:t>Griebler, C., Mindl, B., Slezak, D., Geiger-Kaiser, M., 2002. Distribution patterns of attached and suspended bacteria in pristine and contaminated shallow aquifers studied with an in situ sediment exposure microcosm. Aquatic Microbial Ecology 28, 117-129.</w:t>
      </w:r>
    </w:p>
    <w:p w14:paraId="538E3574" w14:textId="77777777" w:rsidR="00267E22" w:rsidRPr="00EA34AE" w:rsidRDefault="00267E22" w:rsidP="00EA34AE">
      <w:pPr>
        <w:pStyle w:val="EndNoteBibliography"/>
        <w:spacing w:after="0"/>
      </w:pPr>
      <w:r w:rsidRPr="00EA34AE">
        <w:t>Grisey, E., Belle, E., Dat, J., Mudry, J., Aleya, L., 2010. Survival of pathogenic and indicator organisms in groundwater and landfill leachate through coupling bacterial enumeration with tracer tests. Desalination 261, 162-168.</w:t>
      </w:r>
    </w:p>
    <w:p w14:paraId="11A579EA" w14:textId="77777777" w:rsidR="00267E22" w:rsidRPr="00EA34AE" w:rsidRDefault="00267E22" w:rsidP="00EA34AE">
      <w:pPr>
        <w:pStyle w:val="EndNoteBibliography"/>
        <w:spacing w:after="0"/>
      </w:pPr>
      <w:r w:rsidRPr="00EA34AE">
        <w:t>Hall-Stoodley, L., Costerton, J.W., Stoodley, P., 2004. Bacterial biofilms: from the natural environment to infectious diseases. Nature Reviews Microbiology 2, 95-108.</w:t>
      </w:r>
    </w:p>
    <w:p w14:paraId="1442B72A" w14:textId="77777777" w:rsidR="00267E22" w:rsidRPr="00EA34AE" w:rsidRDefault="00267E22" w:rsidP="00EA34AE">
      <w:pPr>
        <w:pStyle w:val="EndNoteBibliography"/>
        <w:spacing w:after="0"/>
      </w:pPr>
      <w:r w:rsidRPr="00EA34AE">
        <w:t>Harrison, I., Williams, G.M., Higgo, J.J., Leader, R.U., Kim, A.W., Noy, D.J., 2001. Microcosm studies of microbial degradation in a coal tar distillate plume. Journal of Contaminant Hydrology 53, 319-340.</w:t>
      </w:r>
    </w:p>
    <w:p w14:paraId="5E797FBA" w14:textId="77777777" w:rsidR="00267E22" w:rsidRPr="00EA34AE" w:rsidRDefault="00267E22" w:rsidP="00EA34AE">
      <w:pPr>
        <w:pStyle w:val="EndNoteBibliography"/>
        <w:spacing w:after="0"/>
      </w:pPr>
      <w:r w:rsidRPr="00EA34AE">
        <w:t>Hausner, M., Wuertz, S., 1999. High rates of conjugation in bacterial biofilms as determined by quantitative in situ analysis. Applied and Environmental Microbiology 65, 3710-3713.</w:t>
      </w:r>
    </w:p>
    <w:p w14:paraId="7625E89F" w14:textId="77777777" w:rsidR="00267E22" w:rsidRPr="00EA34AE" w:rsidRDefault="00267E22" w:rsidP="00EA34AE">
      <w:pPr>
        <w:pStyle w:val="EndNoteBibliography"/>
        <w:spacing w:after="0"/>
      </w:pPr>
      <w:r w:rsidRPr="00EA34AE">
        <w:t>Hedbavna, P., Rolfe, S.A., Huang, W.E., Thornton, S.F., 2016. Biodegradation of phenolic compounds and their metabolites in contaminated groundwater using microbial fuel cells. Bioresource Technology 200, 426-434.</w:t>
      </w:r>
    </w:p>
    <w:p w14:paraId="275A04BD" w14:textId="77777777" w:rsidR="00267E22" w:rsidRPr="00EA34AE" w:rsidRDefault="00267E22" w:rsidP="00EA34AE">
      <w:pPr>
        <w:pStyle w:val="EndNoteBibliography"/>
        <w:spacing w:after="0"/>
      </w:pPr>
      <w:r w:rsidRPr="00EA34AE">
        <w:t>Hernandez, M.E., Newman, D.K., 2001. Extracellular electron transfer. Cellular and Molecular Life Sciences 58, 1562-1571.</w:t>
      </w:r>
    </w:p>
    <w:p w14:paraId="43748C92" w14:textId="77777777" w:rsidR="00267E22" w:rsidRPr="00EA34AE" w:rsidRDefault="00267E22" w:rsidP="00EA34AE">
      <w:pPr>
        <w:pStyle w:val="EndNoteBibliography"/>
        <w:spacing w:after="0"/>
      </w:pPr>
      <w:r w:rsidRPr="00EA34AE">
        <w:t>Holm, P.E., Nielsen, P.H., Albrechtsen, H.J., Christensen, T.H., 1992. Importance of unattached bacteria and bacteria attached to sediment in determining potentials for degradation of xenobiotic organic contaminants in an aerobic aquifer. Applied and Environmental Microbiology 58, 3020-3026.</w:t>
      </w:r>
    </w:p>
    <w:p w14:paraId="69418292" w14:textId="77777777" w:rsidR="00267E22" w:rsidRPr="00EA34AE" w:rsidRDefault="00267E22" w:rsidP="00EA34AE">
      <w:pPr>
        <w:pStyle w:val="EndNoteBibliography"/>
        <w:spacing w:after="0"/>
      </w:pPr>
      <w:r w:rsidRPr="00EA34AE">
        <w:t>Ihrmark, K., Bodeker, I.T., Cruz-Martinez, K., Friberg, H., Kubartova, A., Schenck, J., Strid, Y., Stenlid, J., Brandstrom-Durling, M., Clemmensen, K.E., Lindahl, B.D., 2012. New primers to amplify the fungal ITS2 region--evaluation by 454-sequencing of artificial and natural communities. FEMS Microbiology Ecology 82, 666-677.</w:t>
      </w:r>
    </w:p>
    <w:p w14:paraId="113B0A76" w14:textId="77777777" w:rsidR="00267E22" w:rsidRPr="00EA34AE" w:rsidRDefault="00267E22" w:rsidP="00EA34AE">
      <w:pPr>
        <w:pStyle w:val="EndNoteBibliography"/>
        <w:spacing w:after="0"/>
      </w:pPr>
      <w:r w:rsidRPr="00EA34AE">
        <w:t>Jackson, C.R., 2003. Changes in community properties during microbial succession. Oikos 101, 444-448.</w:t>
      </w:r>
    </w:p>
    <w:p w14:paraId="210D082B" w14:textId="77777777" w:rsidR="00267E22" w:rsidRPr="00EA34AE" w:rsidRDefault="00267E22" w:rsidP="00EA34AE">
      <w:pPr>
        <w:pStyle w:val="EndNoteBibliography"/>
        <w:spacing w:after="0"/>
      </w:pPr>
      <w:r w:rsidRPr="00EA34AE">
        <w:t>Jackson, C.R., Churchill, P.F., Roden, E.E., 2001. Successional changes in bacterial assemblage structure during epilithic biofilm development. Ecology 82, 555-566.</w:t>
      </w:r>
    </w:p>
    <w:p w14:paraId="0BFF0F0C" w14:textId="77777777" w:rsidR="00267E22" w:rsidRPr="00EA34AE" w:rsidRDefault="00267E22" w:rsidP="00EA34AE">
      <w:pPr>
        <w:pStyle w:val="EndNoteBibliography"/>
        <w:spacing w:after="0"/>
      </w:pPr>
      <w:r w:rsidRPr="00EA34AE">
        <w:t>Jefferson, K.K., 2004. What drives bacteria to produce a biofilm? FEMS Microbiology Letters 236, 163-173.</w:t>
      </w:r>
    </w:p>
    <w:p w14:paraId="52F10664" w14:textId="77777777" w:rsidR="00267E22" w:rsidRPr="00EA34AE" w:rsidRDefault="00267E22" w:rsidP="00EA34AE">
      <w:pPr>
        <w:pStyle w:val="EndNoteBibliography"/>
        <w:spacing w:after="0"/>
      </w:pPr>
      <w:r w:rsidRPr="00EA34AE">
        <w:t>Jiang, X., Shen, J., Xu, K., Chen, D., Mu, Y., Sun, X., Han, W., Li, J., Wang, L., 2018. Substantial enhancement of anaerobic pyridine bio-mineralization by electrical stimulation. Water Research 130, 291-299.</w:t>
      </w:r>
    </w:p>
    <w:p w14:paraId="038F0BAA" w14:textId="77777777" w:rsidR="00267E22" w:rsidRPr="00EA34AE" w:rsidRDefault="00267E22" w:rsidP="00EA34AE">
      <w:pPr>
        <w:pStyle w:val="EndNoteBibliography"/>
        <w:spacing w:after="0"/>
      </w:pPr>
      <w:r w:rsidRPr="00EA34AE">
        <w:lastRenderedPageBreak/>
        <w:t>Klindworth, A., Pruesse, E., Schweer, T., Peplies, J., Quast, C., Horn, M., Glockner, F.O., 2013. Evaluation of general 16S ribosomal RNA gene PCR primers for classical and next-generation sequencing-based diversity studies. Nucleic Acids Research 41, e1.</w:t>
      </w:r>
    </w:p>
    <w:p w14:paraId="21BF2A5D" w14:textId="77777777" w:rsidR="00267E22" w:rsidRPr="00EA34AE" w:rsidRDefault="00267E22" w:rsidP="00EA34AE">
      <w:pPr>
        <w:pStyle w:val="EndNoteBibliography"/>
        <w:spacing w:after="0"/>
      </w:pPr>
      <w:r w:rsidRPr="00EA34AE">
        <w:t>Krapac, I.G., Dey, W.S., Roy, W.R., Smyth, C.A., Storment, E., Sargent, S.L., Steele, J.D., 2002. Impacts of swine manure pits on groundwater quality. Environmental Pollution 120, 475-492.</w:t>
      </w:r>
    </w:p>
    <w:p w14:paraId="3DC8EEB4" w14:textId="77777777" w:rsidR="00267E22" w:rsidRPr="00EA34AE" w:rsidRDefault="00267E22" w:rsidP="00EA34AE">
      <w:pPr>
        <w:pStyle w:val="EndNoteBibliography"/>
        <w:spacing w:after="0"/>
      </w:pPr>
      <w:r w:rsidRPr="00EA34AE">
        <w:t>Kuever, J., 2014. The Family Desulfobacteraceae, in: Rosenberg, E., DeLong, E.F., Lory, S., Stackebrandt, E., Thompson, F. (Eds.), The Prokaryotes: Deltaproteobacteria and Epsilonproteobacteria. Springer Berlin Heidelberg, Berlin, Heidelberg, pp. 45-73.</w:t>
      </w:r>
    </w:p>
    <w:p w14:paraId="607A3CB7" w14:textId="77777777" w:rsidR="00267E22" w:rsidRPr="00EA34AE" w:rsidRDefault="00267E22" w:rsidP="00EA34AE">
      <w:pPr>
        <w:pStyle w:val="EndNoteBibliography"/>
        <w:spacing w:after="0"/>
      </w:pPr>
      <w:r w:rsidRPr="00EA34AE">
        <w:t>Kummel, S., Herbst, F.A., Bahr, A., Duarte, M., Pieper, D.H., Jehmlich, N., Seifert, J., von Bergen, M., Bombach, P., Richnow, H.H., Vogt, C., 2015. Anaerobic naphthalene degradation by sulfate-reducing Desulfobacteraceae from various anoxic aquifers. FEMS Microbiology Ecology 91.</w:t>
      </w:r>
    </w:p>
    <w:p w14:paraId="4C7823B4" w14:textId="77777777" w:rsidR="00267E22" w:rsidRPr="00EA34AE" w:rsidRDefault="00267E22" w:rsidP="00EA34AE">
      <w:pPr>
        <w:pStyle w:val="EndNoteBibliography"/>
        <w:spacing w:after="0"/>
      </w:pPr>
      <w:r w:rsidRPr="00EA34AE">
        <w:t>Kurtz, Z.D., Müller, C.L., Miraldi, E.R., Littman, D.R., Blaser, M.J., Bonneau, R.A., 2015. Sparse and compositionally robust inference of microbial ecological networks. PLOS Computational Biology 11, e1004226.</w:t>
      </w:r>
    </w:p>
    <w:p w14:paraId="37FE8775" w14:textId="77777777" w:rsidR="00267E22" w:rsidRPr="00EA34AE" w:rsidRDefault="00267E22" w:rsidP="00EA34AE">
      <w:pPr>
        <w:pStyle w:val="EndNoteBibliography"/>
        <w:spacing w:after="0"/>
      </w:pPr>
      <w:r w:rsidRPr="00EA34AE">
        <w:t>Lehman, R.M., Colwell, F.S., Bala, G.A., 2001a. Attached and unattached microbial communities in a simulated basalt aquifer under fracture- and porous-flow conditions. Applied and Environmental Microbiology 67, 2799-2809.</w:t>
      </w:r>
    </w:p>
    <w:p w14:paraId="3A9F6FE4" w14:textId="77777777" w:rsidR="00267E22" w:rsidRPr="00EA34AE" w:rsidRDefault="00267E22" w:rsidP="00EA34AE">
      <w:pPr>
        <w:pStyle w:val="EndNoteBibliography"/>
        <w:spacing w:after="0"/>
      </w:pPr>
      <w:r w:rsidRPr="00EA34AE">
        <w:t>Lehman, R.M., Roberto, F.F., Earley, D., Bruhn, D.F., Brink, S.E., O'Connell, S.P., Delwiche, M.E., Colwell, F.S., 2001b. Attached and unattached bacterial communities in a 120-meter corehole in an acidic, crystalline rock aquifer. Applied and Environmental Microbiology 67, 2095-2106.</w:t>
      </w:r>
    </w:p>
    <w:p w14:paraId="1194563F" w14:textId="77777777" w:rsidR="00267E22" w:rsidRPr="00EA34AE" w:rsidRDefault="00267E22" w:rsidP="00EA34AE">
      <w:pPr>
        <w:pStyle w:val="EndNoteBibliography"/>
        <w:spacing w:after="0"/>
      </w:pPr>
      <w:r w:rsidRPr="00EA34AE">
        <w:t>Lequette, K., Ait-Mouheb, N., Wery, N., 2019. Drip irrigation biofouling with treated wastewater: bacterial selection revealed by high-throughput sequencing. Biofouling 35, 217-229.</w:t>
      </w:r>
    </w:p>
    <w:p w14:paraId="02BD6F41" w14:textId="77777777" w:rsidR="00267E22" w:rsidRPr="00EA34AE" w:rsidRDefault="00267E22" w:rsidP="00EA34AE">
      <w:pPr>
        <w:pStyle w:val="EndNoteBibliography"/>
        <w:spacing w:after="0"/>
      </w:pPr>
      <w:r w:rsidRPr="00EA34AE">
        <w:t>Lerner, D., 2002. Microbial production of fatty acids in phenol-contaminated groundwater and its significance in subsurface bioremediation, Groundwater Quality: Natural and Enhanced Restoration of Groundwater Pollution: Selected and Reviewed Papers Presented at the Groundwater Quality 2001 Conference Held in Sheffield, UK, from 18 to 21 June 2001. International Assn of Hydrological Sciences, p. 219.</w:t>
      </w:r>
    </w:p>
    <w:p w14:paraId="3861C537" w14:textId="77777777" w:rsidR="00267E22" w:rsidRPr="00EA34AE" w:rsidRDefault="00267E22" w:rsidP="00EA34AE">
      <w:pPr>
        <w:pStyle w:val="EndNoteBibliography"/>
        <w:spacing w:after="0"/>
      </w:pPr>
      <w:r w:rsidRPr="00EA34AE">
        <w:t>Lerner, D.N., Thornton, S.F., Spence, M.J., Banwart, S.A., Bottrell, S.H., Higgo, J.J., Mallinson, H.E.H., Pickup, R.W., Williams, G.M., 2000. Ineffective natural attenuation of degradable organic compounds in a phenol-contaminated aquifer. Ground Water 38, 922-928.</w:t>
      </w:r>
    </w:p>
    <w:p w14:paraId="19D79618" w14:textId="77777777" w:rsidR="00267E22" w:rsidRPr="00EA34AE" w:rsidRDefault="00267E22" w:rsidP="00EA34AE">
      <w:pPr>
        <w:pStyle w:val="EndNoteBibliography"/>
        <w:spacing w:after="0"/>
      </w:pPr>
      <w:r w:rsidRPr="00EA34AE">
        <w:t>Leroy, S., Giammarinaro, P., Chacornac, J.P., Lebert, I., Talon, R., 2010. Biodiversity of indigenous staphylococci of naturally fermented dry sausages and manufacturing environments of small-scale processing units. Food Microbiology 27, 294-301.</w:t>
      </w:r>
    </w:p>
    <w:p w14:paraId="7EA5C94B" w14:textId="77777777" w:rsidR="00267E22" w:rsidRPr="00EA34AE" w:rsidRDefault="00267E22" w:rsidP="00EA34AE">
      <w:pPr>
        <w:pStyle w:val="EndNoteBibliography"/>
        <w:spacing w:after="0"/>
      </w:pPr>
      <w:r w:rsidRPr="00EA34AE">
        <w:t>Liebana, R., Modin, O., Persson, F., Szabo, E., Hermansson, M., Wilen, B.M., 2019. Combined Deterministic and Stochastic Processes Control Microbial Succession in Replicate Granular Biofilm Reactors. Environmental Scienceand Technology 53, 4912-4921.</w:t>
      </w:r>
    </w:p>
    <w:p w14:paraId="39283363" w14:textId="77777777" w:rsidR="00267E22" w:rsidRPr="00EA34AE" w:rsidRDefault="00267E22" w:rsidP="00EA34AE">
      <w:pPr>
        <w:pStyle w:val="EndNoteBibliography"/>
        <w:spacing w:after="0"/>
      </w:pPr>
      <w:r w:rsidRPr="00EA34AE">
        <w:t>Liu, G., Tang, C.M., Exley, R.M., 2015. Non-pathogenic Neisseria: members of an abundant, multi-habitat, diverse genus. Microbiology 161, 1297-1312.</w:t>
      </w:r>
    </w:p>
    <w:p w14:paraId="56484198" w14:textId="77777777" w:rsidR="00267E22" w:rsidRPr="00EA34AE" w:rsidRDefault="00267E22" w:rsidP="00EA34AE">
      <w:pPr>
        <w:pStyle w:val="EndNoteBibliography"/>
        <w:spacing w:after="0"/>
      </w:pPr>
      <w:r w:rsidRPr="00EA34AE">
        <w:t>Love, M.I., Huber, W., Anders, S., 2014. Moderated estimation of fold change and dispersion for RNA-seq data with DESeq2. Genome Biology 15, 550.</w:t>
      </w:r>
    </w:p>
    <w:p w14:paraId="2D093BE3" w14:textId="77777777" w:rsidR="00267E22" w:rsidRPr="00EA34AE" w:rsidRDefault="00267E22" w:rsidP="00EA34AE">
      <w:pPr>
        <w:pStyle w:val="EndNoteBibliography"/>
        <w:spacing w:after="0"/>
      </w:pPr>
      <w:r w:rsidRPr="00EA34AE">
        <w:t>Lozupone, C., Lladser, M.E., Knights, D., Stombaugh, J., Knight, R., 2011. UniFrac: an effective distance metric for microbial community comparison. ISME Journal 5, 169-172.</w:t>
      </w:r>
    </w:p>
    <w:p w14:paraId="564B3ADF" w14:textId="77777777" w:rsidR="00267E22" w:rsidRPr="00EA34AE" w:rsidRDefault="00267E22" w:rsidP="00EA34AE">
      <w:pPr>
        <w:pStyle w:val="EndNoteBibliography"/>
        <w:spacing w:after="0"/>
      </w:pPr>
      <w:r w:rsidRPr="00EA34AE">
        <w:t>Lyautey, E., Lacoste, B., Ten-Hage, L., Rols, J.L., Garabetian, F., 2005. Analysis of bacterial diversity in river biofilms using 16S rDNA PCR-DGGE: methodological settings and fingerprints interpretation. Water Research 39, 380-388.</w:t>
      </w:r>
    </w:p>
    <w:p w14:paraId="1F1E5AD3" w14:textId="77777777" w:rsidR="00267E22" w:rsidRPr="00EA34AE" w:rsidRDefault="00267E22" w:rsidP="00EA34AE">
      <w:pPr>
        <w:pStyle w:val="EndNoteBibliography"/>
        <w:spacing w:after="0"/>
      </w:pPr>
      <w:r w:rsidRPr="00EA34AE">
        <w:t>Mah, T.F., O'Toole, G.A., 2001. Mechanisms of biofilm resistance to antimicrobial agents. Trends in Microbiology 9, 34-39.</w:t>
      </w:r>
    </w:p>
    <w:p w14:paraId="6A8F1403" w14:textId="77777777" w:rsidR="00267E22" w:rsidRPr="00EA34AE" w:rsidRDefault="00267E22" w:rsidP="00EA34AE">
      <w:pPr>
        <w:pStyle w:val="EndNoteBibliography"/>
        <w:spacing w:after="0"/>
      </w:pPr>
      <w:r w:rsidRPr="00EA34AE">
        <w:t>Marsh, P.D., 2004. Dental plaque as a microbial biofilm. Caries Research 38, 204-211.</w:t>
      </w:r>
    </w:p>
    <w:p w14:paraId="0DFF9C3F" w14:textId="77777777" w:rsidR="00267E22" w:rsidRPr="00EA34AE" w:rsidRDefault="00267E22" w:rsidP="00EA34AE">
      <w:pPr>
        <w:pStyle w:val="EndNoteBibliography"/>
        <w:spacing w:after="0"/>
      </w:pPr>
      <w:r w:rsidRPr="00EA34AE">
        <w:t>Martiny, A.C., Jorgensen, T.M., Albrechtsen, H.J., Arvin, E., Molin, S., 2003. Long-term succession of structure and diversity of a biofilm formed in a model drinking water distribution system. Applied and Environmental Microbiology 69, 6899-6907.</w:t>
      </w:r>
    </w:p>
    <w:p w14:paraId="2219D89B" w14:textId="77777777" w:rsidR="00267E22" w:rsidRPr="00EA34AE" w:rsidRDefault="00267E22" w:rsidP="00EA34AE">
      <w:pPr>
        <w:pStyle w:val="EndNoteBibliography"/>
        <w:spacing w:after="0"/>
      </w:pPr>
      <w:r w:rsidRPr="00EA34AE">
        <w:lastRenderedPageBreak/>
        <w:t>McDonald, D., Price, M.N., Goodrich, J., Nawrocki, E.P., DeSantis, T.Z., Probst, A., Andersen, G.L., Knight, R., Hugenholtz, P., 2012. An improved Greengenes taxonomy with explicit ranks for ecological and evolutionary analyses of bacteria and archaea. ISME Journal 6, 610-618.</w:t>
      </w:r>
    </w:p>
    <w:p w14:paraId="5497833B" w14:textId="77777777" w:rsidR="00267E22" w:rsidRPr="00EA34AE" w:rsidRDefault="00267E22" w:rsidP="00EA34AE">
      <w:pPr>
        <w:pStyle w:val="EndNoteBibliography"/>
        <w:spacing w:after="0"/>
      </w:pPr>
      <w:r w:rsidRPr="00EA34AE">
        <w:t>McGuire, T.M., Newell, C.J., Looney, B.B., Vangelas, K.M., Sink, C.H., 2004. Historical analysis of monitored natural attenuation: A survey of 191 chlorinated solvent sites and 45 solvent plumes. Remediation Journal: The Journal of Environmental Cleanup Costs, Technologies &amp; Techniques 15, 99-112.</w:t>
      </w:r>
    </w:p>
    <w:p w14:paraId="53924EDE" w14:textId="77777777" w:rsidR="00267E22" w:rsidRPr="00EA34AE" w:rsidRDefault="00267E22" w:rsidP="00EA34AE">
      <w:pPr>
        <w:pStyle w:val="EndNoteBibliography"/>
        <w:spacing w:after="0"/>
      </w:pPr>
      <w:r w:rsidRPr="00EA34AE">
        <w:t>McMurdie, P.J., Holmes, S., 2013. phyloseq: an R package for reproducible interactive analysis and graphics of microbiome census data. PLoS One 8, e61217.</w:t>
      </w:r>
    </w:p>
    <w:p w14:paraId="2EE86BB9" w14:textId="77777777" w:rsidR="00267E22" w:rsidRPr="00EA34AE" w:rsidRDefault="00267E22" w:rsidP="00EA34AE">
      <w:pPr>
        <w:pStyle w:val="EndNoteBibliography"/>
        <w:spacing w:after="0"/>
      </w:pPr>
      <w:r w:rsidRPr="00EA34AE">
        <w:t>Meckenstock, R.U., Elsner, M., Griebler, C., Lueders, T., Stumpp, C., Aamand, J., Agathos, S.N., Albrechtsen, H.J., Bastiaens, L., Bjerg, P.L., Boon, N., Dejonghe, W., Huang, W.E., Schmidt, S.I., Smolders, E., Sorensen, S.R., Springael, D., van Breukelen, B.M., 2015. Biodegradation: Updating the concepts of control for microbial cleanup in contaminated aquifers. Environmental Scienceand Technology 49, 7073-7081.</w:t>
      </w:r>
    </w:p>
    <w:p w14:paraId="25796037" w14:textId="77777777" w:rsidR="00267E22" w:rsidRPr="00EA34AE" w:rsidRDefault="00267E22" w:rsidP="00EA34AE">
      <w:pPr>
        <w:pStyle w:val="EndNoteBibliography"/>
        <w:spacing w:after="0"/>
      </w:pPr>
      <w:r w:rsidRPr="00EA34AE">
        <w:t>Moreno-Paz, M., Gomez, M.J., Arcas, A., Parro, V., 2010. Environmental transcriptome analysis reveals physiological differences between biofilm and planktonic modes of life of the iron oxidizing bacteria Leptospirillum spp. in their natural microbial community. BMC Genomics 11, 404.</w:t>
      </w:r>
    </w:p>
    <w:p w14:paraId="3C6CE6D0" w14:textId="77777777" w:rsidR="00267E22" w:rsidRPr="00EA34AE" w:rsidRDefault="00267E22" w:rsidP="00EA34AE">
      <w:pPr>
        <w:pStyle w:val="EndNoteBibliography"/>
        <w:spacing w:after="0"/>
      </w:pPr>
      <w:r w:rsidRPr="00EA34AE">
        <w:t>Moura, V., Ribeiro, I., Moriggi, P., Capao, A., Salles, C., Bitati, S., Procopio, L., 2018. The influence of surface microbial diversity and succession on microbiologically influenced corrosion of steel in a simulated marine environment. Archives of Microbiology 200, 1447-1456.</w:t>
      </w:r>
    </w:p>
    <w:p w14:paraId="38DF8252" w14:textId="77777777" w:rsidR="00267E22" w:rsidRPr="00EA34AE" w:rsidRDefault="00267E22" w:rsidP="00EA34AE">
      <w:pPr>
        <w:pStyle w:val="EndNoteBibliography"/>
        <w:spacing w:after="0"/>
      </w:pPr>
      <w:r w:rsidRPr="00EA34AE">
        <w:t>O'Toole, G., Kaplan, H.B., Kolter, R., 2000. Biofilm formation as microbial development. Annual Review of Microbiology 54, 49-79.</w:t>
      </w:r>
    </w:p>
    <w:p w14:paraId="71974593" w14:textId="77777777" w:rsidR="00267E22" w:rsidRPr="00EA34AE" w:rsidRDefault="00267E22" w:rsidP="00EA34AE">
      <w:pPr>
        <w:pStyle w:val="EndNoteBibliography"/>
        <w:spacing w:after="0"/>
      </w:pPr>
      <w:r w:rsidRPr="00EA34AE">
        <w:t>O'Toole, G.A., Kolter, R., 1998. Initiation of biofilm formation in Pseudomonas fluorescens WCS365 proceeds via multiple, convergent signalling pathways: a genetic analysis. Molecular Microbiology 28, 449-461.</w:t>
      </w:r>
    </w:p>
    <w:p w14:paraId="535504AC" w14:textId="77777777" w:rsidR="00267E22" w:rsidRPr="00EA34AE" w:rsidRDefault="00267E22" w:rsidP="00EA34AE">
      <w:pPr>
        <w:pStyle w:val="EndNoteBibliography"/>
        <w:spacing w:after="0"/>
      </w:pPr>
      <w:r w:rsidRPr="00EA34AE">
        <w:t>Ozler, H.M., Aydin, A., 2008. Hydrochemical and microbiological quality of groundwater in West Thrace Region of Turkey. Environmental Geology 54, 355-363.</w:t>
      </w:r>
    </w:p>
    <w:p w14:paraId="7FA12674" w14:textId="77777777" w:rsidR="00267E22" w:rsidRPr="00EA34AE" w:rsidRDefault="00267E22" w:rsidP="00EA34AE">
      <w:pPr>
        <w:pStyle w:val="EndNoteBibliography"/>
        <w:spacing w:after="0"/>
      </w:pPr>
      <w:r w:rsidRPr="00EA34AE">
        <w:t>Pickup, R.W., Rhodes, G., Alamillo, M.L., Mallinson, H.E., Thornton, S.F., Lerner, D.N., 2001. Microbiological analysis of multi-level borehole samples from a contaminated groundwater system. Journal of Contaminant Hydrology 53, 269-284.</w:t>
      </w:r>
    </w:p>
    <w:p w14:paraId="644D2687" w14:textId="77777777" w:rsidR="00267E22" w:rsidRPr="00EA34AE" w:rsidRDefault="00267E22" w:rsidP="00EA34AE">
      <w:pPr>
        <w:pStyle w:val="EndNoteBibliography"/>
        <w:spacing w:after="0"/>
      </w:pPr>
      <w:r w:rsidRPr="00EA34AE">
        <w:t>Poltak, S.R., Cooper, V.S., 2011. Ecological succession in long-term experimentally evolved biofilms produces synergistic communities. ISME Journal 5, 369-378.</w:t>
      </w:r>
    </w:p>
    <w:p w14:paraId="7ECBE294" w14:textId="77777777" w:rsidR="00267E22" w:rsidRPr="00EA34AE" w:rsidRDefault="00267E22" w:rsidP="00EA34AE">
      <w:pPr>
        <w:pStyle w:val="EndNoteBibliography"/>
        <w:spacing w:after="0"/>
      </w:pPr>
      <w:r w:rsidRPr="00EA34AE">
        <w:t xml:space="preserve">R Core Team, 2020. R: A language and environment for statistical computing. R Foundation for Statistical Computing, Vienna, Austria,Retrieved from </w:t>
      </w:r>
      <w:r w:rsidRPr="00267E22">
        <w:t>www.R-project.org</w:t>
      </w:r>
    </w:p>
    <w:p w14:paraId="6EC04A4A" w14:textId="77777777" w:rsidR="00267E22" w:rsidRPr="00EA34AE" w:rsidRDefault="00267E22" w:rsidP="00EA34AE">
      <w:pPr>
        <w:pStyle w:val="EndNoteBibliography"/>
        <w:spacing w:after="0"/>
      </w:pPr>
      <w:r w:rsidRPr="00EA34AE">
        <w:t>Rees, H.C., Oswald, S.E., Banwart, S.A., Pickup, R.W., Lerner, D.N., 2007. Biodegradation processes in a laboratory-scale groundwater contaminant plume assessed by fluorescence imaging and microbial analysis. Applied and Environmental Microbiology 73, 3865-3876.</w:t>
      </w:r>
    </w:p>
    <w:p w14:paraId="61EEE2E8" w14:textId="77777777" w:rsidR="00267E22" w:rsidRPr="00EA34AE" w:rsidRDefault="00267E22" w:rsidP="00EA34AE">
      <w:pPr>
        <w:pStyle w:val="EndNoteBibliography"/>
        <w:spacing w:after="0"/>
      </w:pPr>
      <w:r w:rsidRPr="00EA34AE">
        <w:t>Rickard, A.H., Gilbert, P., High, N.J., Kolenbrander, P.E., Handley, P.S., 2003. Bacterial coaggregation: an integral process in the development of multi-species biofilms. Trends in Microbiology 11, 94-100.</w:t>
      </w:r>
    </w:p>
    <w:p w14:paraId="2483B905" w14:textId="77777777" w:rsidR="00267E22" w:rsidRPr="00EA34AE" w:rsidRDefault="00267E22" w:rsidP="00EA34AE">
      <w:pPr>
        <w:pStyle w:val="EndNoteBibliography"/>
        <w:spacing w:after="0"/>
      </w:pPr>
      <w:r w:rsidRPr="00EA34AE">
        <w:t>Rivett, M.O., Thornton, S.F., 2008. Monitored natural attenuation of organic contaminants in groundwater: principles and application, Proceedings of the Institution of Civil Engineers-Water Management. Thomas Telford Ltd, pp. 381-392.</w:t>
      </w:r>
    </w:p>
    <w:p w14:paraId="6C5DCD61" w14:textId="77777777" w:rsidR="00267E22" w:rsidRPr="00EA34AE" w:rsidRDefault="00267E22" w:rsidP="00EA34AE">
      <w:pPr>
        <w:pStyle w:val="EndNoteBibliography"/>
        <w:spacing w:after="0"/>
      </w:pPr>
      <w:r w:rsidRPr="00EA34AE">
        <w:t>Rizoulis, A., Elliott, D.R., Rolfe, S.A., Thornton, S.F., Banwart, S.A., Pickup, R.W., Scholes, J.D., 2013. Diversity of planktonic and attached bacterial communities in a phenol-contaminated sandstone aquifer. Microbial Ecology 66, 84-95.</w:t>
      </w:r>
    </w:p>
    <w:p w14:paraId="659CF6E6" w14:textId="77777777" w:rsidR="00267E22" w:rsidRPr="00EA34AE" w:rsidRDefault="00267E22" w:rsidP="00EA34AE">
      <w:pPr>
        <w:pStyle w:val="EndNoteBibliography"/>
        <w:spacing w:after="0"/>
      </w:pPr>
      <w:r w:rsidRPr="00EA34AE">
        <w:t>Schwarzenbach, R.P., Egli, T., Hofstetter, T.B., Von Gunten, U., Wehrli, B., 2010. Global water pollution and human health. Annual Review of Environment and Resources 35, 109-136.</w:t>
      </w:r>
    </w:p>
    <w:p w14:paraId="51B8CEB7" w14:textId="77777777" w:rsidR="00267E22" w:rsidRPr="00EA34AE" w:rsidRDefault="00267E22" w:rsidP="00EA34AE">
      <w:pPr>
        <w:pStyle w:val="EndNoteBibliography"/>
        <w:spacing w:after="0"/>
      </w:pPr>
      <w:r w:rsidRPr="00EA34AE">
        <w:t>Shinoda, Y., Akagi, J., Uchihashi, Y., Hiraishi, A., Yukawa, H., Yurimoto, H., Sakai, Y., Kato, N., 2005. Anaerobic degradation of aromatic compounds by magnetospirillum strains: isolation and degradation genes. Bioscience, Biotechnology, and Biochemistry 69, 1483-1491.</w:t>
      </w:r>
    </w:p>
    <w:p w14:paraId="39DF114E" w14:textId="77777777" w:rsidR="00267E22" w:rsidRPr="00EA34AE" w:rsidRDefault="00267E22" w:rsidP="00EA34AE">
      <w:pPr>
        <w:pStyle w:val="EndNoteBibliography"/>
        <w:spacing w:after="0"/>
      </w:pPr>
      <w:r w:rsidRPr="00EA34AE">
        <w:lastRenderedPageBreak/>
        <w:t>Silver, B.J., Onstott, T.C., Rose, G., Lin, L.-H., Ralston, C., Sherwood-Lollar, B., Pfiffner, S.M., Kieft, T.L., McCuddy, S., 2010. In situ cultivation of subsurface microorganisms in a deep mafic sill: implications for SLiMEs. Geomicrobiology Journal 27, 329-348.</w:t>
      </w:r>
    </w:p>
    <w:p w14:paraId="3DA7BA79" w14:textId="77777777" w:rsidR="00267E22" w:rsidRPr="00EA34AE" w:rsidRDefault="00267E22" w:rsidP="00EA34AE">
      <w:pPr>
        <w:pStyle w:val="EndNoteBibliography"/>
        <w:spacing w:after="0"/>
      </w:pPr>
      <w:r w:rsidRPr="00EA34AE">
        <w:t>Song, L., Wang, Y., Tang, W., Lei, Y., 2015. Bacterial community diversity in municipal waste landfill sites. Applied Microbiology and Biotechnology 99, 7745-7756.</w:t>
      </w:r>
    </w:p>
    <w:p w14:paraId="66A98554" w14:textId="77777777" w:rsidR="00267E22" w:rsidRPr="00EA34AE" w:rsidRDefault="00267E22" w:rsidP="00EA34AE">
      <w:pPr>
        <w:pStyle w:val="EndNoteBibliography"/>
        <w:spacing w:after="0"/>
      </w:pPr>
      <w:r w:rsidRPr="00EA34AE">
        <w:t>Spence, M.J., Bottrell, S.H., Higgo, J.J., Harrison, I., Fallick, A.E., 2001. Denitrification and phenol degradation in a contaminated aquifer. Journal of Contaminant Hydrology 53, 305-318.</w:t>
      </w:r>
    </w:p>
    <w:p w14:paraId="106CCB66" w14:textId="77777777" w:rsidR="00267E22" w:rsidRPr="00EA34AE" w:rsidRDefault="00267E22" w:rsidP="00EA34AE">
      <w:pPr>
        <w:pStyle w:val="EndNoteBibliography"/>
        <w:spacing w:after="0"/>
      </w:pPr>
      <w:r w:rsidRPr="00EA34AE">
        <w:t>Stegen, J.C., Lin, X., Konopka, A.E., Fredrickson, J.K., 2012. Stochastic and deterministic assembly processes in subsurface microbial communities. ISME Journal 6, 1653-1664.</w:t>
      </w:r>
    </w:p>
    <w:p w14:paraId="38C3C067" w14:textId="77777777" w:rsidR="00267E22" w:rsidRPr="00EA34AE" w:rsidRDefault="00267E22" w:rsidP="00EA34AE">
      <w:pPr>
        <w:pStyle w:val="EndNoteBibliography"/>
        <w:spacing w:after="0"/>
      </w:pPr>
      <w:r w:rsidRPr="00EA34AE">
        <w:t>Stewart, P.S., Franklin, M.J., 2008. Physiological heterogeneity in biofilms. Nature Reviews Microbiology 6, 199-210.</w:t>
      </w:r>
    </w:p>
    <w:p w14:paraId="48B8F9AC" w14:textId="77777777" w:rsidR="00267E22" w:rsidRPr="00EA34AE" w:rsidRDefault="00267E22" w:rsidP="00EA34AE">
      <w:pPr>
        <w:pStyle w:val="EndNoteBibliography"/>
        <w:spacing w:after="0"/>
      </w:pPr>
      <w:r w:rsidRPr="00EA34AE">
        <w:t>Stoodley, P., Sauer, K., Davies, D.G., Costerton, J.W., 2002. Biofilms as complex differentiated communities. Annual Review of Microbiology 56, 187-209.</w:t>
      </w:r>
    </w:p>
    <w:p w14:paraId="7B4F158B" w14:textId="77777777" w:rsidR="00267E22" w:rsidRPr="00EA34AE" w:rsidRDefault="00267E22" w:rsidP="00EA34AE">
      <w:pPr>
        <w:pStyle w:val="EndNoteBibliography"/>
        <w:spacing w:after="0"/>
      </w:pPr>
      <w:r w:rsidRPr="00EA34AE">
        <w:t>Thornton, S.F., Lerner, D.N., Banwart, S.A., 2001a. Assessing the natural attenuation of organic contaminants in aquifers using plume-scale electron and carbon balances: model development with analysis of uncertainty and parameter sensitivity. Journal of Contaminant Hydrology 53, 199-232.</w:t>
      </w:r>
    </w:p>
    <w:p w14:paraId="23FA8270" w14:textId="77777777" w:rsidR="00267E22" w:rsidRPr="00EA34AE" w:rsidRDefault="00267E22" w:rsidP="00EA34AE">
      <w:pPr>
        <w:pStyle w:val="EndNoteBibliography"/>
        <w:spacing w:after="0"/>
      </w:pPr>
      <w:r w:rsidRPr="00EA34AE">
        <w:t>Thornton, S.F., Quigley, S., Spence, M.J., Banwart, S.A., Bottrell, S., Lerner, D.N., 2001b. Processes controlling the distribution and natural attenuation of dissolved phenolic compounds in a deep sandstone aquifer. Journal of Contaminant Hydrology 53, 233-267.</w:t>
      </w:r>
    </w:p>
    <w:p w14:paraId="5C6ACFCA" w14:textId="77777777" w:rsidR="00267E22" w:rsidRPr="00EA34AE" w:rsidRDefault="00267E22" w:rsidP="00EA34AE">
      <w:pPr>
        <w:pStyle w:val="EndNoteBibliography"/>
        <w:spacing w:after="0"/>
      </w:pPr>
      <w:r w:rsidRPr="00EA34AE">
        <w:t>Truu, M., Oopkaup, K., Krustok, I., Koiv-Vainik, M., Nolvak, H., Truu, J., 2019. Bacterial community activity and dynamics in the biofilm of an experimental hybrid wetland system treating greywater. Environmental Science and Pollution Research (international) 26, 4013-4026.</w:t>
      </w:r>
    </w:p>
    <w:p w14:paraId="08B24EB4" w14:textId="77777777" w:rsidR="00267E22" w:rsidRPr="00EA34AE" w:rsidRDefault="00267E22" w:rsidP="00EA34AE">
      <w:pPr>
        <w:pStyle w:val="EndNoteBibliography"/>
        <w:spacing w:after="0"/>
      </w:pPr>
      <w:r w:rsidRPr="00EA34AE">
        <w:t>Tuxen, N., Albrechtsen, H.J., Bjerg, P.L., 2006a. Identification of a reactive degradation zone at a landfill leachate plume fringe using high resolution sampling and incubation techniques. Journal of Contaminant Hydrology 85, 179-194.</w:t>
      </w:r>
    </w:p>
    <w:p w14:paraId="3B820C75" w14:textId="77777777" w:rsidR="00267E22" w:rsidRPr="00EA34AE" w:rsidRDefault="00267E22" w:rsidP="00EA34AE">
      <w:pPr>
        <w:pStyle w:val="EndNoteBibliography"/>
        <w:spacing w:after="0"/>
      </w:pPr>
      <w:r w:rsidRPr="00EA34AE">
        <w:t>Tuxen, N., Reitzel, L.A., Albrechtsen, H.J., Bjerg, P.L., 2006b. Oxygen-enhanced biodegradation of phenoxy acids in ground water at contaminated sites. Ground Water 44, 256-265.</w:t>
      </w:r>
    </w:p>
    <w:p w14:paraId="0724BFC5" w14:textId="77777777" w:rsidR="00267E22" w:rsidRPr="00EA34AE" w:rsidRDefault="00267E22" w:rsidP="00EA34AE">
      <w:pPr>
        <w:pStyle w:val="EndNoteBibliography"/>
        <w:spacing w:after="0"/>
      </w:pPr>
      <w:r w:rsidRPr="00EA34AE">
        <w:t>Varon-Lopez, M., Dias, A.C., Fasanella, C.C., Durrer, A., Melo, I.S., Kuramae, E.E., Andreote, F.D., 2014. Sulphur-oxidizing and sulphate-reducing communities in Brazilian mangrove sediments. Environmental Microbiology 16, 845-855.</w:t>
      </w:r>
    </w:p>
    <w:p w14:paraId="27DDA52F" w14:textId="77777777" w:rsidR="00267E22" w:rsidRPr="00EA34AE" w:rsidRDefault="00267E22" w:rsidP="00EA34AE">
      <w:pPr>
        <w:pStyle w:val="EndNoteBibliography"/>
        <w:spacing w:after="0"/>
      </w:pPr>
      <w:r w:rsidRPr="00EA34AE">
        <w:t>Vick, S.H.W., Greenfield, P., Pinetown, K.L., Sherwood, N., Gong, S., Tetu, S.G., Midgley, D.J., Paulsen, I.T., 2019. Succession Patterns and Physical Niche Partitioning in Microbial Communities from Subsurface Coal Seams. iScience 12, 152-167.</w:t>
      </w:r>
    </w:p>
    <w:p w14:paraId="7D16D3E3" w14:textId="77777777" w:rsidR="00267E22" w:rsidRPr="00EA34AE" w:rsidRDefault="00267E22" w:rsidP="00EA34AE">
      <w:pPr>
        <w:pStyle w:val="EndNoteBibliography"/>
        <w:spacing w:after="0"/>
      </w:pPr>
      <w:r w:rsidRPr="00EA34AE">
        <w:t>Vu, B., Chen, M., Crawford, R.J., Ivanova, E.P., 2009. Bacterial extracellular polysaccharides involved in biofilm formation. Molecules 14, 2535-2554.</w:t>
      </w:r>
    </w:p>
    <w:p w14:paraId="6FCBA72B" w14:textId="77777777" w:rsidR="00267E22" w:rsidRPr="00EA34AE" w:rsidRDefault="00267E22" w:rsidP="00EA34AE">
      <w:pPr>
        <w:pStyle w:val="EndNoteBibliography"/>
        <w:spacing w:after="0"/>
      </w:pPr>
      <w:r w:rsidRPr="00EA34AE">
        <w:t>Wang, Q., Garrity, G.M., Tiedje, J.M., Cole, J.R., 2007. Naive Bayesian classifier for rapid assignment of rRNA sequences into the new bacterial taxonomy. Applied and Environmental Microbiology 73, 5261-5267.</w:t>
      </w:r>
    </w:p>
    <w:p w14:paraId="72D918A0" w14:textId="77777777" w:rsidR="00267E22" w:rsidRPr="00EA34AE" w:rsidRDefault="00267E22" w:rsidP="00EA34AE">
      <w:pPr>
        <w:pStyle w:val="EndNoteBibliography"/>
        <w:spacing w:after="0"/>
      </w:pPr>
      <w:r w:rsidRPr="00EA34AE">
        <w:t>Watnick, P., Kolter, R., 2000. Biofilm, city of microbes. Journal of Bacteriology 182, 2675-2679.</w:t>
      </w:r>
    </w:p>
    <w:p w14:paraId="0D92A3A5" w14:textId="77777777" w:rsidR="00267E22" w:rsidRPr="00EA34AE" w:rsidRDefault="00267E22" w:rsidP="00EA34AE">
      <w:pPr>
        <w:pStyle w:val="EndNoteBibliography"/>
        <w:spacing w:after="0"/>
      </w:pPr>
      <w:r w:rsidRPr="00EA34AE">
        <w:t>Williams, G.M., Pickup, R.W., Thornton, S.F., Lerner, D.N., Mallinson, H.E., Moore, Y., White, C., 2001. Biogeochemical characterisation of a coal tar distillate plume. Journal of Contaminant Hydrology 53, 175-197.</w:t>
      </w:r>
    </w:p>
    <w:p w14:paraId="4D9CAB9C" w14:textId="77777777" w:rsidR="00267E22" w:rsidRPr="00EA34AE" w:rsidRDefault="00267E22" w:rsidP="00EA34AE">
      <w:pPr>
        <w:pStyle w:val="EndNoteBibliography"/>
        <w:spacing w:after="0"/>
      </w:pPr>
      <w:r w:rsidRPr="00EA34AE">
        <w:t>Wilson, R.D., Thornton, S.F., Lerner, D.N., 2007. Forecasting Natural Attenuation as a Risk-based Groundwater Remediation Strategy. Groundwater Science and Policy: An International Overview, 421.</w:t>
      </w:r>
    </w:p>
    <w:p w14:paraId="0E706222" w14:textId="77777777" w:rsidR="00267E22" w:rsidRPr="00EA34AE" w:rsidRDefault="00267E22" w:rsidP="00EA34AE">
      <w:pPr>
        <w:pStyle w:val="EndNoteBibliography"/>
        <w:spacing w:after="0"/>
      </w:pPr>
      <w:r w:rsidRPr="00EA34AE">
        <w:t>Wilson, R.D., Thornton, S.F., Mackay, D.M., 2004. Challenges in monitoring the natural attenuation of spatially variable plumes. Biodegradation 15, 359-369.</w:t>
      </w:r>
    </w:p>
    <w:p w14:paraId="08715965" w14:textId="77777777" w:rsidR="00267E22" w:rsidRPr="00EA34AE" w:rsidRDefault="00267E22" w:rsidP="00EA34AE">
      <w:pPr>
        <w:pStyle w:val="EndNoteBibliography"/>
        <w:spacing w:after="0"/>
      </w:pPr>
      <w:r w:rsidRPr="00EA34AE">
        <w:t>Wingender, J., Neu, T.R., Flemming, H.-C., 1999. What are bacterial extracellular polymeric substances?, Microbial Extracellular Polymeric Substances: Characterization, Structure and Function. Springer, Berlin, Heidelberg, pp. 1-19.</w:t>
      </w:r>
    </w:p>
    <w:p w14:paraId="7F7F1D27" w14:textId="77777777" w:rsidR="00267E22" w:rsidRPr="00EA34AE" w:rsidRDefault="00267E22" w:rsidP="00EA34AE">
      <w:pPr>
        <w:pStyle w:val="EndNoteBibliography"/>
        <w:spacing w:after="0"/>
      </w:pPr>
      <w:r w:rsidRPr="00EA34AE">
        <w:t>Woodcock, S., Sloan, W.T., 2017. Biofilm community succession: a neutral perspective. Microbiology 163, 664–668.</w:t>
      </w:r>
    </w:p>
    <w:p w14:paraId="4A8E5A7A" w14:textId="77777777" w:rsidR="00267E22" w:rsidRPr="00EA34AE" w:rsidRDefault="00267E22" w:rsidP="00EA34AE">
      <w:pPr>
        <w:pStyle w:val="EndNoteBibliography"/>
        <w:spacing w:after="0"/>
      </w:pPr>
      <w:r w:rsidRPr="00EA34AE">
        <w:lastRenderedPageBreak/>
        <w:t>Xia, S., Shi, Y., Fu, Y., Ma, X., 2005. DGGE analysis of 16S rDNA of ammonia-oxidizing bacteria in chemical-biological flocculation and chemical coagulation systems. Applied Microbiology and Biotechnology 69, 99-105.</w:t>
      </w:r>
    </w:p>
    <w:p w14:paraId="5231D728" w14:textId="77777777" w:rsidR="00267E22" w:rsidRPr="00EA34AE" w:rsidRDefault="00267E22" w:rsidP="00EA34AE">
      <w:pPr>
        <w:pStyle w:val="EndNoteBibliography"/>
        <w:spacing w:after="0"/>
      </w:pPr>
      <w:r w:rsidRPr="00EA34AE">
        <w:t>Zapata-Peñasco, I., Salazar-Coria, L., Saucedo-García, M., Villa-Tanaca, L., Hernández-Rodríguez, C., 2016. Bisulfite reductase gene expression of thermophilic sulphate-reducing bacteria from saline connate water of oil reservoirs with high temperature. International Biodeterioration &amp; Biodegradation 108, 198-206.</w:t>
      </w:r>
    </w:p>
    <w:p w14:paraId="5D17F564" w14:textId="77777777" w:rsidR="00267E22" w:rsidRPr="00EA34AE" w:rsidRDefault="00267E22" w:rsidP="00EA34AE">
      <w:pPr>
        <w:pStyle w:val="EndNoteBibliography"/>
        <w:spacing w:after="0"/>
      </w:pPr>
      <w:r w:rsidRPr="00EA34AE">
        <w:t>Zhang, G., Li, B., Guo, F., Liu, J., Luan, M., Liu, Y., Guan, Y., 2019. Taxonomic relatedness and environmental pressure synergistically drive the primary succession of biofilm microbial communities in reclaimed wastewater distribution systems. Environment International 124, 25-37.</w:t>
      </w:r>
    </w:p>
    <w:p w14:paraId="7B2DF1B0" w14:textId="77777777" w:rsidR="00267E22" w:rsidRPr="00EA34AE" w:rsidRDefault="00267E22" w:rsidP="00EA34AE">
      <w:pPr>
        <w:pStyle w:val="EndNoteBibliography"/>
        <w:spacing w:after="0"/>
      </w:pPr>
      <w:r w:rsidRPr="00EA34AE">
        <w:t>Zhou, J., Deng, Y., Zhang, P., Xue, K., Liang, Y., Van Nostrand, J.D., Yang, Y., He, Z., Wu, L., Stahl, D.A., 2014. Stochasticity, succession, and environmental perturbations in a fluidic ecosystem. Proceedings of the National Academy of Sciences 111, E836-E845.</w:t>
      </w:r>
    </w:p>
    <w:p w14:paraId="2C9DF083" w14:textId="77777777" w:rsidR="00267E22" w:rsidRPr="00EA34AE" w:rsidRDefault="00267E22" w:rsidP="00EA34AE">
      <w:pPr>
        <w:pStyle w:val="EndNoteBibliography"/>
      </w:pPr>
      <w:r w:rsidRPr="00EA34AE">
        <w:t>Zumsteg, A., Luster, J., Goransson, H., Smittenberg, R.H., Brunner, I., Bernasconi, S.M., Zeyer, J., Frey, B., 2012. Bacterial, archaeal and fungal succession in the forefield of a receding glacier. Microbial Ecology 63, 552-564.</w:t>
      </w:r>
    </w:p>
    <w:bookmarkEnd w:id="5"/>
    <w:p w14:paraId="4220A9EE" w14:textId="77777777" w:rsidR="00267E22" w:rsidRDefault="00267E22" w:rsidP="0066169B"/>
    <w:p w14:paraId="7A23EF37" w14:textId="77777777" w:rsidR="003F5834" w:rsidRDefault="009C5765"/>
    <w:sectPr w:rsidR="003F5834" w:rsidSect="00182B46">
      <w:footerReference w:type="default" r:id="rId1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20852" w14:textId="77777777" w:rsidR="009C5765" w:rsidRDefault="009C5765">
      <w:pPr>
        <w:spacing w:after="0" w:line="240" w:lineRule="auto"/>
      </w:pPr>
      <w:r>
        <w:separator/>
      </w:r>
    </w:p>
  </w:endnote>
  <w:endnote w:type="continuationSeparator" w:id="0">
    <w:p w14:paraId="1F1ECBDC" w14:textId="77777777" w:rsidR="009C5765" w:rsidRDefault="009C5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311185"/>
      <w:docPartObj>
        <w:docPartGallery w:val="Page Numbers (Bottom of Page)"/>
        <w:docPartUnique/>
      </w:docPartObj>
    </w:sdtPr>
    <w:sdtEndPr>
      <w:rPr>
        <w:noProof/>
      </w:rPr>
    </w:sdtEndPr>
    <w:sdtContent>
      <w:p w14:paraId="6A0A032B" w14:textId="77777777" w:rsidR="005A7869" w:rsidRDefault="00267E22">
        <w:pPr>
          <w:pStyle w:val="Footer"/>
        </w:pPr>
        <w:r>
          <w:fldChar w:fldCharType="begin"/>
        </w:r>
        <w:r>
          <w:instrText xml:space="preserve"> PAGE   \* MERGEFORMAT </w:instrText>
        </w:r>
        <w:r>
          <w:fldChar w:fldCharType="separate"/>
        </w:r>
        <w:r>
          <w:rPr>
            <w:noProof/>
          </w:rPr>
          <w:t>57</w:t>
        </w:r>
        <w:r>
          <w:rPr>
            <w:noProof/>
          </w:rPr>
          <w:fldChar w:fldCharType="end"/>
        </w:r>
      </w:p>
    </w:sdtContent>
  </w:sdt>
  <w:p w14:paraId="1D28660F" w14:textId="77777777" w:rsidR="005A7869" w:rsidRDefault="009C57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515C56" w14:textId="77777777" w:rsidR="009C5765" w:rsidRDefault="009C5765">
      <w:pPr>
        <w:spacing w:after="0" w:line="240" w:lineRule="auto"/>
      </w:pPr>
      <w:r>
        <w:separator/>
      </w:r>
    </w:p>
  </w:footnote>
  <w:footnote w:type="continuationSeparator" w:id="0">
    <w:p w14:paraId="18C8BF69" w14:textId="77777777" w:rsidR="009C5765" w:rsidRDefault="009C57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4105DC"/>
    <w:multiLevelType w:val="hybridMultilevel"/>
    <w:tmpl w:val="31F4EB2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67E22"/>
    <w:rsid w:val="00182B46"/>
    <w:rsid w:val="00214ECD"/>
    <w:rsid w:val="00267E22"/>
    <w:rsid w:val="00491D80"/>
    <w:rsid w:val="006F1EBB"/>
    <w:rsid w:val="008B6B6E"/>
    <w:rsid w:val="00930AD1"/>
    <w:rsid w:val="009C5765"/>
    <w:rsid w:val="00A22211"/>
    <w:rsid w:val="00C96FA0"/>
    <w:rsid w:val="00D52116"/>
    <w:rsid w:val="00FA00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99796"/>
  <w15:chartTrackingRefBased/>
  <w15:docId w15:val="{ABF67FA3-C5A6-4DF2-8C64-083D9210E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E22"/>
    <w:pPr>
      <w:spacing w:after="200" w:line="480" w:lineRule="auto"/>
      <w:jc w:val="both"/>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7E22"/>
    <w:rPr>
      <w:color w:val="0000FF"/>
      <w:u w:val="single"/>
    </w:rPr>
  </w:style>
  <w:style w:type="character" w:styleId="CommentReference">
    <w:name w:val="annotation reference"/>
    <w:basedOn w:val="DefaultParagraphFont"/>
    <w:uiPriority w:val="99"/>
    <w:semiHidden/>
    <w:unhideWhenUsed/>
    <w:rsid w:val="00267E22"/>
    <w:rPr>
      <w:sz w:val="16"/>
      <w:szCs w:val="16"/>
    </w:rPr>
  </w:style>
  <w:style w:type="paragraph" w:styleId="CommentText">
    <w:name w:val="annotation text"/>
    <w:basedOn w:val="Normal"/>
    <w:link w:val="CommentTextChar"/>
    <w:uiPriority w:val="99"/>
    <w:unhideWhenUsed/>
    <w:rsid w:val="00267E22"/>
    <w:pPr>
      <w:spacing w:line="240" w:lineRule="auto"/>
    </w:pPr>
    <w:rPr>
      <w:sz w:val="20"/>
      <w:szCs w:val="20"/>
    </w:rPr>
  </w:style>
  <w:style w:type="character" w:customStyle="1" w:styleId="CommentTextChar">
    <w:name w:val="Comment Text Char"/>
    <w:basedOn w:val="DefaultParagraphFont"/>
    <w:link w:val="CommentText"/>
    <w:uiPriority w:val="99"/>
    <w:rsid w:val="00267E22"/>
    <w:rPr>
      <w:rFonts w:eastAsiaTheme="minorEastAsia"/>
      <w:sz w:val="20"/>
      <w:szCs w:val="20"/>
    </w:rPr>
  </w:style>
  <w:style w:type="paragraph" w:styleId="BalloonText">
    <w:name w:val="Balloon Text"/>
    <w:basedOn w:val="Normal"/>
    <w:link w:val="BalloonTextChar"/>
    <w:uiPriority w:val="99"/>
    <w:semiHidden/>
    <w:unhideWhenUsed/>
    <w:rsid w:val="00267E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E22"/>
    <w:rPr>
      <w:rFonts w:ascii="Segoe UI" w:eastAsiaTheme="minorEastAsia" w:hAnsi="Segoe UI" w:cs="Segoe UI"/>
      <w:sz w:val="18"/>
      <w:szCs w:val="18"/>
    </w:rPr>
  </w:style>
  <w:style w:type="character" w:styleId="LineNumber">
    <w:name w:val="line number"/>
    <w:basedOn w:val="DefaultParagraphFont"/>
    <w:uiPriority w:val="99"/>
    <w:semiHidden/>
    <w:unhideWhenUsed/>
    <w:rsid w:val="00267E22"/>
  </w:style>
  <w:style w:type="paragraph" w:styleId="ListParagraph">
    <w:name w:val="List Paragraph"/>
    <w:basedOn w:val="Normal"/>
    <w:uiPriority w:val="34"/>
    <w:qFormat/>
    <w:rsid w:val="00267E22"/>
    <w:pPr>
      <w:ind w:left="720"/>
      <w:contextualSpacing/>
    </w:pPr>
  </w:style>
  <w:style w:type="character" w:customStyle="1" w:styleId="il">
    <w:name w:val="il"/>
    <w:basedOn w:val="DefaultParagraphFont"/>
    <w:rsid w:val="00267E22"/>
  </w:style>
  <w:style w:type="paragraph" w:customStyle="1" w:styleId="Normal1">
    <w:name w:val="Normal1"/>
    <w:uiPriority w:val="99"/>
    <w:rsid w:val="00267E22"/>
    <w:pPr>
      <w:spacing w:after="200" w:line="276" w:lineRule="auto"/>
    </w:pPr>
    <w:rPr>
      <w:rFonts w:ascii="Calibri" w:eastAsia="Calibri" w:hAnsi="Calibri" w:cs="Calibri"/>
      <w:color w:val="000000"/>
      <w:lang w:eastAsia="en-GB"/>
    </w:rPr>
  </w:style>
  <w:style w:type="paragraph" w:styleId="CommentSubject">
    <w:name w:val="annotation subject"/>
    <w:basedOn w:val="CommentText"/>
    <w:next w:val="CommentText"/>
    <w:link w:val="CommentSubjectChar"/>
    <w:uiPriority w:val="99"/>
    <w:semiHidden/>
    <w:unhideWhenUsed/>
    <w:rsid w:val="00267E22"/>
    <w:rPr>
      <w:b/>
      <w:bCs/>
    </w:rPr>
  </w:style>
  <w:style w:type="character" w:customStyle="1" w:styleId="CommentSubjectChar">
    <w:name w:val="Comment Subject Char"/>
    <w:basedOn w:val="CommentTextChar"/>
    <w:link w:val="CommentSubject"/>
    <w:uiPriority w:val="99"/>
    <w:semiHidden/>
    <w:rsid w:val="00267E22"/>
    <w:rPr>
      <w:rFonts w:eastAsiaTheme="minorEastAsia"/>
      <w:b/>
      <w:bCs/>
      <w:sz w:val="20"/>
      <w:szCs w:val="20"/>
    </w:rPr>
  </w:style>
  <w:style w:type="character" w:styleId="Emphasis">
    <w:name w:val="Emphasis"/>
    <w:basedOn w:val="DefaultParagraphFont"/>
    <w:uiPriority w:val="20"/>
    <w:qFormat/>
    <w:rsid w:val="00267E22"/>
    <w:rPr>
      <w:i/>
      <w:iCs/>
    </w:rPr>
  </w:style>
  <w:style w:type="paragraph" w:styleId="NoSpacing">
    <w:name w:val="No Spacing"/>
    <w:uiPriority w:val="1"/>
    <w:qFormat/>
    <w:rsid w:val="00267E22"/>
    <w:pPr>
      <w:spacing w:after="0" w:line="240" w:lineRule="auto"/>
    </w:pPr>
    <w:rPr>
      <w:rFonts w:eastAsiaTheme="minorEastAsia"/>
      <w:lang w:eastAsia="zh-CN"/>
    </w:rPr>
  </w:style>
  <w:style w:type="table" w:styleId="TableGrid">
    <w:name w:val="Table Grid"/>
    <w:basedOn w:val="TableNormal"/>
    <w:uiPriority w:val="39"/>
    <w:rsid w:val="00267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7E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7E22"/>
    <w:rPr>
      <w:rFonts w:eastAsiaTheme="minorEastAsia"/>
    </w:rPr>
  </w:style>
  <w:style w:type="paragraph" w:styleId="Footer">
    <w:name w:val="footer"/>
    <w:basedOn w:val="Normal"/>
    <w:link w:val="FooterChar"/>
    <w:uiPriority w:val="99"/>
    <w:unhideWhenUsed/>
    <w:rsid w:val="00267E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7E22"/>
    <w:rPr>
      <w:rFonts w:eastAsiaTheme="minorEastAsia"/>
    </w:rPr>
  </w:style>
  <w:style w:type="paragraph" w:customStyle="1" w:styleId="EndNoteBibliographyTitle">
    <w:name w:val="EndNote Bibliography Title"/>
    <w:basedOn w:val="Normal"/>
    <w:link w:val="EndNoteBibliographyTitleChar"/>
    <w:rsid w:val="00267E2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67E22"/>
    <w:rPr>
      <w:rFonts w:ascii="Calibri" w:eastAsiaTheme="minorEastAsia" w:hAnsi="Calibri" w:cs="Calibri"/>
      <w:noProof/>
      <w:lang w:val="en-US"/>
    </w:rPr>
  </w:style>
  <w:style w:type="paragraph" w:customStyle="1" w:styleId="EndNoteBibliography">
    <w:name w:val="EndNote Bibliography"/>
    <w:basedOn w:val="Normal"/>
    <w:link w:val="EndNoteBibliographyChar"/>
    <w:rsid w:val="00267E22"/>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67E22"/>
    <w:rPr>
      <w:rFonts w:ascii="Calibri" w:eastAsiaTheme="minorEastAsia" w:hAnsi="Calibri" w:cs="Calibri"/>
      <w:noProof/>
      <w:lang w:val="en-US"/>
    </w:rPr>
  </w:style>
  <w:style w:type="character" w:styleId="FollowedHyperlink">
    <w:name w:val="FollowedHyperlink"/>
    <w:basedOn w:val="DefaultParagraphFont"/>
    <w:uiPriority w:val="99"/>
    <w:semiHidden/>
    <w:unhideWhenUsed/>
    <w:rsid w:val="00267E22"/>
    <w:rPr>
      <w:color w:val="954F72" w:themeColor="followedHyperlink"/>
      <w:u w:val="single"/>
    </w:rPr>
  </w:style>
  <w:style w:type="character" w:customStyle="1" w:styleId="UnresolvedMention1">
    <w:name w:val="Unresolved Mention1"/>
    <w:basedOn w:val="DefaultParagraphFont"/>
    <w:uiPriority w:val="99"/>
    <w:semiHidden/>
    <w:unhideWhenUsed/>
    <w:rsid w:val="00267E22"/>
    <w:rPr>
      <w:color w:val="605E5C"/>
      <w:shd w:val="clear" w:color="auto" w:fill="E1DFDD"/>
    </w:rPr>
  </w:style>
  <w:style w:type="paragraph" w:styleId="Revision">
    <w:name w:val="Revision"/>
    <w:hidden/>
    <w:uiPriority w:val="99"/>
    <w:semiHidden/>
    <w:rsid w:val="00267E22"/>
    <w:pPr>
      <w:spacing w:after="0" w:line="240" w:lineRule="auto"/>
    </w:pPr>
    <w:rPr>
      <w:rFonts w:eastAsiaTheme="minorEastAsia"/>
    </w:rPr>
  </w:style>
  <w:style w:type="character" w:customStyle="1" w:styleId="UnresolvedMention2">
    <w:name w:val="Unresolved Mention2"/>
    <w:basedOn w:val="DefaultParagraphFont"/>
    <w:uiPriority w:val="99"/>
    <w:semiHidden/>
    <w:unhideWhenUsed/>
    <w:rsid w:val="00267E22"/>
    <w:rPr>
      <w:color w:val="605E5C"/>
      <w:shd w:val="clear" w:color="auto" w:fill="E1DFDD"/>
    </w:rPr>
  </w:style>
  <w:style w:type="table" w:styleId="TableGridLight">
    <w:name w:val="Grid Table Light"/>
    <w:basedOn w:val="TableNormal"/>
    <w:uiPriority w:val="40"/>
    <w:rsid w:val="00267E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67E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267E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67E22"/>
    <w:rPr>
      <w:b/>
      <w:bCs/>
    </w:rPr>
  </w:style>
  <w:style w:type="paragraph" w:styleId="HTMLPreformatted">
    <w:name w:val="HTML Preformatted"/>
    <w:basedOn w:val="Normal"/>
    <w:link w:val="HTMLPreformattedChar"/>
    <w:uiPriority w:val="99"/>
    <w:semiHidden/>
    <w:unhideWhenUsed/>
    <w:rsid w:val="00267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67E22"/>
    <w:rPr>
      <w:rFonts w:ascii="Courier New" w:eastAsia="Times New Roman" w:hAnsi="Courier New" w:cs="Courier New"/>
      <w:sz w:val="20"/>
      <w:szCs w:val="20"/>
      <w:lang w:eastAsia="en-GB"/>
    </w:rPr>
  </w:style>
  <w:style w:type="character" w:customStyle="1" w:styleId="gd15mcfceub">
    <w:name w:val="gd15mcfceub"/>
    <w:basedOn w:val="DefaultParagraphFont"/>
    <w:rsid w:val="00267E22"/>
  </w:style>
  <w:style w:type="character" w:customStyle="1" w:styleId="UnresolvedMention3">
    <w:name w:val="Unresolved Mention3"/>
    <w:basedOn w:val="DefaultParagraphFont"/>
    <w:uiPriority w:val="99"/>
    <w:semiHidden/>
    <w:unhideWhenUsed/>
    <w:rsid w:val="00267E22"/>
    <w:rPr>
      <w:color w:val="605E5C"/>
      <w:shd w:val="clear" w:color="auto" w:fill="E1DFDD"/>
    </w:rPr>
  </w:style>
  <w:style w:type="character" w:styleId="UnresolvedMention">
    <w:name w:val="Unresolved Mention"/>
    <w:basedOn w:val="DefaultParagraphFont"/>
    <w:uiPriority w:val="99"/>
    <w:semiHidden/>
    <w:unhideWhenUsed/>
    <w:rsid w:val="00267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12824</Words>
  <Characters>73097</Characters>
  <Application>Microsoft Office Word</Application>
  <DocSecurity>0</DocSecurity>
  <Lines>609</Lines>
  <Paragraphs>171</Paragraphs>
  <ScaleCrop>false</ScaleCrop>
  <Company/>
  <LinksUpToDate>false</LinksUpToDate>
  <CharactersWithSpaces>85750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2021-02-11T11:11:00Z</dcterms:created>
  <dcterms:modified xsi:type="dcterms:W3CDTF">2021-02-12T13:44:00Z</dcterms:modified>
</cp:coreProperties>
</file>