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4B9D" w14:textId="006912B1" w:rsidR="00A34FAA" w:rsidRPr="00B12B3B" w:rsidRDefault="00AB3771" w:rsidP="00A34FAA">
      <w:pPr>
        <w:jc w:val="both"/>
        <w:rPr>
          <w:rFonts w:ascii="Calibri" w:hAnsi="Calibri" w:cs="Calibri"/>
          <w:b/>
          <w:bCs/>
          <w:sz w:val="28"/>
          <w:szCs w:val="28"/>
        </w:rPr>
      </w:pPr>
      <w:bookmarkStart w:id="0" w:name="_Hlk64032896"/>
      <w:r w:rsidRPr="00B12B3B">
        <w:rPr>
          <w:rFonts w:ascii="Calibri" w:hAnsi="Calibri" w:cs="Calibri"/>
          <w:b/>
          <w:bCs/>
          <w:sz w:val="28"/>
          <w:szCs w:val="28"/>
        </w:rPr>
        <w:t xml:space="preserve">Assessment of </w:t>
      </w:r>
      <w:r w:rsidR="00D13458" w:rsidRPr="00B12B3B">
        <w:rPr>
          <w:rFonts w:ascii="Calibri" w:hAnsi="Calibri" w:cs="Calibri"/>
          <w:b/>
          <w:bCs/>
          <w:sz w:val="28"/>
          <w:szCs w:val="28"/>
        </w:rPr>
        <w:t>Cytokines</w:t>
      </w:r>
      <w:r w:rsidRPr="00B12B3B">
        <w:rPr>
          <w:rFonts w:ascii="Calibri" w:hAnsi="Calibri" w:cs="Calibri"/>
          <w:b/>
          <w:bCs/>
          <w:sz w:val="28"/>
          <w:szCs w:val="28"/>
        </w:rPr>
        <w:t>,</w:t>
      </w:r>
      <w:r w:rsidR="00D13458" w:rsidRPr="00B12B3B">
        <w:rPr>
          <w:rFonts w:ascii="Calibri" w:hAnsi="Calibri" w:cs="Calibri"/>
          <w:b/>
          <w:bCs/>
          <w:sz w:val="28"/>
          <w:szCs w:val="28"/>
        </w:rPr>
        <w:t xml:space="preserve"> microRNA </w:t>
      </w:r>
      <w:r w:rsidRPr="00B12B3B">
        <w:rPr>
          <w:rFonts w:ascii="Calibri" w:hAnsi="Calibri" w:cs="Calibri"/>
          <w:b/>
          <w:bCs/>
          <w:sz w:val="28"/>
          <w:szCs w:val="28"/>
        </w:rPr>
        <w:t xml:space="preserve">and patient related outcome measures </w:t>
      </w:r>
      <w:r w:rsidR="00D13458" w:rsidRPr="00B12B3B">
        <w:rPr>
          <w:rFonts w:ascii="Calibri" w:hAnsi="Calibri" w:cs="Calibri"/>
          <w:b/>
          <w:bCs/>
          <w:sz w:val="28"/>
          <w:szCs w:val="28"/>
        </w:rPr>
        <w:t xml:space="preserve">in </w:t>
      </w:r>
      <w:r w:rsidR="00A34FAA" w:rsidRPr="00B12B3B">
        <w:rPr>
          <w:rFonts w:ascii="Calibri" w:hAnsi="Calibri" w:cs="Calibri"/>
          <w:b/>
          <w:bCs/>
          <w:sz w:val="28"/>
          <w:szCs w:val="28"/>
        </w:rPr>
        <w:t>Conversion</w:t>
      </w:r>
      <w:r w:rsidR="00D13458" w:rsidRPr="00B12B3B">
        <w:rPr>
          <w:rFonts w:ascii="Calibri" w:hAnsi="Calibri" w:cs="Calibri"/>
          <w:b/>
          <w:bCs/>
          <w:sz w:val="28"/>
          <w:szCs w:val="28"/>
        </w:rPr>
        <w:t xml:space="preserve"> Disorder/Functional Neurological Disorder (CD/FND): the </w:t>
      </w:r>
      <w:r w:rsidR="00A34FAA" w:rsidRPr="00B12B3B">
        <w:rPr>
          <w:rFonts w:ascii="Calibri" w:hAnsi="Calibri" w:cs="Calibri"/>
          <w:b/>
          <w:bCs/>
          <w:sz w:val="28"/>
          <w:szCs w:val="28"/>
        </w:rPr>
        <w:t xml:space="preserve">CANDO </w:t>
      </w:r>
      <w:r w:rsidR="009D7392" w:rsidRPr="00B12B3B">
        <w:rPr>
          <w:rFonts w:ascii="Calibri" w:hAnsi="Calibri" w:cs="Calibri"/>
          <w:b/>
          <w:bCs/>
          <w:sz w:val="28"/>
          <w:szCs w:val="28"/>
        </w:rPr>
        <w:t xml:space="preserve">clinical </w:t>
      </w:r>
      <w:r w:rsidR="00A34FAA" w:rsidRPr="00B12B3B">
        <w:rPr>
          <w:rFonts w:ascii="Calibri" w:hAnsi="Calibri" w:cs="Calibri"/>
          <w:b/>
          <w:bCs/>
          <w:sz w:val="28"/>
          <w:szCs w:val="28"/>
        </w:rPr>
        <w:t>feasibility study.</w:t>
      </w:r>
    </w:p>
    <w:bookmarkEnd w:id="0"/>
    <w:p w14:paraId="6C858D6E" w14:textId="5A8F9EFC" w:rsidR="00A34FAA" w:rsidRPr="00B12B3B" w:rsidRDefault="00A34FAA" w:rsidP="00A34FAA">
      <w:pPr>
        <w:jc w:val="both"/>
        <w:rPr>
          <w:rFonts w:ascii="Calibri" w:hAnsi="Calibri" w:cs="Calibri"/>
          <w:b/>
          <w:bCs/>
          <w:sz w:val="28"/>
          <w:szCs w:val="28"/>
        </w:rPr>
      </w:pPr>
    </w:p>
    <w:p w14:paraId="1C7412E5" w14:textId="02743655" w:rsidR="00C8406D" w:rsidRPr="00B12B3B" w:rsidRDefault="00A34FAA" w:rsidP="002B7229">
      <w:pPr>
        <w:jc w:val="both"/>
        <w:rPr>
          <w:rFonts w:ascii="Calibri" w:hAnsi="Calibri" w:cs="Calibri"/>
          <w:sz w:val="28"/>
          <w:szCs w:val="28"/>
        </w:rPr>
      </w:pPr>
      <w:r w:rsidRPr="00B12B3B">
        <w:rPr>
          <w:rFonts w:ascii="Calibri" w:hAnsi="Calibri" w:cs="Calibri"/>
          <w:sz w:val="28"/>
          <w:szCs w:val="28"/>
        </w:rPr>
        <w:t xml:space="preserve">Christina van der Feltz-Cornelis, </w:t>
      </w:r>
      <w:r w:rsidR="00FF21AE" w:rsidRPr="00B12B3B">
        <w:rPr>
          <w:rFonts w:ascii="Calibri" w:hAnsi="Calibri" w:cs="Calibri"/>
          <w:sz w:val="28"/>
          <w:szCs w:val="28"/>
        </w:rPr>
        <w:t xml:space="preserve">Sally </w:t>
      </w:r>
      <w:proofErr w:type="spellStart"/>
      <w:r w:rsidR="00FF21AE" w:rsidRPr="00B12B3B">
        <w:rPr>
          <w:rFonts w:ascii="Calibri" w:hAnsi="Calibri" w:cs="Calibri"/>
          <w:sz w:val="28"/>
          <w:szCs w:val="28"/>
        </w:rPr>
        <w:t>Brabyn</w:t>
      </w:r>
      <w:proofErr w:type="spellEnd"/>
      <w:r w:rsidR="00FF21AE" w:rsidRPr="00B12B3B">
        <w:rPr>
          <w:rFonts w:ascii="Calibri" w:hAnsi="Calibri" w:cs="Calibri"/>
          <w:sz w:val="28"/>
          <w:szCs w:val="28"/>
        </w:rPr>
        <w:t xml:space="preserve">, </w:t>
      </w:r>
      <w:r w:rsidR="00B345E9" w:rsidRPr="00B12B3B">
        <w:rPr>
          <w:rFonts w:ascii="Calibri" w:hAnsi="Calibri" w:cs="Calibri"/>
          <w:sz w:val="28"/>
          <w:szCs w:val="28"/>
        </w:rPr>
        <w:t xml:space="preserve">Jonathan Ratcliff, </w:t>
      </w:r>
      <w:r w:rsidR="002B7229" w:rsidRPr="00B12B3B">
        <w:rPr>
          <w:rFonts w:ascii="Calibri" w:hAnsi="Calibri" w:cs="Calibri"/>
          <w:sz w:val="28"/>
          <w:szCs w:val="28"/>
        </w:rPr>
        <w:t xml:space="preserve">Danielle Varley, </w:t>
      </w:r>
      <w:r w:rsidR="00CF56E0" w:rsidRPr="00B12B3B">
        <w:rPr>
          <w:rFonts w:ascii="Calibri" w:hAnsi="Calibri" w:cs="Calibri"/>
          <w:sz w:val="28"/>
          <w:szCs w:val="28"/>
        </w:rPr>
        <w:t xml:space="preserve">Victoria </w:t>
      </w:r>
      <w:proofErr w:type="spellStart"/>
      <w:r w:rsidR="00CF56E0" w:rsidRPr="00B12B3B">
        <w:rPr>
          <w:rFonts w:ascii="Calibri" w:hAnsi="Calibri" w:cs="Calibri"/>
          <w:sz w:val="28"/>
          <w:szCs w:val="28"/>
        </w:rPr>
        <w:t>Allgar</w:t>
      </w:r>
      <w:proofErr w:type="spellEnd"/>
      <w:r w:rsidR="00CF56E0" w:rsidRPr="00B12B3B">
        <w:rPr>
          <w:rFonts w:ascii="Calibri" w:hAnsi="Calibri" w:cs="Calibri"/>
          <w:sz w:val="28"/>
          <w:szCs w:val="28"/>
        </w:rPr>
        <w:t xml:space="preserve">, </w:t>
      </w:r>
      <w:r w:rsidR="00C57406" w:rsidRPr="00B12B3B">
        <w:rPr>
          <w:rFonts w:ascii="Calibri" w:hAnsi="Calibri" w:cs="Calibri"/>
          <w:sz w:val="28"/>
          <w:szCs w:val="28"/>
        </w:rPr>
        <w:t xml:space="preserve">Simon </w:t>
      </w:r>
      <w:proofErr w:type="spellStart"/>
      <w:r w:rsidR="00C57406" w:rsidRPr="00B12B3B">
        <w:rPr>
          <w:rFonts w:ascii="Calibri" w:hAnsi="Calibri" w:cs="Calibri"/>
          <w:sz w:val="28"/>
          <w:szCs w:val="28"/>
        </w:rPr>
        <w:t>Gilbody</w:t>
      </w:r>
      <w:proofErr w:type="spellEnd"/>
      <w:r w:rsidR="00C12A98" w:rsidRPr="00B12B3B">
        <w:rPr>
          <w:rFonts w:ascii="Calibri" w:hAnsi="Calibri" w:cs="Calibri"/>
          <w:sz w:val="28"/>
          <w:szCs w:val="28"/>
        </w:rPr>
        <w:t>,</w:t>
      </w:r>
      <w:r w:rsidR="00AF3C6E" w:rsidRPr="00B12B3B">
        <w:rPr>
          <w:rFonts w:ascii="Calibri" w:hAnsi="Calibri" w:cs="Calibri"/>
          <w:sz w:val="28"/>
          <w:szCs w:val="28"/>
        </w:rPr>
        <w:t xml:space="preserve"> Chris Clarke, </w:t>
      </w:r>
      <w:r w:rsidR="00DC5DA8" w:rsidRPr="00B12B3B">
        <w:rPr>
          <w:rFonts w:ascii="Calibri" w:hAnsi="Calibri" w:cs="Calibri"/>
          <w:sz w:val="28"/>
          <w:szCs w:val="28"/>
        </w:rPr>
        <w:t>Dimitris Lagos</w:t>
      </w:r>
      <w:r w:rsidR="00B345E9" w:rsidRPr="00B12B3B">
        <w:rPr>
          <w:rFonts w:ascii="Calibri" w:hAnsi="Calibri" w:cs="Calibri"/>
          <w:sz w:val="28"/>
          <w:szCs w:val="28"/>
        </w:rPr>
        <w:t>.</w:t>
      </w:r>
    </w:p>
    <w:p w14:paraId="6BAC6E63" w14:textId="77777777" w:rsidR="00C8406D" w:rsidRPr="00B12B3B" w:rsidRDefault="00C8406D" w:rsidP="002B7229">
      <w:pPr>
        <w:jc w:val="both"/>
        <w:rPr>
          <w:rFonts w:ascii="Calibri" w:hAnsi="Calibri" w:cs="Calibri"/>
          <w:sz w:val="28"/>
          <w:szCs w:val="28"/>
        </w:rPr>
      </w:pPr>
    </w:p>
    <w:p w14:paraId="31926355" w14:textId="2C058AD9" w:rsidR="00A34FAA" w:rsidRPr="00B12B3B" w:rsidRDefault="00A34FAA" w:rsidP="002B7229">
      <w:pPr>
        <w:jc w:val="both"/>
        <w:rPr>
          <w:rFonts w:ascii="Calibri" w:hAnsi="Calibri" w:cs="Calibri"/>
          <w:b/>
          <w:sz w:val="28"/>
          <w:szCs w:val="28"/>
        </w:rPr>
      </w:pPr>
      <w:r w:rsidRPr="00B12B3B">
        <w:rPr>
          <w:rFonts w:ascii="Calibri" w:hAnsi="Calibri" w:cs="Calibri"/>
          <w:b/>
          <w:sz w:val="28"/>
          <w:szCs w:val="28"/>
        </w:rPr>
        <w:br w:type="page"/>
      </w:r>
    </w:p>
    <w:p w14:paraId="7E4B06E5" w14:textId="77777777" w:rsidR="00304886" w:rsidRPr="00B12B3B" w:rsidRDefault="00304886">
      <w:pPr>
        <w:spacing w:after="200" w:line="276" w:lineRule="auto"/>
        <w:rPr>
          <w:rFonts w:ascii="Calibri" w:hAnsi="Calibri" w:cs="Calibri"/>
          <w:b/>
          <w:sz w:val="28"/>
          <w:szCs w:val="28"/>
        </w:rPr>
      </w:pPr>
      <w:r w:rsidRPr="00B12B3B">
        <w:rPr>
          <w:rFonts w:ascii="Calibri" w:hAnsi="Calibri" w:cs="Calibri"/>
          <w:b/>
          <w:sz w:val="28"/>
          <w:szCs w:val="28"/>
        </w:rPr>
        <w:lastRenderedPageBreak/>
        <w:t>Abstract</w:t>
      </w:r>
    </w:p>
    <w:p w14:paraId="069703A7" w14:textId="77777777" w:rsidR="00304886" w:rsidRPr="00B12B3B" w:rsidRDefault="00304886">
      <w:pPr>
        <w:spacing w:after="200" w:line="276" w:lineRule="auto"/>
        <w:rPr>
          <w:rFonts w:ascii="Calibri" w:hAnsi="Calibri" w:cs="Calibri"/>
          <w:b/>
          <w:sz w:val="28"/>
          <w:szCs w:val="28"/>
        </w:rPr>
      </w:pPr>
    </w:p>
    <w:p w14:paraId="63358BFA" w14:textId="48CFF7FD" w:rsidR="00C543E8" w:rsidRPr="00B12B3B" w:rsidRDefault="00304886" w:rsidP="00C543E8">
      <w:pPr>
        <w:pStyle w:val="Lijstalinea"/>
        <w:shd w:val="clear" w:color="auto" w:fill="FFFFFF"/>
        <w:spacing w:after="160" w:line="360" w:lineRule="auto"/>
        <w:ind w:left="0"/>
        <w:jc w:val="both"/>
        <w:rPr>
          <w:rFonts w:ascii="Calibri" w:hAnsi="Calibri" w:cs="Calibri"/>
        </w:rPr>
      </w:pPr>
      <w:r w:rsidRPr="00B12B3B">
        <w:rPr>
          <w:rFonts w:ascii="Calibri" w:hAnsi="Calibri" w:cs="Calibri"/>
          <w:b/>
        </w:rPr>
        <w:t xml:space="preserve">Background: </w:t>
      </w:r>
      <w:r w:rsidRPr="00B12B3B">
        <w:rPr>
          <w:rFonts w:ascii="Calibri" w:hAnsi="Calibri" w:cs="Calibri"/>
          <w:bCs/>
        </w:rPr>
        <w:t xml:space="preserve">Conversion disorder/functional neurological disorder (CD/FND) occurs often in neurological settings and </w:t>
      </w:r>
      <w:r w:rsidRPr="00B12B3B">
        <w:rPr>
          <w:rFonts w:asciiTheme="minorHAnsi" w:hAnsiTheme="minorHAnsi" w:cstheme="minorHAnsi"/>
        </w:rPr>
        <w:t xml:space="preserve">can lead to long-term distress, disability and demand on health care services. Systemic low-grade inflammation might play a role, however, the pathogenic mechanism is still unknown.  </w:t>
      </w:r>
      <w:r w:rsidRPr="00B12B3B">
        <w:rPr>
          <w:rFonts w:asciiTheme="minorHAnsi" w:hAnsiTheme="minorHAnsi" w:cstheme="minorHAnsi"/>
          <w:b/>
          <w:bCs/>
        </w:rPr>
        <w:t>Aim:</w:t>
      </w:r>
      <w:r w:rsidRPr="00B12B3B">
        <w:rPr>
          <w:rFonts w:asciiTheme="minorHAnsi" w:hAnsiTheme="minorHAnsi" w:cstheme="minorHAnsi"/>
        </w:rPr>
        <w:t xml:space="preserve"> </w:t>
      </w:r>
      <w:r w:rsidRPr="00B12B3B">
        <w:rPr>
          <w:rFonts w:ascii="Calibri" w:hAnsi="Calibri" w:cs="Calibri"/>
          <w:b/>
        </w:rPr>
        <w:t xml:space="preserve"> </w:t>
      </w:r>
      <w:r w:rsidR="00C543E8" w:rsidRPr="00B12B3B">
        <w:rPr>
          <w:rFonts w:ascii="Calibri" w:hAnsi="Calibri" w:cs="Calibri"/>
          <w:bCs/>
        </w:rPr>
        <w:t>1)</w:t>
      </w:r>
      <w:r w:rsidR="00C543E8" w:rsidRPr="00B12B3B">
        <w:rPr>
          <w:rFonts w:ascii="Calibri" w:hAnsi="Calibri" w:cs="Calibri"/>
          <w:b/>
        </w:rPr>
        <w:t xml:space="preserve"> </w:t>
      </w:r>
      <w:r w:rsidRPr="00B12B3B">
        <w:rPr>
          <w:rFonts w:asciiTheme="minorHAnsi" w:hAnsiTheme="minorHAnsi" w:cstheme="minorHAnsi"/>
        </w:rPr>
        <w:t xml:space="preserve">To explore the feasibility to establish and assess a cohort of CD/FND with motor symptoms, involving persons with lived experience(PPI). </w:t>
      </w:r>
      <w:r w:rsidR="00C543E8" w:rsidRPr="00B12B3B">
        <w:rPr>
          <w:rFonts w:asciiTheme="minorHAnsi" w:hAnsiTheme="minorHAnsi" w:cstheme="minorHAnsi"/>
        </w:rPr>
        <w:t xml:space="preserve">2) </w:t>
      </w:r>
      <w:r w:rsidRPr="00B12B3B">
        <w:rPr>
          <w:rFonts w:asciiTheme="minorHAnsi" w:hAnsiTheme="minorHAnsi" w:cstheme="minorHAnsi"/>
        </w:rPr>
        <w:t xml:space="preserve">To generate proof of concept regarding a possible role for cytokines, microRNA, cortisol levels and neurocognitive symptoms in patients with motor CD/FND. </w:t>
      </w:r>
      <w:r w:rsidRPr="00B12B3B">
        <w:rPr>
          <w:rFonts w:asciiTheme="minorHAnsi" w:hAnsiTheme="minorHAnsi" w:cstheme="minorHAnsi"/>
          <w:b/>
          <w:bCs/>
        </w:rPr>
        <w:t>Method:</w:t>
      </w:r>
      <w:r w:rsidRPr="00B12B3B">
        <w:rPr>
          <w:rFonts w:asciiTheme="minorHAnsi" w:hAnsiTheme="minorHAnsi" w:cstheme="minorHAnsi"/>
        </w:rPr>
        <w:t xml:space="preserve"> </w:t>
      </w:r>
      <w:r w:rsidR="00A04EE3" w:rsidRPr="00B12B3B">
        <w:rPr>
          <w:rFonts w:asciiTheme="minorHAnsi" w:hAnsiTheme="minorHAnsi" w:cstheme="minorHAnsi"/>
        </w:rPr>
        <w:t>F</w:t>
      </w:r>
      <w:r w:rsidRPr="00B12B3B">
        <w:rPr>
          <w:rFonts w:asciiTheme="minorHAnsi" w:hAnsiTheme="minorHAnsi" w:cstheme="minorHAnsi"/>
        </w:rPr>
        <w:t xml:space="preserve">easibility study. </w:t>
      </w:r>
      <w:r w:rsidRPr="00B12B3B">
        <w:rPr>
          <w:rFonts w:asciiTheme="minorHAnsi" w:hAnsiTheme="minorHAnsi" w:cstheme="minorHAnsi"/>
          <w:b/>
          <w:bCs/>
        </w:rPr>
        <w:t>Results:</w:t>
      </w:r>
      <w:r w:rsidRPr="00B12B3B">
        <w:rPr>
          <w:rFonts w:asciiTheme="minorHAnsi" w:hAnsiTheme="minorHAnsi" w:cstheme="minorHAnsi"/>
        </w:rPr>
        <w:t xml:space="preserve"> </w:t>
      </w:r>
      <w:r w:rsidR="000F777A" w:rsidRPr="00B12B3B">
        <w:rPr>
          <w:rFonts w:asciiTheme="minorHAnsi" w:hAnsiTheme="minorHAnsi" w:cstheme="minorHAnsi"/>
        </w:rPr>
        <w:t>T</w:t>
      </w:r>
      <w:r w:rsidR="00C543E8" w:rsidRPr="00B12B3B">
        <w:rPr>
          <w:rFonts w:asciiTheme="minorHAnsi" w:hAnsiTheme="minorHAnsi" w:cstheme="minorHAnsi"/>
        </w:rPr>
        <w:t xml:space="preserve">he </w:t>
      </w:r>
      <w:r w:rsidR="00A04EE3" w:rsidRPr="00B12B3B">
        <w:rPr>
          <w:rFonts w:asciiTheme="minorHAnsi" w:hAnsiTheme="minorHAnsi" w:cstheme="minorHAnsi"/>
        </w:rPr>
        <w:t>study</w:t>
      </w:r>
      <w:r w:rsidR="00C543E8" w:rsidRPr="00B12B3B">
        <w:rPr>
          <w:rFonts w:asciiTheme="minorHAnsi" w:hAnsiTheme="minorHAnsi" w:cstheme="minorHAnsi"/>
        </w:rPr>
        <w:t xml:space="preserve"> showed active involvement of patients despite high clinical illness burden and disability, neurocognitive symptoms, childhood adverse experiences</w:t>
      </w:r>
      <w:r w:rsidR="00B55FF7" w:rsidRPr="00B12B3B">
        <w:rPr>
          <w:rFonts w:asciiTheme="minorHAnsi" w:hAnsiTheme="minorHAnsi" w:cstheme="minorHAnsi"/>
        </w:rPr>
        <w:t xml:space="preserve"> </w:t>
      </w:r>
      <w:r w:rsidR="00C543E8" w:rsidRPr="00B12B3B">
        <w:rPr>
          <w:rFonts w:asciiTheme="minorHAnsi" w:hAnsiTheme="minorHAnsi" w:cstheme="minorHAnsi"/>
        </w:rPr>
        <w:t xml:space="preserve">(ACE) and current life events. The </w:t>
      </w:r>
      <w:r w:rsidR="00A04EE3" w:rsidRPr="00B12B3B">
        <w:rPr>
          <w:rFonts w:asciiTheme="minorHAnsi" w:hAnsiTheme="minorHAnsi" w:cstheme="minorHAnsi"/>
        </w:rPr>
        <w:t>study</w:t>
      </w:r>
      <w:r w:rsidR="00C543E8" w:rsidRPr="00B12B3B">
        <w:rPr>
          <w:rFonts w:asciiTheme="minorHAnsi" w:hAnsiTheme="minorHAnsi" w:cstheme="minorHAnsi"/>
        </w:rPr>
        <w:t xml:space="preserve"> provided valuable knowledge regarding the feasibility of conducting a study in these patients that will inform future study phases. In the sample there were elevated levels of IL6, IL12, IL17A, </w:t>
      </w:r>
      <w:proofErr w:type="spellStart"/>
      <w:r w:rsidR="00C543E8" w:rsidRPr="00B12B3B">
        <w:rPr>
          <w:rFonts w:asciiTheme="minorHAnsi" w:hAnsiTheme="minorHAnsi" w:cstheme="minorHAnsi"/>
        </w:rPr>
        <w:t>IFNg</w:t>
      </w:r>
      <w:proofErr w:type="spellEnd"/>
      <w:r w:rsidR="00C543E8" w:rsidRPr="00B12B3B">
        <w:rPr>
          <w:rFonts w:asciiTheme="minorHAnsi" w:hAnsiTheme="minorHAnsi" w:cstheme="minorHAnsi"/>
        </w:rPr>
        <w:t xml:space="preserve">, </w:t>
      </w:r>
      <w:proofErr w:type="spellStart"/>
      <w:r w:rsidR="00C543E8" w:rsidRPr="00B12B3B">
        <w:rPr>
          <w:rFonts w:asciiTheme="minorHAnsi" w:hAnsiTheme="minorHAnsi" w:cstheme="minorHAnsi"/>
        </w:rPr>
        <w:t>TNFa</w:t>
      </w:r>
      <w:proofErr w:type="spellEnd"/>
      <w:r w:rsidR="00C543E8" w:rsidRPr="00B12B3B">
        <w:rPr>
          <w:rFonts w:asciiTheme="minorHAnsi" w:hAnsiTheme="minorHAnsi" w:cstheme="minorHAnsi"/>
        </w:rPr>
        <w:t xml:space="preserve"> and VEGF-a, suggesting systemic low</w:t>
      </w:r>
      <w:r w:rsidR="00B55FF7" w:rsidRPr="00B12B3B">
        <w:rPr>
          <w:rFonts w:asciiTheme="minorHAnsi" w:hAnsiTheme="minorHAnsi" w:cstheme="minorHAnsi"/>
        </w:rPr>
        <w:t>-</w:t>
      </w:r>
      <w:r w:rsidR="00C543E8" w:rsidRPr="00B12B3B">
        <w:rPr>
          <w:rFonts w:asciiTheme="minorHAnsi" w:hAnsiTheme="minorHAnsi" w:cstheme="minorHAnsi"/>
        </w:rPr>
        <w:t xml:space="preserve">grade inflammation. Also, microRNAs involved in inflammation and vascular inflammation were correlated with </w:t>
      </w:r>
      <w:proofErr w:type="spellStart"/>
      <w:r w:rsidR="00C543E8" w:rsidRPr="00B12B3B">
        <w:rPr>
          <w:rFonts w:asciiTheme="minorHAnsi" w:hAnsiTheme="minorHAnsi" w:cstheme="minorHAnsi"/>
        </w:rPr>
        <w:t>TNFa</w:t>
      </w:r>
      <w:proofErr w:type="spellEnd"/>
      <w:r w:rsidR="00C543E8" w:rsidRPr="00B12B3B">
        <w:rPr>
          <w:rFonts w:asciiTheme="minorHAnsi" w:hAnsiTheme="minorHAnsi" w:cstheme="minorHAnsi"/>
        </w:rPr>
        <w:t xml:space="preserve"> and </w:t>
      </w:r>
      <w:proofErr w:type="spellStart"/>
      <w:r w:rsidR="00C543E8" w:rsidRPr="00B12B3B">
        <w:rPr>
          <w:rFonts w:asciiTheme="minorHAnsi" w:hAnsiTheme="minorHAnsi" w:cstheme="minorHAnsi"/>
        </w:rPr>
        <w:t>VEGFa</w:t>
      </w:r>
      <w:proofErr w:type="spellEnd"/>
      <w:r w:rsidR="00C543E8" w:rsidRPr="00B12B3B">
        <w:rPr>
          <w:rFonts w:asciiTheme="minorHAnsi" w:hAnsiTheme="minorHAnsi" w:cstheme="minorHAnsi"/>
        </w:rPr>
        <w:t xml:space="preserve"> respectively, suggesting proof of concept for an epigenetic mechanism. </w:t>
      </w:r>
      <w:bookmarkStart w:id="1" w:name="_Hlk64237464"/>
      <w:r w:rsidR="00B55FF7" w:rsidRPr="00B12B3B">
        <w:rPr>
          <w:rFonts w:asciiTheme="minorHAnsi" w:hAnsiTheme="minorHAnsi" w:cstheme="minorHAnsi"/>
        </w:rPr>
        <w:t>Owing</w:t>
      </w:r>
      <w:r w:rsidR="000F777A" w:rsidRPr="00B12B3B">
        <w:rPr>
          <w:rFonts w:asciiTheme="minorHAnsi" w:hAnsiTheme="minorHAnsi" w:cstheme="minorHAnsi"/>
        </w:rPr>
        <w:t xml:space="preserve"> to the COVID-19 outbreak, the patient sample was limited to 15 patients.</w:t>
      </w:r>
      <w:bookmarkEnd w:id="1"/>
      <w:r w:rsidR="000F777A" w:rsidRPr="00B12B3B">
        <w:rPr>
          <w:rFonts w:asciiTheme="minorHAnsi" w:hAnsiTheme="minorHAnsi" w:cstheme="minorHAnsi"/>
        </w:rPr>
        <w:t xml:space="preserve"> </w:t>
      </w:r>
      <w:r w:rsidR="00C543E8" w:rsidRPr="00B12B3B">
        <w:rPr>
          <w:rFonts w:ascii="Calibri" w:hAnsi="Calibri" w:cs="Calibri"/>
          <w:b/>
          <w:bCs/>
        </w:rPr>
        <w:t>Conclusion:</w:t>
      </w:r>
      <w:r w:rsidR="00B55FF7" w:rsidRPr="00B12B3B">
        <w:rPr>
          <w:rFonts w:ascii="Calibri" w:hAnsi="Calibri" w:cs="Calibri"/>
          <w:b/>
          <w:bCs/>
        </w:rPr>
        <w:t xml:space="preserve"> </w:t>
      </w:r>
      <w:r w:rsidR="00B55FF7" w:rsidRPr="00B12B3B">
        <w:rPr>
          <w:rFonts w:ascii="Calibri" w:hAnsi="Calibri" w:cs="Calibri"/>
        </w:rPr>
        <w:t xml:space="preserve">It is a novelty that this study is conducted in the clinical setting. </w:t>
      </w:r>
      <w:r w:rsidR="00C543E8" w:rsidRPr="00B12B3B">
        <w:rPr>
          <w:rFonts w:ascii="Calibri" w:hAnsi="Calibri" w:cs="Calibri"/>
        </w:rPr>
        <w:t xml:space="preserve"> This innovative, translational study explores stress-related SLI in CD/FND patients and the feasibility of a larger project aiming to develop new treatments for this vulnerable population.</w:t>
      </w:r>
      <w:r w:rsidR="0084626F" w:rsidRPr="00B12B3B">
        <w:rPr>
          <w:rFonts w:ascii="Calibri" w:hAnsi="Calibri" w:cs="Calibri"/>
        </w:rPr>
        <w:t xml:space="preserve"> </w:t>
      </w:r>
      <w:r w:rsidR="00C543E8" w:rsidRPr="00B12B3B">
        <w:rPr>
          <w:rFonts w:ascii="Calibri" w:hAnsi="Calibri" w:cs="Calibri"/>
        </w:rPr>
        <w:t>Given the positive findings, there is scope to conduct further research into the mechanism of disease in CD/FND.</w:t>
      </w:r>
    </w:p>
    <w:p w14:paraId="27B22467" w14:textId="782B3F35" w:rsidR="00CD4241" w:rsidRPr="00B12B3B" w:rsidRDefault="00CD4241" w:rsidP="00C543E8">
      <w:pPr>
        <w:pStyle w:val="Lijstalinea"/>
        <w:shd w:val="clear" w:color="auto" w:fill="FFFFFF"/>
        <w:spacing w:after="160" w:line="360" w:lineRule="auto"/>
        <w:ind w:left="0"/>
        <w:jc w:val="both"/>
        <w:rPr>
          <w:rFonts w:ascii="Calibri" w:hAnsi="Calibri" w:cs="Calibri"/>
        </w:rPr>
      </w:pPr>
    </w:p>
    <w:p w14:paraId="2E24D282" w14:textId="1C592A1A" w:rsidR="00CD4241" w:rsidRPr="00B12B3B" w:rsidRDefault="00CD4241" w:rsidP="00C543E8">
      <w:pPr>
        <w:pStyle w:val="Lijstalinea"/>
        <w:shd w:val="clear" w:color="auto" w:fill="FFFFFF"/>
        <w:spacing w:after="160" w:line="360" w:lineRule="auto"/>
        <w:ind w:left="0"/>
        <w:jc w:val="both"/>
        <w:rPr>
          <w:rFonts w:ascii="Calibri" w:hAnsi="Calibri" w:cs="Calibri"/>
        </w:rPr>
      </w:pPr>
      <w:r w:rsidRPr="00B12B3B">
        <w:rPr>
          <w:rFonts w:ascii="Calibri" w:hAnsi="Calibri" w:cs="Calibri"/>
          <w:b/>
          <w:bCs/>
        </w:rPr>
        <w:t>Key words:</w:t>
      </w:r>
      <w:r w:rsidRPr="00B12B3B">
        <w:rPr>
          <w:rFonts w:ascii="Calibri" w:hAnsi="Calibri" w:cs="Calibri"/>
        </w:rPr>
        <w:t xml:space="preserve"> Conversion disorder/functional neurological disorder; functional movement disorder; cytokines; systemic low-grade inflammation; microRNA; neurocognitive symptoms; Childhood adverse experiences (ACE); epigenetic mechanism; feasibility study.</w:t>
      </w:r>
    </w:p>
    <w:p w14:paraId="714445C5" w14:textId="77777777" w:rsidR="00C543E8" w:rsidRPr="00B12B3B" w:rsidRDefault="00C543E8" w:rsidP="00304886">
      <w:pPr>
        <w:pStyle w:val="Lijstalinea"/>
        <w:shd w:val="clear" w:color="auto" w:fill="FFFFFF"/>
        <w:spacing w:after="160" w:line="360" w:lineRule="auto"/>
        <w:ind w:left="0"/>
        <w:jc w:val="both"/>
        <w:rPr>
          <w:rFonts w:asciiTheme="minorHAnsi" w:hAnsiTheme="minorHAnsi" w:cstheme="minorHAnsi"/>
        </w:rPr>
      </w:pPr>
    </w:p>
    <w:p w14:paraId="59932A66" w14:textId="1724E682" w:rsidR="00304886" w:rsidRPr="00B12B3B" w:rsidRDefault="00304886">
      <w:pPr>
        <w:spacing w:after="200" w:line="276" w:lineRule="auto"/>
        <w:rPr>
          <w:rFonts w:ascii="Calibri" w:hAnsi="Calibri" w:cs="Calibri"/>
          <w:b/>
        </w:rPr>
      </w:pPr>
      <w:r w:rsidRPr="00B12B3B">
        <w:rPr>
          <w:rFonts w:ascii="Calibri" w:hAnsi="Calibri" w:cs="Calibri"/>
          <w:b/>
        </w:rPr>
        <w:br w:type="page"/>
      </w:r>
    </w:p>
    <w:p w14:paraId="727F5A01" w14:textId="25C38A08" w:rsidR="00A34FAA" w:rsidRPr="00B12B3B" w:rsidRDefault="00AE3AB1" w:rsidP="00A34FAA">
      <w:pPr>
        <w:spacing w:line="276" w:lineRule="auto"/>
        <w:jc w:val="both"/>
        <w:rPr>
          <w:rFonts w:ascii="Calibri" w:hAnsi="Calibri" w:cs="Calibri"/>
          <w:b/>
          <w:sz w:val="28"/>
          <w:szCs w:val="28"/>
        </w:rPr>
      </w:pPr>
      <w:r w:rsidRPr="00B12B3B">
        <w:rPr>
          <w:rFonts w:ascii="Calibri" w:hAnsi="Calibri" w:cs="Calibri"/>
          <w:b/>
          <w:sz w:val="28"/>
          <w:szCs w:val="28"/>
        </w:rPr>
        <w:lastRenderedPageBreak/>
        <w:t>1</w:t>
      </w:r>
      <w:r w:rsidRPr="00B12B3B">
        <w:rPr>
          <w:rFonts w:ascii="Calibri" w:hAnsi="Calibri" w:cs="Calibri"/>
          <w:b/>
          <w:sz w:val="28"/>
          <w:szCs w:val="28"/>
        </w:rPr>
        <w:tab/>
        <w:t>Introduction</w:t>
      </w:r>
    </w:p>
    <w:p w14:paraId="2BB90E7A" w14:textId="77777777" w:rsidR="00BC25AD" w:rsidRPr="00B12B3B" w:rsidRDefault="00BC25AD" w:rsidP="00A34FAA">
      <w:pPr>
        <w:spacing w:line="276" w:lineRule="auto"/>
        <w:jc w:val="both"/>
        <w:rPr>
          <w:rFonts w:ascii="Calibri" w:hAnsi="Calibri" w:cs="Calibri"/>
          <w:b/>
          <w:sz w:val="28"/>
          <w:szCs w:val="28"/>
        </w:rPr>
      </w:pPr>
    </w:p>
    <w:p w14:paraId="39DFA88E" w14:textId="63174245" w:rsidR="00186D0A" w:rsidRPr="00B12B3B" w:rsidRDefault="00A34FAA" w:rsidP="00680909">
      <w:pPr>
        <w:pStyle w:val="Lijstalinea"/>
        <w:shd w:val="clear" w:color="auto" w:fill="FFFFFF"/>
        <w:spacing w:after="160" w:line="360" w:lineRule="auto"/>
        <w:ind w:left="0"/>
        <w:jc w:val="both"/>
        <w:rPr>
          <w:rFonts w:asciiTheme="minorHAnsi" w:hAnsiTheme="minorHAnsi" w:cstheme="minorHAnsi"/>
        </w:rPr>
      </w:pPr>
      <w:bookmarkStart w:id="2" w:name="_Hlk519172873"/>
      <w:r w:rsidRPr="00B12B3B">
        <w:rPr>
          <w:rFonts w:asciiTheme="minorHAnsi" w:hAnsiTheme="minorHAnsi" w:cstheme="minorHAnsi"/>
        </w:rPr>
        <w:t>Conversion disorder</w:t>
      </w:r>
      <w:r w:rsidR="00B46EEB" w:rsidRPr="00B12B3B">
        <w:rPr>
          <w:rFonts w:asciiTheme="minorHAnsi" w:hAnsiTheme="minorHAnsi" w:cstheme="minorHAnsi"/>
        </w:rPr>
        <w:t>/</w:t>
      </w:r>
      <w:r w:rsidRPr="00B12B3B">
        <w:rPr>
          <w:rFonts w:asciiTheme="minorHAnsi" w:hAnsiTheme="minorHAnsi" w:cstheme="minorHAnsi"/>
        </w:rPr>
        <w:t>functional neurological disorder</w:t>
      </w:r>
      <w:r w:rsidR="00B46EEB" w:rsidRPr="00B12B3B">
        <w:rPr>
          <w:rFonts w:asciiTheme="minorHAnsi" w:hAnsiTheme="minorHAnsi" w:cstheme="minorHAnsi"/>
        </w:rPr>
        <w:t xml:space="preserve"> (CD/FND)</w:t>
      </w:r>
      <w:r w:rsidR="00F86A0B" w:rsidRPr="00B12B3B">
        <w:rPr>
          <w:rFonts w:asciiTheme="minorHAnsi" w:hAnsiTheme="minorHAnsi" w:cstheme="minorHAnsi"/>
        </w:rPr>
        <w:t xml:space="preserve"> as described in the DSM-5(American psychiatric Association, 2013)</w:t>
      </w:r>
      <w:r w:rsidRPr="00B12B3B">
        <w:rPr>
          <w:rFonts w:asciiTheme="minorHAnsi" w:hAnsiTheme="minorHAnsi" w:cstheme="minorHAnsi"/>
        </w:rPr>
        <w:t xml:space="preserve"> </w:t>
      </w:r>
      <w:r w:rsidR="00B46EEB" w:rsidRPr="00B12B3B">
        <w:rPr>
          <w:rFonts w:asciiTheme="minorHAnsi" w:hAnsiTheme="minorHAnsi" w:cstheme="minorHAnsi"/>
        </w:rPr>
        <w:t xml:space="preserve">can </w:t>
      </w:r>
      <w:r w:rsidRPr="00B12B3B">
        <w:rPr>
          <w:rFonts w:asciiTheme="minorHAnsi" w:hAnsiTheme="minorHAnsi" w:cstheme="minorHAnsi"/>
        </w:rPr>
        <w:t>lead to long-term distress, disability, diminished quality of life and demand on health care services</w:t>
      </w:r>
      <w:r w:rsidR="004B0F91" w:rsidRPr="00B12B3B">
        <w:rPr>
          <w:rFonts w:asciiTheme="minorHAnsi" w:hAnsiTheme="minorHAnsi" w:cstheme="minorHAnsi"/>
        </w:rPr>
        <w:t>.</w:t>
      </w:r>
      <w:r w:rsidR="00D75740" w:rsidRPr="00B12B3B">
        <w:rPr>
          <w:rFonts w:asciiTheme="minorHAnsi" w:hAnsiTheme="minorHAnsi" w:cstheme="minorHAnsi"/>
        </w:rPr>
        <w:t>(</w:t>
      </w:r>
      <w:proofErr w:type="spellStart"/>
      <w:r w:rsidR="00D75740" w:rsidRPr="00B12B3B">
        <w:rPr>
          <w:rFonts w:asciiTheme="minorHAnsi" w:hAnsiTheme="minorHAnsi" w:cstheme="minorHAnsi"/>
          <w:noProof/>
        </w:rPr>
        <w:t>Gelauff</w:t>
      </w:r>
      <w:proofErr w:type="spellEnd"/>
      <w:r w:rsidR="00D75740" w:rsidRPr="00B12B3B">
        <w:rPr>
          <w:rFonts w:asciiTheme="minorHAnsi" w:hAnsiTheme="minorHAnsi" w:cstheme="minorHAnsi"/>
          <w:noProof/>
        </w:rPr>
        <w:t xml:space="preserve"> et al., 2014; Mace &amp; Trimble, 1996)</w:t>
      </w:r>
      <w:r w:rsidR="00806198" w:rsidRPr="00B12B3B">
        <w:rPr>
          <w:rFonts w:asciiTheme="minorHAnsi" w:hAnsiTheme="minorHAnsi" w:cstheme="minorHAnsi"/>
          <w:noProof/>
        </w:rPr>
        <w:t>.</w:t>
      </w:r>
      <w:r w:rsidRPr="00B12B3B">
        <w:rPr>
          <w:rFonts w:asciiTheme="minorHAnsi" w:hAnsiTheme="minorHAnsi" w:cstheme="minorHAnsi"/>
        </w:rPr>
        <w:t xml:space="preserve">  </w:t>
      </w:r>
    </w:p>
    <w:p w14:paraId="1C4B45DA" w14:textId="7997F91B" w:rsidR="00186D0A" w:rsidRPr="00B12B3B" w:rsidRDefault="00AB3771" w:rsidP="00680909">
      <w:pPr>
        <w:pStyle w:val="Lijstalinea"/>
        <w:shd w:val="clear" w:color="auto" w:fill="FFFFFF"/>
        <w:spacing w:after="160" w:line="360" w:lineRule="auto"/>
        <w:ind w:left="0"/>
        <w:jc w:val="both"/>
        <w:rPr>
          <w:rFonts w:asciiTheme="minorHAnsi" w:hAnsiTheme="minorHAnsi" w:cstheme="minorHAnsi"/>
        </w:rPr>
      </w:pPr>
      <w:bookmarkStart w:id="3" w:name="_Hlk64204351"/>
      <w:r w:rsidRPr="00B12B3B">
        <w:rPr>
          <w:rFonts w:asciiTheme="minorHAnsi" w:hAnsiTheme="minorHAnsi" w:cstheme="minorHAnsi"/>
        </w:rPr>
        <w:t xml:space="preserve">Treatment options for patients with CD/FND are limited and typically have a small effect, leading to a high unmet clinical need (Goldstein, 2020; Kroenke, 2007; Ruddy, 2005). Depending on the presenting symptoms, patients may receive psychosocial interventions (such as cognitive behavioural therapy; </w:t>
      </w:r>
      <w:proofErr w:type="spellStart"/>
      <w:r w:rsidRPr="00B12B3B">
        <w:rPr>
          <w:rFonts w:asciiTheme="minorHAnsi" w:hAnsiTheme="minorHAnsi" w:cstheme="minorHAnsi"/>
        </w:rPr>
        <w:t>Hubschmid</w:t>
      </w:r>
      <w:proofErr w:type="spellEnd"/>
      <w:r w:rsidRPr="00B12B3B">
        <w:rPr>
          <w:rFonts w:asciiTheme="minorHAnsi" w:hAnsiTheme="minorHAnsi" w:cstheme="minorHAnsi"/>
        </w:rPr>
        <w:t xml:space="preserve"> et al., 2015; </w:t>
      </w:r>
      <w:proofErr w:type="spellStart"/>
      <w:r w:rsidRPr="00B12B3B">
        <w:rPr>
          <w:rFonts w:asciiTheme="minorHAnsi" w:hAnsiTheme="minorHAnsi" w:cstheme="minorHAnsi"/>
        </w:rPr>
        <w:t>Kompoliti</w:t>
      </w:r>
      <w:proofErr w:type="spellEnd"/>
      <w:r w:rsidRPr="00B12B3B">
        <w:rPr>
          <w:rFonts w:asciiTheme="minorHAnsi" w:hAnsiTheme="minorHAnsi" w:cstheme="minorHAnsi"/>
        </w:rPr>
        <w:t>, 2015) to explore the underlying causes (such as historical trauma), occupational therapy, or physiotherapy (Nielsen et al., 2013) to help with any physical symptoms</w:t>
      </w:r>
      <w:r w:rsidR="00D75740" w:rsidRPr="00B12B3B">
        <w:rPr>
          <w:rFonts w:asciiTheme="minorHAnsi" w:hAnsiTheme="minorHAnsi" w:cstheme="minorHAnsi"/>
        </w:rPr>
        <w:t xml:space="preserve"> (Goldstein, 2020; Kroenke, 2007; Ruddy, 2005)</w:t>
      </w:r>
      <w:r w:rsidR="00806198" w:rsidRPr="00B12B3B">
        <w:rPr>
          <w:rFonts w:asciiTheme="minorHAnsi" w:hAnsiTheme="minorHAnsi" w:cstheme="minorHAnsi"/>
        </w:rPr>
        <w:t>.</w:t>
      </w:r>
      <w:r w:rsidR="00955A58" w:rsidRPr="00B12B3B">
        <w:rPr>
          <w:rFonts w:asciiTheme="minorHAnsi" w:hAnsiTheme="minorHAnsi" w:cstheme="minorHAnsi"/>
        </w:rPr>
        <w:t xml:space="preserve"> </w:t>
      </w:r>
    </w:p>
    <w:p w14:paraId="22D9E6E1" w14:textId="6932AC4F" w:rsidR="00680909" w:rsidRPr="00B12B3B" w:rsidRDefault="00186D0A" w:rsidP="008F5FB9">
      <w:pPr>
        <w:spacing w:line="360" w:lineRule="auto"/>
        <w:jc w:val="both"/>
        <w:rPr>
          <w:rFonts w:asciiTheme="minorHAnsi" w:hAnsiTheme="minorHAnsi" w:cstheme="minorHAnsi"/>
        </w:rPr>
      </w:pPr>
      <w:bookmarkStart w:id="4" w:name="_Hlk64204231"/>
      <w:bookmarkEnd w:id="3"/>
      <w:r w:rsidRPr="00B12B3B">
        <w:rPr>
          <w:rFonts w:asciiTheme="minorHAnsi" w:hAnsiTheme="minorHAnsi" w:cstheme="minorHAnsi"/>
        </w:rPr>
        <w:t xml:space="preserve">Although several possible mechanisms for the pathogenesis of CD/FND are under consideration, its specific origin is unknown (Ratcliff &amp; van der Feltz-Cornelis, 2020). </w:t>
      </w:r>
      <w:r w:rsidR="00B34E42" w:rsidRPr="00B12B3B">
        <w:rPr>
          <w:rFonts w:asciiTheme="minorHAnsi" w:hAnsiTheme="minorHAnsi" w:cstheme="minorHAnsi"/>
        </w:rPr>
        <w:t xml:space="preserve">Mechanisms that </w:t>
      </w:r>
      <w:r w:rsidR="00FD421C" w:rsidRPr="00B12B3B">
        <w:rPr>
          <w:rFonts w:asciiTheme="minorHAnsi" w:hAnsiTheme="minorHAnsi" w:cstheme="minorHAnsi"/>
        </w:rPr>
        <w:t xml:space="preserve">have been proposed are </w:t>
      </w:r>
      <w:r w:rsidR="00D13458" w:rsidRPr="00B12B3B">
        <w:rPr>
          <w:rFonts w:asciiTheme="minorHAnsi" w:hAnsiTheme="minorHAnsi" w:cstheme="minorHAnsi"/>
        </w:rPr>
        <w:t>s</w:t>
      </w:r>
      <w:r w:rsidR="00E73384" w:rsidRPr="00B12B3B">
        <w:rPr>
          <w:rFonts w:asciiTheme="minorHAnsi" w:hAnsiTheme="minorHAnsi" w:cstheme="minorHAnsi"/>
        </w:rPr>
        <w:t>ystemic low-grade inflammation (SLI</w:t>
      </w:r>
      <w:r w:rsidR="00D13458" w:rsidRPr="00B12B3B">
        <w:rPr>
          <w:rFonts w:asciiTheme="minorHAnsi" w:hAnsiTheme="minorHAnsi" w:cstheme="minorHAnsi"/>
        </w:rPr>
        <w:t>)</w:t>
      </w:r>
      <w:r w:rsidR="002578E2" w:rsidRPr="00B12B3B">
        <w:rPr>
          <w:rFonts w:asciiTheme="minorHAnsi" w:hAnsiTheme="minorHAnsi" w:cstheme="minorHAnsi"/>
        </w:rPr>
        <w:t xml:space="preserve"> </w:t>
      </w:r>
      <w:r w:rsidR="002578E2" w:rsidRPr="00B12B3B">
        <w:rPr>
          <w:rFonts w:asciiTheme="minorHAnsi" w:hAnsiTheme="minorHAnsi" w:cstheme="minorHAnsi"/>
          <w:noProof/>
        </w:rPr>
        <w:t xml:space="preserve">(Del Grande da Silva et al., 2016; Kovacs et al., 2016; </w:t>
      </w:r>
      <w:r w:rsidR="00F120FA" w:rsidRPr="00B12B3B">
        <w:rPr>
          <w:rFonts w:asciiTheme="minorHAnsi" w:hAnsiTheme="minorHAnsi" w:cstheme="minorHAnsi"/>
          <w:noProof/>
        </w:rPr>
        <w:t xml:space="preserve">Tiyekli et al., 2013; </w:t>
      </w:r>
      <w:r w:rsidR="002578E2" w:rsidRPr="00B12B3B">
        <w:rPr>
          <w:rFonts w:asciiTheme="minorHAnsi" w:hAnsiTheme="minorHAnsi" w:cstheme="minorHAnsi"/>
          <w:noProof/>
        </w:rPr>
        <w:t>Viljoen &amp; Panzer, 2005; Vogelzangs et al., 2016)</w:t>
      </w:r>
      <w:r w:rsidR="009D7392" w:rsidRPr="00B12B3B">
        <w:rPr>
          <w:rFonts w:asciiTheme="minorHAnsi" w:hAnsiTheme="minorHAnsi" w:cstheme="minorHAnsi"/>
          <w:noProof/>
        </w:rPr>
        <w:t>. Elevated CRP was found in some, but not all, children with CD/FND</w:t>
      </w:r>
      <w:r w:rsidR="006740C3" w:rsidRPr="00B12B3B">
        <w:rPr>
          <w:rFonts w:asciiTheme="minorHAnsi" w:hAnsiTheme="minorHAnsi" w:cstheme="minorHAnsi"/>
          <w:noProof/>
        </w:rPr>
        <w:t xml:space="preserve"> (Kozlowska et al., 2019);</w:t>
      </w:r>
      <w:r w:rsidR="009D7392" w:rsidRPr="00B12B3B">
        <w:rPr>
          <w:rFonts w:asciiTheme="minorHAnsi" w:hAnsiTheme="minorHAnsi" w:cstheme="minorHAnsi"/>
          <w:noProof/>
        </w:rPr>
        <w:t xml:space="preserve"> this may indicate that the relation</w:t>
      </w:r>
      <w:r w:rsidR="00B55FF7" w:rsidRPr="00B12B3B">
        <w:rPr>
          <w:rFonts w:asciiTheme="minorHAnsi" w:hAnsiTheme="minorHAnsi" w:cstheme="minorHAnsi"/>
          <w:noProof/>
        </w:rPr>
        <w:t>ship</w:t>
      </w:r>
      <w:r w:rsidR="009D7392" w:rsidRPr="00B12B3B">
        <w:rPr>
          <w:rFonts w:asciiTheme="minorHAnsi" w:hAnsiTheme="minorHAnsi" w:cstheme="minorHAnsi"/>
          <w:noProof/>
        </w:rPr>
        <w:t xml:space="preserve"> is not straightforward. There might be multiple strains with CD/FND, that each have different causes</w:t>
      </w:r>
      <w:r w:rsidR="006867CE" w:rsidRPr="00B12B3B">
        <w:rPr>
          <w:rFonts w:asciiTheme="minorHAnsi" w:hAnsiTheme="minorHAnsi" w:cstheme="minorHAnsi"/>
          <w:noProof/>
        </w:rPr>
        <w:t xml:space="preserve">. </w:t>
      </w:r>
      <w:r w:rsidR="006867CE" w:rsidRPr="00B12B3B">
        <w:rPr>
          <w:rFonts w:asciiTheme="minorHAnsi" w:hAnsiTheme="minorHAnsi" w:cstheme="minorHAnsi"/>
        </w:rPr>
        <w:t xml:space="preserve">(Ratcliff &amp; van der Feltz-Cornelis, 2020). </w:t>
      </w:r>
      <w:r w:rsidR="002D4743" w:rsidRPr="00B12B3B">
        <w:rPr>
          <w:rFonts w:asciiTheme="minorHAnsi" w:hAnsiTheme="minorHAnsi" w:cstheme="minorHAnsi"/>
          <w:noProof/>
        </w:rPr>
        <w:t>For example, a</w:t>
      </w:r>
      <w:r w:rsidR="008F5FB9" w:rsidRPr="00B12B3B">
        <w:rPr>
          <w:rFonts w:asciiTheme="minorHAnsi" w:hAnsiTheme="minorHAnsi" w:cstheme="minorHAnsi"/>
        </w:rPr>
        <w:t xml:space="preserve">nother study found that hsCRP </w:t>
      </w:r>
      <w:r w:rsidR="00B55FF7" w:rsidRPr="00B12B3B">
        <w:rPr>
          <w:rFonts w:asciiTheme="minorHAnsi" w:hAnsiTheme="minorHAnsi" w:cstheme="minorHAnsi"/>
        </w:rPr>
        <w:t xml:space="preserve"> is</w:t>
      </w:r>
      <w:r w:rsidR="008F5FB9" w:rsidRPr="00B12B3B">
        <w:rPr>
          <w:rFonts w:asciiTheme="minorHAnsi" w:hAnsiTheme="minorHAnsi" w:cstheme="minorHAnsi"/>
        </w:rPr>
        <w:t xml:space="preserve"> elevated especially in case of motor function CD/FND.</w:t>
      </w:r>
      <w:r w:rsidR="006867CE" w:rsidRPr="00B12B3B">
        <w:rPr>
          <w:rFonts w:asciiTheme="minorHAnsi" w:hAnsiTheme="minorHAnsi" w:cstheme="minorHAnsi"/>
        </w:rPr>
        <w:t xml:space="preserve"> </w:t>
      </w:r>
      <w:r w:rsidR="006867CE" w:rsidRPr="00B12B3B">
        <w:rPr>
          <w:rFonts w:asciiTheme="minorHAnsi" w:hAnsiTheme="minorHAnsi" w:cstheme="minorHAnsi"/>
          <w:noProof/>
        </w:rPr>
        <w:t xml:space="preserve">(Tak et al., 2009) </w:t>
      </w:r>
      <w:r w:rsidR="008F5FB9" w:rsidRPr="00B12B3B">
        <w:rPr>
          <w:rFonts w:asciiTheme="minorHAnsi" w:hAnsiTheme="minorHAnsi" w:cstheme="minorHAnsi"/>
        </w:rPr>
        <w:t xml:space="preserve"> </w:t>
      </w:r>
      <w:r w:rsidR="00B55FF7" w:rsidRPr="00B12B3B">
        <w:rPr>
          <w:rFonts w:asciiTheme="minorHAnsi" w:hAnsiTheme="minorHAnsi" w:cstheme="minorHAnsi"/>
          <w:noProof/>
        </w:rPr>
        <w:t>I</w:t>
      </w:r>
      <w:r w:rsidR="009D7392" w:rsidRPr="00B12B3B">
        <w:rPr>
          <w:rFonts w:asciiTheme="minorHAnsi" w:hAnsiTheme="minorHAnsi" w:cstheme="minorHAnsi"/>
          <w:noProof/>
        </w:rPr>
        <w:t xml:space="preserve">t might </w:t>
      </w:r>
      <w:r w:rsidR="00B55FF7" w:rsidRPr="00B12B3B">
        <w:rPr>
          <w:rFonts w:asciiTheme="minorHAnsi" w:hAnsiTheme="minorHAnsi" w:cstheme="minorHAnsi"/>
          <w:noProof/>
        </w:rPr>
        <w:t xml:space="preserve">also </w:t>
      </w:r>
      <w:r w:rsidR="009D7392" w:rsidRPr="00B12B3B">
        <w:rPr>
          <w:rFonts w:asciiTheme="minorHAnsi" w:hAnsiTheme="minorHAnsi" w:cstheme="minorHAnsi"/>
          <w:noProof/>
        </w:rPr>
        <w:t>be that an inflammatory process mig</w:t>
      </w:r>
      <w:r w:rsidR="008F5FB9" w:rsidRPr="00B12B3B">
        <w:rPr>
          <w:rFonts w:asciiTheme="minorHAnsi" w:hAnsiTheme="minorHAnsi" w:cstheme="minorHAnsi"/>
          <w:noProof/>
        </w:rPr>
        <w:t>h</w:t>
      </w:r>
      <w:r w:rsidR="009D7392" w:rsidRPr="00B12B3B">
        <w:rPr>
          <w:rFonts w:asciiTheme="minorHAnsi" w:hAnsiTheme="minorHAnsi" w:cstheme="minorHAnsi"/>
          <w:noProof/>
        </w:rPr>
        <w:t>t occur at a certain pathological phase</w:t>
      </w:r>
      <w:r w:rsidR="006867CE" w:rsidRPr="00B12B3B">
        <w:rPr>
          <w:rFonts w:asciiTheme="minorHAnsi" w:hAnsiTheme="minorHAnsi" w:cstheme="minorHAnsi"/>
          <w:noProof/>
        </w:rPr>
        <w:t xml:space="preserve"> </w:t>
      </w:r>
      <w:r w:rsidR="006867CE" w:rsidRPr="00B12B3B">
        <w:rPr>
          <w:rFonts w:asciiTheme="minorHAnsi" w:hAnsiTheme="minorHAnsi" w:cstheme="minorHAnsi"/>
        </w:rPr>
        <w:t>(Ratcliff &amp; van der Feltz-Cornelis, 2020).</w:t>
      </w:r>
      <w:r w:rsidR="008F5FB9" w:rsidRPr="00B12B3B">
        <w:rPr>
          <w:rFonts w:asciiTheme="minorHAnsi" w:hAnsiTheme="minorHAnsi" w:cstheme="minorHAnsi"/>
        </w:rPr>
        <w:t xml:space="preserve"> For example, autonomous dysregulation could interfere with downregulation by corticosteroid production in the adrenal glands, resulting in peripheral inflammation that cannot be ‘switched off’ </w:t>
      </w:r>
      <w:r w:rsidR="003F32E8" w:rsidRPr="00B12B3B">
        <w:rPr>
          <w:rFonts w:asciiTheme="minorHAnsi" w:hAnsiTheme="minorHAnsi" w:cstheme="minorHAnsi"/>
        </w:rPr>
        <w:t>(</w:t>
      </w:r>
      <w:proofErr w:type="spellStart"/>
      <w:r w:rsidR="003F32E8" w:rsidRPr="00B12B3B">
        <w:rPr>
          <w:rFonts w:asciiTheme="minorHAnsi" w:hAnsiTheme="minorHAnsi" w:cstheme="minorHAnsi"/>
        </w:rPr>
        <w:t>Pongratz</w:t>
      </w:r>
      <w:proofErr w:type="spellEnd"/>
      <w:r w:rsidR="003F32E8" w:rsidRPr="00B12B3B">
        <w:rPr>
          <w:rFonts w:asciiTheme="minorHAnsi" w:hAnsiTheme="minorHAnsi" w:cstheme="minorHAnsi"/>
        </w:rPr>
        <w:t xml:space="preserve"> &amp; Straub, 2014). </w:t>
      </w:r>
      <w:r w:rsidR="008F5FB9" w:rsidRPr="00B12B3B">
        <w:rPr>
          <w:rFonts w:asciiTheme="minorHAnsi" w:hAnsiTheme="minorHAnsi" w:cstheme="minorHAnsi"/>
        </w:rPr>
        <w:t>Su</w:t>
      </w:r>
      <w:r w:rsidR="007A4586" w:rsidRPr="00B12B3B">
        <w:rPr>
          <w:rFonts w:asciiTheme="minorHAnsi" w:hAnsiTheme="minorHAnsi" w:cstheme="minorHAnsi"/>
        </w:rPr>
        <w:t>ggestions of su</w:t>
      </w:r>
      <w:r w:rsidR="008F5FB9" w:rsidRPr="00B12B3B">
        <w:rPr>
          <w:rFonts w:asciiTheme="minorHAnsi" w:hAnsiTheme="minorHAnsi" w:cstheme="minorHAnsi"/>
        </w:rPr>
        <w:t xml:space="preserve">ch </w:t>
      </w:r>
      <w:r w:rsidR="007A4586" w:rsidRPr="00B12B3B">
        <w:rPr>
          <w:rFonts w:asciiTheme="minorHAnsi" w:hAnsiTheme="minorHAnsi" w:cstheme="minorHAnsi"/>
        </w:rPr>
        <w:t xml:space="preserve">a </w:t>
      </w:r>
      <w:r w:rsidR="008F5FB9" w:rsidRPr="00B12B3B">
        <w:rPr>
          <w:rFonts w:asciiTheme="minorHAnsi" w:hAnsiTheme="minorHAnsi" w:cstheme="minorHAnsi"/>
        </w:rPr>
        <w:t xml:space="preserve">mechanism have been found in CD/FND </w:t>
      </w:r>
      <w:r w:rsidR="006867CE" w:rsidRPr="00B12B3B">
        <w:rPr>
          <w:rFonts w:asciiTheme="minorHAnsi" w:hAnsiTheme="minorHAnsi" w:cstheme="minorHAnsi"/>
        </w:rPr>
        <w:t>(</w:t>
      </w:r>
      <w:proofErr w:type="spellStart"/>
      <w:r w:rsidR="006867CE" w:rsidRPr="00B12B3B">
        <w:rPr>
          <w:rFonts w:asciiTheme="minorHAnsi" w:hAnsiTheme="minorHAnsi" w:cstheme="minorHAnsi"/>
        </w:rPr>
        <w:t>Kozlowska</w:t>
      </w:r>
      <w:proofErr w:type="spellEnd"/>
      <w:r w:rsidR="006867CE" w:rsidRPr="00B12B3B">
        <w:rPr>
          <w:rFonts w:asciiTheme="minorHAnsi" w:hAnsiTheme="minorHAnsi" w:cstheme="minorHAnsi"/>
        </w:rPr>
        <w:t xml:space="preserve"> et al., 2015</w:t>
      </w:r>
      <w:r w:rsidR="002057D6" w:rsidRPr="00B12B3B">
        <w:rPr>
          <w:rFonts w:asciiTheme="minorHAnsi" w:hAnsiTheme="minorHAnsi" w:cstheme="minorHAnsi"/>
        </w:rPr>
        <w:t>; Maurer et al., 2015</w:t>
      </w:r>
      <w:r w:rsidR="006867CE" w:rsidRPr="00B12B3B">
        <w:rPr>
          <w:rFonts w:asciiTheme="minorHAnsi" w:hAnsiTheme="minorHAnsi" w:cstheme="minorHAnsi"/>
        </w:rPr>
        <w:t xml:space="preserve">) </w:t>
      </w:r>
      <w:r w:rsidR="00FD421C" w:rsidRPr="00B12B3B">
        <w:rPr>
          <w:rFonts w:asciiTheme="minorHAnsi" w:hAnsiTheme="minorHAnsi" w:cstheme="minorHAnsi"/>
        </w:rPr>
        <w:t>and th</w:t>
      </w:r>
      <w:r w:rsidR="008F5FB9" w:rsidRPr="00B12B3B">
        <w:rPr>
          <w:rFonts w:asciiTheme="minorHAnsi" w:hAnsiTheme="minorHAnsi" w:cstheme="minorHAnsi"/>
        </w:rPr>
        <w:t>ey</w:t>
      </w:r>
      <w:r w:rsidR="00FD421C" w:rsidRPr="00B12B3B">
        <w:rPr>
          <w:rFonts w:asciiTheme="minorHAnsi" w:hAnsiTheme="minorHAnsi" w:cstheme="minorHAnsi"/>
        </w:rPr>
        <w:t xml:space="preserve"> may seem to hang together with adverse childhood events (ACE)</w:t>
      </w:r>
      <w:r w:rsidR="00F120FA" w:rsidRPr="00B12B3B">
        <w:rPr>
          <w:rFonts w:asciiTheme="minorHAnsi" w:hAnsiTheme="minorHAnsi" w:cstheme="minorHAnsi"/>
        </w:rPr>
        <w:t xml:space="preserve"> (Baumeister et al., 2016)</w:t>
      </w:r>
      <w:r w:rsidR="00FD421C" w:rsidRPr="00B12B3B">
        <w:rPr>
          <w:rFonts w:asciiTheme="minorHAnsi" w:hAnsiTheme="minorHAnsi" w:cstheme="minorHAnsi"/>
        </w:rPr>
        <w:t>. Although</w:t>
      </w:r>
      <w:r w:rsidR="00E73384" w:rsidRPr="00B12B3B">
        <w:rPr>
          <w:rFonts w:asciiTheme="minorHAnsi" w:hAnsiTheme="minorHAnsi" w:cstheme="minorHAnsi"/>
        </w:rPr>
        <w:t xml:space="preserve"> </w:t>
      </w:r>
      <w:r w:rsidR="00D13458" w:rsidRPr="00B12B3B">
        <w:rPr>
          <w:rFonts w:asciiTheme="minorHAnsi" w:hAnsiTheme="minorHAnsi" w:cstheme="minorHAnsi"/>
        </w:rPr>
        <w:t xml:space="preserve">current stress levels and </w:t>
      </w:r>
      <w:r w:rsidR="00C028DF" w:rsidRPr="00B12B3B">
        <w:rPr>
          <w:rFonts w:asciiTheme="minorHAnsi" w:hAnsiTheme="minorHAnsi" w:cstheme="minorHAnsi"/>
        </w:rPr>
        <w:t>ACE</w:t>
      </w:r>
      <w:r w:rsidR="00FD421C" w:rsidRPr="00B12B3B">
        <w:rPr>
          <w:rFonts w:asciiTheme="minorHAnsi" w:hAnsiTheme="minorHAnsi" w:cstheme="minorHAnsi"/>
        </w:rPr>
        <w:t xml:space="preserve"> have been explore</w:t>
      </w:r>
      <w:r w:rsidR="007A4586" w:rsidRPr="00B12B3B">
        <w:rPr>
          <w:rFonts w:asciiTheme="minorHAnsi" w:hAnsiTheme="minorHAnsi" w:cstheme="minorHAnsi"/>
        </w:rPr>
        <w:t>d</w:t>
      </w:r>
      <w:r w:rsidR="00FD421C" w:rsidRPr="00B12B3B">
        <w:rPr>
          <w:rFonts w:asciiTheme="minorHAnsi" w:hAnsiTheme="minorHAnsi" w:cstheme="minorHAnsi"/>
        </w:rPr>
        <w:t xml:space="preserve"> in CD/FND</w:t>
      </w:r>
      <w:r w:rsidR="00133A61" w:rsidRPr="00B12B3B">
        <w:rPr>
          <w:rFonts w:asciiTheme="minorHAnsi" w:hAnsiTheme="minorHAnsi" w:cstheme="minorHAnsi"/>
        </w:rPr>
        <w:t xml:space="preserve"> </w:t>
      </w:r>
      <w:r w:rsidR="002578E2" w:rsidRPr="00B12B3B">
        <w:rPr>
          <w:rFonts w:asciiTheme="minorHAnsi" w:hAnsiTheme="minorHAnsi" w:cstheme="minorHAnsi"/>
        </w:rPr>
        <w:t>(Ludwig et al., 2018)</w:t>
      </w:r>
      <w:r w:rsidR="00133A61" w:rsidRPr="00B12B3B">
        <w:rPr>
          <w:rFonts w:asciiTheme="minorHAnsi" w:hAnsiTheme="minorHAnsi" w:cstheme="minorHAnsi"/>
        </w:rPr>
        <w:t>,</w:t>
      </w:r>
      <w:r w:rsidR="00EB2333" w:rsidRPr="00B12B3B">
        <w:rPr>
          <w:rFonts w:asciiTheme="minorHAnsi" w:hAnsiTheme="minorHAnsi" w:cstheme="minorHAnsi"/>
        </w:rPr>
        <w:t xml:space="preserve"> </w:t>
      </w:r>
      <w:r w:rsidR="00FD421C" w:rsidRPr="00B12B3B">
        <w:rPr>
          <w:rFonts w:asciiTheme="minorHAnsi" w:hAnsiTheme="minorHAnsi" w:cstheme="minorHAnsi"/>
        </w:rPr>
        <w:t xml:space="preserve">so far their association </w:t>
      </w:r>
      <w:r w:rsidR="007A4586" w:rsidRPr="00B12B3B">
        <w:rPr>
          <w:rFonts w:asciiTheme="minorHAnsi" w:hAnsiTheme="minorHAnsi" w:cstheme="minorHAnsi"/>
        </w:rPr>
        <w:t xml:space="preserve">with systemic low-grade inflammation </w:t>
      </w:r>
      <w:r w:rsidR="00FD421C" w:rsidRPr="00B12B3B">
        <w:rPr>
          <w:rFonts w:asciiTheme="minorHAnsi" w:hAnsiTheme="minorHAnsi" w:cstheme="minorHAnsi"/>
        </w:rPr>
        <w:t xml:space="preserve">in CD/FND has not yet been explored. </w:t>
      </w:r>
      <w:r w:rsidR="007A4586" w:rsidRPr="00B12B3B">
        <w:rPr>
          <w:rFonts w:asciiTheme="minorHAnsi" w:hAnsiTheme="minorHAnsi" w:cstheme="minorHAnsi"/>
        </w:rPr>
        <w:t>In terms of a possible underlying mechanism, c</w:t>
      </w:r>
      <w:r w:rsidR="00FC08DE" w:rsidRPr="00B12B3B">
        <w:rPr>
          <w:rFonts w:asciiTheme="minorHAnsi" w:hAnsiTheme="minorHAnsi" w:cstheme="minorHAnsi"/>
        </w:rPr>
        <w:t xml:space="preserve">hildhood trauma has been suggested to prime microglia and this </w:t>
      </w:r>
      <w:r w:rsidR="00FC08DE" w:rsidRPr="00B12B3B">
        <w:rPr>
          <w:rFonts w:asciiTheme="minorHAnsi" w:hAnsiTheme="minorHAnsi" w:cstheme="minorHAnsi"/>
        </w:rPr>
        <w:lastRenderedPageBreak/>
        <w:t>might be associated with adult mental disorder</w:t>
      </w:r>
      <w:r w:rsidR="00F120FA" w:rsidRPr="00B12B3B">
        <w:rPr>
          <w:rFonts w:asciiTheme="minorHAnsi" w:hAnsiTheme="minorHAnsi" w:cstheme="minorHAnsi"/>
        </w:rPr>
        <w:t xml:space="preserve"> (</w:t>
      </w:r>
      <w:proofErr w:type="spellStart"/>
      <w:r w:rsidR="00F120FA" w:rsidRPr="00B12B3B">
        <w:rPr>
          <w:rFonts w:asciiTheme="minorHAnsi" w:hAnsiTheme="minorHAnsi" w:cstheme="minorHAnsi"/>
        </w:rPr>
        <w:t>Calcia</w:t>
      </w:r>
      <w:proofErr w:type="spellEnd"/>
      <w:r w:rsidR="00F120FA" w:rsidRPr="00B12B3B">
        <w:rPr>
          <w:rFonts w:asciiTheme="minorHAnsi" w:hAnsiTheme="minorHAnsi" w:cstheme="minorHAnsi"/>
        </w:rPr>
        <w:t xml:space="preserve"> et al., 2016)</w:t>
      </w:r>
      <w:r w:rsidR="00FC08DE" w:rsidRPr="00B12B3B">
        <w:rPr>
          <w:rFonts w:asciiTheme="minorHAnsi" w:hAnsiTheme="minorHAnsi" w:cstheme="minorHAnsi"/>
        </w:rPr>
        <w:t xml:space="preserve">, however </w:t>
      </w:r>
      <w:r w:rsidR="00B55FF7" w:rsidRPr="00B12B3B">
        <w:rPr>
          <w:rFonts w:asciiTheme="minorHAnsi" w:hAnsiTheme="minorHAnsi" w:cstheme="minorHAnsi"/>
        </w:rPr>
        <w:t>whether</w:t>
      </w:r>
      <w:r w:rsidR="00FC08DE" w:rsidRPr="00B12B3B">
        <w:rPr>
          <w:rFonts w:asciiTheme="minorHAnsi" w:hAnsiTheme="minorHAnsi" w:cstheme="minorHAnsi"/>
        </w:rPr>
        <w:t xml:space="preserve"> this is the case in CD/FND has not been the subject of research so far. </w:t>
      </w:r>
      <w:r w:rsidR="007A4586" w:rsidRPr="00B12B3B">
        <w:rPr>
          <w:rFonts w:asciiTheme="minorHAnsi" w:hAnsiTheme="minorHAnsi" w:cstheme="minorHAnsi"/>
        </w:rPr>
        <w:t xml:space="preserve">Nevertheless, </w:t>
      </w:r>
      <w:r w:rsidR="00FC08DE" w:rsidRPr="00B12B3B">
        <w:rPr>
          <w:rFonts w:asciiTheme="minorHAnsi" w:hAnsiTheme="minorHAnsi" w:cstheme="minorHAnsi"/>
        </w:rPr>
        <w:t>s</w:t>
      </w:r>
      <w:r w:rsidR="00C028DF" w:rsidRPr="00B12B3B">
        <w:rPr>
          <w:rFonts w:asciiTheme="minorHAnsi" w:hAnsiTheme="minorHAnsi" w:cstheme="minorHAnsi"/>
        </w:rPr>
        <w:t xml:space="preserve">ubjective neurocognitive problems </w:t>
      </w:r>
      <w:r w:rsidR="00DF7E4E" w:rsidRPr="00B12B3B">
        <w:rPr>
          <w:rFonts w:asciiTheme="minorHAnsi" w:hAnsiTheme="minorHAnsi" w:cstheme="minorHAnsi"/>
        </w:rPr>
        <w:t xml:space="preserve">such as </w:t>
      </w:r>
      <w:r w:rsidR="00685202" w:rsidRPr="00B12B3B">
        <w:rPr>
          <w:rFonts w:asciiTheme="minorHAnsi" w:hAnsiTheme="minorHAnsi" w:cstheme="minorHAnsi"/>
        </w:rPr>
        <w:t>information processing speed</w:t>
      </w:r>
      <w:r w:rsidR="00FC08DE" w:rsidRPr="00B12B3B">
        <w:rPr>
          <w:rFonts w:asciiTheme="minorHAnsi" w:hAnsiTheme="minorHAnsi" w:cstheme="minorHAnsi"/>
        </w:rPr>
        <w:t xml:space="preserve"> occur in CD/FND, </w:t>
      </w:r>
      <w:r w:rsidR="002578E2" w:rsidRPr="00B12B3B">
        <w:rPr>
          <w:rFonts w:asciiTheme="minorHAnsi" w:hAnsiTheme="minorHAnsi" w:cstheme="minorHAnsi"/>
        </w:rPr>
        <w:t xml:space="preserve">(American Psychiatric Association, 2013; </w:t>
      </w:r>
      <w:proofErr w:type="spellStart"/>
      <w:r w:rsidR="002578E2" w:rsidRPr="00B12B3B">
        <w:rPr>
          <w:rFonts w:asciiTheme="minorHAnsi" w:hAnsiTheme="minorHAnsi" w:cstheme="minorHAnsi"/>
        </w:rPr>
        <w:t>Koppenol</w:t>
      </w:r>
      <w:proofErr w:type="spellEnd"/>
      <w:r w:rsidR="002578E2" w:rsidRPr="00B12B3B">
        <w:rPr>
          <w:rFonts w:asciiTheme="minorHAnsi" w:hAnsiTheme="minorHAnsi" w:cstheme="minorHAnsi"/>
        </w:rPr>
        <w:t xml:space="preserve"> et al.,</w:t>
      </w:r>
      <w:r w:rsidR="00963E1D" w:rsidRPr="00B12B3B">
        <w:rPr>
          <w:rFonts w:asciiTheme="minorHAnsi" w:hAnsiTheme="minorHAnsi" w:cstheme="minorHAnsi"/>
        </w:rPr>
        <w:t xml:space="preserve"> </w:t>
      </w:r>
      <w:r w:rsidR="002578E2" w:rsidRPr="00B12B3B">
        <w:rPr>
          <w:rFonts w:asciiTheme="minorHAnsi" w:hAnsiTheme="minorHAnsi" w:cstheme="minorHAnsi"/>
        </w:rPr>
        <w:t>2020)</w:t>
      </w:r>
      <w:r w:rsidR="00FC08DE" w:rsidRPr="00B12B3B">
        <w:rPr>
          <w:rFonts w:asciiTheme="minorHAnsi" w:hAnsiTheme="minorHAnsi" w:cstheme="minorHAnsi"/>
        </w:rPr>
        <w:t xml:space="preserve"> (Baumeister et al., 2016)</w:t>
      </w:r>
      <w:r w:rsidR="007A4586" w:rsidRPr="00B12B3B">
        <w:rPr>
          <w:rFonts w:asciiTheme="minorHAnsi" w:hAnsiTheme="minorHAnsi" w:cstheme="minorHAnsi"/>
        </w:rPr>
        <w:t xml:space="preserve"> and this might be an indication of neuroinflammation affecting brain activity i.e. neurocognitive function. A</w:t>
      </w:r>
      <w:r w:rsidR="00FC08DE" w:rsidRPr="00B12B3B">
        <w:rPr>
          <w:rFonts w:asciiTheme="minorHAnsi" w:hAnsiTheme="minorHAnsi" w:cstheme="minorHAnsi"/>
        </w:rPr>
        <w:t>d</w:t>
      </w:r>
      <w:r w:rsidR="00B55FF7" w:rsidRPr="00B12B3B">
        <w:rPr>
          <w:rFonts w:asciiTheme="minorHAnsi" w:hAnsiTheme="minorHAnsi" w:cstheme="minorHAnsi"/>
        </w:rPr>
        <w:t xml:space="preserve">ditionally, </w:t>
      </w:r>
      <w:r w:rsidR="00FC08DE" w:rsidRPr="00B12B3B">
        <w:rPr>
          <w:rFonts w:asciiTheme="minorHAnsi" w:hAnsiTheme="minorHAnsi" w:cstheme="minorHAnsi"/>
        </w:rPr>
        <w:t>th</w:t>
      </w:r>
      <w:r w:rsidR="007A4586" w:rsidRPr="00B12B3B">
        <w:rPr>
          <w:rFonts w:asciiTheme="minorHAnsi" w:hAnsiTheme="minorHAnsi" w:cstheme="minorHAnsi"/>
        </w:rPr>
        <w:t>e</w:t>
      </w:r>
      <w:r w:rsidR="00FC08DE" w:rsidRPr="00B12B3B">
        <w:rPr>
          <w:rFonts w:asciiTheme="minorHAnsi" w:hAnsiTheme="minorHAnsi" w:cstheme="minorHAnsi"/>
        </w:rPr>
        <w:t>s</w:t>
      </w:r>
      <w:r w:rsidR="007A4586" w:rsidRPr="00B12B3B">
        <w:rPr>
          <w:rFonts w:asciiTheme="minorHAnsi" w:hAnsiTheme="minorHAnsi" w:cstheme="minorHAnsi"/>
        </w:rPr>
        <w:t>e</w:t>
      </w:r>
      <w:r w:rsidR="00FC08DE" w:rsidRPr="00B12B3B">
        <w:rPr>
          <w:rFonts w:asciiTheme="minorHAnsi" w:hAnsiTheme="minorHAnsi" w:cstheme="minorHAnsi"/>
        </w:rPr>
        <w:t xml:space="preserve"> </w:t>
      </w:r>
      <w:r w:rsidR="007A4586" w:rsidRPr="00B12B3B">
        <w:rPr>
          <w:rFonts w:asciiTheme="minorHAnsi" w:hAnsiTheme="minorHAnsi" w:cstheme="minorHAnsi"/>
        </w:rPr>
        <w:t xml:space="preserve">neurocognitive symptoms have been shown </w:t>
      </w:r>
      <w:r w:rsidR="00DF7E4E" w:rsidRPr="00B12B3B">
        <w:rPr>
          <w:rFonts w:asciiTheme="minorHAnsi" w:hAnsiTheme="minorHAnsi" w:cstheme="minorHAnsi"/>
        </w:rPr>
        <w:t>relevant to treatment outcome</w:t>
      </w:r>
      <w:r w:rsidR="002578E2" w:rsidRPr="00B12B3B">
        <w:rPr>
          <w:rFonts w:asciiTheme="minorHAnsi" w:hAnsiTheme="minorHAnsi" w:cstheme="minorHAnsi"/>
        </w:rPr>
        <w:t xml:space="preserve"> (De </w:t>
      </w:r>
      <w:proofErr w:type="spellStart"/>
      <w:r w:rsidR="002578E2" w:rsidRPr="00B12B3B">
        <w:rPr>
          <w:rFonts w:asciiTheme="minorHAnsi" w:hAnsiTheme="minorHAnsi" w:cstheme="minorHAnsi"/>
        </w:rPr>
        <w:t>Vroege</w:t>
      </w:r>
      <w:proofErr w:type="spellEnd"/>
      <w:r w:rsidR="002578E2" w:rsidRPr="00B12B3B">
        <w:rPr>
          <w:rFonts w:asciiTheme="minorHAnsi" w:hAnsiTheme="minorHAnsi" w:cstheme="minorHAnsi"/>
        </w:rPr>
        <w:t xml:space="preserve"> et al., 2017;</w:t>
      </w:r>
      <w:r w:rsidR="00963E1D" w:rsidRPr="00B12B3B">
        <w:rPr>
          <w:rFonts w:asciiTheme="minorHAnsi" w:hAnsiTheme="minorHAnsi" w:cstheme="minorHAnsi"/>
        </w:rPr>
        <w:t xml:space="preserve"> </w:t>
      </w:r>
      <w:r w:rsidR="00963E1D" w:rsidRPr="00B12B3B">
        <w:rPr>
          <w:rFonts w:asciiTheme="minorHAnsi" w:hAnsiTheme="minorHAnsi" w:cstheme="minorHAnsi"/>
          <w:noProof/>
        </w:rPr>
        <w:t>van der Feltz-Cornelis et al., 2019)</w:t>
      </w:r>
      <w:r w:rsidR="00FC08DE" w:rsidRPr="00B12B3B">
        <w:rPr>
          <w:rFonts w:asciiTheme="minorHAnsi" w:hAnsiTheme="minorHAnsi" w:cstheme="minorHAnsi"/>
          <w:noProof/>
        </w:rPr>
        <w:t>.</w:t>
      </w:r>
      <w:r w:rsidR="00685202" w:rsidRPr="00B12B3B">
        <w:rPr>
          <w:rFonts w:asciiTheme="minorHAnsi" w:hAnsiTheme="minorHAnsi" w:cstheme="minorHAnsi"/>
        </w:rPr>
        <w:t xml:space="preserve"> </w:t>
      </w:r>
      <w:bookmarkEnd w:id="4"/>
    </w:p>
    <w:p w14:paraId="413AABC9" w14:textId="101A9B18" w:rsidR="0078049F" w:rsidRPr="00B12B3B" w:rsidRDefault="0078049F" w:rsidP="008F5FB9">
      <w:pPr>
        <w:spacing w:line="360" w:lineRule="auto"/>
        <w:jc w:val="both"/>
        <w:rPr>
          <w:rFonts w:asciiTheme="minorHAnsi" w:hAnsiTheme="minorHAnsi" w:cstheme="minorHAnsi"/>
        </w:rPr>
      </w:pPr>
      <w:bookmarkStart w:id="5" w:name="_Hlk64275987"/>
      <w:r w:rsidRPr="00B12B3B">
        <w:rPr>
          <w:rFonts w:asciiTheme="minorHAnsi" w:hAnsiTheme="minorHAnsi" w:cstheme="minorHAnsi"/>
          <w:color w:val="222222"/>
          <w:shd w:val="clear" w:color="auto" w:fill="FFFFFF"/>
        </w:rPr>
        <w:t>Exposure to early-life adversity is known to predict DNA methylation patterns that may be related to risk for development of mental disorders (Dunn et al, 2019) and gene-environment interactions and epigenetics have been studied in anxiety disorders (Lin et al., 2020). However, so far, the links between epigenetic and post-transcriptional regulatory mechanisms and CD/FND have been poorly explored. For example microRNAs (miRNAs) are critical post-transcriptional and epigenetic regulators, yet their role in CD/FND has not been explored. In this study, we focus on plasma miRNAs as they have been studied extensively as  biomarkers of inflammation in a variety of contexts including specifically neuroinflammation (</w:t>
      </w:r>
      <w:proofErr w:type="spellStart"/>
      <w:r w:rsidRPr="00B12B3B">
        <w:rPr>
          <w:rFonts w:asciiTheme="minorHAnsi" w:hAnsiTheme="minorHAnsi" w:cstheme="minorHAnsi"/>
          <w:color w:val="222222"/>
          <w:shd w:val="clear" w:color="auto" w:fill="FFFFFF"/>
        </w:rPr>
        <w:t>Slota</w:t>
      </w:r>
      <w:proofErr w:type="spellEnd"/>
      <w:r w:rsidRPr="00B12B3B">
        <w:rPr>
          <w:rFonts w:asciiTheme="minorHAnsi" w:hAnsiTheme="minorHAnsi" w:cstheme="minorHAnsi"/>
          <w:color w:val="222222"/>
          <w:shd w:val="clear" w:color="auto" w:fill="FFFFFF"/>
        </w:rPr>
        <w:t xml:space="preserve"> &amp; Booth, 2019)  and neurodegenerative diseases (</w:t>
      </w:r>
      <w:proofErr w:type="spellStart"/>
      <w:r w:rsidRPr="00B12B3B">
        <w:rPr>
          <w:rFonts w:asciiTheme="minorHAnsi" w:hAnsiTheme="minorHAnsi" w:cstheme="minorHAnsi"/>
          <w:color w:val="222222"/>
          <w:shd w:val="clear" w:color="auto" w:fill="FFFFFF"/>
        </w:rPr>
        <w:t>Sheinermann</w:t>
      </w:r>
      <w:proofErr w:type="spellEnd"/>
      <w:r w:rsidRPr="00B12B3B">
        <w:rPr>
          <w:rFonts w:asciiTheme="minorHAnsi" w:hAnsiTheme="minorHAnsi" w:cstheme="minorHAnsi"/>
          <w:color w:val="222222"/>
          <w:shd w:val="clear" w:color="auto" w:fill="FFFFFF"/>
        </w:rPr>
        <w:t xml:space="preserve"> et al., 2017)</w:t>
      </w:r>
      <w:r w:rsidRPr="00B12B3B">
        <w:rPr>
          <w:rFonts w:asciiTheme="minorHAnsi" w:hAnsiTheme="minorHAnsi" w:cstheme="minorHAnsi"/>
          <w:color w:val="FF0000"/>
          <w:shd w:val="clear" w:color="auto" w:fill="FFFFFF"/>
        </w:rPr>
        <w:t> </w:t>
      </w:r>
      <w:r w:rsidRPr="00B12B3B">
        <w:rPr>
          <w:rFonts w:asciiTheme="minorHAnsi" w:hAnsiTheme="minorHAnsi" w:cstheme="minorHAnsi"/>
          <w:color w:val="222222"/>
          <w:shd w:val="clear" w:color="auto" w:fill="FFFFFF"/>
        </w:rPr>
        <w:t>and studies investigating circulating miRNA levels in individuals with CD/FND and their relationship to circulating cytokine levels have not been conducted so far.</w:t>
      </w:r>
    </w:p>
    <w:bookmarkEnd w:id="5"/>
    <w:p w14:paraId="628E5491" w14:textId="094F372A" w:rsidR="00133A61" w:rsidRPr="00B12B3B" w:rsidRDefault="00716435" w:rsidP="00680909">
      <w:pPr>
        <w:pStyle w:val="Lijstalinea"/>
        <w:shd w:val="clear" w:color="auto" w:fill="FFFFFF"/>
        <w:spacing w:after="160" w:line="360" w:lineRule="auto"/>
        <w:ind w:left="0"/>
        <w:jc w:val="both"/>
        <w:rPr>
          <w:rFonts w:asciiTheme="minorHAnsi" w:hAnsiTheme="minorHAnsi" w:cstheme="minorHAnsi"/>
        </w:rPr>
      </w:pPr>
      <w:r w:rsidRPr="00B12B3B">
        <w:rPr>
          <w:rFonts w:asciiTheme="minorHAnsi" w:hAnsiTheme="minorHAnsi" w:cstheme="minorHAnsi"/>
        </w:rPr>
        <w:t>The objectives of t</w:t>
      </w:r>
      <w:r w:rsidR="00DF7E4E" w:rsidRPr="00B12B3B">
        <w:rPr>
          <w:rFonts w:asciiTheme="minorHAnsi" w:hAnsiTheme="minorHAnsi" w:cstheme="minorHAnsi"/>
        </w:rPr>
        <w:t>his</w:t>
      </w:r>
      <w:r w:rsidR="006A1648" w:rsidRPr="00B12B3B">
        <w:rPr>
          <w:rFonts w:asciiTheme="minorHAnsi" w:hAnsiTheme="minorHAnsi" w:cstheme="minorHAnsi"/>
        </w:rPr>
        <w:t xml:space="preserve"> </w:t>
      </w:r>
      <w:r w:rsidR="005E699B" w:rsidRPr="00B12B3B">
        <w:rPr>
          <w:rFonts w:asciiTheme="minorHAnsi" w:hAnsiTheme="minorHAnsi" w:cstheme="minorHAnsi"/>
        </w:rPr>
        <w:t xml:space="preserve">feasibility study </w:t>
      </w:r>
      <w:r w:rsidRPr="00B12B3B">
        <w:rPr>
          <w:rFonts w:asciiTheme="minorHAnsi" w:hAnsiTheme="minorHAnsi" w:cstheme="minorHAnsi"/>
        </w:rPr>
        <w:t xml:space="preserve">were to </w:t>
      </w:r>
      <w:r w:rsidR="005E699B" w:rsidRPr="00B12B3B">
        <w:rPr>
          <w:rFonts w:asciiTheme="minorHAnsi" w:hAnsiTheme="minorHAnsi" w:cstheme="minorHAnsi"/>
        </w:rPr>
        <w:t xml:space="preserve">inform further research steps by enabling us to generate a </w:t>
      </w:r>
      <w:r w:rsidR="00994AE3" w:rsidRPr="00B12B3B">
        <w:rPr>
          <w:rFonts w:asciiTheme="minorHAnsi" w:hAnsiTheme="minorHAnsi" w:cstheme="minorHAnsi"/>
        </w:rPr>
        <w:t xml:space="preserve">comprehensive testing procedure and evaluation of the proposed processes of recruitment, retention and data collection. </w:t>
      </w:r>
      <w:r w:rsidR="006A1648" w:rsidRPr="00B12B3B">
        <w:rPr>
          <w:rFonts w:asciiTheme="minorHAnsi" w:hAnsiTheme="minorHAnsi" w:cstheme="minorHAnsi"/>
        </w:rPr>
        <w:t>A further objective was to generate proof</w:t>
      </w:r>
      <w:r w:rsidR="005E699B" w:rsidRPr="00B12B3B">
        <w:rPr>
          <w:rFonts w:asciiTheme="minorHAnsi" w:hAnsiTheme="minorHAnsi" w:cstheme="minorHAnsi"/>
        </w:rPr>
        <w:t xml:space="preserve"> of concept </w:t>
      </w:r>
      <w:r w:rsidR="00DF7E4E" w:rsidRPr="00B12B3B">
        <w:rPr>
          <w:rFonts w:asciiTheme="minorHAnsi" w:hAnsiTheme="minorHAnsi" w:cstheme="minorHAnsi"/>
        </w:rPr>
        <w:t>regarding a possible role for cytokines, microRNA</w:t>
      </w:r>
      <w:r w:rsidR="00FA553E" w:rsidRPr="00B12B3B">
        <w:rPr>
          <w:rFonts w:asciiTheme="minorHAnsi" w:hAnsiTheme="minorHAnsi" w:cstheme="minorHAnsi"/>
        </w:rPr>
        <w:t>, cortisol levels</w:t>
      </w:r>
      <w:r w:rsidR="00DF7E4E" w:rsidRPr="00B12B3B">
        <w:rPr>
          <w:rFonts w:asciiTheme="minorHAnsi" w:hAnsiTheme="minorHAnsi" w:cstheme="minorHAnsi"/>
        </w:rPr>
        <w:t xml:space="preserve"> </w:t>
      </w:r>
      <w:r w:rsidR="005E699B" w:rsidRPr="00B12B3B">
        <w:rPr>
          <w:rFonts w:asciiTheme="minorHAnsi" w:hAnsiTheme="minorHAnsi" w:cstheme="minorHAnsi"/>
        </w:rPr>
        <w:t xml:space="preserve">and neurocognitive symptoms in patients with motor CD/FND that </w:t>
      </w:r>
      <w:r w:rsidR="00DF7E4E" w:rsidRPr="00B12B3B">
        <w:rPr>
          <w:rFonts w:asciiTheme="minorHAnsi" w:hAnsiTheme="minorHAnsi" w:cstheme="minorHAnsi"/>
        </w:rPr>
        <w:t>may warrant</w:t>
      </w:r>
      <w:r w:rsidR="005E699B" w:rsidRPr="00B12B3B">
        <w:rPr>
          <w:rFonts w:asciiTheme="minorHAnsi" w:hAnsiTheme="minorHAnsi" w:cstheme="minorHAnsi"/>
        </w:rPr>
        <w:t xml:space="preserve"> a subsequent larger study</w:t>
      </w:r>
      <w:r w:rsidR="00DF7E4E" w:rsidRPr="00B12B3B">
        <w:rPr>
          <w:rFonts w:asciiTheme="minorHAnsi" w:hAnsiTheme="minorHAnsi" w:cstheme="minorHAnsi"/>
        </w:rPr>
        <w:t xml:space="preserve"> exploring the underlying mechanism</w:t>
      </w:r>
      <w:r w:rsidR="005D1C9B" w:rsidRPr="00B12B3B">
        <w:rPr>
          <w:rFonts w:asciiTheme="minorHAnsi" w:hAnsiTheme="minorHAnsi" w:cstheme="minorHAnsi"/>
        </w:rPr>
        <w:t xml:space="preserve"> and possible treatment options related to it</w:t>
      </w:r>
      <w:r w:rsidR="00806198" w:rsidRPr="00B12B3B">
        <w:rPr>
          <w:rFonts w:asciiTheme="minorHAnsi" w:hAnsiTheme="minorHAnsi" w:cstheme="minorHAnsi"/>
        </w:rPr>
        <w:t xml:space="preserve"> </w:t>
      </w:r>
      <w:r w:rsidRPr="00B12B3B">
        <w:rPr>
          <w:rFonts w:asciiTheme="minorHAnsi" w:hAnsiTheme="minorHAnsi" w:cstheme="minorHAnsi"/>
        </w:rPr>
        <w:t>(Van der Feltz-Cornelis et al., 2020</w:t>
      </w:r>
      <w:r w:rsidR="000D7D40" w:rsidRPr="00B12B3B">
        <w:rPr>
          <w:rFonts w:asciiTheme="minorHAnsi" w:hAnsiTheme="minorHAnsi" w:cstheme="minorHAnsi"/>
        </w:rPr>
        <w:t>b</w:t>
      </w:r>
      <w:r w:rsidRPr="00B12B3B">
        <w:rPr>
          <w:rFonts w:asciiTheme="minorHAnsi" w:hAnsiTheme="minorHAnsi" w:cstheme="minorHAnsi"/>
        </w:rPr>
        <w:t>)</w:t>
      </w:r>
      <w:r w:rsidR="00806198" w:rsidRPr="00B12B3B">
        <w:rPr>
          <w:rFonts w:asciiTheme="minorHAnsi" w:hAnsiTheme="minorHAnsi" w:cstheme="minorHAnsi"/>
        </w:rPr>
        <w:t>.</w:t>
      </w:r>
      <w:r w:rsidR="00A249E2" w:rsidRPr="00B12B3B">
        <w:rPr>
          <w:rFonts w:asciiTheme="minorHAnsi" w:hAnsiTheme="minorHAnsi" w:cstheme="minorHAnsi"/>
        </w:rPr>
        <w:t xml:space="preserve"> </w:t>
      </w:r>
      <w:bookmarkEnd w:id="2"/>
      <w:r w:rsidR="006A1648" w:rsidRPr="00B12B3B">
        <w:rPr>
          <w:rFonts w:asciiTheme="minorHAnsi" w:hAnsiTheme="minorHAnsi" w:cstheme="minorHAnsi"/>
        </w:rPr>
        <w:t>Lastly</w:t>
      </w:r>
      <w:r w:rsidR="005D1C9B" w:rsidRPr="00B12B3B">
        <w:rPr>
          <w:rFonts w:asciiTheme="minorHAnsi" w:hAnsiTheme="minorHAnsi" w:cstheme="minorHAnsi"/>
        </w:rPr>
        <w:t>, we</w:t>
      </w:r>
      <w:r w:rsidR="006A1648" w:rsidRPr="00B12B3B">
        <w:rPr>
          <w:rFonts w:asciiTheme="minorHAnsi" w:hAnsiTheme="minorHAnsi" w:cstheme="minorHAnsi"/>
        </w:rPr>
        <w:t xml:space="preserve"> aimed</w:t>
      </w:r>
      <w:r w:rsidR="005D1C9B" w:rsidRPr="00B12B3B">
        <w:rPr>
          <w:rFonts w:asciiTheme="minorHAnsi" w:hAnsiTheme="minorHAnsi" w:cstheme="minorHAnsi"/>
        </w:rPr>
        <w:t xml:space="preserve"> </w:t>
      </w:r>
      <w:r w:rsidR="006A1648" w:rsidRPr="00B12B3B">
        <w:rPr>
          <w:rFonts w:asciiTheme="minorHAnsi" w:hAnsiTheme="minorHAnsi" w:cstheme="minorHAnsi"/>
        </w:rPr>
        <w:t xml:space="preserve">to </w:t>
      </w:r>
      <w:r w:rsidR="005D1C9B" w:rsidRPr="00B12B3B">
        <w:rPr>
          <w:rFonts w:asciiTheme="minorHAnsi" w:hAnsiTheme="minorHAnsi" w:cstheme="minorHAnsi"/>
        </w:rPr>
        <w:t xml:space="preserve">establish a </w:t>
      </w:r>
      <w:r w:rsidR="006A1648" w:rsidRPr="00B12B3B">
        <w:rPr>
          <w:rFonts w:asciiTheme="minorHAnsi" w:hAnsiTheme="minorHAnsi" w:cstheme="minorHAnsi"/>
        </w:rPr>
        <w:t>p</w:t>
      </w:r>
      <w:r w:rsidR="005D1C9B" w:rsidRPr="00B12B3B">
        <w:rPr>
          <w:rFonts w:asciiTheme="minorHAnsi" w:hAnsiTheme="minorHAnsi" w:cstheme="minorHAnsi"/>
        </w:rPr>
        <w:t xml:space="preserve">atient and </w:t>
      </w:r>
      <w:r w:rsidR="006A1648" w:rsidRPr="00B12B3B">
        <w:rPr>
          <w:rFonts w:asciiTheme="minorHAnsi" w:hAnsiTheme="minorHAnsi" w:cstheme="minorHAnsi"/>
        </w:rPr>
        <w:t xml:space="preserve">public involvement </w:t>
      </w:r>
      <w:r w:rsidR="005D1C9B" w:rsidRPr="00B12B3B">
        <w:rPr>
          <w:rFonts w:asciiTheme="minorHAnsi" w:hAnsiTheme="minorHAnsi" w:cstheme="minorHAnsi"/>
        </w:rPr>
        <w:t>(PPI) advisory group to determine the acceptability of the study processes for patients and carers.</w:t>
      </w:r>
    </w:p>
    <w:p w14:paraId="70B2355C" w14:textId="32236656" w:rsidR="00A34FAA" w:rsidRPr="00B12B3B" w:rsidRDefault="00AE3AB1" w:rsidP="000F4D09">
      <w:pPr>
        <w:spacing w:line="360" w:lineRule="auto"/>
        <w:jc w:val="both"/>
        <w:rPr>
          <w:rFonts w:asciiTheme="minorHAnsi" w:hAnsiTheme="minorHAnsi" w:cstheme="minorHAnsi"/>
          <w:b/>
        </w:rPr>
      </w:pPr>
      <w:r w:rsidRPr="00B12B3B">
        <w:rPr>
          <w:rFonts w:asciiTheme="minorHAnsi" w:hAnsiTheme="minorHAnsi" w:cstheme="minorHAnsi"/>
          <w:b/>
        </w:rPr>
        <w:t>2</w:t>
      </w:r>
      <w:r w:rsidRPr="00B12B3B">
        <w:rPr>
          <w:rFonts w:asciiTheme="minorHAnsi" w:hAnsiTheme="minorHAnsi" w:cstheme="minorHAnsi"/>
          <w:b/>
        </w:rPr>
        <w:tab/>
        <w:t xml:space="preserve">Material and </w:t>
      </w:r>
      <w:r w:rsidR="00A34FAA" w:rsidRPr="00B12B3B">
        <w:rPr>
          <w:rFonts w:asciiTheme="minorHAnsi" w:hAnsiTheme="minorHAnsi" w:cstheme="minorHAnsi"/>
          <w:b/>
        </w:rPr>
        <w:t>Methods</w:t>
      </w:r>
    </w:p>
    <w:p w14:paraId="5CDE0DD6" w14:textId="77777777" w:rsidR="00680909" w:rsidRPr="00B12B3B" w:rsidRDefault="00680909" w:rsidP="000F4D09">
      <w:pPr>
        <w:spacing w:line="360" w:lineRule="auto"/>
        <w:jc w:val="both"/>
        <w:rPr>
          <w:rFonts w:asciiTheme="minorHAnsi" w:hAnsiTheme="minorHAnsi" w:cstheme="minorHAnsi"/>
          <w:b/>
        </w:rPr>
      </w:pPr>
    </w:p>
    <w:p w14:paraId="33FA2402" w14:textId="671A8FE5" w:rsidR="006A1648" w:rsidRPr="00B12B3B" w:rsidRDefault="00AC1F12" w:rsidP="00680909">
      <w:pPr>
        <w:spacing w:line="360" w:lineRule="auto"/>
        <w:jc w:val="both"/>
        <w:rPr>
          <w:rFonts w:asciiTheme="minorHAnsi" w:hAnsiTheme="minorHAnsi" w:cstheme="minorHAnsi"/>
          <w:bCs/>
        </w:rPr>
      </w:pPr>
      <w:r w:rsidRPr="00B12B3B">
        <w:rPr>
          <w:rFonts w:asciiTheme="minorHAnsi" w:hAnsiTheme="minorHAnsi" w:cstheme="minorHAnsi"/>
          <w:bCs/>
        </w:rPr>
        <w:t>Th</w:t>
      </w:r>
      <w:r w:rsidR="005D1C9B" w:rsidRPr="00B12B3B">
        <w:rPr>
          <w:rFonts w:asciiTheme="minorHAnsi" w:hAnsiTheme="minorHAnsi" w:cstheme="minorHAnsi"/>
          <w:bCs/>
        </w:rPr>
        <w:t xml:space="preserve">is was a feasibility study sponsored by the University of York. </w:t>
      </w:r>
      <w:r w:rsidR="008E597A" w:rsidRPr="00B12B3B">
        <w:rPr>
          <w:rFonts w:asciiTheme="minorHAnsi" w:hAnsiTheme="minorHAnsi" w:cstheme="minorHAnsi"/>
        </w:rPr>
        <w:t xml:space="preserve">Study preparation started in March 2019. </w:t>
      </w:r>
      <w:r w:rsidR="005D1C9B" w:rsidRPr="00B12B3B">
        <w:rPr>
          <w:rFonts w:asciiTheme="minorHAnsi" w:hAnsiTheme="minorHAnsi" w:cstheme="minorHAnsi"/>
          <w:bCs/>
        </w:rPr>
        <w:t>It</w:t>
      </w:r>
      <w:r w:rsidRPr="00B12B3B">
        <w:rPr>
          <w:rFonts w:asciiTheme="minorHAnsi" w:hAnsiTheme="minorHAnsi" w:cstheme="minorHAnsi"/>
          <w:bCs/>
        </w:rPr>
        <w:t xml:space="preserve"> </w:t>
      </w:r>
      <w:r w:rsidR="000952E5" w:rsidRPr="00B12B3B">
        <w:rPr>
          <w:rFonts w:asciiTheme="minorHAnsi" w:hAnsiTheme="minorHAnsi" w:cstheme="minorHAnsi"/>
          <w:bCs/>
        </w:rPr>
        <w:t xml:space="preserve">was registered at </w:t>
      </w:r>
      <w:r w:rsidR="00314F9C" w:rsidRPr="00B12B3B">
        <w:rPr>
          <w:rFonts w:asciiTheme="minorHAnsi" w:hAnsiTheme="minorHAnsi" w:cstheme="minorHAnsi"/>
          <w:bCs/>
        </w:rPr>
        <w:t xml:space="preserve">the </w:t>
      </w:r>
      <w:r w:rsidR="00314F9C" w:rsidRPr="00B12B3B">
        <w:rPr>
          <w:rFonts w:asciiTheme="minorHAnsi" w:hAnsiTheme="minorHAnsi" w:cstheme="minorHAnsi"/>
          <w:shd w:val="clear" w:color="auto" w:fill="FFFFFF"/>
        </w:rPr>
        <w:t>R</w:t>
      </w:r>
      <w:r w:rsidR="000952E5" w:rsidRPr="00B12B3B">
        <w:rPr>
          <w:rFonts w:asciiTheme="minorHAnsi" w:hAnsiTheme="minorHAnsi" w:cstheme="minorHAnsi"/>
          <w:shd w:val="clear" w:color="auto" w:fill="FFFFFF"/>
        </w:rPr>
        <w:t>esearch</w:t>
      </w:r>
      <w:r w:rsidR="00314F9C" w:rsidRPr="00B12B3B">
        <w:rPr>
          <w:rFonts w:asciiTheme="minorHAnsi" w:hAnsiTheme="minorHAnsi" w:cstheme="minorHAnsi"/>
          <w:shd w:val="clear" w:color="auto" w:fill="FFFFFF"/>
        </w:rPr>
        <w:t xml:space="preserve"> R</w:t>
      </w:r>
      <w:r w:rsidR="000952E5" w:rsidRPr="00B12B3B">
        <w:rPr>
          <w:rFonts w:asciiTheme="minorHAnsi" w:hAnsiTheme="minorHAnsi" w:cstheme="minorHAnsi"/>
          <w:shd w:val="clear" w:color="auto" w:fill="FFFFFF"/>
        </w:rPr>
        <w:t>egistry</w:t>
      </w:r>
      <w:r w:rsidR="00314F9C" w:rsidRPr="00B12B3B">
        <w:rPr>
          <w:rFonts w:asciiTheme="minorHAnsi" w:hAnsiTheme="minorHAnsi" w:cstheme="minorHAnsi"/>
          <w:shd w:val="clear" w:color="auto" w:fill="FFFFFF"/>
        </w:rPr>
        <w:t xml:space="preserve"> (UIN: researchregistry</w:t>
      </w:r>
      <w:r w:rsidR="000952E5" w:rsidRPr="00B12B3B">
        <w:rPr>
          <w:rFonts w:asciiTheme="minorHAnsi" w:hAnsiTheme="minorHAnsi" w:cstheme="minorHAnsi"/>
          <w:shd w:val="clear" w:color="auto" w:fill="FFFFFF"/>
        </w:rPr>
        <w:t>5289</w:t>
      </w:r>
      <w:r w:rsidR="00314F9C" w:rsidRPr="00B12B3B">
        <w:rPr>
          <w:rFonts w:asciiTheme="minorHAnsi" w:hAnsiTheme="minorHAnsi" w:cstheme="minorHAnsi"/>
          <w:shd w:val="clear" w:color="auto" w:fill="FFFFFF"/>
        </w:rPr>
        <w:t>)</w:t>
      </w:r>
      <w:r w:rsidR="005D1C9B" w:rsidRPr="00B12B3B">
        <w:rPr>
          <w:rFonts w:asciiTheme="minorHAnsi" w:hAnsiTheme="minorHAnsi" w:cstheme="minorHAnsi"/>
          <w:shd w:val="clear" w:color="auto" w:fill="FFFFFF"/>
        </w:rPr>
        <w:t>.</w:t>
      </w:r>
      <w:r w:rsidR="00424D48" w:rsidRPr="00B12B3B">
        <w:rPr>
          <w:rFonts w:asciiTheme="minorHAnsi" w:hAnsiTheme="minorHAnsi" w:cstheme="minorHAnsi"/>
          <w:shd w:val="clear" w:color="auto" w:fill="FFFFFF"/>
        </w:rPr>
        <w:t xml:space="preserve"> </w:t>
      </w:r>
      <w:r w:rsidR="000952E5" w:rsidRPr="00B12B3B">
        <w:rPr>
          <w:rFonts w:asciiTheme="minorHAnsi" w:hAnsiTheme="minorHAnsi" w:cstheme="minorHAnsi"/>
          <w:color w:val="363636"/>
          <w:shd w:val="clear" w:color="auto" w:fill="FFFFFF"/>
        </w:rPr>
        <w:t xml:space="preserve">The </w:t>
      </w:r>
      <w:r w:rsidR="006A1648" w:rsidRPr="00B12B3B">
        <w:rPr>
          <w:rFonts w:asciiTheme="minorHAnsi" w:hAnsiTheme="minorHAnsi" w:cstheme="minorHAnsi"/>
          <w:color w:val="363636"/>
          <w:shd w:val="clear" w:color="auto" w:fill="FFFFFF"/>
        </w:rPr>
        <w:t xml:space="preserve">study </w:t>
      </w:r>
      <w:r w:rsidRPr="00B12B3B">
        <w:rPr>
          <w:rFonts w:asciiTheme="minorHAnsi" w:hAnsiTheme="minorHAnsi" w:cstheme="minorHAnsi"/>
          <w:bCs/>
        </w:rPr>
        <w:lastRenderedPageBreak/>
        <w:t>protocol was published</w:t>
      </w:r>
      <w:r w:rsidR="00C30116" w:rsidRPr="00B12B3B">
        <w:rPr>
          <w:rFonts w:asciiTheme="minorHAnsi" w:hAnsiTheme="minorHAnsi" w:cstheme="minorHAnsi"/>
          <w:bCs/>
        </w:rPr>
        <w:t xml:space="preserve"> </w:t>
      </w:r>
      <w:r w:rsidR="00716435" w:rsidRPr="00B12B3B">
        <w:rPr>
          <w:rFonts w:asciiTheme="minorHAnsi" w:hAnsiTheme="minorHAnsi" w:cstheme="minorHAnsi"/>
          <w:noProof/>
        </w:rPr>
        <w:t>(van der Feltz-Cornelis et al., 2020</w:t>
      </w:r>
      <w:r w:rsidR="000D7D40" w:rsidRPr="00B12B3B">
        <w:rPr>
          <w:rFonts w:asciiTheme="minorHAnsi" w:hAnsiTheme="minorHAnsi" w:cstheme="minorHAnsi"/>
          <w:noProof/>
        </w:rPr>
        <w:t>b</w:t>
      </w:r>
      <w:r w:rsidR="00716435" w:rsidRPr="00B12B3B">
        <w:rPr>
          <w:rFonts w:asciiTheme="minorHAnsi" w:hAnsiTheme="minorHAnsi" w:cstheme="minorHAnsi"/>
          <w:noProof/>
        </w:rPr>
        <w:t>);</w:t>
      </w:r>
      <w:r w:rsidR="00314F9C" w:rsidRPr="00B12B3B">
        <w:rPr>
          <w:rFonts w:asciiTheme="minorHAnsi" w:hAnsiTheme="minorHAnsi" w:cstheme="minorHAnsi"/>
          <w:bCs/>
        </w:rPr>
        <w:t xml:space="preserve"> study</w:t>
      </w:r>
      <w:r w:rsidRPr="00B12B3B">
        <w:rPr>
          <w:rFonts w:asciiTheme="minorHAnsi" w:hAnsiTheme="minorHAnsi" w:cstheme="minorHAnsi"/>
          <w:bCs/>
        </w:rPr>
        <w:t xml:space="preserve"> methods are summarised </w:t>
      </w:r>
      <w:r w:rsidR="006A1648" w:rsidRPr="00B12B3B">
        <w:rPr>
          <w:rFonts w:asciiTheme="minorHAnsi" w:hAnsiTheme="minorHAnsi" w:cstheme="minorHAnsi"/>
          <w:bCs/>
        </w:rPr>
        <w:t>in the current article</w:t>
      </w:r>
      <w:r w:rsidRPr="00B12B3B">
        <w:rPr>
          <w:rFonts w:asciiTheme="minorHAnsi" w:hAnsiTheme="minorHAnsi" w:cstheme="minorHAnsi"/>
          <w:bCs/>
        </w:rPr>
        <w:t xml:space="preserve">. </w:t>
      </w:r>
    </w:p>
    <w:p w14:paraId="745DBC02" w14:textId="580931C8" w:rsidR="003A57C0" w:rsidRPr="00B12B3B" w:rsidRDefault="00750882" w:rsidP="00680909">
      <w:pPr>
        <w:spacing w:line="360" w:lineRule="auto"/>
        <w:jc w:val="both"/>
        <w:rPr>
          <w:rFonts w:asciiTheme="minorHAnsi" w:hAnsiTheme="minorHAnsi" w:cstheme="minorHAnsi"/>
          <w:bCs/>
        </w:rPr>
      </w:pPr>
      <w:r w:rsidRPr="00B12B3B">
        <w:rPr>
          <w:rFonts w:asciiTheme="minorHAnsi" w:hAnsiTheme="minorHAnsi" w:cstheme="minorHAnsi"/>
          <w:lang w:eastAsia="en-GB"/>
        </w:rPr>
        <w:t>P</w:t>
      </w:r>
      <w:r w:rsidR="00A34FAA" w:rsidRPr="00B12B3B">
        <w:rPr>
          <w:rFonts w:asciiTheme="minorHAnsi" w:hAnsiTheme="minorHAnsi" w:cstheme="minorHAnsi"/>
          <w:lang w:eastAsia="en-GB"/>
        </w:rPr>
        <w:t>articipants w</w:t>
      </w:r>
      <w:r w:rsidRPr="00B12B3B">
        <w:rPr>
          <w:rFonts w:asciiTheme="minorHAnsi" w:hAnsiTheme="minorHAnsi" w:cstheme="minorHAnsi"/>
          <w:lang w:eastAsia="en-GB"/>
        </w:rPr>
        <w:t>ere</w:t>
      </w:r>
      <w:r w:rsidR="00A34FAA" w:rsidRPr="00B12B3B">
        <w:rPr>
          <w:rFonts w:asciiTheme="minorHAnsi" w:hAnsiTheme="minorHAnsi" w:cstheme="minorHAnsi"/>
          <w:lang w:eastAsia="en-GB"/>
        </w:rPr>
        <w:t xml:space="preserve"> recruited through clinics and services within the </w:t>
      </w:r>
      <w:r w:rsidR="00A34FAA" w:rsidRPr="00B12B3B">
        <w:rPr>
          <w:rFonts w:asciiTheme="minorHAnsi" w:hAnsiTheme="minorHAnsi" w:cstheme="minorHAnsi"/>
        </w:rPr>
        <w:t xml:space="preserve">Tees, </w:t>
      </w:r>
      <w:proofErr w:type="spellStart"/>
      <w:r w:rsidR="00A34FAA" w:rsidRPr="00B12B3B">
        <w:rPr>
          <w:rFonts w:asciiTheme="minorHAnsi" w:hAnsiTheme="minorHAnsi" w:cstheme="minorHAnsi"/>
        </w:rPr>
        <w:t>Esk</w:t>
      </w:r>
      <w:proofErr w:type="spellEnd"/>
      <w:r w:rsidR="00A34FAA" w:rsidRPr="00B12B3B">
        <w:rPr>
          <w:rFonts w:asciiTheme="minorHAnsi" w:hAnsiTheme="minorHAnsi" w:cstheme="minorHAnsi"/>
        </w:rPr>
        <w:t xml:space="preserve"> and Wear Valleys NHS Foundation Trust (TEWV)</w:t>
      </w:r>
      <w:r w:rsidRPr="00B12B3B">
        <w:rPr>
          <w:rFonts w:asciiTheme="minorHAnsi" w:hAnsiTheme="minorHAnsi" w:cstheme="minorHAnsi"/>
        </w:rPr>
        <w:t xml:space="preserve">, </w:t>
      </w:r>
      <w:r w:rsidR="005D1C9B" w:rsidRPr="00B12B3B">
        <w:rPr>
          <w:rFonts w:asciiTheme="minorHAnsi" w:hAnsiTheme="minorHAnsi" w:cstheme="minorHAnsi"/>
        </w:rPr>
        <w:t xml:space="preserve">and </w:t>
      </w:r>
      <w:r w:rsidR="00A34FAA" w:rsidRPr="00B12B3B">
        <w:rPr>
          <w:rFonts w:asciiTheme="minorHAnsi" w:hAnsiTheme="minorHAnsi" w:cstheme="minorHAnsi"/>
        </w:rPr>
        <w:t>Humber</w:t>
      </w:r>
      <w:r w:rsidR="00314F9C" w:rsidRPr="00B12B3B">
        <w:rPr>
          <w:rFonts w:asciiTheme="minorHAnsi" w:hAnsiTheme="minorHAnsi" w:cstheme="minorHAnsi"/>
        </w:rPr>
        <w:t xml:space="preserve"> Teaching</w:t>
      </w:r>
      <w:r w:rsidR="00A34FAA" w:rsidRPr="00B12B3B">
        <w:rPr>
          <w:rFonts w:asciiTheme="minorHAnsi" w:hAnsiTheme="minorHAnsi" w:cstheme="minorHAnsi"/>
        </w:rPr>
        <w:t xml:space="preserve"> </w:t>
      </w:r>
      <w:r w:rsidR="00314F9C" w:rsidRPr="00B12B3B">
        <w:rPr>
          <w:rFonts w:asciiTheme="minorHAnsi" w:hAnsiTheme="minorHAnsi" w:cstheme="minorHAnsi"/>
        </w:rPr>
        <w:t xml:space="preserve">NHS Foundation </w:t>
      </w:r>
      <w:r w:rsidR="00A34FAA" w:rsidRPr="00B12B3B">
        <w:rPr>
          <w:rFonts w:asciiTheme="minorHAnsi" w:hAnsiTheme="minorHAnsi" w:cstheme="minorHAnsi"/>
        </w:rPr>
        <w:t>Trust.</w:t>
      </w:r>
      <w:r w:rsidRPr="00B12B3B">
        <w:rPr>
          <w:rFonts w:asciiTheme="minorHAnsi" w:hAnsiTheme="minorHAnsi" w:cstheme="minorHAnsi"/>
        </w:rPr>
        <w:t xml:space="preserve"> Participants could also self-refer to the study</w:t>
      </w:r>
      <w:r w:rsidR="00680909" w:rsidRPr="00B12B3B">
        <w:rPr>
          <w:rFonts w:asciiTheme="minorHAnsi" w:hAnsiTheme="minorHAnsi" w:cstheme="minorHAnsi"/>
        </w:rPr>
        <w:t xml:space="preserve"> via the study website</w:t>
      </w:r>
      <w:r w:rsidR="00B55FF7" w:rsidRPr="00B12B3B">
        <w:rPr>
          <w:rFonts w:asciiTheme="minorHAnsi" w:hAnsiTheme="minorHAnsi" w:cstheme="minorHAnsi"/>
        </w:rPr>
        <w:t xml:space="preserve"> </w:t>
      </w:r>
      <w:r w:rsidR="00716435" w:rsidRPr="00B12B3B">
        <w:rPr>
          <w:rFonts w:asciiTheme="minorHAnsi" w:hAnsiTheme="minorHAnsi" w:cstheme="minorHAnsi"/>
        </w:rPr>
        <w:t>(</w:t>
      </w:r>
      <w:r w:rsidR="00716435" w:rsidRPr="00B12B3B">
        <w:rPr>
          <w:rFonts w:asciiTheme="minorHAnsi" w:hAnsiTheme="minorHAnsi" w:cstheme="minorHAnsi"/>
          <w:noProof/>
        </w:rPr>
        <w:t>Conversion And Neuro-inflammation Disorder Observational (CANDO) study, 2019</w:t>
      </w:r>
      <w:r w:rsidR="00DF1CF9" w:rsidRPr="00B12B3B">
        <w:rPr>
          <w:rFonts w:asciiTheme="minorHAnsi" w:hAnsiTheme="minorHAnsi" w:cstheme="minorHAnsi"/>
          <w:noProof/>
        </w:rPr>
        <w:t>)</w:t>
      </w:r>
      <w:r w:rsidR="00806198" w:rsidRPr="00B12B3B">
        <w:rPr>
          <w:rFonts w:asciiTheme="minorHAnsi" w:hAnsiTheme="minorHAnsi" w:cstheme="minorHAnsi"/>
          <w:noProof/>
        </w:rPr>
        <w:t>.</w:t>
      </w:r>
      <w:r w:rsidR="00716435" w:rsidRPr="00B12B3B">
        <w:rPr>
          <w:rFonts w:asciiTheme="minorHAnsi" w:hAnsiTheme="minorHAnsi" w:cstheme="minorHAnsi"/>
        </w:rPr>
        <w:t xml:space="preserve"> </w:t>
      </w:r>
      <w:r w:rsidR="006A1648" w:rsidRPr="00B12B3B">
        <w:rPr>
          <w:rFonts w:asciiTheme="minorHAnsi" w:hAnsiTheme="minorHAnsi" w:cstheme="minorHAnsi"/>
        </w:rPr>
        <w:t xml:space="preserve">The </w:t>
      </w:r>
      <w:r w:rsidR="00A34FAA" w:rsidRPr="00B12B3B">
        <w:rPr>
          <w:rFonts w:asciiTheme="minorHAnsi" w:hAnsiTheme="minorHAnsi" w:cstheme="minorHAnsi"/>
        </w:rPr>
        <w:t>target population w</w:t>
      </w:r>
      <w:r w:rsidR="00911614" w:rsidRPr="00B12B3B">
        <w:rPr>
          <w:rFonts w:asciiTheme="minorHAnsi" w:hAnsiTheme="minorHAnsi" w:cstheme="minorHAnsi"/>
        </w:rPr>
        <w:t>as</w:t>
      </w:r>
      <w:r w:rsidR="00A34FAA" w:rsidRPr="00B12B3B">
        <w:rPr>
          <w:rFonts w:asciiTheme="minorHAnsi" w:hAnsiTheme="minorHAnsi" w:cstheme="minorHAnsi"/>
        </w:rPr>
        <w:t xml:space="preserve"> adult patients, aged 18 and above with diagnosed </w:t>
      </w:r>
      <w:r w:rsidR="00911614" w:rsidRPr="00B12B3B">
        <w:rPr>
          <w:rFonts w:asciiTheme="minorHAnsi" w:hAnsiTheme="minorHAnsi" w:cstheme="minorHAnsi"/>
        </w:rPr>
        <w:t>CD/FND</w:t>
      </w:r>
      <w:r w:rsidR="00A34FAA" w:rsidRPr="00B12B3B">
        <w:rPr>
          <w:rFonts w:asciiTheme="minorHAnsi" w:hAnsiTheme="minorHAnsi" w:cstheme="minorHAnsi"/>
        </w:rPr>
        <w:t xml:space="preserve"> with</w:t>
      </w:r>
      <w:r w:rsidR="00911614" w:rsidRPr="00B12B3B">
        <w:rPr>
          <w:rFonts w:asciiTheme="minorHAnsi" w:hAnsiTheme="minorHAnsi" w:cstheme="minorHAnsi"/>
        </w:rPr>
        <w:t xml:space="preserve"> </w:t>
      </w:r>
      <w:r w:rsidR="00A34FAA" w:rsidRPr="00B12B3B">
        <w:rPr>
          <w:rFonts w:asciiTheme="minorHAnsi" w:hAnsiTheme="minorHAnsi" w:cstheme="minorHAnsi"/>
        </w:rPr>
        <w:t xml:space="preserve">motor symptoms. Both incident and prevalent cases </w:t>
      </w:r>
      <w:r w:rsidR="00911614" w:rsidRPr="00B12B3B">
        <w:rPr>
          <w:rFonts w:asciiTheme="minorHAnsi" w:hAnsiTheme="minorHAnsi" w:cstheme="minorHAnsi"/>
        </w:rPr>
        <w:t xml:space="preserve">could </w:t>
      </w:r>
      <w:r w:rsidR="00A34FAA" w:rsidRPr="00B12B3B">
        <w:rPr>
          <w:rFonts w:asciiTheme="minorHAnsi" w:hAnsiTheme="minorHAnsi" w:cstheme="minorHAnsi"/>
        </w:rPr>
        <w:t xml:space="preserve">be included. </w:t>
      </w:r>
      <w:bookmarkStart w:id="6" w:name="_Hlk64237191"/>
      <w:r w:rsidR="00911614" w:rsidRPr="00B12B3B">
        <w:rPr>
          <w:rFonts w:asciiTheme="minorHAnsi" w:hAnsiTheme="minorHAnsi" w:cstheme="minorHAnsi"/>
        </w:rPr>
        <w:t>P</w:t>
      </w:r>
      <w:r w:rsidR="00A34FAA" w:rsidRPr="00B12B3B">
        <w:rPr>
          <w:rFonts w:asciiTheme="minorHAnsi" w:hAnsiTheme="minorHAnsi" w:cstheme="minorHAnsi"/>
        </w:rPr>
        <w:t xml:space="preserve">atients </w:t>
      </w:r>
      <w:r w:rsidR="00A34FAA" w:rsidRPr="00B12B3B">
        <w:rPr>
          <w:rFonts w:asciiTheme="minorHAnsi" w:hAnsiTheme="minorHAnsi" w:cstheme="minorHAnsi"/>
          <w:color w:val="222222"/>
          <w:shd w:val="clear" w:color="auto" w:fill="FFFFFF"/>
        </w:rPr>
        <w:t>with a</w:t>
      </w:r>
      <w:r w:rsidR="000F777A" w:rsidRPr="00B12B3B">
        <w:rPr>
          <w:rFonts w:asciiTheme="minorHAnsi" w:hAnsiTheme="minorHAnsi" w:cstheme="minorHAnsi"/>
          <w:color w:val="222222"/>
          <w:shd w:val="clear" w:color="auto" w:fill="FFFFFF"/>
        </w:rPr>
        <w:t>ny inflammatory condition, such as for example a</w:t>
      </w:r>
      <w:r w:rsidR="00A34FAA" w:rsidRPr="00B12B3B">
        <w:rPr>
          <w:rFonts w:asciiTheme="minorHAnsi" w:hAnsiTheme="minorHAnsi" w:cstheme="minorHAnsi"/>
          <w:color w:val="222222"/>
          <w:shd w:val="clear" w:color="auto" w:fill="FFFFFF"/>
        </w:rPr>
        <w:t xml:space="preserve"> </w:t>
      </w:r>
      <w:bookmarkEnd w:id="6"/>
      <w:r w:rsidR="00A34FAA" w:rsidRPr="00B12B3B">
        <w:rPr>
          <w:rFonts w:asciiTheme="minorHAnsi" w:hAnsiTheme="minorHAnsi" w:cstheme="minorHAnsi"/>
          <w:color w:val="222222"/>
          <w:shd w:val="clear" w:color="auto" w:fill="FFFFFF"/>
        </w:rPr>
        <w:t>diagnosis of Cushing’s syndrome</w:t>
      </w:r>
      <w:r w:rsidR="00133A61" w:rsidRPr="00B12B3B">
        <w:rPr>
          <w:rFonts w:asciiTheme="minorHAnsi" w:hAnsiTheme="minorHAnsi" w:cstheme="minorHAnsi"/>
          <w:color w:val="222222"/>
          <w:shd w:val="clear" w:color="auto" w:fill="FFFFFF"/>
        </w:rPr>
        <w:t>;</w:t>
      </w:r>
      <w:r w:rsidR="00A34FAA" w:rsidRPr="00B12B3B">
        <w:rPr>
          <w:rFonts w:asciiTheme="minorHAnsi" w:hAnsiTheme="minorHAnsi" w:cstheme="minorHAnsi"/>
          <w:color w:val="222222"/>
          <w:shd w:val="clear" w:color="auto" w:fill="FFFFFF"/>
        </w:rPr>
        <w:t xml:space="preserve"> any blood-clotting disorders (e.g. haemophilia) or transfusion transmissible infections (e.g. HIV); </w:t>
      </w:r>
      <w:r w:rsidR="00911614" w:rsidRPr="00B12B3B">
        <w:rPr>
          <w:rFonts w:asciiTheme="minorHAnsi" w:hAnsiTheme="minorHAnsi" w:cstheme="minorHAnsi"/>
          <w:color w:val="222222"/>
          <w:shd w:val="clear" w:color="auto" w:fill="FFFFFF"/>
        </w:rPr>
        <w:t>on</w:t>
      </w:r>
      <w:r w:rsidR="00A34FAA" w:rsidRPr="00B12B3B">
        <w:rPr>
          <w:rFonts w:asciiTheme="minorHAnsi" w:hAnsiTheme="minorHAnsi" w:cstheme="minorHAnsi"/>
          <w:color w:val="222222"/>
          <w:shd w:val="clear" w:color="auto" w:fill="FFFFFF"/>
        </w:rPr>
        <w:t xml:space="preserve"> steroidal </w:t>
      </w:r>
      <w:r w:rsidR="00911614" w:rsidRPr="00B12B3B">
        <w:rPr>
          <w:rFonts w:asciiTheme="minorHAnsi" w:hAnsiTheme="minorHAnsi" w:cstheme="minorHAnsi"/>
          <w:color w:val="222222"/>
          <w:shd w:val="clear" w:color="auto" w:fill="FFFFFF"/>
        </w:rPr>
        <w:t xml:space="preserve">or other anti-inflammatory </w:t>
      </w:r>
      <w:r w:rsidR="00A34FAA" w:rsidRPr="00B12B3B">
        <w:rPr>
          <w:rFonts w:asciiTheme="minorHAnsi" w:hAnsiTheme="minorHAnsi" w:cstheme="minorHAnsi"/>
          <w:color w:val="222222"/>
          <w:shd w:val="clear" w:color="auto" w:fill="FFFFFF"/>
        </w:rPr>
        <w:t>medication</w:t>
      </w:r>
      <w:r w:rsidR="00911614" w:rsidRPr="00B12B3B">
        <w:rPr>
          <w:rFonts w:asciiTheme="minorHAnsi" w:hAnsiTheme="minorHAnsi" w:cstheme="minorHAnsi"/>
          <w:color w:val="222222"/>
          <w:shd w:val="clear" w:color="auto" w:fill="FFFFFF"/>
        </w:rPr>
        <w:t xml:space="preserve"> </w:t>
      </w:r>
      <w:r w:rsidR="009022A4" w:rsidRPr="00B12B3B">
        <w:rPr>
          <w:rFonts w:asciiTheme="minorHAnsi" w:hAnsiTheme="minorHAnsi" w:cstheme="minorHAnsi"/>
          <w:bCs/>
        </w:rPr>
        <w:t>at the point of recruitment to the study, as taken from patient files or self-reported, were excluded</w:t>
      </w:r>
      <w:r w:rsidR="00911614" w:rsidRPr="00B12B3B">
        <w:rPr>
          <w:rFonts w:asciiTheme="minorHAnsi" w:hAnsiTheme="minorHAnsi" w:cstheme="minorHAnsi"/>
          <w:color w:val="222222"/>
          <w:shd w:val="clear" w:color="auto" w:fill="FFFFFF"/>
        </w:rPr>
        <w:t>. P</w:t>
      </w:r>
      <w:r w:rsidR="00A34FAA" w:rsidRPr="00B12B3B">
        <w:rPr>
          <w:rFonts w:asciiTheme="minorHAnsi" w:hAnsiTheme="minorHAnsi" w:cstheme="minorHAnsi"/>
          <w:color w:val="222222"/>
          <w:shd w:val="clear" w:color="auto" w:fill="FFFFFF"/>
        </w:rPr>
        <w:t xml:space="preserve">atients with non-motor </w:t>
      </w:r>
      <w:r w:rsidR="005D1C9B" w:rsidRPr="00B12B3B">
        <w:rPr>
          <w:rFonts w:asciiTheme="minorHAnsi" w:hAnsiTheme="minorHAnsi" w:cstheme="minorHAnsi"/>
          <w:color w:val="222222"/>
          <w:shd w:val="clear" w:color="auto" w:fill="FFFFFF"/>
        </w:rPr>
        <w:t>CD/FND</w:t>
      </w:r>
      <w:r w:rsidR="00A34FAA" w:rsidRPr="00B12B3B">
        <w:rPr>
          <w:rFonts w:asciiTheme="minorHAnsi" w:hAnsiTheme="minorHAnsi" w:cstheme="minorHAnsi"/>
          <w:color w:val="222222"/>
          <w:shd w:val="clear" w:color="auto" w:fill="FFFFFF"/>
        </w:rPr>
        <w:t xml:space="preserve">, pseudo-seizures </w:t>
      </w:r>
      <w:r w:rsidR="005D1C9B" w:rsidRPr="00B12B3B">
        <w:rPr>
          <w:rFonts w:asciiTheme="minorHAnsi" w:hAnsiTheme="minorHAnsi" w:cstheme="minorHAnsi"/>
          <w:color w:val="222222"/>
          <w:shd w:val="clear" w:color="auto" w:fill="FFFFFF"/>
        </w:rPr>
        <w:t xml:space="preserve">or </w:t>
      </w:r>
      <w:r w:rsidR="00A34FAA" w:rsidRPr="00B12B3B">
        <w:rPr>
          <w:rFonts w:asciiTheme="minorHAnsi" w:hAnsiTheme="minorHAnsi" w:cstheme="minorHAnsi"/>
          <w:color w:val="222222"/>
          <w:shd w:val="clear" w:color="auto" w:fill="FFFFFF"/>
        </w:rPr>
        <w:t>epileptic seizures</w:t>
      </w:r>
      <w:r w:rsidR="00911614" w:rsidRPr="00B12B3B">
        <w:rPr>
          <w:rFonts w:asciiTheme="minorHAnsi" w:hAnsiTheme="minorHAnsi" w:cstheme="minorHAnsi"/>
          <w:color w:val="222222"/>
          <w:shd w:val="clear" w:color="auto" w:fill="FFFFFF"/>
        </w:rPr>
        <w:t xml:space="preserve">, as well as </w:t>
      </w:r>
      <w:r w:rsidR="00A34FAA" w:rsidRPr="00B12B3B">
        <w:rPr>
          <w:rFonts w:asciiTheme="minorHAnsi" w:hAnsiTheme="minorHAnsi" w:cstheme="minorHAnsi"/>
          <w:color w:val="222222"/>
          <w:shd w:val="clear" w:color="auto" w:fill="FFFFFF"/>
        </w:rPr>
        <w:t xml:space="preserve">patients with brain injury or neuro-degenerative conditions </w:t>
      </w:r>
      <w:r w:rsidR="006A1648" w:rsidRPr="00B12B3B">
        <w:rPr>
          <w:rFonts w:asciiTheme="minorHAnsi" w:hAnsiTheme="minorHAnsi" w:cstheme="minorHAnsi"/>
          <w:color w:val="222222"/>
          <w:shd w:val="clear" w:color="auto" w:fill="FFFFFF"/>
        </w:rPr>
        <w:t>(</w:t>
      </w:r>
      <w:r w:rsidR="00A34FAA" w:rsidRPr="00B12B3B">
        <w:rPr>
          <w:rFonts w:asciiTheme="minorHAnsi" w:hAnsiTheme="minorHAnsi" w:cstheme="minorHAnsi"/>
          <w:color w:val="222222"/>
          <w:shd w:val="clear" w:color="auto" w:fill="FFFFFF"/>
        </w:rPr>
        <w:t>such as dementia or Parkinson’s disease</w:t>
      </w:r>
      <w:r w:rsidR="006A1648" w:rsidRPr="00B12B3B">
        <w:rPr>
          <w:rFonts w:asciiTheme="minorHAnsi" w:hAnsiTheme="minorHAnsi" w:cstheme="minorHAnsi"/>
          <w:color w:val="222222"/>
          <w:shd w:val="clear" w:color="auto" w:fill="FFFFFF"/>
        </w:rPr>
        <w:t>)</w:t>
      </w:r>
      <w:r w:rsidR="00911614" w:rsidRPr="00B12B3B">
        <w:rPr>
          <w:rFonts w:asciiTheme="minorHAnsi" w:hAnsiTheme="minorHAnsi" w:cstheme="minorHAnsi"/>
          <w:color w:val="222222"/>
          <w:shd w:val="clear" w:color="auto" w:fill="FFFFFF"/>
        </w:rPr>
        <w:t xml:space="preserve"> were excluded</w:t>
      </w:r>
      <w:r w:rsidR="00716435" w:rsidRPr="00B12B3B">
        <w:rPr>
          <w:rFonts w:asciiTheme="minorHAnsi" w:hAnsiTheme="minorHAnsi" w:cstheme="minorHAnsi"/>
          <w:color w:val="222222"/>
          <w:shd w:val="clear" w:color="auto" w:fill="FFFFFF"/>
        </w:rPr>
        <w:t xml:space="preserve">. </w:t>
      </w:r>
      <w:r w:rsidR="005D1C9B" w:rsidRPr="00B12B3B">
        <w:rPr>
          <w:rFonts w:asciiTheme="minorHAnsi" w:hAnsiTheme="minorHAnsi" w:cstheme="minorHAnsi"/>
          <w:color w:val="222222"/>
          <w:shd w:val="clear" w:color="auto" w:fill="FFFFFF"/>
        </w:rPr>
        <w:t xml:space="preserve">Recruitment started </w:t>
      </w:r>
      <w:r w:rsidR="00F12D82" w:rsidRPr="00B12B3B">
        <w:rPr>
          <w:rFonts w:asciiTheme="minorHAnsi" w:hAnsiTheme="minorHAnsi" w:cstheme="minorHAnsi"/>
          <w:color w:val="222222"/>
          <w:shd w:val="clear" w:color="auto" w:fill="FFFFFF"/>
        </w:rPr>
        <w:t>August 2019</w:t>
      </w:r>
      <w:r w:rsidR="00680909" w:rsidRPr="00B12B3B">
        <w:rPr>
          <w:rFonts w:asciiTheme="minorHAnsi" w:hAnsiTheme="minorHAnsi" w:cstheme="minorHAnsi"/>
          <w:color w:val="222222"/>
          <w:shd w:val="clear" w:color="auto" w:fill="FFFFFF"/>
        </w:rPr>
        <w:t xml:space="preserve"> and </w:t>
      </w:r>
      <w:r w:rsidR="00311C34" w:rsidRPr="00B12B3B">
        <w:rPr>
          <w:rFonts w:asciiTheme="minorHAnsi" w:hAnsiTheme="minorHAnsi" w:cstheme="minorHAnsi"/>
        </w:rPr>
        <w:t xml:space="preserve">was planned to end </w:t>
      </w:r>
      <w:r w:rsidR="00F12D82" w:rsidRPr="00B12B3B">
        <w:rPr>
          <w:rFonts w:asciiTheme="minorHAnsi" w:hAnsiTheme="minorHAnsi" w:cstheme="minorHAnsi"/>
        </w:rPr>
        <w:t>June 1</w:t>
      </w:r>
      <w:r w:rsidR="00F12D82" w:rsidRPr="00B12B3B">
        <w:rPr>
          <w:rFonts w:asciiTheme="minorHAnsi" w:hAnsiTheme="minorHAnsi" w:cstheme="minorHAnsi"/>
          <w:vertAlign w:val="superscript"/>
        </w:rPr>
        <w:t>st</w:t>
      </w:r>
      <w:r w:rsidR="00F12D82" w:rsidRPr="00B12B3B">
        <w:rPr>
          <w:rFonts w:asciiTheme="minorHAnsi" w:hAnsiTheme="minorHAnsi" w:cstheme="minorHAnsi"/>
        </w:rPr>
        <w:t xml:space="preserve"> </w:t>
      </w:r>
      <w:r w:rsidR="00311C34" w:rsidRPr="00B12B3B">
        <w:rPr>
          <w:rFonts w:asciiTheme="minorHAnsi" w:hAnsiTheme="minorHAnsi" w:cstheme="minorHAnsi"/>
        </w:rPr>
        <w:t>2020.</w:t>
      </w:r>
      <w:r w:rsidR="00EB4527" w:rsidRPr="00B12B3B">
        <w:rPr>
          <w:rFonts w:asciiTheme="minorHAnsi" w:hAnsiTheme="minorHAnsi" w:cstheme="minorHAnsi"/>
        </w:rPr>
        <w:t xml:space="preserve"> </w:t>
      </w:r>
      <w:r w:rsidR="00A34FAA" w:rsidRPr="00B12B3B">
        <w:rPr>
          <w:rFonts w:asciiTheme="minorHAnsi" w:hAnsiTheme="minorHAnsi" w:cstheme="minorHAnsi"/>
        </w:rPr>
        <w:t>All participants continue</w:t>
      </w:r>
      <w:r w:rsidR="00895232" w:rsidRPr="00B12B3B">
        <w:rPr>
          <w:rFonts w:asciiTheme="minorHAnsi" w:hAnsiTheme="minorHAnsi" w:cstheme="minorHAnsi"/>
        </w:rPr>
        <w:t>d</w:t>
      </w:r>
      <w:r w:rsidR="00A34FAA" w:rsidRPr="00B12B3B">
        <w:rPr>
          <w:rFonts w:asciiTheme="minorHAnsi" w:hAnsiTheme="minorHAnsi" w:cstheme="minorHAnsi"/>
        </w:rPr>
        <w:t xml:space="preserve"> to receive their usual care throughout the study</w:t>
      </w:r>
      <w:bookmarkStart w:id="7" w:name="_Hlk64287464"/>
      <w:r w:rsidR="00B55FF7" w:rsidRPr="00B12B3B">
        <w:rPr>
          <w:rFonts w:asciiTheme="minorHAnsi" w:hAnsiTheme="minorHAnsi" w:cstheme="minorHAnsi"/>
        </w:rPr>
        <w:t xml:space="preserve">, which could consist </w:t>
      </w:r>
      <w:r w:rsidR="00D42976" w:rsidRPr="00B12B3B">
        <w:rPr>
          <w:rFonts w:asciiTheme="minorHAnsi" w:hAnsiTheme="minorHAnsi" w:cstheme="minorHAnsi"/>
        </w:rPr>
        <w:t xml:space="preserve">of a combination of Cognitive </w:t>
      </w:r>
      <w:proofErr w:type="spellStart"/>
      <w:r w:rsidR="00D42976" w:rsidRPr="00B12B3B">
        <w:rPr>
          <w:rFonts w:asciiTheme="minorHAnsi" w:hAnsiTheme="minorHAnsi" w:cstheme="minorHAnsi"/>
        </w:rPr>
        <w:t>Behavioral</w:t>
      </w:r>
      <w:proofErr w:type="spellEnd"/>
      <w:r w:rsidR="00D42976" w:rsidRPr="00B12B3B">
        <w:rPr>
          <w:rFonts w:asciiTheme="minorHAnsi" w:hAnsiTheme="minorHAnsi" w:cstheme="minorHAnsi"/>
        </w:rPr>
        <w:t xml:space="preserve"> Treatment (CBT) and physiotherapy</w:t>
      </w:r>
      <w:r w:rsidR="00B55FF7" w:rsidRPr="00B12B3B">
        <w:rPr>
          <w:rFonts w:asciiTheme="minorHAnsi" w:hAnsiTheme="minorHAnsi" w:cstheme="minorHAnsi"/>
        </w:rPr>
        <w:t>; it was out of scope of this feasibility study to record details about usual care provision</w:t>
      </w:r>
      <w:r w:rsidR="00D42976" w:rsidRPr="00B12B3B">
        <w:rPr>
          <w:rFonts w:asciiTheme="minorHAnsi" w:hAnsiTheme="minorHAnsi" w:cstheme="minorHAnsi"/>
        </w:rPr>
        <w:t>.</w:t>
      </w:r>
      <w:r w:rsidR="00A34FAA" w:rsidRPr="00B12B3B">
        <w:rPr>
          <w:rFonts w:asciiTheme="minorHAnsi" w:hAnsiTheme="minorHAnsi" w:cstheme="minorHAnsi"/>
        </w:rPr>
        <w:t xml:space="preserve"> </w:t>
      </w:r>
      <w:bookmarkEnd w:id="7"/>
      <w:r w:rsidR="00680909" w:rsidRPr="00B12B3B">
        <w:rPr>
          <w:rFonts w:asciiTheme="minorHAnsi" w:hAnsiTheme="minorHAnsi" w:cstheme="minorHAnsi"/>
        </w:rPr>
        <w:t>To confirm the diagnosis, p</w:t>
      </w:r>
      <w:r w:rsidR="00A34FAA" w:rsidRPr="00B12B3B">
        <w:rPr>
          <w:rFonts w:asciiTheme="minorHAnsi" w:hAnsiTheme="minorHAnsi" w:cstheme="minorHAnsi"/>
          <w:bCs/>
          <w:iCs/>
        </w:rPr>
        <w:t xml:space="preserve">sychiatric </w:t>
      </w:r>
      <w:r w:rsidR="00C342F9" w:rsidRPr="00B12B3B">
        <w:rPr>
          <w:rFonts w:asciiTheme="minorHAnsi" w:hAnsiTheme="minorHAnsi" w:cstheme="minorHAnsi"/>
          <w:bCs/>
          <w:iCs/>
        </w:rPr>
        <w:t>classification</w:t>
      </w:r>
      <w:r w:rsidR="002D3F8A" w:rsidRPr="00B12B3B">
        <w:rPr>
          <w:rFonts w:asciiTheme="minorHAnsi" w:hAnsiTheme="minorHAnsi" w:cstheme="minorHAnsi"/>
          <w:bCs/>
          <w:iCs/>
        </w:rPr>
        <w:t xml:space="preserve"> (PSE)</w:t>
      </w:r>
      <w:r w:rsidR="00680909" w:rsidRPr="00B12B3B">
        <w:rPr>
          <w:rFonts w:asciiTheme="minorHAnsi" w:hAnsiTheme="minorHAnsi" w:cstheme="minorHAnsi"/>
          <w:bCs/>
          <w:iCs/>
        </w:rPr>
        <w:t xml:space="preserve"> </w:t>
      </w:r>
      <w:r w:rsidR="00867869" w:rsidRPr="00B12B3B">
        <w:rPr>
          <w:rFonts w:asciiTheme="minorHAnsi" w:hAnsiTheme="minorHAnsi" w:cstheme="minorHAnsi"/>
          <w:bCs/>
        </w:rPr>
        <w:t>following</w:t>
      </w:r>
      <w:r w:rsidR="00A34FAA" w:rsidRPr="00B12B3B">
        <w:rPr>
          <w:rFonts w:asciiTheme="minorHAnsi" w:hAnsiTheme="minorHAnsi" w:cstheme="minorHAnsi"/>
          <w:bCs/>
        </w:rPr>
        <w:t xml:space="preserve"> DSM-5 classification</w:t>
      </w:r>
      <w:r w:rsidR="00867869" w:rsidRPr="00B12B3B">
        <w:rPr>
          <w:rFonts w:asciiTheme="minorHAnsi" w:hAnsiTheme="minorHAnsi" w:cstheme="minorHAnsi"/>
          <w:bCs/>
        </w:rPr>
        <w:t xml:space="preserve"> criteria</w:t>
      </w:r>
      <w:r w:rsidR="00716435" w:rsidRPr="00B12B3B">
        <w:rPr>
          <w:rFonts w:asciiTheme="minorHAnsi" w:hAnsiTheme="minorHAnsi" w:cstheme="minorHAnsi"/>
          <w:bCs/>
        </w:rPr>
        <w:t xml:space="preserve"> (American Psychiatric Association, 2013)</w:t>
      </w:r>
      <w:r w:rsidR="00680909" w:rsidRPr="00B12B3B">
        <w:rPr>
          <w:rFonts w:asciiTheme="minorHAnsi" w:hAnsiTheme="minorHAnsi" w:cstheme="minorHAnsi"/>
          <w:bCs/>
        </w:rPr>
        <w:t xml:space="preserve"> and</w:t>
      </w:r>
      <w:r w:rsidR="00A34FAA" w:rsidRPr="00B12B3B">
        <w:rPr>
          <w:rFonts w:asciiTheme="minorHAnsi" w:hAnsiTheme="minorHAnsi" w:cstheme="minorHAnsi"/>
          <w:bCs/>
        </w:rPr>
        <w:t xml:space="preserve"> </w:t>
      </w:r>
      <w:r w:rsidR="00867869" w:rsidRPr="00B12B3B">
        <w:rPr>
          <w:rFonts w:asciiTheme="minorHAnsi" w:hAnsiTheme="minorHAnsi" w:cstheme="minorHAnsi"/>
          <w:bCs/>
        </w:rPr>
        <w:t>Mini Mental State Examination (MMSE)</w:t>
      </w:r>
      <w:r w:rsidR="00133A61" w:rsidRPr="00B12B3B">
        <w:rPr>
          <w:rFonts w:asciiTheme="minorHAnsi" w:hAnsiTheme="minorHAnsi" w:cstheme="minorHAnsi"/>
          <w:bCs/>
        </w:rPr>
        <w:t xml:space="preserve"> </w:t>
      </w:r>
      <w:r w:rsidR="007E3C61" w:rsidRPr="00B12B3B">
        <w:rPr>
          <w:rFonts w:asciiTheme="minorHAnsi" w:hAnsiTheme="minorHAnsi" w:cstheme="minorHAnsi"/>
          <w:bCs/>
        </w:rPr>
        <w:t>(</w:t>
      </w:r>
      <w:proofErr w:type="spellStart"/>
      <w:r w:rsidR="007E3C61" w:rsidRPr="00B12B3B">
        <w:rPr>
          <w:rFonts w:asciiTheme="minorHAnsi" w:hAnsiTheme="minorHAnsi" w:cstheme="minorHAnsi"/>
          <w:bCs/>
        </w:rPr>
        <w:t>Schmand</w:t>
      </w:r>
      <w:proofErr w:type="spellEnd"/>
      <w:r w:rsidR="007E3C61" w:rsidRPr="00B12B3B">
        <w:rPr>
          <w:rFonts w:asciiTheme="minorHAnsi" w:hAnsiTheme="minorHAnsi" w:cstheme="minorHAnsi"/>
          <w:bCs/>
        </w:rPr>
        <w:t xml:space="preserve"> et al., 1995)</w:t>
      </w:r>
      <w:r w:rsidR="00867869" w:rsidRPr="00B12B3B">
        <w:rPr>
          <w:rFonts w:asciiTheme="minorHAnsi" w:hAnsiTheme="minorHAnsi" w:cstheme="minorHAnsi"/>
          <w:bCs/>
        </w:rPr>
        <w:t xml:space="preserve"> w</w:t>
      </w:r>
      <w:r w:rsidR="000C33B2" w:rsidRPr="00B12B3B">
        <w:rPr>
          <w:rFonts w:asciiTheme="minorHAnsi" w:hAnsiTheme="minorHAnsi" w:cstheme="minorHAnsi"/>
          <w:bCs/>
        </w:rPr>
        <w:t>ere</w:t>
      </w:r>
      <w:r w:rsidR="00867869" w:rsidRPr="00B12B3B">
        <w:rPr>
          <w:rFonts w:asciiTheme="minorHAnsi" w:hAnsiTheme="minorHAnsi" w:cstheme="minorHAnsi"/>
          <w:bCs/>
        </w:rPr>
        <w:t xml:space="preserve"> performed according to a predetermined format that included checking the medical history regarding diagnosis of CD/FND</w:t>
      </w:r>
      <w:r w:rsidR="00680909" w:rsidRPr="00B12B3B">
        <w:rPr>
          <w:rFonts w:asciiTheme="minorHAnsi" w:hAnsiTheme="minorHAnsi" w:cstheme="minorHAnsi"/>
          <w:bCs/>
        </w:rPr>
        <w:t xml:space="preserve"> and</w:t>
      </w:r>
      <w:r w:rsidR="00753CC2" w:rsidRPr="00B12B3B">
        <w:rPr>
          <w:rFonts w:asciiTheme="minorHAnsi" w:hAnsiTheme="minorHAnsi" w:cstheme="minorHAnsi"/>
          <w:bCs/>
        </w:rPr>
        <w:t xml:space="preserve"> establishing the main</w:t>
      </w:r>
      <w:r w:rsidR="004F46FD" w:rsidRPr="00B12B3B">
        <w:rPr>
          <w:rFonts w:asciiTheme="minorHAnsi" w:hAnsiTheme="minorHAnsi" w:cstheme="minorHAnsi"/>
          <w:bCs/>
        </w:rPr>
        <w:t xml:space="preserve"> physical</w:t>
      </w:r>
      <w:r w:rsidR="00753CC2" w:rsidRPr="00B12B3B">
        <w:rPr>
          <w:rFonts w:asciiTheme="minorHAnsi" w:hAnsiTheme="minorHAnsi" w:cstheme="minorHAnsi"/>
          <w:bCs/>
        </w:rPr>
        <w:t xml:space="preserve"> symptom</w:t>
      </w:r>
      <w:r w:rsidR="00920474" w:rsidRPr="00B12B3B">
        <w:rPr>
          <w:rFonts w:asciiTheme="minorHAnsi" w:hAnsiTheme="minorHAnsi" w:cstheme="minorHAnsi"/>
          <w:bCs/>
        </w:rPr>
        <w:t>.</w:t>
      </w:r>
      <w:r w:rsidR="003A57C0" w:rsidRPr="00B12B3B">
        <w:rPr>
          <w:rFonts w:asciiTheme="minorHAnsi" w:hAnsiTheme="minorHAnsi" w:cstheme="minorHAnsi"/>
          <w:bCs/>
        </w:rPr>
        <w:t xml:space="preserve"> </w:t>
      </w:r>
    </w:p>
    <w:p w14:paraId="5CB15E1E" w14:textId="3970E472" w:rsidR="00AE3AB1" w:rsidRPr="00B12B3B" w:rsidRDefault="00AE3AB1" w:rsidP="00680909">
      <w:pPr>
        <w:spacing w:line="360" w:lineRule="auto"/>
        <w:jc w:val="both"/>
        <w:rPr>
          <w:rFonts w:asciiTheme="minorHAnsi" w:hAnsiTheme="minorHAnsi" w:cstheme="minorHAnsi"/>
          <w:b/>
        </w:rPr>
      </w:pPr>
      <w:r w:rsidRPr="00B12B3B">
        <w:rPr>
          <w:rFonts w:asciiTheme="minorHAnsi" w:hAnsiTheme="minorHAnsi" w:cstheme="minorHAnsi"/>
          <w:b/>
        </w:rPr>
        <w:t>2.1</w:t>
      </w:r>
      <w:r w:rsidRPr="00B12B3B">
        <w:rPr>
          <w:rFonts w:asciiTheme="minorHAnsi" w:hAnsiTheme="minorHAnsi" w:cstheme="minorHAnsi"/>
          <w:b/>
        </w:rPr>
        <w:tab/>
        <w:t>Outcome measures</w:t>
      </w:r>
    </w:p>
    <w:p w14:paraId="352FDFA2" w14:textId="7845B3CF" w:rsidR="00680909" w:rsidRPr="00B12B3B" w:rsidRDefault="00680909" w:rsidP="00680909">
      <w:pPr>
        <w:spacing w:line="360" w:lineRule="auto"/>
        <w:jc w:val="both"/>
        <w:rPr>
          <w:rFonts w:asciiTheme="minorHAnsi" w:hAnsiTheme="minorHAnsi" w:cstheme="minorHAnsi"/>
          <w:bCs/>
        </w:rPr>
      </w:pPr>
      <w:r w:rsidRPr="00B12B3B">
        <w:rPr>
          <w:rFonts w:asciiTheme="minorHAnsi" w:hAnsiTheme="minorHAnsi" w:cstheme="minorHAnsi"/>
          <w:bCs/>
        </w:rPr>
        <w:t xml:space="preserve">Outcome measures are summarised in Table 1. </w:t>
      </w:r>
    </w:p>
    <w:p w14:paraId="16C9473D" w14:textId="7BE0373D" w:rsidR="00680909" w:rsidRPr="00B12B3B" w:rsidRDefault="00DC5DA8" w:rsidP="00DC5DA8">
      <w:pPr>
        <w:pStyle w:val="Lijstalinea"/>
        <w:numPr>
          <w:ilvl w:val="0"/>
          <w:numId w:val="25"/>
        </w:numPr>
        <w:spacing w:line="360" w:lineRule="auto"/>
        <w:jc w:val="both"/>
        <w:rPr>
          <w:rFonts w:asciiTheme="minorHAnsi" w:hAnsiTheme="minorHAnsi" w:cstheme="minorHAnsi"/>
          <w:bCs/>
        </w:rPr>
      </w:pPr>
      <w:r w:rsidRPr="00B12B3B">
        <w:rPr>
          <w:rFonts w:asciiTheme="minorHAnsi" w:hAnsiTheme="minorHAnsi" w:cstheme="minorHAnsi"/>
          <w:bCs/>
        </w:rPr>
        <w:t xml:space="preserve">Insert Table 1 – </w:t>
      </w:r>
    </w:p>
    <w:p w14:paraId="056936AA" w14:textId="7EF36EC3" w:rsidR="00AE3AB1" w:rsidRPr="00B12B3B" w:rsidRDefault="00AE3AB1" w:rsidP="00680909">
      <w:pPr>
        <w:spacing w:line="360" w:lineRule="auto"/>
        <w:jc w:val="both"/>
        <w:rPr>
          <w:rFonts w:asciiTheme="minorHAnsi" w:hAnsiTheme="minorHAnsi" w:cstheme="minorHAnsi"/>
          <w:b/>
        </w:rPr>
      </w:pPr>
      <w:r w:rsidRPr="00B12B3B">
        <w:rPr>
          <w:rFonts w:asciiTheme="minorHAnsi" w:hAnsiTheme="minorHAnsi" w:cstheme="minorHAnsi"/>
          <w:b/>
        </w:rPr>
        <w:t>2.2</w:t>
      </w:r>
      <w:r w:rsidRPr="00B12B3B">
        <w:rPr>
          <w:rFonts w:asciiTheme="minorHAnsi" w:hAnsiTheme="minorHAnsi" w:cstheme="minorHAnsi"/>
          <w:b/>
        </w:rPr>
        <w:tab/>
        <w:t>Neurocognitive functioning</w:t>
      </w:r>
    </w:p>
    <w:p w14:paraId="5DD974F4" w14:textId="7DFDEEC5" w:rsidR="00970723" w:rsidRPr="00B12B3B" w:rsidRDefault="002D3F8A" w:rsidP="00AE3AB1">
      <w:pPr>
        <w:pStyle w:val="Tekstopmerking"/>
        <w:spacing w:line="360" w:lineRule="auto"/>
        <w:jc w:val="both"/>
        <w:rPr>
          <w:rFonts w:asciiTheme="minorHAnsi" w:hAnsiTheme="minorHAnsi" w:cstheme="minorHAnsi"/>
          <w:bCs/>
          <w:sz w:val="24"/>
          <w:szCs w:val="24"/>
        </w:rPr>
      </w:pPr>
      <w:r w:rsidRPr="00B12B3B">
        <w:rPr>
          <w:rFonts w:asciiTheme="minorHAnsi" w:hAnsiTheme="minorHAnsi" w:cstheme="minorHAnsi"/>
          <w:bCs/>
          <w:sz w:val="24"/>
          <w:szCs w:val="24"/>
        </w:rPr>
        <w:t xml:space="preserve">Assessment of neurocognitive functioning was performed </w:t>
      </w:r>
      <w:r w:rsidR="0026683C" w:rsidRPr="00B12B3B">
        <w:rPr>
          <w:rFonts w:asciiTheme="minorHAnsi" w:hAnsiTheme="minorHAnsi" w:cstheme="minorHAnsi"/>
          <w:sz w:val="24"/>
          <w:szCs w:val="24"/>
        </w:rPr>
        <w:t xml:space="preserve">using selected, standardised tests of information processing, executive functioning and memory. </w:t>
      </w:r>
      <w:r w:rsidRPr="00B12B3B">
        <w:rPr>
          <w:rFonts w:asciiTheme="minorHAnsi" w:hAnsiTheme="minorHAnsi" w:cstheme="minorHAnsi"/>
          <w:iCs/>
          <w:color w:val="000000"/>
          <w:sz w:val="24"/>
          <w:szCs w:val="24"/>
        </w:rPr>
        <w:t>First the Test of M</w:t>
      </w:r>
      <w:proofErr w:type="spellStart"/>
      <w:r w:rsidRPr="00B12B3B">
        <w:rPr>
          <w:rFonts w:asciiTheme="minorHAnsi" w:hAnsiTheme="minorHAnsi" w:cstheme="minorHAnsi"/>
          <w:sz w:val="24"/>
          <w:szCs w:val="24"/>
          <w:lang w:val="en-US"/>
        </w:rPr>
        <w:t>emory</w:t>
      </w:r>
      <w:proofErr w:type="spellEnd"/>
      <w:r w:rsidRPr="00B12B3B">
        <w:rPr>
          <w:rFonts w:asciiTheme="minorHAnsi" w:hAnsiTheme="minorHAnsi" w:cstheme="minorHAnsi"/>
          <w:sz w:val="24"/>
          <w:szCs w:val="24"/>
          <w:lang w:val="en-US"/>
        </w:rPr>
        <w:t xml:space="preserve"> Malingering (</w:t>
      </w:r>
      <w:r w:rsidRPr="00B12B3B">
        <w:rPr>
          <w:rFonts w:asciiTheme="minorHAnsi" w:hAnsiTheme="minorHAnsi" w:cstheme="minorHAnsi"/>
          <w:iCs/>
          <w:color w:val="000000"/>
          <w:sz w:val="24"/>
          <w:szCs w:val="24"/>
        </w:rPr>
        <w:t>TOMM test)</w:t>
      </w:r>
      <w:r w:rsidR="00133A61" w:rsidRPr="00B12B3B">
        <w:rPr>
          <w:rFonts w:asciiTheme="minorHAnsi" w:hAnsiTheme="minorHAnsi" w:cstheme="minorHAnsi"/>
          <w:iCs/>
          <w:color w:val="000000"/>
          <w:sz w:val="24"/>
          <w:szCs w:val="24"/>
        </w:rPr>
        <w:t xml:space="preserve"> </w:t>
      </w:r>
      <w:r w:rsidR="007E3C61" w:rsidRPr="00B12B3B">
        <w:rPr>
          <w:rFonts w:asciiTheme="minorHAnsi" w:hAnsiTheme="minorHAnsi" w:cstheme="minorHAnsi"/>
          <w:iCs/>
          <w:color w:val="000000"/>
          <w:sz w:val="24"/>
          <w:szCs w:val="24"/>
        </w:rPr>
        <w:t xml:space="preserve">(Tombaugh &amp; Tombaugh, 1996; </w:t>
      </w:r>
      <w:proofErr w:type="spellStart"/>
      <w:r w:rsidR="007E3C61" w:rsidRPr="00B12B3B">
        <w:rPr>
          <w:rFonts w:asciiTheme="minorHAnsi" w:hAnsiTheme="minorHAnsi" w:cstheme="minorHAnsi"/>
          <w:iCs/>
          <w:color w:val="000000"/>
          <w:sz w:val="24"/>
          <w:szCs w:val="24"/>
        </w:rPr>
        <w:t>Teichner</w:t>
      </w:r>
      <w:proofErr w:type="spellEnd"/>
      <w:r w:rsidR="007E3C61" w:rsidRPr="00B12B3B">
        <w:rPr>
          <w:rFonts w:asciiTheme="minorHAnsi" w:hAnsiTheme="minorHAnsi" w:cstheme="minorHAnsi"/>
          <w:iCs/>
          <w:color w:val="000000"/>
          <w:sz w:val="24"/>
          <w:szCs w:val="24"/>
        </w:rPr>
        <w:t xml:space="preserve"> &amp; Wagner, 1997)</w:t>
      </w:r>
      <w:r w:rsidRPr="00B12B3B">
        <w:rPr>
          <w:rFonts w:asciiTheme="minorHAnsi" w:hAnsiTheme="minorHAnsi" w:cstheme="minorHAnsi"/>
          <w:iCs/>
          <w:color w:val="000000"/>
          <w:sz w:val="24"/>
          <w:szCs w:val="24"/>
        </w:rPr>
        <w:t xml:space="preserve"> was performed to </w:t>
      </w:r>
      <w:r w:rsidR="0026683C" w:rsidRPr="00B12B3B">
        <w:rPr>
          <w:rFonts w:asciiTheme="minorHAnsi" w:hAnsiTheme="minorHAnsi" w:cstheme="minorHAnsi"/>
          <w:iCs/>
          <w:color w:val="000000"/>
          <w:sz w:val="24"/>
          <w:szCs w:val="24"/>
        </w:rPr>
        <w:t>rule out</w:t>
      </w:r>
      <w:r w:rsidRPr="00B12B3B">
        <w:rPr>
          <w:rFonts w:asciiTheme="minorHAnsi" w:hAnsiTheme="minorHAnsi" w:cstheme="minorHAnsi"/>
          <w:iCs/>
          <w:color w:val="000000"/>
          <w:sz w:val="24"/>
          <w:szCs w:val="24"/>
        </w:rPr>
        <w:t xml:space="preserve"> malingering</w:t>
      </w:r>
      <w:r w:rsidR="0026683C" w:rsidRPr="00B12B3B">
        <w:rPr>
          <w:rFonts w:asciiTheme="minorHAnsi" w:hAnsiTheme="minorHAnsi" w:cstheme="minorHAnsi"/>
          <w:iCs/>
          <w:color w:val="000000"/>
          <w:sz w:val="24"/>
          <w:szCs w:val="24"/>
        </w:rPr>
        <w:t>, because of the relevance of potential malingering in the clinical setting. For similar reasons, f</w:t>
      </w:r>
      <w:r w:rsidR="00C20023" w:rsidRPr="00B12B3B">
        <w:rPr>
          <w:rFonts w:asciiTheme="minorHAnsi" w:hAnsiTheme="minorHAnsi" w:cstheme="minorHAnsi"/>
          <w:color w:val="000000"/>
          <w:sz w:val="24"/>
          <w:szCs w:val="24"/>
        </w:rPr>
        <w:t xml:space="preserve">or effort the Digit Span </w:t>
      </w:r>
      <w:r w:rsidR="00B56412" w:rsidRPr="00B12B3B">
        <w:rPr>
          <w:rFonts w:asciiTheme="minorHAnsi" w:hAnsiTheme="minorHAnsi" w:cstheme="minorHAnsi"/>
          <w:color w:val="000000"/>
          <w:sz w:val="24"/>
          <w:szCs w:val="24"/>
        </w:rPr>
        <w:t>sub-test of the Wechsler Adult Intelligence Scale</w:t>
      </w:r>
      <w:r w:rsidR="00D35441" w:rsidRPr="00B12B3B">
        <w:rPr>
          <w:rFonts w:asciiTheme="minorHAnsi" w:hAnsiTheme="minorHAnsi" w:cstheme="minorHAnsi"/>
          <w:color w:val="000000"/>
          <w:sz w:val="24"/>
          <w:szCs w:val="24"/>
        </w:rPr>
        <w:t xml:space="preserve"> (Wechsler, 2008)</w:t>
      </w:r>
      <w:r w:rsidR="00B56412" w:rsidRPr="00B12B3B">
        <w:rPr>
          <w:rFonts w:asciiTheme="minorHAnsi" w:hAnsiTheme="minorHAnsi" w:cstheme="minorHAnsi"/>
          <w:color w:val="000000"/>
          <w:sz w:val="24"/>
          <w:szCs w:val="24"/>
        </w:rPr>
        <w:t xml:space="preserve"> was used to assess effort (i.e. anomalous discrepancies </w:t>
      </w:r>
      <w:r w:rsidR="00B56412" w:rsidRPr="00B12B3B">
        <w:rPr>
          <w:rFonts w:asciiTheme="minorHAnsi" w:hAnsiTheme="minorHAnsi" w:cstheme="minorHAnsi"/>
          <w:color w:val="000000"/>
          <w:sz w:val="24"/>
          <w:szCs w:val="24"/>
        </w:rPr>
        <w:lastRenderedPageBreak/>
        <w:t xml:space="preserve">between forwards and backwards components of the test) as well as working memory (see below). </w:t>
      </w:r>
      <w:r w:rsidR="00B56412" w:rsidRPr="00B12B3B">
        <w:rPr>
          <w:rFonts w:asciiTheme="minorHAnsi" w:hAnsiTheme="minorHAnsi" w:cstheme="minorHAnsi"/>
          <w:bCs/>
          <w:sz w:val="24"/>
          <w:szCs w:val="24"/>
        </w:rPr>
        <w:t xml:space="preserve">Sub-tests from the </w:t>
      </w:r>
      <w:r w:rsidR="0026683C" w:rsidRPr="00B12B3B">
        <w:rPr>
          <w:rFonts w:asciiTheme="minorHAnsi" w:hAnsiTheme="minorHAnsi" w:cstheme="minorHAnsi"/>
          <w:sz w:val="24"/>
          <w:szCs w:val="24"/>
        </w:rPr>
        <w:t>Delis-Kaplan Executive Functioning System</w:t>
      </w:r>
      <w:r w:rsidR="00B56412" w:rsidRPr="00B12B3B">
        <w:rPr>
          <w:rFonts w:asciiTheme="minorHAnsi" w:hAnsiTheme="minorHAnsi" w:cstheme="minorHAnsi"/>
          <w:sz w:val="24"/>
          <w:szCs w:val="24"/>
        </w:rPr>
        <w:t xml:space="preserve"> (DKEFS)</w:t>
      </w:r>
      <w:r w:rsidR="00133A61" w:rsidRPr="00B12B3B">
        <w:rPr>
          <w:rFonts w:asciiTheme="minorHAnsi" w:hAnsiTheme="minorHAnsi" w:cstheme="minorHAnsi"/>
          <w:sz w:val="24"/>
          <w:szCs w:val="24"/>
        </w:rPr>
        <w:t xml:space="preserve"> </w:t>
      </w:r>
      <w:r w:rsidR="007E3C61" w:rsidRPr="00B12B3B">
        <w:rPr>
          <w:rFonts w:asciiTheme="minorHAnsi" w:hAnsiTheme="minorHAnsi" w:cstheme="minorHAnsi"/>
          <w:sz w:val="24"/>
          <w:szCs w:val="24"/>
        </w:rPr>
        <w:t>(Delis</w:t>
      </w:r>
      <w:r w:rsidR="00AB7B7A" w:rsidRPr="00B12B3B">
        <w:rPr>
          <w:rFonts w:asciiTheme="minorHAnsi" w:hAnsiTheme="minorHAnsi" w:cstheme="minorHAnsi"/>
          <w:sz w:val="24"/>
          <w:szCs w:val="24"/>
        </w:rPr>
        <w:t xml:space="preserve"> et al.</w:t>
      </w:r>
      <w:r w:rsidR="007E3C61" w:rsidRPr="00B12B3B">
        <w:rPr>
          <w:rFonts w:asciiTheme="minorHAnsi" w:hAnsiTheme="minorHAnsi" w:cstheme="minorHAnsi"/>
          <w:sz w:val="24"/>
          <w:szCs w:val="24"/>
        </w:rPr>
        <w:t>, 2004)</w:t>
      </w:r>
      <w:r w:rsidR="00133A61" w:rsidRPr="00B12B3B">
        <w:rPr>
          <w:rFonts w:asciiTheme="minorHAnsi" w:hAnsiTheme="minorHAnsi" w:cstheme="minorHAnsi"/>
          <w:sz w:val="24"/>
          <w:szCs w:val="24"/>
        </w:rPr>
        <w:t>,</w:t>
      </w:r>
      <w:r w:rsidR="007E3C61" w:rsidRPr="00B12B3B">
        <w:rPr>
          <w:rFonts w:asciiTheme="minorHAnsi" w:hAnsiTheme="minorHAnsi" w:cstheme="minorHAnsi"/>
          <w:sz w:val="24"/>
          <w:szCs w:val="24"/>
        </w:rPr>
        <w:t xml:space="preserve"> </w:t>
      </w:r>
      <w:r w:rsidRPr="00B12B3B">
        <w:rPr>
          <w:rFonts w:asciiTheme="minorHAnsi" w:hAnsiTheme="minorHAnsi" w:cstheme="minorHAnsi"/>
          <w:iCs/>
          <w:color w:val="000000"/>
          <w:sz w:val="24"/>
          <w:szCs w:val="24"/>
        </w:rPr>
        <w:t xml:space="preserve">were </w:t>
      </w:r>
      <w:r w:rsidR="00B56412" w:rsidRPr="00B12B3B">
        <w:rPr>
          <w:rFonts w:asciiTheme="minorHAnsi" w:hAnsiTheme="minorHAnsi" w:cstheme="minorHAnsi"/>
          <w:iCs/>
          <w:color w:val="000000"/>
          <w:sz w:val="24"/>
          <w:szCs w:val="24"/>
        </w:rPr>
        <w:t>used</w:t>
      </w:r>
      <w:r w:rsidRPr="00B12B3B">
        <w:rPr>
          <w:rFonts w:asciiTheme="minorHAnsi" w:hAnsiTheme="minorHAnsi" w:cstheme="minorHAnsi"/>
          <w:bCs/>
          <w:sz w:val="24"/>
          <w:szCs w:val="24"/>
        </w:rPr>
        <w:t xml:space="preserve"> to </w:t>
      </w:r>
      <w:r w:rsidR="00B56412" w:rsidRPr="00B12B3B">
        <w:rPr>
          <w:rFonts w:asciiTheme="minorHAnsi" w:hAnsiTheme="minorHAnsi" w:cstheme="minorHAnsi"/>
          <w:bCs/>
          <w:sz w:val="24"/>
          <w:szCs w:val="24"/>
        </w:rPr>
        <w:t xml:space="preserve">assess information processing, attention, motor speed and key aspects of executive functioning. </w:t>
      </w:r>
      <w:r w:rsidR="003A50A6" w:rsidRPr="00B12B3B">
        <w:rPr>
          <w:rFonts w:asciiTheme="minorHAnsi" w:hAnsiTheme="minorHAnsi" w:cstheme="minorHAnsi"/>
          <w:sz w:val="24"/>
          <w:szCs w:val="24"/>
        </w:rPr>
        <w:t xml:space="preserve">This domain was assessed using </w:t>
      </w:r>
      <w:r w:rsidR="000F4D09" w:rsidRPr="00B12B3B">
        <w:rPr>
          <w:rFonts w:asciiTheme="minorHAnsi" w:hAnsiTheme="minorHAnsi" w:cstheme="minorHAnsi"/>
          <w:sz w:val="24"/>
          <w:szCs w:val="24"/>
        </w:rPr>
        <w:t>t</w:t>
      </w:r>
      <w:r w:rsidR="003A50A6" w:rsidRPr="00B12B3B">
        <w:rPr>
          <w:rFonts w:asciiTheme="minorHAnsi" w:hAnsiTheme="minorHAnsi" w:cstheme="minorHAnsi"/>
          <w:sz w:val="24"/>
          <w:szCs w:val="24"/>
        </w:rPr>
        <w:t>he Digit Symbol Substitution Test</w:t>
      </w:r>
      <w:r w:rsidR="00133A61" w:rsidRPr="00B12B3B">
        <w:rPr>
          <w:rFonts w:asciiTheme="minorHAnsi" w:hAnsiTheme="minorHAnsi" w:cstheme="minorHAnsi"/>
          <w:sz w:val="24"/>
          <w:szCs w:val="24"/>
        </w:rPr>
        <w:t xml:space="preserve"> </w:t>
      </w:r>
      <w:r w:rsidR="0026683C" w:rsidRPr="00B12B3B">
        <w:rPr>
          <w:rFonts w:asciiTheme="minorHAnsi" w:hAnsiTheme="minorHAnsi" w:cstheme="minorHAnsi"/>
          <w:sz w:val="24"/>
          <w:szCs w:val="24"/>
        </w:rPr>
        <w:t>(Coding)</w:t>
      </w:r>
      <w:r w:rsidR="003A50A6" w:rsidRPr="00B12B3B">
        <w:rPr>
          <w:rFonts w:asciiTheme="minorHAnsi" w:hAnsiTheme="minorHAnsi" w:cstheme="minorHAnsi"/>
          <w:sz w:val="24"/>
          <w:szCs w:val="24"/>
        </w:rPr>
        <w:t xml:space="preserve"> from the Wechsler Adult Intelligence Scale</w:t>
      </w:r>
      <w:r w:rsidR="00953399" w:rsidRPr="00B12B3B">
        <w:rPr>
          <w:rFonts w:asciiTheme="minorHAnsi" w:hAnsiTheme="minorHAnsi" w:cstheme="minorHAnsi"/>
          <w:sz w:val="24"/>
          <w:szCs w:val="24"/>
        </w:rPr>
        <w:t>-I</w:t>
      </w:r>
      <w:r w:rsidR="00133A61" w:rsidRPr="00B12B3B">
        <w:rPr>
          <w:rFonts w:asciiTheme="minorHAnsi" w:hAnsiTheme="minorHAnsi" w:cstheme="minorHAnsi"/>
          <w:sz w:val="24"/>
          <w:szCs w:val="24"/>
        </w:rPr>
        <w:t xml:space="preserve">V </w:t>
      </w:r>
      <w:r w:rsidR="007E3C61" w:rsidRPr="00B12B3B">
        <w:rPr>
          <w:rFonts w:asciiTheme="minorHAnsi" w:hAnsiTheme="minorHAnsi" w:cstheme="minorHAnsi"/>
          <w:color w:val="000000"/>
          <w:sz w:val="24"/>
          <w:szCs w:val="24"/>
        </w:rPr>
        <w:t>(Wechsler, 2008)</w:t>
      </w:r>
      <w:r w:rsidR="00133A61" w:rsidRPr="00B12B3B">
        <w:rPr>
          <w:rFonts w:asciiTheme="minorHAnsi" w:hAnsiTheme="minorHAnsi" w:cstheme="minorHAnsi"/>
          <w:color w:val="000000"/>
          <w:sz w:val="24"/>
          <w:szCs w:val="24"/>
        </w:rPr>
        <w:t>.</w:t>
      </w:r>
      <w:r w:rsidR="0026683C" w:rsidRPr="00B12B3B">
        <w:rPr>
          <w:rFonts w:asciiTheme="minorHAnsi" w:hAnsiTheme="minorHAnsi" w:cstheme="minorHAnsi"/>
          <w:color w:val="000000"/>
          <w:sz w:val="24"/>
          <w:szCs w:val="24"/>
        </w:rPr>
        <w:t xml:space="preserve"> This is a time</w:t>
      </w:r>
      <w:r w:rsidR="00B56412" w:rsidRPr="00B12B3B">
        <w:rPr>
          <w:rFonts w:asciiTheme="minorHAnsi" w:hAnsiTheme="minorHAnsi" w:cstheme="minorHAnsi"/>
          <w:color w:val="000000"/>
          <w:sz w:val="24"/>
          <w:szCs w:val="24"/>
        </w:rPr>
        <w:t>d</w:t>
      </w:r>
      <w:r w:rsidR="0026683C" w:rsidRPr="00B12B3B">
        <w:rPr>
          <w:rFonts w:asciiTheme="minorHAnsi" w:hAnsiTheme="minorHAnsi" w:cstheme="minorHAnsi"/>
          <w:color w:val="000000"/>
          <w:sz w:val="24"/>
          <w:szCs w:val="24"/>
        </w:rPr>
        <w:t xml:space="preserve"> task </w:t>
      </w:r>
      <w:r w:rsidR="003A50A6" w:rsidRPr="00B12B3B">
        <w:rPr>
          <w:rFonts w:asciiTheme="minorHAnsi" w:hAnsiTheme="minorHAnsi" w:cstheme="minorHAnsi"/>
          <w:color w:val="000000"/>
          <w:sz w:val="24"/>
          <w:szCs w:val="24"/>
        </w:rPr>
        <w:t xml:space="preserve">that </w:t>
      </w:r>
      <w:r w:rsidR="003A50A6" w:rsidRPr="00B12B3B">
        <w:rPr>
          <w:rFonts w:asciiTheme="minorHAnsi" w:hAnsiTheme="minorHAnsi" w:cstheme="minorHAnsi"/>
          <w:sz w:val="24"/>
          <w:szCs w:val="24"/>
        </w:rPr>
        <w:t xml:space="preserve">examines information processing and psychomotor speed by asking </w:t>
      </w:r>
      <w:r w:rsidR="0026683C" w:rsidRPr="00B12B3B">
        <w:rPr>
          <w:rFonts w:asciiTheme="minorHAnsi" w:hAnsiTheme="minorHAnsi" w:cstheme="minorHAnsi"/>
          <w:sz w:val="24"/>
          <w:szCs w:val="24"/>
        </w:rPr>
        <w:t>respondents</w:t>
      </w:r>
      <w:r w:rsidR="003A50A6" w:rsidRPr="00B12B3B">
        <w:rPr>
          <w:rFonts w:asciiTheme="minorHAnsi" w:hAnsiTheme="minorHAnsi" w:cstheme="minorHAnsi"/>
          <w:sz w:val="24"/>
          <w:szCs w:val="24"/>
        </w:rPr>
        <w:t xml:space="preserve"> to </w:t>
      </w:r>
      <w:r w:rsidR="00B56412" w:rsidRPr="00B12B3B">
        <w:rPr>
          <w:rFonts w:asciiTheme="minorHAnsi" w:hAnsiTheme="minorHAnsi" w:cstheme="minorHAnsi"/>
          <w:sz w:val="24"/>
          <w:szCs w:val="24"/>
        </w:rPr>
        <w:t>match and complete</w:t>
      </w:r>
      <w:r w:rsidR="003A50A6" w:rsidRPr="00B12B3B">
        <w:rPr>
          <w:rFonts w:asciiTheme="minorHAnsi" w:hAnsiTheme="minorHAnsi" w:cstheme="minorHAnsi"/>
          <w:sz w:val="24"/>
          <w:szCs w:val="24"/>
        </w:rPr>
        <w:t xml:space="preserve"> corresponding symbols to the numbers presented.</w:t>
      </w:r>
      <w:r w:rsidR="003A50A6" w:rsidRPr="00B12B3B">
        <w:rPr>
          <w:rFonts w:asciiTheme="minorHAnsi" w:hAnsiTheme="minorHAnsi" w:cstheme="minorHAnsi"/>
          <w:color w:val="000000"/>
          <w:sz w:val="24"/>
          <w:szCs w:val="24"/>
        </w:rPr>
        <w:t xml:space="preserve"> </w:t>
      </w:r>
      <w:r w:rsidR="003A50A6" w:rsidRPr="00B12B3B">
        <w:rPr>
          <w:rFonts w:asciiTheme="minorHAnsi" w:hAnsiTheme="minorHAnsi" w:cstheme="minorHAnsi"/>
          <w:sz w:val="24"/>
          <w:szCs w:val="24"/>
        </w:rPr>
        <w:t xml:space="preserve">The Trail Making Test </w:t>
      </w:r>
      <w:r w:rsidR="00953399" w:rsidRPr="00B12B3B">
        <w:rPr>
          <w:rFonts w:asciiTheme="minorHAnsi" w:hAnsiTheme="minorHAnsi" w:cstheme="minorHAnsi"/>
          <w:sz w:val="24"/>
          <w:szCs w:val="24"/>
        </w:rPr>
        <w:t xml:space="preserve">(TMT) </w:t>
      </w:r>
      <w:r w:rsidR="00B56412" w:rsidRPr="00B12B3B">
        <w:rPr>
          <w:rFonts w:asciiTheme="minorHAnsi" w:hAnsiTheme="minorHAnsi" w:cstheme="minorHAnsi"/>
          <w:sz w:val="24"/>
          <w:szCs w:val="24"/>
        </w:rPr>
        <w:t xml:space="preserve">from the DKEFS was also used to assess </w:t>
      </w:r>
      <w:r w:rsidR="003A50A6" w:rsidRPr="00B12B3B">
        <w:rPr>
          <w:rFonts w:asciiTheme="minorHAnsi" w:hAnsiTheme="minorHAnsi" w:cstheme="minorHAnsi"/>
          <w:color w:val="000000"/>
          <w:sz w:val="24"/>
          <w:szCs w:val="24"/>
        </w:rPr>
        <w:t>information processing</w:t>
      </w:r>
      <w:r w:rsidR="0026683C" w:rsidRPr="00B12B3B">
        <w:rPr>
          <w:rFonts w:asciiTheme="minorHAnsi" w:hAnsiTheme="minorHAnsi" w:cstheme="minorHAnsi"/>
          <w:color w:val="000000"/>
          <w:sz w:val="24"/>
          <w:szCs w:val="24"/>
        </w:rPr>
        <w:t>, visual attention, switching and motor speed</w:t>
      </w:r>
      <w:r w:rsidR="00133A61" w:rsidRPr="00B12B3B">
        <w:rPr>
          <w:rFonts w:asciiTheme="minorHAnsi" w:hAnsiTheme="minorHAnsi" w:cstheme="minorHAnsi"/>
          <w:color w:val="000000"/>
          <w:sz w:val="24"/>
          <w:szCs w:val="24"/>
        </w:rPr>
        <w:t xml:space="preserve"> </w:t>
      </w:r>
      <w:r w:rsidR="007E3C61" w:rsidRPr="00B12B3B">
        <w:rPr>
          <w:rFonts w:asciiTheme="minorHAnsi" w:hAnsiTheme="minorHAnsi" w:cstheme="minorHAnsi"/>
          <w:color w:val="000000"/>
          <w:sz w:val="24"/>
          <w:szCs w:val="24"/>
        </w:rPr>
        <w:t>(</w:t>
      </w:r>
      <w:proofErr w:type="spellStart"/>
      <w:r w:rsidR="007E3C61" w:rsidRPr="00B12B3B">
        <w:rPr>
          <w:rFonts w:asciiTheme="minorHAnsi" w:hAnsiTheme="minorHAnsi" w:cstheme="minorHAnsi"/>
          <w:color w:val="000000"/>
          <w:sz w:val="24"/>
          <w:szCs w:val="24"/>
        </w:rPr>
        <w:t>Reitan</w:t>
      </w:r>
      <w:proofErr w:type="spellEnd"/>
      <w:r w:rsidR="007E3C61" w:rsidRPr="00B12B3B">
        <w:rPr>
          <w:rFonts w:asciiTheme="minorHAnsi" w:hAnsiTheme="minorHAnsi" w:cstheme="minorHAnsi"/>
          <w:color w:val="000000"/>
          <w:sz w:val="24"/>
          <w:szCs w:val="24"/>
        </w:rPr>
        <w:t>, 1992)</w:t>
      </w:r>
      <w:r w:rsidR="00133A61" w:rsidRPr="00B12B3B">
        <w:rPr>
          <w:rFonts w:asciiTheme="minorHAnsi" w:hAnsiTheme="minorHAnsi" w:cstheme="minorHAnsi"/>
          <w:color w:val="000000"/>
          <w:sz w:val="24"/>
          <w:szCs w:val="24"/>
        </w:rPr>
        <w:t>.</w:t>
      </w:r>
      <w:r w:rsidR="00ED765A" w:rsidRPr="00B12B3B">
        <w:rPr>
          <w:rFonts w:asciiTheme="minorHAnsi" w:hAnsiTheme="minorHAnsi" w:cstheme="minorHAnsi"/>
          <w:color w:val="000000"/>
          <w:sz w:val="24"/>
          <w:szCs w:val="24"/>
        </w:rPr>
        <w:t xml:space="preserve"> </w:t>
      </w:r>
      <w:r w:rsidR="007741BE" w:rsidRPr="00B12B3B">
        <w:rPr>
          <w:rFonts w:asciiTheme="minorHAnsi" w:hAnsiTheme="minorHAnsi" w:cstheme="minorHAnsi"/>
          <w:sz w:val="24"/>
          <w:szCs w:val="24"/>
        </w:rPr>
        <w:t>T</w:t>
      </w:r>
      <w:r w:rsidR="003A50A6" w:rsidRPr="00B12B3B">
        <w:rPr>
          <w:rFonts w:asciiTheme="minorHAnsi" w:hAnsiTheme="minorHAnsi" w:cstheme="minorHAnsi"/>
          <w:sz w:val="24"/>
          <w:szCs w:val="24"/>
        </w:rPr>
        <w:t xml:space="preserve">he Stroop </w:t>
      </w:r>
      <w:r w:rsidR="001E75C3" w:rsidRPr="00B12B3B">
        <w:rPr>
          <w:rFonts w:asciiTheme="minorHAnsi" w:hAnsiTheme="minorHAnsi" w:cstheme="minorHAnsi"/>
          <w:sz w:val="24"/>
          <w:szCs w:val="24"/>
        </w:rPr>
        <w:t>Colour</w:t>
      </w:r>
      <w:r w:rsidR="003A50A6" w:rsidRPr="00B12B3B">
        <w:rPr>
          <w:rFonts w:asciiTheme="minorHAnsi" w:hAnsiTheme="minorHAnsi" w:cstheme="minorHAnsi"/>
          <w:sz w:val="24"/>
          <w:szCs w:val="24"/>
        </w:rPr>
        <w:t xml:space="preserve">–Word </w:t>
      </w:r>
      <w:r w:rsidR="007741BE" w:rsidRPr="00B12B3B">
        <w:rPr>
          <w:rFonts w:asciiTheme="minorHAnsi" w:hAnsiTheme="minorHAnsi" w:cstheme="minorHAnsi"/>
          <w:iCs/>
          <w:sz w:val="24"/>
          <w:szCs w:val="24"/>
        </w:rPr>
        <w:t>Interference</w:t>
      </w:r>
      <w:r w:rsidR="007741BE" w:rsidRPr="00B12B3B">
        <w:rPr>
          <w:rFonts w:asciiTheme="minorHAnsi" w:hAnsiTheme="minorHAnsi" w:cstheme="minorHAnsi"/>
          <w:sz w:val="24"/>
          <w:szCs w:val="24"/>
        </w:rPr>
        <w:t xml:space="preserve"> </w:t>
      </w:r>
      <w:r w:rsidR="003A50A6" w:rsidRPr="00B12B3B">
        <w:rPr>
          <w:rFonts w:asciiTheme="minorHAnsi" w:hAnsiTheme="minorHAnsi" w:cstheme="minorHAnsi"/>
          <w:sz w:val="24"/>
          <w:szCs w:val="24"/>
        </w:rPr>
        <w:t>Test (CW</w:t>
      </w:r>
      <w:r w:rsidR="00B56412" w:rsidRPr="00B12B3B">
        <w:rPr>
          <w:rFonts w:asciiTheme="minorHAnsi" w:hAnsiTheme="minorHAnsi" w:cstheme="minorHAnsi"/>
          <w:sz w:val="24"/>
          <w:szCs w:val="24"/>
        </w:rPr>
        <w:t>I</w:t>
      </w:r>
      <w:r w:rsidR="003A50A6" w:rsidRPr="00B12B3B">
        <w:rPr>
          <w:rFonts w:asciiTheme="minorHAnsi" w:hAnsiTheme="minorHAnsi" w:cstheme="minorHAnsi"/>
          <w:sz w:val="24"/>
          <w:szCs w:val="24"/>
        </w:rPr>
        <w:t>T)</w:t>
      </w:r>
      <w:r w:rsidR="00B56412" w:rsidRPr="00B12B3B">
        <w:rPr>
          <w:rFonts w:asciiTheme="minorHAnsi" w:hAnsiTheme="minorHAnsi" w:cstheme="minorHAnsi"/>
          <w:sz w:val="24"/>
          <w:szCs w:val="24"/>
        </w:rPr>
        <w:t xml:space="preserve"> from the DKEFS was used to assess</w:t>
      </w:r>
      <w:r w:rsidR="003A50A6" w:rsidRPr="00B12B3B">
        <w:rPr>
          <w:rFonts w:asciiTheme="minorHAnsi" w:hAnsiTheme="minorHAnsi" w:cstheme="minorHAnsi"/>
          <w:sz w:val="24"/>
          <w:szCs w:val="24"/>
        </w:rPr>
        <w:t xml:space="preserve"> </w:t>
      </w:r>
      <w:r w:rsidR="007741BE" w:rsidRPr="00B12B3B">
        <w:rPr>
          <w:rFonts w:asciiTheme="minorHAnsi" w:hAnsiTheme="minorHAnsi" w:cstheme="minorHAnsi"/>
          <w:sz w:val="24"/>
          <w:szCs w:val="24"/>
        </w:rPr>
        <w:t xml:space="preserve">for </w:t>
      </w:r>
      <w:r w:rsidR="00B56412" w:rsidRPr="00B12B3B">
        <w:rPr>
          <w:rFonts w:asciiTheme="minorHAnsi" w:hAnsiTheme="minorHAnsi" w:cstheme="minorHAnsi"/>
          <w:sz w:val="24"/>
          <w:szCs w:val="24"/>
        </w:rPr>
        <w:t>verbal inhibition and switching</w:t>
      </w:r>
      <w:r w:rsidR="00133A61" w:rsidRPr="00B12B3B">
        <w:rPr>
          <w:rFonts w:asciiTheme="minorHAnsi" w:hAnsiTheme="minorHAnsi" w:cstheme="minorHAnsi"/>
          <w:sz w:val="24"/>
          <w:szCs w:val="24"/>
        </w:rPr>
        <w:t xml:space="preserve"> </w:t>
      </w:r>
      <w:r w:rsidR="00AB7B7A" w:rsidRPr="00B12B3B">
        <w:rPr>
          <w:rFonts w:asciiTheme="minorHAnsi" w:hAnsiTheme="minorHAnsi" w:cstheme="minorHAnsi"/>
          <w:sz w:val="24"/>
          <w:szCs w:val="24"/>
        </w:rPr>
        <w:t>(Delis et al., 2004; Stroop, 1938)</w:t>
      </w:r>
      <w:r w:rsidR="00133A61" w:rsidRPr="00B12B3B">
        <w:rPr>
          <w:rFonts w:asciiTheme="minorHAnsi" w:hAnsiTheme="minorHAnsi" w:cstheme="minorHAnsi"/>
          <w:sz w:val="24"/>
          <w:szCs w:val="24"/>
        </w:rPr>
        <w:t>.</w:t>
      </w:r>
      <w:r w:rsidR="007741BE" w:rsidRPr="00B12B3B">
        <w:rPr>
          <w:rFonts w:asciiTheme="minorHAnsi" w:hAnsiTheme="minorHAnsi" w:cstheme="minorHAnsi"/>
          <w:sz w:val="24"/>
          <w:szCs w:val="24"/>
        </w:rPr>
        <w:t xml:space="preserve"> </w:t>
      </w:r>
      <w:r w:rsidR="00970723" w:rsidRPr="00B12B3B">
        <w:rPr>
          <w:rFonts w:asciiTheme="minorHAnsi" w:hAnsiTheme="minorHAnsi" w:cstheme="minorHAnsi"/>
          <w:color w:val="1F1F1F"/>
          <w:sz w:val="24"/>
          <w:szCs w:val="24"/>
        </w:rPr>
        <w:t>Executive functioning was further explored using the Tower of London test</w:t>
      </w:r>
      <w:r w:rsidR="00970723" w:rsidRPr="00B12B3B">
        <w:rPr>
          <w:rFonts w:asciiTheme="minorHAnsi" w:hAnsiTheme="minorHAnsi" w:cstheme="minorHAnsi"/>
          <w:sz w:val="24"/>
          <w:szCs w:val="24"/>
        </w:rPr>
        <w:t>, which assesses visual problem solving, rule following and visual working memory</w:t>
      </w:r>
      <w:r w:rsidR="00133A61" w:rsidRPr="00B12B3B">
        <w:rPr>
          <w:rFonts w:asciiTheme="minorHAnsi" w:hAnsiTheme="minorHAnsi" w:cstheme="minorHAnsi"/>
          <w:sz w:val="24"/>
          <w:szCs w:val="24"/>
        </w:rPr>
        <w:t xml:space="preserve"> </w:t>
      </w:r>
      <w:r w:rsidR="00EE639C" w:rsidRPr="00B12B3B">
        <w:rPr>
          <w:rFonts w:asciiTheme="minorHAnsi" w:hAnsiTheme="minorHAnsi" w:cstheme="minorHAnsi"/>
          <w:sz w:val="24"/>
          <w:szCs w:val="24"/>
        </w:rPr>
        <w:t>(Shallice, 1982)</w:t>
      </w:r>
      <w:r w:rsidR="00133A61" w:rsidRPr="00B12B3B">
        <w:rPr>
          <w:rFonts w:asciiTheme="minorHAnsi" w:hAnsiTheme="minorHAnsi" w:cstheme="minorHAnsi"/>
          <w:sz w:val="24"/>
          <w:szCs w:val="24"/>
        </w:rPr>
        <w:t>.</w:t>
      </w:r>
      <w:r w:rsidR="00C20023" w:rsidRPr="00B12B3B">
        <w:rPr>
          <w:rFonts w:asciiTheme="minorHAnsi" w:hAnsiTheme="minorHAnsi" w:cstheme="minorHAnsi"/>
          <w:sz w:val="24"/>
          <w:szCs w:val="24"/>
        </w:rPr>
        <w:t xml:space="preserve"> </w:t>
      </w:r>
      <w:r w:rsidR="00C342F9" w:rsidRPr="00B12B3B">
        <w:rPr>
          <w:rFonts w:asciiTheme="minorHAnsi" w:hAnsiTheme="minorHAnsi" w:cstheme="minorHAnsi"/>
          <w:sz w:val="24"/>
          <w:szCs w:val="24"/>
        </w:rPr>
        <w:t xml:space="preserve">Working memory </w:t>
      </w:r>
      <w:r w:rsidR="003A50A6" w:rsidRPr="00B12B3B">
        <w:rPr>
          <w:rFonts w:asciiTheme="minorHAnsi" w:hAnsiTheme="minorHAnsi" w:cstheme="minorHAnsi"/>
          <w:sz w:val="24"/>
          <w:szCs w:val="24"/>
        </w:rPr>
        <w:t xml:space="preserve">was assessed using the </w:t>
      </w:r>
      <w:r w:rsidR="00C342F9" w:rsidRPr="00B12B3B">
        <w:rPr>
          <w:rFonts w:asciiTheme="minorHAnsi" w:hAnsiTheme="minorHAnsi" w:cstheme="minorHAnsi"/>
          <w:sz w:val="24"/>
          <w:szCs w:val="24"/>
        </w:rPr>
        <w:t>Wechsler Adult Intelligence Scale</w:t>
      </w:r>
      <w:r w:rsidR="00953399" w:rsidRPr="00B12B3B">
        <w:rPr>
          <w:rFonts w:asciiTheme="minorHAnsi" w:hAnsiTheme="minorHAnsi" w:cstheme="minorHAnsi"/>
          <w:sz w:val="24"/>
          <w:szCs w:val="24"/>
        </w:rPr>
        <w:t>-</w:t>
      </w:r>
      <w:r w:rsidR="00C342F9" w:rsidRPr="00B12B3B">
        <w:rPr>
          <w:rFonts w:asciiTheme="minorHAnsi" w:hAnsiTheme="minorHAnsi" w:cstheme="minorHAnsi"/>
          <w:sz w:val="24"/>
          <w:szCs w:val="24"/>
        </w:rPr>
        <w:t>IV</w:t>
      </w:r>
      <w:r w:rsidR="003A50A6" w:rsidRPr="00B12B3B">
        <w:rPr>
          <w:rFonts w:asciiTheme="minorHAnsi" w:hAnsiTheme="minorHAnsi" w:cstheme="minorHAnsi"/>
          <w:sz w:val="24"/>
          <w:szCs w:val="24"/>
        </w:rPr>
        <w:t xml:space="preserve"> Digit Span </w:t>
      </w:r>
      <w:r w:rsidR="00C342F9" w:rsidRPr="00B12B3B">
        <w:rPr>
          <w:rFonts w:asciiTheme="minorHAnsi" w:hAnsiTheme="minorHAnsi" w:cstheme="minorHAnsi"/>
          <w:sz w:val="24"/>
          <w:szCs w:val="24"/>
        </w:rPr>
        <w:t>Test</w:t>
      </w:r>
      <w:r w:rsidR="007E3C61" w:rsidRPr="00B12B3B">
        <w:rPr>
          <w:rFonts w:asciiTheme="minorHAnsi" w:hAnsiTheme="minorHAnsi" w:cstheme="minorHAnsi"/>
          <w:sz w:val="24"/>
          <w:szCs w:val="24"/>
        </w:rPr>
        <w:t xml:space="preserve"> (Wechsler, 2008)</w:t>
      </w:r>
      <w:r w:rsidR="00C342F9" w:rsidRPr="00B12B3B">
        <w:rPr>
          <w:rFonts w:asciiTheme="minorHAnsi" w:hAnsiTheme="minorHAnsi" w:cstheme="minorHAnsi"/>
          <w:sz w:val="24"/>
          <w:szCs w:val="24"/>
        </w:rPr>
        <w:t>.</w:t>
      </w:r>
      <w:r w:rsidR="003A50A6" w:rsidRPr="00B12B3B">
        <w:rPr>
          <w:rFonts w:asciiTheme="minorHAnsi" w:hAnsiTheme="minorHAnsi" w:cstheme="minorHAnsi"/>
          <w:sz w:val="24"/>
          <w:szCs w:val="24"/>
        </w:rPr>
        <w:t xml:space="preserve"> </w:t>
      </w:r>
      <w:r w:rsidR="00970723" w:rsidRPr="00B12B3B">
        <w:rPr>
          <w:rFonts w:asciiTheme="minorHAnsi" w:hAnsiTheme="minorHAnsi" w:cstheme="minorHAnsi"/>
          <w:sz w:val="24"/>
          <w:szCs w:val="24"/>
        </w:rPr>
        <w:t xml:space="preserve">This test consists of three conditions, in which participants are asked to verbally repeat numbers </w:t>
      </w:r>
      <w:r w:rsidR="00F86A0B" w:rsidRPr="00B12B3B">
        <w:rPr>
          <w:rFonts w:asciiTheme="minorHAnsi" w:hAnsiTheme="minorHAnsi" w:cstheme="minorHAnsi"/>
          <w:sz w:val="24"/>
          <w:szCs w:val="24"/>
        </w:rPr>
        <w:t xml:space="preserve">given </w:t>
      </w:r>
      <w:r w:rsidR="00970723" w:rsidRPr="00B12B3B">
        <w:rPr>
          <w:rFonts w:asciiTheme="minorHAnsi" w:hAnsiTheme="minorHAnsi" w:cstheme="minorHAnsi"/>
          <w:sz w:val="24"/>
          <w:szCs w:val="24"/>
        </w:rPr>
        <w:t>in the same order, in reverse order, and in ascending order, respectively.</w:t>
      </w:r>
      <w:r w:rsidR="00970723" w:rsidRPr="00B12B3B">
        <w:rPr>
          <w:rFonts w:asciiTheme="minorHAnsi" w:hAnsiTheme="minorHAnsi" w:cstheme="minorHAnsi"/>
          <w:bCs/>
          <w:sz w:val="24"/>
          <w:szCs w:val="24"/>
        </w:rPr>
        <w:t xml:space="preserve"> </w:t>
      </w:r>
    </w:p>
    <w:p w14:paraId="54A7087B" w14:textId="6567A153" w:rsidR="001A75DC" w:rsidRPr="00B12B3B" w:rsidRDefault="00970723" w:rsidP="001A75DC">
      <w:pPr>
        <w:pStyle w:val="Geenafstand"/>
        <w:spacing w:line="360" w:lineRule="auto"/>
        <w:jc w:val="both"/>
        <w:rPr>
          <w:rFonts w:cstheme="minorHAnsi"/>
          <w:sz w:val="24"/>
          <w:szCs w:val="24"/>
          <w:shd w:val="clear" w:color="auto" w:fill="FFFFFF"/>
        </w:rPr>
      </w:pPr>
      <w:r w:rsidRPr="00B12B3B">
        <w:rPr>
          <w:rFonts w:cstheme="minorHAnsi"/>
          <w:color w:val="1C1D1E"/>
          <w:sz w:val="24"/>
          <w:szCs w:val="24"/>
          <w:shd w:val="clear" w:color="auto" w:fill="FFFFFF"/>
        </w:rPr>
        <w:t xml:space="preserve">To compare </w:t>
      </w:r>
      <w:r w:rsidR="00F86A0B" w:rsidRPr="00B12B3B">
        <w:rPr>
          <w:rFonts w:cstheme="minorHAnsi"/>
          <w:color w:val="1C1D1E"/>
          <w:sz w:val="24"/>
          <w:szCs w:val="24"/>
          <w:shd w:val="clear" w:color="auto" w:fill="FFFFFF"/>
        </w:rPr>
        <w:t xml:space="preserve">the </w:t>
      </w:r>
      <w:r w:rsidRPr="00B12B3B">
        <w:rPr>
          <w:rFonts w:cstheme="minorHAnsi"/>
          <w:color w:val="1C1D1E"/>
          <w:sz w:val="24"/>
          <w:szCs w:val="24"/>
          <w:shd w:val="clear" w:color="auto" w:fill="FFFFFF"/>
        </w:rPr>
        <w:t xml:space="preserve">scores of patients with CD/FND with normative values, relevant scaled scores on each test were used. Across the WAIS IV and DKEFS sub-tests, </w:t>
      </w:r>
      <w:r w:rsidR="00806198" w:rsidRPr="00B12B3B">
        <w:rPr>
          <w:rFonts w:cstheme="minorHAnsi"/>
          <w:color w:val="1C1D1E"/>
          <w:sz w:val="24"/>
          <w:szCs w:val="24"/>
          <w:shd w:val="clear" w:color="auto" w:fill="FFFFFF"/>
        </w:rPr>
        <w:t xml:space="preserve">the </w:t>
      </w:r>
      <w:r w:rsidRPr="00B12B3B">
        <w:rPr>
          <w:rFonts w:cstheme="minorHAnsi"/>
          <w:color w:val="1C1D1E"/>
          <w:sz w:val="24"/>
          <w:szCs w:val="24"/>
          <w:shd w:val="clear" w:color="auto" w:fill="FFFFFF"/>
        </w:rPr>
        <w:t>mean normative scales scores were 10 (SD=3). It is acknowledged that there is no universal agreement regarding the threshold used to define cognitive impairment in neuropsychological research</w:t>
      </w:r>
      <w:r w:rsidR="000B6FA5" w:rsidRPr="00B12B3B">
        <w:rPr>
          <w:rFonts w:cstheme="minorHAnsi"/>
          <w:color w:val="1C1D1E"/>
          <w:sz w:val="24"/>
          <w:szCs w:val="24"/>
          <w:shd w:val="clear" w:color="auto" w:fill="FFFFFF"/>
        </w:rPr>
        <w:t xml:space="preserve"> </w:t>
      </w:r>
      <w:r w:rsidR="007E3C61" w:rsidRPr="00B12B3B">
        <w:rPr>
          <w:rFonts w:cstheme="minorHAnsi"/>
          <w:color w:val="1C1D1E"/>
          <w:sz w:val="24"/>
          <w:szCs w:val="24"/>
          <w:shd w:val="clear" w:color="auto" w:fill="FFFFFF"/>
        </w:rPr>
        <w:t>(Brooks, 2009; Crawford, 2011; Jak, 2009)</w:t>
      </w:r>
      <w:r w:rsidR="000B6FA5" w:rsidRPr="00B12B3B">
        <w:rPr>
          <w:rFonts w:cstheme="minorHAnsi"/>
          <w:color w:val="1C1D1E"/>
          <w:sz w:val="24"/>
          <w:szCs w:val="24"/>
          <w:shd w:val="clear" w:color="auto" w:fill="FFFFFF"/>
        </w:rPr>
        <w:t>.</w:t>
      </w:r>
      <w:r w:rsidR="007E3C61" w:rsidRPr="00B12B3B">
        <w:rPr>
          <w:rFonts w:cstheme="minorHAnsi"/>
          <w:color w:val="1C1D1E"/>
          <w:sz w:val="24"/>
          <w:szCs w:val="24"/>
          <w:shd w:val="clear" w:color="auto" w:fill="FFFFFF"/>
        </w:rPr>
        <w:t xml:space="preserve"> </w:t>
      </w:r>
      <w:r w:rsidRPr="00B12B3B">
        <w:rPr>
          <w:rFonts w:cstheme="minorHAnsi"/>
          <w:sz w:val="24"/>
          <w:szCs w:val="24"/>
        </w:rPr>
        <w:t xml:space="preserve">Existing research studies that have utilised similar neuropsychological tests to the ones used in the current study have defined cognitive impairment as scores that are one SD </w:t>
      </w:r>
      <w:r w:rsidRPr="00B12B3B">
        <w:rPr>
          <w:rFonts w:cstheme="minorHAnsi"/>
          <w:sz w:val="24"/>
          <w:szCs w:val="24"/>
          <w:shd w:val="clear" w:color="auto" w:fill="FFFFFF"/>
        </w:rPr>
        <w:t>or more</w:t>
      </w:r>
      <w:r w:rsidRPr="00B12B3B">
        <w:rPr>
          <w:rFonts w:cstheme="minorHAnsi"/>
          <w:sz w:val="24"/>
          <w:szCs w:val="24"/>
        </w:rPr>
        <w:t xml:space="preserve"> </w:t>
      </w:r>
      <w:r w:rsidRPr="00B12B3B">
        <w:rPr>
          <w:rFonts w:cstheme="minorHAnsi"/>
          <w:sz w:val="24"/>
          <w:szCs w:val="24"/>
          <w:shd w:val="clear" w:color="auto" w:fill="FFFFFF"/>
        </w:rPr>
        <w:t>(16</w:t>
      </w:r>
      <w:r w:rsidRPr="00B12B3B">
        <w:rPr>
          <w:rFonts w:cstheme="minorHAnsi"/>
          <w:sz w:val="24"/>
          <w:szCs w:val="24"/>
          <w:shd w:val="clear" w:color="auto" w:fill="FFFFFF"/>
          <w:vertAlign w:val="superscript"/>
        </w:rPr>
        <w:t>th</w:t>
      </w:r>
      <w:r w:rsidRPr="00B12B3B">
        <w:rPr>
          <w:rFonts w:cstheme="minorHAnsi"/>
          <w:sz w:val="24"/>
          <w:szCs w:val="24"/>
          <w:shd w:val="clear" w:color="auto" w:fill="FFFFFF"/>
        </w:rPr>
        <w:t xml:space="preserve"> percentile or less) </w:t>
      </w:r>
      <w:r w:rsidRPr="00B12B3B">
        <w:rPr>
          <w:rFonts w:cstheme="minorHAnsi"/>
          <w:sz w:val="24"/>
          <w:szCs w:val="24"/>
        </w:rPr>
        <w:t>below the mean</w:t>
      </w:r>
      <w:r w:rsidR="0081151D" w:rsidRPr="00B12B3B">
        <w:rPr>
          <w:rFonts w:cstheme="minorHAnsi"/>
          <w:sz w:val="24"/>
          <w:szCs w:val="24"/>
        </w:rPr>
        <w:t xml:space="preserve"> (Dozier, 2016; Holst, 2020; Karr, 2017; </w:t>
      </w:r>
      <w:proofErr w:type="spellStart"/>
      <w:r w:rsidR="0081151D" w:rsidRPr="00B12B3B">
        <w:rPr>
          <w:rFonts w:cstheme="minorHAnsi"/>
          <w:sz w:val="24"/>
          <w:szCs w:val="24"/>
        </w:rPr>
        <w:t>Keifer</w:t>
      </w:r>
      <w:proofErr w:type="spellEnd"/>
      <w:r w:rsidR="0081151D" w:rsidRPr="00B12B3B">
        <w:rPr>
          <w:rFonts w:cstheme="minorHAnsi"/>
          <w:sz w:val="24"/>
          <w:szCs w:val="24"/>
        </w:rPr>
        <w:t>, 2013; Wexler, 2009)</w:t>
      </w:r>
      <w:r w:rsidR="00806198" w:rsidRPr="00B12B3B">
        <w:rPr>
          <w:rFonts w:cstheme="minorHAnsi"/>
          <w:sz w:val="24"/>
          <w:szCs w:val="24"/>
        </w:rPr>
        <w:t>.</w:t>
      </w:r>
      <w:r w:rsidR="004D32E0" w:rsidRPr="00B12B3B">
        <w:rPr>
          <w:rFonts w:cstheme="minorHAnsi"/>
        </w:rPr>
        <w:t xml:space="preserve"> </w:t>
      </w:r>
      <w:r w:rsidR="001A75DC" w:rsidRPr="00B12B3B">
        <w:rPr>
          <w:rFonts w:cstheme="minorHAnsi"/>
          <w:sz w:val="24"/>
          <w:szCs w:val="24"/>
        </w:rPr>
        <w:t>Given the purpose of this study was to assess feasibility, as opposed to a full-scale evaluation study, this criterion is appropriate to define cognitive impairment. Hence</w:t>
      </w:r>
      <w:r w:rsidR="00E2438E" w:rsidRPr="00B12B3B">
        <w:rPr>
          <w:rFonts w:cstheme="minorHAnsi"/>
          <w:sz w:val="24"/>
          <w:szCs w:val="24"/>
        </w:rPr>
        <w:t>,</w:t>
      </w:r>
      <w:r w:rsidR="001A75DC" w:rsidRPr="00B12B3B">
        <w:rPr>
          <w:rFonts w:cstheme="minorHAnsi"/>
          <w:sz w:val="24"/>
          <w:szCs w:val="24"/>
        </w:rPr>
        <w:t xml:space="preserve"> m</w:t>
      </w:r>
      <w:r w:rsidR="001A75DC" w:rsidRPr="00B12B3B">
        <w:rPr>
          <w:rFonts w:cstheme="minorHAnsi"/>
          <w:sz w:val="24"/>
          <w:szCs w:val="24"/>
          <w:shd w:val="clear" w:color="auto" w:fill="FFFFFF"/>
        </w:rPr>
        <w:t>ean scaled scores 1SD or more below the population mean for each neurocognitive test (e.g.  less than or equal to a scaled score of 7) were considered to represent impairment in this study.</w:t>
      </w:r>
    </w:p>
    <w:p w14:paraId="72F09265" w14:textId="77777777" w:rsidR="003778FF" w:rsidRPr="00B12B3B" w:rsidRDefault="000F0318" w:rsidP="000F0318">
      <w:pPr>
        <w:pStyle w:val="Geenafstand"/>
        <w:spacing w:line="360" w:lineRule="auto"/>
        <w:jc w:val="both"/>
        <w:rPr>
          <w:rFonts w:cstheme="minorHAnsi"/>
          <w:b/>
          <w:bCs/>
          <w:sz w:val="24"/>
          <w:szCs w:val="24"/>
          <w:shd w:val="clear" w:color="auto" w:fill="FFFFFF"/>
        </w:rPr>
      </w:pPr>
      <w:r w:rsidRPr="00B12B3B">
        <w:rPr>
          <w:rFonts w:cstheme="minorHAnsi"/>
          <w:b/>
          <w:bCs/>
          <w:sz w:val="24"/>
          <w:szCs w:val="24"/>
          <w:shd w:val="clear" w:color="auto" w:fill="FFFFFF"/>
        </w:rPr>
        <w:t>2.3</w:t>
      </w:r>
      <w:r w:rsidRPr="00B12B3B">
        <w:rPr>
          <w:rFonts w:cstheme="minorHAnsi"/>
          <w:b/>
          <w:bCs/>
          <w:sz w:val="24"/>
          <w:szCs w:val="24"/>
          <w:shd w:val="clear" w:color="auto" w:fill="FFFFFF"/>
        </w:rPr>
        <w:tab/>
      </w:r>
      <w:r w:rsidR="003778FF" w:rsidRPr="00B12B3B">
        <w:rPr>
          <w:rFonts w:cstheme="minorHAnsi"/>
          <w:b/>
          <w:bCs/>
          <w:sz w:val="24"/>
          <w:szCs w:val="24"/>
          <w:shd w:val="clear" w:color="auto" w:fill="FFFFFF"/>
        </w:rPr>
        <w:t>Biomarkers</w:t>
      </w:r>
    </w:p>
    <w:p w14:paraId="061F9CA3" w14:textId="22F9F93E" w:rsidR="000F0318" w:rsidRPr="00B12B3B" w:rsidRDefault="003778FF" w:rsidP="000F0318">
      <w:pPr>
        <w:pStyle w:val="Geenafstand"/>
        <w:spacing w:line="360" w:lineRule="auto"/>
        <w:jc w:val="both"/>
        <w:rPr>
          <w:rFonts w:cstheme="minorHAnsi"/>
          <w:sz w:val="24"/>
          <w:szCs w:val="24"/>
          <w:shd w:val="clear" w:color="auto" w:fill="FFFFFF"/>
        </w:rPr>
      </w:pPr>
      <w:r w:rsidRPr="00B12B3B">
        <w:rPr>
          <w:rFonts w:cstheme="minorHAnsi"/>
          <w:sz w:val="24"/>
          <w:szCs w:val="24"/>
          <w:shd w:val="clear" w:color="auto" w:fill="FFFFFF"/>
        </w:rPr>
        <w:t>Details of c</w:t>
      </w:r>
      <w:r w:rsidR="000F0318" w:rsidRPr="00B12B3B">
        <w:rPr>
          <w:rFonts w:cstheme="minorHAnsi"/>
          <w:sz w:val="24"/>
          <w:szCs w:val="24"/>
          <w:shd w:val="clear" w:color="auto" w:fill="FFFFFF"/>
        </w:rPr>
        <w:t>ytokine and hsCRP assays</w:t>
      </w:r>
      <w:r w:rsidRPr="00B12B3B">
        <w:rPr>
          <w:rFonts w:cstheme="minorHAnsi"/>
          <w:sz w:val="24"/>
          <w:szCs w:val="24"/>
          <w:shd w:val="clear" w:color="auto" w:fill="FFFFFF"/>
        </w:rPr>
        <w:t>, m</w:t>
      </w:r>
      <w:r w:rsidR="000F0318" w:rsidRPr="00B12B3B">
        <w:rPr>
          <w:rFonts w:cstheme="minorHAnsi"/>
          <w:color w:val="000000"/>
          <w:shd w:val="clear" w:color="auto" w:fill="FFFFFF"/>
        </w:rPr>
        <w:t>icroRNA plasma extraction and analysis</w:t>
      </w:r>
      <w:r w:rsidRPr="00B12B3B">
        <w:rPr>
          <w:rFonts w:cstheme="minorHAnsi"/>
          <w:color w:val="000000"/>
          <w:shd w:val="clear" w:color="auto" w:fill="FFFFFF"/>
        </w:rPr>
        <w:t xml:space="preserve"> and h</w:t>
      </w:r>
      <w:r w:rsidR="000F0318" w:rsidRPr="00B12B3B">
        <w:rPr>
          <w:rFonts w:cstheme="minorHAnsi"/>
          <w:sz w:val="24"/>
          <w:szCs w:val="24"/>
          <w:shd w:val="clear" w:color="auto" w:fill="FFFFFF"/>
        </w:rPr>
        <w:t>air cortisol analysis</w:t>
      </w:r>
      <w:r w:rsidRPr="00B12B3B">
        <w:rPr>
          <w:rFonts w:cstheme="minorHAnsi"/>
          <w:sz w:val="24"/>
          <w:szCs w:val="24"/>
          <w:shd w:val="clear" w:color="auto" w:fill="FFFFFF"/>
        </w:rPr>
        <w:t xml:space="preserve"> </w:t>
      </w:r>
      <w:r w:rsidR="000F0318" w:rsidRPr="00B12B3B">
        <w:rPr>
          <w:rFonts w:cstheme="minorHAnsi"/>
          <w:sz w:val="24"/>
          <w:szCs w:val="24"/>
          <w:shd w:val="clear" w:color="auto" w:fill="FFFFFF"/>
        </w:rPr>
        <w:t xml:space="preserve">are provided in </w:t>
      </w:r>
      <w:r w:rsidR="004047F7" w:rsidRPr="00B12B3B">
        <w:rPr>
          <w:rFonts w:cstheme="minorHAnsi"/>
          <w:sz w:val="24"/>
          <w:szCs w:val="24"/>
          <w:shd w:val="clear" w:color="auto" w:fill="FFFFFF"/>
        </w:rPr>
        <w:t>S</w:t>
      </w:r>
      <w:r w:rsidR="000F0318" w:rsidRPr="00B12B3B">
        <w:rPr>
          <w:rFonts w:cstheme="minorHAnsi"/>
          <w:sz w:val="24"/>
          <w:szCs w:val="24"/>
          <w:shd w:val="clear" w:color="auto" w:fill="FFFFFF"/>
        </w:rPr>
        <w:t>upplement</w:t>
      </w:r>
      <w:r w:rsidR="004047F7" w:rsidRPr="00B12B3B">
        <w:rPr>
          <w:rFonts w:cstheme="minorHAnsi"/>
          <w:sz w:val="24"/>
          <w:szCs w:val="24"/>
          <w:shd w:val="clear" w:color="auto" w:fill="FFFFFF"/>
        </w:rPr>
        <w:t xml:space="preserve"> 1</w:t>
      </w:r>
      <w:r w:rsidR="000F0318" w:rsidRPr="00B12B3B">
        <w:rPr>
          <w:rFonts w:cstheme="minorHAnsi"/>
          <w:sz w:val="24"/>
          <w:szCs w:val="24"/>
          <w:shd w:val="clear" w:color="auto" w:fill="FFFFFF"/>
        </w:rPr>
        <w:t>.</w:t>
      </w:r>
    </w:p>
    <w:p w14:paraId="60B3A1AA" w14:textId="75682490" w:rsidR="007177F9" w:rsidRPr="00B12B3B" w:rsidRDefault="007177F9" w:rsidP="00072E13">
      <w:pPr>
        <w:spacing w:line="360" w:lineRule="auto"/>
        <w:jc w:val="both"/>
        <w:rPr>
          <w:rFonts w:asciiTheme="minorHAnsi" w:hAnsiTheme="minorHAnsi" w:cstheme="minorHAnsi"/>
          <w:b/>
          <w:bCs/>
          <w:color w:val="000000"/>
          <w:shd w:val="clear" w:color="auto" w:fill="FFFFFF"/>
        </w:rPr>
      </w:pPr>
      <w:r w:rsidRPr="00B12B3B">
        <w:rPr>
          <w:rFonts w:asciiTheme="minorHAnsi" w:hAnsiTheme="minorHAnsi" w:cstheme="minorHAnsi"/>
          <w:b/>
          <w:bCs/>
          <w:color w:val="000000"/>
          <w:shd w:val="clear" w:color="auto" w:fill="FFFFFF"/>
        </w:rPr>
        <w:t>2</w:t>
      </w:r>
      <w:r w:rsidR="00F72F12" w:rsidRPr="00B12B3B">
        <w:rPr>
          <w:rFonts w:asciiTheme="minorHAnsi" w:hAnsiTheme="minorHAnsi" w:cstheme="minorHAnsi"/>
          <w:b/>
          <w:bCs/>
          <w:color w:val="000000"/>
          <w:shd w:val="clear" w:color="auto" w:fill="FFFFFF"/>
        </w:rPr>
        <w:t>.</w:t>
      </w:r>
      <w:r w:rsidR="003778FF" w:rsidRPr="00B12B3B">
        <w:rPr>
          <w:rFonts w:asciiTheme="minorHAnsi" w:hAnsiTheme="minorHAnsi" w:cstheme="minorHAnsi"/>
          <w:b/>
          <w:bCs/>
          <w:color w:val="000000"/>
          <w:shd w:val="clear" w:color="auto" w:fill="FFFFFF"/>
        </w:rPr>
        <w:t>4</w:t>
      </w:r>
      <w:r w:rsidRPr="00B12B3B">
        <w:rPr>
          <w:rFonts w:asciiTheme="minorHAnsi" w:hAnsiTheme="minorHAnsi" w:cstheme="minorHAnsi"/>
          <w:b/>
          <w:bCs/>
          <w:color w:val="000000"/>
          <w:shd w:val="clear" w:color="auto" w:fill="FFFFFF"/>
        </w:rPr>
        <w:tab/>
        <w:t>Statistical analysis</w:t>
      </w:r>
      <w:r w:rsidR="005A16B8" w:rsidRPr="00B12B3B">
        <w:rPr>
          <w:rFonts w:asciiTheme="minorHAnsi" w:hAnsiTheme="minorHAnsi" w:cstheme="minorHAnsi"/>
          <w:b/>
          <w:bCs/>
          <w:color w:val="000000"/>
          <w:shd w:val="clear" w:color="auto" w:fill="FFFFFF"/>
        </w:rPr>
        <w:t xml:space="preserve"> </w:t>
      </w:r>
    </w:p>
    <w:p w14:paraId="572F3EDE" w14:textId="266FBB27" w:rsidR="00B433B0" w:rsidRPr="00B12B3B" w:rsidRDefault="009C6BB3" w:rsidP="00B433B0">
      <w:pPr>
        <w:pStyle w:val="Geenafstand"/>
        <w:spacing w:line="360" w:lineRule="auto"/>
        <w:jc w:val="both"/>
        <w:rPr>
          <w:rFonts w:cstheme="minorHAnsi"/>
          <w:color w:val="222222"/>
          <w:sz w:val="24"/>
          <w:szCs w:val="24"/>
          <w:shd w:val="clear" w:color="auto" w:fill="FFFFFF"/>
        </w:rPr>
      </w:pPr>
      <w:r w:rsidRPr="00B12B3B">
        <w:rPr>
          <w:color w:val="000000"/>
          <w:sz w:val="24"/>
          <w:szCs w:val="24"/>
          <w:shd w:val="clear" w:color="auto" w:fill="FFFFFF"/>
        </w:rPr>
        <w:lastRenderedPageBreak/>
        <w:t xml:space="preserve">RAND </w:t>
      </w:r>
      <w:r w:rsidR="00FC2AC9" w:rsidRPr="00B12B3B">
        <w:rPr>
          <w:color w:val="000000"/>
          <w:sz w:val="24"/>
          <w:szCs w:val="24"/>
          <w:shd w:val="clear" w:color="auto" w:fill="FFFFFF"/>
        </w:rPr>
        <w:t>SF 36 scores</w:t>
      </w:r>
      <w:r w:rsidR="00AB7B7A" w:rsidRPr="00B12B3B">
        <w:rPr>
          <w:color w:val="000000"/>
          <w:sz w:val="24"/>
          <w:szCs w:val="24"/>
          <w:shd w:val="clear" w:color="auto" w:fill="FFFFFF"/>
        </w:rPr>
        <w:t xml:space="preserve"> (Ware&amp; Sherbourne, 1992)</w:t>
      </w:r>
      <w:r w:rsidR="00FC2AC9" w:rsidRPr="00B12B3B">
        <w:rPr>
          <w:color w:val="000000"/>
          <w:sz w:val="24"/>
          <w:szCs w:val="24"/>
          <w:shd w:val="clear" w:color="auto" w:fill="FFFFFF"/>
        </w:rPr>
        <w:t xml:space="preserve"> </w:t>
      </w:r>
      <w:r w:rsidRPr="00B12B3B">
        <w:rPr>
          <w:color w:val="000000"/>
          <w:sz w:val="24"/>
          <w:szCs w:val="24"/>
          <w:shd w:val="clear" w:color="auto" w:fill="FFFFFF"/>
        </w:rPr>
        <w:t>v</w:t>
      </w:r>
      <w:r w:rsidR="000B6FA5" w:rsidRPr="00B12B3B">
        <w:rPr>
          <w:color w:val="000000"/>
          <w:sz w:val="24"/>
          <w:szCs w:val="24"/>
          <w:shd w:val="clear" w:color="auto" w:fill="FFFFFF"/>
        </w:rPr>
        <w:t>er</w:t>
      </w:r>
      <w:r w:rsidRPr="00B12B3B">
        <w:rPr>
          <w:color w:val="000000"/>
          <w:sz w:val="24"/>
          <w:szCs w:val="24"/>
          <w:shd w:val="clear" w:color="auto" w:fill="FFFFFF"/>
        </w:rPr>
        <w:t>s</w:t>
      </w:r>
      <w:r w:rsidR="000B6FA5" w:rsidRPr="00B12B3B">
        <w:rPr>
          <w:color w:val="000000"/>
          <w:sz w:val="24"/>
          <w:szCs w:val="24"/>
          <w:shd w:val="clear" w:color="auto" w:fill="FFFFFF"/>
        </w:rPr>
        <w:t>us</w:t>
      </w:r>
      <w:r w:rsidRPr="00B12B3B">
        <w:rPr>
          <w:color w:val="000000"/>
          <w:sz w:val="24"/>
          <w:szCs w:val="24"/>
          <w:shd w:val="clear" w:color="auto" w:fill="FFFFFF"/>
        </w:rPr>
        <w:t xml:space="preserve"> M</w:t>
      </w:r>
      <w:r w:rsidR="00AB7B7A" w:rsidRPr="00B12B3B">
        <w:rPr>
          <w:color w:val="000000"/>
          <w:sz w:val="24"/>
          <w:szCs w:val="24"/>
          <w:shd w:val="clear" w:color="auto" w:fill="FFFFFF"/>
        </w:rPr>
        <w:t xml:space="preserve">edical </w:t>
      </w:r>
      <w:r w:rsidRPr="00B12B3B">
        <w:rPr>
          <w:color w:val="000000"/>
          <w:sz w:val="24"/>
          <w:szCs w:val="24"/>
          <w:shd w:val="clear" w:color="auto" w:fill="FFFFFF"/>
        </w:rPr>
        <w:t>O</w:t>
      </w:r>
      <w:r w:rsidR="00AB7B7A" w:rsidRPr="00B12B3B">
        <w:rPr>
          <w:color w:val="000000"/>
          <w:sz w:val="24"/>
          <w:szCs w:val="24"/>
          <w:shd w:val="clear" w:color="auto" w:fill="FFFFFF"/>
        </w:rPr>
        <w:t xml:space="preserve">utcome </w:t>
      </w:r>
      <w:r w:rsidRPr="00B12B3B">
        <w:rPr>
          <w:color w:val="000000"/>
          <w:sz w:val="24"/>
          <w:szCs w:val="24"/>
          <w:shd w:val="clear" w:color="auto" w:fill="FFFFFF"/>
        </w:rPr>
        <w:t>S</w:t>
      </w:r>
      <w:r w:rsidR="00AB7B7A" w:rsidRPr="00B12B3B">
        <w:rPr>
          <w:color w:val="000000"/>
          <w:sz w:val="24"/>
          <w:szCs w:val="24"/>
          <w:shd w:val="clear" w:color="auto" w:fill="FFFFFF"/>
        </w:rPr>
        <w:t>tudies</w:t>
      </w:r>
      <w:r w:rsidR="000B6FA5" w:rsidRPr="00B12B3B">
        <w:rPr>
          <w:color w:val="000000"/>
          <w:sz w:val="24"/>
          <w:szCs w:val="24"/>
          <w:shd w:val="clear" w:color="auto" w:fill="FFFFFF"/>
        </w:rPr>
        <w:t xml:space="preserve"> </w:t>
      </w:r>
      <w:r w:rsidR="00AB7B7A" w:rsidRPr="00B12B3B">
        <w:rPr>
          <w:color w:val="000000"/>
          <w:sz w:val="24"/>
          <w:szCs w:val="24"/>
          <w:shd w:val="clear" w:color="auto" w:fill="FFFFFF"/>
        </w:rPr>
        <w:t>(MOS)</w:t>
      </w:r>
      <w:r w:rsidR="00753C81" w:rsidRPr="00B12B3B">
        <w:rPr>
          <w:color w:val="000000"/>
          <w:sz w:val="24"/>
          <w:szCs w:val="24"/>
          <w:shd w:val="clear" w:color="auto" w:fill="FFFFFF"/>
        </w:rPr>
        <w:t xml:space="preserve"> </w:t>
      </w:r>
      <w:r w:rsidR="00AB7B7A" w:rsidRPr="00B12B3B">
        <w:rPr>
          <w:color w:val="000000"/>
          <w:sz w:val="24"/>
          <w:szCs w:val="24"/>
          <w:shd w:val="clear" w:color="auto" w:fill="FFFFFF"/>
        </w:rPr>
        <w:t>(</w:t>
      </w:r>
      <w:proofErr w:type="spellStart"/>
      <w:r w:rsidR="00AB7B7A" w:rsidRPr="00B12B3B">
        <w:rPr>
          <w:color w:val="000000"/>
          <w:sz w:val="24"/>
          <w:szCs w:val="24"/>
          <w:shd w:val="clear" w:color="auto" w:fill="FFFFFF"/>
        </w:rPr>
        <w:t>Tarlov</w:t>
      </w:r>
      <w:proofErr w:type="spellEnd"/>
      <w:r w:rsidR="00AB7B7A" w:rsidRPr="00B12B3B">
        <w:rPr>
          <w:color w:val="000000"/>
          <w:sz w:val="24"/>
          <w:szCs w:val="24"/>
          <w:shd w:val="clear" w:color="auto" w:fill="FFFFFF"/>
        </w:rPr>
        <w:t xml:space="preserve"> et al., 1998) n</w:t>
      </w:r>
      <w:r w:rsidR="00FC2AC9" w:rsidRPr="00B12B3B">
        <w:rPr>
          <w:sz w:val="24"/>
          <w:szCs w:val="24"/>
        </w:rPr>
        <w:t xml:space="preserve">orm scores were compared and p-values presented for the differences by one sample t-test. </w:t>
      </w:r>
      <w:r w:rsidR="00917316" w:rsidRPr="00B12B3B">
        <w:rPr>
          <w:color w:val="000000"/>
          <w:sz w:val="24"/>
          <w:szCs w:val="24"/>
          <w:shd w:val="clear" w:color="auto" w:fill="FFFFFF"/>
        </w:rPr>
        <w:t>Characteristics of the proposed outcome measures hsCRP</w:t>
      </w:r>
      <w:r w:rsidR="000B6FA5" w:rsidRPr="00B12B3B">
        <w:rPr>
          <w:color w:val="000000"/>
          <w:sz w:val="24"/>
          <w:szCs w:val="24"/>
          <w:shd w:val="clear" w:color="auto" w:fill="FFFFFF"/>
        </w:rPr>
        <w:t xml:space="preserve"> </w:t>
      </w:r>
      <w:r w:rsidR="00DF1CF9" w:rsidRPr="00B12B3B">
        <w:rPr>
          <w:color w:val="000000"/>
          <w:sz w:val="24"/>
          <w:szCs w:val="24"/>
          <w:shd w:val="clear" w:color="auto" w:fill="FFFFFF"/>
        </w:rPr>
        <w:t>(</w:t>
      </w:r>
      <w:proofErr w:type="spellStart"/>
      <w:r w:rsidR="00DF1CF9" w:rsidRPr="00B12B3B">
        <w:rPr>
          <w:color w:val="000000"/>
          <w:sz w:val="24"/>
          <w:szCs w:val="24"/>
          <w:shd w:val="clear" w:color="auto" w:fill="FFFFFF"/>
        </w:rPr>
        <w:t>Seo</w:t>
      </w:r>
      <w:proofErr w:type="spellEnd"/>
      <w:r w:rsidR="00DF1CF9" w:rsidRPr="00B12B3B">
        <w:rPr>
          <w:color w:val="000000"/>
          <w:sz w:val="24"/>
          <w:szCs w:val="24"/>
          <w:shd w:val="clear" w:color="auto" w:fill="FFFFFF"/>
        </w:rPr>
        <w:t>, 2012)</w:t>
      </w:r>
      <w:r w:rsidR="00917316" w:rsidRPr="00B12B3B">
        <w:rPr>
          <w:color w:val="000000"/>
          <w:sz w:val="24"/>
          <w:szCs w:val="24"/>
          <w:shd w:val="clear" w:color="auto" w:fill="FFFFFF"/>
        </w:rPr>
        <w:t xml:space="preserve"> and cytokines including standard deviation were taken for future power calculation. </w:t>
      </w:r>
      <w:r w:rsidR="00CB16AA" w:rsidRPr="00B12B3B">
        <w:rPr>
          <w:bCs/>
          <w:sz w:val="24"/>
          <w:szCs w:val="24"/>
        </w:rPr>
        <w:t xml:space="preserve">The lab provided median and range scores from a commercial normal sample (N=27) for </w:t>
      </w:r>
      <w:proofErr w:type="spellStart"/>
      <w:r w:rsidR="00CC627E" w:rsidRPr="00B12B3B">
        <w:rPr>
          <w:bCs/>
          <w:sz w:val="24"/>
          <w:szCs w:val="24"/>
        </w:rPr>
        <w:t>IFNγ</w:t>
      </w:r>
      <w:proofErr w:type="spellEnd"/>
      <w:r w:rsidR="00CB16AA" w:rsidRPr="00B12B3B">
        <w:rPr>
          <w:bCs/>
          <w:sz w:val="24"/>
          <w:szCs w:val="24"/>
        </w:rPr>
        <w:t xml:space="preserve">, IL1-b, IL-6, </w:t>
      </w:r>
      <w:r w:rsidR="000B6FA5" w:rsidRPr="00B12B3B">
        <w:rPr>
          <w:bCs/>
          <w:sz w:val="24"/>
          <w:szCs w:val="24"/>
        </w:rPr>
        <w:t xml:space="preserve">IL-12, IL 17a, </w:t>
      </w:r>
      <w:r w:rsidR="0082381E" w:rsidRPr="00B12B3B">
        <w:rPr>
          <w:sz w:val="24"/>
          <w:szCs w:val="24"/>
        </w:rPr>
        <w:t>TNFα</w:t>
      </w:r>
      <w:r w:rsidR="00CB16AA" w:rsidRPr="00B12B3B">
        <w:rPr>
          <w:bCs/>
          <w:sz w:val="24"/>
          <w:szCs w:val="24"/>
        </w:rPr>
        <w:t xml:space="preserve">, and </w:t>
      </w:r>
      <w:r w:rsidR="00F07CC2" w:rsidRPr="00B12B3B">
        <w:rPr>
          <w:bCs/>
          <w:sz w:val="24"/>
          <w:szCs w:val="24"/>
        </w:rPr>
        <w:t>VEGF-a</w:t>
      </w:r>
      <w:r w:rsidR="00CB16AA" w:rsidRPr="00B12B3B">
        <w:rPr>
          <w:bCs/>
          <w:sz w:val="24"/>
          <w:szCs w:val="24"/>
        </w:rPr>
        <w:t xml:space="preserve">. </w:t>
      </w:r>
      <w:r w:rsidR="00817BF0" w:rsidRPr="00B12B3B">
        <w:rPr>
          <w:bCs/>
          <w:sz w:val="24"/>
          <w:szCs w:val="24"/>
        </w:rPr>
        <w:t xml:space="preserve">Range was calculated of the samples with concentrations above the Lowest Level Of Detection (LLOD). </w:t>
      </w:r>
      <w:r w:rsidR="009971CA" w:rsidRPr="00B12B3B">
        <w:rPr>
          <w:bCs/>
          <w:sz w:val="24"/>
          <w:szCs w:val="24"/>
        </w:rPr>
        <w:t xml:space="preserve">Significance level for the difference </w:t>
      </w:r>
      <w:r w:rsidRPr="00B12B3B">
        <w:rPr>
          <w:bCs/>
          <w:sz w:val="24"/>
          <w:szCs w:val="24"/>
        </w:rPr>
        <w:t xml:space="preserve">between our sample and the normal sample </w:t>
      </w:r>
      <w:r w:rsidR="009971CA" w:rsidRPr="00B12B3B">
        <w:rPr>
          <w:bCs/>
          <w:sz w:val="24"/>
          <w:szCs w:val="24"/>
        </w:rPr>
        <w:t xml:space="preserve">was estimated by </w:t>
      </w:r>
      <w:r w:rsidR="009971CA" w:rsidRPr="00B12B3B">
        <w:rPr>
          <w:sz w:val="24"/>
          <w:szCs w:val="24"/>
        </w:rPr>
        <w:t xml:space="preserve">Wilcoxon Signed Rank test. </w:t>
      </w:r>
      <w:r w:rsidR="009971CA" w:rsidRPr="00B12B3B">
        <w:rPr>
          <w:bCs/>
          <w:sz w:val="24"/>
          <w:szCs w:val="24"/>
        </w:rPr>
        <w:t xml:space="preserve">Significance level for the difference between hsCRP </w:t>
      </w:r>
      <w:r w:rsidR="00647A13" w:rsidRPr="00B12B3B">
        <w:rPr>
          <w:bCs/>
          <w:sz w:val="24"/>
          <w:szCs w:val="24"/>
        </w:rPr>
        <w:t>in</w:t>
      </w:r>
      <w:r w:rsidR="009971CA" w:rsidRPr="00B12B3B">
        <w:rPr>
          <w:bCs/>
          <w:sz w:val="24"/>
          <w:szCs w:val="24"/>
        </w:rPr>
        <w:t xml:space="preserve"> the sample and cut-off score was estimated by </w:t>
      </w:r>
      <w:r w:rsidR="009971CA" w:rsidRPr="00B12B3B">
        <w:rPr>
          <w:sz w:val="24"/>
          <w:szCs w:val="24"/>
        </w:rPr>
        <w:t xml:space="preserve">One-Sample t-test. </w:t>
      </w:r>
      <w:bookmarkStart w:id="8" w:name="_Hlk64233522"/>
      <w:r w:rsidR="00F72F12" w:rsidRPr="00B12B3B">
        <w:rPr>
          <w:color w:val="000000"/>
          <w:sz w:val="24"/>
          <w:szCs w:val="24"/>
        </w:rPr>
        <w:t xml:space="preserve">Outcomes for cytokines were then plotted against miRNA, calculating </w:t>
      </w:r>
      <w:r w:rsidR="00F72F12" w:rsidRPr="00B12B3B">
        <w:rPr>
          <w:sz w:val="24"/>
          <w:szCs w:val="24"/>
        </w:rPr>
        <w:t>Pearson P values and slopes, analysed with GraphPad Prism</w:t>
      </w:r>
      <w:bookmarkEnd w:id="8"/>
      <w:r w:rsidR="00F72F12" w:rsidRPr="00B12B3B">
        <w:rPr>
          <w:sz w:val="24"/>
          <w:szCs w:val="24"/>
        </w:rPr>
        <w:t>.</w:t>
      </w:r>
      <w:r w:rsidR="00B433B0" w:rsidRPr="00B12B3B">
        <w:rPr>
          <w:sz w:val="24"/>
          <w:szCs w:val="24"/>
        </w:rPr>
        <w:t xml:space="preserve"> </w:t>
      </w:r>
      <w:r w:rsidR="00B433B0" w:rsidRPr="00B12B3B">
        <w:rPr>
          <w:rFonts w:cstheme="minorHAnsi"/>
          <w:color w:val="222222"/>
          <w:sz w:val="24"/>
          <w:szCs w:val="24"/>
          <w:shd w:val="clear" w:color="auto" w:fill="FFFFFF"/>
        </w:rPr>
        <w:t xml:space="preserve">The hair sample outcomes were compared with hair sample outcomes from healthy volunteers with t-test. </w:t>
      </w:r>
    </w:p>
    <w:p w14:paraId="4C2AD766" w14:textId="77777777" w:rsidR="00573857" w:rsidRPr="00B12B3B" w:rsidRDefault="00573857" w:rsidP="002A0C4C">
      <w:pPr>
        <w:shd w:val="clear" w:color="auto" w:fill="FFFFFF"/>
        <w:spacing w:line="360" w:lineRule="auto"/>
        <w:jc w:val="both"/>
        <w:rPr>
          <w:rFonts w:asciiTheme="minorHAnsi" w:hAnsiTheme="minorHAnsi" w:cstheme="minorHAnsi"/>
          <w:b/>
          <w:bCs/>
        </w:rPr>
      </w:pPr>
    </w:p>
    <w:p w14:paraId="032E3C70" w14:textId="0227CE88" w:rsidR="00D81359" w:rsidRPr="00B12B3B" w:rsidRDefault="00D81359" w:rsidP="002A0C4C">
      <w:pPr>
        <w:shd w:val="clear" w:color="auto" w:fill="FFFFFF"/>
        <w:spacing w:line="360" w:lineRule="auto"/>
        <w:jc w:val="both"/>
        <w:rPr>
          <w:rFonts w:asciiTheme="minorHAnsi" w:hAnsiTheme="minorHAnsi" w:cstheme="minorHAnsi"/>
          <w:b/>
          <w:bCs/>
        </w:rPr>
      </w:pPr>
      <w:r w:rsidRPr="00B12B3B">
        <w:rPr>
          <w:rFonts w:asciiTheme="minorHAnsi" w:hAnsiTheme="minorHAnsi" w:cstheme="minorHAnsi"/>
          <w:b/>
          <w:bCs/>
        </w:rPr>
        <w:t>3</w:t>
      </w:r>
      <w:r w:rsidRPr="00B12B3B">
        <w:rPr>
          <w:rFonts w:asciiTheme="minorHAnsi" w:hAnsiTheme="minorHAnsi" w:cstheme="minorHAnsi"/>
          <w:b/>
          <w:bCs/>
        </w:rPr>
        <w:tab/>
      </w:r>
      <w:r w:rsidR="004631C1" w:rsidRPr="00B12B3B">
        <w:rPr>
          <w:rFonts w:asciiTheme="minorHAnsi" w:hAnsiTheme="minorHAnsi" w:cstheme="minorHAnsi"/>
          <w:b/>
          <w:bCs/>
        </w:rPr>
        <w:t xml:space="preserve">Results </w:t>
      </w:r>
    </w:p>
    <w:p w14:paraId="38C813D5" w14:textId="562B1967" w:rsidR="008E597A" w:rsidRPr="00B12B3B" w:rsidRDefault="008E597A" w:rsidP="002A0C4C">
      <w:pPr>
        <w:shd w:val="clear" w:color="auto" w:fill="FFFFFF"/>
        <w:spacing w:line="360" w:lineRule="auto"/>
        <w:jc w:val="both"/>
        <w:rPr>
          <w:rFonts w:asciiTheme="minorHAnsi" w:hAnsiTheme="minorHAnsi" w:cstheme="minorHAnsi"/>
          <w:b/>
          <w:bCs/>
        </w:rPr>
      </w:pPr>
      <w:r w:rsidRPr="00B12B3B">
        <w:rPr>
          <w:rFonts w:asciiTheme="minorHAnsi" w:hAnsiTheme="minorHAnsi" w:cstheme="minorHAnsi"/>
          <w:b/>
          <w:bCs/>
        </w:rPr>
        <w:t>3.1</w:t>
      </w:r>
      <w:r w:rsidRPr="00B12B3B">
        <w:rPr>
          <w:rFonts w:asciiTheme="minorHAnsi" w:hAnsiTheme="minorHAnsi" w:cstheme="minorHAnsi"/>
          <w:b/>
          <w:bCs/>
        </w:rPr>
        <w:tab/>
        <w:t>Feasibility</w:t>
      </w:r>
    </w:p>
    <w:p w14:paraId="2FC63F10" w14:textId="39D2C1B8" w:rsidR="00285281" w:rsidRPr="00B12B3B" w:rsidRDefault="008E597A" w:rsidP="008E597A">
      <w:pPr>
        <w:spacing w:line="360" w:lineRule="auto"/>
        <w:jc w:val="both"/>
        <w:rPr>
          <w:rFonts w:asciiTheme="minorHAnsi" w:hAnsiTheme="minorHAnsi" w:cstheme="minorHAnsi"/>
        </w:rPr>
      </w:pPr>
      <w:r w:rsidRPr="00B12B3B">
        <w:rPr>
          <w:rFonts w:asciiTheme="minorHAnsi" w:hAnsiTheme="minorHAnsi" w:cstheme="minorHAnsi"/>
          <w:bCs/>
        </w:rPr>
        <w:t>The feasibility of establishing the cohort and performing psycho-diagnostic assessment for description of the cohort was explored. This included feasibility of obtaining ethical approval and approval of local R&amp;D departments at the different</w:t>
      </w:r>
      <w:r w:rsidR="004047F7" w:rsidRPr="00B12B3B">
        <w:rPr>
          <w:rFonts w:asciiTheme="minorHAnsi" w:hAnsiTheme="minorHAnsi" w:cstheme="minorHAnsi"/>
          <w:bCs/>
        </w:rPr>
        <w:t xml:space="preserve"> recruiting</w:t>
      </w:r>
      <w:r w:rsidRPr="00B12B3B">
        <w:rPr>
          <w:rFonts w:asciiTheme="minorHAnsi" w:hAnsiTheme="minorHAnsi" w:cstheme="minorHAnsi"/>
          <w:bCs/>
        </w:rPr>
        <w:t xml:space="preserve"> sites</w:t>
      </w:r>
      <w:r w:rsidR="00285281" w:rsidRPr="00B12B3B">
        <w:rPr>
          <w:rFonts w:asciiTheme="minorHAnsi" w:hAnsiTheme="minorHAnsi" w:cstheme="minorHAnsi"/>
          <w:bCs/>
        </w:rPr>
        <w:t xml:space="preserve">. </w:t>
      </w:r>
      <w:r w:rsidR="00285281" w:rsidRPr="00B12B3B">
        <w:rPr>
          <w:rFonts w:asciiTheme="minorHAnsi" w:hAnsiTheme="minorHAnsi" w:cstheme="minorHAnsi"/>
        </w:rPr>
        <w:t xml:space="preserve">The preparation phase of the study started March 2019. </w:t>
      </w:r>
      <w:r w:rsidR="00ED5248" w:rsidRPr="00B12B3B">
        <w:rPr>
          <w:rFonts w:asciiTheme="minorHAnsi" w:hAnsiTheme="minorHAnsi" w:cstheme="minorHAnsi"/>
        </w:rPr>
        <w:t xml:space="preserve">The protocol for </w:t>
      </w:r>
      <w:r w:rsidR="00285281" w:rsidRPr="00B12B3B">
        <w:rPr>
          <w:rFonts w:asciiTheme="minorHAnsi" w:hAnsiTheme="minorHAnsi" w:cstheme="minorHAnsi"/>
        </w:rPr>
        <w:t>HRA approval was submitted 8</w:t>
      </w:r>
      <w:r w:rsidR="00285281" w:rsidRPr="00B12B3B">
        <w:rPr>
          <w:rFonts w:asciiTheme="minorHAnsi" w:hAnsiTheme="minorHAnsi" w:cstheme="minorHAnsi"/>
          <w:vertAlign w:val="superscript"/>
        </w:rPr>
        <w:t>th</w:t>
      </w:r>
      <w:r w:rsidR="00285281" w:rsidRPr="00B12B3B">
        <w:rPr>
          <w:rFonts w:asciiTheme="minorHAnsi" w:hAnsiTheme="minorHAnsi" w:cstheme="minorHAnsi"/>
        </w:rPr>
        <w:t xml:space="preserve"> April 2019 and approval granted on 10</w:t>
      </w:r>
      <w:r w:rsidR="00285281" w:rsidRPr="00B12B3B">
        <w:rPr>
          <w:rFonts w:asciiTheme="minorHAnsi" w:hAnsiTheme="minorHAnsi" w:cstheme="minorHAnsi"/>
          <w:vertAlign w:val="superscript"/>
        </w:rPr>
        <w:t>th</w:t>
      </w:r>
      <w:r w:rsidR="00285281" w:rsidRPr="00B12B3B">
        <w:rPr>
          <w:rFonts w:asciiTheme="minorHAnsi" w:hAnsiTheme="minorHAnsi" w:cstheme="minorHAnsi"/>
        </w:rPr>
        <w:t xml:space="preserve"> June</w:t>
      </w:r>
      <w:r w:rsidR="00ED5248" w:rsidRPr="00B12B3B">
        <w:rPr>
          <w:rFonts w:asciiTheme="minorHAnsi" w:hAnsiTheme="minorHAnsi" w:cstheme="minorHAnsi"/>
        </w:rPr>
        <w:t xml:space="preserve"> by the NHS North West 11 Research Ethics Committee, Preston</w:t>
      </w:r>
      <w:r w:rsidR="000B6FA5" w:rsidRPr="00B12B3B">
        <w:rPr>
          <w:rFonts w:asciiTheme="minorHAnsi" w:hAnsiTheme="minorHAnsi" w:cstheme="minorHAnsi"/>
        </w:rPr>
        <w:t xml:space="preserve"> </w:t>
      </w:r>
      <w:r w:rsidR="00ED5248" w:rsidRPr="00B12B3B">
        <w:rPr>
          <w:rFonts w:asciiTheme="minorHAnsi" w:hAnsiTheme="minorHAnsi" w:cstheme="minorHAnsi"/>
        </w:rPr>
        <w:t>(IRAS nr. 261252)</w:t>
      </w:r>
      <w:r w:rsidR="00285281" w:rsidRPr="00B12B3B">
        <w:rPr>
          <w:rFonts w:asciiTheme="minorHAnsi" w:hAnsiTheme="minorHAnsi" w:cstheme="minorHAnsi"/>
        </w:rPr>
        <w:t>.  TEWV confirmed capacity and capability on 11</w:t>
      </w:r>
      <w:r w:rsidR="00285281" w:rsidRPr="00B12B3B">
        <w:rPr>
          <w:rFonts w:asciiTheme="minorHAnsi" w:hAnsiTheme="minorHAnsi" w:cstheme="minorHAnsi"/>
          <w:vertAlign w:val="superscript"/>
        </w:rPr>
        <w:t>th</w:t>
      </w:r>
      <w:r w:rsidR="00285281" w:rsidRPr="00B12B3B">
        <w:rPr>
          <w:rFonts w:asciiTheme="minorHAnsi" w:hAnsiTheme="minorHAnsi" w:cstheme="minorHAnsi"/>
        </w:rPr>
        <w:t xml:space="preserve"> July 2019 and recruited the first participant in the first week of August.</w:t>
      </w:r>
    </w:p>
    <w:p w14:paraId="0028DC41" w14:textId="509EF6FD" w:rsidR="005A58E5" w:rsidRPr="00B12B3B" w:rsidRDefault="005A58E5" w:rsidP="008E597A">
      <w:pPr>
        <w:spacing w:line="360" w:lineRule="auto"/>
        <w:jc w:val="both"/>
        <w:rPr>
          <w:rFonts w:asciiTheme="minorHAnsi" w:hAnsiTheme="minorHAnsi" w:cstheme="minorHAnsi"/>
          <w:b/>
          <w:bCs/>
        </w:rPr>
      </w:pPr>
      <w:r w:rsidRPr="00B12B3B">
        <w:rPr>
          <w:rFonts w:asciiTheme="minorHAnsi" w:hAnsiTheme="minorHAnsi" w:cstheme="minorHAnsi"/>
          <w:b/>
          <w:bCs/>
        </w:rPr>
        <w:t>3.1.1</w:t>
      </w:r>
      <w:r w:rsidRPr="00B12B3B">
        <w:rPr>
          <w:rFonts w:asciiTheme="minorHAnsi" w:hAnsiTheme="minorHAnsi" w:cstheme="minorHAnsi"/>
          <w:b/>
          <w:bCs/>
        </w:rPr>
        <w:tab/>
        <w:t>Lab infrastructure</w:t>
      </w:r>
    </w:p>
    <w:p w14:paraId="40C0DBCF" w14:textId="2BB4344A" w:rsidR="00FA553E" w:rsidRPr="00B12B3B" w:rsidRDefault="00285281" w:rsidP="005E5AE8">
      <w:pPr>
        <w:spacing w:line="360" w:lineRule="auto"/>
        <w:jc w:val="both"/>
        <w:rPr>
          <w:rFonts w:asciiTheme="minorHAnsi" w:hAnsiTheme="minorHAnsi" w:cstheme="minorHAnsi"/>
        </w:rPr>
      </w:pPr>
      <w:r w:rsidRPr="00B12B3B">
        <w:rPr>
          <w:rFonts w:asciiTheme="minorHAnsi" w:hAnsiTheme="minorHAnsi" w:cstheme="minorHAnsi"/>
          <w:bCs/>
        </w:rPr>
        <w:t xml:space="preserve">We built </w:t>
      </w:r>
      <w:r w:rsidR="008E597A" w:rsidRPr="00B12B3B">
        <w:rPr>
          <w:rFonts w:asciiTheme="minorHAnsi" w:hAnsiTheme="minorHAnsi" w:cstheme="minorHAnsi"/>
          <w:bCs/>
        </w:rPr>
        <w:t xml:space="preserve">an infrastructure for venepunctures, transport to lab and analysis of the </w:t>
      </w:r>
      <w:r w:rsidR="004047F7" w:rsidRPr="00B12B3B">
        <w:rPr>
          <w:rFonts w:asciiTheme="minorHAnsi" w:hAnsiTheme="minorHAnsi" w:cstheme="minorHAnsi"/>
          <w:bCs/>
        </w:rPr>
        <w:t>-</w:t>
      </w:r>
      <w:r w:rsidR="008E597A" w:rsidRPr="00B12B3B">
        <w:rPr>
          <w:rFonts w:asciiTheme="minorHAnsi" w:hAnsiTheme="minorHAnsi" w:cstheme="minorHAnsi"/>
          <w:bCs/>
        </w:rPr>
        <w:t>blood</w:t>
      </w:r>
      <w:r w:rsidRPr="00B12B3B">
        <w:rPr>
          <w:rFonts w:asciiTheme="minorHAnsi" w:hAnsiTheme="minorHAnsi" w:cstheme="minorHAnsi"/>
          <w:bCs/>
        </w:rPr>
        <w:t xml:space="preserve">. </w:t>
      </w:r>
      <w:r w:rsidRPr="00B12B3B">
        <w:rPr>
          <w:rFonts w:asciiTheme="minorHAnsi" w:hAnsiTheme="minorHAnsi" w:cstheme="minorHAnsi"/>
        </w:rPr>
        <w:t xml:space="preserve">Arrangements were made with four different laboratories for cytokines and microRNA. </w:t>
      </w:r>
      <w:r w:rsidR="005A58E5" w:rsidRPr="00B12B3B">
        <w:rPr>
          <w:rFonts w:asciiTheme="minorHAnsi" w:hAnsiTheme="minorHAnsi" w:cstheme="minorHAnsi"/>
          <w:bCs/>
        </w:rPr>
        <w:t>All sites were able to provide phlebotomy services and research nurses for data collection.</w:t>
      </w:r>
      <w:r w:rsidR="005A58E5" w:rsidRPr="00B12B3B">
        <w:rPr>
          <w:rFonts w:asciiTheme="minorHAnsi" w:hAnsiTheme="minorHAnsi" w:cstheme="minorHAnsi"/>
          <w:b/>
        </w:rPr>
        <w:t xml:space="preserve"> </w:t>
      </w:r>
      <w:r w:rsidRPr="00B12B3B">
        <w:rPr>
          <w:rFonts w:asciiTheme="minorHAnsi" w:hAnsiTheme="minorHAnsi" w:cstheme="minorHAnsi"/>
        </w:rPr>
        <w:t xml:space="preserve">Blood from venepunctures was transported to the biochemistry laboratory based at James Cook University Hospital </w:t>
      </w:r>
      <w:r w:rsidR="004047F7" w:rsidRPr="00B12B3B">
        <w:rPr>
          <w:rFonts w:asciiTheme="minorHAnsi" w:hAnsiTheme="minorHAnsi" w:cstheme="minorHAnsi"/>
        </w:rPr>
        <w:t xml:space="preserve">on </w:t>
      </w:r>
      <w:r w:rsidRPr="00B12B3B">
        <w:rPr>
          <w:rFonts w:asciiTheme="minorHAnsi" w:hAnsiTheme="minorHAnsi" w:cstheme="minorHAnsi"/>
        </w:rPr>
        <w:t xml:space="preserve">the same day. Blood was centrifuged and divided over two vials, one for the </w:t>
      </w:r>
      <w:r w:rsidRPr="00B12B3B">
        <w:rPr>
          <w:rFonts w:asciiTheme="minorHAnsi" w:hAnsiTheme="minorHAnsi" w:cstheme="minorHAnsi"/>
          <w:shd w:val="clear" w:color="auto" w:fill="FFFFFF"/>
        </w:rPr>
        <w:t>Core Biochemical Assay Laboratory (CBAL), Cambridge University,</w:t>
      </w:r>
      <w:r w:rsidRPr="00B12B3B">
        <w:rPr>
          <w:rFonts w:asciiTheme="minorHAnsi" w:hAnsiTheme="minorHAnsi" w:cstheme="minorHAnsi"/>
        </w:rPr>
        <w:t xml:space="preserve"> assessing cytokines and </w:t>
      </w:r>
      <w:r w:rsidR="00B9044D" w:rsidRPr="00B12B3B">
        <w:rPr>
          <w:rFonts w:asciiTheme="minorHAnsi" w:hAnsiTheme="minorHAnsi" w:cstheme="minorHAnsi"/>
        </w:rPr>
        <w:t xml:space="preserve">the other </w:t>
      </w:r>
      <w:r w:rsidRPr="00B12B3B">
        <w:rPr>
          <w:rFonts w:asciiTheme="minorHAnsi" w:hAnsiTheme="minorHAnsi" w:cstheme="minorHAnsi"/>
        </w:rPr>
        <w:t xml:space="preserve">for the University of York laboratory assessing microRNA. This was stored at the James Cook University Hospital biochemistry laboratory until the sample was complete and then transported to the other involved laboratories for analysis, in one procedure for all </w:t>
      </w:r>
      <w:r w:rsidRPr="00B12B3B">
        <w:rPr>
          <w:rFonts w:asciiTheme="minorHAnsi" w:hAnsiTheme="minorHAnsi" w:cstheme="minorHAnsi"/>
        </w:rPr>
        <w:lastRenderedPageBreak/>
        <w:t xml:space="preserve">patients for standardisation purposes. </w:t>
      </w:r>
      <w:r w:rsidR="005E5AE8" w:rsidRPr="00B12B3B">
        <w:rPr>
          <w:rFonts w:asciiTheme="minorHAnsi" w:hAnsiTheme="minorHAnsi" w:cstheme="minorHAnsi"/>
          <w:bCs/>
        </w:rPr>
        <w:t>This was feasible in the short timeframe of this study because colleagues in TEWV had existing contractual arrangements with the hospital. With a longer lead-in time it would be feasible to set up a similar infrastructure were existing arrangements</w:t>
      </w:r>
      <w:r w:rsidR="00B9044D" w:rsidRPr="00B12B3B">
        <w:rPr>
          <w:rFonts w:asciiTheme="minorHAnsi" w:hAnsiTheme="minorHAnsi" w:cstheme="minorHAnsi"/>
          <w:bCs/>
        </w:rPr>
        <w:t xml:space="preserve"> are currently un</w:t>
      </w:r>
      <w:r w:rsidR="005E5AE8" w:rsidRPr="00B12B3B">
        <w:rPr>
          <w:rFonts w:asciiTheme="minorHAnsi" w:hAnsiTheme="minorHAnsi" w:cstheme="minorHAnsi"/>
          <w:bCs/>
        </w:rPr>
        <w:t xml:space="preserve">available. </w:t>
      </w:r>
      <w:bookmarkStart w:id="9" w:name="_Hlk64217265"/>
      <w:r w:rsidR="00D42976" w:rsidRPr="00B12B3B">
        <w:rPr>
          <w:rFonts w:asciiTheme="minorHAnsi" w:hAnsiTheme="minorHAnsi" w:cstheme="minorHAnsi"/>
          <w:bCs/>
        </w:rPr>
        <w:t>As control measurements, t</w:t>
      </w:r>
      <w:r w:rsidRPr="00B12B3B">
        <w:rPr>
          <w:rFonts w:asciiTheme="minorHAnsi" w:hAnsiTheme="minorHAnsi" w:cstheme="minorHAnsi"/>
        </w:rPr>
        <w:t xml:space="preserve">he CBAL provided median and range data from a commercial sample of </w:t>
      </w:r>
      <w:r w:rsidR="00D42976" w:rsidRPr="00B12B3B">
        <w:rPr>
          <w:rFonts w:asciiTheme="minorHAnsi" w:hAnsiTheme="minorHAnsi" w:cstheme="minorHAnsi"/>
        </w:rPr>
        <w:t xml:space="preserve">27 </w:t>
      </w:r>
      <w:r w:rsidRPr="00B12B3B">
        <w:rPr>
          <w:rFonts w:asciiTheme="minorHAnsi" w:hAnsiTheme="minorHAnsi" w:cstheme="minorHAnsi"/>
        </w:rPr>
        <w:t>healthy subjects for comparison of the cytokine levels</w:t>
      </w:r>
      <w:r w:rsidR="00D42976" w:rsidRPr="00B12B3B">
        <w:rPr>
          <w:rFonts w:asciiTheme="minorHAnsi" w:hAnsiTheme="minorHAnsi" w:cstheme="minorHAnsi"/>
        </w:rPr>
        <w:t>, age and gender of whom were un</w:t>
      </w:r>
      <w:r w:rsidR="001D213E" w:rsidRPr="00B12B3B">
        <w:rPr>
          <w:rFonts w:asciiTheme="minorHAnsi" w:hAnsiTheme="minorHAnsi" w:cstheme="minorHAnsi"/>
        </w:rPr>
        <w:t>available for analysis.</w:t>
      </w:r>
      <w:r w:rsidRPr="00B12B3B">
        <w:rPr>
          <w:rFonts w:asciiTheme="minorHAnsi" w:hAnsiTheme="minorHAnsi" w:cstheme="minorHAnsi"/>
        </w:rPr>
        <w:t xml:space="preserve"> </w:t>
      </w:r>
      <w:bookmarkEnd w:id="9"/>
      <w:r w:rsidR="00D42976" w:rsidRPr="00B12B3B">
        <w:rPr>
          <w:rFonts w:asciiTheme="minorHAnsi" w:hAnsiTheme="minorHAnsi" w:cstheme="minorHAnsi"/>
        </w:rPr>
        <w:t>S</w:t>
      </w:r>
      <w:r w:rsidRPr="00B12B3B">
        <w:rPr>
          <w:rFonts w:asciiTheme="minorHAnsi" w:hAnsiTheme="minorHAnsi" w:cstheme="minorHAnsi"/>
        </w:rPr>
        <w:t>tandardisation and analysis method was the same in both samples.</w:t>
      </w:r>
      <w:r w:rsidR="005A58E5" w:rsidRPr="00B12B3B">
        <w:rPr>
          <w:rFonts w:asciiTheme="minorHAnsi" w:hAnsiTheme="minorHAnsi" w:cstheme="minorHAnsi"/>
        </w:rPr>
        <w:t xml:space="preserve"> </w:t>
      </w:r>
      <w:r w:rsidR="00FA553E" w:rsidRPr="00B12B3B">
        <w:rPr>
          <w:rFonts w:asciiTheme="minorHAnsi" w:hAnsiTheme="minorHAnsi" w:cstheme="minorHAnsi"/>
          <w:color w:val="000000"/>
          <w:lang w:eastAsia="en-GB"/>
        </w:rPr>
        <w:t>All hair samples were analysed at the ARU Biomarker lab, Cambridge UK.</w:t>
      </w:r>
    </w:p>
    <w:p w14:paraId="3B692CD9" w14:textId="77777777" w:rsidR="005A58E5" w:rsidRPr="00B12B3B" w:rsidRDefault="005A58E5" w:rsidP="00F245BB">
      <w:pPr>
        <w:pStyle w:val="Plattetekst"/>
        <w:spacing w:line="360" w:lineRule="auto"/>
        <w:jc w:val="both"/>
        <w:rPr>
          <w:rFonts w:asciiTheme="minorHAnsi" w:hAnsiTheme="minorHAnsi" w:cstheme="minorHAnsi"/>
          <w:b w:val="0"/>
          <w:bCs w:val="0"/>
          <w:sz w:val="24"/>
          <w:szCs w:val="24"/>
        </w:rPr>
      </w:pPr>
    </w:p>
    <w:p w14:paraId="5651C265" w14:textId="6B4E0BB9" w:rsidR="005A58E5" w:rsidRPr="00B12B3B" w:rsidRDefault="005A58E5" w:rsidP="00F245BB">
      <w:pPr>
        <w:pStyle w:val="Plattetekst"/>
        <w:spacing w:line="360" w:lineRule="auto"/>
        <w:jc w:val="both"/>
        <w:rPr>
          <w:rFonts w:asciiTheme="minorHAnsi" w:hAnsiTheme="minorHAnsi" w:cstheme="minorHAnsi"/>
          <w:b w:val="0"/>
          <w:bCs w:val="0"/>
          <w:sz w:val="24"/>
          <w:szCs w:val="24"/>
        </w:rPr>
      </w:pPr>
      <w:r w:rsidRPr="00B12B3B">
        <w:rPr>
          <w:rFonts w:asciiTheme="minorHAnsi" w:hAnsiTheme="minorHAnsi" w:cstheme="minorHAnsi"/>
          <w:sz w:val="24"/>
          <w:szCs w:val="24"/>
        </w:rPr>
        <w:t>3.1.2</w:t>
      </w:r>
      <w:r w:rsidRPr="00B12B3B">
        <w:rPr>
          <w:rFonts w:asciiTheme="minorHAnsi" w:hAnsiTheme="minorHAnsi" w:cstheme="minorHAnsi"/>
          <w:sz w:val="24"/>
          <w:szCs w:val="24"/>
        </w:rPr>
        <w:tab/>
        <w:t>Recruitment</w:t>
      </w:r>
    </w:p>
    <w:p w14:paraId="2CC713A9" w14:textId="655E79DF" w:rsidR="00BD00D6" w:rsidRPr="00B12B3B" w:rsidRDefault="00F86A0B" w:rsidP="00BD00D6">
      <w:pPr>
        <w:spacing w:line="360" w:lineRule="auto"/>
        <w:jc w:val="both"/>
        <w:rPr>
          <w:rFonts w:asciiTheme="minorHAnsi" w:hAnsiTheme="minorHAnsi" w:cstheme="minorHAnsi"/>
          <w:bCs/>
        </w:rPr>
      </w:pPr>
      <w:r w:rsidRPr="00B12B3B">
        <w:rPr>
          <w:rFonts w:asciiTheme="minorHAnsi" w:hAnsiTheme="minorHAnsi" w:cstheme="minorHAnsi"/>
        </w:rPr>
        <w:t>R</w:t>
      </w:r>
      <w:r w:rsidR="008E597A" w:rsidRPr="00B12B3B">
        <w:rPr>
          <w:rFonts w:asciiTheme="minorHAnsi" w:hAnsiTheme="minorHAnsi" w:cstheme="minorHAnsi"/>
        </w:rPr>
        <w:t>ecruitment</w:t>
      </w:r>
      <w:r w:rsidRPr="00B12B3B">
        <w:rPr>
          <w:rFonts w:asciiTheme="minorHAnsi" w:hAnsiTheme="minorHAnsi" w:cstheme="minorHAnsi"/>
        </w:rPr>
        <w:t xml:space="preserve"> </w:t>
      </w:r>
      <w:r w:rsidR="008E597A" w:rsidRPr="00B12B3B">
        <w:rPr>
          <w:rFonts w:asciiTheme="minorHAnsi" w:hAnsiTheme="minorHAnsi" w:cstheme="minorHAnsi"/>
        </w:rPr>
        <w:t xml:space="preserve">and assessment </w:t>
      </w:r>
      <w:r w:rsidRPr="00B12B3B">
        <w:rPr>
          <w:rFonts w:asciiTheme="minorHAnsi" w:hAnsiTheme="minorHAnsi" w:cstheme="minorHAnsi"/>
        </w:rPr>
        <w:t xml:space="preserve">was </w:t>
      </w:r>
      <w:r w:rsidR="008E597A" w:rsidRPr="00B12B3B">
        <w:rPr>
          <w:rFonts w:asciiTheme="minorHAnsi" w:hAnsiTheme="minorHAnsi" w:cstheme="minorHAnsi"/>
        </w:rPr>
        <w:t>support</w:t>
      </w:r>
      <w:r w:rsidRPr="00B12B3B">
        <w:rPr>
          <w:rFonts w:asciiTheme="minorHAnsi" w:hAnsiTheme="minorHAnsi" w:cstheme="minorHAnsi"/>
        </w:rPr>
        <w:t>ed</w:t>
      </w:r>
      <w:r w:rsidR="008E597A" w:rsidRPr="00B12B3B">
        <w:rPr>
          <w:rFonts w:asciiTheme="minorHAnsi" w:hAnsiTheme="minorHAnsi" w:cstheme="minorHAnsi"/>
        </w:rPr>
        <w:t xml:space="preserve"> by </w:t>
      </w:r>
      <w:r w:rsidRPr="00B12B3B">
        <w:rPr>
          <w:rFonts w:asciiTheme="minorHAnsi" w:hAnsiTheme="minorHAnsi" w:cstheme="minorHAnsi"/>
        </w:rPr>
        <w:t xml:space="preserve">the </w:t>
      </w:r>
      <w:r w:rsidR="008E597A" w:rsidRPr="00B12B3B">
        <w:rPr>
          <w:rFonts w:asciiTheme="minorHAnsi" w:hAnsiTheme="minorHAnsi" w:cstheme="minorHAnsi"/>
        </w:rPr>
        <w:t>TEWV R&amp;D department for different sites</w:t>
      </w:r>
      <w:r w:rsidR="00285281" w:rsidRPr="00B12B3B">
        <w:rPr>
          <w:rFonts w:asciiTheme="minorHAnsi" w:hAnsiTheme="minorHAnsi" w:cstheme="minorHAnsi"/>
        </w:rPr>
        <w:t>, recruitment was planned until June 1</w:t>
      </w:r>
      <w:r w:rsidR="00285281" w:rsidRPr="00B12B3B">
        <w:rPr>
          <w:rFonts w:asciiTheme="minorHAnsi" w:hAnsiTheme="minorHAnsi" w:cstheme="minorHAnsi"/>
          <w:vertAlign w:val="superscript"/>
        </w:rPr>
        <w:t>st</w:t>
      </w:r>
      <w:r w:rsidR="00285281" w:rsidRPr="00B12B3B">
        <w:rPr>
          <w:rFonts w:asciiTheme="minorHAnsi" w:hAnsiTheme="minorHAnsi" w:cstheme="minorHAnsi"/>
        </w:rPr>
        <w:t xml:space="preserve"> 2020. </w:t>
      </w:r>
      <w:r w:rsidR="005A58E5" w:rsidRPr="00B12B3B">
        <w:rPr>
          <w:rFonts w:asciiTheme="minorHAnsi" w:hAnsiTheme="minorHAnsi" w:cstheme="minorHAnsi"/>
        </w:rPr>
        <w:t xml:space="preserve">Setting up sites was feasible. Access to medical history data to decide on eligibility of patients was mostly provided by referring psychiatrists and from GP practices, but not always straightforward </w:t>
      </w:r>
      <w:r w:rsidRPr="00B12B3B">
        <w:rPr>
          <w:rFonts w:asciiTheme="minorHAnsi" w:hAnsiTheme="minorHAnsi" w:cstheme="minorHAnsi"/>
        </w:rPr>
        <w:t>as the records were not always complete regarding</w:t>
      </w:r>
      <w:r w:rsidR="005A58E5" w:rsidRPr="00B12B3B">
        <w:rPr>
          <w:rFonts w:asciiTheme="minorHAnsi" w:hAnsiTheme="minorHAnsi" w:cstheme="minorHAnsi"/>
        </w:rPr>
        <w:t xml:space="preserve"> letters of neurologists </w:t>
      </w:r>
      <w:r w:rsidRPr="00B12B3B">
        <w:rPr>
          <w:rFonts w:asciiTheme="minorHAnsi" w:hAnsiTheme="minorHAnsi" w:cstheme="minorHAnsi"/>
        </w:rPr>
        <w:t xml:space="preserve">detailing </w:t>
      </w:r>
      <w:r w:rsidR="005A58E5" w:rsidRPr="00B12B3B">
        <w:rPr>
          <w:rFonts w:asciiTheme="minorHAnsi" w:hAnsiTheme="minorHAnsi" w:cstheme="minorHAnsi"/>
        </w:rPr>
        <w:t>their diagnostic assessments. An amendment to the consent process to allow access to pertinent information from participants’ GP records was submitted in February 2020</w:t>
      </w:r>
      <w:r w:rsidR="00BD00D6" w:rsidRPr="00B12B3B">
        <w:rPr>
          <w:rFonts w:asciiTheme="minorHAnsi" w:hAnsiTheme="minorHAnsi" w:cstheme="minorHAnsi"/>
        </w:rPr>
        <w:t>. Research nurses and study</w:t>
      </w:r>
      <w:r w:rsidR="00BD00D6" w:rsidRPr="00B12B3B">
        <w:rPr>
          <w:rFonts w:asciiTheme="minorHAnsi" w:hAnsiTheme="minorHAnsi" w:cstheme="minorHAnsi"/>
          <w:bCs/>
        </w:rPr>
        <w:t xml:space="preserve"> team members were trained in the study procedures and administration and the scoring of the questionnaires in the</w:t>
      </w:r>
      <w:r w:rsidR="00324F78" w:rsidRPr="00B12B3B">
        <w:rPr>
          <w:rFonts w:asciiTheme="minorHAnsi" w:hAnsiTheme="minorHAnsi" w:cstheme="minorHAnsi"/>
          <w:bCs/>
        </w:rPr>
        <w:t xml:space="preserve"> case report form</w:t>
      </w:r>
      <w:r w:rsidR="00BD00D6" w:rsidRPr="00B12B3B">
        <w:rPr>
          <w:rFonts w:asciiTheme="minorHAnsi" w:hAnsiTheme="minorHAnsi" w:cstheme="minorHAnsi"/>
          <w:bCs/>
        </w:rPr>
        <w:t xml:space="preserve"> </w:t>
      </w:r>
      <w:r w:rsidR="00324F78" w:rsidRPr="00B12B3B">
        <w:rPr>
          <w:rFonts w:asciiTheme="minorHAnsi" w:hAnsiTheme="minorHAnsi" w:cstheme="minorHAnsi"/>
          <w:bCs/>
        </w:rPr>
        <w:t>(</w:t>
      </w:r>
      <w:r w:rsidR="00BD00D6" w:rsidRPr="00B12B3B">
        <w:rPr>
          <w:rFonts w:asciiTheme="minorHAnsi" w:hAnsiTheme="minorHAnsi" w:cstheme="minorHAnsi"/>
          <w:bCs/>
        </w:rPr>
        <w:t>CRF</w:t>
      </w:r>
      <w:r w:rsidR="00324F78" w:rsidRPr="00B12B3B">
        <w:rPr>
          <w:rFonts w:asciiTheme="minorHAnsi" w:hAnsiTheme="minorHAnsi" w:cstheme="minorHAnsi"/>
          <w:bCs/>
        </w:rPr>
        <w:t>)</w:t>
      </w:r>
      <w:r w:rsidR="00BD00D6" w:rsidRPr="00B12B3B">
        <w:rPr>
          <w:rFonts w:asciiTheme="minorHAnsi" w:hAnsiTheme="minorHAnsi" w:cstheme="minorHAnsi"/>
          <w:bCs/>
        </w:rPr>
        <w:t>. Many participants were not able to travel so it was important to involve colleagues who were willing to visit participants in their own homes or their local hospital/clinic. D</w:t>
      </w:r>
      <w:r w:rsidRPr="00B12B3B">
        <w:rPr>
          <w:rFonts w:asciiTheme="minorHAnsi" w:hAnsiTheme="minorHAnsi" w:cstheme="minorHAnsi"/>
          <w:bCs/>
        </w:rPr>
        <w:t xml:space="preserve">isclosure and </w:t>
      </w:r>
      <w:r w:rsidR="00BD00D6" w:rsidRPr="00B12B3B">
        <w:rPr>
          <w:rFonts w:asciiTheme="minorHAnsi" w:hAnsiTheme="minorHAnsi" w:cstheme="minorHAnsi"/>
          <w:bCs/>
        </w:rPr>
        <w:t>B</w:t>
      </w:r>
      <w:r w:rsidRPr="00B12B3B">
        <w:rPr>
          <w:rFonts w:asciiTheme="minorHAnsi" w:hAnsiTheme="minorHAnsi" w:cstheme="minorHAnsi"/>
          <w:bCs/>
        </w:rPr>
        <w:t xml:space="preserve">arring </w:t>
      </w:r>
      <w:r w:rsidR="00BD00D6" w:rsidRPr="00B12B3B">
        <w:rPr>
          <w:rFonts w:asciiTheme="minorHAnsi" w:hAnsiTheme="minorHAnsi" w:cstheme="minorHAnsi"/>
          <w:bCs/>
        </w:rPr>
        <w:t>S</w:t>
      </w:r>
      <w:r w:rsidRPr="00B12B3B">
        <w:rPr>
          <w:rFonts w:asciiTheme="minorHAnsi" w:hAnsiTheme="minorHAnsi" w:cstheme="minorHAnsi"/>
          <w:bCs/>
        </w:rPr>
        <w:t>ervice</w:t>
      </w:r>
      <w:r w:rsidR="000B6FA5" w:rsidRPr="00B12B3B">
        <w:rPr>
          <w:rFonts w:asciiTheme="minorHAnsi" w:hAnsiTheme="minorHAnsi" w:cstheme="minorHAnsi"/>
          <w:bCs/>
        </w:rPr>
        <w:t xml:space="preserve"> </w:t>
      </w:r>
      <w:r w:rsidRPr="00B12B3B">
        <w:rPr>
          <w:rFonts w:asciiTheme="minorHAnsi" w:hAnsiTheme="minorHAnsi" w:cstheme="minorHAnsi"/>
          <w:bCs/>
        </w:rPr>
        <w:t>(DBS)</w:t>
      </w:r>
      <w:r w:rsidR="00BD00D6" w:rsidRPr="00B12B3B">
        <w:rPr>
          <w:rFonts w:asciiTheme="minorHAnsi" w:hAnsiTheme="minorHAnsi" w:cstheme="minorHAnsi"/>
          <w:bCs/>
        </w:rPr>
        <w:t xml:space="preserve"> checks and research passports had to be obtained. Four psychiatrists were trained and supported by a format in the CRF for the procedures for the psychiatric assessment. Following the introduction of the COVID-19 restrictions the assessments were carried out by video link. After ending the recruitment phase, the CRF format was audited and found feasible to </w:t>
      </w:r>
      <w:r w:rsidR="00324F78" w:rsidRPr="00B12B3B">
        <w:rPr>
          <w:rFonts w:asciiTheme="minorHAnsi" w:hAnsiTheme="minorHAnsi" w:cstheme="minorHAnsi"/>
          <w:bCs/>
        </w:rPr>
        <w:t>complete</w:t>
      </w:r>
      <w:r w:rsidR="00BD00D6" w:rsidRPr="00B12B3B">
        <w:rPr>
          <w:rFonts w:asciiTheme="minorHAnsi" w:hAnsiTheme="minorHAnsi" w:cstheme="minorHAnsi"/>
          <w:bCs/>
        </w:rPr>
        <w:t>. Its layout was improved based upon the audit. Three people were trained and supervised by a clinical psychologist in the administration of the neuro-cognitive tests.</w:t>
      </w:r>
      <w:r w:rsidR="00BD00D6" w:rsidRPr="00B12B3B">
        <w:rPr>
          <w:rFonts w:asciiTheme="minorHAnsi" w:hAnsiTheme="minorHAnsi" w:cstheme="minorHAnsi"/>
          <w:b/>
        </w:rPr>
        <w:t xml:space="preserve"> </w:t>
      </w:r>
      <w:r w:rsidR="00BD00D6" w:rsidRPr="00B12B3B">
        <w:rPr>
          <w:rFonts w:asciiTheme="minorHAnsi" w:hAnsiTheme="minorHAnsi" w:cstheme="minorHAnsi"/>
          <w:bCs/>
        </w:rPr>
        <w:t xml:space="preserve">Testing and supervision went as planned. </w:t>
      </w:r>
    </w:p>
    <w:p w14:paraId="63746666" w14:textId="5EADE888" w:rsidR="005A58E5" w:rsidRPr="00B12B3B" w:rsidRDefault="00BD00D6" w:rsidP="00F245BB">
      <w:pPr>
        <w:pStyle w:val="Plattetekst"/>
        <w:spacing w:line="360" w:lineRule="auto"/>
        <w:jc w:val="both"/>
        <w:rPr>
          <w:rFonts w:asciiTheme="minorHAnsi" w:hAnsiTheme="minorHAnsi" w:cstheme="minorHAnsi"/>
          <w:sz w:val="24"/>
          <w:szCs w:val="24"/>
        </w:rPr>
      </w:pPr>
      <w:r w:rsidRPr="00B12B3B">
        <w:rPr>
          <w:rFonts w:asciiTheme="minorHAnsi" w:hAnsiTheme="minorHAnsi" w:cstheme="minorHAnsi"/>
          <w:sz w:val="24"/>
          <w:szCs w:val="24"/>
        </w:rPr>
        <w:t>3.1.3</w:t>
      </w:r>
      <w:r w:rsidRPr="00B12B3B">
        <w:rPr>
          <w:rFonts w:asciiTheme="minorHAnsi" w:hAnsiTheme="minorHAnsi" w:cstheme="minorHAnsi"/>
          <w:sz w:val="24"/>
          <w:szCs w:val="24"/>
        </w:rPr>
        <w:tab/>
        <w:t>COVID</w:t>
      </w:r>
      <w:r w:rsidR="0049715D" w:rsidRPr="00B12B3B">
        <w:rPr>
          <w:rFonts w:asciiTheme="minorHAnsi" w:hAnsiTheme="minorHAnsi" w:cstheme="minorHAnsi"/>
          <w:sz w:val="24"/>
          <w:szCs w:val="24"/>
        </w:rPr>
        <w:t>-</w:t>
      </w:r>
      <w:r w:rsidRPr="00B12B3B">
        <w:rPr>
          <w:rFonts w:asciiTheme="minorHAnsi" w:hAnsiTheme="minorHAnsi" w:cstheme="minorHAnsi"/>
          <w:sz w:val="24"/>
          <w:szCs w:val="24"/>
        </w:rPr>
        <w:t>19</w:t>
      </w:r>
      <w:r w:rsidR="005A58E5" w:rsidRPr="00B12B3B">
        <w:rPr>
          <w:rFonts w:asciiTheme="minorHAnsi" w:hAnsiTheme="minorHAnsi" w:cstheme="minorHAnsi"/>
          <w:sz w:val="24"/>
          <w:szCs w:val="24"/>
        </w:rPr>
        <w:t xml:space="preserve"> </w:t>
      </w:r>
    </w:p>
    <w:p w14:paraId="664846F2" w14:textId="6E561ED0" w:rsidR="00BD00D6" w:rsidRPr="00B12B3B" w:rsidRDefault="00133A61" w:rsidP="00A91B95">
      <w:pPr>
        <w:pStyle w:val="Plattetekst"/>
        <w:spacing w:line="360" w:lineRule="auto"/>
        <w:jc w:val="both"/>
        <w:rPr>
          <w:rFonts w:asciiTheme="minorHAnsi" w:hAnsiTheme="minorHAnsi" w:cstheme="minorHAnsi"/>
          <w:b w:val="0"/>
          <w:sz w:val="24"/>
          <w:szCs w:val="24"/>
        </w:rPr>
      </w:pPr>
      <w:r w:rsidRPr="00B12B3B">
        <w:rPr>
          <w:rFonts w:asciiTheme="minorHAnsi" w:hAnsiTheme="minorHAnsi" w:cstheme="minorHAnsi"/>
          <w:b w:val="0"/>
          <w:bCs w:val="0"/>
          <w:sz w:val="24"/>
          <w:szCs w:val="24"/>
        </w:rPr>
        <w:t>Owing</w:t>
      </w:r>
      <w:r w:rsidR="00285281" w:rsidRPr="00B12B3B">
        <w:rPr>
          <w:rFonts w:asciiTheme="minorHAnsi" w:hAnsiTheme="minorHAnsi" w:cstheme="minorHAnsi"/>
          <w:b w:val="0"/>
          <w:bCs w:val="0"/>
          <w:sz w:val="24"/>
          <w:szCs w:val="24"/>
        </w:rPr>
        <w:t xml:space="preserve"> to the COVID-19 outbreak recruitment was suspended from March 2020 for the full further planned recruitment period</w:t>
      </w:r>
      <w:r w:rsidR="00223F85" w:rsidRPr="00B12B3B">
        <w:rPr>
          <w:rFonts w:asciiTheme="minorHAnsi" w:hAnsiTheme="minorHAnsi" w:cstheme="minorHAnsi"/>
          <w:b w:val="0"/>
          <w:bCs w:val="0"/>
          <w:sz w:val="24"/>
          <w:szCs w:val="24"/>
        </w:rPr>
        <w:t>, shortening it by 4 months.</w:t>
      </w:r>
      <w:r w:rsidR="00285281" w:rsidRPr="00B12B3B">
        <w:rPr>
          <w:rFonts w:asciiTheme="minorHAnsi" w:hAnsiTheme="minorHAnsi" w:cstheme="minorHAnsi"/>
          <w:b w:val="0"/>
          <w:bCs w:val="0"/>
          <w:sz w:val="24"/>
          <w:szCs w:val="24"/>
        </w:rPr>
        <w:t xml:space="preserve"> Because of this, </w:t>
      </w:r>
      <w:r w:rsidRPr="00B12B3B">
        <w:rPr>
          <w:rFonts w:asciiTheme="minorHAnsi" w:hAnsiTheme="minorHAnsi" w:cstheme="minorHAnsi"/>
          <w:b w:val="0"/>
          <w:bCs w:val="0"/>
          <w:sz w:val="24"/>
          <w:szCs w:val="24"/>
        </w:rPr>
        <w:t>seven</w:t>
      </w:r>
      <w:r w:rsidR="00285281" w:rsidRPr="00B12B3B">
        <w:rPr>
          <w:rFonts w:asciiTheme="minorHAnsi" w:hAnsiTheme="minorHAnsi" w:cstheme="minorHAnsi"/>
          <w:b w:val="0"/>
          <w:bCs w:val="0"/>
          <w:sz w:val="24"/>
          <w:szCs w:val="24"/>
        </w:rPr>
        <w:t xml:space="preserve"> patients identified as </w:t>
      </w:r>
      <w:r w:rsidR="00223F85" w:rsidRPr="00B12B3B">
        <w:rPr>
          <w:rFonts w:asciiTheme="minorHAnsi" w:hAnsiTheme="minorHAnsi" w:cstheme="minorHAnsi"/>
          <w:b w:val="0"/>
          <w:bCs w:val="0"/>
          <w:sz w:val="24"/>
          <w:szCs w:val="24"/>
        </w:rPr>
        <w:t xml:space="preserve">eligible </w:t>
      </w:r>
      <w:r w:rsidR="00285281" w:rsidRPr="00B12B3B">
        <w:rPr>
          <w:rFonts w:asciiTheme="minorHAnsi" w:hAnsiTheme="minorHAnsi" w:cstheme="minorHAnsi"/>
          <w:b w:val="0"/>
          <w:bCs w:val="0"/>
          <w:sz w:val="24"/>
          <w:szCs w:val="24"/>
        </w:rPr>
        <w:t>were unable to consent and to be included in the study</w:t>
      </w:r>
      <w:r w:rsidR="00324F78" w:rsidRPr="00B12B3B">
        <w:rPr>
          <w:rFonts w:asciiTheme="minorHAnsi" w:hAnsiTheme="minorHAnsi" w:cstheme="minorHAnsi"/>
          <w:b w:val="0"/>
          <w:bCs w:val="0"/>
          <w:sz w:val="24"/>
          <w:szCs w:val="24"/>
        </w:rPr>
        <w:t>. S</w:t>
      </w:r>
      <w:r w:rsidR="00285281" w:rsidRPr="00B12B3B">
        <w:rPr>
          <w:rFonts w:asciiTheme="minorHAnsi" w:hAnsiTheme="minorHAnsi" w:cstheme="minorHAnsi"/>
          <w:b w:val="0"/>
          <w:bCs w:val="0"/>
          <w:sz w:val="24"/>
          <w:szCs w:val="24"/>
        </w:rPr>
        <w:t>ome face</w:t>
      </w:r>
      <w:r w:rsidR="00324F78" w:rsidRPr="00B12B3B">
        <w:rPr>
          <w:rFonts w:asciiTheme="minorHAnsi" w:hAnsiTheme="minorHAnsi" w:cstheme="minorHAnsi"/>
          <w:b w:val="0"/>
          <w:bCs w:val="0"/>
          <w:sz w:val="24"/>
          <w:szCs w:val="24"/>
        </w:rPr>
        <w:t>-</w:t>
      </w:r>
      <w:r w:rsidR="00285281" w:rsidRPr="00B12B3B">
        <w:rPr>
          <w:rFonts w:asciiTheme="minorHAnsi" w:hAnsiTheme="minorHAnsi" w:cstheme="minorHAnsi"/>
          <w:b w:val="0"/>
          <w:bCs w:val="0"/>
          <w:sz w:val="24"/>
          <w:szCs w:val="24"/>
        </w:rPr>
        <w:t>to</w:t>
      </w:r>
      <w:r w:rsidR="00324F78" w:rsidRPr="00B12B3B">
        <w:rPr>
          <w:rFonts w:asciiTheme="minorHAnsi" w:hAnsiTheme="minorHAnsi" w:cstheme="minorHAnsi"/>
          <w:b w:val="0"/>
          <w:bCs w:val="0"/>
          <w:sz w:val="24"/>
          <w:szCs w:val="24"/>
        </w:rPr>
        <w:t>-</w:t>
      </w:r>
      <w:r w:rsidR="00285281" w:rsidRPr="00B12B3B">
        <w:rPr>
          <w:rFonts w:asciiTheme="minorHAnsi" w:hAnsiTheme="minorHAnsi" w:cstheme="minorHAnsi"/>
          <w:b w:val="0"/>
          <w:bCs w:val="0"/>
          <w:sz w:val="24"/>
          <w:szCs w:val="24"/>
        </w:rPr>
        <w:lastRenderedPageBreak/>
        <w:t>face assessments</w:t>
      </w:r>
      <w:r w:rsidR="008054BD" w:rsidRPr="00B12B3B">
        <w:rPr>
          <w:rFonts w:asciiTheme="minorHAnsi" w:hAnsiTheme="minorHAnsi" w:cstheme="minorHAnsi"/>
          <w:b w:val="0"/>
          <w:bCs w:val="0"/>
          <w:sz w:val="24"/>
          <w:szCs w:val="24"/>
        </w:rPr>
        <w:t xml:space="preserve">, </w:t>
      </w:r>
      <w:proofErr w:type="spellStart"/>
      <w:r w:rsidR="008054BD" w:rsidRPr="00B12B3B">
        <w:rPr>
          <w:rFonts w:asciiTheme="minorHAnsi" w:hAnsiTheme="minorHAnsi" w:cstheme="minorHAnsi"/>
          <w:b w:val="0"/>
          <w:bCs w:val="0"/>
          <w:sz w:val="24"/>
          <w:szCs w:val="24"/>
        </w:rPr>
        <w:t>clinimetric</w:t>
      </w:r>
      <w:proofErr w:type="spellEnd"/>
      <w:r w:rsidR="008054BD" w:rsidRPr="00B12B3B">
        <w:rPr>
          <w:rFonts w:asciiTheme="minorHAnsi" w:hAnsiTheme="minorHAnsi" w:cstheme="minorHAnsi"/>
          <w:b w:val="0"/>
          <w:bCs w:val="0"/>
          <w:sz w:val="24"/>
          <w:szCs w:val="24"/>
        </w:rPr>
        <w:t xml:space="preserve"> assessments</w:t>
      </w:r>
      <w:r w:rsidR="00285281" w:rsidRPr="00B12B3B">
        <w:rPr>
          <w:rFonts w:asciiTheme="minorHAnsi" w:hAnsiTheme="minorHAnsi" w:cstheme="minorHAnsi"/>
          <w:b w:val="0"/>
          <w:bCs w:val="0"/>
          <w:sz w:val="24"/>
          <w:szCs w:val="24"/>
        </w:rPr>
        <w:t xml:space="preserve"> </w:t>
      </w:r>
      <w:r w:rsidR="00223F85" w:rsidRPr="00B12B3B">
        <w:rPr>
          <w:rFonts w:asciiTheme="minorHAnsi" w:hAnsiTheme="minorHAnsi" w:cstheme="minorHAnsi"/>
          <w:b w:val="0"/>
          <w:bCs w:val="0"/>
          <w:sz w:val="24"/>
          <w:szCs w:val="24"/>
        </w:rPr>
        <w:t xml:space="preserve">and one blood sampling </w:t>
      </w:r>
      <w:r w:rsidR="00285281" w:rsidRPr="00B12B3B">
        <w:rPr>
          <w:rFonts w:asciiTheme="minorHAnsi" w:hAnsiTheme="minorHAnsi" w:cstheme="minorHAnsi"/>
          <w:b w:val="0"/>
          <w:bCs w:val="0"/>
          <w:sz w:val="24"/>
          <w:szCs w:val="24"/>
        </w:rPr>
        <w:t xml:space="preserve">in patients already </w:t>
      </w:r>
      <w:r w:rsidR="00324F78" w:rsidRPr="00B12B3B">
        <w:rPr>
          <w:rFonts w:asciiTheme="minorHAnsi" w:hAnsiTheme="minorHAnsi" w:cstheme="minorHAnsi"/>
          <w:b w:val="0"/>
          <w:bCs w:val="0"/>
          <w:sz w:val="24"/>
          <w:szCs w:val="24"/>
        </w:rPr>
        <w:t xml:space="preserve">recruited </w:t>
      </w:r>
      <w:r w:rsidR="00285281" w:rsidRPr="00B12B3B">
        <w:rPr>
          <w:rFonts w:asciiTheme="minorHAnsi" w:hAnsiTheme="minorHAnsi" w:cstheme="minorHAnsi"/>
          <w:b w:val="0"/>
          <w:bCs w:val="0"/>
          <w:sz w:val="24"/>
          <w:szCs w:val="24"/>
        </w:rPr>
        <w:t xml:space="preserve">could not take place. </w:t>
      </w:r>
      <w:r w:rsidR="00A91B95" w:rsidRPr="00B12B3B">
        <w:rPr>
          <w:rFonts w:asciiTheme="minorHAnsi" w:hAnsiTheme="minorHAnsi" w:cstheme="minorHAnsi"/>
          <w:b w:val="0"/>
          <w:bCs w:val="0"/>
          <w:sz w:val="24"/>
          <w:szCs w:val="24"/>
        </w:rPr>
        <w:t xml:space="preserve">At the time of the </w:t>
      </w:r>
      <w:r w:rsidR="00324F78" w:rsidRPr="00B12B3B">
        <w:rPr>
          <w:rFonts w:asciiTheme="minorHAnsi" w:hAnsiTheme="minorHAnsi" w:cstheme="minorHAnsi"/>
          <w:b w:val="0"/>
          <w:bCs w:val="0"/>
          <w:sz w:val="24"/>
          <w:szCs w:val="24"/>
        </w:rPr>
        <w:t xml:space="preserve">first UK </w:t>
      </w:r>
      <w:r w:rsidR="00A91B95" w:rsidRPr="00B12B3B">
        <w:rPr>
          <w:rFonts w:asciiTheme="minorHAnsi" w:hAnsiTheme="minorHAnsi" w:cstheme="minorHAnsi"/>
          <w:b w:val="0"/>
          <w:bCs w:val="0"/>
          <w:sz w:val="24"/>
          <w:szCs w:val="24"/>
        </w:rPr>
        <w:t>COVID-19 lockdown</w:t>
      </w:r>
      <w:r w:rsidR="00324F78" w:rsidRPr="00B12B3B">
        <w:rPr>
          <w:rFonts w:asciiTheme="minorHAnsi" w:hAnsiTheme="minorHAnsi" w:cstheme="minorHAnsi"/>
          <w:b w:val="0"/>
          <w:bCs w:val="0"/>
          <w:sz w:val="24"/>
          <w:szCs w:val="24"/>
        </w:rPr>
        <w:t xml:space="preserve"> (March 2020)</w:t>
      </w:r>
      <w:r w:rsidR="00A91B95" w:rsidRPr="00B12B3B">
        <w:rPr>
          <w:rFonts w:asciiTheme="minorHAnsi" w:hAnsiTheme="minorHAnsi" w:cstheme="minorHAnsi"/>
          <w:b w:val="0"/>
          <w:bCs w:val="0"/>
          <w:sz w:val="24"/>
          <w:szCs w:val="24"/>
        </w:rPr>
        <w:t xml:space="preserve"> the Humber NHS Teaching Foundation Trust had begun recruiting and </w:t>
      </w:r>
      <w:r w:rsidR="00B4625B" w:rsidRPr="00B12B3B">
        <w:rPr>
          <w:rFonts w:asciiTheme="minorHAnsi" w:hAnsiTheme="minorHAnsi" w:cstheme="minorHAnsi"/>
          <w:b w:val="0"/>
          <w:bCs w:val="0"/>
          <w:sz w:val="24"/>
          <w:szCs w:val="24"/>
        </w:rPr>
        <w:t xml:space="preserve">the research team </w:t>
      </w:r>
      <w:r w:rsidR="00A91B95" w:rsidRPr="00B12B3B">
        <w:rPr>
          <w:rFonts w:asciiTheme="minorHAnsi" w:hAnsiTheme="minorHAnsi" w:cstheme="minorHAnsi"/>
          <w:b w:val="0"/>
          <w:bCs w:val="0"/>
          <w:sz w:val="24"/>
          <w:szCs w:val="24"/>
        </w:rPr>
        <w:t xml:space="preserve">were in the process of setting up sites at York </w:t>
      </w:r>
      <w:r w:rsidRPr="00B12B3B">
        <w:rPr>
          <w:rFonts w:asciiTheme="minorHAnsi" w:hAnsiTheme="minorHAnsi" w:cstheme="minorHAnsi"/>
          <w:b w:val="0"/>
          <w:bCs w:val="0"/>
          <w:sz w:val="24"/>
          <w:szCs w:val="24"/>
        </w:rPr>
        <w:t>Teaching</w:t>
      </w:r>
      <w:r w:rsidR="00A91B95" w:rsidRPr="00B12B3B">
        <w:rPr>
          <w:rFonts w:asciiTheme="minorHAnsi" w:hAnsiTheme="minorHAnsi" w:cstheme="minorHAnsi"/>
          <w:b w:val="0"/>
          <w:bCs w:val="0"/>
          <w:sz w:val="24"/>
          <w:szCs w:val="24"/>
        </w:rPr>
        <w:t xml:space="preserve"> Hospital and a stroke unit in South Tees, as well as exploring how</w:t>
      </w:r>
      <w:r w:rsidR="00A91B95" w:rsidRPr="00B12B3B">
        <w:rPr>
          <w:rFonts w:asciiTheme="minorHAnsi" w:hAnsiTheme="minorHAnsi" w:cstheme="minorHAnsi"/>
          <w:b w:val="0"/>
          <w:sz w:val="24"/>
          <w:szCs w:val="24"/>
        </w:rPr>
        <w:t xml:space="preserve"> searches of GP records might be constructed for identifying this patient group.  </w:t>
      </w:r>
      <w:r w:rsidR="008054BD" w:rsidRPr="00B12B3B">
        <w:rPr>
          <w:rFonts w:asciiTheme="minorHAnsi" w:hAnsiTheme="minorHAnsi" w:cstheme="minorHAnsi"/>
          <w:b w:val="0"/>
          <w:sz w:val="24"/>
          <w:szCs w:val="24"/>
        </w:rPr>
        <w:t xml:space="preserve">Although we don’t have a full data set on some variables, it is reasonable to suppose on the evidence from this study and conversations with participants and sites that collection of these data is feasible and acceptable.  </w:t>
      </w:r>
    </w:p>
    <w:p w14:paraId="2EB00F44" w14:textId="47922063" w:rsidR="00BD00D6" w:rsidRPr="00B12B3B" w:rsidRDefault="00BD00D6" w:rsidP="00A91B95">
      <w:pPr>
        <w:pStyle w:val="Plattetekst"/>
        <w:spacing w:line="360" w:lineRule="auto"/>
        <w:jc w:val="both"/>
        <w:rPr>
          <w:rFonts w:asciiTheme="minorHAnsi" w:hAnsiTheme="minorHAnsi" w:cstheme="minorHAnsi"/>
          <w:b w:val="0"/>
          <w:sz w:val="24"/>
          <w:szCs w:val="24"/>
        </w:rPr>
      </w:pPr>
      <w:r w:rsidRPr="00B12B3B">
        <w:rPr>
          <w:rFonts w:asciiTheme="minorHAnsi" w:hAnsiTheme="minorHAnsi" w:cstheme="minorHAnsi"/>
          <w:bCs w:val="0"/>
          <w:sz w:val="24"/>
          <w:szCs w:val="24"/>
        </w:rPr>
        <w:t>3.1.4</w:t>
      </w:r>
      <w:r w:rsidRPr="00B12B3B">
        <w:rPr>
          <w:rFonts w:asciiTheme="minorHAnsi" w:hAnsiTheme="minorHAnsi" w:cstheme="minorHAnsi"/>
          <w:bCs w:val="0"/>
          <w:sz w:val="24"/>
          <w:szCs w:val="24"/>
        </w:rPr>
        <w:tab/>
        <w:t>Participants</w:t>
      </w:r>
    </w:p>
    <w:p w14:paraId="61A48B22" w14:textId="2838F36A" w:rsidR="00BD00D6" w:rsidRPr="00B12B3B" w:rsidRDefault="00285281" w:rsidP="00BD00D6">
      <w:pPr>
        <w:spacing w:line="360" w:lineRule="auto"/>
        <w:jc w:val="both"/>
        <w:rPr>
          <w:rFonts w:asciiTheme="minorHAnsi" w:hAnsiTheme="minorHAnsi" w:cstheme="minorHAnsi"/>
        </w:rPr>
      </w:pPr>
      <w:r w:rsidRPr="00B12B3B">
        <w:rPr>
          <w:rFonts w:asciiTheme="minorHAnsi" w:hAnsiTheme="minorHAnsi" w:cstheme="minorHAnsi"/>
          <w:bCs/>
        </w:rPr>
        <w:t xml:space="preserve">Between August 2019 and March 2020, 95 potential participants had been identified through clinics at TEWV and Humber Teaching NHS Trusts before the study had to close prematurely.  Of these, 13 met the criteria for recruitment and gave consent to join the study. Five further participants heard about the study and contacted the study team directly. Of these five, one was ineligible and four consented of whom two were prevented from meeting with the study team </w:t>
      </w:r>
      <w:r w:rsidR="00B4625B" w:rsidRPr="00B12B3B">
        <w:rPr>
          <w:rFonts w:asciiTheme="minorHAnsi" w:hAnsiTheme="minorHAnsi" w:cstheme="minorHAnsi"/>
          <w:bCs/>
        </w:rPr>
        <w:t xml:space="preserve">due to </w:t>
      </w:r>
      <w:r w:rsidRPr="00B12B3B">
        <w:rPr>
          <w:rFonts w:asciiTheme="minorHAnsi" w:hAnsiTheme="minorHAnsi" w:cstheme="minorHAnsi"/>
          <w:bCs/>
        </w:rPr>
        <w:t xml:space="preserve">COVID-19 restrictions. </w:t>
      </w:r>
      <w:r w:rsidR="00BD00D6" w:rsidRPr="00B12B3B">
        <w:rPr>
          <w:rFonts w:asciiTheme="minorHAnsi" w:hAnsiTheme="minorHAnsi" w:cstheme="minorHAnsi"/>
          <w:bCs/>
        </w:rPr>
        <w:t xml:space="preserve"> </w:t>
      </w:r>
      <w:r w:rsidRPr="00B12B3B">
        <w:rPr>
          <w:rFonts w:asciiTheme="minorHAnsi" w:hAnsiTheme="minorHAnsi" w:cstheme="minorHAnsi"/>
          <w:bCs/>
        </w:rPr>
        <w:t xml:space="preserve">As the flowchart in Figure 1 shows, the closure of all non-COVID-19 related research had a considerable impact on </w:t>
      </w:r>
      <w:r w:rsidR="00B4625B" w:rsidRPr="00B12B3B">
        <w:rPr>
          <w:rFonts w:asciiTheme="minorHAnsi" w:hAnsiTheme="minorHAnsi" w:cstheme="minorHAnsi"/>
          <w:bCs/>
        </w:rPr>
        <w:t xml:space="preserve">study </w:t>
      </w:r>
      <w:r w:rsidRPr="00B12B3B">
        <w:rPr>
          <w:rFonts w:asciiTheme="minorHAnsi" w:hAnsiTheme="minorHAnsi" w:cstheme="minorHAnsi"/>
          <w:bCs/>
        </w:rPr>
        <w:t xml:space="preserve">recruitment as Humber Teaching NHS Foundation Trust was starting recruitment and the TEWV </w:t>
      </w:r>
      <w:r w:rsidR="00B4625B" w:rsidRPr="00B12B3B">
        <w:rPr>
          <w:rFonts w:asciiTheme="minorHAnsi" w:hAnsiTheme="minorHAnsi" w:cstheme="minorHAnsi"/>
          <w:bCs/>
        </w:rPr>
        <w:t>medically unexplained physical symptoms (</w:t>
      </w:r>
      <w:r w:rsidRPr="00B12B3B">
        <w:rPr>
          <w:rFonts w:asciiTheme="minorHAnsi" w:hAnsiTheme="minorHAnsi" w:cstheme="minorHAnsi"/>
          <w:bCs/>
        </w:rPr>
        <w:t>MUPS</w:t>
      </w:r>
      <w:r w:rsidR="00B4625B" w:rsidRPr="00B12B3B">
        <w:rPr>
          <w:rFonts w:asciiTheme="minorHAnsi" w:hAnsiTheme="minorHAnsi" w:cstheme="minorHAnsi"/>
          <w:bCs/>
        </w:rPr>
        <w:t>)</w:t>
      </w:r>
      <w:r w:rsidRPr="00B12B3B">
        <w:rPr>
          <w:rFonts w:asciiTheme="minorHAnsi" w:hAnsiTheme="minorHAnsi" w:cstheme="minorHAnsi"/>
          <w:bCs/>
        </w:rPr>
        <w:t xml:space="preserve"> clinic, closed from December 2019 until March 2020, was re-opening.  </w:t>
      </w:r>
      <w:r w:rsidR="00BD00D6" w:rsidRPr="00B12B3B">
        <w:rPr>
          <w:rFonts w:asciiTheme="minorHAnsi" w:hAnsiTheme="minorHAnsi" w:cstheme="minorHAnsi"/>
          <w:bCs/>
        </w:rPr>
        <w:t>From March 2020, the</w:t>
      </w:r>
      <w:r w:rsidR="00BD00D6" w:rsidRPr="00B12B3B">
        <w:rPr>
          <w:rFonts w:asciiTheme="minorHAnsi" w:hAnsiTheme="minorHAnsi" w:cstheme="minorHAnsi"/>
        </w:rPr>
        <w:t xml:space="preserve"> team started with data entry, lab analysis and statistical analysis, and </w:t>
      </w:r>
      <w:r w:rsidR="00F86A0B" w:rsidRPr="00B12B3B">
        <w:rPr>
          <w:rFonts w:asciiTheme="minorHAnsi" w:hAnsiTheme="minorHAnsi" w:cstheme="minorHAnsi"/>
        </w:rPr>
        <w:t xml:space="preserve">the </w:t>
      </w:r>
      <w:r w:rsidR="00BD00D6" w:rsidRPr="00B12B3B">
        <w:rPr>
          <w:rFonts w:asciiTheme="minorHAnsi" w:hAnsiTheme="minorHAnsi" w:cstheme="minorHAnsi"/>
        </w:rPr>
        <w:t>reporting phase of the study.</w:t>
      </w:r>
    </w:p>
    <w:p w14:paraId="02B29576" w14:textId="63EA1BE0" w:rsidR="00DC5DA8" w:rsidRPr="00B12B3B" w:rsidRDefault="00DC5DA8" w:rsidP="00DC5DA8">
      <w:pPr>
        <w:pStyle w:val="Plattetekst"/>
        <w:numPr>
          <w:ilvl w:val="0"/>
          <w:numId w:val="25"/>
        </w:numPr>
        <w:spacing w:line="360" w:lineRule="auto"/>
        <w:jc w:val="both"/>
        <w:rPr>
          <w:rFonts w:asciiTheme="minorHAnsi" w:hAnsiTheme="minorHAnsi" w:cstheme="minorHAnsi"/>
          <w:b w:val="0"/>
          <w:bCs w:val="0"/>
          <w:sz w:val="24"/>
          <w:szCs w:val="24"/>
        </w:rPr>
      </w:pPr>
      <w:r w:rsidRPr="00B12B3B">
        <w:rPr>
          <w:rFonts w:asciiTheme="minorHAnsi" w:hAnsiTheme="minorHAnsi" w:cstheme="minorHAnsi"/>
          <w:b w:val="0"/>
          <w:bCs w:val="0"/>
          <w:sz w:val="24"/>
          <w:szCs w:val="24"/>
        </w:rPr>
        <w:t xml:space="preserve">Insert Figure 1 </w:t>
      </w:r>
      <w:r w:rsidR="005A58E5" w:rsidRPr="00B12B3B">
        <w:rPr>
          <w:rFonts w:asciiTheme="minorHAnsi" w:hAnsiTheme="minorHAnsi" w:cstheme="minorHAnsi"/>
          <w:b w:val="0"/>
          <w:bCs w:val="0"/>
          <w:sz w:val="24"/>
          <w:szCs w:val="24"/>
        </w:rPr>
        <w:t>–</w:t>
      </w:r>
      <w:r w:rsidRPr="00B12B3B">
        <w:rPr>
          <w:rFonts w:asciiTheme="minorHAnsi" w:hAnsiTheme="minorHAnsi" w:cstheme="minorHAnsi"/>
          <w:b w:val="0"/>
          <w:bCs w:val="0"/>
          <w:sz w:val="24"/>
          <w:szCs w:val="24"/>
        </w:rPr>
        <w:t xml:space="preserve"> </w:t>
      </w:r>
    </w:p>
    <w:p w14:paraId="273C5065" w14:textId="2451A808" w:rsidR="00BD00D6" w:rsidRPr="00B12B3B" w:rsidRDefault="00BD00D6" w:rsidP="00BD00D6">
      <w:pPr>
        <w:pStyle w:val="Plattetekst"/>
        <w:spacing w:line="360" w:lineRule="auto"/>
        <w:jc w:val="both"/>
        <w:rPr>
          <w:rFonts w:asciiTheme="minorHAnsi" w:hAnsiTheme="minorHAnsi" w:cstheme="minorHAnsi"/>
          <w:sz w:val="24"/>
          <w:szCs w:val="24"/>
        </w:rPr>
      </w:pPr>
      <w:r w:rsidRPr="00B12B3B">
        <w:rPr>
          <w:rFonts w:asciiTheme="minorHAnsi" w:hAnsiTheme="minorHAnsi" w:cstheme="minorHAnsi"/>
          <w:sz w:val="24"/>
          <w:szCs w:val="24"/>
        </w:rPr>
        <w:t>3.1.5</w:t>
      </w:r>
      <w:r w:rsidRPr="00B12B3B">
        <w:rPr>
          <w:rFonts w:asciiTheme="minorHAnsi" w:hAnsiTheme="minorHAnsi" w:cstheme="minorHAnsi"/>
          <w:sz w:val="24"/>
          <w:szCs w:val="24"/>
        </w:rPr>
        <w:tab/>
        <w:t>Sites</w:t>
      </w:r>
    </w:p>
    <w:p w14:paraId="701B10F4" w14:textId="5E1A2131" w:rsidR="00AB7931" w:rsidRPr="00B12B3B" w:rsidRDefault="00A91B95" w:rsidP="002C7230">
      <w:pPr>
        <w:pStyle w:val="Plattetekst"/>
        <w:spacing w:line="360" w:lineRule="auto"/>
        <w:jc w:val="both"/>
        <w:rPr>
          <w:rFonts w:asciiTheme="minorHAnsi" w:hAnsiTheme="minorHAnsi" w:cstheme="minorHAnsi"/>
          <w:b w:val="0"/>
          <w:bCs w:val="0"/>
          <w:sz w:val="24"/>
          <w:szCs w:val="24"/>
        </w:rPr>
      </w:pPr>
      <w:r w:rsidRPr="00B12B3B">
        <w:rPr>
          <w:rFonts w:asciiTheme="minorHAnsi" w:hAnsiTheme="minorHAnsi" w:cstheme="minorHAnsi"/>
          <w:b w:val="0"/>
          <w:sz w:val="24"/>
          <w:szCs w:val="24"/>
        </w:rPr>
        <w:t>During the set-up period the study team was contacted by several mental health NHS trusts through the C</w:t>
      </w:r>
      <w:r w:rsidR="00B4625B" w:rsidRPr="00B12B3B">
        <w:rPr>
          <w:rFonts w:asciiTheme="minorHAnsi" w:hAnsiTheme="minorHAnsi" w:cstheme="minorHAnsi"/>
          <w:b w:val="0"/>
          <w:sz w:val="24"/>
          <w:szCs w:val="24"/>
        </w:rPr>
        <w:t xml:space="preserve">linical </w:t>
      </w:r>
      <w:r w:rsidRPr="00B12B3B">
        <w:rPr>
          <w:rFonts w:asciiTheme="minorHAnsi" w:hAnsiTheme="minorHAnsi" w:cstheme="minorHAnsi"/>
          <w:b w:val="0"/>
          <w:sz w:val="24"/>
          <w:szCs w:val="24"/>
        </w:rPr>
        <w:t>R</w:t>
      </w:r>
      <w:r w:rsidR="00B4625B" w:rsidRPr="00B12B3B">
        <w:rPr>
          <w:rFonts w:asciiTheme="minorHAnsi" w:hAnsiTheme="minorHAnsi" w:cstheme="minorHAnsi"/>
          <w:b w:val="0"/>
          <w:sz w:val="24"/>
          <w:szCs w:val="24"/>
        </w:rPr>
        <w:t xml:space="preserve">esearch </w:t>
      </w:r>
      <w:r w:rsidRPr="00B12B3B">
        <w:rPr>
          <w:rFonts w:asciiTheme="minorHAnsi" w:hAnsiTheme="minorHAnsi" w:cstheme="minorHAnsi"/>
          <w:b w:val="0"/>
          <w:sz w:val="24"/>
          <w:szCs w:val="24"/>
        </w:rPr>
        <w:t>N</w:t>
      </w:r>
      <w:r w:rsidR="00B4625B" w:rsidRPr="00B12B3B">
        <w:rPr>
          <w:rFonts w:asciiTheme="minorHAnsi" w:hAnsiTheme="minorHAnsi" w:cstheme="minorHAnsi"/>
          <w:b w:val="0"/>
          <w:sz w:val="24"/>
          <w:szCs w:val="24"/>
        </w:rPr>
        <w:t>etwork (CRN)</w:t>
      </w:r>
      <w:r w:rsidRPr="00B12B3B">
        <w:rPr>
          <w:rFonts w:asciiTheme="minorHAnsi" w:hAnsiTheme="minorHAnsi" w:cstheme="minorHAnsi"/>
          <w:b w:val="0"/>
          <w:sz w:val="24"/>
          <w:szCs w:val="24"/>
        </w:rPr>
        <w:t xml:space="preserve"> portfolio, expressing an interest in taking part. We have also had interest from, and spoken to, neurologists, stroke units, pain clinics and physiotherapists, and more recently from individuals and charities. All of the six GP practices we consulted in and around York were also keen to be involved. Expanding the network of collaborators within the NHS and establishing a larger cohort is unlikely to be too difficult given appropriate time and resources. Collaboration and knowledge exchange within and outside the interdisciplinary team of researchers has been key to the conduct of and learning from this feasibility study.</w:t>
      </w:r>
      <w:r w:rsidR="00BD00D6" w:rsidRPr="00B12B3B">
        <w:rPr>
          <w:rFonts w:asciiTheme="minorHAnsi" w:hAnsiTheme="minorHAnsi" w:cstheme="minorHAnsi"/>
          <w:b w:val="0"/>
          <w:sz w:val="24"/>
          <w:szCs w:val="24"/>
        </w:rPr>
        <w:t xml:space="preserve"> </w:t>
      </w:r>
      <w:r w:rsidR="00285281" w:rsidRPr="00B12B3B">
        <w:rPr>
          <w:rFonts w:asciiTheme="minorHAnsi" w:hAnsiTheme="minorHAnsi" w:cstheme="minorHAnsi"/>
          <w:b w:val="0"/>
          <w:bCs w:val="0"/>
          <w:sz w:val="24"/>
          <w:szCs w:val="24"/>
        </w:rPr>
        <w:t>In view of this the indications are that recruiting a much larger cohort would be feasible.</w:t>
      </w:r>
    </w:p>
    <w:p w14:paraId="1A12475F" w14:textId="7D435948" w:rsidR="00BC06D6" w:rsidRPr="00B12B3B" w:rsidRDefault="00BC06D6" w:rsidP="000F4D09">
      <w:pPr>
        <w:pStyle w:val="Plattetekst"/>
        <w:spacing w:line="360" w:lineRule="auto"/>
        <w:jc w:val="both"/>
        <w:rPr>
          <w:rFonts w:asciiTheme="minorHAnsi" w:hAnsiTheme="minorHAnsi" w:cstheme="minorHAnsi"/>
          <w:bCs w:val="0"/>
          <w:sz w:val="24"/>
          <w:szCs w:val="24"/>
        </w:rPr>
      </w:pPr>
      <w:r w:rsidRPr="00B12B3B">
        <w:rPr>
          <w:rFonts w:asciiTheme="minorHAnsi" w:hAnsiTheme="minorHAnsi" w:cstheme="minorHAnsi"/>
          <w:bCs w:val="0"/>
          <w:sz w:val="24"/>
          <w:szCs w:val="24"/>
        </w:rPr>
        <w:lastRenderedPageBreak/>
        <w:t>3.</w:t>
      </w:r>
      <w:r w:rsidR="00D95168" w:rsidRPr="00B12B3B">
        <w:rPr>
          <w:rFonts w:asciiTheme="minorHAnsi" w:hAnsiTheme="minorHAnsi" w:cstheme="minorHAnsi"/>
          <w:bCs w:val="0"/>
          <w:sz w:val="24"/>
          <w:szCs w:val="24"/>
        </w:rPr>
        <w:t>2</w:t>
      </w:r>
      <w:r w:rsidR="001C4CCB" w:rsidRPr="00B12B3B">
        <w:rPr>
          <w:rFonts w:asciiTheme="minorHAnsi" w:hAnsiTheme="minorHAnsi" w:cstheme="minorHAnsi"/>
          <w:bCs w:val="0"/>
          <w:sz w:val="24"/>
          <w:szCs w:val="24"/>
        </w:rPr>
        <w:tab/>
      </w:r>
      <w:r w:rsidRPr="00B12B3B">
        <w:rPr>
          <w:rFonts w:asciiTheme="minorHAnsi" w:hAnsiTheme="minorHAnsi" w:cstheme="minorHAnsi"/>
          <w:bCs w:val="0"/>
          <w:sz w:val="24"/>
          <w:szCs w:val="24"/>
        </w:rPr>
        <w:t>PPI</w:t>
      </w:r>
      <w:r w:rsidR="004E0F80" w:rsidRPr="00B12B3B">
        <w:rPr>
          <w:rFonts w:asciiTheme="minorHAnsi" w:hAnsiTheme="minorHAnsi" w:cstheme="minorHAnsi"/>
          <w:bCs w:val="0"/>
          <w:sz w:val="24"/>
          <w:szCs w:val="24"/>
        </w:rPr>
        <w:t xml:space="preserve"> involvement and feasibility from the pa</w:t>
      </w:r>
      <w:r w:rsidR="00F86A0B" w:rsidRPr="00B12B3B">
        <w:rPr>
          <w:rFonts w:asciiTheme="minorHAnsi" w:hAnsiTheme="minorHAnsi" w:cstheme="minorHAnsi"/>
          <w:bCs w:val="0"/>
          <w:sz w:val="24"/>
          <w:szCs w:val="24"/>
        </w:rPr>
        <w:t>r</w:t>
      </w:r>
      <w:r w:rsidR="004E0F80" w:rsidRPr="00B12B3B">
        <w:rPr>
          <w:rFonts w:asciiTheme="minorHAnsi" w:hAnsiTheme="minorHAnsi" w:cstheme="minorHAnsi"/>
          <w:bCs w:val="0"/>
          <w:sz w:val="24"/>
          <w:szCs w:val="24"/>
        </w:rPr>
        <w:t>ti</w:t>
      </w:r>
      <w:r w:rsidR="00F86A0B" w:rsidRPr="00B12B3B">
        <w:rPr>
          <w:rFonts w:asciiTheme="minorHAnsi" w:hAnsiTheme="minorHAnsi" w:cstheme="minorHAnsi"/>
          <w:bCs w:val="0"/>
          <w:sz w:val="24"/>
          <w:szCs w:val="24"/>
        </w:rPr>
        <w:t>cipa</w:t>
      </w:r>
      <w:r w:rsidR="004E0F80" w:rsidRPr="00B12B3B">
        <w:rPr>
          <w:rFonts w:asciiTheme="minorHAnsi" w:hAnsiTheme="minorHAnsi" w:cstheme="minorHAnsi"/>
          <w:bCs w:val="0"/>
          <w:sz w:val="24"/>
          <w:szCs w:val="24"/>
        </w:rPr>
        <w:t>nt perspective</w:t>
      </w:r>
    </w:p>
    <w:p w14:paraId="6412D9CB" w14:textId="77C3A64A" w:rsidR="00A91B95" w:rsidRPr="00B12B3B" w:rsidRDefault="00A91B95" w:rsidP="00A91B95">
      <w:pPr>
        <w:spacing w:line="360" w:lineRule="auto"/>
        <w:jc w:val="both"/>
        <w:rPr>
          <w:rFonts w:asciiTheme="minorHAnsi" w:hAnsiTheme="minorHAnsi" w:cstheme="minorHAnsi"/>
          <w:bCs/>
        </w:rPr>
      </w:pPr>
      <w:r w:rsidRPr="00B12B3B">
        <w:rPr>
          <w:rFonts w:asciiTheme="minorHAnsi" w:hAnsiTheme="minorHAnsi" w:cstheme="minorHAnsi"/>
          <w:bCs/>
        </w:rPr>
        <w:t xml:space="preserve">The number of patients identified through each of the recruitment methods and the proportion of those who were willing and eligible to take part were recorded. Willingness to complete assessment processes was monitored including attrition rates and reasons, to identify any barriers to completion. The majority of participants were able and willing to complete every part of the study. All participants recruited to the study completed all the questionnaires. Five participants preferred to have their responses written by the researcher because writing was difficult. </w:t>
      </w:r>
      <w:r w:rsidR="00F60DA2" w:rsidRPr="00B12B3B">
        <w:rPr>
          <w:rFonts w:asciiTheme="minorHAnsi" w:hAnsiTheme="minorHAnsi" w:cstheme="minorHAnsi"/>
          <w:bCs/>
        </w:rPr>
        <w:t xml:space="preserve">Three </w:t>
      </w:r>
      <w:r w:rsidRPr="00B12B3B">
        <w:rPr>
          <w:rFonts w:asciiTheme="minorHAnsi" w:hAnsiTheme="minorHAnsi" w:cstheme="minorHAnsi"/>
          <w:bCs/>
        </w:rPr>
        <w:t xml:space="preserve">participants did not complete any of the neuro-cognitive tests and the psychiatric assessments. One found the tests too difficult because of speech problems, one was too busy and one who was recruited shortly before the COVID-19 </w:t>
      </w:r>
      <w:r w:rsidR="00F60DA2" w:rsidRPr="00B12B3B">
        <w:rPr>
          <w:rFonts w:asciiTheme="minorHAnsi" w:hAnsiTheme="minorHAnsi" w:cstheme="minorHAnsi"/>
          <w:bCs/>
        </w:rPr>
        <w:t xml:space="preserve">restrictions were put in place </w:t>
      </w:r>
      <w:r w:rsidRPr="00B12B3B">
        <w:rPr>
          <w:rFonts w:asciiTheme="minorHAnsi" w:hAnsiTheme="minorHAnsi" w:cstheme="minorHAnsi"/>
          <w:bCs/>
        </w:rPr>
        <w:t xml:space="preserve">and the test had to be cancelled. A further four participants completed the psychiatric assessment by video link following the lockdown but have not been able to do the face-to-face neuro-cognitive tests. </w:t>
      </w:r>
    </w:p>
    <w:p w14:paraId="5C27BA29" w14:textId="0F2DEC1F" w:rsidR="00BC06D6" w:rsidRPr="00B12B3B" w:rsidRDefault="00A16430" w:rsidP="00A91B95">
      <w:pPr>
        <w:spacing w:line="360" w:lineRule="auto"/>
        <w:jc w:val="both"/>
        <w:rPr>
          <w:rFonts w:asciiTheme="minorHAnsi" w:hAnsiTheme="minorHAnsi" w:cstheme="minorHAnsi"/>
          <w:bCs/>
        </w:rPr>
      </w:pPr>
      <w:r w:rsidRPr="00B12B3B">
        <w:rPr>
          <w:rFonts w:asciiTheme="minorHAnsi" w:hAnsiTheme="minorHAnsi" w:cstheme="minorHAnsi"/>
          <w:bCs/>
        </w:rPr>
        <w:t xml:space="preserve">The processes associated with the study were assessed for acceptability to participants and HCPs, canvassing views of both. </w:t>
      </w:r>
      <w:r w:rsidRPr="00B12B3B">
        <w:rPr>
          <w:rFonts w:asciiTheme="minorHAnsi" w:hAnsiTheme="minorHAnsi" w:cstheme="minorHAnsi"/>
        </w:rPr>
        <w:t xml:space="preserve">All participants in the study were invited to provide feedback on study procedures and patient materials as part of the study. Additionally, we recruited interested people with lived experience of the condition to advise on and contribute to dissemination of the study findings and the design and management of future research projects. </w:t>
      </w:r>
      <w:r w:rsidR="00BC06D6" w:rsidRPr="00B12B3B">
        <w:rPr>
          <w:rFonts w:asciiTheme="minorHAnsi" w:hAnsiTheme="minorHAnsi" w:cstheme="minorHAnsi"/>
          <w:bCs/>
        </w:rPr>
        <w:t xml:space="preserve">Participants were consulted individually and </w:t>
      </w:r>
      <w:r w:rsidR="002226CB" w:rsidRPr="00B12B3B">
        <w:rPr>
          <w:rFonts w:asciiTheme="minorHAnsi" w:hAnsiTheme="minorHAnsi" w:cstheme="minorHAnsi"/>
          <w:bCs/>
        </w:rPr>
        <w:t>during study PPI group</w:t>
      </w:r>
      <w:r w:rsidR="00BC06D6" w:rsidRPr="00B12B3B">
        <w:rPr>
          <w:rFonts w:asciiTheme="minorHAnsi" w:hAnsiTheme="minorHAnsi" w:cstheme="minorHAnsi"/>
          <w:bCs/>
        </w:rPr>
        <w:t xml:space="preserve"> meetings.  There was general agreement that the study procedures and the questionnaires were acceptable to participants despite some challenging content. The questionnaires took between 20 and 95 minutes to complete which was longer than anticipated in some cases, but participants appeared to be enlivened by taking part rather than tired by it.  This was confirmed in subsequent discussion with participants. They liked the patient information booklet and found all the study documents easy to use.  </w:t>
      </w:r>
    </w:p>
    <w:p w14:paraId="6D909B31" w14:textId="6AB57C51" w:rsidR="00D81359" w:rsidRPr="00B12B3B" w:rsidRDefault="004E0F80" w:rsidP="004E0F80">
      <w:pPr>
        <w:pStyle w:val="Plattetekst"/>
        <w:spacing w:line="360" w:lineRule="auto"/>
        <w:jc w:val="both"/>
        <w:rPr>
          <w:rFonts w:asciiTheme="minorHAnsi" w:hAnsiTheme="minorHAnsi" w:cstheme="minorHAnsi"/>
          <w:bCs w:val="0"/>
          <w:sz w:val="24"/>
          <w:szCs w:val="24"/>
        </w:rPr>
      </w:pPr>
      <w:r w:rsidRPr="00B12B3B">
        <w:rPr>
          <w:rFonts w:asciiTheme="minorHAnsi" w:hAnsiTheme="minorHAnsi" w:cstheme="minorHAnsi"/>
          <w:bCs w:val="0"/>
          <w:sz w:val="24"/>
          <w:szCs w:val="24"/>
        </w:rPr>
        <w:t>3.3</w:t>
      </w:r>
      <w:r w:rsidRPr="00B12B3B">
        <w:rPr>
          <w:rFonts w:asciiTheme="minorHAnsi" w:hAnsiTheme="minorHAnsi" w:cstheme="minorHAnsi"/>
          <w:bCs w:val="0"/>
          <w:sz w:val="24"/>
          <w:szCs w:val="24"/>
        </w:rPr>
        <w:tab/>
      </w:r>
      <w:r w:rsidR="00B840EB" w:rsidRPr="00B12B3B">
        <w:rPr>
          <w:rFonts w:asciiTheme="minorHAnsi" w:hAnsiTheme="minorHAnsi" w:cstheme="minorHAnsi"/>
          <w:bCs w:val="0"/>
          <w:sz w:val="24"/>
          <w:szCs w:val="24"/>
        </w:rPr>
        <w:t xml:space="preserve">Patient </w:t>
      </w:r>
      <w:r w:rsidR="004D39C0" w:rsidRPr="00B12B3B">
        <w:rPr>
          <w:rFonts w:asciiTheme="minorHAnsi" w:hAnsiTheme="minorHAnsi" w:cstheme="minorHAnsi"/>
          <w:bCs w:val="0"/>
          <w:sz w:val="24"/>
          <w:szCs w:val="24"/>
        </w:rPr>
        <w:t>characteristics</w:t>
      </w:r>
    </w:p>
    <w:p w14:paraId="607BBACF" w14:textId="66138C73" w:rsidR="00D14132" w:rsidRPr="00B12B3B" w:rsidRDefault="00AF6B33" w:rsidP="00D14132">
      <w:pPr>
        <w:pStyle w:val="Plattetekst"/>
        <w:spacing w:line="360" w:lineRule="auto"/>
        <w:jc w:val="both"/>
        <w:rPr>
          <w:rFonts w:asciiTheme="minorHAnsi" w:hAnsiTheme="minorHAnsi" w:cstheme="minorHAnsi"/>
          <w:b w:val="0"/>
          <w:sz w:val="24"/>
          <w:szCs w:val="24"/>
        </w:rPr>
      </w:pPr>
      <w:bookmarkStart w:id="10" w:name="_Hlk64218843"/>
      <w:r w:rsidRPr="00B12B3B">
        <w:rPr>
          <w:rFonts w:asciiTheme="minorHAnsi" w:hAnsiTheme="minorHAnsi" w:cstheme="minorHAnsi"/>
          <w:b w:val="0"/>
          <w:sz w:val="24"/>
          <w:szCs w:val="24"/>
        </w:rPr>
        <w:t xml:space="preserve">Fifteen people </w:t>
      </w:r>
      <w:r w:rsidR="002226CB" w:rsidRPr="00B12B3B">
        <w:rPr>
          <w:rFonts w:asciiTheme="minorHAnsi" w:hAnsiTheme="minorHAnsi" w:cstheme="minorHAnsi"/>
          <w:b w:val="0"/>
          <w:sz w:val="24"/>
          <w:szCs w:val="24"/>
        </w:rPr>
        <w:t>participated</w:t>
      </w:r>
      <w:r w:rsidRPr="00B12B3B">
        <w:rPr>
          <w:rFonts w:asciiTheme="minorHAnsi" w:hAnsiTheme="minorHAnsi" w:cstheme="minorHAnsi"/>
          <w:b w:val="0"/>
          <w:sz w:val="24"/>
          <w:szCs w:val="24"/>
        </w:rPr>
        <w:t xml:space="preserve"> in the study</w:t>
      </w:r>
      <w:r w:rsidR="00270317" w:rsidRPr="00B12B3B">
        <w:rPr>
          <w:rFonts w:asciiTheme="minorHAnsi" w:hAnsiTheme="minorHAnsi" w:cstheme="minorHAnsi"/>
          <w:b w:val="0"/>
          <w:sz w:val="24"/>
          <w:szCs w:val="24"/>
        </w:rPr>
        <w:t xml:space="preserve">, 8 </w:t>
      </w:r>
      <w:r w:rsidR="002226CB" w:rsidRPr="00B12B3B">
        <w:rPr>
          <w:rFonts w:asciiTheme="minorHAnsi" w:hAnsiTheme="minorHAnsi" w:cstheme="minorHAnsi"/>
          <w:b w:val="0"/>
          <w:sz w:val="24"/>
          <w:szCs w:val="24"/>
        </w:rPr>
        <w:t>female</w:t>
      </w:r>
      <w:r w:rsidRPr="00B12B3B">
        <w:rPr>
          <w:rFonts w:asciiTheme="minorHAnsi" w:hAnsiTheme="minorHAnsi" w:cstheme="minorHAnsi"/>
          <w:b w:val="0"/>
          <w:sz w:val="24"/>
          <w:szCs w:val="24"/>
        </w:rPr>
        <w:t xml:space="preserve">. </w:t>
      </w:r>
      <w:r w:rsidR="00D14132" w:rsidRPr="00B12B3B">
        <w:rPr>
          <w:rFonts w:asciiTheme="minorHAnsi" w:hAnsiTheme="minorHAnsi" w:cstheme="minorHAnsi"/>
          <w:b w:val="0"/>
          <w:sz w:val="24"/>
          <w:szCs w:val="24"/>
        </w:rPr>
        <w:t>Demographic and clinical characteristics are shown in Table 2.</w:t>
      </w:r>
    </w:p>
    <w:p w14:paraId="170017D5" w14:textId="7C14C907" w:rsidR="00D14132" w:rsidRPr="00B12B3B" w:rsidRDefault="00D14132" w:rsidP="00D14132">
      <w:pPr>
        <w:pStyle w:val="Plattetekst"/>
        <w:numPr>
          <w:ilvl w:val="0"/>
          <w:numId w:val="25"/>
        </w:numPr>
        <w:spacing w:line="360" w:lineRule="auto"/>
        <w:jc w:val="both"/>
        <w:rPr>
          <w:rFonts w:asciiTheme="minorHAnsi" w:hAnsiTheme="minorHAnsi" w:cstheme="minorHAnsi"/>
          <w:b w:val="0"/>
          <w:sz w:val="24"/>
          <w:szCs w:val="24"/>
        </w:rPr>
      </w:pPr>
      <w:r w:rsidRPr="00B12B3B">
        <w:rPr>
          <w:rFonts w:asciiTheme="minorHAnsi" w:hAnsiTheme="minorHAnsi" w:cstheme="minorHAnsi"/>
          <w:b w:val="0"/>
          <w:sz w:val="24"/>
          <w:szCs w:val="24"/>
        </w:rPr>
        <w:t>Insert Table 2: Patient Characteristics  -</w:t>
      </w:r>
    </w:p>
    <w:bookmarkEnd w:id="10"/>
    <w:p w14:paraId="07B8E22A" w14:textId="6E8E345D" w:rsidR="00D14132" w:rsidRPr="00B12B3B" w:rsidRDefault="00AF6B33" w:rsidP="00D14132">
      <w:pPr>
        <w:pStyle w:val="Plattetekst"/>
        <w:spacing w:line="360" w:lineRule="auto"/>
        <w:jc w:val="both"/>
        <w:rPr>
          <w:rFonts w:asciiTheme="minorHAnsi" w:hAnsiTheme="minorHAnsi" w:cstheme="minorHAnsi"/>
          <w:b w:val="0"/>
          <w:sz w:val="24"/>
          <w:szCs w:val="24"/>
        </w:rPr>
      </w:pPr>
      <w:r w:rsidRPr="00B12B3B">
        <w:rPr>
          <w:rFonts w:asciiTheme="minorHAnsi" w:hAnsiTheme="minorHAnsi" w:cstheme="minorHAnsi"/>
          <w:b w:val="0"/>
          <w:sz w:val="24"/>
          <w:szCs w:val="24"/>
        </w:rPr>
        <w:t>Participants were aged between 23 and 63 (mean 49.7) years</w:t>
      </w:r>
      <w:r w:rsidR="00270317" w:rsidRPr="00B12B3B">
        <w:rPr>
          <w:rFonts w:asciiTheme="minorHAnsi" w:hAnsiTheme="minorHAnsi" w:cstheme="minorHAnsi"/>
          <w:b w:val="0"/>
          <w:sz w:val="24"/>
          <w:szCs w:val="24"/>
        </w:rPr>
        <w:t>; mean 54 years in males, 46 years in females.</w:t>
      </w:r>
      <w:r w:rsidRPr="00B12B3B">
        <w:rPr>
          <w:rFonts w:asciiTheme="minorHAnsi" w:hAnsiTheme="minorHAnsi" w:cstheme="minorHAnsi"/>
          <w:b w:val="0"/>
          <w:sz w:val="24"/>
          <w:szCs w:val="24"/>
        </w:rPr>
        <w:t xml:space="preserve"> </w:t>
      </w:r>
      <w:r w:rsidR="00270317" w:rsidRPr="00B12B3B">
        <w:rPr>
          <w:rFonts w:asciiTheme="minorHAnsi" w:hAnsiTheme="minorHAnsi" w:cstheme="minorHAnsi"/>
          <w:b w:val="0"/>
          <w:sz w:val="24"/>
          <w:szCs w:val="24"/>
        </w:rPr>
        <w:t>A</w:t>
      </w:r>
      <w:r w:rsidRPr="00B12B3B">
        <w:rPr>
          <w:rFonts w:asciiTheme="minorHAnsi" w:hAnsiTheme="minorHAnsi" w:cstheme="minorHAnsi"/>
          <w:b w:val="0"/>
          <w:sz w:val="24"/>
          <w:szCs w:val="24"/>
        </w:rPr>
        <w:t>ll described themselves as white British. Educational level was secondary school for 6, college or university for 7 and postgraduate for 1 participant</w:t>
      </w:r>
      <w:r w:rsidR="00D14132" w:rsidRPr="00B12B3B">
        <w:rPr>
          <w:rFonts w:asciiTheme="minorHAnsi" w:hAnsiTheme="minorHAnsi" w:cstheme="minorHAnsi"/>
          <w:b w:val="0"/>
          <w:sz w:val="24"/>
          <w:szCs w:val="24"/>
        </w:rPr>
        <w:t xml:space="preserve"> Five were </w:t>
      </w:r>
      <w:r w:rsidR="00D14132" w:rsidRPr="00B12B3B">
        <w:rPr>
          <w:rFonts w:asciiTheme="minorHAnsi" w:hAnsiTheme="minorHAnsi" w:cstheme="minorHAnsi"/>
          <w:b w:val="0"/>
          <w:sz w:val="24"/>
          <w:szCs w:val="24"/>
        </w:rPr>
        <w:lastRenderedPageBreak/>
        <w:t>employed, in education or a homemaker, 8 were unable to work and 1 was retired. Mean main symptom severity was 8.73 out of 10 and mean duration of symptoms was 69 months; more than 5 years.</w:t>
      </w:r>
      <w:bookmarkStart w:id="11" w:name="_MON_1653733167"/>
      <w:bookmarkEnd w:id="11"/>
      <w:r w:rsidR="00D14132" w:rsidRPr="00B12B3B">
        <w:rPr>
          <w:rFonts w:asciiTheme="minorHAnsi" w:hAnsiTheme="minorHAnsi" w:cstheme="minorHAnsi"/>
          <w:b w:val="0"/>
        </w:rPr>
        <w:t xml:space="preserve"> </w:t>
      </w:r>
    </w:p>
    <w:p w14:paraId="4EA8A4EA" w14:textId="5AC92A0A" w:rsidR="00425322" w:rsidRPr="00B12B3B" w:rsidRDefault="00D90B1F" w:rsidP="00D14132">
      <w:pPr>
        <w:pStyle w:val="Plattetekst"/>
        <w:spacing w:line="360" w:lineRule="auto"/>
        <w:jc w:val="both"/>
        <w:rPr>
          <w:rFonts w:asciiTheme="minorHAnsi" w:hAnsiTheme="minorHAnsi" w:cstheme="minorHAnsi"/>
          <w:b w:val="0"/>
          <w:sz w:val="24"/>
          <w:szCs w:val="24"/>
        </w:rPr>
      </w:pPr>
      <w:r w:rsidRPr="00B12B3B">
        <w:rPr>
          <w:rFonts w:asciiTheme="minorHAnsi" w:hAnsiTheme="minorHAnsi" w:cstheme="minorHAnsi"/>
          <w:b w:val="0"/>
          <w:sz w:val="24"/>
          <w:szCs w:val="24"/>
        </w:rPr>
        <w:t>All pa</w:t>
      </w:r>
      <w:r w:rsidR="00F86A0B" w:rsidRPr="00B12B3B">
        <w:rPr>
          <w:rFonts w:asciiTheme="minorHAnsi" w:hAnsiTheme="minorHAnsi" w:cstheme="minorHAnsi"/>
          <w:b w:val="0"/>
          <w:sz w:val="24"/>
          <w:szCs w:val="24"/>
        </w:rPr>
        <w:t>rticipants</w:t>
      </w:r>
      <w:r w:rsidRPr="00B12B3B">
        <w:rPr>
          <w:rFonts w:asciiTheme="minorHAnsi" w:hAnsiTheme="minorHAnsi" w:cstheme="minorHAnsi"/>
          <w:b w:val="0"/>
          <w:sz w:val="24"/>
          <w:szCs w:val="24"/>
        </w:rPr>
        <w:t xml:space="preserve"> had CD/FND according to DSM-5 criteria. </w:t>
      </w:r>
      <w:r w:rsidR="007E7FDE" w:rsidRPr="00B12B3B">
        <w:rPr>
          <w:rFonts w:asciiTheme="minorHAnsi" w:hAnsiTheme="minorHAnsi" w:cstheme="minorHAnsi"/>
          <w:b w:val="0"/>
          <w:sz w:val="24"/>
          <w:szCs w:val="24"/>
        </w:rPr>
        <w:t xml:space="preserve">The main reported symptoms were </w:t>
      </w:r>
      <w:r w:rsidR="000B59B2" w:rsidRPr="00B12B3B">
        <w:rPr>
          <w:rFonts w:asciiTheme="minorHAnsi" w:hAnsiTheme="minorHAnsi" w:cstheme="minorHAnsi"/>
          <w:b w:val="0"/>
          <w:sz w:val="24"/>
          <w:szCs w:val="24"/>
        </w:rPr>
        <w:t>difficulty walking (12, 80%); muscle weakness or paralysis to some extent (12</w:t>
      </w:r>
      <w:r w:rsidR="00806198" w:rsidRPr="00B12B3B">
        <w:rPr>
          <w:rFonts w:asciiTheme="minorHAnsi" w:hAnsiTheme="minorHAnsi" w:cstheme="minorHAnsi"/>
          <w:b w:val="0"/>
          <w:sz w:val="24"/>
          <w:szCs w:val="24"/>
        </w:rPr>
        <w:t>,</w:t>
      </w:r>
      <w:r w:rsidR="000B59B2" w:rsidRPr="00B12B3B">
        <w:rPr>
          <w:rFonts w:asciiTheme="minorHAnsi" w:hAnsiTheme="minorHAnsi" w:cstheme="minorHAnsi"/>
          <w:b w:val="0"/>
          <w:sz w:val="24"/>
          <w:szCs w:val="24"/>
        </w:rPr>
        <w:t xml:space="preserve"> 80%); and</w:t>
      </w:r>
      <w:r w:rsidRPr="00B12B3B">
        <w:rPr>
          <w:rFonts w:asciiTheme="minorHAnsi" w:hAnsiTheme="minorHAnsi" w:cstheme="minorHAnsi"/>
          <w:b w:val="0"/>
          <w:sz w:val="24"/>
          <w:szCs w:val="24"/>
        </w:rPr>
        <w:t xml:space="preserve"> tremor or shaking (</w:t>
      </w:r>
      <w:r w:rsidR="000B59B2" w:rsidRPr="00B12B3B">
        <w:rPr>
          <w:rFonts w:asciiTheme="minorHAnsi" w:hAnsiTheme="minorHAnsi" w:cstheme="minorHAnsi"/>
          <w:b w:val="0"/>
          <w:sz w:val="24"/>
          <w:szCs w:val="24"/>
        </w:rPr>
        <w:t>11</w:t>
      </w:r>
      <w:r w:rsidRPr="00B12B3B">
        <w:rPr>
          <w:rFonts w:asciiTheme="minorHAnsi" w:hAnsiTheme="minorHAnsi" w:cstheme="minorHAnsi"/>
          <w:b w:val="0"/>
          <w:sz w:val="24"/>
          <w:szCs w:val="24"/>
        </w:rPr>
        <w:t>,</w:t>
      </w:r>
      <w:r w:rsidR="000B59B2" w:rsidRPr="00B12B3B">
        <w:rPr>
          <w:rFonts w:asciiTheme="minorHAnsi" w:hAnsiTheme="minorHAnsi" w:cstheme="minorHAnsi"/>
          <w:b w:val="0"/>
          <w:sz w:val="24"/>
          <w:szCs w:val="24"/>
        </w:rPr>
        <w:t xml:space="preserve"> 73%). Sensory symptoms such as numbness or tingling were reported in 11 (73.3%) cases. 9 (60%) have blurred vision, 1</w:t>
      </w:r>
      <w:r w:rsidR="0077771B" w:rsidRPr="00B12B3B">
        <w:rPr>
          <w:rFonts w:asciiTheme="minorHAnsi" w:hAnsiTheme="minorHAnsi" w:cstheme="minorHAnsi"/>
          <w:b w:val="0"/>
          <w:sz w:val="24"/>
          <w:szCs w:val="24"/>
        </w:rPr>
        <w:t xml:space="preserve"> patient</w:t>
      </w:r>
      <w:r w:rsidR="000B59B2" w:rsidRPr="00B12B3B">
        <w:rPr>
          <w:rFonts w:asciiTheme="minorHAnsi" w:hAnsiTheme="minorHAnsi" w:cstheme="minorHAnsi"/>
          <w:b w:val="0"/>
          <w:sz w:val="24"/>
          <w:szCs w:val="24"/>
        </w:rPr>
        <w:t xml:space="preserve"> (6.7%) was sometimes blind. </w:t>
      </w:r>
      <w:r w:rsidR="00D81A8D" w:rsidRPr="00B12B3B">
        <w:rPr>
          <w:rFonts w:asciiTheme="minorHAnsi" w:hAnsiTheme="minorHAnsi" w:cstheme="minorHAnsi"/>
          <w:b w:val="0"/>
          <w:sz w:val="24"/>
          <w:szCs w:val="24"/>
        </w:rPr>
        <w:t>Eight</w:t>
      </w:r>
      <w:r w:rsidR="000B59B2" w:rsidRPr="00B12B3B">
        <w:rPr>
          <w:rFonts w:asciiTheme="minorHAnsi" w:hAnsiTheme="minorHAnsi" w:cstheme="minorHAnsi"/>
          <w:b w:val="0"/>
          <w:sz w:val="24"/>
          <w:szCs w:val="24"/>
        </w:rPr>
        <w:t xml:space="preserve"> (</w:t>
      </w:r>
      <w:r w:rsidR="00D81A8D" w:rsidRPr="00B12B3B">
        <w:rPr>
          <w:rFonts w:asciiTheme="minorHAnsi" w:hAnsiTheme="minorHAnsi" w:cstheme="minorHAnsi"/>
          <w:b w:val="0"/>
          <w:sz w:val="24"/>
          <w:szCs w:val="24"/>
        </w:rPr>
        <w:t>53</w:t>
      </w:r>
      <w:r w:rsidR="000B59B2" w:rsidRPr="00B12B3B">
        <w:rPr>
          <w:rFonts w:asciiTheme="minorHAnsi" w:hAnsiTheme="minorHAnsi" w:cstheme="minorHAnsi"/>
          <w:b w:val="0"/>
          <w:sz w:val="24"/>
          <w:szCs w:val="24"/>
        </w:rPr>
        <w:t>%</w:t>
      </w:r>
      <w:r w:rsidR="00806198" w:rsidRPr="00B12B3B">
        <w:rPr>
          <w:rFonts w:asciiTheme="minorHAnsi" w:hAnsiTheme="minorHAnsi" w:cstheme="minorHAnsi"/>
          <w:b w:val="0"/>
          <w:sz w:val="24"/>
          <w:szCs w:val="24"/>
        </w:rPr>
        <w:t>)</w:t>
      </w:r>
      <w:r w:rsidR="000B59B2" w:rsidRPr="00B12B3B">
        <w:rPr>
          <w:rFonts w:asciiTheme="minorHAnsi" w:hAnsiTheme="minorHAnsi" w:cstheme="minorHAnsi"/>
          <w:b w:val="0"/>
          <w:sz w:val="24"/>
          <w:szCs w:val="24"/>
        </w:rPr>
        <w:t xml:space="preserve"> suffered some kind of loss of voice</w:t>
      </w:r>
      <w:r w:rsidR="00D81A8D" w:rsidRPr="00B12B3B">
        <w:rPr>
          <w:rFonts w:asciiTheme="minorHAnsi" w:hAnsiTheme="minorHAnsi" w:cstheme="minorHAnsi"/>
          <w:b w:val="0"/>
          <w:sz w:val="24"/>
          <w:szCs w:val="24"/>
        </w:rPr>
        <w:t xml:space="preserve">, </w:t>
      </w:r>
      <w:r w:rsidR="000B59B2" w:rsidRPr="00B12B3B">
        <w:rPr>
          <w:rFonts w:asciiTheme="minorHAnsi" w:hAnsiTheme="minorHAnsi" w:cstheme="minorHAnsi"/>
          <w:b w:val="0"/>
          <w:sz w:val="24"/>
          <w:szCs w:val="24"/>
        </w:rPr>
        <w:t>and 2 (13.3%) suffered from deafness.</w:t>
      </w:r>
      <w:r w:rsidR="00222C08" w:rsidRPr="00B12B3B">
        <w:rPr>
          <w:rFonts w:asciiTheme="minorHAnsi" w:hAnsiTheme="minorHAnsi" w:cstheme="minorHAnsi"/>
          <w:b w:val="0"/>
          <w:sz w:val="24"/>
          <w:szCs w:val="24"/>
        </w:rPr>
        <w:t xml:space="preserve"> One pa</w:t>
      </w:r>
      <w:r w:rsidR="00F86A0B" w:rsidRPr="00B12B3B">
        <w:rPr>
          <w:rFonts w:asciiTheme="minorHAnsi" w:hAnsiTheme="minorHAnsi" w:cstheme="minorHAnsi"/>
          <w:b w:val="0"/>
          <w:sz w:val="24"/>
          <w:szCs w:val="24"/>
        </w:rPr>
        <w:t>r</w:t>
      </w:r>
      <w:r w:rsidR="00222C08" w:rsidRPr="00B12B3B">
        <w:rPr>
          <w:rFonts w:asciiTheme="minorHAnsi" w:hAnsiTheme="minorHAnsi" w:cstheme="minorHAnsi"/>
          <w:b w:val="0"/>
          <w:sz w:val="24"/>
          <w:szCs w:val="24"/>
        </w:rPr>
        <w:t>ti</w:t>
      </w:r>
      <w:r w:rsidR="00F86A0B" w:rsidRPr="00B12B3B">
        <w:rPr>
          <w:rFonts w:asciiTheme="minorHAnsi" w:hAnsiTheme="minorHAnsi" w:cstheme="minorHAnsi"/>
          <w:b w:val="0"/>
          <w:sz w:val="24"/>
          <w:szCs w:val="24"/>
        </w:rPr>
        <w:t>cipant</w:t>
      </w:r>
      <w:r w:rsidR="00222C08" w:rsidRPr="00B12B3B">
        <w:rPr>
          <w:rFonts w:asciiTheme="minorHAnsi" w:hAnsiTheme="minorHAnsi" w:cstheme="minorHAnsi"/>
          <w:b w:val="0"/>
          <w:sz w:val="24"/>
          <w:szCs w:val="24"/>
        </w:rPr>
        <w:t xml:space="preserve"> had experienced seizures in the past but not during the episode with CD/FND. </w:t>
      </w:r>
      <w:r w:rsidR="002C6D4D" w:rsidRPr="00B12B3B">
        <w:rPr>
          <w:rFonts w:asciiTheme="minorHAnsi" w:hAnsiTheme="minorHAnsi" w:cstheme="minorHAnsi"/>
          <w:b w:val="0"/>
          <w:sz w:val="24"/>
          <w:szCs w:val="24"/>
        </w:rPr>
        <w:t>Three</w:t>
      </w:r>
      <w:r w:rsidR="00222C08" w:rsidRPr="00B12B3B">
        <w:rPr>
          <w:rFonts w:asciiTheme="minorHAnsi" w:hAnsiTheme="minorHAnsi" w:cstheme="minorHAnsi"/>
          <w:b w:val="0"/>
          <w:sz w:val="24"/>
          <w:szCs w:val="24"/>
        </w:rPr>
        <w:t xml:space="preserve"> pa</w:t>
      </w:r>
      <w:r w:rsidR="00F86A0B" w:rsidRPr="00B12B3B">
        <w:rPr>
          <w:rFonts w:asciiTheme="minorHAnsi" w:hAnsiTheme="minorHAnsi" w:cstheme="minorHAnsi"/>
          <w:b w:val="0"/>
          <w:sz w:val="24"/>
          <w:szCs w:val="24"/>
        </w:rPr>
        <w:t>r</w:t>
      </w:r>
      <w:r w:rsidR="00222C08" w:rsidRPr="00B12B3B">
        <w:rPr>
          <w:rFonts w:asciiTheme="minorHAnsi" w:hAnsiTheme="minorHAnsi" w:cstheme="minorHAnsi"/>
          <w:b w:val="0"/>
          <w:sz w:val="24"/>
          <w:szCs w:val="24"/>
        </w:rPr>
        <w:t>ti</w:t>
      </w:r>
      <w:r w:rsidR="00F86A0B" w:rsidRPr="00B12B3B">
        <w:rPr>
          <w:rFonts w:asciiTheme="minorHAnsi" w:hAnsiTheme="minorHAnsi" w:cstheme="minorHAnsi"/>
          <w:b w:val="0"/>
          <w:sz w:val="24"/>
          <w:szCs w:val="24"/>
        </w:rPr>
        <w:t>cipants</w:t>
      </w:r>
      <w:r w:rsidR="00222C08" w:rsidRPr="00B12B3B">
        <w:rPr>
          <w:rFonts w:asciiTheme="minorHAnsi" w:hAnsiTheme="minorHAnsi" w:cstheme="minorHAnsi"/>
          <w:b w:val="0"/>
          <w:sz w:val="24"/>
          <w:szCs w:val="24"/>
        </w:rPr>
        <w:t xml:space="preserve"> had only motor CD/FND; the rest of the cases were mixed CD/FND.</w:t>
      </w:r>
      <w:r w:rsidR="00190AF8" w:rsidRPr="00B12B3B">
        <w:rPr>
          <w:rFonts w:asciiTheme="minorHAnsi" w:hAnsiTheme="minorHAnsi" w:cstheme="minorHAnsi"/>
          <w:b w:val="0"/>
          <w:sz w:val="24"/>
          <w:szCs w:val="24"/>
        </w:rPr>
        <w:t xml:space="preserve"> </w:t>
      </w:r>
    </w:p>
    <w:p w14:paraId="0B0ED710" w14:textId="1F7C1884" w:rsidR="00741B3F" w:rsidRPr="00B12B3B" w:rsidRDefault="0077771B" w:rsidP="000F4D09">
      <w:pPr>
        <w:spacing w:line="360" w:lineRule="auto"/>
        <w:jc w:val="both"/>
        <w:rPr>
          <w:rFonts w:asciiTheme="minorHAnsi" w:hAnsiTheme="minorHAnsi" w:cstheme="minorHAnsi"/>
          <w:bCs/>
        </w:rPr>
      </w:pPr>
      <w:r w:rsidRPr="00B12B3B">
        <w:rPr>
          <w:rFonts w:asciiTheme="minorHAnsi" w:hAnsiTheme="minorHAnsi" w:cstheme="minorHAnsi"/>
          <w:bCs/>
        </w:rPr>
        <w:t xml:space="preserve">Mean </w:t>
      </w:r>
      <w:r w:rsidR="00247794" w:rsidRPr="00B12B3B">
        <w:rPr>
          <w:rFonts w:asciiTheme="minorHAnsi" w:hAnsiTheme="minorHAnsi" w:cstheme="minorHAnsi"/>
          <w:bCs/>
        </w:rPr>
        <w:t>MMSE</w:t>
      </w:r>
      <w:r w:rsidRPr="00B12B3B">
        <w:rPr>
          <w:rFonts w:asciiTheme="minorHAnsi" w:hAnsiTheme="minorHAnsi" w:cstheme="minorHAnsi"/>
          <w:bCs/>
        </w:rPr>
        <w:t xml:space="preserve"> </w:t>
      </w:r>
      <w:r w:rsidR="00247794" w:rsidRPr="00B12B3B">
        <w:rPr>
          <w:rFonts w:asciiTheme="minorHAnsi" w:hAnsiTheme="minorHAnsi" w:cstheme="minorHAnsi"/>
          <w:bCs/>
        </w:rPr>
        <w:t>s</w:t>
      </w:r>
      <w:r w:rsidRPr="00B12B3B">
        <w:rPr>
          <w:rFonts w:asciiTheme="minorHAnsi" w:hAnsiTheme="minorHAnsi" w:cstheme="minorHAnsi"/>
          <w:bCs/>
        </w:rPr>
        <w:t>cores</w:t>
      </w:r>
      <w:r w:rsidR="00247794" w:rsidRPr="00B12B3B">
        <w:rPr>
          <w:rFonts w:asciiTheme="minorHAnsi" w:hAnsiTheme="minorHAnsi" w:cstheme="minorHAnsi"/>
          <w:bCs/>
        </w:rPr>
        <w:t xml:space="preserve"> </w:t>
      </w:r>
      <w:r w:rsidRPr="00B12B3B">
        <w:rPr>
          <w:rFonts w:asciiTheme="minorHAnsi" w:hAnsiTheme="minorHAnsi" w:cstheme="minorHAnsi"/>
          <w:bCs/>
        </w:rPr>
        <w:t>(</w:t>
      </w:r>
      <w:r w:rsidR="00806198" w:rsidRPr="00B12B3B">
        <w:rPr>
          <w:rFonts w:asciiTheme="minorHAnsi" w:hAnsiTheme="minorHAnsi" w:cstheme="minorHAnsi"/>
          <w:bCs/>
        </w:rPr>
        <w:t>n</w:t>
      </w:r>
      <w:r w:rsidRPr="00B12B3B">
        <w:rPr>
          <w:rFonts w:asciiTheme="minorHAnsi" w:hAnsiTheme="minorHAnsi" w:cstheme="minorHAnsi"/>
          <w:bCs/>
        </w:rPr>
        <w:t>=8) were</w:t>
      </w:r>
      <w:r w:rsidR="00247794" w:rsidRPr="00B12B3B">
        <w:rPr>
          <w:rFonts w:asciiTheme="minorHAnsi" w:hAnsiTheme="minorHAnsi" w:cstheme="minorHAnsi"/>
          <w:bCs/>
        </w:rPr>
        <w:t xml:space="preserve"> 28.</w:t>
      </w:r>
      <w:r w:rsidR="00806198" w:rsidRPr="00B12B3B">
        <w:rPr>
          <w:rFonts w:asciiTheme="minorHAnsi" w:hAnsiTheme="minorHAnsi" w:cstheme="minorHAnsi"/>
          <w:bCs/>
        </w:rPr>
        <w:t>9</w:t>
      </w:r>
      <w:r w:rsidR="00247794" w:rsidRPr="00B12B3B">
        <w:rPr>
          <w:rFonts w:asciiTheme="minorHAnsi" w:hAnsiTheme="minorHAnsi" w:cstheme="minorHAnsi"/>
          <w:bCs/>
        </w:rPr>
        <w:t xml:space="preserve"> (SD1.</w:t>
      </w:r>
      <w:r w:rsidR="00806198" w:rsidRPr="00B12B3B">
        <w:rPr>
          <w:rFonts w:asciiTheme="minorHAnsi" w:hAnsiTheme="minorHAnsi" w:cstheme="minorHAnsi"/>
          <w:bCs/>
        </w:rPr>
        <w:t>4</w:t>
      </w:r>
      <w:r w:rsidR="00247794" w:rsidRPr="00B12B3B">
        <w:rPr>
          <w:rFonts w:asciiTheme="minorHAnsi" w:hAnsiTheme="minorHAnsi" w:cstheme="minorHAnsi"/>
          <w:bCs/>
        </w:rPr>
        <w:t>) range 27 – 30.</w:t>
      </w:r>
      <w:r w:rsidR="00283889" w:rsidRPr="00B12B3B">
        <w:rPr>
          <w:rFonts w:asciiTheme="minorHAnsi" w:hAnsiTheme="minorHAnsi" w:cstheme="minorHAnsi"/>
          <w:bCs/>
        </w:rPr>
        <w:t xml:space="preserve"> </w:t>
      </w:r>
      <w:r w:rsidR="003315E3" w:rsidRPr="00B12B3B">
        <w:rPr>
          <w:rFonts w:asciiTheme="minorHAnsi" w:hAnsiTheme="minorHAnsi" w:cstheme="minorHAnsi"/>
          <w:bCs/>
        </w:rPr>
        <w:t xml:space="preserve">CGI </w:t>
      </w:r>
      <w:r w:rsidRPr="00B12B3B">
        <w:rPr>
          <w:rFonts w:asciiTheme="minorHAnsi" w:hAnsiTheme="minorHAnsi" w:cstheme="minorHAnsi"/>
          <w:bCs/>
        </w:rPr>
        <w:t>scores (</w:t>
      </w:r>
      <w:r w:rsidR="00806198" w:rsidRPr="00B12B3B">
        <w:rPr>
          <w:rFonts w:asciiTheme="minorHAnsi" w:hAnsiTheme="minorHAnsi" w:cstheme="minorHAnsi"/>
          <w:bCs/>
        </w:rPr>
        <w:t>n</w:t>
      </w:r>
      <w:r w:rsidRPr="00B12B3B">
        <w:rPr>
          <w:rFonts w:asciiTheme="minorHAnsi" w:hAnsiTheme="minorHAnsi" w:cstheme="minorHAnsi"/>
          <w:bCs/>
        </w:rPr>
        <w:t xml:space="preserve">=9) </w:t>
      </w:r>
      <w:r w:rsidR="00283889" w:rsidRPr="00B12B3B">
        <w:rPr>
          <w:rFonts w:asciiTheme="minorHAnsi" w:hAnsiTheme="minorHAnsi" w:cstheme="minorHAnsi"/>
          <w:bCs/>
        </w:rPr>
        <w:t>were mean 4.7 (SD 1.3) with a range between 3 and 7.</w:t>
      </w:r>
      <w:r w:rsidRPr="00B12B3B">
        <w:rPr>
          <w:rFonts w:asciiTheme="minorHAnsi" w:hAnsiTheme="minorHAnsi" w:cstheme="minorHAnsi"/>
          <w:bCs/>
        </w:rPr>
        <w:t xml:space="preserve"> </w:t>
      </w:r>
    </w:p>
    <w:p w14:paraId="3A07C86B" w14:textId="2947AB63" w:rsidR="00741B3F" w:rsidRPr="00B12B3B" w:rsidRDefault="00741B3F" w:rsidP="000F4D09">
      <w:pPr>
        <w:spacing w:line="360" w:lineRule="auto"/>
        <w:jc w:val="both"/>
        <w:rPr>
          <w:rFonts w:asciiTheme="minorHAnsi" w:hAnsiTheme="minorHAnsi" w:cstheme="minorHAnsi"/>
          <w:b/>
        </w:rPr>
      </w:pPr>
      <w:r w:rsidRPr="00B12B3B">
        <w:rPr>
          <w:rFonts w:asciiTheme="minorHAnsi" w:hAnsiTheme="minorHAnsi" w:cstheme="minorHAnsi"/>
          <w:b/>
        </w:rPr>
        <w:t>3.4</w:t>
      </w:r>
      <w:r w:rsidR="005B790C" w:rsidRPr="00B12B3B">
        <w:rPr>
          <w:rFonts w:asciiTheme="minorHAnsi" w:hAnsiTheme="minorHAnsi" w:cstheme="minorHAnsi"/>
          <w:b/>
        </w:rPr>
        <w:tab/>
      </w:r>
      <w:r w:rsidRPr="00B12B3B">
        <w:rPr>
          <w:rFonts w:asciiTheme="minorHAnsi" w:hAnsiTheme="minorHAnsi" w:cstheme="minorHAnsi"/>
          <w:b/>
        </w:rPr>
        <w:t>Physical symptoms and quality of life</w:t>
      </w:r>
    </w:p>
    <w:p w14:paraId="2E63E048" w14:textId="5C838A20" w:rsidR="003E4DD2" w:rsidRPr="00B12B3B" w:rsidRDefault="0077771B" w:rsidP="000F4D09">
      <w:pPr>
        <w:spacing w:line="360" w:lineRule="auto"/>
        <w:jc w:val="both"/>
        <w:rPr>
          <w:rFonts w:asciiTheme="minorHAnsi" w:hAnsiTheme="minorHAnsi" w:cstheme="minorHAnsi"/>
        </w:rPr>
      </w:pPr>
      <w:r w:rsidRPr="00B12B3B">
        <w:rPr>
          <w:rFonts w:asciiTheme="minorHAnsi" w:hAnsiTheme="minorHAnsi" w:cstheme="minorHAnsi"/>
          <w:bCs/>
        </w:rPr>
        <w:t xml:space="preserve">Mean </w:t>
      </w:r>
      <w:r w:rsidR="00BD3EA6" w:rsidRPr="00B12B3B">
        <w:rPr>
          <w:rFonts w:asciiTheme="minorHAnsi" w:hAnsiTheme="minorHAnsi" w:cstheme="minorHAnsi"/>
        </w:rPr>
        <w:t>PSQ</w:t>
      </w:r>
      <w:r w:rsidR="002226CB" w:rsidRPr="00B12B3B">
        <w:rPr>
          <w:rFonts w:asciiTheme="minorHAnsi" w:hAnsiTheme="minorHAnsi" w:cstheme="minorHAnsi"/>
        </w:rPr>
        <w:t>-</w:t>
      </w:r>
      <w:r w:rsidR="00BD3EA6" w:rsidRPr="00B12B3B">
        <w:rPr>
          <w:rFonts w:asciiTheme="minorHAnsi" w:hAnsiTheme="minorHAnsi" w:cstheme="minorHAnsi"/>
        </w:rPr>
        <w:t>51 score was 60 (SD</w:t>
      </w:r>
      <w:r w:rsidR="002226CB" w:rsidRPr="00B12B3B">
        <w:rPr>
          <w:rFonts w:asciiTheme="minorHAnsi" w:hAnsiTheme="minorHAnsi" w:cstheme="minorHAnsi"/>
        </w:rPr>
        <w:t>=</w:t>
      </w:r>
      <w:r w:rsidR="00BD3EA6" w:rsidRPr="00B12B3B">
        <w:rPr>
          <w:rFonts w:asciiTheme="minorHAnsi" w:hAnsiTheme="minorHAnsi" w:cstheme="minorHAnsi"/>
        </w:rPr>
        <w:t xml:space="preserve">20) out of 88. Regarding the symptom domains, the </w:t>
      </w:r>
      <w:r w:rsidRPr="00B12B3B">
        <w:rPr>
          <w:rFonts w:asciiTheme="minorHAnsi" w:hAnsiTheme="minorHAnsi" w:cstheme="minorHAnsi"/>
        </w:rPr>
        <w:t>mean</w:t>
      </w:r>
      <w:r w:rsidR="00BD3EA6" w:rsidRPr="00B12B3B">
        <w:rPr>
          <w:rFonts w:asciiTheme="minorHAnsi" w:hAnsiTheme="minorHAnsi" w:cstheme="minorHAnsi"/>
        </w:rPr>
        <w:t xml:space="preserve"> CD/FND symptom load was 8.5</w:t>
      </w:r>
      <w:r w:rsidR="002226CB" w:rsidRPr="00B12B3B">
        <w:rPr>
          <w:rFonts w:asciiTheme="minorHAnsi" w:hAnsiTheme="minorHAnsi" w:cstheme="minorHAnsi"/>
        </w:rPr>
        <w:t xml:space="preserve"> </w:t>
      </w:r>
      <w:r w:rsidR="00BD3EA6" w:rsidRPr="00B12B3B">
        <w:rPr>
          <w:rFonts w:asciiTheme="minorHAnsi" w:hAnsiTheme="minorHAnsi" w:cstheme="minorHAnsi"/>
        </w:rPr>
        <w:t>(SD</w:t>
      </w:r>
      <w:r w:rsidR="002226CB" w:rsidRPr="00B12B3B">
        <w:rPr>
          <w:rFonts w:asciiTheme="minorHAnsi" w:hAnsiTheme="minorHAnsi" w:cstheme="minorHAnsi"/>
        </w:rPr>
        <w:t>=</w:t>
      </w:r>
      <w:r w:rsidR="00BD3EA6" w:rsidRPr="00B12B3B">
        <w:rPr>
          <w:rFonts w:asciiTheme="minorHAnsi" w:hAnsiTheme="minorHAnsi" w:cstheme="minorHAnsi"/>
        </w:rPr>
        <w:t>3.</w:t>
      </w:r>
      <w:r w:rsidR="00806198" w:rsidRPr="00B12B3B">
        <w:rPr>
          <w:rFonts w:asciiTheme="minorHAnsi" w:hAnsiTheme="minorHAnsi" w:cstheme="minorHAnsi"/>
        </w:rPr>
        <w:t>5</w:t>
      </w:r>
      <w:r w:rsidR="00BD3EA6" w:rsidRPr="00B12B3B">
        <w:rPr>
          <w:rFonts w:asciiTheme="minorHAnsi" w:hAnsiTheme="minorHAnsi" w:cstheme="minorHAnsi"/>
        </w:rPr>
        <w:t>) out of 15. The mean digestive symptom load was 14.8</w:t>
      </w:r>
      <w:r w:rsidR="002226CB" w:rsidRPr="00B12B3B">
        <w:rPr>
          <w:rFonts w:asciiTheme="minorHAnsi" w:hAnsiTheme="minorHAnsi" w:cstheme="minorHAnsi"/>
        </w:rPr>
        <w:t xml:space="preserve"> </w:t>
      </w:r>
      <w:r w:rsidR="00BD3EA6" w:rsidRPr="00B12B3B">
        <w:rPr>
          <w:rFonts w:asciiTheme="minorHAnsi" w:hAnsiTheme="minorHAnsi" w:cstheme="minorHAnsi"/>
        </w:rPr>
        <w:t>(5.</w:t>
      </w:r>
      <w:r w:rsidR="00806198" w:rsidRPr="00B12B3B">
        <w:rPr>
          <w:rFonts w:asciiTheme="minorHAnsi" w:hAnsiTheme="minorHAnsi" w:cstheme="minorHAnsi"/>
        </w:rPr>
        <w:t>6</w:t>
      </w:r>
      <w:r w:rsidR="00BD3EA6" w:rsidRPr="00B12B3B">
        <w:rPr>
          <w:rFonts w:asciiTheme="minorHAnsi" w:hAnsiTheme="minorHAnsi" w:cstheme="minorHAnsi"/>
        </w:rPr>
        <w:t>) out of 26; mean pain score was 13.1</w:t>
      </w:r>
      <w:r w:rsidR="002226CB" w:rsidRPr="00B12B3B">
        <w:rPr>
          <w:rFonts w:asciiTheme="minorHAnsi" w:hAnsiTheme="minorHAnsi" w:cstheme="minorHAnsi"/>
        </w:rPr>
        <w:t xml:space="preserve"> </w:t>
      </w:r>
      <w:r w:rsidR="00BD3EA6" w:rsidRPr="00B12B3B">
        <w:rPr>
          <w:rFonts w:asciiTheme="minorHAnsi" w:hAnsiTheme="minorHAnsi" w:cstheme="minorHAnsi"/>
        </w:rPr>
        <w:t>(SD 6.</w:t>
      </w:r>
      <w:r w:rsidR="00806198" w:rsidRPr="00B12B3B">
        <w:rPr>
          <w:rFonts w:asciiTheme="minorHAnsi" w:hAnsiTheme="minorHAnsi" w:cstheme="minorHAnsi"/>
        </w:rPr>
        <w:t>7</w:t>
      </w:r>
      <w:r w:rsidR="00BD3EA6" w:rsidRPr="00B12B3B">
        <w:rPr>
          <w:rFonts w:asciiTheme="minorHAnsi" w:hAnsiTheme="minorHAnsi" w:cstheme="minorHAnsi"/>
        </w:rPr>
        <w:t>) out of 24 and only one patient reported no pain. Average fatigue scores were 4.5</w:t>
      </w:r>
      <w:r w:rsidR="002226CB" w:rsidRPr="00B12B3B">
        <w:rPr>
          <w:rFonts w:asciiTheme="minorHAnsi" w:hAnsiTheme="minorHAnsi" w:cstheme="minorHAnsi"/>
        </w:rPr>
        <w:t xml:space="preserve"> </w:t>
      </w:r>
      <w:r w:rsidR="00BD3EA6" w:rsidRPr="00B12B3B">
        <w:rPr>
          <w:rFonts w:asciiTheme="minorHAnsi" w:hAnsiTheme="minorHAnsi" w:cstheme="minorHAnsi"/>
        </w:rPr>
        <w:t>(1.</w:t>
      </w:r>
      <w:r w:rsidR="00806198" w:rsidRPr="00B12B3B">
        <w:rPr>
          <w:rFonts w:asciiTheme="minorHAnsi" w:hAnsiTheme="minorHAnsi" w:cstheme="minorHAnsi"/>
        </w:rPr>
        <w:t>7</w:t>
      </w:r>
      <w:r w:rsidR="00BD3EA6" w:rsidRPr="00B12B3B">
        <w:rPr>
          <w:rFonts w:asciiTheme="minorHAnsi" w:hAnsiTheme="minorHAnsi" w:cstheme="minorHAnsi"/>
        </w:rPr>
        <w:t xml:space="preserve">) out of 6. </w:t>
      </w:r>
      <w:r w:rsidR="00D90B1F" w:rsidRPr="00B12B3B">
        <w:rPr>
          <w:rFonts w:asciiTheme="minorHAnsi" w:hAnsiTheme="minorHAnsi" w:cstheme="minorHAnsi"/>
        </w:rPr>
        <w:t>All patients reported s</w:t>
      </w:r>
      <w:r w:rsidR="00BD3EA6" w:rsidRPr="00B12B3B">
        <w:rPr>
          <w:rFonts w:asciiTheme="minorHAnsi" w:hAnsiTheme="minorHAnsi" w:cstheme="minorHAnsi"/>
        </w:rPr>
        <w:t>leep</w:t>
      </w:r>
      <w:r w:rsidR="00D90B1F" w:rsidRPr="00B12B3B">
        <w:rPr>
          <w:rFonts w:asciiTheme="minorHAnsi" w:hAnsiTheme="minorHAnsi" w:cstheme="minorHAnsi"/>
        </w:rPr>
        <w:t>ing</w:t>
      </w:r>
      <w:r w:rsidR="00BD3EA6" w:rsidRPr="00B12B3B">
        <w:rPr>
          <w:rFonts w:asciiTheme="minorHAnsi" w:hAnsiTheme="minorHAnsi" w:cstheme="minorHAnsi"/>
        </w:rPr>
        <w:t xml:space="preserve"> problems w</w:t>
      </w:r>
      <w:r w:rsidR="00D90B1F" w:rsidRPr="00B12B3B">
        <w:rPr>
          <w:rFonts w:asciiTheme="minorHAnsi" w:hAnsiTheme="minorHAnsi" w:cstheme="minorHAnsi"/>
        </w:rPr>
        <w:t>ith</w:t>
      </w:r>
      <w:r w:rsidR="00BD3EA6" w:rsidRPr="00B12B3B">
        <w:rPr>
          <w:rFonts w:asciiTheme="minorHAnsi" w:hAnsiTheme="minorHAnsi" w:cstheme="minorHAnsi"/>
        </w:rPr>
        <w:t xml:space="preserve"> mean 3.2</w:t>
      </w:r>
      <w:r w:rsidR="002226CB" w:rsidRPr="00B12B3B">
        <w:rPr>
          <w:rFonts w:asciiTheme="minorHAnsi" w:hAnsiTheme="minorHAnsi" w:cstheme="minorHAnsi"/>
        </w:rPr>
        <w:t xml:space="preserve"> </w:t>
      </w:r>
      <w:r w:rsidR="00BD3EA6" w:rsidRPr="00B12B3B">
        <w:rPr>
          <w:rFonts w:asciiTheme="minorHAnsi" w:hAnsiTheme="minorHAnsi" w:cstheme="minorHAnsi"/>
        </w:rPr>
        <w:t>(</w:t>
      </w:r>
      <w:r w:rsidR="002226CB" w:rsidRPr="00B12B3B">
        <w:rPr>
          <w:rFonts w:asciiTheme="minorHAnsi" w:hAnsiTheme="minorHAnsi" w:cstheme="minorHAnsi"/>
        </w:rPr>
        <w:t>SD=</w:t>
      </w:r>
      <w:r w:rsidR="00BD3EA6" w:rsidRPr="00B12B3B">
        <w:rPr>
          <w:rFonts w:asciiTheme="minorHAnsi" w:hAnsiTheme="minorHAnsi" w:cstheme="minorHAnsi"/>
        </w:rPr>
        <w:t>1.</w:t>
      </w:r>
      <w:r w:rsidR="00806198" w:rsidRPr="00B12B3B">
        <w:rPr>
          <w:rFonts w:asciiTheme="minorHAnsi" w:hAnsiTheme="minorHAnsi" w:cstheme="minorHAnsi"/>
        </w:rPr>
        <w:t>9</w:t>
      </w:r>
      <w:r w:rsidR="00BD3EA6" w:rsidRPr="00B12B3B">
        <w:rPr>
          <w:rFonts w:asciiTheme="minorHAnsi" w:hAnsiTheme="minorHAnsi" w:cstheme="minorHAnsi"/>
        </w:rPr>
        <w:t xml:space="preserve">) out of 6. </w:t>
      </w:r>
      <w:r w:rsidR="008F113E" w:rsidRPr="00B12B3B">
        <w:rPr>
          <w:rFonts w:asciiTheme="minorHAnsi" w:hAnsiTheme="minorHAnsi" w:cstheme="minorHAnsi"/>
        </w:rPr>
        <w:t>T</w:t>
      </w:r>
      <w:r w:rsidR="00BD3EA6" w:rsidRPr="00B12B3B">
        <w:rPr>
          <w:rFonts w:asciiTheme="minorHAnsi" w:hAnsiTheme="minorHAnsi" w:cstheme="minorHAnsi"/>
        </w:rPr>
        <w:t>he average for sexual problems was 1.7</w:t>
      </w:r>
      <w:r w:rsidR="002226CB" w:rsidRPr="00B12B3B">
        <w:rPr>
          <w:rFonts w:asciiTheme="minorHAnsi" w:hAnsiTheme="minorHAnsi" w:cstheme="minorHAnsi"/>
        </w:rPr>
        <w:t xml:space="preserve"> </w:t>
      </w:r>
      <w:r w:rsidR="00BD3EA6" w:rsidRPr="00B12B3B">
        <w:rPr>
          <w:rFonts w:asciiTheme="minorHAnsi" w:hAnsiTheme="minorHAnsi" w:cstheme="minorHAnsi"/>
        </w:rPr>
        <w:t>(SD</w:t>
      </w:r>
      <w:r w:rsidR="002226CB" w:rsidRPr="00B12B3B">
        <w:rPr>
          <w:rFonts w:asciiTheme="minorHAnsi" w:hAnsiTheme="minorHAnsi" w:cstheme="minorHAnsi"/>
        </w:rPr>
        <w:t>=</w:t>
      </w:r>
      <w:r w:rsidR="00BD3EA6" w:rsidRPr="00B12B3B">
        <w:rPr>
          <w:rFonts w:asciiTheme="minorHAnsi" w:hAnsiTheme="minorHAnsi" w:cstheme="minorHAnsi"/>
        </w:rPr>
        <w:t>1.</w:t>
      </w:r>
      <w:r w:rsidR="00806198" w:rsidRPr="00B12B3B">
        <w:rPr>
          <w:rFonts w:asciiTheme="minorHAnsi" w:hAnsiTheme="minorHAnsi" w:cstheme="minorHAnsi"/>
        </w:rPr>
        <w:t>6</w:t>
      </w:r>
      <w:r w:rsidR="00BD3EA6" w:rsidRPr="00B12B3B">
        <w:rPr>
          <w:rFonts w:asciiTheme="minorHAnsi" w:hAnsiTheme="minorHAnsi" w:cstheme="minorHAnsi"/>
        </w:rPr>
        <w:t>) out of 4.</w:t>
      </w:r>
      <w:r w:rsidRPr="00B12B3B">
        <w:rPr>
          <w:rFonts w:asciiTheme="minorHAnsi" w:hAnsiTheme="minorHAnsi" w:cstheme="minorHAnsi"/>
        </w:rPr>
        <w:t xml:space="preserve"> </w:t>
      </w:r>
      <w:r w:rsidR="003E4DD2" w:rsidRPr="00B12B3B">
        <w:rPr>
          <w:rFonts w:asciiTheme="minorHAnsi" w:hAnsiTheme="minorHAnsi" w:cstheme="minorHAnsi"/>
        </w:rPr>
        <w:t xml:space="preserve">Pain assessed with the BPI showed that </w:t>
      </w:r>
      <w:r w:rsidR="001A75DC" w:rsidRPr="00B12B3B">
        <w:rPr>
          <w:rFonts w:asciiTheme="minorHAnsi" w:hAnsiTheme="minorHAnsi" w:cstheme="minorHAnsi"/>
        </w:rPr>
        <w:t>11 of the 15 patients</w:t>
      </w:r>
      <w:r w:rsidR="000C6762" w:rsidRPr="00B12B3B">
        <w:rPr>
          <w:rFonts w:asciiTheme="minorHAnsi" w:hAnsiTheme="minorHAnsi" w:cstheme="minorHAnsi"/>
        </w:rPr>
        <w:t xml:space="preserve"> (73%)</w:t>
      </w:r>
      <w:r w:rsidR="003E4DD2" w:rsidRPr="00B12B3B">
        <w:rPr>
          <w:rFonts w:asciiTheme="minorHAnsi" w:hAnsiTheme="minorHAnsi" w:cstheme="minorHAnsi"/>
        </w:rPr>
        <w:t xml:space="preserve"> had an average score of 3 or more on the BPI in the last week and the whole sample had as mean score 5.2 (SD 2.</w:t>
      </w:r>
      <w:r w:rsidR="00806198" w:rsidRPr="00B12B3B">
        <w:rPr>
          <w:rFonts w:asciiTheme="minorHAnsi" w:hAnsiTheme="minorHAnsi" w:cstheme="minorHAnsi"/>
        </w:rPr>
        <w:t>7</w:t>
      </w:r>
      <w:r w:rsidR="003E4DD2" w:rsidRPr="00B12B3B">
        <w:rPr>
          <w:rFonts w:asciiTheme="minorHAnsi" w:hAnsiTheme="minorHAnsi" w:cstheme="minorHAnsi"/>
        </w:rPr>
        <w:t xml:space="preserve">). </w:t>
      </w:r>
    </w:p>
    <w:p w14:paraId="70CC7CA0" w14:textId="23E39F18" w:rsidR="00E86FFE" w:rsidRPr="00B12B3B" w:rsidRDefault="00E86FFE" w:rsidP="00E86FFE">
      <w:pPr>
        <w:spacing w:line="360" w:lineRule="auto"/>
        <w:jc w:val="both"/>
        <w:rPr>
          <w:rFonts w:asciiTheme="minorHAnsi" w:hAnsiTheme="minorHAnsi" w:cstheme="minorHAnsi"/>
        </w:rPr>
      </w:pPr>
      <w:r w:rsidRPr="00B12B3B">
        <w:rPr>
          <w:rFonts w:asciiTheme="minorHAnsi" w:hAnsiTheme="minorHAnsi" w:cstheme="minorHAnsi"/>
          <w:bCs/>
        </w:rPr>
        <w:t>Only one pa</w:t>
      </w:r>
      <w:r w:rsidR="00F86A0B" w:rsidRPr="00B12B3B">
        <w:rPr>
          <w:rFonts w:asciiTheme="minorHAnsi" w:hAnsiTheme="minorHAnsi" w:cstheme="minorHAnsi"/>
          <w:bCs/>
        </w:rPr>
        <w:t>r</w:t>
      </w:r>
      <w:r w:rsidRPr="00B12B3B">
        <w:rPr>
          <w:rFonts w:asciiTheme="minorHAnsi" w:hAnsiTheme="minorHAnsi" w:cstheme="minorHAnsi"/>
          <w:bCs/>
        </w:rPr>
        <w:t>ti</w:t>
      </w:r>
      <w:r w:rsidR="00F86A0B" w:rsidRPr="00B12B3B">
        <w:rPr>
          <w:rFonts w:asciiTheme="minorHAnsi" w:hAnsiTheme="minorHAnsi" w:cstheme="minorHAnsi"/>
          <w:bCs/>
        </w:rPr>
        <w:t>cipant</w:t>
      </w:r>
      <w:r w:rsidRPr="00B12B3B">
        <w:rPr>
          <w:rFonts w:asciiTheme="minorHAnsi" w:hAnsiTheme="minorHAnsi" w:cstheme="minorHAnsi"/>
          <w:bCs/>
        </w:rPr>
        <w:t xml:space="preserve"> had no comorbid medical conditions. The range was 0 – 16 chronic medical conditions and the </w:t>
      </w:r>
      <w:r w:rsidRPr="00B12B3B">
        <w:rPr>
          <w:rFonts w:asciiTheme="minorHAnsi" w:hAnsiTheme="minorHAnsi" w:cstheme="minorHAnsi"/>
        </w:rPr>
        <w:t>average was 6.1. They had an average of 2.</w:t>
      </w:r>
      <w:r w:rsidR="00806198" w:rsidRPr="00B12B3B">
        <w:rPr>
          <w:rFonts w:asciiTheme="minorHAnsi" w:hAnsiTheme="minorHAnsi" w:cstheme="minorHAnsi"/>
        </w:rPr>
        <w:t>9</w:t>
      </w:r>
      <w:r w:rsidRPr="00B12B3B">
        <w:rPr>
          <w:rFonts w:asciiTheme="minorHAnsi" w:hAnsiTheme="minorHAnsi" w:cstheme="minorHAnsi"/>
        </w:rPr>
        <w:t xml:space="preserve"> comorbid somatic </w:t>
      </w:r>
      <w:r w:rsidRPr="00B12B3B">
        <w:rPr>
          <w:rFonts w:asciiTheme="minorHAnsi" w:hAnsiTheme="minorHAnsi" w:cstheme="minorHAnsi"/>
          <w:bCs/>
        </w:rPr>
        <w:t>comorbid medical conditions</w:t>
      </w:r>
      <w:r w:rsidRPr="00B12B3B">
        <w:rPr>
          <w:rFonts w:asciiTheme="minorHAnsi" w:hAnsiTheme="minorHAnsi" w:cstheme="minorHAnsi"/>
        </w:rPr>
        <w:t xml:space="preserve"> such as diabetes, cardiovascular disorder or COPD; and 3.</w:t>
      </w:r>
      <w:r w:rsidR="00806198" w:rsidRPr="00B12B3B">
        <w:rPr>
          <w:rFonts w:asciiTheme="minorHAnsi" w:hAnsiTheme="minorHAnsi" w:cstheme="minorHAnsi"/>
        </w:rPr>
        <w:t>3</w:t>
      </w:r>
      <w:r w:rsidRPr="00B12B3B">
        <w:rPr>
          <w:rFonts w:asciiTheme="minorHAnsi" w:hAnsiTheme="minorHAnsi" w:cstheme="minorHAnsi"/>
        </w:rPr>
        <w:t xml:space="preserve"> comorbid functional disorders like burnout, depression, anxiety disorders or digestive tract problems like Irritable Bowel Syndrome, or unexplained pain. </w:t>
      </w:r>
    </w:p>
    <w:p w14:paraId="40CCCD36" w14:textId="1B2C39BF" w:rsidR="00504687" w:rsidRPr="00B12B3B" w:rsidRDefault="00504687" w:rsidP="00504687">
      <w:pPr>
        <w:spacing w:line="360" w:lineRule="auto"/>
        <w:jc w:val="both"/>
        <w:rPr>
          <w:rFonts w:asciiTheme="minorHAnsi" w:hAnsiTheme="minorHAnsi" w:cstheme="minorHAnsi"/>
        </w:rPr>
      </w:pPr>
      <w:r w:rsidRPr="00B12B3B">
        <w:rPr>
          <w:rFonts w:asciiTheme="minorHAnsi" w:hAnsiTheme="minorHAnsi" w:cstheme="minorHAnsi"/>
        </w:rPr>
        <w:t>On the EQ</w:t>
      </w:r>
      <w:r w:rsidR="00592CDF" w:rsidRPr="00B12B3B">
        <w:rPr>
          <w:rFonts w:asciiTheme="minorHAnsi" w:hAnsiTheme="minorHAnsi" w:cstheme="minorHAnsi"/>
        </w:rPr>
        <w:t>-</w:t>
      </w:r>
      <w:r w:rsidRPr="00B12B3B">
        <w:rPr>
          <w:rFonts w:asciiTheme="minorHAnsi" w:hAnsiTheme="minorHAnsi" w:cstheme="minorHAnsi"/>
        </w:rPr>
        <w:t>5D</w:t>
      </w:r>
      <w:r w:rsidR="00592CDF" w:rsidRPr="00B12B3B">
        <w:rPr>
          <w:rFonts w:asciiTheme="minorHAnsi" w:hAnsiTheme="minorHAnsi" w:cstheme="minorHAnsi"/>
        </w:rPr>
        <w:t>-</w:t>
      </w:r>
      <w:r w:rsidRPr="00B12B3B">
        <w:rPr>
          <w:rFonts w:asciiTheme="minorHAnsi" w:hAnsiTheme="minorHAnsi" w:cstheme="minorHAnsi"/>
        </w:rPr>
        <w:t xml:space="preserve">5L, 67% reported moderate to severe mobility problems. </w:t>
      </w:r>
      <w:r w:rsidRPr="00B12B3B">
        <w:rPr>
          <w:rFonts w:asciiTheme="minorHAnsi" w:hAnsiTheme="minorHAnsi" w:cstheme="minorHAnsi"/>
          <w:color w:val="010205"/>
        </w:rPr>
        <w:t>53% reported moderate to severe self</w:t>
      </w:r>
      <w:r w:rsidR="004D3CD7" w:rsidRPr="00B12B3B">
        <w:rPr>
          <w:rFonts w:asciiTheme="minorHAnsi" w:hAnsiTheme="minorHAnsi" w:cstheme="minorHAnsi"/>
          <w:color w:val="010205"/>
        </w:rPr>
        <w:t>-</w:t>
      </w:r>
      <w:r w:rsidRPr="00B12B3B">
        <w:rPr>
          <w:rFonts w:asciiTheme="minorHAnsi" w:hAnsiTheme="minorHAnsi" w:cstheme="minorHAnsi"/>
          <w:color w:val="010205"/>
        </w:rPr>
        <w:t xml:space="preserve">care problems, </w:t>
      </w:r>
      <w:r w:rsidRPr="00B12B3B">
        <w:rPr>
          <w:rFonts w:asciiTheme="minorHAnsi" w:hAnsiTheme="minorHAnsi" w:cstheme="minorHAnsi"/>
        </w:rPr>
        <w:t xml:space="preserve">60% had moderate to severe problems with usual activities, 60% had moderate to severe pain/discomfort and 60% had moderate to severe anxiety or depression. </w:t>
      </w:r>
      <w:r w:rsidRPr="00B12B3B">
        <w:rPr>
          <w:rFonts w:asciiTheme="minorHAnsi" w:hAnsiTheme="minorHAnsi" w:cstheme="minorHAnsi"/>
          <w:color w:val="222222"/>
          <w:shd w:val="clear" w:color="auto" w:fill="FFFFFF"/>
        </w:rPr>
        <w:t>T</w:t>
      </w:r>
      <w:r w:rsidRPr="00B12B3B">
        <w:rPr>
          <w:rFonts w:asciiTheme="minorHAnsi" w:hAnsiTheme="minorHAnsi" w:cstheme="minorHAnsi"/>
        </w:rPr>
        <w:t>he mean score for the general health item was 45.</w:t>
      </w:r>
      <w:r w:rsidR="00806198" w:rsidRPr="00B12B3B">
        <w:rPr>
          <w:rFonts w:asciiTheme="minorHAnsi" w:hAnsiTheme="minorHAnsi" w:cstheme="minorHAnsi"/>
        </w:rPr>
        <w:t>5</w:t>
      </w:r>
      <w:r w:rsidR="002226CB" w:rsidRPr="00B12B3B">
        <w:rPr>
          <w:rFonts w:asciiTheme="minorHAnsi" w:hAnsiTheme="minorHAnsi" w:cstheme="minorHAnsi"/>
        </w:rPr>
        <w:t xml:space="preserve"> </w:t>
      </w:r>
      <w:r w:rsidRPr="00B12B3B">
        <w:rPr>
          <w:rFonts w:asciiTheme="minorHAnsi" w:hAnsiTheme="minorHAnsi" w:cstheme="minorHAnsi"/>
        </w:rPr>
        <w:t>(</w:t>
      </w:r>
      <w:r w:rsidR="002226CB" w:rsidRPr="00B12B3B">
        <w:rPr>
          <w:rFonts w:asciiTheme="minorHAnsi" w:hAnsiTheme="minorHAnsi" w:cstheme="minorHAnsi"/>
        </w:rPr>
        <w:t>SD=</w:t>
      </w:r>
      <w:r w:rsidRPr="00B12B3B">
        <w:rPr>
          <w:rFonts w:asciiTheme="minorHAnsi" w:hAnsiTheme="minorHAnsi" w:cstheme="minorHAnsi"/>
        </w:rPr>
        <w:t>21.</w:t>
      </w:r>
      <w:r w:rsidR="00806198" w:rsidRPr="00B12B3B">
        <w:rPr>
          <w:rFonts w:asciiTheme="minorHAnsi" w:hAnsiTheme="minorHAnsi" w:cstheme="minorHAnsi"/>
        </w:rPr>
        <w:t>4</w:t>
      </w:r>
      <w:r w:rsidRPr="00B12B3B">
        <w:rPr>
          <w:rFonts w:asciiTheme="minorHAnsi" w:hAnsiTheme="minorHAnsi" w:cstheme="minorHAnsi"/>
        </w:rPr>
        <w:t>).</w:t>
      </w:r>
    </w:p>
    <w:p w14:paraId="0BE9564E" w14:textId="4ACDC87B" w:rsidR="00504687" w:rsidRPr="00B12B3B" w:rsidRDefault="004B350B" w:rsidP="00504687">
      <w:pPr>
        <w:autoSpaceDE w:val="0"/>
        <w:autoSpaceDN w:val="0"/>
        <w:adjustRightInd w:val="0"/>
        <w:spacing w:line="360" w:lineRule="auto"/>
        <w:jc w:val="both"/>
        <w:rPr>
          <w:rFonts w:asciiTheme="minorHAnsi" w:hAnsiTheme="minorHAnsi" w:cstheme="minorHAnsi"/>
        </w:rPr>
      </w:pPr>
      <w:r w:rsidRPr="00B12B3B">
        <w:rPr>
          <w:rFonts w:asciiTheme="minorHAnsi" w:hAnsiTheme="minorHAnsi" w:cstheme="minorHAnsi"/>
        </w:rPr>
        <w:t xml:space="preserve">RAND </w:t>
      </w:r>
      <w:r w:rsidR="00504687" w:rsidRPr="00B12B3B">
        <w:rPr>
          <w:rFonts w:asciiTheme="minorHAnsi" w:hAnsiTheme="minorHAnsi" w:cstheme="minorHAnsi"/>
        </w:rPr>
        <w:t>SF</w:t>
      </w:r>
      <w:r w:rsidR="002226CB" w:rsidRPr="00B12B3B">
        <w:rPr>
          <w:rFonts w:asciiTheme="minorHAnsi" w:hAnsiTheme="minorHAnsi" w:cstheme="minorHAnsi"/>
        </w:rPr>
        <w:t>-</w:t>
      </w:r>
      <w:r w:rsidR="00504687" w:rsidRPr="00B12B3B">
        <w:rPr>
          <w:rFonts w:asciiTheme="minorHAnsi" w:hAnsiTheme="minorHAnsi" w:cstheme="minorHAnsi"/>
        </w:rPr>
        <w:t xml:space="preserve">36 </w:t>
      </w:r>
      <w:r w:rsidR="00592CDF" w:rsidRPr="00B12B3B">
        <w:rPr>
          <w:rFonts w:asciiTheme="minorHAnsi" w:hAnsiTheme="minorHAnsi" w:cstheme="minorHAnsi"/>
        </w:rPr>
        <w:t>s</w:t>
      </w:r>
      <w:r w:rsidR="00504687" w:rsidRPr="00B12B3B">
        <w:rPr>
          <w:rFonts w:asciiTheme="minorHAnsi" w:hAnsiTheme="minorHAnsi" w:cstheme="minorHAnsi"/>
        </w:rPr>
        <w:t xml:space="preserve">cores are shown in Table </w:t>
      </w:r>
      <w:r w:rsidR="00075C43" w:rsidRPr="00B12B3B">
        <w:rPr>
          <w:rFonts w:asciiTheme="minorHAnsi" w:hAnsiTheme="minorHAnsi" w:cstheme="minorHAnsi"/>
        </w:rPr>
        <w:t>3</w:t>
      </w:r>
      <w:r w:rsidR="00504687" w:rsidRPr="00B12B3B">
        <w:rPr>
          <w:rFonts w:asciiTheme="minorHAnsi" w:hAnsiTheme="minorHAnsi" w:cstheme="minorHAnsi"/>
        </w:rPr>
        <w:t>. Norm scores of the MOS are shown for comparison and p-values presented for the differences</w:t>
      </w:r>
      <w:r w:rsidR="00AA0A9B" w:rsidRPr="00B12B3B">
        <w:rPr>
          <w:rFonts w:asciiTheme="minorHAnsi" w:hAnsiTheme="minorHAnsi" w:cstheme="minorHAnsi"/>
        </w:rPr>
        <w:t xml:space="preserve"> by one sample t-test</w:t>
      </w:r>
      <w:r w:rsidR="00504687" w:rsidRPr="00B12B3B">
        <w:rPr>
          <w:rFonts w:asciiTheme="minorHAnsi" w:hAnsiTheme="minorHAnsi" w:cstheme="minorHAnsi"/>
        </w:rPr>
        <w:t>.</w:t>
      </w:r>
      <w:r w:rsidR="00AA0A9B" w:rsidRPr="00B12B3B">
        <w:rPr>
          <w:rFonts w:asciiTheme="minorHAnsi" w:hAnsiTheme="minorHAnsi" w:cstheme="minorHAnsi"/>
        </w:rPr>
        <w:t xml:space="preserve"> </w:t>
      </w:r>
    </w:p>
    <w:p w14:paraId="2D023714" w14:textId="7B1D2E33" w:rsidR="002C7230" w:rsidRPr="00B12B3B" w:rsidRDefault="002C7230" w:rsidP="002C7230">
      <w:pPr>
        <w:pStyle w:val="Lijstalinea"/>
        <w:numPr>
          <w:ilvl w:val="0"/>
          <w:numId w:val="25"/>
        </w:numPr>
        <w:autoSpaceDE w:val="0"/>
        <w:autoSpaceDN w:val="0"/>
        <w:adjustRightInd w:val="0"/>
        <w:spacing w:line="360" w:lineRule="auto"/>
        <w:jc w:val="both"/>
        <w:rPr>
          <w:rFonts w:asciiTheme="minorHAnsi" w:hAnsiTheme="minorHAnsi" w:cstheme="minorHAnsi"/>
        </w:rPr>
      </w:pPr>
      <w:r w:rsidRPr="00B12B3B">
        <w:rPr>
          <w:rFonts w:asciiTheme="minorHAnsi" w:hAnsiTheme="minorHAnsi" w:cstheme="minorHAnsi"/>
        </w:rPr>
        <w:lastRenderedPageBreak/>
        <w:t xml:space="preserve">Insert Table </w:t>
      </w:r>
      <w:r w:rsidR="00075C43" w:rsidRPr="00B12B3B">
        <w:rPr>
          <w:rFonts w:asciiTheme="minorHAnsi" w:hAnsiTheme="minorHAnsi" w:cstheme="minorHAnsi"/>
        </w:rPr>
        <w:t>3</w:t>
      </w:r>
      <w:r w:rsidRPr="00B12B3B">
        <w:rPr>
          <w:rFonts w:asciiTheme="minorHAnsi" w:hAnsiTheme="minorHAnsi" w:cstheme="minorHAnsi"/>
        </w:rPr>
        <w:t xml:space="preserve"> –</w:t>
      </w:r>
    </w:p>
    <w:p w14:paraId="200C3DC0" w14:textId="088EC8EF" w:rsidR="0077771B" w:rsidRPr="00B12B3B" w:rsidRDefault="0077771B" w:rsidP="0077771B">
      <w:pPr>
        <w:autoSpaceDE w:val="0"/>
        <w:autoSpaceDN w:val="0"/>
        <w:adjustRightInd w:val="0"/>
        <w:spacing w:line="360" w:lineRule="auto"/>
        <w:jc w:val="both"/>
        <w:rPr>
          <w:rFonts w:asciiTheme="minorHAnsi" w:hAnsiTheme="minorHAnsi" w:cstheme="minorHAnsi"/>
        </w:rPr>
      </w:pPr>
      <w:r w:rsidRPr="00B12B3B">
        <w:rPr>
          <w:rFonts w:asciiTheme="minorHAnsi" w:hAnsiTheme="minorHAnsi" w:cstheme="minorHAnsi"/>
        </w:rPr>
        <w:t xml:space="preserve">All </w:t>
      </w:r>
      <w:r w:rsidR="00741B3F" w:rsidRPr="00B12B3B">
        <w:rPr>
          <w:rFonts w:asciiTheme="minorHAnsi" w:hAnsiTheme="minorHAnsi" w:cstheme="minorHAnsi"/>
        </w:rPr>
        <w:t xml:space="preserve">sample </w:t>
      </w:r>
      <w:r w:rsidRPr="00B12B3B">
        <w:rPr>
          <w:rFonts w:asciiTheme="minorHAnsi" w:hAnsiTheme="minorHAnsi" w:cstheme="minorHAnsi"/>
        </w:rPr>
        <w:t>scores are significantly lower and the mean differences are large, indicating that the pa</w:t>
      </w:r>
      <w:r w:rsidR="00F86A0B" w:rsidRPr="00B12B3B">
        <w:rPr>
          <w:rFonts w:asciiTheme="minorHAnsi" w:hAnsiTheme="minorHAnsi" w:cstheme="minorHAnsi"/>
        </w:rPr>
        <w:t>r</w:t>
      </w:r>
      <w:r w:rsidRPr="00B12B3B">
        <w:rPr>
          <w:rFonts w:asciiTheme="minorHAnsi" w:hAnsiTheme="minorHAnsi" w:cstheme="minorHAnsi"/>
        </w:rPr>
        <w:t>ti</w:t>
      </w:r>
      <w:r w:rsidR="00F86A0B" w:rsidRPr="00B12B3B">
        <w:rPr>
          <w:rFonts w:asciiTheme="minorHAnsi" w:hAnsiTheme="minorHAnsi" w:cstheme="minorHAnsi"/>
        </w:rPr>
        <w:t>cipa</w:t>
      </w:r>
      <w:r w:rsidRPr="00B12B3B">
        <w:rPr>
          <w:rFonts w:asciiTheme="minorHAnsi" w:hAnsiTheme="minorHAnsi" w:cstheme="minorHAnsi"/>
        </w:rPr>
        <w:t xml:space="preserve">nts in this sample had much worse functioning in all domains than clinical patients with chronic medical conditions in the MOS study. </w:t>
      </w:r>
    </w:p>
    <w:p w14:paraId="5DFB9660" w14:textId="73BEF449" w:rsidR="00162ACB" w:rsidRPr="00B12B3B" w:rsidRDefault="00162ACB" w:rsidP="0077771B">
      <w:pPr>
        <w:autoSpaceDE w:val="0"/>
        <w:autoSpaceDN w:val="0"/>
        <w:adjustRightInd w:val="0"/>
        <w:spacing w:line="360" w:lineRule="auto"/>
        <w:jc w:val="both"/>
        <w:rPr>
          <w:rFonts w:asciiTheme="minorHAnsi" w:hAnsiTheme="minorHAnsi" w:cstheme="minorHAnsi"/>
          <w:b/>
          <w:bCs/>
        </w:rPr>
      </w:pPr>
      <w:r w:rsidRPr="00B12B3B">
        <w:rPr>
          <w:rFonts w:asciiTheme="minorHAnsi" w:hAnsiTheme="minorHAnsi" w:cstheme="minorHAnsi"/>
          <w:b/>
          <w:bCs/>
        </w:rPr>
        <w:t>3.5</w:t>
      </w:r>
      <w:r w:rsidR="005B790C" w:rsidRPr="00B12B3B">
        <w:rPr>
          <w:rFonts w:asciiTheme="minorHAnsi" w:hAnsiTheme="minorHAnsi" w:cstheme="minorHAnsi"/>
          <w:b/>
          <w:bCs/>
        </w:rPr>
        <w:tab/>
      </w:r>
      <w:r w:rsidRPr="00B12B3B">
        <w:rPr>
          <w:rFonts w:asciiTheme="minorHAnsi" w:hAnsiTheme="minorHAnsi" w:cstheme="minorHAnsi"/>
          <w:b/>
          <w:bCs/>
        </w:rPr>
        <w:t>Comorbid depression and anxiety</w:t>
      </w:r>
    </w:p>
    <w:p w14:paraId="4451DDFF" w14:textId="38A4793F" w:rsidR="00162ACB" w:rsidRPr="00B12B3B" w:rsidRDefault="00162ACB" w:rsidP="00162ACB">
      <w:pPr>
        <w:spacing w:line="360" w:lineRule="auto"/>
        <w:jc w:val="both"/>
        <w:rPr>
          <w:rFonts w:asciiTheme="minorHAnsi" w:hAnsiTheme="minorHAnsi" w:cstheme="minorHAnsi"/>
        </w:rPr>
      </w:pPr>
      <w:r w:rsidRPr="00B12B3B">
        <w:rPr>
          <w:rFonts w:asciiTheme="minorHAnsi" w:hAnsiTheme="minorHAnsi" w:cstheme="minorHAnsi"/>
        </w:rPr>
        <w:t>All patients scored above the level of mild depressive symptoms (PHQ-9 scores above 5). Only 2 were below 10 indicating a probability for a depressive disorder (mean14.4,</w:t>
      </w:r>
      <w:r w:rsidR="00947B79" w:rsidRPr="00B12B3B">
        <w:rPr>
          <w:rFonts w:asciiTheme="minorHAnsi" w:hAnsiTheme="minorHAnsi" w:cstheme="minorHAnsi"/>
        </w:rPr>
        <w:t xml:space="preserve"> </w:t>
      </w:r>
      <w:r w:rsidRPr="00B12B3B">
        <w:rPr>
          <w:rFonts w:asciiTheme="minorHAnsi" w:hAnsiTheme="minorHAnsi" w:cstheme="minorHAnsi"/>
        </w:rPr>
        <w:t>SD=4.</w:t>
      </w:r>
      <w:r w:rsidR="00806198" w:rsidRPr="00B12B3B">
        <w:rPr>
          <w:rFonts w:asciiTheme="minorHAnsi" w:hAnsiTheme="minorHAnsi" w:cstheme="minorHAnsi"/>
        </w:rPr>
        <w:t>6</w:t>
      </w:r>
      <w:r w:rsidRPr="00B12B3B">
        <w:rPr>
          <w:rFonts w:asciiTheme="minorHAnsi" w:hAnsiTheme="minorHAnsi" w:cstheme="minorHAnsi"/>
        </w:rPr>
        <w:t xml:space="preserve">). </w:t>
      </w:r>
    </w:p>
    <w:p w14:paraId="09DCFF17" w14:textId="68999655" w:rsidR="00162ACB" w:rsidRPr="00B12B3B" w:rsidRDefault="00162ACB" w:rsidP="00162ACB">
      <w:pPr>
        <w:autoSpaceDE w:val="0"/>
        <w:autoSpaceDN w:val="0"/>
        <w:adjustRightInd w:val="0"/>
        <w:spacing w:line="360" w:lineRule="auto"/>
        <w:jc w:val="both"/>
        <w:rPr>
          <w:rFonts w:asciiTheme="minorHAnsi" w:hAnsiTheme="minorHAnsi" w:cstheme="minorHAnsi"/>
        </w:rPr>
      </w:pPr>
      <w:r w:rsidRPr="00B12B3B">
        <w:rPr>
          <w:rFonts w:asciiTheme="minorHAnsi" w:hAnsiTheme="minorHAnsi" w:cstheme="minorHAnsi"/>
        </w:rPr>
        <w:t>On the GAD-7, two pa</w:t>
      </w:r>
      <w:r w:rsidR="00F86A0B" w:rsidRPr="00B12B3B">
        <w:rPr>
          <w:rFonts w:asciiTheme="minorHAnsi" w:hAnsiTheme="minorHAnsi" w:cstheme="minorHAnsi"/>
        </w:rPr>
        <w:t>r</w:t>
      </w:r>
      <w:r w:rsidRPr="00B12B3B">
        <w:rPr>
          <w:rFonts w:asciiTheme="minorHAnsi" w:hAnsiTheme="minorHAnsi" w:cstheme="minorHAnsi"/>
        </w:rPr>
        <w:t>ti</w:t>
      </w:r>
      <w:r w:rsidR="00F86A0B" w:rsidRPr="00B12B3B">
        <w:rPr>
          <w:rFonts w:asciiTheme="minorHAnsi" w:hAnsiTheme="minorHAnsi" w:cstheme="minorHAnsi"/>
        </w:rPr>
        <w:t>cipa</w:t>
      </w:r>
      <w:r w:rsidRPr="00B12B3B">
        <w:rPr>
          <w:rFonts w:asciiTheme="minorHAnsi" w:hAnsiTheme="minorHAnsi" w:cstheme="minorHAnsi"/>
        </w:rPr>
        <w:t>nts (13%) d</w:t>
      </w:r>
      <w:r w:rsidR="00F86A0B" w:rsidRPr="00B12B3B">
        <w:rPr>
          <w:rFonts w:asciiTheme="minorHAnsi" w:hAnsiTheme="minorHAnsi" w:cstheme="minorHAnsi"/>
        </w:rPr>
        <w:t>id</w:t>
      </w:r>
      <w:r w:rsidRPr="00B12B3B">
        <w:rPr>
          <w:rFonts w:asciiTheme="minorHAnsi" w:hAnsiTheme="minorHAnsi" w:cstheme="minorHAnsi"/>
        </w:rPr>
        <w:t xml:space="preserve"> not report anxiety levels. Three (20%) score</w:t>
      </w:r>
      <w:r w:rsidR="00F86A0B" w:rsidRPr="00B12B3B">
        <w:rPr>
          <w:rFonts w:asciiTheme="minorHAnsi" w:hAnsiTheme="minorHAnsi" w:cstheme="minorHAnsi"/>
        </w:rPr>
        <w:t>d</w:t>
      </w:r>
      <w:r w:rsidRPr="00B12B3B">
        <w:rPr>
          <w:rFonts w:asciiTheme="minorHAnsi" w:hAnsiTheme="minorHAnsi" w:cstheme="minorHAnsi"/>
        </w:rPr>
        <w:t xml:space="preserve"> mild anxiety and 10 (67%) score 10 or higher, indicating a probable anxiety disorder</w:t>
      </w:r>
      <w:r w:rsidR="00947B79" w:rsidRPr="00B12B3B">
        <w:rPr>
          <w:rFonts w:asciiTheme="minorHAnsi" w:hAnsiTheme="minorHAnsi" w:cstheme="minorHAnsi"/>
        </w:rPr>
        <w:t xml:space="preserve"> </w:t>
      </w:r>
      <w:r w:rsidRPr="00B12B3B">
        <w:rPr>
          <w:rFonts w:asciiTheme="minorHAnsi" w:hAnsiTheme="minorHAnsi" w:cstheme="minorHAnsi"/>
        </w:rPr>
        <w:t>(mean = 10.9, SD=4.8).</w:t>
      </w:r>
    </w:p>
    <w:p w14:paraId="02D6326D" w14:textId="2FCC8129" w:rsidR="00B61A00" w:rsidRPr="00B12B3B" w:rsidRDefault="00741B3F" w:rsidP="00741B3F">
      <w:pPr>
        <w:autoSpaceDE w:val="0"/>
        <w:autoSpaceDN w:val="0"/>
        <w:adjustRightInd w:val="0"/>
        <w:spacing w:line="360" w:lineRule="auto"/>
        <w:jc w:val="both"/>
        <w:rPr>
          <w:rFonts w:asciiTheme="minorHAnsi" w:hAnsiTheme="minorHAnsi" w:cstheme="minorHAnsi"/>
          <w:b/>
        </w:rPr>
      </w:pPr>
      <w:r w:rsidRPr="00B12B3B">
        <w:rPr>
          <w:rFonts w:asciiTheme="minorHAnsi" w:hAnsiTheme="minorHAnsi" w:cstheme="minorHAnsi"/>
          <w:b/>
          <w:bCs/>
        </w:rPr>
        <w:t>3.</w:t>
      </w:r>
      <w:r w:rsidR="000D687C" w:rsidRPr="00B12B3B">
        <w:rPr>
          <w:rFonts w:asciiTheme="minorHAnsi" w:hAnsiTheme="minorHAnsi" w:cstheme="minorHAnsi"/>
          <w:b/>
          <w:bCs/>
        </w:rPr>
        <w:t>6</w:t>
      </w:r>
      <w:r w:rsidR="00DF4196" w:rsidRPr="00B12B3B">
        <w:rPr>
          <w:rFonts w:asciiTheme="minorHAnsi" w:hAnsiTheme="minorHAnsi" w:cstheme="minorHAnsi"/>
          <w:b/>
        </w:rPr>
        <w:tab/>
      </w:r>
      <w:r w:rsidR="00B61A00" w:rsidRPr="00B12B3B">
        <w:rPr>
          <w:rFonts w:asciiTheme="minorHAnsi" w:hAnsiTheme="minorHAnsi" w:cstheme="minorHAnsi"/>
          <w:b/>
        </w:rPr>
        <w:t>Trauma and stress</w:t>
      </w:r>
    </w:p>
    <w:p w14:paraId="75F05561" w14:textId="6CD9B379" w:rsidR="007B6A62" w:rsidRPr="00B12B3B" w:rsidRDefault="009113A3" w:rsidP="000F4D09">
      <w:pPr>
        <w:autoSpaceDE w:val="0"/>
        <w:autoSpaceDN w:val="0"/>
        <w:adjustRightInd w:val="0"/>
        <w:spacing w:line="360" w:lineRule="auto"/>
        <w:jc w:val="both"/>
        <w:rPr>
          <w:rFonts w:asciiTheme="minorHAnsi" w:hAnsiTheme="minorHAnsi" w:cstheme="minorHAnsi"/>
          <w:bCs/>
        </w:rPr>
      </w:pPr>
      <w:r w:rsidRPr="00B12B3B">
        <w:rPr>
          <w:rFonts w:asciiTheme="minorHAnsi" w:hAnsiTheme="minorHAnsi" w:cstheme="minorHAnsi"/>
        </w:rPr>
        <w:t xml:space="preserve">Findings are shown in Table 2. </w:t>
      </w:r>
      <w:r w:rsidR="00F00182" w:rsidRPr="00B12B3B">
        <w:rPr>
          <w:rFonts w:asciiTheme="minorHAnsi" w:hAnsiTheme="minorHAnsi" w:cstheme="minorHAnsi"/>
        </w:rPr>
        <w:t>Regarding childhood trauma, t</w:t>
      </w:r>
      <w:r w:rsidR="009F495C" w:rsidRPr="00B12B3B">
        <w:rPr>
          <w:rFonts w:asciiTheme="minorHAnsi" w:hAnsiTheme="minorHAnsi" w:cstheme="minorHAnsi"/>
        </w:rPr>
        <w:t>wo pa</w:t>
      </w:r>
      <w:r w:rsidR="00F86A0B" w:rsidRPr="00B12B3B">
        <w:rPr>
          <w:rFonts w:asciiTheme="minorHAnsi" w:hAnsiTheme="minorHAnsi" w:cstheme="minorHAnsi"/>
        </w:rPr>
        <w:t>r</w:t>
      </w:r>
      <w:r w:rsidR="009F495C" w:rsidRPr="00B12B3B">
        <w:rPr>
          <w:rFonts w:asciiTheme="minorHAnsi" w:hAnsiTheme="minorHAnsi" w:cstheme="minorHAnsi"/>
        </w:rPr>
        <w:t>ti</w:t>
      </w:r>
      <w:r w:rsidR="00F86A0B" w:rsidRPr="00B12B3B">
        <w:rPr>
          <w:rFonts w:asciiTheme="minorHAnsi" w:hAnsiTheme="minorHAnsi" w:cstheme="minorHAnsi"/>
        </w:rPr>
        <w:t>cipants</w:t>
      </w:r>
      <w:r w:rsidR="009F495C" w:rsidRPr="00B12B3B">
        <w:rPr>
          <w:rFonts w:asciiTheme="minorHAnsi" w:hAnsiTheme="minorHAnsi" w:cstheme="minorHAnsi"/>
        </w:rPr>
        <w:t xml:space="preserve"> (</w:t>
      </w:r>
      <w:r w:rsidR="009F634D" w:rsidRPr="00B12B3B">
        <w:rPr>
          <w:rFonts w:asciiTheme="minorHAnsi" w:hAnsiTheme="minorHAnsi" w:cstheme="minorHAnsi"/>
        </w:rPr>
        <w:t>13%</w:t>
      </w:r>
      <w:r w:rsidR="009F495C" w:rsidRPr="00B12B3B">
        <w:rPr>
          <w:rFonts w:asciiTheme="minorHAnsi" w:hAnsiTheme="minorHAnsi" w:cstheme="minorHAnsi"/>
        </w:rPr>
        <w:t>)</w:t>
      </w:r>
      <w:r w:rsidR="009F634D" w:rsidRPr="00B12B3B">
        <w:rPr>
          <w:rFonts w:asciiTheme="minorHAnsi" w:hAnsiTheme="minorHAnsi" w:cstheme="minorHAnsi"/>
        </w:rPr>
        <w:t xml:space="preserve"> experienced no A</w:t>
      </w:r>
      <w:r w:rsidR="00F86A0B" w:rsidRPr="00B12B3B">
        <w:rPr>
          <w:rFonts w:asciiTheme="minorHAnsi" w:hAnsiTheme="minorHAnsi" w:cstheme="minorHAnsi"/>
        </w:rPr>
        <w:t xml:space="preserve">dverse </w:t>
      </w:r>
      <w:r w:rsidR="009F634D" w:rsidRPr="00B12B3B">
        <w:rPr>
          <w:rFonts w:asciiTheme="minorHAnsi" w:hAnsiTheme="minorHAnsi" w:cstheme="minorHAnsi"/>
        </w:rPr>
        <w:t>C</w:t>
      </w:r>
      <w:r w:rsidR="00F86A0B" w:rsidRPr="00B12B3B">
        <w:rPr>
          <w:rFonts w:asciiTheme="minorHAnsi" w:hAnsiTheme="minorHAnsi" w:cstheme="minorHAnsi"/>
        </w:rPr>
        <w:t xml:space="preserve">hildhood </w:t>
      </w:r>
      <w:r w:rsidR="009F634D" w:rsidRPr="00B12B3B">
        <w:rPr>
          <w:rFonts w:asciiTheme="minorHAnsi" w:hAnsiTheme="minorHAnsi" w:cstheme="minorHAnsi"/>
        </w:rPr>
        <w:t>E</w:t>
      </w:r>
      <w:r w:rsidR="00F86A0B" w:rsidRPr="00B12B3B">
        <w:rPr>
          <w:rFonts w:asciiTheme="minorHAnsi" w:hAnsiTheme="minorHAnsi" w:cstheme="minorHAnsi"/>
        </w:rPr>
        <w:t>xperience(ACE)</w:t>
      </w:r>
      <w:r w:rsidR="009F495C" w:rsidRPr="00B12B3B">
        <w:rPr>
          <w:rFonts w:asciiTheme="minorHAnsi" w:hAnsiTheme="minorHAnsi" w:cstheme="minorHAnsi"/>
        </w:rPr>
        <w:t>.</w:t>
      </w:r>
      <w:r w:rsidR="009F634D" w:rsidRPr="00B12B3B">
        <w:rPr>
          <w:rFonts w:asciiTheme="minorHAnsi" w:hAnsiTheme="minorHAnsi" w:cstheme="minorHAnsi"/>
        </w:rPr>
        <w:t xml:space="preserve"> One pa</w:t>
      </w:r>
      <w:r w:rsidR="00F86A0B" w:rsidRPr="00B12B3B">
        <w:rPr>
          <w:rFonts w:asciiTheme="minorHAnsi" w:hAnsiTheme="minorHAnsi" w:cstheme="minorHAnsi"/>
        </w:rPr>
        <w:t>r</w:t>
      </w:r>
      <w:r w:rsidR="009F634D" w:rsidRPr="00B12B3B">
        <w:rPr>
          <w:rFonts w:asciiTheme="minorHAnsi" w:hAnsiTheme="minorHAnsi" w:cstheme="minorHAnsi"/>
        </w:rPr>
        <w:t>ti</w:t>
      </w:r>
      <w:r w:rsidR="00F86A0B" w:rsidRPr="00B12B3B">
        <w:rPr>
          <w:rFonts w:asciiTheme="minorHAnsi" w:hAnsiTheme="minorHAnsi" w:cstheme="minorHAnsi"/>
        </w:rPr>
        <w:t>cipant</w:t>
      </w:r>
      <w:r w:rsidR="009F634D" w:rsidRPr="00B12B3B">
        <w:rPr>
          <w:rFonts w:asciiTheme="minorHAnsi" w:hAnsiTheme="minorHAnsi" w:cstheme="minorHAnsi"/>
        </w:rPr>
        <w:t xml:space="preserve"> (7%) experienced 1 ACE. 80% experienced multiple ACE</w:t>
      </w:r>
      <w:r w:rsidR="00623ABF" w:rsidRPr="00B12B3B">
        <w:rPr>
          <w:rFonts w:asciiTheme="minorHAnsi" w:hAnsiTheme="minorHAnsi" w:cstheme="minorHAnsi"/>
        </w:rPr>
        <w:t>,</w:t>
      </w:r>
      <w:r w:rsidR="009F634D" w:rsidRPr="00B12B3B">
        <w:rPr>
          <w:rFonts w:asciiTheme="minorHAnsi" w:hAnsiTheme="minorHAnsi" w:cstheme="minorHAnsi"/>
        </w:rPr>
        <w:t xml:space="preserve"> 60% experienced 3 or more ACE and the maximum number of ACE was 7. The average ACE score was 4</w:t>
      </w:r>
      <w:r w:rsidR="00806198" w:rsidRPr="00B12B3B">
        <w:rPr>
          <w:rFonts w:asciiTheme="minorHAnsi" w:hAnsiTheme="minorHAnsi" w:cstheme="minorHAnsi"/>
        </w:rPr>
        <w:t>.0</w:t>
      </w:r>
      <w:r w:rsidR="002226CB" w:rsidRPr="00B12B3B">
        <w:rPr>
          <w:rFonts w:asciiTheme="minorHAnsi" w:hAnsiTheme="minorHAnsi" w:cstheme="minorHAnsi"/>
        </w:rPr>
        <w:t xml:space="preserve"> </w:t>
      </w:r>
      <w:r w:rsidR="009F634D" w:rsidRPr="00B12B3B">
        <w:rPr>
          <w:rFonts w:asciiTheme="minorHAnsi" w:hAnsiTheme="minorHAnsi" w:cstheme="minorHAnsi"/>
        </w:rPr>
        <w:t>(SD</w:t>
      </w:r>
      <w:r w:rsidR="002226CB" w:rsidRPr="00B12B3B">
        <w:rPr>
          <w:rFonts w:asciiTheme="minorHAnsi" w:hAnsiTheme="minorHAnsi" w:cstheme="minorHAnsi"/>
        </w:rPr>
        <w:t>=</w:t>
      </w:r>
      <w:r w:rsidR="009F634D" w:rsidRPr="00B12B3B">
        <w:rPr>
          <w:rFonts w:asciiTheme="minorHAnsi" w:hAnsiTheme="minorHAnsi" w:cstheme="minorHAnsi"/>
        </w:rPr>
        <w:t>2.4)</w:t>
      </w:r>
      <w:r w:rsidR="009F495C" w:rsidRPr="00B12B3B">
        <w:rPr>
          <w:rFonts w:asciiTheme="minorHAnsi" w:hAnsiTheme="minorHAnsi" w:cstheme="minorHAnsi"/>
        </w:rPr>
        <w:t>.</w:t>
      </w:r>
      <w:r w:rsidR="009F634D" w:rsidRPr="00B12B3B">
        <w:rPr>
          <w:rFonts w:asciiTheme="minorHAnsi" w:hAnsiTheme="minorHAnsi" w:cstheme="minorHAnsi"/>
        </w:rPr>
        <w:t xml:space="preserve"> </w:t>
      </w:r>
      <w:r w:rsidR="007B6A62" w:rsidRPr="00B12B3B">
        <w:rPr>
          <w:rFonts w:asciiTheme="minorHAnsi" w:hAnsiTheme="minorHAnsi" w:cstheme="minorHAnsi"/>
        </w:rPr>
        <w:t xml:space="preserve">The scores on the </w:t>
      </w:r>
      <w:r w:rsidR="001D2172" w:rsidRPr="00B12B3B">
        <w:rPr>
          <w:rFonts w:asciiTheme="minorHAnsi" w:hAnsiTheme="minorHAnsi" w:cstheme="minorHAnsi"/>
        </w:rPr>
        <w:t xml:space="preserve">10 </w:t>
      </w:r>
      <w:r w:rsidR="007B6A62" w:rsidRPr="00B12B3B">
        <w:rPr>
          <w:rFonts w:asciiTheme="minorHAnsi" w:hAnsiTheme="minorHAnsi" w:cstheme="minorHAnsi"/>
        </w:rPr>
        <w:t xml:space="preserve">ACE domains indicated that </w:t>
      </w:r>
      <w:r w:rsidR="009F495C" w:rsidRPr="00B12B3B">
        <w:rPr>
          <w:rFonts w:asciiTheme="minorHAnsi" w:hAnsiTheme="minorHAnsi" w:cstheme="minorHAnsi"/>
        </w:rPr>
        <w:t>during childhood, one</w:t>
      </w:r>
      <w:r w:rsidR="007B6A62" w:rsidRPr="00B12B3B">
        <w:rPr>
          <w:rFonts w:asciiTheme="minorHAnsi" w:hAnsiTheme="minorHAnsi" w:cstheme="minorHAnsi"/>
        </w:rPr>
        <w:t xml:space="preserve"> person was married </w:t>
      </w:r>
      <w:r w:rsidR="009634FA" w:rsidRPr="00B12B3B">
        <w:rPr>
          <w:rFonts w:asciiTheme="minorHAnsi" w:hAnsiTheme="minorHAnsi" w:cstheme="minorHAnsi"/>
        </w:rPr>
        <w:t>without</w:t>
      </w:r>
      <w:r w:rsidR="007B6A62" w:rsidRPr="00B12B3B">
        <w:rPr>
          <w:rFonts w:asciiTheme="minorHAnsi" w:hAnsiTheme="minorHAnsi" w:cstheme="minorHAnsi"/>
        </w:rPr>
        <w:t xml:space="preserve"> her </w:t>
      </w:r>
      <w:r w:rsidR="009634FA" w:rsidRPr="00B12B3B">
        <w:rPr>
          <w:rFonts w:asciiTheme="minorHAnsi" w:hAnsiTheme="minorHAnsi" w:cstheme="minorHAnsi"/>
        </w:rPr>
        <w:t>consent</w:t>
      </w:r>
      <w:r w:rsidR="007B6A62" w:rsidRPr="00B12B3B">
        <w:rPr>
          <w:rFonts w:asciiTheme="minorHAnsi" w:hAnsiTheme="minorHAnsi" w:cstheme="minorHAnsi"/>
        </w:rPr>
        <w:t xml:space="preserve">; </w:t>
      </w:r>
      <w:r w:rsidR="009F495C" w:rsidRPr="00B12B3B">
        <w:rPr>
          <w:rFonts w:asciiTheme="minorHAnsi" w:hAnsiTheme="minorHAnsi" w:cstheme="minorHAnsi"/>
          <w:bCs/>
        </w:rPr>
        <w:t xml:space="preserve">three (20%) were a victim of childhood sexual abuse; </w:t>
      </w:r>
      <w:r w:rsidR="007B6A62" w:rsidRPr="00B12B3B">
        <w:rPr>
          <w:rFonts w:asciiTheme="minorHAnsi" w:hAnsiTheme="minorHAnsi" w:cstheme="minorHAnsi"/>
        </w:rPr>
        <w:t>eight patients (53%) reported parental neglect;</w:t>
      </w:r>
      <w:r w:rsidR="009F495C" w:rsidRPr="00B12B3B">
        <w:rPr>
          <w:rFonts w:asciiTheme="minorHAnsi" w:hAnsiTheme="minorHAnsi" w:cstheme="minorHAnsi"/>
        </w:rPr>
        <w:t xml:space="preserve"> </w:t>
      </w:r>
      <w:r w:rsidR="009F495C" w:rsidRPr="00B12B3B">
        <w:rPr>
          <w:rFonts w:asciiTheme="minorHAnsi" w:hAnsiTheme="minorHAnsi" w:cstheme="minorHAnsi"/>
          <w:bCs/>
        </w:rPr>
        <w:t>eight (53%) reported external violence such as being beaten up, 9</w:t>
      </w:r>
      <w:r w:rsidR="002226CB" w:rsidRPr="00B12B3B">
        <w:rPr>
          <w:rFonts w:asciiTheme="minorHAnsi" w:hAnsiTheme="minorHAnsi" w:cstheme="minorHAnsi"/>
          <w:bCs/>
        </w:rPr>
        <w:t xml:space="preserve"> </w:t>
      </w:r>
      <w:r w:rsidR="009F495C" w:rsidRPr="00B12B3B">
        <w:rPr>
          <w:rFonts w:asciiTheme="minorHAnsi" w:hAnsiTheme="minorHAnsi" w:cstheme="minorHAnsi"/>
          <w:bCs/>
        </w:rPr>
        <w:t xml:space="preserve">(60%) were a victim of domestic abuse; </w:t>
      </w:r>
      <w:r w:rsidR="007B6A62" w:rsidRPr="00B12B3B">
        <w:rPr>
          <w:rFonts w:asciiTheme="minorHAnsi" w:hAnsiTheme="minorHAnsi" w:cstheme="minorHAnsi"/>
        </w:rPr>
        <w:t xml:space="preserve"> </w:t>
      </w:r>
      <w:r w:rsidR="009634FA" w:rsidRPr="00B12B3B">
        <w:rPr>
          <w:rFonts w:asciiTheme="minorHAnsi" w:hAnsiTheme="minorHAnsi" w:cstheme="minorHAnsi"/>
        </w:rPr>
        <w:t>10</w:t>
      </w:r>
      <w:r w:rsidR="002226CB" w:rsidRPr="00B12B3B">
        <w:rPr>
          <w:rFonts w:asciiTheme="minorHAnsi" w:hAnsiTheme="minorHAnsi" w:cstheme="minorHAnsi"/>
        </w:rPr>
        <w:t xml:space="preserve"> </w:t>
      </w:r>
      <w:r w:rsidR="009634FA" w:rsidRPr="00B12B3B">
        <w:rPr>
          <w:rFonts w:asciiTheme="minorHAnsi" w:hAnsiTheme="minorHAnsi" w:cstheme="minorHAnsi"/>
        </w:rPr>
        <w:t xml:space="preserve">(67%) reported parental illness; </w:t>
      </w:r>
      <w:r w:rsidR="00D73D83" w:rsidRPr="00B12B3B">
        <w:rPr>
          <w:rFonts w:asciiTheme="minorHAnsi" w:hAnsiTheme="minorHAnsi" w:cstheme="minorHAnsi"/>
        </w:rPr>
        <w:t>10</w:t>
      </w:r>
      <w:r w:rsidR="002226CB" w:rsidRPr="00B12B3B">
        <w:rPr>
          <w:rFonts w:asciiTheme="minorHAnsi" w:hAnsiTheme="minorHAnsi" w:cstheme="minorHAnsi"/>
        </w:rPr>
        <w:t xml:space="preserve"> </w:t>
      </w:r>
      <w:r w:rsidR="00D73D83" w:rsidRPr="00B12B3B">
        <w:rPr>
          <w:rFonts w:asciiTheme="minorHAnsi" w:hAnsiTheme="minorHAnsi" w:cstheme="minorHAnsi"/>
        </w:rPr>
        <w:t>(67%)</w:t>
      </w:r>
      <w:r w:rsidR="007B6A62" w:rsidRPr="00B12B3B">
        <w:rPr>
          <w:rFonts w:asciiTheme="minorHAnsi" w:hAnsiTheme="minorHAnsi" w:cstheme="minorHAnsi"/>
          <w:bCs/>
        </w:rPr>
        <w:t xml:space="preserve"> witness</w:t>
      </w:r>
      <w:r w:rsidR="00D73D83" w:rsidRPr="00B12B3B">
        <w:rPr>
          <w:rFonts w:asciiTheme="minorHAnsi" w:hAnsiTheme="minorHAnsi" w:cstheme="minorHAnsi"/>
          <w:bCs/>
        </w:rPr>
        <w:t>ed</w:t>
      </w:r>
      <w:r w:rsidR="007B6A62" w:rsidRPr="00B12B3B">
        <w:rPr>
          <w:rFonts w:asciiTheme="minorHAnsi" w:hAnsiTheme="minorHAnsi" w:cstheme="minorHAnsi"/>
          <w:bCs/>
        </w:rPr>
        <w:t xml:space="preserve"> domestic abuse</w:t>
      </w:r>
      <w:r w:rsidR="00D73D83" w:rsidRPr="00B12B3B">
        <w:rPr>
          <w:rFonts w:asciiTheme="minorHAnsi" w:hAnsiTheme="minorHAnsi" w:cstheme="minorHAnsi"/>
          <w:bCs/>
        </w:rPr>
        <w:t xml:space="preserve">; </w:t>
      </w:r>
      <w:r w:rsidR="009F495C" w:rsidRPr="00B12B3B">
        <w:rPr>
          <w:rFonts w:asciiTheme="minorHAnsi" w:hAnsiTheme="minorHAnsi" w:cstheme="minorHAnsi"/>
          <w:bCs/>
        </w:rPr>
        <w:t>and 11</w:t>
      </w:r>
      <w:r w:rsidR="002226CB" w:rsidRPr="00B12B3B">
        <w:rPr>
          <w:rFonts w:asciiTheme="minorHAnsi" w:hAnsiTheme="minorHAnsi" w:cstheme="minorHAnsi"/>
          <w:bCs/>
        </w:rPr>
        <w:t xml:space="preserve"> </w:t>
      </w:r>
      <w:r w:rsidR="009F495C" w:rsidRPr="00B12B3B">
        <w:rPr>
          <w:rFonts w:asciiTheme="minorHAnsi" w:hAnsiTheme="minorHAnsi" w:cstheme="minorHAnsi"/>
          <w:bCs/>
        </w:rPr>
        <w:t xml:space="preserve">(73%) </w:t>
      </w:r>
      <w:r w:rsidR="007B6A62" w:rsidRPr="00B12B3B">
        <w:rPr>
          <w:rFonts w:asciiTheme="minorHAnsi" w:hAnsiTheme="minorHAnsi" w:cstheme="minorHAnsi"/>
          <w:bCs/>
        </w:rPr>
        <w:t>experienc</w:t>
      </w:r>
      <w:r w:rsidR="009F495C" w:rsidRPr="00B12B3B">
        <w:rPr>
          <w:rFonts w:asciiTheme="minorHAnsi" w:hAnsiTheme="minorHAnsi" w:cstheme="minorHAnsi"/>
          <w:bCs/>
        </w:rPr>
        <w:t>ed</w:t>
      </w:r>
      <w:r w:rsidR="007B6A62" w:rsidRPr="00B12B3B">
        <w:rPr>
          <w:rFonts w:asciiTheme="minorHAnsi" w:hAnsiTheme="minorHAnsi" w:cstheme="minorHAnsi"/>
          <w:bCs/>
        </w:rPr>
        <w:t xml:space="preserve"> bullying</w:t>
      </w:r>
      <w:r w:rsidR="009F495C" w:rsidRPr="00B12B3B">
        <w:rPr>
          <w:rFonts w:asciiTheme="minorHAnsi" w:hAnsiTheme="minorHAnsi" w:cstheme="minorHAnsi"/>
          <w:bCs/>
        </w:rPr>
        <w:t xml:space="preserve">. Nobody reported </w:t>
      </w:r>
      <w:r w:rsidR="007B6A62" w:rsidRPr="00B12B3B">
        <w:rPr>
          <w:rFonts w:asciiTheme="minorHAnsi" w:hAnsiTheme="minorHAnsi" w:cstheme="minorHAnsi"/>
          <w:bCs/>
        </w:rPr>
        <w:t>war experiences</w:t>
      </w:r>
      <w:r w:rsidR="009F495C" w:rsidRPr="00B12B3B">
        <w:rPr>
          <w:rFonts w:asciiTheme="minorHAnsi" w:hAnsiTheme="minorHAnsi" w:cstheme="minorHAnsi"/>
          <w:bCs/>
        </w:rPr>
        <w:t xml:space="preserve"> during childhood.</w:t>
      </w:r>
      <w:r w:rsidR="007B6A62" w:rsidRPr="00B12B3B">
        <w:rPr>
          <w:rFonts w:asciiTheme="minorHAnsi" w:hAnsiTheme="minorHAnsi" w:cstheme="minorHAnsi"/>
          <w:bCs/>
        </w:rPr>
        <w:t xml:space="preserve"> </w:t>
      </w:r>
    </w:p>
    <w:p w14:paraId="1A31428C" w14:textId="0CA85EE1" w:rsidR="00B61A00" w:rsidRPr="00B12B3B" w:rsidRDefault="00F00182" w:rsidP="000F4D09">
      <w:pPr>
        <w:autoSpaceDE w:val="0"/>
        <w:autoSpaceDN w:val="0"/>
        <w:adjustRightInd w:val="0"/>
        <w:spacing w:line="360" w:lineRule="auto"/>
        <w:jc w:val="both"/>
        <w:rPr>
          <w:rFonts w:asciiTheme="minorHAnsi" w:hAnsiTheme="minorHAnsi" w:cstheme="minorHAnsi"/>
        </w:rPr>
      </w:pPr>
      <w:r w:rsidRPr="00B12B3B">
        <w:rPr>
          <w:rFonts w:asciiTheme="minorHAnsi" w:hAnsiTheme="minorHAnsi" w:cstheme="minorHAnsi"/>
        </w:rPr>
        <w:t xml:space="preserve">Regarding </w:t>
      </w:r>
      <w:r w:rsidR="00A71C03" w:rsidRPr="00B12B3B">
        <w:rPr>
          <w:rFonts w:asciiTheme="minorHAnsi" w:hAnsiTheme="minorHAnsi" w:cstheme="minorHAnsi"/>
        </w:rPr>
        <w:t xml:space="preserve">current </w:t>
      </w:r>
      <w:r w:rsidRPr="00B12B3B">
        <w:rPr>
          <w:rFonts w:asciiTheme="minorHAnsi" w:hAnsiTheme="minorHAnsi" w:cstheme="minorHAnsi"/>
        </w:rPr>
        <w:t>stressful life events, t</w:t>
      </w:r>
      <w:r w:rsidR="00B61A00" w:rsidRPr="00B12B3B">
        <w:rPr>
          <w:rFonts w:asciiTheme="minorHAnsi" w:hAnsiTheme="minorHAnsi" w:cstheme="minorHAnsi"/>
        </w:rPr>
        <w:t>he average LCU score in the sample was 234</w:t>
      </w:r>
      <w:r w:rsidR="002226CB" w:rsidRPr="00B12B3B">
        <w:rPr>
          <w:rFonts w:asciiTheme="minorHAnsi" w:hAnsiTheme="minorHAnsi" w:cstheme="minorHAnsi"/>
        </w:rPr>
        <w:t xml:space="preserve"> </w:t>
      </w:r>
      <w:r w:rsidR="00B61A00" w:rsidRPr="00B12B3B">
        <w:rPr>
          <w:rFonts w:asciiTheme="minorHAnsi" w:hAnsiTheme="minorHAnsi" w:cstheme="minorHAnsi"/>
        </w:rPr>
        <w:t>(SD</w:t>
      </w:r>
      <w:r w:rsidR="002226CB" w:rsidRPr="00B12B3B">
        <w:rPr>
          <w:rFonts w:asciiTheme="minorHAnsi" w:hAnsiTheme="minorHAnsi" w:cstheme="minorHAnsi"/>
        </w:rPr>
        <w:t>=</w:t>
      </w:r>
      <w:r w:rsidR="00B61A00" w:rsidRPr="00B12B3B">
        <w:rPr>
          <w:rFonts w:asciiTheme="minorHAnsi" w:hAnsiTheme="minorHAnsi" w:cstheme="minorHAnsi"/>
        </w:rPr>
        <w:t>134). 27% of the pa</w:t>
      </w:r>
      <w:r w:rsidR="00D86281" w:rsidRPr="00B12B3B">
        <w:rPr>
          <w:rFonts w:asciiTheme="minorHAnsi" w:hAnsiTheme="minorHAnsi" w:cstheme="minorHAnsi"/>
        </w:rPr>
        <w:t>r</w:t>
      </w:r>
      <w:r w:rsidR="00B61A00" w:rsidRPr="00B12B3B">
        <w:rPr>
          <w:rFonts w:asciiTheme="minorHAnsi" w:hAnsiTheme="minorHAnsi" w:cstheme="minorHAnsi"/>
        </w:rPr>
        <w:t>ti</w:t>
      </w:r>
      <w:r w:rsidR="00D86281" w:rsidRPr="00B12B3B">
        <w:rPr>
          <w:rFonts w:asciiTheme="minorHAnsi" w:hAnsiTheme="minorHAnsi" w:cstheme="minorHAnsi"/>
        </w:rPr>
        <w:t>cipants</w:t>
      </w:r>
      <w:r w:rsidR="00B61A00" w:rsidRPr="00B12B3B">
        <w:rPr>
          <w:rFonts w:asciiTheme="minorHAnsi" w:hAnsiTheme="minorHAnsi" w:cstheme="minorHAnsi"/>
        </w:rPr>
        <w:t xml:space="preserve"> scored less than 150, 40% scored between 150–299 and 33% scored 300 or higher.</w:t>
      </w:r>
      <w:r w:rsidR="00AF66DC" w:rsidRPr="00B12B3B">
        <w:rPr>
          <w:rFonts w:asciiTheme="minorHAnsi" w:hAnsiTheme="minorHAnsi" w:cstheme="minorHAnsi"/>
        </w:rPr>
        <w:t xml:space="preserve"> These scores indicate very high stress levels requiring role adaptations in daily life to a great extent.</w:t>
      </w:r>
    </w:p>
    <w:p w14:paraId="26484C21" w14:textId="0069FCD3" w:rsidR="00C423B9" w:rsidRPr="00B12B3B" w:rsidRDefault="00A71C03" w:rsidP="000F4D09">
      <w:pPr>
        <w:spacing w:line="360" w:lineRule="auto"/>
        <w:jc w:val="both"/>
        <w:rPr>
          <w:rFonts w:asciiTheme="minorHAnsi" w:hAnsiTheme="minorHAnsi" w:cstheme="minorHAnsi"/>
          <w:b/>
        </w:rPr>
      </w:pPr>
      <w:r w:rsidRPr="00B12B3B">
        <w:rPr>
          <w:rFonts w:asciiTheme="minorHAnsi" w:hAnsiTheme="minorHAnsi" w:cstheme="minorHAnsi"/>
          <w:b/>
        </w:rPr>
        <w:t>3</w:t>
      </w:r>
      <w:r w:rsidR="00205115" w:rsidRPr="00B12B3B">
        <w:rPr>
          <w:rFonts w:asciiTheme="minorHAnsi" w:hAnsiTheme="minorHAnsi" w:cstheme="minorHAnsi"/>
          <w:b/>
        </w:rPr>
        <w:t>.</w:t>
      </w:r>
      <w:r w:rsidR="000D687C" w:rsidRPr="00B12B3B">
        <w:rPr>
          <w:rFonts w:asciiTheme="minorHAnsi" w:hAnsiTheme="minorHAnsi" w:cstheme="minorHAnsi"/>
          <w:b/>
        </w:rPr>
        <w:t>7</w:t>
      </w:r>
      <w:r w:rsidR="00205115" w:rsidRPr="00B12B3B">
        <w:rPr>
          <w:rFonts w:asciiTheme="minorHAnsi" w:hAnsiTheme="minorHAnsi" w:cstheme="minorHAnsi"/>
          <w:b/>
        </w:rPr>
        <w:tab/>
        <w:t>Neurocognitive functioning</w:t>
      </w:r>
    </w:p>
    <w:p w14:paraId="0465941F" w14:textId="2432B208" w:rsidR="003778FF" w:rsidRPr="00B12B3B" w:rsidRDefault="0044504D" w:rsidP="00BE123D">
      <w:pPr>
        <w:spacing w:line="360" w:lineRule="auto"/>
        <w:jc w:val="both"/>
        <w:rPr>
          <w:rFonts w:asciiTheme="minorHAnsi" w:hAnsiTheme="minorHAnsi" w:cstheme="minorHAnsi"/>
        </w:rPr>
      </w:pPr>
      <w:r w:rsidRPr="00B12B3B">
        <w:rPr>
          <w:rFonts w:asciiTheme="minorHAnsi" w:hAnsiTheme="minorHAnsi" w:cstheme="minorHAnsi"/>
        </w:rPr>
        <w:t xml:space="preserve">TOMM </w:t>
      </w:r>
      <w:r w:rsidR="00947B79" w:rsidRPr="00B12B3B">
        <w:rPr>
          <w:rFonts w:asciiTheme="minorHAnsi" w:hAnsiTheme="minorHAnsi" w:cstheme="minorHAnsi"/>
        </w:rPr>
        <w:t xml:space="preserve">Trial </w:t>
      </w:r>
      <w:r w:rsidRPr="00B12B3B">
        <w:rPr>
          <w:rFonts w:asciiTheme="minorHAnsi" w:hAnsiTheme="minorHAnsi" w:cstheme="minorHAnsi"/>
        </w:rPr>
        <w:t xml:space="preserve">1 test </w:t>
      </w:r>
      <w:r w:rsidR="002226CB" w:rsidRPr="00B12B3B">
        <w:rPr>
          <w:rFonts w:asciiTheme="minorHAnsi" w:hAnsiTheme="minorHAnsi" w:cstheme="minorHAnsi"/>
        </w:rPr>
        <w:t>m</w:t>
      </w:r>
      <w:r w:rsidRPr="00B12B3B">
        <w:rPr>
          <w:rFonts w:asciiTheme="minorHAnsi" w:hAnsiTheme="minorHAnsi" w:cstheme="minorHAnsi"/>
        </w:rPr>
        <w:t>ean score was 47.0</w:t>
      </w:r>
      <w:r w:rsidR="002226CB" w:rsidRPr="00B12B3B">
        <w:rPr>
          <w:rFonts w:asciiTheme="minorHAnsi" w:hAnsiTheme="minorHAnsi" w:cstheme="minorHAnsi"/>
        </w:rPr>
        <w:t xml:space="preserve"> </w:t>
      </w:r>
      <w:r w:rsidRPr="00B12B3B">
        <w:rPr>
          <w:rFonts w:asciiTheme="minorHAnsi" w:hAnsiTheme="minorHAnsi" w:cstheme="minorHAnsi"/>
        </w:rPr>
        <w:t>(S</w:t>
      </w:r>
      <w:r w:rsidR="00762A99" w:rsidRPr="00B12B3B">
        <w:rPr>
          <w:rFonts w:asciiTheme="minorHAnsi" w:hAnsiTheme="minorHAnsi" w:cstheme="minorHAnsi"/>
        </w:rPr>
        <w:t>D 2</w:t>
      </w:r>
      <w:r w:rsidRPr="00B12B3B">
        <w:rPr>
          <w:rFonts w:asciiTheme="minorHAnsi" w:hAnsiTheme="minorHAnsi" w:cstheme="minorHAnsi"/>
        </w:rPr>
        <w:t>.</w:t>
      </w:r>
      <w:r w:rsidR="00762A99" w:rsidRPr="00B12B3B">
        <w:rPr>
          <w:rFonts w:asciiTheme="minorHAnsi" w:hAnsiTheme="minorHAnsi" w:cstheme="minorHAnsi"/>
        </w:rPr>
        <w:t>4</w:t>
      </w:r>
      <w:r w:rsidRPr="00B12B3B">
        <w:rPr>
          <w:rFonts w:asciiTheme="minorHAnsi" w:hAnsiTheme="minorHAnsi" w:cstheme="minorHAnsi"/>
        </w:rPr>
        <w:t>)</w:t>
      </w:r>
      <w:r w:rsidR="002226CB" w:rsidRPr="00B12B3B">
        <w:rPr>
          <w:rFonts w:asciiTheme="minorHAnsi" w:hAnsiTheme="minorHAnsi" w:cstheme="minorHAnsi"/>
        </w:rPr>
        <w:t>,</w:t>
      </w:r>
      <w:r w:rsidRPr="00B12B3B">
        <w:rPr>
          <w:rFonts w:asciiTheme="minorHAnsi" w:hAnsiTheme="minorHAnsi" w:cstheme="minorHAnsi"/>
        </w:rPr>
        <w:t xml:space="preserve"> </w:t>
      </w:r>
      <w:r w:rsidR="002226CB" w:rsidRPr="00B12B3B">
        <w:rPr>
          <w:rFonts w:asciiTheme="minorHAnsi" w:hAnsiTheme="minorHAnsi" w:cstheme="minorHAnsi"/>
        </w:rPr>
        <w:t>m</w:t>
      </w:r>
      <w:r w:rsidRPr="00B12B3B">
        <w:rPr>
          <w:rFonts w:asciiTheme="minorHAnsi" w:hAnsiTheme="minorHAnsi" w:cstheme="minorHAnsi"/>
        </w:rPr>
        <w:t>edian</w:t>
      </w:r>
      <w:r w:rsidR="002226CB" w:rsidRPr="00B12B3B">
        <w:rPr>
          <w:rFonts w:asciiTheme="minorHAnsi" w:hAnsiTheme="minorHAnsi" w:cstheme="minorHAnsi"/>
        </w:rPr>
        <w:t xml:space="preserve"> =</w:t>
      </w:r>
      <w:r w:rsidRPr="00B12B3B">
        <w:rPr>
          <w:rFonts w:asciiTheme="minorHAnsi" w:hAnsiTheme="minorHAnsi" w:cstheme="minorHAnsi"/>
        </w:rPr>
        <w:t xml:space="preserve"> 46 (SD</w:t>
      </w:r>
      <w:r w:rsidR="000B6FA5" w:rsidRPr="00B12B3B">
        <w:rPr>
          <w:rFonts w:asciiTheme="minorHAnsi" w:hAnsiTheme="minorHAnsi" w:cstheme="minorHAnsi"/>
        </w:rPr>
        <w:t xml:space="preserve"> </w:t>
      </w:r>
      <w:r w:rsidRPr="00B12B3B">
        <w:rPr>
          <w:rFonts w:asciiTheme="minorHAnsi" w:hAnsiTheme="minorHAnsi" w:cstheme="minorHAnsi"/>
        </w:rPr>
        <w:t>2.</w:t>
      </w:r>
      <w:r w:rsidR="00762A99" w:rsidRPr="00B12B3B">
        <w:rPr>
          <w:rFonts w:asciiTheme="minorHAnsi" w:hAnsiTheme="minorHAnsi" w:cstheme="minorHAnsi"/>
        </w:rPr>
        <w:t>4</w:t>
      </w:r>
      <w:r w:rsidRPr="00B12B3B">
        <w:rPr>
          <w:rFonts w:asciiTheme="minorHAnsi" w:hAnsiTheme="minorHAnsi" w:cstheme="minorHAnsi"/>
        </w:rPr>
        <w:t>)</w:t>
      </w:r>
      <w:r w:rsidR="002226CB" w:rsidRPr="00B12B3B">
        <w:rPr>
          <w:rFonts w:asciiTheme="minorHAnsi" w:hAnsiTheme="minorHAnsi" w:cstheme="minorHAnsi"/>
        </w:rPr>
        <w:t>, r</w:t>
      </w:r>
      <w:r w:rsidRPr="00B12B3B">
        <w:rPr>
          <w:rFonts w:asciiTheme="minorHAnsi" w:hAnsiTheme="minorHAnsi" w:cstheme="minorHAnsi"/>
        </w:rPr>
        <w:t xml:space="preserve">ange </w:t>
      </w:r>
      <w:r w:rsidR="002226CB" w:rsidRPr="00B12B3B">
        <w:rPr>
          <w:rFonts w:asciiTheme="minorHAnsi" w:hAnsiTheme="minorHAnsi" w:cstheme="minorHAnsi"/>
        </w:rPr>
        <w:t xml:space="preserve">= </w:t>
      </w:r>
      <w:r w:rsidRPr="00B12B3B">
        <w:rPr>
          <w:rFonts w:asciiTheme="minorHAnsi" w:hAnsiTheme="minorHAnsi" w:cstheme="minorHAnsi"/>
        </w:rPr>
        <w:t xml:space="preserve">6 (44-50). TOMM Trial 2 test </w:t>
      </w:r>
      <w:r w:rsidR="002226CB" w:rsidRPr="00B12B3B">
        <w:rPr>
          <w:rFonts w:asciiTheme="minorHAnsi" w:hAnsiTheme="minorHAnsi" w:cstheme="minorHAnsi"/>
        </w:rPr>
        <w:t>m</w:t>
      </w:r>
      <w:r w:rsidRPr="00B12B3B">
        <w:rPr>
          <w:rFonts w:asciiTheme="minorHAnsi" w:hAnsiTheme="minorHAnsi" w:cstheme="minorHAnsi"/>
        </w:rPr>
        <w:t>ean score was 50.0</w:t>
      </w:r>
      <w:r w:rsidR="002226CB" w:rsidRPr="00B12B3B">
        <w:rPr>
          <w:rFonts w:asciiTheme="minorHAnsi" w:hAnsiTheme="minorHAnsi" w:cstheme="minorHAnsi"/>
        </w:rPr>
        <w:t xml:space="preserve"> </w:t>
      </w:r>
      <w:r w:rsidRPr="00B12B3B">
        <w:rPr>
          <w:rFonts w:asciiTheme="minorHAnsi" w:hAnsiTheme="minorHAnsi" w:cstheme="minorHAnsi"/>
        </w:rPr>
        <w:t>(S</w:t>
      </w:r>
      <w:r w:rsidR="00762A99" w:rsidRPr="00B12B3B">
        <w:rPr>
          <w:rFonts w:asciiTheme="minorHAnsi" w:hAnsiTheme="minorHAnsi" w:cstheme="minorHAnsi"/>
        </w:rPr>
        <w:t>D</w:t>
      </w:r>
      <w:r w:rsidRPr="00B12B3B">
        <w:rPr>
          <w:rFonts w:asciiTheme="minorHAnsi" w:hAnsiTheme="minorHAnsi" w:cstheme="minorHAnsi"/>
        </w:rPr>
        <w:t xml:space="preserve"> 0.0) </w:t>
      </w:r>
      <w:r w:rsidR="002226CB" w:rsidRPr="00B12B3B">
        <w:rPr>
          <w:rFonts w:asciiTheme="minorHAnsi" w:hAnsiTheme="minorHAnsi" w:cstheme="minorHAnsi"/>
        </w:rPr>
        <w:t>m</w:t>
      </w:r>
      <w:r w:rsidRPr="00B12B3B">
        <w:rPr>
          <w:rFonts w:asciiTheme="minorHAnsi" w:hAnsiTheme="minorHAnsi" w:cstheme="minorHAnsi"/>
        </w:rPr>
        <w:t>edian</w:t>
      </w:r>
      <w:r w:rsidR="002226CB" w:rsidRPr="00B12B3B">
        <w:rPr>
          <w:rFonts w:asciiTheme="minorHAnsi" w:hAnsiTheme="minorHAnsi" w:cstheme="minorHAnsi"/>
        </w:rPr>
        <w:t xml:space="preserve"> =</w:t>
      </w:r>
      <w:r w:rsidRPr="00B12B3B">
        <w:rPr>
          <w:rFonts w:asciiTheme="minorHAnsi" w:hAnsiTheme="minorHAnsi" w:cstheme="minorHAnsi"/>
        </w:rPr>
        <w:t xml:space="preserve"> 50 (SD</w:t>
      </w:r>
      <w:r w:rsidR="000B6FA5" w:rsidRPr="00B12B3B">
        <w:rPr>
          <w:rFonts w:asciiTheme="minorHAnsi" w:hAnsiTheme="minorHAnsi" w:cstheme="minorHAnsi"/>
        </w:rPr>
        <w:t xml:space="preserve"> </w:t>
      </w:r>
      <w:r w:rsidRPr="00B12B3B">
        <w:rPr>
          <w:rFonts w:asciiTheme="minorHAnsi" w:hAnsiTheme="minorHAnsi" w:cstheme="minorHAnsi"/>
        </w:rPr>
        <w:t>0.0)</w:t>
      </w:r>
      <w:r w:rsidR="002226CB" w:rsidRPr="00B12B3B">
        <w:rPr>
          <w:rFonts w:asciiTheme="minorHAnsi" w:hAnsiTheme="minorHAnsi" w:cstheme="minorHAnsi"/>
        </w:rPr>
        <w:t>, r</w:t>
      </w:r>
      <w:r w:rsidRPr="00B12B3B">
        <w:rPr>
          <w:rFonts w:asciiTheme="minorHAnsi" w:hAnsiTheme="minorHAnsi" w:cstheme="minorHAnsi"/>
        </w:rPr>
        <w:t xml:space="preserve">ange </w:t>
      </w:r>
      <w:r w:rsidR="002226CB" w:rsidRPr="00B12B3B">
        <w:rPr>
          <w:rFonts w:asciiTheme="minorHAnsi" w:hAnsiTheme="minorHAnsi" w:cstheme="minorHAnsi"/>
        </w:rPr>
        <w:t xml:space="preserve">= </w:t>
      </w:r>
      <w:r w:rsidRPr="00B12B3B">
        <w:rPr>
          <w:rFonts w:asciiTheme="minorHAnsi" w:hAnsiTheme="minorHAnsi" w:cstheme="minorHAnsi"/>
        </w:rPr>
        <w:t xml:space="preserve">0 (50). No malingering was suspected in any study </w:t>
      </w:r>
      <w:r w:rsidR="000C6762" w:rsidRPr="00B12B3B">
        <w:rPr>
          <w:rFonts w:asciiTheme="minorHAnsi" w:hAnsiTheme="minorHAnsi" w:cstheme="minorHAnsi"/>
        </w:rPr>
        <w:t>participant</w:t>
      </w:r>
      <w:r w:rsidRPr="00B12B3B">
        <w:rPr>
          <w:rFonts w:asciiTheme="minorHAnsi" w:hAnsiTheme="minorHAnsi" w:cstheme="minorHAnsi"/>
        </w:rPr>
        <w:t>.</w:t>
      </w:r>
      <w:r w:rsidR="00BE123D" w:rsidRPr="00B12B3B">
        <w:rPr>
          <w:rFonts w:asciiTheme="minorHAnsi" w:hAnsiTheme="minorHAnsi" w:cstheme="minorHAnsi"/>
        </w:rPr>
        <w:t xml:space="preserve"> </w:t>
      </w:r>
      <w:r w:rsidR="00516BFB" w:rsidRPr="00B12B3B">
        <w:rPr>
          <w:rFonts w:asciiTheme="minorHAnsi" w:hAnsiTheme="minorHAnsi" w:cstheme="minorHAnsi"/>
        </w:rPr>
        <w:t xml:space="preserve">Table </w:t>
      </w:r>
      <w:r w:rsidR="00817BF0" w:rsidRPr="00B12B3B">
        <w:rPr>
          <w:rFonts w:asciiTheme="minorHAnsi" w:hAnsiTheme="minorHAnsi" w:cstheme="minorHAnsi"/>
        </w:rPr>
        <w:t>3</w:t>
      </w:r>
      <w:r w:rsidR="002226CB" w:rsidRPr="00B12B3B">
        <w:rPr>
          <w:rFonts w:asciiTheme="minorHAnsi" w:hAnsiTheme="minorHAnsi" w:cstheme="minorHAnsi"/>
        </w:rPr>
        <w:t xml:space="preserve"> </w:t>
      </w:r>
      <w:r w:rsidR="00516BFB" w:rsidRPr="00B12B3B">
        <w:rPr>
          <w:rFonts w:asciiTheme="minorHAnsi" w:hAnsiTheme="minorHAnsi" w:cstheme="minorHAnsi"/>
        </w:rPr>
        <w:t xml:space="preserve">presents the </w:t>
      </w:r>
      <w:r w:rsidR="00900A8E" w:rsidRPr="00B12B3B">
        <w:rPr>
          <w:rFonts w:asciiTheme="minorHAnsi" w:hAnsiTheme="minorHAnsi" w:cstheme="minorHAnsi"/>
        </w:rPr>
        <w:t xml:space="preserve">neurocognitive </w:t>
      </w:r>
      <w:r w:rsidR="00516BFB" w:rsidRPr="00B12B3B">
        <w:rPr>
          <w:rFonts w:asciiTheme="minorHAnsi" w:hAnsiTheme="minorHAnsi" w:cstheme="minorHAnsi"/>
        </w:rPr>
        <w:t xml:space="preserve">tests </w:t>
      </w:r>
      <w:r w:rsidR="00A956F9" w:rsidRPr="00B12B3B">
        <w:rPr>
          <w:rFonts w:asciiTheme="minorHAnsi" w:hAnsiTheme="minorHAnsi" w:cstheme="minorHAnsi"/>
        </w:rPr>
        <w:t xml:space="preserve">with raw scores and </w:t>
      </w:r>
      <w:r w:rsidR="00C806DE" w:rsidRPr="00B12B3B">
        <w:rPr>
          <w:rFonts w:asciiTheme="minorHAnsi" w:hAnsiTheme="minorHAnsi" w:cstheme="minorHAnsi"/>
        </w:rPr>
        <w:t xml:space="preserve">corresponding norm-referenced </w:t>
      </w:r>
      <w:r w:rsidR="00A956F9" w:rsidRPr="00B12B3B">
        <w:rPr>
          <w:rFonts w:asciiTheme="minorHAnsi" w:hAnsiTheme="minorHAnsi" w:cstheme="minorHAnsi"/>
        </w:rPr>
        <w:t>scaled scores</w:t>
      </w:r>
      <w:r w:rsidR="00516BFB" w:rsidRPr="00B12B3B">
        <w:rPr>
          <w:rFonts w:asciiTheme="minorHAnsi" w:hAnsiTheme="minorHAnsi" w:cstheme="minorHAnsi"/>
        </w:rPr>
        <w:t xml:space="preserve">. </w:t>
      </w:r>
      <w:r w:rsidR="00C806DE" w:rsidRPr="00B12B3B">
        <w:rPr>
          <w:rFonts w:asciiTheme="minorHAnsi" w:hAnsiTheme="minorHAnsi" w:cstheme="minorHAnsi"/>
        </w:rPr>
        <w:t>All</w:t>
      </w:r>
      <w:r w:rsidR="00A956F9" w:rsidRPr="00B12B3B">
        <w:rPr>
          <w:rFonts w:asciiTheme="minorHAnsi" w:hAnsiTheme="minorHAnsi" w:cstheme="minorHAnsi"/>
        </w:rPr>
        <w:t xml:space="preserve"> </w:t>
      </w:r>
      <w:r w:rsidR="00516BFB" w:rsidRPr="00B12B3B">
        <w:rPr>
          <w:rFonts w:asciiTheme="minorHAnsi" w:hAnsiTheme="minorHAnsi" w:cstheme="minorHAnsi"/>
        </w:rPr>
        <w:t>s</w:t>
      </w:r>
      <w:r w:rsidR="00A956F9" w:rsidRPr="00B12B3B">
        <w:rPr>
          <w:rFonts w:asciiTheme="minorHAnsi" w:hAnsiTheme="minorHAnsi" w:cstheme="minorHAnsi"/>
        </w:rPr>
        <w:t>caled scor</w:t>
      </w:r>
      <w:r w:rsidR="00516BFB" w:rsidRPr="00B12B3B">
        <w:rPr>
          <w:rFonts w:asciiTheme="minorHAnsi" w:hAnsiTheme="minorHAnsi" w:cstheme="minorHAnsi"/>
        </w:rPr>
        <w:t>e</w:t>
      </w:r>
      <w:r w:rsidR="00A956F9" w:rsidRPr="00B12B3B">
        <w:rPr>
          <w:rFonts w:asciiTheme="minorHAnsi" w:hAnsiTheme="minorHAnsi" w:cstheme="minorHAnsi"/>
        </w:rPr>
        <w:t>s</w:t>
      </w:r>
      <w:r w:rsidR="00516BFB" w:rsidRPr="00B12B3B">
        <w:rPr>
          <w:rFonts w:asciiTheme="minorHAnsi" w:hAnsiTheme="minorHAnsi" w:cstheme="minorHAnsi"/>
        </w:rPr>
        <w:t xml:space="preserve"> </w:t>
      </w:r>
      <w:r w:rsidR="00C806DE" w:rsidRPr="00B12B3B">
        <w:rPr>
          <w:rFonts w:asciiTheme="minorHAnsi" w:hAnsiTheme="minorHAnsi" w:cstheme="minorHAnsi"/>
        </w:rPr>
        <w:t>have a</w:t>
      </w:r>
      <w:r w:rsidR="000C6762" w:rsidRPr="00B12B3B">
        <w:rPr>
          <w:rFonts w:asciiTheme="minorHAnsi" w:hAnsiTheme="minorHAnsi" w:cstheme="minorHAnsi"/>
        </w:rPr>
        <w:t xml:space="preserve"> normative</w:t>
      </w:r>
      <w:r w:rsidR="00C806DE" w:rsidRPr="00B12B3B">
        <w:rPr>
          <w:rFonts w:asciiTheme="minorHAnsi" w:hAnsiTheme="minorHAnsi" w:cstheme="minorHAnsi"/>
        </w:rPr>
        <w:t xml:space="preserve"> standardised p</w:t>
      </w:r>
      <w:r w:rsidR="00516BFB" w:rsidRPr="00B12B3B">
        <w:rPr>
          <w:rFonts w:asciiTheme="minorHAnsi" w:hAnsiTheme="minorHAnsi" w:cstheme="minorHAnsi"/>
        </w:rPr>
        <w:t xml:space="preserve">opulation mean </w:t>
      </w:r>
      <w:r w:rsidR="00C806DE" w:rsidRPr="00B12B3B">
        <w:rPr>
          <w:rFonts w:asciiTheme="minorHAnsi" w:hAnsiTheme="minorHAnsi" w:cstheme="minorHAnsi"/>
        </w:rPr>
        <w:t xml:space="preserve">of </w:t>
      </w:r>
      <w:r w:rsidR="00516BFB" w:rsidRPr="00B12B3B">
        <w:rPr>
          <w:rFonts w:asciiTheme="minorHAnsi" w:hAnsiTheme="minorHAnsi" w:cstheme="minorHAnsi"/>
        </w:rPr>
        <w:t>10 (SD</w:t>
      </w:r>
      <w:r w:rsidR="000B6FA5" w:rsidRPr="00B12B3B">
        <w:rPr>
          <w:rFonts w:asciiTheme="minorHAnsi" w:hAnsiTheme="minorHAnsi" w:cstheme="minorHAnsi"/>
        </w:rPr>
        <w:t xml:space="preserve"> </w:t>
      </w:r>
      <w:r w:rsidR="00516BFB" w:rsidRPr="00B12B3B">
        <w:rPr>
          <w:rFonts w:asciiTheme="minorHAnsi" w:hAnsiTheme="minorHAnsi" w:cstheme="minorHAnsi"/>
        </w:rPr>
        <w:t>3</w:t>
      </w:r>
      <w:r w:rsidR="000B6FA5" w:rsidRPr="00B12B3B">
        <w:rPr>
          <w:rFonts w:asciiTheme="minorHAnsi" w:hAnsiTheme="minorHAnsi" w:cstheme="minorHAnsi"/>
        </w:rPr>
        <w:t>.0</w:t>
      </w:r>
      <w:r w:rsidR="00516BFB" w:rsidRPr="00B12B3B">
        <w:rPr>
          <w:rFonts w:asciiTheme="minorHAnsi" w:hAnsiTheme="minorHAnsi" w:cstheme="minorHAnsi"/>
        </w:rPr>
        <w:t xml:space="preserve">). </w:t>
      </w:r>
      <w:r w:rsidR="00C806DE" w:rsidRPr="00B12B3B">
        <w:rPr>
          <w:rFonts w:asciiTheme="minorHAnsi" w:hAnsiTheme="minorHAnsi" w:cstheme="minorHAnsi"/>
        </w:rPr>
        <w:t xml:space="preserve">Scores </w:t>
      </w:r>
      <w:r w:rsidR="00516BFB" w:rsidRPr="00B12B3B">
        <w:rPr>
          <w:rFonts w:asciiTheme="minorHAnsi" w:hAnsiTheme="minorHAnsi" w:cstheme="minorHAnsi"/>
        </w:rPr>
        <w:t xml:space="preserve">below 7 would indicate a difference of &gt; 1 SD </w:t>
      </w:r>
      <w:r w:rsidR="00C806DE" w:rsidRPr="00B12B3B">
        <w:rPr>
          <w:rFonts w:asciiTheme="minorHAnsi" w:hAnsiTheme="minorHAnsi" w:cstheme="minorHAnsi"/>
        </w:rPr>
        <w:t>from</w:t>
      </w:r>
      <w:r w:rsidR="00516BFB" w:rsidRPr="00B12B3B">
        <w:rPr>
          <w:rFonts w:asciiTheme="minorHAnsi" w:hAnsiTheme="minorHAnsi" w:cstheme="minorHAnsi"/>
        </w:rPr>
        <w:t xml:space="preserve"> the population mean and </w:t>
      </w:r>
      <w:r w:rsidR="00C806DE" w:rsidRPr="00B12B3B">
        <w:rPr>
          <w:rFonts w:asciiTheme="minorHAnsi" w:hAnsiTheme="minorHAnsi" w:cstheme="minorHAnsi"/>
        </w:rPr>
        <w:t>are</w:t>
      </w:r>
      <w:r w:rsidR="00516BFB" w:rsidRPr="00B12B3B">
        <w:rPr>
          <w:rFonts w:asciiTheme="minorHAnsi" w:hAnsiTheme="minorHAnsi" w:cstheme="minorHAnsi"/>
        </w:rPr>
        <w:t xml:space="preserve"> interpreted as impaired</w:t>
      </w:r>
      <w:r w:rsidR="000C6762" w:rsidRPr="00B12B3B">
        <w:rPr>
          <w:rFonts w:asciiTheme="minorHAnsi" w:hAnsiTheme="minorHAnsi" w:cstheme="minorHAnsi"/>
        </w:rPr>
        <w:t xml:space="preserve"> for the purpose of this study</w:t>
      </w:r>
      <w:r w:rsidR="00516BFB" w:rsidRPr="00B12B3B">
        <w:rPr>
          <w:rFonts w:asciiTheme="minorHAnsi" w:hAnsiTheme="minorHAnsi" w:cstheme="minorHAnsi"/>
        </w:rPr>
        <w:t xml:space="preserve">. </w:t>
      </w:r>
      <w:r w:rsidR="00BE123D" w:rsidRPr="00B12B3B">
        <w:rPr>
          <w:rFonts w:asciiTheme="minorHAnsi" w:hAnsiTheme="minorHAnsi" w:cstheme="minorHAnsi"/>
        </w:rPr>
        <w:t xml:space="preserve"> </w:t>
      </w:r>
    </w:p>
    <w:p w14:paraId="23315304" w14:textId="0A245AFF" w:rsidR="0044504D" w:rsidRPr="00B12B3B" w:rsidRDefault="00BE123D" w:rsidP="00BE123D">
      <w:pPr>
        <w:spacing w:line="360" w:lineRule="auto"/>
        <w:jc w:val="both"/>
        <w:rPr>
          <w:rFonts w:asciiTheme="minorHAnsi" w:hAnsiTheme="minorHAnsi" w:cstheme="minorHAnsi"/>
        </w:rPr>
      </w:pPr>
      <w:r w:rsidRPr="00B12B3B">
        <w:rPr>
          <w:rFonts w:asciiTheme="minorHAnsi" w:hAnsiTheme="minorHAnsi" w:cstheme="minorHAnsi"/>
        </w:rPr>
        <w:lastRenderedPageBreak/>
        <w:t xml:space="preserve">– Insert Table </w:t>
      </w:r>
      <w:r w:rsidR="00075C43" w:rsidRPr="00B12B3B">
        <w:rPr>
          <w:rFonts w:asciiTheme="minorHAnsi" w:hAnsiTheme="minorHAnsi" w:cstheme="minorHAnsi"/>
        </w:rPr>
        <w:t>4</w:t>
      </w:r>
      <w:r w:rsidRPr="00B12B3B">
        <w:rPr>
          <w:rFonts w:asciiTheme="minorHAnsi" w:hAnsiTheme="minorHAnsi" w:cstheme="minorHAnsi"/>
        </w:rPr>
        <w:t xml:space="preserve"> </w:t>
      </w:r>
      <w:r w:rsidR="003778FF" w:rsidRPr="00B12B3B">
        <w:rPr>
          <w:rFonts w:asciiTheme="minorHAnsi" w:hAnsiTheme="minorHAnsi" w:cstheme="minorHAnsi"/>
        </w:rPr>
        <w:t>–</w:t>
      </w:r>
    </w:p>
    <w:p w14:paraId="1CC50C3B" w14:textId="4CC2EFB8" w:rsidR="000E08DE" w:rsidRPr="00B12B3B" w:rsidRDefault="000E08DE" w:rsidP="000E08DE">
      <w:pPr>
        <w:spacing w:line="360" w:lineRule="auto"/>
        <w:jc w:val="both"/>
        <w:rPr>
          <w:rFonts w:asciiTheme="minorHAnsi" w:hAnsiTheme="minorHAnsi" w:cstheme="minorHAnsi"/>
        </w:rPr>
      </w:pPr>
      <w:r w:rsidRPr="00B12B3B">
        <w:rPr>
          <w:rFonts w:asciiTheme="minorHAnsi" w:hAnsiTheme="minorHAnsi" w:cstheme="minorHAnsi"/>
        </w:rPr>
        <w:t xml:space="preserve">Average scores on the Colour Word Interference Test (a timed test of cognitive flexibility, inhibition and switching) indicated impairment across conditions. Impaired scores on Conditions 1 and 2, relative to the population norm, suggests slowed information processing overall. Impaired mean scores on Conditions 3 and 4 indicates that participants had difficulties with inhibition and switching in relation to visual attention but it is possible that this was subject to slowed information processing overall given evident impairment on Conditions 1 and 2.  </w:t>
      </w:r>
    </w:p>
    <w:p w14:paraId="0CAB1A0C" w14:textId="1B12F7AF" w:rsidR="000E08DE" w:rsidRPr="00B12B3B" w:rsidRDefault="000E08DE" w:rsidP="008579B3">
      <w:pPr>
        <w:spacing w:line="360" w:lineRule="auto"/>
        <w:jc w:val="both"/>
        <w:rPr>
          <w:rFonts w:asciiTheme="minorHAnsi" w:hAnsiTheme="minorHAnsi" w:cstheme="minorHAnsi"/>
        </w:rPr>
      </w:pPr>
      <w:r w:rsidRPr="00B12B3B">
        <w:rPr>
          <w:rFonts w:asciiTheme="minorHAnsi" w:hAnsiTheme="minorHAnsi" w:cstheme="minorHAnsi"/>
        </w:rPr>
        <w:t>TMT visual scanning mean scores appeared impaired whereas number sequencing and letter sequencing were normal. The number letter switching condition is a key test of executive functioning, and mean scores here appeared impaired. However, this might be subject to impaired motor speed (Condition 5).</w:t>
      </w:r>
    </w:p>
    <w:p w14:paraId="00B01A9E" w14:textId="77777777" w:rsidR="000E08DE" w:rsidRPr="00B12B3B" w:rsidRDefault="000E08DE" w:rsidP="008579B3">
      <w:pPr>
        <w:spacing w:line="360" w:lineRule="auto"/>
        <w:jc w:val="both"/>
        <w:rPr>
          <w:rFonts w:asciiTheme="minorHAnsi" w:hAnsiTheme="minorHAnsi" w:cstheme="minorHAnsi"/>
        </w:rPr>
      </w:pPr>
      <w:r w:rsidRPr="00B12B3B">
        <w:rPr>
          <w:rFonts w:asciiTheme="minorHAnsi" w:hAnsiTheme="minorHAnsi" w:cstheme="minorHAnsi"/>
        </w:rPr>
        <w:t xml:space="preserve">Scores on the WAIS digit symbol substitution test mean scores appeared to be in the normal range overall but some individuals showed impairment. </w:t>
      </w:r>
    </w:p>
    <w:p w14:paraId="7499CFD7" w14:textId="565D6716" w:rsidR="000E08DE" w:rsidRPr="00B12B3B" w:rsidRDefault="000E08DE" w:rsidP="000E08DE">
      <w:pPr>
        <w:spacing w:line="360" w:lineRule="auto"/>
        <w:jc w:val="both"/>
        <w:rPr>
          <w:rFonts w:asciiTheme="minorHAnsi" w:hAnsiTheme="minorHAnsi" w:cstheme="minorHAnsi"/>
        </w:rPr>
      </w:pPr>
      <w:r w:rsidRPr="00B12B3B">
        <w:rPr>
          <w:rFonts w:asciiTheme="minorHAnsi" w:hAnsiTheme="minorHAnsi" w:cstheme="minorHAnsi"/>
        </w:rPr>
        <w:t>Total scores on the WAIS Digit Span Score appeared normal and there were no anomalous disparities between digits forwards and backwards conditions</w:t>
      </w:r>
      <w:r w:rsidR="00817BF0" w:rsidRPr="00B12B3B">
        <w:rPr>
          <w:rFonts w:asciiTheme="minorHAnsi" w:hAnsiTheme="minorHAnsi" w:cstheme="minorHAnsi"/>
        </w:rPr>
        <w:t>,</w:t>
      </w:r>
      <w:r w:rsidRPr="00B12B3B">
        <w:rPr>
          <w:rFonts w:asciiTheme="minorHAnsi" w:hAnsiTheme="minorHAnsi" w:cstheme="minorHAnsi"/>
        </w:rPr>
        <w:t xml:space="preserve"> indicating effort was not impaired overall. </w:t>
      </w:r>
    </w:p>
    <w:p w14:paraId="4BC7731A" w14:textId="77777777" w:rsidR="000E08DE" w:rsidRPr="00B12B3B" w:rsidRDefault="000E08DE" w:rsidP="000E08DE">
      <w:pPr>
        <w:spacing w:line="360" w:lineRule="auto"/>
        <w:jc w:val="both"/>
        <w:rPr>
          <w:rFonts w:asciiTheme="minorHAnsi" w:hAnsiTheme="minorHAnsi" w:cstheme="minorHAnsi"/>
        </w:rPr>
      </w:pPr>
      <w:r w:rsidRPr="00B12B3B">
        <w:rPr>
          <w:rFonts w:asciiTheme="minorHAnsi" w:hAnsiTheme="minorHAnsi" w:cstheme="minorHAnsi"/>
        </w:rPr>
        <w:t>Scores on the Tower of London Test (a measure of executive functioning in terms of visual memory and problem solving and rule following) were in the normal range; some participants performed particularly well on this test (scaled scores ranged from 9-16).</w:t>
      </w:r>
    </w:p>
    <w:p w14:paraId="10F1A4BD" w14:textId="37305E2A" w:rsidR="00262CE7" w:rsidRPr="00B12B3B" w:rsidRDefault="00817BF0" w:rsidP="000F4D09">
      <w:pPr>
        <w:spacing w:line="360" w:lineRule="auto"/>
        <w:jc w:val="both"/>
        <w:rPr>
          <w:rFonts w:asciiTheme="minorHAnsi" w:hAnsiTheme="minorHAnsi" w:cstheme="minorHAnsi"/>
          <w:b/>
          <w:bCs/>
        </w:rPr>
      </w:pPr>
      <w:r w:rsidRPr="00B12B3B">
        <w:rPr>
          <w:rFonts w:asciiTheme="minorHAnsi" w:hAnsiTheme="minorHAnsi" w:cstheme="minorHAnsi"/>
          <w:b/>
          <w:bCs/>
        </w:rPr>
        <w:t>3</w:t>
      </w:r>
      <w:r w:rsidR="00CD5772" w:rsidRPr="00B12B3B">
        <w:rPr>
          <w:rFonts w:asciiTheme="minorHAnsi" w:hAnsiTheme="minorHAnsi" w:cstheme="minorHAnsi"/>
          <w:b/>
          <w:bCs/>
        </w:rPr>
        <w:t>.</w:t>
      </w:r>
      <w:r w:rsidR="000D687C" w:rsidRPr="00B12B3B">
        <w:rPr>
          <w:rFonts w:asciiTheme="minorHAnsi" w:hAnsiTheme="minorHAnsi" w:cstheme="minorHAnsi"/>
          <w:b/>
          <w:bCs/>
        </w:rPr>
        <w:t>8</w:t>
      </w:r>
      <w:r w:rsidR="00DF6BB6" w:rsidRPr="00B12B3B">
        <w:rPr>
          <w:rFonts w:asciiTheme="minorHAnsi" w:hAnsiTheme="minorHAnsi" w:cstheme="minorHAnsi"/>
          <w:b/>
          <w:bCs/>
        </w:rPr>
        <w:tab/>
      </w:r>
      <w:r w:rsidR="00262CE7" w:rsidRPr="00B12B3B">
        <w:rPr>
          <w:rFonts w:asciiTheme="minorHAnsi" w:hAnsiTheme="minorHAnsi" w:cstheme="minorHAnsi"/>
          <w:b/>
          <w:bCs/>
        </w:rPr>
        <w:t>Biomarkers</w:t>
      </w:r>
    </w:p>
    <w:p w14:paraId="559931FF" w14:textId="690DA73D" w:rsidR="001C4CCB" w:rsidRPr="00B12B3B" w:rsidRDefault="001C4CCB" w:rsidP="000F4D09">
      <w:pPr>
        <w:spacing w:line="360" w:lineRule="auto"/>
        <w:jc w:val="both"/>
        <w:rPr>
          <w:rFonts w:asciiTheme="minorHAnsi" w:hAnsiTheme="minorHAnsi" w:cstheme="minorHAnsi"/>
          <w:b/>
          <w:bCs/>
        </w:rPr>
      </w:pPr>
      <w:r w:rsidRPr="00B12B3B">
        <w:rPr>
          <w:rFonts w:asciiTheme="minorHAnsi" w:hAnsiTheme="minorHAnsi" w:cstheme="minorHAnsi"/>
          <w:b/>
          <w:bCs/>
        </w:rPr>
        <w:t>3.8.1</w:t>
      </w:r>
      <w:r w:rsidRPr="00B12B3B">
        <w:rPr>
          <w:rFonts w:asciiTheme="minorHAnsi" w:hAnsiTheme="minorHAnsi" w:cstheme="minorHAnsi"/>
          <w:b/>
          <w:bCs/>
        </w:rPr>
        <w:tab/>
      </w:r>
      <w:proofErr w:type="spellStart"/>
      <w:r w:rsidRPr="00B12B3B">
        <w:rPr>
          <w:rFonts w:asciiTheme="minorHAnsi" w:hAnsiTheme="minorHAnsi" w:cstheme="minorHAnsi"/>
          <w:b/>
          <w:bCs/>
        </w:rPr>
        <w:t>Clinimetric</w:t>
      </w:r>
      <w:proofErr w:type="spellEnd"/>
      <w:r w:rsidRPr="00B12B3B">
        <w:rPr>
          <w:rFonts w:asciiTheme="minorHAnsi" w:hAnsiTheme="minorHAnsi" w:cstheme="minorHAnsi"/>
          <w:b/>
          <w:bCs/>
        </w:rPr>
        <w:t xml:space="preserve"> measures</w:t>
      </w:r>
    </w:p>
    <w:p w14:paraId="1B63898F" w14:textId="6AD889BF" w:rsidR="001863B3" w:rsidRPr="00B12B3B" w:rsidRDefault="00A12A7B" w:rsidP="001C13EA">
      <w:pPr>
        <w:spacing w:line="360" w:lineRule="auto"/>
        <w:jc w:val="both"/>
        <w:rPr>
          <w:rFonts w:asciiTheme="minorHAnsi" w:hAnsiTheme="minorHAnsi" w:cstheme="minorHAnsi"/>
          <w:bCs/>
        </w:rPr>
      </w:pPr>
      <w:bookmarkStart w:id="12" w:name="_Hlk64219071"/>
      <w:r w:rsidRPr="00B12B3B">
        <w:rPr>
          <w:rFonts w:asciiTheme="minorHAnsi" w:hAnsiTheme="minorHAnsi" w:cstheme="minorHAnsi"/>
          <w:bCs/>
        </w:rPr>
        <w:t xml:space="preserve">These measures and the number of patients that could be assessed are shown in Table 2. </w:t>
      </w:r>
    </w:p>
    <w:bookmarkEnd w:id="12"/>
    <w:p w14:paraId="6081A27F" w14:textId="503F1486" w:rsidR="001C4CCB" w:rsidRPr="00B12B3B" w:rsidRDefault="001C4CCB" w:rsidP="001C13EA">
      <w:pPr>
        <w:spacing w:line="360" w:lineRule="auto"/>
        <w:jc w:val="both"/>
        <w:rPr>
          <w:rFonts w:asciiTheme="minorHAnsi" w:hAnsiTheme="minorHAnsi" w:cstheme="minorHAnsi"/>
          <w:b/>
        </w:rPr>
      </w:pPr>
      <w:r w:rsidRPr="00B12B3B">
        <w:rPr>
          <w:rFonts w:asciiTheme="minorHAnsi" w:hAnsiTheme="minorHAnsi" w:cstheme="minorHAnsi"/>
          <w:b/>
        </w:rPr>
        <w:t>3.8.2</w:t>
      </w:r>
      <w:r w:rsidRPr="00B12B3B">
        <w:rPr>
          <w:rFonts w:asciiTheme="minorHAnsi" w:hAnsiTheme="minorHAnsi" w:cstheme="minorHAnsi"/>
          <w:b/>
        </w:rPr>
        <w:tab/>
        <w:t>Cytokines and hsCRP</w:t>
      </w:r>
    </w:p>
    <w:p w14:paraId="78F6C524" w14:textId="7D6B8029" w:rsidR="003778FF" w:rsidRPr="00B12B3B" w:rsidRDefault="00383B0F" w:rsidP="00817BF0">
      <w:pPr>
        <w:spacing w:line="360" w:lineRule="auto"/>
        <w:jc w:val="both"/>
        <w:rPr>
          <w:rFonts w:asciiTheme="minorHAnsi" w:hAnsiTheme="minorHAnsi" w:cstheme="minorHAnsi"/>
          <w:bCs/>
        </w:rPr>
      </w:pPr>
      <w:r w:rsidRPr="00B12B3B">
        <w:rPr>
          <w:rFonts w:asciiTheme="minorHAnsi" w:hAnsiTheme="minorHAnsi" w:cstheme="minorHAnsi"/>
          <w:bCs/>
        </w:rPr>
        <w:t>Table</w:t>
      </w:r>
      <w:r w:rsidR="00817BF0" w:rsidRPr="00B12B3B">
        <w:rPr>
          <w:rFonts w:asciiTheme="minorHAnsi" w:hAnsiTheme="minorHAnsi" w:cstheme="minorHAnsi"/>
          <w:bCs/>
        </w:rPr>
        <w:t xml:space="preserve"> </w:t>
      </w:r>
      <w:r w:rsidR="00075C43" w:rsidRPr="00B12B3B">
        <w:rPr>
          <w:rFonts w:asciiTheme="minorHAnsi" w:hAnsiTheme="minorHAnsi" w:cstheme="minorHAnsi"/>
          <w:bCs/>
        </w:rPr>
        <w:t>5</w:t>
      </w:r>
      <w:r w:rsidRPr="00B12B3B">
        <w:rPr>
          <w:rFonts w:asciiTheme="minorHAnsi" w:hAnsiTheme="minorHAnsi" w:cstheme="minorHAnsi"/>
          <w:bCs/>
        </w:rPr>
        <w:t xml:space="preserve"> shows the cytokine scores</w:t>
      </w:r>
      <w:r w:rsidR="00F67E41" w:rsidRPr="00B12B3B">
        <w:rPr>
          <w:rFonts w:asciiTheme="minorHAnsi" w:hAnsiTheme="minorHAnsi" w:cstheme="minorHAnsi"/>
          <w:bCs/>
        </w:rPr>
        <w:t xml:space="preserve"> </w:t>
      </w:r>
      <w:r w:rsidR="00817BF0" w:rsidRPr="00B12B3B">
        <w:rPr>
          <w:rFonts w:asciiTheme="minorHAnsi" w:hAnsiTheme="minorHAnsi" w:cstheme="minorHAnsi"/>
          <w:bCs/>
        </w:rPr>
        <w:t xml:space="preserve">compared with the normal sample </w:t>
      </w:r>
      <w:r w:rsidR="00F67E41" w:rsidRPr="00B12B3B">
        <w:rPr>
          <w:rFonts w:asciiTheme="minorHAnsi" w:hAnsiTheme="minorHAnsi" w:cstheme="minorHAnsi"/>
          <w:bCs/>
        </w:rPr>
        <w:t>for the s</w:t>
      </w:r>
      <w:r w:rsidR="0042678F" w:rsidRPr="00B12B3B">
        <w:rPr>
          <w:rFonts w:asciiTheme="minorHAnsi" w:hAnsiTheme="minorHAnsi" w:cstheme="minorHAnsi"/>
          <w:bCs/>
        </w:rPr>
        <w:t>tudy sample</w:t>
      </w:r>
      <w:r w:rsidR="008623C8" w:rsidRPr="00B12B3B">
        <w:rPr>
          <w:rFonts w:asciiTheme="minorHAnsi" w:hAnsiTheme="minorHAnsi" w:cstheme="minorHAnsi"/>
          <w:bCs/>
        </w:rPr>
        <w:t xml:space="preserve"> </w:t>
      </w:r>
      <w:r w:rsidR="007F4E03" w:rsidRPr="00B12B3B">
        <w:rPr>
          <w:rFonts w:asciiTheme="minorHAnsi" w:hAnsiTheme="minorHAnsi" w:cstheme="minorHAnsi"/>
          <w:bCs/>
        </w:rPr>
        <w:t>(N = 1</w:t>
      </w:r>
      <w:r w:rsidR="00DA5FFF" w:rsidRPr="00B12B3B">
        <w:rPr>
          <w:rFonts w:asciiTheme="minorHAnsi" w:hAnsiTheme="minorHAnsi" w:cstheme="minorHAnsi"/>
          <w:bCs/>
        </w:rPr>
        <w:t>4</w:t>
      </w:r>
      <w:r w:rsidR="007F4E03" w:rsidRPr="00B12B3B">
        <w:rPr>
          <w:rFonts w:asciiTheme="minorHAnsi" w:hAnsiTheme="minorHAnsi" w:cstheme="minorHAnsi"/>
          <w:bCs/>
        </w:rPr>
        <w:t>)</w:t>
      </w:r>
      <w:r w:rsidR="00817BF0" w:rsidRPr="00B12B3B">
        <w:rPr>
          <w:rFonts w:asciiTheme="minorHAnsi" w:hAnsiTheme="minorHAnsi" w:cstheme="minorHAnsi"/>
          <w:bCs/>
        </w:rPr>
        <w:t xml:space="preserve"> compared with cut-off score. </w:t>
      </w:r>
    </w:p>
    <w:p w14:paraId="50FB8E35" w14:textId="20E8D08E" w:rsidR="003778FF" w:rsidRPr="00B12B3B" w:rsidRDefault="003778FF" w:rsidP="003778FF">
      <w:pPr>
        <w:pStyle w:val="Lijstalinea"/>
        <w:numPr>
          <w:ilvl w:val="0"/>
          <w:numId w:val="25"/>
        </w:numPr>
        <w:spacing w:line="360" w:lineRule="auto"/>
        <w:jc w:val="both"/>
        <w:rPr>
          <w:rFonts w:asciiTheme="minorHAnsi" w:hAnsiTheme="minorHAnsi" w:cstheme="minorHAnsi"/>
          <w:bCs/>
        </w:rPr>
      </w:pPr>
      <w:r w:rsidRPr="00B12B3B">
        <w:rPr>
          <w:rFonts w:asciiTheme="minorHAnsi" w:hAnsiTheme="minorHAnsi" w:cstheme="minorHAnsi"/>
          <w:bCs/>
        </w:rPr>
        <w:t xml:space="preserve">Insert Table </w:t>
      </w:r>
      <w:r w:rsidR="00075C43" w:rsidRPr="00B12B3B">
        <w:rPr>
          <w:rFonts w:asciiTheme="minorHAnsi" w:hAnsiTheme="minorHAnsi" w:cstheme="minorHAnsi"/>
          <w:bCs/>
        </w:rPr>
        <w:t>5</w:t>
      </w:r>
      <w:r w:rsidRPr="00B12B3B">
        <w:rPr>
          <w:rFonts w:asciiTheme="minorHAnsi" w:hAnsiTheme="minorHAnsi" w:cstheme="minorHAnsi"/>
          <w:bCs/>
        </w:rPr>
        <w:t xml:space="preserve"> -</w:t>
      </w:r>
    </w:p>
    <w:p w14:paraId="38EA9D79" w14:textId="0A8FD92A" w:rsidR="008E7E6F" w:rsidRPr="00B12B3B" w:rsidRDefault="00817BF0" w:rsidP="008E7E6F">
      <w:pPr>
        <w:spacing w:line="360" w:lineRule="auto"/>
        <w:jc w:val="both"/>
        <w:rPr>
          <w:rFonts w:asciiTheme="minorHAnsi" w:hAnsiTheme="minorHAnsi" w:cstheme="minorHAnsi"/>
          <w:bCs/>
        </w:rPr>
      </w:pPr>
      <w:r w:rsidRPr="00B12B3B">
        <w:rPr>
          <w:rFonts w:asciiTheme="minorHAnsi" w:hAnsiTheme="minorHAnsi" w:cstheme="minorHAnsi"/>
          <w:bCs/>
        </w:rPr>
        <w:t>Based upon this, for IL1B</w:t>
      </w:r>
      <w:r w:rsidR="008E7E6F" w:rsidRPr="00B12B3B">
        <w:rPr>
          <w:rFonts w:asciiTheme="minorHAnsi" w:hAnsiTheme="minorHAnsi" w:cstheme="minorHAnsi"/>
          <w:bCs/>
        </w:rPr>
        <w:t>,</w:t>
      </w:r>
      <w:r w:rsidRPr="00B12B3B">
        <w:rPr>
          <w:rFonts w:asciiTheme="minorHAnsi" w:hAnsiTheme="minorHAnsi" w:cstheme="minorHAnsi"/>
          <w:bCs/>
        </w:rPr>
        <w:t xml:space="preserve"> 13(9</w:t>
      </w:r>
      <w:r w:rsidR="00762A99" w:rsidRPr="00B12B3B">
        <w:rPr>
          <w:rFonts w:asciiTheme="minorHAnsi" w:hAnsiTheme="minorHAnsi" w:cstheme="minorHAnsi"/>
          <w:bCs/>
        </w:rPr>
        <w:t>3</w:t>
      </w:r>
      <w:r w:rsidRPr="00B12B3B">
        <w:rPr>
          <w:rFonts w:asciiTheme="minorHAnsi" w:hAnsiTheme="minorHAnsi" w:cstheme="minorHAnsi"/>
          <w:bCs/>
        </w:rPr>
        <w:t xml:space="preserve">%) was normal, 1(7%) was elevated. </w:t>
      </w:r>
      <w:r w:rsidR="008E7E6F" w:rsidRPr="00B12B3B">
        <w:rPr>
          <w:rFonts w:asciiTheme="minorHAnsi" w:hAnsiTheme="minorHAnsi" w:cstheme="minorHAnsi"/>
          <w:bCs/>
        </w:rPr>
        <w:t>The median score of IL1B in this sample did not differ significantly from the median in the normal sample (p=</w:t>
      </w:r>
      <w:r w:rsidR="00762A99" w:rsidRPr="00B12B3B">
        <w:rPr>
          <w:rFonts w:asciiTheme="minorHAnsi" w:hAnsiTheme="minorHAnsi" w:cstheme="minorHAnsi"/>
          <w:bCs/>
        </w:rPr>
        <w:t>0</w:t>
      </w:r>
      <w:r w:rsidR="008E7E6F" w:rsidRPr="00B12B3B">
        <w:rPr>
          <w:rFonts w:asciiTheme="minorHAnsi" w:hAnsiTheme="minorHAnsi" w:cstheme="minorHAnsi"/>
          <w:bCs/>
        </w:rPr>
        <w:t xml:space="preserve">.317). </w:t>
      </w:r>
    </w:p>
    <w:p w14:paraId="4643B405" w14:textId="2A4DE96D" w:rsidR="00817BF0" w:rsidRPr="00B12B3B" w:rsidRDefault="00817BF0" w:rsidP="00817BF0">
      <w:pPr>
        <w:spacing w:line="360" w:lineRule="auto"/>
        <w:jc w:val="both"/>
        <w:rPr>
          <w:rFonts w:asciiTheme="minorHAnsi" w:hAnsiTheme="minorHAnsi" w:cstheme="minorHAnsi"/>
          <w:bCs/>
        </w:rPr>
      </w:pPr>
      <w:r w:rsidRPr="00B12B3B">
        <w:rPr>
          <w:rFonts w:asciiTheme="minorHAnsi" w:hAnsiTheme="minorHAnsi" w:cstheme="minorHAnsi"/>
          <w:bCs/>
        </w:rPr>
        <w:t xml:space="preserve">Scores were elevated (100%) compared to the median from the normal sample and a </w:t>
      </w:r>
      <w:r w:rsidRPr="00B12B3B">
        <w:rPr>
          <w:rFonts w:asciiTheme="minorHAnsi" w:hAnsiTheme="minorHAnsi" w:cstheme="minorHAnsi"/>
          <w:color w:val="010205"/>
        </w:rPr>
        <w:t>Wilcoxon Signed Rank Test</w:t>
      </w:r>
      <w:r w:rsidRPr="00B12B3B">
        <w:rPr>
          <w:rFonts w:ascii="Arial" w:hAnsi="Arial" w:cs="Arial"/>
          <w:b/>
          <w:bCs/>
          <w:color w:val="010205"/>
        </w:rPr>
        <w:t xml:space="preserve"> </w:t>
      </w:r>
      <w:r w:rsidRPr="00B12B3B">
        <w:rPr>
          <w:rFonts w:asciiTheme="minorHAnsi" w:hAnsiTheme="minorHAnsi" w:cstheme="minorHAnsi"/>
          <w:color w:val="010205"/>
        </w:rPr>
        <w:t>showed</w:t>
      </w:r>
      <w:r w:rsidRPr="00B12B3B">
        <w:rPr>
          <w:rFonts w:asciiTheme="minorHAnsi" w:hAnsiTheme="minorHAnsi" w:cstheme="minorHAnsi"/>
          <w:bCs/>
        </w:rPr>
        <w:t xml:space="preserve"> that this was significant</w:t>
      </w:r>
      <w:r w:rsidR="00A74E6E" w:rsidRPr="00B12B3B">
        <w:rPr>
          <w:rFonts w:asciiTheme="minorHAnsi" w:hAnsiTheme="minorHAnsi" w:cstheme="minorHAnsi"/>
          <w:bCs/>
        </w:rPr>
        <w:t xml:space="preserve"> </w:t>
      </w:r>
      <w:r w:rsidR="008E7E6F" w:rsidRPr="00B12B3B">
        <w:rPr>
          <w:rFonts w:asciiTheme="minorHAnsi" w:hAnsiTheme="minorHAnsi" w:cstheme="minorHAnsi"/>
          <w:bCs/>
        </w:rPr>
        <w:t>(p=</w:t>
      </w:r>
      <w:r w:rsidR="00762A99" w:rsidRPr="00B12B3B">
        <w:rPr>
          <w:rFonts w:asciiTheme="minorHAnsi" w:hAnsiTheme="minorHAnsi" w:cstheme="minorHAnsi"/>
          <w:bCs/>
        </w:rPr>
        <w:t>0</w:t>
      </w:r>
      <w:r w:rsidR="008E7E6F" w:rsidRPr="00B12B3B">
        <w:rPr>
          <w:rFonts w:asciiTheme="minorHAnsi" w:hAnsiTheme="minorHAnsi" w:cstheme="minorHAnsi"/>
          <w:bCs/>
        </w:rPr>
        <w:t>.001)</w:t>
      </w:r>
      <w:r w:rsidRPr="00B12B3B">
        <w:rPr>
          <w:rFonts w:asciiTheme="minorHAnsi" w:hAnsiTheme="minorHAnsi" w:cstheme="minorHAnsi"/>
          <w:bCs/>
        </w:rPr>
        <w:t xml:space="preserve"> for IL-6, </w:t>
      </w:r>
      <w:proofErr w:type="spellStart"/>
      <w:r w:rsidRPr="00B12B3B">
        <w:rPr>
          <w:rFonts w:asciiTheme="minorHAnsi" w:hAnsiTheme="minorHAnsi" w:cstheme="minorHAnsi"/>
          <w:bCs/>
        </w:rPr>
        <w:t>IFNγ</w:t>
      </w:r>
      <w:proofErr w:type="spellEnd"/>
      <w:r w:rsidR="008E7E6F" w:rsidRPr="00B12B3B">
        <w:rPr>
          <w:rFonts w:asciiTheme="minorHAnsi" w:hAnsiTheme="minorHAnsi" w:cstheme="minorHAnsi"/>
          <w:bCs/>
        </w:rPr>
        <w:t xml:space="preserve">, IL17A, </w:t>
      </w:r>
      <w:r w:rsidR="008E7E6F" w:rsidRPr="00B12B3B">
        <w:rPr>
          <w:rFonts w:asciiTheme="minorHAnsi" w:hAnsiTheme="minorHAnsi" w:cstheme="minorHAnsi"/>
          <w:bCs/>
        </w:rPr>
        <w:lastRenderedPageBreak/>
        <w:t>IL12</w:t>
      </w:r>
      <w:r w:rsidRPr="00B12B3B">
        <w:rPr>
          <w:rFonts w:asciiTheme="minorHAnsi" w:hAnsiTheme="minorHAnsi" w:cstheme="minorHAnsi"/>
          <w:bCs/>
        </w:rPr>
        <w:t xml:space="preserve"> and </w:t>
      </w:r>
      <w:r w:rsidRPr="00B12B3B">
        <w:rPr>
          <w:rFonts w:asciiTheme="minorHAnsi" w:hAnsiTheme="minorHAnsi" w:cstheme="minorHAnsi"/>
        </w:rPr>
        <w:t>TNFα</w:t>
      </w:r>
      <w:r w:rsidRPr="00B12B3B">
        <w:rPr>
          <w:rFonts w:asciiTheme="minorHAnsi" w:hAnsiTheme="minorHAnsi" w:cstheme="minorHAnsi"/>
          <w:bCs/>
        </w:rPr>
        <w:t>. The VEGF-a score was significantly lower compared to the median of 54</w:t>
      </w:r>
      <w:r w:rsidR="00A74E6E" w:rsidRPr="00B12B3B">
        <w:rPr>
          <w:rFonts w:asciiTheme="minorHAnsi" w:hAnsiTheme="minorHAnsi" w:cstheme="minorHAnsi"/>
          <w:bCs/>
        </w:rPr>
        <w:t>.</w:t>
      </w:r>
      <w:r w:rsidRPr="00B12B3B">
        <w:rPr>
          <w:rFonts w:asciiTheme="minorHAnsi" w:hAnsiTheme="minorHAnsi" w:cstheme="minorHAnsi"/>
          <w:bCs/>
        </w:rPr>
        <w:t>5 in the normal sample (p=</w:t>
      </w:r>
      <w:r w:rsidR="00762A99" w:rsidRPr="00B12B3B">
        <w:rPr>
          <w:rFonts w:asciiTheme="minorHAnsi" w:hAnsiTheme="minorHAnsi" w:cstheme="minorHAnsi"/>
          <w:bCs/>
        </w:rPr>
        <w:t>0</w:t>
      </w:r>
      <w:r w:rsidRPr="00B12B3B">
        <w:rPr>
          <w:rFonts w:asciiTheme="minorHAnsi" w:hAnsiTheme="minorHAnsi" w:cstheme="minorHAnsi"/>
          <w:bCs/>
        </w:rPr>
        <w:t xml:space="preserve">.005). </w:t>
      </w:r>
    </w:p>
    <w:p w14:paraId="028B9D1C" w14:textId="34C7A594" w:rsidR="00CB3CD7" w:rsidRPr="00B12B3B" w:rsidRDefault="003234E8" w:rsidP="003234E8">
      <w:pPr>
        <w:pStyle w:val="Geenafstand"/>
        <w:spacing w:line="360" w:lineRule="auto"/>
        <w:jc w:val="both"/>
        <w:rPr>
          <w:rFonts w:cstheme="minorHAnsi"/>
          <w:bCs/>
          <w:sz w:val="24"/>
          <w:szCs w:val="24"/>
        </w:rPr>
      </w:pPr>
      <w:bookmarkStart w:id="13" w:name="_Hlk43374281"/>
      <w:r w:rsidRPr="00B12B3B">
        <w:rPr>
          <w:sz w:val="24"/>
          <w:szCs w:val="24"/>
        </w:rPr>
        <w:t xml:space="preserve">Angiopoietin-2 </w:t>
      </w:r>
      <w:bookmarkEnd w:id="13"/>
      <w:r w:rsidRPr="00B12B3B">
        <w:rPr>
          <w:sz w:val="24"/>
          <w:szCs w:val="24"/>
        </w:rPr>
        <w:t>(ANG2) is involved with inflammation</w:t>
      </w:r>
      <w:r w:rsidR="00D86281" w:rsidRPr="00B12B3B">
        <w:rPr>
          <w:sz w:val="24"/>
          <w:szCs w:val="24"/>
        </w:rPr>
        <w:t>-</w:t>
      </w:r>
      <w:r w:rsidRPr="00B12B3B">
        <w:rPr>
          <w:sz w:val="24"/>
          <w:szCs w:val="24"/>
        </w:rPr>
        <w:t xml:space="preserve">induced vascular remodelling. </w:t>
      </w:r>
      <w:r w:rsidRPr="00B12B3B">
        <w:rPr>
          <w:rFonts w:cstheme="minorHAnsi"/>
          <w:bCs/>
          <w:sz w:val="24"/>
          <w:szCs w:val="24"/>
        </w:rPr>
        <w:t>H</w:t>
      </w:r>
      <w:r w:rsidRPr="00B12B3B">
        <w:rPr>
          <w:rFonts w:ascii="Calibri" w:hAnsi="Calibri" w:cs="Calibri"/>
          <w:color w:val="222222"/>
          <w:sz w:val="24"/>
          <w:szCs w:val="24"/>
        </w:rPr>
        <w:t xml:space="preserve">ealthy </w:t>
      </w:r>
      <w:r w:rsidRPr="00B12B3B">
        <w:rPr>
          <w:rFonts w:ascii="Calibri" w:hAnsi="Calibri" w:cs="Calibri"/>
          <w:color w:val="000000"/>
          <w:sz w:val="24"/>
          <w:szCs w:val="24"/>
          <w:shd w:val="clear" w:color="auto" w:fill="FFFFFF"/>
        </w:rPr>
        <w:t>plasma concentrations</w:t>
      </w:r>
      <w:r w:rsidRPr="00B12B3B">
        <w:rPr>
          <w:rFonts w:ascii="Calibri" w:hAnsi="Calibri" w:cs="Calibri"/>
          <w:color w:val="222222"/>
          <w:sz w:val="24"/>
          <w:szCs w:val="24"/>
        </w:rPr>
        <w:t xml:space="preserve"> for ANG2 range between </w:t>
      </w:r>
      <w:r w:rsidRPr="00B12B3B">
        <w:rPr>
          <w:rFonts w:ascii="Calibri" w:hAnsi="Calibri" w:cs="Calibri"/>
          <w:color w:val="000000"/>
          <w:sz w:val="24"/>
          <w:szCs w:val="24"/>
          <w:shd w:val="clear" w:color="auto" w:fill="FFFFFF"/>
        </w:rPr>
        <w:t xml:space="preserve">1800 ± 874 </w:t>
      </w:r>
      <w:proofErr w:type="spellStart"/>
      <w:r w:rsidRPr="00B12B3B">
        <w:rPr>
          <w:rFonts w:ascii="Calibri" w:hAnsi="Calibri" w:cs="Calibri"/>
          <w:color w:val="000000"/>
          <w:sz w:val="24"/>
          <w:szCs w:val="24"/>
          <w:shd w:val="clear" w:color="auto" w:fill="FFFFFF"/>
        </w:rPr>
        <w:t>pg</w:t>
      </w:r>
      <w:proofErr w:type="spellEnd"/>
      <w:r w:rsidRPr="00B12B3B">
        <w:rPr>
          <w:rFonts w:ascii="Calibri" w:hAnsi="Calibri" w:cs="Calibri"/>
          <w:color w:val="000000"/>
          <w:sz w:val="24"/>
          <w:szCs w:val="24"/>
          <w:shd w:val="clear" w:color="auto" w:fill="FFFFFF"/>
        </w:rPr>
        <w:t xml:space="preserve">/ml),(Li, 2015) or between 1-3ug/ml.(Thurston, 2012) From that perspective, the ANG2 levels in our sample score in the normal range. </w:t>
      </w:r>
      <w:r w:rsidR="00ED0D72" w:rsidRPr="00B12B3B">
        <w:rPr>
          <w:rFonts w:cstheme="minorHAnsi"/>
          <w:bCs/>
          <w:sz w:val="24"/>
          <w:szCs w:val="24"/>
        </w:rPr>
        <w:t xml:space="preserve">To summarise, our sample shows significantly elevated IL-6, </w:t>
      </w:r>
      <w:proofErr w:type="spellStart"/>
      <w:r w:rsidR="00CC627E" w:rsidRPr="00B12B3B">
        <w:rPr>
          <w:rFonts w:cstheme="minorHAnsi"/>
          <w:bCs/>
          <w:sz w:val="24"/>
          <w:szCs w:val="24"/>
        </w:rPr>
        <w:t>IFNγ</w:t>
      </w:r>
      <w:proofErr w:type="spellEnd"/>
      <w:r w:rsidR="00CC627E" w:rsidRPr="00B12B3B">
        <w:rPr>
          <w:rFonts w:cstheme="minorHAnsi"/>
          <w:bCs/>
          <w:sz w:val="24"/>
          <w:szCs w:val="24"/>
        </w:rPr>
        <w:t xml:space="preserve"> </w:t>
      </w:r>
      <w:r w:rsidR="00ED0D72" w:rsidRPr="00B12B3B">
        <w:rPr>
          <w:rFonts w:cstheme="minorHAnsi"/>
          <w:bCs/>
          <w:sz w:val="24"/>
          <w:szCs w:val="24"/>
        </w:rPr>
        <w:t xml:space="preserve">and </w:t>
      </w:r>
      <w:r w:rsidR="0082381E" w:rsidRPr="00B12B3B">
        <w:rPr>
          <w:rFonts w:cstheme="minorHAnsi"/>
          <w:sz w:val="24"/>
          <w:szCs w:val="24"/>
        </w:rPr>
        <w:t>TNFα</w:t>
      </w:r>
      <w:r w:rsidR="00817BF0" w:rsidRPr="00B12B3B">
        <w:rPr>
          <w:rFonts w:cstheme="minorHAnsi"/>
          <w:sz w:val="24"/>
          <w:szCs w:val="24"/>
        </w:rPr>
        <w:t xml:space="preserve"> and significantly lower </w:t>
      </w:r>
      <w:r w:rsidR="00817BF0" w:rsidRPr="00B12B3B">
        <w:rPr>
          <w:rFonts w:cstheme="minorHAnsi"/>
          <w:bCs/>
          <w:sz w:val="24"/>
          <w:szCs w:val="24"/>
        </w:rPr>
        <w:t>VEGF-a</w:t>
      </w:r>
      <w:r w:rsidR="00ED0D72" w:rsidRPr="00B12B3B">
        <w:rPr>
          <w:rFonts w:cstheme="minorHAnsi"/>
          <w:bCs/>
          <w:sz w:val="24"/>
          <w:szCs w:val="24"/>
        </w:rPr>
        <w:t>.</w:t>
      </w:r>
      <w:r w:rsidR="00B6509D" w:rsidRPr="00B12B3B">
        <w:rPr>
          <w:rFonts w:cstheme="minorHAnsi"/>
          <w:bCs/>
          <w:sz w:val="24"/>
          <w:szCs w:val="24"/>
        </w:rPr>
        <w:t xml:space="preserve"> </w:t>
      </w:r>
    </w:p>
    <w:p w14:paraId="3163A43F" w14:textId="1C285CCE" w:rsidR="003234E8" w:rsidRPr="00B12B3B" w:rsidRDefault="003234E8" w:rsidP="003234E8">
      <w:pPr>
        <w:autoSpaceDE w:val="0"/>
        <w:autoSpaceDN w:val="0"/>
        <w:adjustRightInd w:val="0"/>
        <w:spacing w:line="360" w:lineRule="auto"/>
        <w:jc w:val="both"/>
        <w:rPr>
          <w:rFonts w:asciiTheme="minorHAnsi" w:hAnsiTheme="minorHAnsi" w:cstheme="minorHAnsi"/>
          <w:bCs/>
        </w:rPr>
      </w:pPr>
      <w:r w:rsidRPr="00B12B3B">
        <w:rPr>
          <w:rFonts w:asciiTheme="minorHAnsi" w:hAnsiTheme="minorHAnsi" w:cstheme="minorHAnsi"/>
          <w:bCs/>
        </w:rPr>
        <w:t>For hsCRP, 11(7</w:t>
      </w:r>
      <w:r w:rsidR="00762A99" w:rsidRPr="00B12B3B">
        <w:rPr>
          <w:rFonts w:asciiTheme="minorHAnsi" w:hAnsiTheme="minorHAnsi" w:cstheme="minorHAnsi"/>
          <w:bCs/>
        </w:rPr>
        <w:t>9</w:t>
      </w:r>
      <w:r w:rsidRPr="00B12B3B">
        <w:rPr>
          <w:rFonts w:asciiTheme="minorHAnsi" w:hAnsiTheme="minorHAnsi" w:cstheme="minorHAnsi"/>
          <w:bCs/>
        </w:rPr>
        <w:t xml:space="preserve">%) were normal, 3(21%) were elevated. A one-sample t-test showed that the mean hsCRP score was significantly lower than the cut-off score of 3.0 mg/ml; mean difference </w:t>
      </w:r>
      <w:r w:rsidRPr="00B12B3B">
        <w:rPr>
          <w:rFonts w:asciiTheme="minorHAnsi" w:hAnsiTheme="minorHAnsi" w:cstheme="minorHAnsi"/>
          <w:lang w:eastAsia="nl-NL"/>
        </w:rPr>
        <w:t>-1.35(</w:t>
      </w:r>
      <w:r w:rsidR="00762A99" w:rsidRPr="00B12B3B">
        <w:rPr>
          <w:rFonts w:asciiTheme="minorHAnsi" w:hAnsiTheme="minorHAnsi" w:cstheme="minorHAnsi"/>
          <w:lang w:eastAsia="nl-NL"/>
        </w:rPr>
        <w:t>95% CI:</w:t>
      </w:r>
      <w:r w:rsidRPr="00B12B3B">
        <w:rPr>
          <w:rFonts w:asciiTheme="minorHAnsi" w:hAnsiTheme="minorHAnsi" w:cstheme="minorHAnsi"/>
          <w:lang w:eastAsia="nl-NL"/>
        </w:rPr>
        <w:t>-2.53;-0.18);</w:t>
      </w:r>
      <w:r w:rsidRPr="00B12B3B">
        <w:rPr>
          <w:rFonts w:asciiTheme="minorHAnsi" w:hAnsiTheme="minorHAnsi" w:cstheme="minorHAnsi"/>
          <w:bCs/>
        </w:rPr>
        <w:t>p=</w:t>
      </w:r>
      <w:r w:rsidR="00762A99" w:rsidRPr="00B12B3B">
        <w:rPr>
          <w:rFonts w:asciiTheme="minorHAnsi" w:hAnsiTheme="minorHAnsi" w:cstheme="minorHAnsi"/>
          <w:bCs/>
        </w:rPr>
        <w:t>0</w:t>
      </w:r>
      <w:r w:rsidRPr="00B12B3B">
        <w:rPr>
          <w:rFonts w:asciiTheme="minorHAnsi" w:hAnsiTheme="minorHAnsi" w:cstheme="minorHAnsi"/>
          <w:bCs/>
        </w:rPr>
        <w:t xml:space="preserve">.027). However, it was not undetectable. Although hsCRP can be detected in systemic low grade inflammation patients, in this sample it does not seem to be a useful biomarker. </w:t>
      </w:r>
    </w:p>
    <w:p w14:paraId="5AF7AFFE" w14:textId="5D67FC19" w:rsidR="001C4CCB" w:rsidRPr="00B12B3B" w:rsidRDefault="001C4CCB" w:rsidP="00B6509D">
      <w:pPr>
        <w:autoSpaceDE w:val="0"/>
        <w:autoSpaceDN w:val="0"/>
        <w:adjustRightInd w:val="0"/>
        <w:spacing w:line="360" w:lineRule="auto"/>
        <w:jc w:val="both"/>
        <w:rPr>
          <w:rFonts w:asciiTheme="minorHAnsi" w:hAnsiTheme="minorHAnsi" w:cstheme="minorHAnsi"/>
          <w:b/>
        </w:rPr>
      </w:pPr>
      <w:r w:rsidRPr="00B12B3B">
        <w:rPr>
          <w:rFonts w:asciiTheme="minorHAnsi" w:hAnsiTheme="minorHAnsi" w:cstheme="minorHAnsi"/>
          <w:b/>
        </w:rPr>
        <w:t>3.8.3</w:t>
      </w:r>
      <w:r w:rsidRPr="00B12B3B">
        <w:rPr>
          <w:rFonts w:asciiTheme="minorHAnsi" w:hAnsiTheme="minorHAnsi" w:cstheme="minorHAnsi"/>
          <w:b/>
        </w:rPr>
        <w:tab/>
        <w:t>microRNA</w:t>
      </w:r>
    </w:p>
    <w:p w14:paraId="719BC84F" w14:textId="73CB5707" w:rsidR="004C0FE2" w:rsidRPr="00B12B3B" w:rsidRDefault="004C0FE2" w:rsidP="00B71811">
      <w:pPr>
        <w:spacing w:line="360" w:lineRule="auto"/>
        <w:jc w:val="both"/>
        <w:rPr>
          <w:rFonts w:asciiTheme="minorHAnsi" w:hAnsiTheme="minorHAnsi" w:cstheme="minorHAnsi"/>
        </w:rPr>
      </w:pPr>
      <w:r w:rsidRPr="00B12B3B">
        <w:rPr>
          <w:rFonts w:asciiTheme="minorHAnsi" w:hAnsiTheme="minorHAnsi" w:cstheme="minorHAnsi"/>
        </w:rPr>
        <w:t>There is extensive literature linking several miRNAs to inflammation and neuroinflammation as well as pain (Andersen et al, 2014; Mi et al., 2013</w:t>
      </w:r>
      <w:r w:rsidR="007E368F" w:rsidRPr="00B12B3B">
        <w:rPr>
          <w:rFonts w:asciiTheme="minorHAnsi" w:hAnsiTheme="minorHAnsi" w:cstheme="minorHAnsi"/>
        </w:rPr>
        <w:t xml:space="preserve">). </w:t>
      </w:r>
      <w:r w:rsidR="00647C0C" w:rsidRPr="00B12B3B">
        <w:rPr>
          <w:rFonts w:asciiTheme="minorHAnsi" w:hAnsiTheme="minorHAnsi" w:cstheme="minorHAnsi"/>
        </w:rPr>
        <w:t>We supplemented our analysis of circulating cytokines in the cohort by measuring levels of 5 miRNAs associated with inflammation (miR-146a</w:t>
      </w:r>
      <w:r w:rsidR="006531CA" w:rsidRPr="00B12B3B">
        <w:rPr>
          <w:rFonts w:asciiTheme="minorHAnsi" w:hAnsiTheme="minorHAnsi" w:cstheme="minorHAnsi"/>
        </w:rPr>
        <w:t xml:space="preserve">, miR-223 </w:t>
      </w:r>
      <w:r w:rsidR="007E368F" w:rsidRPr="00B12B3B">
        <w:rPr>
          <w:rFonts w:asciiTheme="minorHAnsi" w:hAnsiTheme="minorHAnsi" w:cstheme="minorHAnsi"/>
        </w:rPr>
        <w:t>(Wang et al</w:t>
      </w:r>
      <w:r w:rsidR="00647C0C" w:rsidRPr="00B12B3B">
        <w:rPr>
          <w:rFonts w:asciiTheme="minorHAnsi" w:hAnsiTheme="minorHAnsi" w:cstheme="minorHAnsi"/>
        </w:rPr>
        <w:t>,</w:t>
      </w:r>
      <w:r w:rsidR="007E368F" w:rsidRPr="00B12B3B">
        <w:rPr>
          <w:rFonts w:asciiTheme="minorHAnsi" w:hAnsiTheme="minorHAnsi" w:cstheme="minorHAnsi"/>
        </w:rPr>
        <w:t xml:space="preserve"> 2010)</w:t>
      </w:r>
      <w:r w:rsidR="00647C0C" w:rsidRPr="00B12B3B">
        <w:rPr>
          <w:rFonts w:asciiTheme="minorHAnsi" w:hAnsiTheme="minorHAnsi" w:cstheme="minorHAnsi"/>
        </w:rPr>
        <w:t xml:space="preserve"> miR-155</w:t>
      </w:r>
      <w:r w:rsidR="006531CA" w:rsidRPr="00B12B3B">
        <w:rPr>
          <w:rFonts w:asciiTheme="minorHAnsi" w:hAnsiTheme="minorHAnsi" w:cstheme="minorHAnsi"/>
        </w:rPr>
        <w:t xml:space="preserve"> (</w:t>
      </w:r>
      <w:proofErr w:type="spellStart"/>
      <w:r w:rsidR="00B749DD" w:rsidRPr="00B12B3B">
        <w:rPr>
          <w:rFonts w:asciiTheme="minorHAnsi" w:hAnsiTheme="minorHAnsi" w:cstheme="minorHAnsi"/>
        </w:rPr>
        <w:t>Alivernini</w:t>
      </w:r>
      <w:proofErr w:type="spellEnd"/>
      <w:r w:rsidR="00B749DD" w:rsidRPr="00B12B3B">
        <w:rPr>
          <w:rFonts w:asciiTheme="minorHAnsi" w:hAnsiTheme="minorHAnsi" w:cstheme="minorHAnsi"/>
        </w:rPr>
        <w:t xml:space="preserve"> et al., 2018;</w:t>
      </w:r>
      <w:r w:rsidR="00410158" w:rsidRPr="00B12B3B">
        <w:rPr>
          <w:rFonts w:asciiTheme="minorHAnsi" w:hAnsiTheme="minorHAnsi" w:cstheme="minorHAnsi"/>
        </w:rPr>
        <w:t xml:space="preserve"> </w:t>
      </w:r>
      <w:r w:rsidR="006531CA" w:rsidRPr="00B12B3B">
        <w:rPr>
          <w:rFonts w:asciiTheme="minorHAnsi" w:hAnsiTheme="minorHAnsi" w:cstheme="minorHAnsi"/>
        </w:rPr>
        <w:t>Singh et al., 2019))</w:t>
      </w:r>
      <w:r w:rsidR="00647C0C" w:rsidRPr="00B12B3B">
        <w:rPr>
          <w:rFonts w:asciiTheme="minorHAnsi" w:hAnsiTheme="minorHAnsi" w:cstheme="minorHAnsi"/>
        </w:rPr>
        <w:t xml:space="preserve"> </w:t>
      </w:r>
      <w:r w:rsidR="00624AC8" w:rsidRPr="00B12B3B">
        <w:rPr>
          <w:rFonts w:asciiTheme="minorHAnsi" w:hAnsiTheme="minorHAnsi" w:cstheme="minorHAnsi"/>
        </w:rPr>
        <w:t>and</w:t>
      </w:r>
      <w:r w:rsidR="00624AC8" w:rsidRPr="00B12B3B">
        <w:rPr>
          <w:rFonts w:asciiTheme="minorHAnsi" w:hAnsiTheme="minorHAnsi" w:cstheme="minorHAnsi"/>
          <w:color w:val="222222"/>
          <w:shd w:val="clear" w:color="auto" w:fill="FFFFFF"/>
        </w:rPr>
        <w:t xml:space="preserve"> to angiogenesis and vascular inflammatory responses</w:t>
      </w:r>
      <w:r w:rsidR="00A74E6E" w:rsidRPr="00B12B3B">
        <w:rPr>
          <w:rFonts w:asciiTheme="minorHAnsi" w:hAnsiTheme="minorHAnsi" w:cstheme="minorHAnsi"/>
          <w:color w:val="222222"/>
          <w:shd w:val="clear" w:color="auto" w:fill="FFFFFF"/>
        </w:rPr>
        <w:t xml:space="preserve"> </w:t>
      </w:r>
      <w:r w:rsidR="00624AC8" w:rsidRPr="00B12B3B">
        <w:rPr>
          <w:rFonts w:asciiTheme="minorHAnsi" w:hAnsiTheme="minorHAnsi" w:cstheme="minorHAnsi"/>
          <w:color w:val="222222"/>
          <w:shd w:val="clear" w:color="auto" w:fill="FFFFFF"/>
        </w:rPr>
        <w:t>(miR-21</w:t>
      </w:r>
      <w:r w:rsidR="00EB511B" w:rsidRPr="00B12B3B">
        <w:rPr>
          <w:rFonts w:asciiTheme="minorHAnsi" w:hAnsiTheme="minorHAnsi" w:cstheme="minorHAnsi"/>
          <w:color w:val="222222"/>
          <w:shd w:val="clear" w:color="auto" w:fill="FFFFFF"/>
        </w:rPr>
        <w:t xml:space="preserve"> (</w:t>
      </w:r>
      <w:r w:rsidR="0078500B" w:rsidRPr="00B12B3B">
        <w:rPr>
          <w:rFonts w:asciiTheme="minorHAnsi" w:hAnsiTheme="minorHAnsi" w:cstheme="minorHAnsi"/>
          <w:color w:val="222222"/>
          <w:shd w:val="clear" w:color="auto" w:fill="FFFFFF"/>
        </w:rPr>
        <w:t xml:space="preserve">Liu et al., 2011; </w:t>
      </w:r>
      <w:r w:rsidR="00EB511B" w:rsidRPr="00B12B3B">
        <w:rPr>
          <w:rFonts w:asciiTheme="minorHAnsi" w:hAnsiTheme="minorHAnsi" w:cstheme="minorHAnsi"/>
          <w:color w:val="222222"/>
          <w:shd w:val="clear" w:color="auto" w:fill="FFFFFF"/>
        </w:rPr>
        <w:t>Sheedy et al., 2010</w:t>
      </w:r>
      <w:r w:rsidR="008F745B" w:rsidRPr="00B12B3B">
        <w:rPr>
          <w:rFonts w:asciiTheme="minorHAnsi" w:hAnsiTheme="minorHAnsi" w:cstheme="minorHAnsi"/>
          <w:color w:val="222222"/>
          <w:shd w:val="clear" w:color="auto" w:fill="FFFFFF"/>
        </w:rPr>
        <w:t>; Du et al., 2019</w:t>
      </w:r>
      <w:r w:rsidR="00EB511B" w:rsidRPr="00B12B3B">
        <w:rPr>
          <w:rFonts w:asciiTheme="minorHAnsi" w:hAnsiTheme="minorHAnsi" w:cstheme="minorHAnsi"/>
          <w:color w:val="222222"/>
          <w:shd w:val="clear" w:color="auto" w:fill="FFFFFF"/>
        </w:rPr>
        <w:t>)</w:t>
      </w:r>
      <w:r w:rsidR="00624AC8" w:rsidRPr="00B12B3B">
        <w:rPr>
          <w:rFonts w:asciiTheme="minorHAnsi" w:hAnsiTheme="minorHAnsi" w:cstheme="minorHAnsi"/>
          <w:color w:val="222222"/>
          <w:shd w:val="clear" w:color="auto" w:fill="FFFFFF"/>
        </w:rPr>
        <w:t>, miR-132</w:t>
      </w:r>
      <w:r w:rsidR="00FE0F2A" w:rsidRPr="00B12B3B">
        <w:rPr>
          <w:rFonts w:asciiTheme="minorHAnsi" w:hAnsiTheme="minorHAnsi" w:cstheme="minorHAnsi"/>
          <w:color w:val="222222"/>
          <w:shd w:val="clear" w:color="auto" w:fill="FFFFFF"/>
        </w:rPr>
        <w:t xml:space="preserve"> </w:t>
      </w:r>
      <w:r w:rsidR="0078500B" w:rsidRPr="00B12B3B">
        <w:rPr>
          <w:rFonts w:asciiTheme="minorHAnsi" w:hAnsiTheme="minorHAnsi" w:cstheme="minorHAnsi"/>
          <w:color w:val="222222"/>
          <w:shd w:val="clear" w:color="auto" w:fill="FFFFFF"/>
        </w:rPr>
        <w:t>(</w:t>
      </w:r>
      <w:proofErr w:type="spellStart"/>
      <w:r w:rsidR="00FE0F2A" w:rsidRPr="00B12B3B">
        <w:rPr>
          <w:rFonts w:asciiTheme="minorHAnsi" w:hAnsiTheme="minorHAnsi" w:cstheme="minorHAnsi"/>
          <w:color w:val="222222"/>
          <w:shd w:val="clear" w:color="auto" w:fill="FFFFFF"/>
        </w:rPr>
        <w:t>Kumarswamy</w:t>
      </w:r>
      <w:proofErr w:type="spellEnd"/>
      <w:r w:rsidR="00FE0F2A" w:rsidRPr="00B12B3B">
        <w:rPr>
          <w:rFonts w:asciiTheme="minorHAnsi" w:hAnsiTheme="minorHAnsi" w:cstheme="minorHAnsi"/>
          <w:color w:val="222222"/>
          <w:shd w:val="clear" w:color="auto" w:fill="FFFFFF"/>
        </w:rPr>
        <w:t xml:space="preserve"> et al., 2014)</w:t>
      </w:r>
      <w:r w:rsidR="00B749DD" w:rsidRPr="00B12B3B">
        <w:rPr>
          <w:rFonts w:asciiTheme="minorHAnsi" w:hAnsiTheme="minorHAnsi" w:cstheme="minorHAnsi"/>
          <w:color w:val="222222"/>
          <w:shd w:val="clear" w:color="auto" w:fill="FFFFFF"/>
        </w:rPr>
        <w:t xml:space="preserve"> and miR-155</w:t>
      </w:r>
      <w:r w:rsidR="006531CA" w:rsidRPr="00B12B3B">
        <w:rPr>
          <w:rFonts w:asciiTheme="minorHAnsi" w:hAnsiTheme="minorHAnsi" w:cstheme="minorHAnsi"/>
          <w:color w:val="222222"/>
          <w:shd w:val="clear" w:color="auto" w:fill="FFFFFF"/>
        </w:rPr>
        <w:t xml:space="preserve"> (Singh et al., 2019)</w:t>
      </w:r>
      <w:r w:rsidR="00624AC8" w:rsidRPr="00B12B3B">
        <w:rPr>
          <w:rFonts w:asciiTheme="minorHAnsi" w:hAnsiTheme="minorHAnsi" w:cstheme="minorHAnsi"/>
          <w:color w:val="222222"/>
          <w:shd w:val="clear" w:color="auto" w:fill="FFFFFF"/>
        </w:rPr>
        <w:t xml:space="preserve">) </w:t>
      </w:r>
      <w:r w:rsidR="00647C0C" w:rsidRPr="00B12B3B">
        <w:rPr>
          <w:rFonts w:asciiTheme="minorHAnsi" w:hAnsiTheme="minorHAnsi" w:cstheme="minorHAnsi"/>
        </w:rPr>
        <w:t xml:space="preserve">and miR-16, a highly abundant miRNA in circulation. </w:t>
      </w:r>
    </w:p>
    <w:p w14:paraId="4DC64C29" w14:textId="3DEABE85" w:rsidR="00657DE1" w:rsidRPr="00B12B3B" w:rsidRDefault="00647C0C" w:rsidP="00B71811">
      <w:pPr>
        <w:spacing w:line="360" w:lineRule="auto"/>
        <w:jc w:val="both"/>
        <w:rPr>
          <w:rFonts w:asciiTheme="minorHAnsi" w:hAnsiTheme="minorHAnsi" w:cstheme="minorHAnsi"/>
        </w:rPr>
      </w:pPr>
      <w:r w:rsidRPr="00B12B3B">
        <w:rPr>
          <w:rFonts w:asciiTheme="minorHAnsi" w:hAnsiTheme="minorHAnsi" w:cstheme="minorHAnsi"/>
        </w:rPr>
        <w:t>We observed a range of miRNA blood plasm levels within the cohort</w:t>
      </w:r>
      <w:r w:rsidR="00657DE1" w:rsidRPr="00B12B3B">
        <w:rPr>
          <w:rFonts w:asciiTheme="minorHAnsi" w:hAnsiTheme="minorHAnsi" w:cstheme="minorHAnsi"/>
        </w:rPr>
        <w:t xml:space="preserve"> as shown in Figure 2</w:t>
      </w:r>
      <w:r w:rsidR="005949E8" w:rsidRPr="00B12B3B">
        <w:rPr>
          <w:rFonts w:asciiTheme="minorHAnsi" w:hAnsiTheme="minorHAnsi" w:cstheme="minorHAnsi"/>
        </w:rPr>
        <w:t>.</w:t>
      </w:r>
      <w:r w:rsidRPr="00B12B3B">
        <w:rPr>
          <w:rFonts w:asciiTheme="minorHAnsi" w:hAnsiTheme="minorHAnsi" w:cstheme="minorHAnsi"/>
        </w:rPr>
        <w:t xml:space="preserve"> </w:t>
      </w:r>
    </w:p>
    <w:p w14:paraId="59301A95" w14:textId="1F97FF07" w:rsidR="00657DE1" w:rsidRPr="00B12B3B" w:rsidRDefault="00657DE1" w:rsidP="003E4404">
      <w:pPr>
        <w:pStyle w:val="Lijstalinea"/>
        <w:numPr>
          <w:ilvl w:val="0"/>
          <w:numId w:val="25"/>
        </w:numPr>
        <w:spacing w:line="360" w:lineRule="auto"/>
        <w:jc w:val="both"/>
        <w:rPr>
          <w:rFonts w:asciiTheme="minorHAnsi" w:eastAsiaTheme="minorHAnsi" w:hAnsiTheme="minorHAnsi" w:cstheme="minorHAnsi"/>
          <w:b/>
          <w:lang w:val="nl-NL"/>
        </w:rPr>
      </w:pPr>
      <w:r w:rsidRPr="00B12B3B">
        <w:rPr>
          <w:rFonts w:asciiTheme="minorHAnsi" w:hAnsiTheme="minorHAnsi" w:cstheme="minorHAnsi"/>
        </w:rPr>
        <w:t xml:space="preserve">Insert Figure 2 – </w:t>
      </w:r>
    </w:p>
    <w:p w14:paraId="2C98714E" w14:textId="5518F9C5" w:rsidR="00F0515E" w:rsidRPr="00B12B3B" w:rsidRDefault="00647C0C" w:rsidP="00442DC4">
      <w:pPr>
        <w:pStyle w:val="Geenafstand"/>
        <w:spacing w:line="360" w:lineRule="auto"/>
        <w:jc w:val="both"/>
        <w:rPr>
          <w:rFonts w:cstheme="minorHAnsi"/>
          <w:sz w:val="24"/>
          <w:szCs w:val="24"/>
          <w:lang w:val="nl-NL"/>
        </w:rPr>
      </w:pPr>
      <w:r w:rsidRPr="00B12B3B">
        <w:rPr>
          <w:rFonts w:cstheme="minorHAnsi"/>
          <w:sz w:val="24"/>
          <w:szCs w:val="24"/>
          <w:lang w:val="nl-NL"/>
        </w:rPr>
        <w:t>We also explored if levels of miRNAs correlated with levels of TNF in the cohort. We found that this was the case for all tested miRNAs</w:t>
      </w:r>
      <w:r w:rsidR="00F0515E" w:rsidRPr="00B12B3B">
        <w:rPr>
          <w:rFonts w:cstheme="minorHAnsi"/>
          <w:sz w:val="24"/>
          <w:szCs w:val="24"/>
          <w:lang w:val="nl-NL"/>
        </w:rPr>
        <w:t xml:space="preserve">. </w:t>
      </w:r>
      <w:r w:rsidR="00624AC8" w:rsidRPr="00B12B3B">
        <w:rPr>
          <w:rFonts w:cstheme="minorHAnsi"/>
          <w:sz w:val="24"/>
          <w:szCs w:val="24"/>
          <w:lang w:val="nl-NL"/>
        </w:rPr>
        <w:t xml:space="preserve">However, more significant </w:t>
      </w:r>
      <w:r w:rsidR="00524D55" w:rsidRPr="00B12B3B">
        <w:rPr>
          <w:rFonts w:cstheme="minorHAnsi"/>
          <w:sz w:val="24"/>
          <w:szCs w:val="24"/>
          <w:lang w:val="nl-NL"/>
        </w:rPr>
        <w:t>Pearson P</w:t>
      </w:r>
      <w:r w:rsidR="00442DC4" w:rsidRPr="00B12B3B">
        <w:rPr>
          <w:rFonts w:cstheme="minorHAnsi"/>
          <w:sz w:val="24"/>
          <w:szCs w:val="24"/>
          <w:lang w:val="nl-NL"/>
        </w:rPr>
        <w:t xml:space="preserve"> </w:t>
      </w:r>
      <w:proofErr w:type="spellStart"/>
      <w:r w:rsidR="00442DC4" w:rsidRPr="00B12B3B">
        <w:rPr>
          <w:rFonts w:cstheme="minorHAnsi"/>
          <w:sz w:val="24"/>
          <w:szCs w:val="24"/>
          <w:lang w:val="nl-NL"/>
        </w:rPr>
        <w:t>c</w:t>
      </w:r>
      <w:r w:rsidR="00624AC8" w:rsidRPr="00B12B3B">
        <w:rPr>
          <w:rFonts w:cstheme="minorHAnsi"/>
          <w:sz w:val="24"/>
          <w:szCs w:val="24"/>
          <w:lang w:val="nl-NL"/>
        </w:rPr>
        <w:t>orrelations</w:t>
      </w:r>
      <w:proofErr w:type="spellEnd"/>
      <w:r w:rsidR="00624AC8" w:rsidRPr="00B12B3B">
        <w:rPr>
          <w:rFonts w:cstheme="minorHAnsi"/>
          <w:sz w:val="24"/>
          <w:szCs w:val="24"/>
          <w:lang w:val="nl-NL"/>
        </w:rPr>
        <w:t xml:space="preserve"> (p&lt;0.005) </w:t>
      </w:r>
      <w:proofErr w:type="spellStart"/>
      <w:r w:rsidR="00624AC8" w:rsidRPr="00B12B3B">
        <w:rPr>
          <w:rFonts w:cstheme="minorHAnsi"/>
          <w:sz w:val="24"/>
          <w:szCs w:val="24"/>
          <w:lang w:val="nl-NL"/>
        </w:rPr>
        <w:t>were</w:t>
      </w:r>
      <w:proofErr w:type="spellEnd"/>
      <w:r w:rsidR="00624AC8" w:rsidRPr="00B12B3B">
        <w:rPr>
          <w:rFonts w:cstheme="minorHAnsi"/>
          <w:sz w:val="24"/>
          <w:szCs w:val="24"/>
          <w:lang w:val="nl-NL"/>
        </w:rPr>
        <w:t xml:space="preserve"> </w:t>
      </w:r>
      <w:proofErr w:type="spellStart"/>
      <w:r w:rsidR="00624AC8" w:rsidRPr="00B12B3B">
        <w:rPr>
          <w:rFonts w:cstheme="minorHAnsi"/>
          <w:sz w:val="24"/>
          <w:szCs w:val="24"/>
          <w:lang w:val="nl-NL"/>
        </w:rPr>
        <w:t>observed</w:t>
      </w:r>
      <w:proofErr w:type="spellEnd"/>
      <w:r w:rsidR="00624AC8" w:rsidRPr="00B12B3B">
        <w:rPr>
          <w:rFonts w:cstheme="minorHAnsi"/>
          <w:sz w:val="24"/>
          <w:szCs w:val="24"/>
          <w:lang w:val="nl-NL"/>
        </w:rPr>
        <w:t xml:space="preserve"> </w:t>
      </w:r>
      <w:r w:rsidR="00524D55" w:rsidRPr="00B12B3B">
        <w:rPr>
          <w:sz w:val="24"/>
          <w:szCs w:val="24"/>
        </w:rPr>
        <w:t>for each miRNA against TNF (analysed with GraphPad Prism)</w:t>
      </w:r>
      <w:r w:rsidR="00F0515E" w:rsidRPr="00B12B3B">
        <w:rPr>
          <w:rFonts w:cstheme="minorHAnsi"/>
          <w:sz w:val="24"/>
          <w:szCs w:val="24"/>
          <w:lang w:val="nl-NL"/>
        </w:rPr>
        <w:t>.</w:t>
      </w:r>
      <w:r w:rsidR="00524D55" w:rsidRPr="00B12B3B">
        <w:rPr>
          <w:rFonts w:cstheme="minorHAnsi"/>
          <w:sz w:val="24"/>
          <w:szCs w:val="24"/>
          <w:lang w:val="nl-NL"/>
        </w:rPr>
        <w:t xml:space="preserve"> </w:t>
      </w:r>
    </w:p>
    <w:p w14:paraId="708CC516" w14:textId="06276785" w:rsidR="00F0515E" w:rsidRPr="00B12B3B" w:rsidRDefault="00F0515E" w:rsidP="00F0515E">
      <w:pPr>
        <w:pStyle w:val="Lijstalinea"/>
        <w:numPr>
          <w:ilvl w:val="0"/>
          <w:numId w:val="25"/>
        </w:numPr>
        <w:autoSpaceDE w:val="0"/>
        <w:autoSpaceDN w:val="0"/>
        <w:adjustRightInd w:val="0"/>
        <w:rPr>
          <w:rFonts w:asciiTheme="minorHAnsi" w:eastAsiaTheme="minorHAnsi" w:hAnsiTheme="minorHAnsi" w:cstheme="minorHAnsi"/>
          <w:lang w:val="nl-NL"/>
        </w:rPr>
      </w:pPr>
      <w:r w:rsidRPr="00B12B3B">
        <w:rPr>
          <w:rFonts w:asciiTheme="minorHAnsi" w:eastAsiaTheme="minorHAnsi" w:hAnsiTheme="minorHAnsi" w:cstheme="minorHAnsi"/>
          <w:lang w:val="nl-NL"/>
        </w:rPr>
        <w:t xml:space="preserve">Insert Figure 3 - </w:t>
      </w:r>
    </w:p>
    <w:p w14:paraId="07970DAE" w14:textId="77777777" w:rsidR="003778FF" w:rsidRPr="00B12B3B" w:rsidRDefault="003778FF" w:rsidP="003778FF">
      <w:pPr>
        <w:pStyle w:val="Lijstalinea"/>
        <w:autoSpaceDE w:val="0"/>
        <w:autoSpaceDN w:val="0"/>
        <w:adjustRightInd w:val="0"/>
        <w:rPr>
          <w:rFonts w:asciiTheme="minorHAnsi" w:eastAsiaTheme="minorHAnsi" w:hAnsiTheme="minorHAnsi" w:cstheme="minorHAnsi"/>
          <w:lang w:val="nl-NL"/>
        </w:rPr>
      </w:pPr>
    </w:p>
    <w:p w14:paraId="04E624C3" w14:textId="379B4732" w:rsidR="00B62EEE" w:rsidRPr="00B12B3B" w:rsidRDefault="00E77CEE" w:rsidP="00A04EE3">
      <w:pPr>
        <w:spacing w:line="360" w:lineRule="auto"/>
        <w:jc w:val="both"/>
        <w:rPr>
          <w:rFonts w:asciiTheme="minorHAnsi" w:hAnsiTheme="minorHAnsi" w:cstheme="minorHAnsi"/>
          <w:bCs/>
        </w:rPr>
      </w:pPr>
      <w:bookmarkStart w:id="14" w:name="_Hlk64233284"/>
      <w:r w:rsidRPr="00B12B3B">
        <w:rPr>
          <w:rFonts w:asciiTheme="minorHAnsi" w:hAnsiTheme="minorHAnsi" w:cstheme="minorHAnsi"/>
        </w:rPr>
        <w:t>We specifically explored the correlation of VEGF with miR-132 and miR-21 as both of these miRNAs have been extensively linked to angiogenesis and endothelial cell function</w:t>
      </w:r>
      <w:r w:rsidR="00FE0F2A" w:rsidRPr="00B12B3B">
        <w:rPr>
          <w:rFonts w:asciiTheme="minorHAnsi" w:hAnsiTheme="minorHAnsi" w:cstheme="minorHAnsi"/>
        </w:rPr>
        <w:t xml:space="preserve"> (Anand et al., 2010; Lagos et al., 2010</w:t>
      </w:r>
      <w:r w:rsidR="0078500B" w:rsidRPr="00B12B3B">
        <w:rPr>
          <w:rFonts w:asciiTheme="minorHAnsi" w:hAnsiTheme="minorHAnsi" w:cstheme="minorHAnsi"/>
        </w:rPr>
        <w:t xml:space="preserve">; </w:t>
      </w:r>
      <w:proofErr w:type="spellStart"/>
      <w:r w:rsidR="0078500B" w:rsidRPr="00B12B3B">
        <w:rPr>
          <w:rFonts w:asciiTheme="minorHAnsi" w:hAnsiTheme="minorHAnsi" w:cstheme="minorHAnsi"/>
        </w:rPr>
        <w:t>Kumarswamy</w:t>
      </w:r>
      <w:proofErr w:type="spellEnd"/>
      <w:r w:rsidR="0078500B" w:rsidRPr="00B12B3B">
        <w:rPr>
          <w:rFonts w:asciiTheme="minorHAnsi" w:hAnsiTheme="minorHAnsi" w:cstheme="minorHAnsi"/>
        </w:rPr>
        <w:t xml:space="preserve"> et al., 2014; Liu et al., 2011;</w:t>
      </w:r>
      <w:r w:rsidR="008F745B" w:rsidRPr="00B12B3B">
        <w:rPr>
          <w:rFonts w:asciiTheme="minorHAnsi" w:hAnsiTheme="minorHAnsi" w:cstheme="minorHAnsi"/>
        </w:rPr>
        <w:t xml:space="preserve"> </w:t>
      </w:r>
      <w:r w:rsidR="00096484" w:rsidRPr="00B12B3B">
        <w:rPr>
          <w:rFonts w:asciiTheme="minorHAnsi" w:hAnsiTheme="minorHAnsi" w:cstheme="minorHAnsi"/>
        </w:rPr>
        <w:t xml:space="preserve">Luo et al., 2017; </w:t>
      </w:r>
      <w:r w:rsidR="008F745B" w:rsidRPr="00B12B3B">
        <w:rPr>
          <w:rFonts w:asciiTheme="minorHAnsi" w:hAnsiTheme="minorHAnsi" w:cstheme="minorHAnsi"/>
        </w:rPr>
        <w:t>Du et al., 2019</w:t>
      </w:r>
      <w:r w:rsidR="00FE0F2A" w:rsidRPr="00B12B3B">
        <w:rPr>
          <w:rFonts w:asciiTheme="minorHAnsi" w:hAnsiTheme="minorHAnsi" w:cstheme="minorHAnsi"/>
        </w:rPr>
        <w:t xml:space="preserve">) </w:t>
      </w:r>
      <w:r w:rsidRPr="00B12B3B">
        <w:rPr>
          <w:rFonts w:asciiTheme="minorHAnsi" w:hAnsiTheme="minorHAnsi" w:cstheme="minorHAnsi"/>
        </w:rPr>
        <w:t>,</w:t>
      </w:r>
      <w:r w:rsidRPr="00B12B3B">
        <w:rPr>
          <w:rFonts w:ascii="Helvetica" w:hAnsi="Helvetica"/>
          <w:sz w:val="18"/>
          <w:szCs w:val="18"/>
        </w:rPr>
        <w:t xml:space="preserve"> </w:t>
      </w:r>
      <w:r w:rsidR="00B62EEE" w:rsidRPr="00B12B3B">
        <w:rPr>
          <w:rFonts w:asciiTheme="minorHAnsi" w:hAnsiTheme="minorHAnsi" w:cstheme="minorHAnsi"/>
          <w:bCs/>
        </w:rPr>
        <w:t xml:space="preserve">as shown in Figure </w:t>
      </w:r>
      <w:r w:rsidR="00524D55" w:rsidRPr="00B12B3B">
        <w:rPr>
          <w:rFonts w:asciiTheme="minorHAnsi" w:hAnsiTheme="minorHAnsi" w:cstheme="minorHAnsi"/>
          <w:bCs/>
        </w:rPr>
        <w:t>4</w:t>
      </w:r>
      <w:r w:rsidR="00B62EEE" w:rsidRPr="00B12B3B">
        <w:rPr>
          <w:rFonts w:asciiTheme="minorHAnsi" w:hAnsiTheme="minorHAnsi" w:cstheme="minorHAnsi"/>
          <w:bCs/>
        </w:rPr>
        <w:t>.</w:t>
      </w:r>
    </w:p>
    <w:bookmarkEnd w:id="14"/>
    <w:p w14:paraId="4A9D75FF" w14:textId="3CD35114" w:rsidR="00FB35D0" w:rsidRPr="00B12B3B" w:rsidRDefault="00FB35D0" w:rsidP="00FB35D0">
      <w:pPr>
        <w:pStyle w:val="Lijstalinea"/>
        <w:numPr>
          <w:ilvl w:val="0"/>
          <w:numId w:val="25"/>
        </w:numPr>
        <w:spacing w:after="200" w:line="276" w:lineRule="auto"/>
        <w:jc w:val="both"/>
        <w:rPr>
          <w:rFonts w:asciiTheme="minorHAnsi" w:hAnsiTheme="minorHAnsi" w:cstheme="minorHAnsi"/>
          <w:color w:val="222222"/>
          <w:shd w:val="clear" w:color="auto" w:fill="FFFFFF"/>
        </w:rPr>
      </w:pPr>
      <w:r w:rsidRPr="00B12B3B">
        <w:rPr>
          <w:rFonts w:asciiTheme="minorHAnsi" w:hAnsiTheme="minorHAnsi" w:cstheme="minorHAnsi"/>
          <w:bCs/>
        </w:rPr>
        <w:t xml:space="preserve">Insert Figure </w:t>
      </w:r>
      <w:r w:rsidR="00524D55" w:rsidRPr="00B12B3B">
        <w:rPr>
          <w:rFonts w:asciiTheme="minorHAnsi" w:hAnsiTheme="minorHAnsi" w:cstheme="minorHAnsi"/>
          <w:bCs/>
        </w:rPr>
        <w:t>4</w:t>
      </w:r>
      <w:r w:rsidRPr="00B12B3B">
        <w:rPr>
          <w:rFonts w:asciiTheme="minorHAnsi" w:hAnsiTheme="minorHAnsi" w:cstheme="minorHAnsi"/>
          <w:bCs/>
        </w:rPr>
        <w:t xml:space="preserve"> –</w:t>
      </w:r>
    </w:p>
    <w:p w14:paraId="0D6F1613" w14:textId="091AA7B1" w:rsidR="00C37A45" w:rsidRPr="00B12B3B" w:rsidRDefault="00B62EEE" w:rsidP="00FB35D0">
      <w:pPr>
        <w:spacing w:after="200" w:line="276" w:lineRule="auto"/>
        <w:jc w:val="both"/>
        <w:rPr>
          <w:rFonts w:asciiTheme="minorHAnsi" w:hAnsiTheme="minorHAnsi" w:cstheme="minorHAnsi"/>
          <w:color w:val="222222"/>
          <w:shd w:val="clear" w:color="auto" w:fill="FFFFFF"/>
        </w:rPr>
      </w:pPr>
      <w:r w:rsidRPr="00B12B3B">
        <w:rPr>
          <w:rFonts w:asciiTheme="minorHAnsi" w:hAnsiTheme="minorHAnsi" w:cstheme="minorHAnsi"/>
          <w:color w:val="222222"/>
          <w:shd w:val="clear" w:color="auto" w:fill="FFFFFF"/>
        </w:rPr>
        <w:lastRenderedPageBreak/>
        <w:t>These correlation plots show a split of our patient group into two distinct groups: one with good correlation between mi</w:t>
      </w:r>
      <w:r w:rsidR="00013D8C" w:rsidRPr="00B12B3B">
        <w:rPr>
          <w:rFonts w:asciiTheme="minorHAnsi" w:hAnsiTheme="minorHAnsi" w:cstheme="minorHAnsi"/>
          <w:color w:val="222222"/>
          <w:shd w:val="clear" w:color="auto" w:fill="FFFFFF"/>
        </w:rPr>
        <w:t>cro</w:t>
      </w:r>
      <w:r w:rsidRPr="00B12B3B">
        <w:rPr>
          <w:rFonts w:asciiTheme="minorHAnsi" w:hAnsiTheme="minorHAnsi" w:cstheme="minorHAnsi"/>
          <w:color w:val="222222"/>
          <w:shd w:val="clear" w:color="auto" w:fill="FFFFFF"/>
        </w:rPr>
        <w:t>R</w:t>
      </w:r>
      <w:r w:rsidR="00013D8C" w:rsidRPr="00B12B3B">
        <w:rPr>
          <w:rFonts w:asciiTheme="minorHAnsi" w:hAnsiTheme="minorHAnsi" w:cstheme="minorHAnsi"/>
          <w:color w:val="222222"/>
          <w:shd w:val="clear" w:color="auto" w:fill="FFFFFF"/>
        </w:rPr>
        <w:t>NA</w:t>
      </w:r>
      <w:r w:rsidRPr="00B12B3B">
        <w:rPr>
          <w:rFonts w:asciiTheme="minorHAnsi" w:hAnsiTheme="minorHAnsi" w:cstheme="minorHAnsi"/>
          <w:color w:val="222222"/>
          <w:shd w:val="clear" w:color="auto" w:fill="FFFFFF"/>
        </w:rPr>
        <w:t>s and VEGF and one with very low mi</w:t>
      </w:r>
      <w:r w:rsidR="00013D8C" w:rsidRPr="00B12B3B">
        <w:rPr>
          <w:rFonts w:asciiTheme="minorHAnsi" w:hAnsiTheme="minorHAnsi" w:cstheme="minorHAnsi"/>
          <w:color w:val="222222"/>
          <w:shd w:val="clear" w:color="auto" w:fill="FFFFFF"/>
        </w:rPr>
        <w:t>cro</w:t>
      </w:r>
      <w:r w:rsidRPr="00B12B3B">
        <w:rPr>
          <w:rFonts w:asciiTheme="minorHAnsi" w:hAnsiTheme="minorHAnsi" w:cstheme="minorHAnsi"/>
          <w:color w:val="222222"/>
          <w:shd w:val="clear" w:color="auto" w:fill="FFFFFF"/>
        </w:rPr>
        <w:t xml:space="preserve">RNA levels and no correlation. </w:t>
      </w:r>
    </w:p>
    <w:p w14:paraId="5E9FECDE" w14:textId="477AB15E" w:rsidR="001C4CCB" w:rsidRPr="00B12B3B" w:rsidRDefault="001C4CCB" w:rsidP="00FB35D0">
      <w:pPr>
        <w:spacing w:after="200" w:line="276" w:lineRule="auto"/>
        <w:jc w:val="both"/>
        <w:rPr>
          <w:rFonts w:asciiTheme="minorHAnsi" w:hAnsiTheme="minorHAnsi" w:cstheme="minorHAnsi"/>
          <w:b/>
          <w:bCs/>
          <w:color w:val="222222"/>
          <w:shd w:val="clear" w:color="auto" w:fill="FFFFFF"/>
        </w:rPr>
      </w:pPr>
      <w:r w:rsidRPr="00B12B3B">
        <w:rPr>
          <w:rFonts w:asciiTheme="minorHAnsi" w:hAnsiTheme="minorHAnsi" w:cstheme="minorHAnsi"/>
          <w:b/>
          <w:bCs/>
          <w:color w:val="222222"/>
          <w:shd w:val="clear" w:color="auto" w:fill="FFFFFF"/>
        </w:rPr>
        <w:t>3.8.4</w:t>
      </w:r>
      <w:r w:rsidRPr="00B12B3B">
        <w:rPr>
          <w:rFonts w:asciiTheme="minorHAnsi" w:hAnsiTheme="minorHAnsi" w:cstheme="minorHAnsi"/>
          <w:b/>
          <w:bCs/>
          <w:color w:val="222222"/>
          <w:shd w:val="clear" w:color="auto" w:fill="FFFFFF"/>
        </w:rPr>
        <w:tab/>
        <w:t>Cortisol</w:t>
      </w:r>
    </w:p>
    <w:p w14:paraId="0DECAE1C" w14:textId="6E0CA80E" w:rsidR="00FB35D0" w:rsidRPr="00B12B3B" w:rsidRDefault="00FB35D0" w:rsidP="00FB35D0">
      <w:pPr>
        <w:spacing w:after="200" w:line="360" w:lineRule="auto"/>
        <w:jc w:val="both"/>
        <w:rPr>
          <w:rFonts w:asciiTheme="minorHAnsi" w:hAnsiTheme="minorHAnsi" w:cstheme="minorHAnsi"/>
          <w:color w:val="222222"/>
          <w:shd w:val="clear" w:color="auto" w:fill="FFFFFF"/>
        </w:rPr>
      </w:pPr>
      <w:r w:rsidRPr="00B12B3B">
        <w:rPr>
          <w:rFonts w:asciiTheme="minorHAnsi" w:hAnsiTheme="minorHAnsi" w:cstheme="minorHAnsi"/>
          <w:color w:val="222222"/>
          <w:shd w:val="clear" w:color="auto" w:fill="FFFFFF"/>
        </w:rPr>
        <w:t xml:space="preserve">Hair cortisol findings in both samples are shown in Table </w:t>
      </w:r>
      <w:r w:rsidR="00075C43" w:rsidRPr="00B12B3B">
        <w:rPr>
          <w:rFonts w:asciiTheme="minorHAnsi" w:hAnsiTheme="minorHAnsi" w:cstheme="minorHAnsi"/>
          <w:color w:val="222222"/>
          <w:shd w:val="clear" w:color="auto" w:fill="FFFFFF"/>
        </w:rPr>
        <w:t>6</w:t>
      </w:r>
      <w:r w:rsidRPr="00B12B3B">
        <w:rPr>
          <w:rFonts w:asciiTheme="minorHAnsi" w:hAnsiTheme="minorHAnsi" w:cstheme="minorHAnsi"/>
          <w:color w:val="222222"/>
          <w:shd w:val="clear" w:color="auto" w:fill="FFFFFF"/>
        </w:rPr>
        <w:t>.</w:t>
      </w:r>
    </w:p>
    <w:p w14:paraId="42F402DB" w14:textId="41F1EBB5" w:rsidR="00FB35D0" w:rsidRPr="00B12B3B" w:rsidRDefault="00FB35D0" w:rsidP="00FB35D0">
      <w:pPr>
        <w:pStyle w:val="Lijstalinea"/>
        <w:numPr>
          <w:ilvl w:val="0"/>
          <w:numId w:val="25"/>
        </w:numPr>
        <w:spacing w:after="200" w:line="360" w:lineRule="auto"/>
        <w:rPr>
          <w:rFonts w:asciiTheme="minorHAnsi" w:hAnsiTheme="minorHAnsi" w:cstheme="minorHAnsi"/>
          <w:color w:val="222222"/>
          <w:shd w:val="clear" w:color="auto" w:fill="FFFFFF"/>
        </w:rPr>
      </w:pPr>
      <w:r w:rsidRPr="00B12B3B">
        <w:rPr>
          <w:rFonts w:asciiTheme="minorHAnsi" w:hAnsiTheme="minorHAnsi" w:cstheme="minorHAnsi"/>
          <w:color w:val="222222"/>
          <w:shd w:val="clear" w:color="auto" w:fill="FFFFFF"/>
        </w:rPr>
        <w:t xml:space="preserve">Insert Table </w:t>
      </w:r>
      <w:r w:rsidR="00075C43" w:rsidRPr="00B12B3B">
        <w:rPr>
          <w:rFonts w:asciiTheme="minorHAnsi" w:hAnsiTheme="minorHAnsi" w:cstheme="minorHAnsi"/>
          <w:color w:val="222222"/>
          <w:shd w:val="clear" w:color="auto" w:fill="FFFFFF"/>
        </w:rPr>
        <w:t>6</w:t>
      </w:r>
      <w:r w:rsidRPr="00B12B3B">
        <w:rPr>
          <w:rFonts w:asciiTheme="minorHAnsi" w:hAnsiTheme="minorHAnsi" w:cstheme="minorHAnsi"/>
          <w:color w:val="222222"/>
          <w:shd w:val="clear" w:color="auto" w:fill="FFFFFF"/>
        </w:rPr>
        <w:t xml:space="preserve"> - </w:t>
      </w:r>
    </w:p>
    <w:p w14:paraId="674989A8" w14:textId="0FE84D70" w:rsidR="0024389F" w:rsidRPr="00B12B3B" w:rsidRDefault="002D4110" w:rsidP="0062665D">
      <w:pPr>
        <w:spacing w:after="200" w:line="360" w:lineRule="auto"/>
        <w:jc w:val="both"/>
        <w:rPr>
          <w:rFonts w:asciiTheme="minorHAnsi" w:hAnsiTheme="minorHAnsi" w:cstheme="minorHAnsi"/>
          <w:color w:val="222222"/>
          <w:shd w:val="clear" w:color="auto" w:fill="FFFFFF"/>
        </w:rPr>
      </w:pPr>
      <w:r w:rsidRPr="00B12B3B">
        <w:rPr>
          <w:rFonts w:asciiTheme="minorHAnsi" w:hAnsiTheme="minorHAnsi" w:cstheme="minorHAnsi"/>
          <w:color w:val="222222"/>
          <w:shd w:val="clear" w:color="auto" w:fill="FFFFFF"/>
        </w:rPr>
        <w:t>Hair samples were taken in 14 pa</w:t>
      </w:r>
      <w:r w:rsidR="00D86281" w:rsidRPr="00B12B3B">
        <w:rPr>
          <w:rFonts w:asciiTheme="minorHAnsi" w:hAnsiTheme="minorHAnsi" w:cstheme="minorHAnsi"/>
          <w:color w:val="222222"/>
          <w:shd w:val="clear" w:color="auto" w:fill="FFFFFF"/>
        </w:rPr>
        <w:t>r</w:t>
      </w:r>
      <w:r w:rsidRPr="00B12B3B">
        <w:rPr>
          <w:rFonts w:asciiTheme="minorHAnsi" w:hAnsiTheme="minorHAnsi" w:cstheme="minorHAnsi"/>
          <w:color w:val="222222"/>
          <w:shd w:val="clear" w:color="auto" w:fill="FFFFFF"/>
        </w:rPr>
        <w:t>ti</w:t>
      </w:r>
      <w:r w:rsidR="00D86281" w:rsidRPr="00B12B3B">
        <w:rPr>
          <w:rFonts w:asciiTheme="minorHAnsi" w:hAnsiTheme="minorHAnsi" w:cstheme="minorHAnsi"/>
          <w:color w:val="222222"/>
          <w:shd w:val="clear" w:color="auto" w:fill="FFFFFF"/>
        </w:rPr>
        <w:t>cipants</w:t>
      </w:r>
      <w:r w:rsidRPr="00B12B3B">
        <w:rPr>
          <w:rFonts w:asciiTheme="minorHAnsi" w:hAnsiTheme="minorHAnsi" w:cstheme="minorHAnsi"/>
          <w:color w:val="222222"/>
          <w:shd w:val="clear" w:color="auto" w:fill="FFFFFF"/>
        </w:rPr>
        <w:t xml:space="preserve">, however </w:t>
      </w:r>
      <w:r w:rsidR="001003A5" w:rsidRPr="00B12B3B">
        <w:rPr>
          <w:rFonts w:asciiTheme="minorHAnsi" w:hAnsiTheme="minorHAnsi" w:cstheme="minorHAnsi"/>
          <w:color w:val="222222"/>
          <w:shd w:val="clear" w:color="auto" w:fill="FFFFFF"/>
        </w:rPr>
        <w:t xml:space="preserve">hair </w:t>
      </w:r>
      <w:r w:rsidRPr="00B12B3B">
        <w:rPr>
          <w:rFonts w:asciiTheme="minorHAnsi" w:hAnsiTheme="minorHAnsi" w:cstheme="minorHAnsi"/>
          <w:color w:val="222222"/>
          <w:shd w:val="clear" w:color="auto" w:fill="FFFFFF"/>
        </w:rPr>
        <w:t>sample</w:t>
      </w:r>
      <w:r w:rsidR="0062665D" w:rsidRPr="00B12B3B">
        <w:rPr>
          <w:rFonts w:asciiTheme="minorHAnsi" w:hAnsiTheme="minorHAnsi" w:cstheme="minorHAnsi"/>
          <w:color w:val="222222"/>
          <w:shd w:val="clear" w:color="auto" w:fill="FFFFFF"/>
        </w:rPr>
        <w:t>s</w:t>
      </w:r>
      <w:r w:rsidRPr="00B12B3B">
        <w:rPr>
          <w:rFonts w:asciiTheme="minorHAnsi" w:hAnsiTheme="minorHAnsi" w:cstheme="minorHAnsi"/>
          <w:color w:val="222222"/>
          <w:shd w:val="clear" w:color="auto" w:fill="FFFFFF"/>
        </w:rPr>
        <w:t xml:space="preserve"> </w:t>
      </w:r>
      <w:r w:rsidR="0062665D" w:rsidRPr="00B12B3B">
        <w:rPr>
          <w:rFonts w:asciiTheme="minorHAnsi" w:hAnsiTheme="minorHAnsi" w:cstheme="minorHAnsi"/>
          <w:color w:val="222222"/>
          <w:shd w:val="clear" w:color="auto" w:fill="FFFFFF"/>
        </w:rPr>
        <w:t xml:space="preserve">need to </w:t>
      </w:r>
      <w:r w:rsidR="001003A5" w:rsidRPr="00B12B3B">
        <w:rPr>
          <w:rFonts w:asciiTheme="minorHAnsi" w:hAnsiTheme="minorHAnsi" w:cstheme="minorHAnsi"/>
          <w:color w:val="222222"/>
          <w:shd w:val="clear" w:color="auto" w:fill="FFFFFF"/>
        </w:rPr>
        <w:t xml:space="preserve">weigh </w:t>
      </w:r>
      <w:r w:rsidR="0062665D" w:rsidRPr="00B12B3B">
        <w:rPr>
          <w:rFonts w:asciiTheme="minorHAnsi" w:hAnsiTheme="minorHAnsi" w:cstheme="minorHAnsi"/>
          <w:color w:val="222222"/>
          <w:shd w:val="clear" w:color="auto" w:fill="FFFFFF"/>
        </w:rPr>
        <w:t>at least 25 grams</w:t>
      </w:r>
      <w:r w:rsidR="001003A5" w:rsidRPr="00B12B3B">
        <w:rPr>
          <w:rFonts w:asciiTheme="minorHAnsi" w:hAnsiTheme="minorHAnsi" w:cstheme="minorHAnsi"/>
          <w:color w:val="222222"/>
          <w:shd w:val="clear" w:color="auto" w:fill="FFFFFF"/>
        </w:rPr>
        <w:t xml:space="preserve"> to assess</w:t>
      </w:r>
      <w:r w:rsidR="0062665D" w:rsidRPr="00B12B3B">
        <w:rPr>
          <w:rFonts w:asciiTheme="minorHAnsi" w:hAnsiTheme="minorHAnsi" w:cstheme="minorHAnsi"/>
          <w:color w:val="222222"/>
          <w:shd w:val="clear" w:color="auto" w:fill="FFFFFF"/>
        </w:rPr>
        <w:t xml:space="preserve">, and in nine patients this was impossible to obtain because of hairstyle; hence only 5 samples </w:t>
      </w:r>
      <w:r w:rsidR="001003A5" w:rsidRPr="00B12B3B">
        <w:rPr>
          <w:rFonts w:asciiTheme="minorHAnsi" w:hAnsiTheme="minorHAnsi" w:cstheme="minorHAnsi"/>
          <w:color w:val="222222"/>
          <w:shd w:val="clear" w:color="auto" w:fill="FFFFFF"/>
        </w:rPr>
        <w:t xml:space="preserve">were eligible to </w:t>
      </w:r>
      <w:r w:rsidR="0062665D" w:rsidRPr="00B12B3B">
        <w:rPr>
          <w:rFonts w:asciiTheme="minorHAnsi" w:hAnsiTheme="minorHAnsi" w:cstheme="minorHAnsi"/>
          <w:color w:val="222222"/>
          <w:shd w:val="clear" w:color="auto" w:fill="FFFFFF"/>
        </w:rPr>
        <w:t xml:space="preserve">be assessed. They were compared with 5 healthy samples obtained and assessed in the same manner. </w:t>
      </w:r>
      <w:r w:rsidR="0024389F" w:rsidRPr="00B12B3B">
        <w:rPr>
          <w:rFonts w:asciiTheme="minorHAnsi" w:hAnsiTheme="minorHAnsi" w:cstheme="minorHAnsi"/>
          <w:color w:val="222222"/>
          <w:shd w:val="clear" w:color="auto" w:fill="FFFFFF"/>
        </w:rPr>
        <w:t>The CANDO healthy sample was taken at the beginning of the lockdown. The last month levels in the healthy sample indicate levels at the beginning of lockdown</w:t>
      </w:r>
      <w:r w:rsidR="001003A5" w:rsidRPr="00B12B3B">
        <w:rPr>
          <w:rFonts w:asciiTheme="minorHAnsi" w:hAnsiTheme="minorHAnsi" w:cstheme="minorHAnsi"/>
          <w:color w:val="222222"/>
          <w:shd w:val="clear" w:color="auto" w:fill="FFFFFF"/>
        </w:rPr>
        <w:t xml:space="preserve"> (March 2020)</w:t>
      </w:r>
      <w:r w:rsidR="0024389F" w:rsidRPr="00B12B3B">
        <w:rPr>
          <w:rFonts w:asciiTheme="minorHAnsi" w:hAnsiTheme="minorHAnsi" w:cstheme="minorHAnsi"/>
          <w:color w:val="222222"/>
          <w:shd w:val="clear" w:color="auto" w:fill="FFFFFF"/>
        </w:rPr>
        <w:t>. The earlier healthy sample</w:t>
      </w:r>
      <w:r w:rsidR="0049715D" w:rsidRPr="00B12B3B">
        <w:rPr>
          <w:rFonts w:asciiTheme="minorHAnsi" w:hAnsiTheme="minorHAnsi" w:cstheme="minorHAnsi"/>
          <w:color w:val="222222"/>
          <w:shd w:val="clear" w:color="auto" w:fill="FFFFFF"/>
        </w:rPr>
        <w:t>s</w:t>
      </w:r>
      <w:r w:rsidR="0024389F" w:rsidRPr="00B12B3B">
        <w:rPr>
          <w:rFonts w:asciiTheme="minorHAnsi" w:hAnsiTheme="minorHAnsi" w:cstheme="minorHAnsi"/>
          <w:color w:val="222222"/>
          <w:shd w:val="clear" w:color="auto" w:fill="FFFFFF"/>
        </w:rPr>
        <w:t xml:space="preserve"> indicate levels </w:t>
      </w:r>
      <w:r w:rsidR="00ED5248" w:rsidRPr="00B12B3B">
        <w:rPr>
          <w:rFonts w:asciiTheme="minorHAnsi" w:hAnsiTheme="minorHAnsi" w:cstheme="minorHAnsi"/>
          <w:color w:val="222222"/>
          <w:shd w:val="clear" w:color="auto" w:fill="FFFFFF"/>
        </w:rPr>
        <w:t xml:space="preserve">approximately 1 month </w:t>
      </w:r>
      <w:r w:rsidR="0024389F" w:rsidRPr="00B12B3B">
        <w:rPr>
          <w:rFonts w:asciiTheme="minorHAnsi" w:hAnsiTheme="minorHAnsi" w:cstheme="minorHAnsi"/>
          <w:color w:val="222222"/>
          <w:shd w:val="clear" w:color="auto" w:fill="FFFFFF"/>
        </w:rPr>
        <w:t xml:space="preserve">before the </w:t>
      </w:r>
      <w:r w:rsidR="0049715D" w:rsidRPr="00B12B3B">
        <w:rPr>
          <w:rFonts w:asciiTheme="minorHAnsi" w:hAnsiTheme="minorHAnsi" w:cstheme="minorHAnsi"/>
          <w:color w:val="222222"/>
          <w:shd w:val="clear" w:color="auto" w:fill="FFFFFF"/>
        </w:rPr>
        <w:t>COVID-19</w:t>
      </w:r>
      <w:r w:rsidR="0024389F" w:rsidRPr="00B12B3B">
        <w:rPr>
          <w:rFonts w:asciiTheme="minorHAnsi" w:hAnsiTheme="minorHAnsi" w:cstheme="minorHAnsi"/>
          <w:color w:val="222222"/>
          <w:shd w:val="clear" w:color="auto" w:fill="FFFFFF"/>
        </w:rPr>
        <w:t xml:space="preserve"> outbreak and lockdown. None of the levels differed significantly within the samples and there was no significant difference between the samples</w:t>
      </w:r>
      <w:r w:rsidR="0049715D" w:rsidRPr="00B12B3B">
        <w:rPr>
          <w:rFonts w:asciiTheme="minorHAnsi" w:hAnsiTheme="minorHAnsi" w:cstheme="minorHAnsi"/>
          <w:color w:val="222222"/>
          <w:shd w:val="clear" w:color="auto" w:fill="FFFFFF"/>
        </w:rPr>
        <w:t>.</w:t>
      </w:r>
      <w:r w:rsidR="0024389F" w:rsidRPr="00B12B3B">
        <w:rPr>
          <w:rFonts w:asciiTheme="minorHAnsi" w:hAnsiTheme="minorHAnsi" w:cstheme="minorHAnsi"/>
          <w:color w:val="222222"/>
          <w:shd w:val="clear" w:color="auto" w:fill="FFFFFF"/>
        </w:rPr>
        <w:t xml:space="preserve"> </w:t>
      </w:r>
      <w:r w:rsidR="0049715D" w:rsidRPr="00B12B3B">
        <w:rPr>
          <w:rFonts w:asciiTheme="minorHAnsi" w:hAnsiTheme="minorHAnsi" w:cstheme="minorHAnsi"/>
          <w:color w:val="222222"/>
          <w:shd w:val="clear" w:color="auto" w:fill="FFFFFF"/>
        </w:rPr>
        <w:t>T</w:t>
      </w:r>
      <w:r w:rsidR="0024389F" w:rsidRPr="00B12B3B">
        <w:rPr>
          <w:rFonts w:asciiTheme="minorHAnsi" w:hAnsiTheme="minorHAnsi" w:cstheme="minorHAnsi"/>
          <w:color w:val="222222"/>
          <w:shd w:val="clear" w:color="auto" w:fill="FFFFFF"/>
        </w:rPr>
        <w:t xml:space="preserve">he means were in the normal score ranges. </w:t>
      </w:r>
    </w:p>
    <w:p w14:paraId="677D07DF" w14:textId="77777777" w:rsidR="00EB61C2" w:rsidRPr="00B12B3B" w:rsidRDefault="00EB61C2" w:rsidP="0093117A">
      <w:pPr>
        <w:spacing w:after="200" w:line="360" w:lineRule="auto"/>
        <w:rPr>
          <w:rFonts w:asciiTheme="minorHAnsi" w:hAnsiTheme="minorHAnsi" w:cstheme="minorHAnsi"/>
          <w:color w:val="222222"/>
          <w:shd w:val="clear" w:color="auto" w:fill="FFFFFF"/>
        </w:rPr>
      </w:pPr>
    </w:p>
    <w:p w14:paraId="3609691B" w14:textId="40C18488" w:rsidR="0044504D" w:rsidRPr="00B12B3B" w:rsidRDefault="0070767B" w:rsidP="0049715D">
      <w:pPr>
        <w:pStyle w:val="Lijstalinea"/>
        <w:numPr>
          <w:ilvl w:val="0"/>
          <w:numId w:val="27"/>
        </w:numPr>
        <w:spacing w:line="360" w:lineRule="auto"/>
        <w:jc w:val="both"/>
        <w:rPr>
          <w:rFonts w:asciiTheme="minorHAnsi" w:hAnsiTheme="minorHAnsi" w:cstheme="minorHAnsi"/>
          <w:b/>
          <w:bCs/>
        </w:rPr>
      </w:pPr>
      <w:r w:rsidRPr="00B12B3B">
        <w:rPr>
          <w:rFonts w:asciiTheme="minorHAnsi" w:hAnsiTheme="minorHAnsi" w:cstheme="minorHAnsi"/>
          <w:b/>
          <w:bCs/>
        </w:rPr>
        <w:t>Discussion</w:t>
      </w:r>
    </w:p>
    <w:p w14:paraId="5D6E0DE4" w14:textId="3DAB5829" w:rsidR="008B127E" w:rsidRPr="00B12B3B" w:rsidRDefault="001C4CCB" w:rsidP="000F4D09">
      <w:pPr>
        <w:spacing w:line="360" w:lineRule="auto"/>
        <w:jc w:val="both"/>
        <w:rPr>
          <w:rFonts w:asciiTheme="minorHAnsi" w:hAnsiTheme="minorHAnsi" w:cstheme="minorHAnsi"/>
          <w:b/>
          <w:bCs/>
        </w:rPr>
      </w:pPr>
      <w:r w:rsidRPr="00B12B3B">
        <w:rPr>
          <w:rFonts w:asciiTheme="minorHAnsi" w:hAnsiTheme="minorHAnsi" w:cstheme="minorHAnsi"/>
          <w:b/>
          <w:bCs/>
        </w:rPr>
        <w:t>4.1</w:t>
      </w:r>
      <w:r w:rsidRPr="00B12B3B">
        <w:rPr>
          <w:rFonts w:asciiTheme="minorHAnsi" w:hAnsiTheme="minorHAnsi" w:cstheme="minorHAnsi"/>
          <w:b/>
          <w:bCs/>
        </w:rPr>
        <w:tab/>
        <w:t>Feasibility</w:t>
      </w:r>
    </w:p>
    <w:p w14:paraId="6885E818" w14:textId="47E49E52" w:rsidR="00433369" w:rsidRPr="00B12B3B" w:rsidRDefault="00F77DAC" w:rsidP="00887CEE">
      <w:pPr>
        <w:autoSpaceDE w:val="0"/>
        <w:autoSpaceDN w:val="0"/>
        <w:adjustRightInd w:val="0"/>
        <w:spacing w:line="360" w:lineRule="auto"/>
        <w:jc w:val="both"/>
        <w:rPr>
          <w:rFonts w:asciiTheme="minorHAnsi" w:hAnsiTheme="minorHAnsi" w:cstheme="minorHAnsi"/>
          <w:bCs/>
        </w:rPr>
      </w:pPr>
      <w:r w:rsidRPr="00B12B3B">
        <w:rPr>
          <w:rFonts w:asciiTheme="minorHAnsi" w:hAnsiTheme="minorHAnsi" w:cstheme="minorHAnsi"/>
        </w:rPr>
        <w:t xml:space="preserve">We found that </w:t>
      </w:r>
      <w:r w:rsidRPr="00B12B3B">
        <w:rPr>
          <w:rFonts w:asciiTheme="minorHAnsi" w:hAnsiTheme="minorHAnsi" w:cstheme="minorHAnsi"/>
          <w:lang w:val="nl-NL"/>
        </w:rPr>
        <w:t xml:space="preserve">85% of people approached could be recruited. Because of COVID-19, recruitment had </w:t>
      </w:r>
      <w:proofErr w:type="spellStart"/>
      <w:r w:rsidRPr="00B12B3B">
        <w:rPr>
          <w:rFonts w:asciiTheme="minorHAnsi" w:hAnsiTheme="minorHAnsi" w:cstheme="minorHAnsi"/>
          <w:lang w:val="nl-NL"/>
        </w:rPr>
        <w:t>to</w:t>
      </w:r>
      <w:proofErr w:type="spellEnd"/>
      <w:r w:rsidRPr="00B12B3B">
        <w:rPr>
          <w:rFonts w:asciiTheme="minorHAnsi" w:hAnsiTheme="minorHAnsi" w:cstheme="minorHAnsi"/>
          <w:lang w:val="nl-NL"/>
        </w:rPr>
        <w:t xml:space="preserve"> </w:t>
      </w:r>
      <w:proofErr w:type="spellStart"/>
      <w:r w:rsidRPr="00B12B3B">
        <w:rPr>
          <w:rFonts w:asciiTheme="minorHAnsi" w:hAnsiTheme="minorHAnsi" w:cstheme="minorHAnsi"/>
          <w:lang w:val="nl-NL"/>
        </w:rPr>
        <w:t>be</w:t>
      </w:r>
      <w:proofErr w:type="spellEnd"/>
      <w:r w:rsidRPr="00B12B3B">
        <w:rPr>
          <w:rFonts w:asciiTheme="minorHAnsi" w:hAnsiTheme="minorHAnsi" w:cstheme="minorHAnsi"/>
          <w:lang w:val="nl-NL"/>
        </w:rPr>
        <w:t xml:space="preserve"> </w:t>
      </w:r>
      <w:proofErr w:type="spellStart"/>
      <w:r w:rsidRPr="00B12B3B">
        <w:rPr>
          <w:rFonts w:asciiTheme="minorHAnsi" w:hAnsiTheme="minorHAnsi" w:cstheme="minorHAnsi"/>
          <w:lang w:val="nl-NL"/>
        </w:rPr>
        <w:t>stopped</w:t>
      </w:r>
      <w:proofErr w:type="spellEnd"/>
      <w:r w:rsidRPr="00B12B3B">
        <w:rPr>
          <w:rFonts w:asciiTheme="minorHAnsi" w:hAnsiTheme="minorHAnsi" w:cstheme="minorHAnsi"/>
          <w:lang w:val="nl-NL"/>
        </w:rPr>
        <w:t xml:space="preserve"> in 7 </w:t>
      </w:r>
      <w:proofErr w:type="spellStart"/>
      <w:r w:rsidR="00D86281" w:rsidRPr="00B12B3B">
        <w:rPr>
          <w:rFonts w:asciiTheme="minorHAnsi" w:hAnsiTheme="minorHAnsi" w:cstheme="minorHAnsi"/>
          <w:lang w:val="nl-NL"/>
        </w:rPr>
        <w:t>potential</w:t>
      </w:r>
      <w:proofErr w:type="spellEnd"/>
      <w:r w:rsidR="00D86281" w:rsidRPr="00B12B3B">
        <w:rPr>
          <w:rFonts w:asciiTheme="minorHAnsi" w:hAnsiTheme="minorHAnsi" w:cstheme="minorHAnsi"/>
          <w:lang w:val="nl-NL"/>
        </w:rPr>
        <w:t xml:space="preserve"> </w:t>
      </w:r>
      <w:proofErr w:type="spellStart"/>
      <w:r w:rsidRPr="00B12B3B">
        <w:rPr>
          <w:rFonts w:asciiTheme="minorHAnsi" w:hAnsiTheme="minorHAnsi" w:cstheme="minorHAnsi"/>
          <w:lang w:val="nl-NL"/>
        </w:rPr>
        <w:t>pa</w:t>
      </w:r>
      <w:r w:rsidR="00D86281" w:rsidRPr="00B12B3B">
        <w:rPr>
          <w:rFonts w:asciiTheme="minorHAnsi" w:hAnsiTheme="minorHAnsi" w:cstheme="minorHAnsi"/>
          <w:lang w:val="nl-NL"/>
        </w:rPr>
        <w:t>r</w:t>
      </w:r>
      <w:r w:rsidRPr="00B12B3B">
        <w:rPr>
          <w:rFonts w:asciiTheme="minorHAnsi" w:hAnsiTheme="minorHAnsi" w:cstheme="minorHAnsi"/>
          <w:lang w:val="nl-NL"/>
        </w:rPr>
        <w:t>ti</w:t>
      </w:r>
      <w:r w:rsidR="00D86281" w:rsidRPr="00B12B3B">
        <w:rPr>
          <w:rFonts w:asciiTheme="minorHAnsi" w:hAnsiTheme="minorHAnsi" w:cstheme="minorHAnsi"/>
          <w:lang w:val="nl-NL"/>
        </w:rPr>
        <w:t>cipants</w:t>
      </w:r>
      <w:proofErr w:type="spellEnd"/>
      <w:r w:rsidRPr="00B12B3B">
        <w:rPr>
          <w:rFonts w:asciiTheme="minorHAnsi" w:hAnsiTheme="minorHAnsi" w:cstheme="minorHAnsi"/>
          <w:lang w:val="nl-NL"/>
        </w:rPr>
        <w:t xml:space="preserve"> (27%). </w:t>
      </w:r>
      <w:r w:rsidRPr="00B12B3B">
        <w:rPr>
          <w:rFonts w:asciiTheme="minorHAnsi" w:hAnsiTheme="minorHAnsi" w:cstheme="minorHAnsi"/>
        </w:rPr>
        <w:t xml:space="preserve">A variety of sites were interested in participating including </w:t>
      </w:r>
      <w:r w:rsidRPr="00B12B3B">
        <w:rPr>
          <w:rFonts w:asciiTheme="minorHAnsi" w:hAnsiTheme="minorHAnsi" w:cstheme="minorHAnsi"/>
          <w:color w:val="222222"/>
          <w:shd w:val="clear" w:color="auto" w:fill="FFFFFF"/>
        </w:rPr>
        <w:t xml:space="preserve">sites outside mental health NHS trusts, such as neurology departments, physiotherapy practices, and primary care sites. </w:t>
      </w:r>
      <w:r w:rsidRPr="00B12B3B">
        <w:rPr>
          <w:rFonts w:asciiTheme="minorHAnsi" w:hAnsiTheme="minorHAnsi" w:cstheme="minorHAnsi"/>
          <w:color w:val="222222"/>
          <w:shd w:val="clear" w:color="auto" w:fill="FFFFFF"/>
          <w:lang w:val="nl-NL"/>
        </w:rPr>
        <w:t xml:space="preserve">Data were complete with an attrition rate of 13% before COVID-19 halted the study. We </w:t>
      </w:r>
      <w:proofErr w:type="spellStart"/>
      <w:r w:rsidRPr="00B12B3B">
        <w:rPr>
          <w:rFonts w:asciiTheme="minorHAnsi" w:hAnsiTheme="minorHAnsi" w:cstheme="minorHAnsi"/>
          <w:color w:val="222222"/>
          <w:shd w:val="clear" w:color="auto" w:fill="FFFFFF"/>
          <w:lang w:val="nl-NL"/>
        </w:rPr>
        <w:t>were</w:t>
      </w:r>
      <w:proofErr w:type="spellEnd"/>
      <w:r w:rsidRPr="00B12B3B">
        <w:rPr>
          <w:rFonts w:asciiTheme="minorHAnsi" w:hAnsiTheme="minorHAnsi" w:cstheme="minorHAnsi"/>
          <w:color w:val="222222"/>
          <w:shd w:val="clear" w:color="auto" w:fill="FFFFFF"/>
          <w:lang w:val="nl-NL"/>
        </w:rPr>
        <w:t xml:space="preserve"> </w:t>
      </w:r>
      <w:proofErr w:type="spellStart"/>
      <w:r w:rsidRPr="00B12B3B">
        <w:rPr>
          <w:rFonts w:asciiTheme="minorHAnsi" w:hAnsiTheme="minorHAnsi" w:cstheme="minorHAnsi"/>
          <w:color w:val="222222"/>
          <w:shd w:val="clear" w:color="auto" w:fill="FFFFFF"/>
          <w:lang w:val="nl-NL"/>
        </w:rPr>
        <w:t>also</w:t>
      </w:r>
      <w:proofErr w:type="spellEnd"/>
      <w:r w:rsidRPr="00B12B3B">
        <w:rPr>
          <w:rFonts w:asciiTheme="minorHAnsi" w:hAnsiTheme="minorHAnsi" w:cstheme="minorHAnsi"/>
          <w:color w:val="222222"/>
          <w:shd w:val="clear" w:color="auto" w:fill="FFFFFF"/>
          <w:lang w:val="nl-NL"/>
        </w:rPr>
        <w:t xml:space="preserve"> </w:t>
      </w:r>
      <w:proofErr w:type="spellStart"/>
      <w:r w:rsidRPr="00B12B3B">
        <w:rPr>
          <w:rFonts w:asciiTheme="minorHAnsi" w:hAnsiTheme="minorHAnsi" w:cstheme="minorHAnsi"/>
          <w:color w:val="222222"/>
          <w:shd w:val="clear" w:color="auto" w:fill="FFFFFF"/>
          <w:lang w:val="nl-NL"/>
        </w:rPr>
        <w:t>able</w:t>
      </w:r>
      <w:proofErr w:type="spellEnd"/>
      <w:r w:rsidRPr="00B12B3B">
        <w:rPr>
          <w:rFonts w:asciiTheme="minorHAnsi" w:hAnsiTheme="minorHAnsi" w:cstheme="minorHAnsi"/>
          <w:color w:val="222222"/>
          <w:shd w:val="clear" w:color="auto" w:fill="FFFFFF"/>
          <w:lang w:val="nl-NL"/>
        </w:rPr>
        <w:t xml:space="preserve"> </w:t>
      </w:r>
      <w:proofErr w:type="spellStart"/>
      <w:r w:rsidRPr="00B12B3B">
        <w:rPr>
          <w:rFonts w:asciiTheme="minorHAnsi" w:hAnsiTheme="minorHAnsi" w:cstheme="minorHAnsi"/>
          <w:color w:val="222222"/>
          <w:shd w:val="clear" w:color="auto" w:fill="FFFFFF"/>
          <w:lang w:val="nl-NL"/>
        </w:rPr>
        <w:t>to</w:t>
      </w:r>
      <w:proofErr w:type="spellEnd"/>
      <w:r w:rsidRPr="00B12B3B">
        <w:rPr>
          <w:rFonts w:asciiTheme="minorHAnsi" w:hAnsiTheme="minorHAnsi" w:cstheme="minorHAnsi"/>
          <w:color w:val="222222"/>
          <w:shd w:val="clear" w:color="auto" w:fill="FFFFFF"/>
          <w:lang w:val="nl-NL"/>
        </w:rPr>
        <w:t xml:space="preserve"> d</w:t>
      </w:r>
      <w:proofErr w:type="spellStart"/>
      <w:r w:rsidRPr="00B12B3B">
        <w:rPr>
          <w:rFonts w:asciiTheme="minorHAnsi" w:hAnsiTheme="minorHAnsi" w:cstheme="minorHAnsi"/>
        </w:rPr>
        <w:t>evelop</w:t>
      </w:r>
      <w:proofErr w:type="spellEnd"/>
      <w:r w:rsidRPr="00B12B3B">
        <w:rPr>
          <w:rFonts w:asciiTheme="minorHAnsi" w:hAnsiTheme="minorHAnsi" w:cstheme="minorHAnsi"/>
        </w:rPr>
        <w:t xml:space="preserve"> a reliable network for the collection, appropriate storage and transport to laboratories of samples ensuring valid test outcomes. </w:t>
      </w:r>
      <w:r w:rsidR="00D86281" w:rsidRPr="00B12B3B">
        <w:rPr>
          <w:rFonts w:asciiTheme="minorHAnsi" w:hAnsiTheme="minorHAnsi" w:cstheme="minorHAnsi"/>
          <w:color w:val="222222"/>
          <w:shd w:val="clear" w:color="auto" w:fill="FFFFFF"/>
        </w:rPr>
        <w:t>S</w:t>
      </w:r>
      <w:r w:rsidRPr="00B12B3B">
        <w:rPr>
          <w:rFonts w:asciiTheme="minorHAnsi" w:hAnsiTheme="minorHAnsi" w:cstheme="minorHAnsi"/>
          <w:color w:val="222222"/>
          <w:shd w:val="clear" w:color="auto" w:fill="FFFFFF"/>
        </w:rPr>
        <w:t>tudy procedures were acceptable for pa</w:t>
      </w:r>
      <w:r w:rsidR="00D86281" w:rsidRPr="00B12B3B">
        <w:rPr>
          <w:rFonts w:asciiTheme="minorHAnsi" w:hAnsiTheme="minorHAnsi" w:cstheme="minorHAnsi"/>
          <w:color w:val="222222"/>
          <w:shd w:val="clear" w:color="auto" w:fill="FFFFFF"/>
        </w:rPr>
        <w:t>r</w:t>
      </w:r>
      <w:r w:rsidRPr="00B12B3B">
        <w:rPr>
          <w:rFonts w:asciiTheme="minorHAnsi" w:hAnsiTheme="minorHAnsi" w:cstheme="minorHAnsi"/>
          <w:color w:val="222222"/>
          <w:shd w:val="clear" w:color="auto" w:fill="FFFFFF"/>
        </w:rPr>
        <w:t>ti</w:t>
      </w:r>
      <w:r w:rsidR="00D86281" w:rsidRPr="00B12B3B">
        <w:rPr>
          <w:rFonts w:asciiTheme="minorHAnsi" w:hAnsiTheme="minorHAnsi" w:cstheme="minorHAnsi"/>
          <w:color w:val="222222"/>
          <w:shd w:val="clear" w:color="auto" w:fill="FFFFFF"/>
        </w:rPr>
        <w:t>cipants</w:t>
      </w:r>
      <w:r w:rsidRPr="00B12B3B">
        <w:rPr>
          <w:rFonts w:asciiTheme="minorHAnsi" w:hAnsiTheme="minorHAnsi" w:cstheme="minorHAnsi"/>
          <w:color w:val="222222"/>
          <w:shd w:val="clear" w:color="auto" w:fill="FFFFFF"/>
        </w:rPr>
        <w:t xml:space="preserve">, in terms of tolerance for the duration of interviews, blood sampling and potentially distressing revisiting of past events, as well as willingness to attend psychiatric assessment. </w:t>
      </w:r>
      <w:r w:rsidRPr="00B12B3B">
        <w:rPr>
          <w:rFonts w:asciiTheme="minorHAnsi" w:hAnsiTheme="minorHAnsi" w:cstheme="minorHAnsi"/>
        </w:rPr>
        <w:t xml:space="preserve">Participants were positively engaged and other members of the public engaged spontaneously. There was a general consensus that this condition is understudied and </w:t>
      </w:r>
      <w:r w:rsidR="00D86281" w:rsidRPr="00B12B3B">
        <w:rPr>
          <w:rFonts w:asciiTheme="minorHAnsi" w:hAnsiTheme="minorHAnsi" w:cstheme="minorHAnsi"/>
        </w:rPr>
        <w:t xml:space="preserve">the </w:t>
      </w:r>
      <w:r w:rsidRPr="00B12B3B">
        <w:rPr>
          <w:rFonts w:asciiTheme="minorHAnsi" w:hAnsiTheme="minorHAnsi" w:cstheme="minorHAnsi"/>
        </w:rPr>
        <w:t>PPI</w:t>
      </w:r>
      <w:r w:rsidR="00D86281" w:rsidRPr="00B12B3B">
        <w:rPr>
          <w:rFonts w:asciiTheme="minorHAnsi" w:hAnsiTheme="minorHAnsi" w:cstheme="minorHAnsi"/>
        </w:rPr>
        <w:t xml:space="preserve"> group</w:t>
      </w:r>
      <w:r w:rsidRPr="00B12B3B">
        <w:rPr>
          <w:rFonts w:asciiTheme="minorHAnsi" w:hAnsiTheme="minorHAnsi" w:cstheme="minorHAnsi"/>
        </w:rPr>
        <w:t xml:space="preserve"> supported this initiative wholeheartedly, which underscores the high clinical unmet need, the acceptability </w:t>
      </w:r>
      <w:r w:rsidRPr="00B12B3B">
        <w:rPr>
          <w:rFonts w:asciiTheme="minorHAnsi" w:hAnsiTheme="minorHAnsi" w:cstheme="minorHAnsi"/>
        </w:rPr>
        <w:lastRenderedPageBreak/>
        <w:t xml:space="preserve">of the study procedures to patients and carers, and the wish of patients and carers to support research in this domain. </w:t>
      </w:r>
      <w:r w:rsidR="008B127E" w:rsidRPr="00B12B3B">
        <w:rPr>
          <w:rFonts w:asciiTheme="minorHAnsi" w:hAnsiTheme="minorHAnsi" w:cstheme="minorHAnsi"/>
        </w:rPr>
        <w:t xml:space="preserve">As with most research studies, getting the design right, </w:t>
      </w:r>
      <w:r w:rsidR="00EF0BF5" w:rsidRPr="00B12B3B">
        <w:rPr>
          <w:rFonts w:asciiTheme="minorHAnsi" w:hAnsiTheme="minorHAnsi" w:cstheme="minorHAnsi"/>
        </w:rPr>
        <w:t>study set-up</w:t>
      </w:r>
      <w:r w:rsidR="008B127E" w:rsidRPr="00B12B3B">
        <w:rPr>
          <w:rFonts w:asciiTheme="minorHAnsi" w:hAnsiTheme="minorHAnsi" w:cstheme="minorHAnsi"/>
        </w:rPr>
        <w:t xml:space="preserve">, </w:t>
      </w:r>
      <w:r w:rsidR="00EF0BF5" w:rsidRPr="00B12B3B">
        <w:rPr>
          <w:rFonts w:asciiTheme="minorHAnsi" w:hAnsiTheme="minorHAnsi" w:cstheme="minorHAnsi"/>
        </w:rPr>
        <w:t>obtaining</w:t>
      </w:r>
      <w:r w:rsidR="008B127E" w:rsidRPr="00B12B3B">
        <w:rPr>
          <w:rFonts w:asciiTheme="minorHAnsi" w:hAnsiTheme="minorHAnsi" w:cstheme="minorHAnsi"/>
        </w:rPr>
        <w:t xml:space="preserve"> approvals and recruiting to time and target are major challenges.  This feasibility study has given the study team and collaborators the opportunity to refine the design and establish the networks needed for a full-scale trial. </w:t>
      </w:r>
      <w:r w:rsidR="008B127E" w:rsidRPr="00B12B3B">
        <w:rPr>
          <w:rFonts w:asciiTheme="minorHAnsi" w:hAnsiTheme="minorHAnsi" w:cstheme="minorHAnsi"/>
          <w:bCs/>
        </w:rPr>
        <w:t xml:space="preserve">We now know a lot more about how and where to recruit participants other than through </w:t>
      </w:r>
      <w:r w:rsidR="00EF0BF5" w:rsidRPr="00B12B3B">
        <w:rPr>
          <w:rFonts w:asciiTheme="minorHAnsi" w:hAnsiTheme="minorHAnsi" w:cstheme="minorHAnsi"/>
          <w:bCs/>
        </w:rPr>
        <w:t>m</w:t>
      </w:r>
      <w:r w:rsidR="008B127E" w:rsidRPr="00B12B3B">
        <w:rPr>
          <w:rFonts w:asciiTheme="minorHAnsi" w:hAnsiTheme="minorHAnsi" w:cstheme="minorHAnsi"/>
          <w:bCs/>
        </w:rPr>
        <w:t xml:space="preserve">ental </w:t>
      </w:r>
      <w:r w:rsidR="00EF0BF5" w:rsidRPr="00B12B3B">
        <w:rPr>
          <w:rFonts w:asciiTheme="minorHAnsi" w:hAnsiTheme="minorHAnsi" w:cstheme="minorHAnsi"/>
          <w:bCs/>
        </w:rPr>
        <w:t>he</w:t>
      </w:r>
      <w:r w:rsidR="008B127E" w:rsidRPr="00B12B3B">
        <w:rPr>
          <w:rFonts w:asciiTheme="minorHAnsi" w:hAnsiTheme="minorHAnsi" w:cstheme="minorHAnsi"/>
          <w:bCs/>
        </w:rPr>
        <w:t xml:space="preserve">alth NHS organisations. Also we know that patients may self-refer. </w:t>
      </w:r>
      <w:r w:rsidR="008B127E" w:rsidRPr="00B12B3B">
        <w:rPr>
          <w:rFonts w:asciiTheme="minorHAnsi" w:hAnsiTheme="minorHAnsi" w:cstheme="minorHAnsi"/>
        </w:rPr>
        <w:t>A greater challenge than anticipated was the determination of potential eligibility from secondary care medical records.  A two-part consent procedure might also be considered for a larger cohort. There is a n</w:t>
      </w:r>
      <w:r w:rsidR="008B127E" w:rsidRPr="00B12B3B">
        <w:rPr>
          <w:rFonts w:asciiTheme="minorHAnsi" w:hAnsiTheme="minorHAnsi" w:cstheme="minorHAnsi"/>
          <w:bCs/>
        </w:rPr>
        <w:t xml:space="preserve">eed to include a mechanism for </w:t>
      </w:r>
      <w:r w:rsidR="00EF0BF5" w:rsidRPr="00B12B3B">
        <w:rPr>
          <w:rFonts w:asciiTheme="minorHAnsi" w:hAnsiTheme="minorHAnsi" w:cstheme="minorHAnsi"/>
          <w:bCs/>
        </w:rPr>
        <w:t xml:space="preserve">obtaining </w:t>
      </w:r>
      <w:r w:rsidR="008B127E" w:rsidRPr="00B12B3B">
        <w:rPr>
          <w:rFonts w:asciiTheme="minorHAnsi" w:hAnsiTheme="minorHAnsi" w:cstheme="minorHAnsi"/>
          <w:bCs/>
        </w:rPr>
        <w:t xml:space="preserve">GP data which we would have if we were recruiting through primary care. We would then also possibly get a </w:t>
      </w:r>
      <w:r w:rsidR="00EF0BF5" w:rsidRPr="00B12B3B">
        <w:rPr>
          <w:rFonts w:asciiTheme="minorHAnsi" w:hAnsiTheme="minorHAnsi" w:cstheme="minorHAnsi"/>
          <w:bCs/>
        </w:rPr>
        <w:t>more representative sample.</w:t>
      </w:r>
      <w:r w:rsidR="008B127E" w:rsidRPr="00B12B3B">
        <w:rPr>
          <w:rFonts w:asciiTheme="minorHAnsi" w:hAnsiTheme="minorHAnsi" w:cstheme="minorHAnsi"/>
          <w:bCs/>
        </w:rPr>
        <w:t xml:space="preserve"> </w:t>
      </w:r>
      <w:r w:rsidR="0024389F" w:rsidRPr="00B12B3B">
        <w:rPr>
          <w:rFonts w:asciiTheme="minorHAnsi" w:hAnsiTheme="minorHAnsi" w:cstheme="minorHAnsi"/>
        </w:rPr>
        <w:t>As each of the criteria that we set when we designed the study</w:t>
      </w:r>
      <w:r w:rsidR="000B6FA5" w:rsidRPr="00B12B3B">
        <w:rPr>
          <w:rFonts w:asciiTheme="minorHAnsi" w:hAnsiTheme="minorHAnsi" w:cstheme="minorHAnsi"/>
        </w:rPr>
        <w:t xml:space="preserve"> </w:t>
      </w:r>
      <w:r w:rsidR="00241744" w:rsidRPr="00B12B3B">
        <w:rPr>
          <w:rFonts w:asciiTheme="minorHAnsi" w:hAnsiTheme="minorHAnsi" w:cstheme="minorHAnsi"/>
        </w:rPr>
        <w:t xml:space="preserve">(Van der Feltz-Cornelis et al., 2020b) </w:t>
      </w:r>
      <w:r w:rsidR="001003A5" w:rsidRPr="00B12B3B">
        <w:rPr>
          <w:rFonts w:asciiTheme="minorHAnsi" w:hAnsiTheme="minorHAnsi" w:cstheme="minorHAnsi"/>
        </w:rPr>
        <w:t xml:space="preserve"> </w:t>
      </w:r>
      <w:r w:rsidR="0024389F" w:rsidRPr="00B12B3B">
        <w:rPr>
          <w:rFonts w:asciiTheme="minorHAnsi" w:hAnsiTheme="minorHAnsi" w:cstheme="minorHAnsi"/>
        </w:rPr>
        <w:t>have been met, the evidence suggests that setting up a larger cohort would be feasible and valuable.</w:t>
      </w:r>
    </w:p>
    <w:p w14:paraId="07642B41" w14:textId="50EDC43B" w:rsidR="0062665D" w:rsidRPr="00B12B3B" w:rsidRDefault="001C4CCB" w:rsidP="00887CEE">
      <w:pPr>
        <w:autoSpaceDE w:val="0"/>
        <w:autoSpaceDN w:val="0"/>
        <w:adjustRightInd w:val="0"/>
        <w:spacing w:line="360" w:lineRule="auto"/>
        <w:jc w:val="both"/>
        <w:rPr>
          <w:rFonts w:asciiTheme="minorHAnsi" w:hAnsiTheme="minorHAnsi" w:cstheme="minorHAnsi"/>
        </w:rPr>
      </w:pPr>
      <w:r w:rsidRPr="00B12B3B">
        <w:rPr>
          <w:rFonts w:asciiTheme="minorHAnsi" w:hAnsiTheme="minorHAnsi" w:cstheme="minorHAnsi"/>
          <w:b/>
          <w:bCs/>
        </w:rPr>
        <w:t>4.2</w:t>
      </w:r>
      <w:r w:rsidRPr="00B12B3B">
        <w:rPr>
          <w:rFonts w:asciiTheme="minorHAnsi" w:hAnsiTheme="minorHAnsi" w:cstheme="minorHAnsi"/>
          <w:b/>
          <w:bCs/>
        </w:rPr>
        <w:tab/>
        <w:t>Characteristics of the patient group</w:t>
      </w:r>
    </w:p>
    <w:p w14:paraId="3A5D0217" w14:textId="34A1E725" w:rsidR="006F2C56" w:rsidRPr="00B12B3B" w:rsidRDefault="000859F3" w:rsidP="003234E8">
      <w:pPr>
        <w:autoSpaceDE w:val="0"/>
        <w:autoSpaceDN w:val="0"/>
        <w:adjustRightInd w:val="0"/>
        <w:spacing w:line="360" w:lineRule="auto"/>
        <w:jc w:val="both"/>
        <w:rPr>
          <w:rFonts w:asciiTheme="minorHAnsi" w:hAnsiTheme="minorHAnsi" w:cstheme="minorHAnsi"/>
          <w:b/>
          <w:bCs/>
        </w:rPr>
      </w:pPr>
      <w:r w:rsidRPr="00B12B3B">
        <w:rPr>
          <w:rFonts w:asciiTheme="minorHAnsi" w:hAnsiTheme="minorHAnsi" w:cstheme="minorHAnsi"/>
        </w:rPr>
        <w:t>Not only have the assessments proven to be mostly feasible, the outcomes also give an indication that this is a highly vulnerable patient group. Both physical and psychological symptom level</w:t>
      </w:r>
      <w:r w:rsidR="00794609" w:rsidRPr="00B12B3B">
        <w:rPr>
          <w:rFonts w:asciiTheme="minorHAnsi" w:hAnsiTheme="minorHAnsi" w:cstheme="minorHAnsi"/>
        </w:rPr>
        <w:t>s</w:t>
      </w:r>
      <w:r w:rsidRPr="00B12B3B">
        <w:rPr>
          <w:rFonts w:asciiTheme="minorHAnsi" w:hAnsiTheme="minorHAnsi" w:cstheme="minorHAnsi"/>
        </w:rPr>
        <w:t xml:space="preserve"> </w:t>
      </w:r>
      <w:r w:rsidR="00794609" w:rsidRPr="00B12B3B">
        <w:rPr>
          <w:rFonts w:asciiTheme="minorHAnsi" w:hAnsiTheme="minorHAnsi" w:cstheme="minorHAnsi"/>
        </w:rPr>
        <w:t>are</w:t>
      </w:r>
      <w:r w:rsidRPr="00B12B3B">
        <w:rPr>
          <w:rFonts w:asciiTheme="minorHAnsi" w:hAnsiTheme="minorHAnsi" w:cstheme="minorHAnsi"/>
        </w:rPr>
        <w:t xml:space="preserve"> high, comorbidity with other mental disorders such as depression and anxiety is high</w:t>
      </w:r>
      <w:r w:rsidR="00794609" w:rsidRPr="00B12B3B">
        <w:rPr>
          <w:rFonts w:asciiTheme="minorHAnsi" w:hAnsiTheme="minorHAnsi" w:cstheme="minorHAnsi"/>
        </w:rPr>
        <w:t xml:space="preserve"> and p</w:t>
      </w:r>
      <w:r w:rsidRPr="00B12B3B">
        <w:rPr>
          <w:rFonts w:asciiTheme="minorHAnsi" w:hAnsiTheme="minorHAnsi" w:cstheme="minorHAnsi"/>
        </w:rPr>
        <w:t xml:space="preserve">hysical symptoms not only occur in the domain of </w:t>
      </w:r>
      <w:r w:rsidR="00592CDF" w:rsidRPr="00B12B3B">
        <w:rPr>
          <w:rFonts w:asciiTheme="minorHAnsi" w:hAnsiTheme="minorHAnsi" w:cstheme="minorHAnsi"/>
        </w:rPr>
        <w:t>CD/</w:t>
      </w:r>
      <w:r w:rsidRPr="00B12B3B">
        <w:rPr>
          <w:rFonts w:asciiTheme="minorHAnsi" w:hAnsiTheme="minorHAnsi" w:cstheme="minorHAnsi"/>
        </w:rPr>
        <w:t xml:space="preserve">FND, but also in other physical domains, even though we took great care to exclude patients with </w:t>
      </w:r>
      <w:r w:rsidR="001608D4" w:rsidRPr="00B12B3B">
        <w:rPr>
          <w:rFonts w:asciiTheme="minorHAnsi" w:hAnsiTheme="minorHAnsi" w:cstheme="minorHAnsi"/>
        </w:rPr>
        <w:t>clear-cut</w:t>
      </w:r>
      <w:r w:rsidRPr="00B12B3B">
        <w:rPr>
          <w:rFonts w:asciiTheme="minorHAnsi" w:hAnsiTheme="minorHAnsi" w:cstheme="minorHAnsi"/>
        </w:rPr>
        <w:t xml:space="preserve"> inflammatory diseases or brain pathology. </w:t>
      </w:r>
      <w:r w:rsidR="00592CDF" w:rsidRPr="00B12B3B">
        <w:rPr>
          <w:rFonts w:asciiTheme="minorHAnsi" w:hAnsiTheme="minorHAnsi" w:cstheme="minorHAnsi"/>
        </w:rPr>
        <w:t xml:space="preserve">Quality of life </w:t>
      </w:r>
      <w:r w:rsidR="0062665D" w:rsidRPr="00B12B3B">
        <w:rPr>
          <w:rFonts w:asciiTheme="minorHAnsi" w:hAnsiTheme="minorHAnsi" w:cstheme="minorHAnsi"/>
          <w:lang w:val="nl-NL"/>
        </w:rPr>
        <w:t xml:space="preserve">was </w:t>
      </w:r>
      <w:r w:rsidR="00592CDF" w:rsidRPr="00B12B3B">
        <w:rPr>
          <w:rFonts w:asciiTheme="minorHAnsi" w:hAnsiTheme="minorHAnsi" w:cstheme="minorHAnsi"/>
        </w:rPr>
        <w:t>much worse than at population level in a developing country such as Indonesia</w:t>
      </w:r>
      <w:r w:rsidR="000B6FA5" w:rsidRPr="00B12B3B">
        <w:rPr>
          <w:rFonts w:asciiTheme="minorHAnsi" w:hAnsiTheme="minorHAnsi" w:cstheme="minorHAnsi"/>
        </w:rPr>
        <w:t xml:space="preserve"> </w:t>
      </w:r>
      <w:r w:rsidR="001C4CCB" w:rsidRPr="00B12B3B">
        <w:rPr>
          <w:rFonts w:asciiTheme="minorHAnsi" w:hAnsiTheme="minorHAnsi" w:cstheme="minorHAnsi"/>
        </w:rPr>
        <w:t>(</w:t>
      </w:r>
      <w:proofErr w:type="spellStart"/>
      <w:r w:rsidR="001C4CCB" w:rsidRPr="00B12B3B">
        <w:rPr>
          <w:rFonts w:asciiTheme="minorHAnsi" w:hAnsiTheme="minorHAnsi" w:cstheme="minorHAnsi"/>
        </w:rPr>
        <w:t>Purba</w:t>
      </w:r>
      <w:proofErr w:type="spellEnd"/>
      <w:r w:rsidR="001C4CCB" w:rsidRPr="00B12B3B">
        <w:rPr>
          <w:rFonts w:asciiTheme="minorHAnsi" w:hAnsiTheme="minorHAnsi" w:cstheme="minorHAnsi"/>
        </w:rPr>
        <w:t xml:space="preserve"> et al., 2018)</w:t>
      </w:r>
      <w:r w:rsidR="00641E17" w:rsidRPr="00B12B3B">
        <w:rPr>
          <w:rFonts w:asciiTheme="minorHAnsi" w:hAnsiTheme="minorHAnsi" w:cstheme="minorHAnsi"/>
        </w:rPr>
        <w:t>.</w:t>
      </w:r>
      <w:r w:rsidR="00592CDF" w:rsidRPr="00B12B3B">
        <w:rPr>
          <w:rFonts w:asciiTheme="minorHAnsi" w:hAnsiTheme="minorHAnsi" w:cstheme="minorHAnsi"/>
        </w:rPr>
        <w:t xml:space="preserve"> </w:t>
      </w:r>
      <w:r w:rsidR="0062665D" w:rsidRPr="00B12B3B">
        <w:rPr>
          <w:rFonts w:asciiTheme="minorHAnsi" w:hAnsiTheme="minorHAnsi" w:cstheme="minorHAnsi"/>
          <w:lang w:val="nl-NL"/>
        </w:rPr>
        <w:t>L</w:t>
      </w:r>
      <w:r w:rsidRPr="00B12B3B">
        <w:rPr>
          <w:rFonts w:asciiTheme="minorHAnsi" w:hAnsiTheme="minorHAnsi" w:cstheme="minorHAnsi"/>
          <w:lang w:val="nl-NL"/>
        </w:rPr>
        <w:t xml:space="preserve">evels of functioning </w:t>
      </w:r>
      <w:r w:rsidRPr="00B12B3B">
        <w:rPr>
          <w:rFonts w:asciiTheme="minorHAnsi" w:hAnsiTheme="minorHAnsi" w:cstheme="minorHAnsi"/>
        </w:rPr>
        <w:t xml:space="preserve">in all domains </w:t>
      </w:r>
      <w:r w:rsidR="00C82740" w:rsidRPr="00B12B3B">
        <w:rPr>
          <w:rFonts w:asciiTheme="minorHAnsi" w:hAnsiTheme="minorHAnsi" w:cstheme="minorHAnsi"/>
        </w:rPr>
        <w:t xml:space="preserve">of the </w:t>
      </w:r>
      <w:r w:rsidR="0062665D" w:rsidRPr="00B12B3B">
        <w:rPr>
          <w:rFonts w:asciiTheme="minorHAnsi" w:hAnsiTheme="minorHAnsi" w:cstheme="minorHAnsi"/>
        </w:rPr>
        <w:t xml:space="preserve">RAND </w:t>
      </w:r>
      <w:r w:rsidR="00C82740" w:rsidRPr="00B12B3B">
        <w:rPr>
          <w:rFonts w:asciiTheme="minorHAnsi" w:hAnsiTheme="minorHAnsi" w:cstheme="minorHAnsi"/>
        </w:rPr>
        <w:t xml:space="preserve">SF-36 </w:t>
      </w:r>
      <w:r w:rsidR="00584F92" w:rsidRPr="00B12B3B">
        <w:rPr>
          <w:rFonts w:asciiTheme="minorHAnsi" w:hAnsiTheme="minorHAnsi" w:cstheme="minorHAnsi"/>
        </w:rPr>
        <w:t xml:space="preserve">were much worse </w:t>
      </w:r>
      <w:r w:rsidRPr="00B12B3B">
        <w:rPr>
          <w:rFonts w:asciiTheme="minorHAnsi" w:hAnsiTheme="minorHAnsi" w:cstheme="minorHAnsi"/>
        </w:rPr>
        <w:t xml:space="preserve">than </w:t>
      </w:r>
      <w:r w:rsidR="00794609" w:rsidRPr="00B12B3B">
        <w:rPr>
          <w:rFonts w:asciiTheme="minorHAnsi" w:hAnsiTheme="minorHAnsi" w:cstheme="minorHAnsi"/>
        </w:rPr>
        <w:t xml:space="preserve">in </w:t>
      </w:r>
      <w:r w:rsidRPr="00B12B3B">
        <w:rPr>
          <w:rFonts w:asciiTheme="minorHAnsi" w:hAnsiTheme="minorHAnsi" w:cstheme="minorHAnsi"/>
        </w:rPr>
        <w:t>clinical patients with chronic medical conditions</w:t>
      </w:r>
      <w:r w:rsidR="00592CDF" w:rsidRPr="00B12B3B">
        <w:rPr>
          <w:rFonts w:asciiTheme="minorHAnsi" w:hAnsiTheme="minorHAnsi" w:cstheme="minorHAnsi"/>
        </w:rPr>
        <w:t xml:space="preserve"> in an USA sample</w:t>
      </w:r>
      <w:r w:rsidR="000B6FA5" w:rsidRPr="00B12B3B">
        <w:rPr>
          <w:rFonts w:asciiTheme="minorHAnsi" w:hAnsiTheme="minorHAnsi" w:cstheme="minorHAnsi"/>
        </w:rPr>
        <w:t xml:space="preserve"> </w:t>
      </w:r>
      <w:r w:rsidR="00012527" w:rsidRPr="00B12B3B">
        <w:rPr>
          <w:rFonts w:asciiTheme="minorHAnsi" w:hAnsiTheme="minorHAnsi" w:cstheme="minorHAnsi"/>
        </w:rPr>
        <w:t>(</w:t>
      </w:r>
      <w:proofErr w:type="spellStart"/>
      <w:r w:rsidR="00012527" w:rsidRPr="00B12B3B">
        <w:rPr>
          <w:rFonts w:asciiTheme="minorHAnsi" w:hAnsiTheme="minorHAnsi" w:cstheme="minorHAnsi"/>
        </w:rPr>
        <w:t>Tarlov</w:t>
      </w:r>
      <w:proofErr w:type="spellEnd"/>
      <w:r w:rsidR="00012527" w:rsidRPr="00B12B3B">
        <w:rPr>
          <w:rFonts w:asciiTheme="minorHAnsi" w:hAnsiTheme="minorHAnsi" w:cstheme="minorHAnsi"/>
        </w:rPr>
        <w:t xml:space="preserve"> et al., 1989)</w:t>
      </w:r>
      <w:r w:rsidR="00641E17" w:rsidRPr="00B12B3B">
        <w:rPr>
          <w:rFonts w:asciiTheme="minorHAnsi" w:hAnsiTheme="minorHAnsi" w:cstheme="minorHAnsi"/>
        </w:rPr>
        <w:t>.</w:t>
      </w:r>
      <w:r w:rsidR="00C82740" w:rsidRPr="00B12B3B">
        <w:rPr>
          <w:rFonts w:asciiTheme="minorHAnsi" w:hAnsiTheme="minorHAnsi" w:cstheme="minorHAnsi"/>
        </w:rPr>
        <w:t xml:space="preserve"> A similar finding has been reported in Somatic Symptom Disorders and Related Disorders, of which CD/FND is a subsection, where patients with SSRD without known chronic medical condition reported worse functioning levels than patients with SSRD with known chronic medical condition.</w:t>
      </w:r>
      <w:r w:rsidR="00012527" w:rsidRPr="00B12B3B">
        <w:rPr>
          <w:rFonts w:asciiTheme="minorHAnsi" w:hAnsiTheme="minorHAnsi" w:cstheme="minorHAnsi"/>
        </w:rPr>
        <w:t>(Van der Feltz-Cornelis et al., 2020</w:t>
      </w:r>
      <w:r w:rsidR="000D7D40" w:rsidRPr="00B12B3B">
        <w:rPr>
          <w:rFonts w:asciiTheme="minorHAnsi" w:hAnsiTheme="minorHAnsi" w:cstheme="minorHAnsi"/>
        </w:rPr>
        <w:t>a</w:t>
      </w:r>
      <w:r w:rsidR="00012527" w:rsidRPr="00B12B3B">
        <w:rPr>
          <w:rFonts w:asciiTheme="minorHAnsi" w:hAnsiTheme="minorHAnsi" w:cstheme="minorHAnsi"/>
        </w:rPr>
        <w:t>)</w:t>
      </w:r>
      <w:r w:rsidR="00C82740" w:rsidRPr="00B12B3B">
        <w:rPr>
          <w:rFonts w:asciiTheme="minorHAnsi" w:hAnsiTheme="minorHAnsi" w:cstheme="minorHAnsi"/>
        </w:rPr>
        <w:t xml:space="preserve"> </w:t>
      </w:r>
      <w:r w:rsidR="0062665D" w:rsidRPr="00B12B3B">
        <w:rPr>
          <w:rFonts w:asciiTheme="minorHAnsi" w:hAnsiTheme="minorHAnsi" w:cstheme="minorHAnsi"/>
        </w:rPr>
        <w:t xml:space="preserve">An explanation of this finding might be that levels of distress interfere with quality of life and general functioning and are worse in case of unexplained, very disabling physical symptoms, compared to disabling physical symptoms due to a known chronic medical condition. </w:t>
      </w:r>
      <w:r w:rsidR="00C305E9" w:rsidRPr="00B12B3B">
        <w:rPr>
          <w:rFonts w:asciiTheme="minorHAnsi" w:hAnsiTheme="minorHAnsi" w:cstheme="minorHAnsi"/>
        </w:rPr>
        <w:t>A</w:t>
      </w:r>
      <w:r w:rsidR="006F2C56" w:rsidRPr="00B12B3B">
        <w:rPr>
          <w:rFonts w:asciiTheme="minorHAnsi" w:hAnsiTheme="minorHAnsi" w:cstheme="minorHAnsi"/>
        </w:rPr>
        <w:t>ctual stress levels as measured by the LCU are strikingly elevated with only 27% of the patients scoring less than 150, which is associated with higher levels of depression</w:t>
      </w:r>
      <w:r w:rsidR="00641E17" w:rsidRPr="00B12B3B">
        <w:rPr>
          <w:rFonts w:asciiTheme="minorHAnsi" w:hAnsiTheme="minorHAnsi" w:cstheme="minorHAnsi"/>
        </w:rPr>
        <w:t>,</w:t>
      </w:r>
      <w:r w:rsidR="000B6FA5" w:rsidRPr="00B12B3B">
        <w:rPr>
          <w:rFonts w:asciiTheme="minorHAnsi" w:hAnsiTheme="minorHAnsi" w:cstheme="minorHAnsi"/>
        </w:rPr>
        <w:t xml:space="preserve"> </w:t>
      </w:r>
      <w:r w:rsidR="001256B4" w:rsidRPr="00B12B3B">
        <w:rPr>
          <w:rFonts w:asciiTheme="minorHAnsi" w:hAnsiTheme="minorHAnsi" w:cstheme="minorHAnsi"/>
        </w:rPr>
        <w:t>(Cornelis et al., 1989)</w:t>
      </w:r>
      <w:r w:rsidR="006F2C56" w:rsidRPr="00B12B3B">
        <w:rPr>
          <w:rFonts w:asciiTheme="minorHAnsi" w:hAnsiTheme="minorHAnsi" w:cstheme="minorHAnsi"/>
        </w:rPr>
        <w:t xml:space="preserve"> or being in a crisis</w:t>
      </w:r>
      <w:r w:rsidR="000B6FA5" w:rsidRPr="00B12B3B">
        <w:rPr>
          <w:rFonts w:asciiTheme="minorHAnsi" w:hAnsiTheme="minorHAnsi" w:cstheme="minorHAnsi"/>
        </w:rPr>
        <w:t xml:space="preserve"> </w:t>
      </w:r>
      <w:r w:rsidR="001256B4" w:rsidRPr="00B12B3B">
        <w:rPr>
          <w:rFonts w:asciiTheme="minorHAnsi" w:hAnsiTheme="minorHAnsi" w:cstheme="minorHAnsi"/>
        </w:rPr>
        <w:t>(Holmes &amp; Rahe, 1967)</w:t>
      </w:r>
      <w:r w:rsidR="00641E17" w:rsidRPr="00B12B3B">
        <w:rPr>
          <w:rFonts w:asciiTheme="minorHAnsi" w:hAnsiTheme="minorHAnsi" w:cstheme="minorHAnsi"/>
        </w:rPr>
        <w:t>.</w:t>
      </w:r>
      <w:r w:rsidR="006F2C56" w:rsidRPr="00B12B3B">
        <w:rPr>
          <w:rFonts w:asciiTheme="minorHAnsi" w:hAnsiTheme="minorHAnsi" w:cstheme="minorHAnsi"/>
        </w:rPr>
        <w:t xml:space="preserve"> 30% scored 300 </w:t>
      </w:r>
      <w:r w:rsidR="006F2C56" w:rsidRPr="00B12B3B">
        <w:rPr>
          <w:rFonts w:asciiTheme="minorHAnsi" w:hAnsiTheme="minorHAnsi" w:cstheme="minorHAnsi"/>
        </w:rPr>
        <w:lastRenderedPageBreak/>
        <w:t>or higher, which is associated with elevated risk for an accident or physical disease</w:t>
      </w:r>
      <w:r w:rsidR="000B6FA5" w:rsidRPr="00B12B3B">
        <w:rPr>
          <w:rFonts w:asciiTheme="minorHAnsi" w:hAnsiTheme="minorHAnsi" w:cstheme="minorHAnsi"/>
        </w:rPr>
        <w:t xml:space="preserve"> </w:t>
      </w:r>
      <w:r w:rsidR="002C4722" w:rsidRPr="00B12B3B">
        <w:rPr>
          <w:rFonts w:asciiTheme="minorHAnsi" w:hAnsiTheme="minorHAnsi" w:cstheme="minorHAnsi"/>
        </w:rPr>
        <w:t>(Rahe et al., 1970; Rahe &amp; Arthur, 1978)</w:t>
      </w:r>
      <w:r w:rsidR="00641E17" w:rsidRPr="00B12B3B">
        <w:rPr>
          <w:rFonts w:asciiTheme="minorHAnsi" w:hAnsiTheme="minorHAnsi" w:cstheme="minorHAnsi"/>
        </w:rPr>
        <w:t>.</w:t>
      </w:r>
      <w:r w:rsidR="006F2C56" w:rsidRPr="00B12B3B">
        <w:rPr>
          <w:rFonts w:asciiTheme="minorHAnsi" w:hAnsiTheme="minorHAnsi" w:cstheme="minorHAnsi"/>
        </w:rPr>
        <w:t xml:space="preserve"> </w:t>
      </w:r>
      <w:r w:rsidR="00C305E9" w:rsidRPr="00B12B3B">
        <w:rPr>
          <w:rFonts w:asciiTheme="minorHAnsi" w:hAnsiTheme="minorHAnsi" w:cstheme="minorHAnsi"/>
        </w:rPr>
        <w:t>Such</w:t>
      </w:r>
      <w:r w:rsidR="006F2C56" w:rsidRPr="00B12B3B">
        <w:rPr>
          <w:rFonts w:asciiTheme="minorHAnsi" w:hAnsiTheme="minorHAnsi" w:cstheme="minorHAnsi"/>
        </w:rPr>
        <w:t xml:space="preserve"> high symptom load and low functioning has also  been described in patients with a different kind of CD/FND, namely patients with psychogenic non-epileptic seizures</w:t>
      </w:r>
      <w:r w:rsidR="00C305E9" w:rsidRPr="00B12B3B">
        <w:rPr>
          <w:rFonts w:asciiTheme="minorHAnsi" w:hAnsiTheme="minorHAnsi" w:cstheme="minorHAnsi"/>
        </w:rPr>
        <w:t>.</w:t>
      </w:r>
      <w:r w:rsidR="006F2C56" w:rsidRPr="00B12B3B">
        <w:rPr>
          <w:rFonts w:asciiTheme="minorHAnsi" w:hAnsiTheme="minorHAnsi" w:cstheme="minorHAnsi"/>
        </w:rPr>
        <w:t xml:space="preserve"> </w:t>
      </w:r>
      <w:r w:rsidR="00C305E9" w:rsidRPr="00B12B3B">
        <w:rPr>
          <w:rFonts w:asciiTheme="minorHAnsi" w:hAnsiTheme="minorHAnsi" w:cstheme="minorHAnsi"/>
        </w:rPr>
        <w:t>They</w:t>
      </w:r>
      <w:r w:rsidR="006F2C56" w:rsidRPr="00B12B3B">
        <w:rPr>
          <w:rFonts w:asciiTheme="minorHAnsi" w:hAnsiTheme="minorHAnsi" w:cstheme="minorHAnsi"/>
        </w:rPr>
        <w:t xml:space="preserve"> showed high comorbidity, and also higher mortality than the general population of a similar level as patients with epileptic seizures</w:t>
      </w:r>
      <w:r w:rsidR="001003A5" w:rsidRPr="00B12B3B">
        <w:rPr>
          <w:rFonts w:asciiTheme="minorHAnsi" w:hAnsiTheme="minorHAnsi" w:cstheme="minorHAnsi"/>
        </w:rPr>
        <w:t xml:space="preserve"> </w:t>
      </w:r>
      <w:r w:rsidR="002C4722" w:rsidRPr="00B12B3B">
        <w:rPr>
          <w:rFonts w:asciiTheme="minorHAnsi" w:hAnsiTheme="minorHAnsi" w:cstheme="minorHAnsi"/>
        </w:rPr>
        <w:t>(</w:t>
      </w:r>
      <w:proofErr w:type="spellStart"/>
      <w:r w:rsidR="002C4722" w:rsidRPr="00B12B3B">
        <w:rPr>
          <w:rFonts w:asciiTheme="minorHAnsi" w:hAnsiTheme="minorHAnsi" w:cstheme="minorHAnsi"/>
        </w:rPr>
        <w:t>Nightscales</w:t>
      </w:r>
      <w:proofErr w:type="spellEnd"/>
      <w:r w:rsidR="002C4722" w:rsidRPr="00B12B3B">
        <w:rPr>
          <w:rFonts w:asciiTheme="minorHAnsi" w:hAnsiTheme="minorHAnsi" w:cstheme="minorHAnsi"/>
        </w:rPr>
        <w:t>, 2020)</w:t>
      </w:r>
      <w:r w:rsidR="000B6FA5" w:rsidRPr="00B12B3B">
        <w:rPr>
          <w:rFonts w:asciiTheme="minorHAnsi" w:hAnsiTheme="minorHAnsi" w:cstheme="minorHAnsi"/>
        </w:rPr>
        <w:t>,</w:t>
      </w:r>
      <w:r w:rsidR="00C305E9" w:rsidRPr="00B12B3B">
        <w:rPr>
          <w:rFonts w:asciiTheme="minorHAnsi" w:hAnsiTheme="minorHAnsi" w:cstheme="minorHAnsi"/>
        </w:rPr>
        <w:t xml:space="preserve"> indicating that CD/FND may not be </w:t>
      </w:r>
      <w:r w:rsidR="0024389F" w:rsidRPr="00B12B3B">
        <w:rPr>
          <w:rFonts w:asciiTheme="minorHAnsi" w:hAnsiTheme="minorHAnsi" w:cstheme="minorHAnsi"/>
        </w:rPr>
        <w:t xml:space="preserve">a </w:t>
      </w:r>
      <w:r w:rsidR="00C305E9" w:rsidRPr="00B12B3B">
        <w:rPr>
          <w:rFonts w:asciiTheme="minorHAnsi" w:hAnsiTheme="minorHAnsi" w:cstheme="minorHAnsi"/>
        </w:rPr>
        <w:t xml:space="preserve">harmless </w:t>
      </w:r>
      <w:r w:rsidR="0024389F" w:rsidRPr="00B12B3B">
        <w:rPr>
          <w:rFonts w:asciiTheme="minorHAnsi" w:hAnsiTheme="minorHAnsi" w:cstheme="minorHAnsi"/>
        </w:rPr>
        <w:t xml:space="preserve">condition </w:t>
      </w:r>
      <w:r w:rsidR="00C305E9" w:rsidRPr="00B12B3B">
        <w:rPr>
          <w:rFonts w:asciiTheme="minorHAnsi" w:hAnsiTheme="minorHAnsi" w:cstheme="minorHAnsi"/>
        </w:rPr>
        <w:t>to suffer from.</w:t>
      </w:r>
      <w:r w:rsidR="003234E8" w:rsidRPr="00B12B3B">
        <w:rPr>
          <w:rFonts w:asciiTheme="minorHAnsi" w:hAnsiTheme="minorHAnsi" w:cstheme="minorHAnsi"/>
        </w:rPr>
        <w:t xml:space="preserve"> </w:t>
      </w:r>
    </w:p>
    <w:p w14:paraId="180B9EE4" w14:textId="1DECF562" w:rsidR="002C4722" w:rsidRPr="00B12B3B" w:rsidRDefault="002C4722" w:rsidP="006F2C56">
      <w:pPr>
        <w:pStyle w:val="Plattetekst"/>
        <w:spacing w:line="360" w:lineRule="auto"/>
        <w:jc w:val="both"/>
        <w:rPr>
          <w:rFonts w:asciiTheme="minorHAnsi" w:hAnsiTheme="minorHAnsi" w:cstheme="minorHAnsi"/>
          <w:sz w:val="24"/>
          <w:szCs w:val="24"/>
          <w:lang w:val="nl-NL"/>
        </w:rPr>
      </w:pPr>
      <w:r w:rsidRPr="00B12B3B">
        <w:rPr>
          <w:rFonts w:asciiTheme="minorHAnsi" w:hAnsiTheme="minorHAnsi" w:cstheme="minorHAnsi"/>
          <w:sz w:val="24"/>
          <w:szCs w:val="24"/>
        </w:rPr>
        <w:t>4.3</w:t>
      </w:r>
      <w:r w:rsidRPr="00B12B3B">
        <w:rPr>
          <w:rFonts w:asciiTheme="minorHAnsi" w:hAnsiTheme="minorHAnsi" w:cstheme="minorHAnsi"/>
          <w:sz w:val="24"/>
          <w:szCs w:val="24"/>
        </w:rPr>
        <w:tab/>
        <w:t>Adverse Childhood Experience</w:t>
      </w:r>
      <w:r w:rsidR="00D86281" w:rsidRPr="00B12B3B">
        <w:rPr>
          <w:rFonts w:asciiTheme="minorHAnsi" w:hAnsiTheme="minorHAnsi" w:cstheme="minorHAnsi"/>
          <w:sz w:val="24"/>
          <w:szCs w:val="24"/>
        </w:rPr>
        <w:t>(ACE)</w:t>
      </w:r>
    </w:p>
    <w:p w14:paraId="1D260453" w14:textId="2115F8E1" w:rsidR="006F2C56" w:rsidRPr="00B12B3B" w:rsidRDefault="006F2C56" w:rsidP="00BD159A">
      <w:pPr>
        <w:autoSpaceDE w:val="0"/>
        <w:autoSpaceDN w:val="0"/>
        <w:adjustRightInd w:val="0"/>
        <w:spacing w:line="360" w:lineRule="auto"/>
        <w:jc w:val="both"/>
        <w:rPr>
          <w:rFonts w:cs="Calibri"/>
          <w:lang w:val="en-US"/>
        </w:rPr>
      </w:pPr>
      <w:r w:rsidRPr="00B12B3B">
        <w:rPr>
          <w:rFonts w:asciiTheme="minorHAnsi" w:hAnsiTheme="minorHAnsi" w:cstheme="minorHAnsi"/>
        </w:rPr>
        <w:t>Regarding childhood trauma, 86% experienced at least one ACE which is substantially more than the 64% in the original N=17,000 ACE study conducted in the USA general population</w:t>
      </w:r>
      <w:r w:rsidR="000B6FA5" w:rsidRPr="00B12B3B">
        <w:rPr>
          <w:rFonts w:asciiTheme="minorHAnsi" w:hAnsiTheme="minorHAnsi" w:cstheme="minorHAnsi"/>
        </w:rPr>
        <w:t xml:space="preserve"> </w:t>
      </w:r>
      <w:r w:rsidR="002C4722" w:rsidRPr="00B12B3B">
        <w:rPr>
          <w:rFonts w:asciiTheme="minorHAnsi" w:hAnsiTheme="minorHAnsi" w:cstheme="minorHAnsi"/>
        </w:rPr>
        <w:t>(Centre of Disease Control and Prevention, 2016)</w:t>
      </w:r>
      <w:r w:rsidR="00641E17" w:rsidRPr="00B12B3B">
        <w:rPr>
          <w:rFonts w:asciiTheme="minorHAnsi" w:hAnsiTheme="minorHAnsi" w:cstheme="minorHAnsi"/>
        </w:rPr>
        <w:t>.</w:t>
      </w:r>
      <w:r w:rsidRPr="00B12B3B">
        <w:rPr>
          <w:rFonts w:asciiTheme="minorHAnsi" w:hAnsiTheme="minorHAnsi" w:cstheme="minorHAnsi"/>
        </w:rPr>
        <w:t xml:space="preserve"> It is also more than the 77% reported in mental health outpatients with anxiety or depression</w:t>
      </w:r>
      <w:r w:rsidR="000B6FA5" w:rsidRPr="00B12B3B">
        <w:rPr>
          <w:rFonts w:asciiTheme="minorHAnsi" w:hAnsiTheme="minorHAnsi" w:cstheme="minorHAnsi"/>
        </w:rPr>
        <w:t xml:space="preserve"> </w:t>
      </w:r>
      <w:r w:rsidR="002C4722" w:rsidRPr="00B12B3B">
        <w:rPr>
          <w:rFonts w:asciiTheme="minorHAnsi" w:hAnsiTheme="minorHAnsi" w:cstheme="minorHAnsi"/>
        </w:rPr>
        <w:t>(Van der Feltz-Cornelis et al., 2019</w:t>
      </w:r>
      <w:r w:rsidR="000D7D40" w:rsidRPr="00B12B3B">
        <w:rPr>
          <w:rFonts w:asciiTheme="minorHAnsi" w:hAnsiTheme="minorHAnsi" w:cstheme="minorHAnsi"/>
        </w:rPr>
        <w:t>b</w:t>
      </w:r>
      <w:r w:rsidR="002C4722" w:rsidRPr="00B12B3B">
        <w:rPr>
          <w:rFonts w:asciiTheme="minorHAnsi" w:hAnsiTheme="minorHAnsi" w:cstheme="minorHAnsi"/>
        </w:rPr>
        <w:t>)</w:t>
      </w:r>
      <w:r w:rsidR="000B6FA5" w:rsidRPr="00B12B3B">
        <w:rPr>
          <w:rFonts w:asciiTheme="minorHAnsi" w:hAnsiTheme="minorHAnsi" w:cstheme="minorHAnsi"/>
        </w:rPr>
        <w:t>,</w:t>
      </w:r>
      <w:r w:rsidRPr="00B12B3B">
        <w:rPr>
          <w:rFonts w:asciiTheme="minorHAnsi" w:hAnsiTheme="minorHAnsi" w:cstheme="minorHAnsi"/>
        </w:rPr>
        <w:t xml:space="preserve"> and more than 61.8% reported in outpatients with SSRD</w:t>
      </w:r>
      <w:r w:rsidR="000B6FA5" w:rsidRPr="00B12B3B">
        <w:rPr>
          <w:rFonts w:asciiTheme="minorHAnsi" w:hAnsiTheme="minorHAnsi" w:cstheme="minorHAnsi"/>
        </w:rPr>
        <w:t xml:space="preserve"> </w:t>
      </w:r>
      <w:r w:rsidR="002C4722" w:rsidRPr="00B12B3B">
        <w:rPr>
          <w:rFonts w:asciiTheme="minorHAnsi" w:hAnsiTheme="minorHAnsi" w:cstheme="minorHAnsi"/>
        </w:rPr>
        <w:t>(Van der Feltz-Cornelis et al., 2020</w:t>
      </w:r>
      <w:r w:rsidR="000D7D40" w:rsidRPr="00B12B3B">
        <w:rPr>
          <w:rFonts w:asciiTheme="minorHAnsi" w:hAnsiTheme="minorHAnsi" w:cstheme="minorHAnsi"/>
        </w:rPr>
        <w:t>a</w:t>
      </w:r>
      <w:r w:rsidR="002C4722" w:rsidRPr="00B12B3B">
        <w:rPr>
          <w:rFonts w:asciiTheme="minorHAnsi" w:hAnsiTheme="minorHAnsi" w:cstheme="minorHAnsi"/>
        </w:rPr>
        <w:t>)</w:t>
      </w:r>
      <w:r w:rsidR="00641E17" w:rsidRPr="00B12B3B">
        <w:rPr>
          <w:rFonts w:asciiTheme="minorHAnsi" w:hAnsiTheme="minorHAnsi" w:cstheme="minorHAnsi"/>
        </w:rPr>
        <w:t>.</w:t>
      </w:r>
      <w:r w:rsidRPr="00B12B3B">
        <w:rPr>
          <w:rFonts w:asciiTheme="minorHAnsi" w:hAnsiTheme="minorHAnsi" w:cstheme="minorHAnsi"/>
        </w:rPr>
        <w:t xml:space="preserve"> 80% experienced multiple ACE and the mean ACE score was 4 which is high compared to these studies as well. </w:t>
      </w:r>
      <w:r w:rsidR="00BD159A" w:rsidRPr="00B12B3B">
        <w:rPr>
          <w:rFonts w:asciiTheme="minorHAnsi" w:hAnsiTheme="minorHAnsi" w:cstheme="minorHAnsi"/>
          <w:lang w:eastAsia="nl-NL"/>
        </w:rPr>
        <w:t xml:space="preserve">A recent study found that childhood physical neglect is associated with exaggerated systemic responses to short-term exposure to psychosocial distress in the Trier Social Stress Test, in which reactive gene expression might play a role </w:t>
      </w:r>
      <w:r w:rsidR="002C4722" w:rsidRPr="00B12B3B">
        <w:rPr>
          <w:rFonts w:asciiTheme="minorHAnsi" w:hAnsiTheme="minorHAnsi" w:cstheme="minorHAnsi"/>
        </w:rPr>
        <w:t>(Schreier et al., 2020)</w:t>
      </w:r>
      <w:r w:rsidR="00641E17" w:rsidRPr="00B12B3B">
        <w:rPr>
          <w:rFonts w:asciiTheme="minorHAnsi" w:hAnsiTheme="minorHAnsi" w:cstheme="minorHAnsi"/>
        </w:rPr>
        <w:t>.</w:t>
      </w:r>
      <w:r w:rsidR="00B04CFD" w:rsidRPr="00B12B3B">
        <w:rPr>
          <w:rFonts w:asciiTheme="minorHAnsi" w:hAnsiTheme="minorHAnsi" w:cstheme="minorHAnsi"/>
        </w:rPr>
        <w:t xml:space="preserve"> </w:t>
      </w:r>
      <w:r w:rsidR="00047674" w:rsidRPr="00B12B3B">
        <w:rPr>
          <w:rFonts w:asciiTheme="minorHAnsi" w:hAnsiTheme="minorHAnsi" w:cstheme="minorHAnsi"/>
        </w:rPr>
        <w:t>As</w:t>
      </w:r>
      <w:r w:rsidR="00B04CFD" w:rsidRPr="00B12B3B">
        <w:rPr>
          <w:rFonts w:asciiTheme="minorHAnsi" w:hAnsiTheme="minorHAnsi" w:cstheme="minorHAnsi"/>
        </w:rPr>
        <w:t xml:space="preserve"> mean IL-6 scores in that study are much lower than in our sample, elevated cytokines in CD/FND may have other drivers than ACE as well.</w:t>
      </w:r>
      <w:r w:rsidR="00047674" w:rsidRPr="00B12B3B">
        <w:rPr>
          <w:rFonts w:asciiTheme="minorHAnsi" w:hAnsiTheme="minorHAnsi" w:cstheme="minorHAnsi"/>
        </w:rPr>
        <w:t xml:space="preserve"> </w:t>
      </w:r>
      <w:r w:rsidR="00D93314" w:rsidRPr="00B12B3B">
        <w:rPr>
          <w:rFonts w:asciiTheme="minorHAnsi" w:hAnsiTheme="minorHAnsi" w:cstheme="minorHAnsi"/>
          <w:shd w:val="clear" w:color="auto" w:fill="FFFFFF"/>
        </w:rPr>
        <w:t xml:space="preserve">The hair cortisol levels in our sample were in the normal range, suggesting that HPA axis pathology did not play a role in this. </w:t>
      </w:r>
      <w:r w:rsidRPr="00B12B3B">
        <w:rPr>
          <w:rFonts w:asciiTheme="minorHAnsi" w:hAnsiTheme="minorHAnsi" w:cstheme="minorHAnsi"/>
        </w:rPr>
        <w:t xml:space="preserve">In future studies, exploring </w:t>
      </w:r>
      <w:r w:rsidR="00047674" w:rsidRPr="00B12B3B">
        <w:rPr>
          <w:rFonts w:asciiTheme="minorHAnsi" w:hAnsiTheme="minorHAnsi" w:cstheme="minorHAnsi"/>
        </w:rPr>
        <w:t xml:space="preserve">the link between ACE, current stress, cytokines and microRNA in CD/FND </w:t>
      </w:r>
      <w:r w:rsidRPr="00B12B3B">
        <w:rPr>
          <w:rFonts w:asciiTheme="minorHAnsi" w:hAnsiTheme="minorHAnsi" w:cstheme="minorHAnsi"/>
        </w:rPr>
        <w:t>should therefor certainly be pursued.</w:t>
      </w:r>
      <w:r w:rsidRPr="00B12B3B">
        <w:rPr>
          <w:rFonts w:cs="Calibri"/>
          <w:lang w:val="en-US"/>
        </w:rPr>
        <w:t xml:space="preserve"> </w:t>
      </w:r>
    </w:p>
    <w:p w14:paraId="2EB90463" w14:textId="3A6EACDA" w:rsidR="006F2C56" w:rsidRPr="00B12B3B" w:rsidRDefault="003234E8" w:rsidP="00D93314">
      <w:pPr>
        <w:spacing w:line="360" w:lineRule="auto"/>
        <w:jc w:val="both"/>
        <w:rPr>
          <w:rFonts w:asciiTheme="minorHAnsi" w:hAnsiTheme="minorHAnsi" w:cstheme="minorHAnsi"/>
          <w:b/>
          <w:bCs/>
        </w:rPr>
      </w:pPr>
      <w:r w:rsidRPr="00B12B3B">
        <w:rPr>
          <w:rFonts w:asciiTheme="minorHAnsi" w:hAnsiTheme="minorHAnsi" w:cstheme="minorHAnsi"/>
          <w:b/>
          <w:bCs/>
        </w:rPr>
        <w:t>4.4</w:t>
      </w:r>
      <w:r w:rsidRPr="00B12B3B">
        <w:rPr>
          <w:rFonts w:asciiTheme="minorHAnsi" w:hAnsiTheme="minorHAnsi" w:cstheme="minorHAnsi"/>
          <w:b/>
          <w:bCs/>
        </w:rPr>
        <w:tab/>
        <w:t>SLI, microRNA and epigenetics</w:t>
      </w:r>
    </w:p>
    <w:p w14:paraId="7030B032" w14:textId="49CDC3CC" w:rsidR="003E4404" w:rsidRPr="00B12B3B" w:rsidRDefault="00BF46F4" w:rsidP="00D93314">
      <w:pPr>
        <w:pStyle w:val="Geenafstand"/>
        <w:spacing w:line="360" w:lineRule="auto"/>
        <w:jc w:val="both"/>
        <w:rPr>
          <w:sz w:val="24"/>
          <w:szCs w:val="24"/>
        </w:rPr>
      </w:pPr>
      <w:r w:rsidRPr="00B12B3B">
        <w:rPr>
          <w:bCs/>
          <w:sz w:val="24"/>
          <w:szCs w:val="24"/>
        </w:rPr>
        <w:t xml:space="preserve">Our study sample showed elevated IL-6, </w:t>
      </w:r>
      <w:proofErr w:type="spellStart"/>
      <w:r w:rsidR="00501334" w:rsidRPr="00B12B3B">
        <w:rPr>
          <w:sz w:val="24"/>
          <w:szCs w:val="24"/>
        </w:rPr>
        <w:t>IFNγ</w:t>
      </w:r>
      <w:proofErr w:type="spellEnd"/>
      <w:r w:rsidR="00C912BF" w:rsidRPr="00B12B3B">
        <w:rPr>
          <w:sz w:val="24"/>
          <w:szCs w:val="24"/>
        </w:rPr>
        <w:t>,</w:t>
      </w:r>
      <w:r w:rsidRPr="00B12B3B">
        <w:rPr>
          <w:bCs/>
          <w:sz w:val="24"/>
          <w:szCs w:val="24"/>
        </w:rPr>
        <w:t xml:space="preserve"> </w:t>
      </w:r>
      <w:r w:rsidR="00CA5325" w:rsidRPr="00B12B3B">
        <w:rPr>
          <w:bCs/>
          <w:sz w:val="24"/>
          <w:szCs w:val="24"/>
        </w:rPr>
        <w:t xml:space="preserve">IL17A, IL12 and </w:t>
      </w:r>
      <w:r w:rsidR="0082381E" w:rsidRPr="00B12B3B">
        <w:rPr>
          <w:sz w:val="24"/>
          <w:szCs w:val="24"/>
        </w:rPr>
        <w:t>TNFα</w:t>
      </w:r>
      <w:r w:rsidRPr="00B12B3B">
        <w:rPr>
          <w:bCs/>
          <w:sz w:val="24"/>
          <w:szCs w:val="24"/>
        </w:rPr>
        <w:t xml:space="preserve"> scores, </w:t>
      </w:r>
      <w:r w:rsidR="008B4655" w:rsidRPr="00B12B3B">
        <w:rPr>
          <w:bCs/>
          <w:sz w:val="24"/>
          <w:szCs w:val="24"/>
        </w:rPr>
        <w:t xml:space="preserve">normal IL1B scores, </w:t>
      </w:r>
      <w:r w:rsidRPr="00B12B3B">
        <w:rPr>
          <w:bCs/>
          <w:sz w:val="24"/>
          <w:szCs w:val="24"/>
        </w:rPr>
        <w:t xml:space="preserve">and VEGF-a scores significantly lower compared to the normal sample. </w:t>
      </w:r>
      <w:r w:rsidR="00694B22" w:rsidRPr="00B12B3B">
        <w:rPr>
          <w:bCs/>
          <w:sz w:val="24"/>
          <w:szCs w:val="24"/>
        </w:rPr>
        <w:t xml:space="preserve">Another study in acute CD/FND patients found elevated IL-6, </w:t>
      </w:r>
      <w:r w:rsidR="0082381E" w:rsidRPr="00B12B3B">
        <w:rPr>
          <w:sz w:val="24"/>
          <w:szCs w:val="24"/>
        </w:rPr>
        <w:t>TNFα</w:t>
      </w:r>
      <w:r w:rsidR="00694B22" w:rsidRPr="00B12B3B">
        <w:rPr>
          <w:bCs/>
          <w:sz w:val="24"/>
          <w:szCs w:val="24"/>
        </w:rPr>
        <w:t xml:space="preserve"> and IL1B scores</w:t>
      </w:r>
      <w:r w:rsidR="000B6FA5" w:rsidRPr="00B12B3B">
        <w:rPr>
          <w:bCs/>
          <w:sz w:val="24"/>
          <w:szCs w:val="24"/>
        </w:rPr>
        <w:t xml:space="preserve"> </w:t>
      </w:r>
      <w:r w:rsidR="003234E8" w:rsidRPr="00B12B3B">
        <w:rPr>
          <w:bCs/>
          <w:sz w:val="24"/>
          <w:szCs w:val="24"/>
        </w:rPr>
        <w:t>(</w:t>
      </w:r>
      <w:proofErr w:type="spellStart"/>
      <w:r w:rsidR="003234E8" w:rsidRPr="00B12B3B">
        <w:rPr>
          <w:bCs/>
          <w:sz w:val="24"/>
          <w:szCs w:val="24"/>
        </w:rPr>
        <w:t>Tiyekli</w:t>
      </w:r>
      <w:proofErr w:type="spellEnd"/>
      <w:r w:rsidR="003234E8" w:rsidRPr="00B12B3B">
        <w:rPr>
          <w:bCs/>
          <w:sz w:val="24"/>
          <w:szCs w:val="24"/>
        </w:rPr>
        <w:t>, 2013)</w:t>
      </w:r>
      <w:r w:rsidR="00641E17" w:rsidRPr="00B12B3B">
        <w:rPr>
          <w:bCs/>
          <w:sz w:val="24"/>
          <w:szCs w:val="24"/>
        </w:rPr>
        <w:t>,</w:t>
      </w:r>
      <w:r w:rsidR="00694B22" w:rsidRPr="00B12B3B">
        <w:rPr>
          <w:bCs/>
          <w:sz w:val="24"/>
          <w:szCs w:val="24"/>
        </w:rPr>
        <w:t xml:space="preserve"> which is different from our findings as in our study, IL1B was normal. </w:t>
      </w:r>
      <w:r w:rsidR="003174FA" w:rsidRPr="00B12B3B">
        <w:rPr>
          <w:sz w:val="24"/>
          <w:szCs w:val="24"/>
        </w:rPr>
        <w:t>D</w:t>
      </w:r>
      <w:r w:rsidR="00D745DD" w:rsidRPr="00B12B3B">
        <w:rPr>
          <w:sz w:val="24"/>
          <w:szCs w:val="24"/>
        </w:rPr>
        <w:t>ysregulated continual synthesis of IL-6</w:t>
      </w:r>
      <w:r w:rsidR="00244143" w:rsidRPr="00B12B3B">
        <w:rPr>
          <w:sz w:val="24"/>
          <w:szCs w:val="24"/>
        </w:rPr>
        <w:t xml:space="preserve"> </w:t>
      </w:r>
      <w:r w:rsidR="00D745DD" w:rsidRPr="00B12B3B">
        <w:rPr>
          <w:sz w:val="24"/>
          <w:szCs w:val="24"/>
        </w:rPr>
        <w:t>plays a role in pathologic chronic inflammation and autoimmunity</w:t>
      </w:r>
      <w:r w:rsidR="004A4722" w:rsidRPr="00B12B3B">
        <w:rPr>
          <w:sz w:val="24"/>
          <w:szCs w:val="24"/>
        </w:rPr>
        <w:t xml:space="preserve"> </w:t>
      </w:r>
      <w:r w:rsidR="003234E8" w:rsidRPr="00B12B3B">
        <w:rPr>
          <w:sz w:val="24"/>
          <w:szCs w:val="24"/>
        </w:rPr>
        <w:t>(Tanaka, 2014)</w:t>
      </w:r>
      <w:r w:rsidR="00694B22" w:rsidRPr="00B12B3B">
        <w:rPr>
          <w:sz w:val="24"/>
          <w:szCs w:val="24"/>
        </w:rPr>
        <w:t xml:space="preserve"> </w:t>
      </w:r>
      <w:r w:rsidR="003174FA" w:rsidRPr="00B12B3B">
        <w:rPr>
          <w:sz w:val="24"/>
          <w:szCs w:val="24"/>
        </w:rPr>
        <w:t>s</w:t>
      </w:r>
      <w:r w:rsidR="00694B22" w:rsidRPr="00B12B3B">
        <w:rPr>
          <w:sz w:val="24"/>
          <w:szCs w:val="24"/>
        </w:rPr>
        <w:t xml:space="preserve">o our </w:t>
      </w:r>
      <w:r w:rsidR="003174FA" w:rsidRPr="00B12B3B">
        <w:rPr>
          <w:sz w:val="24"/>
          <w:szCs w:val="24"/>
        </w:rPr>
        <w:t>study</w:t>
      </w:r>
      <w:r w:rsidR="00E76BA9" w:rsidRPr="00B12B3B">
        <w:rPr>
          <w:sz w:val="24"/>
          <w:szCs w:val="24"/>
        </w:rPr>
        <w:t xml:space="preserve"> </w:t>
      </w:r>
      <w:r w:rsidR="00D745DD" w:rsidRPr="00B12B3B">
        <w:rPr>
          <w:sz w:val="24"/>
          <w:szCs w:val="24"/>
        </w:rPr>
        <w:t xml:space="preserve">supports </w:t>
      </w:r>
      <w:r w:rsidR="006A7588" w:rsidRPr="00B12B3B">
        <w:rPr>
          <w:sz w:val="24"/>
          <w:szCs w:val="24"/>
        </w:rPr>
        <w:t xml:space="preserve">the idea </w:t>
      </w:r>
      <w:r w:rsidR="00D745DD" w:rsidRPr="00B12B3B">
        <w:rPr>
          <w:sz w:val="24"/>
          <w:szCs w:val="24"/>
        </w:rPr>
        <w:t xml:space="preserve">that IL-6 </w:t>
      </w:r>
      <w:r w:rsidR="00694B22" w:rsidRPr="00B12B3B">
        <w:rPr>
          <w:sz w:val="24"/>
          <w:szCs w:val="24"/>
        </w:rPr>
        <w:t xml:space="preserve">may play a role in </w:t>
      </w:r>
      <w:r w:rsidR="00D745DD" w:rsidRPr="00B12B3B">
        <w:rPr>
          <w:sz w:val="24"/>
          <w:szCs w:val="24"/>
        </w:rPr>
        <w:t xml:space="preserve">CD/FND </w:t>
      </w:r>
      <w:r w:rsidR="00694B22" w:rsidRPr="00B12B3B">
        <w:rPr>
          <w:sz w:val="24"/>
          <w:szCs w:val="24"/>
        </w:rPr>
        <w:t xml:space="preserve">of longer duration. </w:t>
      </w:r>
      <w:bookmarkStart w:id="15" w:name="_Hlk48766716"/>
      <w:proofErr w:type="spellStart"/>
      <w:r w:rsidR="00791E5B" w:rsidRPr="00B12B3B">
        <w:rPr>
          <w:sz w:val="24"/>
          <w:szCs w:val="24"/>
        </w:rPr>
        <w:t>IFNγ</w:t>
      </w:r>
      <w:bookmarkEnd w:id="15"/>
      <w:proofErr w:type="spellEnd"/>
      <w:r w:rsidR="00791E5B" w:rsidRPr="00B12B3B">
        <w:rPr>
          <w:sz w:val="24"/>
          <w:szCs w:val="24"/>
        </w:rPr>
        <w:t xml:space="preserve"> is produced by CD4</w:t>
      </w:r>
      <w:r w:rsidR="00791E5B" w:rsidRPr="00B12B3B">
        <w:rPr>
          <w:sz w:val="24"/>
          <w:szCs w:val="24"/>
          <w:vertAlign w:val="superscript"/>
        </w:rPr>
        <w:t>+</w:t>
      </w:r>
      <w:r w:rsidR="00791E5B" w:rsidRPr="00B12B3B">
        <w:rPr>
          <w:sz w:val="24"/>
          <w:szCs w:val="24"/>
        </w:rPr>
        <w:t xml:space="preserve"> T helper 1 cells (Th1 cells). </w:t>
      </w:r>
      <w:r w:rsidR="006A22B6" w:rsidRPr="00B12B3B">
        <w:rPr>
          <w:sz w:val="24"/>
          <w:szCs w:val="24"/>
        </w:rPr>
        <w:t>It</w:t>
      </w:r>
      <w:r w:rsidR="00791E5B" w:rsidRPr="00B12B3B">
        <w:rPr>
          <w:sz w:val="24"/>
          <w:szCs w:val="24"/>
        </w:rPr>
        <w:t xml:space="preserve"> play</w:t>
      </w:r>
      <w:r w:rsidR="006A22B6" w:rsidRPr="00B12B3B">
        <w:rPr>
          <w:sz w:val="24"/>
          <w:szCs w:val="24"/>
        </w:rPr>
        <w:t>s</w:t>
      </w:r>
      <w:r w:rsidR="00791E5B" w:rsidRPr="00B12B3B">
        <w:rPr>
          <w:sz w:val="24"/>
          <w:szCs w:val="24"/>
        </w:rPr>
        <w:t xml:space="preserve"> a key role in B cell maturation, as it works to inhibit migration into lymph nodes while the B cells are still immature</w:t>
      </w:r>
      <w:r w:rsidR="000B6FA5" w:rsidRPr="00B12B3B">
        <w:rPr>
          <w:sz w:val="24"/>
          <w:szCs w:val="24"/>
        </w:rPr>
        <w:t xml:space="preserve"> </w:t>
      </w:r>
      <w:r w:rsidR="003234E8" w:rsidRPr="00B12B3B">
        <w:rPr>
          <w:sz w:val="24"/>
          <w:szCs w:val="24"/>
        </w:rPr>
        <w:t>(</w:t>
      </w:r>
      <w:proofErr w:type="spellStart"/>
      <w:r w:rsidR="003234E8" w:rsidRPr="00B12B3B">
        <w:rPr>
          <w:sz w:val="24"/>
          <w:szCs w:val="24"/>
        </w:rPr>
        <w:t>Flaishon</w:t>
      </w:r>
      <w:proofErr w:type="spellEnd"/>
      <w:r w:rsidR="003234E8" w:rsidRPr="00B12B3B">
        <w:rPr>
          <w:sz w:val="24"/>
          <w:szCs w:val="24"/>
        </w:rPr>
        <w:t>, 2000)</w:t>
      </w:r>
      <w:r w:rsidR="00791E5B" w:rsidRPr="00B12B3B">
        <w:rPr>
          <w:sz w:val="24"/>
          <w:szCs w:val="24"/>
        </w:rPr>
        <w:t xml:space="preserve"> </w:t>
      </w:r>
      <w:r w:rsidR="003174FA" w:rsidRPr="00B12B3B">
        <w:rPr>
          <w:sz w:val="24"/>
          <w:szCs w:val="24"/>
        </w:rPr>
        <w:t xml:space="preserve">and </w:t>
      </w:r>
      <w:r w:rsidR="006A7588" w:rsidRPr="00B12B3B">
        <w:rPr>
          <w:sz w:val="24"/>
          <w:szCs w:val="24"/>
        </w:rPr>
        <w:t>inhibit</w:t>
      </w:r>
      <w:r w:rsidR="003174FA" w:rsidRPr="00B12B3B">
        <w:rPr>
          <w:sz w:val="24"/>
          <w:szCs w:val="24"/>
        </w:rPr>
        <w:t>s</w:t>
      </w:r>
      <w:r w:rsidR="006A7588" w:rsidRPr="00B12B3B">
        <w:rPr>
          <w:sz w:val="24"/>
          <w:szCs w:val="24"/>
        </w:rPr>
        <w:t xml:space="preserve"> proliferation of </w:t>
      </w:r>
      <w:r w:rsidR="00791E5B" w:rsidRPr="00B12B3B">
        <w:rPr>
          <w:sz w:val="24"/>
          <w:szCs w:val="24"/>
        </w:rPr>
        <w:t>T cells</w:t>
      </w:r>
      <w:r w:rsidR="000B6FA5" w:rsidRPr="00B12B3B">
        <w:rPr>
          <w:sz w:val="24"/>
          <w:szCs w:val="24"/>
        </w:rPr>
        <w:t xml:space="preserve"> </w:t>
      </w:r>
      <w:r w:rsidR="003234E8" w:rsidRPr="00B12B3B">
        <w:rPr>
          <w:sz w:val="24"/>
          <w:szCs w:val="24"/>
        </w:rPr>
        <w:t>(Chu, 2000)</w:t>
      </w:r>
      <w:r w:rsidR="00641E17" w:rsidRPr="00B12B3B">
        <w:rPr>
          <w:sz w:val="24"/>
          <w:szCs w:val="24"/>
        </w:rPr>
        <w:t>.</w:t>
      </w:r>
      <w:r w:rsidR="003174FA" w:rsidRPr="00B12B3B">
        <w:rPr>
          <w:sz w:val="24"/>
          <w:szCs w:val="24"/>
        </w:rPr>
        <w:t xml:space="preserve"> </w:t>
      </w:r>
      <w:r w:rsidR="00694B22" w:rsidRPr="00B12B3B">
        <w:rPr>
          <w:sz w:val="24"/>
          <w:szCs w:val="24"/>
        </w:rPr>
        <w:t>Tumour Necrosis Factor Alpha (TNFα) is produced by macrophages/monocytes during inflammation and has widespread cellular effects</w:t>
      </w:r>
      <w:r w:rsidR="003174FA" w:rsidRPr="00B12B3B">
        <w:rPr>
          <w:sz w:val="24"/>
          <w:szCs w:val="24"/>
        </w:rPr>
        <w:t xml:space="preserve">, </w:t>
      </w:r>
      <w:r w:rsidR="003174FA" w:rsidRPr="00B12B3B">
        <w:rPr>
          <w:sz w:val="24"/>
          <w:szCs w:val="24"/>
        </w:rPr>
        <w:lastRenderedPageBreak/>
        <w:t xml:space="preserve">although </w:t>
      </w:r>
      <w:r w:rsidR="002641B9" w:rsidRPr="00B12B3B">
        <w:rPr>
          <w:sz w:val="24"/>
          <w:szCs w:val="24"/>
        </w:rPr>
        <w:t xml:space="preserve">still a great deal </w:t>
      </w:r>
      <w:r w:rsidR="003174FA" w:rsidRPr="00B12B3B">
        <w:rPr>
          <w:sz w:val="24"/>
          <w:szCs w:val="24"/>
        </w:rPr>
        <w:t xml:space="preserve">is </w:t>
      </w:r>
      <w:r w:rsidR="002641B9" w:rsidRPr="00B12B3B">
        <w:rPr>
          <w:sz w:val="24"/>
          <w:szCs w:val="24"/>
        </w:rPr>
        <w:t>unknown about its function and complex interplay with other cytokines</w:t>
      </w:r>
      <w:r w:rsidR="00BD159A" w:rsidRPr="00B12B3B">
        <w:rPr>
          <w:sz w:val="24"/>
          <w:szCs w:val="24"/>
        </w:rPr>
        <w:t xml:space="preserve"> </w:t>
      </w:r>
      <w:r w:rsidR="003234E8" w:rsidRPr="00B12B3B">
        <w:rPr>
          <w:sz w:val="24"/>
          <w:szCs w:val="24"/>
        </w:rPr>
        <w:t>(</w:t>
      </w:r>
      <w:proofErr w:type="spellStart"/>
      <w:r w:rsidR="003234E8" w:rsidRPr="00B12B3B">
        <w:rPr>
          <w:sz w:val="24"/>
          <w:szCs w:val="24"/>
        </w:rPr>
        <w:t>Zelova</w:t>
      </w:r>
      <w:proofErr w:type="spellEnd"/>
      <w:r w:rsidR="003234E8" w:rsidRPr="00B12B3B">
        <w:rPr>
          <w:sz w:val="24"/>
          <w:szCs w:val="24"/>
        </w:rPr>
        <w:t>, 2013)</w:t>
      </w:r>
      <w:r w:rsidR="00641E17" w:rsidRPr="00B12B3B">
        <w:rPr>
          <w:sz w:val="24"/>
          <w:szCs w:val="24"/>
        </w:rPr>
        <w:t>.</w:t>
      </w:r>
      <w:r w:rsidR="003174FA" w:rsidRPr="00B12B3B">
        <w:rPr>
          <w:sz w:val="24"/>
          <w:szCs w:val="24"/>
        </w:rPr>
        <w:t xml:space="preserve"> </w:t>
      </w:r>
      <w:r w:rsidR="006A0040" w:rsidRPr="00B12B3B">
        <w:rPr>
          <w:rFonts w:cstheme="minorHAnsi"/>
          <w:color w:val="202122"/>
          <w:sz w:val="24"/>
          <w:szCs w:val="24"/>
          <w:shd w:val="clear" w:color="auto" w:fill="FFFFFF"/>
        </w:rPr>
        <w:t>IL-12 plays an important role in the activities of </w:t>
      </w:r>
      <w:r w:rsidR="006A0040" w:rsidRPr="00B12B3B">
        <w:rPr>
          <w:rFonts w:cstheme="minorHAnsi"/>
          <w:sz w:val="24"/>
          <w:szCs w:val="24"/>
          <w:shd w:val="clear" w:color="auto" w:fill="FFFFFF"/>
        </w:rPr>
        <w:t>natural killer cells</w:t>
      </w:r>
      <w:r w:rsidR="006A0040" w:rsidRPr="00B12B3B">
        <w:rPr>
          <w:rFonts w:cstheme="minorHAnsi"/>
          <w:color w:val="202122"/>
          <w:sz w:val="24"/>
          <w:szCs w:val="24"/>
          <w:shd w:val="clear" w:color="auto" w:fill="FFFFFF"/>
        </w:rPr>
        <w:t> and T lymphocytes</w:t>
      </w:r>
      <w:r w:rsidR="00D01A3B" w:rsidRPr="00B12B3B">
        <w:rPr>
          <w:rFonts w:cstheme="minorHAnsi"/>
          <w:color w:val="202122"/>
          <w:sz w:val="24"/>
          <w:szCs w:val="24"/>
          <w:shd w:val="clear" w:color="auto" w:fill="FFFFFF"/>
        </w:rPr>
        <w:t xml:space="preserve"> and </w:t>
      </w:r>
      <w:r w:rsidR="006A0040" w:rsidRPr="00B12B3B">
        <w:rPr>
          <w:rFonts w:cstheme="minorHAnsi"/>
          <w:color w:val="202122"/>
          <w:sz w:val="24"/>
          <w:szCs w:val="24"/>
          <w:shd w:val="clear" w:color="auto" w:fill="FFFFFF"/>
        </w:rPr>
        <w:t>has anti-</w:t>
      </w:r>
      <w:r w:rsidR="006A0040" w:rsidRPr="00B12B3B">
        <w:rPr>
          <w:rFonts w:cstheme="minorHAnsi"/>
          <w:sz w:val="24"/>
          <w:szCs w:val="24"/>
          <w:shd w:val="clear" w:color="auto" w:fill="FFFFFF"/>
        </w:rPr>
        <w:t>angiogenic</w:t>
      </w:r>
      <w:r w:rsidR="006A0040" w:rsidRPr="00B12B3B">
        <w:rPr>
          <w:rFonts w:cstheme="minorHAnsi"/>
          <w:color w:val="202122"/>
          <w:sz w:val="24"/>
          <w:szCs w:val="24"/>
          <w:shd w:val="clear" w:color="auto" w:fill="FFFFFF"/>
        </w:rPr>
        <w:t> activity, which means it can block the formation of new blood vessels</w:t>
      </w:r>
      <w:r w:rsidR="00D01A3B" w:rsidRPr="00B12B3B">
        <w:rPr>
          <w:rFonts w:cstheme="minorHAnsi"/>
          <w:color w:val="202122"/>
          <w:sz w:val="24"/>
          <w:szCs w:val="24"/>
          <w:shd w:val="clear" w:color="auto" w:fill="FFFFFF"/>
        </w:rPr>
        <w:t xml:space="preserve"> by</w:t>
      </w:r>
      <w:r w:rsidR="006A0040" w:rsidRPr="00B12B3B">
        <w:rPr>
          <w:rFonts w:cstheme="minorHAnsi"/>
          <w:color w:val="202122"/>
          <w:sz w:val="24"/>
          <w:szCs w:val="24"/>
          <w:shd w:val="clear" w:color="auto" w:fill="FFFFFF"/>
        </w:rPr>
        <w:t xml:space="preserve"> increasing production of  </w:t>
      </w:r>
      <w:proofErr w:type="spellStart"/>
      <w:r w:rsidR="006A0040" w:rsidRPr="00B12B3B">
        <w:rPr>
          <w:sz w:val="24"/>
          <w:szCs w:val="24"/>
        </w:rPr>
        <w:t>IFNγ</w:t>
      </w:r>
      <w:proofErr w:type="spellEnd"/>
      <w:r w:rsidR="006A0040" w:rsidRPr="00B12B3B">
        <w:rPr>
          <w:sz w:val="24"/>
          <w:szCs w:val="24"/>
        </w:rPr>
        <w:t xml:space="preserve"> and chemokines.</w:t>
      </w:r>
      <w:r w:rsidR="006A0040" w:rsidRPr="00B12B3B">
        <w:rPr>
          <w:rFonts w:ascii="Arial" w:hAnsi="Arial" w:cs="Arial"/>
          <w:color w:val="202122"/>
          <w:sz w:val="21"/>
          <w:szCs w:val="21"/>
          <w:shd w:val="clear" w:color="auto" w:fill="FFFFFF"/>
        </w:rPr>
        <w:t> </w:t>
      </w:r>
      <w:proofErr w:type="spellStart"/>
      <w:r w:rsidR="00D01A3B" w:rsidRPr="00B12B3B">
        <w:rPr>
          <w:sz w:val="24"/>
          <w:szCs w:val="24"/>
          <w:lang w:val="nl-NL"/>
        </w:rPr>
        <w:t>Also</w:t>
      </w:r>
      <w:proofErr w:type="spellEnd"/>
      <w:r w:rsidR="00D01A3B" w:rsidRPr="00B12B3B">
        <w:rPr>
          <w:sz w:val="24"/>
          <w:szCs w:val="24"/>
          <w:lang w:val="nl-NL"/>
        </w:rPr>
        <w:t>, r</w:t>
      </w:r>
      <w:proofErr w:type="spellStart"/>
      <w:r w:rsidR="00D01A3B" w:rsidRPr="00B12B3B">
        <w:rPr>
          <w:bCs/>
          <w:sz w:val="24"/>
          <w:szCs w:val="24"/>
        </w:rPr>
        <w:t>egarding</w:t>
      </w:r>
      <w:proofErr w:type="spellEnd"/>
      <w:r w:rsidR="00D01A3B" w:rsidRPr="00B12B3B">
        <w:rPr>
          <w:bCs/>
          <w:sz w:val="24"/>
          <w:szCs w:val="24"/>
        </w:rPr>
        <w:t xml:space="preserve"> </w:t>
      </w:r>
      <w:bookmarkStart w:id="16" w:name="_Hlk43373980"/>
      <w:r w:rsidR="00D01A3B" w:rsidRPr="00B12B3B">
        <w:rPr>
          <w:bCs/>
          <w:sz w:val="24"/>
          <w:szCs w:val="24"/>
        </w:rPr>
        <w:t>vascular endothelial growth factor A or VEGF</w:t>
      </w:r>
      <w:r w:rsidR="00F07CC2" w:rsidRPr="00B12B3B">
        <w:rPr>
          <w:bCs/>
          <w:sz w:val="24"/>
          <w:szCs w:val="24"/>
        </w:rPr>
        <w:t>-</w:t>
      </w:r>
      <w:r w:rsidR="00D01A3B" w:rsidRPr="00B12B3B">
        <w:rPr>
          <w:bCs/>
          <w:sz w:val="24"/>
          <w:szCs w:val="24"/>
        </w:rPr>
        <w:t xml:space="preserve">a, we found significantly lower scores than in a healthy sample. VEGF-a was named after its role in angiogenesis. </w:t>
      </w:r>
      <w:r w:rsidR="00D01A3B" w:rsidRPr="00B12B3B">
        <w:rPr>
          <w:sz w:val="24"/>
          <w:szCs w:val="24"/>
          <w:lang w:val="nl-NL"/>
        </w:rPr>
        <w:t xml:space="preserve">The VEGF-a serum level is elevated in coronary artery disease (CAD) and low serum VEGF-a has been found </w:t>
      </w:r>
      <w:proofErr w:type="spellStart"/>
      <w:r w:rsidR="00D01A3B" w:rsidRPr="00B12B3B">
        <w:rPr>
          <w:sz w:val="24"/>
          <w:szCs w:val="24"/>
          <w:lang w:val="nl-NL"/>
        </w:rPr>
        <w:t>to</w:t>
      </w:r>
      <w:proofErr w:type="spellEnd"/>
      <w:r w:rsidR="00D01A3B" w:rsidRPr="00B12B3B">
        <w:rPr>
          <w:sz w:val="24"/>
          <w:szCs w:val="24"/>
          <w:lang w:val="nl-NL"/>
        </w:rPr>
        <w:t xml:space="preserve"> </w:t>
      </w:r>
      <w:proofErr w:type="spellStart"/>
      <w:r w:rsidR="00D01A3B" w:rsidRPr="00B12B3B">
        <w:rPr>
          <w:sz w:val="24"/>
          <w:szCs w:val="24"/>
          <w:lang w:val="nl-NL"/>
        </w:rPr>
        <w:t>indicate</w:t>
      </w:r>
      <w:proofErr w:type="spellEnd"/>
      <w:r w:rsidR="00D01A3B" w:rsidRPr="00B12B3B">
        <w:rPr>
          <w:sz w:val="24"/>
          <w:szCs w:val="24"/>
          <w:lang w:val="nl-NL"/>
        </w:rPr>
        <w:t xml:space="preserve"> severe </w:t>
      </w:r>
      <w:proofErr w:type="spellStart"/>
      <w:r w:rsidR="00D01A3B" w:rsidRPr="00B12B3B">
        <w:rPr>
          <w:sz w:val="24"/>
          <w:szCs w:val="24"/>
          <w:lang w:val="nl-NL"/>
        </w:rPr>
        <w:t>coronary</w:t>
      </w:r>
      <w:proofErr w:type="spellEnd"/>
      <w:r w:rsidR="00D01A3B" w:rsidRPr="00B12B3B">
        <w:rPr>
          <w:sz w:val="24"/>
          <w:szCs w:val="24"/>
          <w:lang w:val="nl-NL"/>
        </w:rPr>
        <w:t xml:space="preserve"> </w:t>
      </w:r>
      <w:proofErr w:type="spellStart"/>
      <w:r w:rsidR="00D01A3B" w:rsidRPr="00B12B3B">
        <w:rPr>
          <w:sz w:val="24"/>
          <w:szCs w:val="24"/>
          <w:lang w:val="nl-NL"/>
        </w:rPr>
        <w:t>artery</w:t>
      </w:r>
      <w:proofErr w:type="spellEnd"/>
      <w:r w:rsidR="00D01A3B" w:rsidRPr="00B12B3B">
        <w:rPr>
          <w:sz w:val="24"/>
          <w:szCs w:val="24"/>
          <w:lang w:val="nl-NL"/>
        </w:rPr>
        <w:t xml:space="preserve"> </w:t>
      </w:r>
      <w:proofErr w:type="spellStart"/>
      <w:r w:rsidR="00D01A3B" w:rsidRPr="00B12B3B">
        <w:rPr>
          <w:sz w:val="24"/>
          <w:szCs w:val="24"/>
          <w:lang w:val="nl-NL"/>
        </w:rPr>
        <w:t>lesions</w:t>
      </w:r>
      <w:proofErr w:type="spellEnd"/>
      <w:r w:rsidR="00D01A3B" w:rsidRPr="00B12B3B">
        <w:rPr>
          <w:sz w:val="24"/>
          <w:szCs w:val="24"/>
          <w:lang w:val="nl-NL"/>
        </w:rPr>
        <w:t xml:space="preserve"> </w:t>
      </w:r>
      <w:proofErr w:type="spellStart"/>
      <w:r w:rsidR="00D01A3B" w:rsidRPr="00B12B3B">
        <w:rPr>
          <w:sz w:val="24"/>
          <w:szCs w:val="24"/>
          <w:lang w:val="nl-NL"/>
        </w:rPr>
        <w:t>and</w:t>
      </w:r>
      <w:proofErr w:type="spellEnd"/>
      <w:r w:rsidR="00D01A3B" w:rsidRPr="00B12B3B">
        <w:rPr>
          <w:sz w:val="24"/>
          <w:szCs w:val="24"/>
          <w:lang w:val="nl-NL"/>
        </w:rPr>
        <w:t xml:space="preserve"> a </w:t>
      </w:r>
      <w:proofErr w:type="spellStart"/>
      <w:r w:rsidR="00D01A3B" w:rsidRPr="00B12B3B">
        <w:rPr>
          <w:sz w:val="24"/>
          <w:szCs w:val="24"/>
          <w:lang w:val="nl-NL"/>
        </w:rPr>
        <w:t>higher</w:t>
      </w:r>
      <w:proofErr w:type="spellEnd"/>
      <w:r w:rsidR="00D01A3B" w:rsidRPr="00B12B3B">
        <w:rPr>
          <w:sz w:val="24"/>
          <w:szCs w:val="24"/>
          <w:lang w:val="nl-NL"/>
        </w:rPr>
        <w:t xml:space="preserve"> GRACE score, </w:t>
      </w:r>
      <w:proofErr w:type="spellStart"/>
      <w:r w:rsidR="00D01A3B" w:rsidRPr="00B12B3B">
        <w:rPr>
          <w:sz w:val="24"/>
          <w:szCs w:val="24"/>
          <w:lang w:val="nl-NL"/>
        </w:rPr>
        <w:t>indicating</w:t>
      </w:r>
      <w:proofErr w:type="spellEnd"/>
      <w:r w:rsidR="00D01A3B" w:rsidRPr="00B12B3B">
        <w:rPr>
          <w:sz w:val="24"/>
          <w:szCs w:val="24"/>
          <w:lang w:val="nl-NL"/>
        </w:rPr>
        <w:t xml:space="preserve"> </w:t>
      </w:r>
      <w:proofErr w:type="spellStart"/>
      <w:r w:rsidR="00D01A3B" w:rsidRPr="00B12B3B">
        <w:rPr>
          <w:sz w:val="24"/>
          <w:szCs w:val="24"/>
          <w:lang w:val="nl-NL"/>
        </w:rPr>
        <w:t>poor</w:t>
      </w:r>
      <w:proofErr w:type="spellEnd"/>
      <w:r w:rsidR="00D01A3B" w:rsidRPr="00B12B3B">
        <w:rPr>
          <w:sz w:val="24"/>
          <w:szCs w:val="24"/>
          <w:lang w:val="nl-NL"/>
        </w:rPr>
        <w:t xml:space="preserve"> </w:t>
      </w:r>
      <w:proofErr w:type="spellStart"/>
      <w:r w:rsidR="00D01A3B" w:rsidRPr="00B12B3B">
        <w:rPr>
          <w:sz w:val="24"/>
          <w:szCs w:val="24"/>
          <w:lang w:val="nl-NL"/>
        </w:rPr>
        <w:t>clinical</w:t>
      </w:r>
      <w:proofErr w:type="spellEnd"/>
      <w:r w:rsidR="00D01A3B" w:rsidRPr="00B12B3B">
        <w:rPr>
          <w:sz w:val="24"/>
          <w:szCs w:val="24"/>
          <w:lang w:val="nl-NL"/>
        </w:rPr>
        <w:t xml:space="preserve"> </w:t>
      </w:r>
      <w:proofErr w:type="spellStart"/>
      <w:r w:rsidR="00D01A3B" w:rsidRPr="00B12B3B">
        <w:rPr>
          <w:sz w:val="24"/>
          <w:szCs w:val="24"/>
          <w:lang w:val="nl-NL"/>
        </w:rPr>
        <w:t>outcomes</w:t>
      </w:r>
      <w:proofErr w:type="spellEnd"/>
      <w:r w:rsidR="00BD159A" w:rsidRPr="00B12B3B">
        <w:rPr>
          <w:sz w:val="24"/>
          <w:szCs w:val="24"/>
          <w:lang w:val="nl-NL"/>
        </w:rPr>
        <w:t xml:space="preserve"> </w:t>
      </w:r>
      <w:r w:rsidR="00D01A3B" w:rsidRPr="00B12B3B">
        <w:rPr>
          <w:sz w:val="24"/>
          <w:szCs w:val="24"/>
          <w:lang w:val="nl-NL"/>
        </w:rPr>
        <w:t>(</w:t>
      </w:r>
      <w:proofErr w:type="spellStart"/>
      <w:r w:rsidR="00D01A3B" w:rsidRPr="00B12B3B">
        <w:rPr>
          <w:sz w:val="24"/>
          <w:szCs w:val="24"/>
          <w:lang w:val="nl-NL"/>
        </w:rPr>
        <w:t>Huang</w:t>
      </w:r>
      <w:proofErr w:type="spellEnd"/>
      <w:r w:rsidR="00D01A3B" w:rsidRPr="00B12B3B">
        <w:rPr>
          <w:sz w:val="24"/>
          <w:szCs w:val="24"/>
          <w:lang w:val="nl-NL"/>
        </w:rPr>
        <w:t xml:space="preserve"> et al., 2020)</w:t>
      </w:r>
      <w:r w:rsidR="00641E17" w:rsidRPr="00B12B3B">
        <w:rPr>
          <w:sz w:val="24"/>
          <w:szCs w:val="24"/>
          <w:lang w:val="nl-NL"/>
        </w:rPr>
        <w:t>.</w:t>
      </w:r>
      <w:r w:rsidR="00D01A3B" w:rsidRPr="00B12B3B">
        <w:rPr>
          <w:sz w:val="24"/>
          <w:szCs w:val="24"/>
          <w:lang w:val="nl-NL"/>
        </w:rPr>
        <w:t xml:space="preserve"> </w:t>
      </w:r>
      <w:r w:rsidR="00D01A3B" w:rsidRPr="00B12B3B">
        <w:rPr>
          <w:color w:val="222222"/>
          <w:sz w:val="24"/>
          <w:szCs w:val="24"/>
          <w:shd w:val="clear" w:color="auto" w:fill="FFFFFF"/>
        </w:rPr>
        <w:t xml:space="preserve">Too low VEGF can lead to decreased angiogenesis and lack of oxygen to the tissues. It would be worthwhile to explore if this might also pertain to brain ischemia and neurodegeneration. </w:t>
      </w:r>
      <w:bookmarkEnd w:id="16"/>
      <w:r w:rsidR="00D01A3B" w:rsidRPr="00B12B3B">
        <w:rPr>
          <w:bCs/>
          <w:sz w:val="24"/>
          <w:szCs w:val="24"/>
        </w:rPr>
        <w:t xml:space="preserve">There is emerging evidence that </w:t>
      </w:r>
      <w:r w:rsidR="00F07CC2" w:rsidRPr="00B12B3B">
        <w:rPr>
          <w:bCs/>
          <w:sz w:val="24"/>
          <w:szCs w:val="24"/>
        </w:rPr>
        <w:t>VEGF-a</w:t>
      </w:r>
      <w:r w:rsidR="00D01A3B" w:rsidRPr="00B12B3B">
        <w:rPr>
          <w:bCs/>
          <w:sz w:val="24"/>
          <w:szCs w:val="24"/>
        </w:rPr>
        <w:t xml:space="preserve"> has effects on neural development, and VEGF-a changes could be linked to neural changes in adulthood, for astroglia and Schwann cells, supportive cells to neurones providing metabolic support and recycling neurotransmitters released into synapses</w:t>
      </w:r>
      <w:r w:rsidR="00BD159A" w:rsidRPr="00B12B3B">
        <w:rPr>
          <w:bCs/>
          <w:sz w:val="24"/>
          <w:szCs w:val="24"/>
        </w:rPr>
        <w:t xml:space="preserve"> </w:t>
      </w:r>
      <w:r w:rsidR="00D01A3B" w:rsidRPr="00B12B3B">
        <w:rPr>
          <w:bCs/>
          <w:sz w:val="24"/>
          <w:szCs w:val="24"/>
        </w:rPr>
        <w:t>(Mackenzie, 2012)</w:t>
      </w:r>
      <w:r w:rsidR="00641E17" w:rsidRPr="00B12B3B">
        <w:rPr>
          <w:bCs/>
          <w:sz w:val="24"/>
          <w:szCs w:val="24"/>
        </w:rPr>
        <w:t>.</w:t>
      </w:r>
      <w:r w:rsidR="00D01A3B" w:rsidRPr="00B12B3B">
        <w:rPr>
          <w:bCs/>
          <w:sz w:val="24"/>
          <w:szCs w:val="24"/>
        </w:rPr>
        <w:t xml:space="preserve"> It could be assumed that changes in VEGF-a could result in disruption in neurone nourishment, health and regulation. </w:t>
      </w:r>
      <w:r w:rsidR="000A2FED" w:rsidRPr="00B12B3B">
        <w:rPr>
          <w:sz w:val="24"/>
          <w:szCs w:val="24"/>
        </w:rPr>
        <w:t>To summarise, our fi</w:t>
      </w:r>
      <w:r w:rsidR="003E4404" w:rsidRPr="00B12B3B">
        <w:rPr>
          <w:sz w:val="24"/>
          <w:szCs w:val="24"/>
        </w:rPr>
        <w:t>n</w:t>
      </w:r>
      <w:r w:rsidR="000A2FED" w:rsidRPr="00B12B3B">
        <w:rPr>
          <w:sz w:val="24"/>
          <w:szCs w:val="24"/>
        </w:rPr>
        <w:t xml:space="preserve">dings show </w:t>
      </w:r>
      <w:r w:rsidR="003E4404" w:rsidRPr="00B12B3B">
        <w:rPr>
          <w:sz w:val="24"/>
          <w:szCs w:val="24"/>
        </w:rPr>
        <w:t>an elevation of cytokines across the board, indicating peripheral inflammation</w:t>
      </w:r>
      <w:r w:rsidR="006A0040" w:rsidRPr="00B12B3B">
        <w:rPr>
          <w:sz w:val="24"/>
          <w:szCs w:val="24"/>
        </w:rPr>
        <w:t xml:space="preserve">; links to T cell activity; and to </w:t>
      </w:r>
      <w:r w:rsidR="00D01A3B" w:rsidRPr="00B12B3B">
        <w:rPr>
          <w:sz w:val="24"/>
          <w:szCs w:val="24"/>
        </w:rPr>
        <w:t>reduced angiogenesis and support to neuronal cells</w:t>
      </w:r>
      <w:r w:rsidR="003E4404" w:rsidRPr="00B12B3B">
        <w:rPr>
          <w:sz w:val="24"/>
          <w:szCs w:val="24"/>
        </w:rPr>
        <w:t xml:space="preserve">. </w:t>
      </w:r>
    </w:p>
    <w:p w14:paraId="717DDC09" w14:textId="45162DAC" w:rsidR="00D16E86" w:rsidRPr="00B12B3B" w:rsidRDefault="00C14AEB" w:rsidP="00D16E86">
      <w:pPr>
        <w:pStyle w:val="Geenafstand"/>
        <w:spacing w:line="360" w:lineRule="auto"/>
        <w:jc w:val="both"/>
        <w:rPr>
          <w:rFonts w:eastAsia="Times New Roman" w:cstheme="minorHAnsi"/>
          <w:sz w:val="24"/>
          <w:szCs w:val="24"/>
        </w:rPr>
      </w:pPr>
      <w:r w:rsidRPr="00B12B3B">
        <w:rPr>
          <w:sz w:val="24"/>
          <w:szCs w:val="24"/>
        </w:rPr>
        <w:t xml:space="preserve">Our study suggests epigenetic processes as </w:t>
      </w:r>
      <w:r w:rsidR="0082381E" w:rsidRPr="00B12B3B">
        <w:rPr>
          <w:sz w:val="24"/>
          <w:szCs w:val="24"/>
        </w:rPr>
        <w:t>TNFα</w:t>
      </w:r>
      <w:r w:rsidR="00501334" w:rsidRPr="00B12B3B">
        <w:rPr>
          <w:sz w:val="24"/>
          <w:szCs w:val="24"/>
        </w:rPr>
        <w:t xml:space="preserve"> was correlated with </w:t>
      </w:r>
      <w:r w:rsidR="00501334" w:rsidRPr="00B12B3B">
        <w:rPr>
          <w:sz w:val="24"/>
          <w:szCs w:val="24"/>
          <w:lang w:val="nl-NL"/>
        </w:rPr>
        <w:t xml:space="preserve">miR-16, miR-132, miR-146a, miR-155, miR-223 and miR-21. miR-146a is </w:t>
      </w:r>
      <w:proofErr w:type="spellStart"/>
      <w:r w:rsidR="00501334" w:rsidRPr="00B12B3B">
        <w:rPr>
          <w:sz w:val="24"/>
          <w:szCs w:val="24"/>
          <w:lang w:val="nl-NL"/>
        </w:rPr>
        <w:t>known</w:t>
      </w:r>
      <w:proofErr w:type="spellEnd"/>
      <w:r w:rsidR="00501334" w:rsidRPr="00B12B3B">
        <w:rPr>
          <w:sz w:val="24"/>
          <w:szCs w:val="24"/>
          <w:lang w:val="nl-NL"/>
        </w:rPr>
        <w:t xml:space="preserve"> </w:t>
      </w:r>
      <w:proofErr w:type="spellStart"/>
      <w:r w:rsidR="00501334" w:rsidRPr="00B12B3B">
        <w:rPr>
          <w:sz w:val="24"/>
          <w:szCs w:val="24"/>
          <w:lang w:val="nl-NL"/>
        </w:rPr>
        <w:t>to</w:t>
      </w:r>
      <w:proofErr w:type="spellEnd"/>
      <w:r w:rsidR="00501334" w:rsidRPr="00B12B3B">
        <w:rPr>
          <w:sz w:val="24"/>
          <w:szCs w:val="24"/>
          <w:lang w:val="nl-NL"/>
        </w:rPr>
        <w:t xml:space="preserve"> </w:t>
      </w:r>
      <w:proofErr w:type="spellStart"/>
      <w:r w:rsidR="00501334" w:rsidRPr="00B12B3B">
        <w:rPr>
          <w:sz w:val="24"/>
          <w:szCs w:val="24"/>
          <w:lang w:val="nl-NL"/>
        </w:rPr>
        <w:t>be</w:t>
      </w:r>
      <w:proofErr w:type="spellEnd"/>
      <w:r w:rsidR="00501334" w:rsidRPr="00B12B3B">
        <w:rPr>
          <w:sz w:val="24"/>
          <w:szCs w:val="24"/>
          <w:lang w:val="nl-NL"/>
        </w:rPr>
        <w:t xml:space="preserve"> </w:t>
      </w:r>
      <w:proofErr w:type="spellStart"/>
      <w:r w:rsidR="00501334" w:rsidRPr="00B12B3B">
        <w:rPr>
          <w:sz w:val="24"/>
          <w:szCs w:val="24"/>
          <w:lang w:val="nl-NL"/>
        </w:rPr>
        <w:t>associated</w:t>
      </w:r>
      <w:proofErr w:type="spellEnd"/>
      <w:r w:rsidR="00501334" w:rsidRPr="00B12B3B">
        <w:rPr>
          <w:sz w:val="24"/>
          <w:szCs w:val="24"/>
          <w:lang w:val="nl-NL"/>
        </w:rPr>
        <w:t xml:space="preserve"> </w:t>
      </w:r>
      <w:proofErr w:type="spellStart"/>
      <w:r w:rsidR="00501334" w:rsidRPr="00B12B3B">
        <w:rPr>
          <w:sz w:val="24"/>
          <w:szCs w:val="24"/>
          <w:lang w:val="nl-NL"/>
        </w:rPr>
        <w:t>with</w:t>
      </w:r>
      <w:proofErr w:type="spellEnd"/>
      <w:r w:rsidR="00501334" w:rsidRPr="00B12B3B">
        <w:rPr>
          <w:sz w:val="24"/>
          <w:szCs w:val="24"/>
          <w:lang w:val="nl-NL"/>
        </w:rPr>
        <w:t xml:space="preserve"> </w:t>
      </w:r>
      <w:proofErr w:type="spellStart"/>
      <w:r w:rsidR="00501334" w:rsidRPr="00B12B3B">
        <w:rPr>
          <w:sz w:val="24"/>
          <w:szCs w:val="24"/>
          <w:lang w:val="nl-NL"/>
        </w:rPr>
        <w:t>inflammation</w:t>
      </w:r>
      <w:proofErr w:type="spellEnd"/>
      <w:r w:rsidR="00501334" w:rsidRPr="00B12B3B">
        <w:rPr>
          <w:sz w:val="24"/>
          <w:szCs w:val="24"/>
          <w:lang w:val="nl-NL"/>
        </w:rPr>
        <w:t xml:space="preserve"> </w:t>
      </w:r>
      <w:proofErr w:type="spellStart"/>
      <w:r w:rsidR="00501334" w:rsidRPr="00B12B3B">
        <w:rPr>
          <w:sz w:val="24"/>
          <w:szCs w:val="24"/>
          <w:lang w:val="nl-NL"/>
        </w:rPr>
        <w:t>and</w:t>
      </w:r>
      <w:proofErr w:type="spellEnd"/>
      <w:r w:rsidR="00501334" w:rsidRPr="00B12B3B">
        <w:rPr>
          <w:sz w:val="24"/>
          <w:szCs w:val="24"/>
          <w:lang w:val="nl-NL"/>
        </w:rPr>
        <w:t xml:space="preserve"> </w:t>
      </w:r>
      <w:proofErr w:type="spellStart"/>
      <w:r w:rsidR="00501334" w:rsidRPr="00B12B3B">
        <w:rPr>
          <w:sz w:val="24"/>
          <w:szCs w:val="24"/>
          <w:lang w:val="nl-NL"/>
        </w:rPr>
        <w:t>so</w:t>
      </w:r>
      <w:proofErr w:type="spellEnd"/>
      <w:r w:rsidR="00501334" w:rsidRPr="00B12B3B">
        <w:rPr>
          <w:sz w:val="24"/>
          <w:szCs w:val="24"/>
          <w:lang w:val="nl-NL"/>
        </w:rPr>
        <w:t xml:space="preserve"> is miR-155</w:t>
      </w:r>
      <w:r w:rsidR="004A4722" w:rsidRPr="00B12B3B">
        <w:rPr>
          <w:sz w:val="24"/>
          <w:szCs w:val="24"/>
          <w:lang w:val="nl-NL"/>
        </w:rPr>
        <w:t xml:space="preserve"> </w:t>
      </w:r>
      <w:r w:rsidR="003234E8" w:rsidRPr="00B12B3B">
        <w:rPr>
          <w:sz w:val="24"/>
          <w:szCs w:val="24"/>
          <w:lang w:val="nl-NL"/>
        </w:rPr>
        <w:t>(</w:t>
      </w:r>
      <w:proofErr w:type="spellStart"/>
      <w:r w:rsidR="003234E8" w:rsidRPr="00B12B3B">
        <w:rPr>
          <w:sz w:val="24"/>
          <w:szCs w:val="24"/>
          <w:lang w:val="nl-NL"/>
        </w:rPr>
        <w:t>Yee</w:t>
      </w:r>
      <w:proofErr w:type="spellEnd"/>
      <w:r w:rsidR="003234E8" w:rsidRPr="00B12B3B">
        <w:rPr>
          <w:sz w:val="24"/>
          <w:szCs w:val="24"/>
          <w:lang w:val="nl-NL"/>
        </w:rPr>
        <w:t>, 2017)</w:t>
      </w:r>
      <w:r w:rsidR="00641E17" w:rsidRPr="00B12B3B">
        <w:rPr>
          <w:sz w:val="24"/>
          <w:szCs w:val="24"/>
          <w:lang w:val="nl-NL"/>
        </w:rPr>
        <w:t>.</w:t>
      </w:r>
      <w:r w:rsidR="00501334" w:rsidRPr="00B12B3B">
        <w:rPr>
          <w:sz w:val="24"/>
          <w:szCs w:val="24"/>
          <w:lang w:val="nl-NL"/>
        </w:rPr>
        <w:t xml:space="preserve"> </w:t>
      </w:r>
      <w:proofErr w:type="spellStart"/>
      <w:r w:rsidR="00D01A3B" w:rsidRPr="00B12B3B">
        <w:rPr>
          <w:sz w:val="24"/>
          <w:szCs w:val="24"/>
          <w:lang w:val="nl-NL"/>
        </w:rPr>
        <w:t>Also</w:t>
      </w:r>
      <w:proofErr w:type="spellEnd"/>
      <w:r w:rsidR="00D01A3B" w:rsidRPr="00B12B3B">
        <w:rPr>
          <w:sz w:val="24"/>
          <w:szCs w:val="24"/>
          <w:lang w:val="nl-NL"/>
        </w:rPr>
        <w:t xml:space="preserve">, </w:t>
      </w:r>
      <w:proofErr w:type="spellStart"/>
      <w:r w:rsidR="00D01A3B" w:rsidRPr="00B12B3B">
        <w:rPr>
          <w:sz w:val="24"/>
          <w:szCs w:val="24"/>
          <w:lang w:val="nl-NL"/>
        </w:rPr>
        <w:t>regarding</w:t>
      </w:r>
      <w:proofErr w:type="spellEnd"/>
      <w:r w:rsidR="00D01A3B" w:rsidRPr="00B12B3B">
        <w:rPr>
          <w:sz w:val="24"/>
          <w:szCs w:val="24"/>
          <w:lang w:val="nl-NL"/>
        </w:rPr>
        <w:t xml:space="preserve"> </w:t>
      </w:r>
      <w:proofErr w:type="spellStart"/>
      <w:r w:rsidR="00D01A3B" w:rsidRPr="00B12B3B">
        <w:rPr>
          <w:sz w:val="24"/>
          <w:szCs w:val="24"/>
          <w:lang w:val="nl-NL"/>
        </w:rPr>
        <w:t>the</w:t>
      </w:r>
      <w:proofErr w:type="spellEnd"/>
      <w:r w:rsidR="00D01A3B" w:rsidRPr="00B12B3B">
        <w:rPr>
          <w:sz w:val="24"/>
          <w:szCs w:val="24"/>
          <w:lang w:val="nl-NL"/>
        </w:rPr>
        <w:t xml:space="preserve"> </w:t>
      </w:r>
      <w:proofErr w:type="spellStart"/>
      <w:r w:rsidR="00D01A3B" w:rsidRPr="00B12B3B">
        <w:rPr>
          <w:sz w:val="24"/>
          <w:szCs w:val="24"/>
          <w:lang w:val="nl-NL"/>
        </w:rPr>
        <w:t>association</w:t>
      </w:r>
      <w:proofErr w:type="spellEnd"/>
      <w:r w:rsidR="00D01A3B" w:rsidRPr="00B12B3B">
        <w:rPr>
          <w:sz w:val="24"/>
          <w:szCs w:val="24"/>
          <w:lang w:val="nl-NL"/>
        </w:rPr>
        <w:t xml:space="preserve"> </w:t>
      </w:r>
      <w:proofErr w:type="spellStart"/>
      <w:r w:rsidR="00D01A3B" w:rsidRPr="00B12B3B">
        <w:rPr>
          <w:sz w:val="24"/>
          <w:szCs w:val="24"/>
          <w:lang w:val="nl-NL"/>
        </w:rPr>
        <w:t>between</w:t>
      </w:r>
      <w:proofErr w:type="spellEnd"/>
      <w:r w:rsidR="00D01A3B" w:rsidRPr="00B12B3B">
        <w:rPr>
          <w:sz w:val="24"/>
          <w:szCs w:val="24"/>
          <w:lang w:val="nl-NL"/>
        </w:rPr>
        <w:t xml:space="preserve"> </w:t>
      </w:r>
      <w:proofErr w:type="spellStart"/>
      <w:r w:rsidR="00D01A3B" w:rsidRPr="00B12B3B">
        <w:rPr>
          <w:sz w:val="24"/>
          <w:szCs w:val="24"/>
          <w:lang w:val="nl-NL"/>
        </w:rPr>
        <w:t>microRNA</w:t>
      </w:r>
      <w:proofErr w:type="spellEnd"/>
      <w:r w:rsidR="00D01A3B" w:rsidRPr="00B12B3B">
        <w:rPr>
          <w:sz w:val="24"/>
          <w:szCs w:val="24"/>
          <w:lang w:val="nl-NL"/>
        </w:rPr>
        <w:t xml:space="preserve"> </w:t>
      </w:r>
      <w:proofErr w:type="spellStart"/>
      <w:r w:rsidR="00D01A3B" w:rsidRPr="00B12B3B">
        <w:rPr>
          <w:sz w:val="24"/>
          <w:szCs w:val="24"/>
          <w:lang w:val="nl-NL"/>
        </w:rPr>
        <w:t>and</w:t>
      </w:r>
      <w:proofErr w:type="spellEnd"/>
      <w:r w:rsidR="00D01A3B" w:rsidRPr="00B12B3B">
        <w:rPr>
          <w:sz w:val="24"/>
          <w:szCs w:val="24"/>
          <w:lang w:val="nl-NL"/>
        </w:rPr>
        <w:t xml:space="preserve"> VEGF-a, w</w:t>
      </w:r>
      <w:proofErr w:type="spellStart"/>
      <w:r w:rsidR="00486E7C" w:rsidRPr="00B12B3B">
        <w:rPr>
          <w:bCs/>
          <w:sz w:val="24"/>
          <w:szCs w:val="24"/>
        </w:rPr>
        <w:t>e</w:t>
      </w:r>
      <w:proofErr w:type="spellEnd"/>
      <w:r w:rsidR="00486E7C" w:rsidRPr="00B12B3B">
        <w:rPr>
          <w:bCs/>
          <w:sz w:val="24"/>
          <w:szCs w:val="24"/>
        </w:rPr>
        <w:t xml:space="preserve"> found two subgroups in our sample</w:t>
      </w:r>
      <w:r w:rsidR="00D01A3B" w:rsidRPr="00B12B3B">
        <w:rPr>
          <w:bCs/>
          <w:sz w:val="24"/>
          <w:szCs w:val="24"/>
        </w:rPr>
        <w:t>.</w:t>
      </w:r>
      <w:r w:rsidR="00486E7C" w:rsidRPr="00B12B3B">
        <w:rPr>
          <w:bCs/>
          <w:sz w:val="24"/>
          <w:szCs w:val="24"/>
        </w:rPr>
        <w:t xml:space="preserve"> </w:t>
      </w:r>
      <w:r w:rsidR="00D01A3B" w:rsidRPr="00B12B3B">
        <w:rPr>
          <w:bCs/>
          <w:sz w:val="24"/>
          <w:szCs w:val="24"/>
        </w:rPr>
        <w:t>O</w:t>
      </w:r>
      <w:r w:rsidR="00486E7C" w:rsidRPr="00B12B3B">
        <w:rPr>
          <w:bCs/>
          <w:sz w:val="24"/>
          <w:szCs w:val="24"/>
        </w:rPr>
        <w:t>ne with a correlation between miRNA-21 and miRNA-132, both microRNAs implicated in vascular inflammation, and VEGF</w:t>
      </w:r>
      <w:r w:rsidR="00C912BF" w:rsidRPr="00B12B3B">
        <w:rPr>
          <w:bCs/>
          <w:sz w:val="24"/>
          <w:szCs w:val="24"/>
        </w:rPr>
        <w:t>-</w:t>
      </w:r>
      <w:r w:rsidR="00486E7C" w:rsidRPr="00B12B3B">
        <w:rPr>
          <w:bCs/>
          <w:sz w:val="24"/>
          <w:szCs w:val="24"/>
        </w:rPr>
        <w:t xml:space="preserve">a levels, and one with </w:t>
      </w:r>
      <w:r w:rsidR="00486E7C" w:rsidRPr="00B12B3B">
        <w:rPr>
          <w:color w:val="222222"/>
          <w:sz w:val="24"/>
          <w:szCs w:val="24"/>
          <w:shd w:val="clear" w:color="auto" w:fill="FFFFFF"/>
        </w:rPr>
        <w:t xml:space="preserve">very low microRNA levels and no correlation. </w:t>
      </w:r>
      <w:r w:rsidR="00B41833" w:rsidRPr="00B12B3B">
        <w:rPr>
          <w:color w:val="222222"/>
          <w:sz w:val="24"/>
          <w:szCs w:val="24"/>
          <w:shd w:val="clear" w:color="auto" w:fill="FFFFFF"/>
        </w:rPr>
        <w:t>This suggest</w:t>
      </w:r>
      <w:r w:rsidR="00641E17" w:rsidRPr="00B12B3B">
        <w:rPr>
          <w:color w:val="222222"/>
          <w:sz w:val="24"/>
          <w:szCs w:val="24"/>
          <w:shd w:val="clear" w:color="auto" w:fill="FFFFFF"/>
        </w:rPr>
        <w:t>s</w:t>
      </w:r>
      <w:r w:rsidR="00B41833" w:rsidRPr="00B12B3B">
        <w:rPr>
          <w:color w:val="222222"/>
          <w:sz w:val="24"/>
          <w:szCs w:val="24"/>
          <w:shd w:val="clear" w:color="auto" w:fill="FFFFFF"/>
        </w:rPr>
        <w:t xml:space="preserve"> that there may be an epigenetic mechanism for a subgroup of patients with motor CD/FND</w:t>
      </w:r>
      <w:r w:rsidR="00D16E86" w:rsidRPr="00B12B3B">
        <w:rPr>
          <w:color w:val="222222"/>
          <w:sz w:val="24"/>
          <w:szCs w:val="24"/>
          <w:shd w:val="clear" w:color="auto" w:fill="FFFFFF"/>
        </w:rPr>
        <w:t xml:space="preserve">. </w:t>
      </w:r>
      <w:bookmarkStart w:id="17" w:name="_Hlk64235441"/>
      <w:r w:rsidR="00D16E86" w:rsidRPr="00B12B3B">
        <w:rPr>
          <w:rFonts w:eastAsia="Times New Roman" w:cstheme="minorHAnsi"/>
          <w:sz w:val="24"/>
          <w:szCs w:val="24"/>
        </w:rPr>
        <w:t>It might be indicative of an important role for the vascular and circulatory system in a subset of individuals with FND/CD. Suggestions for some vascular link have been made in a case study (</w:t>
      </w:r>
      <w:proofErr w:type="spellStart"/>
      <w:r w:rsidR="00D16E86" w:rsidRPr="00B12B3B">
        <w:rPr>
          <w:rFonts w:eastAsia="Times New Roman" w:cstheme="minorHAnsi"/>
          <w:sz w:val="24"/>
          <w:szCs w:val="24"/>
        </w:rPr>
        <w:t>G</w:t>
      </w:r>
      <w:r w:rsidR="000B6FA5" w:rsidRPr="00B12B3B">
        <w:rPr>
          <w:rFonts w:eastAsia="Times New Roman" w:cstheme="minorHAnsi"/>
          <w:sz w:val="24"/>
          <w:szCs w:val="24"/>
        </w:rPr>
        <w:t>ü</w:t>
      </w:r>
      <w:r w:rsidR="00D16E86" w:rsidRPr="00B12B3B">
        <w:rPr>
          <w:rFonts w:eastAsia="Times New Roman" w:cstheme="minorHAnsi"/>
          <w:sz w:val="24"/>
          <w:szCs w:val="24"/>
        </w:rPr>
        <w:t>rses</w:t>
      </w:r>
      <w:proofErr w:type="spellEnd"/>
      <w:r w:rsidR="00D16E86" w:rsidRPr="00B12B3B">
        <w:rPr>
          <w:rFonts w:eastAsia="Times New Roman" w:cstheme="minorHAnsi"/>
          <w:sz w:val="24"/>
          <w:szCs w:val="24"/>
        </w:rPr>
        <w:t xml:space="preserve"> et al., 2008)  and in a recent review considering that </w:t>
      </w:r>
      <w:r w:rsidR="00D16E86" w:rsidRPr="00B12B3B">
        <w:rPr>
          <w:rFonts w:cstheme="minorHAnsi"/>
          <w:color w:val="212121"/>
          <w:sz w:val="24"/>
          <w:szCs w:val="24"/>
          <w:shd w:val="clear" w:color="auto" w:fill="FFFFFF"/>
        </w:rPr>
        <w:t xml:space="preserve">a proportion of patients entering the care pathway present with functional symptoms mimicking stroke or have functional symptoms in addition to vascular stroke (Jones et al., 2020). The possibility that </w:t>
      </w:r>
      <w:proofErr w:type="spellStart"/>
      <w:r w:rsidR="00D16E86" w:rsidRPr="00B12B3B">
        <w:rPr>
          <w:rFonts w:eastAsia="Times New Roman" w:cstheme="minorHAnsi"/>
          <w:sz w:val="24"/>
          <w:szCs w:val="24"/>
        </w:rPr>
        <w:t>VEGFa</w:t>
      </w:r>
      <w:proofErr w:type="spellEnd"/>
      <w:r w:rsidR="00D16E86" w:rsidRPr="00B12B3B">
        <w:rPr>
          <w:rFonts w:eastAsia="Times New Roman" w:cstheme="minorHAnsi"/>
          <w:sz w:val="24"/>
          <w:szCs w:val="24"/>
        </w:rPr>
        <w:t xml:space="preserve"> and microRNA might play a role in this should be investigated in future studies.</w:t>
      </w:r>
    </w:p>
    <w:bookmarkEnd w:id="17"/>
    <w:p w14:paraId="5F36BE9E" w14:textId="48B595D8" w:rsidR="0070360F" w:rsidRPr="00B12B3B" w:rsidRDefault="00D93314" w:rsidP="00D93314">
      <w:pPr>
        <w:pStyle w:val="Geenafstand"/>
        <w:spacing w:line="360" w:lineRule="auto"/>
        <w:jc w:val="both"/>
        <w:rPr>
          <w:b/>
          <w:bCs/>
          <w:sz w:val="24"/>
          <w:szCs w:val="24"/>
          <w:shd w:val="clear" w:color="auto" w:fill="FFFFFF"/>
        </w:rPr>
      </w:pPr>
      <w:r w:rsidRPr="00B12B3B">
        <w:rPr>
          <w:b/>
          <w:bCs/>
          <w:sz w:val="24"/>
          <w:szCs w:val="24"/>
          <w:shd w:val="clear" w:color="auto" w:fill="FFFFFF"/>
        </w:rPr>
        <w:t>4.5</w:t>
      </w:r>
      <w:r w:rsidRPr="00B12B3B">
        <w:rPr>
          <w:b/>
          <w:bCs/>
          <w:sz w:val="24"/>
          <w:szCs w:val="24"/>
          <w:shd w:val="clear" w:color="auto" w:fill="FFFFFF"/>
        </w:rPr>
        <w:tab/>
        <w:t>Neurocognitive impairments</w:t>
      </w:r>
    </w:p>
    <w:p w14:paraId="2C43FB54" w14:textId="65302F10" w:rsidR="003F179E" w:rsidRPr="00B12B3B" w:rsidRDefault="0049588A" w:rsidP="00D93314">
      <w:pPr>
        <w:pStyle w:val="Geenafstand"/>
        <w:spacing w:line="360" w:lineRule="auto"/>
        <w:jc w:val="both"/>
        <w:rPr>
          <w:sz w:val="24"/>
          <w:szCs w:val="24"/>
        </w:rPr>
      </w:pPr>
      <w:r w:rsidRPr="00B12B3B">
        <w:rPr>
          <w:sz w:val="24"/>
          <w:szCs w:val="24"/>
        </w:rPr>
        <w:lastRenderedPageBreak/>
        <w:t xml:space="preserve">Neurocognitive tests showed no </w:t>
      </w:r>
      <w:r w:rsidR="003F179E" w:rsidRPr="00B12B3B">
        <w:rPr>
          <w:sz w:val="24"/>
          <w:szCs w:val="24"/>
        </w:rPr>
        <w:t>indications of impaired effort</w:t>
      </w:r>
      <w:r w:rsidRPr="00B12B3B">
        <w:rPr>
          <w:sz w:val="24"/>
          <w:szCs w:val="24"/>
        </w:rPr>
        <w:t xml:space="preserve"> </w:t>
      </w:r>
      <w:r w:rsidR="003F179E" w:rsidRPr="00B12B3B">
        <w:rPr>
          <w:sz w:val="24"/>
          <w:szCs w:val="24"/>
        </w:rPr>
        <w:t>according to the WAIS Digit Span Scores</w:t>
      </w:r>
      <w:r w:rsidRPr="00B12B3B">
        <w:rPr>
          <w:sz w:val="24"/>
          <w:szCs w:val="24"/>
        </w:rPr>
        <w:t xml:space="preserve"> and </w:t>
      </w:r>
      <w:r w:rsidR="003F179E" w:rsidRPr="00B12B3B">
        <w:rPr>
          <w:sz w:val="24"/>
          <w:szCs w:val="24"/>
        </w:rPr>
        <w:t>no evidence of malingering</w:t>
      </w:r>
      <w:r w:rsidRPr="00B12B3B">
        <w:rPr>
          <w:sz w:val="24"/>
          <w:szCs w:val="24"/>
        </w:rPr>
        <w:t xml:space="preserve"> in </w:t>
      </w:r>
      <w:r w:rsidR="003F179E" w:rsidRPr="00B12B3B">
        <w:rPr>
          <w:sz w:val="24"/>
          <w:szCs w:val="24"/>
        </w:rPr>
        <w:t>the TOMM test.</w:t>
      </w:r>
      <w:r w:rsidRPr="00B12B3B">
        <w:rPr>
          <w:sz w:val="24"/>
          <w:szCs w:val="24"/>
        </w:rPr>
        <w:t xml:space="preserve"> T</w:t>
      </w:r>
      <w:r w:rsidR="003F179E" w:rsidRPr="00B12B3B">
        <w:rPr>
          <w:sz w:val="24"/>
          <w:szCs w:val="24"/>
        </w:rPr>
        <w:t xml:space="preserve">here was evidence of impairment in verbal and visual components of executive functioning (inhibition/switching on the CWIT and TMT). Equally, there was evidence of slowed information processing and motor speed overall, which could influence higher executive functions involving cognitive flexibility under timed conditions, such as inhibition and switching. Conversely, executive functions assessed by the WAIS digit symbol substitution test and the Tower of London Test (also a timed task) were in the normal range. If we compare these findings with findings with a sample of 29 patients with CD/FND, raw scores on both the </w:t>
      </w:r>
      <w:r w:rsidR="000B6FA5" w:rsidRPr="00B12B3B">
        <w:rPr>
          <w:sz w:val="24"/>
          <w:szCs w:val="24"/>
        </w:rPr>
        <w:t xml:space="preserve"> </w:t>
      </w:r>
      <w:r w:rsidR="003F179E" w:rsidRPr="00B12B3B">
        <w:rPr>
          <w:sz w:val="24"/>
          <w:szCs w:val="24"/>
        </w:rPr>
        <w:t>(Stroop) CWIT test and TMT (visual scanning) were substantially lower in the current sample</w:t>
      </w:r>
      <w:r w:rsidR="000B6FA5" w:rsidRPr="00B12B3B">
        <w:rPr>
          <w:sz w:val="24"/>
          <w:szCs w:val="24"/>
        </w:rPr>
        <w:t xml:space="preserve"> </w:t>
      </w:r>
      <w:r w:rsidR="00D93314" w:rsidRPr="00B12B3B">
        <w:rPr>
          <w:sz w:val="24"/>
          <w:szCs w:val="24"/>
        </w:rPr>
        <w:t xml:space="preserve">(De </w:t>
      </w:r>
      <w:proofErr w:type="spellStart"/>
      <w:r w:rsidR="00D93314" w:rsidRPr="00B12B3B">
        <w:rPr>
          <w:sz w:val="24"/>
          <w:szCs w:val="24"/>
        </w:rPr>
        <w:t>Vroege</w:t>
      </w:r>
      <w:proofErr w:type="spellEnd"/>
      <w:r w:rsidR="00D93314" w:rsidRPr="00B12B3B">
        <w:rPr>
          <w:sz w:val="24"/>
          <w:szCs w:val="24"/>
        </w:rPr>
        <w:t xml:space="preserve"> et al., 2020)</w:t>
      </w:r>
      <w:r w:rsidR="00641E17" w:rsidRPr="00B12B3B">
        <w:rPr>
          <w:sz w:val="24"/>
          <w:szCs w:val="24"/>
        </w:rPr>
        <w:t>.</w:t>
      </w:r>
      <w:r w:rsidR="003F179E" w:rsidRPr="00B12B3B">
        <w:rPr>
          <w:sz w:val="24"/>
          <w:szCs w:val="24"/>
        </w:rPr>
        <w:t xml:space="preserve"> </w:t>
      </w:r>
      <w:r w:rsidR="00D93314" w:rsidRPr="00B12B3B">
        <w:rPr>
          <w:sz w:val="24"/>
          <w:szCs w:val="24"/>
        </w:rPr>
        <w:t xml:space="preserve">Working memory scores were slightly higher in the current sample although still impaired. </w:t>
      </w:r>
      <w:r w:rsidR="003F179E" w:rsidRPr="00B12B3B">
        <w:rPr>
          <w:sz w:val="24"/>
          <w:szCs w:val="24"/>
        </w:rPr>
        <w:t xml:space="preserve">This warrants further, larger scale research in order to more fully establish a profile of neurocognitive impairment in this group and its association with neuro-inflammation markers as well as self-reported stress and adverse childhood experiences.  </w:t>
      </w:r>
    </w:p>
    <w:p w14:paraId="349048FC" w14:textId="2C635138" w:rsidR="003F179E" w:rsidRPr="00B12B3B" w:rsidRDefault="00CC795A" w:rsidP="00D93314">
      <w:pPr>
        <w:autoSpaceDE w:val="0"/>
        <w:autoSpaceDN w:val="0"/>
        <w:adjustRightInd w:val="0"/>
        <w:spacing w:line="360" w:lineRule="auto"/>
        <w:jc w:val="both"/>
        <w:rPr>
          <w:rFonts w:asciiTheme="minorHAnsi" w:hAnsiTheme="minorHAnsi" w:cstheme="minorHAnsi"/>
          <w:b/>
        </w:rPr>
      </w:pPr>
      <w:r w:rsidRPr="00B12B3B">
        <w:rPr>
          <w:rFonts w:asciiTheme="minorHAnsi" w:hAnsiTheme="minorHAnsi" w:cstheme="minorHAnsi"/>
          <w:b/>
        </w:rPr>
        <w:t>4.6</w:t>
      </w:r>
      <w:r w:rsidRPr="00B12B3B">
        <w:rPr>
          <w:rFonts w:asciiTheme="minorHAnsi" w:hAnsiTheme="minorHAnsi" w:cstheme="minorHAnsi"/>
          <w:b/>
        </w:rPr>
        <w:tab/>
        <w:t>Implications for research</w:t>
      </w:r>
    </w:p>
    <w:p w14:paraId="6D1C968C" w14:textId="0CCE895C" w:rsidR="00644635" w:rsidRPr="00B12B3B" w:rsidRDefault="00FB35D0" w:rsidP="00BD159A">
      <w:pPr>
        <w:spacing w:line="360" w:lineRule="auto"/>
        <w:jc w:val="both"/>
        <w:rPr>
          <w:rFonts w:asciiTheme="minorHAnsi" w:hAnsiTheme="minorHAnsi" w:cstheme="minorHAnsi"/>
        </w:rPr>
      </w:pPr>
      <w:r w:rsidRPr="00B12B3B">
        <w:rPr>
          <w:rFonts w:asciiTheme="minorHAnsi" w:hAnsiTheme="minorHAnsi" w:cstheme="minorHAnsi"/>
          <w:bCs/>
        </w:rPr>
        <w:t>This feasibility study shows that there is scope to further explore</w:t>
      </w:r>
      <w:r w:rsidRPr="00B12B3B">
        <w:rPr>
          <w:rFonts w:asciiTheme="minorHAnsi" w:hAnsiTheme="minorHAnsi" w:cstheme="minorHAnsi"/>
          <w:shd w:val="clear" w:color="auto" w:fill="FFFFFF"/>
        </w:rPr>
        <w:t xml:space="preserve"> an underlying pathogenic mechanism related to </w:t>
      </w:r>
      <w:r w:rsidRPr="00B12B3B">
        <w:rPr>
          <w:rFonts w:asciiTheme="minorHAnsi" w:hAnsiTheme="minorHAnsi" w:cstheme="minorHAnsi"/>
          <w:bCs/>
        </w:rPr>
        <w:t>an inflammatory process and vascular inflammatory process in CD/FND with motor problems, cytokines,</w:t>
      </w:r>
      <w:r w:rsidRPr="00B12B3B">
        <w:rPr>
          <w:rFonts w:asciiTheme="minorHAnsi" w:hAnsiTheme="minorHAnsi" w:cstheme="minorHAnsi"/>
          <w:shd w:val="clear" w:color="auto" w:fill="FFFFFF"/>
        </w:rPr>
        <w:t xml:space="preserve"> and the role of miRNA. </w:t>
      </w:r>
      <w:r w:rsidR="00BD159A" w:rsidRPr="00B12B3B">
        <w:rPr>
          <w:rFonts w:asciiTheme="minorHAnsi" w:hAnsiTheme="minorHAnsi" w:cstheme="minorHAnsi"/>
        </w:rPr>
        <w:t xml:space="preserve">Our results provide support for further studies investigating the role of inflammation in CD/FND pathogenesis. Understanding the links between inflammation and CD/FND pathogenesis can potentially lead to inclusion of anti-inflammatory agents in future research evaluation of new treatments for CD/FND. </w:t>
      </w:r>
      <w:r w:rsidR="00F07CC2" w:rsidRPr="00B12B3B">
        <w:rPr>
          <w:rFonts w:asciiTheme="minorHAnsi" w:hAnsiTheme="minorHAnsi" w:cstheme="minorHAnsi"/>
          <w:bCs/>
        </w:rPr>
        <w:t>VEGF-a</w:t>
      </w:r>
      <w:r w:rsidR="008C235E" w:rsidRPr="00B12B3B">
        <w:rPr>
          <w:rFonts w:asciiTheme="minorHAnsi" w:hAnsiTheme="minorHAnsi" w:cstheme="minorHAnsi"/>
          <w:bCs/>
        </w:rPr>
        <w:t xml:space="preserve"> might be explored further. </w:t>
      </w:r>
      <w:r w:rsidR="003D64AF" w:rsidRPr="00B12B3B">
        <w:rPr>
          <w:rFonts w:asciiTheme="minorHAnsi" w:hAnsiTheme="minorHAnsi" w:cstheme="minorHAnsi"/>
          <w:bCs/>
        </w:rPr>
        <w:t>The role of microRNA needs further exploration, as mental disorders have been suggested to result from impairments in cellular plasticity cascades, d</w:t>
      </w:r>
      <w:r w:rsidR="003D64AF" w:rsidRPr="00B12B3B">
        <w:rPr>
          <w:rFonts w:asciiTheme="minorHAnsi" w:hAnsiTheme="minorHAnsi" w:cstheme="minorHAnsi"/>
          <w:shd w:val="clear" w:color="auto" w:fill="FFFFFF"/>
        </w:rPr>
        <w:t>isrupting cellular networks, rather than disturbances in any particular monoamine system. Such impairments may lead to aberrant information processing in the brain circuits that regulate mood, cognition, and neurovegetative functions. MicroRNAs are non-coding RNAs that can repress the gene translation of hundreds of their targets and are therefore well-positioned to target and impair a multitude of cellular mechanisms. They are altered by stress, glucocorticoids, and mood stabilizers</w:t>
      </w:r>
      <w:r w:rsidR="000B6FA5" w:rsidRPr="00B12B3B">
        <w:rPr>
          <w:rFonts w:asciiTheme="minorHAnsi" w:hAnsiTheme="minorHAnsi" w:cstheme="minorHAnsi"/>
          <w:shd w:val="clear" w:color="auto" w:fill="FFFFFF"/>
        </w:rPr>
        <w:t xml:space="preserve"> </w:t>
      </w:r>
      <w:r w:rsidR="00CC795A" w:rsidRPr="00B12B3B">
        <w:rPr>
          <w:rFonts w:asciiTheme="minorHAnsi" w:hAnsiTheme="minorHAnsi" w:cstheme="minorHAnsi"/>
          <w:shd w:val="clear" w:color="auto" w:fill="FFFFFF"/>
        </w:rPr>
        <w:t>(Hunsberger, 2009)</w:t>
      </w:r>
      <w:r w:rsidR="00641E17" w:rsidRPr="00B12B3B">
        <w:rPr>
          <w:rFonts w:asciiTheme="minorHAnsi" w:hAnsiTheme="minorHAnsi" w:cstheme="minorHAnsi"/>
          <w:shd w:val="clear" w:color="auto" w:fill="FFFFFF"/>
        </w:rPr>
        <w:t>.</w:t>
      </w:r>
      <w:r w:rsidR="00851BB2" w:rsidRPr="00B12B3B">
        <w:rPr>
          <w:rFonts w:asciiTheme="minorHAnsi" w:hAnsiTheme="minorHAnsi" w:cstheme="minorHAnsi"/>
          <w:shd w:val="clear" w:color="auto" w:fill="FFFFFF"/>
        </w:rPr>
        <w:t xml:space="preserve"> The </w:t>
      </w:r>
      <w:r w:rsidR="00851BB2" w:rsidRPr="00B12B3B">
        <w:rPr>
          <w:rFonts w:asciiTheme="minorHAnsi" w:hAnsiTheme="minorHAnsi" w:cstheme="minorHAnsi"/>
        </w:rPr>
        <w:t>contribution of brain miRNAs to the regulation of behaviour</w:t>
      </w:r>
      <w:r w:rsidR="00851BB2" w:rsidRPr="00B12B3B">
        <w:rPr>
          <w:rFonts w:asciiTheme="minorHAnsi" w:hAnsiTheme="minorHAnsi" w:cstheme="minorHAnsi"/>
          <w:shd w:val="clear" w:color="auto" w:fill="FFFFFF"/>
        </w:rPr>
        <w:t xml:space="preserve"> may play a key role in the epigenetic hypothesis for mental disorders</w:t>
      </w:r>
      <w:r w:rsidR="000B6FA5" w:rsidRPr="00B12B3B">
        <w:rPr>
          <w:rFonts w:asciiTheme="minorHAnsi" w:hAnsiTheme="minorHAnsi" w:cstheme="minorHAnsi"/>
          <w:shd w:val="clear" w:color="auto" w:fill="FFFFFF"/>
        </w:rPr>
        <w:t xml:space="preserve"> </w:t>
      </w:r>
      <w:r w:rsidR="00CC795A" w:rsidRPr="00B12B3B">
        <w:rPr>
          <w:rFonts w:asciiTheme="minorHAnsi" w:hAnsiTheme="minorHAnsi" w:cstheme="minorHAnsi"/>
        </w:rPr>
        <w:t>(</w:t>
      </w:r>
      <w:proofErr w:type="spellStart"/>
      <w:r w:rsidR="00CC795A" w:rsidRPr="00B12B3B">
        <w:rPr>
          <w:rFonts w:asciiTheme="minorHAnsi" w:hAnsiTheme="minorHAnsi" w:cstheme="minorHAnsi"/>
        </w:rPr>
        <w:t>Issler</w:t>
      </w:r>
      <w:proofErr w:type="spellEnd"/>
      <w:r w:rsidR="00CC795A" w:rsidRPr="00B12B3B">
        <w:rPr>
          <w:rFonts w:asciiTheme="minorHAnsi" w:hAnsiTheme="minorHAnsi" w:cstheme="minorHAnsi"/>
        </w:rPr>
        <w:t>, 2015)</w:t>
      </w:r>
      <w:r w:rsidR="000B6FA5" w:rsidRPr="00B12B3B">
        <w:rPr>
          <w:rFonts w:asciiTheme="minorHAnsi" w:hAnsiTheme="minorHAnsi" w:cstheme="minorHAnsi"/>
        </w:rPr>
        <w:t>.</w:t>
      </w:r>
      <w:r w:rsidR="00851BB2" w:rsidRPr="00B12B3B">
        <w:rPr>
          <w:rFonts w:asciiTheme="minorHAnsi" w:hAnsiTheme="minorHAnsi" w:cstheme="minorHAnsi"/>
        </w:rPr>
        <w:t xml:space="preserve"> miRNA levels </w:t>
      </w:r>
      <w:r w:rsidR="00BF637C" w:rsidRPr="00B12B3B">
        <w:rPr>
          <w:rFonts w:asciiTheme="minorHAnsi" w:hAnsiTheme="minorHAnsi" w:cstheme="minorHAnsi"/>
        </w:rPr>
        <w:t xml:space="preserve">may potentially be </w:t>
      </w:r>
      <w:r w:rsidR="00851BB2" w:rsidRPr="00B12B3B">
        <w:rPr>
          <w:rFonts w:asciiTheme="minorHAnsi" w:hAnsiTheme="minorHAnsi" w:cstheme="minorHAnsi"/>
        </w:rPr>
        <w:t xml:space="preserve">used in the diagnosis of </w:t>
      </w:r>
      <w:r w:rsidR="00BF637C" w:rsidRPr="00B12B3B">
        <w:rPr>
          <w:rFonts w:asciiTheme="minorHAnsi" w:hAnsiTheme="minorHAnsi" w:cstheme="minorHAnsi"/>
        </w:rPr>
        <w:t xml:space="preserve">mental </w:t>
      </w:r>
      <w:r w:rsidR="00851BB2" w:rsidRPr="00B12B3B">
        <w:rPr>
          <w:rFonts w:asciiTheme="minorHAnsi" w:hAnsiTheme="minorHAnsi" w:cstheme="minorHAnsi"/>
        </w:rPr>
        <w:t xml:space="preserve">disorders and </w:t>
      </w:r>
      <w:r w:rsidR="00BF637C" w:rsidRPr="00B12B3B">
        <w:rPr>
          <w:rFonts w:asciiTheme="minorHAnsi" w:hAnsiTheme="minorHAnsi" w:cstheme="minorHAnsi"/>
        </w:rPr>
        <w:t>might</w:t>
      </w:r>
      <w:r w:rsidR="00851BB2" w:rsidRPr="00B12B3B">
        <w:rPr>
          <w:rFonts w:asciiTheme="minorHAnsi" w:hAnsiTheme="minorHAnsi" w:cstheme="minorHAnsi"/>
        </w:rPr>
        <w:t xml:space="preserve"> become novel treatment targets for </w:t>
      </w:r>
      <w:r w:rsidR="00BF637C" w:rsidRPr="00B12B3B">
        <w:rPr>
          <w:rFonts w:asciiTheme="minorHAnsi" w:hAnsiTheme="minorHAnsi" w:cstheme="minorHAnsi"/>
        </w:rPr>
        <w:t>mental</w:t>
      </w:r>
      <w:r w:rsidR="00851BB2" w:rsidRPr="00B12B3B">
        <w:rPr>
          <w:rFonts w:asciiTheme="minorHAnsi" w:hAnsiTheme="minorHAnsi" w:cstheme="minorHAnsi"/>
        </w:rPr>
        <w:t xml:space="preserve"> disorders</w:t>
      </w:r>
      <w:r w:rsidR="000B6FA5" w:rsidRPr="00B12B3B">
        <w:rPr>
          <w:rFonts w:asciiTheme="minorHAnsi" w:hAnsiTheme="minorHAnsi" w:cstheme="minorHAnsi"/>
        </w:rPr>
        <w:t xml:space="preserve"> </w:t>
      </w:r>
      <w:r w:rsidR="00CC795A" w:rsidRPr="00B12B3B">
        <w:rPr>
          <w:rFonts w:asciiTheme="minorHAnsi" w:hAnsiTheme="minorHAnsi" w:cstheme="minorHAnsi"/>
        </w:rPr>
        <w:t xml:space="preserve">(Hanna et al., </w:t>
      </w:r>
      <w:r w:rsidR="00CC795A" w:rsidRPr="00B12B3B">
        <w:rPr>
          <w:rFonts w:asciiTheme="minorHAnsi" w:hAnsiTheme="minorHAnsi" w:cstheme="minorHAnsi"/>
        </w:rPr>
        <w:lastRenderedPageBreak/>
        <w:t>2019)</w:t>
      </w:r>
      <w:r w:rsidR="00D86281" w:rsidRPr="00B12B3B">
        <w:rPr>
          <w:rFonts w:asciiTheme="minorHAnsi" w:hAnsiTheme="minorHAnsi" w:cstheme="minorHAnsi"/>
        </w:rPr>
        <w:t>.</w:t>
      </w:r>
      <w:r w:rsidR="00851BB2" w:rsidRPr="00B12B3B">
        <w:rPr>
          <w:rFonts w:asciiTheme="minorHAnsi" w:hAnsiTheme="minorHAnsi" w:cstheme="minorHAnsi"/>
        </w:rPr>
        <w:t xml:space="preserve"> </w:t>
      </w:r>
      <w:r w:rsidR="00644635" w:rsidRPr="00B12B3B">
        <w:rPr>
          <w:rFonts w:asciiTheme="minorHAnsi" w:hAnsiTheme="minorHAnsi" w:cstheme="minorHAnsi"/>
        </w:rPr>
        <w:t>Another avenue for future research may be developing and evaluating a cognitive remediation training aimed at maintaining, switching and focusing attention, such as in brain injury patients. It is already common practice to work on attention before starting CBT in dementia patients in order to compensate for age-related changes in executive functioning and attentional skills, and this might be a path to explore in CD/FND patients as well</w:t>
      </w:r>
      <w:r w:rsidR="001A04B9" w:rsidRPr="00B12B3B">
        <w:rPr>
          <w:rFonts w:asciiTheme="minorHAnsi" w:hAnsiTheme="minorHAnsi" w:cstheme="minorHAnsi"/>
        </w:rPr>
        <w:t xml:space="preserve">, taking </w:t>
      </w:r>
      <w:r w:rsidR="003C1935" w:rsidRPr="00B12B3B">
        <w:rPr>
          <w:rFonts w:asciiTheme="minorHAnsi" w:hAnsiTheme="minorHAnsi" w:cstheme="minorHAnsi"/>
        </w:rPr>
        <w:t xml:space="preserve">different cytokine and miRNA profiles </w:t>
      </w:r>
      <w:r w:rsidR="001A04B9" w:rsidRPr="00B12B3B">
        <w:rPr>
          <w:rFonts w:asciiTheme="minorHAnsi" w:hAnsiTheme="minorHAnsi" w:cstheme="minorHAnsi"/>
        </w:rPr>
        <w:t xml:space="preserve">into account </w:t>
      </w:r>
      <w:r w:rsidR="003C1935" w:rsidRPr="00B12B3B">
        <w:rPr>
          <w:rFonts w:asciiTheme="minorHAnsi" w:hAnsiTheme="minorHAnsi" w:cstheme="minorHAnsi"/>
        </w:rPr>
        <w:t>towards the intervention.</w:t>
      </w:r>
    </w:p>
    <w:p w14:paraId="343E3818" w14:textId="789710DF" w:rsidR="00CE5DE7" w:rsidRPr="00B12B3B" w:rsidRDefault="00CC795A" w:rsidP="00FA3504">
      <w:pPr>
        <w:spacing w:line="360" w:lineRule="auto"/>
        <w:jc w:val="both"/>
        <w:rPr>
          <w:rFonts w:asciiTheme="minorHAnsi" w:hAnsiTheme="minorHAnsi" w:cstheme="minorHAnsi"/>
          <w:b/>
          <w:bCs/>
        </w:rPr>
      </w:pPr>
      <w:r w:rsidRPr="00B12B3B">
        <w:rPr>
          <w:rFonts w:asciiTheme="minorHAnsi" w:hAnsiTheme="minorHAnsi" w:cstheme="minorHAnsi"/>
          <w:b/>
          <w:bCs/>
        </w:rPr>
        <w:t>4.7</w:t>
      </w:r>
      <w:r w:rsidRPr="00B12B3B">
        <w:rPr>
          <w:rFonts w:asciiTheme="minorHAnsi" w:hAnsiTheme="minorHAnsi" w:cstheme="minorHAnsi"/>
          <w:b/>
          <w:bCs/>
        </w:rPr>
        <w:tab/>
        <w:t>Limitations of the study</w:t>
      </w:r>
    </w:p>
    <w:p w14:paraId="6E1A1849" w14:textId="34B2B0CF" w:rsidR="00FF4EB6" w:rsidRPr="00B12B3B" w:rsidRDefault="00644635" w:rsidP="00FA3504">
      <w:pPr>
        <w:spacing w:line="360" w:lineRule="auto"/>
        <w:jc w:val="both"/>
        <w:rPr>
          <w:rFonts w:asciiTheme="minorHAnsi" w:hAnsiTheme="minorHAnsi" w:cstheme="minorHAnsi"/>
        </w:rPr>
      </w:pPr>
      <w:r w:rsidRPr="00B12B3B">
        <w:rPr>
          <w:rFonts w:asciiTheme="minorHAnsi" w:hAnsiTheme="minorHAnsi" w:cstheme="minorHAnsi"/>
        </w:rPr>
        <w:t>Th</w:t>
      </w:r>
      <w:r w:rsidR="001A3B94" w:rsidRPr="00B12B3B">
        <w:rPr>
          <w:rFonts w:asciiTheme="minorHAnsi" w:hAnsiTheme="minorHAnsi" w:cstheme="minorHAnsi"/>
        </w:rPr>
        <w:t xml:space="preserve">is is a feasibility study that has </w:t>
      </w:r>
      <w:r w:rsidR="003C1935" w:rsidRPr="00B12B3B">
        <w:rPr>
          <w:rFonts w:asciiTheme="minorHAnsi" w:hAnsiTheme="minorHAnsi" w:cstheme="minorHAnsi"/>
        </w:rPr>
        <w:t>obvious</w:t>
      </w:r>
      <w:r w:rsidRPr="00B12B3B">
        <w:rPr>
          <w:rFonts w:asciiTheme="minorHAnsi" w:hAnsiTheme="minorHAnsi" w:cstheme="minorHAnsi"/>
        </w:rPr>
        <w:t xml:space="preserve"> limitations. Firstly, </w:t>
      </w:r>
      <w:r w:rsidR="001A3B94" w:rsidRPr="00B12B3B">
        <w:rPr>
          <w:rFonts w:asciiTheme="minorHAnsi" w:hAnsiTheme="minorHAnsi" w:cstheme="minorHAnsi"/>
        </w:rPr>
        <w:t xml:space="preserve">although the </w:t>
      </w:r>
      <w:r w:rsidRPr="00B12B3B">
        <w:rPr>
          <w:rFonts w:asciiTheme="minorHAnsi" w:hAnsiTheme="minorHAnsi" w:cstheme="minorHAnsi"/>
        </w:rPr>
        <w:t xml:space="preserve">study </w:t>
      </w:r>
      <w:r w:rsidR="001A3B94" w:rsidRPr="00B12B3B">
        <w:rPr>
          <w:rFonts w:asciiTheme="minorHAnsi" w:hAnsiTheme="minorHAnsi" w:cstheme="minorHAnsi"/>
        </w:rPr>
        <w:t>wa</w:t>
      </w:r>
      <w:r w:rsidRPr="00B12B3B">
        <w:rPr>
          <w:rFonts w:asciiTheme="minorHAnsi" w:hAnsiTheme="minorHAnsi" w:cstheme="minorHAnsi"/>
        </w:rPr>
        <w:t>s</w:t>
      </w:r>
      <w:r w:rsidR="001A3B94" w:rsidRPr="00B12B3B">
        <w:rPr>
          <w:rFonts w:asciiTheme="minorHAnsi" w:hAnsiTheme="minorHAnsi" w:cstheme="minorHAnsi"/>
        </w:rPr>
        <w:t xml:space="preserve"> getting set up to include patients from several NHS settings, due to the COVID</w:t>
      </w:r>
      <w:r w:rsidR="000C38FF" w:rsidRPr="00B12B3B">
        <w:rPr>
          <w:rFonts w:asciiTheme="minorHAnsi" w:hAnsiTheme="minorHAnsi" w:cstheme="minorHAnsi"/>
        </w:rPr>
        <w:t>-</w:t>
      </w:r>
      <w:r w:rsidR="001A3B94" w:rsidRPr="00B12B3B">
        <w:rPr>
          <w:rFonts w:asciiTheme="minorHAnsi" w:hAnsiTheme="minorHAnsi" w:cstheme="minorHAnsi"/>
        </w:rPr>
        <w:t xml:space="preserve">19 outbreak, </w:t>
      </w:r>
      <w:r w:rsidRPr="00B12B3B">
        <w:rPr>
          <w:rFonts w:asciiTheme="minorHAnsi" w:hAnsiTheme="minorHAnsi" w:cstheme="minorHAnsi"/>
        </w:rPr>
        <w:t xml:space="preserve"> </w:t>
      </w:r>
      <w:r w:rsidR="001A3B94" w:rsidRPr="00B12B3B">
        <w:rPr>
          <w:rFonts w:asciiTheme="minorHAnsi" w:hAnsiTheme="minorHAnsi" w:cstheme="minorHAnsi"/>
        </w:rPr>
        <w:t xml:space="preserve">most patients were </w:t>
      </w:r>
      <w:r w:rsidR="000C38FF" w:rsidRPr="00B12B3B">
        <w:rPr>
          <w:rFonts w:asciiTheme="minorHAnsi" w:hAnsiTheme="minorHAnsi" w:cstheme="minorHAnsi"/>
        </w:rPr>
        <w:t xml:space="preserve">recruited </w:t>
      </w:r>
      <w:r w:rsidR="001A3B94" w:rsidRPr="00B12B3B">
        <w:rPr>
          <w:rFonts w:asciiTheme="minorHAnsi" w:hAnsiTheme="minorHAnsi" w:cstheme="minorHAnsi"/>
        </w:rPr>
        <w:t xml:space="preserve">from </w:t>
      </w:r>
      <w:r w:rsidRPr="00B12B3B">
        <w:rPr>
          <w:rFonts w:asciiTheme="minorHAnsi" w:hAnsiTheme="minorHAnsi" w:cstheme="minorHAnsi"/>
        </w:rPr>
        <w:t xml:space="preserve">a single NHS trust, limiting our knowledge of how the processes may work in other settings. </w:t>
      </w:r>
      <w:r w:rsidR="001A3B94" w:rsidRPr="00B12B3B">
        <w:rPr>
          <w:rFonts w:asciiTheme="minorHAnsi" w:hAnsiTheme="minorHAnsi" w:cstheme="minorHAnsi"/>
        </w:rPr>
        <w:t>Nevertheless, as other settings were starting up to contribute, we have no reason to doubt the feasibility of having multiple sites and settings contribute.</w:t>
      </w:r>
      <w:r w:rsidR="003C1935" w:rsidRPr="00B12B3B">
        <w:rPr>
          <w:rFonts w:asciiTheme="minorHAnsi" w:hAnsiTheme="minorHAnsi" w:cstheme="minorHAnsi"/>
        </w:rPr>
        <w:t xml:space="preserve"> Second, patient characteristics</w:t>
      </w:r>
      <w:r w:rsidR="00D86281" w:rsidRPr="00B12B3B">
        <w:rPr>
          <w:rFonts w:asciiTheme="minorHAnsi" w:hAnsiTheme="minorHAnsi" w:cstheme="minorHAnsi"/>
        </w:rPr>
        <w:t xml:space="preserve"> </w:t>
      </w:r>
      <w:r w:rsidR="003C1935" w:rsidRPr="00B12B3B">
        <w:rPr>
          <w:rFonts w:asciiTheme="minorHAnsi" w:hAnsiTheme="minorHAnsi" w:cstheme="minorHAnsi"/>
        </w:rPr>
        <w:t>provid</w:t>
      </w:r>
      <w:r w:rsidR="00D86281" w:rsidRPr="00B12B3B">
        <w:rPr>
          <w:rFonts w:asciiTheme="minorHAnsi" w:hAnsiTheme="minorHAnsi" w:cstheme="minorHAnsi"/>
        </w:rPr>
        <w:t>e</w:t>
      </w:r>
      <w:r w:rsidR="003C1935" w:rsidRPr="00B12B3B">
        <w:rPr>
          <w:rFonts w:asciiTheme="minorHAnsi" w:hAnsiTheme="minorHAnsi" w:cstheme="minorHAnsi"/>
        </w:rPr>
        <w:t xml:space="preserve"> an indication of the potential relevance of further research to explore the hypothesis that systemic low-grade inflammation and microRNA might play a role in CD/FND</w:t>
      </w:r>
      <w:r w:rsidR="00D86281" w:rsidRPr="00B12B3B">
        <w:rPr>
          <w:rFonts w:asciiTheme="minorHAnsi" w:hAnsiTheme="minorHAnsi" w:cstheme="minorHAnsi"/>
        </w:rPr>
        <w:t>; further research would be needed to explore this</w:t>
      </w:r>
      <w:r w:rsidR="003C1935" w:rsidRPr="00B12B3B">
        <w:rPr>
          <w:rFonts w:asciiTheme="minorHAnsi" w:hAnsiTheme="minorHAnsi" w:cstheme="minorHAnsi"/>
        </w:rPr>
        <w:t>. Third, regarding the cytokines and microRNA, we only had one sample, taken at a random sample timepoint and not related to an intervention. Although we made an effort to not include patients with evidence of a concurring inflammatory condition, two baseline measures to check if an elevated score would not be temporary and related to a passing infection, but an indication of systemic low-grade inflammation</w:t>
      </w:r>
      <w:r w:rsidR="00DF5A56" w:rsidRPr="00B12B3B">
        <w:rPr>
          <w:rFonts w:asciiTheme="minorHAnsi" w:hAnsiTheme="minorHAnsi" w:cstheme="minorHAnsi"/>
        </w:rPr>
        <w:t>, would have been a good addition</w:t>
      </w:r>
      <w:r w:rsidR="003C1935" w:rsidRPr="00B12B3B">
        <w:rPr>
          <w:rFonts w:asciiTheme="minorHAnsi" w:hAnsiTheme="minorHAnsi" w:cstheme="minorHAnsi"/>
        </w:rPr>
        <w:t>. Fourth,</w:t>
      </w:r>
      <w:r w:rsidR="00DF5A56" w:rsidRPr="00B12B3B">
        <w:rPr>
          <w:rFonts w:asciiTheme="minorHAnsi" w:hAnsiTheme="minorHAnsi" w:cstheme="minorHAnsi"/>
        </w:rPr>
        <w:t xml:space="preserve"> </w:t>
      </w:r>
      <w:r w:rsidR="009866F5" w:rsidRPr="00B12B3B">
        <w:rPr>
          <w:rFonts w:asciiTheme="minorHAnsi" w:hAnsiTheme="minorHAnsi" w:cstheme="minorHAnsi"/>
        </w:rPr>
        <w:t>a</w:t>
      </w:r>
      <w:r w:rsidR="009866F5" w:rsidRPr="00B12B3B">
        <w:rPr>
          <w:rFonts w:asciiTheme="minorHAnsi" w:hAnsiTheme="minorHAnsi" w:cstheme="minorHAnsi"/>
          <w:lang w:eastAsia="nl-NL"/>
        </w:rPr>
        <w:t>lthough we found some statistically significant findings, and we compared with results from a healthy sample following the same methods at the same lab, the generalisability of the results is limited because of the small number and the lack of a control group that was matched for age and gender and examined at the same time as the patients.</w:t>
      </w:r>
      <w:r w:rsidR="009866F5" w:rsidRPr="00B12B3B">
        <w:rPr>
          <w:rFonts w:cstheme="minorHAnsi"/>
          <w:lang w:eastAsia="nl-NL"/>
        </w:rPr>
        <w:t xml:space="preserve"> </w:t>
      </w:r>
      <w:r w:rsidR="00DF5A56" w:rsidRPr="00B12B3B">
        <w:rPr>
          <w:rFonts w:asciiTheme="minorHAnsi" w:hAnsiTheme="minorHAnsi" w:cstheme="minorHAnsi"/>
        </w:rPr>
        <w:t>Also</w:t>
      </w:r>
      <w:r w:rsidR="003C1935" w:rsidRPr="00B12B3B">
        <w:rPr>
          <w:rFonts w:asciiTheme="minorHAnsi" w:hAnsiTheme="minorHAnsi" w:cstheme="minorHAnsi"/>
        </w:rPr>
        <w:t xml:space="preserve">, </w:t>
      </w:r>
      <w:r w:rsidR="00CE5DE7" w:rsidRPr="00B12B3B">
        <w:rPr>
          <w:rFonts w:asciiTheme="minorHAnsi" w:hAnsiTheme="minorHAnsi" w:cstheme="minorHAnsi"/>
        </w:rPr>
        <w:t xml:space="preserve">in a future study </w:t>
      </w:r>
      <w:r w:rsidR="003C1935" w:rsidRPr="00B12B3B">
        <w:rPr>
          <w:rFonts w:asciiTheme="minorHAnsi" w:hAnsiTheme="minorHAnsi" w:cstheme="minorHAnsi"/>
        </w:rPr>
        <w:t>we will need procedures to assess BMI and weight circumference</w:t>
      </w:r>
      <w:r w:rsidR="00DF5A56" w:rsidRPr="00B12B3B">
        <w:rPr>
          <w:rFonts w:asciiTheme="minorHAnsi" w:hAnsiTheme="minorHAnsi" w:cstheme="minorHAnsi"/>
        </w:rPr>
        <w:t xml:space="preserve"> in patients unable to stand</w:t>
      </w:r>
      <w:r w:rsidR="003C1935" w:rsidRPr="00B12B3B">
        <w:rPr>
          <w:rFonts w:asciiTheme="minorHAnsi" w:hAnsiTheme="minorHAnsi" w:cstheme="minorHAnsi"/>
        </w:rPr>
        <w:t xml:space="preserve">, to enable us to correct for confounding factors. </w:t>
      </w:r>
    </w:p>
    <w:p w14:paraId="500A685C" w14:textId="21276089" w:rsidR="00CE5DE7" w:rsidRPr="00B12B3B" w:rsidRDefault="00CC795A" w:rsidP="00FA3504">
      <w:pPr>
        <w:spacing w:line="360" w:lineRule="auto"/>
        <w:jc w:val="both"/>
        <w:rPr>
          <w:rFonts w:asciiTheme="minorHAnsi" w:hAnsiTheme="minorHAnsi" w:cstheme="minorHAnsi"/>
          <w:b/>
          <w:bCs/>
        </w:rPr>
      </w:pPr>
      <w:r w:rsidRPr="00B12B3B">
        <w:rPr>
          <w:rFonts w:asciiTheme="minorHAnsi" w:hAnsiTheme="minorHAnsi" w:cstheme="minorHAnsi"/>
          <w:b/>
          <w:bCs/>
        </w:rPr>
        <w:t>4.8</w:t>
      </w:r>
      <w:r w:rsidRPr="00B12B3B">
        <w:rPr>
          <w:rFonts w:asciiTheme="minorHAnsi" w:hAnsiTheme="minorHAnsi" w:cstheme="minorHAnsi"/>
          <w:b/>
          <w:bCs/>
        </w:rPr>
        <w:tab/>
        <w:t>Strengths of the study</w:t>
      </w:r>
    </w:p>
    <w:p w14:paraId="35E1540D" w14:textId="146FA094" w:rsidR="001A3B94" w:rsidRPr="00B12B3B" w:rsidRDefault="00647F95" w:rsidP="00FA3504">
      <w:pPr>
        <w:spacing w:line="360" w:lineRule="auto"/>
        <w:jc w:val="both"/>
        <w:rPr>
          <w:rFonts w:asciiTheme="minorHAnsi" w:hAnsiTheme="minorHAnsi" w:cstheme="minorHAnsi"/>
          <w:b/>
        </w:rPr>
      </w:pPr>
      <w:r w:rsidRPr="00B12B3B">
        <w:rPr>
          <w:rFonts w:asciiTheme="minorHAnsi" w:hAnsiTheme="minorHAnsi" w:cstheme="minorHAnsi"/>
        </w:rPr>
        <w:t xml:space="preserve">This study </w:t>
      </w:r>
      <w:r w:rsidR="00CE5DE7" w:rsidRPr="00B12B3B">
        <w:rPr>
          <w:rFonts w:asciiTheme="minorHAnsi" w:hAnsiTheme="minorHAnsi" w:cstheme="minorHAnsi"/>
        </w:rPr>
        <w:t xml:space="preserve">has several strengths. We </w:t>
      </w:r>
      <w:r w:rsidR="00583228" w:rsidRPr="00B12B3B">
        <w:rPr>
          <w:rFonts w:asciiTheme="minorHAnsi" w:hAnsiTheme="minorHAnsi" w:cstheme="minorHAnsi"/>
        </w:rPr>
        <w:t xml:space="preserve">evaluated the feasibility to </w:t>
      </w:r>
      <w:r w:rsidRPr="00B12B3B">
        <w:rPr>
          <w:rFonts w:asciiTheme="minorHAnsi" w:hAnsiTheme="minorHAnsi" w:cstheme="minorHAnsi"/>
        </w:rPr>
        <w:t>assess stress-related SLI in CD/FND patients</w:t>
      </w:r>
      <w:r w:rsidR="00583228" w:rsidRPr="00B12B3B">
        <w:rPr>
          <w:rFonts w:asciiTheme="minorHAnsi" w:hAnsiTheme="minorHAnsi" w:cstheme="minorHAnsi"/>
        </w:rPr>
        <w:t xml:space="preserve"> with prevalent motor function FND</w:t>
      </w:r>
      <w:r w:rsidR="00FA3504" w:rsidRPr="00B12B3B">
        <w:rPr>
          <w:rFonts w:asciiTheme="minorHAnsi" w:hAnsiTheme="minorHAnsi" w:cstheme="minorHAnsi"/>
        </w:rPr>
        <w:t>, which</w:t>
      </w:r>
      <w:r w:rsidR="00583228" w:rsidRPr="00B12B3B">
        <w:rPr>
          <w:rFonts w:asciiTheme="minorHAnsi" w:hAnsiTheme="minorHAnsi" w:cstheme="minorHAnsi"/>
        </w:rPr>
        <w:t xml:space="preserve"> is a very </w:t>
      </w:r>
      <w:r w:rsidRPr="00B12B3B">
        <w:rPr>
          <w:rFonts w:asciiTheme="minorHAnsi" w:hAnsiTheme="minorHAnsi" w:cstheme="minorHAnsi"/>
        </w:rPr>
        <w:t xml:space="preserve">vulnerable population. </w:t>
      </w:r>
      <w:r w:rsidR="00FA3504" w:rsidRPr="00B12B3B">
        <w:rPr>
          <w:rFonts w:asciiTheme="minorHAnsi" w:hAnsiTheme="minorHAnsi" w:cstheme="minorHAnsi"/>
        </w:rPr>
        <w:t xml:space="preserve">The key strengths of this study are the use of both objective and subjective observational methods to assess stress related SLI, psychological and cognitive symptoms in this sample population. </w:t>
      </w:r>
      <w:r w:rsidR="00583228" w:rsidRPr="00B12B3B">
        <w:rPr>
          <w:rFonts w:asciiTheme="minorHAnsi" w:hAnsiTheme="minorHAnsi" w:cstheme="minorHAnsi"/>
        </w:rPr>
        <w:t xml:space="preserve">This is the first study exploring not only clinical characteristics </w:t>
      </w:r>
      <w:r w:rsidR="00FA3504" w:rsidRPr="00B12B3B">
        <w:rPr>
          <w:rFonts w:asciiTheme="minorHAnsi" w:hAnsiTheme="minorHAnsi" w:cstheme="minorHAnsi"/>
        </w:rPr>
        <w:t xml:space="preserve">regarding the </w:t>
      </w:r>
      <w:r w:rsidR="00FA3504" w:rsidRPr="00B12B3B">
        <w:rPr>
          <w:rFonts w:asciiTheme="minorHAnsi" w:hAnsiTheme="minorHAnsi" w:cstheme="minorHAnsi"/>
        </w:rPr>
        <w:lastRenderedPageBreak/>
        <w:t xml:space="preserve">condition itself, </w:t>
      </w:r>
      <w:r w:rsidR="00583228" w:rsidRPr="00B12B3B">
        <w:rPr>
          <w:rFonts w:asciiTheme="minorHAnsi" w:hAnsiTheme="minorHAnsi" w:cstheme="minorHAnsi"/>
        </w:rPr>
        <w:t xml:space="preserve">but also cytokines, microRNA, </w:t>
      </w:r>
      <w:r w:rsidR="00FF2AEE" w:rsidRPr="00B12B3B">
        <w:rPr>
          <w:rFonts w:asciiTheme="minorHAnsi" w:hAnsiTheme="minorHAnsi" w:cstheme="minorHAnsi"/>
        </w:rPr>
        <w:t xml:space="preserve">hair cortisol, and </w:t>
      </w:r>
      <w:r w:rsidR="00FA3504" w:rsidRPr="00B12B3B">
        <w:rPr>
          <w:rFonts w:asciiTheme="minorHAnsi" w:hAnsiTheme="minorHAnsi" w:cstheme="minorHAnsi"/>
        </w:rPr>
        <w:t xml:space="preserve">several variables exploring psychiatric comorbidity, current stress and trauma, and neurocognitive functioning. The finding that it is feasible to do such a comprehensive assessment in so vulnerable patients in a limited amount of time </w:t>
      </w:r>
      <w:r w:rsidRPr="00B12B3B">
        <w:rPr>
          <w:rFonts w:asciiTheme="minorHAnsi" w:hAnsiTheme="minorHAnsi" w:cstheme="minorHAnsi"/>
        </w:rPr>
        <w:t>is important for the development of work in CD/FND</w:t>
      </w:r>
      <w:r w:rsidR="00FA3504" w:rsidRPr="00B12B3B">
        <w:rPr>
          <w:rFonts w:asciiTheme="minorHAnsi" w:hAnsiTheme="minorHAnsi" w:cstheme="minorHAnsi"/>
        </w:rPr>
        <w:t xml:space="preserve">. </w:t>
      </w:r>
      <w:r w:rsidR="00647C0C" w:rsidRPr="00B12B3B">
        <w:rPr>
          <w:rFonts w:asciiTheme="minorHAnsi" w:hAnsiTheme="minorHAnsi" w:cstheme="minorHAnsi"/>
        </w:rPr>
        <w:t xml:space="preserve">Furthermore, the findings suggest that there are indications for SLI in this condition as participants demonstrated elevated levels of inflammatory cytokines which correlated with levels of inflammation-associated </w:t>
      </w:r>
      <w:r w:rsidR="00CE5DE7" w:rsidRPr="00B12B3B">
        <w:rPr>
          <w:rFonts w:asciiTheme="minorHAnsi" w:hAnsiTheme="minorHAnsi" w:cstheme="minorHAnsi"/>
        </w:rPr>
        <w:t xml:space="preserve">and vascular inflammation associated </w:t>
      </w:r>
      <w:r w:rsidR="00647C0C" w:rsidRPr="00B12B3B">
        <w:rPr>
          <w:rFonts w:asciiTheme="minorHAnsi" w:hAnsiTheme="minorHAnsi" w:cstheme="minorHAnsi"/>
        </w:rPr>
        <w:t xml:space="preserve">miRNAs within the cohort. </w:t>
      </w:r>
      <w:r w:rsidR="00CE5DE7" w:rsidRPr="00B12B3B">
        <w:rPr>
          <w:rFonts w:asciiTheme="minorHAnsi" w:hAnsiTheme="minorHAnsi" w:cstheme="minorHAnsi"/>
        </w:rPr>
        <w:t xml:space="preserve">It is a strength of the study that the selection of a homogeneous group and the combination of cytokines and microRNA enabled us to find two subgroups regarding </w:t>
      </w:r>
      <w:r w:rsidR="00F07CC2" w:rsidRPr="00B12B3B">
        <w:rPr>
          <w:rFonts w:asciiTheme="minorHAnsi" w:hAnsiTheme="minorHAnsi" w:cstheme="minorHAnsi"/>
        </w:rPr>
        <w:t>VEGF-a</w:t>
      </w:r>
      <w:r w:rsidR="00CE5DE7" w:rsidRPr="00B12B3B">
        <w:rPr>
          <w:rFonts w:asciiTheme="minorHAnsi" w:hAnsiTheme="minorHAnsi" w:cstheme="minorHAnsi"/>
        </w:rPr>
        <w:t>, indicating possible different mechanisms that may be helpful in future profiling studies</w:t>
      </w:r>
      <w:r w:rsidR="000B6FA5" w:rsidRPr="00B12B3B">
        <w:rPr>
          <w:rFonts w:asciiTheme="minorHAnsi" w:hAnsiTheme="minorHAnsi" w:cstheme="minorHAnsi"/>
        </w:rPr>
        <w:t xml:space="preserve"> </w:t>
      </w:r>
      <w:r w:rsidR="00CC795A" w:rsidRPr="00B12B3B">
        <w:rPr>
          <w:rFonts w:asciiTheme="minorHAnsi" w:hAnsiTheme="minorHAnsi" w:cstheme="minorHAnsi"/>
        </w:rPr>
        <w:t>(Van der Feltz-Cornelis, 2020</w:t>
      </w:r>
      <w:r w:rsidR="000D7D40" w:rsidRPr="00B12B3B">
        <w:rPr>
          <w:rFonts w:asciiTheme="minorHAnsi" w:hAnsiTheme="minorHAnsi" w:cstheme="minorHAnsi"/>
        </w:rPr>
        <w:t>c</w:t>
      </w:r>
      <w:r w:rsidR="00CC795A" w:rsidRPr="00B12B3B">
        <w:rPr>
          <w:rFonts w:asciiTheme="minorHAnsi" w:hAnsiTheme="minorHAnsi" w:cstheme="minorHAnsi"/>
        </w:rPr>
        <w:t>)</w:t>
      </w:r>
      <w:r w:rsidR="000B6FA5" w:rsidRPr="00B12B3B">
        <w:rPr>
          <w:rFonts w:asciiTheme="minorHAnsi" w:hAnsiTheme="minorHAnsi" w:cstheme="minorHAnsi"/>
        </w:rPr>
        <w:t>.</w:t>
      </w:r>
      <w:r w:rsidR="00CC795A" w:rsidRPr="00B12B3B">
        <w:rPr>
          <w:rFonts w:asciiTheme="minorHAnsi" w:hAnsiTheme="minorHAnsi" w:cstheme="minorHAnsi"/>
        </w:rPr>
        <w:t xml:space="preserve"> </w:t>
      </w:r>
      <w:r w:rsidR="00FA3504" w:rsidRPr="00B12B3B">
        <w:rPr>
          <w:rFonts w:asciiTheme="minorHAnsi" w:hAnsiTheme="minorHAnsi" w:cstheme="minorHAnsi"/>
        </w:rPr>
        <w:t xml:space="preserve">Also, the finding that </w:t>
      </w:r>
      <w:r w:rsidR="00D86281" w:rsidRPr="00B12B3B">
        <w:rPr>
          <w:rFonts w:asciiTheme="minorHAnsi" w:hAnsiTheme="minorHAnsi" w:cstheme="minorHAnsi"/>
        </w:rPr>
        <w:t xml:space="preserve">the participants </w:t>
      </w:r>
      <w:r w:rsidR="00FA3504" w:rsidRPr="00B12B3B">
        <w:rPr>
          <w:rFonts w:asciiTheme="minorHAnsi" w:hAnsiTheme="minorHAnsi" w:cstheme="minorHAnsi"/>
        </w:rPr>
        <w:t xml:space="preserve">evaluated the </w:t>
      </w:r>
      <w:r w:rsidR="00A04EE3" w:rsidRPr="00B12B3B">
        <w:rPr>
          <w:rFonts w:asciiTheme="minorHAnsi" w:hAnsiTheme="minorHAnsi" w:cstheme="minorHAnsi"/>
        </w:rPr>
        <w:t>study</w:t>
      </w:r>
      <w:r w:rsidR="00FA3504" w:rsidRPr="00B12B3B">
        <w:rPr>
          <w:rFonts w:asciiTheme="minorHAnsi" w:hAnsiTheme="minorHAnsi" w:cstheme="minorHAnsi"/>
        </w:rPr>
        <w:t xml:space="preserve"> positively and that patients were eager to engage is a strength of the study.</w:t>
      </w:r>
      <w:r w:rsidRPr="00B12B3B">
        <w:rPr>
          <w:rFonts w:asciiTheme="minorHAnsi" w:hAnsiTheme="minorHAnsi" w:cstheme="minorHAnsi"/>
        </w:rPr>
        <w:t xml:space="preserve"> </w:t>
      </w:r>
      <w:r w:rsidR="00FA3504" w:rsidRPr="00B12B3B">
        <w:rPr>
          <w:rFonts w:asciiTheme="minorHAnsi" w:hAnsiTheme="minorHAnsi" w:cstheme="minorHAnsi"/>
        </w:rPr>
        <w:t xml:space="preserve">These findings support the further development of </w:t>
      </w:r>
      <w:r w:rsidR="00D86281" w:rsidRPr="00B12B3B">
        <w:rPr>
          <w:rFonts w:asciiTheme="minorHAnsi" w:hAnsiTheme="minorHAnsi" w:cstheme="minorHAnsi"/>
        </w:rPr>
        <w:t>a</w:t>
      </w:r>
      <w:r w:rsidR="00FA3504" w:rsidRPr="00B12B3B">
        <w:rPr>
          <w:rFonts w:asciiTheme="minorHAnsi" w:hAnsiTheme="minorHAnsi" w:cstheme="minorHAnsi"/>
        </w:rPr>
        <w:t xml:space="preserve"> larger project aiming to explore this further and to develop new treatments for this population in the future.</w:t>
      </w:r>
    </w:p>
    <w:p w14:paraId="73DE654E" w14:textId="77777777" w:rsidR="001A3B94" w:rsidRPr="00B12B3B" w:rsidRDefault="001A3B94" w:rsidP="00647F95">
      <w:pPr>
        <w:spacing w:line="276" w:lineRule="auto"/>
        <w:jc w:val="both"/>
        <w:rPr>
          <w:rFonts w:asciiTheme="minorHAnsi" w:hAnsiTheme="minorHAnsi" w:cstheme="minorHAnsi"/>
        </w:rPr>
      </w:pPr>
    </w:p>
    <w:p w14:paraId="4E57F745" w14:textId="6FFD4FDE" w:rsidR="00647F95" w:rsidRPr="00B12B3B" w:rsidRDefault="00CC795A" w:rsidP="00067F4A">
      <w:pPr>
        <w:spacing w:line="360" w:lineRule="auto"/>
        <w:jc w:val="both"/>
        <w:rPr>
          <w:rFonts w:ascii="Calibri" w:hAnsi="Calibri" w:cs="Calibri"/>
          <w:b/>
          <w:bCs/>
        </w:rPr>
      </w:pPr>
      <w:r w:rsidRPr="00B12B3B">
        <w:rPr>
          <w:rFonts w:ascii="Calibri" w:hAnsi="Calibri" w:cs="Calibri"/>
          <w:b/>
          <w:bCs/>
        </w:rPr>
        <w:t>5</w:t>
      </w:r>
      <w:r w:rsidR="00CE5DE7" w:rsidRPr="00B12B3B">
        <w:rPr>
          <w:rFonts w:ascii="Calibri" w:hAnsi="Calibri" w:cs="Calibri"/>
          <w:b/>
          <w:bCs/>
        </w:rPr>
        <w:tab/>
      </w:r>
      <w:r w:rsidR="00647F95" w:rsidRPr="00B12B3B">
        <w:rPr>
          <w:rFonts w:ascii="Calibri" w:hAnsi="Calibri" w:cs="Calibri"/>
          <w:b/>
          <w:bCs/>
        </w:rPr>
        <w:t>Conclusion</w:t>
      </w:r>
    </w:p>
    <w:p w14:paraId="2C38AD37" w14:textId="77777777" w:rsidR="00103024" w:rsidRPr="00B12B3B" w:rsidRDefault="00103024" w:rsidP="00067F4A">
      <w:pPr>
        <w:spacing w:line="360" w:lineRule="auto"/>
        <w:jc w:val="both"/>
        <w:rPr>
          <w:rFonts w:ascii="Calibri" w:hAnsi="Calibri" w:cs="Calibri"/>
          <w:b/>
          <w:bCs/>
        </w:rPr>
      </w:pPr>
    </w:p>
    <w:p w14:paraId="1FB5FA72" w14:textId="1DBAC142" w:rsidR="00647F95" w:rsidRPr="00B12B3B" w:rsidRDefault="00647F95" w:rsidP="00067F4A">
      <w:pPr>
        <w:spacing w:line="360" w:lineRule="auto"/>
        <w:jc w:val="both"/>
        <w:rPr>
          <w:rFonts w:ascii="Calibri" w:hAnsi="Calibri" w:cs="Calibri"/>
        </w:rPr>
      </w:pPr>
      <w:r w:rsidRPr="00B12B3B">
        <w:rPr>
          <w:rFonts w:ascii="Calibri" w:hAnsi="Calibri" w:cs="Calibri"/>
        </w:rPr>
        <w:t xml:space="preserve">This innovative, translational study explores stress-related SLI in CD/FND patients and the feasibility of a larger project aiming to develop new treatments for this vulnerable population. </w:t>
      </w:r>
      <w:r w:rsidR="00F81820" w:rsidRPr="00B12B3B">
        <w:rPr>
          <w:rFonts w:ascii="Calibri" w:hAnsi="Calibri" w:cs="Calibri"/>
        </w:rPr>
        <w:t xml:space="preserve">It </w:t>
      </w:r>
      <w:r w:rsidR="00F81820" w:rsidRPr="00B12B3B">
        <w:rPr>
          <w:rFonts w:asciiTheme="minorHAnsi" w:hAnsiTheme="minorHAnsi" w:cstheme="minorHAnsi"/>
        </w:rPr>
        <w:t xml:space="preserve">provides knowledge about levels of SLI, psychological and </w:t>
      </w:r>
      <w:r w:rsidR="00CE5DE7" w:rsidRPr="00B12B3B">
        <w:rPr>
          <w:rFonts w:asciiTheme="minorHAnsi" w:hAnsiTheme="minorHAnsi" w:cstheme="minorHAnsi"/>
        </w:rPr>
        <w:t>neuro</w:t>
      </w:r>
      <w:r w:rsidR="00F81820" w:rsidRPr="00B12B3B">
        <w:rPr>
          <w:rFonts w:asciiTheme="minorHAnsi" w:hAnsiTheme="minorHAnsi" w:cstheme="minorHAnsi"/>
        </w:rPr>
        <w:t>cognitive symptoms in patients with CD/FND that is so far largely unknown</w:t>
      </w:r>
      <w:r w:rsidR="00241744" w:rsidRPr="00B12B3B">
        <w:rPr>
          <w:rFonts w:asciiTheme="minorHAnsi" w:hAnsiTheme="minorHAnsi" w:cstheme="minorHAnsi"/>
        </w:rPr>
        <w:t xml:space="preserve"> and warrants further research</w:t>
      </w:r>
      <w:r w:rsidR="00F81820" w:rsidRPr="00B12B3B">
        <w:rPr>
          <w:rFonts w:asciiTheme="minorHAnsi" w:hAnsiTheme="minorHAnsi" w:cstheme="minorHAnsi"/>
        </w:rPr>
        <w:t>. Furthermore it provide</w:t>
      </w:r>
      <w:r w:rsidR="00067F4A" w:rsidRPr="00B12B3B">
        <w:rPr>
          <w:rFonts w:asciiTheme="minorHAnsi" w:hAnsiTheme="minorHAnsi" w:cstheme="minorHAnsi"/>
        </w:rPr>
        <w:t>s</w:t>
      </w:r>
      <w:r w:rsidR="00F81820" w:rsidRPr="00B12B3B">
        <w:rPr>
          <w:rFonts w:asciiTheme="minorHAnsi" w:hAnsiTheme="minorHAnsi" w:cstheme="minorHAnsi"/>
        </w:rPr>
        <w:t xml:space="preserve"> valuable knowledge regarding the feasibility of conducting a study in these patients</w:t>
      </w:r>
      <w:r w:rsidR="00067F4A" w:rsidRPr="00B12B3B">
        <w:rPr>
          <w:rFonts w:asciiTheme="minorHAnsi" w:hAnsiTheme="minorHAnsi" w:cstheme="minorHAnsi"/>
        </w:rPr>
        <w:t xml:space="preserve"> that will inform future study phases</w:t>
      </w:r>
      <w:r w:rsidR="00F81820" w:rsidRPr="00B12B3B">
        <w:rPr>
          <w:rFonts w:asciiTheme="minorHAnsi" w:hAnsiTheme="minorHAnsi" w:cstheme="minorHAnsi"/>
        </w:rPr>
        <w:t xml:space="preserve">. </w:t>
      </w:r>
      <w:r w:rsidR="00F81820" w:rsidRPr="00B12B3B">
        <w:rPr>
          <w:rFonts w:ascii="Calibri" w:hAnsi="Calibri" w:cs="Calibri"/>
        </w:rPr>
        <w:t xml:space="preserve">Given the positive findings, there is scope </w:t>
      </w:r>
      <w:r w:rsidR="00103024" w:rsidRPr="00B12B3B">
        <w:rPr>
          <w:rFonts w:ascii="Calibri" w:hAnsi="Calibri" w:cs="Calibri"/>
        </w:rPr>
        <w:t xml:space="preserve">to conduct </w:t>
      </w:r>
      <w:r w:rsidR="00067F4A" w:rsidRPr="00B12B3B">
        <w:rPr>
          <w:rFonts w:ascii="Calibri" w:hAnsi="Calibri" w:cs="Calibri"/>
        </w:rPr>
        <w:t>further research.</w:t>
      </w:r>
    </w:p>
    <w:p w14:paraId="766F8CA8" w14:textId="77777777" w:rsidR="00FA3504" w:rsidRPr="00B12B3B" w:rsidRDefault="00FA3504" w:rsidP="00FA3504">
      <w:pPr>
        <w:spacing w:line="276" w:lineRule="auto"/>
        <w:jc w:val="both"/>
        <w:rPr>
          <w:rFonts w:asciiTheme="minorHAnsi" w:hAnsiTheme="minorHAnsi" w:cstheme="minorHAnsi"/>
        </w:rPr>
      </w:pPr>
    </w:p>
    <w:p w14:paraId="64FB2BE9" w14:textId="05F0D954" w:rsidR="00A35B35" w:rsidRPr="00B12B3B" w:rsidRDefault="00A35B35" w:rsidP="00647F95">
      <w:pPr>
        <w:spacing w:line="276" w:lineRule="auto"/>
        <w:rPr>
          <w:rFonts w:ascii="Calibri" w:hAnsi="Calibri" w:cs="Calibri"/>
          <w:b/>
          <w:bCs/>
        </w:rPr>
      </w:pPr>
      <w:r w:rsidRPr="00B12B3B">
        <w:rPr>
          <w:rFonts w:ascii="Calibri" w:hAnsi="Calibri" w:cs="Calibri"/>
          <w:b/>
          <w:bCs/>
        </w:rPr>
        <w:t>Acknowledgements</w:t>
      </w:r>
    </w:p>
    <w:p w14:paraId="03CE1E79" w14:textId="77777777" w:rsidR="00156272" w:rsidRPr="00B12B3B" w:rsidRDefault="00156272" w:rsidP="00156272">
      <w:pPr>
        <w:spacing w:line="360" w:lineRule="auto"/>
        <w:rPr>
          <w:rFonts w:ascii="Calibri" w:hAnsi="Calibri" w:cs="Calibri"/>
          <w:b/>
          <w:bCs/>
        </w:rPr>
      </w:pPr>
    </w:p>
    <w:p w14:paraId="6C43F213" w14:textId="33968DEB" w:rsidR="00A35B35" w:rsidRPr="00B12B3B" w:rsidRDefault="00C6776B" w:rsidP="00156272">
      <w:pPr>
        <w:spacing w:line="360" w:lineRule="auto"/>
        <w:jc w:val="both"/>
        <w:rPr>
          <w:rFonts w:ascii="Calibri" w:hAnsi="Calibri" w:cs="Calibri"/>
        </w:rPr>
      </w:pPr>
      <w:proofErr w:type="spellStart"/>
      <w:r w:rsidRPr="00B12B3B">
        <w:rPr>
          <w:rFonts w:ascii="Calibri" w:hAnsi="Calibri" w:cs="Calibri"/>
        </w:rPr>
        <w:t>Dr.</w:t>
      </w:r>
      <w:proofErr w:type="spellEnd"/>
      <w:r w:rsidRPr="00B12B3B">
        <w:rPr>
          <w:rFonts w:ascii="Calibri" w:hAnsi="Calibri" w:cs="Calibri"/>
        </w:rPr>
        <w:t xml:space="preserve"> </w:t>
      </w:r>
      <w:r w:rsidR="00A35B35" w:rsidRPr="00B12B3B">
        <w:rPr>
          <w:rFonts w:ascii="Calibri" w:hAnsi="Calibri" w:cs="Calibri"/>
        </w:rPr>
        <w:t xml:space="preserve">Lars de </w:t>
      </w:r>
      <w:proofErr w:type="spellStart"/>
      <w:r w:rsidR="00A35B35" w:rsidRPr="00B12B3B">
        <w:rPr>
          <w:rFonts w:ascii="Calibri" w:hAnsi="Calibri" w:cs="Calibri"/>
        </w:rPr>
        <w:t>Vroege</w:t>
      </w:r>
      <w:proofErr w:type="spellEnd"/>
      <w:r w:rsidR="00A35B35" w:rsidRPr="00B12B3B">
        <w:rPr>
          <w:rFonts w:ascii="Calibri" w:hAnsi="Calibri" w:cs="Calibri"/>
        </w:rPr>
        <w:t xml:space="preserve">, </w:t>
      </w:r>
      <w:r w:rsidRPr="00B12B3B">
        <w:rPr>
          <w:rFonts w:ascii="Calibri" w:hAnsi="Calibri" w:cs="Calibri"/>
        </w:rPr>
        <w:t xml:space="preserve">Prof. </w:t>
      </w:r>
      <w:r w:rsidR="00A35B35" w:rsidRPr="00B12B3B">
        <w:rPr>
          <w:rFonts w:ascii="Calibri" w:hAnsi="Calibri" w:cs="Calibri"/>
        </w:rPr>
        <w:t xml:space="preserve">Jon Stone and </w:t>
      </w:r>
      <w:r w:rsidRPr="00B12B3B">
        <w:rPr>
          <w:rFonts w:ascii="Calibri" w:hAnsi="Calibri" w:cs="Calibri"/>
        </w:rPr>
        <w:t xml:space="preserve">Prof. </w:t>
      </w:r>
      <w:r w:rsidR="00A35B35" w:rsidRPr="00B12B3B">
        <w:rPr>
          <w:rFonts w:ascii="Calibri" w:hAnsi="Calibri" w:cs="Calibri"/>
        </w:rPr>
        <w:t xml:space="preserve">Roland von </w:t>
      </w:r>
      <w:proofErr w:type="spellStart"/>
      <w:r w:rsidR="00A35B35" w:rsidRPr="00B12B3B">
        <w:rPr>
          <w:rFonts w:ascii="Calibri" w:hAnsi="Calibri" w:cs="Calibri"/>
        </w:rPr>
        <w:t>Kanel</w:t>
      </w:r>
      <w:proofErr w:type="spellEnd"/>
      <w:r w:rsidR="00A35B35" w:rsidRPr="00B12B3B">
        <w:rPr>
          <w:rFonts w:ascii="Calibri" w:hAnsi="Calibri" w:cs="Calibri"/>
        </w:rPr>
        <w:t xml:space="preserve"> provided valuable insights as advisors to the study. Connie </w:t>
      </w:r>
      <w:r w:rsidR="00D4418C" w:rsidRPr="00B12B3B">
        <w:rPr>
          <w:rFonts w:ascii="Calibri" w:hAnsi="Calibri" w:cs="Calibri"/>
        </w:rPr>
        <w:t>Newcombe</w:t>
      </w:r>
      <w:r w:rsidR="00A35B35" w:rsidRPr="00B12B3B">
        <w:rPr>
          <w:rFonts w:ascii="Calibri" w:hAnsi="Calibri" w:cs="Calibri"/>
        </w:rPr>
        <w:t xml:space="preserve"> provided advice on interpretation of neurocognitive tests. </w:t>
      </w:r>
      <w:proofErr w:type="spellStart"/>
      <w:r w:rsidRPr="00B12B3B">
        <w:rPr>
          <w:rFonts w:ascii="Calibri" w:hAnsi="Calibri" w:cs="Calibri"/>
        </w:rPr>
        <w:t>Dr.</w:t>
      </w:r>
      <w:proofErr w:type="spellEnd"/>
      <w:r w:rsidRPr="00B12B3B">
        <w:rPr>
          <w:rFonts w:ascii="Calibri" w:hAnsi="Calibri" w:cs="Calibri"/>
        </w:rPr>
        <w:t xml:space="preserve"> </w:t>
      </w:r>
      <w:r w:rsidR="0063000C" w:rsidRPr="00B12B3B">
        <w:rPr>
          <w:rFonts w:ascii="Calibri" w:hAnsi="Calibri" w:cs="Calibri"/>
        </w:rPr>
        <w:t>Sa</w:t>
      </w:r>
      <w:r w:rsidR="00C93323" w:rsidRPr="00B12B3B">
        <w:rPr>
          <w:rFonts w:ascii="Calibri" w:hAnsi="Calibri" w:cs="Calibri"/>
        </w:rPr>
        <w:t>lly James</w:t>
      </w:r>
      <w:r w:rsidR="0063000C" w:rsidRPr="00B12B3B">
        <w:rPr>
          <w:rFonts w:ascii="Calibri" w:hAnsi="Calibri" w:cs="Calibri"/>
        </w:rPr>
        <w:t xml:space="preserve"> performed and described the microRNA analyses. The </w:t>
      </w:r>
      <w:r w:rsidR="00974DA5" w:rsidRPr="00B12B3B">
        <w:rPr>
          <w:rFonts w:ascii="Calibri" w:hAnsi="Calibri" w:cs="Calibri"/>
        </w:rPr>
        <w:t>cytokine</w:t>
      </w:r>
      <w:r w:rsidR="00974DA5" w:rsidRPr="00B12B3B">
        <w:rPr>
          <w:rFonts w:asciiTheme="minorHAnsi" w:hAnsiTheme="minorHAnsi" w:cstheme="minorHAnsi"/>
          <w:color w:val="222222"/>
          <w:shd w:val="clear" w:color="auto" w:fill="FFFFFF"/>
        </w:rPr>
        <w:t xml:space="preserve"> assays were performed by the NIHR Cambridge Biomedical Research Centre, Core Biochemistry Assay Laboratory.</w:t>
      </w:r>
      <w:r w:rsidR="0063000C" w:rsidRPr="00B12B3B">
        <w:rPr>
          <w:rFonts w:ascii="Calibri" w:hAnsi="Calibri" w:cs="Calibri"/>
        </w:rPr>
        <w:t xml:space="preserve"> The </w:t>
      </w:r>
      <w:r w:rsidR="00C93323" w:rsidRPr="00B12B3B">
        <w:rPr>
          <w:rFonts w:ascii="Calibri" w:hAnsi="Calibri" w:cs="Calibri"/>
        </w:rPr>
        <w:t xml:space="preserve">ARU Biomarker </w:t>
      </w:r>
      <w:r w:rsidR="0062429A" w:rsidRPr="00B12B3B">
        <w:rPr>
          <w:rFonts w:ascii="Calibri" w:hAnsi="Calibri" w:cs="Calibri"/>
        </w:rPr>
        <w:t>L</w:t>
      </w:r>
      <w:r w:rsidR="00C93323" w:rsidRPr="00B12B3B">
        <w:rPr>
          <w:rFonts w:ascii="Calibri" w:hAnsi="Calibri" w:cs="Calibri"/>
        </w:rPr>
        <w:t>ab</w:t>
      </w:r>
      <w:r w:rsidR="0062429A" w:rsidRPr="00B12B3B">
        <w:rPr>
          <w:rFonts w:ascii="Calibri" w:hAnsi="Calibri" w:cs="Calibri"/>
        </w:rPr>
        <w:t xml:space="preserve"> in Cambridge, UK</w:t>
      </w:r>
      <w:r w:rsidR="0063000C" w:rsidRPr="00B12B3B">
        <w:rPr>
          <w:rFonts w:ascii="Calibri" w:hAnsi="Calibri" w:cs="Calibri"/>
        </w:rPr>
        <w:t xml:space="preserve"> performed the hair cortisol </w:t>
      </w:r>
      <w:r w:rsidR="0063000C" w:rsidRPr="00B12B3B">
        <w:rPr>
          <w:rFonts w:ascii="Calibri" w:hAnsi="Calibri" w:cs="Calibri"/>
        </w:rPr>
        <w:lastRenderedPageBreak/>
        <w:t xml:space="preserve">analyses. The </w:t>
      </w:r>
      <w:r w:rsidR="00E048F9" w:rsidRPr="00B12B3B">
        <w:rPr>
          <w:rFonts w:ascii="Calibri" w:hAnsi="Calibri" w:cs="Calibri"/>
          <w:color w:val="000000"/>
          <w:shd w:val="clear" w:color="auto" w:fill="FFFFFF"/>
        </w:rPr>
        <w:t>Pathology Clinical Trials at James Cook University Hospital</w:t>
      </w:r>
      <w:r w:rsidR="0063000C" w:rsidRPr="00B12B3B">
        <w:rPr>
          <w:rFonts w:ascii="Calibri" w:hAnsi="Calibri" w:cs="Calibri"/>
        </w:rPr>
        <w:t xml:space="preserve"> lab prepared and stored the blood samples. </w:t>
      </w:r>
    </w:p>
    <w:p w14:paraId="31CF4A96" w14:textId="68B3C250" w:rsidR="00571F5A" w:rsidRPr="00B12B3B" w:rsidRDefault="00571F5A" w:rsidP="00156272">
      <w:pPr>
        <w:spacing w:line="360" w:lineRule="auto"/>
        <w:jc w:val="both"/>
        <w:rPr>
          <w:rFonts w:ascii="Calibri" w:hAnsi="Calibri" w:cs="Calibri"/>
        </w:rPr>
      </w:pPr>
    </w:p>
    <w:p w14:paraId="5EEA8B92" w14:textId="77777777" w:rsidR="00571F5A" w:rsidRPr="00B12B3B" w:rsidRDefault="00571F5A" w:rsidP="00571F5A">
      <w:pPr>
        <w:pStyle w:val="Voettekst"/>
        <w:spacing w:after="160"/>
        <w:jc w:val="both"/>
        <w:rPr>
          <w:rFonts w:asciiTheme="minorHAnsi" w:hAnsiTheme="minorHAnsi" w:cstheme="minorHAnsi"/>
          <w:b/>
          <w:bCs/>
          <w:shd w:val="clear" w:color="auto" w:fill="FFFFFF"/>
        </w:rPr>
      </w:pPr>
      <w:r w:rsidRPr="00B12B3B">
        <w:rPr>
          <w:rFonts w:asciiTheme="minorHAnsi" w:hAnsiTheme="minorHAnsi" w:cstheme="minorHAnsi"/>
          <w:b/>
          <w:bCs/>
          <w:shd w:val="clear" w:color="auto" w:fill="FFFFFF"/>
        </w:rPr>
        <w:t>References</w:t>
      </w:r>
    </w:p>
    <w:p w14:paraId="66F93F6C" w14:textId="77777777" w:rsidR="00571F5A" w:rsidRPr="00B12B3B" w:rsidRDefault="00571F5A" w:rsidP="00571F5A">
      <w:pPr>
        <w:autoSpaceDE w:val="0"/>
        <w:autoSpaceDN w:val="0"/>
        <w:adjustRightInd w:val="0"/>
        <w:rPr>
          <w:rFonts w:asciiTheme="minorHAnsi" w:hAnsiTheme="minorHAnsi" w:cstheme="minorHAnsi"/>
          <w:bCs/>
        </w:rPr>
      </w:pPr>
    </w:p>
    <w:p w14:paraId="2377B772" w14:textId="21974994"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Albermann, M.E., Musshoff, F., Aengenheister L., Madea, B. (2012). Investigations on the influence of different grinding procedures on measured ethyl glucuronide concentrations in hair determined with an optimized and validated LC-MS/MS method. </w:t>
      </w:r>
      <w:r w:rsidRPr="00B12B3B">
        <w:rPr>
          <w:rFonts w:asciiTheme="minorHAnsi" w:hAnsiTheme="minorHAnsi" w:cstheme="minorHAnsi"/>
          <w:i/>
        </w:rPr>
        <w:t>Anal Bioanal Chem, 403</w:t>
      </w:r>
      <w:r w:rsidRPr="00B12B3B">
        <w:rPr>
          <w:rFonts w:asciiTheme="minorHAnsi" w:hAnsiTheme="minorHAnsi" w:cstheme="minorHAnsi"/>
        </w:rPr>
        <w:t xml:space="preserve">, 769–776. </w:t>
      </w:r>
    </w:p>
    <w:p w14:paraId="43EE768A" w14:textId="7A0158CE" w:rsidR="00410158" w:rsidRPr="00B12B3B" w:rsidRDefault="00410158" w:rsidP="00410158">
      <w:pPr>
        <w:pStyle w:val="EndNoteBibliography"/>
        <w:ind w:left="720" w:hanging="720"/>
        <w:rPr>
          <w:rFonts w:asciiTheme="minorHAnsi" w:hAnsiTheme="minorHAnsi" w:cstheme="minorHAnsi"/>
        </w:rPr>
      </w:pPr>
      <w:r w:rsidRPr="00B12B3B">
        <w:rPr>
          <w:rFonts w:asciiTheme="minorHAnsi" w:hAnsiTheme="minorHAnsi" w:cstheme="minorHAnsi"/>
        </w:rPr>
        <w:t xml:space="preserve">Alivernini, S., Gremese, E., McSharry, C., Tolusso, B., Ferraccioli, G., McInnes, I.B., Kurowska-Stolarska, M. (2018) MicroRNA-155—at the Critical Interface of Innate and Adaptive Immunity in Arthritis. </w:t>
      </w:r>
      <w:r w:rsidRPr="00B12B3B">
        <w:rPr>
          <w:rFonts w:asciiTheme="minorHAnsi" w:hAnsiTheme="minorHAnsi" w:cstheme="minorHAnsi"/>
          <w:i/>
          <w:iCs/>
        </w:rPr>
        <w:t>Frontiers in Immunology</w:t>
      </w:r>
      <w:r w:rsidRPr="00B12B3B">
        <w:rPr>
          <w:rFonts w:asciiTheme="minorHAnsi" w:hAnsiTheme="minorHAnsi" w:cstheme="minorHAnsi"/>
        </w:rPr>
        <w:t xml:space="preserve"> 8;1932: DOI=10.3389/fimmu.2017. 01932. ISSN=1664-3224   </w:t>
      </w:r>
    </w:p>
    <w:p w14:paraId="42C5540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Allen, S.F., van Hemert, A.M., van der Feltz-Cornelis, C.M. (2020). English translation of the physical symptoms questionnaire (PSQ-51) and validation in a UK sample. </w:t>
      </w:r>
      <w:r w:rsidRPr="00B12B3B">
        <w:rPr>
          <w:rFonts w:asciiTheme="minorHAnsi" w:hAnsiTheme="minorHAnsi" w:cstheme="minorHAnsi"/>
          <w:i/>
        </w:rPr>
        <w:t>Submitted</w:t>
      </w:r>
      <w:r w:rsidRPr="00B12B3B">
        <w:rPr>
          <w:rFonts w:asciiTheme="minorHAnsi" w:hAnsiTheme="minorHAnsi" w:cstheme="minorHAnsi"/>
        </w:rPr>
        <w:t xml:space="preserve">. </w:t>
      </w:r>
    </w:p>
    <w:p w14:paraId="27346EB3" w14:textId="7D731141"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American Psychiatric Association. (2013). </w:t>
      </w:r>
      <w:r w:rsidRPr="00B12B3B">
        <w:rPr>
          <w:rFonts w:asciiTheme="minorHAnsi" w:hAnsiTheme="minorHAnsi" w:cstheme="minorHAnsi"/>
          <w:i/>
        </w:rPr>
        <w:t>Diagnostic and Statistical Manual of Mental Disorders: DSM-5.</w:t>
      </w:r>
      <w:r w:rsidRPr="00B12B3B">
        <w:rPr>
          <w:rFonts w:asciiTheme="minorHAnsi" w:hAnsiTheme="minorHAnsi" w:cstheme="minorHAnsi"/>
        </w:rPr>
        <w:t xml:space="preserve"> (5th ed. ed.). Arlington, VA: American Psychiatric Publishing.</w:t>
      </w:r>
    </w:p>
    <w:p w14:paraId="4269DA68" w14:textId="0031F1BB" w:rsidR="00E77CEE" w:rsidRPr="00B12B3B" w:rsidRDefault="00E77CEE" w:rsidP="00571F5A">
      <w:pPr>
        <w:pStyle w:val="EndNoteBibliography"/>
        <w:ind w:left="720" w:hanging="720"/>
        <w:rPr>
          <w:rFonts w:asciiTheme="minorHAnsi" w:hAnsiTheme="minorHAnsi" w:cstheme="minorHAnsi"/>
        </w:rPr>
      </w:pPr>
      <w:r w:rsidRPr="00B12B3B">
        <w:rPr>
          <w:rFonts w:asciiTheme="minorHAnsi" w:hAnsiTheme="minorHAnsi" w:cstheme="minorHAnsi"/>
          <w:color w:val="222222"/>
          <w:shd w:val="clear" w:color="auto" w:fill="FFFFFF"/>
        </w:rPr>
        <w:t>Anand, S., Majeti, B., Acevedo, L. </w:t>
      </w:r>
      <w:r w:rsidRPr="00B12B3B">
        <w:rPr>
          <w:rFonts w:asciiTheme="minorHAnsi" w:hAnsiTheme="minorHAnsi" w:cstheme="minorHAnsi"/>
          <w:i/>
          <w:iCs/>
          <w:color w:val="222222"/>
          <w:shd w:val="clear" w:color="auto" w:fill="FFFFFF"/>
        </w:rPr>
        <w:t>et al.</w:t>
      </w:r>
      <w:r w:rsidRPr="00B12B3B">
        <w:rPr>
          <w:rFonts w:asciiTheme="minorHAnsi" w:hAnsiTheme="minorHAnsi" w:cstheme="minorHAnsi"/>
          <w:color w:val="222222"/>
          <w:shd w:val="clear" w:color="auto" w:fill="FFFFFF"/>
        </w:rPr>
        <w:t> (2010) MicroRNA-132–mediated loss of p120RasGAP activates the endothelium to facilitate pathological angiogenesis. </w:t>
      </w:r>
      <w:r w:rsidRPr="00B12B3B">
        <w:rPr>
          <w:rFonts w:asciiTheme="minorHAnsi" w:hAnsiTheme="minorHAnsi" w:cstheme="minorHAnsi"/>
          <w:i/>
          <w:iCs/>
          <w:color w:val="222222"/>
          <w:shd w:val="clear" w:color="auto" w:fill="FFFFFF"/>
        </w:rPr>
        <w:t>Nat Med</w:t>
      </w:r>
      <w:r w:rsidRPr="00B12B3B">
        <w:rPr>
          <w:rFonts w:asciiTheme="minorHAnsi" w:hAnsiTheme="minorHAnsi" w:cstheme="minorHAnsi"/>
          <w:color w:val="222222"/>
          <w:shd w:val="clear" w:color="auto" w:fill="FFFFFF"/>
        </w:rPr>
        <w:t> </w:t>
      </w:r>
      <w:r w:rsidRPr="00B12B3B">
        <w:rPr>
          <w:rFonts w:asciiTheme="minorHAnsi" w:hAnsiTheme="minorHAnsi" w:cstheme="minorHAnsi"/>
          <w:b/>
          <w:bCs/>
          <w:color w:val="222222"/>
          <w:shd w:val="clear" w:color="auto" w:fill="FFFFFF"/>
        </w:rPr>
        <w:t>16, </w:t>
      </w:r>
      <w:r w:rsidRPr="00B12B3B">
        <w:rPr>
          <w:rFonts w:asciiTheme="minorHAnsi" w:hAnsiTheme="minorHAnsi" w:cstheme="minorHAnsi"/>
          <w:color w:val="222222"/>
          <w:shd w:val="clear" w:color="auto" w:fill="FFFFFF"/>
        </w:rPr>
        <w:t>909–914. https://doi.org/10.1038/nm.2186</w:t>
      </w:r>
    </w:p>
    <w:p w14:paraId="2A793975" w14:textId="26B9582A" w:rsidR="004C0FE2" w:rsidRPr="00B12B3B" w:rsidRDefault="004C0FE2" w:rsidP="004C0FE2">
      <w:pPr>
        <w:pStyle w:val="EndNoteBibliography"/>
        <w:ind w:left="720" w:hanging="720"/>
        <w:rPr>
          <w:rFonts w:asciiTheme="minorHAnsi" w:hAnsiTheme="minorHAnsi" w:cstheme="minorHAnsi"/>
        </w:rPr>
      </w:pPr>
      <w:r w:rsidRPr="00B12B3B">
        <w:rPr>
          <w:rFonts w:asciiTheme="minorHAnsi" w:hAnsiTheme="minorHAnsi" w:cstheme="minorHAnsi"/>
        </w:rPr>
        <w:t xml:space="preserve">Andersen, H.H., Duroux, M., Gazerani, P. (2014) MicroRNAs as modulators and biomarkers of inflammatory and neuropathic pain conditions, </w:t>
      </w:r>
      <w:r w:rsidRPr="00B12B3B">
        <w:rPr>
          <w:rFonts w:asciiTheme="minorHAnsi" w:hAnsiTheme="minorHAnsi" w:cstheme="minorHAnsi"/>
          <w:i/>
          <w:iCs/>
        </w:rPr>
        <w:t>Neurobiology of Disease</w:t>
      </w:r>
      <w:r w:rsidRPr="00B12B3B">
        <w:rPr>
          <w:rFonts w:asciiTheme="minorHAnsi" w:hAnsiTheme="minorHAnsi" w:cstheme="minorHAnsi"/>
        </w:rPr>
        <w:t>, 71;159-168, ISSN 0969-9961, https://doi.org/10.1016/j.nbd.2014.08.003.</w:t>
      </w:r>
    </w:p>
    <w:p w14:paraId="4EF81F08" w14:textId="50712377" w:rsidR="004C0FE2" w:rsidRPr="00B12B3B" w:rsidRDefault="004C0FE2" w:rsidP="004C0FE2">
      <w:pPr>
        <w:pStyle w:val="EndNoteBibliography"/>
        <w:ind w:left="720" w:hanging="720"/>
        <w:rPr>
          <w:rFonts w:asciiTheme="minorHAnsi" w:hAnsiTheme="minorHAnsi" w:cstheme="minorHAnsi"/>
        </w:rPr>
      </w:pPr>
      <w:r w:rsidRPr="00B12B3B">
        <w:rPr>
          <w:rFonts w:asciiTheme="minorHAnsi" w:hAnsiTheme="minorHAnsi" w:cstheme="minorHAnsi"/>
        </w:rPr>
        <w:t>Keywords: Nociception; Neuropathy; Neuropathic pain; Inflammation; Surrogate pain model; Chronic pain; MicroRNA; Chronic constriction injury</w:t>
      </w:r>
    </w:p>
    <w:p w14:paraId="218795AE"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Bai, Y.M., Chiou, W.F., Su, T.P., Li, C.T., Chen, M.H. (2014). Pro-inflammatory cytokine associated with somatic and pain symptoms in depression. </w:t>
      </w:r>
      <w:r w:rsidRPr="00B12B3B">
        <w:rPr>
          <w:rFonts w:asciiTheme="minorHAnsi" w:hAnsiTheme="minorHAnsi" w:cstheme="minorHAnsi"/>
          <w:i/>
        </w:rPr>
        <w:t>J Affect Disord, 155</w:t>
      </w:r>
      <w:r w:rsidRPr="00B12B3B">
        <w:rPr>
          <w:rFonts w:asciiTheme="minorHAnsi" w:hAnsiTheme="minorHAnsi" w:cstheme="minorHAnsi"/>
        </w:rPr>
        <w:t xml:space="preserve">, 28-34. </w:t>
      </w:r>
    </w:p>
    <w:p w14:paraId="69860714"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Baumeister, D., Akhtar, R., Ciufolini, S., Pariante, C.M, Mondelli, V. (2016). Childhood trauma and adulthood inflammation: a meta-analysis of peripheral C-reactive protein, interleukin-6 and tumour necrosis factor-α. </w:t>
      </w:r>
      <w:r w:rsidRPr="00B12B3B">
        <w:rPr>
          <w:rFonts w:asciiTheme="minorHAnsi" w:hAnsiTheme="minorHAnsi" w:cstheme="minorHAnsi"/>
          <w:i/>
        </w:rPr>
        <w:t>Mol Psychiatry., 21</w:t>
      </w:r>
      <w:r w:rsidRPr="00B12B3B">
        <w:rPr>
          <w:rFonts w:asciiTheme="minorHAnsi" w:hAnsiTheme="minorHAnsi" w:cstheme="minorHAnsi"/>
        </w:rPr>
        <w:t>(5), 642‐649. doi:doi:10.1038/mp.2015.67</w:t>
      </w:r>
    </w:p>
    <w:p w14:paraId="55CA866C" w14:textId="2C5FF511"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Brooks, B.L., Strauss, E., Sherman, E.M.S., Iverson, G.L. Slick, D.J. (2009). Developments in Neuropsychological Assessment: Refining Psychometric and Clinical Interpretive methods. </w:t>
      </w:r>
      <w:r w:rsidRPr="00B12B3B">
        <w:rPr>
          <w:rFonts w:asciiTheme="minorHAnsi" w:hAnsiTheme="minorHAnsi" w:cstheme="minorHAnsi"/>
          <w:i/>
        </w:rPr>
        <w:t>Canadian Psychology, 50</w:t>
      </w:r>
      <w:r w:rsidRPr="00B12B3B">
        <w:rPr>
          <w:rFonts w:asciiTheme="minorHAnsi" w:hAnsiTheme="minorHAnsi" w:cstheme="minorHAnsi"/>
        </w:rPr>
        <w:t>(3), 196-209. doi:doi: 10.1037/a0016066</w:t>
      </w:r>
    </w:p>
    <w:p w14:paraId="7ADD2B00" w14:textId="77777777" w:rsidR="00F120FA" w:rsidRPr="00B12B3B" w:rsidRDefault="00F120FA" w:rsidP="00F120FA">
      <w:pPr>
        <w:pStyle w:val="EndNoteBibliography"/>
        <w:rPr>
          <w:rFonts w:asciiTheme="minorHAnsi" w:hAnsiTheme="minorHAnsi" w:cstheme="minorHAnsi"/>
        </w:rPr>
      </w:pPr>
      <w:r w:rsidRPr="00B12B3B">
        <w:rPr>
          <w:rFonts w:asciiTheme="minorHAnsi" w:hAnsiTheme="minorHAnsi" w:cstheme="minorHAnsi"/>
        </w:rPr>
        <w:t xml:space="preserve">Calcia, M.A., Bonsall, D.R., Bloomfield, P.S., Selvaraj, S., Barichello, T., Howes, O.D. (2016) </w:t>
      </w:r>
    </w:p>
    <w:p w14:paraId="30D4AF6B" w14:textId="77777777" w:rsidR="00F120FA" w:rsidRPr="00B12B3B" w:rsidRDefault="00F120FA" w:rsidP="00F120FA">
      <w:pPr>
        <w:pStyle w:val="EndNoteBibliography"/>
        <w:ind w:firstLine="720"/>
        <w:rPr>
          <w:rFonts w:asciiTheme="minorHAnsi" w:hAnsiTheme="minorHAnsi" w:cstheme="minorHAnsi"/>
        </w:rPr>
      </w:pPr>
      <w:r w:rsidRPr="00B12B3B">
        <w:rPr>
          <w:rFonts w:asciiTheme="minorHAnsi" w:hAnsiTheme="minorHAnsi" w:cstheme="minorHAnsi"/>
        </w:rPr>
        <w:t xml:space="preserve">Stress and neuroinflammation: a systematic review of the effects of stress on </w:t>
      </w:r>
    </w:p>
    <w:p w14:paraId="273828C5" w14:textId="77777777" w:rsidR="00F120FA" w:rsidRPr="00B12B3B" w:rsidRDefault="00F120FA" w:rsidP="00F120FA">
      <w:pPr>
        <w:pStyle w:val="EndNoteBibliography"/>
        <w:ind w:firstLine="720"/>
        <w:rPr>
          <w:rFonts w:asciiTheme="minorHAnsi" w:hAnsiTheme="minorHAnsi" w:cstheme="minorHAnsi"/>
        </w:rPr>
      </w:pPr>
      <w:r w:rsidRPr="00B12B3B">
        <w:rPr>
          <w:rFonts w:asciiTheme="minorHAnsi" w:hAnsiTheme="minorHAnsi" w:cstheme="minorHAnsi"/>
        </w:rPr>
        <w:t xml:space="preserve">microglia and the implications for mental illness. </w:t>
      </w:r>
      <w:r w:rsidRPr="00B12B3B">
        <w:rPr>
          <w:rFonts w:asciiTheme="minorHAnsi" w:hAnsiTheme="minorHAnsi" w:cstheme="minorHAnsi"/>
          <w:i/>
          <w:iCs/>
        </w:rPr>
        <w:t>Psychopharmacology.</w:t>
      </w:r>
      <w:r w:rsidRPr="00B12B3B">
        <w:rPr>
          <w:rFonts w:asciiTheme="minorHAnsi" w:hAnsiTheme="minorHAnsi" w:cstheme="minorHAnsi"/>
        </w:rPr>
        <w:t xml:space="preserve"> </w:t>
      </w:r>
    </w:p>
    <w:p w14:paraId="32E2378C" w14:textId="6A5A59E9" w:rsidR="00F120FA" w:rsidRPr="00B12B3B" w:rsidRDefault="00F120FA" w:rsidP="00F120FA">
      <w:pPr>
        <w:pStyle w:val="EndNoteBibliography"/>
        <w:ind w:firstLine="720"/>
        <w:rPr>
          <w:rFonts w:asciiTheme="minorHAnsi" w:hAnsiTheme="minorHAnsi" w:cstheme="minorHAnsi"/>
        </w:rPr>
      </w:pPr>
      <w:r w:rsidRPr="00B12B3B">
        <w:rPr>
          <w:rFonts w:asciiTheme="minorHAnsi" w:hAnsiTheme="minorHAnsi" w:cstheme="minorHAnsi"/>
        </w:rPr>
        <w:t>2016;233(9):1637-50.</w:t>
      </w:r>
    </w:p>
    <w:p w14:paraId="5593B640" w14:textId="45F54633"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CBS, (2005). </w:t>
      </w:r>
      <w:r w:rsidRPr="00B12B3B">
        <w:rPr>
          <w:rFonts w:asciiTheme="minorHAnsi" w:hAnsiTheme="minorHAnsi" w:cstheme="minorHAnsi"/>
          <w:i/>
        </w:rPr>
        <w:t>Netherlands Central Bureau of Statistics (CBS) list. CBS vademecum.</w:t>
      </w:r>
      <w:r w:rsidRPr="00B12B3B">
        <w:rPr>
          <w:rFonts w:asciiTheme="minorHAnsi" w:hAnsiTheme="minorHAnsi" w:cstheme="minorHAnsi"/>
        </w:rPr>
        <w:t xml:space="preserve"> Den Haag: CBS.</w:t>
      </w:r>
    </w:p>
    <w:p w14:paraId="38C1E0FA" w14:textId="77777777" w:rsidR="003F32E8" w:rsidRPr="00B12B3B" w:rsidRDefault="003F32E8" w:rsidP="003F32E8">
      <w:pPr>
        <w:pStyle w:val="EndNoteBibliography"/>
        <w:ind w:left="720" w:hanging="720"/>
        <w:rPr>
          <w:rFonts w:asciiTheme="minorHAnsi" w:hAnsiTheme="minorHAnsi" w:cstheme="minorHAnsi"/>
        </w:rPr>
      </w:pPr>
      <w:r w:rsidRPr="00B12B3B">
        <w:rPr>
          <w:rFonts w:asciiTheme="minorHAnsi" w:hAnsiTheme="minorHAnsi" w:cstheme="minorHAnsi"/>
        </w:rPr>
        <w:t xml:space="preserve">Centre for Disease Control and Prevention, 2016. Prevalence of Individual Adverse Childhood Experiences. </w:t>
      </w:r>
      <w:hyperlink r:id="rId8" w:history="1">
        <w:r w:rsidRPr="00B12B3B">
          <w:rPr>
            <w:rStyle w:val="Hyperlink"/>
            <w:rFonts w:asciiTheme="minorHAnsi" w:hAnsiTheme="minorHAnsi" w:cstheme="minorHAnsi"/>
          </w:rPr>
          <w:t>https://www.cdc.gov/violenceprevention/aces/about.html</w:t>
        </w:r>
      </w:hyperlink>
    </w:p>
    <w:p w14:paraId="1EC3870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Chu, C.Q., Wittmer, S., Dalton, D.K.  2000;doi:10.1084/jem.192.1.123. (2000). Failure to suppress the expansion of the activated CD4 T cell population in interferon gamma-</w:t>
      </w:r>
      <w:r w:rsidRPr="00B12B3B">
        <w:rPr>
          <w:rFonts w:asciiTheme="minorHAnsi" w:hAnsiTheme="minorHAnsi" w:cstheme="minorHAnsi"/>
        </w:rPr>
        <w:lastRenderedPageBreak/>
        <w:t xml:space="preserve">deficient mice leads to exacerbation of experimental autoimmune encephalomyelitis. </w:t>
      </w:r>
      <w:r w:rsidRPr="00B12B3B">
        <w:rPr>
          <w:rFonts w:asciiTheme="minorHAnsi" w:hAnsiTheme="minorHAnsi" w:cstheme="minorHAnsi"/>
          <w:i/>
        </w:rPr>
        <w:t>J Exp Med., 192</w:t>
      </w:r>
      <w:r w:rsidRPr="00B12B3B">
        <w:rPr>
          <w:rFonts w:asciiTheme="minorHAnsi" w:hAnsiTheme="minorHAnsi" w:cstheme="minorHAnsi"/>
        </w:rPr>
        <w:t xml:space="preserve">(1), 123-128.  </w:t>
      </w:r>
    </w:p>
    <w:p w14:paraId="4E1EC4FE"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Conversion And Neuro-inflammation Disorder Observational (CANDO) study (2019). Retrieved from </w:t>
      </w:r>
      <w:hyperlink r:id="rId9" w:history="1">
        <w:r w:rsidRPr="00B12B3B">
          <w:rPr>
            <w:rStyle w:val="Hyperlink"/>
            <w:rFonts w:asciiTheme="minorHAnsi" w:hAnsiTheme="minorHAnsi" w:cstheme="minorHAnsi"/>
          </w:rPr>
          <w:t>https://www.york.ac.uk/healthsciences/research/mental-health/projects/cando/</w:t>
        </w:r>
      </w:hyperlink>
      <w:r w:rsidRPr="00B12B3B">
        <w:rPr>
          <w:rFonts w:asciiTheme="minorHAnsi" w:hAnsiTheme="minorHAnsi" w:cstheme="minorHAnsi"/>
        </w:rPr>
        <w:t xml:space="preserve"> Accessed at Nov 6</w:t>
      </w:r>
      <w:r w:rsidRPr="00B12B3B">
        <w:rPr>
          <w:rFonts w:asciiTheme="minorHAnsi" w:hAnsiTheme="minorHAnsi" w:cstheme="minorHAnsi"/>
          <w:vertAlign w:val="superscript"/>
        </w:rPr>
        <w:t>th</w:t>
      </w:r>
      <w:r w:rsidRPr="00B12B3B">
        <w:rPr>
          <w:rFonts w:asciiTheme="minorHAnsi" w:hAnsiTheme="minorHAnsi" w:cstheme="minorHAnsi"/>
        </w:rPr>
        <w:t xml:space="preserve"> 2020.</w:t>
      </w:r>
    </w:p>
    <w:p w14:paraId="0D7834BF"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Cornelis, C.M., Ameling, E.H., de Jonghe, F. (1989). Life events and social network in relation to the onset of depression. A controlled study. </w:t>
      </w:r>
      <w:r w:rsidRPr="00B12B3B">
        <w:rPr>
          <w:rFonts w:asciiTheme="minorHAnsi" w:hAnsiTheme="minorHAnsi" w:cstheme="minorHAnsi"/>
          <w:i/>
        </w:rPr>
        <w:t>Acta psychiatrica Scandinavica, 80</w:t>
      </w:r>
      <w:r w:rsidRPr="00B12B3B">
        <w:rPr>
          <w:rFonts w:asciiTheme="minorHAnsi" w:hAnsiTheme="minorHAnsi" w:cstheme="minorHAnsi"/>
        </w:rPr>
        <w:t xml:space="preserve">(2), 174-179. </w:t>
      </w:r>
    </w:p>
    <w:p w14:paraId="578C2926"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Crawford, J.R., Garthwaite, P.H., Sutherland, D., Borland, N.  (2011). Some supplementary methods for the analysis of the Delis</w:t>
      </w:r>
      <w:r w:rsidRPr="00B12B3B">
        <w:rPr>
          <w:rFonts w:ascii="Cambria Math" w:hAnsi="Cambria Math" w:cs="Cambria Math"/>
        </w:rPr>
        <w:t>‑</w:t>
      </w:r>
      <w:r w:rsidRPr="00B12B3B">
        <w:rPr>
          <w:rFonts w:asciiTheme="minorHAnsi" w:hAnsiTheme="minorHAnsi" w:cstheme="minorHAnsi"/>
        </w:rPr>
        <w:t xml:space="preserve">Kaplan Executive Function System.  </w:t>
      </w:r>
      <w:r w:rsidRPr="00B12B3B">
        <w:rPr>
          <w:rFonts w:asciiTheme="minorHAnsi" w:hAnsiTheme="minorHAnsi" w:cstheme="minorHAnsi"/>
          <w:i/>
        </w:rPr>
        <w:t>Psychological Assessment, 23</w:t>
      </w:r>
      <w:r w:rsidRPr="00B12B3B">
        <w:rPr>
          <w:rFonts w:asciiTheme="minorHAnsi" w:hAnsiTheme="minorHAnsi" w:cstheme="minorHAnsi"/>
        </w:rPr>
        <w:t xml:space="preserve">, 888-898. </w:t>
      </w:r>
    </w:p>
    <w:p w14:paraId="371385A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D’Anna-Hernandez, K.L., Ross, R.G., Natvig, C.L, Laudenslager, M.L. (2011). Hair cortisol levels as a retrospective marker of hypothalamic-pituitary axis activity throughout pregnancy: Comparison to salivary cortisol. </w:t>
      </w:r>
      <w:r w:rsidRPr="00B12B3B">
        <w:rPr>
          <w:rFonts w:asciiTheme="minorHAnsi" w:hAnsiTheme="minorHAnsi" w:cstheme="minorHAnsi"/>
          <w:i/>
        </w:rPr>
        <w:t>Physiology and Behavior, 104</w:t>
      </w:r>
      <w:r w:rsidRPr="00B12B3B">
        <w:rPr>
          <w:rFonts w:asciiTheme="minorHAnsi" w:hAnsiTheme="minorHAnsi" w:cstheme="minorHAnsi"/>
        </w:rPr>
        <w:t xml:space="preserve">(2), 348–353. doi: </w:t>
      </w:r>
      <w:hyperlink r:id="rId10" w:history="1">
        <w:r w:rsidRPr="00B12B3B">
          <w:rPr>
            <w:rStyle w:val="Hyperlink"/>
            <w:rFonts w:asciiTheme="minorHAnsi" w:hAnsiTheme="minorHAnsi" w:cstheme="minorHAnsi"/>
          </w:rPr>
          <w:t>https://doi.org/10.1016/j.physbeh.2011.02.041</w:t>
        </w:r>
      </w:hyperlink>
    </w:p>
    <w:p w14:paraId="02FA1768"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De Vroege, L., Khasho, D., Foruz, A., van der Feltz-Cornelis, C.M. (2017). Cognitive rehabilitation treatment for mental slowness in Conversion disorder. A case report. </w:t>
      </w:r>
      <w:r w:rsidRPr="00B12B3B">
        <w:rPr>
          <w:rFonts w:asciiTheme="minorHAnsi" w:hAnsiTheme="minorHAnsi" w:cstheme="minorHAnsi"/>
          <w:i/>
        </w:rPr>
        <w:t>Cogent Psychology, 4</w:t>
      </w:r>
      <w:r w:rsidRPr="00B12B3B">
        <w:rPr>
          <w:rFonts w:asciiTheme="minorHAnsi" w:hAnsiTheme="minorHAnsi" w:cstheme="minorHAnsi"/>
        </w:rPr>
        <w:t>, 1348328. doi:10.1080/ 23311908.2017.1348328.</w:t>
      </w:r>
    </w:p>
    <w:p w14:paraId="49FBE4C0" w14:textId="1EB18C30" w:rsidR="001D213E" w:rsidRPr="00B12B3B" w:rsidRDefault="00571F5A" w:rsidP="001D213E">
      <w:pPr>
        <w:pStyle w:val="EndNoteBibliography"/>
        <w:ind w:left="720" w:hanging="720"/>
        <w:rPr>
          <w:rFonts w:asciiTheme="minorHAnsi" w:hAnsiTheme="minorHAnsi" w:cstheme="minorHAnsi"/>
        </w:rPr>
      </w:pPr>
      <w:r w:rsidRPr="00B12B3B">
        <w:rPr>
          <w:rFonts w:asciiTheme="minorHAnsi" w:hAnsiTheme="minorHAnsi" w:cstheme="minorHAnsi"/>
        </w:rPr>
        <w:t xml:space="preserve">De Vroege, L., Koppenol, I., Kop, W.J., Riem, M.M.E., van der Feltz-Cornelis, C.M. (2020). Neurocognitive functioning in patients with conversion disorder/functional neurological disorder.  </w:t>
      </w:r>
      <w:r w:rsidRPr="00B12B3B">
        <w:rPr>
          <w:rFonts w:asciiTheme="minorHAnsi" w:hAnsiTheme="minorHAnsi" w:cstheme="minorHAnsi"/>
          <w:i/>
        </w:rPr>
        <w:t>J Neuropsychol.</w:t>
      </w:r>
      <w:r w:rsidRPr="00B12B3B">
        <w:rPr>
          <w:rFonts w:asciiTheme="minorHAnsi" w:hAnsiTheme="minorHAnsi" w:cstheme="minorHAnsi"/>
        </w:rPr>
        <w:t xml:space="preserve"> doi:10.1111/jnp.12206. </w:t>
      </w:r>
    </w:p>
    <w:p w14:paraId="49060F99" w14:textId="5F83644D"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Del Grande da Silva, G., Wiener, C. D., Barbosa, L. P., Gonçalves Araujo, J. M., Molina, M. L., San Martin, P., Oses J. P, Jansen K, Dia de Mattos Souza L, Azevedo da Silva, R. (2016). Pro-inflammatory cytokines and psychotherapy in depression: Results from a randomized clinical trial. </w:t>
      </w:r>
      <w:r w:rsidRPr="00B12B3B">
        <w:rPr>
          <w:rFonts w:asciiTheme="minorHAnsi" w:hAnsiTheme="minorHAnsi" w:cstheme="minorHAnsi"/>
          <w:i/>
        </w:rPr>
        <w:t>J Psychiatr Res, 75</w:t>
      </w:r>
      <w:r w:rsidRPr="00B12B3B">
        <w:rPr>
          <w:rFonts w:asciiTheme="minorHAnsi" w:hAnsiTheme="minorHAnsi" w:cstheme="minorHAnsi"/>
        </w:rPr>
        <w:t xml:space="preserve">, 57-64. </w:t>
      </w:r>
    </w:p>
    <w:p w14:paraId="08914EBB"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Delis, D.C., Kramer, J.H., Kaplan, E., Holdnack, J. (2004). Reliability and validity of the Delis-Kaplan Executive Function System: an update. </w:t>
      </w:r>
      <w:r w:rsidRPr="00B12B3B">
        <w:rPr>
          <w:rFonts w:asciiTheme="minorHAnsi" w:hAnsiTheme="minorHAnsi" w:cstheme="minorHAnsi"/>
          <w:i/>
        </w:rPr>
        <w:t>Journal of the International Neuropsychological Society: JINS, 10</w:t>
      </w:r>
      <w:r w:rsidRPr="00B12B3B">
        <w:rPr>
          <w:rFonts w:asciiTheme="minorHAnsi" w:hAnsiTheme="minorHAnsi" w:cstheme="minorHAnsi"/>
        </w:rPr>
        <w:t xml:space="preserve">(2). </w:t>
      </w:r>
    </w:p>
    <w:p w14:paraId="371B400B" w14:textId="2C8511D2" w:rsidR="00571F5A" w:rsidRPr="00B12B3B" w:rsidRDefault="00571F5A" w:rsidP="00C00621">
      <w:pPr>
        <w:pStyle w:val="EndNoteBibliography"/>
        <w:ind w:left="720" w:hanging="720"/>
        <w:rPr>
          <w:rFonts w:asciiTheme="minorHAnsi" w:hAnsiTheme="minorHAnsi" w:cstheme="minorHAnsi"/>
        </w:rPr>
      </w:pPr>
      <w:r w:rsidRPr="00B12B3B">
        <w:rPr>
          <w:rFonts w:asciiTheme="minorHAnsi" w:hAnsiTheme="minorHAnsi" w:cstheme="minorHAnsi"/>
        </w:rPr>
        <w:t xml:space="preserve">Dozier, M.E., Wetherell, J.L., Twamley, E.W., Schiehser, D.M., Ayers, C.R. (2016). The Relationship between age and neurocognitive and daily functioning in adults with hoarding disorder. </w:t>
      </w:r>
      <w:r w:rsidRPr="00B12B3B">
        <w:rPr>
          <w:rFonts w:asciiTheme="minorHAnsi" w:hAnsiTheme="minorHAnsi" w:cstheme="minorHAnsi"/>
          <w:i/>
        </w:rPr>
        <w:t>International Journal of Geriatric Psychiatry, 31</w:t>
      </w:r>
      <w:r w:rsidRPr="00B12B3B">
        <w:rPr>
          <w:rFonts w:asciiTheme="minorHAnsi" w:hAnsiTheme="minorHAnsi" w:cstheme="minorHAnsi"/>
        </w:rPr>
        <w:t>(12), 1329-1336. doi:doi:10.1002/gps.4438</w:t>
      </w:r>
    </w:p>
    <w:p w14:paraId="08097B89" w14:textId="4ED7E7D5" w:rsidR="008F745B" w:rsidRPr="00B12B3B" w:rsidRDefault="008F745B" w:rsidP="00C00621">
      <w:pPr>
        <w:pStyle w:val="EndNoteBibliography"/>
        <w:ind w:left="720" w:hanging="720"/>
        <w:rPr>
          <w:rFonts w:asciiTheme="minorHAnsi" w:hAnsiTheme="minorHAnsi" w:cstheme="minorHAnsi"/>
        </w:rPr>
      </w:pPr>
      <w:r w:rsidRPr="00B12B3B">
        <w:rPr>
          <w:rFonts w:asciiTheme="minorHAnsi" w:hAnsiTheme="minorHAnsi" w:cstheme="minorHAnsi"/>
          <w:color w:val="333333"/>
          <w:shd w:val="clear" w:color="auto" w:fill="FFFFFF"/>
        </w:rPr>
        <w:t>Du, X., Hong, L., Sun, L. </w:t>
      </w:r>
      <w:r w:rsidRPr="00B12B3B">
        <w:rPr>
          <w:rFonts w:asciiTheme="minorHAnsi" w:hAnsiTheme="minorHAnsi" w:cstheme="minorHAnsi"/>
          <w:i/>
          <w:iCs/>
          <w:color w:val="333333"/>
          <w:shd w:val="clear" w:color="auto" w:fill="FFFFFF"/>
        </w:rPr>
        <w:t>et al.</w:t>
      </w:r>
      <w:r w:rsidRPr="00B12B3B">
        <w:rPr>
          <w:rFonts w:asciiTheme="minorHAnsi" w:hAnsiTheme="minorHAnsi" w:cstheme="minorHAnsi"/>
          <w:color w:val="333333"/>
          <w:shd w:val="clear" w:color="auto" w:fill="FFFFFF"/>
        </w:rPr>
        <w:t> (2019) miR-21 induces endothelial progenitor cells proliferation and angiogenesis via targeting FASLG and is a potential prognostic marker in deep venous thrombosis. </w:t>
      </w:r>
      <w:r w:rsidRPr="00B12B3B">
        <w:rPr>
          <w:rFonts w:asciiTheme="minorHAnsi" w:hAnsiTheme="minorHAnsi" w:cstheme="minorHAnsi"/>
          <w:i/>
          <w:iCs/>
          <w:color w:val="333333"/>
          <w:shd w:val="clear" w:color="auto" w:fill="FFFFFF"/>
        </w:rPr>
        <w:t>J Transl Med</w:t>
      </w:r>
      <w:r w:rsidRPr="00B12B3B">
        <w:rPr>
          <w:rFonts w:asciiTheme="minorHAnsi" w:hAnsiTheme="minorHAnsi" w:cstheme="minorHAnsi"/>
          <w:color w:val="333333"/>
          <w:shd w:val="clear" w:color="auto" w:fill="FFFFFF"/>
        </w:rPr>
        <w:t> </w:t>
      </w:r>
      <w:r w:rsidRPr="00B12B3B">
        <w:rPr>
          <w:rFonts w:asciiTheme="minorHAnsi" w:hAnsiTheme="minorHAnsi" w:cstheme="minorHAnsi"/>
          <w:b/>
          <w:bCs/>
          <w:color w:val="333333"/>
          <w:shd w:val="clear" w:color="auto" w:fill="FFFFFF"/>
        </w:rPr>
        <w:t>17, </w:t>
      </w:r>
      <w:r w:rsidRPr="00B12B3B">
        <w:rPr>
          <w:rFonts w:asciiTheme="minorHAnsi" w:hAnsiTheme="minorHAnsi" w:cstheme="minorHAnsi"/>
          <w:color w:val="333333"/>
          <w:shd w:val="clear" w:color="auto" w:fill="FFFFFF"/>
        </w:rPr>
        <w:t>270. https://doi.org/10.1186/s12967-019-2015-z</w:t>
      </w:r>
    </w:p>
    <w:p w14:paraId="2715B460" w14:textId="6F19A571" w:rsidR="00C00621" w:rsidRPr="00B12B3B" w:rsidRDefault="00C00621" w:rsidP="00C00621">
      <w:pPr>
        <w:pStyle w:val="EndNoteBibliography"/>
        <w:ind w:left="720" w:hanging="720"/>
        <w:rPr>
          <w:rFonts w:asciiTheme="minorHAnsi" w:hAnsiTheme="minorHAnsi" w:cstheme="minorHAnsi"/>
        </w:rPr>
      </w:pPr>
      <w:r w:rsidRPr="00B12B3B">
        <w:rPr>
          <w:rFonts w:asciiTheme="minorHAnsi" w:hAnsiTheme="minorHAnsi" w:cstheme="minorHAnsi"/>
          <w:color w:val="212121"/>
          <w:shd w:val="clear" w:color="auto" w:fill="FFFFFF"/>
        </w:rPr>
        <w:t xml:space="preserve">Dunn, E.C., Soare, T.W., Zhu, Y., Simpkin, A.J., Suderman, M.J., Klengel, T., Smith, A.D.A.C., Ressler, K.J., Relton, C.L. (2019) Sensitive Periods for the Effect of Childhood Adversity on DNA Methylation: Results From a Prospective, Longitudinal Study. </w:t>
      </w:r>
      <w:r w:rsidRPr="00B12B3B">
        <w:rPr>
          <w:rFonts w:asciiTheme="minorHAnsi" w:hAnsiTheme="minorHAnsi" w:cstheme="minorHAnsi"/>
          <w:i/>
          <w:iCs/>
          <w:color w:val="212121"/>
          <w:shd w:val="clear" w:color="auto" w:fill="FFFFFF"/>
        </w:rPr>
        <w:t>Biol Psychiatry.</w:t>
      </w:r>
      <w:r w:rsidRPr="00B12B3B">
        <w:rPr>
          <w:rFonts w:asciiTheme="minorHAnsi" w:hAnsiTheme="minorHAnsi" w:cstheme="minorHAnsi"/>
          <w:color w:val="212121"/>
          <w:shd w:val="clear" w:color="auto" w:fill="FFFFFF"/>
        </w:rPr>
        <w:t xml:space="preserve"> May 15;85(10):838-849. doi: 10.1016/j.biopsych.2018.12.023. Epub 2019 Jan 21. Erratum in: Biol Psychiatry. 2019 Jul 1;86(1):76. PMID: 30905381; PMCID: PMC6552666.</w:t>
      </w:r>
    </w:p>
    <w:p w14:paraId="2B74A6A9" w14:textId="77777777" w:rsidR="00571F5A" w:rsidRPr="00B12B3B" w:rsidRDefault="00571F5A" w:rsidP="00C00621">
      <w:pPr>
        <w:pStyle w:val="EndNoteBibliography"/>
        <w:ind w:left="720" w:hanging="720"/>
        <w:rPr>
          <w:rFonts w:asciiTheme="minorHAnsi" w:hAnsiTheme="minorHAnsi" w:cstheme="minorHAnsi"/>
        </w:rPr>
      </w:pPr>
      <w:r w:rsidRPr="00B12B3B">
        <w:rPr>
          <w:rFonts w:asciiTheme="minorHAnsi" w:hAnsiTheme="minorHAnsi" w:cstheme="minorHAnsi"/>
        </w:rPr>
        <w:t xml:space="preserve">Flaishon, L., Hershkoviz, R., Lantner, F., Lider, O., Alon, R., Levo, Y., Flavell, R.C. Shachar, I. (2000). Autocrine secretion of interferon gamma negatively regulates homing of immature B cells. </w:t>
      </w:r>
      <w:r w:rsidRPr="00B12B3B">
        <w:rPr>
          <w:rFonts w:asciiTheme="minorHAnsi" w:hAnsiTheme="minorHAnsi" w:cstheme="minorHAnsi"/>
          <w:i/>
        </w:rPr>
        <w:t>J Exp Med., 192</w:t>
      </w:r>
      <w:r w:rsidRPr="00B12B3B">
        <w:rPr>
          <w:rFonts w:asciiTheme="minorHAnsi" w:hAnsiTheme="minorHAnsi" w:cstheme="minorHAnsi"/>
        </w:rPr>
        <w:t>(9), 1381-1388. doi:doi:10.1084/jem.192.9.1381</w:t>
      </w:r>
    </w:p>
    <w:p w14:paraId="352A71DE"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Garvin, P., Nilsson, E., Ernerudh, J., Kristenson, M. (2016). The joint subclinical elevation of CRP and IL-6 is associated with lower health-related quality of life in comparison with </w:t>
      </w:r>
      <w:r w:rsidRPr="00B12B3B">
        <w:rPr>
          <w:rFonts w:asciiTheme="minorHAnsi" w:hAnsiTheme="minorHAnsi" w:cstheme="minorHAnsi"/>
        </w:rPr>
        <w:lastRenderedPageBreak/>
        <w:t xml:space="preserve">no elevation or elevation of only one of the biomarkers. </w:t>
      </w:r>
      <w:r w:rsidRPr="00B12B3B">
        <w:rPr>
          <w:rFonts w:asciiTheme="minorHAnsi" w:hAnsiTheme="minorHAnsi" w:cstheme="minorHAnsi"/>
          <w:i/>
        </w:rPr>
        <w:t>Qual Life Res., 25</w:t>
      </w:r>
      <w:r w:rsidRPr="00B12B3B">
        <w:rPr>
          <w:rFonts w:asciiTheme="minorHAnsi" w:hAnsiTheme="minorHAnsi" w:cstheme="minorHAnsi"/>
        </w:rPr>
        <w:t>(1), 213-221. doi:doi:10.1007/s11136-015-1068-6</w:t>
      </w:r>
    </w:p>
    <w:p w14:paraId="385F2EA3"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Gelauff, J., Stone, J., Edwards, M. J., Carson, A. (2014). The prognosis of functional (psychogenic) motor symptoms: a systematic review. </w:t>
      </w:r>
      <w:r w:rsidRPr="00B12B3B">
        <w:rPr>
          <w:rFonts w:asciiTheme="minorHAnsi" w:hAnsiTheme="minorHAnsi" w:cstheme="minorHAnsi"/>
          <w:i/>
        </w:rPr>
        <w:t>J Neurol Neurosurg Psychiatry, 85</w:t>
      </w:r>
      <w:r w:rsidRPr="00B12B3B">
        <w:rPr>
          <w:rFonts w:asciiTheme="minorHAnsi" w:hAnsiTheme="minorHAnsi" w:cstheme="minorHAnsi"/>
        </w:rPr>
        <w:t xml:space="preserve">(2), 220-226 </w:t>
      </w:r>
    </w:p>
    <w:p w14:paraId="368CE6A7" w14:textId="14A83A06"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Goldstein, L.H., Robinson, E., Mellers, J.D.C, Stone, J., Carson, A., Reuber, M., Medford, N., McCrone, P., Murray, J., Richardson, M.P., Pilecka, I.P., Eastwood, C., Moore, M., Mosweu, I., Perdue, I., Landau, S., Chalder, T. (2020). Cognitive behavioural therapy for adults with dissociative seizures (CODES): a pragmatic, multicentre, randomised controlled trial.  </w:t>
      </w:r>
      <w:r w:rsidRPr="00B12B3B">
        <w:rPr>
          <w:rFonts w:asciiTheme="minorHAnsi" w:hAnsiTheme="minorHAnsi" w:cstheme="minorHAnsi"/>
          <w:i/>
        </w:rPr>
        <w:t>Lancet Psychiatry., 7</w:t>
      </w:r>
      <w:r w:rsidRPr="00B12B3B">
        <w:rPr>
          <w:rFonts w:asciiTheme="minorHAnsi" w:hAnsiTheme="minorHAnsi" w:cstheme="minorHAnsi"/>
        </w:rPr>
        <w:t>(6), 491-505. doi:doi:10.1016/S2215-0366(20)30128-0</w:t>
      </w:r>
    </w:p>
    <w:p w14:paraId="14C6A42A" w14:textId="45396A8F" w:rsidR="00670138" w:rsidRPr="00B12B3B" w:rsidRDefault="00670138" w:rsidP="00571F5A">
      <w:pPr>
        <w:pStyle w:val="EndNoteBibliography"/>
        <w:ind w:left="720" w:hanging="720"/>
        <w:rPr>
          <w:rFonts w:asciiTheme="minorHAnsi" w:hAnsiTheme="minorHAnsi" w:cstheme="minorHAnsi"/>
        </w:rPr>
      </w:pPr>
      <w:r w:rsidRPr="00B12B3B">
        <w:rPr>
          <w:rFonts w:asciiTheme="minorHAnsi" w:hAnsiTheme="minorHAnsi" w:cstheme="minorHAnsi"/>
          <w:color w:val="212121"/>
          <w:shd w:val="clear" w:color="auto" w:fill="FFFFFF"/>
        </w:rPr>
        <w:t xml:space="preserve">Gürses N, Temuçin CM, Lay Ergün E, Ertuğrul A, Ozer S, Demir B. (2008) Konversiyon bozukluğunda uyarilmiş potansiyeller ve beyin kan akimi değişiklikleri: olgu sunumu ve gözden geçirme [Evoked potentials and regional cerebral blood flow changes in conversion disorder: a case report and review]. </w:t>
      </w:r>
      <w:r w:rsidRPr="00B12B3B">
        <w:rPr>
          <w:rFonts w:asciiTheme="minorHAnsi" w:hAnsiTheme="minorHAnsi" w:cstheme="minorHAnsi"/>
          <w:i/>
          <w:iCs/>
          <w:color w:val="212121"/>
          <w:shd w:val="clear" w:color="auto" w:fill="FFFFFF"/>
        </w:rPr>
        <w:t>Turk Psikiyatri Derg</w:t>
      </w:r>
      <w:r w:rsidRPr="00B12B3B">
        <w:rPr>
          <w:rFonts w:asciiTheme="minorHAnsi" w:hAnsiTheme="minorHAnsi" w:cstheme="minorHAnsi"/>
          <w:color w:val="212121"/>
          <w:shd w:val="clear" w:color="auto" w:fill="FFFFFF"/>
        </w:rPr>
        <w:t>. Spring;19(1):101-7. Turkish. PMID: 18330748.</w:t>
      </w:r>
    </w:p>
    <w:p w14:paraId="56795A6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Hanna, J., Hossain, G. S., Kocerha, J. (2019). The Potential for microRNA Therapeutics and Clinical Research. </w:t>
      </w:r>
      <w:r w:rsidRPr="00B12B3B">
        <w:rPr>
          <w:rFonts w:asciiTheme="minorHAnsi" w:hAnsiTheme="minorHAnsi" w:cstheme="minorHAnsi"/>
          <w:i/>
        </w:rPr>
        <w:t>Frontiers in Genetics, 10</w:t>
      </w:r>
      <w:r w:rsidRPr="00B12B3B">
        <w:rPr>
          <w:rFonts w:asciiTheme="minorHAnsi" w:hAnsiTheme="minorHAnsi" w:cstheme="minorHAnsi"/>
        </w:rPr>
        <w:t>(478). doi:10.3389/fgene.2019.00478</w:t>
      </w:r>
    </w:p>
    <w:p w14:paraId="088EE59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Hays, R.D., Shapiro, M.F. (1992). An Overview of Generic Health-Related Quality of Life Measures for HIV Research. </w:t>
      </w:r>
      <w:r w:rsidRPr="00B12B3B">
        <w:rPr>
          <w:rFonts w:asciiTheme="minorHAnsi" w:hAnsiTheme="minorHAnsi" w:cstheme="minorHAnsi"/>
          <w:i/>
        </w:rPr>
        <w:t>Quality of Life Research., 1</w:t>
      </w:r>
      <w:r w:rsidRPr="00B12B3B">
        <w:rPr>
          <w:rFonts w:asciiTheme="minorHAnsi" w:hAnsiTheme="minorHAnsi" w:cstheme="minorHAnsi"/>
        </w:rPr>
        <w:t xml:space="preserve">, 91-97. </w:t>
      </w:r>
    </w:p>
    <w:p w14:paraId="6D09703E"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Herane-Vives, A., de Angel, V., Papadopoulos, A., Wise, T., Chua, K.C., Strawbridge, R., Castillo, D., Arnone, D., Young, A.H., Cleare, A.J. (2018). Short-term and long-term measures of cortisol in saliva and hair in atypical and non-atypical depression. </w:t>
      </w:r>
      <w:r w:rsidRPr="00B12B3B">
        <w:rPr>
          <w:rFonts w:asciiTheme="minorHAnsi" w:hAnsiTheme="minorHAnsi" w:cstheme="minorHAnsi"/>
          <w:i/>
        </w:rPr>
        <w:t>Acta psychiatrica Scandinavica, 137</w:t>
      </w:r>
      <w:r w:rsidRPr="00B12B3B">
        <w:rPr>
          <w:rFonts w:asciiTheme="minorHAnsi" w:hAnsiTheme="minorHAnsi" w:cstheme="minorHAnsi"/>
        </w:rPr>
        <w:t xml:space="preserve">(3), 216–230. doi: </w:t>
      </w:r>
      <w:hyperlink r:id="rId11" w:history="1">
        <w:r w:rsidRPr="00B12B3B">
          <w:rPr>
            <w:rStyle w:val="Hyperlink"/>
            <w:rFonts w:asciiTheme="minorHAnsi" w:hAnsiTheme="minorHAnsi" w:cstheme="minorHAnsi"/>
          </w:rPr>
          <w:t>https://doi.org/10.1111/acps.12852</w:t>
        </w:r>
      </w:hyperlink>
    </w:p>
    <w:p w14:paraId="1E23FDC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Hewitson, J.P., Shah, K.M., Brown, N., Grevitt, P., Hain, S., Newling, K., Sharp, T.V., Kaye, P.M., Lagos, D. (2019). miR-132 suppresses transcription of ribosomal proteins to promote protective Th1 immunity. </w:t>
      </w:r>
      <w:r w:rsidRPr="00B12B3B">
        <w:rPr>
          <w:rFonts w:asciiTheme="minorHAnsi" w:hAnsiTheme="minorHAnsi" w:cstheme="minorHAnsi"/>
          <w:i/>
        </w:rPr>
        <w:t>EMBO Rep., 20</w:t>
      </w:r>
      <w:r w:rsidRPr="00B12B3B">
        <w:rPr>
          <w:rFonts w:asciiTheme="minorHAnsi" w:hAnsiTheme="minorHAnsi" w:cstheme="minorHAnsi"/>
        </w:rPr>
        <w:t xml:space="preserve">(4), e46620. doi:doi: 10.15252/embr.201846620. </w:t>
      </w:r>
    </w:p>
    <w:p w14:paraId="65CC5DF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Holmes, T. H., Rahe, R. H. (1967). The social readjustment rating scale. </w:t>
      </w:r>
      <w:r w:rsidRPr="00B12B3B">
        <w:rPr>
          <w:rFonts w:asciiTheme="minorHAnsi" w:hAnsiTheme="minorHAnsi" w:cstheme="minorHAnsi"/>
          <w:i/>
        </w:rPr>
        <w:t>Journal of Psychosomatic Research, 11</w:t>
      </w:r>
      <w:r w:rsidRPr="00B12B3B">
        <w:rPr>
          <w:rFonts w:asciiTheme="minorHAnsi" w:hAnsiTheme="minorHAnsi" w:cstheme="minorHAnsi"/>
        </w:rPr>
        <w:t xml:space="preserve">, 213-218. </w:t>
      </w:r>
    </w:p>
    <w:p w14:paraId="6C3CB06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Holst, Y., Thorell, LB. (2020;). Functional impairments among adults with ADHD: A comparison with adults with other psychiatric disorders and links to executive deficits. </w:t>
      </w:r>
      <w:r w:rsidRPr="00B12B3B">
        <w:rPr>
          <w:rFonts w:asciiTheme="minorHAnsi" w:hAnsiTheme="minorHAnsi" w:cstheme="minorHAnsi"/>
          <w:i/>
        </w:rPr>
        <w:t>Appl Neuropsychol Adult., 27</w:t>
      </w:r>
      <w:r w:rsidRPr="00B12B3B">
        <w:rPr>
          <w:rFonts w:asciiTheme="minorHAnsi" w:hAnsiTheme="minorHAnsi" w:cstheme="minorHAnsi"/>
        </w:rPr>
        <w:t>(3), 243-255.  doi:doi:10.1080/23279095.2018.1532429</w:t>
      </w:r>
    </w:p>
    <w:p w14:paraId="6F49498B" w14:textId="09158AE3"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Huang, A., Qi, X., Cui, Y., Wu, Y., Zhou, S., Zhang, M. (2020). Serum VEGF: Diagnostic Value of Acute Coronary Syndrome from Stable Angina Pectoris and Prognostic Value of Coronary Artery Disease. </w:t>
      </w:r>
      <w:r w:rsidRPr="00B12B3B">
        <w:rPr>
          <w:rFonts w:asciiTheme="minorHAnsi" w:hAnsiTheme="minorHAnsi" w:cstheme="minorHAnsi"/>
          <w:i/>
        </w:rPr>
        <w:t>Cardiology Research and Practice, 2020</w:t>
      </w:r>
      <w:r w:rsidRPr="00B12B3B">
        <w:rPr>
          <w:rFonts w:asciiTheme="minorHAnsi" w:hAnsiTheme="minorHAnsi" w:cstheme="minorHAnsi"/>
        </w:rPr>
        <w:t>, 6786302. doi:10.1155/2020/6786302</w:t>
      </w:r>
    </w:p>
    <w:p w14:paraId="6A66757A" w14:textId="77777777" w:rsidR="001D213E" w:rsidRPr="00B12B3B" w:rsidRDefault="001D213E" w:rsidP="001D213E">
      <w:pPr>
        <w:pStyle w:val="EndNoteBibliography"/>
        <w:ind w:left="720" w:hanging="720"/>
        <w:rPr>
          <w:rFonts w:asciiTheme="minorHAnsi" w:hAnsiTheme="minorHAnsi" w:cstheme="minorHAnsi"/>
        </w:rPr>
      </w:pPr>
      <w:r w:rsidRPr="00B12B3B">
        <w:rPr>
          <w:rFonts w:asciiTheme="minorHAnsi" w:hAnsiTheme="minorHAnsi" w:cstheme="minorHAnsi"/>
        </w:rPr>
        <w:t xml:space="preserve">Hubschmid, M., Aybek, S., Maccaferri, G.E., Chocron, O., Gholamrezaee, M.M., Rossetti, A.O., et al. (2015). Efficacy of brief interdisciplinary psychotherapeutic intervention for motor conversion disorder and nonepileptic attacks. </w:t>
      </w:r>
      <w:r w:rsidRPr="00B12B3B">
        <w:rPr>
          <w:rFonts w:asciiTheme="minorHAnsi" w:hAnsiTheme="minorHAnsi" w:cstheme="minorHAnsi"/>
          <w:i/>
        </w:rPr>
        <w:t>General Hospital Psychiatry</w:t>
      </w:r>
      <w:r w:rsidRPr="00B12B3B">
        <w:rPr>
          <w:rFonts w:asciiTheme="minorHAnsi" w:hAnsiTheme="minorHAnsi" w:cstheme="minorHAnsi"/>
        </w:rPr>
        <w:t xml:space="preserve">, </w:t>
      </w:r>
      <w:r w:rsidRPr="00B12B3B">
        <w:rPr>
          <w:rFonts w:asciiTheme="minorHAnsi" w:hAnsiTheme="minorHAnsi" w:cstheme="minorHAnsi"/>
          <w:i/>
        </w:rPr>
        <w:t>37</w:t>
      </w:r>
      <w:r w:rsidRPr="00B12B3B">
        <w:rPr>
          <w:rFonts w:asciiTheme="minorHAnsi" w:hAnsiTheme="minorHAnsi" w:cstheme="minorHAnsi"/>
        </w:rPr>
        <w:t>(5), 448-55.</w:t>
      </w:r>
    </w:p>
    <w:p w14:paraId="699754C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Hunsberger, J.G., Austin, D.R., Chen, G., Manji, H.K. (2009). MicroRNAs in mental health: from biological underpinnings to potential therapies. </w:t>
      </w:r>
      <w:r w:rsidRPr="00B12B3B">
        <w:rPr>
          <w:rFonts w:asciiTheme="minorHAnsi" w:hAnsiTheme="minorHAnsi" w:cstheme="minorHAnsi"/>
          <w:i/>
        </w:rPr>
        <w:t>Neuromolecular Med., 11</w:t>
      </w:r>
      <w:r w:rsidRPr="00B12B3B">
        <w:rPr>
          <w:rFonts w:asciiTheme="minorHAnsi" w:hAnsiTheme="minorHAnsi" w:cstheme="minorHAnsi"/>
        </w:rPr>
        <w:t xml:space="preserve">(3), 173-182. doi:doi: 10.1007/s12017-009-8070-5. </w:t>
      </w:r>
    </w:p>
    <w:p w14:paraId="6D9B424F"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Issler, O., Chen, A. (2015). Determining the role of microRNAs in psychiatric disorders. </w:t>
      </w:r>
      <w:r w:rsidRPr="00B12B3B">
        <w:rPr>
          <w:rFonts w:asciiTheme="minorHAnsi" w:hAnsiTheme="minorHAnsi" w:cstheme="minorHAnsi"/>
          <w:i/>
        </w:rPr>
        <w:t>Nat Rev Neurosci, 16</w:t>
      </w:r>
      <w:r w:rsidRPr="00B12B3B">
        <w:rPr>
          <w:rFonts w:asciiTheme="minorHAnsi" w:hAnsiTheme="minorHAnsi" w:cstheme="minorHAnsi"/>
        </w:rPr>
        <w:t>, 201–212. doi:</w:t>
      </w:r>
      <w:hyperlink r:id="rId12" w:history="1">
        <w:r w:rsidRPr="00B12B3B">
          <w:rPr>
            <w:rStyle w:val="Hyperlink"/>
            <w:rFonts w:asciiTheme="minorHAnsi" w:hAnsiTheme="minorHAnsi" w:cstheme="minorHAnsi"/>
          </w:rPr>
          <w:t>https://doi.org/10.1038/nrn3879</w:t>
        </w:r>
      </w:hyperlink>
    </w:p>
    <w:p w14:paraId="784BB480" w14:textId="765170D1"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lastRenderedPageBreak/>
        <w:t>Jak, A.J., Bondi, M.W., Delano-Wood, L., Wierenga, C., Corey-Bloom, J., Salmon, D.P., Delis, D.C. (2009 ). Quantification of five neuropsychological approaches to defining mild cognitive impairment.</w:t>
      </w:r>
      <w:r w:rsidRPr="00B12B3B">
        <w:rPr>
          <w:rFonts w:asciiTheme="minorHAnsi" w:hAnsiTheme="minorHAnsi" w:cstheme="minorHAnsi"/>
          <w:i/>
        </w:rPr>
        <w:t xml:space="preserve"> American Journal of Geriatric Psychiatry. , 17</w:t>
      </w:r>
      <w:r w:rsidRPr="00B12B3B">
        <w:rPr>
          <w:rFonts w:asciiTheme="minorHAnsi" w:hAnsiTheme="minorHAnsi" w:cstheme="minorHAnsi"/>
        </w:rPr>
        <w:t>(5 ), 368-375. doi:doi: 10.1097/JGP.0b013e31819431d5</w:t>
      </w:r>
    </w:p>
    <w:p w14:paraId="2D620B59" w14:textId="6BD7F20C" w:rsidR="007F2480" w:rsidRPr="00B12B3B" w:rsidRDefault="007F2480" w:rsidP="00571F5A">
      <w:pPr>
        <w:pStyle w:val="EndNoteBibliography"/>
        <w:ind w:left="720" w:hanging="720"/>
        <w:rPr>
          <w:rFonts w:asciiTheme="minorHAnsi" w:hAnsiTheme="minorHAnsi" w:cstheme="minorHAnsi"/>
        </w:rPr>
      </w:pPr>
      <w:r w:rsidRPr="00B12B3B">
        <w:rPr>
          <w:rFonts w:asciiTheme="minorHAnsi" w:hAnsiTheme="minorHAnsi" w:cstheme="minorHAnsi"/>
          <w:shd w:val="clear" w:color="auto" w:fill="FFFFFF"/>
        </w:rPr>
        <w:t xml:space="preserve">Jones A, O'Connell N, David AS, Chalder T. (2020) Functional Stroke Symptoms: A Narrative Review and Conceptual Model. </w:t>
      </w:r>
      <w:r w:rsidRPr="00B12B3B">
        <w:rPr>
          <w:rFonts w:asciiTheme="minorHAnsi" w:hAnsiTheme="minorHAnsi" w:cstheme="minorHAnsi"/>
          <w:i/>
          <w:iCs/>
          <w:shd w:val="clear" w:color="auto" w:fill="FFFFFF"/>
        </w:rPr>
        <w:t>J Neuropsychiatry Clin Neurosci.</w:t>
      </w:r>
      <w:r w:rsidRPr="00B12B3B">
        <w:rPr>
          <w:rFonts w:asciiTheme="minorHAnsi" w:hAnsiTheme="minorHAnsi" w:cstheme="minorHAnsi"/>
          <w:shd w:val="clear" w:color="auto" w:fill="FFFFFF"/>
        </w:rPr>
        <w:t xml:space="preserve"> 2020 Winter;32(1):14-23. doi: 10.1176/appi.neuropsych.19030075. Epub 2019 Nov 15. PMID: 31726918.</w:t>
      </w:r>
    </w:p>
    <w:p w14:paraId="0B58909C"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Karr, J.E., Garcia-Barrera. M.A., Holdnack, J.A, Iverson, G.L. (2017). Using Multivariate Base Rates to Interpret Low Scores on an Abbreviated Battery of the Delis-Kaplan Executive Function System. </w:t>
      </w:r>
      <w:r w:rsidRPr="00B12B3B">
        <w:rPr>
          <w:rFonts w:asciiTheme="minorHAnsi" w:hAnsiTheme="minorHAnsi" w:cstheme="minorHAnsi"/>
          <w:i/>
        </w:rPr>
        <w:t>Arch Clin Neuropsychol., 32</w:t>
      </w:r>
      <w:r w:rsidRPr="00B12B3B">
        <w:rPr>
          <w:rFonts w:asciiTheme="minorHAnsi" w:hAnsiTheme="minorHAnsi" w:cstheme="minorHAnsi"/>
        </w:rPr>
        <w:t>(3), 297-305. doi:doi:10.1093/arclin/acw105</w:t>
      </w:r>
    </w:p>
    <w:p w14:paraId="5FB058C2" w14:textId="60494031"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Keifer, E., Tranel, D. (2013). A neuropsychological investigation of the Delis-Kaplan Executive Function System. </w:t>
      </w:r>
      <w:r w:rsidRPr="00B12B3B">
        <w:rPr>
          <w:rFonts w:asciiTheme="minorHAnsi" w:hAnsiTheme="minorHAnsi" w:cstheme="minorHAnsi"/>
          <w:i/>
        </w:rPr>
        <w:t>J Clin Exp Neuropsychol., 35</w:t>
      </w:r>
      <w:r w:rsidRPr="00B12B3B">
        <w:rPr>
          <w:rFonts w:asciiTheme="minorHAnsi" w:hAnsiTheme="minorHAnsi" w:cstheme="minorHAnsi"/>
        </w:rPr>
        <w:t>(10), 1048-1059. doi:doi:10.1080/13803395.2013.854319</w:t>
      </w:r>
    </w:p>
    <w:p w14:paraId="61980ED0" w14:textId="77777777" w:rsidR="001D213E" w:rsidRPr="00B12B3B" w:rsidRDefault="001D213E" w:rsidP="001D213E">
      <w:pPr>
        <w:pStyle w:val="EndNoteBibliography"/>
        <w:ind w:left="720" w:hanging="720"/>
        <w:rPr>
          <w:rFonts w:asciiTheme="minorHAnsi" w:hAnsiTheme="minorHAnsi" w:cstheme="minorHAnsi"/>
        </w:rPr>
      </w:pPr>
      <w:r w:rsidRPr="00B12B3B">
        <w:rPr>
          <w:rFonts w:asciiTheme="minorHAnsi" w:hAnsiTheme="minorHAnsi" w:cstheme="minorHAnsi"/>
        </w:rPr>
        <w:t xml:space="preserve">Kompoliti, K. (2015). Cognitive therapies for psychogenic movement disorders. </w:t>
      </w:r>
      <w:r w:rsidRPr="00B12B3B">
        <w:rPr>
          <w:rFonts w:asciiTheme="minorHAnsi" w:hAnsiTheme="minorHAnsi" w:cstheme="minorHAnsi"/>
          <w:i/>
        </w:rPr>
        <w:t>Journal of the Neurological Sciences</w:t>
      </w:r>
      <w:r w:rsidRPr="00B12B3B">
        <w:rPr>
          <w:rFonts w:asciiTheme="minorHAnsi" w:hAnsiTheme="minorHAnsi" w:cstheme="minorHAnsi"/>
        </w:rPr>
        <w:t>, 1, e479.</w:t>
      </w:r>
    </w:p>
    <w:p w14:paraId="0B49EB23"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Kovacs, D., Eszlari, N., Petschner, P., Pap, D., Vas, S., Kovacs, P., Gonda, X., Juhasz, G., Bagdy, G. (2016). Effects of IL1B single nucleotide polymorphisms on depressive and anxiety symptoms are determined by severity and type of life stress. </w:t>
      </w:r>
      <w:r w:rsidRPr="00B12B3B">
        <w:rPr>
          <w:rFonts w:asciiTheme="minorHAnsi" w:hAnsiTheme="minorHAnsi" w:cstheme="minorHAnsi"/>
          <w:i/>
        </w:rPr>
        <w:t>Brain Behav Immun., 56</w:t>
      </w:r>
      <w:r w:rsidRPr="00B12B3B">
        <w:rPr>
          <w:rFonts w:asciiTheme="minorHAnsi" w:hAnsiTheme="minorHAnsi" w:cstheme="minorHAnsi"/>
        </w:rPr>
        <w:t xml:space="preserve">, 96-104. doi:doi: 10.1016/j.bbi.2016.02.012. </w:t>
      </w:r>
    </w:p>
    <w:p w14:paraId="2DCE5D55" w14:textId="08E9C6C2"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Kovacs, D., Eszlari, N., Petschner, P., Pap, D., Vas, S., Kovacs, P., Gonda, X., Bagdy, G.,  Juhasz, G. (2016). Interleukin-6 promoter polymorphism interacts with pain and life stress influencing depression phenotypes. </w:t>
      </w:r>
      <w:r w:rsidRPr="00B12B3B">
        <w:rPr>
          <w:rFonts w:asciiTheme="minorHAnsi" w:hAnsiTheme="minorHAnsi" w:cstheme="minorHAnsi"/>
          <w:i/>
        </w:rPr>
        <w:t>J Neural Transm (Vienna), 123</w:t>
      </w:r>
      <w:r w:rsidRPr="00B12B3B">
        <w:rPr>
          <w:rFonts w:asciiTheme="minorHAnsi" w:hAnsiTheme="minorHAnsi" w:cstheme="minorHAnsi"/>
        </w:rPr>
        <w:t xml:space="preserve">(5), 541-548. </w:t>
      </w:r>
    </w:p>
    <w:p w14:paraId="28EBE411" w14:textId="77777777" w:rsidR="006867CE" w:rsidRPr="00B12B3B" w:rsidRDefault="006867CE" w:rsidP="006867CE">
      <w:pPr>
        <w:pStyle w:val="EndNoteBibliography"/>
        <w:rPr>
          <w:rFonts w:asciiTheme="minorHAnsi" w:hAnsiTheme="minorHAnsi" w:cstheme="minorHAnsi"/>
        </w:rPr>
      </w:pPr>
      <w:r w:rsidRPr="00B12B3B">
        <w:rPr>
          <w:rFonts w:asciiTheme="minorHAnsi" w:hAnsiTheme="minorHAnsi" w:cstheme="minorHAnsi"/>
        </w:rPr>
        <w:t xml:space="preserve">Kozlowska, K., Palmer, D.M., Brown, K.J., McLean, L., Scher, S., Gevirtz, R., et al. (2015) </w:t>
      </w:r>
    </w:p>
    <w:p w14:paraId="19FAE3AB" w14:textId="77777777" w:rsidR="006867CE" w:rsidRPr="00B12B3B" w:rsidRDefault="006867CE" w:rsidP="006867CE">
      <w:pPr>
        <w:pStyle w:val="EndNoteBibliography"/>
        <w:ind w:firstLine="720"/>
        <w:rPr>
          <w:rFonts w:asciiTheme="minorHAnsi" w:hAnsiTheme="minorHAnsi" w:cstheme="minorHAnsi"/>
        </w:rPr>
      </w:pPr>
      <w:r w:rsidRPr="00B12B3B">
        <w:rPr>
          <w:rFonts w:asciiTheme="minorHAnsi" w:hAnsiTheme="minorHAnsi" w:cstheme="minorHAnsi"/>
        </w:rPr>
        <w:t xml:space="preserve">Reduction of autonomic regulation in children and adolescents with conversion </w:t>
      </w:r>
    </w:p>
    <w:p w14:paraId="7BEC399B" w14:textId="7C9923AF" w:rsidR="006867CE" w:rsidRPr="00B12B3B" w:rsidRDefault="006867CE" w:rsidP="006867CE">
      <w:pPr>
        <w:pStyle w:val="EndNoteBibliography"/>
        <w:ind w:firstLine="720"/>
        <w:rPr>
          <w:rFonts w:asciiTheme="minorHAnsi" w:hAnsiTheme="minorHAnsi" w:cstheme="minorHAnsi"/>
        </w:rPr>
      </w:pPr>
      <w:r w:rsidRPr="00B12B3B">
        <w:rPr>
          <w:rFonts w:asciiTheme="minorHAnsi" w:hAnsiTheme="minorHAnsi" w:cstheme="minorHAnsi"/>
        </w:rPr>
        <w:t xml:space="preserve">disorders. </w:t>
      </w:r>
      <w:r w:rsidRPr="00B12B3B">
        <w:rPr>
          <w:rFonts w:asciiTheme="minorHAnsi" w:hAnsiTheme="minorHAnsi" w:cstheme="minorHAnsi"/>
          <w:i/>
          <w:iCs/>
        </w:rPr>
        <w:t>Psychosom Med.</w:t>
      </w:r>
      <w:r w:rsidRPr="00B12B3B">
        <w:rPr>
          <w:rFonts w:asciiTheme="minorHAnsi" w:hAnsiTheme="minorHAnsi" w:cstheme="minorHAnsi"/>
        </w:rPr>
        <w:t xml:space="preserve"> 77(4):356-70.</w:t>
      </w:r>
    </w:p>
    <w:p w14:paraId="454AA0D2" w14:textId="77777777" w:rsidR="001924EA" w:rsidRPr="00B12B3B" w:rsidRDefault="006740C3" w:rsidP="006740C3">
      <w:pPr>
        <w:pStyle w:val="EndNoteBibliography"/>
        <w:rPr>
          <w:rFonts w:asciiTheme="minorHAnsi" w:hAnsiTheme="minorHAnsi" w:cstheme="minorHAnsi"/>
        </w:rPr>
      </w:pPr>
      <w:r w:rsidRPr="00B12B3B">
        <w:rPr>
          <w:rFonts w:asciiTheme="minorHAnsi" w:hAnsiTheme="minorHAnsi" w:cstheme="minorHAnsi"/>
        </w:rPr>
        <w:t>Kozlowska</w:t>
      </w:r>
      <w:r w:rsidR="001924EA" w:rsidRPr="00B12B3B">
        <w:rPr>
          <w:rFonts w:asciiTheme="minorHAnsi" w:hAnsiTheme="minorHAnsi" w:cstheme="minorHAnsi"/>
        </w:rPr>
        <w:t>,</w:t>
      </w:r>
      <w:r w:rsidRPr="00B12B3B">
        <w:rPr>
          <w:rFonts w:asciiTheme="minorHAnsi" w:hAnsiTheme="minorHAnsi" w:cstheme="minorHAnsi"/>
        </w:rPr>
        <w:t xml:space="preserve"> K</w:t>
      </w:r>
      <w:r w:rsidR="001924EA" w:rsidRPr="00B12B3B">
        <w:rPr>
          <w:rFonts w:asciiTheme="minorHAnsi" w:hAnsiTheme="minorHAnsi" w:cstheme="minorHAnsi"/>
        </w:rPr>
        <w:t>.</w:t>
      </w:r>
      <w:r w:rsidRPr="00B12B3B">
        <w:rPr>
          <w:rFonts w:asciiTheme="minorHAnsi" w:hAnsiTheme="minorHAnsi" w:cstheme="minorHAnsi"/>
        </w:rPr>
        <w:t>, Chung</w:t>
      </w:r>
      <w:r w:rsidR="001924EA" w:rsidRPr="00B12B3B">
        <w:rPr>
          <w:rFonts w:asciiTheme="minorHAnsi" w:hAnsiTheme="minorHAnsi" w:cstheme="minorHAnsi"/>
        </w:rPr>
        <w:t>,</w:t>
      </w:r>
      <w:r w:rsidRPr="00B12B3B">
        <w:rPr>
          <w:rFonts w:asciiTheme="minorHAnsi" w:hAnsiTheme="minorHAnsi" w:cstheme="minorHAnsi"/>
        </w:rPr>
        <w:t xml:space="preserve"> J</w:t>
      </w:r>
      <w:r w:rsidR="001924EA" w:rsidRPr="00B12B3B">
        <w:rPr>
          <w:rFonts w:asciiTheme="minorHAnsi" w:hAnsiTheme="minorHAnsi" w:cstheme="minorHAnsi"/>
        </w:rPr>
        <w:t>.</w:t>
      </w:r>
      <w:r w:rsidRPr="00B12B3B">
        <w:rPr>
          <w:rFonts w:asciiTheme="minorHAnsi" w:hAnsiTheme="minorHAnsi" w:cstheme="minorHAnsi"/>
        </w:rPr>
        <w:t>, Cruickshank</w:t>
      </w:r>
      <w:r w:rsidR="001924EA" w:rsidRPr="00B12B3B">
        <w:rPr>
          <w:rFonts w:asciiTheme="minorHAnsi" w:hAnsiTheme="minorHAnsi" w:cstheme="minorHAnsi"/>
        </w:rPr>
        <w:t>,</w:t>
      </w:r>
      <w:r w:rsidRPr="00B12B3B">
        <w:rPr>
          <w:rFonts w:asciiTheme="minorHAnsi" w:hAnsiTheme="minorHAnsi" w:cstheme="minorHAnsi"/>
        </w:rPr>
        <w:t xml:space="preserve"> B</w:t>
      </w:r>
      <w:r w:rsidR="001924EA" w:rsidRPr="00B12B3B">
        <w:rPr>
          <w:rFonts w:asciiTheme="minorHAnsi" w:hAnsiTheme="minorHAnsi" w:cstheme="minorHAnsi"/>
        </w:rPr>
        <w:t>.</w:t>
      </w:r>
      <w:r w:rsidRPr="00B12B3B">
        <w:rPr>
          <w:rFonts w:asciiTheme="minorHAnsi" w:hAnsiTheme="minorHAnsi" w:cstheme="minorHAnsi"/>
        </w:rPr>
        <w:t>, McLean</w:t>
      </w:r>
      <w:r w:rsidR="001924EA" w:rsidRPr="00B12B3B">
        <w:rPr>
          <w:rFonts w:asciiTheme="minorHAnsi" w:hAnsiTheme="minorHAnsi" w:cstheme="minorHAnsi"/>
        </w:rPr>
        <w:t>,</w:t>
      </w:r>
      <w:r w:rsidRPr="00B12B3B">
        <w:rPr>
          <w:rFonts w:asciiTheme="minorHAnsi" w:hAnsiTheme="minorHAnsi" w:cstheme="minorHAnsi"/>
        </w:rPr>
        <w:t xml:space="preserve"> L</w:t>
      </w:r>
      <w:r w:rsidR="001924EA" w:rsidRPr="00B12B3B">
        <w:rPr>
          <w:rFonts w:asciiTheme="minorHAnsi" w:hAnsiTheme="minorHAnsi" w:cstheme="minorHAnsi"/>
        </w:rPr>
        <w:t>.</w:t>
      </w:r>
      <w:r w:rsidRPr="00B12B3B">
        <w:rPr>
          <w:rFonts w:asciiTheme="minorHAnsi" w:hAnsiTheme="minorHAnsi" w:cstheme="minorHAnsi"/>
        </w:rPr>
        <w:t>, Scher</w:t>
      </w:r>
      <w:r w:rsidR="001924EA" w:rsidRPr="00B12B3B">
        <w:rPr>
          <w:rFonts w:asciiTheme="minorHAnsi" w:hAnsiTheme="minorHAnsi" w:cstheme="minorHAnsi"/>
        </w:rPr>
        <w:t>,</w:t>
      </w:r>
      <w:r w:rsidRPr="00B12B3B">
        <w:rPr>
          <w:rFonts w:asciiTheme="minorHAnsi" w:hAnsiTheme="minorHAnsi" w:cstheme="minorHAnsi"/>
        </w:rPr>
        <w:t xml:space="preserve"> S</w:t>
      </w:r>
      <w:r w:rsidR="001924EA" w:rsidRPr="00B12B3B">
        <w:rPr>
          <w:rFonts w:asciiTheme="minorHAnsi" w:hAnsiTheme="minorHAnsi" w:cstheme="minorHAnsi"/>
        </w:rPr>
        <w:t>.</w:t>
      </w:r>
      <w:r w:rsidRPr="00B12B3B">
        <w:rPr>
          <w:rFonts w:asciiTheme="minorHAnsi" w:hAnsiTheme="minorHAnsi" w:cstheme="minorHAnsi"/>
        </w:rPr>
        <w:t>, Dale</w:t>
      </w:r>
      <w:r w:rsidR="001924EA" w:rsidRPr="00B12B3B">
        <w:rPr>
          <w:rFonts w:asciiTheme="minorHAnsi" w:hAnsiTheme="minorHAnsi" w:cstheme="minorHAnsi"/>
        </w:rPr>
        <w:t>,</w:t>
      </w:r>
      <w:r w:rsidRPr="00B12B3B">
        <w:rPr>
          <w:rFonts w:asciiTheme="minorHAnsi" w:hAnsiTheme="minorHAnsi" w:cstheme="minorHAnsi"/>
        </w:rPr>
        <w:t xml:space="preserve"> R</w:t>
      </w:r>
      <w:r w:rsidR="001924EA" w:rsidRPr="00B12B3B">
        <w:rPr>
          <w:rFonts w:asciiTheme="minorHAnsi" w:hAnsiTheme="minorHAnsi" w:cstheme="minorHAnsi"/>
        </w:rPr>
        <w:t>.</w:t>
      </w:r>
      <w:r w:rsidRPr="00B12B3B">
        <w:rPr>
          <w:rFonts w:asciiTheme="minorHAnsi" w:hAnsiTheme="minorHAnsi" w:cstheme="minorHAnsi"/>
        </w:rPr>
        <w:t>C</w:t>
      </w:r>
      <w:r w:rsidR="001924EA" w:rsidRPr="00B12B3B">
        <w:rPr>
          <w:rFonts w:asciiTheme="minorHAnsi" w:hAnsiTheme="minorHAnsi" w:cstheme="minorHAnsi"/>
        </w:rPr>
        <w:t>.</w:t>
      </w:r>
      <w:r w:rsidRPr="00B12B3B">
        <w:rPr>
          <w:rFonts w:asciiTheme="minorHAnsi" w:hAnsiTheme="minorHAnsi" w:cstheme="minorHAnsi"/>
        </w:rPr>
        <w:t xml:space="preserve">, et al. (2019) Blood </w:t>
      </w:r>
    </w:p>
    <w:p w14:paraId="5D992EDA" w14:textId="77777777" w:rsidR="001924EA" w:rsidRPr="00B12B3B" w:rsidRDefault="006740C3" w:rsidP="006740C3">
      <w:pPr>
        <w:pStyle w:val="EndNoteBibliography"/>
        <w:ind w:firstLine="720"/>
        <w:rPr>
          <w:rFonts w:asciiTheme="minorHAnsi" w:hAnsiTheme="minorHAnsi" w:cstheme="minorHAnsi"/>
        </w:rPr>
      </w:pPr>
      <w:r w:rsidRPr="00B12B3B">
        <w:rPr>
          <w:rFonts w:asciiTheme="minorHAnsi" w:hAnsiTheme="minorHAnsi" w:cstheme="minorHAnsi"/>
        </w:rPr>
        <w:t>CRP</w:t>
      </w:r>
      <w:r w:rsidR="001924EA" w:rsidRPr="00B12B3B">
        <w:rPr>
          <w:rFonts w:asciiTheme="minorHAnsi" w:hAnsiTheme="minorHAnsi" w:cstheme="minorHAnsi"/>
        </w:rPr>
        <w:t xml:space="preserve"> </w:t>
      </w:r>
      <w:r w:rsidRPr="00B12B3B">
        <w:rPr>
          <w:rFonts w:asciiTheme="minorHAnsi" w:hAnsiTheme="minorHAnsi" w:cstheme="minorHAnsi"/>
        </w:rPr>
        <w:t xml:space="preserve">levels are elevated in children and adolescents with functional neurological </w:t>
      </w:r>
    </w:p>
    <w:p w14:paraId="0CE094BF" w14:textId="58A748BF" w:rsidR="006740C3" w:rsidRPr="00B12B3B" w:rsidRDefault="006740C3" w:rsidP="006740C3">
      <w:pPr>
        <w:pStyle w:val="EndNoteBibliography"/>
        <w:ind w:firstLine="720"/>
        <w:rPr>
          <w:rFonts w:asciiTheme="minorHAnsi" w:hAnsiTheme="minorHAnsi" w:cstheme="minorHAnsi"/>
        </w:rPr>
      </w:pPr>
      <w:r w:rsidRPr="00B12B3B">
        <w:rPr>
          <w:rFonts w:asciiTheme="minorHAnsi" w:hAnsiTheme="minorHAnsi" w:cstheme="minorHAnsi"/>
        </w:rPr>
        <w:t xml:space="preserve">symptom disorder. </w:t>
      </w:r>
      <w:r w:rsidRPr="00B12B3B">
        <w:rPr>
          <w:rFonts w:asciiTheme="minorHAnsi" w:hAnsiTheme="minorHAnsi" w:cstheme="minorHAnsi"/>
          <w:i/>
          <w:iCs/>
        </w:rPr>
        <w:t>Eur Child Adolesc Psychiatry.</w:t>
      </w:r>
      <w:r w:rsidRPr="00B12B3B">
        <w:rPr>
          <w:rFonts w:asciiTheme="minorHAnsi" w:hAnsiTheme="minorHAnsi" w:cstheme="minorHAnsi"/>
        </w:rPr>
        <w:t xml:space="preserve"> 2019;28(4):491-504.</w:t>
      </w:r>
    </w:p>
    <w:p w14:paraId="60DF4185"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Kroenke, K. (2007). Efficacy of treatment for somatoform disorders: a review of randomized controlled trials. </w:t>
      </w:r>
      <w:r w:rsidRPr="00B12B3B">
        <w:rPr>
          <w:rFonts w:asciiTheme="minorHAnsi" w:hAnsiTheme="minorHAnsi" w:cstheme="minorHAnsi"/>
          <w:i/>
        </w:rPr>
        <w:t>Psychosomatic Medicine, 2007 Dec; Vol. 69 (9), pp. 881-8</w:t>
      </w:r>
      <w:r w:rsidRPr="00B12B3B">
        <w:rPr>
          <w:rFonts w:asciiTheme="minorHAnsi" w:hAnsiTheme="minorHAnsi" w:cstheme="minorHAnsi"/>
        </w:rPr>
        <w:t xml:space="preserve">. </w:t>
      </w:r>
    </w:p>
    <w:p w14:paraId="6FE17BA2"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Kroenke, K., Spitzer, R. L., Williams, J. B. (2001). The PHQ-9: validity of a brief depression severity measure. </w:t>
      </w:r>
      <w:r w:rsidRPr="00B12B3B">
        <w:rPr>
          <w:rFonts w:asciiTheme="minorHAnsi" w:hAnsiTheme="minorHAnsi" w:cstheme="minorHAnsi"/>
          <w:i/>
        </w:rPr>
        <w:t>J. Gen. Intern. Med, 16</w:t>
      </w:r>
      <w:r w:rsidRPr="00B12B3B">
        <w:rPr>
          <w:rFonts w:asciiTheme="minorHAnsi" w:hAnsiTheme="minorHAnsi" w:cstheme="minorHAnsi"/>
        </w:rPr>
        <w:t xml:space="preserve">(9), 606-613. </w:t>
      </w:r>
    </w:p>
    <w:p w14:paraId="3850DA68" w14:textId="429819E9"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Kroenke, K., Spitzer, R. L., Williams, J. B. W., Löwe, B. (2010). The Patient Health Questionnaire somatic, anxiety, and depressive symptom scales: A systematic review. </w:t>
      </w:r>
      <w:r w:rsidRPr="00B12B3B">
        <w:rPr>
          <w:rFonts w:asciiTheme="minorHAnsi" w:hAnsiTheme="minorHAnsi" w:cstheme="minorHAnsi"/>
          <w:i/>
        </w:rPr>
        <w:t>General Hospital Psychiatry, 32</w:t>
      </w:r>
      <w:r w:rsidRPr="00B12B3B">
        <w:rPr>
          <w:rFonts w:asciiTheme="minorHAnsi" w:hAnsiTheme="minorHAnsi" w:cstheme="minorHAnsi"/>
        </w:rPr>
        <w:t xml:space="preserve">, 345-359. </w:t>
      </w:r>
    </w:p>
    <w:p w14:paraId="6026CF5E" w14:textId="6FDD9DCB" w:rsidR="00222223" w:rsidRPr="00B12B3B" w:rsidRDefault="00222223" w:rsidP="00571F5A">
      <w:pPr>
        <w:pStyle w:val="EndNoteBibliography"/>
        <w:ind w:left="720" w:hanging="720"/>
        <w:rPr>
          <w:rFonts w:asciiTheme="minorHAnsi" w:hAnsiTheme="minorHAnsi" w:cstheme="minorHAnsi"/>
        </w:rPr>
      </w:pPr>
      <w:r w:rsidRPr="00B12B3B">
        <w:rPr>
          <w:rFonts w:ascii="Source Sans Pro" w:hAnsi="Source Sans Pro"/>
          <w:sz w:val="23"/>
          <w:szCs w:val="23"/>
          <w:shd w:val="clear" w:color="auto" w:fill="FFFFFF"/>
        </w:rPr>
        <w:t>Kumarswamy, R. Volkmann, I., Beermann, J., Napp, L.C., Jabs, O, Bhayadia, R., Melk, A., Ucar, A., Chowdhury, K., Lorenzen, J.M., Gupta, S.K., Batkai, S., Thum, T. (2014) Vascular importance of the miR-212/132 cluster, </w:t>
      </w:r>
      <w:r w:rsidRPr="00B12B3B">
        <w:rPr>
          <w:rStyle w:val="Nadruk"/>
          <w:rFonts w:ascii="Source Sans Pro" w:hAnsi="Source Sans Pro"/>
          <w:sz w:val="23"/>
          <w:szCs w:val="23"/>
          <w:bdr w:val="none" w:sz="0" w:space="0" w:color="auto" w:frame="1"/>
          <w:shd w:val="clear" w:color="auto" w:fill="FFFFFF"/>
        </w:rPr>
        <w:t>European Heart Journal</w:t>
      </w:r>
      <w:r w:rsidRPr="00B12B3B">
        <w:rPr>
          <w:rFonts w:ascii="Source Sans Pro" w:hAnsi="Source Sans Pro"/>
          <w:sz w:val="23"/>
          <w:szCs w:val="23"/>
          <w:shd w:val="clear" w:color="auto" w:fill="FFFFFF"/>
        </w:rPr>
        <w:t>, Volume 35, Issue 45, 1 December 2014, Pages 3224–3231</w:t>
      </w:r>
      <w:r w:rsidRPr="00B12B3B">
        <w:rPr>
          <w:rFonts w:ascii="Source Sans Pro" w:hAnsi="Source Sans Pro"/>
          <w:color w:val="2A2A2A"/>
          <w:sz w:val="23"/>
          <w:szCs w:val="23"/>
          <w:shd w:val="clear" w:color="auto" w:fill="FFFFFF"/>
        </w:rPr>
        <w:t>, </w:t>
      </w:r>
      <w:hyperlink r:id="rId13" w:history="1">
        <w:r w:rsidRPr="00B12B3B">
          <w:rPr>
            <w:rStyle w:val="Hyperlink"/>
            <w:rFonts w:ascii="Source Sans Pro" w:hAnsi="Source Sans Pro"/>
            <w:color w:val="006FB7"/>
            <w:sz w:val="23"/>
            <w:szCs w:val="23"/>
            <w:bdr w:val="none" w:sz="0" w:space="0" w:color="auto" w:frame="1"/>
            <w:shd w:val="clear" w:color="auto" w:fill="FFFFFF"/>
          </w:rPr>
          <w:t>https://doi.org/10.1093/eurheartj/ehu344</w:t>
        </w:r>
      </w:hyperlink>
    </w:p>
    <w:p w14:paraId="10D798A2" w14:textId="295B3032"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Kut, C., MacGaghann, F., Popel, A.S.  (2007). Where is VEGF in the body? A meta-analysis of VEGF distribution in cancer. </w:t>
      </w:r>
      <w:r w:rsidRPr="00B12B3B">
        <w:rPr>
          <w:rFonts w:asciiTheme="minorHAnsi" w:hAnsiTheme="minorHAnsi" w:cstheme="minorHAnsi"/>
          <w:i/>
        </w:rPr>
        <w:t>Br J Cancer., 97</w:t>
      </w:r>
      <w:r w:rsidRPr="00B12B3B">
        <w:rPr>
          <w:rFonts w:asciiTheme="minorHAnsi" w:hAnsiTheme="minorHAnsi" w:cstheme="minorHAnsi"/>
        </w:rPr>
        <w:t>(7), 978-985. doi:doi:10.1038/sj.bjc.6603923</w:t>
      </w:r>
    </w:p>
    <w:p w14:paraId="2A54A756" w14:textId="1D31B956" w:rsidR="00FE0F2A" w:rsidRPr="00B12B3B" w:rsidRDefault="00FE0F2A" w:rsidP="00571F5A">
      <w:pPr>
        <w:pStyle w:val="EndNoteBibliography"/>
        <w:ind w:left="720" w:hanging="720"/>
        <w:rPr>
          <w:rFonts w:asciiTheme="minorHAnsi" w:hAnsiTheme="minorHAnsi" w:cstheme="minorHAnsi"/>
        </w:rPr>
      </w:pPr>
      <w:r w:rsidRPr="00B12B3B">
        <w:rPr>
          <w:rFonts w:asciiTheme="minorHAnsi" w:hAnsiTheme="minorHAnsi" w:cstheme="minorHAnsi"/>
          <w:color w:val="222222"/>
          <w:shd w:val="clear" w:color="auto" w:fill="FFFFFF"/>
        </w:rPr>
        <w:t>Lagos, D., Pollara, G., Henderson, S. </w:t>
      </w:r>
      <w:r w:rsidRPr="00B12B3B">
        <w:rPr>
          <w:rFonts w:asciiTheme="minorHAnsi" w:hAnsiTheme="minorHAnsi" w:cstheme="minorHAnsi"/>
          <w:i/>
          <w:iCs/>
          <w:color w:val="222222"/>
          <w:shd w:val="clear" w:color="auto" w:fill="FFFFFF"/>
        </w:rPr>
        <w:t>et al.</w:t>
      </w:r>
      <w:r w:rsidRPr="00B12B3B">
        <w:rPr>
          <w:rFonts w:asciiTheme="minorHAnsi" w:hAnsiTheme="minorHAnsi" w:cstheme="minorHAnsi"/>
          <w:color w:val="222222"/>
          <w:shd w:val="clear" w:color="auto" w:fill="FFFFFF"/>
        </w:rPr>
        <w:t> (2010) miR-132 regulates antiviral innate immunity through suppression of the p300 transcriptional co-activator. </w:t>
      </w:r>
      <w:r w:rsidRPr="00B12B3B">
        <w:rPr>
          <w:rFonts w:asciiTheme="minorHAnsi" w:hAnsiTheme="minorHAnsi" w:cstheme="minorHAnsi"/>
          <w:i/>
          <w:iCs/>
          <w:color w:val="222222"/>
          <w:shd w:val="clear" w:color="auto" w:fill="FFFFFF"/>
        </w:rPr>
        <w:t>Nat Cell Biol</w:t>
      </w:r>
      <w:r w:rsidRPr="00B12B3B">
        <w:rPr>
          <w:rFonts w:asciiTheme="minorHAnsi" w:hAnsiTheme="minorHAnsi" w:cstheme="minorHAnsi"/>
          <w:color w:val="222222"/>
          <w:shd w:val="clear" w:color="auto" w:fill="FFFFFF"/>
        </w:rPr>
        <w:t> </w:t>
      </w:r>
      <w:r w:rsidRPr="00B12B3B">
        <w:rPr>
          <w:rFonts w:asciiTheme="minorHAnsi" w:hAnsiTheme="minorHAnsi" w:cstheme="minorHAnsi"/>
          <w:b/>
          <w:bCs/>
          <w:color w:val="222222"/>
          <w:shd w:val="clear" w:color="auto" w:fill="FFFFFF"/>
        </w:rPr>
        <w:t>12, </w:t>
      </w:r>
      <w:r w:rsidRPr="00B12B3B">
        <w:rPr>
          <w:rFonts w:asciiTheme="minorHAnsi" w:hAnsiTheme="minorHAnsi" w:cstheme="minorHAnsi"/>
          <w:color w:val="222222"/>
          <w:shd w:val="clear" w:color="auto" w:fill="FFFFFF"/>
        </w:rPr>
        <w:t>513–519. https://doi.org/10.1038/ncb2054</w:t>
      </w:r>
    </w:p>
    <w:p w14:paraId="3A0731F4" w14:textId="3F7A8619"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lastRenderedPageBreak/>
        <w:t xml:space="preserve">Li, P., He, Q., Luo, C., Qian, L. (2015). Diagnostic and prognostic potential of serum angiopoietin-2 expression in human breast cancer. </w:t>
      </w:r>
      <w:r w:rsidRPr="00B12B3B">
        <w:rPr>
          <w:rFonts w:asciiTheme="minorHAnsi" w:hAnsiTheme="minorHAnsi" w:cstheme="minorHAnsi"/>
          <w:i/>
        </w:rPr>
        <w:t>Int J Clin Exp Pathol., 8</w:t>
      </w:r>
      <w:r w:rsidRPr="00B12B3B">
        <w:rPr>
          <w:rFonts w:asciiTheme="minorHAnsi" w:hAnsiTheme="minorHAnsi" w:cstheme="minorHAnsi"/>
        </w:rPr>
        <w:t xml:space="preserve">(1), 660-664. </w:t>
      </w:r>
    </w:p>
    <w:p w14:paraId="5A7746B2" w14:textId="062184EC" w:rsidR="00EF35D3" w:rsidRPr="00B12B3B" w:rsidRDefault="00EF35D3" w:rsidP="00571F5A">
      <w:pPr>
        <w:pStyle w:val="EndNoteBibliography"/>
        <w:ind w:left="720" w:hanging="720"/>
        <w:rPr>
          <w:rFonts w:asciiTheme="minorHAnsi" w:hAnsiTheme="minorHAnsi" w:cstheme="minorHAnsi"/>
          <w:color w:val="212121"/>
          <w:shd w:val="clear" w:color="auto" w:fill="FFFFFF"/>
        </w:rPr>
      </w:pPr>
      <w:r w:rsidRPr="00B12B3B">
        <w:rPr>
          <w:rFonts w:asciiTheme="minorHAnsi" w:hAnsiTheme="minorHAnsi" w:cstheme="minorHAnsi"/>
          <w:color w:val="212121"/>
          <w:shd w:val="clear" w:color="auto" w:fill="FFFFFF"/>
        </w:rPr>
        <w:t xml:space="preserve">Lin, E., Tsai, S.J. (2020) Gene-Environment Interactions and Role of Epigenetics in Anxiety Disorders. </w:t>
      </w:r>
      <w:r w:rsidRPr="00B12B3B">
        <w:rPr>
          <w:rFonts w:asciiTheme="minorHAnsi" w:hAnsiTheme="minorHAnsi" w:cstheme="minorHAnsi"/>
          <w:i/>
          <w:iCs/>
          <w:color w:val="212121"/>
          <w:shd w:val="clear" w:color="auto" w:fill="FFFFFF"/>
        </w:rPr>
        <w:t>Adv Exp Med Biol.</w:t>
      </w:r>
      <w:r w:rsidRPr="00B12B3B">
        <w:rPr>
          <w:rFonts w:asciiTheme="minorHAnsi" w:hAnsiTheme="minorHAnsi" w:cstheme="minorHAnsi"/>
          <w:color w:val="212121"/>
          <w:shd w:val="clear" w:color="auto" w:fill="FFFFFF"/>
        </w:rPr>
        <w:t xml:space="preserve"> 1191:93-102. doi: 10.1007/978-981-32-9705-0_6. PMID: 32002924.</w:t>
      </w:r>
    </w:p>
    <w:p w14:paraId="4EF4FE3E" w14:textId="5F17A556" w:rsidR="0078500B" w:rsidRPr="00B12B3B" w:rsidRDefault="0078500B" w:rsidP="00571F5A">
      <w:pPr>
        <w:pStyle w:val="EndNoteBibliography"/>
        <w:ind w:left="720" w:hanging="720"/>
        <w:rPr>
          <w:rFonts w:asciiTheme="minorHAnsi" w:hAnsiTheme="minorHAnsi" w:cstheme="minorHAnsi"/>
        </w:rPr>
      </w:pPr>
      <w:r w:rsidRPr="00B12B3B">
        <w:rPr>
          <w:rFonts w:asciiTheme="minorHAnsi" w:hAnsiTheme="minorHAnsi" w:cstheme="minorHAnsi"/>
          <w:color w:val="202020"/>
          <w:shd w:val="clear" w:color="auto" w:fill="FFFFFF"/>
        </w:rPr>
        <w:t xml:space="preserve">Liu L-Z, Li C, Chen Q, Jing Y, Carpenter R, Jiang Y, et al. (2011) MiR-21 Induced Angiogenesis through AKT and ERK Activation and HIF-1α Expression. </w:t>
      </w:r>
      <w:r w:rsidRPr="00B12B3B">
        <w:rPr>
          <w:rFonts w:asciiTheme="minorHAnsi" w:hAnsiTheme="minorHAnsi" w:cstheme="minorHAnsi"/>
          <w:i/>
          <w:iCs/>
          <w:color w:val="202020"/>
          <w:shd w:val="clear" w:color="auto" w:fill="FFFFFF"/>
        </w:rPr>
        <w:t>PLoS ONE</w:t>
      </w:r>
      <w:r w:rsidRPr="00B12B3B">
        <w:rPr>
          <w:rFonts w:asciiTheme="minorHAnsi" w:hAnsiTheme="minorHAnsi" w:cstheme="minorHAnsi"/>
          <w:color w:val="202020"/>
          <w:shd w:val="clear" w:color="auto" w:fill="FFFFFF"/>
        </w:rPr>
        <w:t xml:space="preserve"> 6(4): e19139. https://doi.org/10.1371/journal.pone.0019139.</w:t>
      </w:r>
    </w:p>
    <w:p w14:paraId="411432D6"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Lowe, B., Decker, O., Muller, S., Brahler, E., Schellberg, D., Herzog, W., Herzberg, P. Y. (2008). Validation and standardization of the Generalized Anxiety Disorder Screener (GAD-7) in the general population. </w:t>
      </w:r>
      <w:r w:rsidRPr="00B12B3B">
        <w:rPr>
          <w:rFonts w:asciiTheme="minorHAnsi" w:hAnsiTheme="minorHAnsi" w:cstheme="minorHAnsi"/>
          <w:i/>
        </w:rPr>
        <w:t>Med Care, 46</w:t>
      </w:r>
      <w:r w:rsidRPr="00B12B3B">
        <w:rPr>
          <w:rFonts w:asciiTheme="minorHAnsi" w:hAnsiTheme="minorHAnsi" w:cstheme="minorHAnsi"/>
        </w:rPr>
        <w:t xml:space="preserve">(3), 266-274. </w:t>
      </w:r>
    </w:p>
    <w:p w14:paraId="3EEF0360" w14:textId="677511E8"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Ludwig, L., Pasman, J., Nicholson, T., Aybek, S., David, A.S., Tuck, S., Kanaan, R.A., Roelofs, K., Carson, A., Stone, J. (2018). Stressful life events and maltreatment in conversion (functional neurological) disorder: systematic review and meta-analysis of case-control studies. </w:t>
      </w:r>
      <w:r w:rsidRPr="00B12B3B">
        <w:rPr>
          <w:rFonts w:asciiTheme="minorHAnsi" w:hAnsiTheme="minorHAnsi" w:cstheme="minorHAnsi"/>
          <w:i/>
        </w:rPr>
        <w:t>Lancet Psychiatry., 5</w:t>
      </w:r>
      <w:r w:rsidRPr="00B12B3B">
        <w:rPr>
          <w:rFonts w:asciiTheme="minorHAnsi" w:hAnsiTheme="minorHAnsi" w:cstheme="minorHAnsi"/>
        </w:rPr>
        <w:t xml:space="preserve">(4), 307-320. </w:t>
      </w:r>
    </w:p>
    <w:p w14:paraId="113CDF0E" w14:textId="4BE052DA" w:rsidR="00096484" w:rsidRPr="00B12B3B" w:rsidRDefault="00096484" w:rsidP="00571F5A">
      <w:pPr>
        <w:pStyle w:val="EndNoteBibliography"/>
        <w:ind w:left="720" w:hanging="720"/>
        <w:rPr>
          <w:rFonts w:asciiTheme="minorHAnsi" w:hAnsiTheme="minorHAnsi" w:cstheme="minorHAnsi"/>
        </w:rPr>
      </w:pPr>
      <w:r w:rsidRPr="00B12B3B">
        <w:rPr>
          <w:rFonts w:asciiTheme="minorHAnsi" w:hAnsiTheme="minorHAnsi" w:cstheme="minorHAnsi"/>
          <w:color w:val="222222"/>
          <w:shd w:val="clear" w:color="auto" w:fill="FFFFFF"/>
        </w:rPr>
        <w:t>Luo, M., Tan, X., Mu, L. </w:t>
      </w:r>
      <w:r w:rsidRPr="00B12B3B">
        <w:rPr>
          <w:rFonts w:asciiTheme="minorHAnsi" w:hAnsiTheme="minorHAnsi" w:cstheme="minorHAnsi"/>
          <w:i/>
          <w:iCs/>
          <w:color w:val="222222"/>
          <w:shd w:val="clear" w:color="auto" w:fill="FFFFFF"/>
        </w:rPr>
        <w:t>et al.</w:t>
      </w:r>
      <w:r w:rsidRPr="00B12B3B">
        <w:rPr>
          <w:rFonts w:asciiTheme="minorHAnsi" w:hAnsiTheme="minorHAnsi" w:cstheme="minorHAnsi"/>
          <w:color w:val="222222"/>
          <w:shd w:val="clear" w:color="auto" w:fill="FFFFFF"/>
        </w:rPr>
        <w:t> (2017) MiRNA-21 mediates the antiangiogenic activity of metformin through targeting PTEN and SMAD7 expression and PI3K/AKT pathway. </w:t>
      </w:r>
      <w:r w:rsidRPr="00B12B3B">
        <w:rPr>
          <w:rFonts w:asciiTheme="minorHAnsi" w:hAnsiTheme="minorHAnsi" w:cstheme="minorHAnsi"/>
          <w:i/>
          <w:iCs/>
          <w:color w:val="222222"/>
          <w:shd w:val="clear" w:color="auto" w:fill="FFFFFF"/>
        </w:rPr>
        <w:t>Sci Rep</w:t>
      </w:r>
      <w:r w:rsidRPr="00B12B3B">
        <w:rPr>
          <w:rFonts w:asciiTheme="minorHAnsi" w:hAnsiTheme="minorHAnsi" w:cstheme="minorHAnsi"/>
          <w:color w:val="222222"/>
          <w:shd w:val="clear" w:color="auto" w:fill="FFFFFF"/>
        </w:rPr>
        <w:t> </w:t>
      </w:r>
      <w:r w:rsidRPr="00B12B3B">
        <w:rPr>
          <w:rFonts w:asciiTheme="minorHAnsi" w:hAnsiTheme="minorHAnsi" w:cstheme="minorHAnsi"/>
          <w:b/>
          <w:bCs/>
          <w:color w:val="222222"/>
          <w:shd w:val="clear" w:color="auto" w:fill="FFFFFF"/>
        </w:rPr>
        <w:t>7, </w:t>
      </w:r>
      <w:r w:rsidRPr="00B12B3B">
        <w:rPr>
          <w:rFonts w:asciiTheme="minorHAnsi" w:hAnsiTheme="minorHAnsi" w:cstheme="minorHAnsi"/>
          <w:color w:val="222222"/>
          <w:shd w:val="clear" w:color="auto" w:fill="FFFFFF"/>
        </w:rPr>
        <w:t>43427. https://doi.org/10.1038/srep43427</w:t>
      </w:r>
    </w:p>
    <w:p w14:paraId="72614639"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Mace, C. J., Trimble, M. R. (1996). Ten-Year Prognosis of Conversion Disorder. </w:t>
      </w:r>
      <w:r w:rsidRPr="00B12B3B">
        <w:rPr>
          <w:rFonts w:asciiTheme="minorHAnsi" w:hAnsiTheme="minorHAnsi" w:cstheme="minorHAnsi"/>
          <w:i/>
        </w:rPr>
        <w:t>British Journal of Psychiatry, 169</w:t>
      </w:r>
      <w:r w:rsidRPr="00B12B3B">
        <w:rPr>
          <w:rFonts w:asciiTheme="minorHAnsi" w:hAnsiTheme="minorHAnsi" w:cstheme="minorHAnsi"/>
        </w:rPr>
        <w:t xml:space="preserve">, 282-288. </w:t>
      </w:r>
    </w:p>
    <w:p w14:paraId="18CFFC6F" w14:textId="0D2F4D32"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Mackenzie, F., Ruhrberg, C. (2012.). </w:t>
      </w:r>
      <w:r w:rsidRPr="00B12B3B">
        <w:rPr>
          <w:rFonts w:asciiTheme="minorHAnsi" w:hAnsiTheme="minorHAnsi" w:cstheme="minorHAnsi"/>
          <w:i/>
        </w:rPr>
        <w:t>Diverse roles for VEGF-A in the nervous system</w:t>
      </w:r>
      <w:r w:rsidRPr="00B12B3B">
        <w:rPr>
          <w:rFonts w:asciiTheme="minorHAnsi" w:hAnsiTheme="minorHAnsi" w:cstheme="minorHAnsi"/>
        </w:rPr>
        <w:t xml:space="preserve"> (Vol. 139 (2012)): Published by The Company of Biologists Ltd.</w:t>
      </w:r>
    </w:p>
    <w:p w14:paraId="6AB12C10" w14:textId="3011F227" w:rsidR="002057D6" w:rsidRPr="00B12B3B" w:rsidRDefault="002057D6" w:rsidP="00571F5A">
      <w:pPr>
        <w:pStyle w:val="EndNoteBibliography"/>
        <w:ind w:left="720" w:hanging="720"/>
        <w:rPr>
          <w:rFonts w:asciiTheme="minorHAnsi" w:hAnsiTheme="minorHAnsi" w:cstheme="minorHAnsi"/>
        </w:rPr>
      </w:pPr>
      <w:r w:rsidRPr="00B12B3B">
        <w:rPr>
          <w:rFonts w:asciiTheme="minorHAnsi" w:hAnsiTheme="minorHAnsi" w:cstheme="minorHAnsi"/>
        </w:rPr>
        <w:t>Maurer, C.W., LaFaver, K., Ameli, R., Toledo, R., Hallett, M. (2015) A biological measure of stress levels in patients with functional movement disorders. Parkinsonism &amp; related disorders. 21(9):1072-5.</w:t>
      </w:r>
    </w:p>
    <w:p w14:paraId="7E13EE62" w14:textId="62FBD32C" w:rsidR="00571F5A" w:rsidRPr="00B12B3B" w:rsidRDefault="00571F5A" w:rsidP="00571F5A">
      <w:pPr>
        <w:pStyle w:val="EndNoteBibliography"/>
        <w:ind w:left="720" w:hanging="720"/>
        <w:rPr>
          <w:rStyle w:val="Hyperlink"/>
          <w:rFonts w:asciiTheme="minorHAnsi" w:hAnsiTheme="minorHAnsi" w:cstheme="minorHAnsi"/>
        </w:rPr>
      </w:pPr>
      <w:r w:rsidRPr="00B12B3B">
        <w:rPr>
          <w:rFonts w:asciiTheme="minorHAnsi" w:hAnsiTheme="minorHAnsi" w:cstheme="minorHAnsi"/>
        </w:rPr>
        <w:t>Meyer, J.S., Novak, M. (2012). Minireview: Hair Cortisol: A Novel Biomarker of Hypothalamic-Pituitary-Adrenocortical Activity.</w:t>
      </w:r>
      <w:r w:rsidRPr="00B12B3B">
        <w:rPr>
          <w:rFonts w:asciiTheme="minorHAnsi" w:hAnsiTheme="minorHAnsi" w:cstheme="minorHAnsi"/>
          <w:i/>
        </w:rPr>
        <w:t xml:space="preserve"> Endocrinology, 153</w:t>
      </w:r>
      <w:r w:rsidRPr="00B12B3B">
        <w:rPr>
          <w:rFonts w:asciiTheme="minorHAnsi" w:hAnsiTheme="minorHAnsi" w:cstheme="minorHAnsi"/>
        </w:rPr>
        <w:t>(9 ), 4120–4127. doi:</w:t>
      </w:r>
      <w:hyperlink r:id="rId14" w:history="1">
        <w:r w:rsidRPr="00B12B3B">
          <w:rPr>
            <w:rStyle w:val="Hyperlink"/>
            <w:rFonts w:asciiTheme="minorHAnsi" w:hAnsiTheme="minorHAnsi" w:cstheme="minorHAnsi"/>
          </w:rPr>
          <w:t>https://doi.org/10.1210/en.2012-1226</w:t>
        </w:r>
      </w:hyperlink>
    </w:p>
    <w:p w14:paraId="71E11AD8" w14:textId="196FFED9" w:rsidR="008054BD" w:rsidRPr="00B12B3B" w:rsidRDefault="008054BD" w:rsidP="00571F5A">
      <w:pPr>
        <w:pStyle w:val="EndNoteBibliography"/>
        <w:ind w:left="720" w:hanging="720"/>
        <w:rPr>
          <w:rFonts w:asciiTheme="minorHAnsi" w:hAnsiTheme="minorHAnsi" w:cstheme="minorHAnsi"/>
        </w:rPr>
      </w:pPr>
      <w:r w:rsidRPr="00B12B3B">
        <w:rPr>
          <w:rFonts w:asciiTheme="minorHAnsi" w:hAnsiTheme="minorHAnsi" w:cstheme="minorHAnsi"/>
          <w:shd w:val="clear" w:color="auto" w:fill="FFFFFF"/>
        </w:rPr>
        <w:t xml:space="preserve">Mi, S., Zhang, J., Zhang, W., Huang, R.S. (2013) Circulating microRNAs as biomarkers for inflammatory diseases. </w:t>
      </w:r>
      <w:r w:rsidRPr="00B12B3B">
        <w:rPr>
          <w:rFonts w:asciiTheme="minorHAnsi" w:hAnsiTheme="minorHAnsi" w:cstheme="minorHAnsi"/>
          <w:i/>
          <w:iCs/>
          <w:shd w:val="clear" w:color="auto" w:fill="FFFFFF"/>
        </w:rPr>
        <w:t>Microrna.</w:t>
      </w:r>
      <w:r w:rsidR="000B6FA5" w:rsidRPr="00B12B3B">
        <w:rPr>
          <w:rFonts w:asciiTheme="minorHAnsi" w:hAnsiTheme="minorHAnsi" w:cstheme="minorHAnsi"/>
          <w:i/>
          <w:iCs/>
          <w:shd w:val="clear" w:color="auto" w:fill="FFFFFF"/>
        </w:rPr>
        <w:t xml:space="preserve"> </w:t>
      </w:r>
      <w:r w:rsidRPr="00B12B3B">
        <w:rPr>
          <w:rFonts w:asciiTheme="minorHAnsi" w:hAnsiTheme="minorHAnsi" w:cstheme="minorHAnsi"/>
          <w:shd w:val="clear" w:color="auto" w:fill="FFFFFF"/>
        </w:rPr>
        <w:t xml:space="preserve">2(1):63-71. doi: 10.2174/2211536611302010007. </w:t>
      </w:r>
    </w:p>
    <w:p w14:paraId="5DAD316B"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Money, K.M., Olah, Z., Korade, Z., Garbett, K.A., Shelton, R.C., Mirnics, K. (2016). An altered peripheral IL6 response in major depressive disorder. </w:t>
      </w:r>
      <w:r w:rsidRPr="00B12B3B">
        <w:rPr>
          <w:rFonts w:asciiTheme="minorHAnsi" w:hAnsiTheme="minorHAnsi" w:cstheme="minorHAnsi"/>
          <w:i/>
        </w:rPr>
        <w:t>Neurobiology of Disease., 89</w:t>
      </w:r>
      <w:r w:rsidRPr="00B12B3B">
        <w:rPr>
          <w:rFonts w:asciiTheme="minorHAnsi" w:hAnsiTheme="minorHAnsi" w:cstheme="minorHAnsi"/>
        </w:rPr>
        <w:t xml:space="preserve">, 46-54. </w:t>
      </w:r>
    </w:p>
    <w:p w14:paraId="584DAD9C"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Nataraj, C., Oliverio, M., Mannon, R.B., Mannon, P.J., Audoly, L.P., Amuchastegui, C.S., Smithies, O., Coffman, T.M. (1999;). Angiotensin II regulates cellular immune responses through a calcineurin-dependent pathway.</w:t>
      </w:r>
      <w:r w:rsidRPr="00B12B3B">
        <w:rPr>
          <w:rFonts w:asciiTheme="minorHAnsi" w:hAnsiTheme="minorHAnsi" w:cstheme="minorHAnsi"/>
          <w:i/>
        </w:rPr>
        <w:t xml:space="preserve"> J Clin Invest., 104</w:t>
      </w:r>
      <w:r w:rsidRPr="00B12B3B">
        <w:rPr>
          <w:rFonts w:asciiTheme="minorHAnsi" w:hAnsiTheme="minorHAnsi" w:cstheme="minorHAnsi"/>
        </w:rPr>
        <w:t>(12), 1693-1701. doi:doi:10.1172/JCI7451</w:t>
      </w:r>
    </w:p>
    <w:p w14:paraId="370A2E69"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NICE. (2020). Technology appraisal guidance EQ-5D-5L. 2019. Retrieved from </w:t>
      </w:r>
      <w:hyperlink r:id="rId15" w:history="1">
        <w:r w:rsidRPr="00B12B3B">
          <w:rPr>
            <w:rStyle w:val="Hyperlink"/>
            <w:rFonts w:asciiTheme="minorHAnsi" w:hAnsiTheme="minorHAnsi" w:cstheme="minorHAnsi"/>
          </w:rPr>
          <w:t>https://www.nice.org.uk/about/what-we-do/our-programmes/nice-guidance/technology-appraisal-guidance/eq-5d-5l</w:t>
        </w:r>
      </w:hyperlink>
      <w:r w:rsidRPr="00B12B3B">
        <w:rPr>
          <w:rFonts w:asciiTheme="minorHAnsi" w:hAnsiTheme="minorHAnsi" w:cstheme="minorHAnsi"/>
        </w:rPr>
        <w:t xml:space="preserve"> Accessed at Nov. 6</w:t>
      </w:r>
      <w:r w:rsidRPr="00B12B3B">
        <w:rPr>
          <w:rFonts w:asciiTheme="minorHAnsi" w:hAnsiTheme="minorHAnsi" w:cstheme="minorHAnsi"/>
          <w:vertAlign w:val="superscript"/>
        </w:rPr>
        <w:t>th</w:t>
      </w:r>
      <w:r w:rsidRPr="00B12B3B">
        <w:rPr>
          <w:rFonts w:asciiTheme="minorHAnsi" w:hAnsiTheme="minorHAnsi" w:cstheme="minorHAnsi"/>
        </w:rPr>
        <w:t xml:space="preserve"> 2020</w:t>
      </w:r>
    </w:p>
    <w:p w14:paraId="1CA34BD6" w14:textId="1E23CCAB"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Nightscales, R., McCartney, L., Auvrez, C., Tao, G., Barnard, S., Malpas, C.B., Perucca, P., McIntosh, A.M., Chen, Z., Sivathamboo, S., Ignatiadis, S., Jones, S., Adams, S., Cook, M.J., Kwan, P., Velakoulis, D., D’Souza, W., Berkovic, S.F., O’Brien, T.J. (2020). Mortality in patients with psychogenic nonepileptic seizures. </w:t>
      </w:r>
      <w:r w:rsidRPr="00B12B3B">
        <w:rPr>
          <w:rFonts w:asciiTheme="minorHAnsi" w:hAnsiTheme="minorHAnsi" w:cstheme="minorHAnsi"/>
          <w:i/>
        </w:rPr>
        <w:t>Neurology, 95</w:t>
      </w:r>
      <w:r w:rsidRPr="00B12B3B">
        <w:rPr>
          <w:rFonts w:asciiTheme="minorHAnsi" w:hAnsiTheme="minorHAnsi" w:cstheme="minorHAnsi"/>
        </w:rPr>
        <w:t>, 1-e10. doi:oi:10.1212/WNL.0000000000009855</w:t>
      </w:r>
    </w:p>
    <w:p w14:paraId="07E3AD9B" w14:textId="77777777" w:rsidR="003F32E8" w:rsidRPr="00B12B3B" w:rsidRDefault="003F32E8" w:rsidP="003F32E8">
      <w:pPr>
        <w:pStyle w:val="EndNoteBibliography"/>
        <w:rPr>
          <w:rFonts w:asciiTheme="minorHAnsi" w:hAnsiTheme="minorHAnsi" w:cstheme="minorHAnsi"/>
        </w:rPr>
      </w:pPr>
      <w:r w:rsidRPr="00B12B3B">
        <w:rPr>
          <w:rFonts w:asciiTheme="minorHAnsi" w:hAnsiTheme="minorHAnsi" w:cstheme="minorHAnsi"/>
        </w:rPr>
        <w:t>Pongratz, G., Straub, R.H. (2014) The sympathetic nervous response in inflammation.</w:t>
      </w:r>
    </w:p>
    <w:p w14:paraId="5E6F7B36" w14:textId="5E92EAFA" w:rsidR="003F32E8" w:rsidRPr="00B12B3B" w:rsidRDefault="003F32E8" w:rsidP="003F32E8">
      <w:pPr>
        <w:pStyle w:val="EndNoteBibliography"/>
        <w:ind w:firstLine="720"/>
        <w:rPr>
          <w:rFonts w:asciiTheme="minorHAnsi" w:hAnsiTheme="minorHAnsi" w:cstheme="minorHAnsi"/>
        </w:rPr>
      </w:pPr>
      <w:r w:rsidRPr="00B12B3B">
        <w:rPr>
          <w:rFonts w:asciiTheme="minorHAnsi" w:hAnsiTheme="minorHAnsi" w:cstheme="minorHAnsi"/>
          <w:i/>
          <w:iCs/>
        </w:rPr>
        <w:lastRenderedPageBreak/>
        <w:t>Arthritis Res Ther.</w:t>
      </w:r>
      <w:r w:rsidRPr="00B12B3B">
        <w:rPr>
          <w:rFonts w:asciiTheme="minorHAnsi" w:hAnsiTheme="minorHAnsi" w:cstheme="minorHAnsi"/>
        </w:rPr>
        <w:t xml:space="preserve"> 16(6):504.</w:t>
      </w:r>
    </w:p>
    <w:p w14:paraId="3FA1147A"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Powers, A., Drew Dixon, H., Conneely, K., Gluck, R., Munoz, A., Rochat, C., Mendoza, H., Hartzell, G., Ressler, K.J., Bradley, B., Pace, T.W.W., Umpierrez, G.E., Schwartz, A.C., Michopoulos, V., Gillespie, C.F. (2019). The differential effects of PTSD, MDD, and dissociation on CRP in trauma-exposed women. </w:t>
      </w:r>
      <w:r w:rsidRPr="00B12B3B">
        <w:rPr>
          <w:rFonts w:asciiTheme="minorHAnsi" w:hAnsiTheme="minorHAnsi" w:cstheme="minorHAnsi"/>
          <w:i/>
        </w:rPr>
        <w:t>Compr Psychiatry., 93</w:t>
      </w:r>
      <w:r w:rsidRPr="00B12B3B">
        <w:rPr>
          <w:rFonts w:asciiTheme="minorHAnsi" w:hAnsiTheme="minorHAnsi" w:cstheme="minorHAnsi"/>
        </w:rPr>
        <w:t xml:space="preserve">, 33-40. doi:doi: 10.1016/j.comppsych.2019.06.007. </w:t>
      </w:r>
    </w:p>
    <w:p w14:paraId="62D5F71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Purba. F.D., Hunfeld, J., Iskandarsyah, A., Fitriana, T.S., Sadarjoen, S.S., Passchier. J., Busschbach, J.J.V. (2018). Quality of life of the Indonesian general population: Test-retest reliability and population norms of the EQ-5D-5L and WHOQOL-BREF. </w:t>
      </w:r>
      <w:r w:rsidRPr="00B12B3B">
        <w:rPr>
          <w:rFonts w:asciiTheme="minorHAnsi" w:hAnsiTheme="minorHAnsi" w:cstheme="minorHAnsi"/>
          <w:i/>
        </w:rPr>
        <w:t>PLoS One, 13</w:t>
      </w:r>
      <w:r w:rsidRPr="00B12B3B">
        <w:rPr>
          <w:rFonts w:asciiTheme="minorHAnsi" w:hAnsiTheme="minorHAnsi" w:cstheme="minorHAnsi"/>
        </w:rPr>
        <w:t>(5), e0197098. doi:</w:t>
      </w:r>
      <w:hyperlink r:id="rId16" w:history="1">
        <w:r w:rsidRPr="00B12B3B">
          <w:rPr>
            <w:rStyle w:val="Hyperlink"/>
            <w:rFonts w:asciiTheme="minorHAnsi" w:hAnsiTheme="minorHAnsi" w:cstheme="minorHAnsi"/>
          </w:rPr>
          <w:t>https://doi.org/10.1371/journal.pone.0197098</w:t>
        </w:r>
      </w:hyperlink>
    </w:p>
    <w:p w14:paraId="45760CB2"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Rahe, R.H., Arthur, R. (1978). Life changes and illness studies: past history and future directions. </w:t>
      </w:r>
      <w:r w:rsidRPr="00B12B3B">
        <w:rPr>
          <w:rFonts w:asciiTheme="minorHAnsi" w:hAnsiTheme="minorHAnsi" w:cstheme="minorHAnsi"/>
          <w:i/>
        </w:rPr>
        <w:t>Journal of Human Stress, 4</w:t>
      </w:r>
      <w:r w:rsidRPr="00B12B3B">
        <w:rPr>
          <w:rFonts w:asciiTheme="minorHAnsi" w:hAnsiTheme="minorHAnsi" w:cstheme="minorHAnsi"/>
        </w:rPr>
        <w:t xml:space="preserve">(1), 3-15. </w:t>
      </w:r>
    </w:p>
    <w:p w14:paraId="5CD1D77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Rahe, R.H., Mahan Jr, J.L., Arthur, R.J. (1970). Predicton of near-future health changes from subjects' preceding life changes. </w:t>
      </w:r>
      <w:r w:rsidRPr="00B12B3B">
        <w:rPr>
          <w:rFonts w:asciiTheme="minorHAnsi" w:hAnsiTheme="minorHAnsi" w:cstheme="minorHAnsi"/>
          <w:i/>
        </w:rPr>
        <w:t>Journal of Psychosomatic Research, 14</w:t>
      </w:r>
      <w:r w:rsidRPr="00B12B3B">
        <w:rPr>
          <w:rFonts w:asciiTheme="minorHAnsi" w:hAnsiTheme="minorHAnsi" w:cstheme="minorHAnsi"/>
        </w:rPr>
        <w:t xml:space="preserve">(4), 401-406. </w:t>
      </w:r>
    </w:p>
    <w:p w14:paraId="7944B38B"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Ratcliff, J., Van der Feltz-Cornelis, C. (2020). Conversion Disorder/Functional Neurological Disorder – a narrative review on current research into its pathological mechanism. </w:t>
      </w:r>
      <w:r w:rsidRPr="00B12B3B">
        <w:rPr>
          <w:rFonts w:asciiTheme="minorHAnsi" w:hAnsiTheme="minorHAnsi" w:cstheme="minorHAnsi"/>
          <w:i/>
        </w:rPr>
        <w:t>Eur J Psychiatry</w:t>
      </w:r>
      <w:r w:rsidRPr="00B12B3B">
        <w:rPr>
          <w:rFonts w:asciiTheme="minorHAnsi" w:hAnsiTheme="minorHAnsi" w:cstheme="minorHAnsi"/>
        </w:rPr>
        <w:t>. doi:</w:t>
      </w:r>
      <w:hyperlink r:id="rId17" w:history="1">
        <w:r w:rsidRPr="00B12B3B">
          <w:rPr>
            <w:rStyle w:val="Hyperlink"/>
            <w:rFonts w:asciiTheme="minorHAnsi" w:hAnsiTheme="minorHAnsi" w:cstheme="minorHAnsi"/>
          </w:rPr>
          <w:t>https://doi.org/10.1016/j.ejpsy.2020.03.004</w:t>
        </w:r>
      </w:hyperlink>
    </w:p>
    <w:p w14:paraId="5BA8D33B"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Ridker, P.M., Cushman, M., Stampfer, M.J, Tracy, R.P., Hennekens, C.H. (1998). Plasma concentration of C Reactive Protein and risk of developing peripheral vascular Disease.</w:t>
      </w:r>
      <w:r w:rsidRPr="00B12B3B">
        <w:rPr>
          <w:rFonts w:asciiTheme="minorHAnsi" w:hAnsiTheme="minorHAnsi" w:cstheme="minorHAnsi"/>
          <w:i/>
        </w:rPr>
        <w:t xml:space="preserve"> Circulation 97</w:t>
      </w:r>
      <w:r w:rsidRPr="00B12B3B">
        <w:rPr>
          <w:rFonts w:asciiTheme="minorHAnsi" w:hAnsiTheme="minorHAnsi" w:cstheme="minorHAnsi"/>
        </w:rPr>
        <w:t xml:space="preserve">, 425-428. </w:t>
      </w:r>
    </w:p>
    <w:p w14:paraId="76BC6276"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Reitan RM., (1992). </w:t>
      </w:r>
      <w:r w:rsidRPr="00B12B3B">
        <w:rPr>
          <w:rFonts w:asciiTheme="minorHAnsi" w:hAnsiTheme="minorHAnsi" w:cstheme="minorHAnsi"/>
          <w:i/>
        </w:rPr>
        <w:t>Trail making test: Manual for administration and scoring.</w:t>
      </w:r>
      <w:r w:rsidRPr="00B12B3B">
        <w:rPr>
          <w:rFonts w:asciiTheme="minorHAnsi" w:hAnsiTheme="minorHAnsi" w:cstheme="minorHAnsi"/>
        </w:rPr>
        <w:t xml:space="preserve"> Tucson, AZ.: Reitan.</w:t>
      </w:r>
    </w:p>
    <w:p w14:paraId="341A3584"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Ruddy, R., House, A.. (2005). Psychosocial interventions for conversion disorder. Review. </w:t>
      </w:r>
      <w:r w:rsidRPr="00B12B3B">
        <w:rPr>
          <w:rFonts w:asciiTheme="minorHAnsi" w:hAnsiTheme="minorHAnsi" w:cstheme="minorHAnsi"/>
          <w:i/>
        </w:rPr>
        <w:t>Cochrane Database Syst Rev., 4</w:t>
      </w:r>
      <w:r w:rsidRPr="00B12B3B">
        <w:rPr>
          <w:rFonts w:asciiTheme="minorHAnsi" w:hAnsiTheme="minorHAnsi" w:cstheme="minorHAnsi"/>
        </w:rPr>
        <w:t xml:space="preserve">, CD005331. </w:t>
      </w:r>
    </w:p>
    <w:p w14:paraId="6C83CB1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Schmand, B., Linderboom, J., Launer, L., Dinkgreve, M., Hooijer, C., Jonker, C. (1995). What is a significant score change on the Mini-Mental State Examination? </w:t>
      </w:r>
      <w:r w:rsidRPr="00B12B3B">
        <w:rPr>
          <w:rFonts w:asciiTheme="minorHAnsi" w:hAnsiTheme="minorHAnsi" w:cstheme="minorHAnsi"/>
          <w:i/>
        </w:rPr>
        <w:t>International Journal of Geriatric Psychiatry, 10</w:t>
      </w:r>
      <w:r w:rsidRPr="00B12B3B">
        <w:rPr>
          <w:rFonts w:asciiTheme="minorHAnsi" w:hAnsiTheme="minorHAnsi" w:cstheme="minorHAnsi"/>
        </w:rPr>
        <w:t xml:space="preserve">(5), 411-414. </w:t>
      </w:r>
    </w:p>
    <w:p w14:paraId="1714004A"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Schreier, H.M.C., Kuras, Y., McInnis, C.M., Thoma, M.V., St Pierre, D.G., Hanlin, L., Chen, X., Wang, D., Goldblatt, D., Rohleder, N. (2020 ). Childhood Physical Neglect Is Associated With Exaggerated Systemic and Intracellular Inflammatory Responses to Repeated Psychosocial Stress in Adulthood. </w:t>
      </w:r>
      <w:r w:rsidRPr="00B12B3B">
        <w:rPr>
          <w:rFonts w:asciiTheme="minorHAnsi" w:hAnsiTheme="minorHAnsi" w:cstheme="minorHAnsi"/>
          <w:i/>
        </w:rPr>
        <w:t>Front Psychiatry., 11</w:t>
      </w:r>
      <w:r w:rsidRPr="00B12B3B">
        <w:rPr>
          <w:rFonts w:asciiTheme="minorHAnsi" w:hAnsiTheme="minorHAnsi" w:cstheme="minorHAnsi"/>
        </w:rPr>
        <w:t xml:space="preserve">. doi:doi: 10.3389/fpsyt.2020.00504. </w:t>
      </w:r>
    </w:p>
    <w:p w14:paraId="755BC7F5" w14:textId="77777777" w:rsidR="00571F5A" w:rsidRPr="00B12B3B" w:rsidRDefault="00571F5A" w:rsidP="00571F5A">
      <w:pPr>
        <w:autoSpaceDE w:val="0"/>
        <w:autoSpaceDN w:val="0"/>
        <w:adjustRightInd w:val="0"/>
        <w:rPr>
          <w:rFonts w:asciiTheme="minorHAnsi" w:eastAsiaTheme="minorHAnsi" w:hAnsiTheme="minorHAnsi" w:cstheme="minorHAnsi"/>
          <w:lang w:val="nl-NL"/>
        </w:rPr>
      </w:pPr>
      <w:r w:rsidRPr="00B12B3B">
        <w:rPr>
          <w:rFonts w:asciiTheme="minorHAnsi" w:eastAsiaTheme="minorHAnsi" w:hAnsiTheme="minorHAnsi" w:cstheme="minorHAnsi"/>
          <w:lang w:val="nl-NL"/>
        </w:rPr>
        <w:t xml:space="preserve">Seo, H.S. The role and </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lini</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al signifi</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an</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 xml:space="preserve">e of high-sensitivity </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-rea</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 xml:space="preserve">tive </w:t>
      </w:r>
      <w:r w:rsidRPr="00B12B3B">
        <w:rPr>
          <w:rFonts w:asciiTheme="minorHAnsi" w:eastAsiaTheme="minorHAnsi" w:hAnsiTheme="minorHAnsi" w:cstheme="minorHAnsi"/>
          <w:color w:val="000000"/>
          <w:lang w:val="nl-NL"/>
        </w:rPr>
        <w:t>protein</w:t>
      </w:r>
      <w:r w:rsidRPr="00B12B3B">
        <w:rPr>
          <w:rFonts w:asciiTheme="minorHAnsi" w:eastAsiaTheme="minorHAnsi" w:hAnsiTheme="minorHAnsi" w:cstheme="minorHAnsi"/>
          <w:lang w:val="nl-NL"/>
        </w:rPr>
        <w:t xml:space="preserve"> in </w:t>
      </w:r>
    </w:p>
    <w:p w14:paraId="5D13013B" w14:textId="77777777" w:rsidR="00571F5A" w:rsidRPr="00B12B3B" w:rsidRDefault="00571F5A" w:rsidP="00571F5A">
      <w:pPr>
        <w:autoSpaceDE w:val="0"/>
        <w:autoSpaceDN w:val="0"/>
        <w:adjustRightInd w:val="0"/>
        <w:ind w:left="720"/>
        <w:rPr>
          <w:rFonts w:asciiTheme="minorHAnsi" w:eastAsiaTheme="minorHAnsi" w:hAnsiTheme="minorHAnsi" w:cstheme="minorHAnsi"/>
          <w:lang w:val="nl-NL"/>
        </w:rPr>
      </w:pP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ardiovas</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 xml:space="preserve">ular disease. Korean </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ir</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 xml:space="preserve"> J. 2012;42:3:151-153. Doi:10.4070/k</w:t>
      </w:r>
      <w:r w:rsidRPr="00B12B3B">
        <w:rPr>
          <w:rFonts w:asciiTheme="minorHAnsi" w:eastAsiaTheme="minorHAnsi" w:hAnsiTheme="minorHAnsi" w:cstheme="minorHAnsi"/>
          <w:color w:val="000000"/>
          <w:lang w:val="nl-NL"/>
        </w:rPr>
        <w:t>c</w:t>
      </w:r>
      <w:r w:rsidRPr="00B12B3B">
        <w:rPr>
          <w:rFonts w:asciiTheme="minorHAnsi" w:eastAsiaTheme="minorHAnsi" w:hAnsiTheme="minorHAnsi" w:cstheme="minorHAnsi"/>
          <w:lang w:val="nl-NL"/>
        </w:rPr>
        <w:t>j.2012.42.3.151</w:t>
      </w:r>
    </w:p>
    <w:p w14:paraId="3D231EC2" w14:textId="7530AF70"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Shallice, T. (1982). Specific impairments of planning. </w:t>
      </w:r>
      <w:r w:rsidRPr="00B12B3B">
        <w:rPr>
          <w:rFonts w:asciiTheme="minorHAnsi" w:hAnsiTheme="minorHAnsi" w:cstheme="minorHAnsi"/>
          <w:i/>
        </w:rPr>
        <w:t>Philosophical Transactions of the Royal Society of London., 298</w:t>
      </w:r>
      <w:r w:rsidRPr="00B12B3B">
        <w:rPr>
          <w:rFonts w:asciiTheme="minorHAnsi" w:hAnsiTheme="minorHAnsi" w:cstheme="minorHAnsi"/>
        </w:rPr>
        <w:t xml:space="preserve">, 199-209. </w:t>
      </w:r>
    </w:p>
    <w:p w14:paraId="67C7457C" w14:textId="773D7C0A" w:rsidR="00EB511B" w:rsidRPr="00B12B3B" w:rsidRDefault="00EB511B" w:rsidP="00571F5A">
      <w:pPr>
        <w:pStyle w:val="EndNoteBibliography"/>
        <w:ind w:left="720" w:hanging="720"/>
        <w:rPr>
          <w:rFonts w:asciiTheme="minorHAnsi" w:hAnsiTheme="minorHAnsi" w:cstheme="minorHAnsi"/>
        </w:rPr>
      </w:pPr>
      <w:r w:rsidRPr="00B12B3B">
        <w:rPr>
          <w:rFonts w:asciiTheme="minorHAnsi" w:hAnsiTheme="minorHAnsi" w:cstheme="minorHAnsi"/>
          <w:color w:val="222222"/>
          <w:shd w:val="clear" w:color="auto" w:fill="FFFFFF"/>
        </w:rPr>
        <w:t>Sheedy, F., Palsson-McDermott, E., Hennessy, E. </w:t>
      </w:r>
      <w:r w:rsidRPr="00B12B3B">
        <w:rPr>
          <w:rFonts w:asciiTheme="minorHAnsi" w:hAnsiTheme="minorHAnsi" w:cstheme="minorHAnsi"/>
          <w:i/>
          <w:iCs/>
          <w:color w:val="222222"/>
          <w:shd w:val="clear" w:color="auto" w:fill="FFFFFF"/>
        </w:rPr>
        <w:t>et al.</w:t>
      </w:r>
      <w:r w:rsidRPr="00B12B3B">
        <w:rPr>
          <w:rFonts w:asciiTheme="minorHAnsi" w:hAnsiTheme="minorHAnsi" w:cstheme="minorHAnsi"/>
          <w:color w:val="222222"/>
          <w:shd w:val="clear" w:color="auto" w:fill="FFFFFF"/>
        </w:rPr>
        <w:t> (2010) Negative regulation of TLR4 via targeting of the proinflammatory tumor suppressor PDCD4 by the microRNA miR-21. </w:t>
      </w:r>
      <w:r w:rsidRPr="00B12B3B">
        <w:rPr>
          <w:rFonts w:asciiTheme="minorHAnsi" w:hAnsiTheme="minorHAnsi" w:cstheme="minorHAnsi"/>
          <w:i/>
          <w:iCs/>
          <w:color w:val="222222"/>
          <w:shd w:val="clear" w:color="auto" w:fill="FFFFFF"/>
        </w:rPr>
        <w:t>Nat Immunol</w:t>
      </w:r>
      <w:r w:rsidRPr="00B12B3B">
        <w:rPr>
          <w:rFonts w:asciiTheme="minorHAnsi" w:hAnsiTheme="minorHAnsi" w:cstheme="minorHAnsi"/>
          <w:color w:val="222222"/>
          <w:shd w:val="clear" w:color="auto" w:fill="FFFFFF"/>
        </w:rPr>
        <w:t> </w:t>
      </w:r>
      <w:r w:rsidRPr="00B12B3B">
        <w:rPr>
          <w:rFonts w:asciiTheme="minorHAnsi" w:hAnsiTheme="minorHAnsi" w:cstheme="minorHAnsi"/>
          <w:b/>
          <w:bCs/>
          <w:color w:val="222222"/>
          <w:shd w:val="clear" w:color="auto" w:fill="FFFFFF"/>
        </w:rPr>
        <w:t>11, </w:t>
      </w:r>
      <w:r w:rsidRPr="00B12B3B">
        <w:rPr>
          <w:rFonts w:asciiTheme="minorHAnsi" w:hAnsiTheme="minorHAnsi" w:cstheme="minorHAnsi"/>
          <w:color w:val="222222"/>
          <w:shd w:val="clear" w:color="auto" w:fill="FFFFFF"/>
        </w:rPr>
        <w:t>141–147. https://doi.org/10.1038/ni.1828</w:t>
      </w:r>
    </w:p>
    <w:p w14:paraId="2E2F6E27" w14:textId="2AB1C218" w:rsidR="00683437" w:rsidRPr="00B12B3B" w:rsidRDefault="00683437" w:rsidP="00571F5A">
      <w:pPr>
        <w:pStyle w:val="EndNoteBibliography"/>
        <w:ind w:left="720" w:hanging="720"/>
        <w:rPr>
          <w:rFonts w:asciiTheme="minorHAnsi" w:hAnsiTheme="minorHAnsi" w:cstheme="minorHAnsi"/>
        </w:rPr>
      </w:pPr>
      <w:r w:rsidRPr="00B12B3B">
        <w:rPr>
          <w:rFonts w:asciiTheme="minorHAnsi" w:hAnsiTheme="minorHAnsi" w:cstheme="minorHAnsi"/>
          <w:shd w:val="clear" w:color="auto" w:fill="FFFFFF"/>
        </w:rPr>
        <w:t>Sheinerman, K.S., Toledo, J.B., Tsivinsky, V.G. </w:t>
      </w:r>
      <w:r w:rsidRPr="00B12B3B">
        <w:rPr>
          <w:rFonts w:asciiTheme="minorHAnsi" w:hAnsiTheme="minorHAnsi" w:cstheme="minorHAnsi"/>
          <w:i/>
          <w:iCs/>
          <w:shd w:val="clear" w:color="auto" w:fill="FFFFFF"/>
        </w:rPr>
        <w:t>et al.</w:t>
      </w:r>
      <w:r w:rsidRPr="00B12B3B">
        <w:rPr>
          <w:rFonts w:asciiTheme="minorHAnsi" w:hAnsiTheme="minorHAnsi" w:cstheme="minorHAnsi"/>
          <w:shd w:val="clear" w:color="auto" w:fill="FFFFFF"/>
        </w:rPr>
        <w:t> (2017) Circulating brain-enriched microRNAs as novel biomarkers for detection and differentiation of neuro-degenerative diseases. </w:t>
      </w:r>
      <w:r w:rsidRPr="00B12B3B">
        <w:rPr>
          <w:rFonts w:asciiTheme="minorHAnsi" w:hAnsiTheme="minorHAnsi" w:cstheme="minorHAnsi"/>
          <w:i/>
          <w:iCs/>
          <w:shd w:val="clear" w:color="auto" w:fill="FFFFFF"/>
        </w:rPr>
        <w:t>Alz Res Therapy</w:t>
      </w:r>
      <w:r w:rsidRPr="00B12B3B">
        <w:rPr>
          <w:rFonts w:asciiTheme="minorHAnsi" w:hAnsiTheme="minorHAnsi" w:cstheme="minorHAnsi"/>
          <w:shd w:val="clear" w:color="auto" w:fill="FFFFFF"/>
        </w:rPr>
        <w:t> </w:t>
      </w:r>
      <w:r w:rsidRPr="00B12B3B">
        <w:rPr>
          <w:rFonts w:asciiTheme="minorHAnsi" w:hAnsiTheme="minorHAnsi" w:cstheme="minorHAnsi"/>
          <w:b/>
          <w:bCs/>
          <w:shd w:val="clear" w:color="auto" w:fill="FFFFFF"/>
        </w:rPr>
        <w:t>9, </w:t>
      </w:r>
      <w:r w:rsidRPr="00B12B3B">
        <w:rPr>
          <w:rFonts w:asciiTheme="minorHAnsi" w:hAnsiTheme="minorHAnsi" w:cstheme="minorHAnsi"/>
          <w:shd w:val="clear" w:color="auto" w:fill="FFFFFF"/>
        </w:rPr>
        <w:t>89. https://doi.org/10.1186/s13195-017-0316-0</w:t>
      </w:r>
    </w:p>
    <w:p w14:paraId="08B128CA" w14:textId="20824718" w:rsidR="007607CF" w:rsidRPr="00B12B3B" w:rsidRDefault="007607CF" w:rsidP="00571F5A">
      <w:pPr>
        <w:pStyle w:val="EndNoteBibliography"/>
        <w:ind w:left="720" w:hanging="720"/>
        <w:rPr>
          <w:rFonts w:asciiTheme="minorHAnsi" w:hAnsiTheme="minorHAnsi" w:cstheme="minorHAnsi"/>
          <w:shd w:val="clear" w:color="auto" w:fill="FFFFFF"/>
        </w:rPr>
      </w:pPr>
      <w:r w:rsidRPr="00B12B3B">
        <w:rPr>
          <w:rFonts w:asciiTheme="minorHAnsi" w:hAnsiTheme="minorHAnsi" w:cstheme="minorHAnsi"/>
          <w:shd w:val="clear" w:color="auto" w:fill="FFFFFF"/>
        </w:rPr>
        <w:t>Slota, J. A., &amp; Booth, S. A. (2019). MicroRNAs in Neuroinflammation: Implications in Disease Pathogenesis, Biomarker Discovery and Therapeutic Applications. </w:t>
      </w:r>
      <w:r w:rsidRPr="00B12B3B">
        <w:rPr>
          <w:rFonts w:asciiTheme="minorHAnsi" w:hAnsiTheme="minorHAnsi" w:cstheme="minorHAnsi"/>
          <w:i/>
          <w:iCs/>
          <w:shd w:val="clear" w:color="auto" w:fill="FFFFFF"/>
        </w:rPr>
        <w:t>Non-coding RNA</w:t>
      </w:r>
      <w:r w:rsidRPr="00B12B3B">
        <w:rPr>
          <w:rFonts w:asciiTheme="minorHAnsi" w:hAnsiTheme="minorHAnsi" w:cstheme="minorHAnsi"/>
          <w:shd w:val="clear" w:color="auto" w:fill="FFFFFF"/>
        </w:rPr>
        <w:t>, </w:t>
      </w:r>
      <w:r w:rsidRPr="00B12B3B">
        <w:rPr>
          <w:rFonts w:asciiTheme="minorHAnsi" w:hAnsiTheme="minorHAnsi" w:cstheme="minorHAnsi"/>
          <w:i/>
          <w:iCs/>
          <w:shd w:val="clear" w:color="auto" w:fill="FFFFFF"/>
        </w:rPr>
        <w:t>5</w:t>
      </w:r>
      <w:r w:rsidRPr="00B12B3B">
        <w:rPr>
          <w:rFonts w:asciiTheme="minorHAnsi" w:hAnsiTheme="minorHAnsi" w:cstheme="minorHAnsi"/>
          <w:shd w:val="clear" w:color="auto" w:fill="FFFFFF"/>
        </w:rPr>
        <w:t xml:space="preserve">(2), 35. </w:t>
      </w:r>
      <w:hyperlink r:id="rId18" w:history="1">
        <w:r w:rsidR="006531CA" w:rsidRPr="00B12B3B">
          <w:rPr>
            <w:rStyle w:val="Hyperlink"/>
            <w:rFonts w:asciiTheme="minorHAnsi" w:hAnsiTheme="minorHAnsi" w:cstheme="minorHAnsi"/>
            <w:shd w:val="clear" w:color="auto" w:fill="FFFFFF"/>
          </w:rPr>
          <w:t>https://doi.org/10.3390/ncrna5020035</w:t>
        </w:r>
      </w:hyperlink>
    </w:p>
    <w:p w14:paraId="4E62D6FF" w14:textId="6B1C1E2A" w:rsidR="006531CA" w:rsidRPr="00B12B3B" w:rsidRDefault="006531CA" w:rsidP="00571F5A">
      <w:pPr>
        <w:pStyle w:val="EndNoteBibliography"/>
        <w:ind w:left="720" w:hanging="720"/>
        <w:rPr>
          <w:rFonts w:asciiTheme="minorHAnsi" w:hAnsiTheme="minorHAnsi" w:cstheme="minorHAnsi"/>
        </w:rPr>
      </w:pPr>
      <w:r w:rsidRPr="00B12B3B">
        <w:rPr>
          <w:rFonts w:asciiTheme="minorHAnsi" w:hAnsiTheme="minorHAnsi" w:cstheme="minorHAnsi"/>
          <w:shd w:val="clear" w:color="auto" w:fill="FCFCFC"/>
        </w:rPr>
        <w:lastRenderedPageBreak/>
        <w:t>Singh, A., Patro, P.S. &amp; Aggarwal, A. (2019) MicroRNA-132, miR-146a, and miR-155 as potential biomarkers of methotrexate response in patients with rheumatoid arthritis. </w:t>
      </w:r>
      <w:r w:rsidRPr="00B12B3B">
        <w:rPr>
          <w:rFonts w:asciiTheme="minorHAnsi" w:hAnsiTheme="minorHAnsi" w:cstheme="minorHAnsi"/>
          <w:i/>
          <w:iCs/>
          <w:shd w:val="clear" w:color="auto" w:fill="FCFCFC"/>
        </w:rPr>
        <w:t>Clin Rheumatol</w:t>
      </w:r>
      <w:r w:rsidRPr="00B12B3B">
        <w:rPr>
          <w:rFonts w:asciiTheme="minorHAnsi" w:hAnsiTheme="minorHAnsi" w:cstheme="minorHAnsi"/>
          <w:shd w:val="clear" w:color="auto" w:fill="FCFCFC"/>
        </w:rPr>
        <w:t> </w:t>
      </w:r>
      <w:r w:rsidRPr="00B12B3B">
        <w:rPr>
          <w:rFonts w:asciiTheme="minorHAnsi" w:hAnsiTheme="minorHAnsi" w:cstheme="minorHAnsi"/>
          <w:b/>
          <w:bCs/>
          <w:shd w:val="clear" w:color="auto" w:fill="FCFCFC"/>
        </w:rPr>
        <w:t>38, </w:t>
      </w:r>
      <w:r w:rsidRPr="00B12B3B">
        <w:rPr>
          <w:rFonts w:asciiTheme="minorHAnsi" w:hAnsiTheme="minorHAnsi" w:cstheme="minorHAnsi"/>
          <w:shd w:val="clear" w:color="auto" w:fill="FCFCFC"/>
        </w:rPr>
        <w:t>877–884. https://doi.org/10.1007/s10067-018-4380-z</w:t>
      </w:r>
    </w:p>
    <w:p w14:paraId="075FC8A7"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Staufenbiel, S.M.,  Penninx, B.W.J.H., Spijker, A.T., Elzinga, B.M., van Rossum, E.F. (2013). Hair cortisol, stress exposure, and mental health in humans: a systematic review. </w:t>
      </w:r>
      <w:r w:rsidRPr="00B12B3B">
        <w:rPr>
          <w:rFonts w:asciiTheme="minorHAnsi" w:hAnsiTheme="minorHAnsi" w:cstheme="minorHAnsi"/>
          <w:i/>
        </w:rPr>
        <w:t>Psychoneuroendocrinology, 38</w:t>
      </w:r>
      <w:r w:rsidRPr="00B12B3B">
        <w:rPr>
          <w:rFonts w:asciiTheme="minorHAnsi" w:hAnsiTheme="minorHAnsi" w:cstheme="minorHAnsi"/>
        </w:rPr>
        <w:t xml:space="preserve">(8). </w:t>
      </w:r>
    </w:p>
    <w:p w14:paraId="00A16FC9"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Stewart, A. L., Greenfield, S., Hays, R.D., Wells, K., Rogers, W.H., Berry, S.D., McGlynn, E.A, Ware Jr, J. E., (1989). Functional status and well-being of patients with chronic conditions. Results from the Medical Outcomes Study. </w:t>
      </w:r>
      <w:r w:rsidRPr="00B12B3B">
        <w:rPr>
          <w:rFonts w:asciiTheme="minorHAnsi" w:hAnsiTheme="minorHAnsi" w:cstheme="minorHAnsi"/>
          <w:i/>
        </w:rPr>
        <w:t>Jama, 262</w:t>
      </w:r>
      <w:r w:rsidRPr="00B12B3B">
        <w:rPr>
          <w:rFonts w:asciiTheme="minorHAnsi" w:hAnsiTheme="minorHAnsi" w:cstheme="minorHAnsi"/>
        </w:rPr>
        <w:t xml:space="preserve">(7), 907-913. </w:t>
      </w:r>
    </w:p>
    <w:p w14:paraId="4C4A1F93"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Stroop, J.R. (1938). Factors affecting speed in serial verbal reactions. </w:t>
      </w:r>
      <w:r w:rsidRPr="00B12B3B">
        <w:rPr>
          <w:rFonts w:asciiTheme="minorHAnsi" w:hAnsiTheme="minorHAnsi" w:cstheme="minorHAnsi"/>
          <w:i/>
        </w:rPr>
        <w:t>Psychological monographs., 50</w:t>
      </w:r>
      <w:r w:rsidRPr="00B12B3B">
        <w:rPr>
          <w:rFonts w:asciiTheme="minorHAnsi" w:hAnsiTheme="minorHAnsi" w:cstheme="minorHAnsi"/>
        </w:rPr>
        <w:t xml:space="preserve">(5), 38. </w:t>
      </w:r>
    </w:p>
    <w:p w14:paraId="52AA3507"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Sugaya, N., Izawa, S., Ogawa, N., Shirotsuki, K., Nomura, S. (2020). Association between hair cortisol and diurnal basal cortisol levels: A 30-day validation study. </w:t>
      </w:r>
      <w:r w:rsidRPr="00B12B3B">
        <w:rPr>
          <w:rFonts w:asciiTheme="minorHAnsi" w:hAnsiTheme="minorHAnsi" w:cstheme="minorHAnsi"/>
          <w:i/>
        </w:rPr>
        <w:t>Psychoneuroendocrinology, 116</w:t>
      </w:r>
      <w:r w:rsidRPr="00B12B3B">
        <w:rPr>
          <w:rFonts w:asciiTheme="minorHAnsi" w:hAnsiTheme="minorHAnsi" w:cstheme="minorHAnsi"/>
        </w:rPr>
        <w:t>. doi:</w:t>
      </w:r>
      <w:hyperlink r:id="rId19" w:history="1">
        <w:r w:rsidRPr="00B12B3B">
          <w:rPr>
            <w:rStyle w:val="Hyperlink"/>
            <w:rFonts w:asciiTheme="minorHAnsi" w:hAnsiTheme="minorHAnsi" w:cstheme="minorHAnsi"/>
          </w:rPr>
          <w:t>https://doi.org/10.1016/j.psyneuen.2020.104650</w:t>
        </w:r>
      </w:hyperlink>
    </w:p>
    <w:p w14:paraId="66C11EB0" w14:textId="32C863E1"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Tahamtan, A., Teymoori-Rad, M., Nakstad, B., Salimi, V. (2018). Anti-Inflammatory MicroRNAs and Their Potential for Inflammatory Diseases Treatment. </w:t>
      </w:r>
      <w:r w:rsidRPr="00B12B3B">
        <w:rPr>
          <w:rFonts w:asciiTheme="minorHAnsi" w:hAnsiTheme="minorHAnsi" w:cstheme="minorHAnsi"/>
          <w:i/>
        </w:rPr>
        <w:t>Front Immunol., 9</w:t>
      </w:r>
      <w:r w:rsidRPr="00B12B3B">
        <w:rPr>
          <w:rFonts w:asciiTheme="minorHAnsi" w:hAnsiTheme="minorHAnsi" w:cstheme="minorHAnsi"/>
        </w:rPr>
        <w:t>, 1377. doi:doi:10.3389/fimmu.2018.01377</w:t>
      </w:r>
    </w:p>
    <w:p w14:paraId="2D7F7072" w14:textId="6420EFBD" w:rsidR="006740C3" w:rsidRPr="00B12B3B" w:rsidRDefault="006740C3" w:rsidP="006740C3">
      <w:pPr>
        <w:pStyle w:val="EndNoteBibliography"/>
        <w:rPr>
          <w:rFonts w:asciiTheme="minorHAnsi" w:hAnsiTheme="minorHAnsi" w:cstheme="minorHAnsi"/>
        </w:rPr>
      </w:pPr>
      <w:r w:rsidRPr="00B12B3B">
        <w:rPr>
          <w:rFonts w:asciiTheme="minorHAnsi" w:hAnsiTheme="minorHAnsi" w:cstheme="minorHAnsi"/>
        </w:rPr>
        <w:t xml:space="preserve">Tak, L.M., Bakker, S.J.L., Slaets, J.P.J., Rosmalen, J.G.M.. Is high-sensitive C-reactive protein a </w:t>
      </w:r>
    </w:p>
    <w:p w14:paraId="41863C72" w14:textId="77777777" w:rsidR="006740C3" w:rsidRPr="00B12B3B" w:rsidRDefault="006740C3" w:rsidP="006740C3">
      <w:pPr>
        <w:pStyle w:val="EndNoteBibliography"/>
        <w:ind w:firstLine="720"/>
        <w:rPr>
          <w:rFonts w:asciiTheme="minorHAnsi" w:hAnsiTheme="minorHAnsi" w:cstheme="minorHAnsi"/>
          <w:i/>
          <w:iCs/>
        </w:rPr>
      </w:pPr>
      <w:r w:rsidRPr="00B12B3B">
        <w:rPr>
          <w:rFonts w:asciiTheme="minorHAnsi" w:hAnsiTheme="minorHAnsi" w:cstheme="minorHAnsi"/>
        </w:rPr>
        <w:t xml:space="preserve">biomarker for functional somatic symptoms? A population-based study. </w:t>
      </w:r>
      <w:r w:rsidRPr="00B12B3B">
        <w:rPr>
          <w:rFonts w:asciiTheme="minorHAnsi" w:hAnsiTheme="minorHAnsi" w:cstheme="minorHAnsi"/>
          <w:i/>
          <w:iCs/>
        </w:rPr>
        <w:t xml:space="preserve">Brain, </w:t>
      </w:r>
    </w:p>
    <w:p w14:paraId="0E2C338A" w14:textId="0D0986D4" w:rsidR="006740C3" w:rsidRPr="00B12B3B" w:rsidRDefault="006740C3" w:rsidP="006740C3">
      <w:pPr>
        <w:pStyle w:val="EndNoteBibliography"/>
        <w:ind w:firstLine="720"/>
        <w:rPr>
          <w:rFonts w:asciiTheme="minorHAnsi" w:hAnsiTheme="minorHAnsi" w:cstheme="minorHAnsi"/>
        </w:rPr>
      </w:pPr>
      <w:r w:rsidRPr="00B12B3B">
        <w:rPr>
          <w:rFonts w:asciiTheme="minorHAnsi" w:hAnsiTheme="minorHAnsi" w:cstheme="minorHAnsi"/>
          <w:i/>
          <w:iCs/>
        </w:rPr>
        <w:t>Behavior, and Immunity.</w:t>
      </w:r>
      <w:r w:rsidRPr="00B12B3B">
        <w:rPr>
          <w:rFonts w:asciiTheme="minorHAnsi" w:hAnsiTheme="minorHAnsi" w:cstheme="minorHAnsi"/>
        </w:rPr>
        <w:t xml:space="preserve"> 2009;23(7):1014-9.</w:t>
      </w:r>
    </w:p>
    <w:p w14:paraId="19C33B47"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Tanaka, T., Narazaki, M., Kishimoto, T. (2014). IL-6 in inflammation, immunity, and disease. </w:t>
      </w:r>
      <w:r w:rsidRPr="00B12B3B">
        <w:rPr>
          <w:rFonts w:asciiTheme="minorHAnsi" w:hAnsiTheme="minorHAnsi" w:cstheme="minorHAnsi"/>
          <w:i/>
        </w:rPr>
        <w:t>Cold Spring Harb Perspect Biol., 6</w:t>
      </w:r>
      <w:r w:rsidRPr="00B12B3B">
        <w:rPr>
          <w:rFonts w:asciiTheme="minorHAnsi" w:hAnsiTheme="minorHAnsi" w:cstheme="minorHAnsi"/>
        </w:rPr>
        <w:t>(10). doi:doi:10.1101/cshperspect.a016295</w:t>
      </w:r>
    </w:p>
    <w:p w14:paraId="71C5D78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Tarlov, A. R., Ware Jr, J. E., Greenfield, S., Nelson, E. C., Perrin, E., Zubkoff, M. (1989). The Medical Outcomes Study. An application of methods for monitoring the results of medical care. </w:t>
      </w:r>
      <w:r w:rsidRPr="00B12B3B">
        <w:rPr>
          <w:rFonts w:asciiTheme="minorHAnsi" w:hAnsiTheme="minorHAnsi" w:cstheme="minorHAnsi"/>
          <w:i/>
        </w:rPr>
        <w:t>Jama, 262</w:t>
      </w:r>
      <w:r w:rsidRPr="00B12B3B">
        <w:rPr>
          <w:rFonts w:asciiTheme="minorHAnsi" w:hAnsiTheme="minorHAnsi" w:cstheme="minorHAnsi"/>
        </w:rPr>
        <w:t xml:space="preserve">(7), 925-930. </w:t>
      </w:r>
    </w:p>
    <w:p w14:paraId="4DE938FE"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Thurston, G., Daly, C. (2012). The Complex Role of Angiopoietin-2 in the Angiopoietin–Tie Signaling Pathway. </w:t>
      </w:r>
      <w:r w:rsidRPr="00B12B3B">
        <w:rPr>
          <w:rFonts w:asciiTheme="minorHAnsi" w:hAnsiTheme="minorHAnsi" w:cstheme="minorHAnsi"/>
          <w:i/>
        </w:rPr>
        <w:t>Cold Spring Harb Perspect Med</w:t>
      </w:r>
      <w:r w:rsidRPr="00B12B3B">
        <w:rPr>
          <w:rFonts w:asciiTheme="minorHAnsi" w:hAnsiTheme="minorHAnsi" w:cstheme="minorHAnsi"/>
        </w:rPr>
        <w:t>, 2:a006650. doi:doi: 10.1101/cshperspect.a006650</w:t>
      </w:r>
    </w:p>
    <w:p w14:paraId="073C4CE8"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Tiyekli, U., Caliyurt, O., Tiyekli, N.D. (2013 ). Proinflammatory cytokine levels in patients with conversion disorder. </w:t>
      </w:r>
      <w:r w:rsidRPr="00B12B3B">
        <w:rPr>
          <w:rFonts w:asciiTheme="minorHAnsi" w:hAnsiTheme="minorHAnsi" w:cstheme="minorHAnsi"/>
          <w:i/>
        </w:rPr>
        <w:t>Acta Neuropsychiatr., 25</w:t>
      </w:r>
      <w:r w:rsidRPr="00B12B3B">
        <w:rPr>
          <w:rFonts w:asciiTheme="minorHAnsi" w:hAnsiTheme="minorHAnsi" w:cstheme="minorHAnsi"/>
        </w:rPr>
        <w:t xml:space="preserve">(3), 137-143. doi:doi: 10.1111/j.1601-5215.2012.00676.x. </w:t>
      </w:r>
    </w:p>
    <w:p w14:paraId="2F5F1196"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shd w:val="clear" w:color="auto" w:fill="FFFFFF"/>
        </w:rPr>
        <w:t>Tombaugh T. N. , Tombaugh P.W. (1996) .Test of memory malingering: TOMM: Multi-Health Systems North Tonawanda, NY.</w:t>
      </w:r>
    </w:p>
    <w:p w14:paraId="6D326EE5"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Teichner G, Wagner MT. (1997). The Test of Memory Malingering (TOMM): Normative data from cognitively intact and cognitively impaired individuals. </w:t>
      </w:r>
      <w:r w:rsidRPr="00B12B3B">
        <w:rPr>
          <w:rFonts w:asciiTheme="minorHAnsi" w:hAnsiTheme="minorHAnsi" w:cstheme="minorHAnsi"/>
          <w:i/>
        </w:rPr>
        <w:t xml:space="preserve">Psychological Assessment, 9 </w:t>
      </w:r>
      <w:r w:rsidRPr="00B12B3B">
        <w:rPr>
          <w:rFonts w:asciiTheme="minorHAnsi" w:hAnsiTheme="minorHAnsi" w:cstheme="minorHAnsi"/>
        </w:rPr>
        <w:t xml:space="preserve">260–268. </w:t>
      </w:r>
    </w:p>
    <w:p w14:paraId="42D54B5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Van der Feltz-Cornelis, C.M., Allen, S., van Eck van der Sluijs, J.F. (2019a). Childhood sexual abuse predicts treatment outcome in conversion disorder/functional</w:t>
      </w:r>
    </w:p>
    <w:p w14:paraId="0BB91883" w14:textId="77777777" w:rsidR="00571F5A" w:rsidRPr="00B12B3B" w:rsidRDefault="00571F5A" w:rsidP="00571F5A">
      <w:pPr>
        <w:pStyle w:val="EndNoteBibliography"/>
        <w:ind w:left="720"/>
        <w:rPr>
          <w:rFonts w:asciiTheme="minorHAnsi" w:hAnsiTheme="minorHAnsi" w:cstheme="minorHAnsi"/>
        </w:rPr>
      </w:pPr>
      <w:r w:rsidRPr="00B12B3B">
        <w:rPr>
          <w:rFonts w:asciiTheme="minorHAnsi" w:hAnsiTheme="minorHAnsi" w:cstheme="minorHAnsi"/>
        </w:rPr>
        <w:t xml:space="preserve">neurological disorder. An observational longitudinal study. </w:t>
      </w:r>
      <w:r w:rsidRPr="00B12B3B">
        <w:rPr>
          <w:rFonts w:asciiTheme="minorHAnsi" w:hAnsiTheme="minorHAnsi" w:cstheme="minorHAnsi"/>
          <w:i/>
        </w:rPr>
        <w:t>Brain and Behavior, 10</w:t>
      </w:r>
      <w:r w:rsidRPr="00B12B3B">
        <w:rPr>
          <w:rFonts w:asciiTheme="minorHAnsi" w:hAnsiTheme="minorHAnsi" w:cstheme="minorHAnsi"/>
        </w:rPr>
        <w:t xml:space="preserve">(3), e01558. doi: </w:t>
      </w:r>
      <w:hyperlink r:id="rId20" w:history="1">
        <w:r w:rsidRPr="00B12B3B">
          <w:rPr>
            <w:rStyle w:val="Hyperlink"/>
            <w:rFonts w:asciiTheme="minorHAnsi" w:hAnsiTheme="minorHAnsi" w:cstheme="minorHAnsi"/>
          </w:rPr>
          <w:t>https://doi.org/10.1002/brb3.1558</w:t>
        </w:r>
      </w:hyperlink>
    </w:p>
    <w:p w14:paraId="255D95CC" w14:textId="77777777" w:rsidR="006B1F07" w:rsidRPr="00B12B3B" w:rsidRDefault="00571F5A" w:rsidP="006B1F07">
      <w:pPr>
        <w:autoSpaceDE w:val="0"/>
        <w:autoSpaceDN w:val="0"/>
        <w:adjustRightInd w:val="0"/>
        <w:rPr>
          <w:rFonts w:asciiTheme="minorHAnsi" w:hAnsiTheme="minorHAnsi" w:cstheme="minorHAnsi"/>
        </w:rPr>
      </w:pPr>
      <w:r w:rsidRPr="00B12B3B">
        <w:rPr>
          <w:rFonts w:asciiTheme="minorHAnsi" w:hAnsiTheme="minorHAnsi" w:cstheme="minorHAnsi"/>
        </w:rPr>
        <w:t xml:space="preserve">Van der Feltz-Cornelis, C.M., B. M., Kaul, A., Kuijpers, T., Von Känel, R., Van Eck van der </w:t>
      </w:r>
    </w:p>
    <w:p w14:paraId="00F89E9F" w14:textId="77777777" w:rsidR="006B1F07" w:rsidRPr="00B12B3B" w:rsidRDefault="00571F5A" w:rsidP="006B1F07">
      <w:pPr>
        <w:autoSpaceDE w:val="0"/>
        <w:autoSpaceDN w:val="0"/>
        <w:adjustRightInd w:val="0"/>
        <w:ind w:firstLine="720"/>
        <w:rPr>
          <w:rFonts w:asciiTheme="minorHAnsi" w:hAnsiTheme="minorHAnsi" w:cstheme="minorHAnsi"/>
        </w:rPr>
      </w:pPr>
      <w:proofErr w:type="spellStart"/>
      <w:r w:rsidRPr="00B12B3B">
        <w:rPr>
          <w:rFonts w:asciiTheme="minorHAnsi" w:hAnsiTheme="minorHAnsi" w:cstheme="minorHAnsi"/>
        </w:rPr>
        <w:t>Sluijs</w:t>
      </w:r>
      <w:proofErr w:type="spellEnd"/>
      <w:r w:rsidRPr="00B12B3B">
        <w:rPr>
          <w:rFonts w:asciiTheme="minorHAnsi" w:hAnsiTheme="minorHAnsi" w:cstheme="minorHAnsi"/>
        </w:rPr>
        <w:t xml:space="preserve">, J.F. (2020a). IL-6 and hsCRP in Somatic Symptom Disorders and Related </w:t>
      </w:r>
    </w:p>
    <w:p w14:paraId="15DD27B9" w14:textId="77777777" w:rsidR="006B1F07" w:rsidRPr="00B12B3B" w:rsidRDefault="00571F5A" w:rsidP="006B1F07">
      <w:pPr>
        <w:autoSpaceDE w:val="0"/>
        <w:autoSpaceDN w:val="0"/>
        <w:adjustRightInd w:val="0"/>
        <w:ind w:firstLine="720"/>
        <w:rPr>
          <w:rFonts w:asciiTheme="minorHAnsi" w:hAnsiTheme="minorHAnsi" w:cstheme="minorHAnsi"/>
        </w:rPr>
      </w:pPr>
      <w:r w:rsidRPr="00B12B3B">
        <w:rPr>
          <w:rFonts w:asciiTheme="minorHAnsi" w:hAnsiTheme="minorHAnsi" w:cstheme="minorHAnsi"/>
        </w:rPr>
        <w:t xml:space="preserve">Disorders. </w:t>
      </w:r>
      <w:r w:rsidR="006B1F07" w:rsidRPr="00B12B3B">
        <w:rPr>
          <w:rFonts w:asciiTheme="minorHAnsi" w:hAnsiTheme="minorHAnsi" w:cstheme="minorHAnsi"/>
        </w:rPr>
        <w:t>Brain, Behavior and Immunity - Health</w:t>
      </w:r>
      <w:r w:rsidRPr="00B12B3B">
        <w:rPr>
          <w:rFonts w:asciiTheme="minorHAnsi" w:hAnsiTheme="minorHAnsi" w:cstheme="minorHAnsi"/>
        </w:rPr>
        <w:t xml:space="preserve">. </w:t>
      </w:r>
      <w:r w:rsidR="006B1F07" w:rsidRPr="00B12B3B">
        <w:rPr>
          <w:rFonts w:asciiTheme="minorHAnsi" w:hAnsiTheme="minorHAnsi" w:cstheme="minorHAnsi"/>
        </w:rPr>
        <w:t xml:space="preserve">Volume 9;100176:ISSN 2666-3546 </w:t>
      </w:r>
    </w:p>
    <w:p w14:paraId="1AD4B26A" w14:textId="4210B80E" w:rsidR="006B1F07" w:rsidRPr="00B12B3B" w:rsidRDefault="00FA05DB" w:rsidP="006B1F07">
      <w:pPr>
        <w:autoSpaceDE w:val="0"/>
        <w:autoSpaceDN w:val="0"/>
        <w:adjustRightInd w:val="0"/>
        <w:ind w:firstLine="720"/>
        <w:rPr>
          <w:rFonts w:asciiTheme="minorHAnsi" w:hAnsiTheme="minorHAnsi" w:cstheme="minorHAnsi"/>
          <w:bCs/>
        </w:rPr>
      </w:pPr>
      <w:hyperlink r:id="rId21" w:history="1">
        <w:r w:rsidR="006B1F07" w:rsidRPr="00B12B3B">
          <w:rPr>
            <w:rStyle w:val="Hyperlink"/>
            <w:rFonts w:asciiTheme="minorHAnsi" w:hAnsiTheme="minorHAnsi" w:cstheme="minorHAnsi"/>
            <w:bCs/>
          </w:rPr>
          <w:t>https://doi.org/10.1016/j.bbih.2020.100176</w:t>
        </w:r>
      </w:hyperlink>
      <w:r w:rsidR="006B1F07" w:rsidRPr="00B12B3B">
        <w:rPr>
          <w:rFonts w:asciiTheme="minorHAnsi" w:hAnsiTheme="minorHAnsi" w:cstheme="minorHAnsi"/>
          <w:bCs/>
        </w:rPr>
        <w:t>.</w:t>
      </w:r>
    </w:p>
    <w:p w14:paraId="072A2353"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Van der Feltz-Cornelis, C.M., Brabyn, S., Allen, S.F., Reilly, J., Clarke, C., de Vroege, L., Gilbody, S., Wittington, M., Lagos, D. (2020b). Conversion and neuro-inflammation </w:t>
      </w:r>
      <w:r w:rsidRPr="00B12B3B">
        <w:rPr>
          <w:rFonts w:asciiTheme="minorHAnsi" w:hAnsiTheme="minorHAnsi" w:cstheme="minorHAnsi"/>
        </w:rPr>
        <w:lastRenderedPageBreak/>
        <w:t xml:space="preserve">disorder observational study (CANDO). Protocol of a feasibility study. </w:t>
      </w:r>
      <w:r w:rsidRPr="00B12B3B">
        <w:rPr>
          <w:rFonts w:asciiTheme="minorHAnsi" w:hAnsiTheme="minorHAnsi" w:cstheme="minorHAnsi"/>
          <w:i/>
        </w:rPr>
        <w:t>Eur J Psychiatry</w:t>
      </w:r>
      <w:r w:rsidRPr="00B12B3B">
        <w:rPr>
          <w:rFonts w:asciiTheme="minorHAnsi" w:hAnsiTheme="minorHAnsi" w:cstheme="minorHAnsi"/>
        </w:rPr>
        <w:t>. doi:</w:t>
      </w:r>
      <w:hyperlink r:id="rId22" w:history="1">
        <w:r w:rsidRPr="00B12B3B">
          <w:rPr>
            <w:rStyle w:val="Hyperlink"/>
            <w:rFonts w:asciiTheme="minorHAnsi" w:hAnsiTheme="minorHAnsi" w:cstheme="minorHAnsi"/>
          </w:rPr>
          <w:t>https://doi.org/10.1016/j.ejpsy.2020.04.002</w:t>
        </w:r>
      </w:hyperlink>
    </w:p>
    <w:p w14:paraId="7699D1B5"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Van der Feltz-Cornelis, C.M., Potters, E.C., van Dam, A., Koorndijk, R.P.M., Elfeddali, I., van Eck van der Sluijs, J.F. (2019b). Adverse Childhood Experiences (ACE) in outpatients with anxiety and depressive disorders and their association with psychiatric and somatic comorbidity and revictimization. Cross-sectional observational study. </w:t>
      </w:r>
      <w:r w:rsidRPr="00B12B3B">
        <w:rPr>
          <w:rFonts w:asciiTheme="minorHAnsi" w:hAnsiTheme="minorHAnsi" w:cstheme="minorHAnsi"/>
          <w:i/>
        </w:rPr>
        <w:t>J Affect Disord., 246</w:t>
      </w:r>
      <w:r w:rsidRPr="00B12B3B">
        <w:rPr>
          <w:rFonts w:asciiTheme="minorHAnsi" w:hAnsiTheme="minorHAnsi" w:cstheme="minorHAnsi"/>
        </w:rPr>
        <w:t>, 458-464.  . doi:doi: 10.1016/j.jad.2018.12.096.</w:t>
      </w:r>
    </w:p>
    <w:p w14:paraId="060F138E" w14:textId="079BAF97" w:rsidR="00571F5A" w:rsidRPr="00B12B3B" w:rsidRDefault="00571F5A" w:rsidP="00571F5A">
      <w:pPr>
        <w:pStyle w:val="EndNoteBibliography"/>
        <w:ind w:left="720" w:hanging="720"/>
        <w:rPr>
          <w:rStyle w:val="Hyperlink"/>
          <w:rFonts w:asciiTheme="minorHAnsi" w:hAnsiTheme="minorHAnsi" w:cstheme="minorHAnsi"/>
        </w:rPr>
      </w:pPr>
      <w:r w:rsidRPr="00B12B3B">
        <w:rPr>
          <w:rFonts w:asciiTheme="minorHAnsi" w:hAnsiTheme="minorHAnsi" w:cstheme="minorHAnsi"/>
        </w:rPr>
        <w:t xml:space="preserve">Van der Feltz-Cornelis, C.M. (2020c). Diagnostic profiling in clinical translational research — a European perspective. </w:t>
      </w:r>
      <w:r w:rsidRPr="00B12B3B">
        <w:rPr>
          <w:rFonts w:asciiTheme="minorHAnsi" w:hAnsiTheme="minorHAnsi" w:cstheme="minorHAnsi"/>
          <w:i/>
        </w:rPr>
        <w:t>The European Journal of Psychiatry., 34</w:t>
      </w:r>
      <w:r w:rsidRPr="00B12B3B">
        <w:rPr>
          <w:rFonts w:asciiTheme="minorHAnsi" w:hAnsiTheme="minorHAnsi" w:cstheme="minorHAnsi"/>
        </w:rPr>
        <w:t>(2 April–June ), 57-62. doi:</w:t>
      </w:r>
      <w:r w:rsidRPr="00B12B3B">
        <w:rPr>
          <w:rStyle w:val="Hyperlink"/>
          <w:rFonts w:asciiTheme="minorHAnsi" w:hAnsiTheme="minorHAnsi" w:cstheme="minorHAnsi"/>
        </w:rPr>
        <w:t>https://doi.org/10.1016/j.ejpsy.2019.11.003</w:t>
      </w:r>
    </w:p>
    <w:p w14:paraId="7AABF484" w14:textId="0F511CD7" w:rsidR="00EF35D3" w:rsidRPr="00B12B3B" w:rsidRDefault="002047BC" w:rsidP="00571F5A">
      <w:pPr>
        <w:pStyle w:val="EndNoteBibliography"/>
        <w:ind w:left="720" w:hanging="720"/>
        <w:rPr>
          <w:rFonts w:asciiTheme="minorHAnsi" w:hAnsiTheme="minorHAnsi" w:cstheme="minorHAnsi"/>
        </w:rPr>
      </w:pPr>
      <w:r w:rsidRPr="00B12B3B">
        <w:rPr>
          <w:rFonts w:asciiTheme="minorHAnsi" w:hAnsiTheme="minorHAnsi" w:cstheme="minorHAnsi"/>
          <w:color w:val="212121"/>
          <w:shd w:val="clear" w:color="auto" w:fill="FFFFFF"/>
        </w:rPr>
        <w:t>V</w:t>
      </w:r>
      <w:r w:rsidR="00EF35D3" w:rsidRPr="00B12B3B">
        <w:rPr>
          <w:rFonts w:asciiTheme="minorHAnsi" w:hAnsiTheme="minorHAnsi" w:cstheme="minorHAnsi"/>
          <w:color w:val="212121"/>
          <w:shd w:val="clear" w:color="auto" w:fill="FFFFFF"/>
        </w:rPr>
        <w:t xml:space="preserve">an Eck van der Sluijs, J.F., Ten Have, M., de Graaf, R., Rijnders, C.A.T., van Marwijk, H.W.J., van der Feltz-Cornelis, C.M. (2018) Predictors of Persistent Medically Unexplained Physical Symptoms: Findings From a General Population Study. </w:t>
      </w:r>
      <w:r w:rsidR="00EF35D3" w:rsidRPr="00B12B3B">
        <w:rPr>
          <w:rFonts w:asciiTheme="minorHAnsi" w:hAnsiTheme="minorHAnsi" w:cstheme="minorHAnsi"/>
          <w:i/>
          <w:iCs/>
          <w:color w:val="212121"/>
          <w:shd w:val="clear" w:color="auto" w:fill="FFFFFF"/>
        </w:rPr>
        <w:t>Front Psychiatry.</w:t>
      </w:r>
      <w:r w:rsidR="00EF35D3" w:rsidRPr="00B12B3B">
        <w:rPr>
          <w:rFonts w:asciiTheme="minorHAnsi" w:hAnsiTheme="minorHAnsi" w:cstheme="minorHAnsi"/>
          <w:color w:val="212121"/>
          <w:shd w:val="clear" w:color="auto" w:fill="FFFFFF"/>
        </w:rPr>
        <w:t xml:space="preserve"> Nov 20;9:613. doi: 10.3389/fpsyt.2018.00613. PMID: 30524322; PMCID: PMC6262298.</w:t>
      </w:r>
    </w:p>
    <w:p w14:paraId="0B6DD96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Van Hemert, A.M., de Waal, M.W.M., Van Rood, Y.R. (2004). Meetinstrumenten bij somatoforme stoornissen. </w:t>
      </w:r>
      <w:r w:rsidRPr="00B12B3B">
        <w:rPr>
          <w:rFonts w:asciiTheme="minorHAnsi" w:hAnsiTheme="minorHAnsi" w:cstheme="minorHAnsi"/>
          <w:i/>
        </w:rPr>
        <w:t>Tijdschrift voor Psychiatrie, 46</w:t>
      </w:r>
      <w:r w:rsidRPr="00B12B3B">
        <w:rPr>
          <w:rFonts w:asciiTheme="minorHAnsi" w:hAnsiTheme="minorHAnsi" w:cstheme="minorHAnsi"/>
        </w:rPr>
        <w:t xml:space="preserve">(10), 693-696. </w:t>
      </w:r>
    </w:p>
    <w:p w14:paraId="1038E07D"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Viljoen, M., Panzer, A. (2005). Non-termination of sickness behavior as precipitating factor for mental disorders. </w:t>
      </w:r>
      <w:r w:rsidRPr="00B12B3B">
        <w:rPr>
          <w:rFonts w:asciiTheme="minorHAnsi" w:hAnsiTheme="minorHAnsi" w:cstheme="minorHAnsi"/>
          <w:i/>
        </w:rPr>
        <w:t>Med. Hypotheses, 65</w:t>
      </w:r>
      <w:r w:rsidRPr="00B12B3B">
        <w:rPr>
          <w:rFonts w:asciiTheme="minorHAnsi" w:hAnsiTheme="minorHAnsi" w:cstheme="minorHAnsi"/>
        </w:rPr>
        <w:t xml:space="preserve">(2), 316-329. </w:t>
      </w:r>
    </w:p>
    <w:p w14:paraId="7108E01E"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Voegel, C.D., Hoffman, M., Kraemer, T., Baumgartner, M.R., Binz, T.M. (2020). Endogenous steroid hormones in hair: Investigations on different hair types, pigmentation effects and correlation to nails. </w:t>
      </w:r>
      <w:r w:rsidRPr="00B12B3B">
        <w:rPr>
          <w:rFonts w:asciiTheme="minorHAnsi" w:hAnsiTheme="minorHAnsi" w:cstheme="minorHAnsi"/>
          <w:i/>
        </w:rPr>
        <w:t>Steroids, 154</w:t>
      </w:r>
      <w:r w:rsidRPr="00B12B3B">
        <w:rPr>
          <w:rFonts w:asciiTheme="minorHAnsi" w:hAnsiTheme="minorHAnsi" w:cstheme="minorHAnsi"/>
        </w:rPr>
        <w:t xml:space="preserve">. doi: </w:t>
      </w:r>
      <w:hyperlink r:id="rId23" w:history="1">
        <w:r w:rsidRPr="00B12B3B">
          <w:rPr>
            <w:rStyle w:val="Hyperlink"/>
            <w:rFonts w:asciiTheme="minorHAnsi" w:hAnsiTheme="minorHAnsi" w:cstheme="minorHAnsi"/>
          </w:rPr>
          <w:t>https://www.sciencedirect.com/science/article/pii/S0039128X19302375?via%3Dihub</w:t>
        </w:r>
      </w:hyperlink>
    </w:p>
    <w:p w14:paraId="7C8ACE63" w14:textId="34772CF8"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Vogelzangs, N., de Jonge, P., Smit, J. H., Bahn, S., Penninx, B. W. P. (2016). Cytokine production capacity in depression and anxiety. </w:t>
      </w:r>
      <w:r w:rsidRPr="00B12B3B">
        <w:rPr>
          <w:rFonts w:asciiTheme="minorHAnsi" w:hAnsiTheme="minorHAnsi" w:cstheme="minorHAnsi"/>
          <w:i/>
        </w:rPr>
        <w:t>Translational Psychiatry, 6</w:t>
      </w:r>
      <w:r w:rsidRPr="00B12B3B">
        <w:rPr>
          <w:rFonts w:asciiTheme="minorHAnsi" w:hAnsiTheme="minorHAnsi" w:cstheme="minorHAnsi"/>
        </w:rPr>
        <w:t xml:space="preserve">, e825. </w:t>
      </w:r>
    </w:p>
    <w:p w14:paraId="5B04EE8C" w14:textId="5A25100D" w:rsidR="007E368F" w:rsidRPr="00B12B3B" w:rsidRDefault="007E368F" w:rsidP="007E368F">
      <w:pPr>
        <w:pStyle w:val="EndNoteBibliography"/>
        <w:ind w:left="720" w:hanging="720"/>
        <w:rPr>
          <w:rFonts w:asciiTheme="minorHAnsi" w:hAnsiTheme="minorHAnsi" w:cstheme="minorHAnsi"/>
        </w:rPr>
      </w:pPr>
      <w:r w:rsidRPr="00B12B3B">
        <w:rPr>
          <w:rFonts w:asciiTheme="minorHAnsi" w:hAnsiTheme="minorHAnsi" w:cstheme="minorHAnsi"/>
        </w:rPr>
        <w:t>Wang, J.F., Yu, M-L., Yu, G., Bian, J-J., Deng, X-M., Wan, X-J., Zhu, K-M. (2010) Serum miR-146a and miR-223 as potential new biomarkers for sepsis</w:t>
      </w:r>
      <w:r w:rsidR="000B6FA5" w:rsidRPr="00B12B3B">
        <w:rPr>
          <w:rFonts w:asciiTheme="minorHAnsi" w:hAnsiTheme="minorHAnsi" w:cstheme="minorHAnsi"/>
        </w:rPr>
        <w:t>.</w:t>
      </w:r>
      <w:r w:rsidRPr="00B12B3B">
        <w:rPr>
          <w:rFonts w:asciiTheme="minorHAnsi" w:hAnsiTheme="minorHAnsi" w:cstheme="minorHAnsi"/>
        </w:rPr>
        <w:t xml:space="preserve"> </w:t>
      </w:r>
      <w:r w:rsidRPr="00B12B3B">
        <w:rPr>
          <w:rFonts w:asciiTheme="minorHAnsi" w:hAnsiTheme="minorHAnsi" w:cstheme="minorHAnsi"/>
          <w:i/>
          <w:iCs/>
        </w:rPr>
        <w:t>Biochemical and Biophysical Research Communications</w:t>
      </w:r>
      <w:r w:rsidRPr="00B12B3B">
        <w:rPr>
          <w:rFonts w:asciiTheme="minorHAnsi" w:hAnsiTheme="minorHAnsi" w:cstheme="minorHAnsi"/>
        </w:rPr>
        <w:t>, 394;1:184-188. ISSN 0006-291X, https://doi.org/10.1016/j.bbrc.2010.02.145.</w:t>
      </w:r>
    </w:p>
    <w:p w14:paraId="741CB6F4"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Ware, J. E., Sherbourne, C. D. (1992). The MOS 36-Item Short-Form Health Survey (SF-36). </w:t>
      </w:r>
      <w:r w:rsidRPr="00B12B3B">
        <w:rPr>
          <w:rFonts w:asciiTheme="minorHAnsi" w:hAnsiTheme="minorHAnsi" w:cstheme="minorHAnsi"/>
          <w:i/>
        </w:rPr>
        <w:t>Medical Care, 30</w:t>
      </w:r>
      <w:r w:rsidRPr="00B12B3B">
        <w:rPr>
          <w:rFonts w:asciiTheme="minorHAnsi" w:hAnsiTheme="minorHAnsi" w:cstheme="minorHAnsi"/>
        </w:rPr>
        <w:t xml:space="preserve">(6), 473-483. </w:t>
      </w:r>
    </w:p>
    <w:p w14:paraId="0CA3ACC0"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Wechsler, D. (2008). </w:t>
      </w:r>
      <w:r w:rsidRPr="00B12B3B">
        <w:rPr>
          <w:rFonts w:asciiTheme="minorHAnsi" w:hAnsiTheme="minorHAnsi" w:cstheme="minorHAnsi"/>
          <w:i/>
        </w:rPr>
        <w:t xml:space="preserve">Wechsler adult intelligence scale – Fourth edition (WAIS-IV). </w:t>
      </w:r>
      <w:r w:rsidRPr="00B12B3B">
        <w:rPr>
          <w:rFonts w:asciiTheme="minorHAnsi" w:hAnsiTheme="minorHAnsi" w:cstheme="minorHAnsi"/>
        </w:rPr>
        <w:t>San Antonio, TX. : NCS Pearson.</w:t>
      </w:r>
    </w:p>
    <w:p w14:paraId="7E26E9D5"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Wells, K. B., Stewart, A., Hays, R. D., Burnam, M. A., Rogers, W., Daniels, M., Berry, S., Ware, J. (1989). The functioning and well-being of depressed patients. Results from the Medical Outcomes Study. </w:t>
      </w:r>
      <w:r w:rsidRPr="00B12B3B">
        <w:rPr>
          <w:rFonts w:asciiTheme="minorHAnsi" w:hAnsiTheme="minorHAnsi" w:cstheme="minorHAnsi"/>
          <w:i/>
        </w:rPr>
        <w:t>Jama, 262</w:t>
      </w:r>
      <w:r w:rsidRPr="00B12B3B">
        <w:rPr>
          <w:rFonts w:asciiTheme="minorHAnsi" w:hAnsiTheme="minorHAnsi" w:cstheme="minorHAnsi"/>
        </w:rPr>
        <w:t xml:space="preserve">(7), 914-919. </w:t>
      </w:r>
    </w:p>
    <w:p w14:paraId="35E59767" w14:textId="77777777" w:rsidR="00571F5A" w:rsidRPr="00B12B3B"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 xml:space="preserve">Wexler, B.E., Zhu, H., Bell, M.D., Nicholls, S.S., Fulbright, R.K., Gore, J.C., Colibazzi, T., Amat, J., Bansal, R., Peterson, B.S.. (2009). Neuropsychological near normality and brain structure abnormality in schizophrenia. </w:t>
      </w:r>
      <w:r w:rsidRPr="00B12B3B">
        <w:rPr>
          <w:rFonts w:asciiTheme="minorHAnsi" w:hAnsiTheme="minorHAnsi" w:cstheme="minorHAnsi"/>
          <w:i/>
        </w:rPr>
        <w:t>The American Journal of Psychiatry, 166</w:t>
      </w:r>
      <w:r w:rsidRPr="00B12B3B">
        <w:rPr>
          <w:rFonts w:asciiTheme="minorHAnsi" w:hAnsiTheme="minorHAnsi" w:cstheme="minorHAnsi"/>
        </w:rPr>
        <w:t>(2), 189-195. doi:</w:t>
      </w:r>
      <w:hyperlink r:id="rId24" w:history="1">
        <w:r w:rsidRPr="00B12B3B">
          <w:rPr>
            <w:rStyle w:val="Hyperlink"/>
            <w:rFonts w:asciiTheme="minorHAnsi" w:hAnsiTheme="minorHAnsi" w:cstheme="minorHAnsi"/>
          </w:rPr>
          <w:t>https://doi.org/10.1176/appi.ajp.2008.08020258</w:t>
        </w:r>
      </w:hyperlink>
    </w:p>
    <w:p w14:paraId="43EE0A2F" w14:textId="77777777" w:rsidR="00571F5A" w:rsidRPr="00B12B3B" w:rsidRDefault="00571F5A" w:rsidP="00571F5A">
      <w:pPr>
        <w:pStyle w:val="EndNoteBibliography"/>
        <w:ind w:left="720" w:hanging="720"/>
        <w:rPr>
          <w:rFonts w:asciiTheme="minorHAnsi" w:hAnsiTheme="minorHAnsi" w:cstheme="minorHAnsi"/>
          <w:u w:val="single"/>
        </w:rPr>
      </w:pPr>
      <w:r w:rsidRPr="00B12B3B">
        <w:rPr>
          <w:rFonts w:asciiTheme="minorHAnsi" w:hAnsiTheme="minorHAnsi" w:cstheme="minorHAnsi"/>
        </w:rPr>
        <w:t xml:space="preserve">WHO. (2018, 2018). Adverse Childhood Experiences International Questionnaire (ACE-IQ). Retrieved from </w:t>
      </w:r>
      <w:hyperlink r:id="rId25" w:history="1">
        <w:r w:rsidRPr="00B12B3B">
          <w:rPr>
            <w:rStyle w:val="Hyperlink"/>
            <w:rFonts w:asciiTheme="minorHAnsi" w:hAnsiTheme="minorHAnsi" w:cstheme="minorHAnsi"/>
          </w:rPr>
          <w:t>http://www.who.int/violence_injury_prevention/violence/activities/adverse_childhood_experiences/en/</w:t>
        </w:r>
      </w:hyperlink>
    </w:p>
    <w:p w14:paraId="1E0976A8" w14:textId="77777777" w:rsidR="00571F5A" w:rsidRPr="00FD19C4" w:rsidRDefault="00571F5A" w:rsidP="00571F5A">
      <w:pPr>
        <w:pStyle w:val="EndNoteBibliography"/>
        <w:ind w:left="720" w:hanging="720"/>
        <w:rPr>
          <w:rFonts w:asciiTheme="minorHAnsi" w:hAnsiTheme="minorHAnsi" w:cstheme="minorHAnsi"/>
        </w:rPr>
      </w:pPr>
      <w:r w:rsidRPr="00B12B3B">
        <w:rPr>
          <w:rFonts w:asciiTheme="minorHAnsi" w:hAnsiTheme="minorHAnsi" w:cstheme="minorHAnsi"/>
        </w:rPr>
        <w:t>Yee, D., Shah, K., Coles, M.C., Sharp, T.V., Lagos, D. (2017). MicroRNA-155 induction via TNF-α and IFN-γ suppresses expression of programmed death ligand-1 (PD-L1) in human</w:t>
      </w:r>
      <w:r w:rsidRPr="00FD19C4">
        <w:rPr>
          <w:rFonts w:asciiTheme="minorHAnsi" w:hAnsiTheme="minorHAnsi" w:cstheme="minorHAnsi"/>
        </w:rPr>
        <w:t xml:space="preserve"> </w:t>
      </w:r>
      <w:r w:rsidRPr="00FD19C4">
        <w:rPr>
          <w:rFonts w:asciiTheme="minorHAnsi" w:hAnsiTheme="minorHAnsi" w:cstheme="minorHAnsi"/>
        </w:rPr>
        <w:lastRenderedPageBreak/>
        <w:t xml:space="preserve">primary cells. </w:t>
      </w:r>
      <w:r w:rsidRPr="00FD19C4">
        <w:rPr>
          <w:rFonts w:asciiTheme="minorHAnsi" w:hAnsiTheme="minorHAnsi" w:cstheme="minorHAnsi"/>
          <w:i/>
        </w:rPr>
        <w:t>J Biol Chem., 292</w:t>
      </w:r>
      <w:r w:rsidRPr="00FD19C4">
        <w:rPr>
          <w:rFonts w:asciiTheme="minorHAnsi" w:hAnsiTheme="minorHAnsi" w:cstheme="minorHAnsi"/>
        </w:rPr>
        <w:t xml:space="preserve">(50), 20683-20693. doi:doi: 10.1074/jbc.M117.809053. </w:t>
      </w:r>
    </w:p>
    <w:p w14:paraId="6C19CCBE" w14:textId="77777777" w:rsidR="00571F5A" w:rsidRPr="00FD19C4" w:rsidRDefault="00571F5A" w:rsidP="00571F5A">
      <w:pPr>
        <w:pStyle w:val="EndNoteBibliography"/>
        <w:ind w:left="720" w:hanging="720"/>
        <w:rPr>
          <w:rFonts w:asciiTheme="minorHAnsi" w:hAnsiTheme="minorHAnsi" w:cstheme="minorHAnsi"/>
        </w:rPr>
      </w:pPr>
      <w:r w:rsidRPr="00FD19C4">
        <w:rPr>
          <w:rFonts w:asciiTheme="minorHAnsi" w:hAnsiTheme="minorHAnsi" w:cstheme="minorHAnsi"/>
        </w:rPr>
        <w:t xml:space="preserve">Yudkin, J.S., Stehouwer, C., Emeis, J.J, Coppack, S.W. (1999). C-reactive protein in healthy subjects. Association with obesity, insulinresistance, and endothelial dysfunction. A potential role for cytokinesoriginating from adipose tissue? . </w:t>
      </w:r>
      <w:r w:rsidRPr="00FD19C4">
        <w:rPr>
          <w:rFonts w:asciiTheme="minorHAnsi" w:hAnsiTheme="minorHAnsi" w:cstheme="minorHAnsi"/>
          <w:i/>
        </w:rPr>
        <w:t>Arterioscler Thromb Vasc Biol, 19</w:t>
      </w:r>
      <w:r w:rsidRPr="00FD19C4">
        <w:rPr>
          <w:rFonts w:asciiTheme="minorHAnsi" w:hAnsiTheme="minorHAnsi" w:cstheme="minorHAnsi"/>
        </w:rPr>
        <w:t xml:space="preserve">, 972-978. </w:t>
      </w:r>
    </w:p>
    <w:p w14:paraId="34D07A54" w14:textId="77777777" w:rsidR="00571F5A" w:rsidRPr="00FD19C4" w:rsidRDefault="00571F5A" w:rsidP="00571F5A">
      <w:pPr>
        <w:pStyle w:val="EndNoteBibliography"/>
        <w:ind w:left="720" w:hanging="720"/>
        <w:rPr>
          <w:rFonts w:asciiTheme="minorHAnsi" w:hAnsiTheme="minorHAnsi" w:cstheme="minorHAnsi"/>
        </w:rPr>
      </w:pPr>
      <w:r w:rsidRPr="00FD19C4">
        <w:rPr>
          <w:rFonts w:asciiTheme="minorHAnsi" w:hAnsiTheme="minorHAnsi" w:cstheme="minorHAnsi"/>
        </w:rPr>
        <w:t xml:space="preserve">Zelová, H., Hošek, J. (2013). TNF-α signalling and inflammation: interactions between old acquaintances. </w:t>
      </w:r>
      <w:r w:rsidRPr="00FD19C4">
        <w:rPr>
          <w:rFonts w:asciiTheme="minorHAnsi" w:hAnsiTheme="minorHAnsi" w:cstheme="minorHAnsi"/>
          <w:i/>
        </w:rPr>
        <w:t>Inflamm. Res., 62</w:t>
      </w:r>
      <w:r w:rsidRPr="00FD19C4">
        <w:rPr>
          <w:rFonts w:asciiTheme="minorHAnsi" w:hAnsiTheme="minorHAnsi" w:cstheme="minorHAnsi"/>
        </w:rPr>
        <w:t>, 641–651 doi:</w:t>
      </w:r>
      <w:hyperlink r:id="rId26" w:history="1">
        <w:r w:rsidRPr="00FD19C4">
          <w:rPr>
            <w:rStyle w:val="Hyperlink"/>
            <w:rFonts w:asciiTheme="minorHAnsi" w:hAnsiTheme="minorHAnsi" w:cstheme="minorHAnsi"/>
          </w:rPr>
          <w:t>https://doi.org/10.1007/s00011-013-0633-0</w:t>
        </w:r>
      </w:hyperlink>
    </w:p>
    <w:p w14:paraId="3CF1B22C" w14:textId="476C612C" w:rsidR="00571F5A" w:rsidRDefault="00571F5A" w:rsidP="00571F5A">
      <w:pPr>
        <w:autoSpaceDE w:val="0"/>
        <w:autoSpaceDN w:val="0"/>
        <w:adjustRightInd w:val="0"/>
        <w:rPr>
          <w:rFonts w:asciiTheme="minorHAnsi" w:hAnsiTheme="minorHAnsi" w:cstheme="minorHAnsi"/>
          <w:bCs/>
        </w:rPr>
      </w:pPr>
    </w:p>
    <w:p w14:paraId="23D8A024" w14:textId="48843FAC" w:rsidR="006B1F07" w:rsidRDefault="006B1F07" w:rsidP="00571F5A">
      <w:pPr>
        <w:autoSpaceDE w:val="0"/>
        <w:autoSpaceDN w:val="0"/>
        <w:adjustRightInd w:val="0"/>
        <w:rPr>
          <w:rFonts w:asciiTheme="minorHAnsi" w:hAnsiTheme="minorHAnsi" w:cstheme="minorHAnsi"/>
          <w:bCs/>
        </w:rPr>
      </w:pPr>
    </w:p>
    <w:p w14:paraId="699EFCF0" w14:textId="77777777" w:rsidR="00571F5A" w:rsidRDefault="00571F5A" w:rsidP="00571F5A"/>
    <w:p w14:paraId="1010E04A" w14:textId="77777777" w:rsidR="00571F5A" w:rsidRDefault="00571F5A" w:rsidP="00571F5A"/>
    <w:p w14:paraId="5F8A4433" w14:textId="77777777" w:rsidR="00571F5A" w:rsidRPr="00045D03" w:rsidRDefault="00571F5A" w:rsidP="00156272">
      <w:pPr>
        <w:spacing w:line="360" w:lineRule="auto"/>
        <w:jc w:val="both"/>
        <w:rPr>
          <w:rFonts w:ascii="Calibri" w:hAnsi="Calibri" w:cs="Calibri"/>
          <w:b/>
          <w:bCs/>
        </w:rPr>
      </w:pPr>
    </w:p>
    <w:sectPr w:rsidR="00571F5A" w:rsidRPr="00045D0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8B7C" w14:textId="77777777" w:rsidR="00FA05DB" w:rsidRDefault="00FA05DB" w:rsidP="0028370B">
      <w:r>
        <w:separator/>
      </w:r>
    </w:p>
  </w:endnote>
  <w:endnote w:type="continuationSeparator" w:id="0">
    <w:p w14:paraId="7169654E" w14:textId="77777777" w:rsidR="00FA05DB" w:rsidRDefault="00FA05DB" w:rsidP="0028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en Pro Cond">
    <w:altName w:val="Helen Pro Cond"/>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E9B2F" w14:textId="77777777" w:rsidR="00A50EDF" w:rsidRDefault="00A50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900868"/>
      <w:docPartObj>
        <w:docPartGallery w:val="Page Numbers (Bottom of Page)"/>
        <w:docPartUnique/>
      </w:docPartObj>
    </w:sdtPr>
    <w:sdtEndPr/>
    <w:sdtContent>
      <w:p w14:paraId="29280424" w14:textId="7CE258DC" w:rsidR="00BE0CFD" w:rsidRDefault="00BE0CFD">
        <w:pPr>
          <w:pStyle w:val="Voettekst"/>
          <w:jc w:val="center"/>
        </w:pPr>
        <w:r>
          <w:rPr>
            <w:lang w:val="nl-NL"/>
          </w:rPr>
          <w:t>2</w:t>
        </w:r>
      </w:p>
    </w:sdtContent>
  </w:sdt>
  <w:p w14:paraId="67B2365B" w14:textId="77777777" w:rsidR="00BE0CFD" w:rsidRDefault="00BE0C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2AC02" w14:textId="77777777" w:rsidR="00A50EDF" w:rsidRDefault="00A50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F6C5C" w14:textId="77777777" w:rsidR="00FA05DB" w:rsidRDefault="00FA05DB" w:rsidP="0028370B">
      <w:r>
        <w:separator/>
      </w:r>
    </w:p>
  </w:footnote>
  <w:footnote w:type="continuationSeparator" w:id="0">
    <w:p w14:paraId="54B4CD6C" w14:textId="77777777" w:rsidR="00FA05DB" w:rsidRDefault="00FA05DB" w:rsidP="0028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E7DAA" w14:textId="2951D863" w:rsidR="00A50EDF" w:rsidRDefault="00A50EDF">
    <w:pPr>
      <w:pStyle w:val="Koptekst"/>
    </w:pPr>
    <w:r>
      <w:rPr>
        <w:noProof/>
      </w:rPr>
      <w:pict w14:anchorId="79B4D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93594" o:spid="_x0000_s2050" type="#_x0000_t136" style="position:absolute;margin-left:0;margin-top:0;width:509pt;height:127.25pt;rotation:315;z-index:-251655168;mso-position-horizontal:center;mso-position-horizontal-relative:margin;mso-position-vertical:center;mso-position-vertical-relative:margin" o:allowincell="f" fillcolor="silver" stroked="f">
          <v:fill opacity=".5"/>
          <v:textpath style="font-family:&quot;Times New Roman&quot;;font-size:1pt" string="IN PRES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01CF5" w14:textId="00774F9B" w:rsidR="00A50EDF" w:rsidRDefault="00A50EDF">
    <w:pPr>
      <w:pStyle w:val="Koptekst"/>
    </w:pPr>
    <w:r>
      <w:rPr>
        <w:noProof/>
      </w:rPr>
      <w:pict w14:anchorId="05B80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93595" o:spid="_x0000_s2051" type="#_x0000_t136" style="position:absolute;margin-left:0;margin-top:0;width:509pt;height:127.25pt;rotation:315;z-index:-251653120;mso-position-horizontal:center;mso-position-horizontal-relative:margin;mso-position-vertical:center;mso-position-vertical-relative:margin" o:allowincell="f" fillcolor="silver" stroked="f">
          <v:fill opacity=".5"/>
          <v:textpath style="font-family:&quot;Times New Roman&quot;;font-size:1pt" string="IN PRES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9228" w14:textId="63897D3B" w:rsidR="00A50EDF" w:rsidRDefault="00A50EDF">
    <w:pPr>
      <w:pStyle w:val="Koptekst"/>
    </w:pPr>
    <w:r>
      <w:rPr>
        <w:noProof/>
      </w:rPr>
      <w:pict w14:anchorId="0E68B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93593" o:spid="_x0000_s2049" type="#_x0000_t136" style="position:absolute;margin-left:0;margin-top:0;width:509pt;height:127.25pt;rotation:315;z-index:-251657216;mso-position-horizontal:center;mso-position-horizontal-relative:margin;mso-position-vertical:center;mso-position-vertical-relative:margin" o:allowincell="f" fillcolor="silver" stroked="f">
          <v:fill opacity=".5"/>
          <v:textpath style="font-family:&quot;Times New Roman&quot;;font-size:1pt" string="IN PRES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560733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11748AD"/>
    <w:multiLevelType w:val="hybridMultilevel"/>
    <w:tmpl w:val="A5F055D6"/>
    <w:lvl w:ilvl="0" w:tplc="628E6378">
      <w:start w:val="1"/>
      <w:numFmt w:val="bullet"/>
      <w:lvlText w:val=""/>
      <w:lvlJc w:val="left"/>
      <w:pPr>
        <w:tabs>
          <w:tab w:val="num" w:pos="720"/>
        </w:tabs>
        <w:ind w:left="720" w:hanging="360"/>
      </w:pPr>
      <w:rPr>
        <w:rFonts w:ascii="Symbol" w:hAnsi="Symbol" w:hint="default"/>
      </w:rPr>
    </w:lvl>
    <w:lvl w:ilvl="1" w:tplc="7D84A470" w:tentative="1">
      <w:start w:val="1"/>
      <w:numFmt w:val="bullet"/>
      <w:lvlText w:val=""/>
      <w:lvlJc w:val="left"/>
      <w:pPr>
        <w:tabs>
          <w:tab w:val="num" w:pos="1440"/>
        </w:tabs>
        <w:ind w:left="1440" w:hanging="360"/>
      </w:pPr>
      <w:rPr>
        <w:rFonts w:ascii="Symbol" w:hAnsi="Symbol" w:hint="default"/>
      </w:rPr>
    </w:lvl>
    <w:lvl w:ilvl="2" w:tplc="DDA49B84" w:tentative="1">
      <w:start w:val="1"/>
      <w:numFmt w:val="bullet"/>
      <w:lvlText w:val=""/>
      <w:lvlJc w:val="left"/>
      <w:pPr>
        <w:tabs>
          <w:tab w:val="num" w:pos="2160"/>
        </w:tabs>
        <w:ind w:left="2160" w:hanging="360"/>
      </w:pPr>
      <w:rPr>
        <w:rFonts w:ascii="Symbol" w:hAnsi="Symbol" w:hint="default"/>
      </w:rPr>
    </w:lvl>
    <w:lvl w:ilvl="3" w:tplc="B85648F0" w:tentative="1">
      <w:start w:val="1"/>
      <w:numFmt w:val="bullet"/>
      <w:lvlText w:val=""/>
      <w:lvlJc w:val="left"/>
      <w:pPr>
        <w:tabs>
          <w:tab w:val="num" w:pos="2880"/>
        </w:tabs>
        <w:ind w:left="2880" w:hanging="360"/>
      </w:pPr>
      <w:rPr>
        <w:rFonts w:ascii="Symbol" w:hAnsi="Symbol" w:hint="default"/>
      </w:rPr>
    </w:lvl>
    <w:lvl w:ilvl="4" w:tplc="7D8A84B0" w:tentative="1">
      <w:start w:val="1"/>
      <w:numFmt w:val="bullet"/>
      <w:lvlText w:val=""/>
      <w:lvlJc w:val="left"/>
      <w:pPr>
        <w:tabs>
          <w:tab w:val="num" w:pos="3600"/>
        </w:tabs>
        <w:ind w:left="3600" w:hanging="360"/>
      </w:pPr>
      <w:rPr>
        <w:rFonts w:ascii="Symbol" w:hAnsi="Symbol" w:hint="default"/>
      </w:rPr>
    </w:lvl>
    <w:lvl w:ilvl="5" w:tplc="D9A06B76" w:tentative="1">
      <w:start w:val="1"/>
      <w:numFmt w:val="bullet"/>
      <w:lvlText w:val=""/>
      <w:lvlJc w:val="left"/>
      <w:pPr>
        <w:tabs>
          <w:tab w:val="num" w:pos="4320"/>
        </w:tabs>
        <w:ind w:left="4320" w:hanging="360"/>
      </w:pPr>
      <w:rPr>
        <w:rFonts w:ascii="Symbol" w:hAnsi="Symbol" w:hint="default"/>
      </w:rPr>
    </w:lvl>
    <w:lvl w:ilvl="6" w:tplc="2B70B3B0" w:tentative="1">
      <w:start w:val="1"/>
      <w:numFmt w:val="bullet"/>
      <w:lvlText w:val=""/>
      <w:lvlJc w:val="left"/>
      <w:pPr>
        <w:tabs>
          <w:tab w:val="num" w:pos="5040"/>
        </w:tabs>
        <w:ind w:left="5040" w:hanging="360"/>
      </w:pPr>
      <w:rPr>
        <w:rFonts w:ascii="Symbol" w:hAnsi="Symbol" w:hint="default"/>
      </w:rPr>
    </w:lvl>
    <w:lvl w:ilvl="7" w:tplc="130CF288" w:tentative="1">
      <w:start w:val="1"/>
      <w:numFmt w:val="bullet"/>
      <w:lvlText w:val=""/>
      <w:lvlJc w:val="left"/>
      <w:pPr>
        <w:tabs>
          <w:tab w:val="num" w:pos="5760"/>
        </w:tabs>
        <w:ind w:left="5760" w:hanging="360"/>
      </w:pPr>
      <w:rPr>
        <w:rFonts w:ascii="Symbol" w:hAnsi="Symbol" w:hint="default"/>
      </w:rPr>
    </w:lvl>
    <w:lvl w:ilvl="8" w:tplc="F48AD67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A115AB"/>
    <w:multiLevelType w:val="multilevel"/>
    <w:tmpl w:val="01B86E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D854CB"/>
    <w:multiLevelType w:val="hybridMultilevel"/>
    <w:tmpl w:val="99A27FE6"/>
    <w:lvl w:ilvl="0" w:tplc="9428679E">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237C95"/>
    <w:multiLevelType w:val="hybridMultilevel"/>
    <w:tmpl w:val="871CC138"/>
    <w:lvl w:ilvl="0" w:tplc="339A22B8">
      <w:start w:val="1"/>
      <w:numFmt w:val="bullet"/>
      <w:lvlText w:val="•"/>
      <w:lvlJc w:val="left"/>
      <w:pPr>
        <w:tabs>
          <w:tab w:val="num" w:pos="720"/>
        </w:tabs>
        <w:ind w:left="720" w:hanging="360"/>
      </w:pPr>
      <w:rPr>
        <w:rFonts w:ascii="Arial" w:hAnsi="Arial" w:hint="default"/>
      </w:rPr>
    </w:lvl>
    <w:lvl w:ilvl="1" w:tplc="40543E3C" w:tentative="1">
      <w:start w:val="1"/>
      <w:numFmt w:val="bullet"/>
      <w:lvlText w:val="•"/>
      <w:lvlJc w:val="left"/>
      <w:pPr>
        <w:tabs>
          <w:tab w:val="num" w:pos="1440"/>
        </w:tabs>
        <w:ind w:left="1440" w:hanging="360"/>
      </w:pPr>
      <w:rPr>
        <w:rFonts w:ascii="Arial" w:hAnsi="Arial" w:hint="default"/>
      </w:rPr>
    </w:lvl>
    <w:lvl w:ilvl="2" w:tplc="FF306B08" w:tentative="1">
      <w:start w:val="1"/>
      <w:numFmt w:val="bullet"/>
      <w:lvlText w:val="•"/>
      <w:lvlJc w:val="left"/>
      <w:pPr>
        <w:tabs>
          <w:tab w:val="num" w:pos="2160"/>
        </w:tabs>
        <w:ind w:left="2160" w:hanging="360"/>
      </w:pPr>
      <w:rPr>
        <w:rFonts w:ascii="Arial" w:hAnsi="Arial" w:hint="default"/>
      </w:rPr>
    </w:lvl>
    <w:lvl w:ilvl="3" w:tplc="A530CB84" w:tentative="1">
      <w:start w:val="1"/>
      <w:numFmt w:val="bullet"/>
      <w:lvlText w:val="•"/>
      <w:lvlJc w:val="left"/>
      <w:pPr>
        <w:tabs>
          <w:tab w:val="num" w:pos="2880"/>
        </w:tabs>
        <w:ind w:left="2880" w:hanging="360"/>
      </w:pPr>
      <w:rPr>
        <w:rFonts w:ascii="Arial" w:hAnsi="Arial" w:hint="default"/>
      </w:rPr>
    </w:lvl>
    <w:lvl w:ilvl="4" w:tplc="231A09B8" w:tentative="1">
      <w:start w:val="1"/>
      <w:numFmt w:val="bullet"/>
      <w:lvlText w:val="•"/>
      <w:lvlJc w:val="left"/>
      <w:pPr>
        <w:tabs>
          <w:tab w:val="num" w:pos="3600"/>
        </w:tabs>
        <w:ind w:left="3600" w:hanging="360"/>
      </w:pPr>
      <w:rPr>
        <w:rFonts w:ascii="Arial" w:hAnsi="Arial" w:hint="default"/>
      </w:rPr>
    </w:lvl>
    <w:lvl w:ilvl="5" w:tplc="2E3C12C0" w:tentative="1">
      <w:start w:val="1"/>
      <w:numFmt w:val="bullet"/>
      <w:lvlText w:val="•"/>
      <w:lvlJc w:val="left"/>
      <w:pPr>
        <w:tabs>
          <w:tab w:val="num" w:pos="4320"/>
        </w:tabs>
        <w:ind w:left="4320" w:hanging="360"/>
      </w:pPr>
      <w:rPr>
        <w:rFonts w:ascii="Arial" w:hAnsi="Arial" w:hint="default"/>
      </w:rPr>
    </w:lvl>
    <w:lvl w:ilvl="6" w:tplc="CB4A67C0" w:tentative="1">
      <w:start w:val="1"/>
      <w:numFmt w:val="bullet"/>
      <w:lvlText w:val="•"/>
      <w:lvlJc w:val="left"/>
      <w:pPr>
        <w:tabs>
          <w:tab w:val="num" w:pos="5040"/>
        </w:tabs>
        <w:ind w:left="5040" w:hanging="360"/>
      </w:pPr>
      <w:rPr>
        <w:rFonts w:ascii="Arial" w:hAnsi="Arial" w:hint="default"/>
      </w:rPr>
    </w:lvl>
    <w:lvl w:ilvl="7" w:tplc="D2689E3A" w:tentative="1">
      <w:start w:val="1"/>
      <w:numFmt w:val="bullet"/>
      <w:lvlText w:val="•"/>
      <w:lvlJc w:val="left"/>
      <w:pPr>
        <w:tabs>
          <w:tab w:val="num" w:pos="5760"/>
        </w:tabs>
        <w:ind w:left="5760" w:hanging="360"/>
      </w:pPr>
      <w:rPr>
        <w:rFonts w:ascii="Arial" w:hAnsi="Arial" w:hint="default"/>
      </w:rPr>
    </w:lvl>
    <w:lvl w:ilvl="8" w:tplc="9B4881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14724A"/>
    <w:multiLevelType w:val="hybridMultilevel"/>
    <w:tmpl w:val="A6CEC3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EB3366C"/>
    <w:multiLevelType w:val="hybridMultilevel"/>
    <w:tmpl w:val="D67E40CC"/>
    <w:lvl w:ilvl="0" w:tplc="7F44D0D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DB0941"/>
    <w:multiLevelType w:val="hybridMultilevel"/>
    <w:tmpl w:val="7A2ED888"/>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B92A3B"/>
    <w:multiLevelType w:val="hybridMultilevel"/>
    <w:tmpl w:val="9D3693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54FA1"/>
    <w:multiLevelType w:val="hybridMultilevel"/>
    <w:tmpl w:val="4A341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3C5142"/>
    <w:multiLevelType w:val="hybridMultilevel"/>
    <w:tmpl w:val="33745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D3354F7"/>
    <w:multiLevelType w:val="hybridMultilevel"/>
    <w:tmpl w:val="58C03EEC"/>
    <w:lvl w:ilvl="0" w:tplc="9580C3F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C6078"/>
    <w:multiLevelType w:val="hybridMultilevel"/>
    <w:tmpl w:val="64D6E476"/>
    <w:lvl w:ilvl="0" w:tplc="2FCCE9A6">
      <w:start w:val="1"/>
      <w:numFmt w:val="bullet"/>
      <w:lvlText w:val="•"/>
      <w:lvlJc w:val="left"/>
      <w:pPr>
        <w:tabs>
          <w:tab w:val="num" w:pos="720"/>
        </w:tabs>
        <w:ind w:left="720" w:hanging="360"/>
      </w:pPr>
      <w:rPr>
        <w:rFonts w:ascii="Arial" w:hAnsi="Arial" w:hint="default"/>
      </w:rPr>
    </w:lvl>
    <w:lvl w:ilvl="1" w:tplc="26C6DADA" w:tentative="1">
      <w:start w:val="1"/>
      <w:numFmt w:val="bullet"/>
      <w:lvlText w:val="•"/>
      <w:lvlJc w:val="left"/>
      <w:pPr>
        <w:tabs>
          <w:tab w:val="num" w:pos="1440"/>
        </w:tabs>
        <w:ind w:left="1440" w:hanging="360"/>
      </w:pPr>
      <w:rPr>
        <w:rFonts w:ascii="Arial" w:hAnsi="Arial" w:hint="default"/>
      </w:rPr>
    </w:lvl>
    <w:lvl w:ilvl="2" w:tplc="59FCB59E" w:tentative="1">
      <w:start w:val="1"/>
      <w:numFmt w:val="bullet"/>
      <w:lvlText w:val="•"/>
      <w:lvlJc w:val="left"/>
      <w:pPr>
        <w:tabs>
          <w:tab w:val="num" w:pos="2160"/>
        </w:tabs>
        <w:ind w:left="2160" w:hanging="360"/>
      </w:pPr>
      <w:rPr>
        <w:rFonts w:ascii="Arial" w:hAnsi="Arial" w:hint="default"/>
      </w:rPr>
    </w:lvl>
    <w:lvl w:ilvl="3" w:tplc="2082610C" w:tentative="1">
      <w:start w:val="1"/>
      <w:numFmt w:val="bullet"/>
      <w:lvlText w:val="•"/>
      <w:lvlJc w:val="left"/>
      <w:pPr>
        <w:tabs>
          <w:tab w:val="num" w:pos="2880"/>
        </w:tabs>
        <w:ind w:left="2880" w:hanging="360"/>
      </w:pPr>
      <w:rPr>
        <w:rFonts w:ascii="Arial" w:hAnsi="Arial" w:hint="default"/>
      </w:rPr>
    </w:lvl>
    <w:lvl w:ilvl="4" w:tplc="987E824E" w:tentative="1">
      <w:start w:val="1"/>
      <w:numFmt w:val="bullet"/>
      <w:lvlText w:val="•"/>
      <w:lvlJc w:val="left"/>
      <w:pPr>
        <w:tabs>
          <w:tab w:val="num" w:pos="3600"/>
        </w:tabs>
        <w:ind w:left="3600" w:hanging="360"/>
      </w:pPr>
      <w:rPr>
        <w:rFonts w:ascii="Arial" w:hAnsi="Arial" w:hint="default"/>
      </w:rPr>
    </w:lvl>
    <w:lvl w:ilvl="5" w:tplc="8CA8A8E4" w:tentative="1">
      <w:start w:val="1"/>
      <w:numFmt w:val="bullet"/>
      <w:lvlText w:val="•"/>
      <w:lvlJc w:val="left"/>
      <w:pPr>
        <w:tabs>
          <w:tab w:val="num" w:pos="4320"/>
        </w:tabs>
        <w:ind w:left="4320" w:hanging="360"/>
      </w:pPr>
      <w:rPr>
        <w:rFonts w:ascii="Arial" w:hAnsi="Arial" w:hint="default"/>
      </w:rPr>
    </w:lvl>
    <w:lvl w:ilvl="6" w:tplc="ABCA122C" w:tentative="1">
      <w:start w:val="1"/>
      <w:numFmt w:val="bullet"/>
      <w:lvlText w:val="•"/>
      <w:lvlJc w:val="left"/>
      <w:pPr>
        <w:tabs>
          <w:tab w:val="num" w:pos="5040"/>
        </w:tabs>
        <w:ind w:left="5040" w:hanging="360"/>
      </w:pPr>
      <w:rPr>
        <w:rFonts w:ascii="Arial" w:hAnsi="Arial" w:hint="default"/>
      </w:rPr>
    </w:lvl>
    <w:lvl w:ilvl="7" w:tplc="8FE4A904" w:tentative="1">
      <w:start w:val="1"/>
      <w:numFmt w:val="bullet"/>
      <w:lvlText w:val="•"/>
      <w:lvlJc w:val="left"/>
      <w:pPr>
        <w:tabs>
          <w:tab w:val="num" w:pos="5760"/>
        </w:tabs>
        <w:ind w:left="5760" w:hanging="360"/>
      </w:pPr>
      <w:rPr>
        <w:rFonts w:ascii="Arial" w:hAnsi="Arial" w:hint="default"/>
      </w:rPr>
    </w:lvl>
    <w:lvl w:ilvl="8" w:tplc="AAA283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791C9A"/>
    <w:multiLevelType w:val="hybridMultilevel"/>
    <w:tmpl w:val="D01A10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0483005"/>
    <w:multiLevelType w:val="hybridMultilevel"/>
    <w:tmpl w:val="74986688"/>
    <w:lvl w:ilvl="0" w:tplc="4F9C9708">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9B1C92"/>
    <w:multiLevelType w:val="multilevel"/>
    <w:tmpl w:val="9114233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051572"/>
    <w:multiLevelType w:val="hybridMultilevel"/>
    <w:tmpl w:val="0C2E88B6"/>
    <w:lvl w:ilvl="0" w:tplc="20EEAC92">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E553650"/>
    <w:multiLevelType w:val="hybridMultilevel"/>
    <w:tmpl w:val="45D4405C"/>
    <w:lvl w:ilvl="0" w:tplc="E278AA92">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C104AF"/>
    <w:multiLevelType w:val="hybridMultilevel"/>
    <w:tmpl w:val="CB4848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008CF"/>
    <w:multiLevelType w:val="hybridMultilevel"/>
    <w:tmpl w:val="2C201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2E7B46"/>
    <w:multiLevelType w:val="hybridMultilevel"/>
    <w:tmpl w:val="E18C78FE"/>
    <w:lvl w:ilvl="0" w:tplc="33DCF854">
      <w:start w:val="1"/>
      <w:numFmt w:val="bullet"/>
      <w:lvlText w:val=""/>
      <w:lvlJc w:val="left"/>
      <w:pPr>
        <w:tabs>
          <w:tab w:val="num" w:pos="720"/>
        </w:tabs>
        <w:ind w:left="720" w:hanging="360"/>
      </w:pPr>
      <w:rPr>
        <w:rFonts w:ascii="Symbol" w:hAnsi="Symbol" w:hint="default"/>
      </w:rPr>
    </w:lvl>
    <w:lvl w:ilvl="1" w:tplc="6B7ABDA6" w:tentative="1">
      <w:start w:val="1"/>
      <w:numFmt w:val="bullet"/>
      <w:lvlText w:val=""/>
      <w:lvlJc w:val="left"/>
      <w:pPr>
        <w:tabs>
          <w:tab w:val="num" w:pos="1440"/>
        </w:tabs>
        <w:ind w:left="1440" w:hanging="360"/>
      </w:pPr>
      <w:rPr>
        <w:rFonts w:ascii="Symbol" w:hAnsi="Symbol" w:hint="default"/>
      </w:rPr>
    </w:lvl>
    <w:lvl w:ilvl="2" w:tplc="37A4F0B0" w:tentative="1">
      <w:start w:val="1"/>
      <w:numFmt w:val="bullet"/>
      <w:lvlText w:val=""/>
      <w:lvlJc w:val="left"/>
      <w:pPr>
        <w:tabs>
          <w:tab w:val="num" w:pos="2160"/>
        </w:tabs>
        <w:ind w:left="2160" w:hanging="360"/>
      </w:pPr>
      <w:rPr>
        <w:rFonts w:ascii="Symbol" w:hAnsi="Symbol" w:hint="default"/>
      </w:rPr>
    </w:lvl>
    <w:lvl w:ilvl="3" w:tplc="5A16940C" w:tentative="1">
      <w:start w:val="1"/>
      <w:numFmt w:val="bullet"/>
      <w:lvlText w:val=""/>
      <w:lvlJc w:val="left"/>
      <w:pPr>
        <w:tabs>
          <w:tab w:val="num" w:pos="2880"/>
        </w:tabs>
        <w:ind w:left="2880" w:hanging="360"/>
      </w:pPr>
      <w:rPr>
        <w:rFonts w:ascii="Symbol" w:hAnsi="Symbol" w:hint="default"/>
      </w:rPr>
    </w:lvl>
    <w:lvl w:ilvl="4" w:tplc="10C6C67C" w:tentative="1">
      <w:start w:val="1"/>
      <w:numFmt w:val="bullet"/>
      <w:lvlText w:val=""/>
      <w:lvlJc w:val="left"/>
      <w:pPr>
        <w:tabs>
          <w:tab w:val="num" w:pos="3600"/>
        </w:tabs>
        <w:ind w:left="3600" w:hanging="360"/>
      </w:pPr>
      <w:rPr>
        <w:rFonts w:ascii="Symbol" w:hAnsi="Symbol" w:hint="default"/>
      </w:rPr>
    </w:lvl>
    <w:lvl w:ilvl="5" w:tplc="0E52D292" w:tentative="1">
      <w:start w:val="1"/>
      <w:numFmt w:val="bullet"/>
      <w:lvlText w:val=""/>
      <w:lvlJc w:val="left"/>
      <w:pPr>
        <w:tabs>
          <w:tab w:val="num" w:pos="4320"/>
        </w:tabs>
        <w:ind w:left="4320" w:hanging="360"/>
      </w:pPr>
      <w:rPr>
        <w:rFonts w:ascii="Symbol" w:hAnsi="Symbol" w:hint="default"/>
      </w:rPr>
    </w:lvl>
    <w:lvl w:ilvl="6" w:tplc="ECE6C2E4" w:tentative="1">
      <w:start w:val="1"/>
      <w:numFmt w:val="bullet"/>
      <w:lvlText w:val=""/>
      <w:lvlJc w:val="left"/>
      <w:pPr>
        <w:tabs>
          <w:tab w:val="num" w:pos="5040"/>
        </w:tabs>
        <w:ind w:left="5040" w:hanging="360"/>
      </w:pPr>
      <w:rPr>
        <w:rFonts w:ascii="Symbol" w:hAnsi="Symbol" w:hint="default"/>
      </w:rPr>
    </w:lvl>
    <w:lvl w:ilvl="7" w:tplc="46582AA0" w:tentative="1">
      <w:start w:val="1"/>
      <w:numFmt w:val="bullet"/>
      <w:lvlText w:val=""/>
      <w:lvlJc w:val="left"/>
      <w:pPr>
        <w:tabs>
          <w:tab w:val="num" w:pos="5760"/>
        </w:tabs>
        <w:ind w:left="5760" w:hanging="360"/>
      </w:pPr>
      <w:rPr>
        <w:rFonts w:ascii="Symbol" w:hAnsi="Symbol" w:hint="default"/>
      </w:rPr>
    </w:lvl>
    <w:lvl w:ilvl="8" w:tplc="A864AAF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78F15C9"/>
    <w:multiLevelType w:val="hybridMultilevel"/>
    <w:tmpl w:val="FDD6C9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A614E30"/>
    <w:multiLevelType w:val="hybridMultilevel"/>
    <w:tmpl w:val="8396B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611F34"/>
    <w:multiLevelType w:val="hybridMultilevel"/>
    <w:tmpl w:val="A11081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F666066"/>
    <w:multiLevelType w:val="hybridMultilevel"/>
    <w:tmpl w:val="972A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B0505"/>
    <w:multiLevelType w:val="hybridMultilevel"/>
    <w:tmpl w:val="62E8D8C8"/>
    <w:lvl w:ilvl="0" w:tplc="FF0AC51E">
      <w:start w:val="1"/>
      <w:numFmt w:val="bullet"/>
      <w:lvlText w:val="•"/>
      <w:lvlJc w:val="left"/>
      <w:pPr>
        <w:tabs>
          <w:tab w:val="num" w:pos="720"/>
        </w:tabs>
        <w:ind w:left="720" w:hanging="360"/>
      </w:pPr>
      <w:rPr>
        <w:rFonts w:ascii="Arial" w:hAnsi="Arial" w:hint="default"/>
      </w:rPr>
    </w:lvl>
    <w:lvl w:ilvl="1" w:tplc="B38A3180" w:tentative="1">
      <w:start w:val="1"/>
      <w:numFmt w:val="bullet"/>
      <w:lvlText w:val="•"/>
      <w:lvlJc w:val="left"/>
      <w:pPr>
        <w:tabs>
          <w:tab w:val="num" w:pos="1440"/>
        </w:tabs>
        <w:ind w:left="1440" w:hanging="360"/>
      </w:pPr>
      <w:rPr>
        <w:rFonts w:ascii="Arial" w:hAnsi="Arial" w:hint="default"/>
      </w:rPr>
    </w:lvl>
    <w:lvl w:ilvl="2" w:tplc="72F23D76" w:tentative="1">
      <w:start w:val="1"/>
      <w:numFmt w:val="bullet"/>
      <w:lvlText w:val="•"/>
      <w:lvlJc w:val="left"/>
      <w:pPr>
        <w:tabs>
          <w:tab w:val="num" w:pos="2160"/>
        </w:tabs>
        <w:ind w:left="2160" w:hanging="360"/>
      </w:pPr>
      <w:rPr>
        <w:rFonts w:ascii="Arial" w:hAnsi="Arial" w:hint="default"/>
      </w:rPr>
    </w:lvl>
    <w:lvl w:ilvl="3" w:tplc="6456C39C" w:tentative="1">
      <w:start w:val="1"/>
      <w:numFmt w:val="bullet"/>
      <w:lvlText w:val="•"/>
      <w:lvlJc w:val="left"/>
      <w:pPr>
        <w:tabs>
          <w:tab w:val="num" w:pos="2880"/>
        </w:tabs>
        <w:ind w:left="2880" w:hanging="360"/>
      </w:pPr>
      <w:rPr>
        <w:rFonts w:ascii="Arial" w:hAnsi="Arial" w:hint="default"/>
      </w:rPr>
    </w:lvl>
    <w:lvl w:ilvl="4" w:tplc="D10AF464" w:tentative="1">
      <w:start w:val="1"/>
      <w:numFmt w:val="bullet"/>
      <w:lvlText w:val="•"/>
      <w:lvlJc w:val="left"/>
      <w:pPr>
        <w:tabs>
          <w:tab w:val="num" w:pos="3600"/>
        </w:tabs>
        <w:ind w:left="3600" w:hanging="360"/>
      </w:pPr>
      <w:rPr>
        <w:rFonts w:ascii="Arial" w:hAnsi="Arial" w:hint="default"/>
      </w:rPr>
    </w:lvl>
    <w:lvl w:ilvl="5" w:tplc="4BC2C0C2" w:tentative="1">
      <w:start w:val="1"/>
      <w:numFmt w:val="bullet"/>
      <w:lvlText w:val="•"/>
      <w:lvlJc w:val="left"/>
      <w:pPr>
        <w:tabs>
          <w:tab w:val="num" w:pos="4320"/>
        </w:tabs>
        <w:ind w:left="4320" w:hanging="360"/>
      </w:pPr>
      <w:rPr>
        <w:rFonts w:ascii="Arial" w:hAnsi="Arial" w:hint="default"/>
      </w:rPr>
    </w:lvl>
    <w:lvl w:ilvl="6" w:tplc="6E8A3ADA" w:tentative="1">
      <w:start w:val="1"/>
      <w:numFmt w:val="bullet"/>
      <w:lvlText w:val="•"/>
      <w:lvlJc w:val="left"/>
      <w:pPr>
        <w:tabs>
          <w:tab w:val="num" w:pos="5040"/>
        </w:tabs>
        <w:ind w:left="5040" w:hanging="360"/>
      </w:pPr>
      <w:rPr>
        <w:rFonts w:ascii="Arial" w:hAnsi="Arial" w:hint="default"/>
      </w:rPr>
    </w:lvl>
    <w:lvl w:ilvl="7" w:tplc="214A6C0E" w:tentative="1">
      <w:start w:val="1"/>
      <w:numFmt w:val="bullet"/>
      <w:lvlText w:val="•"/>
      <w:lvlJc w:val="left"/>
      <w:pPr>
        <w:tabs>
          <w:tab w:val="num" w:pos="5760"/>
        </w:tabs>
        <w:ind w:left="5760" w:hanging="360"/>
      </w:pPr>
      <w:rPr>
        <w:rFonts w:ascii="Arial" w:hAnsi="Arial" w:hint="default"/>
      </w:rPr>
    </w:lvl>
    <w:lvl w:ilvl="8" w:tplc="C78E23E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2015C9"/>
    <w:multiLevelType w:val="multilevel"/>
    <w:tmpl w:val="FEA8216A"/>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9"/>
  </w:num>
  <w:num w:numId="3">
    <w:abstractNumId w:val="8"/>
  </w:num>
  <w:num w:numId="4">
    <w:abstractNumId w:val="11"/>
  </w:num>
  <w:num w:numId="5">
    <w:abstractNumId w:val="5"/>
  </w:num>
  <w:num w:numId="6">
    <w:abstractNumId w:val="17"/>
  </w:num>
  <w:num w:numId="7">
    <w:abstractNumId w:val="10"/>
  </w:num>
  <w:num w:numId="8">
    <w:abstractNumId w:val="21"/>
  </w:num>
  <w:num w:numId="9">
    <w:abstractNumId w:val="18"/>
  </w:num>
  <w:num w:numId="10">
    <w:abstractNumId w:val="23"/>
  </w:num>
  <w:num w:numId="11">
    <w:abstractNumId w:val="13"/>
  </w:num>
  <w:num w:numId="12">
    <w:abstractNumId w:val="7"/>
  </w:num>
  <w:num w:numId="13">
    <w:abstractNumId w:val="24"/>
  </w:num>
  <w:num w:numId="14">
    <w:abstractNumId w:val="22"/>
  </w:num>
  <w:num w:numId="15">
    <w:abstractNumId w:val="4"/>
  </w:num>
  <w:num w:numId="16">
    <w:abstractNumId w:val="12"/>
  </w:num>
  <w:num w:numId="17">
    <w:abstractNumId w:val="2"/>
  </w:num>
  <w:num w:numId="18">
    <w:abstractNumId w:val="15"/>
  </w:num>
  <w:num w:numId="19">
    <w:abstractNumId w:val="25"/>
  </w:num>
  <w:num w:numId="20">
    <w:abstractNumId w:val="0"/>
  </w:num>
  <w:num w:numId="21">
    <w:abstractNumId w:val="20"/>
  </w:num>
  <w:num w:numId="22">
    <w:abstractNumId w:val="1"/>
  </w:num>
  <w:num w:numId="23">
    <w:abstractNumId w:val="6"/>
  </w:num>
  <w:num w:numId="24">
    <w:abstractNumId w:val="26"/>
  </w:num>
  <w:num w:numId="25">
    <w:abstractNumId w:val="14"/>
  </w:num>
  <w:num w:numId="26">
    <w:abstractNumId w:val="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axfperr0tt9jeeweuxewaba5x5s090vffv&quot;&gt;D&amp;amp;B&lt;record-ids&gt;&lt;item&gt;4867&lt;/item&gt;&lt;/record-ids&gt;&lt;/item&gt;&lt;/Libraries&gt;"/>
  </w:docVars>
  <w:rsids>
    <w:rsidRoot w:val="00527BF7"/>
    <w:rsid w:val="000045FC"/>
    <w:rsid w:val="00011F17"/>
    <w:rsid w:val="00012362"/>
    <w:rsid w:val="00012527"/>
    <w:rsid w:val="00013D8C"/>
    <w:rsid w:val="000153D7"/>
    <w:rsid w:val="00023BE8"/>
    <w:rsid w:val="000250EE"/>
    <w:rsid w:val="0002739D"/>
    <w:rsid w:val="000300EB"/>
    <w:rsid w:val="00031666"/>
    <w:rsid w:val="00032123"/>
    <w:rsid w:val="000378D7"/>
    <w:rsid w:val="00044F54"/>
    <w:rsid w:val="00045806"/>
    <w:rsid w:val="00045BCE"/>
    <w:rsid w:val="00047674"/>
    <w:rsid w:val="00051D64"/>
    <w:rsid w:val="00051DA5"/>
    <w:rsid w:val="00052C40"/>
    <w:rsid w:val="00056140"/>
    <w:rsid w:val="00056AD1"/>
    <w:rsid w:val="00057D95"/>
    <w:rsid w:val="00065610"/>
    <w:rsid w:val="00067F4A"/>
    <w:rsid w:val="00070D3C"/>
    <w:rsid w:val="00072E13"/>
    <w:rsid w:val="00075C43"/>
    <w:rsid w:val="00077F8F"/>
    <w:rsid w:val="000859F3"/>
    <w:rsid w:val="0009338C"/>
    <w:rsid w:val="000940ED"/>
    <w:rsid w:val="000952E5"/>
    <w:rsid w:val="00096484"/>
    <w:rsid w:val="000A0CB9"/>
    <w:rsid w:val="000A28BC"/>
    <w:rsid w:val="000A2FED"/>
    <w:rsid w:val="000A6771"/>
    <w:rsid w:val="000B0683"/>
    <w:rsid w:val="000B59B2"/>
    <w:rsid w:val="000B6FA5"/>
    <w:rsid w:val="000B746D"/>
    <w:rsid w:val="000B7801"/>
    <w:rsid w:val="000C076F"/>
    <w:rsid w:val="000C33B2"/>
    <w:rsid w:val="000C38FF"/>
    <w:rsid w:val="000C43F5"/>
    <w:rsid w:val="000C4A63"/>
    <w:rsid w:val="000C6762"/>
    <w:rsid w:val="000C7091"/>
    <w:rsid w:val="000D07C3"/>
    <w:rsid w:val="000D2763"/>
    <w:rsid w:val="000D523C"/>
    <w:rsid w:val="000D6215"/>
    <w:rsid w:val="000D687C"/>
    <w:rsid w:val="000D6EF5"/>
    <w:rsid w:val="000D7D40"/>
    <w:rsid w:val="000E08DE"/>
    <w:rsid w:val="000F0318"/>
    <w:rsid w:val="000F1869"/>
    <w:rsid w:val="000F4D09"/>
    <w:rsid w:val="000F777A"/>
    <w:rsid w:val="001003A5"/>
    <w:rsid w:val="00101727"/>
    <w:rsid w:val="00102B2B"/>
    <w:rsid w:val="00103024"/>
    <w:rsid w:val="001046F4"/>
    <w:rsid w:val="00112EDA"/>
    <w:rsid w:val="00116075"/>
    <w:rsid w:val="001177AD"/>
    <w:rsid w:val="001223C0"/>
    <w:rsid w:val="001256B4"/>
    <w:rsid w:val="00133A61"/>
    <w:rsid w:val="00134EFE"/>
    <w:rsid w:val="00141BDA"/>
    <w:rsid w:val="0015079B"/>
    <w:rsid w:val="001519C4"/>
    <w:rsid w:val="00154516"/>
    <w:rsid w:val="00156272"/>
    <w:rsid w:val="00156965"/>
    <w:rsid w:val="001573CD"/>
    <w:rsid w:val="001608D4"/>
    <w:rsid w:val="00162ACB"/>
    <w:rsid w:val="00163850"/>
    <w:rsid w:val="0016438F"/>
    <w:rsid w:val="00164D72"/>
    <w:rsid w:val="0016565A"/>
    <w:rsid w:val="0017189F"/>
    <w:rsid w:val="001719E7"/>
    <w:rsid w:val="00172090"/>
    <w:rsid w:val="001733DF"/>
    <w:rsid w:val="0017569B"/>
    <w:rsid w:val="00180160"/>
    <w:rsid w:val="00180435"/>
    <w:rsid w:val="001863B3"/>
    <w:rsid w:val="00186D0A"/>
    <w:rsid w:val="00187A4B"/>
    <w:rsid w:val="00190AF8"/>
    <w:rsid w:val="001924EA"/>
    <w:rsid w:val="001940DD"/>
    <w:rsid w:val="00195F81"/>
    <w:rsid w:val="001A04B9"/>
    <w:rsid w:val="001A108F"/>
    <w:rsid w:val="001A2E0E"/>
    <w:rsid w:val="001A33EC"/>
    <w:rsid w:val="001A3B94"/>
    <w:rsid w:val="001A448B"/>
    <w:rsid w:val="001A75DC"/>
    <w:rsid w:val="001A7775"/>
    <w:rsid w:val="001A7856"/>
    <w:rsid w:val="001B30AE"/>
    <w:rsid w:val="001B54B5"/>
    <w:rsid w:val="001C13EA"/>
    <w:rsid w:val="001C430B"/>
    <w:rsid w:val="001C45F3"/>
    <w:rsid w:val="001C4CCB"/>
    <w:rsid w:val="001C630B"/>
    <w:rsid w:val="001D213E"/>
    <w:rsid w:val="001D2172"/>
    <w:rsid w:val="001D3817"/>
    <w:rsid w:val="001D5BC3"/>
    <w:rsid w:val="001D6290"/>
    <w:rsid w:val="001E1ED8"/>
    <w:rsid w:val="001E3977"/>
    <w:rsid w:val="001E3E69"/>
    <w:rsid w:val="001E75C3"/>
    <w:rsid w:val="001F4117"/>
    <w:rsid w:val="001F5A60"/>
    <w:rsid w:val="00203EC0"/>
    <w:rsid w:val="002042EF"/>
    <w:rsid w:val="002047BC"/>
    <w:rsid w:val="00205115"/>
    <w:rsid w:val="002057D6"/>
    <w:rsid w:val="00205E84"/>
    <w:rsid w:val="002079E7"/>
    <w:rsid w:val="002109C7"/>
    <w:rsid w:val="002124AE"/>
    <w:rsid w:val="00213511"/>
    <w:rsid w:val="00220158"/>
    <w:rsid w:val="00222223"/>
    <w:rsid w:val="002226CB"/>
    <w:rsid w:val="00222C08"/>
    <w:rsid w:val="00222D97"/>
    <w:rsid w:val="0022383C"/>
    <w:rsid w:val="00223F85"/>
    <w:rsid w:val="002274F0"/>
    <w:rsid w:val="002316D2"/>
    <w:rsid w:val="00234161"/>
    <w:rsid w:val="00236C83"/>
    <w:rsid w:val="0023708C"/>
    <w:rsid w:val="002408F2"/>
    <w:rsid w:val="00240FFB"/>
    <w:rsid w:val="00241744"/>
    <w:rsid w:val="0024389F"/>
    <w:rsid w:val="00244143"/>
    <w:rsid w:val="00245FE1"/>
    <w:rsid w:val="002472EB"/>
    <w:rsid w:val="00247794"/>
    <w:rsid w:val="0025216F"/>
    <w:rsid w:val="00252F20"/>
    <w:rsid w:val="002550A2"/>
    <w:rsid w:val="002578E2"/>
    <w:rsid w:val="00262CE7"/>
    <w:rsid w:val="002641B9"/>
    <w:rsid w:val="0026683C"/>
    <w:rsid w:val="00266B0F"/>
    <w:rsid w:val="00270317"/>
    <w:rsid w:val="002708BA"/>
    <w:rsid w:val="002750BA"/>
    <w:rsid w:val="0028155D"/>
    <w:rsid w:val="002818A8"/>
    <w:rsid w:val="0028370B"/>
    <w:rsid w:val="00283889"/>
    <w:rsid w:val="00285281"/>
    <w:rsid w:val="00297625"/>
    <w:rsid w:val="002A0C4C"/>
    <w:rsid w:val="002A77A3"/>
    <w:rsid w:val="002B21BD"/>
    <w:rsid w:val="002B2CED"/>
    <w:rsid w:val="002B2E80"/>
    <w:rsid w:val="002B6ACF"/>
    <w:rsid w:val="002B6CC5"/>
    <w:rsid w:val="002B7229"/>
    <w:rsid w:val="002C4722"/>
    <w:rsid w:val="002C6D4D"/>
    <w:rsid w:val="002C7230"/>
    <w:rsid w:val="002C75CA"/>
    <w:rsid w:val="002C7D0F"/>
    <w:rsid w:val="002D3F8A"/>
    <w:rsid w:val="002D4110"/>
    <w:rsid w:val="002D4743"/>
    <w:rsid w:val="002D5D82"/>
    <w:rsid w:val="002E4D67"/>
    <w:rsid w:val="002F3FEA"/>
    <w:rsid w:val="002F4012"/>
    <w:rsid w:val="00300877"/>
    <w:rsid w:val="00302415"/>
    <w:rsid w:val="00302487"/>
    <w:rsid w:val="00304886"/>
    <w:rsid w:val="00306AB5"/>
    <w:rsid w:val="00310675"/>
    <w:rsid w:val="00310E57"/>
    <w:rsid w:val="00311172"/>
    <w:rsid w:val="00311C34"/>
    <w:rsid w:val="00311C5D"/>
    <w:rsid w:val="003120E4"/>
    <w:rsid w:val="00313C6D"/>
    <w:rsid w:val="00314F57"/>
    <w:rsid w:val="00314F9C"/>
    <w:rsid w:val="00315132"/>
    <w:rsid w:val="003174FA"/>
    <w:rsid w:val="0032150D"/>
    <w:rsid w:val="003234E8"/>
    <w:rsid w:val="00324F78"/>
    <w:rsid w:val="003315E3"/>
    <w:rsid w:val="003348A5"/>
    <w:rsid w:val="00344B3C"/>
    <w:rsid w:val="00346B40"/>
    <w:rsid w:val="003507F1"/>
    <w:rsid w:val="003518F8"/>
    <w:rsid w:val="00352839"/>
    <w:rsid w:val="003529EE"/>
    <w:rsid w:val="00352BDD"/>
    <w:rsid w:val="003540F8"/>
    <w:rsid w:val="003629C6"/>
    <w:rsid w:val="00362FC2"/>
    <w:rsid w:val="00364586"/>
    <w:rsid w:val="003778FF"/>
    <w:rsid w:val="00383B0F"/>
    <w:rsid w:val="003933CF"/>
    <w:rsid w:val="003940C6"/>
    <w:rsid w:val="003A3367"/>
    <w:rsid w:val="003A50A6"/>
    <w:rsid w:val="003A53AB"/>
    <w:rsid w:val="003A5430"/>
    <w:rsid w:val="003A57C0"/>
    <w:rsid w:val="003B62E3"/>
    <w:rsid w:val="003B657A"/>
    <w:rsid w:val="003C13B1"/>
    <w:rsid w:val="003C1935"/>
    <w:rsid w:val="003D64AF"/>
    <w:rsid w:val="003E0950"/>
    <w:rsid w:val="003E4404"/>
    <w:rsid w:val="003E4DD2"/>
    <w:rsid w:val="003E59A3"/>
    <w:rsid w:val="003F0528"/>
    <w:rsid w:val="003F16FC"/>
    <w:rsid w:val="003F179E"/>
    <w:rsid w:val="003F32E8"/>
    <w:rsid w:val="003F33FD"/>
    <w:rsid w:val="003F395B"/>
    <w:rsid w:val="003F3D39"/>
    <w:rsid w:val="003F66B9"/>
    <w:rsid w:val="003F6AD6"/>
    <w:rsid w:val="004001A2"/>
    <w:rsid w:val="0040307D"/>
    <w:rsid w:val="004047F7"/>
    <w:rsid w:val="00405FF5"/>
    <w:rsid w:val="004064FB"/>
    <w:rsid w:val="00410158"/>
    <w:rsid w:val="00413DFB"/>
    <w:rsid w:val="00423053"/>
    <w:rsid w:val="004240EE"/>
    <w:rsid w:val="00424D48"/>
    <w:rsid w:val="00425322"/>
    <w:rsid w:val="0042678F"/>
    <w:rsid w:val="00431186"/>
    <w:rsid w:val="00432850"/>
    <w:rsid w:val="00433369"/>
    <w:rsid w:val="00435215"/>
    <w:rsid w:val="00442DC4"/>
    <w:rsid w:val="0044382C"/>
    <w:rsid w:val="0044504D"/>
    <w:rsid w:val="00445A34"/>
    <w:rsid w:val="00453B4D"/>
    <w:rsid w:val="00456C9E"/>
    <w:rsid w:val="004618B6"/>
    <w:rsid w:val="00462E46"/>
    <w:rsid w:val="004631C1"/>
    <w:rsid w:val="00466041"/>
    <w:rsid w:val="004673C5"/>
    <w:rsid w:val="0047497E"/>
    <w:rsid w:val="0047701A"/>
    <w:rsid w:val="00481C0A"/>
    <w:rsid w:val="00483397"/>
    <w:rsid w:val="00484572"/>
    <w:rsid w:val="004847CB"/>
    <w:rsid w:val="00486E7C"/>
    <w:rsid w:val="0048716A"/>
    <w:rsid w:val="00491BED"/>
    <w:rsid w:val="00494CA0"/>
    <w:rsid w:val="0049588A"/>
    <w:rsid w:val="00496692"/>
    <w:rsid w:val="00496E8A"/>
    <w:rsid w:val="0049715D"/>
    <w:rsid w:val="004977CB"/>
    <w:rsid w:val="004A434B"/>
    <w:rsid w:val="004A4722"/>
    <w:rsid w:val="004B0121"/>
    <w:rsid w:val="004B0F91"/>
    <w:rsid w:val="004B350B"/>
    <w:rsid w:val="004B3EA1"/>
    <w:rsid w:val="004C0FE2"/>
    <w:rsid w:val="004D04F7"/>
    <w:rsid w:val="004D0FDD"/>
    <w:rsid w:val="004D146A"/>
    <w:rsid w:val="004D32E0"/>
    <w:rsid w:val="004D39C0"/>
    <w:rsid w:val="004D3CD7"/>
    <w:rsid w:val="004D6157"/>
    <w:rsid w:val="004E0F80"/>
    <w:rsid w:val="004E0FBB"/>
    <w:rsid w:val="004E1B7E"/>
    <w:rsid w:val="004E518D"/>
    <w:rsid w:val="004E59A1"/>
    <w:rsid w:val="004E6DFF"/>
    <w:rsid w:val="004E706C"/>
    <w:rsid w:val="004E7262"/>
    <w:rsid w:val="004E741A"/>
    <w:rsid w:val="004F46FD"/>
    <w:rsid w:val="004F47A0"/>
    <w:rsid w:val="004F6117"/>
    <w:rsid w:val="00501334"/>
    <w:rsid w:val="00504687"/>
    <w:rsid w:val="00511385"/>
    <w:rsid w:val="00511978"/>
    <w:rsid w:val="00514281"/>
    <w:rsid w:val="00516BFB"/>
    <w:rsid w:val="00517A1C"/>
    <w:rsid w:val="005211DE"/>
    <w:rsid w:val="00523774"/>
    <w:rsid w:val="00523B6E"/>
    <w:rsid w:val="00524CC5"/>
    <w:rsid w:val="00524D55"/>
    <w:rsid w:val="00527BF7"/>
    <w:rsid w:val="005313D5"/>
    <w:rsid w:val="00541882"/>
    <w:rsid w:val="00543C23"/>
    <w:rsid w:val="00544072"/>
    <w:rsid w:val="00545CFE"/>
    <w:rsid w:val="00551D11"/>
    <w:rsid w:val="00553A35"/>
    <w:rsid w:val="00553C31"/>
    <w:rsid w:val="005600A5"/>
    <w:rsid w:val="00560ED3"/>
    <w:rsid w:val="0056427E"/>
    <w:rsid w:val="00567E75"/>
    <w:rsid w:val="00571F5A"/>
    <w:rsid w:val="00572907"/>
    <w:rsid w:val="00573857"/>
    <w:rsid w:val="00580955"/>
    <w:rsid w:val="00582478"/>
    <w:rsid w:val="00582A2D"/>
    <w:rsid w:val="00583228"/>
    <w:rsid w:val="005834AE"/>
    <w:rsid w:val="00584ED2"/>
    <w:rsid w:val="00584F92"/>
    <w:rsid w:val="00592CDF"/>
    <w:rsid w:val="00592D4B"/>
    <w:rsid w:val="005949E8"/>
    <w:rsid w:val="005A04C6"/>
    <w:rsid w:val="005A16B8"/>
    <w:rsid w:val="005A3B8B"/>
    <w:rsid w:val="005A4DFE"/>
    <w:rsid w:val="005A58E5"/>
    <w:rsid w:val="005B00FC"/>
    <w:rsid w:val="005B2EF8"/>
    <w:rsid w:val="005B37EF"/>
    <w:rsid w:val="005B4206"/>
    <w:rsid w:val="005B509D"/>
    <w:rsid w:val="005B5AA5"/>
    <w:rsid w:val="005B5C72"/>
    <w:rsid w:val="005B790C"/>
    <w:rsid w:val="005C075F"/>
    <w:rsid w:val="005C3B6D"/>
    <w:rsid w:val="005C68B2"/>
    <w:rsid w:val="005D1C9B"/>
    <w:rsid w:val="005D560D"/>
    <w:rsid w:val="005D6785"/>
    <w:rsid w:val="005D6A07"/>
    <w:rsid w:val="005E051B"/>
    <w:rsid w:val="005E094B"/>
    <w:rsid w:val="005E264F"/>
    <w:rsid w:val="005E41AD"/>
    <w:rsid w:val="005E5AE8"/>
    <w:rsid w:val="005E5F8F"/>
    <w:rsid w:val="005E699B"/>
    <w:rsid w:val="005E6D15"/>
    <w:rsid w:val="005F452F"/>
    <w:rsid w:val="005F55D8"/>
    <w:rsid w:val="005F7C34"/>
    <w:rsid w:val="0060515A"/>
    <w:rsid w:val="00610A91"/>
    <w:rsid w:val="00612649"/>
    <w:rsid w:val="006160A3"/>
    <w:rsid w:val="00617400"/>
    <w:rsid w:val="006174F7"/>
    <w:rsid w:val="00623ABF"/>
    <w:rsid w:val="0062429A"/>
    <w:rsid w:val="00624AC8"/>
    <w:rsid w:val="0062633B"/>
    <w:rsid w:val="0062665D"/>
    <w:rsid w:val="0063000C"/>
    <w:rsid w:val="0063257D"/>
    <w:rsid w:val="006327FF"/>
    <w:rsid w:val="00637981"/>
    <w:rsid w:val="006407E0"/>
    <w:rsid w:val="00641E17"/>
    <w:rsid w:val="006420A3"/>
    <w:rsid w:val="00644635"/>
    <w:rsid w:val="00644BD8"/>
    <w:rsid w:val="00647A13"/>
    <w:rsid w:val="00647C0C"/>
    <w:rsid w:val="00647F95"/>
    <w:rsid w:val="006531CA"/>
    <w:rsid w:val="00656CFE"/>
    <w:rsid w:val="00657DE1"/>
    <w:rsid w:val="00661707"/>
    <w:rsid w:val="00661F99"/>
    <w:rsid w:val="00670138"/>
    <w:rsid w:val="00670AFD"/>
    <w:rsid w:val="006740C3"/>
    <w:rsid w:val="00680909"/>
    <w:rsid w:val="0068210D"/>
    <w:rsid w:val="00683437"/>
    <w:rsid w:val="006847E4"/>
    <w:rsid w:val="00685202"/>
    <w:rsid w:val="0068578C"/>
    <w:rsid w:val="006867CE"/>
    <w:rsid w:val="0069029B"/>
    <w:rsid w:val="00694157"/>
    <w:rsid w:val="006947C0"/>
    <w:rsid w:val="00694877"/>
    <w:rsid w:val="00694B22"/>
    <w:rsid w:val="006A0040"/>
    <w:rsid w:val="006A10D4"/>
    <w:rsid w:val="006A1648"/>
    <w:rsid w:val="006A22B6"/>
    <w:rsid w:val="006A4497"/>
    <w:rsid w:val="006A7588"/>
    <w:rsid w:val="006B1952"/>
    <w:rsid w:val="006B1F07"/>
    <w:rsid w:val="006B2695"/>
    <w:rsid w:val="006C1DD8"/>
    <w:rsid w:val="006C2B24"/>
    <w:rsid w:val="006C681D"/>
    <w:rsid w:val="006D0667"/>
    <w:rsid w:val="006D0982"/>
    <w:rsid w:val="006D3F03"/>
    <w:rsid w:val="006D7F5E"/>
    <w:rsid w:val="006E7023"/>
    <w:rsid w:val="006F2C56"/>
    <w:rsid w:val="006F2CDE"/>
    <w:rsid w:val="006F32D9"/>
    <w:rsid w:val="007013B2"/>
    <w:rsid w:val="0070303C"/>
    <w:rsid w:val="0070360F"/>
    <w:rsid w:val="007040CB"/>
    <w:rsid w:val="0070767B"/>
    <w:rsid w:val="0070784E"/>
    <w:rsid w:val="00711413"/>
    <w:rsid w:val="00711A3C"/>
    <w:rsid w:val="00713E28"/>
    <w:rsid w:val="00716435"/>
    <w:rsid w:val="00716CBA"/>
    <w:rsid w:val="007177F9"/>
    <w:rsid w:val="00721913"/>
    <w:rsid w:val="00732092"/>
    <w:rsid w:val="007320BB"/>
    <w:rsid w:val="0073336B"/>
    <w:rsid w:val="00741B3F"/>
    <w:rsid w:val="00742CC4"/>
    <w:rsid w:val="00743B51"/>
    <w:rsid w:val="00750882"/>
    <w:rsid w:val="00753C30"/>
    <w:rsid w:val="00753C81"/>
    <w:rsid w:val="00753CC2"/>
    <w:rsid w:val="00755495"/>
    <w:rsid w:val="00760519"/>
    <w:rsid w:val="007607CF"/>
    <w:rsid w:val="00762A99"/>
    <w:rsid w:val="007640EA"/>
    <w:rsid w:val="007649AA"/>
    <w:rsid w:val="00766BE1"/>
    <w:rsid w:val="00767D73"/>
    <w:rsid w:val="00771708"/>
    <w:rsid w:val="007741BE"/>
    <w:rsid w:val="0077771B"/>
    <w:rsid w:val="0077790E"/>
    <w:rsid w:val="0078039C"/>
    <w:rsid w:val="0078049F"/>
    <w:rsid w:val="00783D9F"/>
    <w:rsid w:val="0078500B"/>
    <w:rsid w:val="00785356"/>
    <w:rsid w:val="007853A2"/>
    <w:rsid w:val="0079079E"/>
    <w:rsid w:val="00790E89"/>
    <w:rsid w:val="007915BE"/>
    <w:rsid w:val="00791E5B"/>
    <w:rsid w:val="00794609"/>
    <w:rsid w:val="007950D4"/>
    <w:rsid w:val="00795347"/>
    <w:rsid w:val="007A1470"/>
    <w:rsid w:val="007A168E"/>
    <w:rsid w:val="007A2D9D"/>
    <w:rsid w:val="007A3AD3"/>
    <w:rsid w:val="007A4586"/>
    <w:rsid w:val="007A7105"/>
    <w:rsid w:val="007B0E40"/>
    <w:rsid w:val="007B2544"/>
    <w:rsid w:val="007B4569"/>
    <w:rsid w:val="007B66F2"/>
    <w:rsid w:val="007B6A62"/>
    <w:rsid w:val="007C01CD"/>
    <w:rsid w:val="007C2E0A"/>
    <w:rsid w:val="007D092E"/>
    <w:rsid w:val="007D3D01"/>
    <w:rsid w:val="007D5E58"/>
    <w:rsid w:val="007D705E"/>
    <w:rsid w:val="007E368F"/>
    <w:rsid w:val="007E3C61"/>
    <w:rsid w:val="007E7FDE"/>
    <w:rsid w:val="007F1024"/>
    <w:rsid w:val="007F2480"/>
    <w:rsid w:val="007F4E03"/>
    <w:rsid w:val="007F6325"/>
    <w:rsid w:val="007F6721"/>
    <w:rsid w:val="00801DE5"/>
    <w:rsid w:val="0080515A"/>
    <w:rsid w:val="008054BD"/>
    <w:rsid w:val="00806198"/>
    <w:rsid w:val="0081151D"/>
    <w:rsid w:val="0081222A"/>
    <w:rsid w:val="00817BF0"/>
    <w:rsid w:val="00822A63"/>
    <w:rsid w:val="0082381E"/>
    <w:rsid w:val="00840F5E"/>
    <w:rsid w:val="0084626F"/>
    <w:rsid w:val="00847F5C"/>
    <w:rsid w:val="00851BB2"/>
    <w:rsid w:val="00855184"/>
    <w:rsid w:val="00856754"/>
    <w:rsid w:val="008579B3"/>
    <w:rsid w:val="00860898"/>
    <w:rsid w:val="0086098E"/>
    <w:rsid w:val="008623C8"/>
    <w:rsid w:val="008671D3"/>
    <w:rsid w:val="00867869"/>
    <w:rsid w:val="00873CE8"/>
    <w:rsid w:val="00874804"/>
    <w:rsid w:val="0088131A"/>
    <w:rsid w:val="00882A00"/>
    <w:rsid w:val="00885A34"/>
    <w:rsid w:val="0088677B"/>
    <w:rsid w:val="00886CBD"/>
    <w:rsid w:val="00887CEE"/>
    <w:rsid w:val="008906A7"/>
    <w:rsid w:val="00890700"/>
    <w:rsid w:val="00891814"/>
    <w:rsid w:val="008920C3"/>
    <w:rsid w:val="00892767"/>
    <w:rsid w:val="00893170"/>
    <w:rsid w:val="00894890"/>
    <w:rsid w:val="00895232"/>
    <w:rsid w:val="00896999"/>
    <w:rsid w:val="008A048E"/>
    <w:rsid w:val="008A06CD"/>
    <w:rsid w:val="008A16BB"/>
    <w:rsid w:val="008A28EE"/>
    <w:rsid w:val="008A4CC4"/>
    <w:rsid w:val="008A5324"/>
    <w:rsid w:val="008A5AB7"/>
    <w:rsid w:val="008B127E"/>
    <w:rsid w:val="008B4655"/>
    <w:rsid w:val="008C235E"/>
    <w:rsid w:val="008C4E3C"/>
    <w:rsid w:val="008C53C9"/>
    <w:rsid w:val="008C6490"/>
    <w:rsid w:val="008D05BE"/>
    <w:rsid w:val="008D48F7"/>
    <w:rsid w:val="008D4985"/>
    <w:rsid w:val="008D7857"/>
    <w:rsid w:val="008E2679"/>
    <w:rsid w:val="008E3930"/>
    <w:rsid w:val="008E597A"/>
    <w:rsid w:val="008E73BD"/>
    <w:rsid w:val="008E7E6F"/>
    <w:rsid w:val="008E7F81"/>
    <w:rsid w:val="008F113E"/>
    <w:rsid w:val="008F5097"/>
    <w:rsid w:val="008F5FB9"/>
    <w:rsid w:val="008F745B"/>
    <w:rsid w:val="008F7D36"/>
    <w:rsid w:val="00900A8E"/>
    <w:rsid w:val="00901E85"/>
    <w:rsid w:val="009022A4"/>
    <w:rsid w:val="00906614"/>
    <w:rsid w:val="0090729C"/>
    <w:rsid w:val="00910557"/>
    <w:rsid w:val="00910EFD"/>
    <w:rsid w:val="009113A3"/>
    <w:rsid w:val="00911614"/>
    <w:rsid w:val="00913A7A"/>
    <w:rsid w:val="009164F3"/>
    <w:rsid w:val="00916F20"/>
    <w:rsid w:val="00917316"/>
    <w:rsid w:val="00917663"/>
    <w:rsid w:val="00920474"/>
    <w:rsid w:val="00926B4F"/>
    <w:rsid w:val="0093117A"/>
    <w:rsid w:val="00932BAC"/>
    <w:rsid w:val="00933885"/>
    <w:rsid w:val="00935796"/>
    <w:rsid w:val="00940146"/>
    <w:rsid w:val="00940DF2"/>
    <w:rsid w:val="00942057"/>
    <w:rsid w:val="00947B79"/>
    <w:rsid w:val="0095287B"/>
    <w:rsid w:val="00953399"/>
    <w:rsid w:val="00955A58"/>
    <w:rsid w:val="009560AA"/>
    <w:rsid w:val="00956F58"/>
    <w:rsid w:val="009634FA"/>
    <w:rsid w:val="00963E1D"/>
    <w:rsid w:val="00966006"/>
    <w:rsid w:val="00966663"/>
    <w:rsid w:val="00966C60"/>
    <w:rsid w:val="00970723"/>
    <w:rsid w:val="00972645"/>
    <w:rsid w:val="00974A4E"/>
    <w:rsid w:val="00974DA5"/>
    <w:rsid w:val="00982CB6"/>
    <w:rsid w:val="009866F5"/>
    <w:rsid w:val="00986805"/>
    <w:rsid w:val="009868BE"/>
    <w:rsid w:val="00986F2B"/>
    <w:rsid w:val="009913A4"/>
    <w:rsid w:val="00994AE3"/>
    <w:rsid w:val="009971CA"/>
    <w:rsid w:val="009A00FD"/>
    <w:rsid w:val="009A108B"/>
    <w:rsid w:val="009A3AB7"/>
    <w:rsid w:val="009A4540"/>
    <w:rsid w:val="009A4874"/>
    <w:rsid w:val="009A73C3"/>
    <w:rsid w:val="009A7680"/>
    <w:rsid w:val="009B3E72"/>
    <w:rsid w:val="009C18AE"/>
    <w:rsid w:val="009C1AEC"/>
    <w:rsid w:val="009C31A0"/>
    <w:rsid w:val="009C3430"/>
    <w:rsid w:val="009C4046"/>
    <w:rsid w:val="009C510C"/>
    <w:rsid w:val="009C5AE2"/>
    <w:rsid w:val="009C6BB3"/>
    <w:rsid w:val="009D349E"/>
    <w:rsid w:val="009D62A8"/>
    <w:rsid w:val="009D7392"/>
    <w:rsid w:val="009E0EFB"/>
    <w:rsid w:val="009E142F"/>
    <w:rsid w:val="009E272C"/>
    <w:rsid w:val="009E693B"/>
    <w:rsid w:val="009F05A5"/>
    <w:rsid w:val="009F082F"/>
    <w:rsid w:val="009F495C"/>
    <w:rsid w:val="009F634D"/>
    <w:rsid w:val="009F66FB"/>
    <w:rsid w:val="00A0004E"/>
    <w:rsid w:val="00A04EE3"/>
    <w:rsid w:val="00A06033"/>
    <w:rsid w:val="00A12A1F"/>
    <w:rsid w:val="00A12A7B"/>
    <w:rsid w:val="00A13459"/>
    <w:rsid w:val="00A16430"/>
    <w:rsid w:val="00A1651C"/>
    <w:rsid w:val="00A17A20"/>
    <w:rsid w:val="00A249E2"/>
    <w:rsid w:val="00A2532D"/>
    <w:rsid w:val="00A3101C"/>
    <w:rsid w:val="00A31B0E"/>
    <w:rsid w:val="00A320CE"/>
    <w:rsid w:val="00A34FAA"/>
    <w:rsid w:val="00A35B35"/>
    <w:rsid w:val="00A35F00"/>
    <w:rsid w:val="00A3742E"/>
    <w:rsid w:val="00A40937"/>
    <w:rsid w:val="00A426BA"/>
    <w:rsid w:val="00A44143"/>
    <w:rsid w:val="00A44B56"/>
    <w:rsid w:val="00A45350"/>
    <w:rsid w:val="00A4557A"/>
    <w:rsid w:val="00A50EDF"/>
    <w:rsid w:val="00A61DD0"/>
    <w:rsid w:val="00A65DA0"/>
    <w:rsid w:val="00A71C03"/>
    <w:rsid w:val="00A71DB6"/>
    <w:rsid w:val="00A73AAB"/>
    <w:rsid w:val="00A74E6E"/>
    <w:rsid w:val="00A76863"/>
    <w:rsid w:val="00A82D9A"/>
    <w:rsid w:val="00A868BF"/>
    <w:rsid w:val="00A871BD"/>
    <w:rsid w:val="00A91956"/>
    <w:rsid w:val="00A91B95"/>
    <w:rsid w:val="00A9361C"/>
    <w:rsid w:val="00A942E0"/>
    <w:rsid w:val="00A956F9"/>
    <w:rsid w:val="00A95FE2"/>
    <w:rsid w:val="00A969D9"/>
    <w:rsid w:val="00A96C9E"/>
    <w:rsid w:val="00A97054"/>
    <w:rsid w:val="00AA0A9B"/>
    <w:rsid w:val="00AA293F"/>
    <w:rsid w:val="00AA7B2A"/>
    <w:rsid w:val="00AB05A8"/>
    <w:rsid w:val="00AB3124"/>
    <w:rsid w:val="00AB3771"/>
    <w:rsid w:val="00AB4640"/>
    <w:rsid w:val="00AB53D3"/>
    <w:rsid w:val="00AB7931"/>
    <w:rsid w:val="00AB7B7A"/>
    <w:rsid w:val="00AC07A0"/>
    <w:rsid w:val="00AC0E51"/>
    <w:rsid w:val="00AC1F12"/>
    <w:rsid w:val="00AC2483"/>
    <w:rsid w:val="00AC284B"/>
    <w:rsid w:val="00AC73F0"/>
    <w:rsid w:val="00AD0856"/>
    <w:rsid w:val="00AD16C4"/>
    <w:rsid w:val="00AD1B59"/>
    <w:rsid w:val="00AD5487"/>
    <w:rsid w:val="00AD755F"/>
    <w:rsid w:val="00AE296C"/>
    <w:rsid w:val="00AE3AB1"/>
    <w:rsid w:val="00AE6801"/>
    <w:rsid w:val="00AF222C"/>
    <w:rsid w:val="00AF3C6E"/>
    <w:rsid w:val="00AF4970"/>
    <w:rsid w:val="00AF5727"/>
    <w:rsid w:val="00AF66DC"/>
    <w:rsid w:val="00AF6B33"/>
    <w:rsid w:val="00AF71AB"/>
    <w:rsid w:val="00B04CFD"/>
    <w:rsid w:val="00B05AD1"/>
    <w:rsid w:val="00B07A71"/>
    <w:rsid w:val="00B12B3B"/>
    <w:rsid w:val="00B12FE3"/>
    <w:rsid w:val="00B14417"/>
    <w:rsid w:val="00B16495"/>
    <w:rsid w:val="00B178CE"/>
    <w:rsid w:val="00B269EC"/>
    <w:rsid w:val="00B345E9"/>
    <w:rsid w:val="00B34E42"/>
    <w:rsid w:val="00B35E2D"/>
    <w:rsid w:val="00B41833"/>
    <w:rsid w:val="00B433B0"/>
    <w:rsid w:val="00B4625B"/>
    <w:rsid w:val="00B46DDC"/>
    <w:rsid w:val="00B46EEB"/>
    <w:rsid w:val="00B5002F"/>
    <w:rsid w:val="00B510A2"/>
    <w:rsid w:val="00B5253C"/>
    <w:rsid w:val="00B55FF7"/>
    <w:rsid w:val="00B56412"/>
    <w:rsid w:val="00B574FC"/>
    <w:rsid w:val="00B61A00"/>
    <w:rsid w:val="00B62EEE"/>
    <w:rsid w:val="00B637E2"/>
    <w:rsid w:val="00B6509D"/>
    <w:rsid w:val="00B65754"/>
    <w:rsid w:val="00B702B8"/>
    <w:rsid w:val="00B71811"/>
    <w:rsid w:val="00B719D7"/>
    <w:rsid w:val="00B730C1"/>
    <w:rsid w:val="00B749DD"/>
    <w:rsid w:val="00B758E5"/>
    <w:rsid w:val="00B76D13"/>
    <w:rsid w:val="00B840EB"/>
    <w:rsid w:val="00B9044D"/>
    <w:rsid w:val="00B94B1A"/>
    <w:rsid w:val="00B95066"/>
    <w:rsid w:val="00B95F54"/>
    <w:rsid w:val="00B960D2"/>
    <w:rsid w:val="00B96786"/>
    <w:rsid w:val="00BA1524"/>
    <w:rsid w:val="00BB115A"/>
    <w:rsid w:val="00BB2E2D"/>
    <w:rsid w:val="00BB4ACE"/>
    <w:rsid w:val="00BB53F7"/>
    <w:rsid w:val="00BC06D6"/>
    <w:rsid w:val="00BC25AD"/>
    <w:rsid w:val="00BC459F"/>
    <w:rsid w:val="00BD00D6"/>
    <w:rsid w:val="00BD134B"/>
    <w:rsid w:val="00BD159A"/>
    <w:rsid w:val="00BD1F9C"/>
    <w:rsid w:val="00BD3EA6"/>
    <w:rsid w:val="00BD4DFE"/>
    <w:rsid w:val="00BD580D"/>
    <w:rsid w:val="00BE0CFD"/>
    <w:rsid w:val="00BE123D"/>
    <w:rsid w:val="00BE6163"/>
    <w:rsid w:val="00BF230F"/>
    <w:rsid w:val="00BF46F4"/>
    <w:rsid w:val="00BF5652"/>
    <w:rsid w:val="00BF5DB7"/>
    <w:rsid w:val="00BF637C"/>
    <w:rsid w:val="00C00621"/>
    <w:rsid w:val="00C01542"/>
    <w:rsid w:val="00C028DF"/>
    <w:rsid w:val="00C02F94"/>
    <w:rsid w:val="00C04413"/>
    <w:rsid w:val="00C05C8C"/>
    <w:rsid w:val="00C12A98"/>
    <w:rsid w:val="00C14AEB"/>
    <w:rsid w:val="00C161B8"/>
    <w:rsid w:val="00C20023"/>
    <w:rsid w:val="00C30116"/>
    <w:rsid w:val="00C305E9"/>
    <w:rsid w:val="00C342F9"/>
    <w:rsid w:val="00C35479"/>
    <w:rsid w:val="00C37A45"/>
    <w:rsid w:val="00C40194"/>
    <w:rsid w:val="00C41F45"/>
    <w:rsid w:val="00C423B9"/>
    <w:rsid w:val="00C44AEE"/>
    <w:rsid w:val="00C543E8"/>
    <w:rsid w:val="00C57406"/>
    <w:rsid w:val="00C64004"/>
    <w:rsid w:val="00C6776B"/>
    <w:rsid w:val="00C700B1"/>
    <w:rsid w:val="00C72116"/>
    <w:rsid w:val="00C72F49"/>
    <w:rsid w:val="00C743AF"/>
    <w:rsid w:val="00C75213"/>
    <w:rsid w:val="00C806DE"/>
    <w:rsid w:val="00C82740"/>
    <w:rsid w:val="00C8406D"/>
    <w:rsid w:val="00C84FE1"/>
    <w:rsid w:val="00C86AF0"/>
    <w:rsid w:val="00C912BF"/>
    <w:rsid w:val="00C93323"/>
    <w:rsid w:val="00C95175"/>
    <w:rsid w:val="00C96C54"/>
    <w:rsid w:val="00CA151C"/>
    <w:rsid w:val="00CA38E8"/>
    <w:rsid w:val="00CA46EC"/>
    <w:rsid w:val="00CA5325"/>
    <w:rsid w:val="00CA69C3"/>
    <w:rsid w:val="00CA7787"/>
    <w:rsid w:val="00CB16AA"/>
    <w:rsid w:val="00CB1DE1"/>
    <w:rsid w:val="00CB1EE7"/>
    <w:rsid w:val="00CB386B"/>
    <w:rsid w:val="00CB3CD7"/>
    <w:rsid w:val="00CB71D5"/>
    <w:rsid w:val="00CC1A5C"/>
    <w:rsid w:val="00CC2ABA"/>
    <w:rsid w:val="00CC627E"/>
    <w:rsid w:val="00CC795A"/>
    <w:rsid w:val="00CD29B1"/>
    <w:rsid w:val="00CD4241"/>
    <w:rsid w:val="00CD5772"/>
    <w:rsid w:val="00CD6BA7"/>
    <w:rsid w:val="00CE1686"/>
    <w:rsid w:val="00CE4933"/>
    <w:rsid w:val="00CE5DE7"/>
    <w:rsid w:val="00CF07DA"/>
    <w:rsid w:val="00CF17B5"/>
    <w:rsid w:val="00CF4950"/>
    <w:rsid w:val="00CF56E0"/>
    <w:rsid w:val="00CF5797"/>
    <w:rsid w:val="00CF6D11"/>
    <w:rsid w:val="00CF6DD3"/>
    <w:rsid w:val="00D00F00"/>
    <w:rsid w:val="00D01A3B"/>
    <w:rsid w:val="00D02DE4"/>
    <w:rsid w:val="00D032F7"/>
    <w:rsid w:val="00D0528B"/>
    <w:rsid w:val="00D100C0"/>
    <w:rsid w:val="00D106A6"/>
    <w:rsid w:val="00D10A90"/>
    <w:rsid w:val="00D13458"/>
    <w:rsid w:val="00D14132"/>
    <w:rsid w:val="00D15E5F"/>
    <w:rsid w:val="00D16E86"/>
    <w:rsid w:val="00D1794B"/>
    <w:rsid w:val="00D201B1"/>
    <w:rsid w:val="00D20B8B"/>
    <w:rsid w:val="00D232B0"/>
    <w:rsid w:val="00D23D1A"/>
    <w:rsid w:val="00D2746E"/>
    <w:rsid w:val="00D35441"/>
    <w:rsid w:val="00D403EF"/>
    <w:rsid w:val="00D40953"/>
    <w:rsid w:val="00D4282E"/>
    <w:rsid w:val="00D42976"/>
    <w:rsid w:val="00D4418C"/>
    <w:rsid w:val="00D503D1"/>
    <w:rsid w:val="00D516BE"/>
    <w:rsid w:val="00D526EF"/>
    <w:rsid w:val="00D52CBE"/>
    <w:rsid w:val="00D53A58"/>
    <w:rsid w:val="00D54C54"/>
    <w:rsid w:val="00D54EA7"/>
    <w:rsid w:val="00D55AC2"/>
    <w:rsid w:val="00D62A60"/>
    <w:rsid w:val="00D666B6"/>
    <w:rsid w:val="00D7310A"/>
    <w:rsid w:val="00D7320F"/>
    <w:rsid w:val="00D73A9A"/>
    <w:rsid w:val="00D73D83"/>
    <w:rsid w:val="00D7445C"/>
    <w:rsid w:val="00D745DD"/>
    <w:rsid w:val="00D747A7"/>
    <w:rsid w:val="00D75740"/>
    <w:rsid w:val="00D8119C"/>
    <w:rsid w:val="00D81359"/>
    <w:rsid w:val="00D81A8D"/>
    <w:rsid w:val="00D86281"/>
    <w:rsid w:val="00D86926"/>
    <w:rsid w:val="00D87CF4"/>
    <w:rsid w:val="00D90B1F"/>
    <w:rsid w:val="00D93314"/>
    <w:rsid w:val="00D95168"/>
    <w:rsid w:val="00D978FF"/>
    <w:rsid w:val="00DA097E"/>
    <w:rsid w:val="00DA10F8"/>
    <w:rsid w:val="00DA2971"/>
    <w:rsid w:val="00DA5FFF"/>
    <w:rsid w:val="00DB225D"/>
    <w:rsid w:val="00DB2A8D"/>
    <w:rsid w:val="00DB2C0F"/>
    <w:rsid w:val="00DB3715"/>
    <w:rsid w:val="00DB4429"/>
    <w:rsid w:val="00DB58AC"/>
    <w:rsid w:val="00DB59F6"/>
    <w:rsid w:val="00DB5FB1"/>
    <w:rsid w:val="00DB7AEA"/>
    <w:rsid w:val="00DC5DA8"/>
    <w:rsid w:val="00DC69D4"/>
    <w:rsid w:val="00DD1B8E"/>
    <w:rsid w:val="00DD3308"/>
    <w:rsid w:val="00DD3A41"/>
    <w:rsid w:val="00DD3FBA"/>
    <w:rsid w:val="00DD72B8"/>
    <w:rsid w:val="00DE225B"/>
    <w:rsid w:val="00DE245A"/>
    <w:rsid w:val="00DE3CAA"/>
    <w:rsid w:val="00DE3F78"/>
    <w:rsid w:val="00DE548A"/>
    <w:rsid w:val="00DE5BDE"/>
    <w:rsid w:val="00DE626A"/>
    <w:rsid w:val="00DE7C0D"/>
    <w:rsid w:val="00DF1CF9"/>
    <w:rsid w:val="00DF1ECF"/>
    <w:rsid w:val="00DF4196"/>
    <w:rsid w:val="00DF5A56"/>
    <w:rsid w:val="00DF6BB6"/>
    <w:rsid w:val="00DF6E9F"/>
    <w:rsid w:val="00DF7E4E"/>
    <w:rsid w:val="00E01A67"/>
    <w:rsid w:val="00E0338E"/>
    <w:rsid w:val="00E048F9"/>
    <w:rsid w:val="00E064BC"/>
    <w:rsid w:val="00E06D02"/>
    <w:rsid w:val="00E15BF1"/>
    <w:rsid w:val="00E16265"/>
    <w:rsid w:val="00E2438E"/>
    <w:rsid w:val="00E252A3"/>
    <w:rsid w:val="00E25745"/>
    <w:rsid w:val="00E32965"/>
    <w:rsid w:val="00E32CD4"/>
    <w:rsid w:val="00E33193"/>
    <w:rsid w:val="00E34245"/>
    <w:rsid w:val="00E35F71"/>
    <w:rsid w:val="00E36677"/>
    <w:rsid w:val="00E42B9B"/>
    <w:rsid w:val="00E43928"/>
    <w:rsid w:val="00E442C4"/>
    <w:rsid w:val="00E61A2E"/>
    <w:rsid w:val="00E63959"/>
    <w:rsid w:val="00E6465B"/>
    <w:rsid w:val="00E701F1"/>
    <w:rsid w:val="00E7228F"/>
    <w:rsid w:val="00E73384"/>
    <w:rsid w:val="00E76BA9"/>
    <w:rsid w:val="00E77CEE"/>
    <w:rsid w:val="00E80457"/>
    <w:rsid w:val="00E82469"/>
    <w:rsid w:val="00E833E9"/>
    <w:rsid w:val="00E83ED0"/>
    <w:rsid w:val="00E86FFE"/>
    <w:rsid w:val="00E873B9"/>
    <w:rsid w:val="00E90646"/>
    <w:rsid w:val="00E9670F"/>
    <w:rsid w:val="00EA13F0"/>
    <w:rsid w:val="00EA635B"/>
    <w:rsid w:val="00EB2333"/>
    <w:rsid w:val="00EB2597"/>
    <w:rsid w:val="00EB4527"/>
    <w:rsid w:val="00EB511B"/>
    <w:rsid w:val="00EB608D"/>
    <w:rsid w:val="00EB61C2"/>
    <w:rsid w:val="00EB6630"/>
    <w:rsid w:val="00EB6804"/>
    <w:rsid w:val="00EB69B5"/>
    <w:rsid w:val="00EC0FF4"/>
    <w:rsid w:val="00EC13F2"/>
    <w:rsid w:val="00EC5167"/>
    <w:rsid w:val="00EC67FA"/>
    <w:rsid w:val="00ED0D72"/>
    <w:rsid w:val="00ED2511"/>
    <w:rsid w:val="00ED2A8C"/>
    <w:rsid w:val="00ED5248"/>
    <w:rsid w:val="00ED5AA2"/>
    <w:rsid w:val="00ED765A"/>
    <w:rsid w:val="00EE59D1"/>
    <w:rsid w:val="00EE639C"/>
    <w:rsid w:val="00EF0490"/>
    <w:rsid w:val="00EF0BF5"/>
    <w:rsid w:val="00EF14A6"/>
    <w:rsid w:val="00EF18A1"/>
    <w:rsid w:val="00EF35D3"/>
    <w:rsid w:val="00EF4B45"/>
    <w:rsid w:val="00EF5D4F"/>
    <w:rsid w:val="00EF7995"/>
    <w:rsid w:val="00F00182"/>
    <w:rsid w:val="00F035F8"/>
    <w:rsid w:val="00F0515E"/>
    <w:rsid w:val="00F07CC2"/>
    <w:rsid w:val="00F11265"/>
    <w:rsid w:val="00F1166C"/>
    <w:rsid w:val="00F120FA"/>
    <w:rsid w:val="00F12D82"/>
    <w:rsid w:val="00F1454F"/>
    <w:rsid w:val="00F205BD"/>
    <w:rsid w:val="00F2380C"/>
    <w:rsid w:val="00F2426B"/>
    <w:rsid w:val="00F245BB"/>
    <w:rsid w:val="00F27AF2"/>
    <w:rsid w:val="00F51058"/>
    <w:rsid w:val="00F515B5"/>
    <w:rsid w:val="00F54841"/>
    <w:rsid w:val="00F54D04"/>
    <w:rsid w:val="00F55B48"/>
    <w:rsid w:val="00F60DA2"/>
    <w:rsid w:val="00F6314F"/>
    <w:rsid w:val="00F63902"/>
    <w:rsid w:val="00F63B10"/>
    <w:rsid w:val="00F645DD"/>
    <w:rsid w:val="00F67967"/>
    <w:rsid w:val="00F67E41"/>
    <w:rsid w:val="00F7033B"/>
    <w:rsid w:val="00F72E15"/>
    <w:rsid w:val="00F72F12"/>
    <w:rsid w:val="00F776F8"/>
    <w:rsid w:val="00F77DAC"/>
    <w:rsid w:val="00F8022F"/>
    <w:rsid w:val="00F80FA6"/>
    <w:rsid w:val="00F81820"/>
    <w:rsid w:val="00F86A0B"/>
    <w:rsid w:val="00F907C8"/>
    <w:rsid w:val="00F90ACB"/>
    <w:rsid w:val="00F92965"/>
    <w:rsid w:val="00F949E5"/>
    <w:rsid w:val="00F94AD1"/>
    <w:rsid w:val="00FA012B"/>
    <w:rsid w:val="00FA05DB"/>
    <w:rsid w:val="00FA1A8F"/>
    <w:rsid w:val="00FA3504"/>
    <w:rsid w:val="00FA3DF9"/>
    <w:rsid w:val="00FA4F30"/>
    <w:rsid w:val="00FA553E"/>
    <w:rsid w:val="00FB0472"/>
    <w:rsid w:val="00FB0DE1"/>
    <w:rsid w:val="00FB35D0"/>
    <w:rsid w:val="00FB55AA"/>
    <w:rsid w:val="00FB5CCC"/>
    <w:rsid w:val="00FB7501"/>
    <w:rsid w:val="00FC08A3"/>
    <w:rsid w:val="00FC08DE"/>
    <w:rsid w:val="00FC2AC9"/>
    <w:rsid w:val="00FC796D"/>
    <w:rsid w:val="00FD19C4"/>
    <w:rsid w:val="00FD2F07"/>
    <w:rsid w:val="00FD421C"/>
    <w:rsid w:val="00FD5043"/>
    <w:rsid w:val="00FD55A5"/>
    <w:rsid w:val="00FE0F2A"/>
    <w:rsid w:val="00FE2E09"/>
    <w:rsid w:val="00FE639F"/>
    <w:rsid w:val="00FF13DF"/>
    <w:rsid w:val="00FF21AE"/>
    <w:rsid w:val="00FF2AEE"/>
    <w:rsid w:val="00FF4EB6"/>
    <w:rsid w:val="00FF5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F828FB"/>
  <w15:docId w15:val="{C0D9B34E-0847-4B16-AD4A-D96962C6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7BF7"/>
    <w:pPr>
      <w:spacing w:after="0" w:line="240" w:lineRule="auto"/>
    </w:pPr>
    <w:rPr>
      <w:rFonts w:ascii="Times New Roman" w:eastAsia="Times New Roman" w:hAnsi="Times New Roman"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rsid w:val="00527BF7"/>
    <w:rPr>
      <w:rFonts w:ascii="Arial" w:hAnsi="Arial" w:cs="Arial"/>
      <w:b/>
      <w:bCs/>
      <w:sz w:val="28"/>
      <w:szCs w:val="28"/>
    </w:rPr>
  </w:style>
  <w:style w:type="character" w:customStyle="1" w:styleId="PlattetekstChar">
    <w:name w:val="Platte tekst Char"/>
    <w:basedOn w:val="Standaardalinea-lettertype"/>
    <w:link w:val="Plattetekst"/>
    <w:uiPriority w:val="99"/>
    <w:rsid w:val="00527BF7"/>
    <w:rPr>
      <w:rFonts w:ascii="Arial" w:eastAsia="Times New Roman" w:hAnsi="Arial" w:cs="Arial"/>
      <w:b/>
      <w:bCs/>
      <w:sz w:val="28"/>
      <w:szCs w:val="28"/>
    </w:rPr>
  </w:style>
  <w:style w:type="table" w:styleId="Tabelraster">
    <w:name w:val="Table Grid"/>
    <w:basedOn w:val="Standaardtabel"/>
    <w:uiPriority w:val="59"/>
    <w:rsid w:val="003B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84FE1"/>
    <w:rPr>
      <w:sz w:val="16"/>
      <w:szCs w:val="16"/>
    </w:rPr>
  </w:style>
  <w:style w:type="paragraph" w:styleId="Tekstopmerking">
    <w:name w:val="annotation text"/>
    <w:basedOn w:val="Standaard"/>
    <w:link w:val="TekstopmerkingChar"/>
    <w:uiPriority w:val="99"/>
    <w:unhideWhenUsed/>
    <w:rsid w:val="00C84FE1"/>
    <w:rPr>
      <w:sz w:val="20"/>
      <w:szCs w:val="20"/>
    </w:rPr>
  </w:style>
  <w:style w:type="character" w:customStyle="1" w:styleId="TekstopmerkingChar">
    <w:name w:val="Tekst opmerking Char"/>
    <w:basedOn w:val="Standaardalinea-lettertype"/>
    <w:link w:val="Tekstopmerking"/>
    <w:uiPriority w:val="99"/>
    <w:rsid w:val="00C84FE1"/>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C84FE1"/>
    <w:rPr>
      <w:b/>
      <w:bCs/>
    </w:rPr>
  </w:style>
  <w:style w:type="character" w:customStyle="1" w:styleId="OnderwerpvanopmerkingChar">
    <w:name w:val="Onderwerp van opmerking Char"/>
    <w:basedOn w:val="TekstopmerkingChar"/>
    <w:link w:val="Onderwerpvanopmerking"/>
    <w:uiPriority w:val="99"/>
    <w:semiHidden/>
    <w:rsid w:val="00C84FE1"/>
    <w:rPr>
      <w:rFonts w:ascii="Times New Roman" w:eastAsia="Times New Roman" w:hAnsi="Times New Roman" w:cs="Times New Roman"/>
      <w:b/>
      <w:bCs/>
      <w:sz w:val="20"/>
      <w:szCs w:val="20"/>
    </w:rPr>
  </w:style>
  <w:style w:type="paragraph" w:styleId="Ballontekst">
    <w:name w:val="Balloon Text"/>
    <w:basedOn w:val="Standaard"/>
    <w:link w:val="BallontekstChar"/>
    <w:uiPriority w:val="99"/>
    <w:semiHidden/>
    <w:unhideWhenUsed/>
    <w:rsid w:val="00C84FE1"/>
    <w:rPr>
      <w:rFonts w:ascii="Tahoma" w:hAnsi="Tahoma" w:cs="Tahoma"/>
      <w:sz w:val="16"/>
      <w:szCs w:val="16"/>
    </w:rPr>
  </w:style>
  <w:style w:type="character" w:customStyle="1" w:styleId="BallontekstChar">
    <w:name w:val="Ballontekst Char"/>
    <w:basedOn w:val="Standaardalinea-lettertype"/>
    <w:link w:val="Ballontekst"/>
    <w:uiPriority w:val="99"/>
    <w:semiHidden/>
    <w:rsid w:val="00C84FE1"/>
    <w:rPr>
      <w:rFonts w:ascii="Tahoma" w:eastAsia="Times New Roman" w:hAnsi="Tahoma" w:cs="Tahoma"/>
      <w:sz w:val="16"/>
      <w:szCs w:val="16"/>
    </w:rPr>
  </w:style>
  <w:style w:type="paragraph" w:styleId="Geenafstand">
    <w:name w:val="No Spacing"/>
    <w:uiPriority w:val="1"/>
    <w:qFormat/>
    <w:rsid w:val="00E442C4"/>
    <w:pPr>
      <w:spacing w:after="0" w:line="240" w:lineRule="auto"/>
    </w:pPr>
  </w:style>
  <w:style w:type="paragraph" w:styleId="Voettekst">
    <w:name w:val="footer"/>
    <w:basedOn w:val="Standaard"/>
    <w:link w:val="VoettekstChar"/>
    <w:uiPriority w:val="99"/>
    <w:rsid w:val="004B0F91"/>
    <w:pPr>
      <w:tabs>
        <w:tab w:val="center" w:pos="4153"/>
        <w:tab w:val="right" w:pos="8306"/>
      </w:tabs>
    </w:pPr>
  </w:style>
  <w:style w:type="character" w:customStyle="1" w:styleId="VoettekstChar">
    <w:name w:val="Voettekst Char"/>
    <w:basedOn w:val="Standaardalinea-lettertype"/>
    <w:link w:val="Voettekst"/>
    <w:uiPriority w:val="99"/>
    <w:rsid w:val="004B0F91"/>
    <w:rPr>
      <w:rFonts w:ascii="Times New Roman" w:eastAsia="Times New Roman" w:hAnsi="Times New Roman" w:cs="Times New Roman"/>
      <w:sz w:val="24"/>
      <w:szCs w:val="24"/>
    </w:rPr>
  </w:style>
  <w:style w:type="paragraph" w:customStyle="1" w:styleId="EndNoteBibliographyTitle">
    <w:name w:val="EndNote Bibliography Title"/>
    <w:basedOn w:val="Standaard"/>
    <w:link w:val="EndNoteBibliographyTitleChar"/>
    <w:rsid w:val="004B0F91"/>
    <w:pPr>
      <w:jc w:val="center"/>
    </w:pPr>
    <w:rPr>
      <w:noProof/>
      <w:lang w:val="en-US"/>
    </w:rPr>
  </w:style>
  <w:style w:type="character" w:customStyle="1" w:styleId="EndNoteBibliographyTitleChar">
    <w:name w:val="EndNote Bibliography Title Char"/>
    <w:basedOn w:val="Standaardalinea-lettertype"/>
    <w:link w:val="EndNoteBibliographyTitle"/>
    <w:rsid w:val="004B0F91"/>
    <w:rPr>
      <w:rFonts w:ascii="Times New Roman" w:eastAsia="Times New Roman" w:hAnsi="Times New Roman" w:cs="Times New Roman"/>
      <w:noProof/>
      <w:sz w:val="24"/>
      <w:szCs w:val="24"/>
      <w:lang w:val="en-US"/>
    </w:rPr>
  </w:style>
  <w:style w:type="paragraph" w:customStyle="1" w:styleId="EndNoteBibliography">
    <w:name w:val="EndNote Bibliography"/>
    <w:basedOn w:val="Standaard"/>
    <w:link w:val="EndNoteBibliographyChar"/>
    <w:rsid w:val="004B0F91"/>
    <w:rPr>
      <w:noProof/>
      <w:lang w:val="en-US"/>
    </w:rPr>
  </w:style>
  <w:style w:type="character" w:customStyle="1" w:styleId="EndNoteBibliographyChar">
    <w:name w:val="EndNote Bibliography Char"/>
    <w:basedOn w:val="Standaardalinea-lettertype"/>
    <w:link w:val="EndNoteBibliography"/>
    <w:rsid w:val="004B0F91"/>
    <w:rPr>
      <w:rFonts w:ascii="Times New Roman" w:eastAsia="Times New Roman" w:hAnsi="Times New Roman" w:cs="Times New Roman"/>
      <w:noProof/>
      <w:sz w:val="24"/>
      <w:szCs w:val="24"/>
      <w:lang w:val="en-US"/>
    </w:rPr>
  </w:style>
  <w:style w:type="paragraph" w:styleId="Lijstalinea">
    <w:name w:val="List Paragraph"/>
    <w:basedOn w:val="Standaard"/>
    <w:uiPriority w:val="34"/>
    <w:qFormat/>
    <w:rsid w:val="007D092E"/>
    <w:pPr>
      <w:ind w:left="720"/>
      <w:contextualSpacing/>
    </w:pPr>
  </w:style>
  <w:style w:type="character" w:styleId="Hyperlink">
    <w:name w:val="Hyperlink"/>
    <w:basedOn w:val="Standaardalinea-lettertype"/>
    <w:uiPriority w:val="99"/>
    <w:unhideWhenUsed/>
    <w:rsid w:val="00867869"/>
    <w:rPr>
      <w:color w:val="0000FF" w:themeColor="hyperlink"/>
      <w:u w:val="single"/>
    </w:rPr>
  </w:style>
  <w:style w:type="character" w:customStyle="1" w:styleId="Onopgelostemelding1">
    <w:name w:val="Onopgeloste melding1"/>
    <w:basedOn w:val="Standaardalinea-lettertype"/>
    <w:uiPriority w:val="99"/>
    <w:semiHidden/>
    <w:unhideWhenUsed/>
    <w:rsid w:val="00867869"/>
    <w:rPr>
      <w:color w:val="605E5C"/>
      <w:shd w:val="clear" w:color="auto" w:fill="E1DFDD"/>
    </w:rPr>
  </w:style>
  <w:style w:type="paragraph" w:styleId="Koptekst">
    <w:name w:val="header"/>
    <w:basedOn w:val="Standaard"/>
    <w:link w:val="KoptekstChar"/>
    <w:uiPriority w:val="99"/>
    <w:unhideWhenUsed/>
    <w:rsid w:val="0028370B"/>
    <w:pPr>
      <w:tabs>
        <w:tab w:val="center" w:pos="4536"/>
        <w:tab w:val="right" w:pos="9072"/>
      </w:tabs>
    </w:pPr>
  </w:style>
  <w:style w:type="character" w:customStyle="1" w:styleId="KoptekstChar">
    <w:name w:val="Koptekst Char"/>
    <w:basedOn w:val="Standaardalinea-lettertype"/>
    <w:link w:val="Koptekst"/>
    <w:uiPriority w:val="99"/>
    <w:rsid w:val="0028370B"/>
    <w:rPr>
      <w:rFonts w:ascii="Times New Roman" w:eastAsia="Times New Roman" w:hAnsi="Times New Roman" w:cs="Times New Roman"/>
      <w:sz w:val="24"/>
      <w:szCs w:val="24"/>
    </w:rPr>
  </w:style>
  <w:style w:type="character" w:styleId="Nadruk">
    <w:name w:val="Emphasis"/>
    <w:basedOn w:val="Standaardalinea-lettertype"/>
    <w:uiPriority w:val="20"/>
    <w:qFormat/>
    <w:rsid w:val="00F51058"/>
    <w:rPr>
      <w:i/>
      <w:iCs/>
    </w:rPr>
  </w:style>
  <w:style w:type="paragraph" w:customStyle="1" w:styleId="Default">
    <w:name w:val="Default"/>
    <w:rsid w:val="00045BCE"/>
    <w:pPr>
      <w:autoSpaceDE w:val="0"/>
      <w:autoSpaceDN w:val="0"/>
      <w:adjustRightInd w:val="0"/>
      <w:spacing w:after="0" w:line="240" w:lineRule="auto"/>
    </w:pPr>
    <w:rPr>
      <w:rFonts w:ascii="Times New Roman" w:hAnsi="Times New Roman" w:cs="Times New Roman"/>
      <w:color w:val="000000"/>
      <w:sz w:val="24"/>
      <w:szCs w:val="24"/>
      <w:lang w:val="nl-NL"/>
    </w:rPr>
  </w:style>
  <w:style w:type="paragraph" w:customStyle="1" w:styleId="m-1269384156764749347msonospacing">
    <w:name w:val="m_-1269384156764749347msonospacing"/>
    <w:basedOn w:val="Standaard"/>
    <w:rsid w:val="00413DFB"/>
    <w:pPr>
      <w:spacing w:before="100" w:beforeAutospacing="1" w:after="100" w:afterAutospacing="1"/>
    </w:pPr>
    <w:rPr>
      <w:lang w:val="nl-NL" w:eastAsia="nl-NL"/>
    </w:rPr>
  </w:style>
  <w:style w:type="character" w:styleId="GevolgdeHyperlink">
    <w:name w:val="FollowedHyperlink"/>
    <w:basedOn w:val="Standaardalinea-lettertype"/>
    <w:uiPriority w:val="99"/>
    <w:semiHidden/>
    <w:unhideWhenUsed/>
    <w:rsid w:val="001D3817"/>
    <w:rPr>
      <w:color w:val="800080" w:themeColor="followedHyperlink"/>
      <w:u w:val="single"/>
    </w:rPr>
  </w:style>
  <w:style w:type="paragraph" w:styleId="Normaalweb">
    <w:name w:val="Normal (Web)"/>
    <w:basedOn w:val="Standaard"/>
    <w:uiPriority w:val="99"/>
    <w:semiHidden/>
    <w:unhideWhenUsed/>
    <w:rsid w:val="002124AE"/>
    <w:pPr>
      <w:spacing w:before="100" w:beforeAutospacing="1" w:after="100" w:afterAutospacing="1"/>
    </w:pPr>
    <w:rPr>
      <w:lang w:val="nl-NL" w:eastAsia="nl-NL"/>
    </w:rPr>
  </w:style>
  <w:style w:type="paragraph" w:styleId="Voetnoottekst">
    <w:name w:val="footnote text"/>
    <w:basedOn w:val="Standaard"/>
    <w:link w:val="VoetnoottekstChar"/>
    <w:uiPriority w:val="99"/>
    <w:semiHidden/>
    <w:unhideWhenUsed/>
    <w:rsid w:val="00AB3124"/>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AB3124"/>
    <w:rPr>
      <w:sz w:val="20"/>
      <w:szCs w:val="20"/>
    </w:rPr>
  </w:style>
  <w:style w:type="character" w:styleId="Voetnootmarkering">
    <w:name w:val="footnote reference"/>
    <w:basedOn w:val="Standaardalinea-lettertype"/>
    <w:uiPriority w:val="99"/>
    <w:semiHidden/>
    <w:unhideWhenUsed/>
    <w:rsid w:val="00AB3124"/>
    <w:rPr>
      <w:vertAlign w:val="superscript"/>
    </w:rPr>
  </w:style>
  <w:style w:type="paragraph" w:styleId="Lijstopsomteken">
    <w:name w:val="List Bullet"/>
    <w:basedOn w:val="Standaard"/>
    <w:uiPriority w:val="99"/>
    <w:unhideWhenUsed/>
    <w:rsid w:val="007A3AD3"/>
    <w:pPr>
      <w:numPr>
        <w:numId w:val="20"/>
      </w:numPr>
      <w:spacing w:after="160" w:line="259" w:lineRule="auto"/>
      <w:contextualSpacing/>
    </w:pPr>
    <w:rPr>
      <w:rFonts w:asciiTheme="minorHAnsi" w:eastAsiaTheme="minorHAnsi" w:hAnsiTheme="minorHAnsi" w:cstheme="minorBidi"/>
      <w:sz w:val="22"/>
      <w:szCs w:val="22"/>
    </w:rPr>
  </w:style>
  <w:style w:type="paragraph" w:customStyle="1" w:styleId="Pa38">
    <w:name w:val="Pa38"/>
    <w:basedOn w:val="Standaard"/>
    <w:next w:val="Standaard"/>
    <w:rsid w:val="00E873B9"/>
    <w:pPr>
      <w:autoSpaceDE w:val="0"/>
      <w:autoSpaceDN w:val="0"/>
      <w:adjustRightInd w:val="0"/>
      <w:spacing w:after="20" w:line="151" w:lineRule="atLeast"/>
    </w:pPr>
    <w:rPr>
      <w:rFonts w:ascii="Helen Pro Cond" w:hAnsi="Helen Pro Cond" w:cs="Mangal"/>
      <w:lang w:eastAsia="en-GB" w:bidi="mr-IN"/>
    </w:rPr>
  </w:style>
  <w:style w:type="paragraph" w:styleId="Revisie">
    <w:name w:val="Revision"/>
    <w:hidden/>
    <w:uiPriority w:val="99"/>
    <w:semiHidden/>
    <w:rsid w:val="00431186"/>
    <w:pPr>
      <w:spacing w:after="0" w:line="240" w:lineRule="auto"/>
    </w:pPr>
    <w:rPr>
      <w:rFonts w:ascii="Times New Roman" w:eastAsia="Times New Roman" w:hAnsi="Times New Roman" w:cs="Times New Roman"/>
      <w:sz w:val="24"/>
      <w:szCs w:val="24"/>
    </w:rPr>
  </w:style>
  <w:style w:type="character" w:customStyle="1" w:styleId="Onopgelostemelding2">
    <w:name w:val="Onopgeloste melding2"/>
    <w:basedOn w:val="Standaardalinea-lettertype"/>
    <w:uiPriority w:val="99"/>
    <w:semiHidden/>
    <w:unhideWhenUsed/>
    <w:rsid w:val="00D75740"/>
    <w:rPr>
      <w:color w:val="605E5C"/>
      <w:shd w:val="clear" w:color="auto" w:fill="E1DFDD"/>
    </w:rPr>
  </w:style>
  <w:style w:type="character" w:customStyle="1" w:styleId="Onopgelostemelding3">
    <w:name w:val="Onopgeloste melding3"/>
    <w:basedOn w:val="Standaardalinea-lettertype"/>
    <w:uiPriority w:val="99"/>
    <w:semiHidden/>
    <w:unhideWhenUsed/>
    <w:rsid w:val="006B1F07"/>
    <w:rPr>
      <w:color w:val="605E5C"/>
      <w:shd w:val="clear" w:color="auto" w:fill="E1DFDD"/>
    </w:rPr>
  </w:style>
  <w:style w:type="character" w:styleId="Onopgelostemelding">
    <w:name w:val="Unresolved Mention"/>
    <w:basedOn w:val="Standaardalinea-lettertype"/>
    <w:uiPriority w:val="99"/>
    <w:semiHidden/>
    <w:unhideWhenUsed/>
    <w:rsid w:val="003F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9625">
      <w:bodyDiv w:val="1"/>
      <w:marLeft w:val="0"/>
      <w:marRight w:val="0"/>
      <w:marTop w:val="0"/>
      <w:marBottom w:val="0"/>
      <w:divBdr>
        <w:top w:val="none" w:sz="0" w:space="0" w:color="auto"/>
        <w:left w:val="none" w:sz="0" w:space="0" w:color="auto"/>
        <w:bottom w:val="none" w:sz="0" w:space="0" w:color="auto"/>
        <w:right w:val="none" w:sz="0" w:space="0" w:color="auto"/>
      </w:divBdr>
    </w:div>
    <w:div w:id="162748605">
      <w:bodyDiv w:val="1"/>
      <w:marLeft w:val="0"/>
      <w:marRight w:val="0"/>
      <w:marTop w:val="0"/>
      <w:marBottom w:val="0"/>
      <w:divBdr>
        <w:top w:val="none" w:sz="0" w:space="0" w:color="auto"/>
        <w:left w:val="none" w:sz="0" w:space="0" w:color="auto"/>
        <w:bottom w:val="none" w:sz="0" w:space="0" w:color="auto"/>
        <w:right w:val="none" w:sz="0" w:space="0" w:color="auto"/>
      </w:divBdr>
    </w:div>
    <w:div w:id="177429140">
      <w:bodyDiv w:val="1"/>
      <w:marLeft w:val="0"/>
      <w:marRight w:val="0"/>
      <w:marTop w:val="0"/>
      <w:marBottom w:val="0"/>
      <w:divBdr>
        <w:top w:val="none" w:sz="0" w:space="0" w:color="auto"/>
        <w:left w:val="none" w:sz="0" w:space="0" w:color="auto"/>
        <w:bottom w:val="none" w:sz="0" w:space="0" w:color="auto"/>
        <w:right w:val="none" w:sz="0" w:space="0" w:color="auto"/>
      </w:divBdr>
      <w:divsChild>
        <w:div w:id="203370039">
          <w:marLeft w:val="0"/>
          <w:marRight w:val="0"/>
          <w:marTop w:val="0"/>
          <w:marBottom w:val="0"/>
          <w:divBdr>
            <w:top w:val="none" w:sz="0" w:space="0" w:color="auto"/>
            <w:left w:val="none" w:sz="0" w:space="0" w:color="auto"/>
            <w:bottom w:val="none" w:sz="0" w:space="0" w:color="auto"/>
            <w:right w:val="none" w:sz="0" w:space="0" w:color="auto"/>
          </w:divBdr>
        </w:div>
      </w:divsChild>
    </w:div>
    <w:div w:id="260913827">
      <w:bodyDiv w:val="1"/>
      <w:marLeft w:val="0"/>
      <w:marRight w:val="0"/>
      <w:marTop w:val="0"/>
      <w:marBottom w:val="0"/>
      <w:divBdr>
        <w:top w:val="none" w:sz="0" w:space="0" w:color="auto"/>
        <w:left w:val="none" w:sz="0" w:space="0" w:color="auto"/>
        <w:bottom w:val="none" w:sz="0" w:space="0" w:color="auto"/>
        <w:right w:val="none" w:sz="0" w:space="0" w:color="auto"/>
      </w:divBdr>
    </w:div>
    <w:div w:id="407578520">
      <w:bodyDiv w:val="1"/>
      <w:marLeft w:val="0"/>
      <w:marRight w:val="0"/>
      <w:marTop w:val="0"/>
      <w:marBottom w:val="0"/>
      <w:divBdr>
        <w:top w:val="none" w:sz="0" w:space="0" w:color="auto"/>
        <w:left w:val="none" w:sz="0" w:space="0" w:color="auto"/>
        <w:bottom w:val="none" w:sz="0" w:space="0" w:color="auto"/>
        <w:right w:val="none" w:sz="0" w:space="0" w:color="auto"/>
      </w:divBdr>
    </w:div>
    <w:div w:id="499471944">
      <w:bodyDiv w:val="1"/>
      <w:marLeft w:val="0"/>
      <w:marRight w:val="0"/>
      <w:marTop w:val="0"/>
      <w:marBottom w:val="0"/>
      <w:divBdr>
        <w:top w:val="none" w:sz="0" w:space="0" w:color="auto"/>
        <w:left w:val="none" w:sz="0" w:space="0" w:color="auto"/>
        <w:bottom w:val="none" w:sz="0" w:space="0" w:color="auto"/>
        <w:right w:val="none" w:sz="0" w:space="0" w:color="auto"/>
      </w:divBdr>
      <w:divsChild>
        <w:div w:id="1348020323">
          <w:marLeft w:val="0"/>
          <w:marRight w:val="0"/>
          <w:marTop w:val="0"/>
          <w:marBottom w:val="0"/>
          <w:divBdr>
            <w:top w:val="none" w:sz="0" w:space="0" w:color="auto"/>
            <w:left w:val="none" w:sz="0" w:space="0" w:color="auto"/>
            <w:bottom w:val="none" w:sz="0" w:space="0" w:color="auto"/>
            <w:right w:val="none" w:sz="0" w:space="0" w:color="auto"/>
          </w:divBdr>
          <w:divsChild>
            <w:div w:id="144662515">
              <w:marLeft w:val="60"/>
              <w:marRight w:val="0"/>
              <w:marTop w:val="0"/>
              <w:marBottom w:val="0"/>
              <w:divBdr>
                <w:top w:val="none" w:sz="0" w:space="0" w:color="auto"/>
                <w:left w:val="none" w:sz="0" w:space="0" w:color="auto"/>
                <w:bottom w:val="none" w:sz="0" w:space="0" w:color="auto"/>
                <w:right w:val="none" w:sz="0" w:space="0" w:color="auto"/>
              </w:divBdr>
            </w:div>
            <w:div w:id="154538524">
              <w:marLeft w:val="300"/>
              <w:marRight w:val="0"/>
              <w:marTop w:val="0"/>
              <w:marBottom w:val="0"/>
              <w:divBdr>
                <w:top w:val="none" w:sz="0" w:space="0" w:color="auto"/>
                <w:left w:val="none" w:sz="0" w:space="0" w:color="auto"/>
                <w:bottom w:val="none" w:sz="0" w:space="0" w:color="auto"/>
                <w:right w:val="none" w:sz="0" w:space="0" w:color="auto"/>
              </w:divBdr>
            </w:div>
            <w:div w:id="856774769">
              <w:marLeft w:val="0"/>
              <w:marRight w:val="0"/>
              <w:marTop w:val="0"/>
              <w:marBottom w:val="0"/>
              <w:divBdr>
                <w:top w:val="none" w:sz="0" w:space="0" w:color="auto"/>
                <w:left w:val="none" w:sz="0" w:space="0" w:color="auto"/>
                <w:bottom w:val="none" w:sz="0" w:space="0" w:color="auto"/>
                <w:right w:val="none" w:sz="0" w:space="0" w:color="auto"/>
              </w:divBdr>
            </w:div>
            <w:div w:id="988749664">
              <w:marLeft w:val="300"/>
              <w:marRight w:val="0"/>
              <w:marTop w:val="0"/>
              <w:marBottom w:val="0"/>
              <w:divBdr>
                <w:top w:val="none" w:sz="0" w:space="0" w:color="auto"/>
                <w:left w:val="none" w:sz="0" w:space="0" w:color="auto"/>
                <w:bottom w:val="none" w:sz="0" w:space="0" w:color="auto"/>
                <w:right w:val="none" w:sz="0" w:space="0" w:color="auto"/>
              </w:divBdr>
            </w:div>
            <w:div w:id="120189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7867">
      <w:bodyDiv w:val="1"/>
      <w:marLeft w:val="0"/>
      <w:marRight w:val="0"/>
      <w:marTop w:val="0"/>
      <w:marBottom w:val="0"/>
      <w:divBdr>
        <w:top w:val="none" w:sz="0" w:space="0" w:color="auto"/>
        <w:left w:val="none" w:sz="0" w:space="0" w:color="auto"/>
        <w:bottom w:val="none" w:sz="0" w:space="0" w:color="auto"/>
        <w:right w:val="none" w:sz="0" w:space="0" w:color="auto"/>
      </w:divBdr>
    </w:div>
    <w:div w:id="763261742">
      <w:bodyDiv w:val="1"/>
      <w:marLeft w:val="0"/>
      <w:marRight w:val="0"/>
      <w:marTop w:val="0"/>
      <w:marBottom w:val="0"/>
      <w:divBdr>
        <w:top w:val="none" w:sz="0" w:space="0" w:color="auto"/>
        <w:left w:val="none" w:sz="0" w:space="0" w:color="auto"/>
        <w:bottom w:val="none" w:sz="0" w:space="0" w:color="auto"/>
        <w:right w:val="none" w:sz="0" w:space="0" w:color="auto"/>
      </w:divBdr>
    </w:div>
    <w:div w:id="785927123">
      <w:bodyDiv w:val="1"/>
      <w:marLeft w:val="0"/>
      <w:marRight w:val="0"/>
      <w:marTop w:val="0"/>
      <w:marBottom w:val="0"/>
      <w:divBdr>
        <w:top w:val="none" w:sz="0" w:space="0" w:color="auto"/>
        <w:left w:val="none" w:sz="0" w:space="0" w:color="auto"/>
        <w:bottom w:val="none" w:sz="0" w:space="0" w:color="auto"/>
        <w:right w:val="none" w:sz="0" w:space="0" w:color="auto"/>
      </w:divBdr>
    </w:div>
    <w:div w:id="796990361">
      <w:bodyDiv w:val="1"/>
      <w:marLeft w:val="0"/>
      <w:marRight w:val="0"/>
      <w:marTop w:val="0"/>
      <w:marBottom w:val="0"/>
      <w:divBdr>
        <w:top w:val="none" w:sz="0" w:space="0" w:color="auto"/>
        <w:left w:val="none" w:sz="0" w:space="0" w:color="auto"/>
        <w:bottom w:val="none" w:sz="0" w:space="0" w:color="auto"/>
        <w:right w:val="none" w:sz="0" w:space="0" w:color="auto"/>
      </w:divBdr>
      <w:divsChild>
        <w:div w:id="170412399">
          <w:marLeft w:val="547"/>
          <w:marRight w:val="0"/>
          <w:marTop w:val="144"/>
          <w:marBottom w:val="0"/>
          <w:divBdr>
            <w:top w:val="none" w:sz="0" w:space="0" w:color="auto"/>
            <w:left w:val="none" w:sz="0" w:space="0" w:color="auto"/>
            <w:bottom w:val="none" w:sz="0" w:space="0" w:color="auto"/>
            <w:right w:val="none" w:sz="0" w:space="0" w:color="auto"/>
          </w:divBdr>
        </w:div>
        <w:div w:id="179125910">
          <w:marLeft w:val="547"/>
          <w:marRight w:val="0"/>
          <w:marTop w:val="144"/>
          <w:marBottom w:val="0"/>
          <w:divBdr>
            <w:top w:val="none" w:sz="0" w:space="0" w:color="auto"/>
            <w:left w:val="none" w:sz="0" w:space="0" w:color="auto"/>
            <w:bottom w:val="none" w:sz="0" w:space="0" w:color="auto"/>
            <w:right w:val="none" w:sz="0" w:space="0" w:color="auto"/>
          </w:divBdr>
        </w:div>
        <w:div w:id="637803738">
          <w:marLeft w:val="547"/>
          <w:marRight w:val="0"/>
          <w:marTop w:val="144"/>
          <w:marBottom w:val="0"/>
          <w:divBdr>
            <w:top w:val="none" w:sz="0" w:space="0" w:color="auto"/>
            <w:left w:val="none" w:sz="0" w:space="0" w:color="auto"/>
            <w:bottom w:val="none" w:sz="0" w:space="0" w:color="auto"/>
            <w:right w:val="none" w:sz="0" w:space="0" w:color="auto"/>
          </w:divBdr>
        </w:div>
        <w:div w:id="852108459">
          <w:marLeft w:val="547"/>
          <w:marRight w:val="0"/>
          <w:marTop w:val="144"/>
          <w:marBottom w:val="0"/>
          <w:divBdr>
            <w:top w:val="none" w:sz="0" w:space="0" w:color="auto"/>
            <w:left w:val="none" w:sz="0" w:space="0" w:color="auto"/>
            <w:bottom w:val="none" w:sz="0" w:space="0" w:color="auto"/>
            <w:right w:val="none" w:sz="0" w:space="0" w:color="auto"/>
          </w:divBdr>
        </w:div>
        <w:div w:id="1020204043">
          <w:marLeft w:val="547"/>
          <w:marRight w:val="0"/>
          <w:marTop w:val="144"/>
          <w:marBottom w:val="0"/>
          <w:divBdr>
            <w:top w:val="none" w:sz="0" w:space="0" w:color="auto"/>
            <w:left w:val="none" w:sz="0" w:space="0" w:color="auto"/>
            <w:bottom w:val="none" w:sz="0" w:space="0" w:color="auto"/>
            <w:right w:val="none" w:sz="0" w:space="0" w:color="auto"/>
          </w:divBdr>
        </w:div>
        <w:div w:id="1836459629">
          <w:marLeft w:val="547"/>
          <w:marRight w:val="0"/>
          <w:marTop w:val="144"/>
          <w:marBottom w:val="0"/>
          <w:divBdr>
            <w:top w:val="none" w:sz="0" w:space="0" w:color="auto"/>
            <w:left w:val="none" w:sz="0" w:space="0" w:color="auto"/>
            <w:bottom w:val="none" w:sz="0" w:space="0" w:color="auto"/>
            <w:right w:val="none" w:sz="0" w:space="0" w:color="auto"/>
          </w:divBdr>
        </w:div>
      </w:divsChild>
    </w:div>
    <w:div w:id="904798150">
      <w:bodyDiv w:val="1"/>
      <w:marLeft w:val="0"/>
      <w:marRight w:val="0"/>
      <w:marTop w:val="0"/>
      <w:marBottom w:val="0"/>
      <w:divBdr>
        <w:top w:val="none" w:sz="0" w:space="0" w:color="auto"/>
        <w:left w:val="none" w:sz="0" w:space="0" w:color="auto"/>
        <w:bottom w:val="none" w:sz="0" w:space="0" w:color="auto"/>
        <w:right w:val="none" w:sz="0" w:space="0" w:color="auto"/>
      </w:divBdr>
    </w:div>
    <w:div w:id="1017927063">
      <w:bodyDiv w:val="1"/>
      <w:marLeft w:val="0"/>
      <w:marRight w:val="0"/>
      <w:marTop w:val="0"/>
      <w:marBottom w:val="0"/>
      <w:divBdr>
        <w:top w:val="none" w:sz="0" w:space="0" w:color="auto"/>
        <w:left w:val="none" w:sz="0" w:space="0" w:color="auto"/>
        <w:bottom w:val="none" w:sz="0" w:space="0" w:color="auto"/>
        <w:right w:val="none" w:sz="0" w:space="0" w:color="auto"/>
      </w:divBdr>
      <w:divsChild>
        <w:div w:id="701057828">
          <w:marLeft w:val="547"/>
          <w:marRight w:val="0"/>
          <w:marTop w:val="154"/>
          <w:marBottom w:val="0"/>
          <w:divBdr>
            <w:top w:val="none" w:sz="0" w:space="0" w:color="auto"/>
            <w:left w:val="none" w:sz="0" w:space="0" w:color="auto"/>
            <w:bottom w:val="none" w:sz="0" w:space="0" w:color="auto"/>
            <w:right w:val="none" w:sz="0" w:space="0" w:color="auto"/>
          </w:divBdr>
        </w:div>
        <w:div w:id="1015109022">
          <w:marLeft w:val="547"/>
          <w:marRight w:val="0"/>
          <w:marTop w:val="154"/>
          <w:marBottom w:val="0"/>
          <w:divBdr>
            <w:top w:val="none" w:sz="0" w:space="0" w:color="auto"/>
            <w:left w:val="none" w:sz="0" w:space="0" w:color="auto"/>
            <w:bottom w:val="none" w:sz="0" w:space="0" w:color="auto"/>
            <w:right w:val="none" w:sz="0" w:space="0" w:color="auto"/>
          </w:divBdr>
        </w:div>
      </w:divsChild>
    </w:div>
    <w:div w:id="1155995085">
      <w:bodyDiv w:val="1"/>
      <w:marLeft w:val="0"/>
      <w:marRight w:val="0"/>
      <w:marTop w:val="0"/>
      <w:marBottom w:val="0"/>
      <w:divBdr>
        <w:top w:val="none" w:sz="0" w:space="0" w:color="auto"/>
        <w:left w:val="none" w:sz="0" w:space="0" w:color="auto"/>
        <w:bottom w:val="none" w:sz="0" w:space="0" w:color="auto"/>
        <w:right w:val="none" w:sz="0" w:space="0" w:color="auto"/>
      </w:divBdr>
    </w:div>
    <w:div w:id="1345354225">
      <w:bodyDiv w:val="1"/>
      <w:marLeft w:val="0"/>
      <w:marRight w:val="0"/>
      <w:marTop w:val="0"/>
      <w:marBottom w:val="0"/>
      <w:divBdr>
        <w:top w:val="none" w:sz="0" w:space="0" w:color="auto"/>
        <w:left w:val="none" w:sz="0" w:space="0" w:color="auto"/>
        <w:bottom w:val="none" w:sz="0" w:space="0" w:color="auto"/>
        <w:right w:val="none" w:sz="0" w:space="0" w:color="auto"/>
      </w:divBdr>
    </w:div>
    <w:div w:id="1461799732">
      <w:bodyDiv w:val="1"/>
      <w:marLeft w:val="0"/>
      <w:marRight w:val="0"/>
      <w:marTop w:val="0"/>
      <w:marBottom w:val="0"/>
      <w:divBdr>
        <w:top w:val="none" w:sz="0" w:space="0" w:color="auto"/>
        <w:left w:val="none" w:sz="0" w:space="0" w:color="auto"/>
        <w:bottom w:val="none" w:sz="0" w:space="0" w:color="auto"/>
        <w:right w:val="none" w:sz="0" w:space="0" w:color="auto"/>
      </w:divBdr>
    </w:div>
    <w:div w:id="1472405358">
      <w:bodyDiv w:val="1"/>
      <w:marLeft w:val="0"/>
      <w:marRight w:val="0"/>
      <w:marTop w:val="0"/>
      <w:marBottom w:val="0"/>
      <w:divBdr>
        <w:top w:val="none" w:sz="0" w:space="0" w:color="auto"/>
        <w:left w:val="none" w:sz="0" w:space="0" w:color="auto"/>
        <w:bottom w:val="none" w:sz="0" w:space="0" w:color="auto"/>
        <w:right w:val="none" w:sz="0" w:space="0" w:color="auto"/>
      </w:divBdr>
    </w:div>
    <w:div w:id="1530949598">
      <w:bodyDiv w:val="1"/>
      <w:marLeft w:val="0"/>
      <w:marRight w:val="0"/>
      <w:marTop w:val="0"/>
      <w:marBottom w:val="0"/>
      <w:divBdr>
        <w:top w:val="none" w:sz="0" w:space="0" w:color="auto"/>
        <w:left w:val="none" w:sz="0" w:space="0" w:color="auto"/>
        <w:bottom w:val="none" w:sz="0" w:space="0" w:color="auto"/>
        <w:right w:val="none" w:sz="0" w:space="0" w:color="auto"/>
      </w:divBdr>
    </w:div>
    <w:div w:id="1568884580">
      <w:bodyDiv w:val="1"/>
      <w:marLeft w:val="0"/>
      <w:marRight w:val="0"/>
      <w:marTop w:val="0"/>
      <w:marBottom w:val="0"/>
      <w:divBdr>
        <w:top w:val="none" w:sz="0" w:space="0" w:color="auto"/>
        <w:left w:val="none" w:sz="0" w:space="0" w:color="auto"/>
        <w:bottom w:val="none" w:sz="0" w:space="0" w:color="auto"/>
        <w:right w:val="none" w:sz="0" w:space="0" w:color="auto"/>
      </w:divBdr>
      <w:divsChild>
        <w:div w:id="1496795814">
          <w:marLeft w:val="547"/>
          <w:marRight w:val="0"/>
          <w:marTop w:val="130"/>
          <w:marBottom w:val="160"/>
          <w:divBdr>
            <w:top w:val="none" w:sz="0" w:space="0" w:color="auto"/>
            <w:left w:val="none" w:sz="0" w:space="0" w:color="auto"/>
            <w:bottom w:val="none" w:sz="0" w:space="0" w:color="auto"/>
            <w:right w:val="none" w:sz="0" w:space="0" w:color="auto"/>
          </w:divBdr>
        </w:div>
      </w:divsChild>
    </w:div>
    <w:div w:id="1627076585">
      <w:bodyDiv w:val="1"/>
      <w:marLeft w:val="0"/>
      <w:marRight w:val="0"/>
      <w:marTop w:val="0"/>
      <w:marBottom w:val="0"/>
      <w:divBdr>
        <w:top w:val="none" w:sz="0" w:space="0" w:color="auto"/>
        <w:left w:val="none" w:sz="0" w:space="0" w:color="auto"/>
        <w:bottom w:val="none" w:sz="0" w:space="0" w:color="auto"/>
        <w:right w:val="none" w:sz="0" w:space="0" w:color="auto"/>
      </w:divBdr>
    </w:div>
    <w:div w:id="1665626702">
      <w:bodyDiv w:val="1"/>
      <w:marLeft w:val="0"/>
      <w:marRight w:val="0"/>
      <w:marTop w:val="0"/>
      <w:marBottom w:val="0"/>
      <w:divBdr>
        <w:top w:val="none" w:sz="0" w:space="0" w:color="auto"/>
        <w:left w:val="none" w:sz="0" w:space="0" w:color="auto"/>
        <w:bottom w:val="none" w:sz="0" w:space="0" w:color="auto"/>
        <w:right w:val="none" w:sz="0" w:space="0" w:color="auto"/>
      </w:divBdr>
    </w:div>
    <w:div w:id="1777560908">
      <w:bodyDiv w:val="1"/>
      <w:marLeft w:val="0"/>
      <w:marRight w:val="0"/>
      <w:marTop w:val="0"/>
      <w:marBottom w:val="0"/>
      <w:divBdr>
        <w:top w:val="none" w:sz="0" w:space="0" w:color="auto"/>
        <w:left w:val="none" w:sz="0" w:space="0" w:color="auto"/>
        <w:bottom w:val="none" w:sz="0" w:space="0" w:color="auto"/>
        <w:right w:val="none" w:sz="0" w:space="0" w:color="auto"/>
      </w:divBdr>
      <w:divsChild>
        <w:div w:id="105127904">
          <w:marLeft w:val="547"/>
          <w:marRight w:val="0"/>
          <w:marTop w:val="130"/>
          <w:marBottom w:val="160"/>
          <w:divBdr>
            <w:top w:val="none" w:sz="0" w:space="0" w:color="auto"/>
            <w:left w:val="none" w:sz="0" w:space="0" w:color="auto"/>
            <w:bottom w:val="none" w:sz="0" w:space="0" w:color="auto"/>
            <w:right w:val="none" w:sz="0" w:space="0" w:color="auto"/>
          </w:divBdr>
        </w:div>
      </w:divsChild>
    </w:div>
    <w:div w:id="1793287213">
      <w:bodyDiv w:val="1"/>
      <w:marLeft w:val="0"/>
      <w:marRight w:val="0"/>
      <w:marTop w:val="0"/>
      <w:marBottom w:val="0"/>
      <w:divBdr>
        <w:top w:val="none" w:sz="0" w:space="0" w:color="auto"/>
        <w:left w:val="none" w:sz="0" w:space="0" w:color="auto"/>
        <w:bottom w:val="none" w:sz="0" w:space="0" w:color="auto"/>
        <w:right w:val="none" w:sz="0" w:space="0" w:color="auto"/>
      </w:divBdr>
    </w:div>
    <w:div w:id="2074891636">
      <w:bodyDiv w:val="1"/>
      <w:marLeft w:val="0"/>
      <w:marRight w:val="0"/>
      <w:marTop w:val="0"/>
      <w:marBottom w:val="0"/>
      <w:divBdr>
        <w:top w:val="none" w:sz="0" w:space="0" w:color="auto"/>
        <w:left w:val="none" w:sz="0" w:space="0" w:color="auto"/>
        <w:bottom w:val="none" w:sz="0" w:space="0" w:color="auto"/>
        <w:right w:val="none" w:sz="0" w:space="0" w:color="auto"/>
      </w:divBdr>
      <w:divsChild>
        <w:div w:id="165678007">
          <w:marLeft w:val="547"/>
          <w:marRight w:val="0"/>
          <w:marTop w:val="154"/>
          <w:marBottom w:val="0"/>
          <w:divBdr>
            <w:top w:val="none" w:sz="0" w:space="0" w:color="auto"/>
            <w:left w:val="none" w:sz="0" w:space="0" w:color="auto"/>
            <w:bottom w:val="none" w:sz="0" w:space="0" w:color="auto"/>
            <w:right w:val="none" w:sz="0" w:space="0" w:color="auto"/>
          </w:divBdr>
        </w:div>
        <w:div w:id="1693460677">
          <w:marLeft w:val="547"/>
          <w:marRight w:val="0"/>
          <w:marTop w:val="154"/>
          <w:marBottom w:val="0"/>
          <w:divBdr>
            <w:top w:val="none" w:sz="0" w:space="0" w:color="auto"/>
            <w:left w:val="none" w:sz="0" w:space="0" w:color="auto"/>
            <w:bottom w:val="none" w:sz="0" w:space="0" w:color="auto"/>
            <w:right w:val="none" w:sz="0" w:space="0" w:color="auto"/>
          </w:divBdr>
        </w:div>
        <w:div w:id="1792481048">
          <w:marLeft w:val="547"/>
          <w:marRight w:val="0"/>
          <w:marTop w:val="154"/>
          <w:marBottom w:val="0"/>
          <w:divBdr>
            <w:top w:val="none" w:sz="0" w:space="0" w:color="auto"/>
            <w:left w:val="none" w:sz="0" w:space="0" w:color="auto"/>
            <w:bottom w:val="none" w:sz="0" w:space="0" w:color="auto"/>
            <w:right w:val="none" w:sz="0" w:space="0" w:color="auto"/>
          </w:divBdr>
        </w:div>
      </w:divsChild>
    </w:div>
    <w:div w:id="2112697575">
      <w:bodyDiv w:val="1"/>
      <w:marLeft w:val="0"/>
      <w:marRight w:val="0"/>
      <w:marTop w:val="0"/>
      <w:marBottom w:val="0"/>
      <w:divBdr>
        <w:top w:val="none" w:sz="0" w:space="0" w:color="auto"/>
        <w:left w:val="none" w:sz="0" w:space="0" w:color="auto"/>
        <w:bottom w:val="none" w:sz="0" w:space="0" w:color="auto"/>
        <w:right w:val="none" w:sz="0" w:space="0" w:color="auto"/>
      </w:divBdr>
      <w:divsChild>
        <w:div w:id="665323527">
          <w:marLeft w:val="0"/>
          <w:marRight w:val="0"/>
          <w:marTop w:val="0"/>
          <w:marBottom w:val="0"/>
          <w:divBdr>
            <w:top w:val="none" w:sz="0" w:space="0" w:color="auto"/>
            <w:left w:val="none" w:sz="0" w:space="0" w:color="auto"/>
            <w:bottom w:val="none" w:sz="0" w:space="0" w:color="auto"/>
            <w:right w:val="none" w:sz="0" w:space="0" w:color="auto"/>
          </w:divBdr>
        </w:div>
        <w:div w:id="1733306147">
          <w:marLeft w:val="0"/>
          <w:marRight w:val="0"/>
          <w:marTop w:val="0"/>
          <w:marBottom w:val="0"/>
          <w:divBdr>
            <w:top w:val="none" w:sz="0" w:space="0" w:color="auto"/>
            <w:left w:val="none" w:sz="0" w:space="0" w:color="auto"/>
            <w:bottom w:val="none" w:sz="0" w:space="0" w:color="auto"/>
            <w:right w:val="none" w:sz="0" w:space="0" w:color="auto"/>
          </w:divBdr>
        </w:div>
        <w:div w:id="193497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iolenceprevention/aces/about.html" TargetMode="External"/><Relationship Id="rId13" Type="http://schemas.openxmlformats.org/officeDocument/2006/relationships/hyperlink" Target="https://doi.org/10.1093/eurheartj/ehu344" TargetMode="External"/><Relationship Id="rId18" Type="http://schemas.openxmlformats.org/officeDocument/2006/relationships/hyperlink" Target="https://doi.org/10.3390/ncrna5020035"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422D-894D-439A-A8A0-DA8FAFA5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11989</Words>
  <Characters>65944</Characters>
  <Application>Microsoft Office Word</Application>
  <DocSecurity>0</DocSecurity>
  <Lines>549</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CM Cornelis</cp:lastModifiedBy>
  <cp:revision>3</cp:revision>
  <dcterms:created xsi:type="dcterms:W3CDTF">2021-02-18T21:39:00Z</dcterms:created>
  <dcterms:modified xsi:type="dcterms:W3CDTF">2021-02-18T21:40:00Z</dcterms:modified>
</cp:coreProperties>
</file>