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E2EB4" w:rsidRPr="00025B8B" w:rsidRDefault="005E2EB4" w:rsidP="00025D1D">
      <w:pPr>
        <w:spacing w:line="480" w:lineRule="auto"/>
        <w:jc w:val="center"/>
        <w:rPr>
          <w:rFonts w:ascii="Arial" w:hAnsi="Arial" w:cs="Arial"/>
          <w:b/>
          <w:color w:val="000000" w:themeColor="text1"/>
          <w:sz w:val="24"/>
          <w:szCs w:val="24"/>
        </w:rPr>
      </w:pPr>
      <w:bookmarkStart w:id="0" w:name="_Hlk60906103"/>
      <w:r w:rsidRPr="00025B8B">
        <w:rPr>
          <w:rFonts w:ascii="Arial" w:hAnsi="Arial" w:cs="Arial"/>
          <w:b/>
          <w:color w:val="000000" w:themeColor="text1"/>
          <w:sz w:val="24"/>
          <w:szCs w:val="24"/>
        </w:rPr>
        <w:t xml:space="preserve">Herbicide selection promotes antibiotic resistance in soil microbiomes </w:t>
      </w:r>
    </w:p>
    <w:bookmarkEnd w:id="0"/>
    <w:p w:rsidR="005E2EB4" w:rsidRPr="00025B8B" w:rsidRDefault="005E2EB4" w:rsidP="00025D1D">
      <w:pPr>
        <w:spacing w:line="480" w:lineRule="auto"/>
        <w:rPr>
          <w:rFonts w:ascii="Times New Roman" w:eastAsia="SimSun" w:hAnsi="Times New Roman"/>
          <w:color w:val="000000" w:themeColor="text1"/>
          <w:sz w:val="24"/>
          <w:szCs w:val="24"/>
        </w:rPr>
      </w:pPr>
      <w:r w:rsidRPr="00025B8B">
        <w:rPr>
          <w:rFonts w:ascii="Times New Roman" w:eastAsia="SimSun" w:hAnsi="Times New Roman"/>
          <w:color w:val="000000" w:themeColor="text1"/>
          <w:sz w:val="24"/>
          <w:szCs w:val="24"/>
        </w:rPr>
        <w:t>Hanpeng Liao</w:t>
      </w:r>
      <w:r w:rsidRPr="00025B8B">
        <w:rPr>
          <w:rFonts w:ascii="Times New Roman" w:eastAsia="SimSun" w:hAnsi="Times New Roman"/>
          <w:color w:val="000000" w:themeColor="text1"/>
          <w:sz w:val="24"/>
          <w:szCs w:val="24"/>
          <w:vertAlign w:val="superscript"/>
        </w:rPr>
        <w:t>1</w:t>
      </w:r>
      <w:r w:rsidRPr="00025B8B">
        <w:rPr>
          <w:rFonts w:ascii="Times New Roman" w:eastAsia="SimSun" w:hAnsi="Times New Roman"/>
          <w:color w:val="000000" w:themeColor="text1"/>
          <w:sz w:val="24"/>
          <w:szCs w:val="24"/>
        </w:rPr>
        <w:t>, Xi Li</w:t>
      </w:r>
      <w:r w:rsidRPr="00025B8B">
        <w:rPr>
          <w:rFonts w:ascii="Times New Roman" w:eastAsia="SimSun" w:hAnsi="Times New Roman"/>
          <w:color w:val="000000" w:themeColor="text1"/>
          <w:sz w:val="24"/>
          <w:szCs w:val="24"/>
          <w:vertAlign w:val="superscript"/>
        </w:rPr>
        <w:t>1</w:t>
      </w:r>
      <w:r w:rsidRPr="00025B8B">
        <w:rPr>
          <w:rFonts w:ascii="Times New Roman" w:eastAsia="SimSun" w:hAnsi="Times New Roman"/>
          <w:color w:val="000000" w:themeColor="text1"/>
          <w:sz w:val="24"/>
          <w:szCs w:val="24"/>
        </w:rPr>
        <w:t>, Qiue Yang</w:t>
      </w:r>
      <w:r w:rsidRPr="00025B8B">
        <w:rPr>
          <w:rFonts w:ascii="Times New Roman" w:eastAsia="SimSun" w:hAnsi="Times New Roman"/>
          <w:color w:val="000000" w:themeColor="text1"/>
          <w:sz w:val="24"/>
          <w:szCs w:val="24"/>
          <w:vertAlign w:val="superscript"/>
        </w:rPr>
        <w:t>1</w:t>
      </w:r>
      <w:r w:rsidRPr="00025B8B">
        <w:rPr>
          <w:rFonts w:ascii="Times New Roman" w:eastAsia="SimSun" w:hAnsi="Times New Roman"/>
          <w:color w:val="000000" w:themeColor="text1"/>
          <w:sz w:val="24"/>
          <w:szCs w:val="24"/>
        </w:rPr>
        <w:t>, Yudan Bai</w:t>
      </w:r>
      <w:r w:rsidRPr="00025B8B">
        <w:rPr>
          <w:rFonts w:ascii="Times New Roman" w:eastAsia="SimSun" w:hAnsi="Times New Roman"/>
          <w:color w:val="000000" w:themeColor="text1"/>
          <w:sz w:val="24"/>
          <w:szCs w:val="24"/>
          <w:vertAlign w:val="superscript"/>
        </w:rPr>
        <w:t>1</w:t>
      </w:r>
      <w:r w:rsidRPr="00025B8B">
        <w:rPr>
          <w:rFonts w:ascii="Times New Roman" w:eastAsia="SimSun" w:hAnsi="Times New Roman"/>
          <w:color w:val="000000" w:themeColor="text1"/>
          <w:sz w:val="24"/>
          <w:szCs w:val="24"/>
        </w:rPr>
        <w:t>, Peng Cui</w:t>
      </w:r>
      <w:r w:rsidRPr="00025B8B">
        <w:rPr>
          <w:rFonts w:ascii="Times New Roman" w:eastAsia="SimSun" w:hAnsi="Times New Roman"/>
          <w:color w:val="000000" w:themeColor="text1"/>
          <w:sz w:val="24"/>
          <w:szCs w:val="24"/>
          <w:vertAlign w:val="superscript"/>
        </w:rPr>
        <w:t>1</w:t>
      </w:r>
      <w:r w:rsidRPr="00025B8B">
        <w:rPr>
          <w:rFonts w:ascii="Times New Roman" w:eastAsia="SimSun" w:hAnsi="Times New Roman"/>
          <w:color w:val="000000" w:themeColor="text1"/>
          <w:sz w:val="24"/>
          <w:szCs w:val="24"/>
        </w:rPr>
        <w:t>, Chang Wen</w:t>
      </w:r>
      <w:r w:rsidRPr="00025B8B">
        <w:rPr>
          <w:rFonts w:ascii="Times New Roman" w:eastAsia="SimSun" w:hAnsi="Times New Roman"/>
          <w:color w:val="000000" w:themeColor="text1"/>
          <w:sz w:val="24"/>
          <w:szCs w:val="24"/>
          <w:vertAlign w:val="superscript"/>
        </w:rPr>
        <w:t>1</w:t>
      </w:r>
      <w:r w:rsidRPr="00025B8B">
        <w:rPr>
          <w:rFonts w:ascii="Times New Roman" w:eastAsia="SimSun" w:hAnsi="Times New Roman"/>
          <w:color w:val="000000" w:themeColor="text1"/>
          <w:sz w:val="24"/>
          <w:szCs w:val="24"/>
        </w:rPr>
        <w:t>, Chen Liu</w:t>
      </w:r>
      <w:r w:rsidRPr="00025B8B">
        <w:rPr>
          <w:rFonts w:ascii="Times New Roman" w:eastAsia="SimSun" w:hAnsi="Times New Roman"/>
          <w:color w:val="000000" w:themeColor="text1"/>
          <w:sz w:val="24"/>
          <w:szCs w:val="24"/>
          <w:vertAlign w:val="superscript"/>
        </w:rPr>
        <w:t>1</w:t>
      </w:r>
      <w:r w:rsidRPr="00025B8B">
        <w:rPr>
          <w:rFonts w:ascii="Times New Roman" w:eastAsia="SimSun" w:hAnsi="Times New Roman"/>
          <w:color w:val="000000" w:themeColor="text1"/>
          <w:sz w:val="24"/>
          <w:szCs w:val="24"/>
        </w:rPr>
        <w:t>, Zhi Chen</w:t>
      </w:r>
      <w:r w:rsidRPr="00025B8B">
        <w:rPr>
          <w:rFonts w:ascii="Times New Roman" w:eastAsia="SimSun" w:hAnsi="Times New Roman"/>
          <w:color w:val="000000" w:themeColor="text1"/>
          <w:sz w:val="24"/>
          <w:szCs w:val="24"/>
          <w:vertAlign w:val="superscript"/>
        </w:rPr>
        <w:t>1</w:t>
      </w:r>
      <w:r w:rsidRPr="00025B8B">
        <w:rPr>
          <w:rFonts w:ascii="Times New Roman" w:eastAsia="SimSun" w:hAnsi="Times New Roman"/>
          <w:color w:val="000000" w:themeColor="text1"/>
          <w:sz w:val="24"/>
          <w:szCs w:val="24"/>
        </w:rPr>
        <w:t xml:space="preserve">, </w:t>
      </w:r>
      <w:bookmarkStart w:id="1" w:name="OLE_LINK21"/>
      <w:bookmarkStart w:id="2" w:name="OLE_LINK22"/>
      <w:r w:rsidRPr="00025B8B">
        <w:rPr>
          <w:rFonts w:ascii="Times New Roman" w:eastAsia="SimSun" w:hAnsi="Times New Roman"/>
          <w:color w:val="000000" w:themeColor="text1"/>
          <w:sz w:val="24"/>
          <w:szCs w:val="24"/>
        </w:rPr>
        <w:t>Jiahuan Tang</w:t>
      </w:r>
      <w:r w:rsidRPr="00025B8B">
        <w:rPr>
          <w:rFonts w:ascii="Times New Roman" w:eastAsia="SimSun" w:hAnsi="Times New Roman"/>
          <w:color w:val="000000" w:themeColor="text1"/>
          <w:sz w:val="24"/>
          <w:szCs w:val="24"/>
          <w:vertAlign w:val="superscript"/>
        </w:rPr>
        <w:t>1</w:t>
      </w:r>
      <w:r w:rsidRPr="00025B8B">
        <w:rPr>
          <w:rFonts w:ascii="Times New Roman" w:eastAsia="SimSun" w:hAnsi="Times New Roman"/>
          <w:color w:val="000000" w:themeColor="text1"/>
          <w:sz w:val="24"/>
          <w:szCs w:val="24"/>
        </w:rPr>
        <w:t>, Jiangang Che</w:t>
      </w:r>
      <w:r w:rsidRPr="00025B8B">
        <w:rPr>
          <w:rFonts w:ascii="Times New Roman" w:eastAsia="SimSun" w:hAnsi="Times New Roman"/>
          <w:color w:val="000000" w:themeColor="text1"/>
          <w:sz w:val="24"/>
          <w:szCs w:val="24"/>
          <w:vertAlign w:val="superscript"/>
        </w:rPr>
        <w:t>1</w:t>
      </w:r>
      <w:r w:rsidRPr="00025B8B">
        <w:rPr>
          <w:rFonts w:ascii="Times New Roman" w:eastAsia="SimSun" w:hAnsi="Times New Roman"/>
          <w:color w:val="000000" w:themeColor="text1"/>
          <w:sz w:val="24"/>
          <w:szCs w:val="24"/>
        </w:rPr>
        <w:t xml:space="preserve">, </w:t>
      </w:r>
      <w:r w:rsidRPr="00025B8B">
        <w:rPr>
          <w:rStyle w:val="Strong"/>
          <w:rFonts w:ascii="Times New Roman" w:hAnsi="Times New Roman"/>
          <w:b w:val="0"/>
          <w:color w:val="000000" w:themeColor="text1"/>
          <w:sz w:val="24"/>
          <w:szCs w:val="24"/>
        </w:rPr>
        <w:t>Zhen Yu</w:t>
      </w:r>
      <w:r w:rsidRPr="00025B8B">
        <w:rPr>
          <w:rStyle w:val="Strong"/>
          <w:rFonts w:ascii="Times New Roman" w:hAnsi="Times New Roman"/>
          <w:b w:val="0"/>
          <w:color w:val="000000" w:themeColor="text1"/>
          <w:sz w:val="24"/>
          <w:szCs w:val="24"/>
          <w:vertAlign w:val="superscript"/>
        </w:rPr>
        <w:t>2</w:t>
      </w:r>
      <w:r w:rsidRPr="00025B8B">
        <w:rPr>
          <w:rStyle w:val="Strong"/>
          <w:rFonts w:ascii="Times New Roman" w:hAnsi="Times New Roman"/>
          <w:b w:val="0"/>
          <w:color w:val="000000" w:themeColor="text1"/>
          <w:sz w:val="24"/>
          <w:szCs w:val="24"/>
        </w:rPr>
        <w:t>, Stefan Geisen</w:t>
      </w:r>
      <w:bookmarkEnd w:id="1"/>
      <w:bookmarkEnd w:id="2"/>
      <w:r w:rsidRPr="00025B8B">
        <w:rPr>
          <w:rStyle w:val="Strong"/>
          <w:rFonts w:ascii="Times New Roman" w:hAnsi="Times New Roman"/>
          <w:b w:val="0"/>
          <w:color w:val="000000" w:themeColor="text1"/>
          <w:sz w:val="24"/>
          <w:szCs w:val="24"/>
          <w:vertAlign w:val="superscript"/>
        </w:rPr>
        <w:t>3</w:t>
      </w:r>
      <w:r w:rsidRPr="00025B8B">
        <w:rPr>
          <w:rFonts w:ascii="Times New Roman" w:eastAsia="SimSun" w:hAnsi="Times New Roman"/>
          <w:color w:val="000000" w:themeColor="text1"/>
          <w:sz w:val="24"/>
          <w:szCs w:val="24"/>
        </w:rPr>
        <w:t>, Shungui Zhou</w:t>
      </w:r>
      <w:r w:rsidRPr="00025B8B">
        <w:rPr>
          <w:rFonts w:ascii="Times New Roman" w:eastAsia="SimSun" w:hAnsi="Times New Roman"/>
          <w:color w:val="000000" w:themeColor="text1"/>
          <w:sz w:val="24"/>
          <w:szCs w:val="24"/>
          <w:vertAlign w:val="superscript"/>
        </w:rPr>
        <w:t>1#</w:t>
      </w:r>
      <w:r w:rsidRPr="00025B8B">
        <w:rPr>
          <w:rFonts w:ascii="Times New Roman" w:eastAsia="SimSun" w:hAnsi="Times New Roman"/>
          <w:color w:val="000000" w:themeColor="text1"/>
          <w:sz w:val="24"/>
          <w:szCs w:val="24"/>
        </w:rPr>
        <w:t xml:space="preserve">, </w:t>
      </w:r>
      <w:bookmarkStart w:id="3" w:name="_Hlk60906806"/>
      <w:r w:rsidRPr="00025B8B">
        <w:rPr>
          <w:rFonts w:ascii="Times New Roman" w:eastAsia="SimSun" w:hAnsi="Times New Roman"/>
          <w:color w:val="000000" w:themeColor="text1"/>
          <w:sz w:val="24"/>
          <w:szCs w:val="24"/>
        </w:rPr>
        <w:t>Ville-Petri Friman</w:t>
      </w:r>
      <w:bookmarkEnd w:id="3"/>
      <w:r w:rsidRPr="00025B8B">
        <w:rPr>
          <w:rFonts w:ascii="Times New Roman" w:eastAsia="SimSun" w:hAnsi="Times New Roman"/>
          <w:color w:val="000000" w:themeColor="text1"/>
          <w:sz w:val="24"/>
          <w:szCs w:val="24"/>
          <w:vertAlign w:val="superscript"/>
        </w:rPr>
        <w:t>4#</w:t>
      </w:r>
      <w:r w:rsidRPr="00025B8B">
        <w:rPr>
          <w:rFonts w:ascii="Times New Roman" w:eastAsia="SimSun" w:hAnsi="Times New Roman"/>
          <w:color w:val="000000" w:themeColor="text1"/>
          <w:sz w:val="24"/>
          <w:szCs w:val="24"/>
        </w:rPr>
        <w:t>, Yong-Guan Zhu</w:t>
      </w:r>
      <w:r w:rsidRPr="00025B8B">
        <w:rPr>
          <w:rFonts w:ascii="Times New Roman" w:eastAsia="SimSun" w:hAnsi="Times New Roman"/>
          <w:color w:val="000000" w:themeColor="text1"/>
          <w:sz w:val="24"/>
          <w:szCs w:val="24"/>
          <w:vertAlign w:val="superscript"/>
        </w:rPr>
        <w:t>5</w:t>
      </w:r>
    </w:p>
    <w:p w:rsidR="005E2EB4" w:rsidRPr="00025B8B" w:rsidRDefault="005E2EB4" w:rsidP="00025D1D">
      <w:pPr>
        <w:spacing w:line="480" w:lineRule="auto"/>
        <w:rPr>
          <w:rFonts w:ascii="Times New Roman" w:eastAsia="SimSun" w:hAnsi="Times New Roman"/>
          <w:b/>
          <w:color w:val="000000" w:themeColor="text1"/>
          <w:sz w:val="24"/>
          <w:szCs w:val="24"/>
        </w:rPr>
      </w:pPr>
      <w:r w:rsidRPr="00025B8B">
        <w:rPr>
          <w:rFonts w:ascii="Times New Roman" w:eastAsia="SimSun" w:hAnsi="Times New Roman"/>
          <w:b/>
          <w:color w:val="000000" w:themeColor="text1"/>
          <w:sz w:val="24"/>
          <w:szCs w:val="24"/>
        </w:rPr>
        <w:t>Affiliations</w:t>
      </w:r>
    </w:p>
    <w:p w:rsidR="005E2EB4" w:rsidRPr="00025B8B" w:rsidRDefault="005E2EB4" w:rsidP="00025D1D">
      <w:pPr>
        <w:spacing w:line="360" w:lineRule="auto"/>
        <w:rPr>
          <w:rFonts w:ascii="Times New Roman" w:eastAsia="SimSun" w:hAnsi="Times New Roman"/>
          <w:color w:val="000000" w:themeColor="text1"/>
          <w:sz w:val="24"/>
          <w:szCs w:val="24"/>
        </w:rPr>
      </w:pPr>
      <w:r w:rsidRPr="00025B8B">
        <w:rPr>
          <w:rFonts w:ascii="Times New Roman" w:eastAsia="SimSun" w:hAnsi="Times New Roman"/>
          <w:b/>
          <w:color w:val="000000" w:themeColor="text1"/>
          <w:sz w:val="24"/>
          <w:szCs w:val="24"/>
          <w:vertAlign w:val="superscript"/>
        </w:rPr>
        <w:t>1</w:t>
      </w:r>
      <w:r w:rsidRPr="00025B8B">
        <w:rPr>
          <w:rFonts w:ascii="Times New Roman" w:eastAsia="SimSun" w:hAnsi="Times New Roman"/>
          <w:color w:val="000000" w:themeColor="text1"/>
          <w:sz w:val="24"/>
          <w:szCs w:val="24"/>
          <w:vertAlign w:val="superscript"/>
        </w:rPr>
        <w:t xml:space="preserve"> </w:t>
      </w:r>
      <w:r w:rsidRPr="00025B8B">
        <w:rPr>
          <w:rFonts w:ascii="Times New Roman" w:hAnsi="Times New Roman"/>
          <w:color w:val="000000" w:themeColor="text1"/>
          <w:kern w:val="0"/>
          <w:sz w:val="24"/>
          <w:szCs w:val="24"/>
        </w:rPr>
        <w:t xml:space="preserve">Fujian Provincial Key Laboratory of Soil Environmental Health and Regulation, College of Resources and Environment, Fujian Agriculture and Forestry University, </w:t>
      </w:r>
      <w:r w:rsidRPr="00025B8B">
        <w:rPr>
          <w:rFonts w:ascii="Times New Roman" w:eastAsia="SimSun" w:hAnsi="Times New Roman"/>
          <w:color w:val="000000" w:themeColor="text1"/>
          <w:sz w:val="24"/>
          <w:szCs w:val="24"/>
        </w:rPr>
        <w:t>Fuzhou 350002, China.</w:t>
      </w:r>
    </w:p>
    <w:p w:rsidR="005E2EB4" w:rsidRPr="00025B8B" w:rsidRDefault="005E2EB4" w:rsidP="00025D1D">
      <w:pPr>
        <w:spacing w:line="480" w:lineRule="auto"/>
        <w:rPr>
          <w:rFonts w:ascii="Times New Roman" w:hAnsi="Times New Roman"/>
          <w:color w:val="000000" w:themeColor="text1"/>
          <w:kern w:val="0"/>
          <w:sz w:val="24"/>
          <w:szCs w:val="24"/>
        </w:rPr>
      </w:pPr>
      <w:r w:rsidRPr="00025B8B">
        <w:rPr>
          <w:rFonts w:ascii="Times New Roman" w:hAnsi="Times New Roman"/>
          <w:b/>
          <w:color w:val="000000" w:themeColor="text1"/>
          <w:kern w:val="0"/>
          <w:sz w:val="24"/>
          <w:szCs w:val="24"/>
          <w:vertAlign w:val="superscript"/>
        </w:rPr>
        <w:t>2</w:t>
      </w:r>
      <w:r w:rsidRPr="00025B8B">
        <w:rPr>
          <w:rFonts w:ascii="Times New Roman" w:hAnsi="Times New Roman"/>
          <w:color w:val="000000" w:themeColor="text1"/>
          <w:kern w:val="0"/>
          <w:sz w:val="24"/>
          <w:szCs w:val="24"/>
        </w:rPr>
        <w:t xml:space="preserve"> Guangdong Key Laboratory of Integrated Agro-environmental Pollution Control and Management, </w:t>
      </w:r>
      <w:bookmarkStart w:id="4" w:name="OLE_LINK19"/>
      <w:bookmarkStart w:id="5" w:name="OLE_LINK20"/>
      <w:r w:rsidRPr="00025B8B">
        <w:rPr>
          <w:rFonts w:ascii="Times New Roman" w:hAnsi="Times New Roman"/>
          <w:color w:val="000000" w:themeColor="text1"/>
          <w:kern w:val="0"/>
          <w:sz w:val="24"/>
          <w:szCs w:val="24"/>
        </w:rPr>
        <w:t>Guangdong Institute of Eco-environmental Science &amp; Technology</w:t>
      </w:r>
      <w:bookmarkEnd w:id="4"/>
      <w:bookmarkEnd w:id="5"/>
      <w:r w:rsidRPr="00025B8B">
        <w:rPr>
          <w:rFonts w:ascii="Times New Roman" w:hAnsi="Times New Roman"/>
          <w:color w:val="000000" w:themeColor="text1"/>
          <w:kern w:val="0"/>
          <w:sz w:val="24"/>
          <w:szCs w:val="24"/>
        </w:rPr>
        <w:t>, Guangzhou 510650, China.</w:t>
      </w:r>
    </w:p>
    <w:p w:rsidR="005E2EB4" w:rsidRPr="00025B8B" w:rsidRDefault="005E2EB4" w:rsidP="00025D1D">
      <w:pPr>
        <w:spacing w:line="480" w:lineRule="auto"/>
        <w:rPr>
          <w:rFonts w:ascii="Times New Roman" w:eastAsia="SimSun" w:hAnsi="Times New Roman"/>
          <w:color w:val="000000" w:themeColor="text1"/>
          <w:sz w:val="24"/>
          <w:szCs w:val="24"/>
        </w:rPr>
      </w:pPr>
      <w:r w:rsidRPr="00025B8B">
        <w:rPr>
          <w:rFonts w:ascii="Times New Roman" w:eastAsia="SimSun" w:hAnsi="Times New Roman"/>
          <w:b/>
          <w:color w:val="000000" w:themeColor="text1"/>
          <w:sz w:val="24"/>
          <w:szCs w:val="24"/>
          <w:vertAlign w:val="superscript"/>
        </w:rPr>
        <w:t>3</w:t>
      </w:r>
      <w:r w:rsidRPr="00025B8B">
        <w:rPr>
          <w:rFonts w:ascii="Times New Roman" w:eastAsia="SimSun" w:hAnsi="Times New Roman"/>
          <w:color w:val="000000" w:themeColor="text1"/>
          <w:sz w:val="24"/>
          <w:szCs w:val="24"/>
        </w:rPr>
        <w:t xml:space="preserve"> Laboratory of Nematology, Wageningen University, 6700AA Wageningen, Netherlands.</w:t>
      </w:r>
    </w:p>
    <w:p w:rsidR="005E2EB4" w:rsidRPr="00025B8B" w:rsidRDefault="005E2EB4" w:rsidP="00025D1D">
      <w:pPr>
        <w:spacing w:line="480" w:lineRule="auto"/>
        <w:rPr>
          <w:rFonts w:ascii="Times New Roman" w:eastAsia="SimSun" w:hAnsi="Times New Roman"/>
          <w:color w:val="000000" w:themeColor="text1"/>
          <w:sz w:val="24"/>
          <w:szCs w:val="24"/>
        </w:rPr>
      </w:pPr>
      <w:r w:rsidRPr="00025B8B">
        <w:rPr>
          <w:rFonts w:ascii="Times New Roman" w:eastAsia="SimSun" w:hAnsi="Times New Roman"/>
          <w:b/>
          <w:color w:val="000000" w:themeColor="text1"/>
          <w:sz w:val="24"/>
          <w:szCs w:val="24"/>
          <w:vertAlign w:val="superscript"/>
        </w:rPr>
        <w:t>4</w:t>
      </w:r>
      <w:r w:rsidRPr="00025B8B">
        <w:rPr>
          <w:rFonts w:ascii="Times New Roman" w:eastAsia="SimSun" w:hAnsi="Times New Roman"/>
          <w:color w:val="000000" w:themeColor="text1"/>
          <w:sz w:val="24"/>
          <w:szCs w:val="24"/>
          <w:vertAlign w:val="superscript"/>
        </w:rPr>
        <w:t xml:space="preserve"> </w:t>
      </w:r>
      <w:r w:rsidRPr="00025B8B">
        <w:rPr>
          <w:rFonts w:ascii="Times New Roman" w:eastAsia="SimSun" w:hAnsi="Times New Roman"/>
          <w:color w:val="000000" w:themeColor="text1"/>
          <w:sz w:val="24"/>
          <w:szCs w:val="24"/>
        </w:rPr>
        <w:t>Department of Biology, University of York, Wentworth Way, YO10 5DD, York, UK.</w:t>
      </w:r>
    </w:p>
    <w:p w:rsidR="005E2EB4" w:rsidRPr="00025B8B" w:rsidRDefault="005E2EB4" w:rsidP="00025D1D">
      <w:pPr>
        <w:spacing w:line="360" w:lineRule="auto"/>
        <w:rPr>
          <w:rFonts w:ascii="Times New Roman" w:hAnsi="Times New Roman"/>
          <w:color w:val="000000" w:themeColor="text1"/>
          <w:kern w:val="0"/>
          <w:sz w:val="24"/>
          <w:szCs w:val="24"/>
        </w:rPr>
      </w:pPr>
      <w:r w:rsidRPr="00025B8B">
        <w:rPr>
          <w:rFonts w:ascii="Times New Roman" w:eastAsia="SimSun" w:hAnsi="Times New Roman"/>
          <w:b/>
          <w:color w:val="000000" w:themeColor="text1"/>
          <w:sz w:val="24"/>
          <w:szCs w:val="24"/>
          <w:vertAlign w:val="superscript"/>
        </w:rPr>
        <w:t>5</w:t>
      </w:r>
      <w:r w:rsidRPr="00025B8B">
        <w:rPr>
          <w:rFonts w:ascii="Times New Roman" w:eastAsia="SimSun" w:hAnsi="Times New Roman"/>
          <w:color w:val="000000" w:themeColor="text1"/>
          <w:sz w:val="24"/>
          <w:szCs w:val="24"/>
        </w:rPr>
        <w:t xml:space="preserve"> </w:t>
      </w:r>
      <w:r w:rsidRPr="00025B8B">
        <w:rPr>
          <w:rFonts w:ascii="Times New Roman" w:hAnsi="Times New Roman"/>
          <w:color w:val="000000" w:themeColor="text1"/>
          <w:kern w:val="0"/>
          <w:sz w:val="24"/>
          <w:szCs w:val="24"/>
        </w:rPr>
        <w:t>Key Lab of Urban Environment and Health, Institute of Urban Environment, Chinese Academy of Sciences, Xiamen 361021, China.</w:t>
      </w:r>
    </w:p>
    <w:p w:rsidR="005E2EB4" w:rsidRPr="00025B8B" w:rsidRDefault="005E2EB4" w:rsidP="00025D1D">
      <w:pPr>
        <w:widowControl/>
        <w:autoSpaceDE w:val="0"/>
        <w:autoSpaceDN w:val="0"/>
        <w:adjustRightInd w:val="0"/>
        <w:snapToGrid w:val="0"/>
        <w:spacing w:line="480" w:lineRule="auto"/>
        <w:rPr>
          <w:rFonts w:ascii="Times New Roman" w:eastAsia="Microsoft YaHei" w:hAnsi="Times New Roman"/>
          <w:b/>
          <w:color w:val="000000" w:themeColor="text1"/>
          <w:kern w:val="0"/>
          <w:sz w:val="24"/>
          <w:szCs w:val="24"/>
          <w:vertAlign w:val="superscript"/>
        </w:rPr>
      </w:pPr>
    </w:p>
    <w:p w:rsidR="005E2EB4" w:rsidRPr="00025B8B" w:rsidRDefault="005E2EB4" w:rsidP="00025D1D">
      <w:pPr>
        <w:widowControl/>
        <w:autoSpaceDE w:val="0"/>
        <w:autoSpaceDN w:val="0"/>
        <w:adjustRightInd w:val="0"/>
        <w:snapToGrid w:val="0"/>
        <w:spacing w:line="480" w:lineRule="auto"/>
        <w:rPr>
          <w:rFonts w:ascii="Times New Roman" w:eastAsia="Microsoft YaHei" w:hAnsi="Times New Roman"/>
          <w:b/>
          <w:color w:val="000000" w:themeColor="text1"/>
          <w:kern w:val="0"/>
          <w:sz w:val="24"/>
          <w:szCs w:val="24"/>
        </w:rPr>
      </w:pPr>
      <w:r w:rsidRPr="00025B8B">
        <w:rPr>
          <w:rFonts w:ascii="Times New Roman" w:eastAsia="Microsoft YaHei" w:hAnsi="Times New Roman" w:hint="eastAsia"/>
          <w:b/>
          <w:color w:val="000000" w:themeColor="text1"/>
          <w:kern w:val="0"/>
          <w:sz w:val="24"/>
          <w:szCs w:val="24"/>
          <w:vertAlign w:val="superscript"/>
        </w:rPr>
        <w:t>*</w:t>
      </w:r>
      <w:r w:rsidRPr="00025B8B">
        <w:rPr>
          <w:rFonts w:ascii="Times New Roman" w:eastAsia="Microsoft YaHei" w:hAnsi="Times New Roman"/>
          <w:b/>
          <w:color w:val="000000" w:themeColor="text1"/>
          <w:kern w:val="0"/>
          <w:sz w:val="24"/>
          <w:szCs w:val="24"/>
        </w:rPr>
        <w:t>Corresponding authors</w:t>
      </w:r>
    </w:p>
    <w:p w:rsidR="005E2EB4" w:rsidRPr="00025B8B" w:rsidRDefault="005E2EB4" w:rsidP="00025D1D">
      <w:pPr>
        <w:widowControl/>
        <w:autoSpaceDE w:val="0"/>
        <w:autoSpaceDN w:val="0"/>
        <w:adjustRightInd w:val="0"/>
        <w:snapToGrid w:val="0"/>
        <w:spacing w:line="480" w:lineRule="auto"/>
        <w:rPr>
          <w:rFonts w:ascii="Times New Roman" w:eastAsia="Microsoft YaHei" w:hAnsi="Times New Roman"/>
          <w:color w:val="000000" w:themeColor="text1"/>
          <w:kern w:val="0"/>
          <w:sz w:val="24"/>
          <w:szCs w:val="24"/>
        </w:rPr>
      </w:pPr>
      <w:r w:rsidRPr="00025B8B">
        <w:rPr>
          <w:rFonts w:ascii="Times New Roman" w:eastAsia="Microsoft YaHei" w:hAnsi="Times New Roman"/>
          <w:color w:val="000000" w:themeColor="text1"/>
          <w:kern w:val="0"/>
          <w:sz w:val="24"/>
          <w:szCs w:val="24"/>
        </w:rPr>
        <w:t xml:space="preserve">Correspondence to </w:t>
      </w:r>
      <w:r w:rsidRPr="00025B8B">
        <w:rPr>
          <w:rFonts w:ascii="Times New Roman" w:eastAsia="SimSun" w:hAnsi="Times New Roman"/>
          <w:color w:val="000000" w:themeColor="text1"/>
          <w:sz w:val="24"/>
          <w:szCs w:val="24"/>
        </w:rPr>
        <w:t>Shungui Zhou (sgzhou@fafu.edu.cn) and Ville-Petri Friman (ville.friman@york.ac.uk)</w:t>
      </w:r>
    </w:p>
    <w:p w:rsidR="005E2EB4" w:rsidRPr="00025B8B" w:rsidRDefault="005E2EB4" w:rsidP="00025D1D">
      <w:pPr>
        <w:spacing w:line="480" w:lineRule="auto"/>
        <w:rPr>
          <w:rFonts w:ascii="Arial" w:hAnsi="Arial" w:cs="Arial"/>
          <w:b/>
          <w:color w:val="000000" w:themeColor="text1"/>
          <w:sz w:val="24"/>
          <w:szCs w:val="24"/>
        </w:rPr>
      </w:pP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b/>
          <w:sz w:val="24"/>
          <w:szCs w:val="24"/>
        </w:rPr>
        <w:t>Running title:</w:t>
      </w:r>
      <w:r w:rsidRPr="00025B8B">
        <w:rPr>
          <w:rFonts w:ascii="Times New Roman" w:hAnsi="Times New Roman"/>
          <w:sz w:val="24"/>
          <w:szCs w:val="24"/>
        </w:rPr>
        <w:t xml:space="preserve"> Herbicide selection promotes antibiotic resistance</w:t>
      </w:r>
    </w:p>
    <w:p w:rsidR="005E2EB4" w:rsidRPr="00025B8B" w:rsidRDefault="005E2EB4" w:rsidP="00025D1D">
      <w:pPr>
        <w:spacing w:line="480" w:lineRule="auto"/>
        <w:rPr>
          <w:rFonts w:ascii="Times New Roman" w:hAnsi="Times New Roman"/>
          <w:sz w:val="24"/>
          <w:szCs w:val="24"/>
        </w:rPr>
      </w:pPr>
      <w:r w:rsidRPr="00025B8B">
        <w:rPr>
          <w:rFonts w:ascii="Times New Roman" w:hAnsi="Times New Roman"/>
          <w:b/>
          <w:color w:val="000000" w:themeColor="text1"/>
          <w:sz w:val="24"/>
          <w:szCs w:val="24"/>
        </w:rPr>
        <w:t>Keywords:</w:t>
      </w:r>
      <w:r w:rsidRPr="00025B8B">
        <w:rPr>
          <w:rFonts w:ascii="Times New Roman" w:hAnsi="Times New Roman"/>
          <w:bCs/>
          <w:color w:val="000000" w:themeColor="text1"/>
          <w:sz w:val="24"/>
          <w:szCs w:val="24"/>
        </w:rPr>
        <w:t xml:space="preserve"> Agrochemicals, Antibiotic resistance, Experimental evolution,</w:t>
      </w:r>
      <w:r w:rsidRPr="00025B8B">
        <w:rPr>
          <w:rFonts w:ascii="Times New Roman" w:hAnsi="Times New Roman"/>
          <w:b/>
          <w:color w:val="000000" w:themeColor="text1"/>
          <w:sz w:val="24"/>
          <w:szCs w:val="24"/>
        </w:rPr>
        <w:t xml:space="preserve"> </w:t>
      </w:r>
      <w:r w:rsidRPr="00025B8B">
        <w:rPr>
          <w:rFonts w:ascii="Times New Roman" w:hAnsi="Times New Roman"/>
          <w:sz w:val="24"/>
          <w:szCs w:val="24"/>
        </w:rPr>
        <w:t>Herbicide tolerance, Soil microbiomes, Mobile genetic elements</w:t>
      </w:r>
    </w:p>
    <w:p w:rsidR="008B7AFA" w:rsidRPr="00025B8B" w:rsidRDefault="008B7AFA" w:rsidP="00025D1D">
      <w:pPr>
        <w:spacing w:line="480" w:lineRule="auto"/>
        <w:rPr>
          <w:rFonts w:ascii="Times New Roman" w:hAnsi="Times New Roman"/>
          <w:b/>
          <w:color w:val="000000" w:themeColor="text1"/>
          <w:sz w:val="24"/>
          <w:szCs w:val="24"/>
        </w:rPr>
      </w:pPr>
    </w:p>
    <w:p w:rsidR="008B7AFA" w:rsidRPr="00025B8B" w:rsidRDefault="008B7AFA" w:rsidP="00025D1D">
      <w:pPr>
        <w:spacing w:line="480" w:lineRule="auto"/>
        <w:rPr>
          <w:rFonts w:ascii="Times New Roman" w:hAnsi="Times New Roman"/>
          <w:b/>
          <w:color w:val="000000" w:themeColor="text1"/>
          <w:sz w:val="24"/>
          <w:szCs w:val="24"/>
        </w:rPr>
      </w:pPr>
    </w:p>
    <w:p w:rsidR="008B7AFA" w:rsidRPr="00025B8B" w:rsidRDefault="008B7AFA" w:rsidP="00025D1D">
      <w:pPr>
        <w:spacing w:line="480" w:lineRule="auto"/>
        <w:rPr>
          <w:rFonts w:ascii="Times New Roman" w:hAnsi="Times New Roman"/>
          <w:b/>
          <w:color w:val="000000" w:themeColor="text1"/>
          <w:sz w:val="24"/>
          <w:szCs w:val="24"/>
        </w:rPr>
      </w:pPr>
    </w:p>
    <w:p w:rsidR="005E2EB4" w:rsidRPr="00025B8B" w:rsidRDefault="005E2EB4" w:rsidP="00025D1D">
      <w:pPr>
        <w:spacing w:line="480" w:lineRule="auto"/>
        <w:rPr>
          <w:rFonts w:ascii="Arial" w:hAnsi="Arial" w:cs="Arial"/>
          <w:b/>
          <w:color w:val="000000" w:themeColor="text1"/>
          <w:sz w:val="24"/>
          <w:szCs w:val="24"/>
        </w:rPr>
      </w:pPr>
      <w:r w:rsidRPr="00025B8B">
        <w:rPr>
          <w:rFonts w:ascii="Arial" w:hAnsi="Arial" w:cs="Arial" w:hint="eastAsia"/>
          <w:b/>
          <w:color w:val="000000" w:themeColor="text1"/>
          <w:sz w:val="24"/>
          <w:szCs w:val="24"/>
        </w:rPr>
        <w:lastRenderedPageBreak/>
        <w:t>Abstract</w:t>
      </w:r>
    </w:p>
    <w:p w:rsidR="005E2EB4" w:rsidRPr="00025B8B" w:rsidRDefault="005E2EB4" w:rsidP="00025D1D">
      <w:pPr>
        <w:spacing w:line="480" w:lineRule="auto"/>
        <w:rPr>
          <w:rFonts w:ascii="Times New Roman" w:hAnsi="Times New Roman"/>
          <w:bCs/>
          <w:color w:val="000000" w:themeColor="text1"/>
          <w:sz w:val="24"/>
          <w:szCs w:val="24"/>
        </w:rPr>
      </w:pPr>
      <w:bookmarkStart w:id="6" w:name="OLE_LINK2"/>
      <w:bookmarkStart w:id="7" w:name="OLE_LINK5"/>
      <w:bookmarkStart w:id="8" w:name="OLE_LINK72"/>
      <w:bookmarkStart w:id="9" w:name="OLE_LINK73"/>
      <w:r w:rsidRPr="00025B8B">
        <w:rPr>
          <w:rFonts w:ascii="Times New Roman" w:hAnsi="Times New Roman"/>
          <w:bCs/>
          <w:color w:val="000000" w:themeColor="text1"/>
          <w:sz w:val="24"/>
          <w:szCs w:val="24"/>
        </w:rPr>
        <w:t>Herbicides are one of the most widely used chemicals in agriculture. While they are known to be harmful to non-target organisms, the effects of herbicides on the composition and functioning of soil microbial communities remains unclear</w:t>
      </w:r>
      <w:r w:rsidRPr="00025B8B">
        <w:rPr>
          <w:rFonts w:ascii="Times New Roman" w:hAnsi="Times New Roman"/>
          <w:bCs/>
          <w:color w:val="000000" w:themeColor="text1"/>
          <w:sz w:val="24"/>
          <w:szCs w:val="24"/>
          <w:lang w:val="en-GB"/>
        </w:rPr>
        <w:t>.</w:t>
      </w:r>
      <w:r w:rsidRPr="00025B8B">
        <w:rPr>
          <w:rFonts w:ascii="Times New Roman" w:hAnsi="Times New Roman"/>
          <w:bCs/>
          <w:color w:val="000000" w:themeColor="text1"/>
          <w:sz w:val="24"/>
          <w:szCs w:val="24"/>
        </w:rPr>
        <w:t xml:space="preserve"> Here we show that application of three widely used herbicides - glyphosate, glufosinate and dicamba - increase the prevalence of antibiotic resistance genes (ARGs) and mobile genetic elements (MGEs) in soil microbiomes without clear changes in the abundance, diversity and composition of bacterial communities. Mechanistically, these results could be explained by a positive selection for more tolerant genotypes that acquired several mutations in previously well-characterized herbicide and antibiotic resistance genes. Moreover, herbicide exposure increased cell membrane permeability and conjugation frequency of multidrug resistance plasmids, promoting ARG movement between bacteria. A similar pattern was found in agricultural soils across eleven provinces in China, where herbicide application, and the levels of glyphosate residues in soils, were associated with increased ARG and MGE abundances relative to herbicide-free control sites. Together, our results show that herbicide application can enrich ARGs and MGEs </w:t>
      </w:r>
      <w:r w:rsidRPr="00025B8B">
        <w:rPr>
          <w:rFonts w:ascii="Times New Roman" w:hAnsi="Times New Roman"/>
          <w:color w:val="000000" w:themeColor="text1"/>
          <w:sz w:val="24"/>
          <w:szCs w:val="24"/>
        </w:rPr>
        <w:t xml:space="preserve">by changing the genetic composition of soil microbiomes, potentially contributing to the global </w:t>
      </w:r>
      <w:r w:rsidRPr="00025B8B">
        <w:rPr>
          <w:rFonts w:ascii="Times New Roman" w:hAnsi="Times New Roman" w:hint="eastAsia"/>
          <w:color w:val="000000" w:themeColor="text1"/>
          <w:sz w:val="24"/>
          <w:szCs w:val="24"/>
        </w:rPr>
        <w:t>antimicrobial</w:t>
      </w:r>
      <w:r w:rsidRPr="00025B8B">
        <w:rPr>
          <w:rFonts w:ascii="Times New Roman" w:hAnsi="Times New Roman"/>
          <w:color w:val="000000" w:themeColor="text1"/>
          <w:sz w:val="24"/>
          <w:szCs w:val="24"/>
        </w:rPr>
        <w:t xml:space="preserve"> resistance problem in agricultural environments.</w:t>
      </w:r>
      <w:bookmarkEnd w:id="6"/>
      <w:bookmarkEnd w:id="7"/>
    </w:p>
    <w:bookmarkEnd w:id="8"/>
    <w:bookmarkEnd w:id="9"/>
    <w:p w:rsidR="005E2EB4" w:rsidRPr="00025B8B" w:rsidRDefault="005E2EB4" w:rsidP="00025D1D">
      <w:pPr>
        <w:spacing w:line="480" w:lineRule="auto"/>
        <w:rPr>
          <w:rFonts w:ascii="Times New Roman" w:hAnsi="Times New Roman"/>
          <w:b/>
          <w:bCs/>
          <w:color w:val="000000" w:themeColor="text1"/>
          <w:sz w:val="24"/>
          <w:szCs w:val="24"/>
        </w:rPr>
      </w:pPr>
    </w:p>
    <w:p w:rsidR="005E2EB4" w:rsidRPr="00025B8B" w:rsidRDefault="005E2EB4" w:rsidP="00025D1D">
      <w:pPr>
        <w:spacing w:line="480" w:lineRule="auto"/>
        <w:rPr>
          <w:rFonts w:ascii="Times New Roman" w:hAnsi="Times New Roman"/>
          <w:b/>
          <w:bCs/>
          <w:color w:val="000000" w:themeColor="text1"/>
          <w:sz w:val="24"/>
          <w:szCs w:val="24"/>
        </w:rPr>
      </w:pPr>
    </w:p>
    <w:p w:rsidR="005E2EB4" w:rsidRPr="00025B8B" w:rsidRDefault="005E2EB4" w:rsidP="00025D1D">
      <w:pPr>
        <w:spacing w:line="480" w:lineRule="auto"/>
        <w:rPr>
          <w:rFonts w:ascii="Times New Roman" w:hAnsi="Times New Roman"/>
          <w:color w:val="000000" w:themeColor="text1"/>
          <w:sz w:val="24"/>
          <w:szCs w:val="24"/>
        </w:rPr>
      </w:pPr>
    </w:p>
    <w:p w:rsidR="008B7AFA" w:rsidRPr="00025B8B" w:rsidRDefault="008B7AFA" w:rsidP="00025D1D">
      <w:pPr>
        <w:spacing w:line="480" w:lineRule="auto"/>
        <w:rPr>
          <w:rFonts w:ascii="Times New Roman" w:hAnsi="Times New Roman"/>
          <w:color w:val="000000" w:themeColor="text1"/>
          <w:sz w:val="24"/>
          <w:szCs w:val="24"/>
        </w:rPr>
      </w:pPr>
    </w:p>
    <w:p w:rsidR="008B7AFA" w:rsidRPr="00025B8B" w:rsidRDefault="008B7AFA" w:rsidP="00025D1D">
      <w:pPr>
        <w:spacing w:line="480" w:lineRule="auto"/>
        <w:rPr>
          <w:rFonts w:ascii="Times New Roman" w:hAnsi="Times New Roman"/>
          <w:color w:val="000000" w:themeColor="text1"/>
          <w:sz w:val="24"/>
          <w:szCs w:val="24"/>
        </w:rPr>
      </w:pPr>
    </w:p>
    <w:p w:rsidR="008B7AFA" w:rsidRPr="00025B8B" w:rsidRDefault="008B7AFA" w:rsidP="00025D1D">
      <w:pPr>
        <w:spacing w:line="480" w:lineRule="auto"/>
        <w:rPr>
          <w:rFonts w:ascii="Times New Roman" w:hAnsi="Times New Roman"/>
          <w:color w:val="000000" w:themeColor="text1"/>
          <w:sz w:val="24"/>
          <w:szCs w:val="24"/>
        </w:rPr>
      </w:pP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b/>
          <w:color w:val="000000" w:themeColor="text1"/>
          <w:sz w:val="24"/>
          <w:szCs w:val="24"/>
        </w:rPr>
        <w:lastRenderedPageBreak/>
        <w:t xml:space="preserve">Introduction </w:t>
      </w:r>
    </w:p>
    <w:p w:rsidR="005E2EB4" w:rsidRPr="00025B8B" w:rsidRDefault="005E2EB4" w:rsidP="00025D1D">
      <w:pPr>
        <w:spacing w:line="480" w:lineRule="auto"/>
        <w:rPr>
          <w:rFonts w:ascii="Times New Roman" w:hAnsi="Times New Roman"/>
          <w:color w:val="000000" w:themeColor="text1"/>
          <w:sz w:val="24"/>
          <w:szCs w:val="24"/>
          <w:lang w:val="en-GB"/>
        </w:rPr>
      </w:pPr>
      <w:r w:rsidRPr="00025B8B">
        <w:rPr>
          <w:rFonts w:ascii="Times New Roman" w:hAnsi="Times New Roman"/>
          <w:color w:val="000000" w:themeColor="text1"/>
          <w:sz w:val="24"/>
          <w:szCs w:val="24"/>
          <w:lang w:val="en-GB"/>
        </w:rPr>
        <w:t xml:space="preserve">Herbicides, such as glyphosate, dicamba and glufosinate, are widely used to control weeds in agriculture </w:t>
      </w:r>
      <w:r w:rsidRPr="00025B8B">
        <w:rPr>
          <w:rFonts w:ascii="Times New Roman" w:hAnsi="Times New Roman"/>
          <w:noProof/>
          <w:color w:val="000000" w:themeColor="text1"/>
          <w:sz w:val="24"/>
          <w:szCs w:val="24"/>
          <w:lang w:val="en-GB"/>
        </w:rPr>
        <w:t>(Maggi, et al. 2019)</w:t>
      </w:r>
      <w:r w:rsidRPr="00025B8B">
        <w:rPr>
          <w:rFonts w:ascii="Times New Roman" w:hAnsi="Times New Roman"/>
          <w:color w:val="000000" w:themeColor="text1"/>
          <w:sz w:val="24"/>
          <w:szCs w:val="24"/>
          <w:lang w:val="en-GB"/>
        </w:rPr>
        <w:t xml:space="preserve">. While these compounds are thought to be specific to plants, they can cause collateral damage to other types of organisms by targeting evolutionarily conserved pathways </w:t>
      </w:r>
      <w:r w:rsidRPr="00025B8B">
        <w:rPr>
          <w:rFonts w:ascii="Times New Roman" w:hAnsi="Times New Roman"/>
          <w:noProof/>
          <w:color w:val="000000" w:themeColor="text1"/>
          <w:sz w:val="24"/>
          <w:szCs w:val="24"/>
          <w:lang w:val="en-GB"/>
        </w:rPr>
        <w:t>(Motta, et al. 2018; Leino, et al. 2020)</w:t>
      </w:r>
      <w:r w:rsidRPr="00025B8B">
        <w:rPr>
          <w:rFonts w:ascii="Times New Roman" w:hAnsi="Times New Roman"/>
          <w:color w:val="000000" w:themeColor="text1"/>
          <w:sz w:val="24"/>
          <w:szCs w:val="24"/>
          <w:lang w:val="en-GB"/>
        </w:rPr>
        <w:t xml:space="preserve">. For example, the molecular target of glyphosate - the shikimate pathway - is found in bacteria and fungi and is crucial for the synthesis of three essential amino acids (phenylalanine, tyrosine and tryptophan) </w:t>
      </w:r>
      <w:r w:rsidRPr="00025B8B">
        <w:rPr>
          <w:rFonts w:ascii="Times New Roman" w:hAnsi="Times New Roman"/>
          <w:noProof/>
          <w:color w:val="000000" w:themeColor="text1"/>
          <w:sz w:val="24"/>
          <w:szCs w:val="24"/>
          <w:lang w:val="en-GB"/>
        </w:rPr>
        <w:t>(Motta, et al. 2018; Brilisauer, et al. 2019)</w:t>
      </w:r>
      <w:r w:rsidRPr="00025B8B">
        <w:rPr>
          <w:rFonts w:ascii="Times New Roman" w:hAnsi="Times New Roman"/>
          <w:color w:val="000000" w:themeColor="text1"/>
          <w:sz w:val="24"/>
          <w:szCs w:val="24"/>
          <w:lang w:val="en-GB"/>
        </w:rPr>
        <w:t xml:space="preserve">. Previous studies have linked herbicide use to compositional changes in host-associated microbiomes in insects </w:t>
      </w:r>
      <w:r w:rsidRPr="00025B8B">
        <w:rPr>
          <w:rFonts w:ascii="Times New Roman" w:hAnsi="Times New Roman"/>
          <w:noProof/>
          <w:color w:val="000000" w:themeColor="text1"/>
          <w:sz w:val="24"/>
          <w:szCs w:val="24"/>
          <w:lang w:val="en-GB"/>
        </w:rPr>
        <w:t>(Motta, et al. 2018)</w:t>
      </w:r>
      <w:r w:rsidRPr="00025B8B">
        <w:rPr>
          <w:rFonts w:ascii="Times New Roman" w:hAnsi="Times New Roman"/>
          <w:color w:val="000000" w:themeColor="text1"/>
          <w:sz w:val="24"/>
          <w:szCs w:val="24"/>
          <w:lang w:val="en-GB"/>
        </w:rPr>
        <w:t xml:space="preserve">, mice </w:t>
      </w:r>
      <w:r w:rsidRPr="00025B8B">
        <w:rPr>
          <w:rFonts w:ascii="Times New Roman" w:hAnsi="Times New Roman"/>
          <w:noProof/>
          <w:color w:val="000000" w:themeColor="text1"/>
          <w:sz w:val="24"/>
          <w:szCs w:val="24"/>
          <w:lang w:val="en-GB"/>
        </w:rPr>
        <w:t>(Wang, Berdy, et al. 2020)</w:t>
      </w:r>
      <w:r w:rsidRPr="00025B8B">
        <w:rPr>
          <w:rFonts w:ascii="Times New Roman" w:hAnsi="Times New Roman"/>
          <w:color w:val="000000" w:themeColor="text1"/>
          <w:sz w:val="24"/>
          <w:szCs w:val="24"/>
          <w:lang w:val="en-GB"/>
        </w:rPr>
        <w:t xml:space="preserve"> and plants </w:t>
      </w:r>
      <w:r w:rsidRPr="00025B8B">
        <w:rPr>
          <w:rFonts w:ascii="Times New Roman" w:hAnsi="Times New Roman"/>
          <w:noProof/>
          <w:color w:val="000000" w:themeColor="text1"/>
          <w:sz w:val="24"/>
          <w:szCs w:val="24"/>
          <w:lang w:val="en-GB"/>
        </w:rPr>
        <w:t>(Hu, et al. 2019)</w:t>
      </w:r>
      <w:r w:rsidRPr="00025B8B">
        <w:rPr>
          <w:rFonts w:ascii="Times New Roman" w:hAnsi="Times New Roman"/>
          <w:color w:val="000000" w:themeColor="text1"/>
          <w:sz w:val="24"/>
          <w:szCs w:val="24"/>
          <w:lang w:val="en-GB"/>
        </w:rPr>
        <w:t xml:space="preserve">, which could also potentially change the ecology of these microbial communities and how they interact with their host species. However, the potential evolutionary consequences of herbicide selection for the genetic composition and functioning of bacterial communities are poorly understood in soil microbiomes </w:t>
      </w:r>
      <w:r w:rsidRPr="00025B8B">
        <w:rPr>
          <w:rFonts w:ascii="Times New Roman" w:hAnsi="Times New Roman"/>
          <w:noProof/>
          <w:color w:val="000000" w:themeColor="text1"/>
          <w:sz w:val="24"/>
          <w:szCs w:val="24"/>
          <w:lang w:val="en-GB"/>
        </w:rPr>
        <w:t>(Hu, et al. 2019; Rainio, et al. 2020)</w:t>
      </w:r>
      <w:r w:rsidRPr="00025B8B">
        <w:rPr>
          <w:rFonts w:ascii="Times New Roman" w:hAnsi="Times New Roman"/>
          <w:color w:val="000000" w:themeColor="text1"/>
          <w:sz w:val="24"/>
          <w:szCs w:val="24"/>
        </w:rPr>
        <w:t>.</w:t>
      </w:r>
    </w:p>
    <w:p w:rsidR="005E2EB4" w:rsidRPr="00025B8B" w:rsidRDefault="005E2EB4" w:rsidP="00025D1D">
      <w:pPr>
        <w:spacing w:line="480" w:lineRule="auto"/>
        <w:rPr>
          <w:rFonts w:ascii="Times New Roman" w:hAnsi="Times New Roman"/>
          <w:color w:val="000000" w:themeColor="text1"/>
          <w:sz w:val="24"/>
          <w:szCs w:val="24"/>
        </w:rPr>
      </w:pPr>
      <w:r w:rsidRPr="00025B8B">
        <w:rPr>
          <w:rFonts w:ascii="Times New Roman" w:hAnsi="Times New Roman"/>
          <w:color w:val="000000" w:themeColor="text1"/>
          <w:sz w:val="24"/>
          <w:szCs w:val="24"/>
        </w:rPr>
        <w:t xml:space="preserve"> </w:t>
      </w:r>
      <w:r w:rsidRPr="00025B8B">
        <w:rPr>
          <w:rFonts w:ascii="Times New Roman" w:hAnsi="Times New Roman"/>
          <w:color w:val="000000" w:themeColor="text1"/>
          <w:sz w:val="24"/>
          <w:szCs w:val="24"/>
        </w:rPr>
        <w:tab/>
      </w:r>
      <w:r w:rsidRPr="00025B8B">
        <w:rPr>
          <w:rFonts w:ascii="Times New Roman" w:hAnsi="Times New Roman"/>
          <w:color w:val="000000" w:themeColor="text1"/>
          <w:sz w:val="24"/>
          <w:szCs w:val="24"/>
          <w:lang w:val="en-GB"/>
        </w:rPr>
        <w:t xml:space="preserve">Repeated herbicide exposure during weed control could select for increased herbicide tolerance in bacteria </w:t>
      </w:r>
      <w:r w:rsidRPr="00025B8B">
        <w:rPr>
          <w:rFonts w:ascii="Times New Roman" w:hAnsi="Times New Roman"/>
          <w:noProof/>
          <w:color w:val="000000" w:themeColor="text1"/>
          <w:sz w:val="24"/>
          <w:szCs w:val="24"/>
          <w:lang w:val="en-GB"/>
        </w:rPr>
        <w:t>(Rainio, et al. 2020)</w:t>
      </w:r>
      <w:r w:rsidRPr="00025B8B">
        <w:rPr>
          <w:rFonts w:ascii="Times New Roman" w:hAnsi="Times New Roman"/>
          <w:color w:val="000000" w:themeColor="text1"/>
          <w:sz w:val="24"/>
          <w:szCs w:val="24"/>
          <w:lang w:val="en-GB"/>
        </w:rPr>
        <w:t xml:space="preserve">. Bacterial tolerance to herbicides is known to vary both between and within species </w:t>
      </w:r>
      <w:r w:rsidRPr="00025B8B">
        <w:rPr>
          <w:rFonts w:ascii="Times New Roman" w:hAnsi="Times New Roman"/>
          <w:noProof/>
          <w:color w:val="000000" w:themeColor="text1"/>
          <w:sz w:val="24"/>
          <w:szCs w:val="24"/>
          <w:lang w:val="en-GB"/>
        </w:rPr>
        <w:t>(Tothova, et al. 2010; Katrin Bote, et al. 2019)</w:t>
      </w:r>
      <w:r w:rsidRPr="00025B8B">
        <w:rPr>
          <w:rFonts w:ascii="Times New Roman" w:hAnsi="Times New Roman"/>
          <w:color w:val="000000" w:themeColor="text1"/>
          <w:sz w:val="24"/>
          <w:szCs w:val="24"/>
          <w:lang w:val="en-GB"/>
        </w:rPr>
        <w:t xml:space="preserve"> and could be achieved via genetic changes in the herbicide target gene </w:t>
      </w:r>
      <w:r w:rsidRPr="00025B8B">
        <w:rPr>
          <w:rFonts w:ascii="Times New Roman" w:hAnsi="Times New Roman"/>
          <w:noProof/>
          <w:color w:val="000000" w:themeColor="text1"/>
          <w:sz w:val="24"/>
          <w:szCs w:val="24"/>
          <w:lang w:val="en-GB"/>
        </w:rPr>
        <w:t>(Wicke, et al. 2019)</w:t>
      </w:r>
      <w:r w:rsidRPr="00025B8B">
        <w:rPr>
          <w:rFonts w:ascii="Times New Roman" w:hAnsi="Times New Roman"/>
          <w:color w:val="000000" w:themeColor="text1"/>
          <w:sz w:val="24"/>
          <w:szCs w:val="24"/>
          <w:lang w:val="en-GB"/>
        </w:rPr>
        <w:t xml:space="preserve"> or non-target genes linked with generalised stress tolerance </w:t>
      </w:r>
      <w:r w:rsidRPr="00025B8B">
        <w:rPr>
          <w:rFonts w:ascii="Times New Roman" w:hAnsi="Times New Roman"/>
          <w:noProof/>
          <w:color w:val="000000" w:themeColor="text1"/>
          <w:sz w:val="24"/>
          <w:szCs w:val="24"/>
          <w:lang w:val="en-GB"/>
        </w:rPr>
        <w:t>(Staub, et al. 2012; Comont, et al. 2020)</w:t>
      </w:r>
      <w:r w:rsidRPr="00025B8B">
        <w:rPr>
          <w:rFonts w:ascii="Times New Roman" w:hAnsi="Times New Roman"/>
          <w:color w:val="000000" w:themeColor="text1"/>
          <w:sz w:val="24"/>
          <w:szCs w:val="24"/>
          <w:lang w:val="en-GB"/>
        </w:rPr>
        <w:t xml:space="preserve">. Several studies have demonstrated a positive correlation between herbicide use and antibiotic resistance </w:t>
      </w:r>
      <w:r w:rsidRPr="00025B8B">
        <w:rPr>
          <w:rFonts w:ascii="Times New Roman" w:hAnsi="Times New Roman"/>
          <w:noProof/>
          <w:color w:val="000000" w:themeColor="text1"/>
          <w:sz w:val="24"/>
          <w:szCs w:val="24"/>
          <w:lang w:val="en-GB"/>
        </w:rPr>
        <w:t>(Kurenbach, et al. 2015; Kurenbach, et al. 2017; Kurenbach, et al. 2018; Xu, et al. 2018)</w:t>
      </w:r>
      <w:r w:rsidRPr="00025B8B">
        <w:rPr>
          <w:rFonts w:ascii="Times New Roman" w:hAnsi="Times New Roman"/>
          <w:color w:val="000000" w:themeColor="text1"/>
          <w:sz w:val="24"/>
          <w:szCs w:val="24"/>
          <w:lang w:val="en-GB"/>
        </w:rPr>
        <w:t xml:space="preserve">, suggesting that herbicides could indirectly drive antibiotic resistance evolution. Mechanistically, this relationship could be explained by changes in herbicide-mediated gene expression, leading to activation of bacterial antibiotic resistance genes </w:t>
      </w:r>
      <w:r w:rsidRPr="00025B8B">
        <w:rPr>
          <w:rFonts w:ascii="Times New Roman" w:hAnsi="Times New Roman"/>
          <w:noProof/>
          <w:color w:val="000000" w:themeColor="text1"/>
          <w:sz w:val="24"/>
          <w:szCs w:val="24"/>
          <w:lang w:val="en-GB"/>
        </w:rPr>
        <w:lastRenderedPageBreak/>
        <w:t>(Staub, et al. 2012)</w:t>
      </w:r>
      <w:r w:rsidRPr="00025B8B">
        <w:rPr>
          <w:rFonts w:ascii="Times New Roman" w:hAnsi="Times New Roman"/>
          <w:color w:val="000000" w:themeColor="text1"/>
          <w:sz w:val="24"/>
          <w:szCs w:val="24"/>
          <w:lang w:val="en-GB"/>
        </w:rPr>
        <w:t xml:space="preserve">. For example, increased efflux pump activity has previously been shown to increase </w:t>
      </w:r>
      <w:r w:rsidRPr="00025B8B">
        <w:rPr>
          <w:rFonts w:ascii="Times New Roman" w:hAnsi="Times New Roman"/>
          <w:i/>
          <w:iCs/>
          <w:color w:val="000000" w:themeColor="text1"/>
          <w:sz w:val="24"/>
          <w:szCs w:val="24"/>
          <w:lang w:val="en-GB"/>
        </w:rPr>
        <w:t>Escherichia coli</w:t>
      </w:r>
      <w:r w:rsidRPr="00025B8B">
        <w:rPr>
          <w:rFonts w:ascii="Times New Roman" w:hAnsi="Times New Roman"/>
          <w:color w:val="000000" w:themeColor="text1"/>
          <w:sz w:val="24"/>
          <w:szCs w:val="24"/>
          <w:lang w:val="en-GB"/>
        </w:rPr>
        <w:t xml:space="preserve"> resistance to </w:t>
      </w:r>
      <w:r w:rsidRPr="00025B8B">
        <w:rPr>
          <w:rFonts w:ascii="Times New Roman" w:hAnsi="Times New Roman"/>
          <w:color w:val="000000" w:themeColor="text1"/>
          <w:sz w:val="24"/>
          <w:szCs w:val="24"/>
        </w:rPr>
        <w:t xml:space="preserve">glyphosate </w:t>
      </w:r>
      <w:r w:rsidRPr="00025B8B">
        <w:rPr>
          <w:rFonts w:ascii="Times New Roman" w:hAnsi="Times New Roman"/>
          <w:noProof/>
          <w:color w:val="000000" w:themeColor="text1"/>
          <w:sz w:val="24"/>
          <w:szCs w:val="24"/>
        </w:rPr>
        <w:t>(Staub, et al. 2012)</w:t>
      </w:r>
      <w:r w:rsidRPr="00025B8B">
        <w:rPr>
          <w:rFonts w:ascii="Times New Roman" w:hAnsi="Times New Roman"/>
          <w:iCs/>
          <w:color w:val="000000" w:themeColor="text1"/>
          <w:sz w:val="24"/>
          <w:szCs w:val="24"/>
        </w:rPr>
        <w:t xml:space="preserve"> and affect the </w:t>
      </w:r>
      <w:r w:rsidRPr="00025B8B">
        <w:rPr>
          <w:rFonts w:ascii="Times New Roman" w:hAnsi="Times New Roman"/>
          <w:color w:val="000000" w:themeColor="text1"/>
          <w:sz w:val="24"/>
          <w:szCs w:val="24"/>
        </w:rPr>
        <w:t xml:space="preserve">antibiotic sensitivity of </w:t>
      </w:r>
      <w:r w:rsidRPr="00025B8B">
        <w:rPr>
          <w:rFonts w:ascii="Times New Roman" w:hAnsi="Times New Roman"/>
          <w:i/>
          <w:iCs/>
          <w:color w:val="000000" w:themeColor="text1"/>
          <w:sz w:val="24"/>
          <w:szCs w:val="24"/>
        </w:rPr>
        <w:t>E. coli</w:t>
      </w:r>
      <w:r w:rsidRPr="00025B8B">
        <w:rPr>
          <w:rFonts w:ascii="Times New Roman" w:hAnsi="Times New Roman"/>
          <w:color w:val="000000" w:themeColor="text1"/>
          <w:sz w:val="24"/>
          <w:szCs w:val="24"/>
        </w:rPr>
        <w:t xml:space="preserve"> and </w:t>
      </w:r>
      <w:r w:rsidRPr="00025B8B">
        <w:rPr>
          <w:rFonts w:ascii="Times New Roman" w:hAnsi="Times New Roman"/>
          <w:i/>
          <w:iCs/>
          <w:color w:val="000000" w:themeColor="text1"/>
          <w:sz w:val="24"/>
          <w:szCs w:val="24"/>
        </w:rPr>
        <w:t xml:space="preserve">Salmonella typhimurium </w:t>
      </w:r>
      <w:r w:rsidRPr="00025B8B">
        <w:rPr>
          <w:rFonts w:ascii="Times New Roman" w:hAnsi="Times New Roman"/>
          <w:color w:val="000000" w:themeColor="text1"/>
          <w:sz w:val="24"/>
          <w:szCs w:val="24"/>
        </w:rPr>
        <w:t xml:space="preserve">bacteria </w:t>
      </w:r>
      <w:r w:rsidRPr="00025B8B">
        <w:rPr>
          <w:rFonts w:ascii="Times New Roman" w:hAnsi="Times New Roman"/>
          <w:noProof/>
          <w:color w:val="000000" w:themeColor="text1"/>
          <w:sz w:val="24"/>
          <w:szCs w:val="24"/>
        </w:rPr>
        <w:t>(Kurenbach, et al. 2015)</w:t>
      </w:r>
      <w:r w:rsidRPr="00025B8B">
        <w:rPr>
          <w:rFonts w:ascii="Times New Roman" w:hAnsi="Times New Roman"/>
          <w:color w:val="000000" w:themeColor="text1"/>
          <w:sz w:val="24"/>
          <w:szCs w:val="24"/>
        </w:rPr>
        <w:t xml:space="preserve">. </w:t>
      </w:r>
      <w:r w:rsidRPr="00025B8B">
        <w:rPr>
          <w:rFonts w:ascii="Times New Roman" w:hAnsi="Times New Roman"/>
          <w:color w:val="000000" w:themeColor="text1"/>
          <w:sz w:val="24"/>
          <w:szCs w:val="24"/>
          <w:lang w:val="en-GB"/>
        </w:rPr>
        <w:t xml:space="preserve">Alternatively, long-term herbicide exposure could promote antibiotic resistance indirectly via cross-resistance evolution if the same mutations increase bacterial tolerance to both herbicides and antibiotics </w:t>
      </w:r>
      <w:r w:rsidRPr="00025B8B">
        <w:rPr>
          <w:rFonts w:ascii="Times New Roman" w:hAnsi="Times New Roman"/>
          <w:noProof/>
          <w:color w:val="000000" w:themeColor="text1"/>
          <w:sz w:val="24"/>
          <w:szCs w:val="24"/>
          <w:lang w:val="en-GB"/>
        </w:rPr>
        <w:t>(Comont, et al. 2020)</w:t>
      </w:r>
      <w:r w:rsidRPr="00025B8B">
        <w:rPr>
          <w:rFonts w:ascii="Times New Roman" w:hAnsi="Times New Roman"/>
          <w:color w:val="000000" w:themeColor="text1"/>
          <w:sz w:val="24"/>
          <w:szCs w:val="24"/>
          <w:lang w:val="en-GB"/>
        </w:rPr>
        <w:t xml:space="preserve">. </w:t>
      </w:r>
      <w:bookmarkStart w:id="10" w:name="_Hlk60817500"/>
      <w:r w:rsidRPr="00025B8B">
        <w:rPr>
          <w:rFonts w:ascii="Times New Roman" w:hAnsi="Times New Roman"/>
          <w:color w:val="000000" w:themeColor="text1"/>
          <w:sz w:val="24"/>
          <w:szCs w:val="24"/>
        </w:rPr>
        <w:t xml:space="preserve">As most current evidence is based on simplified lab experiments </w:t>
      </w:r>
      <w:r w:rsidRPr="00025B8B">
        <w:rPr>
          <w:rFonts w:ascii="Times New Roman" w:hAnsi="Times New Roman" w:hint="eastAsia"/>
          <w:color w:val="000000" w:themeColor="text1"/>
          <w:sz w:val="24"/>
          <w:szCs w:val="24"/>
        </w:rPr>
        <w:t>using</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single</w:t>
      </w:r>
      <w:r w:rsidRPr="00025B8B">
        <w:rPr>
          <w:rFonts w:ascii="Times New Roman" w:hAnsi="Times New Roman"/>
          <w:color w:val="000000" w:themeColor="text1"/>
          <w:sz w:val="24"/>
          <w:szCs w:val="24"/>
        </w:rPr>
        <w:t xml:space="preserve"> bacterial </w:t>
      </w:r>
      <w:r w:rsidRPr="00025B8B">
        <w:rPr>
          <w:rFonts w:ascii="Times New Roman" w:hAnsi="Times New Roman" w:hint="eastAsia"/>
          <w:color w:val="000000" w:themeColor="text1"/>
          <w:sz w:val="24"/>
          <w:szCs w:val="24"/>
        </w:rPr>
        <w:t>strain</w:t>
      </w:r>
      <w:r w:rsidRPr="00025B8B">
        <w:rPr>
          <w:rFonts w:ascii="Times New Roman" w:hAnsi="Times New Roman"/>
          <w:color w:val="000000" w:themeColor="text1"/>
          <w:sz w:val="24"/>
          <w:szCs w:val="24"/>
        </w:rPr>
        <w:t>,</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more ecologically realistic experiments are required to understand herbicide selection for antimicrobial resistance in complex </w:t>
      </w:r>
      <w:r w:rsidRPr="00025B8B">
        <w:rPr>
          <w:rFonts w:ascii="Times New Roman" w:hAnsi="Times New Roman" w:hint="eastAsia"/>
          <w:color w:val="000000" w:themeColor="text1"/>
          <w:sz w:val="24"/>
          <w:szCs w:val="24"/>
        </w:rPr>
        <w:t>soil</w:t>
      </w:r>
      <w:r w:rsidRPr="00025B8B">
        <w:rPr>
          <w:rFonts w:ascii="Times New Roman" w:hAnsi="Times New Roman"/>
          <w:color w:val="000000" w:themeColor="text1"/>
          <w:sz w:val="24"/>
          <w:szCs w:val="24"/>
        </w:rPr>
        <w:t xml:space="preserve"> microbial communities.</w:t>
      </w:r>
      <w:bookmarkEnd w:id="10"/>
      <w:r w:rsidRPr="00025B8B">
        <w:rPr>
          <w:rFonts w:ascii="Times New Roman" w:hAnsi="Times New Roman"/>
          <w:color w:val="000000" w:themeColor="text1"/>
          <w:sz w:val="24"/>
          <w:szCs w:val="24"/>
        </w:rPr>
        <w:t xml:space="preserve"> </w:t>
      </w:r>
    </w:p>
    <w:p w:rsidR="005E2EB4" w:rsidRPr="00025B8B" w:rsidRDefault="005E2EB4" w:rsidP="00025D1D">
      <w:pPr>
        <w:spacing w:line="480" w:lineRule="auto"/>
        <w:ind w:firstLine="420"/>
        <w:rPr>
          <w:rFonts w:ascii="Times New Roman" w:hAnsi="Times New Roman"/>
          <w:bCs/>
          <w:color w:val="000000" w:themeColor="text1"/>
          <w:sz w:val="24"/>
          <w:szCs w:val="24"/>
        </w:rPr>
      </w:pPr>
      <w:r w:rsidRPr="00025B8B">
        <w:rPr>
          <w:rFonts w:ascii="Times New Roman" w:hAnsi="Times New Roman"/>
          <w:color w:val="000000" w:themeColor="text1"/>
          <w:sz w:val="24"/>
          <w:szCs w:val="24"/>
        </w:rPr>
        <w:t>Here we used direct selection experiment</w:t>
      </w:r>
      <w:r w:rsidRPr="00025B8B">
        <w:rPr>
          <w:rFonts w:ascii="Times New Roman" w:hAnsi="Times New Roman" w:hint="eastAsia"/>
          <w:color w:val="000000" w:themeColor="text1"/>
          <w:sz w:val="24"/>
          <w:szCs w:val="24"/>
        </w:rPr>
        <w:t>s</w:t>
      </w:r>
      <w:r w:rsidRPr="00025B8B">
        <w:rPr>
          <w:rFonts w:ascii="Times New Roman" w:hAnsi="Times New Roman"/>
          <w:color w:val="000000" w:themeColor="text1"/>
          <w:sz w:val="24"/>
          <w:szCs w:val="24"/>
        </w:rPr>
        <w:t xml:space="preserve"> in soil microcosms combined with genome sequencing and transcriptomics to causally address the ecological and evolutionary effects of three </w:t>
      </w:r>
      <w:r w:rsidRPr="00025B8B">
        <w:rPr>
          <w:rFonts w:ascii="Times New Roman" w:hAnsi="Times New Roman"/>
          <w:bCs/>
          <w:color w:val="000000" w:themeColor="text1"/>
          <w:sz w:val="24"/>
          <w:szCs w:val="24"/>
        </w:rPr>
        <w:t>widely used</w:t>
      </w:r>
      <w:r w:rsidRPr="00025B8B">
        <w:rPr>
          <w:rFonts w:ascii="Times New Roman" w:hAnsi="Times New Roman"/>
          <w:color w:val="000000" w:themeColor="text1"/>
          <w:sz w:val="24"/>
          <w:szCs w:val="24"/>
        </w:rPr>
        <w:t xml:space="preserve"> herbicides </w:t>
      </w:r>
      <w:r w:rsidRPr="00025B8B">
        <w:rPr>
          <w:rFonts w:ascii="Times New Roman" w:hAnsi="Times New Roman"/>
          <w:noProof/>
          <w:color w:val="000000" w:themeColor="text1"/>
          <w:sz w:val="24"/>
          <w:szCs w:val="24"/>
        </w:rPr>
        <w:t>(Maggi, et al. 2019)</w:t>
      </w:r>
      <w:r w:rsidRPr="00025B8B">
        <w:rPr>
          <w:rFonts w:ascii="Times New Roman" w:hAnsi="Times New Roman"/>
          <w:color w:val="000000" w:themeColor="text1"/>
          <w:sz w:val="24"/>
          <w:szCs w:val="24"/>
        </w:rPr>
        <w:t xml:space="preserve"> </w:t>
      </w:r>
      <w:r w:rsidRPr="00025B8B">
        <w:rPr>
          <w:rFonts w:ascii="Times New Roman" w:hAnsi="Times New Roman"/>
          <w:bCs/>
          <w:color w:val="000000" w:themeColor="text1"/>
          <w:sz w:val="24"/>
          <w:szCs w:val="24"/>
        </w:rPr>
        <w:t xml:space="preserve">(glyphosate, glufosinate and dicamba) in soil bacterial communities. We then used environmental sampling across </w:t>
      </w:r>
      <w:r w:rsidRPr="00025B8B">
        <w:rPr>
          <w:rFonts w:ascii="Times New Roman" w:hAnsi="Times New Roman" w:hint="eastAsia"/>
          <w:bCs/>
          <w:color w:val="000000" w:themeColor="text1"/>
          <w:sz w:val="24"/>
          <w:szCs w:val="24"/>
        </w:rPr>
        <w:t>eleven</w:t>
      </w:r>
      <w:r w:rsidRPr="00025B8B">
        <w:rPr>
          <w:rFonts w:ascii="Times New Roman" w:hAnsi="Times New Roman"/>
          <w:bCs/>
          <w:color w:val="000000" w:themeColor="text1"/>
          <w:sz w:val="24"/>
          <w:szCs w:val="24"/>
        </w:rPr>
        <w:t xml:space="preserve"> provinces across China to investigate if the observed patterns held at wider geographical scale. Our findings provide compelling evidence how herbicide selection can enrich antibiotic resistance genes in agricultural environments, by changing the genetic composition of bacterial populations via rapid </w:t>
      </w:r>
      <w:r w:rsidRPr="00025B8B">
        <w:rPr>
          <w:rFonts w:ascii="Times New Roman" w:hAnsi="Times New Roman"/>
          <w:bCs/>
          <w:i/>
          <w:iCs/>
          <w:color w:val="000000" w:themeColor="text1"/>
          <w:sz w:val="24"/>
          <w:szCs w:val="24"/>
        </w:rPr>
        <w:t>de novo</w:t>
      </w:r>
      <w:r w:rsidRPr="00025B8B">
        <w:rPr>
          <w:rFonts w:ascii="Times New Roman" w:hAnsi="Times New Roman"/>
          <w:bCs/>
          <w:color w:val="000000" w:themeColor="text1"/>
          <w:sz w:val="24"/>
          <w:szCs w:val="24"/>
        </w:rPr>
        <w:t xml:space="preserve"> evolution of resistant genotypes, and promoting horizontal gene transfer of multidrug resistance plasmids. The role of herbicides in global antibiotic resistance problem should thus be re-evaluated, to better understand associated risks for the prevalence of ARGs in agricultural environments where soil microbiota is repeatedly exposed to herbicides during weed control.</w:t>
      </w:r>
    </w:p>
    <w:p w:rsidR="005E2EB4" w:rsidRPr="00025B8B" w:rsidRDefault="005E2EB4" w:rsidP="00025D1D">
      <w:pPr>
        <w:spacing w:line="480" w:lineRule="auto"/>
        <w:rPr>
          <w:rFonts w:ascii="Times New Roman" w:hAnsi="Times New Roman"/>
          <w:bCs/>
          <w:color w:val="000000" w:themeColor="text1"/>
          <w:sz w:val="24"/>
          <w:szCs w:val="24"/>
        </w:rPr>
      </w:pP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b/>
          <w:color w:val="000000" w:themeColor="text1"/>
          <w:sz w:val="24"/>
          <w:szCs w:val="24"/>
        </w:rPr>
        <w:t>Results</w:t>
      </w:r>
    </w:p>
    <w:p w:rsidR="005E2EB4" w:rsidRPr="00025B8B" w:rsidRDefault="005E2EB4" w:rsidP="00025D1D">
      <w:pPr>
        <w:spacing w:line="480" w:lineRule="auto"/>
        <w:rPr>
          <w:rFonts w:ascii="Times New Roman" w:hAnsi="Times New Roman"/>
          <w:b/>
          <w:color w:val="000000" w:themeColor="text1"/>
          <w:sz w:val="24"/>
          <w:szCs w:val="24"/>
        </w:rPr>
      </w:pP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b/>
          <w:color w:val="000000" w:themeColor="text1"/>
          <w:sz w:val="24"/>
          <w:szCs w:val="24"/>
        </w:rPr>
        <w:lastRenderedPageBreak/>
        <w:t>Herbicides had very small effects on the abundance and composition of soil microbiota</w:t>
      </w:r>
    </w:p>
    <w:p w:rsidR="005E2EB4" w:rsidRPr="00025B8B" w:rsidRDefault="005E2EB4" w:rsidP="00025D1D">
      <w:pPr>
        <w:spacing w:line="480" w:lineRule="auto"/>
        <w:rPr>
          <w:rFonts w:ascii="Times New Roman" w:hAnsi="Times New Roman"/>
          <w:color w:val="000000" w:themeColor="text1"/>
          <w:sz w:val="24"/>
          <w:szCs w:val="24"/>
        </w:rPr>
      </w:pPr>
      <w:r w:rsidRPr="00025B8B">
        <w:rPr>
          <w:rFonts w:ascii="Times New Roman" w:hAnsi="Times New Roman"/>
          <w:bCs/>
          <w:color w:val="000000" w:themeColor="text1"/>
          <w:sz w:val="24"/>
          <w:szCs w:val="24"/>
        </w:rPr>
        <w:t xml:space="preserve">We first studied the effects of herbicides on bacterial communities and relative ARG and MGE abundances in a </w:t>
      </w:r>
      <w:r w:rsidRPr="00025B8B">
        <w:rPr>
          <w:rFonts w:ascii="Times New Roman" w:hAnsi="Times New Roman"/>
          <w:color w:val="000000" w:themeColor="text1"/>
          <w:sz w:val="24"/>
          <w:szCs w:val="24"/>
        </w:rPr>
        <w:t xml:space="preserve">60-day long soil microcosm experiment with an initial application of 10 </w:t>
      </w:r>
      <w:r w:rsidRPr="00025B8B">
        <w:rPr>
          <w:rFonts w:ascii="Times New Roman" w:hAnsi="Times New Roman" w:hint="eastAsia"/>
          <w:color w:val="000000" w:themeColor="text1"/>
          <w:sz w:val="24"/>
          <w:szCs w:val="24"/>
        </w:rPr>
        <w:t>mg</w:t>
      </w:r>
      <w:r w:rsidRPr="00025B8B">
        <w:rPr>
          <w:rFonts w:ascii="Times New Roman" w:hAnsi="Times New Roman"/>
          <w:color w:val="000000" w:themeColor="text1"/>
          <w:sz w:val="24"/>
          <w:szCs w:val="24"/>
        </w:rPr>
        <w:t xml:space="preserve"> of herbicides per </w:t>
      </w:r>
      <w:r w:rsidRPr="00025B8B">
        <w:rPr>
          <w:rFonts w:ascii="Times New Roman" w:hAnsi="Times New Roman" w:hint="eastAsia"/>
          <w:color w:val="000000" w:themeColor="text1"/>
          <w:sz w:val="24"/>
          <w:szCs w:val="24"/>
        </w:rPr>
        <w:t>kg</w:t>
      </w:r>
      <w:r w:rsidRPr="00025B8B">
        <w:rPr>
          <w:rFonts w:ascii="Times New Roman" w:hAnsi="Times New Roman"/>
          <w:color w:val="000000" w:themeColor="text1"/>
          <w:sz w:val="24"/>
          <w:szCs w:val="24"/>
        </w:rPr>
        <w:t xml:space="preserve"> of </w:t>
      </w:r>
      <w:r w:rsidRPr="00025B8B">
        <w:rPr>
          <w:rFonts w:ascii="Times New Roman" w:hAnsi="Times New Roman" w:hint="eastAsia"/>
          <w:color w:val="000000" w:themeColor="text1"/>
          <w:sz w:val="24"/>
          <w:szCs w:val="24"/>
        </w:rPr>
        <w:t>soil</w:t>
      </w:r>
      <w:r w:rsidRPr="00025B8B">
        <w:rPr>
          <w:rFonts w:ascii="Times New Roman" w:hAnsi="Times New Roman"/>
          <w:color w:val="000000" w:themeColor="text1"/>
          <w:sz w:val="24"/>
          <w:szCs w:val="24"/>
        </w:rPr>
        <w:t xml:space="preserve">. </w:t>
      </w:r>
      <w:r w:rsidRPr="00025B8B">
        <w:rPr>
          <w:rFonts w:ascii="Times New Roman" w:hAnsi="Times New Roman"/>
          <w:color w:val="000000" w:themeColor="text1"/>
          <w:kern w:val="0"/>
          <w:sz w:val="24"/>
          <w:szCs w:val="24"/>
          <w:lang w:val="en-GB"/>
        </w:rPr>
        <w:t xml:space="preserve">Despite </w:t>
      </w:r>
      <w:r w:rsidRPr="00025B8B">
        <w:rPr>
          <w:rFonts w:ascii="Times New Roman" w:hAnsi="Times New Roman"/>
          <w:color w:val="000000" w:themeColor="text1"/>
          <w:kern w:val="0"/>
          <w:sz w:val="24"/>
          <w:szCs w:val="24"/>
        </w:rPr>
        <w:t>a continuous trend of herbicide degradation, 18-34% of herbicide residues were still detectable after 60 days of the initial application (82.92% of glyphosate, 79.12% of glufosinate and 65.97% of dicamba degraded, Extended Data Fig. 1)</w:t>
      </w:r>
      <w:r w:rsidRPr="00025B8B">
        <w:rPr>
          <w:rFonts w:ascii="Times New Roman" w:hAnsi="Times New Roman"/>
          <w:color w:val="000000" w:themeColor="text1"/>
          <w:sz w:val="24"/>
          <w:szCs w:val="24"/>
        </w:rPr>
        <w:t xml:space="preserve">. The herbicide-mediated effects on the abundances and composition of soil bacterial communities were studied at different time points (0, 15, 30 and 60 days) </w:t>
      </w:r>
      <w:r w:rsidRPr="00025B8B">
        <w:rPr>
          <w:rFonts w:ascii="Times New Roman" w:hAnsi="Times New Roman"/>
          <w:color w:val="000000" w:themeColor="text1"/>
          <w:sz w:val="24"/>
          <w:szCs w:val="28"/>
        </w:rPr>
        <w:t xml:space="preserve">using </w:t>
      </w:r>
      <w:r w:rsidRPr="00025B8B">
        <w:rPr>
          <w:rFonts w:ascii="Times New Roman" w:hAnsi="Times New Roman"/>
          <w:color w:val="000000" w:themeColor="text1"/>
          <w:kern w:val="0"/>
          <w:sz w:val="24"/>
          <w:szCs w:val="24"/>
        </w:rPr>
        <w:t xml:space="preserve">16S rRNA amplicon sequencing. </w:t>
      </w:r>
      <w:r w:rsidRPr="00025B8B">
        <w:rPr>
          <w:rFonts w:ascii="Times New Roman" w:hAnsi="Times New Roman"/>
          <w:color w:val="000000" w:themeColor="text1"/>
          <w:sz w:val="24"/>
        </w:rPr>
        <w:t xml:space="preserve">None of the herbicides had significant effects on total </w:t>
      </w:r>
      <w:r w:rsidRPr="00025B8B">
        <w:rPr>
          <w:rFonts w:ascii="Times New Roman" w:hAnsi="Times New Roman" w:hint="eastAsia"/>
          <w:color w:val="000000" w:themeColor="text1"/>
          <w:sz w:val="24"/>
        </w:rPr>
        <w:t>bacterial abundance</w:t>
      </w:r>
      <w:r w:rsidRPr="00025B8B">
        <w:rPr>
          <w:rFonts w:ascii="Times New Roman" w:hAnsi="Times New Roman"/>
          <w:color w:val="000000" w:themeColor="text1"/>
          <w:sz w:val="24"/>
        </w:rPr>
        <w:t>s at the end of the experiment</w:t>
      </w:r>
      <w:r w:rsidRPr="00025B8B">
        <w:rPr>
          <w:rFonts w:ascii="Times New Roman" w:hAnsi="Times New Roman" w:hint="eastAsia"/>
          <w:color w:val="000000" w:themeColor="text1"/>
          <w:sz w:val="24"/>
        </w:rPr>
        <w:t xml:space="preserve"> </w:t>
      </w:r>
      <w:r w:rsidRPr="00025B8B">
        <w:rPr>
          <w:rFonts w:ascii="Times New Roman" w:hAnsi="Times New Roman"/>
          <w:color w:val="000000" w:themeColor="text1"/>
          <w:sz w:val="24"/>
        </w:rPr>
        <w:t>(</w:t>
      </w:r>
      <w:r w:rsidRPr="00025B8B">
        <w:rPr>
          <w:rFonts w:ascii="Times New Roman" w:hAnsi="Times New Roman"/>
          <w:color w:val="000000" w:themeColor="text1"/>
          <w:sz w:val="24"/>
          <w:szCs w:val="28"/>
        </w:rPr>
        <w:t>F</w:t>
      </w:r>
      <w:r w:rsidRPr="00025B8B">
        <w:rPr>
          <w:rFonts w:ascii="Times New Roman" w:hAnsi="Times New Roman"/>
          <w:color w:val="000000" w:themeColor="text1"/>
          <w:sz w:val="24"/>
          <w:szCs w:val="28"/>
          <w:vertAlign w:val="subscript"/>
        </w:rPr>
        <w:t>3,8</w:t>
      </w:r>
      <w:r w:rsidRPr="00025B8B">
        <w:rPr>
          <w:rFonts w:ascii="Times New Roman" w:hAnsi="Times New Roman"/>
          <w:color w:val="000000" w:themeColor="text1"/>
          <w:sz w:val="24"/>
          <w:szCs w:val="28"/>
        </w:rPr>
        <w:t>=</w:t>
      </w:r>
      <w:r w:rsidRPr="00025B8B">
        <w:rPr>
          <w:color w:val="000000" w:themeColor="text1"/>
        </w:rPr>
        <w:t xml:space="preserve"> </w:t>
      </w:r>
      <w:r w:rsidRPr="00025B8B">
        <w:rPr>
          <w:rFonts w:ascii="Times New Roman" w:hAnsi="Times New Roman"/>
          <w:color w:val="000000" w:themeColor="text1"/>
          <w:sz w:val="24"/>
          <w:szCs w:val="28"/>
        </w:rPr>
        <w:t xml:space="preserve">1.770, </w:t>
      </w:r>
      <w:r w:rsidRPr="00025B8B">
        <w:rPr>
          <w:rFonts w:ascii="Times New Roman" w:hAnsi="Times New Roman"/>
          <w:i/>
          <w:color w:val="000000" w:themeColor="text1"/>
          <w:sz w:val="24"/>
          <w:szCs w:val="28"/>
        </w:rPr>
        <w:t xml:space="preserve">p </w:t>
      </w:r>
      <w:r w:rsidRPr="00025B8B">
        <w:rPr>
          <w:rFonts w:ascii="Times New Roman" w:hAnsi="Times New Roman"/>
          <w:color w:val="000000" w:themeColor="text1"/>
          <w:sz w:val="24"/>
          <w:szCs w:val="28"/>
        </w:rPr>
        <w:t xml:space="preserve">= 0.6213; </w:t>
      </w:r>
      <w:r w:rsidRPr="00025B8B">
        <w:rPr>
          <w:rFonts w:ascii="Times New Roman" w:hAnsi="Times New Roman"/>
          <w:color w:val="000000" w:themeColor="text1"/>
          <w:sz w:val="24"/>
          <w:szCs w:val="24"/>
        </w:rPr>
        <w:t>Fig. 1a</w:t>
      </w:r>
      <w:r w:rsidRPr="00025B8B">
        <w:rPr>
          <w:rFonts w:ascii="Times New Roman" w:hAnsi="Times New Roman"/>
          <w:color w:val="000000" w:themeColor="text1"/>
          <w:sz w:val="24"/>
        </w:rPr>
        <w:t xml:space="preserve">). While </w:t>
      </w:r>
      <w:r w:rsidRPr="00025B8B">
        <w:rPr>
          <w:rFonts w:ascii="Times New Roman" w:hAnsi="Times New Roman"/>
          <w:color w:val="000000" w:themeColor="text1"/>
          <w:sz w:val="24"/>
          <w:szCs w:val="24"/>
        </w:rPr>
        <w:t xml:space="preserve">glufosinate significantly changed the relative abundances of Bacteroidetes, Planctomycetes, Chloroflexi and </w:t>
      </w:r>
      <w:r w:rsidRPr="00025B8B">
        <w:rPr>
          <w:rFonts w:ascii="Times New Roman" w:hAnsi="Times New Roman"/>
          <w:color w:val="000000" w:themeColor="text1"/>
          <w:sz w:val="24"/>
        </w:rPr>
        <w:t>Proteobacteria</w:t>
      </w:r>
      <w:r w:rsidRPr="00025B8B">
        <w:rPr>
          <w:rFonts w:ascii="Times New Roman" w:hAnsi="Times New Roman"/>
          <w:color w:val="000000" w:themeColor="text1"/>
          <w:sz w:val="24"/>
          <w:szCs w:val="24"/>
        </w:rPr>
        <w:t xml:space="preserve"> (</w:t>
      </w:r>
      <w:r w:rsidRPr="00025B8B">
        <w:rPr>
          <w:rFonts w:ascii="Times New Roman" w:hAnsi="Times New Roman"/>
          <w:color w:val="000000" w:themeColor="text1"/>
          <w:sz w:val="24"/>
          <w:szCs w:val="28"/>
        </w:rPr>
        <w:t>Fig. 1b and</w:t>
      </w:r>
      <w:r w:rsidRPr="00025B8B">
        <w:rPr>
          <w:rFonts w:ascii="Times New Roman" w:hAnsi="Times New Roman"/>
          <w:color w:val="000000" w:themeColor="text1"/>
          <w:sz w:val="24"/>
          <w:szCs w:val="24"/>
        </w:rPr>
        <w:t xml:space="preserve"> E</w:t>
      </w:r>
      <w:r w:rsidRPr="00025B8B">
        <w:rPr>
          <w:rFonts w:ascii="Times New Roman" w:hAnsi="Times New Roman"/>
          <w:color w:val="000000" w:themeColor="text1"/>
          <w:kern w:val="0"/>
          <w:sz w:val="24"/>
          <w:szCs w:val="24"/>
        </w:rPr>
        <w:t>xtended Data</w:t>
      </w:r>
      <w:r w:rsidRPr="00025B8B">
        <w:rPr>
          <w:rFonts w:ascii="Times New Roman" w:hAnsi="Times New Roman"/>
          <w:color w:val="000000" w:themeColor="text1"/>
          <w:sz w:val="24"/>
          <w:szCs w:val="24"/>
        </w:rPr>
        <w:t xml:space="preserve"> Fig. 2a, </w:t>
      </w:r>
      <w:r w:rsidRPr="00025B8B">
        <w:rPr>
          <w:rFonts w:ascii="Times New Roman" w:hAnsi="Times New Roman"/>
          <w:i/>
          <w:color w:val="000000" w:themeColor="text1"/>
          <w:sz w:val="24"/>
          <w:szCs w:val="24"/>
        </w:rPr>
        <w:t>p</w:t>
      </w:r>
      <w:r w:rsidRPr="00025B8B">
        <w:rPr>
          <w:rFonts w:ascii="Times New Roman" w:hAnsi="Times New Roman"/>
          <w:color w:val="000000" w:themeColor="text1"/>
          <w:sz w:val="24"/>
          <w:szCs w:val="24"/>
        </w:rPr>
        <w:t xml:space="preserve">&lt;0.001, 60d exposure), </w:t>
      </w:r>
      <w:r w:rsidRPr="00025B8B">
        <w:rPr>
          <w:rFonts w:ascii="Times New Roman" w:hAnsi="Times New Roman"/>
          <w:color w:val="000000" w:themeColor="text1"/>
          <w:sz w:val="24"/>
        </w:rPr>
        <w:t>dicamba and glyphosate had no effects on the dominant bacterial phyla (accounting for 96.4% of total sequences</w:t>
      </w:r>
      <w:r w:rsidRPr="00025B8B">
        <w:rPr>
          <w:rFonts w:ascii="Times New Roman" w:hAnsi="Times New Roman"/>
          <w:color w:val="000000" w:themeColor="text1"/>
          <w:sz w:val="24"/>
          <w:szCs w:val="24"/>
        </w:rPr>
        <w:t xml:space="preserve">, </w:t>
      </w:r>
      <w:r w:rsidRPr="00025B8B">
        <w:rPr>
          <w:rFonts w:ascii="Times New Roman" w:hAnsi="Times New Roman"/>
          <w:i/>
          <w:color w:val="000000" w:themeColor="text1"/>
          <w:sz w:val="24"/>
          <w:szCs w:val="24"/>
        </w:rPr>
        <w:t>p</w:t>
      </w:r>
      <w:r w:rsidRPr="00025B8B">
        <w:rPr>
          <w:rFonts w:ascii="Times New Roman" w:hAnsi="Times New Roman"/>
          <w:color w:val="000000" w:themeColor="text1"/>
          <w:sz w:val="24"/>
          <w:szCs w:val="24"/>
        </w:rPr>
        <w:t>&gt;0.05,</w:t>
      </w:r>
      <w:r w:rsidRPr="00025B8B">
        <w:rPr>
          <w:rFonts w:ascii="Times New Roman" w:hAnsi="Times New Roman"/>
          <w:color w:val="000000" w:themeColor="text1"/>
          <w:sz w:val="24"/>
          <w:szCs w:val="28"/>
        </w:rPr>
        <w:t xml:space="preserve"> Fig. 1</w:t>
      </w:r>
      <w:r w:rsidRPr="00025B8B">
        <w:rPr>
          <w:rFonts w:ascii="Times New Roman" w:hAnsi="Times New Roman" w:hint="eastAsia"/>
          <w:color w:val="000000" w:themeColor="text1"/>
          <w:sz w:val="24"/>
          <w:szCs w:val="28"/>
        </w:rPr>
        <w:t>b</w:t>
      </w:r>
      <w:r w:rsidRPr="00025B8B">
        <w:rPr>
          <w:rFonts w:ascii="Times New Roman" w:hAnsi="Times New Roman"/>
          <w:color w:val="000000" w:themeColor="text1"/>
          <w:sz w:val="24"/>
          <w:szCs w:val="28"/>
        </w:rPr>
        <w:t xml:space="preserve"> and </w:t>
      </w:r>
      <w:r w:rsidRPr="00025B8B">
        <w:rPr>
          <w:rFonts w:ascii="Times New Roman" w:hAnsi="Times New Roman"/>
          <w:color w:val="000000" w:themeColor="text1"/>
          <w:sz w:val="24"/>
          <w:szCs w:val="24"/>
        </w:rPr>
        <w:t>E</w:t>
      </w:r>
      <w:r w:rsidRPr="00025B8B">
        <w:rPr>
          <w:rFonts w:ascii="Times New Roman" w:hAnsi="Times New Roman"/>
          <w:color w:val="000000" w:themeColor="text1"/>
          <w:kern w:val="0"/>
          <w:sz w:val="24"/>
          <w:szCs w:val="24"/>
        </w:rPr>
        <w:t>xtended Data</w:t>
      </w:r>
      <w:r w:rsidRPr="00025B8B">
        <w:rPr>
          <w:rFonts w:ascii="Times New Roman" w:hAnsi="Times New Roman"/>
          <w:color w:val="000000" w:themeColor="text1"/>
          <w:sz w:val="24"/>
          <w:szCs w:val="24"/>
        </w:rPr>
        <w:t xml:space="preserve"> Fig. 2b-c</w:t>
      </w:r>
      <w:r w:rsidRPr="00025B8B">
        <w:rPr>
          <w:rFonts w:ascii="Times New Roman" w:hAnsi="Times New Roman"/>
          <w:color w:val="000000" w:themeColor="text1"/>
          <w:sz w:val="24"/>
        </w:rPr>
        <w:t xml:space="preserve">). Moreover, </w:t>
      </w:r>
      <w:r w:rsidRPr="00025B8B">
        <w:rPr>
          <w:rFonts w:ascii="Times New Roman" w:hAnsi="Times New Roman"/>
          <w:color w:val="000000" w:themeColor="text1"/>
          <w:sz w:val="24"/>
          <w:szCs w:val="24"/>
        </w:rPr>
        <w:t xml:space="preserve">none of the herbicides affected </w:t>
      </w:r>
      <w:r w:rsidRPr="00025B8B">
        <w:rPr>
          <w:rFonts w:ascii="Times New Roman" w:hAnsi="Times New Roman"/>
          <w:color w:val="000000" w:themeColor="text1"/>
          <w:sz w:val="24"/>
          <w:szCs w:val="28"/>
        </w:rPr>
        <w:t>bacterial community richness, alpha diversity (Fig. 1c,</w:t>
      </w:r>
      <w:r w:rsidRPr="00025B8B">
        <w:rPr>
          <w:rFonts w:ascii="Times New Roman" w:hAnsi="Times New Roman"/>
          <w:color w:val="000000" w:themeColor="text1"/>
          <w:kern w:val="0"/>
          <w:sz w:val="24"/>
          <w:szCs w:val="24"/>
        </w:rPr>
        <w:t xml:space="preserve"> </w:t>
      </w:r>
      <w:r w:rsidRPr="00025B8B">
        <w:rPr>
          <w:rFonts w:ascii="Times New Roman" w:hAnsi="Times New Roman"/>
          <w:i/>
          <w:color w:val="000000" w:themeColor="text1"/>
          <w:sz w:val="24"/>
          <w:szCs w:val="28"/>
        </w:rPr>
        <w:t xml:space="preserve">p </w:t>
      </w:r>
      <w:r w:rsidRPr="00025B8B">
        <w:rPr>
          <w:rFonts w:ascii="Times New Roman" w:hAnsi="Times New Roman"/>
          <w:color w:val="000000" w:themeColor="text1"/>
          <w:sz w:val="24"/>
          <w:szCs w:val="28"/>
        </w:rPr>
        <w:t>&gt; 0.05</w:t>
      </w:r>
      <w:r w:rsidRPr="00025B8B">
        <w:rPr>
          <w:rFonts w:ascii="Times New Roman" w:hAnsi="Times New Roman"/>
          <w:color w:val="000000" w:themeColor="text1"/>
          <w:sz w:val="24"/>
        </w:rPr>
        <w:t>) or composition (</w:t>
      </w:r>
      <w:r w:rsidRPr="00025B8B">
        <w:rPr>
          <w:rFonts w:ascii="Times New Roman" w:hAnsi="Times New Roman"/>
          <w:color w:val="000000" w:themeColor="text1"/>
          <w:sz w:val="24"/>
          <w:szCs w:val="28"/>
        </w:rPr>
        <w:t xml:space="preserve">Fig. 1d </w:t>
      </w:r>
      <w:r w:rsidRPr="00025B8B">
        <w:rPr>
          <w:rFonts w:ascii="Times New Roman" w:hAnsi="Times New Roman" w:hint="eastAsia"/>
          <w:color w:val="000000" w:themeColor="text1"/>
          <w:sz w:val="24"/>
          <w:szCs w:val="28"/>
        </w:rPr>
        <w:t xml:space="preserve">and </w:t>
      </w:r>
      <w:r w:rsidRPr="00025B8B">
        <w:rPr>
          <w:rFonts w:ascii="Times New Roman" w:hAnsi="Times New Roman"/>
          <w:color w:val="000000" w:themeColor="text1"/>
          <w:sz w:val="24"/>
          <w:szCs w:val="24"/>
        </w:rPr>
        <w:t>E</w:t>
      </w:r>
      <w:r w:rsidRPr="00025B8B">
        <w:rPr>
          <w:rFonts w:ascii="Times New Roman" w:hAnsi="Times New Roman"/>
          <w:color w:val="000000" w:themeColor="text1"/>
          <w:kern w:val="0"/>
          <w:sz w:val="24"/>
          <w:szCs w:val="24"/>
        </w:rPr>
        <w:t>xtended Data</w:t>
      </w:r>
      <w:r w:rsidRPr="00025B8B">
        <w:rPr>
          <w:rFonts w:ascii="Times New Roman" w:hAnsi="Times New Roman"/>
          <w:color w:val="000000" w:themeColor="text1"/>
          <w:sz w:val="24"/>
          <w:szCs w:val="24"/>
        </w:rPr>
        <w:t xml:space="preserve"> Fig. 3,</w:t>
      </w:r>
      <w:r w:rsidRPr="00025B8B">
        <w:rPr>
          <w:rFonts w:ascii="Times New Roman" w:hAnsi="Times New Roman"/>
          <w:color w:val="000000" w:themeColor="text1"/>
          <w:kern w:val="0"/>
          <w:sz w:val="24"/>
          <w:szCs w:val="24"/>
        </w:rPr>
        <w:t xml:space="preserve"> Adonis </w:t>
      </w:r>
      <w:r w:rsidRPr="00025B8B">
        <w:rPr>
          <w:rFonts w:ascii="Times New Roman" w:hAnsi="Times New Roman" w:hint="eastAsia"/>
          <w:color w:val="000000" w:themeColor="text1"/>
          <w:kern w:val="0"/>
          <w:sz w:val="24"/>
          <w:szCs w:val="24"/>
        </w:rPr>
        <w:t>test</w:t>
      </w:r>
      <w:r w:rsidRPr="00025B8B">
        <w:rPr>
          <w:rFonts w:ascii="Times New Roman" w:hAnsi="Times New Roman"/>
          <w:color w:val="000000" w:themeColor="text1"/>
          <w:kern w:val="0"/>
          <w:sz w:val="24"/>
          <w:szCs w:val="24"/>
        </w:rPr>
        <w:t>,</w:t>
      </w:r>
      <w:r w:rsidRPr="00025B8B">
        <w:rPr>
          <w:rFonts w:ascii="Times New Roman" w:hAnsi="Times New Roman"/>
          <w:color w:val="000000" w:themeColor="text1"/>
          <w:sz w:val="24"/>
          <w:szCs w:val="28"/>
        </w:rPr>
        <w:t xml:space="preserve"> </w:t>
      </w:r>
      <w:r w:rsidRPr="00025B8B">
        <w:rPr>
          <w:rFonts w:ascii="Times New Roman" w:hAnsi="Times New Roman"/>
          <w:i/>
          <w:color w:val="000000" w:themeColor="text1"/>
          <w:sz w:val="24"/>
          <w:szCs w:val="28"/>
        </w:rPr>
        <w:t xml:space="preserve">p </w:t>
      </w:r>
      <w:r w:rsidRPr="00025B8B">
        <w:rPr>
          <w:rFonts w:ascii="Times New Roman" w:hAnsi="Times New Roman" w:hint="eastAsia"/>
          <w:color w:val="000000" w:themeColor="text1"/>
          <w:sz w:val="24"/>
          <w:szCs w:val="28"/>
        </w:rPr>
        <w:t>&gt;</w:t>
      </w:r>
      <w:r w:rsidRPr="00025B8B">
        <w:rPr>
          <w:rFonts w:ascii="Times New Roman" w:hAnsi="Times New Roman"/>
          <w:color w:val="000000" w:themeColor="text1"/>
          <w:sz w:val="24"/>
          <w:szCs w:val="28"/>
        </w:rPr>
        <w:t xml:space="preserve"> 0.05</w:t>
      </w:r>
      <w:r w:rsidRPr="00025B8B">
        <w:rPr>
          <w:rFonts w:ascii="Times New Roman" w:hAnsi="Times New Roman"/>
          <w:color w:val="000000" w:themeColor="text1"/>
          <w:sz w:val="24"/>
        </w:rPr>
        <w:t>). Together, these results suggest that herbicides had minor effects on the abundance and composition of the soil microbiome</w:t>
      </w:r>
      <w:r w:rsidRPr="00025B8B">
        <w:rPr>
          <w:rFonts w:ascii="Times New Roman" w:hAnsi="Times New Roman" w:hint="eastAsia"/>
          <w:color w:val="000000" w:themeColor="text1"/>
          <w:sz w:val="24"/>
        </w:rPr>
        <w:t>s</w:t>
      </w:r>
      <w:r w:rsidRPr="00025B8B">
        <w:rPr>
          <w:rFonts w:ascii="Times New Roman" w:hAnsi="Times New Roman"/>
          <w:color w:val="000000" w:themeColor="text1"/>
          <w:sz w:val="24"/>
        </w:rPr>
        <w:t>.</w:t>
      </w:r>
    </w:p>
    <w:p w:rsidR="005E2EB4" w:rsidRPr="00025B8B" w:rsidRDefault="005E2EB4" w:rsidP="00025D1D">
      <w:pPr>
        <w:pStyle w:val="ListParagraph"/>
        <w:spacing w:line="480" w:lineRule="auto"/>
        <w:ind w:firstLineChars="0" w:firstLine="0"/>
        <w:rPr>
          <w:rFonts w:ascii="Times New Roman" w:hAnsi="Times New Roman"/>
          <w:b/>
          <w:color w:val="000000" w:themeColor="text1"/>
          <w:sz w:val="24"/>
          <w:szCs w:val="24"/>
        </w:rPr>
      </w:pPr>
    </w:p>
    <w:p w:rsidR="005E2EB4" w:rsidRPr="00025B8B" w:rsidRDefault="005E2EB4" w:rsidP="00025D1D">
      <w:pPr>
        <w:pStyle w:val="ListParagraph"/>
        <w:spacing w:line="480" w:lineRule="auto"/>
        <w:ind w:firstLineChars="0" w:firstLine="0"/>
        <w:rPr>
          <w:rFonts w:ascii="Times New Roman" w:hAnsi="Times New Roman"/>
          <w:b/>
          <w:color w:val="000000" w:themeColor="text1"/>
          <w:sz w:val="24"/>
          <w:szCs w:val="24"/>
        </w:rPr>
      </w:pPr>
      <w:r w:rsidRPr="00025B8B">
        <w:rPr>
          <w:rFonts w:ascii="Times New Roman" w:hAnsi="Times New Roman"/>
          <w:b/>
          <w:color w:val="000000" w:themeColor="text1"/>
          <w:sz w:val="24"/>
          <w:szCs w:val="24"/>
        </w:rPr>
        <w:t>Herbicide selection increases the abundance of genes related to antibiotic resistance and mobile genetic elements</w:t>
      </w:r>
    </w:p>
    <w:p w:rsidR="005E2EB4" w:rsidRPr="00025B8B" w:rsidRDefault="005E2EB4" w:rsidP="00025D1D">
      <w:pPr>
        <w:spacing w:line="480" w:lineRule="auto"/>
        <w:rPr>
          <w:rFonts w:ascii="Times New Roman" w:hAnsi="Times New Roman"/>
          <w:color w:val="000000" w:themeColor="text1"/>
          <w:sz w:val="24"/>
          <w:szCs w:val="24"/>
        </w:rPr>
      </w:pPr>
      <w:r w:rsidRPr="00025B8B">
        <w:rPr>
          <w:rFonts w:ascii="Times New Roman" w:hAnsi="Times New Roman"/>
          <w:color w:val="000000" w:themeColor="text1"/>
          <w:sz w:val="24"/>
          <w:szCs w:val="24"/>
        </w:rPr>
        <w:t>M</w:t>
      </w:r>
      <w:r w:rsidRPr="00025B8B">
        <w:rPr>
          <w:rFonts w:ascii="Times New Roman" w:hAnsi="Times New Roman"/>
          <w:color w:val="000000" w:themeColor="text1"/>
          <w:sz w:val="24"/>
        </w:rPr>
        <w:t xml:space="preserve">etagenomic sequencing was applied to determine herbicide effects on the relative ARG and MGE abundances 30 and 60 days after initial application. </w:t>
      </w:r>
      <w:r w:rsidRPr="00025B8B">
        <w:rPr>
          <w:rFonts w:ascii="Times New Roman" w:hAnsi="Times New Roman"/>
          <w:color w:val="000000" w:themeColor="text1"/>
          <w:sz w:val="24"/>
          <w:szCs w:val="24"/>
        </w:rPr>
        <w:t>The number of detected ARGs (F</w:t>
      </w:r>
      <w:r w:rsidRPr="00025B8B">
        <w:rPr>
          <w:rFonts w:ascii="Times New Roman" w:hAnsi="Times New Roman"/>
          <w:color w:val="000000" w:themeColor="text1"/>
          <w:sz w:val="24"/>
          <w:szCs w:val="24"/>
          <w:vertAlign w:val="subscript"/>
        </w:rPr>
        <w:t>3,8</w:t>
      </w:r>
      <w:r w:rsidRPr="00025B8B">
        <w:rPr>
          <w:rFonts w:ascii="Times New Roman" w:hAnsi="Times New Roman"/>
          <w:color w:val="000000" w:themeColor="text1"/>
          <w:sz w:val="24"/>
          <w:szCs w:val="24"/>
        </w:rPr>
        <w:t>=6.561,</w:t>
      </w:r>
      <w:r w:rsidRPr="00025B8B">
        <w:rPr>
          <w:rFonts w:ascii="Times New Roman" w:hAnsi="Times New Roman"/>
          <w:i/>
          <w:iCs/>
          <w:color w:val="000000" w:themeColor="text1"/>
          <w:sz w:val="24"/>
          <w:szCs w:val="24"/>
        </w:rPr>
        <w:t xml:space="preserve"> p</w:t>
      </w:r>
      <w:r w:rsidRPr="00025B8B">
        <w:rPr>
          <w:rFonts w:ascii="Times New Roman" w:hAnsi="Times New Roman"/>
          <w:color w:val="000000" w:themeColor="text1"/>
          <w:sz w:val="24"/>
          <w:szCs w:val="24"/>
        </w:rPr>
        <w:t>=0.0253) and MGEs (F</w:t>
      </w:r>
      <w:r w:rsidRPr="00025B8B">
        <w:rPr>
          <w:rFonts w:ascii="Times New Roman" w:hAnsi="Times New Roman"/>
          <w:color w:val="000000" w:themeColor="text1"/>
          <w:sz w:val="24"/>
          <w:szCs w:val="24"/>
          <w:vertAlign w:val="subscript"/>
        </w:rPr>
        <w:t>3,8</w:t>
      </w:r>
      <w:r w:rsidRPr="00025B8B">
        <w:rPr>
          <w:rFonts w:ascii="Times New Roman" w:hAnsi="Times New Roman"/>
          <w:color w:val="000000" w:themeColor="text1"/>
          <w:sz w:val="24"/>
          <w:szCs w:val="24"/>
        </w:rPr>
        <w:t>=9.229,</w:t>
      </w:r>
      <w:r w:rsidRPr="00025B8B">
        <w:rPr>
          <w:rFonts w:ascii="Times New Roman" w:hAnsi="Times New Roman"/>
          <w:i/>
          <w:iCs/>
          <w:color w:val="000000" w:themeColor="text1"/>
          <w:sz w:val="24"/>
          <w:szCs w:val="24"/>
        </w:rPr>
        <w:t xml:space="preserve"> p</w:t>
      </w:r>
      <w:r w:rsidRPr="00025B8B">
        <w:rPr>
          <w:rFonts w:ascii="Times New Roman" w:hAnsi="Times New Roman"/>
          <w:color w:val="000000" w:themeColor="text1"/>
          <w:sz w:val="24"/>
          <w:szCs w:val="24"/>
        </w:rPr>
        <w:t xml:space="preserve">=0.0115) increased over 2-fold compared to control treatment </w:t>
      </w:r>
      <w:r w:rsidRPr="00025B8B">
        <w:rPr>
          <w:rFonts w:ascii="Times New Roman" w:hAnsi="Times New Roman"/>
          <w:color w:val="000000" w:themeColor="text1"/>
          <w:sz w:val="24"/>
          <w:szCs w:val="24"/>
        </w:rPr>
        <w:lastRenderedPageBreak/>
        <w:t xml:space="preserve">under </w:t>
      </w:r>
      <w:r w:rsidRPr="00025B8B">
        <w:rPr>
          <w:rFonts w:ascii="Times New Roman" w:hAnsi="Times New Roman" w:hint="eastAsia"/>
          <w:color w:val="000000" w:themeColor="text1"/>
          <w:sz w:val="24"/>
          <w:szCs w:val="24"/>
        </w:rPr>
        <w:t xml:space="preserve">glyphosate </w:t>
      </w:r>
      <w:r w:rsidRPr="00025B8B">
        <w:rPr>
          <w:rFonts w:ascii="Times New Roman" w:hAnsi="Times New Roman"/>
          <w:color w:val="000000" w:themeColor="text1"/>
          <w:sz w:val="24"/>
          <w:szCs w:val="24"/>
        </w:rPr>
        <w:t xml:space="preserve">herbicide exposure </w:t>
      </w:r>
      <w:r w:rsidRPr="00025B8B">
        <w:rPr>
          <w:rFonts w:ascii="Times New Roman" w:hAnsi="Times New Roman"/>
          <w:color w:val="000000" w:themeColor="text1"/>
          <w:sz w:val="24"/>
        </w:rPr>
        <w:t xml:space="preserve">(Fig. 2a, </w:t>
      </w:r>
      <w:r w:rsidRPr="00025B8B">
        <w:rPr>
          <w:rFonts w:ascii="Times New Roman" w:hAnsi="Times New Roman"/>
          <w:color w:val="000000" w:themeColor="text1"/>
          <w:sz w:val="24"/>
          <w:szCs w:val="24"/>
        </w:rPr>
        <w:t>30d exposure</w:t>
      </w:r>
      <w:r w:rsidRPr="00025B8B">
        <w:rPr>
          <w:rFonts w:ascii="Times New Roman" w:hAnsi="Times New Roman"/>
          <w:color w:val="000000" w:themeColor="text1"/>
          <w:sz w:val="24"/>
        </w:rPr>
        <w:t>)</w:t>
      </w:r>
      <w:r w:rsidRPr="00025B8B">
        <w:rPr>
          <w:rFonts w:ascii="Times New Roman" w:hAnsi="Times New Roman"/>
          <w:color w:val="000000" w:themeColor="text1"/>
          <w:sz w:val="24"/>
          <w:szCs w:val="24"/>
        </w:rPr>
        <w:t xml:space="preserve">. </w:t>
      </w:r>
      <w:r w:rsidRPr="00025B8B">
        <w:rPr>
          <w:rFonts w:ascii="Times New Roman" w:hAnsi="Times New Roman"/>
          <w:color w:val="000000" w:themeColor="text1"/>
          <w:sz w:val="24"/>
        </w:rPr>
        <w:t xml:space="preserve">In total, 22 ARG types and 304 ARG subtypes (including 3686 non-redundant ARG genes, </w:t>
      </w:r>
      <w:r w:rsidRPr="00025B8B">
        <w:rPr>
          <w:rFonts w:ascii="Times New Roman" w:hAnsi="Times New Roman" w:hint="eastAsia"/>
          <w:color w:val="000000" w:themeColor="text1"/>
          <w:sz w:val="24"/>
        </w:rPr>
        <w:t>Supplementary</w:t>
      </w:r>
      <w:r w:rsidRPr="00025B8B">
        <w:rPr>
          <w:rFonts w:ascii="Times New Roman" w:hAnsi="Times New Roman"/>
          <w:color w:val="000000" w:themeColor="text1"/>
          <w:sz w:val="24"/>
        </w:rPr>
        <w:t xml:space="preserve"> Table </w:t>
      </w:r>
      <w:r w:rsidRPr="00025B8B">
        <w:rPr>
          <w:rFonts w:ascii="Times New Roman" w:hAnsi="Times New Roman" w:hint="eastAsia"/>
          <w:color w:val="000000" w:themeColor="text1"/>
          <w:sz w:val="24"/>
        </w:rPr>
        <w:t>S</w:t>
      </w:r>
      <w:r w:rsidRPr="00025B8B">
        <w:rPr>
          <w:rFonts w:ascii="Times New Roman" w:hAnsi="Times New Roman"/>
          <w:color w:val="000000" w:themeColor="text1"/>
          <w:sz w:val="24"/>
        </w:rPr>
        <w:t xml:space="preserve">1) were detected (average 0.3576 ARG copies per cell), which were associated to sulfonamide (28.2%), multidrug (16.6%), chloramphenicol (15.4%), tetracycline (13.0%), vancomycin (6.6%) and aminoglycoside (5.5%) resistances. The total ARG abundances significantly increased both in </w:t>
      </w:r>
      <w:r w:rsidRPr="00025B8B">
        <w:rPr>
          <w:rFonts w:ascii="Times New Roman" w:hAnsi="Times New Roman"/>
          <w:color w:val="000000" w:themeColor="text1"/>
          <w:sz w:val="24"/>
          <w:szCs w:val="24"/>
        </w:rPr>
        <w:t>glyphosate (F</w:t>
      </w:r>
      <w:r w:rsidRPr="00025B8B">
        <w:rPr>
          <w:rFonts w:ascii="Times New Roman" w:hAnsi="Times New Roman"/>
          <w:color w:val="000000" w:themeColor="text1"/>
          <w:sz w:val="24"/>
          <w:szCs w:val="24"/>
          <w:vertAlign w:val="subscript"/>
        </w:rPr>
        <w:t>3,8</w:t>
      </w:r>
      <w:r w:rsidRPr="00025B8B">
        <w:rPr>
          <w:rFonts w:ascii="Times New Roman" w:hAnsi="Times New Roman"/>
          <w:color w:val="000000" w:themeColor="text1"/>
          <w:sz w:val="24"/>
          <w:szCs w:val="24"/>
        </w:rPr>
        <w:t xml:space="preserve">=63.245, </w:t>
      </w:r>
      <w:r w:rsidRPr="00025B8B">
        <w:rPr>
          <w:rFonts w:ascii="Times New Roman" w:hAnsi="Times New Roman"/>
          <w:i/>
          <w:iCs/>
          <w:color w:val="000000" w:themeColor="text1"/>
          <w:sz w:val="24"/>
          <w:szCs w:val="24"/>
        </w:rPr>
        <w:t>p</w:t>
      </w:r>
      <w:r w:rsidRPr="00025B8B">
        <w:rPr>
          <w:rFonts w:ascii="Times New Roman" w:hAnsi="Times New Roman"/>
          <w:color w:val="000000" w:themeColor="text1"/>
          <w:sz w:val="24"/>
          <w:szCs w:val="24"/>
        </w:rPr>
        <w:t>&lt;0.001</w:t>
      </w:r>
      <w:r w:rsidRPr="00025B8B">
        <w:rPr>
          <w:rFonts w:ascii="Times New Roman" w:hAnsi="Times New Roman" w:hint="eastAsia"/>
          <w:color w:val="000000" w:themeColor="text1"/>
          <w:sz w:val="24"/>
          <w:szCs w:val="24"/>
        </w:rPr>
        <w:t>)</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and</w:t>
      </w:r>
      <w:r w:rsidRPr="00025B8B">
        <w:rPr>
          <w:rFonts w:ascii="Times New Roman" w:hAnsi="Times New Roman"/>
          <w:color w:val="000000" w:themeColor="text1"/>
          <w:sz w:val="24"/>
          <w:szCs w:val="24"/>
        </w:rPr>
        <w:t xml:space="preserve"> glufosinate</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rPr>
        <w:t>treatments</w:t>
      </w:r>
      <w:r w:rsidRPr="00025B8B">
        <w:rPr>
          <w:rFonts w:ascii="Times New Roman" w:hAnsi="Times New Roman"/>
          <w:color w:val="000000" w:themeColor="text1"/>
          <w:sz w:val="24"/>
          <w:szCs w:val="24"/>
        </w:rPr>
        <w:t xml:space="preserve"> (F</w:t>
      </w:r>
      <w:r w:rsidRPr="00025B8B">
        <w:rPr>
          <w:rFonts w:ascii="Times New Roman" w:hAnsi="Times New Roman"/>
          <w:color w:val="000000" w:themeColor="text1"/>
          <w:sz w:val="24"/>
          <w:szCs w:val="24"/>
          <w:vertAlign w:val="subscript"/>
        </w:rPr>
        <w:t>3,8</w:t>
      </w:r>
      <w:r w:rsidRPr="00025B8B">
        <w:rPr>
          <w:rFonts w:ascii="Times New Roman" w:hAnsi="Times New Roman"/>
          <w:color w:val="000000" w:themeColor="text1"/>
          <w:sz w:val="24"/>
          <w:szCs w:val="24"/>
        </w:rPr>
        <w:t xml:space="preserve">=43.986, </w:t>
      </w:r>
      <w:r w:rsidRPr="00025B8B">
        <w:rPr>
          <w:rFonts w:ascii="Times New Roman" w:hAnsi="Times New Roman"/>
          <w:i/>
          <w:iCs/>
          <w:color w:val="000000" w:themeColor="text1"/>
          <w:sz w:val="24"/>
          <w:szCs w:val="24"/>
        </w:rPr>
        <w:t>p</w:t>
      </w:r>
      <w:r w:rsidRPr="00025B8B">
        <w:rPr>
          <w:rFonts w:ascii="Times New Roman" w:hAnsi="Times New Roman"/>
          <w:color w:val="000000" w:themeColor="text1"/>
          <w:sz w:val="24"/>
          <w:szCs w:val="24"/>
        </w:rPr>
        <w:t>&lt;0.001; 30d exposure) with glyphosate showing 9-fold increase at the end of the experiment (F</w:t>
      </w:r>
      <w:r w:rsidRPr="00025B8B">
        <w:rPr>
          <w:rFonts w:ascii="Times New Roman" w:hAnsi="Times New Roman"/>
          <w:color w:val="000000" w:themeColor="text1"/>
          <w:sz w:val="24"/>
          <w:szCs w:val="24"/>
          <w:vertAlign w:val="subscript"/>
        </w:rPr>
        <w:t>3,8</w:t>
      </w:r>
      <w:r w:rsidRPr="00025B8B">
        <w:rPr>
          <w:rFonts w:ascii="Times New Roman" w:hAnsi="Times New Roman"/>
          <w:color w:val="000000" w:themeColor="text1"/>
          <w:sz w:val="24"/>
          <w:szCs w:val="24"/>
        </w:rPr>
        <w:t xml:space="preserve">=43.986, </w:t>
      </w:r>
      <w:r w:rsidRPr="00025B8B">
        <w:rPr>
          <w:rFonts w:ascii="Times New Roman" w:hAnsi="Times New Roman"/>
          <w:i/>
          <w:iCs/>
          <w:color w:val="000000" w:themeColor="text1"/>
          <w:sz w:val="24"/>
          <w:szCs w:val="24"/>
        </w:rPr>
        <w:t>p</w:t>
      </w:r>
      <w:r w:rsidRPr="00025B8B">
        <w:rPr>
          <w:rFonts w:ascii="Times New Roman" w:hAnsi="Times New Roman"/>
          <w:color w:val="000000" w:themeColor="text1"/>
          <w:sz w:val="24"/>
          <w:szCs w:val="24"/>
        </w:rPr>
        <w:t>&lt;0.001, 60d exposure, Fig. 2b-c).</w:t>
      </w:r>
      <w:r w:rsidRPr="00025B8B">
        <w:rPr>
          <w:rFonts w:ascii="Times New Roman" w:hAnsi="Times New Roman" w:hint="eastAsia"/>
          <w:color w:val="000000" w:themeColor="text1"/>
          <w:sz w:val="24"/>
          <w:szCs w:val="24"/>
        </w:rPr>
        <w:t xml:space="preserve"> </w:t>
      </w:r>
      <w:bookmarkStart w:id="11" w:name="_Hlk60329271"/>
      <w:r w:rsidRPr="00025B8B">
        <w:rPr>
          <w:rFonts w:ascii="Times New Roman" w:hAnsi="Times New Roman"/>
          <w:color w:val="000000" w:themeColor="text1"/>
          <w:sz w:val="24"/>
          <w:szCs w:val="24"/>
        </w:rPr>
        <w:t>Specifically, glyphosate and glufosinate increased the abundance of</w:t>
      </w:r>
      <w:r w:rsidRPr="00025B8B">
        <w:rPr>
          <w:rFonts w:ascii="Times New Roman" w:hAnsi="Times New Roman"/>
          <w:color w:val="000000" w:themeColor="text1"/>
          <w:sz w:val="24"/>
        </w:rPr>
        <w:t xml:space="preserve"> aminoglycoside (</w:t>
      </w:r>
      <w:r w:rsidRPr="00025B8B">
        <w:rPr>
          <w:rFonts w:ascii="Times New Roman" w:hAnsi="Times New Roman"/>
          <w:color w:val="000000" w:themeColor="text1"/>
          <w:sz w:val="24"/>
          <w:szCs w:val="24"/>
        </w:rPr>
        <w:t>F</w:t>
      </w:r>
      <w:r w:rsidRPr="00025B8B">
        <w:rPr>
          <w:rFonts w:ascii="Times New Roman" w:hAnsi="Times New Roman"/>
          <w:color w:val="000000" w:themeColor="text1"/>
          <w:sz w:val="24"/>
          <w:szCs w:val="24"/>
          <w:vertAlign w:val="subscript"/>
        </w:rPr>
        <w:t>3,8</w:t>
      </w:r>
      <w:r w:rsidRPr="00025B8B">
        <w:rPr>
          <w:rFonts w:ascii="Times New Roman" w:hAnsi="Times New Roman"/>
          <w:color w:val="000000" w:themeColor="text1"/>
          <w:sz w:val="24"/>
          <w:szCs w:val="24"/>
        </w:rPr>
        <w:t>=6.43,</w:t>
      </w:r>
      <w:r w:rsidRPr="00025B8B">
        <w:rPr>
          <w:color w:val="000000" w:themeColor="text1"/>
        </w:rPr>
        <w:t xml:space="preserve"> </w:t>
      </w:r>
      <w:r w:rsidRPr="00025B8B">
        <w:rPr>
          <w:rFonts w:ascii="Times New Roman" w:hAnsi="Times New Roman"/>
          <w:i/>
          <w:iCs/>
          <w:color w:val="000000" w:themeColor="text1"/>
          <w:sz w:val="24"/>
          <w:szCs w:val="24"/>
        </w:rPr>
        <w:t>p</w:t>
      </w:r>
      <w:r w:rsidRPr="00025B8B">
        <w:rPr>
          <w:rFonts w:ascii="Times New Roman" w:hAnsi="Times New Roman"/>
          <w:color w:val="000000" w:themeColor="text1"/>
          <w:sz w:val="24"/>
          <w:szCs w:val="24"/>
        </w:rPr>
        <w:t>=0.014</w:t>
      </w:r>
      <w:r w:rsidRPr="00025B8B">
        <w:rPr>
          <w:rFonts w:ascii="Times New Roman" w:hAnsi="Times New Roman"/>
          <w:color w:val="000000" w:themeColor="text1"/>
          <w:sz w:val="24"/>
        </w:rPr>
        <w:t>) and multidrug (</w:t>
      </w:r>
      <w:r w:rsidRPr="00025B8B">
        <w:rPr>
          <w:rFonts w:ascii="Times New Roman" w:hAnsi="Times New Roman"/>
          <w:color w:val="000000" w:themeColor="text1"/>
          <w:sz w:val="24"/>
          <w:szCs w:val="24"/>
        </w:rPr>
        <w:t>F</w:t>
      </w:r>
      <w:r w:rsidRPr="00025B8B">
        <w:rPr>
          <w:rFonts w:ascii="Times New Roman" w:hAnsi="Times New Roman"/>
          <w:color w:val="000000" w:themeColor="text1"/>
          <w:sz w:val="24"/>
          <w:szCs w:val="24"/>
          <w:vertAlign w:val="subscript"/>
        </w:rPr>
        <w:t>3,8</w:t>
      </w:r>
      <w:r w:rsidRPr="00025B8B">
        <w:rPr>
          <w:rFonts w:ascii="Times New Roman" w:hAnsi="Times New Roman"/>
          <w:color w:val="000000" w:themeColor="text1"/>
          <w:sz w:val="24"/>
          <w:szCs w:val="24"/>
        </w:rPr>
        <w:t>=8.15,</w:t>
      </w:r>
      <w:r w:rsidRPr="00025B8B">
        <w:rPr>
          <w:color w:val="000000" w:themeColor="text1"/>
        </w:rPr>
        <w:t xml:space="preserve"> </w:t>
      </w:r>
      <w:r w:rsidRPr="00025B8B">
        <w:rPr>
          <w:rFonts w:ascii="Times New Roman" w:hAnsi="Times New Roman"/>
          <w:i/>
          <w:iCs/>
          <w:color w:val="000000" w:themeColor="text1"/>
          <w:sz w:val="24"/>
          <w:szCs w:val="24"/>
        </w:rPr>
        <w:t>p</w:t>
      </w:r>
      <w:r w:rsidRPr="00025B8B">
        <w:rPr>
          <w:rFonts w:ascii="Times New Roman" w:hAnsi="Times New Roman"/>
          <w:color w:val="000000" w:themeColor="text1"/>
          <w:sz w:val="24"/>
          <w:szCs w:val="24"/>
        </w:rPr>
        <w:t>=0.0081</w:t>
      </w:r>
      <w:r w:rsidRPr="00025B8B">
        <w:rPr>
          <w:rFonts w:ascii="Times New Roman" w:hAnsi="Times New Roman"/>
          <w:color w:val="000000" w:themeColor="text1"/>
          <w:sz w:val="24"/>
        </w:rPr>
        <w:t>)</w:t>
      </w:r>
      <w:r w:rsidRPr="00025B8B">
        <w:rPr>
          <w:rFonts w:ascii="Times New Roman" w:hAnsi="Times New Roman"/>
          <w:color w:val="000000" w:themeColor="text1"/>
          <w:sz w:val="24"/>
          <w:szCs w:val="24"/>
        </w:rPr>
        <w:t xml:space="preserve"> resistance genes (30d exposure,</w:t>
      </w:r>
      <w:r w:rsidRPr="00025B8B">
        <w:rPr>
          <w:rFonts w:ascii="Times New Roman" w:hAnsi="Times New Roman"/>
          <w:color w:val="000000" w:themeColor="text1"/>
          <w:kern w:val="0"/>
          <w:sz w:val="24"/>
          <w:szCs w:val="24"/>
        </w:rPr>
        <w:t xml:space="preserve"> Extended Data</w:t>
      </w:r>
      <w:r w:rsidRPr="00025B8B">
        <w:rPr>
          <w:rFonts w:ascii="Times New Roman" w:hAnsi="Times New Roman"/>
          <w:color w:val="000000" w:themeColor="text1"/>
          <w:sz w:val="24"/>
          <w:szCs w:val="24"/>
        </w:rPr>
        <w:t xml:space="preserve"> Fig. 4), while dicamba significantly enriched the ARG subtypes linked with </w:t>
      </w:r>
      <w:r w:rsidRPr="00025B8B">
        <w:rPr>
          <w:rFonts w:ascii="Times New Roman" w:hAnsi="Times New Roman"/>
          <w:color w:val="000000" w:themeColor="text1"/>
          <w:sz w:val="24"/>
        </w:rPr>
        <w:t>aminoglycoside (</w:t>
      </w:r>
      <w:r w:rsidRPr="00025B8B">
        <w:rPr>
          <w:rFonts w:ascii="Times New Roman" w:hAnsi="Times New Roman"/>
          <w:color w:val="000000" w:themeColor="text1"/>
          <w:sz w:val="24"/>
          <w:szCs w:val="24"/>
        </w:rPr>
        <w:t>F</w:t>
      </w:r>
      <w:r w:rsidRPr="00025B8B">
        <w:rPr>
          <w:rFonts w:ascii="Times New Roman" w:hAnsi="Times New Roman"/>
          <w:color w:val="000000" w:themeColor="text1"/>
          <w:sz w:val="24"/>
          <w:szCs w:val="24"/>
          <w:vertAlign w:val="subscript"/>
        </w:rPr>
        <w:t>3,8</w:t>
      </w:r>
      <w:r w:rsidRPr="00025B8B">
        <w:rPr>
          <w:rFonts w:ascii="Times New Roman" w:hAnsi="Times New Roman"/>
          <w:color w:val="000000" w:themeColor="text1"/>
          <w:sz w:val="24"/>
          <w:szCs w:val="24"/>
        </w:rPr>
        <w:t>=71.87,</w:t>
      </w:r>
      <w:r w:rsidRPr="00025B8B">
        <w:rPr>
          <w:color w:val="000000" w:themeColor="text1"/>
        </w:rPr>
        <w:t xml:space="preserve"> </w:t>
      </w:r>
      <w:r w:rsidRPr="00025B8B">
        <w:rPr>
          <w:rFonts w:ascii="Times New Roman" w:hAnsi="Times New Roman"/>
          <w:i/>
          <w:iCs/>
          <w:color w:val="000000" w:themeColor="text1"/>
          <w:sz w:val="24"/>
          <w:szCs w:val="24"/>
        </w:rPr>
        <w:t>p</w:t>
      </w:r>
      <w:r w:rsidRPr="00025B8B">
        <w:rPr>
          <w:rFonts w:ascii="Times New Roman" w:hAnsi="Times New Roman"/>
          <w:color w:val="000000" w:themeColor="text1"/>
          <w:sz w:val="24"/>
          <w:szCs w:val="24"/>
        </w:rPr>
        <w:t>&lt;0.0001</w:t>
      </w:r>
      <w:r w:rsidRPr="00025B8B">
        <w:rPr>
          <w:rFonts w:ascii="Times New Roman" w:hAnsi="Times New Roman"/>
          <w:color w:val="000000" w:themeColor="text1"/>
          <w:sz w:val="24"/>
        </w:rPr>
        <w:t>) and tetracycline (</w:t>
      </w:r>
      <w:r w:rsidRPr="00025B8B">
        <w:rPr>
          <w:rFonts w:ascii="Times New Roman" w:hAnsi="Times New Roman"/>
          <w:color w:val="000000" w:themeColor="text1"/>
          <w:sz w:val="24"/>
          <w:szCs w:val="24"/>
        </w:rPr>
        <w:t>F</w:t>
      </w:r>
      <w:r w:rsidRPr="00025B8B">
        <w:rPr>
          <w:rFonts w:ascii="Times New Roman" w:hAnsi="Times New Roman"/>
          <w:color w:val="000000" w:themeColor="text1"/>
          <w:sz w:val="24"/>
          <w:szCs w:val="24"/>
          <w:vertAlign w:val="subscript"/>
        </w:rPr>
        <w:t>3,8</w:t>
      </w:r>
      <w:r w:rsidRPr="00025B8B">
        <w:rPr>
          <w:rFonts w:ascii="Times New Roman" w:hAnsi="Times New Roman"/>
          <w:color w:val="000000" w:themeColor="text1"/>
          <w:sz w:val="24"/>
          <w:szCs w:val="24"/>
        </w:rPr>
        <w:t>=41.56,</w:t>
      </w:r>
      <w:r w:rsidRPr="00025B8B">
        <w:rPr>
          <w:color w:val="000000" w:themeColor="text1"/>
        </w:rPr>
        <w:t xml:space="preserve"> </w:t>
      </w:r>
      <w:r w:rsidRPr="00025B8B">
        <w:rPr>
          <w:rFonts w:ascii="Times New Roman" w:hAnsi="Times New Roman"/>
          <w:i/>
          <w:iCs/>
          <w:color w:val="000000" w:themeColor="text1"/>
          <w:sz w:val="24"/>
          <w:szCs w:val="24"/>
        </w:rPr>
        <w:t>p</w:t>
      </w:r>
      <w:r w:rsidRPr="00025B8B">
        <w:rPr>
          <w:rFonts w:ascii="Times New Roman" w:hAnsi="Times New Roman"/>
          <w:color w:val="000000" w:themeColor="text1"/>
          <w:sz w:val="24"/>
          <w:szCs w:val="24"/>
        </w:rPr>
        <w:t>&lt;0.001</w:t>
      </w:r>
      <w:r w:rsidRPr="00025B8B">
        <w:rPr>
          <w:rFonts w:ascii="Times New Roman" w:hAnsi="Times New Roman"/>
          <w:color w:val="000000" w:themeColor="text1"/>
          <w:sz w:val="24"/>
        </w:rPr>
        <w:t>) resistances (</w:t>
      </w:r>
      <w:r w:rsidRPr="00025B8B">
        <w:rPr>
          <w:rFonts w:ascii="Times New Roman" w:hAnsi="Times New Roman"/>
          <w:color w:val="000000" w:themeColor="text1"/>
          <w:sz w:val="24"/>
          <w:szCs w:val="24"/>
        </w:rPr>
        <w:t>60d exposure</w:t>
      </w:r>
      <w:r w:rsidRPr="00025B8B">
        <w:rPr>
          <w:rFonts w:ascii="Times New Roman" w:hAnsi="Times New Roman"/>
          <w:color w:val="000000" w:themeColor="text1"/>
          <w:kern w:val="0"/>
          <w:sz w:val="24"/>
          <w:szCs w:val="24"/>
        </w:rPr>
        <w:t>, Extended Data</w:t>
      </w:r>
      <w:r w:rsidRPr="00025B8B">
        <w:rPr>
          <w:rFonts w:ascii="Times New Roman" w:hAnsi="Times New Roman"/>
          <w:color w:val="000000" w:themeColor="text1"/>
          <w:sz w:val="24"/>
          <w:szCs w:val="24"/>
        </w:rPr>
        <w:t xml:space="preserve"> Fig. 5</w:t>
      </w:r>
      <w:r w:rsidRPr="00025B8B">
        <w:rPr>
          <w:rFonts w:ascii="Times New Roman" w:hAnsi="Times New Roman"/>
          <w:color w:val="000000" w:themeColor="text1"/>
          <w:sz w:val="24"/>
        </w:rPr>
        <w:t>)</w:t>
      </w:r>
      <w:bookmarkEnd w:id="11"/>
      <w:r w:rsidRPr="00025B8B">
        <w:rPr>
          <w:rFonts w:ascii="Times New Roman" w:hAnsi="Times New Roman"/>
          <w:color w:val="000000" w:themeColor="text1"/>
          <w:sz w:val="24"/>
          <w:szCs w:val="24"/>
        </w:rPr>
        <w:t xml:space="preserve">. </w:t>
      </w:r>
      <w:bookmarkStart w:id="12" w:name="_Hlk60488616"/>
      <w:r w:rsidRPr="00025B8B">
        <w:rPr>
          <w:rFonts w:ascii="Times New Roman" w:hAnsi="Times New Roman"/>
          <w:color w:val="000000" w:themeColor="text1"/>
          <w:kern w:val="0"/>
          <w:sz w:val="24"/>
          <w:szCs w:val="24"/>
        </w:rPr>
        <w:t>Glyphosate had the relatively largest effect compared to other herbicides, especially increasing the trimethoprim (60d exposure, 14-fold), kasugamycin (30d exposure, 2-fold) and fosfomycin (60d exposure, 14-fold) resistance gene abundances (Fig. 2b)</w:t>
      </w:r>
      <w:r w:rsidRPr="00025B8B">
        <w:rPr>
          <w:rFonts w:ascii="Times New Roman" w:hAnsi="Times New Roman"/>
          <w:color w:val="000000" w:themeColor="text1"/>
          <w:sz w:val="24"/>
          <w:szCs w:val="24"/>
        </w:rPr>
        <w:t>.</w:t>
      </w:r>
      <w:bookmarkEnd w:id="12"/>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Multiple </w:t>
      </w:r>
      <w:r w:rsidRPr="00025B8B">
        <w:rPr>
          <w:rFonts w:ascii="Times New Roman" w:hAnsi="Times New Roman"/>
          <w:color w:val="000000" w:themeColor="text1"/>
          <w:sz w:val="24"/>
        </w:rPr>
        <w:t xml:space="preserve">MGEs were detected including transposases, </w:t>
      </w:r>
      <w:r w:rsidRPr="00025B8B">
        <w:rPr>
          <w:rFonts w:ascii="Times New Roman" w:hAnsi="Times New Roman"/>
          <w:i/>
          <w:color w:val="000000" w:themeColor="text1"/>
          <w:sz w:val="24"/>
        </w:rPr>
        <w:t>IS91</w:t>
      </w:r>
      <w:r w:rsidRPr="00025B8B">
        <w:rPr>
          <w:rFonts w:ascii="Times New Roman" w:hAnsi="Times New Roman"/>
          <w:color w:val="000000" w:themeColor="text1"/>
          <w:sz w:val="24"/>
        </w:rPr>
        <w:t xml:space="preserve"> family insertion sequences, integrases, plasmids and</w:t>
      </w:r>
      <w:r w:rsidRPr="00025B8B">
        <w:rPr>
          <w:color w:val="000000" w:themeColor="text1"/>
        </w:rPr>
        <w:t xml:space="preserve"> </w:t>
      </w:r>
      <w:r w:rsidRPr="00025B8B">
        <w:rPr>
          <w:rFonts w:ascii="Times New Roman" w:hAnsi="Times New Roman"/>
          <w:color w:val="000000" w:themeColor="text1"/>
          <w:sz w:val="24"/>
        </w:rPr>
        <w:t xml:space="preserve">transposable elements </w:t>
      </w:r>
      <w:r w:rsidRPr="00025B8B">
        <w:rPr>
          <w:color w:val="000000" w:themeColor="text1"/>
        </w:rPr>
        <w:t>(</w:t>
      </w:r>
      <w:r w:rsidRPr="00025B8B">
        <w:rPr>
          <w:rFonts w:ascii="Times New Roman" w:hAnsi="Times New Roman"/>
          <w:i/>
          <w:color w:val="000000" w:themeColor="text1"/>
          <w:sz w:val="24"/>
        </w:rPr>
        <w:t>TniA</w:t>
      </w:r>
      <w:r w:rsidRPr="00025B8B">
        <w:rPr>
          <w:rFonts w:ascii="Times New Roman" w:hAnsi="Times New Roman"/>
          <w:color w:val="000000" w:themeColor="text1"/>
          <w:sz w:val="24"/>
        </w:rPr>
        <w:t xml:space="preserve"> and </w:t>
      </w:r>
      <w:r w:rsidRPr="00025B8B">
        <w:rPr>
          <w:rFonts w:ascii="Times New Roman" w:hAnsi="Times New Roman"/>
          <w:i/>
          <w:color w:val="000000" w:themeColor="text1"/>
          <w:sz w:val="24"/>
        </w:rPr>
        <w:t>TniB</w:t>
      </w:r>
      <w:r w:rsidRPr="00025B8B">
        <w:rPr>
          <w:rFonts w:ascii="Times New Roman" w:hAnsi="Times New Roman"/>
          <w:color w:val="000000" w:themeColor="text1"/>
          <w:sz w:val="24"/>
        </w:rPr>
        <w:t>), and on average, 0.0263 MGE copies per bacterial cell were observed (</w:t>
      </w:r>
      <w:r w:rsidRPr="00025B8B">
        <w:rPr>
          <w:rFonts w:ascii="Times New Roman" w:hAnsi="Times New Roman" w:hint="eastAsia"/>
          <w:color w:val="000000" w:themeColor="text1"/>
          <w:sz w:val="24"/>
        </w:rPr>
        <w:t>Supplementary</w:t>
      </w:r>
      <w:r w:rsidRPr="00025B8B">
        <w:rPr>
          <w:rFonts w:ascii="Times New Roman" w:hAnsi="Times New Roman"/>
          <w:color w:val="000000" w:themeColor="text1"/>
          <w:sz w:val="24"/>
        </w:rPr>
        <w:t xml:space="preserve"> Table </w:t>
      </w:r>
      <w:r w:rsidRPr="00025B8B">
        <w:rPr>
          <w:rFonts w:ascii="Times New Roman" w:hAnsi="Times New Roman" w:hint="eastAsia"/>
          <w:color w:val="000000" w:themeColor="text1"/>
          <w:sz w:val="24"/>
        </w:rPr>
        <w:t>S</w:t>
      </w:r>
      <w:r w:rsidRPr="00025B8B">
        <w:rPr>
          <w:rFonts w:ascii="Times New Roman" w:hAnsi="Times New Roman"/>
          <w:color w:val="000000" w:themeColor="text1"/>
          <w:sz w:val="24"/>
        </w:rPr>
        <w:t xml:space="preserve">2). Both </w:t>
      </w:r>
      <w:r w:rsidRPr="00025B8B">
        <w:rPr>
          <w:rFonts w:ascii="Times New Roman" w:hAnsi="Times New Roman"/>
          <w:color w:val="000000" w:themeColor="text1"/>
          <w:sz w:val="24"/>
          <w:szCs w:val="24"/>
        </w:rPr>
        <w:t>glufosinate (4-fold increase, F</w:t>
      </w:r>
      <w:r w:rsidRPr="00025B8B">
        <w:rPr>
          <w:rFonts w:ascii="Times New Roman" w:hAnsi="Times New Roman"/>
          <w:color w:val="000000" w:themeColor="text1"/>
          <w:sz w:val="24"/>
          <w:szCs w:val="24"/>
          <w:vertAlign w:val="subscript"/>
        </w:rPr>
        <w:t>3,8</w:t>
      </w:r>
      <w:r w:rsidRPr="00025B8B">
        <w:rPr>
          <w:rFonts w:ascii="Times New Roman" w:hAnsi="Times New Roman"/>
          <w:color w:val="000000" w:themeColor="text1"/>
          <w:sz w:val="24"/>
          <w:szCs w:val="24"/>
        </w:rPr>
        <w:t xml:space="preserve">=21.298, </w:t>
      </w:r>
      <w:r w:rsidRPr="00025B8B">
        <w:rPr>
          <w:rFonts w:ascii="Times New Roman" w:hAnsi="Times New Roman"/>
          <w:i/>
          <w:iCs/>
          <w:color w:val="000000" w:themeColor="text1"/>
          <w:sz w:val="24"/>
          <w:szCs w:val="24"/>
        </w:rPr>
        <w:t>p</w:t>
      </w:r>
      <w:r w:rsidRPr="00025B8B">
        <w:rPr>
          <w:rFonts w:ascii="Times New Roman" w:hAnsi="Times New Roman"/>
          <w:color w:val="000000" w:themeColor="text1"/>
          <w:sz w:val="24"/>
          <w:szCs w:val="24"/>
        </w:rPr>
        <w:t>=0.00134) and glyphosate (8-fold increase, F</w:t>
      </w:r>
      <w:r w:rsidRPr="00025B8B">
        <w:rPr>
          <w:rFonts w:ascii="Times New Roman" w:hAnsi="Times New Roman"/>
          <w:color w:val="000000" w:themeColor="text1"/>
          <w:sz w:val="24"/>
          <w:szCs w:val="24"/>
          <w:vertAlign w:val="subscript"/>
        </w:rPr>
        <w:t>3,8</w:t>
      </w:r>
      <w:r w:rsidRPr="00025B8B">
        <w:rPr>
          <w:rFonts w:ascii="Times New Roman" w:hAnsi="Times New Roman"/>
          <w:color w:val="000000" w:themeColor="text1"/>
          <w:sz w:val="24"/>
          <w:szCs w:val="24"/>
        </w:rPr>
        <w:t xml:space="preserve">=106.445, </w:t>
      </w:r>
      <w:r w:rsidRPr="00025B8B">
        <w:rPr>
          <w:rFonts w:ascii="Times New Roman" w:hAnsi="Times New Roman"/>
          <w:i/>
          <w:iCs/>
          <w:color w:val="000000" w:themeColor="text1"/>
          <w:sz w:val="24"/>
          <w:szCs w:val="24"/>
        </w:rPr>
        <w:t>p</w:t>
      </w:r>
      <w:r w:rsidRPr="00025B8B">
        <w:rPr>
          <w:rFonts w:ascii="Times New Roman" w:hAnsi="Times New Roman"/>
          <w:color w:val="000000" w:themeColor="text1"/>
          <w:sz w:val="24"/>
          <w:szCs w:val="24"/>
        </w:rPr>
        <w:t xml:space="preserve">&lt;0.0001) significantly increased total MGE abundances relative to </w:t>
      </w:r>
      <w:r w:rsidRPr="00025B8B">
        <w:rPr>
          <w:rFonts w:ascii="Times New Roman" w:hAnsi="Times New Roman" w:hint="eastAsia"/>
          <w:color w:val="000000" w:themeColor="text1"/>
          <w:sz w:val="24"/>
          <w:szCs w:val="24"/>
        </w:rPr>
        <w:t>the</w:t>
      </w:r>
      <w:r w:rsidRPr="00025B8B">
        <w:rPr>
          <w:rFonts w:ascii="Times New Roman" w:hAnsi="Times New Roman"/>
          <w:color w:val="000000" w:themeColor="text1"/>
          <w:sz w:val="24"/>
          <w:szCs w:val="24"/>
        </w:rPr>
        <w:t xml:space="preserve"> control treatment, while dicamba had non-significant effects (Fig. 2b-c</w:t>
      </w:r>
      <w:r w:rsidRPr="00025B8B">
        <w:rPr>
          <w:rFonts w:ascii="Times New Roman" w:hAnsi="Times New Roman" w:hint="eastAsia"/>
          <w:color w:val="000000" w:themeColor="text1"/>
          <w:sz w:val="24"/>
          <w:szCs w:val="24"/>
        </w:rPr>
        <w:t>,</w:t>
      </w:r>
      <w:r w:rsidRPr="00025B8B">
        <w:rPr>
          <w:rFonts w:ascii="Times New Roman" w:hAnsi="Times New Roman"/>
          <w:color w:val="000000" w:themeColor="text1"/>
          <w:sz w:val="24"/>
          <w:szCs w:val="24"/>
        </w:rPr>
        <w:t xml:space="preserve"> 60d exposure). Specifically, transposase (F</w:t>
      </w:r>
      <w:r w:rsidRPr="00025B8B">
        <w:rPr>
          <w:rFonts w:ascii="Times New Roman" w:hAnsi="Times New Roman"/>
          <w:color w:val="000000" w:themeColor="text1"/>
          <w:sz w:val="24"/>
          <w:szCs w:val="24"/>
          <w:vertAlign w:val="subscript"/>
        </w:rPr>
        <w:t>3,8</w:t>
      </w:r>
      <w:r w:rsidRPr="00025B8B">
        <w:rPr>
          <w:rFonts w:ascii="Times New Roman" w:hAnsi="Times New Roman"/>
          <w:color w:val="000000" w:themeColor="text1"/>
          <w:sz w:val="24"/>
          <w:szCs w:val="24"/>
        </w:rPr>
        <w:t>=5.75,</w:t>
      </w:r>
      <w:r w:rsidRPr="00025B8B">
        <w:rPr>
          <w:color w:val="000000" w:themeColor="text1"/>
        </w:rPr>
        <w:t xml:space="preserve"> </w:t>
      </w:r>
      <w:r w:rsidRPr="00025B8B">
        <w:rPr>
          <w:rFonts w:ascii="Times New Roman" w:hAnsi="Times New Roman"/>
          <w:i/>
          <w:iCs/>
          <w:color w:val="000000" w:themeColor="text1"/>
          <w:sz w:val="24"/>
          <w:szCs w:val="24"/>
        </w:rPr>
        <w:t>p</w:t>
      </w:r>
      <w:r w:rsidRPr="00025B8B">
        <w:rPr>
          <w:rFonts w:ascii="Times New Roman" w:hAnsi="Times New Roman"/>
          <w:color w:val="000000" w:themeColor="text1"/>
          <w:sz w:val="24"/>
          <w:szCs w:val="24"/>
        </w:rPr>
        <w:t xml:space="preserve">=0.021), </w:t>
      </w:r>
      <w:r w:rsidRPr="00025B8B">
        <w:rPr>
          <w:rFonts w:ascii="Times New Roman" w:hAnsi="Times New Roman"/>
          <w:i/>
          <w:color w:val="000000" w:themeColor="text1"/>
          <w:sz w:val="24"/>
          <w:szCs w:val="24"/>
        </w:rPr>
        <w:t>IS91</w:t>
      </w:r>
      <w:r w:rsidRPr="00025B8B">
        <w:rPr>
          <w:rFonts w:ascii="Times New Roman" w:hAnsi="Times New Roman"/>
          <w:color w:val="000000" w:themeColor="text1"/>
          <w:sz w:val="24"/>
          <w:szCs w:val="24"/>
        </w:rPr>
        <w:t xml:space="preserve"> (F</w:t>
      </w:r>
      <w:r w:rsidRPr="00025B8B">
        <w:rPr>
          <w:rFonts w:ascii="Times New Roman" w:hAnsi="Times New Roman"/>
          <w:color w:val="000000" w:themeColor="text1"/>
          <w:sz w:val="24"/>
          <w:szCs w:val="24"/>
          <w:vertAlign w:val="subscript"/>
        </w:rPr>
        <w:t>3,8</w:t>
      </w:r>
      <w:r w:rsidRPr="00025B8B">
        <w:rPr>
          <w:rFonts w:ascii="Times New Roman" w:hAnsi="Times New Roman"/>
          <w:color w:val="000000" w:themeColor="text1"/>
          <w:sz w:val="24"/>
          <w:szCs w:val="24"/>
        </w:rPr>
        <w:t>=6.52,</w:t>
      </w:r>
      <w:r w:rsidRPr="00025B8B">
        <w:rPr>
          <w:color w:val="000000" w:themeColor="text1"/>
        </w:rPr>
        <w:t xml:space="preserve"> </w:t>
      </w:r>
      <w:r w:rsidRPr="00025B8B">
        <w:rPr>
          <w:rFonts w:ascii="Times New Roman" w:hAnsi="Times New Roman"/>
          <w:i/>
          <w:iCs/>
          <w:color w:val="000000" w:themeColor="text1"/>
          <w:sz w:val="24"/>
          <w:szCs w:val="24"/>
        </w:rPr>
        <w:t>p</w:t>
      </w:r>
      <w:r w:rsidRPr="00025B8B">
        <w:rPr>
          <w:rFonts w:ascii="Times New Roman" w:hAnsi="Times New Roman"/>
          <w:color w:val="000000" w:themeColor="text1"/>
          <w:sz w:val="24"/>
          <w:szCs w:val="24"/>
        </w:rPr>
        <w:t xml:space="preserve">=0.015) and </w:t>
      </w:r>
      <w:r w:rsidRPr="00025B8B">
        <w:rPr>
          <w:rFonts w:ascii="Times New Roman" w:hAnsi="Times New Roman"/>
          <w:i/>
          <w:color w:val="000000" w:themeColor="text1"/>
          <w:sz w:val="24"/>
          <w:szCs w:val="24"/>
        </w:rPr>
        <w:t>TniA</w:t>
      </w:r>
      <w:r w:rsidRPr="00025B8B">
        <w:rPr>
          <w:rFonts w:ascii="Times New Roman" w:hAnsi="Times New Roman"/>
          <w:color w:val="000000" w:themeColor="text1"/>
          <w:sz w:val="24"/>
          <w:szCs w:val="24"/>
        </w:rPr>
        <w:t xml:space="preserve"> (F</w:t>
      </w:r>
      <w:r w:rsidRPr="00025B8B">
        <w:rPr>
          <w:rFonts w:ascii="Times New Roman" w:hAnsi="Times New Roman"/>
          <w:color w:val="000000" w:themeColor="text1"/>
          <w:sz w:val="24"/>
          <w:szCs w:val="24"/>
          <w:vertAlign w:val="subscript"/>
        </w:rPr>
        <w:t>3,8</w:t>
      </w:r>
      <w:r w:rsidRPr="00025B8B">
        <w:rPr>
          <w:rFonts w:ascii="Times New Roman" w:hAnsi="Times New Roman"/>
          <w:color w:val="000000" w:themeColor="text1"/>
          <w:sz w:val="24"/>
          <w:szCs w:val="24"/>
        </w:rPr>
        <w:t>=737,</w:t>
      </w:r>
      <w:r w:rsidRPr="00025B8B">
        <w:rPr>
          <w:color w:val="000000" w:themeColor="text1"/>
        </w:rPr>
        <w:t xml:space="preserve"> </w:t>
      </w:r>
      <w:r w:rsidRPr="00025B8B">
        <w:rPr>
          <w:rFonts w:ascii="Times New Roman" w:hAnsi="Times New Roman"/>
          <w:i/>
          <w:iCs/>
          <w:color w:val="000000" w:themeColor="text1"/>
          <w:sz w:val="24"/>
          <w:szCs w:val="24"/>
        </w:rPr>
        <w:t>p</w:t>
      </w:r>
      <w:r w:rsidRPr="00025B8B">
        <w:rPr>
          <w:rFonts w:ascii="Times New Roman" w:hAnsi="Times New Roman"/>
          <w:color w:val="000000" w:themeColor="text1"/>
          <w:sz w:val="24"/>
          <w:szCs w:val="24"/>
        </w:rPr>
        <w:t>=0.011) gene abundances increased under glyphosate exposure (30d exposure, Fig. 2b-c; E</w:t>
      </w:r>
      <w:r w:rsidRPr="00025B8B">
        <w:rPr>
          <w:rFonts w:ascii="Times New Roman" w:hAnsi="Times New Roman"/>
          <w:color w:val="000000" w:themeColor="text1"/>
          <w:kern w:val="0"/>
          <w:sz w:val="24"/>
          <w:szCs w:val="24"/>
        </w:rPr>
        <w:t>xtended Data</w:t>
      </w:r>
      <w:r w:rsidRPr="00025B8B">
        <w:rPr>
          <w:rFonts w:ascii="Times New Roman" w:hAnsi="Times New Roman"/>
          <w:color w:val="000000" w:themeColor="text1"/>
          <w:sz w:val="24"/>
          <w:szCs w:val="24"/>
        </w:rPr>
        <w:t xml:space="preserve"> Fig. 6), while plasmid (F</w:t>
      </w:r>
      <w:r w:rsidRPr="00025B8B">
        <w:rPr>
          <w:rFonts w:ascii="Times New Roman" w:hAnsi="Times New Roman"/>
          <w:color w:val="000000" w:themeColor="text1"/>
          <w:sz w:val="24"/>
          <w:szCs w:val="24"/>
          <w:vertAlign w:val="subscript"/>
        </w:rPr>
        <w:t>3,8</w:t>
      </w:r>
      <w:r w:rsidRPr="00025B8B">
        <w:rPr>
          <w:rFonts w:ascii="Times New Roman" w:hAnsi="Times New Roman"/>
          <w:color w:val="000000" w:themeColor="text1"/>
          <w:sz w:val="24"/>
          <w:szCs w:val="24"/>
        </w:rPr>
        <w:t>=48.93,</w:t>
      </w:r>
      <w:r w:rsidRPr="00025B8B">
        <w:rPr>
          <w:color w:val="000000" w:themeColor="text1"/>
        </w:rPr>
        <w:t xml:space="preserve"> </w:t>
      </w:r>
      <w:r w:rsidRPr="00025B8B">
        <w:rPr>
          <w:rFonts w:ascii="Times New Roman" w:hAnsi="Times New Roman"/>
          <w:i/>
          <w:iCs/>
          <w:color w:val="000000" w:themeColor="text1"/>
          <w:sz w:val="24"/>
          <w:szCs w:val="24"/>
        </w:rPr>
        <w:t>p</w:t>
      </w:r>
      <w:r w:rsidRPr="00025B8B">
        <w:rPr>
          <w:rFonts w:ascii="Times New Roman" w:hAnsi="Times New Roman"/>
          <w:color w:val="000000" w:themeColor="text1"/>
          <w:sz w:val="24"/>
          <w:szCs w:val="24"/>
        </w:rPr>
        <w:t xml:space="preserve">&lt;0.001) gene abundances increased 14-fold in the </w:t>
      </w:r>
      <w:r w:rsidRPr="00025B8B">
        <w:rPr>
          <w:rFonts w:ascii="Times New Roman" w:hAnsi="Times New Roman" w:hint="eastAsia"/>
          <w:color w:val="000000" w:themeColor="text1"/>
          <w:sz w:val="24"/>
          <w:szCs w:val="24"/>
        </w:rPr>
        <w:t>glyphosate</w:t>
      </w:r>
      <w:r w:rsidRPr="00025B8B">
        <w:rPr>
          <w:rFonts w:ascii="Times New Roman" w:hAnsi="Times New Roman"/>
          <w:color w:val="000000" w:themeColor="text1"/>
          <w:sz w:val="24"/>
          <w:szCs w:val="24"/>
        </w:rPr>
        <w:t xml:space="preserve"> treatment </w:t>
      </w:r>
      <w:r w:rsidRPr="00025B8B">
        <w:rPr>
          <w:rFonts w:ascii="Times New Roman" w:hAnsi="Times New Roman"/>
          <w:color w:val="000000" w:themeColor="text1"/>
          <w:sz w:val="24"/>
          <w:szCs w:val="24"/>
        </w:rPr>
        <w:lastRenderedPageBreak/>
        <w:t>(60d exposure; E</w:t>
      </w:r>
      <w:r w:rsidRPr="00025B8B">
        <w:rPr>
          <w:rFonts w:ascii="Times New Roman" w:hAnsi="Times New Roman"/>
          <w:color w:val="000000" w:themeColor="text1"/>
          <w:kern w:val="0"/>
          <w:sz w:val="24"/>
          <w:szCs w:val="24"/>
        </w:rPr>
        <w:t>xtended Data</w:t>
      </w:r>
      <w:r w:rsidRPr="00025B8B">
        <w:rPr>
          <w:rFonts w:ascii="Times New Roman" w:hAnsi="Times New Roman"/>
          <w:color w:val="000000" w:themeColor="text1"/>
          <w:sz w:val="24"/>
          <w:szCs w:val="24"/>
        </w:rPr>
        <w:t xml:space="preserve"> Fig. 7). The</w:t>
      </w:r>
      <w:r w:rsidRPr="00025B8B">
        <w:rPr>
          <w:rFonts w:ascii="Times New Roman" w:hAnsi="Times New Roman"/>
          <w:color w:val="000000" w:themeColor="text1"/>
          <w:sz w:val="24"/>
        </w:rPr>
        <w:t xml:space="preserve"> diversity of both ARGs and MGEs (</w:t>
      </w:r>
      <w:r w:rsidRPr="00025B8B">
        <w:rPr>
          <w:rFonts w:ascii="Times New Roman" w:hAnsi="Times New Roman"/>
          <w:color w:val="000000" w:themeColor="text1"/>
          <w:sz w:val="24"/>
          <w:szCs w:val="28"/>
        </w:rPr>
        <w:t>richness and Chao1 index</w:t>
      </w:r>
      <w:r w:rsidRPr="00025B8B">
        <w:rPr>
          <w:rFonts w:ascii="Times New Roman" w:hAnsi="Times New Roman"/>
          <w:color w:val="000000" w:themeColor="text1"/>
          <w:sz w:val="24"/>
        </w:rPr>
        <w:t xml:space="preserve">) showed increasing trends, and </w:t>
      </w:r>
      <w:r w:rsidRPr="00025B8B">
        <w:rPr>
          <w:rFonts w:ascii="Times New Roman" w:hAnsi="Times New Roman"/>
          <w:color w:val="000000" w:themeColor="text1"/>
          <w:sz w:val="24"/>
          <w:szCs w:val="24"/>
        </w:rPr>
        <w:t xml:space="preserve">the structure of resistome and mobilome shifted under herbicide exposure (NMDS and Bray-Curtis; Adonis test, </w:t>
      </w:r>
      <w:r w:rsidRPr="00025B8B">
        <w:rPr>
          <w:rFonts w:ascii="Times New Roman" w:hAnsi="Times New Roman"/>
          <w:i/>
          <w:color w:val="000000" w:themeColor="text1"/>
          <w:sz w:val="24"/>
          <w:szCs w:val="24"/>
        </w:rPr>
        <w:t>p</w:t>
      </w:r>
      <w:r w:rsidRPr="00025B8B">
        <w:rPr>
          <w:rFonts w:ascii="Times New Roman" w:hAnsi="Times New Roman"/>
          <w:color w:val="000000" w:themeColor="text1"/>
          <w:sz w:val="24"/>
          <w:szCs w:val="24"/>
        </w:rPr>
        <w:t>&lt;0.05, E</w:t>
      </w:r>
      <w:r w:rsidRPr="00025B8B">
        <w:rPr>
          <w:rFonts w:ascii="Times New Roman" w:hAnsi="Times New Roman"/>
          <w:color w:val="000000" w:themeColor="text1"/>
          <w:kern w:val="0"/>
          <w:sz w:val="24"/>
          <w:szCs w:val="24"/>
        </w:rPr>
        <w:t>xtended Data</w:t>
      </w:r>
      <w:r w:rsidRPr="00025B8B">
        <w:rPr>
          <w:rFonts w:ascii="Times New Roman" w:hAnsi="Times New Roman"/>
          <w:color w:val="000000" w:themeColor="text1"/>
          <w:sz w:val="24"/>
          <w:szCs w:val="24"/>
        </w:rPr>
        <w:t xml:space="preserve"> Fig. 8). Overall, ARG and MGE abundances were positively correlated (E</w:t>
      </w:r>
      <w:r w:rsidRPr="00025B8B">
        <w:rPr>
          <w:rFonts w:ascii="Times New Roman" w:hAnsi="Times New Roman"/>
          <w:color w:val="000000" w:themeColor="text1"/>
          <w:kern w:val="0"/>
          <w:sz w:val="24"/>
          <w:szCs w:val="24"/>
        </w:rPr>
        <w:t>xtended Data</w:t>
      </w:r>
      <w:r w:rsidRPr="00025B8B">
        <w:rPr>
          <w:rFonts w:ascii="Times New Roman" w:hAnsi="Times New Roman"/>
          <w:color w:val="000000" w:themeColor="text1"/>
          <w:sz w:val="24"/>
          <w:szCs w:val="24"/>
        </w:rPr>
        <w:t xml:space="preserve"> Fig. 9). Qualitatively similar results were obtained using quantitative PCR targeting a subset of ARGs and MGEs (for full description see</w:t>
      </w:r>
      <w:r w:rsidRPr="00025B8B">
        <w:rPr>
          <w:rFonts w:ascii="Times New Roman" w:hAnsi="Times New Roman"/>
          <w:color w:val="000000" w:themeColor="text1"/>
          <w:sz w:val="24"/>
        </w:rPr>
        <w:t xml:space="preserve"> Supplementary data1 </w:t>
      </w:r>
      <w:r w:rsidRPr="00025B8B">
        <w:rPr>
          <w:rFonts w:ascii="Times New Roman" w:hAnsi="Times New Roman" w:hint="eastAsia"/>
          <w:color w:val="000000" w:themeColor="text1"/>
          <w:sz w:val="24"/>
        </w:rPr>
        <w:t xml:space="preserve">and </w:t>
      </w:r>
      <w:r w:rsidRPr="00025B8B">
        <w:rPr>
          <w:rFonts w:ascii="Times New Roman" w:hAnsi="Times New Roman"/>
          <w:color w:val="000000" w:themeColor="text1"/>
          <w:sz w:val="24"/>
          <w:szCs w:val="24"/>
        </w:rPr>
        <w:t>E</w:t>
      </w:r>
      <w:r w:rsidRPr="00025B8B">
        <w:rPr>
          <w:rFonts w:ascii="Times New Roman" w:hAnsi="Times New Roman"/>
          <w:color w:val="000000" w:themeColor="text1"/>
          <w:kern w:val="0"/>
          <w:sz w:val="24"/>
          <w:szCs w:val="24"/>
        </w:rPr>
        <w:t>xtended Data</w:t>
      </w:r>
      <w:r w:rsidRPr="00025B8B">
        <w:rPr>
          <w:rFonts w:ascii="Times New Roman" w:hAnsi="Times New Roman"/>
          <w:color w:val="000000" w:themeColor="text1"/>
          <w:sz w:val="24"/>
          <w:szCs w:val="24"/>
        </w:rPr>
        <w:t xml:space="preserve"> Fig. 10-12), and a clear increase in the relative abundance of culturable antibiotic-resistant bacteria across various taxa was observed at 30d time point (</w:t>
      </w:r>
      <w:r w:rsidRPr="00025B8B">
        <w:rPr>
          <w:rFonts w:ascii="Times New Roman" w:hAnsi="Times New Roman"/>
          <w:color w:val="000000" w:themeColor="text1"/>
          <w:sz w:val="24"/>
        </w:rPr>
        <w:t>Supplementary data</w:t>
      </w:r>
      <w:r w:rsidRPr="00025B8B">
        <w:rPr>
          <w:rFonts w:ascii="Times New Roman" w:hAnsi="Times New Roman"/>
          <w:color w:val="000000" w:themeColor="text1"/>
          <w:sz w:val="24"/>
          <w:szCs w:val="24"/>
        </w:rPr>
        <w:t xml:space="preserve"> and E</w:t>
      </w:r>
      <w:r w:rsidRPr="00025B8B">
        <w:rPr>
          <w:rFonts w:ascii="Times New Roman" w:hAnsi="Times New Roman"/>
          <w:color w:val="000000" w:themeColor="text1"/>
          <w:kern w:val="0"/>
          <w:sz w:val="24"/>
          <w:szCs w:val="24"/>
        </w:rPr>
        <w:t>xtended Data</w:t>
      </w:r>
      <w:r w:rsidRPr="00025B8B">
        <w:rPr>
          <w:rFonts w:ascii="Times New Roman" w:hAnsi="Times New Roman"/>
          <w:color w:val="000000" w:themeColor="text1"/>
          <w:sz w:val="24"/>
          <w:szCs w:val="24"/>
        </w:rPr>
        <w:t xml:space="preserve"> Fig. 13</w:t>
      </w:r>
      <w:r w:rsidRPr="00025B8B">
        <w:rPr>
          <w:rFonts w:ascii="Times New Roman" w:hAnsi="Times New Roman"/>
          <w:color w:val="000000" w:themeColor="text1"/>
          <w:sz w:val="24"/>
        </w:rPr>
        <w:t>).</w:t>
      </w:r>
      <w:r w:rsidRPr="00025B8B">
        <w:rPr>
          <w:rFonts w:ascii="Times New Roman" w:hAnsi="Times New Roman"/>
          <w:color w:val="000000" w:themeColor="text1"/>
          <w:sz w:val="24"/>
          <w:szCs w:val="24"/>
        </w:rPr>
        <w:t xml:space="preserve"> Together, these results show that herbicide exposure can increase the relative ARG and MGE abundances with glyphosate and glufosinate having relatively stronger effects compared to dicamba.</w:t>
      </w:r>
    </w:p>
    <w:p w:rsidR="005E2EB4" w:rsidRPr="00025B8B" w:rsidRDefault="005E2EB4" w:rsidP="00025D1D">
      <w:pPr>
        <w:spacing w:line="480" w:lineRule="auto"/>
        <w:rPr>
          <w:rFonts w:ascii="Times New Roman" w:hAnsi="Times New Roman"/>
          <w:b/>
          <w:color w:val="000000" w:themeColor="text1"/>
          <w:sz w:val="24"/>
          <w:szCs w:val="24"/>
        </w:rPr>
      </w:pP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b/>
          <w:color w:val="000000" w:themeColor="text1"/>
          <w:sz w:val="24"/>
          <w:szCs w:val="24"/>
        </w:rPr>
        <w:t xml:space="preserve">Herbicides can select for </w:t>
      </w:r>
      <w:r w:rsidRPr="00025B8B">
        <w:rPr>
          <w:rFonts w:ascii="Times New Roman" w:hAnsi="Times New Roman"/>
          <w:b/>
          <w:i/>
          <w:iCs/>
          <w:color w:val="000000" w:themeColor="text1"/>
          <w:sz w:val="24"/>
          <w:szCs w:val="24"/>
        </w:rPr>
        <w:t>de novo</w:t>
      </w:r>
      <w:r w:rsidRPr="00025B8B">
        <w:rPr>
          <w:rFonts w:ascii="Times New Roman" w:hAnsi="Times New Roman"/>
          <w:b/>
          <w:color w:val="000000" w:themeColor="text1"/>
          <w:sz w:val="24"/>
          <w:szCs w:val="24"/>
        </w:rPr>
        <w:t xml:space="preserve"> mutants with high levels of antibiotic resistance</w:t>
      </w:r>
    </w:p>
    <w:p w:rsidR="005E2EB4" w:rsidRPr="00025B8B" w:rsidRDefault="005E2EB4" w:rsidP="00025D1D">
      <w:pPr>
        <w:spacing w:line="480" w:lineRule="auto"/>
        <w:rPr>
          <w:rFonts w:ascii="Times New Roman" w:hAnsi="Times New Roman"/>
          <w:color w:val="000000" w:themeColor="text1"/>
          <w:sz w:val="24"/>
          <w:szCs w:val="24"/>
        </w:rPr>
      </w:pPr>
      <w:r w:rsidRPr="00025B8B">
        <w:rPr>
          <w:rFonts w:ascii="Times New Roman" w:hAnsi="Times New Roman"/>
          <w:color w:val="000000" w:themeColor="text1"/>
          <w:sz w:val="24"/>
          <w:szCs w:val="24"/>
        </w:rPr>
        <w:t>To understand underly</w:t>
      </w:r>
      <w:bookmarkStart w:id="13" w:name="_GoBack"/>
      <w:bookmarkEnd w:id="13"/>
      <w:r w:rsidRPr="00025B8B">
        <w:rPr>
          <w:rFonts w:ascii="Times New Roman" w:hAnsi="Times New Roman"/>
          <w:color w:val="000000" w:themeColor="text1"/>
          <w:sz w:val="24"/>
          <w:szCs w:val="24"/>
        </w:rPr>
        <w:t xml:space="preserve">ing </w:t>
      </w:r>
      <w:r w:rsidRPr="00025B8B">
        <w:rPr>
          <w:rFonts w:ascii="Times New Roman" w:hAnsi="Times New Roman"/>
          <w:color w:val="000000" w:themeColor="text1"/>
          <w:sz w:val="24"/>
          <w:szCs w:val="24"/>
        </w:rPr>
        <w:t xml:space="preserve">mechanisms, we first tested if herbicide exposure selects for </w:t>
      </w:r>
      <w:r w:rsidRPr="00025B8B">
        <w:rPr>
          <w:rFonts w:ascii="Times New Roman" w:hAnsi="Times New Roman"/>
          <w:i/>
          <w:iCs/>
          <w:color w:val="000000" w:themeColor="text1"/>
          <w:sz w:val="24"/>
          <w:szCs w:val="24"/>
        </w:rPr>
        <w:t xml:space="preserve">de novo </w:t>
      </w:r>
      <w:r w:rsidRPr="00025B8B">
        <w:rPr>
          <w:rFonts w:ascii="Times New Roman" w:hAnsi="Times New Roman"/>
          <w:color w:val="000000" w:themeColor="text1"/>
          <w:sz w:val="24"/>
          <w:szCs w:val="24"/>
        </w:rPr>
        <w:t>antibiotic-resistant mutants</w:t>
      </w:r>
      <w:r w:rsidR="00FF342C">
        <w:rPr>
          <w:rFonts w:ascii="Times New Roman" w:hAnsi="Times New Roman"/>
          <w:color w:val="000000" w:themeColor="text1"/>
          <w:sz w:val="24"/>
          <w:szCs w:val="24"/>
        </w:rPr>
        <w:t xml:space="preserve">. Nine different </w:t>
      </w:r>
      <w:r w:rsidR="00FF342C" w:rsidRPr="00090ABD">
        <w:rPr>
          <w:rFonts w:ascii="Times New Roman" w:hAnsi="Times New Roman"/>
          <w:color w:val="000000" w:themeColor="text1"/>
          <w:sz w:val="24"/>
          <w:szCs w:val="24"/>
        </w:rPr>
        <w:t>antibiotics were chosen based on the observed changes in corresponding resistance genes under herbicide selection during the soil microcosm experiment</w:t>
      </w:r>
      <w:r w:rsidRPr="00090ABD">
        <w:rPr>
          <w:rFonts w:ascii="Times New Roman" w:hAnsi="Times New Roman"/>
          <w:color w:val="000000" w:themeColor="text1"/>
          <w:sz w:val="24"/>
          <w:szCs w:val="24"/>
        </w:rPr>
        <w:t xml:space="preserve">. </w:t>
      </w:r>
      <w:r w:rsidRPr="00025B8B">
        <w:rPr>
          <w:rFonts w:ascii="Times New Roman" w:hAnsi="Times New Roman"/>
          <w:color w:val="000000" w:themeColor="text1"/>
          <w:sz w:val="24"/>
          <w:szCs w:val="24"/>
        </w:rPr>
        <w:t xml:space="preserve">Using experimental evolution, we exposed </w:t>
      </w:r>
      <w:r w:rsidRPr="00025B8B">
        <w:rPr>
          <w:rFonts w:ascii="Times New Roman" w:hAnsi="Times New Roman"/>
          <w:i/>
          <w:color w:val="000000" w:themeColor="text1"/>
          <w:sz w:val="24"/>
          <w:szCs w:val="24"/>
        </w:rPr>
        <w:t>E. coli</w:t>
      </w:r>
      <w:r w:rsidRPr="00025B8B">
        <w:rPr>
          <w:rFonts w:ascii="Times New Roman" w:hAnsi="Times New Roman"/>
          <w:color w:val="000000" w:themeColor="text1"/>
          <w:sz w:val="24"/>
          <w:szCs w:val="24"/>
        </w:rPr>
        <w:t xml:space="preserve"> DH5α </w:t>
      </w:r>
      <w:r w:rsidRPr="00025B8B">
        <w:rPr>
          <w:rFonts w:ascii="Times New Roman" w:hAnsi="Times New Roman"/>
          <w:color w:val="000000" w:themeColor="text1"/>
          <w:sz w:val="24"/>
          <w:szCs w:val="24"/>
        </w:rPr>
        <w:t>strain to all three herbicides</w:t>
      </w:r>
      <w:r w:rsidRPr="00025B8B">
        <w:rPr>
          <w:rFonts w:asciiTheme="minorEastAsia" w:hAnsiTheme="minorEastAsia"/>
          <w:color w:val="000000" w:themeColor="text1"/>
          <w:sz w:val="24"/>
          <w:szCs w:val="24"/>
        </w:rPr>
        <w:t xml:space="preserve"> </w:t>
      </w:r>
      <w:r w:rsidRPr="00025B8B">
        <w:rPr>
          <w:rFonts w:ascii="Times New Roman" w:hAnsi="Times New Roman"/>
          <w:color w:val="000000" w:themeColor="text1"/>
          <w:sz w:val="24"/>
          <w:szCs w:val="24"/>
        </w:rPr>
        <w:t>in multiple concentrations (0, 5, 10, 20, 25, and 50 mg/L) for 30 daily serial transfers in liquid LB media. Even though none of the herbicide concentrations had clear effects on</w:t>
      </w:r>
      <w:r w:rsidRPr="00025B8B">
        <w:rPr>
          <w:rFonts w:ascii="Times New Roman" w:hAnsi="Times New Roman"/>
          <w:i/>
          <w:color w:val="000000" w:themeColor="text1"/>
          <w:sz w:val="24"/>
          <w:szCs w:val="24"/>
        </w:rPr>
        <w:t xml:space="preserve"> E. coli</w:t>
      </w:r>
      <w:r w:rsidRPr="00025B8B">
        <w:rPr>
          <w:rFonts w:ascii="Times New Roman" w:hAnsi="Times New Roman"/>
          <w:color w:val="000000" w:themeColor="text1"/>
          <w:sz w:val="24"/>
          <w:szCs w:val="24"/>
        </w:rPr>
        <w:t xml:space="preserve"> DH5α growth (E</w:t>
      </w:r>
      <w:r w:rsidRPr="00025B8B">
        <w:rPr>
          <w:rFonts w:ascii="Times New Roman" w:hAnsi="Times New Roman"/>
          <w:color w:val="000000" w:themeColor="text1"/>
          <w:kern w:val="0"/>
          <w:sz w:val="24"/>
          <w:szCs w:val="24"/>
        </w:rPr>
        <w:t>xtended Data</w:t>
      </w:r>
      <w:r w:rsidRPr="00025B8B">
        <w:rPr>
          <w:rFonts w:ascii="Times New Roman" w:hAnsi="Times New Roman"/>
          <w:color w:val="000000" w:themeColor="text1"/>
          <w:sz w:val="24"/>
          <w:szCs w:val="24"/>
        </w:rPr>
        <w:t xml:space="preserve"> Fig. 14), the frequency of bacteria with enhanced tolerance to gentamycin, streptomycin and amoxicillin increased in all herbicide treatments (herbicide presence: F</w:t>
      </w:r>
      <w:r w:rsidRPr="00025B8B">
        <w:rPr>
          <w:rFonts w:ascii="Times New Roman" w:hAnsi="Times New Roman"/>
          <w:color w:val="000000" w:themeColor="text1"/>
          <w:sz w:val="24"/>
          <w:szCs w:val="24"/>
          <w:vertAlign w:val="subscript"/>
        </w:rPr>
        <w:t>3,62</w:t>
      </w:r>
      <w:r w:rsidRPr="00025B8B">
        <w:rPr>
          <w:rFonts w:ascii="Times New Roman" w:hAnsi="Times New Roman"/>
          <w:color w:val="000000" w:themeColor="text1"/>
          <w:sz w:val="24"/>
          <w:szCs w:val="24"/>
        </w:rPr>
        <w:t xml:space="preserve">=11.778, </w:t>
      </w:r>
      <w:r w:rsidRPr="00025B8B">
        <w:rPr>
          <w:rFonts w:ascii="Times New Roman" w:hAnsi="Times New Roman"/>
          <w:i/>
          <w:color w:val="000000" w:themeColor="text1"/>
          <w:kern w:val="0"/>
          <w:sz w:val="24"/>
          <w:szCs w:val="24"/>
        </w:rPr>
        <w:t>p</w:t>
      </w:r>
      <w:r w:rsidRPr="00025B8B">
        <w:rPr>
          <w:rFonts w:ascii="Times New Roman" w:hAnsi="Times New Roman"/>
          <w:color w:val="000000" w:themeColor="text1"/>
          <w:kern w:val="0"/>
          <w:sz w:val="24"/>
          <w:szCs w:val="24"/>
        </w:rPr>
        <w:t>&lt;0.001</w:t>
      </w:r>
      <w:r w:rsidRPr="00025B8B">
        <w:rPr>
          <w:rFonts w:ascii="Times New Roman" w:hAnsi="Times New Roman"/>
          <w:color w:val="000000" w:themeColor="text1"/>
          <w:sz w:val="24"/>
          <w:szCs w:val="24"/>
        </w:rPr>
        <w:t>; exposure time: F</w:t>
      </w:r>
      <w:r w:rsidRPr="00025B8B">
        <w:rPr>
          <w:rFonts w:ascii="Times New Roman" w:hAnsi="Times New Roman"/>
          <w:color w:val="000000" w:themeColor="text1"/>
          <w:sz w:val="24"/>
          <w:szCs w:val="24"/>
          <w:vertAlign w:val="subscript"/>
        </w:rPr>
        <w:t>4,59</w:t>
      </w:r>
      <w:r w:rsidRPr="00025B8B">
        <w:rPr>
          <w:rFonts w:ascii="Times New Roman" w:hAnsi="Times New Roman"/>
          <w:color w:val="000000" w:themeColor="text1"/>
          <w:sz w:val="24"/>
          <w:szCs w:val="24"/>
        </w:rPr>
        <w:t>=</w:t>
      </w:r>
      <w:r w:rsidRPr="00025B8B">
        <w:rPr>
          <w:color w:val="000000" w:themeColor="text1"/>
        </w:rPr>
        <w:t xml:space="preserve"> </w:t>
      </w:r>
      <w:r w:rsidRPr="00025B8B">
        <w:rPr>
          <w:rFonts w:ascii="Times New Roman" w:hAnsi="Times New Roman"/>
          <w:color w:val="000000" w:themeColor="text1"/>
          <w:sz w:val="24"/>
          <w:szCs w:val="24"/>
        </w:rPr>
        <w:t>8.472,</w:t>
      </w:r>
      <w:r w:rsidRPr="00025B8B">
        <w:rPr>
          <w:rFonts w:ascii="Times New Roman" w:hAnsi="Times New Roman"/>
          <w:i/>
          <w:color w:val="000000" w:themeColor="text1"/>
          <w:kern w:val="0"/>
          <w:sz w:val="24"/>
          <w:szCs w:val="24"/>
        </w:rPr>
        <w:t xml:space="preserve"> p</w:t>
      </w:r>
      <w:r w:rsidRPr="00025B8B">
        <w:rPr>
          <w:rFonts w:ascii="Times New Roman" w:hAnsi="Times New Roman"/>
          <w:color w:val="000000" w:themeColor="text1"/>
          <w:kern w:val="0"/>
          <w:sz w:val="24"/>
          <w:szCs w:val="24"/>
        </w:rPr>
        <w:t>&lt;0.001</w:t>
      </w:r>
      <w:r w:rsidRPr="00025B8B">
        <w:rPr>
          <w:rFonts w:ascii="Times New Roman" w:hAnsi="Times New Roman"/>
          <w:color w:val="000000" w:themeColor="text1"/>
          <w:sz w:val="24"/>
          <w:szCs w:val="24"/>
        </w:rPr>
        <w:t>; herbicide concentration: F</w:t>
      </w:r>
      <w:r w:rsidRPr="00025B8B">
        <w:rPr>
          <w:rFonts w:ascii="Times New Roman" w:hAnsi="Times New Roman"/>
          <w:color w:val="000000" w:themeColor="text1"/>
          <w:sz w:val="24"/>
          <w:szCs w:val="24"/>
          <w:vertAlign w:val="subscript"/>
        </w:rPr>
        <w:t>3,62</w:t>
      </w:r>
      <w:r w:rsidRPr="00025B8B">
        <w:rPr>
          <w:rFonts w:ascii="Times New Roman" w:hAnsi="Times New Roman"/>
          <w:color w:val="000000" w:themeColor="text1"/>
          <w:sz w:val="24"/>
          <w:szCs w:val="24"/>
        </w:rPr>
        <w:t xml:space="preserve">=2.326, </w:t>
      </w:r>
      <w:r w:rsidRPr="00025B8B">
        <w:rPr>
          <w:rFonts w:ascii="Times New Roman" w:hAnsi="Times New Roman"/>
          <w:i/>
          <w:iCs/>
          <w:color w:val="000000" w:themeColor="text1"/>
          <w:sz w:val="24"/>
          <w:szCs w:val="24"/>
        </w:rPr>
        <w:t>p</w:t>
      </w:r>
      <w:r w:rsidRPr="00025B8B">
        <w:rPr>
          <w:rFonts w:ascii="Times New Roman" w:hAnsi="Times New Roman"/>
          <w:color w:val="000000" w:themeColor="text1"/>
          <w:sz w:val="24"/>
          <w:szCs w:val="24"/>
        </w:rPr>
        <w:t>=0.083; E</w:t>
      </w:r>
      <w:r w:rsidRPr="00025B8B">
        <w:rPr>
          <w:rFonts w:ascii="Times New Roman" w:hAnsi="Times New Roman"/>
          <w:color w:val="000000" w:themeColor="text1"/>
          <w:kern w:val="0"/>
          <w:sz w:val="24"/>
          <w:szCs w:val="24"/>
        </w:rPr>
        <w:t>xtended Data</w:t>
      </w:r>
      <w:r w:rsidRPr="00025B8B">
        <w:rPr>
          <w:rFonts w:ascii="Times New Roman" w:hAnsi="Times New Roman"/>
          <w:color w:val="000000" w:themeColor="text1"/>
          <w:sz w:val="24"/>
          <w:szCs w:val="24"/>
        </w:rPr>
        <w:t xml:space="preserve"> Fig. 15). </w:t>
      </w:r>
      <w:bookmarkStart w:id="14" w:name="_Hlk60500018"/>
      <w:r w:rsidRPr="00025B8B">
        <w:rPr>
          <w:rFonts w:ascii="Times New Roman" w:hAnsi="Times New Roman" w:hint="eastAsia"/>
          <w:color w:val="000000" w:themeColor="text1"/>
          <w:sz w:val="24"/>
          <w:szCs w:val="24"/>
        </w:rPr>
        <w:t>T</w:t>
      </w:r>
      <w:r w:rsidRPr="00025B8B">
        <w:rPr>
          <w:rFonts w:ascii="Times New Roman" w:hAnsi="Times New Roman"/>
          <w:color w:val="000000" w:themeColor="text1"/>
          <w:sz w:val="24"/>
          <w:szCs w:val="24"/>
        </w:rPr>
        <w:t xml:space="preserve">he frequency of bacteria with increased resistance to </w:t>
      </w:r>
      <w:r w:rsidRPr="00025B8B">
        <w:rPr>
          <w:rFonts w:ascii="Times New Roman" w:hAnsi="Times New Roman" w:hint="eastAsia"/>
          <w:color w:val="000000" w:themeColor="text1"/>
          <w:sz w:val="24"/>
          <w:szCs w:val="24"/>
        </w:rPr>
        <w:t>o</w:t>
      </w:r>
      <w:r w:rsidRPr="00025B8B">
        <w:rPr>
          <w:rFonts w:ascii="Times New Roman" w:hAnsi="Times New Roman"/>
          <w:color w:val="000000" w:themeColor="text1"/>
          <w:sz w:val="24"/>
          <w:szCs w:val="24"/>
        </w:rPr>
        <w:t xml:space="preserve">ther </w:t>
      </w:r>
      <w:r w:rsidRPr="00025B8B">
        <w:rPr>
          <w:rFonts w:ascii="Times New Roman" w:hAnsi="Times New Roman" w:hint="eastAsia"/>
          <w:color w:val="000000" w:themeColor="text1"/>
          <w:sz w:val="24"/>
          <w:szCs w:val="24"/>
        </w:rPr>
        <w:t>antibiotics</w:t>
      </w:r>
      <w:r w:rsidRPr="00025B8B">
        <w:rPr>
          <w:rFonts w:ascii="Times New Roman" w:hAnsi="Times New Roman"/>
          <w:color w:val="000000" w:themeColor="text1"/>
          <w:sz w:val="24"/>
          <w:szCs w:val="24"/>
        </w:rPr>
        <w:t xml:space="preserve"> (ampicillin, chloramphenicol, </w:t>
      </w:r>
      <w:r w:rsidRPr="00025B8B">
        <w:rPr>
          <w:rFonts w:ascii="Times New Roman" w:hAnsi="Times New Roman"/>
          <w:color w:val="000000" w:themeColor="text1"/>
          <w:sz w:val="24"/>
          <w:szCs w:val="24"/>
        </w:rPr>
        <w:lastRenderedPageBreak/>
        <w:t xml:space="preserve">kanamycin, tetracycline, erythromycin </w:t>
      </w:r>
      <w:r w:rsidRPr="00025B8B">
        <w:rPr>
          <w:rFonts w:ascii="Times New Roman" w:hAnsi="Times New Roman" w:hint="eastAsia"/>
          <w:color w:val="000000" w:themeColor="text1"/>
          <w:sz w:val="24"/>
          <w:szCs w:val="24"/>
        </w:rPr>
        <w:t>and</w:t>
      </w:r>
      <w:r w:rsidRPr="00025B8B">
        <w:rPr>
          <w:rFonts w:ascii="Times New Roman" w:hAnsi="Times New Roman"/>
          <w:color w:val="000000" w:themeColor="text1"/>
          <w:sz w:val="24"/>
          <w:szCs w:val="24"/>
        </w:rPr>
        <w:t xml:space="preserve"> rifampicin) </w:t>
      </w:r>
      <w:r w:rsidRPr="00025B8B">
        <w:rPr>
          <w:rFonts w:ascii="Times New Roman" w:hAnsi="Times New Roman" w:hint="eastAsia"/>
          <w:color w:val="000000" w:themeColor="text1"/>
          <w:sz w:val="24"/>
          <w:szCs w:val="24"/>
        </w:rPr>
        <w:t xml:space="preserve">did not </w:t>
      </w:r>
      <w:r w:rsidRPr="00025B8B">
        <w:rPr>
          <w:rFonts w:ascii="Times New Roman" w:hAnsi="Times New Roman"/>
          <w:color w:val="000000" w:themeColor="text1"/>
          <w:sz w:val="24"/>
          <w:szCs w:val="24"/>
        </w:rPr>
        <w:t>change in any of the herbicide treatments</w:t>
      </w:r>
      <w:bookmarkEnd w:id="14"/>
      <w:r w:rsidRPr="00025B8B">
        <w:rPr>
          <w:rFonts w:ascii="Times New Roman" w:hAnsi="Times New Roman"/>
          <w:color w:val="000000" w:themeColor="text1"/>
          <w:sz w:val="24"/>
          <w:szCs w:val="24"/>
        </w:rPr>
        <w:t>. Specifically, dicamba exposure enriched bacteria that had 5-fold higher antibiotic resistance compared to glyphosate and glufosinate treatments (Extended Data Fig. 16). To explore this in more detail, we randomly isolated three colonies (one per replicate) that showed up to 19-fold increases in antibiotic MIC</w:t>
      </w:r>
      <w:r w:rsidRPr="00025B8B">
        <w:rPr>
          <w:rFonts w:ascii="Times New Roman" w:hAnsi="Times New Roman"/>
          <w:color w:val="000000" w:themeColor="text1"/>
          <w:sz w:val="24"/>
          <w:szCs w:val="24"/>
          <w:vertAlign w:val="subscript"/>
        </w:rPr>
        <w:t>90</w:t>
      </w:r>
      <w:r w:rsidRPr="00025B8B">
        <w:rPr>
          <w:rFonts w:ascii="Times New Roman" w:hAnsi="Times New Roman"/>
          <w:color w:val="000000" w:themeColor="text1"/>
          <w:sz w:val="24"/>
          <w:szCs w:val="24"/>
        </w:rPr>
        <w:t xml:space="preserve"> (Fig. 3</w:t>
      </w:r>
      <w:r w:rsidRPr="00025B8B">
        <w:rPr>
          <w:rFonts w:ascii="Times New Roman" w:hAnsi="Times New Roman" w:hint="eastAsia"/>
          <w:color w:val="000000" w:themeColor="text1"/>
          <w:sz w:val="24"/>
          <w:szCs w:val="24"/>
        </w:rPr>
        <w:t>a</w:t>
      </w:r>
      <w:r w:rsidRPr="00025B8B">
        <w:rPr>
          <w:rFonts w:ascii="Times New Roman" w:hAnsi="Times New Roman"/>
          <w:color w:val="000000" w:themeColor="text1"/>
          <w:sz w:val="24"/>
          <w:szCs w:val="24"/>
        </w:rPr>
        <w:t>) from all</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herbicide treatments (5 mg/mL concentration) using gentamycin (glyphosate treatment; labeled </w:t>
      </w:r>
      <w:r w:rsidRPr="00025B8B">
        <w:rPr>
          <w:rFonts w:ascii="Times New Roman" w:hAnsi="Times New Roman" w:hint="eastAsia"/>
          <w:color w:val="000000" w:themeColor="text1"/>
          <w:sz w:val="24"/>
          <w:szCs w:val="24"/>
        </w:rPr>
        <w:t>Gly-gen</w:t>
      </w:r>
      <w:r w:rsidRPr="00025B8B">
        <w:rPr>
          <w:rFonts w:ascii="Times New Roman" w:hAnsi="Times New Roman"/>
          <w:color w:val="000000" w:themeColor="text1"/>
          <w:sz w:val="24"/>
          <w:szCs w:val="24"/>
        </w:rPr>
        <w:t>;), streptomycin</w:t>
      </w:r>
      <w:bookmarkStart w:id="15" w:name="OLE_LINK155"/>
      <w:bookmarkStart w:id="16" w:name="OLE_LINK156"/>
      <w:r w:rsidRPr="00025B8B">
        <w:rPr>
          <w:rFonts w:ascii="Times New Roman" w:hAnsi="Times New Roman"/>
          <w:color w:val="000000" w:themeColor="text1"/>
          <w:sz w:val="24"/>
          <w:szCs w:val="24"/>
        </w:rPr>
        <w:t xml:space="preserve"> (</w:t>
      </w:r>
      <w:bookmarkEnd w:id="15"/>
      <w:bookmarkEnd w:id="16"/>
      <w:r w:rsidRPr="00025B8B">
        <w:rPr>
          <w:rFonts w:ascii="Times New Roman" w:hAnsi="Times New Roman" w:hint="eastAsia"/>
          <w:color w:val="000000" w:themeColor="text1"/>
          <w:sz w:val="24"/>
          <w:szCs w:val="24"/>
        </w:rPr>
        <w:t>glufosinate</w:t>
      </w:r>
      <w:r w:rsidRPr="00025B8B">
        <w:rPr>
          <w:rFonts w:ascii="Times New Roman" w:hAnsi="Times New Roman"/>
          <w:color w:val="000000" w:themeColor="text1"/>
          <w:sz w:val="24"/>
          <w:szCs w:val="24"/>
        </w:rPr>
        <w:t xml:space="preserve"> treatment; labeled </w:t>
      </w:r>
      <w:r w:rsidRPr="00025B8B">
        <w:rPr>
          <w:rFonts w:ascii="Times New Roman" w:hAnsi="Times New Roman" w:hint="eastAsia"/>
          <w:color w:val="000000" w:themeColor="text1"/>
          <w:sz w:val="24"/>
          <w:szCs w:val="24"/>
        </w:rPr>
        <w:t>Glu</w:t>
      </w:r>
      <w:r w:rsidRPr="00025B8B">
        <w:rPr>
          <w:rFonts w:ascii="Times New Roman" w:hAnsi="Times New Roman"/>
          <w:color w:val="000000" w:themeColor="text1"/>
          <w:sz w:val="24"/>
          <w:szCs w:val="24"/>
        </w:rPr>
        <w:t>-</w:t>
      </w:r>
      <w:r w:rsidRPr="00025B8B">
        <w:rPr>
          <w:rFonts w:ascii="Times New Roman" w:hAnsi="Times New Roman" w:hint="eastAsia"/>
          <w:color w:val="000000" w:themeColor="text1"/>
          <w:sz w:val="24"/>
          <w:szCs w:val="24"/>
        </w:rPr>
        <w:t>s</w:t>
      </w:r>
      <w:r w:rsidRPr="00025B8B">
        <w:rPr>
          <w:rFonts w:ascii="Times New Roman" w:hAnsi="Times New Roman"/>
          <w:color w:val="000000" w:themeColor="text1"/>
          <w:sz w:val="24"/>
          <w:szCs w:val="24"/>
        </w:rPr>
        <w:t xml:space="preserve">tr) and amoxicillin (dicamba treatment; labeled </w:t>
      </w:r>
      <w:r w:rsidRPr="00025B8B">
        <w:rPr>
          <w:rFonts w:ascii="Times New Roman" w:hAnsi="Times New Roman" w:hint="eastAsia"/>
          <w:color w:val="000000" w:themeColor="text1"/>
          <w:sz w:val="24"/>
          <w:szCs w:val="24"/>
        </w:rPr>
        <w:t>Dic</w:t>
      </w:r>
      <w:r w:rsidRPr="00025B8B">
        <w:rPr>
          <w:rFonts w:ascii="Times New Roman" w:hAnsi="Times New Roman"/>
          <w:color w:val="000000" w:themeColor="text1"/>
          <w:sz w:val="24"/>
          <w:szCs w:val="24"/>
        </w:rPr>
        <w:t>-</w:t>
      </w:r>
      <w:r w:rsidRPr="00025B8B">
        <w:rPr>
          <w:rFonts w:ascii="Times New Roman" w:hAnsi="Times New Roman" w:hint="eastAsia"/>
          <w:color w:val="000000" w:themeColor="text1"/>
          <w:sz w:val="24"/>
          <w:szCs w:val="24"/>
        </w:rPr>
        <w:t>a</w:t>
      </w:r>
      <w:r w:rsidRPr="00025B8B">
        <w:rPr>
          <w:rFonts w:ascii="Times New Roman" w:hAnsi="Times New Roman"/>
          <w:color w:val="000000" w:themeColor="text1"/>
          <w:sz w:val="24"/>
          <w:szCs w:val="24"/>
        </w:rPr>
        <w:t>mo) selective plates. All evolved clones showed elevated growth after 12 hour</w:t>
      </w:r>
      <w:r w:rsidRPr="00025B8B">
        <w:rPr>
          <w:rFonts w:ascii="Times New Roman" w:hAnsi="Times New Roman" w:hint="eastAsia"/>
          <w:color w:val="000000" w:themeColor="text1"/>
          <w:sz w:val="24"/>
          <w:szCs w:val="24"/>
        </w:rPr>
        <w:t>s</w:t>
      </w:r>
      <w:r w:rsidRPr="00025B8B">
        <w:rPr>
          <w:rFonts w:ascii="Times New Roman" w:hAnsi="Times New Roman"/>
          <w:color w:val="000000" w:themeColor="text1"/>
          <w:sz w:val="24"/>
          <w:szCs w:val="24"/>
        </w:rPr>
        <w:t xml:space="preserve"> incubation in</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high dicamba (100 mg/L), glyphosate (500 mg/L) and </w:t>
      </w:r>
      <w:r w:rsidRPr="00025B8B">
        <w:rPr>
          <w:rFonts w:ascii="Times New Roman" w:hAnsi="Times New Roman" w:hint="eastAsia"/>
          <w:color w:val="000000" w:themeColor="text1"/>
          <w:sz w:val="24"/>
          <w:szCs w:val="24"/>
        </w:rPr>
        <w:t xml:space="preserve">glufosinate </w:t>
      </w:r>
      <w:r w:rsidRPr="00025B8B">
        <w:rPr>
          <w:rFonts w:ascii="Times New Roman" w:hAnsi="Times New Roman"/>
          <w:color w:val="000000" w:themeColor="text1"/>
          <w:sz w:val="24"/>
          <w:szCs w:val="24"/>
        </w:rPr>
        <w:t xml:space="preserve">(3500 </w:t>
      </w:r>
      <w:r w:rsidRPr="00025B8B">
        <w:rPr>
          <w:rFonts w:ascii="Times New Roman" w:hAnsi="Times New Roman" w:hint="eastAsia"/>
          <w:color w:val="000000" w:themeColor="text1"/>
          <w:sz w:val="24"/>
          <w:szCs w:val="24"/>
        </w:rPr>
        <w:t>mg</w:t>
      </w:r>
      <w:r w:rsidRPr="00025B8B">
        <w:rPr>
          <w:rFonts w:ascii="Times New Roman" w:hAnsi="Times New Roman"/>
          <w:color w:val="000000" w:themeColor="text1"/>
          <w:sz w:val="24"/>
          <w:szCs w:val="24"/>
        </w:rPr>
        <w:t xml:space="preserve">/L) concentrations relative </w:t>
      </w:r>
      <w:r w:rsidRPr="00025B8B">
        <w:rPr>
          <w:rFonts w:ascii="Times New Roman" w:hAnsi="Times New Roman" w:hint="eastAsia"/>
          <w:color w:val="000000" w:themeColor="text1"/>
          <w:sz w:val="24"/>
          <w:szCs w:val="24"/>
        </w:rPr>
        <w:t>to</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the</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ancest</w:t>
      </w:r>
      <w:r w:rsidRPr="00025B8B">
        <w:rPr>
          <w:rFonts w:ascii="Times New Roman" w:hAnsi="Times New Roman"/>
          <w:color w:val="000000" w:themeColor="text1"/>
          <w:sz w:val="24"/>
          <w:szCs w:val="24"/>
        </w:rPr>
        <w:t xml:space="preserve">ral strain, indicative of increased herbicide tolerance (Fig. 3b and </w:t>
      </w:r>
      <w:r w:rsidRPr="00025B8B">
        <w:rPr>
          <w:rFonts w:ascii="Times New Roman" w:hAnsi="Times New Roman" w:hint="eastAsia"/>
          <w:color w:val="000000" w:themeColor="text1"/>
          <w:sz w:val="24"/>
          <w:szCs w:val="24"/>
        </w:rPr>
        <w:t>Supplementary</w:t>
      </w:r>
      <w:r w:rsidRPr="00025B8B">
        <w:rPr>
          <w:rFonts w:ascii="Times New Roman" w:hAnsi="Times New Roman"/>
          <w:color w:val="000000" w:themeColor="text1"/>
          <w:sz w:val="24"/>
          <w:szCs w:val="24"/>
        </w:rPr>
        <w:t xml:space="preserve"> Table </w:t>
      </w:r>
      <w:r w:rsidRPr="00025B8B">
        <w:rPr>
          <w:rFonts w:ascii="Times New Roman" w:hAnsi="Times New Roman" w:hint="eastAsia"/>
          <w:color w:val="000000" w:themeColor="text1"/>
          <w:sz w:val="24"/>
          <w:szCs w:val="24"/>
        </w:rPr>
        <w:t>S</w:t>
      </w:r>
      <w:r w:rsidRPr="00025B8B">
        <w:rPr>
          <w:rFonts w:ascii="Times New Roman" w:hAnsi="Times New Roman"/>
          <w:color w:val="000000" w:themeColor="text1"/>
          <w:sz w:val="24"/>
          <w:szCs w:val="24"/>
        </w:rPr>
        <w:t>3). To understand the molecular basis of herbicide and antibiotics tolerance evolution, all clones were genome sequenced. Majority of the variants had nonsynonymous SNPs with predicted changes in encoding proteins (</w:t>
      </w:r>
      <w:r w:rsidRPr="00025B8B">
        <w:rPr>
          <w:rFonts w:ascii="Times New Roman" w:hAnsi="Times New Roman" w:hint="eastAsia"/>
          <w:color w:val="000000" w:themeColor="text1"/>
          <w:sz w:val="24"/>
          <w:szCs w:val="24"/>
        </w:rPr>
        <w:t>Supplementary</w:t>
      </w:r>
      <w:r w:rsidRPr="00025B8B">
        <w:rPr>
          <w:rFonts w:ascii="Times New Roman" w:hAnsi="Times New Roman"/>
          <w:color w:val="000000" w:themeColor="text1"/>
          <w:sz w:val="24"/>
          <w:szCs w:val="24"/>
        </w:rPr>
        <w:t xml:space="preserve"> Table S4). Glyphosate-exposed clones had unique mutations in </w:t>
      </w:r>
      <w:r w:rsidRPr="00025B8B">
        <w:rPr>
          <w:rFonts w:ascii="Times New Roman" w:hAnsi="Times New Roman"/>
          <w:i/>
          <w:iCs/>
          <w:color w:val="000000" w:themeColor="text1"/>
          <w:sz w:val="24"/>
          <w:szCs w:val="24"/>
        </w:rPr>
        <w:t xml:space="preserve">rspL </w:t>
      </w:r>
      <w:r w:rsidRPr="00025B8B">
        <w:rPr>
          <w:rFonts w:ascii="Times New Roman" w:hAnsi="Times New Roman"/>
          <w:color w:val="000000" w:themeColor="text1"/>
          <w:sz w:val="24"/>
          <w:szCs w:val="24"/>
        </w:rPr>
        <w:t>(30S ribosomal protein)</w:t>
      </w:r>
      <w:r w:rsidRPr="00025B8B">
        <w:rPr>
          <w:rFonts w:ascii="Times New Roman" w:hAnsi="Times New Roman"/>
          <w:i/>
          <w:iCs/>
          <w:color w:val="000000" w:themeColor="text1"/>
          <w:sz w:val="24"/>
          <w:szCs w:val="24"/>
        </w:rPr>
        <w:t>,</w:t>
      </w:r>
      <w:r w:rsidRPr="00025B8B">
        <w:rPr>
          <w:rFonts w:ascii="Times New Roman" w:hAnsi="Times New Roman"/>
          <w:color w:val="000000" w:themeColor="text1"/>
          <w:sz w:val="24"/>
          <w:szCs w:val="24"/>
        </w:rPr>
        <w:t xml:space="preserve"> </w:t>
      </w:r>
      <w:r w:rsidRPr="00025B8B">
        <w:rPr>
          <w:rFonts w:ascii="Times New Roman" w:hAnsi="Times New Roman"/>
          <w:i/>
          <w:iCs/>
          <w:color w:val="000000" w:themeColor="text1"/>
          <w:sz w:val="24"/>
          <w:szCs w:val="24"/>
        </w:rPr>
        <w:t>fusA</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E</w:t>
      </w:r>
      <w:r w:rsidRPr="00025B8B">
        <w:rPr>
          <w:rFonts w:ascii="Times New Roman" w:hAnsi="Times New Roman"/>
          <w:color w:val="000000" w:themeColor="text1"/>
          <w:sz w:val="24"/>
          <w:szCs w:val="24"/>
        </w:rPr>
        <w:t xml:space="preserve">longation factor G), </w:t>
      </w:r>
      <w:r w:rsidRPr="00025B8B">
        <w:rPr>
          <w:rFonts w:ascii="Times New Roman" w:hAnsi="Times New Roman"/>
          <w:i/>
          <w:iCs/>
          <w:color w:val="000000" w:themeColor="text1"/>
          <w:sz w:val="24"/>
          <w:szCs w:val="24"/>
        </w:rPr>
        <w:t>aidA-I</w:t>
      </w:r>
      <w:r w:rsidRPr="00025B8B">
        <w:rPr>
          <w:rFonts w:ascii="Times New Roman" w:hAnsi="Times New Roman"/>
          <w:color w:val="000000" w:themeColor="text1"/>
          <w:sz w:val="24"/>
          <w:szCs w:val="24"/>
        </w:rPr>
        <w:t xml:space="preserve"> (AIDA-I autotransporter) and </w:t>
      </w:r>
      <w:r w:rsidRPr="00025B8B">
        <w:rPr>
          <w:rFonts w:ascii="Times New Roman" w:hAnsi="Times New Roman"/>
          <w:i/>
          <w:color w:val="000000" w:themeColor="text1"/>
          <w:sz w:val="24"/>
          <w:szCs w:val="24"/>
        </w:rPr>
        <w:t xml:space="preserve">cusA </w:t>
      </w:r>
      <w:r w:rsidRPr="00025B8B">
        <w:rPr>
          <w:rFonts w:ascii="Times New Roman" w:hAnsi="Times New Roman"/>
          <w:color w:val="000000" w:themeColor="text1"/>
          <w:sz w:val="24"/>
          <w:szCs w:val="24"/>
        </w:rPr>
        <w:t>(Cation efflux system protein) genes, which have previously been linked to resistance against aminoglycosides (streptomycin and</w:t>
      </w:r>
      <w:r w:rsidRPr="00025B8B">
        <w:rPr>
          <w:color w:val="000000" w:themeColor="text1"/>
        </w:rPr>
        <w:t xml:space="preserve"> </w:t>
      </w:r>
      <w:r w:rsidRPr="00025B8B">
        <w:rPr>
          <w:rFonts w:ascii="Times New Roman" w:hAnsi="Times New Roman"/>
          <w:color w:val="000000" w:themeColor="text1"/>
          <w:sz w:val="24"/>
          <w:szCs w:val="24"/>
        </w:rPr>
        <w:t xml:space="preserve">ampicillin) </w:t>
      </w:r>
      <w:r w:rsidRPr="00025B8B">
        <w:rPr>
          <w:rFonts w:ascii="Times New Roman" w:hAnsi="Times New Roman"/>
          <w:noProof/>
          <w:color w:val="000000" w:themeColor="text1"/>
          <w:sz w:val="24"/>
          <w:szCs w:val="24"/>
        </w:rPr>
        <w:t>(Fischer, et al. 1977; Carr, et al. 2006; Ibacache-Quiroga, et al. 2018)</w:t>
      </w:r>
      <w:r w:rsidRPr="00025B8B">
        <w:rPr>
          <w:rFonts w:ascii="Times New Roman" w:hAnsi="Times New Roman"/>
          <w:color w:val="000000" w:themeColor="text1"/>
          <w:sz w:val="24"/>
          <w:szCs w:val="24"/>
        </w:rPr>
        <w:t xml:space="preserve">, aminopenicillins </w:t>
      </w:r>
      <w:r w:rsidRPr="00025B8B">
        <w:rPr>
          <w:rFonts w:ascii="Times New Roman" w:hAnsi="Times New Roman"/>
          <w:noProof/>
          <w:color w:val="000000" w:themeColor="text1"/>
          <w:sz w:val="24"/>
          <w:szCs w:val="24"/>
        </w:rPr>
        <w:t>(Wells, et al. 2007)</w:t>
      </w:r>
      <w:r w:rsidRPr="00025B8B">
        <w:rPr>
          <w:rFonts w:ascii="Times New Roman" w:hAnsi="Times New Roman"/>
          <w:color w:val="000000" w:themeColor="text1"/>
          <w:sz w:val="24"/>
          <w:szCs w:val="24"/>
        </w:rPr>
        <w:t xml:space="preserve"> and heavy metals </w:t>
      </w:r>
      <w:r w:rsidRPr="00025B8B">
        <w:rPr>
          <w:rFonts w:ascii="Times New Roman" w:hAnsi="Times New Roman"/>
          <w:noProof/>
          <w:color w:val="000000" w:themeColor="text1"/>
          <w:sz w:val="24"/>
          <w:szCs w:val="24"/>
        </w:rPr>
        <w:t>(Tanaka, et al. 2017)</w:t>
      </w:r>
      <w:r w:rsidRPr="00025B8B">
        <w:rPr>
          <w:rFonts w:ascii="Times New Roman" w:hAnsi="Times New Roman"/>
          <w:color w:val="000000" w:themeColor="text1"/>
          <w:sz w:val="24"/>
          <w:szCs w:val="24"/>
        </w:rPr>
        <w:t xml:space="preserve"> (Fig. 3c and Table 1). In contrast, </w:t>
      </w:r>
      <w:r w:rsidRPr="00025B8B">
        <w:rPr>
          <w:rFonts w:ascii="Times New Roman" w:hAnsi="Times New Roman" w:hint="eastAsia"/>
          <w:color w:val="000000" w:themeColor="text1"/>
          <w:sz w:val="24"/>
          <w:szCs w:val="24"/>
        </w:rPr>
        <w:t>dicamba</w:t>
      </w:r>
      <w:r w:rsidRPr="00025B8B">
        <w:rPr>
          <w:rFonts w:ascii="Times New Roman" w:hAnsi="Times New Roman"/>
          <w:color w:val="000000" w:themeColor="text1"/>
          <w:sz w:val="24"/>
          <w:szCs w:val="24"/>
        </w:rPr>
        <w:t xml:space="preserve">-exposed clones had unique mutations in </w:t>
      </w:r>
      <w:r w:rsidRPr="00025B8B">
        <w:rPr>
          <w:rFonts w:ascii="Times New Roman" w:hAnsi="Times New Roman"/>
          <w:i/>
          <w:iCs/>
          <w:color w:val="000000" w:themeColor="text1"/>
          <w:sz w:val="24"/>
          <w:szCs w:val="24"/>
        </w:rPr>
        <w:t>YafP</w:t>
      </w:r>
      <w:r w:rsidRPr="00025B8B">
        <w:rPr>
          <w:rFonts w:ascii="Times New Roman" w:hAnsi="Times New Roman"/>
          <w:color w:val="000000" w:themeColor="text1"/>
          <w:sz w:val="24"/>
          <w:szCs w:val="24"/>
        </w:rPr>
        <w:t xml:space="preserve"> (Putative N-acetyltransferase) and </w:t>
      </w:r>
      <w:r w:rsidRPr="00025B8B">
        <w:rPr>
          <w:rFonts w:ascii="Times New Roman" w:hAnsi="Times New Roman"/>
          <w:i/>
          <w:iCs/>
          <w:color w:val="000000" w:themeColor="text1"/>
          <w:sz w:val="24"/>
          <w:szCs w:val="24"/>
        </w:rPr>
        <w:t>PapC</w:t>
      </w:r>
      <w:r w:rsidRPr="00025B8B">
        <w:rPr>
          <w:rFonts w:ascii="Times New Roman" w:hAnsi="Times New Roman"/>
          <w:color w:val="000000" w:themeColor="text1"/>
          <w:sz w:val="24"/>
          <w:szCs w:val="24"/>
        </w:rPr>
        <w:t xml:space="preserve"> (Outer membrane protein) genes and intergenic region between </w:t>
      </w:r>
      <w:r w:rsidRPr="00025B8B">
        <w:rPr>
          <w:rFonts w:ascii="Times New Roman" w:hAnsi="Times New Roman"/>
          <w:i/>
          <w:iCs/>
          <w:color w:val="000000" w:themeColor="text1"/>
          <w:sz w:val="24"/>
          <w:szCs w:val="24"/>
        </w:rPr>
        <w:t>yfcV</w:t>
      </w:r>
      <w:r w:rsidRPr="00025B8B">
        <w:rPr>
          <w:rFonts w:ascii="Times New Roman" w:hAnsi="Times New Roman"/>
          <w:color w:val="000000" w:themeColor="text1"/>
          <w:sz w:val="24"/>
          <w:szCs w:val="24"/>
        </w:rPr>
        <w:t xml:space="preserve"> (Fimbrial protein) and </w:t>
      </w:r>
      <w:r w:rsidRPr="00025B8B">
        <w:rPr>
          <w:rFonts w:ascii="Times New Roman" w:hAnsi="Times New Roman"/>
          <w:i/>
          <w:iCs/>
          <w:color w:val="000000" w:themeColor="text1"/>
          <w:sz w:val="24"/>
          <w:szCs w:val="24"/>
        </w:rPr>
        <w:t>sixA</w:t>
      </w:r>
      <w:r w:rsidRPr="00025B8B">
        <w:rPr>
          <w:rFonts w:ascii="Times New Roman" w:hAnsi="Times New Roman"/>
          <w:color w:val="000000" w:themeColor="text1"/>
          <w:sz w:val="24"/>
          <w:szCs w:val="24"/>
        </w:rPr>
        <w:t xml:space="preserve"> (Phosphohistidine phosphatase) genes known to confer resistance to aminoglycoside (gentamicin) and β-lactam (ampicillin) antibiotics </w:t>
      </w:r>
      <w:r w:rsidRPr="00025B8B">
        <w:rPr>
          <w:rFonts w:ascii="Times New Roman" w:hAnsi="Times New Roman"/>
          <w:noProof/>
          <w:color w:val="000000" w:themeColor="text1"/>
          <w:sz w:val="24"/>
          <w:szCs w:val="24"/>
        </w:rPr>
        <w:t>(Avalos Vizcarra, et al. 2016; Favrot, et al. 2016; May and Grabowicz 2018)</w:t>
      </w:r>
      <w:r w:rsidRPr="00025B8B">
        <w:rPr>
          <w:rFonts w:ascii="Times New Roman" w:hAnsi="Times New Roman"/>
          <w:color w:val="000000" w:themeColor="text1"/>
          <w:sz w:val="24"/>
          <w:szCs w:val="24"/>
        </w:rPr>
        <w:t xml:space="preserve"> (Fig. 3c and</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Table 1). Clones that were exposed to </w:t>
      </w:r>
      <w:r w:rsidRPr="00025B8B">
        <w:rPr>
          <w:rFonts w:ascii="Times New Roman" w:hAnsi="Times New Roman" w:hint="eastAsia"/>
          <w:color w:val="000000" w:themeColor="text1"/>
          <w:sz w:val="24"/>
          <w:szCs w:val="24"/>
        </w:rPr>
        <w:t>glufosinate</w:t>
      </w:r>
      <w:r w:rsidRPr="00025B8B">
        <w:rPr>
          <w:rFonts w:ascii="Times New Roman" w:hAnsi="Times New Roman"/>
          <w:color w:val="000000" w:themeColor="text1"/>
          <w:sz w:val="24"/>
          <w:szCs w:val="24"/>
        </w:rPr>
        <w:t xml:space="preserve"> had unique mutations in </w:t>
      </w:r>
      <w:r w:rsidRPr="00025B8B">
        <w:rPr>
          <w:rFonts w:ascii="Times New Roman" w:hAnsi="Times New Roman"/>
          <w:i/>
          <w:iCs/>
          <w:color w:val="000000" w:themeColor="text1"/>
          <w:sz w:val="24"/>
          <w:szCs w:val="24"/>
        </w:rPr>
        <w:t>oppD</w:t>
      </w:r>
      <w:r w:rsidRPr="00025B8B">
        <w:rPr>
          <w:rFonts w:ascii="Times New Roman" w:hAnsi="Times New Roman"/>
          <w:color w:val="000000" w:themeColor="text1"/>
          <w:sz w:val="24"/>
          <w:szCs w:val="24"/>
        </w:rPr>
        <w:t xml:space="preserve"> </w:t>
      </w:r>
      <w:r w:rsidRPr="00025B8B">
        <w:rPr>
          <w:rFonts w:ascii="Times New Roman" w:hAnsi="Times New Roman"/>
          <w:color w:val="000000" w:themeColor="text1"/>
          <w:sz w:val="24"/>
          <w:szCs w:val="24"/>
        </w:rPr>
        <w:lastRenderedPageBreak/>
        <w:t xml:space="preserve">(Oligopeptide transport ATP-binding protein), </w:t>
      </w:r>
      <w:r w:rsidRPr="00025B8B">
        <w:rPr>
          <w:rFonts w:ascii="Times New Roman" w:hAnsi="Times New Roman"/>
          <w:i/>
          <w:iCs/>
          <w:color w:val="000000" w:themeColor="text1"/>
          <w:sz w:val="24"/>
          <w:szCs w:val="24"/>
        </w:rPr>
        <w:t>yraH</w:t>
      </w:r>
      <w:r w:rsidRPr="00025B8B">
        <w:rPr>
          <w:rFonts w:ascii="Times New Roman" w:hAnsi="Times New Roman"/>
          <w:color w:val="000000" w:themeColor="text1"/>
          <w:sz w:val="24"/>
          <w:szCs w:val="24"/>
        </w:rPr>
        <w:t xml:space="preserve"> (Putative fimbrial-like protein) and </w:t>
      </w:r>
      <w:r w:rsidRPr="00025B8B">
        <w:rPr>
          <w:rFonts w:ascii="Times New Roman" w:hAnsi="Times New Roman"/>
          <w:i/>
          <w:iCs/>
          <w:color w:val="000000" w:themeColor="text1"/>
          <w:sz w:val="24"/>
          <w:szCs w:val="24"/>
        </w:rPr>
        <w:t>yedQ</w:t>
      </w:r>
      <w:r w:rsidRPr="00025B8B">
        <w:rPr>
          <w:rFonts w:ascii="Times New Roman" w:hAnsi="Times New Roman"/>
          <w:color w:val="000000" w:themeColor="text1"/>
          <w:sz w:val="24"/>
          <w:szCs w:val="24"/>
        </w:rPr>
        <w:t xml:space="preserve"> (Putative diguanylate cyclase) genes, associated with resistance to various aminoglycosides, macrolides, polymyxins and fluoroquinolones </w:t>
      </w:r>
      <w:r w:rsidRPr="00025B8B">
        <w:rPr>
          <w:rFonts w:ascii="Times New Roman" w:hAnsi="Times New Roman"/>
          <w:noProof/>
          <w:color w:val="000000" w:themeColor="text1"/>
          <w:sz w:val="24"/>
          <w:szCs w:val="24"/>
        </w:rPr>
        <w:t>(Gupta, et al. 2014; Avalos Vizcarra, et al. 2016; Locher 2016)</w:t>
      </w:r>
      <w:r w:rsidRPr="00025B8B">
        <w:rPr>
          <w:rFonts w:ascii="Times New Roman" w:hAnsi="Times New Roman"/>
          <w:color w:val="000000" w:themeColor="text1"/>
          <w:sz w:val="24"/>
          <w:szCs w:val="24"/>
        </w:rPr>
        <w:t xml:space="preserve"> (Fig. 3c and Table 1). Moreover, eight out of nine clones had intergenic mutation between </w:t>
      </w:r>
      <w:r w:rsidRPr="00025B8B">
        <w:rPr>
          <w:rFonts w:ascii="Times New Roman" w:hAnsi="Times New Roman"/>
          <w:i/>
          <w:iCs/>
          <w:color w:val="000000" w:themeColor="text1"/>
          <w:sz w:val="24"/>
          <w:szCs w:val="24"/>
        </w:rPr>
        <w:t>ompF</w:t>
      </w:r>
      <w:r w:rsidRPr="00025B8B">
        <w:rPr>
          <w:rFonts w:ascii="Times New Roman" w:hAnsi="Times New Roman"/>
          <w:color w:val="000000" w:themeColor="text1"/>
          <w:sz w:val="24"/>
          <w:szCs w:val="24"/>
        </w:rPr>
        <w:t xml:space="preserve"> (Outer membrane porin F) and </w:t>
      </w:r>
      <w:r w:rsidRPr="00025B8B">
        <w:rPr>
          <w:rFonts w:ascii="Times New Roman" w:hAnsi="Times New Roman"/>
          <w:i/>
          <w:iCs/>
          <w:color w:val="000000" w:themeColor="text1"/>
          <w:sz w:val="24"/>
          <w:szCs w:val="24"/>
        </w:rPr>
        <w:t xml:space="preserve">asnS </w:t>
      </w:r>
      <w:r w:rsidRPr="00025B8B">
        <w:rPr>
          <w:rFonts w:ascii="Times New Roman" w:hAnsi="Times New Roman"/>
          <w:color w:val="000000" w:themeColor="text1"/>
          <w:sz w:val="24"/>
          <w:szCs w:val="24"/>
        </w:rPr>
        <w:t xml:space="preserve">(Asparagine-tRNA ligase) genes, which have been linked to carbapenem and cefepime resistances </w:t>
      </w:r>
      <w:r w:rsidRPr="00025B8B">
        <w:rPr>
          <w:rFonts w:ascii="Times New Roman" w:hAnsi="Times New Roman"/>
          <w:noProof/>
          <w:color w:val="000000" w:themeColor="text1"/>
          <w:sz w:val="24"/>
          <w:szCs w:val="24"/>
        </w:rPr>
        <w:t>(Zheng and Nolan 2014; Ghai and Ghai 2018)</w:t>
      </w:r>
      <w:r w:rsidRPr="00025B8B">
        <w:rPr>
          <w:rFonts w:ascii="Times New Roman" w:hAnsi="Times New Roman"/>
          <w:color w:val="000000" w:themeColor="text1"/>
          <w:sz w:val="24"/>
          <w:szCs w:val="24"/>
        </w:rPr>
        <w:t xml:space="preserve">. </w:t>
      </w:r>
    </w:p>
    <w:p w:rsidR="005E2EB4" w:rsidRPr="00025B8B" w:rsidRDefault="005E2EB4" w:rsidP="00025D1D">
      <w:pPr>
        <w:spacing w:line="480" w:lineRule="auto"/>
        <w:ind w:firstLine="420"/>
        <w:rPr>
          <w:rFonts w:ascii="Times New Roman" w:hAnsi="Times New Roman"/>
          <w:color w:val="000000" w:themeColor="text1"/>
          <w:sz w:val="24"/>
          <w:szCs w:val="24"/>
        </w:rPr>
      </w:pPr>
      <w:r w:rsidRPr="00025B8B">
        <w:rPr>
          <w:rFonts w:ascii="Times New Roman" w:hAnsi="Times New Roman"/>
          <w:color w:val="000000" w:themeColor="text1"/>
          <w:sz w:val="24"/>
          <w:szCs w:val="24"/>
        </w:rPr>
        <w:t xml:space="preserve">Multiple candidate mutations linked to </w:t>
      </w:r>
      <w:r w:rsidRPr="00025B8B">
        <w:rPr>
          <w:rFonts w:ascii="Times New Roman" w:hAnsi="Times New Roman" w:hint="eastAsia"/>
          <w:color w:val="000000" w:themeColor="text1"/>
          <w:sz w:val="24"/>
          <w:szCs w:val="24"/>
        </w:rPr>
        <w:t xml:space="preserve">herbicide </w:t>
      </w:r>
      <w:r w:rsidRPr="00025B8B">
        <w:rPr>
          <w:rFonts w:ascii="Times New Roman" w:hAnsi="Times New Roman"/>
          <w:color w:val="000000" w:themeColor="text1"/>
          <w:sz w:val="24"/>
          <w:szCs w:val="24"/>
        </w:rPr>
        <w:t xml:space="preserve">tolerance were also found (Fig. 3c and Table 1). </w:t>
      </w:r>
      <w:r w:rsidRPr="00025B8B">
        <w:rPr>
          <w:rFonts w:ascii="Times New Roman" w:hAnsi="Times New Roman" w:hint="eastAsia"/>
          <w:color w:val="000000" w:themeColor="text1"/>
          <w:sz w:val="24"/>
          <w:szCs w:val="24"/>
        </w:rPr>
        <w:t>For</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example,</w:t>
      </w:r>
      <w:r w:rsidRPr="00025B8B">
        <w:rPr>
          <w:rFonts w:ascii="Times New Roman" w:hAnsi="Times New Roman"/>
          <w:color w:val="000000" w:themeColor="text1"/>
          <w:sz w:val="24"/>
          <w:szCs w:val="24"/>
        </w:rPr>
        <w:t xml:space="preserve"> mutations in </w:t>
      </w:r>
      <w:r w:rsidRPr="00025B8B">
        <w:rPr>
          <w:rFonts w:ascii="Times New Roman" w:hAnsi="Times New Roman"/>
          <w:i/>
          <w:color w:val="000000" w:themeColor="text1"/>
          <w:sz w:val="24"/>
          <w:szCs w:val="24"/>
        </w:rPr>
        <w:t>phnL</w:t>
      </w:r>
      <w:r w:rsidRPr="00025B8B">
        <w:rPr>
          <w:rFonts w:ascii="Times New Roman" w:hAnsi="Times New Roman"/>
          <w:color w:val="000000" w:themeColor="text1"/>
          <w:sz w:val="24"/>
          <w:szCs w:val="24"/>
        </w:rPr>
        <w:t xml:space="preserve"> (Methylphosphonate degradation complex; linked to glyphosate metabolism), </w:t>
      </w:r>
      <w:r w:rsidRPr="00025B8B">
        <w:rPr>
          <w:rFonts w:ascii="Times New Roman" w:hAnsi="Times New Roman"/>
          <w:i/>
          <w:color w:val="000000" w:themeColor="text1"/>
          <w:sz w:val="24"/>
          <w:szCs w:val="24"/>
        </w:rPr>
        <w:t>gsiB</w:t>
      </w:r>
      <w:r w:rsidRPr="00025B8B">
        <w:rPr>
          <w:rFonts w:ascii="Times New Roman" w:hAnsi="Times New Roman"/>
          <w:color w:val="000000" w:themeColor="text1"/>
          <w:sz w:val="24"/>
          <w:szCs w:val="24"/>
        </w:rPr>
        <w:t xml:space="preserve"> (Glutathione-binding protein; linked to </w:t>
      </w:r>
      <w:r w:rsidRPr="00025B8B">
        <w:rPr>
          <w:rFonts w:ascii="Times New Roman" w:hAnsi="Times New Roman" w:hint="eastAsia"/>
          <w:color w:val="000000" w:themeColor="text1"/>
          <w:sz w:val="24"/>
          <w:szCs w:val="24"/>
        </w:rPr>
        <w:t>g</w:t>
      </w:r>
      <w:r w:rsidRPr="00025B8B">
        <w:rPr>
          <w:rFonts w:ascii="Times New Roman" w:hAnsi="Times New Roman"/>
          <w:color w:val="000000" w:themeColor="text1"/>
          <w:sz w:val="24"/>
          <w:szCs w:val="24"/>
        </w:rPr>
        <w:t xml:space="preserve">lutamate metabolism) and </w:t>
      </w:r>
      <w:r w:rsidRPr="00025B8B">
        <w:rPr>
          <w:rFonts w:ascii="Times New Roman" w:hAnsi="Times New Roman"/>
          <w:i/>
          <w:color w:val="000000" w:themeColor="text1"/>
          <w:sz w:val="24"/>
          <w:szCs w:val="24"/>
        </w:rPr>
        <w:t>galM</w:t>
      </w:r>
      <w:r w:rsidRPr="00025B8B">
        <w:rPr>
          <w:rFonts w:ascii="Times New Roman" w:hAnsi="Times New Roman"/>
          <w:color w:val="000000" w:themeColor="text1"/>
          <w:sz w:val="24"/>
          <w:szCs w:val="24"/>
        </w:rPr>
        <w:t xml:space="preserve"> (Aldose 1-epimerase; linked to stress tolerance) were observed in </w:t>
      </w:r>
      <w:r w:rsidRPr="00025B8B">
        <w:rPr>
          <w:rFonts w:ascii="Times New Roman" w:hAnsi="Times New Roman" w:hint="eastAsia"/>
          <w:color w:val="000000" w:themeColor="text1"/>
          <w:sz w:val="24"/>
          <w:szCs w:val="24"/>
        </w:rPr>
        <w:t>g</w:t>
      </w:r>
      <w:r w:rsidRPr="00025B8B">
        <w:rPr>
          <w:rFonts w:ascii="Times New Roman" w:hAnsi="Times New Roman"/>
          <w:color w:val="000000" w:themeColor="text1"/>
          <w:sz w:val="24"/>
          <w:szCs w:val="24"/>
        </w:rPr>
        <w:t xml:space="preserve">lyphosate-exposed clones </w:t>
      </w:r>
      <w:r w:rsidRPr="00025B8B">
        <w:rPr>
          <w:rFonts w:ascii="Times New Roman" w:hAnsi="Times New Roman"/>
          <w:noProof/>
          <w:color w:val="000000" w:themeColor="text1"/>
          <w:sz w:val="24"/>
          <w:szCs w:val="24"/>
        </w:rPr>
        <w:t>(Otoshi, et al. 2001; Cummins, et al. 2013; Wang, et al. 2016)</w:t>
      </w:r>
      <w:r w:rsidRPr="00025B8B">
        <w:rPr>
          <w:rFonts w:ascii="Times New Roman" w:hAnsi="Times New Roman"/>
          <w:color w:val="000000" w:themeColor="text1"/>
          <w:sz w:val="24"/>
          <w:szCs w:val="24"/>
        </w:rPr>
        <w:t xml:space="preserve"> (Fig. 3c and Table 1). Moreover, mutations in </w:t>
      </w:r>
      <w:r w:rsidRPr="00025B8B">
        <w:rPr>
          <w:rFonts w:ascii="Times New Roman" w:hAnsi="Times New Roman"/>
          <w:i/>
          <w:color w:val="000000" w:themeColor="text1"/>
          <w:sz w:val="24"/>
          <w:szCs w:val="24"/>
        </w:rPr>
        <w:t>ilvC</w:t>
      </w:r>
      <w:r w:rsidRPr="00025B8B">
        <w:rPr>
          <w:rFonts w:ascii="Times New Roman" w:hAnsi="Times New Roman"/>
          <w:color w:val="000000" w:themeColor="text1"/>
          <w:sz w:val="24"/>
          <w:szCs w:val="24"/>
        </w:rPr>
        <w:t xml:space="preserve"> and </w:t>
      </w:r>
      <w:r w:rsidRPr="00025B8B">
        <w:rPr>
          <w:rFonts w:ascii="Times New Roman" w:hAnsi="Times New Roman"/>
          <w:i/>
          <w:color w:val="000000" w:themeColor="text1"/>
          <w:sz w:val="24"/>
          <w:szCs w:val="24"/>
        </w:rPr>
        <w:t>psuK</w:t>
      </w:r>
      <w:r w:rsidRPr="00025B8B">
        <w:rPr>
          <w:rFonts w:ascii="Times New Roman" w:hAnsi="Times New Roman"/>
          <w:color w:val="000000" w:themeColor="text1"/>
          <w:sz w:val="24"/>
          <w:szCs w:val="24"/>
        </w:rPr>
        <w:t xml:space="preserve"> (Ketol-acid reductoisomerase </w:t>
      </w:r>
      <w:r w:rsidRPr="00025B8B">
        <w:rPr>
          <w:rFonts w:ascii="Times New Roman" w:hAnsi="Times New Roman" w:hint="eastAsia"/>
          <w:color w:val="000000" w:themeColor="text1"/>
          <w:sz w:val="24"/>
          <w:szCs w:val="24"/>
        </w:rPr>
        <w:t>and</w:t>
      </w:r>
      <w:r w:rsidRPr="00025B8B">
        <w:rPr>
          <w:rFonts w:ascii="Times New Roman" w:hAnsi="Times New Roman"/>
          <w:color w:val="000000" w:themeColor="text1"/>
          <w:sz w:val="24"/>
          <w:szCs w:val="24"/>
        </w:rPr>
        <w:t xml:space="preserve"> pseudouridine kinase; linked to </w:t>
      </w:r>
      <w:r w:rsidRPr="00025B8B">
        <w:rPr>
          <w:rFonts w:ascii="Times New Roman" w:hAnsi="Times New Roman" w:hint="eastAsia"/>
          <w:color w:val="000000" w:themeColor="text1"/>
          <w:sz w:val="24"/>
          <w:szCs w:val="24"/>
        </w:rPr>
        <w:t>herbicide</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t</w:t>
      </w:r>
      <w:r w:rsidRPr="00025B8B">
        <w:rPr>
          <w:rFonts w:ascii="Times New Roman" w:hAnsi="Times New Roman"/>
          <w:color w:val="000000" w:themeColor="text1"/>
          <w:sz w:val="24"/>
          <w:szCs w:val="24"/>
        </w:rPr>
        <w:t xml:space="preserve">arget </w:t>
      </w:r>
      <w:r w:rsidRPr="00025B8B">
        <w:rPr>
          <w:rFonts w:ascii="Times New Roman" w:hAnsi="Times New Roman" w:hint="eastAsia"/>
          <w:color w:val="000000" w:themeColor="text1"/>
          <w:sz w:val="24"/>
          <w:szCs w:val="24"/>
        </w:rPr>
        <w:t>protein</w:t>
      </w:r>
      <w:r w:rsidRPr="00025B8B">
        <w:rPr>
          <w:rFonts w:ascii="Times New Roman" w:hAnsi="Times New Roman"/>
          <w:color w:val="000000" w:themeColor="text1"/>
          <w:sz w:val="24"/>
          <w:szCs w:val="24"/>
        </w:rPr>
        <w:t>s) genes were found in g</w:t>
      </w:r>
      <w:r w:rsidRPr="00025B8B">
        <w:rPr>
          <w:rFonts w:ascii="Times New Roman" w:hAnsi="Times New Roman" w:hint="eastAsia"/>
          <w:color w:val="000000" w:themeColor="text1"/>
          <w:sz w:val="24"/>
          <w:szCs w:val="24"/>
        </w:rPr>
        <w:t>lufosinate</w:t>
      </w:r>
      <w:r w:rsidRPr="00025B8B">
        <w:rPr>
          <w:rFonts w:ascii="Times New Roman" w:hAnsi="Times New Roman"/>
          <w:color w:val="000000" w:themeColor="text1"/>
          <w:sz w:val="24"/>
          <w:szCs w:val="24"/>
        </w:rPr>
        <w:t xml:space="preserve">-exposed clones </w:t>
      </w:r>
      <w:r w:rsidRPr="00025B8B">
        <w:rPr>
          <w:rFonts w:ascii="Times New Roman" w:hAnsi="Times New Roman"/>
          <w:noProof/>
          <w:color w:val="000000" w:themeColor="text1"/>
          <w:sz w:val="24"/>
          <w:szCs w:val="24"/>
        </w:rPr>
        <w:t>(Abell 1996; Delye, et al. 2015)</w:t>
      </w:r>
      <w:r w:rsidRPr="00025B8B">
        <w:rPr>
          <w:rFonts w:ascii="Times New Roman" w:hAnsi="Times New Roman"/>
          <w:color w:val="000000" w:themeColor="text1"/>
          <w:sz w:val="24"/>
          <w:szCs w:val="24"/>
        </w:rPr>
        <w:t xml:space="preserve"> (Fig. 3c and Table 1), and mutations in four </w:t>
      </w:r>
      <w:r w:rsidRPr="00025B8B">
        <w:rPr>
          <w:rFonts w:ascii="Times New Roman" w:hAnsi="Times New Roman" w:hint="eastAsia"/>
          <w:color w:val="000000" w:themeColor="text1"/>
          <w:sz w:val="24"/>
          <w:szCs w:val="24"/>
        </w:rPr>
        <w:t xml:space="preserve">genes </w:t>
      </w:r>
      <w:r w:rsidRPr="00025B8B">
        <w:rPr>
          <w:rFonts w:ascii="Times New Roman" w:hAnsi="Times New Roman"/>
          <w:color w:val="000000" w:themeColor="text1"/>
          <w:sz w:val="24"/>
          <w:szCs w:val="24"/>
        </w:rPr>
        <w:t>(</w:t>
      </w:r>
      <w:r w:rsidRPr="00025B8B">
        <w:rPr>
          <w:rFonts w:ascii="Times New Roman" w:hAnsi="Times New Roman"/>
          <w:i/>
          <w:color w:val="000000" w:themeColor="text1"/>
          <w:sz w:val="24"/>
          <w:szCs w:val="24"/>
        </w:rPr>
        <w:t>psuK</w:t>
      </w:r>
      <w:r w:rsidRPr="00025B8B">
        <w:rPr>
          <w:rFonts w:ascii="Times New Roman" w:hAnsi="Times New Roman"/>
          <w:color w:val="000000" w:themeColor="text1"/>
          <w:sz w:val="24"/>
          <w:szCs w:val="24"/>
        </w:rPr>
        <w:t>,</w:t>
      </w:r>
      <w:r w:rsidRPr="00025B8B">
        <w:rPr>
          <w:i/>
          <w:color w:val="000000" w:themeColor="text1"/>
        </w:rPr>
        <w:t xml:space="preserve"> </w:t>
      </w:r>
      <w:r w:rsidRPr="00025B8B">
        <w:rPr>
          <w:rFonts w:ascii="Times New Roman" w:hAnsi="Times New Roman"/>
          <w:i/>
          <w:color w:val="000000" w:themeColor="text1"/>
          <w:sz w:val="24"/>
          <w:szCs w:val="24"/>
        </w:rPr>
        <w:t>SopA</w:t>
      </w:r>
      <w:r w:rsidRPr="00025B8B">
        <w:rPr>
          <w:rFonts w:ascii="Times New Roman" w:hAnsi="Times New Roman"/>
          <w:color w:val="000000" w:themeColor="text1"/>
          <w:sz w:val="24"/>
          <w:szCs w:val="24"/>
        </w:rPr>
        <w:t>,</w:t>
      </w:r>
      <w:r w:rsidRPr="00025B8B">
        <w:rPr>
          <w:i/>
          <w:color w:val="000000" w:themeColor="text1"/>
        </w:rPr>
        <w:t xml:space="preserve"> </w:t>
      </w:r>
      <w:r w:rsidRPr="00025B8B">
        <w:rPr>
          <w:rFonts w:ascii="Times New Roman" w:hAnsi="Times New Roman" w:hint="eastAsia"/>
          <w:i/>
          <w:color w:val="000000" w:themeColor="text1"/>
          <w:sz w:val="24"/>
          <w:szCs w:val="24"/>
        </w:rPr>
        <w:t>Mgll</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and</w:t>
      </w:r>
      <w:r w:rsidRPr="00025B8B">
        <w:rPr>
          <w:rFonts w:ascii="Times New Roman" w:hAnsi="Times New Roman"/>
          <w:i/>
          <w:color w:val="000000" w:themeColor="text1"/>
          <w:sz w:val="24"/>
          <w:szCs w:val="24"/>
        </w:rPr>
        <w:t xml:space="preserve"> hisA;</w:t>
      </w:r>
      <w:r w:rsidRPr="00025B8B">
        <w:rPr>
          <w:rFonts w:ascii="Times New Roman" w:hAnsi="Times New Roman"/>
          <w:color w:val="000000" w:themeColor="text1"/>
          <w:sz w:val="24"/>
          <w:szCs w:val="24"/>
        </w:rPr>
        <w:t xml:space="preserve"> linked to </w:t>
      </w:r>
      <w:r w:rsidRPr="00025B8B">
        <w:rPr>
          <w:rFonts w:ascii="Times New Roman" w:hAnsi="Times New Roman" w:hint="eastAsia"/>
          <w:color w:val="000000" w:themeColor="text1"/>
          <w:sz w:val="24"/>
          <w:szCs w:val="24"/>
        </w:rPr>
        <w:t xml:space="preserve">herbicide </w:t>
      </w:r>
      <w:r w:rsidRPr="00025B8B">
        <w:rPr>
          <w:rFonts w:ascii="Times New Roman" w:hAnsi="Times New Roman"/>
          <w:color w:val="000000" w:themeColor="text1"/>
          <w:sz w:val="24"/>
          <w:szCs w:val="24"/>
        </w:rPr>
        <w:t>target</w:t>
      </w:r>
      <w:r w:rsidRPr="00025B8B">
        <w:rPr>
          <w:rFonts w:ascii="Times New Roman" w:hAnsi="Times New Roman" w:hint="eastAsia"/>
          <w:color w:val="000000" w:themeColor="text1"/>
          <w:sz w:val="24"/>
          <w:szCs w:val="24"/>
        </w:rPr>
        <w:t xml:space="preserve"> protein and</w:t>
      </w:r>
      <w:r w:rsidRPr="00025B8B">
        <w:rPr>
          <w:rFonts w:ascii="Times New Roman" w:hAnsi="Times New Roman"/>
          <w:color w:val="000000" w:themeColor="text1"/>
          <w:sz w:val="24"/>
          <w:szCs w:val="24"/>
        </w:rPr>
        <w:t xml:space="preserve"> L-histidine biosynthesis, respectively) were observed in dicamba-exposed clones </w:t>
      </w:r>
      <w:r w:rsidRPr="00025B8B">
        <w:rPr>
          <w:rFonts w:ascii="Times New Roman" w:hAnsi="Times New Roman"/>
          <w:noProof/>
          <w:color w:val="000000" w:themeColor="text1"/>
          <w:sz w:val="24"/>
          <w:szCs w:val="24"/>
        </w:rPr>
        <w:t>(Ohta, et al. 1997; Christoffoleti, et al. 2015; Dahabiyeh, et al. 2019)</w:t>
      </w:r>
      <w:r w:rsidRPr="00025B8B">
        <w:rPr>
          <w:rFonts w:ascii="Times New Roman" w:hAnsi="Times New Roman"/>
          <w:color w:val="000000" w:themeColor="text1"/>
          <w:sz w:val="24"/>
          <w:szCs w:val="24"/>
        </w:rPr>
        <w:t xml:space="preserve"> (Fig. 3c and </w:t>
      </w:r>
      <w:r w:rsidRPr="00025B8B">
        <w:rPr>
          <w:rFonts w:ascii="Times New Roman" w:hAnsi="Times New Roman" w:hint="eastAsia"/>
          <w:color w:val="000000" w:themeColor="text1"/>
          <w:sz w:val="24"/>
          <w:szCs w:val="24"/>
        </w:rPr>
        <w:t>Table</w:t>
      </w:r>
      <w:r w:rsidRPr="00025B8B">
        <w:rPr>
          <w:rFonts w:ascii="Times New Roman" w:hAnsi="Times New Roman"/>
          <w:color w:val="000000" w:themeColor="text1"/>
          <w:sz w:val="24"/>
          <w:szCs w:val="24"/>
        </w:rPr>
        <w:t xml:space="preserve"> 1). We also found that </w:t>
      </w:r>
      <w:r w:rsidRPr="00025B8B">
        <w:rPr>
          <w:rFonts w:ascii="Times New Roman" w:hAnsi="Times New Roman" w:hint="eastAsia"/>
          <w:color w:val="000000" w:themeColor="text1"/>
          <w:sz w:val="24"/>
          <w:szCs w:val="24"/>
        </w:rPr>
        <w:t>even</w:t>
      </w:r>
      <w:r w:rsidRPr="00025B8B">
        <w:rPr>
          <w:rFonts w:ascii="Times New Roman" w:hAnsi="Times New Roman"/>
          <w:color w:val="000000" w:themeColor="text1"/>
          <w:sz w:val="24"/>
          <w:szCs w:val="24"/>
        </w:rPr>
        <w:t xml:space="preserve"> short-term herbicide exposure (6h) led to increased expression of </w:t>
      </w:r>
      <w:r w:rsidRPr="00025B8B">
        <w:rPr>
          <w:rFonts w:ascii="Times New Roman" w:hAnsi="Times New Roman" w:hint="eastAsia"/>
          <w:color w:val="000000" w:themeColor="text1"/>
          <w:sz w:val="24"/>
          <w:szCs w:val="24"/>
        </w:rPr>
        <w:t xml:space="preserve">efflux </w:t>
      </w:r>
      <w:r w:rsidRPr="00025B8B">
        <w:rPr>
          <w:rFonts w:ascii="Times New Roman" w:hAnsi="Times New Roman"/>
          <w:color w:val="000000" w:themeColor="text1"/>
          <w:sz w:val="24"/>
          <w:szCs w:val="24"/>
        </w:rPr>
        <w:t>p</w:t>
      </w:r>
      <w:r w:rsidRPr="00025B8B">
        <w:rPr>
          <w:rFonts w:ascii="Times New Roman" w:hAnsi="Times New Roman" w:hint="eastAsia"/>
          <w:color w:val="000000" w:themeColor="text1"/>
          <w:sz w:val="24"/>
          <w:szCs w:val="24"/>
        </w:rPr>
        <w:t>ump</w:t>
      </w:r>
      <w:r w:rsidRPr="00025B8B">
        <w:rPr>
          <w:rFonts w:ascii="Times New Roman" w:hAnsi="Times New Roman"/>
          <w:color w:val="000000" w:themeColor="text1"/>
          <w:sz w:val="24"/>
          <w:szCs w:val="24"/>
        </w:rPr>
        <w:t>s,</w:t>
      </w:r>
      <w:r w:rsidRPr="00025B8B">
        <w:rPr>
          <w:rFonts w:ascii="Times New Roman" w:hAnsi="Times New Roman" w:hint="eastAsia"/>
          <w:color w:val="000000" w:themeColor="text1"/>
          <w:sz w:val="24"/>
          <w:szCs w:val="24"/>
        </w:rPr>
        <w:t xml:space="preserve"> transporters</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and g</w:t>
      </w:r>
      <w:r w:rsidRPr="00025B8B">
        <w:rPr>
          <w:rFonts w:ascii="Times New Roman" w:hAnsi="Times New Roman"/>
          <w:color w:val="000000" w:themeColor="text1"/>
          <w:sz w:val="24"/>
          <w:szCs w:val="24"/>
        </w:rPr>
        <w:t>lutamate metabolism with the ancestral clone (Extended Data Fig. 17</w:t>
      </w:r>
      <w:r w:rsidRPr="00025B8B">
        <w:rPr>
          <w:rFonts w:ascii="Times New Roman" w:hAnsi="Times New Roman" w:hint="eastAsia"/>
          <w:color w:val="000000" w:themeColor="text1"/>
          <w:sz w:val="24"/>
          <w:szCs w:val="24"/>
        </w:rPr>
        <w:t>a</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 xml:space="preserve">which </w:t>
      </w:r>
      <w:r w:rsidRPr="00025B8B">
        <w:rPr>
          <w:rFonts w:ascii="Times New Roman" w:hAnsi="Times New Roman"/>
          <w:color w:val="000000" w:themeColor="text1"/>
          <w:sz w:val="24"/>
          <w:szCs w:val="24"/>
        </w:rPr>
        <w:t>are all</w:t>
      </w:r>
      <w:r w:rsidRPr="00025B8B">
        <w:rPr>
          <w:rFonts w:ascii="Times New Roman" w:hAnsi="Times New Roman" w:hint="eastAsia"/>
          <w:color w:val="000000" w:themeColor="text1"/>
          <w:sz w:val="24"/>
          <w:szCs w:val="24"/>
        </w:rPr>
        <w:t xml:space="preserve"> known to increase tolerance to </w:t>
      </w:r>
      <w:r w:rsidRPr="00025B8B">
        <w:rPr>
          <w:rFonts w:ascii="Times New Roman" w:hAnsi="Times New Roman"/>
          <w:color w:val="000000" w:themeColor="text1"/>
          <w:sz w:val="24"/>
          <w:szCs w:val="24"/>
        </w:rPr>
        <w:t>xenobiotic</w:t>
      </w:r>
      <w:r w:rsidRPr="00025B8B">
        <w:rPr>
          <w:rFonts w:ascii="Times New Roman" w:hAnsi="Times New Roman" w:hint="eastAsia"/>
          <w:color w:val="000000" w:themeColor="text1"/>
          <w:sz w:val="24"/>
          <w:szCs w:val="24"/>
        </w:rPr>
        <w:t>s</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such as antibiotics</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and herbicide</w:t>
      </w:r>
      <w:r w:rsidRPr="00025B8B">
        <w:rPr>
          <w:rFonts w:ascii="Times New Roman" w:hAnsi="Times New Roman"/>
          <w:color w:val="000000" w:themeColor="text1"/>
          <w:sz w:val="24"/>
          <w:szCs w:val="24"/>
        </w:rPr>
        <w:t xml:space="preserve">s </w:t>
      </w:r>
      <w:r w:rsidRPr="00025B8B">
        <w:rPr>
          <w:rFonts w:ascii="Times New Roman" w:hAnsi="Times New Roman"/>
          <w:noProof/>
          <w:color w:val="000000" w:themeColor="text1"/>
          <w:sz w:val="24"/>
          <w:szCs w:val="24"/>
        </w:rPr>
        <w:t>(Conte and Lloyd 2011; Cummins, et al. 2013)</w:t>
      </w:r>
      <w:r w:rsidRPr="00025B8B">
        <w:rPr>
          <w:rFonts w:ascii="Times New Roman" w:hAnsi="Times New Roman"/>
          <w:color w:val="000000" w:themeColor="text1"/>
          <w:sz w:val="24"/>
          <w:szCs w:val="24"/>
        </w:rPr>
        <w:t xml:space="preserve">. Together, these results suggest that herbicides can promote antibiotic tolerance by changing bacterial gene expression, or by selecting for more tolerant mutants </w:t>
      </w:r>
      <w:r w:rsidRPr="00025B8B">
        <w:rPr>
          <w:rFonts w:ascii="Times New Roman" w:hAnsi="Times New Roman"/>
          <w:i/>
          <w:iCs/>
          <w:color w:val="000000" w:themeColor="text1"/>
          <w:sz w:val="24"/>
          <w:szCs w:val="24"/>
        </w:rPr>
        <w:t>de novo</w:t>
      </w:r>
      <w:r w:rsidRPr="00025B8B">
        <w:rPr>
          <w:rFonts w:ascii="Times New Roman" w:hAnsi="Times New Roman"/>
          <w:color w:val="000000" w:themeColor="text1"/>
          <w:sz w:val="24"/>
          <w:szCs w:val="24"/>
        </w:rPr>
        <w:t xml:space="preserve"> during prolonged herbicide exposure. </w:t>
      </w:r>
    </w:p>
    <w:p w:rsidR="005E2EB4" w:rsidRPr="00025B8B" w:rsidRDefault="005E2EB4" w:rsidP="00025D1D">
      <w:pPr>
        <w:spacing w:line="480" w:lineRule="auto"/>
        <w:rPr>
          <w:rFonts w:ascii="Times New Roman" w:hAnsi="Times New Roman"/>
          <w:color w:val="000000" w:themeColor="text1"/>
          <w:sz w:val="24"/>
          <w:szCs w:val="24"/>
        </w:rPr>
      </w:pP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b/>
          <w:color w:val="000000" w:themeColor="text1"/>
          <w:sz w:val="24"/>
          <w:szCs w:val="24"/>
        </w:rPr>
        <w:t xml:space="preserve">Herbicides promote the horizontal transfer of multidrug resistance plasmid </w:t>
      </w:r>
    </w:p>
    <w:p w:rsidR="005E2EB4" w:rsidRPr="00025B8B" w:rsidRDefault="005E2EB4" w:rsidP="00025D1D">
      <w:pPr>
        <w:spacing w:line="480" w:lineRule="auto"/>
        <w:rPr>
          <w:rFonts w:ascii="Times New Roman" w:hAnsi="Times New Roman"/>
          <w:color w:val="000000" w:themeColor="text1"/>
          <w:sz w:val="24"/>
          <w:szCs w:val="24"/>
        </w:rPr>
      </w:pPr>
      <w:r w:rsidRPr="00025B8B">
        <w:rPr>
          <w:rFonts w:ascii="Times New Roman" w:hAnsi="Times New Roman"/>
          <w:color w:val="000000" w:themeColor="text1"/>
          <w:sz w:val="24"/>
          <w:szCs w:val="24"/>
        </w:rPr>
        <w:t xml:space="preserve">Due to positive correlations between ARGs and MGEs in the soil microcosm experiment, we tested if herbicide exposure could promote horizontal gene transfer of ARGs by quantifying conjugation frequency of RP4 multidrug resistance plasmid within (from </w:t>
      </w:r>
      <w:r w:rsidRPr="00025B8B">
        <w:rPr>
          <w:rFonts w:ascii="Times New Roman" w:hAnsi="Times New Roman"/>
          <w:i/>
          <w:iCs/>
          <w:color w:val="000000" w:themeColor="text1"/>
          <w:sz w:val="24"/>
          <w:szCs w:val="24"/>
        </w:rPr>
        <w:t>E. coli</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HB101</w:t>
      </w:r>
      <w:r w:rsidRPr="00025B8B">
        <w:rPr>
          <w:rFonts w:ascii="Times New Roman" w:hAnsi="Times New Roman"/>
          <w:color w:val="000000" w:themeColor="text1"/>
          <w:sz w:val="24"/>
          <w:szCs w:val="24"/>
        </w:rPr>
        <w:t xml:space="preserve"> to </w:t>
      </w:r>
      <w:r w:rsidRPr="00025B8B">
        <w:rPr>
          <w:rFonts w:ascii="Times New Roman" w:hAnsi="Times New Roman"/>
          <w:i/>
          <w:iCs/>
          <w:color w:val="000000" w:themeColor="text1"/>
          <w:sz w:val="24"/>
          <w:szCs w:val="24"/>
        </w:rPr>
        <w:t>E. coli</w:t>
      </w:r>
      <w:r w:rsidRPr="00025B8B">
        <w:rPr>
          <w:rFonts w:ascii="Times New Roman" w:hAnsi="Times New Roman"/>
          <w:color w:val="000000" w:themeColor="text1"/>
          <w:sz w:val="24"/>
          <w:szCs w:val="24"/>
        </w:rPr>
        <w:t xml:space="preserve"> DH5α) and between bacterial species (from to from </w:t>
      </w:r>
      <w:r w:rsidRPr="00025B8B">
        <w:rPr>
          <w:rFonts w:ascii="Times New Roman" w:hAnsi="Times New Roman"/>
          <w:i/>
          <w:iCs/>
          <w:color w:val="000000" w:themeColor="text1"/>
          <w:sz w:val="24"/>
          <w:szCs w:val="24"/>
        </w:rPr>
        <w:t>E. coli</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HB101</w:t>
      </w:r>
      <w:r w:rsidRPr="00025B8B">
        <w:rPr>
          <w:rFonts w:ascii="Times New Roman" w:hAnsi="Times New Roman"/>
          <w:color w:val="000000" w:themeColor="text1"/>
          <w:sz w:val="24"/>
          <w:szCs w:val="24"/>
        </w:rPr>
        <w:t xml:space="preserve"> to </w:t>
      </w:r>
      <w:r w:rsidRPr="00025B8B">
        <w:rPr>
          <w:rFonts w:ascii="Times New Roman" w:hAnsi="Times New Roman"/>
          <w:i/>
          <w:iCs/>
          <w:color w:val="000000" w:themeColor="text1"/>
          <w:sz w:val="24"/>
          <w:szCs w:val="24"/>
        </w:rPr>
        <w:t>Pseudomonas</w:t>
      </w:r>
      <w:r w:rsidRPr="00025B8B">
        <w:rPr>
          <w:rFonts w:ascii="Times New Roman" w:hAnsi="Times New Roman"/>
          <w:color w:val="000000" w:themeColor="text1"/>
          <w:sz w:val="24"/>
          <w:szCs w:val="24"/>
        </w:rPr>
        <w:t xml:space="preserve"> spp. G1 or </w:t>
      </w:r>
      <w:r w:rsidRPr="00025B8B">
        <w:rPr>
          <w:rFonts w:ascii="Times New Roman" w:hAnsi="Times New Roman"/>
          <w:i/>
          <w:color w:val="000000" w:themeColor="text1"/>
          <w:sz w:val="24"/>
          <w:szCs w:val="24"/>
        </w:rPr>
        <w:t>Bacillus oleronius</w:t>
      </w:r>
      <w:r w:rsidRPr="00025B8B">
        <w:rPr>
          <w:rFonts w:ascii="Times New Roman" w:hAnsi="Times New Roman"/>
          <w:color w:val="000000" w:themeColor="text1"/>
          <w:sz w:val="24"/>
          <w:szCs w:val="24"/>
        </w:rPr>
        <w:t xml:space="preserve"> C13). The presence of herbicides and exposure concentration significantly increased conjugation frequency independent of the herbicide type (</w:t>
      </w:r>
      <w:r w:rsidRPr="00025B8B">
        <w:rPr>
          <w:rFonts w:ascii="Times New Roman" w:hAnsi="Times New Roman" w:hint="eastAsia"/>
          <w:color w:val="000000" w:themeColor="text1"/>
          <w:sz w:val="24"/>
          <w:szCs w:val="24"/>
        </w:rPr>
        <w:t>Supplementary</w:t>
      </w:r>
      <w:r w:rsidRPr="00025B8B">
        <w:rPr>
          <w:rFonts w:ascii="Times New Roman" w:hAnsi="Times New Roman"/>
          <w:color w:val="000000" w:themeColor="text1"/>
          <w:sz w:val="24"/>
          <w:szCs w:val="24"/>
        </w:rPr>
        <w:t xml:space="preserve"> Table S5; the</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presence of RP4 plasmid in conjugants confirmed with PCR, Extended Data Fig. 18). While the conjugation frequency varied between bacterial species (F</w:t>
      </w:r>
      <w:r w:rsidRPr="00025B8B">
        <w:rPr>
          <w:rFonts w:ascii="Times New Roman" w:hAnsi="Times New Roman"/>
          <w:color w:val="000000" w:themeColor="text1"/>
          <w:sz w:val="24"/>
          <w:szCs w:val="24"/>
          <w:vertAlign w:val="subscript"/>
        </w:rPr>
        <w:t>2,105</w:t>
      </w:r>
      <w:r w:rsidRPr="00025B8B">
        <w:rPr>
          <w:rFonts w:ascii="Times New Roman" w:hAnsi="Times New Roman"/>
          <w:color w:val="000000" w:themeColor="text1"/>
          <w:sz w:val="24"/>
          <w:szCs w:val="24"/>
        </w:rPr>
        <w:t xml:space="preserve">=5.714, </w:t>
      </w:r>
      <w:r w:rsidRPr="00025B8B">
        <w:rPr>
          <w:rFonts w:ascii="Times New Roman" w:hAnsi="Times New Roman"/>
          <w:i/>
          <w:iCs/>
          <w:color w:val="000000" w:themeColor="text1"/>
          <w:sz w:val="24"/>
          <w:szCs w:val="24"/>
        </w:rPr>
        <w:t>p</w:t>
      </w:r>
      <w:r w:rsidRPr="00025B8B">
        <w:rPr>
          <w:rFonts w:ascii="Times New Roman" w:hAnsi="Times New Roman"/>
          <w:color w:val="000000" w:themeColor="text1"/>
          <w:sz w:val="24"/>
          <w:szCs w:val="24"/>
        </w:rPr>
        <w:t xml:space="preserve">=0.00441), it was generally highest within compared to between species (from </w:t>
      </w:r>
      <w:r w:rsidRPr="00025B8B">
        <w:rPr>
          <w:rFonts w:ascii="Times New Roman" w:hAnsi="Times New Roman"/>
          <w:i/>
          <w:iCs/>
          <w:color w:val="000000" w:themeColor="text1"/>
          <w:sz w:val="24"/>
          <w:szCs w:val="24"/>
        </w:rPr>
        <w:t>E. coli</w:t>
      </w:r>
      <w:r w:rsidRPr="00025B8B">
        <w:rPr>
          <w:rFonts w:ascii="Times New Roman" w:hAnsi="Times New Roman"/>
          <w:color w:val="000000" w:themeColor="text1"/>
          <w:sz w:val="24"/>
          <w:szCs w:val="24"/>
        </w:rPr>
        <w:t xml:space="preserve"> DH5α </w:t>
      </w:r>
      <w:r w:rsidRPr="00025B8B">
        <w:rPr>
          <w:rFonts w:ascii="Times New Roman" w:hAnsi="Times New Roman" w:hint="eastAsia"/>
          <w:color w:val="000000" w:themeColor="text1"/>
          <w:sz w:val="24"/>
          <w:szCs w:val="24"/>
        </w:rPr>
        <w:t>to</w:t>
      </w:r>
      <w:r w:rsidRPr="00025B8B">
        <w:rPr>
          <w:rFonts w:ascii="Times New Roman" w:hAnsi="Times New Roman"/>
          <w:color w:val="000000" w:themeColor="text1"/>
          <w:sz w:val="24"/>
          <w:szCs w:val="24"/>
        </w:rPr>
        <w:t xml:space="preserve"> </w:t>
      </w:r>
      <w:r w:rsidRPr="00025B8B">
        <w:rPr>
          <w:rFonts w:ascii="Times New Roman" w:hAnsi="Times New Roman"/>
          <w:i/>
          <w:iCs/>
          <w:color w:val="000000" w:themeColor="text1"/>
          <w:sz w:val="24"/>
          <w:szCs w:val="24"/>
        </w:rPr>
        <w:t>E. coli</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HB101</w:t>
      </w:r>
      <w:r w:rsidRPr="00025B8B">
        <w:rPr>
          <w:rFonts w:ascii="Times New Roman" w:hAnsi="Times New Roman"/>
          <w:color w:val="000000" w:themeColor="text1"/>
          <w:sz w:val="24"/>
          <w:szCs w:val="24"/>
        </w:rPr>
        <w:t>,</w:t>
      </w:r>
      <w:r w:rsidRPr="00025B8B">
        <w:rPr>
          <w:rFonts w:ascii="Times New Roman" w:hAnsi="Times New Roman" w:hint="eastAsia"/>
          <w:color w:val="000000" w:themeColor="text1"/>
          <w:sz w:val="24"/>
          <w:szCs w:val="24"/>
        </w:rPr>
        <w:t xml:space="preserve"> Fig.</w:t>
      </w:r>
      <w:r w:rsidRPr="00025B8B">
        <w:rPr>
          <w:rFonts w:ascii="Times New Roman" w:hAnsi="Times New Roman"/>
          <w:color w:val="000000" w:themeColor="text1"/>
          <w:sz w:val="24"/>
          <w:szCs w:val="24"/>
        </w:rPr>
        <w:t xml:space="preserve"> 3d-f). The observed pattern could potentially be explained by chemical stress, which is known to promote plasmid conjugation due to increased cell membrane permeability </w:t>
      </w:r>
      <w:r w:rsidRPr="00025B8B">
        <w:rPr>
          <w:rFonts w:ascii="Times New Roman" w:hAnsi="Times New Roman"/>
          <w:noProof/>
          <w:color w:val="000000" w:themeColor="text1"/>
          <w:sz w:val="24"/>
          <w:szCs w:val="24"/>
        </w:rPr>
        <w:t>(Qiu, et al. 2012; Wang, et al. 2019)</w:t>
      </w:r>
      <w:r w:rsidRPr="00025B8B">
        <w:rPr>
          <w:rFonts w:ascii="Times New Roman" w:hAnsi="Times New Roman"/>
          <w:color w:val="000000" w:themeColor="text1"/>
          <w:sz w:val="24"/>
          <w:szCs w:val="24"/>
        </w:rPr>
        <w:t>. In support for this, we found that bacterial cell membrane permeability increased after 6h exposure to all herbicides (10 mg/L; F</w:t>
      </w:r>
      <w:r w:rsidRPr="00025B8B">
        <w:rPr>
          <w:rFonts w:ascii="Times New Roman" w:hAnsi="Times New Roman"/>
          <w:color w:val="000000" w:themeColor="text1"/>
          <w:sz w:val="24"/>
          <w:szCs w:val="24"/>
          <w:vertAlign w:val="subscript"/>
        </w:rPr>
        <w:t>3,8</w:t>
      </w:r>
      <w:r w:rsidRPr="00025B8B">
        <w:rPr>
          <w:rFonts w:ascii="Times New Roman" w:hAnsi="Times New Roman"/>
          <w:color w:val="000000" w:themeColor="text1"/>
          <w:sz w:val="24"/>
          <w:szCs w:val="24"/>
        </w:rPr>
        <w:t xml:space="preserve">=48.34, </w:t>
      </w:r>
      <w:r w:rsidRPr="00025B8B">
        <w:rPr>
          <w:rFonts w:ascii="Times New Roman" w:hAnsi="Times New Roman"/>
          <w:i/>
          <w:color w:val="000000" w:themeColor="text1"/>
          <w:kern w:val="0"/>
          <w:sz w:val="24"/>
          <w:szCs w:val="24"/>
        </w:rPr>
        <w:t>p</w:t>
      </w:r>
      <w:r w:rsidRPr="00025B8B">
        <w:rPr>
          <w:rFonts w:ascii="Times New Roman" w:hAnsi="Times New Roman"/>
          <w:color w:val="000000" w:themeColor="text1"/>
          <w:kern w:val="0"/>
          <w:sz w:val="24"/>
          <w:szCs w:val="24"/>
        </w:rPr>
        <w:t>&lt;0.001</w:t>
      </w:r>
      <w:r w:rsidRPr="00025B8B">
        <w:rPr>
          <w:rFonts w:ascii="Times New Roman" w:hAnsi="Times New Roman"/>
          <w:color w:val="000000" w:themeColor="text1"/>
          <w:sz w:val="24"/>
          <w:szCs w:val="24"/>
        </w:rPr>
        <w:t xml:space="preserve">; except for </w:t>
      </w:r>
      <w:r w:rsidRPr="00025B8B">
        <w:rPr>
          <w:rFonts w:ascii="Times New Roman" w:hAnsi="Times New Roman"/>
          <w:i/>
          <w:color w:val="000000" w:themeColor="text1"/>
          <w:sz w:val="24"/>
          <w:szCs w:val="24"/>
        </w:rPr>
        <w:t>B. oleronius</w:t>
      </w:r>
      <w:r w:rsidRPr="00025B8B">
        <w:rPr>
          <w:rFonts w:ascii="Times New Roman" w:hAnsi="Times New Roman"/>
          <w:color w:val="000000" w:themeColor="text1"/>
          <w:sz w:val="24"/>
          <w:szCs w:val="24"/>
        </w:rPr>
        <w:t xml:space="preserve"> C13, </w:t>
      </w:r>
      <w:r w:rsidRPr="00025B8B">
        <w:rPr>
          <w:rFonts w:ascii="Times New Roman" w:hAnsi="Times New Roman" w:hint="eastAsia"/>
          <w:color w:val="000000" w:themeColor="text1"/>
          <w:sz w:val="24"/>
          <w:szCs w:val="24"/>
        </w:rPr>
        <w:t>Fig.</w:t>
      </w:r>
      <w:r w:rsidRPr="00025B8B">
        <w:rPr>
          <w:rFonts w:ascii="Times New Roman" w:hAnsi="Times New Roman"/>
          <w:color w:val="000000" w:themeColor="text1"/>
          <w:sz w:val="24"/>
          <w:szCs w:val="24"/>
        </w:rPr>
        <w:t xml:space="preserve"> 3h). In </w:t>
      </w:r>
      <w:r w:rsidRPr="00025B8B">
        <w:rPr>
          <w:rFonts w:ascii="Times New Roman" w:hAnsi="Times New Roman" w:hint="eastAsia"/>
          <w:color w:val="000000" w:themeColor="text1"/>
          <w:sz w:val="24"/>
          <w:szCs w:val="24"/>
        </w:rPr>
        <w:t>the</w:t>
      </w:r>
      <w:r w:rsidRPr="00025B8B">
        <w:rPr>
          <w:rFonts w:ascii="Times New Roman" w:hAnsi="Times New Roman"/>
          <w:color w:val="000000" w:themeColor="text1"/>
          <w:sz w:val="24"/>
          <w:szCs w:val="24"/>
        </w:rPr>
        <w:t xml:space="preserve"> case of </w:t>
      </w:r>
      <w:r w:rsidRPr="00025B8B">
        <w:rPr>
          <w:rFonts w:ascii="Times New Roman" w:hAnsi="Times New Roman" w:hint="eastAsia"/>
          <w:color w:val="000000" w:themeColor="text1"/>
          <w:sz w:val="24"/>
          <w:szCs w:val="24"/>
        </w:rPr>
        <w:t>the</w:t>
      </w:r>
      <w:r w:rsidRPr="00025B8B">
        <w:rPr>
          <w:rFonts w:ascii="Times New Roman" w:hAnsi="Times New Roman"/>
          <w:color w:val="000000" w:themeColor="text1"/>
          <w:sz w:val="24"/>
          <w:szCs w:val="24"/>
        </w:rPr>
        <w:t xml:space="preserve"> </w:t>
      </w:r>
      <w:r w:rsidRPr="00025B8B">
        <w:rPr>
          <w:rFonts w:ascii="Times New Roman" w:hAnsi="Times New Roman"/>
          <w:i/>
          <w:color w:val="000000" w:themeColor="text1"/>
          <w:sz w:val="24"/>
          <w:szCs w:val="24"/>
        </w:rPr>
        <w:t xml:space="preserve">E. coli </w:t>
      </w:r>
      <w:r w:rsidRPr="00025B8B">
        <w:rPr>
          <w:rFonts w:ascii="Times New Roman" w:hAnsi="Times New Roman" w:hint="eastAsia"/>
          <w:color w:val="000000" w:themeColor="text1"/>
          <w:sz w:val="24"/>
          <w:szCs w:val="24"/>
        </w:rPr>
        <w:t>HB101</w:t>
      </w:r>
      <w:r w:rsidRPr="00025B8B">
        <w:rPr>
          <w:rFonts w:ascii="Times New Roman" w:hAnsi="Times New Roman"/>
          <w:color w:val="000000" w:themeColor="text1"/>
          <w:sz w:val="24"/>
          <w:szCs w:val="24"/>
        </w:rPr>
        <w:t xml:space="preserve"> donor strain, the outer membrane protein (</w:t>
      </w:r>
      <w:r w:rsidRPr="00025B8B">
        <w:rPr>
          <w:rFonts w:ascii="Times New Roman" w:hAnsi="Times New Roman"/>
          <w:i/>
          <w:color w:val="000000" w:themeColor="text1"/>
          <w:sz w:val="24"/>
          <w:szCs w:val="24"/>
        </w:rPr>
        <w:t>ompW</w:t>
      </w:r>
      <w:r w:rsidRPr="00025B8B">
        <w:rPr>
          <w:rFonts w:ascii="Times New Roman" w:hAnsi="Times New Roman"/>
          <w:color w:val="000000" w:themeColor="text1"/>
          <w:sz w:val="24"/>
          <w:szCs w:val="24"/>
        </w:rPr>
        <w:t>) and inner membrane protein (</w:t>
      </w:r>
      <w:r w:rsidRPr="00025B8B">
        <w:rPr>
          <w:rFonts w:ascii="Times New Roman" w:hAnsi="Times New Roman"/>
          <w:i/>
          <w:color w:val="000000" w:themeColor="text1"/>
          <w:sz w:val="24"/>
          <w:szCs w:val="24"/>
        </w:rPr>
        <w:t>yhiD</w:t>
      </w:r>
      <w:r w:rsidRPr="00025B8B">
        <w:rPr>
          <w:rFonts w:ascii="Times New Roman" w:hAnsi="Times New Roman"/>
          <w:color w:val="000000" w:themeColor="text1"/>
          <w:sz w:val="24"/>
          <w:szCs w:val="24"/>
        </w:rPr>
        <w:t>) genes were signiﬁcantly upregulated upon exposure to dicamba by 3.1 and 4.9-fold, respectively (Extended Data Fig. 17a), which suggest</w:t>
      </w:r>
      <w:r w:rsidRPr="00025B8B">
        <w:rPr>
          <w:rFonts w:ascii="Times New Roman" w:hAnsi="Times New Roman" w:hint="eastAsia"/>
          <w:color w:val="000000" w:themeColor="text1"/>
          <w:sz w:val="24"/>
          <w:szCs w:val="24"/>
        </w:rPr>
        <w:t>s</w:t>
      </w:r>
      <w:r w:rsidRPr="00025B8B">
        <w:rPr>
          <w:rFonts w:ascii="Times New Roman" w:hAnsi="Times New Roman"/>
          <w:color w:val="000000" w:themeColor="text1"/>
          <w:sz w:val="24"/>
          <w:szCs w:val="24"/>
        </w:rPr>
        <w:t xml:space="preserve"> that these proteins could be important for initiating plasmid transfer. Transmission Electron Microscopy was further used to confirm that all herbicides severely damaged the cell membranes of all bacteria (Extended Data Fig. 19). Another alternative explanation for the increased conjugation frequency could be the accumulation of intracellular </w:t>
      </w:r>
      <w:r w:rsidRPr="00025B8B">
        <w:rPr>
          <w:rFonts w:ascii="Times New Roman" w:hAnsi="Times New Roman" w:hint="eastAsia"/>
          <w:color w:val="000000" w:themeColor="text1"/>
          <w:sz w:val="24"/>
          <w:szCs w:val="24"/>
        </w:rPr>
        <w:t>reactive</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oxygen</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species</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w:t>
      </w:r>
      <w:r w:rsidRPr="00025B8B">
        <w:rPr>
          <w:rFonts w:ascii="Times New Roman" w:hAnsi="Times New Roman"/>
          <w:color w:val="000000" w:themeColor="text1"/>
          <w:sz w:val="24"/>
          <w:szCs w:val="24"/>
        </w:rPr>
        <w:t xml:space="preserve">ROS) </w:t>
      </w:r>
      <w:r w:rsidRPr="00025B8B">
        <w:rPr>
          <w:rFonts w:ascii="Times New Roman" w:hAnsi="Times New Roman" w:hint="eastAsia"/>
          <w:color w:val="000000" w:themeColor="text1"/>
          <w:sz w:val="24"/>
          <w:szCs w:val="24"/>
        </w:rPr>
        <w:t>and SOS</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response</w:t>
      </w:r>
      <w:r w:rsidRPr="00025B8B">
        <w:rPr>
          <w:rFonts w:ascii="Times New Roman" w:hAnsi="Times New Roman"/>
          <w:color w:val="000000" w:themeColor="text1"/>
          <w:sz w:val="24"/>
          <w:szCs w:val="24"/>
        </w:rPr>
        <w:t xml:space="preserve">, that can lead to oxidative damage to DNA, cell components, </w:t>
      </w:r>
      <w:r w:rsidRPr="00025B8B">
        <w:rPr>
          <w:rFonts w:ascii="Times New Roman" w:hAnsi="Times New Roman" w:hint="eastAsia"/>
          <w:color w:val="000000" w:themeColor="text1"/>
          <w:sz w:val="24"/>
          <w:szCs w:val="24"/>
        </w:rPr>
        <w:t>and</w:t>
      </w:r>
      <w:r w:rsidRPr="00025B8B">
        <w:rPr>
          <w:rFonts w:ascii="Times New Roman" w:hAnsi="Times New Roman"/>
          <w:color w:val="000000" w:themeColor="text1"/>
          <w:sz w:val="24"/>
          <w:szCs w:val="24"/>
        </w:rPr>
        <w:t xml:space="preserve"> cell </w:t>
      </w:r>
      <w:r w:rsidRPr="00025B8B">
        <w:rPr>
          <w:rFonts w:ascii="Times New Roman" w:hAnsi="Times New Roman"/>
          <w:color w:val="000000" w:themeColor="text1"/>
          <w:sz w:val="24"/>
          <w:szCs w:val="24"/>
        </w:rPr>
        <w:lastRenderedPageBreak/>
        <w:t xml:space="preserve">membranes </w:t>
      </w:r>
      <w:r w:rsidRPr="00025B8B">
        <w:rPr>
          <w:rFonts w:ascii="Times New Roman" w:hAnsi="Times New Roman"/>
          <w:noProof/>
          <w:color w:val="000000" w:themeColor="text1"/>
          <w:sz w:val="24"/>
          <w:szCs w:val="24"/>
        </w:rPr>
        <w:t>(Qiu, et al. 2012)</w:t>
      </w:r>
      <w:r w:rsidRPr="00025B8B">
        <w:rPr>
          <w:rFonts w:ascii="Times New Roman" w:hAnsi="Times New Roman"/>
          <w:color w:val="000000" w:themeColor="text1"/>
          <w:sz w:val="24"/>
          <w:szCs w:val="24"/>
        </w:rPr>
        <w:t>, but also</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increase the frequency of </w:t>
      </w:r>
      <w:bookmarkStart w:id="17" w:name="OLE_LINK3"/>
      <w:bookmarkStart w:id="18" w:name="OLE_LINK4"/>
      <w:r w:rsidRPr="00025B8B">
        <w:rPr>
          <w:rFonts w:ascii="Times New Roman" w:hAnsi="Times New Roman"/>
          <w:color w:val="000000" w:themeColor="text1"/>
          <w:sz w:val="24"/>
          <w:szCs w:val="24"/>
        </w:rPr>
        <w:t>conjugation</w:t>
      </w:r>
      <w:bookmarkEnd w:id="17"/>
      <w:bookmarkEnd w:id="18"/>
      <w:r w:rsidRPr="00025B8B">
        <w:rPr>
          <w:rFonts w:ascii="Times New Roman" w:hAnsi="Times New Roman"/>
          <w:color w:val="000000" w:themeColor="text1"/>
          <w:sz w:val="24"/>
          <w:szCs w:val="24"/>
        </w:rPr>
        <w:t xml:space="preserve"> </w:t>
      </w:r>
      <w:r w:rsidRPr="00025B8B">
        <w:rPr>
          <w:rFonts w:ascii="Times New Roman" w:hAnsi="Times New Roman"/>
          <w:noProof/>
          <w:color w:val="000000" w:themeColor="text1"/>
          <w:sz w:val="24"/>
          <w:szCs w:val="24"/>
        </w:rPr>
        <w:t>(Wang, et al. 2019)</w:t>
      </w:r>
      <w:r w:rsidRPr="00025B8B">
        <w:rPr>
          <w:rFonts w:ascii="Times New Roman" w:hAnsi="Times New Roman"/>
          <w:color w:val="000000" w:themeColor="text1"/>
          <w:sz w:val="24"/>
          <w:szCs w:val="24"/>
        </w:rPr>
        <w:t xml:space="preserve">. To counteract this damage, bacteria often upregulate the production of antioxidant enzymes, </w:t>
      </w:r>
      <w:r w:rsidRPr="00025B8B">
        <w:rPr>
          <w:rFonts w:ascii="Times New Roman" w:hAnsi="Times New Roman" w:hint="eastAsia"/>
          <w:color w:val="000000" w:themeColor="text1"/>
          <w:sz w:val="24"/>
          <w:szCs w:val="24"/>
        </w:rPr>
        <w:t xml:space="preserve">such as </w:t>
      </w:r>
      <w:r w:rsidRPr="00025B8B">
        <w:rPr>
          <w:rFonts w:ascii="Times New Roman" w:hAnsi="Times New Roman"/>
          <w:color w:val="000000" w:themeColor="text1"/>
          <w:sz w:val="24"/>
          <w:szCs w:val="24"/>
        </w:rPr>
        <w:t>catalase (CAT) and superoxide dismutase (SOD), which are known to</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protect them from ROS </w:t>
      </w:r>
      <w:r w:rsidRPr="00025B8B">
        <w:rPr>
          <w:rFonts w:ascii="Times New Roman" w:hAnsi="Times New Roman" w:hint="eastAsia"/>
          <w:color w:val="000000" w:themeColor="text1"/>
          <w:sz w:val="24"/>
          <w:szCs w:val="24"/>
        </w:rPr>
        <w:t>and SOS</w:t>
      </w:r>
      <w:r w:rsidRPr="00025B8B">
        <w:rPr>
          <w:rFonts w:ascii="Times New Roman" w:hAnsi="Times New Roman"/>
          <w:color w:val="000000" w:themeColor="text1"/>
          <w:sz w:val="24"/>
          <w:szCs w:val="24"/>
        </w:rPr>
        <w:t>.</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In contrast with some previous studies </w:t>
      </w:r>
      <w:r w:rsidRPr="00025B8B">
        <w:rPr>
          <w:rFonts w:ascii="Times New Roman" w:hAnsi="Times New Roman"/>
          <w:noProof/>
          <w:color w:val="000000" w:themeColor="text1"/>
          <w:sz w:val="24"/>
          <w:szCs w:val="24"/>
        </w:rPr>
        <w:t>(Qiu, et al. 2012; Huang, et al. 2019; Wang, et al. 2019)</w:t>
      </w:r>
      <w:r w:rsidRPr="00025B8B">
        <w:rPr>
          <w:rFonts w:ascii="Times New Roman" w:hAnsi="Times New Roman"/>
          <w:color w:val="000000" w:themeColor="text1"/>
          <w:sz w:val="24"/>
          <w:szCs w:val="24"/>
        </w:rPr>
        <w:t xml:space="preserve">, our transcriptomic analysis and enzyme </w:t>
      </w:r>
      <w:r w:rsidRPr="00025B8B">
        <w:rPr>
          <w:rFonts w:ascii="Times New Roman" w:hAnsi="Times New Roman" w:hint="eastAsia"/>
          <w:color w:val="000000" w:themeColor="text1"/>
          <w:sz w:val="24"/>
          <w:szCs w:val="24"/>
        </w:rPr>
        <w:t>activity</w:t>
      </w:r>
      <w:r w:rsidRPr="00025B8B">
        <w:rPr>
          <w:rFonts w:ascii="Times New Roman" w:hAnsi="Times New Roman"/>
          <w:color w:val="000000" w:themeColor="text1"/>
          <w:sz w:val="24"/>
          <w:szCs w:val="24"/>
        </w:rPr>
        <w:t xml:space="preserve"> found no clear change of </w:t>
      </w:r>
      <w:r w:rsidRPr="00025B8B">
        <w:rPr>
          <w:rFonts w:ascii="Times New Roman" w:hAnsi="Times New Roman" w:hint="eastAsia"/>
          <w:color w:val="000000" w:themeColor="text1"/>
          <w:sz w:val="24"/>
          <w:szCs w:val="24"/>
        </w:rPr>
        <w:t>these</w:t>
      </w:r>
      <w:r w:rsidRPr="00025B8B">
        <w:rPr>
          <w:rFonts w:ascii="Times New Roman" w:hAnsi="Times New Roman"/>
          <w:color w:val="000000" w:themeColor="text1"/>
          <w:sz w:val="24"/>
          <w:szCs w:val="24"/>
        </w:rPr>
        <w:t xml:space="preserve"> antioxidant</w:t>
      </w:r>
      <w:r w:rsidRPr="00025B8B">
        <w:rPr>
          <w:rFonts w:ascii="Times New Roman" w:hAnsi="Times New Roman" w:hint="eastAsia"/>
          <w:color w:val="000000" w:themeColor="text1"/>
          <w:sz w:val="24"/>
          <w:szCs w:val="24"/>
        </w:rPr>
        <w:t xml:space="preserve"> enzymes</w:t>
      </w:r>
      <w:r w:rsidRPr="00025B8B">
        <w:rPr>
          <w:rFonts w:ascii="Times New Roman" w:hAnsi="Times New Roman"/>
          <w:color w:val="000000" w:themeColor="text1"/>
          <w:sz w:val="24"/>
          <w:szCs w:val="24"/>
        </w:rPr>
        <w:t xml:space="preserve"> (Extended Data Fig. 20), despite a few genes (</w:t>
      </w:r>
      <w:r w:rsidRPr="00025B8B">
        <w:rPr>
          <w:rFonts w:ascii="Times New Roman" w:hAnsi="Times New Roman"/>
          <w:i/>
          <w:color w:val="000000" w:themeColor="text1"/>
          <w:sz w:val="24"/>
          <w:szCs w:val="24"/>
        </w:rPr>
        <w:t>sodB</w:t>
      </w:r>
      <w:r w:rsidRPr="00025B8B">
        <w:rPr>
          <w:rFonts w:ascii="Times New Roman" w:hAnsi="Times New Roman"/>
          <w:color w:val="000000" w:themeColor="text1"/>
          <w:sz w:val="24"/>
          <w:szCs w:val="24"/>
        </w:rPr>
        <w:t xml:space="preserve"> and </w:t>
      </w:r>
      <w:r w:rsidRPr="00025B8B">
        <w:rPr>
          <w:rFonts w:ascii="Times New Roman" w:hAnsi="Times New Roman"/>
          <w:i/>
          <w:color w:val="000000" w:themeColor="text1"/>
          <w:sz w:val="24"/>
          <w:szCs w:val="24"/>
        </w:rPr>
        <w:t>ygiW</w:t>
      </w:r>
      <w:r w:rsidRPr="00025B8B">
        <w:rPr>
          <w:rFonts w:ascii="Times New Roman" w:hAnsi="Times New Roman"/>
          <w:color w:val="000000" w:themeColor="text1"/>
          <w:sz w:val="24"/>
          <w:szCs w:val="24"/>
        </w:rPr>
        <w:t xml:space="preserve">) that were upregulated during  dicamba exposure (Extended Data Fig. 17b). The lack of </w:t>
      </w:r>
      <w:r w:rsidRPr="00025B8B">
        <w:rPr>
          <w:rFonts w:ascii="Times New Roman" w:hAnsi="Times New Roman" w:hint="eastAsia"/>
          <w:color w:val="000000" w:themeColor="text1"/>
          <w:sz w:val="24"/>
          <w:szCs w:val="24"/>
        </w:rPr>
        <w:t>the</w:t>
      </w:r>
      <w:r w:rsidRPr="00025B8B">
        <w:rPr>
          <w:rFonts w:ascii="Times New Roman" w:hAnsi="Times New Roman"/>
          <w:color w:val="000000" w:themeColor="text1"/>
          <w:sz w:val="24"/>
          <w:szCs w:val="24"/>
        </w:rPr>
        <w:t xml:space="preserve"> potential role of ROS was verified by measuring conjugation frequency in the presence of herbicides supplemented with </w:t>
      </w:r>
      <w:r w:rsidRPr="00025B8B">
        <w:rPr>
          <w:rFonts w:ascii="Times New Roman" w:hAnsi="Times New Roman" w:hint="eastAsia"/>
          <w:color w:val="000000" w:themeColor="text1"/>
          <w:sz w:val="24"/>
          <w:szCs w:val="24"/>
        </w:rPr>
        <w:t>the</w:t>
      </w:r>
      <w:r w:rsidRPr="00025B8B">
        <w:rPr>
          <w:rFonts w:ascii="Times New Roman" w:hAnsi="Times New Roman"/>
          <w:color w:val="000000" w:themeColor="text1"/>
          <w:sz w:val="24"/>
          <w:szCs w:val="24"/>
        </w:rPr>
        <w:t xml:space="preserve"> ROS scavenger thiourea, which removes the potential benefits of ROS for conjugation. Thiourea had only a small effect on conjugation frequency under glyphosate exposure (Extended Data Fig. 21), which confirms that ROS was not the main driver of herbicide-induced increase in conjugation frequency.</w:t>
      </w:r>
      <w:bookmarkStart w:id="19" w:name="_Hlk60670825"/>
      <w:r w:rsidRPr="00025B8B">
        <w:rPr>
          <w:rFonts w:ascii="Times New Roman" w:hAnsi="Times New Roman"/>
          <w:color w:val="000000" w:themeColor="text1"/>
          <w:sz w:val="24"/>
          <w:szCs w:val="24"/>
        </w:rPr>
        <w:t xml:space="preserve"> </w:t>
      </w:r>
      <w:r w:rsidRPr="00025B8B">
        <w:rPr>
          <w:rFonts w:ascii="Times New Roman" w:hAnsi="Times New Roman"/>
          <w:color w:val="000000" w:themeColor="text1"/>
          <w:kern w:val="0"/>
          <w:sz w:val="24"/>
          <w:szCs w:val="24"/>
        </w:rPr>
        <w:t xml:space="preserve">However, herbicide exposure significantly increased the expression of 13 glutamate metabolism genes (Extended Data Fig. 17a) that have previously been associated with other stress responses </w:t>
      </w:r>
      <w:r w:rsidRPr="00025B8B">
        <w:rPr>
          <w:rFonts w:ascii="Times New Roman" w:hAnsi="Times New Roman"/>
          <w:noProof/>
          <w:color w:val="000000" w:themeColor="text1"/>
          <w:kern w:val="0"/>
          <w:sz w:val="24"/>
          <w:szCs w:val="24"/>
        </w:rPr>
        <w:t>(Feehily and Karatzas 2013)</w:t>
      </w:r>
      <w:r w:rsidRPr="00025B8B">
        <w:rPr>
          <w:rFonts w:ascii="Times New Roman" w:hAnsi="Times New Roman"/>
          <w:color w:val="000000" w:themeColor="text1"/>
          <w:kern w:val="0"/>
          <w:sz w:val="24"/>
          <w:szCs w:val="24"/>
        </w:rPr>
        <w:t>. It is thus possible that upregulation of these genes was linked to increased herbicide tolerance</w:t>
      </w:r>
      <w:r w:rsidRPr="00025B8B">
        <w:rPr>
          <w:rFonts w:ascii="Times New Roman" w:hAnsi="Times New Roman"/>
          <w:color w:val="000000" w:themeColor="text1"/>
          <w:sz w:val="24"/>
          <w:szCs w:val="24"/>
        </w:rPr>
        <w:t>.</w:t>
      </w:r>
      <w:bookmarkEnd w:id="19"/>
      <w:r w:rsidRPr="00025B8B">
        <w:rPr>
          <w:rFonts w:ascii="Times New Roman" w:hAnsi="Times New Roman"/>
          <w:color w:val="000000" w:themeColor="text1"/>
          <w:sz w:val="24"/>
          <w:szCs w:val="24"/>
        </w:rPr>
        <w:t xml:space="preserve"> Together, these results indicate that instead of ROS and SOS, increased cell membrane permeability and upregulation of other stress-related genes were more important for the increased conjugation frequency under herbicide exposure.</w:t>
      </w:r>
    </w:p>
    <w:p w:rsidR="005E2EB4" w:rsidRPr="00025B8B" w:rsidRDefault="005E2EB4" w:rsidP="00025D1D">
      <w:pPr>
        <w:spacing w:line="480" w:lineRule="auto"/>
        <w:rPr>
          <w:rFonts w:ascii="Times New Roman" w:hAnsi="Times New Roman"/>
          <w:color w:val="000000" w:themeColor="text1"/>
          <w:sz w:val="24"/>
          <w:szCs w:val="24"/>
        </w:rPr>
      </w:pP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b/>
          <w:color w:val="000000" w:themeColor="text1"/>
          <w:sz w:val="24"/>
          <w:szCs w:val="24"/>
        </w:rPr>
        <w:t>Herbicide application history correlates with relatively higher ARG and MGE levels in agricultural soils in China</w:t>
      </w:r>
    </w:p>
    <w:p w:rsidR="005E2EB4" w:rsidRPr="00025B8B" w:rsidRDefault="005E2EB4" w:rsidP="00025D1D">
      <w:pPr>
        <w:spacing w:line="480" w:lineRule="auto"/>
        <w:rPr>
          <w:rFonts w:ascii="Times New Roman" w:hAnsi="Times New Roman"/>
          <w:color w:val="000000" w:themeColor="text1"/>
          <w:sz w:val="24"/>
          <w:szCs w:val="24"/>
        </w:rPr>
      </w:pPr>
      <w:r w:rsidRPr="00025B8B">
        <w:rPr>
          <w:rFonts w:ascii="Times New Roman" w:hAnsi="Times New Roman"/>
          <w:color w:val="000000" w:themeColor="text1"/>
          <w:sz w:val="24"/>
          <w:szCs w:val="24"/>
        </w:rPr>
        <w:t xml:space="preserve">To explore potential implication of herbicide application history in agricultural fields, we sampled a total of twenty-one sites across </w:t>
      </w:r>
      <w:r w:rsidRPr="00025B8B">
        <w:rPr>
          <w:rFonts w:ascii="Times New Roman" w:hAnsi="Times New Roman" w:hint="eastAsia"/>
          <w:bCs/>
          <w:color w:val="000000" w:themeColor="text1"/>
          <w:sz w:val="24"/>
          <w:szCs w:val="24"/>
        </w:rPr>
        <w:t>eleven</w:t>
      </w:r>
      <w:r w:rsidRPr="00025B8B">
        <w:rPr>
          <w:rFonts w:ascii="Times New Roman" w:hAnsi="Times New Roman"/>
          <w:color w:val="000000" w:themeColor="text1"/>
          <w:sz w:val="24"/>
          <w:szCs w:val="24"/>
        </w:rPr>
        <w:t xml:space="preserve"> provinces in China (Extended Data Fig. 22), and compared the </w:t>
      </w:r>
      <w:r w:rsidRPr="00025B8B">
        <w:rPr>
          <w:rFonts w:ascii="Times New Roman" w:hAnsi="Times New Roman"/>
          <w:color w:val="000000" w:themeColor="text1"/>
          <w:sz w:val="24"/>
          <w:szCs w:val="24"/>
        </w:rPr>
        <w:lastRenderedPageBreak/>
        <w:t>relative abundances of ARGs and MGEs between fields that had been i) continuously exposed to glyphosate (at least for 10 years) or ii) had been free of any herbicide use for the past 5 years. Based on qPCR analyses targeting a subset of ARGs and MGEs (</w:t>
      </w:r>
      <w:r w:rsidRPr="00025B8B">
        <w:rPr>
          <w:rFonts w:ascii="Times New Roman" w:hAnsi="Times New Roman" w:hint="eastAsia"/>
          <w:color w:val="000000" w:themeColor="text1"/>
          <w:sz w:val="24"/>
          <w:szCs w:val="24"/>
        </w:rPr>
        <w:t>Supplementary</w:t>
      </w:r>
      <w:r w:rsidRPr="00025B8B">
        <w:rPr>
          <w:rFonts w:ascii="Times New Roman" w:hAnsi="Times New Roman"/>
          <w:color w:val="000000" w:themeColor="text1"/>
          <w:sz w:val="24"/>
          <w:szCs w:val="24"/>
        </w:rPr>
        <w:t xml:space="preserve"> Table S6), we found that herbicide application was associated with higher relative abundances of both ARGs and MGEs (</w:t>
      </w:r>
      <w:r w:rsidRPr="00025B8B">
        <w:rPr>
          <w:rFonts w:ascii="Times New Roman" w:hAnsi="Times New Roman"/>
          <w:i/>
          <w:color w:val="000000" w:themeColor="text1"/>
          <w:sz w:val="24"/>
          <w:szCs w:val="24"/>
        </w:rPr>
        <w:t>p</w:t>
      </w:r>
      <w:r w:rsidRPr="00025B8B">
        <w:rPr>
          <w:rFonts w:ascii="Times New Roman" w:hAnsi="Times New Roman"/>
          <w:color w:val="000000" w:themeColor="text1"/>
          <w:sz w:val="24"/>
          <w:szCs w:val="24"/>
        </w:rPr>
        <w:t>&lt;0.01, Fig. 4</w:t>
      </w:r>
      <w:r w:rsidRPr="00025B8B">
        <w:rPr>
          <w:rFonts w:ascii="Times New Roman" w:hAnsi="Times New Roman" w:hint="eastAsia"/>
          <w:color w:val="000000" w:themeColor="text1"/>
          <w:sz w:val="24"/>
          <w:szCs w:val="24"/>
        </w:rPr>
        <w:t>a</w:t>
      </w:r>
      <w:r w:rsidRPr="00025B8B">
        <w:rPr>
          <w:rFonts w:ascii="Times New Roman" w:hAnsi="Times New Roman"/>
          <w:color w:val="000000" w:themeColor="text1"/>
          <w:sz w:val="24"/>
          <w:szCs w:val="24"/>
        </w:rPr>
        <w:t>-c). Specifically, high abundances of</w:t>
      </w:r>
      <w:r w:rsidRPr="00025B8B">
        <w:rPr>
          <w:rFonts w:ascii="Times New Roman" w:hAnsi="Times New Roman"/>
          <w:i/>
          <w:iCs/>
          <w:color w:val="000000" w:themeColor="text1"/>
          <w:sz w:val="24"/>
          <w:szCs w:val="24"/>
        </w:rPr>
        <w:t xml:space="preserve"> </w:t>
      </w:r>
      <w:r w:rsidRPr="00025B8B">
        <w:rPr>
          <w:rFonts w:ascii="Times New Roman" w:hAnsi="Times New Roman" w:hint="eastAsia"/>
          <w:iCs/>
          <w:color w:val="000000" w:themeColor="text1"/>
          <w:sz w:val="24"/>
          <w:szCs w:val="24"/>
        </w:rPr>
        <w:t>the</w:t>
      </w:r>
      <w:r w:rsidRPr="00025B8B">
        <w:rPr>
          <w:rFonts w:ascii="Times New Roman" w:hAnsi="Times New Roman"/>
          <w:i/>
          <w:iCs/>
          <w:color w:val="000000" w:themeColor="text1"/>
          <w:sz w:val="24"/>
          <w:szCs w:val="24"/>
        </w:rPr>
        <w:t xml:space="preserve"> aacA4 </w:t>
      </w:r>
      <w:r w:rsidRPr="00025B8B">
        <w:rPr>
          <w:rFonts w:ascii="Times New Roman" w:hAnsi="Times New Roman"/>
          <w:color w:val="000000" w:themeColor="text1"/>
          <w:sz w:val="24"/>
          <w:szCs w:val="24"/>
        </w:rPr>
        <w:t>aminoglycoside resistance gene were observed both in the soil microcosm experiment and field samples (Fig. 4d, Extended Data Fig. 23). Furthermore, while observed relationships were sensitive to individual sites and specific target genes (Fig. 4c-d), ARG and MGE abundances showed positive correlations with detected glyphosate residues in the soil (Fig. 4e). Similar to the soil microcosm experiment, total ARG and MGE abundances correlated positively with each other (Fig. 4f), suggesting that horizontal gene transfer could be an important mechanism for herbicide-mediated ARG enrichment in agricultural soil microbiomes.</w:t>
      </w:r>
    </w:p>
    <w:p w:rsidR="005E2EB4" w:rsidRPr="00025B8B" w:rsidRDefault="005E2EB4" w:rsidP="00025D1D">
      <w:pPr>
        <w:spacing w:line="480" w:lineRule="auto"/>
        <w:rPr>
          <w:rFonts w:ascii="Times New Roman" w:hAnsi="Times New Roman"/>
          <w:color w:val="000000" w:themeColor="text1"/>
          <w:sz w:val="24"/>
          <w:szCs w:val="24"/>
        </w:rPr>
      </w:pPr>
    </w:p>
    <w:p w:rsidR="005E2EB4" w:rsidRPr="00025B8B" w:rsidRDefault="005E2EB4" w:rsidP="00025D1D">
      <w:pPr>
        <w:spacing w:line="480" w:lineRule="auto"/>
        <w:rPr>
          <w:rFonts w:ascii="Times New Roman" w:hAnsi="Times New Roman"/>
          <w:b/>
          <w:bCs/>
          <w:color w:val="000000" w:themeColor="text1"/>
          <w:sz w:val="24"/>
          <w:szCs w:val="24"/>
        </w:rPr>
      </w:pPr>
      <w:r w:rsidRPr="00025B8B">
        <w:rPr>
          <w:rFonts w:ascii="Times New Roman" w:hAnsi="Times New Roman"/>
          <w:b/>
          <w:bCs/>
          <w:color w:val="000000" w:themeColor="text1"/>
          <w:sz w:val="24"/>
          <w:szCs w:val="24"/>
        </w:rPr>
        <w:t>Discussion</w:t>
      </w:r>
    </w:p>
    <w:p w:rsidR="005E2EB4" w:rsidRPr="00025B8B" w:rsidRDefault="005E2EB4" w:rsidP="00025D1D">
      <w:pPr>
        <w:spacing w:line="480" w:lineRule="auto"/>
        <w:rPr>
          <w:rFonts w:ascii="Times New Roman" w:hAnsi="Times New Roman"/>
          <w:color w:val="000000" w:themeColor="text1"/>
          <w:sz w:val="24"/>
          <w:szCs w:val="24"/>
        </w:rPr>
      </w:pPr>
      <w:r w:rsidRPr="00025B8B">
        <w:rPr>
          <w:rFonts w:ascii="Times New Roman" w:hAnsi="Times New Roman"/>
          <w:color w:val="000000" w:themeColor="text1"/>
          <w:sz w:val="24"/>
          <w:szCs w:val="24"/>
        </w:rPr>
        <w:t xml:space="preserve">Together, our multi-methodological approach shows that herbicide exposure can increase the prevalence of ARGs and MGEs in soil microbiomes. Herbicides persisted in soil microcosms throughout the experiment, and while their concentrations declined gradually after the initial application, the abundance of multiple ARGs and MGEs increased steadily </w:t>
      </w:r>
      <w:r w:rsidRPr="00025B8B">
        <w:rPr>
          <w:rFonts w:ascii="Times New Roman" w:hAnsi="Times New Roman" w:hint="eastAsia"/>
          <w:color w:val="000000" w:themeColor="text1"/>
          <w:sz w:val="24"/>
          <w:szCs w:val="24"/>
        </w:rPr>
        <w:t>over</w:t>
      </w:r>
      <w:r w:rsidRPr="00025B8B">
        <w:rPr>
          <w:rFonts w:ascii="Times New Roman" w:hAnsi="Times New Roman"/>
          <w:color w:val="000000" w:themeColor="text1"/>
          <w:sz w:val="24"/>
          <w:szCs w:val="24"/>
        </w:rPr>
        <w:t xml:space="preserve"> time. </w:t>
      </w:r>
      <w:bookmarkStart w:id="20" w:name="_Hlk60818135"/>
      <w:r w:rsidRPr="00025B8B">
        <w:rPr>
          <w:rFonts w:ascii="Times New Roman" w:hAnsi="Times New Roman"/>
          <w:color w:val="000000" w:themeColor="text1"/>
          <w:sz w:val="24"/>
          <w:szCs w:val="24"/>
        </w:rPr>
        <w:t>Glyphosate had the relatively largest effect compared to other herbicides</w:t>
      </w:r>
      <w:bookmarkEnd w:id="20"/>
      <w:r w:rsidRPr="00025B8B">
        <w:rPr>
          <w:rFonts w:ascii="Times New Roman" w:hAnsi="Times New Roman"/>
          <w:color w:val="000000" w:themeColor="text1"/>
          <w:sz w:val="24"/>
          <w:szCs w:val="24"/>
        </w:rPr>
        <w:t xml:space="preserve">, especially increasing the abundance of trimethoprim and kasugamycin resistance genes and plasmid, integrase and transposase MGEs. In contrast, glufosinate increased the abundance of kasugamycin, tetracycline and plasmid genes, while dicamba increased the abundance of trimethoprim and </w:t>
      </w:r>
      <w:r w:rsidRPr="00025B8B">
        <w:rPr>
          <w:rFonts w:ascii="Times New Roman" w:hAnsi="Times New Roman"/>
          <w:i/>
          <w:color w:val="000000" w:themeColor="text1"/>
          <w:sz w:val="24"/>
          <w:szCs w:val="24"/>
        </w:rPr>
        <w:t>TniA</w:t>
      </w:r>
      <w:r w:rsidRPr="00025B8B">
        <w:rPr>
          <w:rFonts w:ascii="Times New Roman" w:hAnsi="Times New Roman"/>
          <w:color w:val="000000" w:themeColor="text1"/>
          <w:sz w:val="24"/>
          <w:szCs w:val="24"/>
        </w:rPr>
        <w:t xml:space="preserve"> transposase genes. This pattern of elevated resistance could be explained by two potential underlying mechanisms: selection for </w:t>
      </w:r>
      <w:r w:rsidRPr="00025B8B">
        <w:rPr>
          <w:rFonts w:ascii="Times New Roman" w:hAnsi="Times New Roman"/>
          <w:i/>
          <w:iCs/>
          <w:color w:val="000000" w:themeColor="text1"/>
          <w:sz w:val="24"/>
          <w:szCs w:val="24"/>
        </w:rPr>
        <w:t>de novo</w:t>
      </w:r>
      <w:r w:rsidRPr="00025B8B">
        <w:rPr>
          <w:rFonts w:ascii="Times New Roman" w:hAnsi="Times New Roman"/>
          <w:color w:val="000000" w:themeColor="text1"/>
          <w:sz w:val="24"/>
          <w:szCs w:val="24"/>
        </w:rPr>
        <w:t xml:space="preserve"> antibiotic </w:t>
      </w:r>
      <w:r w:rsidRPr="00025B8B">
        <w:rPr>
          <w:rFonts w:ascii="Times New Roman" w:hAnsi="Times New Roman"/>
          <w:color w:val="000000" w:themeColor="text1"/>
          <w:sz w:val="24"/>
          <w:szCs w:val="24"/>
        </w:rPr>
        <w:lastRenderedPageBreak/>
        <w:t xml:space="preserve">resistance and mobilization of </w:t>
      </w:r>
      <w:r w:rsidRPr="00025B8B">
        <w:rPr>
          <w:rFonts w:ascii="Times New Roman" w:hAnsi="Times New Roman" w:hint="eastAsia"/>
          <w:color w:val="000000" w:themeColor="text1"/>
          <w:sz w:val="24"/>
          <w:szCs w:val="24"/>
        </w:rPr>
        <w:t>ARGs</w:t>
      </w:r>
      <w:r w:rsidRPr="00025B8B">
        <w:rPr>
          <w:rFonts w:ascii="Times New Roman" w:hAnsi="Times New Roman"/>
          <w:color w:val="000000" w:themeColor="text1"/>
          <w:sz w:val="24"/>
          <w:szCs w:val="24"/>
        </w:rPr>
        <w:t xml:space="preserve"> via horizontal gene transfer. Herbicide exposure selected for mutations linked to detoxification of xenobiotic</w:t>
      </w:r>
      <w:r w:rsidRPr="00025B8B">
        <w:rPr>
          <w:rFonts w:ascii="Times New Roman" w:hAnsi="Times New Roman" w:hint="eastAsia"/>
          <w:color w:val="000000" w:themeColor="text1"/>
          <w:sz w:val="24"/>
          <w:szCs w:val="24"/>
        </w:rPr>
        <w:t>s</w:t>
      </w:r>
      <w:r w:rsidRPr="00025B8B">
        <w:rPr>
          <w:rFonts w:ascii="Times New Roman" w:hAnsi="Times New Roman"/>
          <w:color w:val="000000" w:themeColor="text1"/>
          <w:sz w:val="24"/>
          <w:szCs w:val="24"/>
        </w:rPr>
        <w:t xml:space="preserve"> (e.g. efflux pumps, glyphosate and amino acid metabolism, target genes and stress tolerance) </w:t>
      </w:r>
      <w:r w:rsidRPr="00025B8B">
        <w:rPr>
          <w:rFonts w:ascii="Times New Roman" w:hAnsi="Times New Roman"/>
          <w:noProof/>
          <w:color w:val="000000" w:themeColor="text1"/>
          <w:sz w:val="24"/>
          <w:szCs w:val="24"/>
        </w:rPr>
        <w:t>(Abell 1996; Ohta, et al. 1997; Otoshi, et al. 2001; Conte and Lloyd 2011; Cummins, et al. 2013; Christoffoleti, et al. 2015; Delye, et al. 2015)</w:t>
      </w:r>
      <w:r w:rsidRPr="00025B8B">
        <w:rPr>
          <w:rFonts w:ascii="Times New Roman" w:hAnsi="Times New Roman"/>
          <w:color w:val="000000" w:themeColor="text1"/>
          <w:sz w:val="24"/>
          <w:szCs w:val="24"/>
        </w:rPr>
        <w:t xml:space="preserve"> and several antibiotic resistance mechanisms: efflux pumps and transporters </w:t>
      </w:r>
      <w:r w:rsidRPr="00025B8B">
        <w:rPr>
          <w:rFonts w:ascii="Times New Roman" w:hAnsi="Times New Roman"/>
          <w:noProof/>
          <w:color w:val="000000" w:themeColor="text1"/>
          <w:sz w:val="24"/>
          <w:szCs w:val="24"/>
        </w:rPr>
        <w:t>(Hall and Mah 2017)</w:t>
      </w:r>
      <w:r w:rsidRPr="00025B8B">
        <w:rPr>
          <w:rFonts w:ascii="Times New Roman" w:hAnsi="Times New Roman"/>
          <w:color w:val="000000" w:themeColor="text1"/>
          <w:sz w:val="24"/>
          <w:szCs w:val="24"/>
        </w:rPr>
        <w:t>,</w:t>
      </w:r>
      <w:r w:rsidRPr="00025B8B">
        <w:rPr>
          <w:color w:val="000000" w:themeColor="text1"/>
        </w:rPr>
        <w:t xml:space="preserve"> </w:t>
      </w:r>
      <w:r w:rsidRPr="00025B8B">
        <w:rPr>
          <w:rFonts w:ascii="Times New Roman" w:hAnsi="Times New Roman"/>
          <w:color w:val="000000" w:themeColor="text1"/>
          <w:sz w:val="24"/>
          <w:szCs w:val="24"/>
        </w:rPr>
        <w:t>changes in the antibiotic target genes</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(ribosomal proteins) </w:t>
      </w:r>
      <w:r w:rsidRPr="00025B8B">
        <w:rPr>
          <w:rFonts w:ascii="Times New Roman" w:hAnsi="Times New Roman"/>
          <w:noProof/>
          <w:color w:val="000000" w:themeColor="text1"/>
          <w:sz w:val="24"/>
          <w:szCs w:val="24"/>
        </w:rPr>
        <w:t>(Suzuki, et al. 2014)</w:t>
      </w:r>
      <w:r w:rsidRPr="00025B8B">
        <w:rPr>
          <w:rFonts w:ascii="Times New Roman" w:hAnsi="Times New Roman"/>
          <w:color w:val="000000" w:themeColor="text1"/>
          <w:sz w:val="24"/>
          <w:szCs w:val="24"/>
        </w:rPr>
        <w:t xml:space="preserve"> and</w:t>
      </w:r>
      <w:r w:rsidRPr="00025B8B">
        <w:rPr>
          <w:color w:val="000000" w:themeColor="text1"/>
        </w:rPr>
        <w:t xml:space="preserve"> </w:t>
      </w:r>
      <w:r w:rsidRPr="00025B8B">
        <w:rPr>
          <w:rFonts w:ascii="Times New Roman" w:hAnsi="Times New Roman"/>
          <w:color w:val="000000" w:themeColor="text1"/>
          <w:sz w:val="24"/>
          <w:szCs w:val="24"/>
        </w:rPr>
        <w:t xml:space="preserve">degradation </w:t>
      </w:r>
      <w:r w:rsidRPr="00025B8B">
        <w:rPr>
          <w:rFonts w:ascii="Times New Roman" w:hAnsi="Times New Roman" w:hint="eastAsia"/>
          <w:color w:val="000000" w:themeColor="text1"/>
          <w:sz w:val="24"/>
          <w:szCs w:val="24"/>
        </w:rPr>
        <w:t xml:space="preserve">or </w:t>
      </w:r>
      <w:r w:rsidRPr="00025B8B">
        <w:rPr>
          <w:rFonts w:ascii="Times New Roman" w:hAnsi="Times New Roman"/>
          <w:color w:val="000000" w:themeColor="text1"/>
          <w:sz w:val="24"/>
          <w:szCs w:val="24"/>
        </w:rPr>
        <w:t>enzymatic modification of antibiotics</w:t>
      </w:r>
      <w:r w:rsidRPr="00025B8B">
        <w:rPr>
          <w:color w:val="000000" w:themeColor="text1"/>
        </w:rPr>
        <w:t xml:space="preserve"> </w:t>
      </w:r>
      <w:r w:rsidRPr="00025B8B">
        <w:rPr>
          <w:rFonts w:ascii="Times New Roman" w:hAnsi="Times New Roman"/>
          <w:color w:val="000000" w:themeColor="text1"/>
          <w:sz w:val="24"/>
          <w:szCs w:val="24"/>
        </w:rPr>
        <w:t>(</w:t>
      </w:r>
      <w:r w:rsidRPr="00025B8B">
        <w:rPr>
          <w:rFonts w:ascii="Times New Roman" w:hAnsi="Times New Roman" w:hint="eastAsia"/>
          <w:color w:val="000000" w:themeColor="text1"/>
          <w:sz w:val="24"/>
          <w:szCs w:val="24"/>
        </w:rPr>
        <w:t>hydrolytic</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enzyme</w:t>
      </w:r>
      <w:r w:rsidRPr="00025B8B">
        <w:rPr>
          <w:rFonts w:ascii="Times New Roman" w:hAnsi="Times New Roman"/>
          <w:color w:val="000000" w:themeColor="text1"/>
          <w:sz w:val="24"/>
          <w:szCs w:val="24"/>
        </w:rPr>
        <w:t xml:space="preserve">s) </w:t>
      </w:r>
      <w:r w:rsidRPr="00025B8B">
        <w:rPr>
          <w:rFonts w:ascii="Times New Roman" w:hAnsi="Times New Roman"/>
          <w:noProof/>
          <w:color w:val="000000" w:themeColor="text1"/>
          <w:sz w:val="24"/>
          <w:szCs w:val="24"/>
        </w:rPr>
        <w:t>(Zampieri, et al. 2017)</w:t>
      </w:r>
      <w:r w:rsidRPr="00025B8B">
        <w:rPr>
          <w:rFonts w:ascii="Times New Roman" w:hAnsi="Times New Roman"/>
          <w:color w:val="000000" w:themeColor="text1"/>
          <w:sz w:val="24"/>
          <w:szCs w:val="24"/>
        </w:rPr>
        <w:t xml:space="preserve">. </w:t>
      </w:r>
      <w:bookmarkStart w:id="21" w:name="_Hlk60496645"/>
      <w:r w:rsidRPr="00025B8B">
        <w:rPr>
          <w:rFonts w:ascii="Times New Roman" w:hAnsi="Times New Roman"/>
          <w:color w:val="000000" w:themeColor="text1"/>
          <w:sz w:val="24"/>
          <w:szCs w:val="24"/>
        </w:rPr>
        <w:t xml:space="preserve">Efflux pumps have previously been linked to both antibiotic and herbicide resistances </w:t>
      </w:r>
      <w:r w:rsidRPr="00025B8B">
        <w:rPr>
          <w:rFonts w:ascii="Times New Roman" w:hAnsi="Times New Roman"/>
          <w:noProof/>
          <w:color w:val="000000" w:themeColor="text1"/>
          <w:sz w:val="24"/>
          <w:szCs w:val="24"/>
        </w:rPr>
        <w:t>(Paul, et al. 2019)</w:t>
      </w:r>
      <w:r w:rsidRPr="00025B8B">
        <w:rPr>
          <w:rFonts w:ascii="Times New Roman" w:hAnsi="Times New Roman"/>
          <w:color w:val="000000" w:themeColor="text1"/>
          <w:sz w:val="24"/>
          <w:szCs w:val="24"/>
        </w:rPr>
        <w:t xml:space="preserve"> and could have provided cross-resistance to both types of compounds </w:t>
      </w:r>
      <w:r w:rsidRPr="00025B8B">
        <w:rPr>
          <w:rFonts w:ascii="Times New Roman" w:hAnsi="Times New Roman"/>
          <w:noProof/>
          <w:color w:val="000000" w:themeColor="text1"/>
          <w:sz w:val="24"/>
          <w:szCs w:val="24"/>
        </w:rPr>
        <w:t>(Xing, et al. 2020)</w:t>
      </w:r>
      <w:r w:rsidRPr="00025B8B">
        <w:rPr>
          <w:rFonts w:ascii="Times New Roman" w:hAnsi="Times New Roman"/>
          <w:color w:val="000000" w:themeColor="text1"/>
          <w:sz w:val="24"/>
          <w:szCs w:val="24"/>
        </w:rPr>
        <w:t xml:space="preserve">. However, most of the mutations were unique to specific herbicide treatments, indicative of distinct tolerance mechanisms potentially driven by different modes of action of herbicides </w:t>
      </w:r>
      <w:r w:rsidRPr="00025B8B">
        <w:rPr>
          <w:rFonts w:ascii="Times New Roman" w:hAnsi="Times New Roman"/>
          <w:noProof/>
          <w:color w:val="000000" w:themeColor="text1"/>
          <w:sz w:val="24"/>
          <w:szCs w:val="24"/>
        </w:rPr>
        <w:t>(Shariq I Sherwani, et al. 2015; Comont, et al. 2020)</w:t>
      </w:r>
      <w:r w:rsidRPr="00025B8B">
        <w:rPr>
          <w:rFonts w:ascii="Times New Roman" w:hAnsi="Times New Roman"/>
          <w:color w:val="000000" w:themeColor="text1"/>
          <w:sz w:val="24"/>
          <w:szCs w:val="24"/>
        </w:rPr>
        <w:t xml:space="preserve">. Also, multiple different resistance mutations were found in every clone, which suggests that potential synergistic pleiotropic effects of resistance should be explored in the future. </w:t>
      </w:r>
      <w:bookmarkEnd w:id="21"/>
    </w:p>
    <w:p w:rsidR="005E2EB4" w:rsidRPr="00025B8B" w:rsidRDefault="005E2EB4" w:rsidP="00025D1D">
      <w:pPr>
        <w:spacing w:line="480" w:lineRule="auto"/>
        <w:ind w:firstLine="420"/>
        <w:rPr>
          <w:rFonts w:ascii="Times New Roman" w:hAnsi="Times New Roman"/>
          <w:color w:val="000000" w:themeColor="text1"/>
          <w:sz w:val="24"/>
          <w:szCs w:val="24"/>
        </w:rPr>
      </w:pPr>
      <w:r w:rsidRPr="00025B8B">
        <w:rPr>
          <w:rFonts w:ascii="Times New Roman" w:hAnsi="Times New Roman"/>
          <w:color w:val="000000" w:themeColor="text1"/>
          <w:sz w:val="24"/>
          <w:szCs w:val="24"/>
        </w:rPr>
        <w:t xml:space="preserve">Herbicides could have promoted the </w:t>
      </w:r>
      <w:r w:rsidRPr="00025B8B">
        <w:rPr>
          <w:rFonts w:ascii="Times New Roman" w:hAnsi="Times New Roman"/>
          <w:i/>
          <w:iCs/>
          <w:color w:val="000000" w:themeColor="text1"/>
          <w:sz w:val="24"/>
          <w:szCs w:val="24"/>
        </w:rPr>
        <w:t>de novo</w:t>
      </w:r>
      <w:r w:rsidRPr="00025B8B">
        <w:rPr>
          <w:rFonts w:ascii="Times New Roman" w:hAnsi="Times New Roman"/>
          <w:color w:val="000000" w:themeColor="text1"/>
          <w:sz w:val="24"/>
          <w:szCs w:val="24"/>
        </w:rPr>
        <w:t xml:space="preserve"> resistance evolution by increasing bacterial mutation frequency leading to increase in genetic variation for the selection to act on. While, this explanation is not supported by a previous study where the genome-wide mutation rate of </w:t>
      </w:r>
      <w:r w:rsidRPr="00025B8B">
        <w:rPr>
          <w:rFonts w:ascii="Times New Roman" w:hAnsi="Times New Roman"/>
          <w:i/>
          <w:iCs/>
          <w:color w:val="000000" w:themeColor="text1"/>
          <w:sz w:val="24"/>
          <w:szCs w:val="24"/>
        </w:rPr>
        <w:t>E. coli</w:t>
      </w:r>
      <w:r w:rsidRPr="00025B8B">
        <w:rPr>
          <w:rFonts w:ascii="Times New Roman" w:hAnsi="Times New Roman"/>
          <w:color w:val="000000" w:themeColor="text1"/>
          <w:sz w:val="24"/>
          <w:szCs w:val="24"/>
        </w:rPr>
        <w:t xml:space="preserve"> was found to decrease with increasing glyphosate-based herbicide concentrations </w:t>
      </w:r>
      <w:r w:rsidRPr="00025B8B">
        <w:rPr>
          <w:rFonts w:ascii="Times New Roman" w:hAnsi="Times New Roman"/>
          <w:noProof/>
          <w:color w:val="000000" w:themeColor="text1"/>
          <w:sz w:val="24"/>
          <w:szCs w:val="24"/>
        </w:rPr>
        <w:t>(Tincher, et al. 2017)</w:t>
      </w:r>
      <w:r w:rsidRPr="00025B8B">
        <w:rPr>
          <w:rFonts w:ascii="Times New Roman" w:hAnsi="Times New Roman"/>
          <w:color w:val="000000" w:themeColor="text1"/>
          <w:sz w:val="24"/>
          <w:szCs w:val="24"/>
        </w:rPr>
        <w:t xml:space="preserve">, it warrants more detailed testing in the future. Alternatively, the resistance mutations could have been slightly beneficial when in competition with non-resistant ancestral genotypes at sublethal herbicide concentrations similar to selection of antibiotic resistance at very low antibiotic concentrations </w:t>
      </w:r>
      <w:r w:rsidRPr="00025B8B">
        <w:rPr>
          <w:rFonts w:ascii="Times New Roman" w:hAnsi="Times New Roman"/>
          <w:noProof/>
          <w:color w:val="000000" w:themeColor="text1"/>
          <w:sz w:val="24"/>
          <w:szCs w:val="24"/>
        </w:rPr>
        <w:t>(Gullberg, et al. 2011)</w:t>
      </w:r>
      <w:r w:rsidRPr="00025B8B">
        <w:rPr>
          <w:rFonts w:ascii="Times New Roman" w:hAnsi="Times New Roman"/>
          <w:color w:val="000000" w:themeColor="text1"/>
          <w:sz w:val="24"/>
          <w:szCs w:val="24"/>
        </w:rPr>
        <w:t xml:space="preserve">. Furthermore, herbicides mobilized ARGs by increasing RP4 plasmid conjugation frequency, which is a broad-host-range conjugative IncP α-type plasmid and can transfer </w:t>
      </w:r>
      <w:r w:rsidRPr="00025B8B">
        <w:rPr>
          <w:rFonts w:ascii="Times New Roman" w:hAnsi="Times New Roman"/>
          <w:color w:val="000000" w:themeColor="text1"/>
          <w:sz w:val="24"/>
          <w:szCs w:val="24"/>
        </w:rPr>
        <w:lastRenderedPageBreak/>
        <w:t xml:space="preserve">between 15 different bacterial phyla </w:t>
      </w:r>
      <w:r w:rsidRPr="00025B8B">
        <w:rPr>
          <w:rFonts w:ascii="Times New Roman" w:hAnsi="Times New Roman"/>
          <w:noProof/>
          <w:color w:val="000000" w:themeColor="text1"/>
          <w:sz w:val="24"/>
          <w:szCs w:val="24"/>
        </w:rPr>
        <w:t>(Fan, et al. 2019)</w:t>
      </w:r>
      <w:r w:rsidRPr="00025B8B">
        <w:rPr>
          <w:rFonts w:ascii="Times New Roman" w:hAnsi="Times New Roman"/>
          <w:color w:val="000000" w:themeColor="text1"/>
          <w:sz w:val="24"/>
          <w:szCs w:val="24"/>
        </w:rPr>
        <w:t xml:space="preserve">. Based on our experiments, the most likely explanation behind this result was herbicide-induced increase in bacterial cell membrane permeability </w:t>
      </w:r>
      <w:r w:rsidRPr="00025B8B">
        <w:rPr>
          <w:rFonts w:ascii="Times New Roman" w:hAnsi="Times New Roman"/>
          <w:noProof/>
          <w:color w:val="000000" w:themeColor="text1"/>
          <w:sz w:val="24"/>
          <w:szCs w:val="24"/>
        </w:rPr>
        <w:t>(Wang, et al. 2019)</w:t>
      </w:r>
      <w:r w:rsidRPr="00025B8B">
        <w:rPr>
          <w:rFonts w:ascii="Times New Roman" w:hAnsi="Times New Roman"/>
          <w:color w:val="000000" w:themeColor="text1"/>
          <w:sz w:val="24"/>
          <w:szCs w:val="24"/>
        </w:rPr>
        <w:t>, which promoted plasmid movement. While it was confirmed that this was not driven by increased expression of SOS or ROS related genes, upregulation of glutamate metabolism genes that have previously been associated with acid and other stress tolerance was observed. More detailed molecular studies are still required to better understand the effects of herbicides for plasmid conjugation frequency.</w:t>
      </w:r>
    </w:p>
    <w:p w:rsidR="005E2EB4" w:rsidRPr="00025B8B" w:rsidRDefault="005E2EB4" w:rsidP="00025D1D">
      <w:pPr>
        <w:spacing w:line="480" w:lineRule="auto"/>
        <w:ind w:firstLine="420"/>
        <w:rPr>
          <w:rFonts w:ascii="Times New Roman" w:hAnsi="Times New Roman"/>
          <w:color w:val="0000FF"/>
          <w:sz w:val="24"/>
          <w:szCs w:val="24"/>
        </w:rPr>
      </w:pPr>
      <w:r w:rsidRPr="00025B8B">
        <w:rPr>
          <w:rFonts w:ascii="Times New Roman" w:hAnsi="Times New Roman"/>
          <w:color w:val="000000" w:themeColor="text1"/>
          <w:sz w:val="24"/>
          <w:szCs w:val="24"/>
        </w:rPr>
        <w:t xml:space="preserve">Together, the observed mechanisms could have changed the relative ARG and MGE abundances by acting on intra-species genetic variation, and by promoting the spread of ARGs along with MGEs in </w:t>
      </w:r>
      <w:r w:rsidRPr="00025B8B">
        <w:rPr>
          <w:rFonts w:ascii="Times New Roman" w:hAnsi="Times New Roman" w:hint="eastAsia"/>
          <w:color w:val="000000" w:themeColor="text1"/>
          <w:sz w:val="24"/>
          <w:szCs w:val="24"/>
        </w:rPr>
        <w:t>the</w:t>
      </w:r>
      <w:r w:rsidRPr="00025B8B">
        <w:rPr>
          <w:rFonts w:ascii="Times New Roman" w:hAnsi="Times New Roman"/>
          <w:color w:val="000000" w:themeColor="text1"/>
          <w:sz w:val="24"/>
          <w:szCs w:val="24"/>
        </w:rPr>
        <w:t xml:space="preserve"> bacterial community </w:t>
      </w:r>
      <w:r w:rsidRPr="00025B8B">
        <w:rPr>
          <w:rFonts w:ascii="Times New Roman" w:hAnsi="Times New Roman"/>
          <w:noProof/>
          <w:color w:val="000000" w:themeColor="text1"/>
          <w:sz w:val="24"/>
          <w:szCs w:val="24"/>
        </w:rPr>
        <w:t>(Wang, et al. 2019; Xing, et al. 2020)</w:t>
      </w:r>
      <w:r w:rsidRPr="00025B8B">
        <w:rPr>
          <w:rFonts w:ascii="Times New Roman" w:hAnsi="Times New Roman"/>
          <w:color w:val="000000" w:themeColor="text1"/>
          <w:sz w:val="24"/>
          <w:szCs w:val="24"/>
        </w:rPr>
        <w:t xml:space="preserve">, without clear effects on the taxonomic composition of soil microbiomes often observed along with ecological species sorting. Our findings thus suggest that herbicide-mediated selection could be cryptic leading to changes in the genetic composition of bacterial populations without clear changes in species abundances </w:t>
      </w:r>
      <w:r w:rsidRPr="00025B8B">
        <w:rPr>
          <w:rFonts w:ascii="Times New Roman" w:hAnsi="Times New Roman"/>
          <w:noProof/>
          <w:color w:val="000000" w:themeColor="text1"/>
          <w:sz w:val="24"/>
          <w:szCs w:val="24"/>
        </w:rPr>
        <w:t>(Yoshida, et al. 2007)</w:t>
      </w:r>
      <w:r w:rsidRPr="00025B8B">
        <w:rPr>
          <w:rFonts w:ascii="Times New Roman" w:hAnsi="Times New Roman"/>
          <w:color w:val="000000" w:themeColor="text1"/>
          <w:sz w:val="24"/>
          <w:szCs w:val="24"/>
        </w:rPr>
        <w:t xml:space="preserve">. As glyphosate had clear effects in our experiments, and is one of the main herbicides </w:t>
      </w:r>
      <w:r w:rsidRPr="00025B8B">
        <w:rPr>
          <w:rFonts w:ascii="Times New Roman" w:hAnsi="Times New Roman" w:hint="eastAsia"/>
          <w:color w:val="000000" w:themeColor="text1"/>
          <w:sz w:val="24"/>
          <w:szCs w:val="24"/>
        </w:rPr>
        <w:t>use</w:t>
      </w:r>
      <w:r w:rsidRPr="00025B8B">
        <w:rPr>
          <w:rFonts w:ascii="Times New Roman" w:hAnsi="Times New Roman"/>
          <w:color w:val="000000" w:themeColor="text1"/>
          <w:sz w:val="24"/>
          <w:szCs w:val="24"/>
        </w:rPr>
        <w:t xml:space="preserve">d in China </w:t>
      </w:r>
      <w:r w:rsidRPr="00025B8B">
        <w:rPr>
          <w:rFonts w:ascii="Times New Roman" w:hAnsi="Times New Roman"/>
          <w:noProof/>
          <w:color w:val="000000" w:themeColor="text1"/>
          <w:sz w:val="24"/>
          <w:szCs w:val="24"/>
        </w:rPr>
        <w:t>(Zhang, et al. 2015)</w:t>
      </w:r>
      <w:r w:rsidRPr="00025B8B">
        <w:rPr>
          <w:rFonts w:ascii="Times New Roman" w:hAnsi="Times New Roman"/>
          <w:color w:val="000000" w:themeColor="text1"/>
          <w:sz w:val="24"/>
          <w:szCs w:val="24"/>
        </w:rPr>
        <w:t>, we compared its concentration and ARG and MGE abundances between multiple field sites in China. We found that</w:t>
      </w:r>
      <w:r w:rsidRPr="00025B8B">
        <w:rPr>
          <w:rFonts w:ascii="Times New Roman" w:hAnsi="Times New Roman"/>
          <w:color w:val="0000FF"/>
          <w:sz w:val="24"/>
          <w:szCs w:val="24"/>
        </w:rPr>
        <w:t xml:space="preserve"> </w:t>
      </w:r>
      <w:r w:rsidRPr="00025B8B">
        <w:rPr>
          <w:rFonts w:ascii="Times New Roman" w:hAnsi="Times New Roman"/>
          <w:color w:val="000000" w:themeColor="text1"/>
          <w:sz w:val="24"/>
          <w:szCs w:val="24"/>
        </w:rPr>
        <w:t>glyphosate application history was associated with relatively higher ARG and MGE abundances compared to herbicide-free control sites in across all agricultural fields. Considerable variation was however observed between sampling sites, and hence, more work is needed to understand to what extent herbicide-mediated effects on the ARGs and MGEs depend on the physicochemical soil properties, crop species and agricultural practices. Moreover, as no data on agrochemical application history at the field level was available, we cannot exclude the potential confounding effects caused by other types of herbicides or agrochemicals</w:t>
      </w:r>
      <w:r w:rsidRPr="00025B8B">
        <w:rPr>
          <w:rFonts w:ascii="Times New Roman" w:hAnsi="Times New Roman"/>
          <w:color w:val="0000FF"/>
          <w:sz w:val="24"/>
          <w:szCs w:val="24"/>
        </w:rPr>
        <w:t>.</w:t>
      </w:r>
      <w:r w:rsidRPr="00025B8B">
        <w:rPr>
          <w:rFonts w:ascii="Times New Roman" w:hAnsi="Times New Roman"/>
          <w:color w:val="000000" w:themeColor="text1"/>
          <w:sz w:val="24"/>
          <w:szCs w:val="24"/>
        </w:rPr>
        <w:t xml:space="preserve"> </w:t>
      </w:r>
    </w:p>
    <w:p w:rsidR="005E2EB4" w:rsidRPr="00025B8B" w:rsidRDefault="005E2EB4" w:rsidP="00025D1D">
      <w:pPr>
        <w:spacing w:line="480" w:lineRule="auto"/>
        <w:ind w:firstLine="420"/>
        <w:rPr>
          <w:rFonts w:ascii="Times New Roman" w:hAnsi="Times New Roman"/>
          <w:color w:val="000000" w:themeColor="text1"/>
          <w:sz w:val="24"/>
          <w:szCs w:val="24"/>
        </w:rPr>
      </w:pPr>
      <w:r w:rsidRPr="00025B8B">
        <w:rPr>
          <w:rFonts w:ascii="Times New Roman" w:hAnsi="Times New Roman"/>
          <w:color w:val="000000" w:themeColor="text1"/>
          <w:sz w:val="24"/>
          <w:szCs w:val="24"/>
        </w:rPr>
        <w:lastRenderedPageBreak/>
        <w:t xml:space="preserve">We conclude highlighting the potential risks of herbicides for the evolution and spread of antibiotic resistance along with other non-antimicrobial xenobiotics </w:t>
      </w:r>
      <w:r w:rsidRPr="00025B8B">
        <w:rPr>
          <w:rFonts w:ascii="Times New Roman" w:hAnsi="Times New Roman"/>
          <w:noProof/>
          <w:color w:val="000000" w:themeColor="text1"/>
          <w:sz w:val="24"/>
          <w:szCs w:val="24"/>
        </w:rPr>
        <w:t>(Qiu, et al. 2012; Lu, et al. 2018; Wang, Lu, et al. 2020)</w:t>
      </w:r>
      <w:r w:rsidRPr="00025B8B">
        <w:rPr>
          <w:rFonts w:ascii="Times New Roman" w:hAnsi="Times New Roman"/>
          <w:color w:val="000000" w:themeColor="text1"/>
          <w:sz w:val="24"/>
          <w:szCs w:val="24"/>
        </w:rPr>
        <w:t xml:space="preserve"> and chemicals </w:t>
      </w:r>
      <w:r w:rsidRPr="00025B8B">
        <w:rPr>
          <w:rFonts w:ascii="Times New Roman" w:hAnsi="Times New Roman"/>
          <w:noProof/>
          <w:color w:val="000000" w:themeColor="text1"/>
          <w:sz w:val="24"/>
          <w:szCs w:val="24"/>
        </w:rPr>
        <w:t>(Wang, et al. 2019; Wang, Chen, et al. 2020)</w:t>
      </w:r>
      <w:r w:rsidRPr="00025B8B">
        <w:rPr>
          <w:rFonts w:ascii="Times New Roman" w:hAnsi="Times New Roman"/>
          <w:color w:val="000000" w:themeColor="text1"/>
          <w:sz w:val="24"/>
          <w:szCs w:val="24"/>
        </w:rPr>
        <w:t xml:space="preserve">. For example, herbicide-induced mobilization of ARGs could potentially relocalize resistance genes from harmless soil bacteria to human opportunistic pathogens, especially when fields are fertilized with untreated manure that typically contains both ARGs and pathogenic bacterial species </w:t>
      </w:r>
      <w:r w:rsidRPr="00025B8B">
        <w:rPr>
          <w:rFonts w:ascii="Times New Roman" w:hAnsi="Times New Roman"/>
          <w:noProof/>
          <w:color w:val="000000" w:themeColor="text1"/>
          <w:sz w:val="24"/>
          <w:szCs w:val="24"/>
        </w:rPr>
        <w:t>(Udikovic-Kolic, et al. 2014)</w:t>
      </w:r>
      <w:r w:rsidRPr="00025B8B">
        <w:rPr>
          <w:rFonts w:ascii="Times New Roman" w:hAnsi="Times New Roman"/>
          <w:color w:val="000000" w:themeColor="text1"/>
          <w:sz w:val="24"/>
          <w:szCs w:val="24"/>
        </w:rPr>
        <w:t xml:space="preserve">. Moreover, it is important to revisit how the safe use of herbicides is assessed. For example, quantifying herbicide effects on bacterial growth in simple laboratory assays is unlikely to predict the outcomes in bacterial communities, where relatively low sublethal herbicide concentrations can change the abundance and movement of ARGs. In light of our findings, we suggest that herbicide effects on soil microbiomes should be re-evaluated to understand better the risks associated with the spread of </w:t>
      </w:r>
      <w:r w:rsidRPr="00025B8B">
        <w:rPr>
          <w:rFonts w:ascii="Times New Roman" w:hAnsi="Times New Roman" w:hint="eastAsia"/>
          <w:color w:val="000000" w:themeColor="text1"/>
          <w:sz w:val="24"/>
          <w:szCs w:val="24"/>
        </w:rPr>
        <w:t>antimicrobial</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resistance</w:t>
      </w:r>
      <w:r w:rsidRPr="00025B8B">
        <w:rPr>
          <w:rFonts w:ascii="Times New Roman" w:hAnsi="Times New Roman"/>
          <w:color w:val="000000" w:themeColor="text1"/>
          <w:sz w:val="24"/>
          <w:szCs w:val="24"/>
        </w:rPr>
        <w:t xml:space="preserve"> across agricultural environments.</w:t>
      </w:r>
    </w:p>
    <w:p w:rsidR="005E2EB4" w:rsidRPr="00025B8B" w:rsidRDefault="005E2EB4" w:rsidP="00025D1D">
      <w:pPr>
        <w:spacing w:line="480" w:lineRule="auto"/>
        <w:rPr>
          <w:rFonts w:ascii="Times New Roman" w:hAnsi="Times New Roman"/>
          <w:b/>
          <w:color w:val="000000" w:themeColor="text1"/>
          <w:sz w:val="24"/>
          <w:szCs w:val="24"/>
        </w:rPr>
      </w:pP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hint="eastAsia"/>
          <w:b/>
          <w:color w:val="000000" w:themeColor="text1"/>
          <w:sz w:val="24"/>
          <w:szCs w:val="24"/>
        </w:rPr>
        <w:t>M</w:t>
      </w:r>
      <w:r w:rsidRPr="00025B8B">
        <w:rPr>
          <w:rFonts w:ascii="Times New Roman" w:hAnsi="Times New Roman"/>
          <w:b/>
          <w:color w:val="000000" w:themeColor="text1"/>
          <w:sz w:val="24"/>
          <w:szCs w:val="24"/>
        </w:rPr>
        <w:t>ethods</w:t>
      </w:r>
    </w:p>
    <w:p w:rsidR="005E2EB4" w:rsidRPr="00025B8B" w:rsidRDefault="005E2EB4" w:rsidP="00025D1D">
      <w:pPr>
        <w:spacing w:line="480" w:lineRule="auto"/>
        <w:rPr>
          <w:rFonts w:ascii="Times New Roman" w:hAnsi="Times New Roman"/>
          <w:b/>
          <w:i/>
          <w:iCs/>
          <w:color w:val="000000" w:themeColor="text1"/>
          <w:sz w:val="24"/>
          <w:szCs w:val="24"/>
        </w:rPr>
      </w:pPr>
      <w:r w:rsidRPr="00025B8B">
        <w:rPr>
          <w:rFonts w:ascii="Times New Roman" w:hAnsi="Times New Roman"/>
          <w:b/>
          <w:i/>
          <w:iCs/>
          <w:color w:val="000000" w:themeColor="text1"/>
          <w:sz w:val="24"/>
          <w:szCs w:val="24"/>
        </w:rPr>
        <w:t>1. Soil microcosm experiment</w:t>
      </w: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b/>
          <w:color w:val="000000" w:themeColor="text1"/>
          <w:sz w:val="24"/>
          <w:szCs w:val="24"/>
        </w:rPr>
        <w:t>Herbicides, antibiotics and collection of soil samples</w:t>
      </w:r>
    </w:p>
    <w:p w:rsidR="005E2EB4" w:rsidRPr="00025B8B" w:rsidRDefault="005E2EB4" w:rsidP="00025D1D">
      <w:pPr>
        <w:spacing w:line="480" w:lineRule="auto"/>
        <w:rPr>
          <w:rFonts w:ascii="Times New Roman" w:hAnsi="Times New Roman"/>
          <w:color w:val="000000" w:themeColor="text1"/>
          <w:sz w:val="24"/>
          <w:szCs w:val="24"/>
        </w:rPr>
      </w:pPr>
      <w:r w:rsidRPr="00025B8B">
        <w:rPr>
          <w:rFonts w:ascii="Times New Roman" w:hAnsi="Times New Roman"/>
          <w:color w:val="000000" w:themeColor="text1"/>
          <w:sz w:val="24"/>
          <w:szCs w:val="24"/>
        </w:rPr>
        <w:t xml:space="preserve">Standard chemicals for </w:t>
      </w:r>
      <w:r w:rsidRPr="00025B8B">
        <w:rPr>
          <w:rFonts w:ascii="Times New Roman" w:hAnsi="Times New Roman" w:hint="eastAsia"/>
          <w:color w:val="000000" w:themeColor="text1"/>
          <w:sz w:val="24"/>
          <w:szCs w:val="24"/>
        </w:rPr>
        <w:t>three herbicides</w:t>
      </w:r>
      <w:r w:rsidRPr="00025B8B">
        <w:rPr>
          <w:rFonts w:ascii="Times New Roman" w:hAnsi="Times New Roman"/>
          <w:color w:val="000000" w:themeColor="text1"/>
          <w:sz w:val="24"/>
          <w:szCs w:val="24"/>
        </w:rPr>
        <w:t xml:space="preserve"> (glyphosate, glufosinate and dicamba) </w:t>
      </w:r>
      <w:r w:rsidRPr="00025B8B">
        <w:rPr>
          <w:rFonts w:ascii="Times New Roman" w:hAnsi="Times New Roman" w:hint="eastAsia"/>
          <w:color w:val="000000" w:themeColor="text1"/>
          <w:sz w:val="24"/>
          <w:szCs w:val="24"/>
        </w:rPr>
        <w:t>and</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antibiotics</w:t>
      </w:r>
      <w:r w:rsidRPr="00025B8B">
        <w:rPr>
          <w:rFonts w:ascii="Times New Roman" w:hAnsi="Times New Roman"/>
          <w:color w:val="000000" w:themeColor="text1"/>
          <w:sz w:val="24"/>
          <w:szCs w:val="24"/>
        </w:rPr>
        <w:t xml:space="preserve"> were acquired from Sigma-Aldrich (Germany) with a</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purity higher than 99.0 %. </w:t>
      </w:r>
      <w:r w:rsidRPr="00025B8B">
        <w:rPr>
          <w:rFonts w:ascii="Times New Roman" w:hAnsi="Times New Roman" w:hint="eastAsia"/>
          <w:color w:val="000000" w:themeColor="text1"/>
          <w:sz w:val="24"/>
          <w:szCs w:val="24"/>
        </w:rPr>
        <w:t>S</w:t>
      </w:r>
      <w:r w:rsidRPr="00025B8B">
        <w:rPr>
          <w:rFonts w:ascii="Times New Roman" w:hAnsi="Times New Roman"/>
          <w:color w:val="000000" w:themeColor="text1"/>
          <w:sz w:val="24"/>
          <w:szCs w:val="24"/>
        </w:rPr>
        <w:t xml:space="preserve">oil samples were collected from a representative vegetable cultivation base </w:t>
      </w:r>
      <w:r w:rsidRPr="00025B8B">
        <w:rPr>
          <w:rFonts w:ascii="Times New Roman" w:hAnsi="Times New Roman" w:hint="eastAsia"/>
          <w:color w:val="000000" w:themeColor="text1"/>
          <w:sz w:val="24"/>
          <w:szCs w:val="24"/>
        </w:rPr>
        <w:t xml:space="preserve">in </w:t>
      </w:r>
      <w:r w:rsidRPr="00025B8B">
        <w:rPr>
          <w:rFonts w:ascii="Times New Roman" w:hAnsi="Times New Roman"/>
          <w:color w:val="000000" w:themeColor="text1"/>
          <w:sz w:val="24"/>
          <w:szCs w:val="24"/>
        </w:rPr>
        <w:t>Fujian Agriculture and Forestry University (N26°05′</w:t>
      </w:r>
      <w:r w:rsidRPr="00025B8B">
        <w:rPr>
          <w:rFonts w:ascii="Times New Roman" w:hAnsi="Times New Roman" w:hint="eastAsia"/>
          <w:color w:val="000000" w:themeColor="text1"/>
          <w:sz w:val="24"/>
          <w:szCs w:val="24"/>
        </w:rPr>
        <w:t>,</w:t>
      </w:r>
      <w:r w:rsidRPr="00025B8B">
        <w:rPr>
          <w:rFonts w:ascii="Times New Roman" w:hAnsi="Times New Roman"/>
          <w:color w:val="000000" w:themeColor="text1"/>
          <w:sz w:val="24"/>
          <w:szCs w:val="24"/>
        </w:rPr>
        <w:t xml:space="preserve"> E119°14′).</w:t>
      </w:r>
      <w:r w:rsidRPr="00025B8B">
        <w:rPr>
          <w:color w:val="000000" w:themeColor="text1"/>
        </w:rPr>
        <w:t xml:space="preserve"> </w:t>
      </w:r>
      <w:r w:rsidRPr="00025B8B">
        <w:rPr>
          <w:rFonts w:ascii="Times New Roman" w:hAnsi="Times New Roman"/>
          <w:color w:val="000000" w:themeColor="text1"/>
          <w:sz w:val="24"/>
          <w:szCs w:val="24"/>
        </w:rPr>
        <w:t xml:space="preserve">All samples (from 5 fields) were collected at a depth of 0 </w:t>
      </w:r>
      <w:r w:rsidRPr="00025B8B">
        <w:rPr>
          <w:rFonts w:ascii="Times New Roman" w:hAnsi="Times New Roman" w:hint="eastAsia"/>
          <w:color w:val="000000" w:themeColor="text1"/>
          <w:sz w:val="24"/>
          <w:szCs w:val="24"/>
        </w:rPr>
        <w:t>to</w:t>
      </w:r>
      <w:r w:rsidRPr="00025B8B">
        <w:rPr>
          <w:rFonts w:ascii="Times New Roman" w:hAnsi="Times New Roman"/>
          <w:color w:val="000000" w:themeColor="text1"/>
          <w:sz w:val="24"/>
          <w:szCs w:val="24"/>
        </w:rPr>
        <w:t xml:space="preserve"> 15 cm, sieved (2 mm) to</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remove stones and debris and placed to artiﬁcial climate</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room (25 </w:t>
      </w:r>
      <w:r w:rsidRPr="00025B8B">
        <w:rPr>
          <w:rFonts w:ascii="Times New Roman" w:eastAsia="DengXian" w:hAnsi="Times New Roman"/>
          <w:color w:val="000000" w:themeColor="text1"/>
          <w:sz w:val="24"/>
          <w:szCs w:val="24"/>
        </w:rPr>
        <w:t>°C</w:t>
      </w:r>
      <w:r w:rsidRPr="00025B8B">
        <w:rPr>
          <w:rFonts w:ascii="Times New Roman" w:hAnsi="Times New Roman"/>
          <w:color w:val="000000" w:themeColor="text1"/>
          <w:sz w:val="24"/>
          <w:szCs w:val="24"/>
        </w:rPr>
        <w:t xml:space="preserve">) for </w:t>
      </w:r>
      <w:r w:rsidRPr="00025B8B">
        <w:rPr>
          <w:rFonts w:ascii="Times New Roman" w:hAnsi="Times New Roman" w:hint="eastAsia"/>
          <w:color w:val="000000" w:themeColor="text1"/>
          <w:sz w:val="24"/>
          <w:szCs w:val="24"/>
        </w:rPr>
        <w:t xml:space="preserve">two </w:t>
      </w:r>
      <w:r w:rsidRPr="00025B8B">
        <w:rPr>
          <w:rFonts w:ascii="Times New Roman" w:hAnsi="Times New Roman"/>
          <w:color w:val="000000" w:themeColor="text1"/>
          <w:sz w:val="24"/>
          <w:szCs w:val="24"/>
        </w:rPr>
        <w:t xml:space="preserve">weeks for stabilization before the </w:t>
      </w:r>
      <w:r w:rsidRPr="00025B8B">
        <w:rPr>
          <w:rFonts w:ascii="Times New Roman" w:hAnsi="Times New Roman" w:hint="eastAsia"/>
          <w:color w:val="000000" w:themeColor="text1"/>
          <w:sz w:val="24"/>
          <w:szCs w:val="24"/>
        </w:rPr>
        <w:t>experiment</w:t>
      </w:r>
      <w:r w:rsidRPr="00025B8B">
        <w:rPr>
          <w:rFonts w:ascii="Times New Roman" w:hAnsi="Times New Roman"/>
          <w:color w:val="000000" w:themeColor="text1"/>
          <w:sz w:val="24"/>
          <w:szCs w:val="24"/>
        </w:rPr>
        <w:t>s.</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The detailed physicochemical soil properties were measured as </w:t>
      </w:r>
      <w:r w:rsidRPr="00025B8B">
        <w:rPr>
          <w:rFonts w:ascii="Times New Roman" w:hAnsi="Times New Roman"/>
          <w:color w:val="000000" w:themeColor="text1"/>
          <w:sz w:val="24"/>
          <w:szCs w:val="24"/>
        </w:rPr>
        <w:lastRenderedPageBreak/>
        <w:t xml:space="preserve">described previously </w:t>
      </w:r>
      <w:r w:rsidRPr="00025B8B">
        <w:rPr>
          <w:rFonts w:ascii="Times New Roman" w:hAnsi="Times New Roman"/>
          <w:noProof/>
          <w:color w:val="000000" w:themeColor="text1"/>
          <w:sz w:val="24"/>
          <w:szCs w:val="24"/>
        </w:rPr>
        <w:t>(Yang, et al. 2018)</w:t>
      </w:r>
      <w:r w:rsidRPr="00025B8B">
        <w:rPr>
          <w:rFonts w:ascii="Times New Roman" w:hAnsi="Times New Roman"/>
          <w:color w:val="000000" w:themeColor="text1"/>
          <w:sz w:val="24"/>
          <w:szCs w:val="24"/>
        </w:rPr>
        <w:t xml:space="preserve"> and are summarized in S</w:t>
      </w:r>
      <w:r w:rsidRPr="00025B8B">
        <w:rPr>
          <w:rFonts w:ascii="Times New Roman" w:hAnsi="Times New Roman" w:hint="eastAsia"/>
          <w:color w:val="000000" w:themeColor="text1"/>
          <w:sz w:val="24"/>
          <w:szCs w:val="24"/>
        </w:rPr>
        <w:t xml:space="preserve">upplementary </w:t>
      </w:r>
      <w:r w:rsidRPr="00025B8B">
        <w:rPr>
          <w:rFonts w:ascii="Times New Roman" w:hAnsi="Times New Roman"/>
          <w:color w:val="000000" w:themeColor="text1"/>
          <w:sz w:val="24"/>
          <w:szCs w:val="24"/>
        </w:rPr>
        <w:t>Table S7.</w:t>
      </w:r>
    </w:p>
    <w:p w:rsidR="005E2EB4" w:rsidRPr="00025B8B" w:rsidRDefault="005E2EB4" w:rsidP="00025D1D">
      <w:pPr>
        <w:spacing w:line="480" w:lineRule="auto"/>
        <w:rPr>
          <w:rFonts w:ascii="Times New Roman" w:hAnsi="Times New Roman"/>
          <w:color w:val="000000" w:themeColor="text1"/>
          <w:sz w:val="24"/>
          <w:szCs w:val="24"/>
        </w:rPr>
      </w:pP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b/>
          <w:color w:val="000000" w:themeColor="text1"/>
          <w:sz w:val="24"/>
          <w:szCs w:val="24"/>
        </w:rPr>
        <w:t>The design of the soil microcosm herbicide exposure e</w:t>
      </w:r>
      <w:r w:rsidRPr="00025B8B">
        <w:rPr>
          <w:rFonts w:ascii="Times New Roman" w:hAnsi="Times New Roman" w:hint="eastAsia"/>
          <w:b/>
          <w:color w:val="000000" w:themeColor="text1"/>
          <w:sz w:val="24"/>
          <w:szCs w:val="24"/>
        </w:rPr>
        <w:t xml:space="preserve">xperiment </w:t>
      </w:r>
    </w:p>
    <w:p w:rsidR="005E2EB4" w:rsidRPr="00025B8B" w:rsidRDefault="005E2EB4" w:rsidP="00025D1D">
      <w:pPr>
        <w:spacing w:line="480" w:lineRule="auto"/>
        <w:rPr>
          <w:rFonts w:ascii="Times New Roman" w:hAnsi="Times New Roman"/>
          <w:color w:val="000000" w:themeColor="text1"/>
          <w:sz w:val="24"/>
          <w:szCs w:val="24"/>
        </w:rPr>
      </w:pPr>
      <w:r w:rsidRPr="00025B8B">
        <w:rPr>
          <w:rFonts w:ascii="Times New Roman" w:hAnsi="Times New Roman"/>
          <w:color w:val="000000" w:themeColor="text1"/>
          <w:sz w:val="24"/>
          <w:szCs w:val="24"/>
        </w:rPr>
        <w:t xml:space="preserve">The pre-stabilized soil samples were homogenized and mixed, after 150 g of mixed dry soil was transferred into individual glass </w:t>
      </w:r>
      <w:r w:rsidRPr="00025B8B">
        <w:rPr>
          <w:rFonts w:ascii="Times New Roman" w:hAnsi="Times New Roman" w:hint="eastAsia"/>
          <w:color w:val="000000" w:themeColor="text1"/>
          <w:sz w:val="24"/>
          <w:szCs w:val="24"/>
        </w:rPr>
        <w:t>bottles</w:t>
      </w:r>
      <w:r w:rsidRPr="00025B8B">
        <w:rPr>
          <w:rFonts w:ascii="Times New Roman" w:hAnsi="Times New Roman"/>
          <w:color w:val="000000" w:themeColor="text1"/>
          <w:sz w:val="24"/>
          <w:szCs w:val="24"/>
        </w:rPr>
        <w:t xml:space="preserve"> (150 ml volume).</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Soil microcosms were then exposed to three herbicide treatments (a</w:t>
      </w:r>
      <w:r w:rsidRPr="00025B8B">
        <w:rPr>
          <w:rFonts w:ascii="Times New Roman" w:hAnsi="Times New Roman" w:hint="eastAsia"/>
          <w:color w:val="000000" w:themeColor="text1"/>
          <w:sz w:val="24"/>
          <w:szCs w:val="24"/>
        </w:rPr>
        <w:t xml:space="preserve"> fi</w:t>
      </w:r>
      <w:r w:rsidRPr="00025B8B">
        <w:rPr>
          <w:rFonts w:ascii="Times New Roman" w:hAnsi="Times New Roman"/>
          <w:color w:val="000000" w:themeColor="text1"/>
          <w:sz w:val="24"/>
          <w:szCs w:val="24"/>
        </w:rPr>
        <w:t>nal concentration of 10 mg/kg of glyphosate, glufosinate and dicamba</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dissolved in Milli-Q water (18 MΩ·cm; Millipore, Billerica, MA, USA), while control treatment received only the solvent (Milli-Q water). </w:t>
      </w:r>
      <w:bookmarkStart w:id="22" w:name="_Hlk60998996"/>
      <w:bookmarkStart w:id="23" w:name="_Hlk60492712"/>
      <w:r w:rsidRPr="00025B8B">
        <w:rPr>
          <w:rFonts w:ascii="Times New Roman" w:hAnsi="Times New Roman"/>
          <w:color w:val="000000" w:themeColor="text1"/>
          <w:sz w:val="24"/>
          <w:szCs w:val="24"/>
        </w:rPr>
        <w:t xml:space="preserve">Herbicide concentrations were chosen based on residual quantity </w:t>
      </w:r>
      <w:r w:rsidRPr="00025B8B">
        <w:rPr>
          <w:rFonts w:ascii="Times New Roman" w:hAnsi="Times New Roman" w:hint="eastAsia"/>
          <w:color w:val="000000" w:themeColor="text1"/>
          <w:sz w:val="24"/>
          <w:szCs w:val="24"/>
        </w:rPr>
        <w:t>of these</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herbicides</w:t>
      </w:r>
      <w:r w:rsidRPr="00025B8B">
        <w:rPr>
          <w:rFonts w:ascii="Times New Roman" w:hAnsi="Times New Roman"/>
          <w:color w:val="000000" w:themeColor="text1"/>
          <w:sz w:val="24"/>
          <w:szCs w:val="24"/>
        </w:rPr>
        <w:t xml:space="preserve"> that typically vary between 10.19 to 33.03 mg/kg of soil</w:t>
      </w:r>
      <w:bookmarkEnd w:id="22"/>
      <w:r w:rsidRPr="00025B8B">
        <w:rPr>
          <w:rFonts w:ascii="Times New Roman" w:hAnsi="Times New Roman"/>
          <w:color w:val="000000" w:themeColor="text1"/>
          <w:sz w:val="24"/>
          <w:szCs w:val="24"/>
        </w:rPr>
        <w:t xml:space="preserve"> </w:t>
      </w:r>
      <w:r w:rsidRPr="00025B8B">
        <w:rPr>
          <w:rFonts w:ascii="Times New Roman" w:hAnsi="Times New Roman"/>
          <w:noProof/>
          <w:color w:val="000000" w:themeColor="text1"/>
          <w:sz w:val="24"/>
          <w:szCs w:val="24"/>
        </w:rPr>
        <w:t>(Voos, et al. 1994; Dennis, et al. 2018)</w:t>
      </w:r>
      <w:bookmarkEnd w:id="23"/>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The soil water content was adjusted to 60% of the maximum</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water holding capacity using sterile deionized water after all the microcosms</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were covered with </w:t>
      </w:r>
      <w:r w:rsidRPr="00025B8B">
        <w:rPr>
          <w:rFonts w:ascii="Times New Roman" w:hAnsi="Times New Roman" w:hint="eastAsia"/>
          <w:color w:val="000000" w:themeColor="text1"/>
          <w:sz w:val="24"/>
          <w:szCs w:val="24"/>
        </w:rPr>
        <w:t>cap</w:t>
      </w:r>
      <w:r w:rsidRPr="00025B8B">
        <w:rPr>
          <w:rFonts w:ascii="Times New Roman" w:hAnsi="Times New Roman"/>
          <w:color w:val="000000" w:themeColor="text1"/>
          <w:sz w:val="24"/>
          <w:szCs w:val="24"/>
        </w:rPr>
        <w:t>s equipped with breathable film. The microcosms were then transferred into a climatic chamber, arranged randomly and incubated</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at 30 </w:t>
      </w:r>
      <w:r w:rsidRPr="00025B8B">
        <w:rPr>
          <w:rFonts w:ascii="Times New Roman" w:eastAsia="DengXian" w:hAnsi="Times New Roman"/>
          <w:color w:val="000000" w:themeColor="text1"/>
          <w:sz w:val="24"/>
          <w:szCs w:val="24"/>
        </w:rPr>
        <w:t>°C</w:t>
      </w:r>
      <w:r w:rsidRPr="00025B8B">
        <w:rPr>
          <w:rFonts w:ascii="Times New Roman" w:hAnsi="Times New Roman"/>
          <w:color w:val="000000" w:themeColor="text1"/>
          <w:sz w:val="24"/>
          <w:szCs w:val="24"/>
        </w:rPr>
        <w:t xml:space="preserve"> in the dark. Soil water contents were maintained by adding deionized</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water at every 2 days. Each treatment was replicated 12 times and one replicate per treatment was destructively sampled at the beginning (day 0) and 15, 30 and 60 d</w:t>
      </w:r>
      <w:r w:rsidRPr="00025B8B">
        <w:rPr>
          <w:rFonts w:ascii="Times New Roman" w:hAnsi="Times New Roman" w:hint="eastAsia"/>
          <w:color w:val="000000" w:themeColor="text1"/>
          <w:sz w:val="24"/>
          <w:szCs w:val="24"/>
        </w:rPr>
        <w:t>ays</w:t>
      </w:r>
      <w:r w:rsidRPr="00025B8B">
        <w:rPr>
          <w:rFonts w:ascii="Times New Roman" w:hAnsi="Times New Roman"/>
          <w:color w:val="000000" w:themeColor="text1"/>
          <w:sz w:val="24"/>
          <w:szCs w:val="24"/>
        </w:rPr>
        <w:t xml:space="preserve"> after the start of the experiment (chosen randomly). Destructive sampling was chosen to avoid disrupting the soil and microbiome structure in contrast to repeated sampling, which would have required throughout homogenization of the soil. All samples were </w:t>
      </w:r>
      <w:r w:rsidRPr="00025B8B">
        <w:rPr>
          <w:rFonts w:ascii="Times New Roman" w:hAnsi="Times New Roman" w:hint="eastAsia"/>
          <w:color w:val="000000" w:themeColor="text1"/>
          <w:sz w:val="24"/>
          <w:szCs w:val="24"/>
        </w:rPr>
        <w:t>stored</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at</w:t>
      </w:r>
      <w:r w:rsidRPr="00025B8B">
        <w:rPr>
          <w:rFonts w:ascii="Times New Roman" w:hAnsi="Times New Roman"/>
          <w:color w:val="000000" w:themeColor="text1"/>
          <w:sz w:val="24"/>
          <w:szCs w:val="24"/>
        </w:rPr>
        <w:t xml:space="preserve"> -20 </w:t>
      </w:r>
      <w:r w:rsidRPr="00025B8B">
        <w:rPr>
          <w:rFonts w:ascii="Times New Roman" w:eastAsia="DengXian" w:hAnsi="Times New Roman"/>
          <w:color w:val="000000" w:themeColor="text1"/>
          <w:sz w:val="24"/>
          <w:szCs w:val="24"/>
        </w:rPr>
        <w:t>°C</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to later quantify</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residual </w:t>
      </w:r>
      <w:r w:rsidRPr="00025B8B">
        <w:rPr>
          <w:rFonts w:ascii="Times New Roman" w:hAnsi="Times New Roman" w:hint="eastAsia"/>
          <w:color w:val="000000" w:themeColor="text1"/>
          <w:sz w:val="24"/>
          <w:szCs w:val="24"/>
        </w:rPr>
        <w:t>herbicide</w:t>
      </w:r>
      <w:r w:rsidRPr="00025B8B">
        <w:rPr>
          <w:rFonts w:ascii="Times New Roman" w:hAnsi="Times New Roman"/>
          <w:color w:val="000000" w:themeColor="text1"/>
          <w:sz w:val="24"/>
          <w:szCs w:val="24"/>
        </w:rPr>
        <w:t>s</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and to extract total DNA for bacterial community analyses as described below. </w:t>
      </w:r>
    </w:p>
    <w:p w:rsidR="005E2EB4" w:rsidRPr="00025B8B" w:rsidRDefault="005E2EB4" w:rsidP="00025D1D">
      <w:pPr>
        <w:spacing w:line="480" w:lineRule="auto"/>
        <w:rPr>
          <w:rFonts w:ascii="Times New Roman" w:hAnsi="Times New Roman"/>
          <w:b/>
          <w:color w:val="000000" w:themeColor="text1"/>
          <w:sz w:val="24"/>
          <w:szCs w:val="24"/>
        </w:rPr>
      </w:pP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b/>
          <w:color w:val="000000" w:themeColor="text1"/>
          <w:sz w:val="24"/>
          <w:szCs w:val="24"/>
        </w:rPr>
        <w:t xml:space="preserve">Extraction and determination of residual </w:t>
      </w:r>
      <w:r w:rsidRPr="00025B8B">
        <w:rPr>
          <w:rFonts w:ascii="Times New Roman" w:hAnsi="Times New Roman" w:hint="eastAsia"/>
          <w:b/>
          <w:color w:val="000000" w:themeColor="text1"/>
          <w:sz w:val="24"/>
          <w:szCs w:val="24"/>
        </w:rPr>
        <w:t>herbicides</w:t>
      </w:r>
      <w:r w:rsidRPr="00025B8B">
        <w:rPr>
          <w:rFonts w:ascii="Times New Roman" w:hAnsi="Times New Roman"/>
          <w:b/>
          <w:color w:val="000000" w:themeColor="text1"/>
          <w:sz w:val="24"/>
          <w:szCs w:val="24"/>
        </w:rPr>
        <w:t xml:space="preserve"> in soil microcosm experiment</w:t>
      </w:r>
    </w:p>
    <w:p w:rsidR="005E2EB4" w:rsidRPr="00025B8B" w:rsidRDefault="005E2EB4" w:rsidP="00025D1D">
      <w:pPr>
        <w:spacing w:line="480" w:lineRule="auto"/>
        <w:rPr>
          <w:rFonts w:ascii="Times New Roman" w:hAnsi="Times New Roman"/>
          <w:bCs/>
          <w:color w:val="000000" w:themeColor="text1"/>
          <w:sz w:val="24"/>
          <w:szCs w:val="24"/>
        </w:rPr>
      </w:pPr>
      <w:r w:rsidRPr="00025B8B">
        <w:rPr>
          <w:rFonts w:ascii="Times New Roman" w:hAnsi="Times New Roman"/>
          <w:bCs/>
          <w:color w:val="000000" w:themeColor="text1"/>
          <w:sz w:val="24"/>
          <w:szCs w:val="24"/>
        </w:rPr>
        <w:t xml:space="preserve">We used previously developed methods to analyze glyphosate, </w:t>
      </w:r>
      <w:r w:rsidRPr="00025B8B">
        <w:rPr>
          <w:rFonts w:ascii="Times New Roman" w:hAnsi="Times New Roman"/>
          <w:color w:val="000000" w:themeColor="text1"/>
          <w:sz w:val="24"/>
          <w:szCs w:val="24"/>
        </w:rPr>
        <w:t xml:space="preserve">glufosinate and </w:t>
      </w:r>
      <w:bookmarkStart w:id="24" w:name="_Hlk34306609"/>
      <w:r w:rsidRPr="00025B8B">
        <w:rPr>
          <w:rFonts w:ascii="Times New Roman" w:hAnsi="Times New Roman"/>
          <w:color w:val="000000" w:themeColor="text1"/>
          <w:sz w:val="24"/>
          <w:szCs w:val="24"/>
        </w:rPr>
        <w:t>dicamba</w:t>
      </w:r>
      <w:bookmarkEnd w:id="24"/>
      <w:r w:rsidRPr="00025B8B">
        <w:rPr>
          <w:rFonts w:ascii="Times New Roman" w:hAnsi="Times New Roman"/>
          <w:bCs/>
          <w:color w:val="000000" w:themeColor="text1"/>
          <w:sz w:val="24"/>
          <w:szCs w:val="24"/>
        </w:rPr>
        <w:t xml:space="preserve"> residues </w:t>
      </w:r>
      <w:r w:rsidRPr="00025B8B">
        <w:rPr>
          <w:rFonts w:ascii="Times New Roman" w:hAnsi="Times New Roman" w:hint="eastAsia"/>
          <w:bCs/>
          <w:color w:val="000000" w:themeColor="text1"/>
          <w:sz w:val="24"/>
          <w:szCs w:val="24"/>
        </w:rPr>
        <w:t xml:space="preserve">at </w:t>
      </w:r>
      <w:r w:rsidRPr="00025B8B">
        <w:rPr>
          <w:rFonts w:ascii="Times New Roman" w:hAnsi="Times New Roman"/>
          <w:bCs/>
          <w:color w:val="000000" w:themeColor="text1"/>
          <w:sz w:val="24"/>
          <w:szCs w:val="24"/>
        </w:rPr>
        <w:t xml:space="preserve">15, </w:t>
      </w:r>
      <w:r w:rsidRPr="00025B8B">
        <w:rPr>
          <w:rFonts w:ascii="Times New Roman" w:hAnsi="Times New Roman"/>
          <w:bCs/>
          <w:color w:val="000000" w:themeColor="text1"/>
          <w:sz w:val="24"/>
          <w:szCs w:val="24"/>
        </w:rPr>
        <w:lastRenderedPageBreak/>
        <w:t xml:space="preserve">30 and 60d during the soil microcosm experiment </w:t>
      </w:r>
      <w:r w:rsidRPr="00025B8B">
        <w:rPr>
          <w:rFonts w:ascii="Times New Roman" w:hAnsi="Times New Roman"/>
          <w:bCs/>
          <w:noProof/>
          <w:color w:val="000000" w:themeColor="text1"/>
          <w:sz w:val="24"/>
          <w:szCs w:val="24"/>
        </w:rPr>
        <w:t>(Druart, et al. 2011; Valle, et al. 2019)</w:t>
      </w:r>
      <w:r w:rsidRPr="00025B8B">
        <w:rPr>
          <w:rFonts w:ascii="Times New Roman" w:hAnsi="Times New Roman"/>
          <w:bCs/>
          <w:color w:val="000000" w:themeColor="text1"/>
          <w:sz w:val="24"/>
          <w:szCs w:val="24"/>
        </w:rPr>
        <w:t xml:space="preserve">. After </w:t>
      </w:r>
      <w:r w:rsidRPr="00025B8B">
        <w:rPr>
          <w:rFonts w:ascii="Times New Roman" w:hAnsi="Times New Roman" w:hint="eastAsia"/>
          <w:bCs/>
          <w:color w:val="000000" w:themeColor="text1"/>
          <w:sz w:val="24"/>
          <w:szCs w:val="24"/>
        </w:rPr>
        <w:t>thorough</w:t>
      </w:r>
      <w:r w:rsidRPr="00025B8B">
        <w:rPr>
          <w:rFonts w:ascii="Times New Roman" w:hAnsi="Times New Roman"/>
          <w:bCs/>
          <w:color w:val="000000" w:themeColor="text1"/>
          <w:sz w:val="24"/>
          <w:szCs w:val="24"/>
        </w:rPr>
        <w:t xml:space="preserve"> homogenization of microcosm contents, independent soil samples (1.0 g) were mixed with Millipore </w:t>
      </w:r>
      <w:r w:rsidRPr="00025B8B">
        <w:rPr>
          <w:rFonts w:ascii="Times New Roman" w:hAnsi="Times New Roman" w:hint="eastAsia"/>
          <w:bCs/>
          <w:color w:val="000000" w:themeColor="text1"/>
          <w:sz w:val="24"/>
          <w:szCs w:val="24"/>
        </w:rPr>
        <w:t>water</w:t>
      </w:r>
      <w:r w:rsidRPr="00025B8B">
        <w:rPr>
          <w:rFonts w:ascii="Times New Roman" w:hAnsi="Times New Roman"/>
          <w:bCs/>
          <w:color w:val="000000" w:themeColor="text1"/>
          <w:sz w:val="24"/>
          <w:szCs w:val="24"/>
        </w:rPr>
        <w:t xml:space="preserve"> (10 mL), sonicated for 1 h, shaken at 25 °C for 1 h and finally centrifuged at 5000 g for 15 min. The </w:t>
      </w:r>
      <w:r w:rsidRPr="00025B8B">
        <w:rPr>
          <w:rFonts w:ascii="Times New Roman" w:hAnsi="Times New Roman" w:hint="eastAsia"/>
          <w:bCs/>
          <w:color w:val="000000" w:themeColor="text1"/>
          <w:sz w:val="24"/>
          <w:szCs w:val="24"/>
        </w:rPr>
        <w:t xml:space="preserve">supernatants </w:t>
      </w:r>
      <w:r w:rsidRPr="00025B8B">
        <w:rPr>
          <w:rFonts w:ascii="Times New Roman" w:hAnsi="Times New Roman"/>
          <w:bCs/>
          <w:color w:val="000000" w:themeColor="text1"/>
          <w:sz w:val="24"/>
          <w:szCs w:val="24"/>
        </w:rPr>
        <w:t xml:space="preserve">were </w:t>
      </w:r>
      <w:r w:rsidRPr="00025B8B">
        <w:rPr>
          <w:rFonts w:ascii="Times New Roman" w:hAnsi="Times New Roman" w:hint="eastAsia"/>
          <w:bCs/>
          <w:color w:val="000000" w:themeColor="text1"/>
          <w:sz w:val="24"/>
          <w:szCs w:val="24"/>
        </w:rPr>
        <w:t>fi</w:t>
      </w:r>
      <w:r w:rsidRPr="00025B8B">
        <w:rPr>
          <w:rFonts w:ascii="Times New Roman" w:hAnsi="Times New Roman"/>
          <w:bCs/>
          <w:color w:val="000000" w:themeColor="text1"/>
          <w:sz w:val="24"/>
          <w:szCs w:val="24"/>
        </w:rPr>
        <w:t>ltered (0.45 µm) to remove</w:t>
      </w:r>
      <w:r w:rsidRPr="00025B8B">
        <w:rPr>
          <w:rFonts w:ascii="Times New Roman" w:hAnsi="Times New Roman" w:hint="eastAsia"/>
          <w:bCs/>
          <w:color w:val="000000" w:themeColor="text1"/>
          <w:sz w:val="24"/>
          <w:szCs w:val="24"/>
        </w:rPr>
        <w:t xml:space="preserve"> </w:t>
      </w:r>
      <w:r w:rsidRPr="00025B8B">
        <w:rPr>
          <w:rFonts w:ascii="Times New Roman" w:hAnsi="Times New Roman"/>
          <w:bCs/>
          <w:color w:val="000000" w:themeColor="text1"/>
          <w:sz w:val="24"/>
          <w:szCs w:val="24"/>
        </w:rPr>
        <w:t>solid particles and</w:t>
      </w:r>
      <w:r w:rsidRPr="00025B8B">
        <w:rPr>
          <w:rFonts w:ascii="Times New Roman" w:hAnsi="Times New Roman" w:hint="eastAsia"/>
          <w:bCs/>
          <w:color w:val="000000" w:themeColor="text1"/>
          <w:sz w:val="24"/>
          <w:szCs w:val="24"/>
        </w:rPr>
        <w:t xml:space="preserve"> </w:t>
      </w:r>
      <w:r w:rsidRPr="00025B8B">
        <w:rPr>
          <w:rFonts w:ascii="Times New Roman" w:hAnsi="Times New Roman"/>
          <w:bCs/>
          <w:color w:val="000000" w:themeColor="text1"/>
          <w:sz w:val="24"/>
          <w:szCs w:val="24"/>
        </w:rPr>
        <w:t xml:space="preserve">evaporated </w:t>
      </w:r>
      <w:r w:rsidRPr="00025B8B">
        <w:rPr>
          <w:rFonts w:ascii="Times New Roman" w:hAnsi="Times New Roman" w:hint="eastAsia"/>
          <w:bCs/>
          <w:color w:val="000000" w:themeColor="text1"/>
          <w:sz w:val="24"/>
          <w:szCs w:val="24"/>
        </w:rPr>
        <w:t>in</w:t>
      </w:r>
      <w:r w:rsidRPr="00025B8B">
        <w:rPr>
          <w:rFonts w:ascii="Times New Roman" w:hAnsi="Times New Roman"/>
          <w:bCs/>
          <w:color w:val="000000" w:themeColor="text1"/>
          <w:sz w:val="24"/>
          <w:szCs w:val="24"/>
        </w:rPr>
        <w:t xml:space="preserve"> the freeze dryer. The residues </w:t>
      </w:r>
      <w:r w:rsidRPr="00025B8B">
        <w:rPr>
          <w:rFonts w:ascii="Times New Roman" w:hAnsi="Times New Roman" w:hint="eastAsia"/>
          <w:bCs/>
          <w:color w:val="000000" w:themeColor="text1"/>
          <w:sz w:val="24"/>
          <w:szCs w:val="24"/>
        </w:rPr>
        <w:t>of</w:t>
      </w:r>
      <w:r w:rsidRPr="00025B8B">
        <w:rPr>
          <w:rFonts w:ascii="Times New Roman" w:hAnsi="Times New Roman"/>
          <w:bCs/>
          <w:color w:val="000000" w:themeColor="text1"/>
          <w:sz w:val="24"/>
          <w:szCs w:val="24"/>
        </w:rPr>
        <w:t xml:space="preserve"> </w:t>
      </w:r>
      <w:r w:rsidRPr="00025B8B">
        <w:rPr>
          <w:rFonts w:ascii="Times New Roman" w:hAnsi="Times New Roman" w:hint="eastAsia"/>
          <w:bCs/>
          <w:color w:val="000000" w:themeColor="text1"/>
          <w:sz w:val="24"/>
          <w:szCs w:val="24"/>
        </w:rPr>
        <w:t>herbicides</w:t>
      </w:r>
      <w:r w:rsidRPr="00025B8B">
        <w:rPr>
          <w:rFonts w:ascii="Times New Roman" w:hAnsi="Times New Roman"/>
          <w:bCs/>
          <w:color w:val="000000" w:themeColor="text1"/>
          <w:sz w:val="24"/>
          <w:szCs w:val="24"/>
        </w:rPr>
        <w:t xml:space="preserve"> were</w:t>
      </w:r>
      <w:r w:rsidRPr="00025B8B">
        <w:rPr>
          <w:rFonts w:ascii="Times New Roman" w:hAnsi="Times New Roman" w:hint="eastAsia"/>
          <w:bCs/>
          <w:color w:val="000000" w:themeColor="text1"/>
          <w:sz w:val="24"/>
          <w:szCs w:val="24"/>
        </w:rPr>
        <w:t xml:space="preserve"> </w:t>
      </w:r>
      <w:r w:rsidRPr="00025B8B">
        <w:rPr>
          <w:rFonts w:ascii="Times New Roman" w:hAnsi="Times New Roman"/>
          <w:bCs/>
          <w:color w:val="000000" w:themeColor="text1"/>
          <w:sz w:val="24"/>
          <w:szCs w:val="24"/>
        </w:rPr>
        <w:t xml:space="preserve">dissolved in 0.5 mL of methanol (1%) </w:t>
      </w:r>
      <w:r w:rsidRPr="00025B8B">
        <w:rPr>
          <w:rFonts w:ascii="Times New Roman" w:hAnsi="Times New Roman" w:hint="eastAsia"/>
          <w:bCs/>
          <w:color w:val="000000" w:themeColor="text1"/>
          <w:sz w:val="24"/>
          <w:szCs w:val="24"/>
        </w:rPr>
        <w:t xml:space="preserve">for further following </w:t>
      </w:r>
      <w:r w:rsidRPr="00025B8B">
        <w:rPr>
          <w:rFonts w:ascii="Times New Roman" w:hAnsi="Times New Roman"/>
          <w:bCs/>
          <w:color w:val="000000" w:themeColor="text1"/>
          <w:sz w:val="24"/>
          <w:szCs w:val="24"/>
        </w:rPr>
        <w:t xml:space="preserve">analysis. The concentrations of </w:t>
      </w:r>
      <w:bookmarkStart w:id="25" w:name="_Hlk34304372"/>
      <w:r w:rsidRPr="00025B8B">
        <w:rPr>
          <w:rFonts w:ascii="Times New Roman" w:hAnsi="Times New Roman"/>
          <w:bCs/>
          <w:color w:val="000000" w:themeColor="text1"/>
          <w:sz w:val="24"/>
          <w:szCs w:val="24"/>
        </w:rPr>
        <w:t xml:space="preserve">glyphosate and </w:t>
      </w:r>
      <w:r w:rsidRPr="00025B8B">
        <w:rPr>
          <w:rFonts w:ascii="Times New Roman" w:hAnsi="Times New Roman"/>
          <w:color w:val="000000" w:themeColor="text1"/>
          <w:sz w:val="24"/>
          <w:szCs w:val="24"/>
        </w:rPr>
        <w:t>glufosinate</w:t>
      </w:r>
      <w:bookmarkEnd w:id="25"/>
      <w:r w:rsidRPr="00025B8B">
        <w:rPr>
          <w:rFonts w:ascii="Times New Roman" w:hAnsi="Times New Roman"/>
          <w:bCs/>
          <w:color w:val="000000" w:themeColor="text1"/>
          <w:sz w:val="24"/>
          <w:szCs w:val="24"/>
        </w:rPr>
        <w:t xml:space="preserve"> were detected as described previously using pre-column derivatization followed by high-performance liquid chromatography (HPLC) on C18 column </w:t>
      </w:r>
      <w:r w:rsidRPr="00025B8B">
        <w:rPr>
          <w:rFonts w:ascii="Times New Roman" w:hAnsi="Times New Roman"/>
          <w:bCs/>
          <w:noProof/>
          <w:color w:val="000000" w:themeColor="text1"/>
          <w:sz w:val="24"/>
          <w:szCs w:val="24"/>
        </w:rPr>
        <w:t>(Druart, et al. 2011)</w:t>
      </w:r>
      <w:r w:rsidRPr="00025B8B">
        <w:rPr>
          <w:rFonts w:ascii="Times New Roman" w:hAnsi="Times New Roman"/>
          <w:bCs/>
          <w:color w:val="000000" w:themeColor="text1"/>
          <w:sz w:val="24"/>
          <w:szCs w:val="24"/>
        </w:rPr>
        <w:t xml:space="preserve">. The concentrations of </w:t>
      </w:r>
      <w:r w:rsidRPr="00025B8B">
        <w:rPr>
          <w:rFonts w:ascii="Times New Roman" w:hAnsi="Times New Roman"/>
          <w:color w:val="000000" w:themeColor="text1"/>
          <w:sz w:val="24"/>
          <w:szCs w:val="24"/>
        </w:rPr>
        <w:t>dicamba</w:t>
      </w:r>
      <w:r w:rsidRPr="00025B8B">
        <w:rPr>
          <w:rFonts w:ascii="Times New Roman" w:hAnsi="Times New Roman"/>
          <w:bCs/>
          <w:color w:val="000000" w:themeColor="text1"/>
          <w:sz w:val="24"/>
          <w:szCs w:val="24"/>
        </w:rPr>
        <w:t xml:space="preserve"> was measured directly using HPLC with UV detector. The average recoveries (n=3) for all the herbicides ranged between 80.5% and 94.3 % and a more detailed description of the analytical methods is included in Supplementary materials (Supplementary </w:t>
      </w:r>
      <w:r w:rsidRPr="00025B8B">
        <w:rPr>
          <w:rFonts w:ascii="Times New Roman" w:eastAsia="DengXian" w:hAnsi="Times New Roman"/>
          <w:color w:val="000000" w:themeColor="text1"/>
          <w:sz w:val="24"/>
          <w:szCs w:val="24"/>
        </w:rPr>
        <w:t>Text 1</w:t>
      </w:r>
      <w:r w:rsidRPr="00025B8B">
        <w:rPr>
          <w:rFonts w:ascii="Times New Roman" w:hAnsi="Times New Roman"/>
          <w:bCs/>
          <w:color w:val="000000" w:themeColor="text1"/>
          <w:sz w:val="24"/>
          <w:szCs w:val="24"/>
        </w:rPr>
        <w:t>).</w:t>
      </w:r>
    </w:p>
    <w:p w:rsidR="005E2EB4" w:rsidRPr="00025B8B" w:rsidRDefault="005E2EB4" w:rsidP="00025D1D">
      <w:pPr>
        <w:spacing w:line="480" w:lineRule="auto"/>
        <w:rPr>
          <w:rFonts w:ascii="Times New Roman" w:hAnsi="Times New Roman"/>
          <w:b/>
          <w:color w:val="000000" w:themeColor="text1"/>
          <w:sz w:val="24"/>
          <w:szCs w:val="24"/>
        </w:rPr>
      </w:pP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b/>
          <w:color w:val="000000" w:themeColor="text1"/>
          <w:sz w:val="24"/>
          <w:szCs w:val="24"/>
        </w:rPr>
        <w:t>DNA extraction, Illumina sequencing and data analysis o</w:t>
      </w:r>
      <w:r w:rsidRPr="00025B8B">
        <w:rPr>
          <w:rFonts w:ascii="Times New Roman" w:hAnsi="Times New Roman" w:hint="eastAsia"/>
          <w:b/>
          <w:color w:val="000000" w:themeColor="text1"/>
          <w:sz w:val="24"/>
          <w:szCs w:val="24"/>
        </w:rPr>
        <w:t>f</w:t>
      </w:r>
      <w:r w:rsidRPr="00025B8B">
        <w:rPr>
          <w:rFonts w:ascii="Times New Roman" w:hAnsi="Times New Roman"/>
          <w:b/>
          <w:color w:val="000000" w:themeColor="text1"/>
          <w:sz w:val="24"/>
          <w:szCs w:val="24"/>
        </w:rPr>
        <w:t xml:space="preserve"> </w:t>
      </w:r>
      <w:r w:rsidRPr="00025B8B">
        <w:rPr>
          <w:rFonts w:ascii="Times New Roman" w:hAnsi="Times New Roman" w:hint="eastAsia"/>
          <w:b/>
          <w:color w:val="000000" w:themeColor="text1"/>
          <w:sz w:val="24"/>
          <w:szCs w:val="24"/>
        </w:rPr>
        <w:t>bacterial communities</w:t>
      </w:r>
    </w:p>
    <w:p w:rsidR="005E2EB4" w:rsidRPr="00025B8B" w:rsidRDefault="005E2EB4" w:rsidP="00025D1D">
      <w:pPr>
        <w:spacing w:line="480" w:lineRule="auto"/>
        <w:rPr>
          <w:rFonts w:ascii="Times New Roman" w:hAnsi="Times New Roman"/>
          <w:color w:val="000000" w:themeColor="text1"/>
          <w:kern w:val="0"/>
          <w:sz w:val="24"/>
          <w:szCs w:val="24"/>
        </w:rPr>
      </w:pPr>
      <w:r w:rsidRPr="00025B8B">
        <w:rPr>
          <w:rFonts w:ascii="Times New Roman" w:hAnsi="Times New Roman"/>
          <w:color w:val="000000" w:themeColor="text1"/>
          <w:sz w:val="24"/>
          <w:szCs w:val="24"/>
        </w:rPr>
        <w:t>Total genomic DNA of soil samples was extracted using a Fast DNA spin kit (MP Biomedicals, Cleveland, OH, USA) following manufacturer’s instructions</w:t>
      </w:r>
      <w:r w:rsidRPr="00025B8B">
        <w:rPr>
          <w:rFonts w:ascii="Times New Roman" w:hAnsi="Times New Roman"/>
          <w:color w:val="000000" w:themeColor="text1"/>
          <w:kern w:val="0"/>
          <w:sz w:val="24"/>
          <w:szCs w:val="24"/>
        </w:rPr>
        <w:t>.</w:t>
      </w:r>
      <w:r w:rsidRPr="00025B8B">
        <w:rPr>
          <w:rFonts w:ascii="Times New Roman" w:hAnsi="Times New Roman" w:hint="eastAsia"/>
          <w:color w:val="000000" w:themeColor="text1"/>
          <w:kern w:val="0"/>
          <w:sz w:val="24"/>
          <w:szCs w:val="24"/>
        </w:rPr>
        <w:t xml:space="preserve"> </w:t>
      </w:r>
      <w:r w:rsidRPr="00025B8B">
        <w:rPr>
          <w:rFonts w:ascii="Times New Roman" w:hAnsi="Times New Roman"/>
          <w:color w:val="000000" w:themeColor="text1"/>
          <w:kern w:val="0"/>
          <w:sz w:val="24"/>
          <w:szCs w:val="24"/>
        </w:rPr>
        <w:t xml:space="preserve">The changes in bacterial community composition and diversity were determined using 16S rRNA gene amplicon sequencing using Illumina </w:t>
      </w:r>
      <w:r w:rsidRPr="00025B8B">
        <w:rPr>
          <w:rFonts w:ascii="Times New Roman" w:hAnsi="Times New Roman" w:hint="eastAsia"/>
          <w:color w:val="000000" w:themeColor="text1"/>
          <w:kern w:val="0"/>
          <w:sz w:val="24"/>
          <w:szCs w:val="24"/>
        </w:rPr>
        <w:t>N</w:t>
      </w:r>
      <w:r w:rsidRPr="00025B8B">
        <w:rPr>
          <w:rFonts w:ascii="Times New Roman" w:hAnsi="Times New Roman"/>
          <w:color w:val="000000" w:themeColor="text1"/>
          <w:kern w:val="0"/>
          <w:sz w:val="24"/>
          <w:szCs w:val="24"/>
        </w:rPr>
        <w:t>ova</w:t>
      </w:r>
      <w:r w:rsidRPr="00025B8B">
        <w:rPr>
          <w:rFonts w:ascii="Times New Roman" w:hAnsi="Times New Roman" w:hint="eastAsia"/>
          <w:color w:val="000000" w:themeColor="text1"/>
          <w:kern w:val="0"/>
          <w:sz w:val="24"/>
          <w:szCs w:val="24"/>
        </w:rPr>
        <w:t>S</w:t>
      </w:r>
      <w:r w:rsidRPr="00025B8B">
        <w:rPr>
          <w:rFonts w:ascii="Times New Roman" w:hAnsi="Times New Roman"/>
          <w:color w:val="000000" w:themeColor="text1"/>
          <w:kern w:val="0"/>
          <w:sz w:val="24"/>
          <w:szCs w:val="24"/>
        </w:rPr>
        <w:t xml:space="preserve">eq 6000 </w:t>
      </w:r>
      <w:r w:rsidRPr="00025B8B">
        <w:rPr>
          <w:rFonts w:ascii="Times New Roman" w:hAnsi="Times New Roman" w:hint="eastAsia"/>
          <w:color w:val="000000" w:themeColor="text1"/>
          <w:kern w:val="0"/>
          <w:sz w:val="24"/>
          <w:szCs w:val="24"/>
        </w:rPr>
        <w:t>PE</w:t>
      </w:r>
      <w:r w:rsidRPr="00025B8B">
        <w:rPr>
          <w:rFonts w:ascii="Times New Roman" w:hAnsi="Times New Roman"/>
          <w:color w:val="000000" w:themeColor="text1"/>
          <w:kern w:val="0"/>
          <w:sz w:val="24"/>
          <w:szCs w:val="24"/>
        </w:rPr>
        <w:t xml:space="preserve">250 platform (Guangdong Magigene Biotechnology Co. Ltd, Guangzhou, China). </w:t>
      </w:r>
      <w:r w:rsidRPr="00025B8B">
        <w:rPr>
          <w:rFonts w:ascii="Times New Roman" w:hAnsi="Times New Roman" w:hint="eastAsia"/>
          <w:color w:val="000000" w:themeColor="text1"/>
          <w:kern w:val="0"/>
          <w:sz w:val="24"/>
          <w:szCs w:val="24"/>
        </w:rPr>
        <w:t>T</w:t>
      </w:r>
      <w:r w:rsidRPr="00025B8B">
        <w:rPr>
          <w:rFonts w:ascii="Times New Roman" w:hAnsi="Times New Roman"/>
          <w:color w:val="000000" w:themeColor="text1"/>
          <w:kern w:val="0"/>
          <w:sz w:val="24"/>
          <w:szCs w:val="24"/>
        </w:rPr>
        <w:t xml:space="preserve">he </w:t>
      </w:r>
      <w:r w:rsidRPr="00025B8B">
        <w:rPr>
          <w:rFonts w:ascii="Times New Roman" w:hAnsi="Times New Roman"/>
          <w:color w:val="000000" w:themeColor="text1"/>
          <w:sz w:val="24"/>
          <w:szCs w:val="24"/>
          <w:shd w:val="clear" w:color="auto" w:fill="FFFFFF"/>
        </w:rPr>
        <w:t>universal</w:t>
      </w:r>
      <w:r w:rsidRPr="00025B8B">
        <w:rPr>
          <w:rFonts w:ascii="Arial" w:hAnsi="Arial" w:cs="Arial"/>
          <w:color w:val="000000" w:themeColor="text1"/>
          <w:sz w:val="20"/>
          <w:szCs w:val="20"/>
          <w:shd w:val="clear" w:color="auto" w:fill="FFFFFF"/>
        </w:rPr>
        <w:t> </w:t>
      </w:r>
      <w:r w:rsidRPr="00025B8B">
        <w:rPr>
          <w:rFonts w:ascii="Times New Roman" w:hAnsi="Times New Roman"/>
          <w:color w:val="000000" w:themeColor="text1"/>
          <w:kern w:val="0"/>
          <w:sz w:val="24"/>
          <w:szCs w:val="24"/>
        </w:rPr>
        <w:t xml:space="preserve">primers 515F (5´-GTGCCAGCMGCCGCGGTAA-3´) and 907R (5´-CCGTCAATTCMTTTRAGTTT-3´) </w:t>
      </w:r>
      <w:r w:rsidRPr="00025B8B">
        <w:rPr>
          <w:rFonts w:ascii="Times New Roman" w:hAnsi="Times New Roman" w:hint="eastAsia"/>
          <w:color w:val="000000" w:themeColor="text1"/>
          <w:kern w:val="0"/>
          <w:sz w:val="24"/>
          <w:szCs w:val="24"/>
        </w:rPr>
        <w:t>target</w:t>
      </w:r>
      <w:r w:rsidRPr="00025B8B">
        <w:rPr>
          <w:rFonts w:ascii="Times New Roman" w:hAnsi="Times New Roman"/>
          <w:color w:val="000000" w:themeColor="text1"/>
          <w:kern w:val="0"/>
          <w:sz w:val="24"/>
          <w:szCs w:val="24"/>
        </w:rPr>
        <w:t>ing</w:t>
      </w:r>
      <w:r w:rsidRPr="00025B8B">
        <w:rPr>
          <w:rFonts w:ascii="Times New Roman" w:hAnsi="Times New Roman" w:hint="eastAsia"/>
          <w:color w:val="000000" w:themeColor="text1"/>
          <w:kern w:val="0"/>
          <w:sz w:val="24"/>
          <w:szCs w:val="24"/>
        </w:rPr>
        <w:t xml:space="preserve"> the </w:t>
      </w:r>
      <w:r w:rsidRPr="00025B8B">
        <w:rPr>
          <w:rFonts w:ascii="Times New Roman" w:hAnsi="Times New Roman"/>
          <w:color w:val="000000" w:themeColor="text1"/>
          <w:kern w:val="0"/>
          <w:sz w:val="24"/>
          <w:szCs w:val="24"/>
        </w:rPr>
        <w:t>V4</w:t>
      </w:r>
      <w:r w:rsidRPr="00025B8B">
        <w:rPr>
          <w:rFonts w:ascii="Times New Roman" w:hAnsi="Times New Roman" w:hint="eastAsia"/>
          <w:color w:val="000000" w:themeColor="text1"/>
          <w:kern w:val="0"/>
          <w:sz w:val="24"/>
          <w:szCs w:val="24"/>
        </w:rPr>
        <w:t>-V5</w:t>
      </w:r>
      <w:r w:rsidRPr="00025B8B">
        <w:rPr>
          <w:rFonts w:ascii="Times New Roman" w:hAnsi="Times New Roman"/>
          <w:color w:val="000000" w:themeColor="text1"/>
          <w:kern w:val="0"/>
          <w:sz w:val="24"/>
          <w:szCs w:val="24"/>
        </w:rPr>
        <w:t xml:space="preserve"> region of 16S r</w:t>
      </w:r>
      <w:r w:rsidRPr="00025B8B">
        <w:rPr>
          <w:rFonts w:ascii="Times New Roman" w:hAnsi="Times New Roman" w:hint="eastAsia"/>
          <w:color w:val="000000" w:themeColor="text1"/>
          <w:kern w:val="0"/>
          <w:sz w:val="24"/>
          <w:szCs w:val="24"/>
        </w:rPr>
        <w:t>R</w:t>
      </w:r>
      <w:r w:rsidRPr="00025B8B">
        <w:rPr>
          <w:rFonts w:ascii="Times New Roman" w:hAnsi="Times New Roman"/>
          <w:color w:val="000000" w:themeColor="text1"/>
          <w:kern w:val="0"/>
          <w:sz w:val="24"/>
          <w:szCs w:val="24"/>
        </w:rPr>
        <w:t xml:space="preserve">NA gene were </w:t>
      </w:r>
      <w:r w:rsidRPr="00025B8B">
        <w:rPr>
          <w:rFonts w:ascii="Times New Roman" w:hAnsi="Times New Roman" w:hint="eastAsia"/>
          <w:color w:val="000000" w:themeColor="text1"/>
          <w:kern w:val="0"/>
          <w:sz w:val="24"/>
          <w:szCs w:val="24"/>
        </w:rPr>
        <w:t>used</w:t>
      </w:r>
      <w:r w:rsidRPr="00025B8B">
        <w:rPr>
          <w:rFonts w:ascii="Times New Roman" w:hAnsi="Times New Roman"/>
          <w:color w:val="000000" w:themeColor="text1"/>
          <w:kern w:val="0"/>
          <w:sz w:val="24"/>
          <w:szCs w:val="24"/>
        </w:rPr>
        <w:t>.</w:t>
      </w:r>
      <w:r w:rsidRPr="00025B8B">
        <w:rPr>
          <w:rFonts w:ascii="Times New Roman" w:hAnsi="Times New Roman" w:hint="eastAsia"/>
          <w:color w:val="000000" w:themeColor="text1"/>
          <w:kern w:val="0"/>
          <w:sz w:val="24"/>
          <w:szCs w:val="24"/>
        </w:rPr>
        <w:t xml:space="preserve"> </w:t>
      </w:r>
      <w:r w:rsidRPr="00025B8B">
        <w:rPr>
          <w:rFonts w:ascii="Times New Roman" w:hAnsi="Times New Roman"/>
          <w:color w:val="000000" w:themeColor="text1"/>
          <w:kern w:val="0"/>
          <w:sz w:val="24"/>
          <w:szCs w:val="24"/>
        </w:rPr>
        <w:t xml:space="preserve">The raw 16S rRNA gene sequences were processed using QIIME 2 as follows (version 2019.7) </w:t>
      </w:r>
      <w:r w:rsidRPr="00025B8B">
        <w:rPr>
          <w:rFonts w:ascii="Times New Roman" w:hAnsi="Times New Roman"/>
          <w:noProof/>
          <w:color w:val="000000" w:themeColor="text1"/>
          <w:kern w:val="0"/>
          <w:sz w:val="24"/>
          <w:szCs w:val="24"/>
        </w:rPr>
        <w:t>(Bolyen, et al. 2019)</w:t>
      </w:r>
      <w:r w:rsidRPr="00025B8B">
        <w:rPr>
          <w:rFonts w:ascii="Times New Roman" w:hAnsi="Times New Roman"/>
          <w:color w:val="000000" w:themeColor="text1"/>
          <w:kern w:val="0"/>
          <w:sz w:val="24"/>
          <w:szCs w:val="24"/>
        </w:rPr>
        <w:t>. Raw reads were first quality-f</w:t>
      </w:r>
      <w:r w:rsidRPr="00025B8B">
        <w:rPr>
          <w:rFonts w:ascii="Times New Roman" w:hAnsi="Times New Roman" w:hint="eastAsia"/>
          <w:color w:val="000000" w:themeColor="text1"/>
          <w:kern w:val="0"/>
          <w:sz w:val="24"/>
          <w:szCs w:val="24"/>
        </w:rPr>
        <w:t>i</w:t>
      </w:r>
      <w:r w:rsidRPr="00025B8B">
        <w:rPr>
          <w:rFonts w:ascii="Times New Roman" w:hAnsi="Times New Roman"/>
          <w:color w:val="000000" w:themeColor="text1"/>
          <w:kern w:val="0"/>
          <w:sz w:val="24"/>
          <w:szCs w:val="24"/>
        </w:rPr>
        <w:t>ltered (i.e. filtered, dereplicated, denoised, merged, and assessed for chimaeras) to produce amplicon sequence variants (ASV</w:t>
      </w:r>
      <w:r w:rsidRPr="00025B8B">
        <w:rPr>
          <w:rFonts w:ascii="Times New Roman" w:hAnsi="Times New Roman" w:hint="eastAsia"/>
          <w:color w:val="000000" w:themeColor="text1"/>
          <w:kern w:val="0"/>
          <w:sz w:val="24"/>
          <w:szCs w:val="24"/>
        </w:rPr>
        <w:t>s</w:t>
      </w:r>
      <w:r w:rsidRPr="00025B8B">
        <w:rPr>
          <w:rFonts w:ascii="Times New Roman" w:hAnsi="Times New Roman"/>
          <w:color w:val="000000" w:themeColor="text1"/>
          <w:kern w:val="0"/>
          <w:sz w:val="24"/>
          <w:szCs w:val="24"/>
        </w:rPr>
        <w:t xml:space="preserve">) using DADA2 pipeline </w:t>
      </w:r>
      <w:r w:rsidRPr="00025B8B">
        <w:rPr>
          <w:rFonts w:ascii="Times New Roman" w:hAnsi="Times New Roman"/>
          <w:color w:val="000000" w:themeColor="text1"/>
          <w:kern w:val="0"/>
          <w:sz w:val="24"/>
          <w:szCs w:val="24"/>
        </w:rPr>
        <w:lastRenderedPageBreak/>
        <w:t xml:space="preserve">available in QIIME2 </w:t>
      </w:r>
      <w:r w:rsidRPr="00025B8B">
        <w:rPr>
          <w:rFonts w:ascii="Times New Roman" w:hAnsi="Times New Roman"/>
          <w:noProof/>
          <w:color w:val="000000" w:themeColor="text1"/>
          <w:kern w:val="0"/>
          <w:sz w:val="24"/>
          <w:szCs w:val="24"/>
        </w:rPr>
        <w:t>(Callahan, et al. 2016)</w:t>
      </w:r>
      <w:r w:rsidRPr="00025B8B">
        <w:rPr>
          <w:rFonts w:ascii="Times New Roman" w:hAnsi="Times New Roman"/>
          <w:color w:val="000000" w:themeColor="text1"/>
          <w:kern w:val="0"/>
          <w:sz w:val="24"/>
          <w:szCs w:val="24"/>
        </w:rPr>
        <w:t xml:space="preserve">. The ASVs observed at low frequencies (less than two) were removed and remaining ASVs were classified using the QIIME2 naive Bayes classifier trained on 99% </w:t>
      </w:r>
      <w:r w:rsidRPr="00025B8B">
        <w:rPr>
          <w:rFonts w:ascii="Times New Roman" w:hAnsi="Times New Roman" w:hint="eastAsia"/>
          <w:color w:val="000000" w:themeColor="text1"/>
          <w:kern w:val="0"/>
          <w:sz w:val="24"/>
          <w:szCs w:val="24"/>
        </w:rPr>
        <w:t>o</w:t>
      </w:r>
      <w:r w:rsidRPr="00025B8B">
        <w:rPr>
          <w:rFonts w:ascii="Times New Roman" w:hAnsi="Times New Roman"/>
          <w:color w:val="000000" w:themeColor="text1"/>
          <w:kern w:val="0"/>
          <w:sz w:val="24"/>
          <w:szCs w:val="24"/>
        </w:rPr>
        <w:t xml:space="preserve">perational taxonomic units from the SILVA rRNA database (v 132) </w:t>
      </w:r>
      <w:r w:rsidRPr="00025B8B">
        <w:rPr>
          <w:rFonts w:ascii="Times New Roman" w:hAnsi="Times New Roman"/>
          <w:noProof/>
          <w:color w:val="000000" w:themeColor="text1"/>
          <w:kern w:val="0"/>
          <w:sz w:val="24"/>
          <w:szCs w:val="24"/>
        </w:rPr>
        <w:t>(Quast, et al. 2012)</w:t>
      </w:r>
      <w:r w:rsidRPr="00025B8B">
        <w:rPr>
          <w:rFonts w:ascii="Times New Roman" w:hAnsi="Times New Roman"/>
          <w:color w:val="000000" w:themeColor="text1"/>
          <w:kern w:val="0"/>
          <w:sz w:val="24"/>
          <w:szCs w:val="24"/>
        </w:rPr>
        <w:t>.</w:t>
      </w:r>
      <w:r w:rsidRPr="00025B8B">
        <w:rPr>
          <w:rFonts w:ascii="Times New Roman" w:hAnsi="Times New Roman" w:hint="eastAsia"/>
          <w:color w:val="000000" w:themeColor="text1"/>
          <w:kern w:val="0"/>
          <w:sz w:val="24"/>
          <w:szCs w:val="24"/>
        </w:rPr>
        <w:t xml:space="preserve"> </w:t>
      </w:r>
    </w:p>
    <w:p w:rsidR="005E2EB4" w:rsidRPr="00025B8B" w:rsidRDefault="005E2EB4" w:rsidP="00025D1D">
      <w:pPr>
        <w:spacing w:line="480" w:lineRule="auto"/>
        <w:rPr>
          <w:rFonts w:ascii="Times New Roman" w:hAnsi="Times New Roman"/>
          <w:bCs/>
          <w:color w:val="000000" w:themeColor="text1"/>
          <w:sz w:val="24"/>
          <w:szCs w:val="24"/>
        </w:rPr>
      </w:pPr>
    </w:p>
    <w:p w:rsidR="005E2EB4" w:rsidRPr="00025B8B" w:rsidRDefault="005E2EB4" w:rsidP="00025D1D">
      <w:pPr>
        <w:spacing w:line="480" w:lineRule="auto"/>
        <w:rPr>
          <w:rFonts w:ascii="Times New Roman" w:hAnsi="Times New Roman"/>
          <w:b/>
          <w:bCs/>
          <w:color w:val="000000" w:themeColor="text1"/>
          <w:kern w:val="0"/>
          <w:sz w:val="24"/>
          <w:szCs w:val="24"/>
        </w:rPr>
      </w:pPr>
      <w:r w:rsidRPr="00025B8B">
        <w:rPr>
          <w:rFonts w:ascii="Times New Roman" w:hAnsi="Times New Roman"/>
          <w:b/>
          <w:bCs/>
          <w:color w:val="000000" w:themeColor="text1"/>
          <w:kern w:val="0"/>
          <w:sz w:val="24"/>
          <w:szCs w:val="24"/>
        </w:rPr>
        <w:t xml:space="preserve">Metagenomic sequencing and data </w:t>
      </w:r>
      <w:r w:rsidRPr="00025B8B">
        <w:rPr>
          <w:rFonts w:ascii="Times New Roman" w:hAnsi="Times New Roman" w:hint="eastAsia"/>
          <w:b/>
          <w:bCs/>
          <w:color w:val="000000" w:themeColor="text1"/>
          <w:kern w:val="0"/>
          <w:sz w:val="24"/>
          <w:szCs w:val="24"/>
        </w:rPr>
        <w:t xml:space="preserve">analysis </w:t>
      </w:r>
    </w:p>
    <w:p w:rsidR="005E2EB4" w:rsidRPr="00025B8B" w:rsidRDefault="005E2EB4" w:rsidP="00025D1D">
      <w:pPr>
        <w:spacing w:line="480" w:lineRule="auto"/>
        <w:rPr>
          <w:rFonts w:ascii="Times New Roman" w:hAnsi="Times New Roman"/>
          <w:color w:val="000000" w:themeColor="text1"/>
          <w:sz w:val="24"/>
          <w:szCs w:val="24"/>
        </w:rPr>
      </w:pPr>
      <w:r w:rsidRPr="00025B8B">
        <w:rPr>
          <w:rFonts w:ascii="Times New Roman" w:hAnsi="Times New Roman"/>
          <w:color w:val="000000" w:themeColor="text1"/>
          <w:kern w:val="0"/>
          <w:sz w:val="24"/>
          <w:szCs w:val="24"/>
        </w:rPr>
        <w:t xml:space="preserve">To analyze changes in </w:t>
      </w:r>
      <w:r w:rsidRPr="00025B8B">
        <w:rPr>
          <w:rFonts w:ascii="Times New Roman" w:hAnsi="Times New Roman" w:hint="eastAsia"/>
          <w:color w:val="000000" w:themeColor="text1"/>
          <w:kern w:val="0"/>
          <w:sz w:val="24"/>
          <w:szCs w:val="24"/>
        </w:rPr>
        <w:t>ARG</w:t>
      </w:r>
      <w:r w:rsidRPr="00025B8B">
        <w:rPr>
          <w:rFonts w:ascii="Times New Roman" w:hAnsi="Times New Roman"/>
          <w:color w:val="000000" w:themeColor="text1"/>
          <w:kern w:val="0"/>
          <w:sz w:val="24"/>
          <w:szCs w:val="24"/>
        </w:rPr>
        <w:t xml:space="preserve"> (</w:t>
      </w:r>
      <w:r w:rsidRPr="00025B8B">
        <w:rPr>
          <w:rFonts w:ascii="Times New Roman" w:hAnsi="Times New Roman" w:hint="eastAsia"/>
          <w:color w:val="000000" w:themeColor="text1"/>
          <w:kern w:val="0"/>
          <w:sz w:val="24"/>
          <w:szCs w:val="24"/>
        </w:rPr>
        <w:t>resistome</w:t>
      </w:r>
      <w:r w:rsidRPr="00025B8B">
        <w:rPr>
          <w:rFonts w:ascii="Times New Roman" w:hAnsi="Times New Roman"/>
          <w:color w:val="000000" w:themeColor="text1"/>
          <w:kern w:val="0"/>
          <w:sz w:val="24"/>
          <w:szCs w:val="24"/>
        </w:rPr>
        <w:t xml:space="preserve">) </w:t>
      </w:r>
      <w:r w:rsidRPr="00025B8B">
        <w:rPr>
          <w:rFonts w:ascii="Times New Roman" w:hAnsi="Times New Roman" w:hint="eastAsia"/>
          <w:color w:val="000000" w:themeColor="text1"/>
          <w:kern w:val="0"/>
          <w:sz w:val="24"/>
          <w:szCs w:val="24"/>
        </w:rPr>
        <w:t>and MGE</w:t>
      </w:r>
      <w:r w:rsidRPr="00025B8B">
        <w:rPr>
          <w:rFonts w:ascii="Times New Roman" w:hAnsi="Times New Roman"/>
          <w:color w:val="000000" w:themeColor="text1"/>
          <w:kern w:val="0"/>
          <w:sz w:val="24"/>
          <w:szCs w:val="24"/>
        </w:rPr>
        <w:t xml:space="preserve"> (</w:t>
      </w:r>
      <w:r w:rsidRPr="00025B8B">
        <w:rPr>
          <w:rFonts w:ascii="Times New Roman" w:hAnsi="Times New Roman" w:hint="eastAsia"/>
          <w:color w:val="000000" w:themeColor="text1"/>
          <w:kern w:val="0"/>
          <w:sz w:val="24"/>
          <w:szCs w:val="24"/>
        </w:rPr>
        <w:t>mobilome</w:t>
      </w:r>
      <w:r w:rsidRPr="00025B8B">
        <w:rPr>
          <w:rFonts w:ascii="Times New Roman" w:hAnsi="Times New Roman"/>
          <w:color w:val="000000" w:themeColor="text1"/>
          <w:kern w:val="0"/>
          <w:sz w:val="24"/>
          <w:szCs w:val="24"/>
        </w:rPr>
        <w:t>) abundances during</w:t>
      </w:r>
      <w:r w:rsidRPr="00025B8B">
        <w:rPr>
          <w:rFonts w:ascii="Times New Roman" w:hAnsi="Times New Roman"/>
          <w:bCs/>
          <w:color w:val="000000" w:themeColor="text1"/>
          <w:sz w:val="24"/>
          <w:szCs w:val="24"/>
        </w:rPr>
        <w:t xml:space="preserve"> the </w:t>
      </w:r>
      <w:r w:rsidRPr="00025B8B">
        <w:rPr>
          <w:rFonts w:ascii="Times New Roman" w:hAnsi="Times New Roman" w:hint="eastAsia"/>
          <w:bCs/>
          <w:color w:val="000000" w:themeColor="text1"/>
          <w:sz w:val="24"/>
          <w:szCs w:val="24"/>
        </w:rPr>
        <w:t>soil</w:t>
      </w:r>
      <w:r w:rsidRPr="00025B8B">
        <w:rPr>
          <w:rFonts w:ascii="Times New Roman" w:hAnsi="Times New Roman"/>
          <w:bCs/>
          <w:color w:val="000000" w:themeColor="text1"/>
          <w:sz w:val="24"/>
          <w:szCs w:val="24"/>
        </w:rPr>
        <w:t xml:space="preserve"> microcosm experiment</w:t>
      </w:r>
      <w:r w:rsidRPr="00025B8B">
        <w:rPr>
          <w:rFonts w:ascii="Times New Roman" w:hAnsi="Times New Roman"/>
          <w:color w:val="000000" w:themeColor="text1"/>
          <w:kern w:val="0"/>
          <w:sz w:val="24"/>
          <w:szCs w:val="24"/>
        </w:rPr>
        <w:t xml:space="preserve">, </w:t>
      </w:r>
      <w:r w:rsidRPr="00025B8B">
        <w:rPr>
          <w:rFonts w:ascii="Times New Roman" w:hAnsi="Times New Roman" w:hint="eastAsia"/>
          <w:color w:val="000000" w:themeColor="text1"/>
          <w:kern w:val="0"/>
          <w:sz w:val="24"/>
          <w:szCs w:val="24"/>
        </w:rPr>
        <w:t xml:space="preserve">soil </w:t>
      </w:r>
      <w:r w:rsidRPr="00025B8B">
        <w:rPr>
          <w:rFonts w:ascii="Times New Roman" w:hAnsi="Times New Roman"/>
          <w:color w:val="000000" w:themeColor="text1"/>
          <w:kern w:val="0"/>
          <w:sz w:val="24"/>
          <w:szCs w:val="24"/>
        </w:rPr>
        <w:t>samples collected</w:t>
      </w:r>
      <w:r w:rsidRPr="00025B8B">
        <w:rPr>
          <w:rFonts w:ascii="Times New Roman" w:hAnsi="Times New Roman" w:hint="eastAsia"/>
          <w:color w:val="000000" w:themeColor="text1"/>
          <w:kern w:val="0"/>
          <w:sz w:val="24"/>
          <w:szCs w:val="24"/>
        </w:rPr>
        <w:t xml:space="preserve"> </w:t>
      </w:r>
      <w:r w:rsidRPr="00025B8B">
        <w:rPr>
          <w:rFonts w:ascii="Times New Roman" w:hAnsi="Times New Roman"/>
          <w:color w:val="000000" w:themeColor="text1"/>
          <w:kern w:val="0"/>
          <w:sz w:val="24"/>
          <w:szCs w:val="24"/>
        </w:rPr>
        <w:t>at 0d (N=3), 30</w:t>
      </w:r>
      <w:r w:rsidRPr="00025B8B">
        <w:rPr>
          <w:rFonts w:ascii="Times New Roman" w:hAnsi="Times New Roman" w:hint="eastAsia"/>
          <w:color w:val="000000" w:themeColor="text1"/>
          <w:kern w:val="0"/>
          <w:sz w:val="24"/>
          <w:szCs w:val="24"/>
        </w:rPr>
        <w:t>d</w:t>
      </w:r>
      <w:r w:rsidRPr="00025B8B">
        <w:rPr>
          <w:rFonts w:ascii="Times New Roman" w:hAnsi="Times New Roman"/>
          <w:color w:val="000000" w:themeColor="text1"/>
          <w:kern w:val="0"/>
          <w:sz w:val="24"/>
          <w:szCs w:val="24"/>
        </w:rPr>
        <w:t xml:space="preserve"> (N=12)</w:t>
      </w:r>
      <w:r w:rsidRPr="00025B8B">
        <w:rPr>
          <w:rFonts w:ascii="Times New Roman" w:hAnsi="Times New Roman" w:hint="eastAsia"/>
          <w:color w:val="000000" w:themeColor="text1"/>
          <w:kern w:val="0"/>
          <w:sz w:val="24"/>
          <w:szCs w:val="24"/>
        </w:rPr>
        <w:t xml:space="preserve"> and </w:t>
      </w:r>
      <w:r w:rsidRPr="00025B8B">
        <w:rPr>
          <w:rFonts w:ascii="Times New Roman" w:hAnsi="Times New Roman"/>
          <w:color w:val="000000" w:themeColor="text1"/>
          <w:kern w:val="0"/>
          <w:sz w:val="24"/>
          <w:szCs w:val="24"/>
        </w:rPr>
        <w:t>60</w:t>
      </w:r>
      <w:r w:rsidRPr="00025B8B">
        <w:rPr>
          <w:rFonts w:ascii="Times New Roman" w:hAnsi="Times New Roman" w:hint="eastAsia"/>
          <w:color w:val="000000" w:themeColor="text1"/>
          <w:kern w:val="0"/>
          <w:sz w:val="24"/>
          <w:szCs w:val="24"/>
        </w:rPr>
        <w:t>d</w:t>
      </w:r>
      <w:r w:rsidRPr="00025B8B">
        <w:rPr>
          <w:rFonts w:ascii="Times New Roman" w:hAnsi="Times New Roman"/>
          <w:color w:val="000000" w:themeColor="text1"/>
          <w:kern w:val="0"/>
          <w:sz w:val="24"/>
          <w:szCs w:val="24"/>
        </w:rPr>
        <w:t xml:space="preserve"> (N=12) time points were subjected to metagenomic sequencing.</w:t>
      </w:r>
      <w:r w:rsidRPr="00025B8B">
        <w:rPr>
          <w:rFonts w:ascii="Times New Roman" w:hAnsi="Times New Roman" w:hint="eastAsia"/>
          <w:color w:val="000000" w:themeColor="text1"/>
          <w:kern w:val="0"/>
          <w:sz w:val="24"/>
          <w:szCs w:val="24"/>
        </w:rPr>
        <w:t xml:space="preserve"> </w:t>
      </w:r>
      <w:r w:rsidRPr="00025B8B">
        <w:rPr>
          <w:rFonts w:ascii="Times New Roman" w:hAnsi="Times New Roman"/>
          <w:color w:val="000000" w:themeColor="text1"/>
          <w:kern w:val="0"/>
          <w:sz w:val="24"/>
          <w:szCs w:val="24"/>
        </w:rPr>
        <w:t>T</w:t>
      </w:r>
      <w:r w:rsidRPr="00025B8B">
        <w:rPr>
          <w:rFonts w:ascii="Times New Roman" w:hAnsi="Times New Roman" w:hint="eastAsia"/>
          <w:color w:val="000000" w:themeColor="text1"/>
          <w:kern w:val="0"/>
          <w:sz w:val="24"/>
          <w:szCs w:val="24"/>
        </w:rPr>
        <w:t>otal DNA</w:t>
      </w:r>
      <w:r w:rsidRPr="00025B8B">
        <w:rPr>
          <w:rFonts w:ascii="Times New Roman" w:hAnsi="Times New Roman"/>
          <w:color w:val="000000" w:themeColor="text1"/>
          <w:kern w:val="0"/>
          <w:sz w:val="24"/>
          <w:szCs w:val="24"/>
        </w:rPr>
        <w:t xml:space="preserve"> </w:t>
      </w:r>
      <w:r w:rsidRPr="00025B8B">
        <w:rPr>
          <w:rFonts w:ascii="Times New Roman" w:hAnsi="Times New Roman" w:hint="eastAsia"/>
          <w:color w:val="000000" w:themeColor="text1"/>
          <w:kern w:val="0"/>
          <w:sz w:val="24"/>
          <w:szCs w:val="24"/>
        </w:rPr>
        <w:t xml:space="preserve">samples </w:t>
      </w:r>
      <w:r w:rsidRPr="00025B8B">
        <w:rPr>
          <w:rFonts w:ascii="Times New Roman" w:hAnsi="Times New Roman"/>
          <w:color w:val="000000" w:themeColor="text1"/>
          <w:kern w:val="0"/>
          <w:sz w:val="24"/>
          <w:szCs w:val="24"/>
        </w:rPr>
        <w:t>were sent</w:t>
      </w:r>
      <w:r w:rsidRPr="00025B8B">
        <w:rPr>
          <w:rFonts w:ascii="Times New Roman" w:hAnsi="Times New Roman" w:hint="eastAsia"/>
          <w:color w:val="000000" w:themeColor="text1"/>
          <w:kern w:val="0"/>
          <w:sz w:val="24"/>
          <w:szCs w:val="24"/>
        </w:rPr>
        <w:t xml:space="preserve"> to</w:t>
      </w:r>
      <w:r w:rsidRPr="00025B8B">
        <w:rPr>
          <w:rFonts w:ascii="Times New Roman" w:hAnsi="Times New Roman"/>
          <w:color w:val="000000" w:themeColor="text1"/>
          <w:kern w:val="0"/>
          <w:sz w:val="24"/>
          <w:szCs w:val="24"/>
        </w:rPr>
        <w:t xml:space="preserve"> Guangdong Magigene Biotechnology Co. Ltd</w:t>
      </w:r>
      <w:r w:rsidRPr="00025B8B">
        <w:rPr>
          <w:rFonts w:ascii="Times New Roman" w:hAnsi="Times New Roman" w:hint="eastAsia"/>
          <w:color w:val="000000" w:themeColor="text1"/>
          <w:kern w:val="0"/>
          <w:sz w:val="24"/>
          <w:szCs w:val="24"/>
        </w:rPr>
        <w:t xml:space="preserve"> </w:t>
      </w:r>
      <w:r w:rsidRPr="00025B8B">
        <w:rPr>
          <w:rFonts w:ascii="Times New Roman" w:hAnsi="Times New Roman"/>
          <w:color w:val="000000" w:themeColor="text1"/>
          <w:kern w:val="0"/>
          <w:sz w:val="24"/>
          <w:szCs w:val="24"/>
        </w:rPr>
        <w:t xml:space="preserve">for library construction and shotgun metagenomic sequencing </w:t>
      </w:r>
      <w:r w:rsidRPr="00025B8B">
        <w:rPr>
          <w:rFonts w:ascii="Times New Roman" w:hAnsi="Times New Roman" w:hint="eastAsia"/>
          <w:color w:val="000000" w:themeColor="text1"/>
          <w:kern w:val="0"/>
          <w:sz w:val="24"/>
          <w:szCs w:val="24"/>
        </w:rPr>
        <w:t>on</w:t>
      </w:r>
      <w:r w:rsidRPr="00025B8B">
        <w:rPr>
          <w:color w:val="000000" w:themeColor="text1"/>
        </w:rPr>
        <w:t xml:space="preserve"> </w:t>
      </w:r>
      <w:r w:rsidRPr="00025B8B">
        <w:rPr>
          <w:rFonts w:ascii="Times New Roman" w:hAnsi="Times New Roman"/>
          <w:color w:val="000000" w:themeColor="text1"/>
          <w:kern w:val="0"/>
          <w:sz w:val="24"/>
          <w:szCs w:val="24"/>
        </w:rPr>
        <w:t>HiSeq platform (Illumina) with 150bp paired-end sequencing. The raw sequencing reads for</w:t>
      </w:r>
      <w:r w:rsidRPr="00025B8B">
        <w:rPr>
          <w:rFonts w:ascii="Times New Roman" w:hAnsi="Times New Roman" w:hint="eastAsia"/>
          <w:color w:val="000000" w:themeColor="text1"/>
          <w:kern w:val="0"/>
          <w:sz w:val="24"/>
          <w:szCs w:val="24"/>
        </w:rPr>
        <w:t xml:space="preserve"> </w:t>
      </w:r>
      <w:r w:rsidRPr="00025B8B">
        <w:rPr>
          <w:rFonts w:ascii="Times New Roman" w:hAnsi="Times New Roman"/>
          <w:color w:val="000000" w:themeColor="text1"/>
          <w:kern w:val="0"/>
          <w:sz w:val="24"/>
          <w:szCs w:val="24"/>
        </w:rPr>
        <w:t xml:space="preserve">each sample were independently processed for quality control using the Trimmomatic (version 0.39) </w:t>
      </w:r>
      <w:r w:rsidRPr="00025B8B">
        <w:rPr>
          <w:rFonts w:ascii="Times New Roman" w:hAnsi="Times New Roman"/>
          <w:noProof/>
          <w:color w:val="000000" w:themeColor="text1"/>
          <w:kern w:val="0"/>
          <w:sz w:val="24"/>
          <w:szCs w:val="24"/>
        </w:rPr>
        <w:t>(Bolger, et al. 2014)</w:t>
      </w:r>
      <w:r w:rsidRPr="00025B8B">
        <w:rPr>
          <w:rFonts w:ascii="Times New Roman" w:hAnsi="Times New Roman"/>
          <w:color w:val="000000" w:themeColor="text1"/>
          <w:kern w:val="0"/>
          <w:sz w:val="24"/>
          <w:szCs w:val="24"/>
        </w:rPr>
        <w:t>.</w:t>
      </w:r>
      <w:r w:rsidRPr="00025B8B">
        <w:rPr>
          <w:rFonts w:ascii="Times New Roman" w:hAnsi="Times New Roman" w:hint="eastAsia"/>
          <w:color w:val="000000" w:themeColor="text1"/>
          <w:kern w:val="0"/>
          <w:sz w:val="24"/>
          <w:szCs w:val="24"/>
        </w:rPr>
        <w:t xml:space="preserve"> </w:t>
      </w:r>
      <w:r w:rsidRPr="00025B8B">
        <w:rPr>
          <w:rFonts w:ascii="Times New Roman" w:hAnsi="Times New Roman"/>
          <w:color w:val="000000" w:themeColor="text1"/>
          <w:kern w:val="0"/>
          <w:sz w:val="24"/>
          <w:szCs w:val="24"/>
        </w:rPr>
        <w:t xml:space="preserve">Changes in resistome and mobilome were </w:t>
      </w:r>
      <w:r w:rsidRPr="00025B8B">
        <w:rPr>
          <w:rFonts w:ascii="Times New Roman" w:hAnsi="Times New Roman" w:hint="eastAsia"/>
          <w:color w:val="000000" w:themeColor="text1"/>
          <w:kern w:val="0"/>
          <w:sz w:val="24"/>
          <w:szCs w:val="24"/>
        </w:rPr>
        <w:t>analyzed</w:t>
      </w:r>
      <w:r w:rsidRPr="00025B8B">
        <w:rPr>
          <w:rFonts w:ascii="Times New Roman" w:hAnsi="Times New Roman"/>
          <w:color w:val="000000" w:themeColor="text1"/>
          <w:kern w:val="0"/>
          <w:sz w:val="24"/>
          <w:szCs w:val="24"/>
        </w:rPr>
        <w:t xml:space="preserve"> using </w:t>
      </w:r>
      <w:r w:rsidRPr="00025B8B">
        <w:rPr>
          <w:rFonts w:ascii="Times New Roman" w:hAnsi="Times New Roman" w:hint="eastAsia"/>
          <w:color w:val="000000" w:themeColor="text1"/>
          <w:kern w:val="0"/>
          <w:sz w:val="24"/>
          <w:szCs w:val="24"/>
        </w:rPr>
        <w:t xml:space="preserve">local </w:t>
      </w:r>
      <w:r w:rsidRPr="00025B8B">
        <w:rPr>
          <w:rFonts w:ascii="Times New Roman" w:hAnsi="Times New Roman"/>
          <w:color w:val="000000" w:themeColor="text1"/>
          <w:kern w:val="0"/>
          <w:sz w:val="24"/>
          <w:szCs w:val="24"/>
        </w:rPr>
        <w:t xml:space="preserve">ARGs-OAP (v2.2) </w:t>
      </w:r>
      <w:r w:rsidRPr="00025B8B">
        <w:rPr>
          <w:rFonts w:ascii="Times New Roman" w:hAnsi="Times New Roman" w:hint="eastAsia"/>
          <w:color w:val="000000" w:themeColor="text1"/>
          <w:kern w:val="0"/>
          <w:sz w:val="24"/>
          <w:szCs w:val="24"/>
        </w:rPr>
        <w:t>using</w:t>
      </w:r>
      <w:r w:rsidRPr="00025B8B">
        <w:rPr>
          <w:rFonts w:ascii="Times New Roman" w:hAnsi="Times New Roman"/>
          <w:color w:val="000000" w:themeColor="text1"/>
          <w:kern w:val="0"/>
          <w:sz w:val="24"/>
          <w:szCs w:val="24"/>
        </w:rPr>
        <w:t xml:space="preserve">  clean reads </w:t>
      </w:r>
      <w:r w:rsidRPr="00025B8B">
        <w:rPr>
          <w:rFonts w:ascii="Times New Roman" w:hAnsi="Times New Roman"/>
          <w:noProof/>
          <w:color w:val="000000" w:themeColor="text1"/>
          <w:kern w:val="0"/>
          <w:sz w:val="24"/>
          <w:szCs w:val="24"/>
        </w:rPr>
        <w:t>(Yin, et al. 2018)</w:t>
      </w:r>
      <w:r w:rsidRPr="00025B8B">
        <w:rPr>
          <w:rFonts w:ascii="Times New Roman" w:hAnsi="Times New Roman"/>
          <w:color w:val="000000" w:themeColor="text1"/>
          <w:kern w:val="0"/>
          <w:sz w:val="24"/>
          <w:szCs w:val="24"/>
        </w:rPr>
        <w:t>. To compare the relative ARG</w:t>
      </w:r>
      <w:r w:rsidRPr="00025B8B">
        <w:rPr>
          <w:rFonts w:ascii="Times New Roman" w:hAnsi="Times New Roman" w:hint="eastAsia"/>
          <w:color w:val="000000" w:themeColor="text1"/>
          <w:kern w:val="0"/>
          <w:sz w:val="24"/>
          <w:szCs w:val="24"/>
        </w:rPr>
        <w:t xml:space="preserve"> </w:t>
      </w:r>
      <w:r w:rsidRPr="00025B8B">
        <w:rPr>
          <w:rFonts w:ascii="Times New Roman" w:hAnsi="Times New Roman"/>
          <w:color w:val="000000" w:themeColor="text1"/>
          <w:kern w:val="0"/>
          <w:sz w:val="24"/>
          <w:szCs w:val="24"/>
        </w:rPr>
        <w:t>abundances in diﬀerent samples, normalization against the total cell numbers in each sample (copies/cell) was performed.</w:t>
      </w:r>
      <w:r w:rsidRPr="00025B8B">
        <w:rPr>
          <w:rFonts w:ascii="Times New Roman" w:hAnsi="Times New Roman" w:hint="eastAsia"/>
          <w:color w:val="000000" w:themeColor="text1"/>
          <w:kern w:val="0"/>
          <w:sz w:val="24"/>
          <w:szCs w:val="24"/>
        </w:rPr>
        <w:t xml:space="preserve"> </w:t>
      </w:r>
      <w:r w:rsidRPr="00025B8B">
        <w:rPr>
          <w:rFonts w:ascii="Times New Roman" w:hAnsi="Times New Roman"/>
          <w:color w:val="000000" w:themeColor="text1"/>
          <w:sz w:val="24"/>
          <w:szCs w:val="24"/>
        </w:rPr>
        <w:t xml:space="preserve">The details </w:t>
      </w:r>
      <w:r w:rsidRPr="00025B8B">
        <w:rPr>
          <w:rFonts w:ascii="Times New Roman" w:hAnsi="Times New Roman" w:hint="eastAsia"/>
          <w:color w:val="000000" w:themeColor="text1"/>
          <w:sz w:val="24"/>
          <w:szCs w:val="24"/>
        </w:rPr>
        <w:t xml:space="preserve">and data analysis </w:t>
      </w:r>
      <w:r w:rsidRPr="00025B8B">
        <w:rPr>
          <w:rFonts w:ascii="Times New Roman" w:hAnsi="Times New Roman"/>
          <w:color w:val="000000" w:themeColor="text1"/>
          <w:sz w:val="24"/>
          <w:szCs w:val="24"/>
        </w:rPr>
        <w:t>are shown in Supplementary materials (Supplementary Text 2)</w:t>
      </w:r>
      <w:r w:rsidRPr="00025B8B">
        <w:rPr>
          <w:rFonts w:ascii="Times New Roman" w:hAnsi="Times New Roman" w:hint="eastAsia"/>
          <w:color w:val="000000" w:themeColor="text1"/>
          <w:sz w:val="24"/>
          <w:szCs w:val="24"/>
        </w:rPr>
        <w:t>.</w:t>
      </w:r>
      <w:r w:rsidRPr="00025B8B">
        <w:rPr>
          <w:rFonts w:ascii="Times New Roman" w:hAnsi="Times New Roman"/>
          <w:color w:val="000000" w:themeColor="text1"/>
          <w:sz w:val="24"/>
          <w:szCs w:val="24"/>
        </w:rPr>
        <w:t xml:space="preserve"> Briefly, extracted DNA from 27 samples resulted in 15 billion paired-end reads, comprising 235 Gb of DNA. The sequencing yielded an average of 58 million paired-end reads per pooled sample (</w:t>
      </w:r>
      <w:r w:rsidRPr="00025B8B">
        <w:rPr>
          <w:rFonts w:ascii="Times New Roman" w:hAnsi="Times New Roman"/>
          <w:color w:val="000000" w:themeColor="text1"/>
          <w:sz w:val="24"/>
        </w:rPr>
        <w:t xml:space="preserve">Supplementary </w:t>
      </w:r>
      <w:r w:rsidRPr="00025B8B">
        <w:rPr>
          <w:rFonts w:ascii="Times New Roman" w:hAnsi="Times New Roman" w:hint="eastAsia"/>
          <w:color w:val="000000" w:themeColor="text1"/>
          <w:sz w:val="24"/>
        </w:rPr>
        <w:t>Table</w:t>
      </w:r>
      <w:r w:rsidRPr="00025B8B">
        <w:rPr>
          <w:rFonts w:ascii="Times New Roman" w:hAnsi="Times New Roman"/>
          <w:color w:val="000000" w:themeColor="text1"/>
          <w:sz w:val="24"/>
        </w:rPr>
        <w:t xml:space="preserve"> S8)</w:t>
      </w:r>
      <w:r w:rsidRPr="00025B8B">
        <w:rPr>
          <w:rFonts w:ascii="Times New Roman" w:hAnsi="Times New Roman"/>
          <w:color w:val="000000" w:themeColor="text1"/>
          <w:sz w:val="24"/>
          <w:szCs w:val="24"/>
        </w:rPr>
        <w:t>.</w:t>
      </w:r>
    </w:p>
    <w:p w:rsidR="005E2EB4" w:rsidRPr="00025B8B" w:rsidRDefault="005E2EB4" w:rsidP="00025D1D">
      <w:pPr>
        <w:spacing w:line="480" w:lineRule="auto"/>
        <w:rPr>
          <w:rFonts w:ascii="Times New Roman" w:hAnsi="Times New Roman"/>
          <w:color w:val="000000" w:themeColor="text1"/>
          <w:kern w:val="0"/>
          <w:sz w:val="24"/>
          <w:szCs w:val="24"/>
        </w:rPr>
      </w:pPr>
    </w:p>
    <w:p w:rsidR="005E2EB4" w:rsidRPr="00025B8B" w:rsidRDefault="005E2EB4" w:rsidP="00025D1D">
      <w:pPr>
        <w:spacing w:line="480" w:lineRule="auto"/>
        <w:jc w:val="left"/>
        <w:rPr>
          <w:rFonts w:ascii="Times New Roman" w:eastAsia="DengXian" w:hAnsi="Times New Roman"/>
          <w:color w:val="000000" w:themeColor="text1"/>
          <w:sz w:val="24"/>
          <w:szCs w:val="24"/>
        </w:rPr>
      </w:pPr>
      <w:r w:rsidRPr="00025B8B">
        <w:rPr>
          <w:rFonts w:ascii="Times New Roman" w:hAnsi="Times New Roman" w:hint="eastAsia"/>
          <w:b/>
          <w:color w:val="000000" w:themeColor="text1"/>
          <w:sz w:val="24"/>
          <w:szCs w:val="24"/>
        </w:rPr>
        <w:t>Q</w:t>
      </w:r>
      <w:r w:rsidRPr="00025B8B">
        <w:rPr>
          <w:rFonts w:ascii="Times New Roman" w:hAnsi="Times New Roman"/>
          <w:b/>
          <w:color w:val="000000" w:themeColor="text1"/>
          <w:sz w:val="24"/>
          <w:szCs w:val="24"/>
        </w:rPr>
        <w:t xml:space="preserve">uantitative PCR to determine changes in </w:t>
      </w:r>
      <w:r w:rsidRPr="00025B8B">
        <w:rPr>
          <w:rFonts w:ascii="Times New Roman" w:hAnsi="Times New Roman" w:hint="eastAsia"/>
          <w:b/>
          <w:color w:val="000000" w:themeColor="text1"/>
          <w:sz w:val="24"/>
          <w:szCs w:val="24"/>
        </w:rPr>
        <w:t>ARG</w:t>
      </w:r>
      <w:r w:rsidRPr="00025B8B">
        <w:rPr>
          <w:rFonts w:ascii="Times New Roman" w:hAnsi="Times New Roman"/>
          <w:b/>
          <w:color w:val="000000" w:themeColor="text1"/>
          <w:sz w:val="24"/>
          <w:szCs w:val="24"/>
        </w:rPr>
        <w:t xml:space="preserve"> </w:t>
      </w:r>
      <w:r w:rsidRPr="00025B8B">
        <w:rPr>
          <w:rFonts w:ascii="Times New Roman" w:hAnsi="Times New Roman" w:hint="eastAsia"/>
          <w:b/>
          <w:color w:val="000000" w:themeColor="text1"/>
          <w:sz w:val="24"/>
          <w:szCs w:val="24"/>
        </w:rPr>
        <w:t>and MGE</w:t>
      </w:r>
      <w:r w:rsidRPr="00025B8B">
        <w:rPr>
          <w:rFonts w:ascii="Times New Roman" w:hAnsi="Times New Roman"/>
          <w:b/>
          <w:color w:val="000000" w:themeColor="text1"/>
          <w:sz w:val="24"/>
          <w:szCs w:val="24"/>
        </w:rPr>
        <w:t xml:space="preserve"> abundances </w:t>
      </w:r>
    </w:p>
    <w:p w:rsidR="005E2EB4" w:rsidRPr="00025B8B" w:rsidRDefault="005E2EB4" w:rsidP="00025D1D">
      <w:pPr>
        <w:spacing w:line="480" w:lineRule="auto"/>
        <w:rPr>
          <w:rFonts w:ascii="Times New Roman" w:hAnsi="Times New Roman"/>
          <w:color w:val="000000" w:themeColor="text1"/>
          <w:sz w:val="24"/>
          <w:szCs w:val="24"/>
        </w:rPr>
      </w:pPr>
      <w:r w:rsidRPr="00025B8B">
        <w:rPr>
          <w:rFonts w:ascii="Times New Roman" w:hAnsi="Times New Roman"/>
          <w:color w:val="000000" w:themeColor="text1"/>
          <w:kern w:val="0"/>
          <w:sz w:val="24"/>
          <w:szCs w:val="24"/>
        </w:rPr>
        <w:t xml:space="preserve">To </w:t>
      </w:r>
      <w:r w:rsidRPr="00025B8B">
        <w:rPr>
          <w:rFonts w:ascii="Times New Roman" w:hAnsi="Times New Roman" w:hint="eastAsia"/>
          <w:color w:val="000000" w:themeColor="text1"/>
          <w:kern w:val="0"/>
          <w:sz w:val="24"/>
          <w:szCs w:val="24"/>
        </w:rPr>
        <w:t>verify</w:t>
      </w:r>
      <w:r w:rsidRPr="00025B8B">
        <w:rPr>
          <w:rFonts w:ascii="Times New Roman" w:hAnsi="Times New Roman"/>
          <w:color w:val="000000" w:themeColor="text1"/>
          <w:kern w:val="0"/>
          <w:sz w:val="24"/>
          <w:szCs w:val="24"/>
        </w:rPr>
        <w:t xml:space="preserve"> changes in</w:t>
      </w:r>
      <w:r w:rsidRPr="00025B8B">
        <w:rPr>
          <w:rFonts w:ascii="Times New Roman" w:hAnsi="Times New Roman" w:hint="eastAsia"/>
          <w:color w:val="000000" w:themeColor="text1"/>
          <w:kern w:val="0"/>
          <w:sz w:val="24"/>
          <w:szCs w:val="24"/>
        </w:rPr>
        <w:t xml:space="preserve"> the </w:t>
      </w:r>
      <w:r w:rsidRPr="00025B8B">
        <w:rPr>
          <w:rFonts w:ascii="Times New Roman" w:hAnsi="Times New Roman"/>
          <w:color w:val="000000" w:themeColor="text1"/>
          <w:kern w:val="0"/>
          <w:sz w:val="24"/>
          <w:szCs w:val="24"/>
        </w:rPr>
        <w:t>ARG and MGE</w:t>
      </w:r>
      <w:r w:rsidRPr="00025B8B">
        <w:rPr>
          <w:rFonts w:ascii="Times New Roman" w:hAnsi="Times New Roman" w:hint="eastAsia"/>
          <w:color w:val="000000" w:themeColor="text1"/>
          <w:kern w:val="0"/>
          <w:sz w:val="24"/>
          <w:szCs w:val="24"/>
        </w:rPr>
        <w:t xml:space="preserve"> abundances</w:t>
      </w:r>
      <w:r w:rsidRPr="00025B8B">
        <w:rPr>
          <w:rFonts w:ascii="Times New Roman" w:hAnsi="Times New Roman"/>
          <w:color w:val="000000" w:themeColor="text1"/>
          <w:kern w:val="0"/>
          <w:sz w:val="24"/>
          <w:szCs w:val="24"/>
        </w:rPr>
        <w:t xml:space="preserve"> based on</w:t>
      </w:r>
      <w:r w:rsidRPr="00025B8B">
        <w:rPr>
          <w:rFonts w:ascii="Times New Roman" w:hAnsi="Times New Roman" w:hint="eastAsia"/>
          <w:color w:val="000000" w:themeColor="text1"/>
          <w:kern w:val="0"/>
          <w:sz w:val="24"/>
          <w:szCs w:val="24"/>
        </w:rPr>
        <w:t xml:space="preserve"> metagenomic </w:t>
      </w:r>
      <w:r w:rsidRPr="00025B8B">
        <w:rPr>
          <w:rFonts w:ascii="Times New Roman" w:hAnsi="Times New Roman"/>
          <w:color w:val="000000" w:themeColor="text1"/>
          <w:kern w:val="0"/>
          <w:sz w:val="24"/>
          <w:szCs w:val="24"/>
        </w:rPr>
        <w:t>analysis,</w:t>
      </w:r>
      <w:r w:rsidRPr="00025B8B">
        <w:rPr>
          <w:color w:val="000000" w:themeColor="text1"/>
        </w:rPr>
        <w:t xml:space="preserve"> </w:t>
      </w:r>
      <w:r w:rsidRPr="00025B8B">
        <w:rPr>
          <w:rFonts w:ascii="Times New Roman" w:hAnsi="Times New Roman"/>
          <w:color w:val="000000" w:themeColor="text1"/>
          <w:kern w:val="0"/>
          <w:sz w:val="24"/>
          <w:szCs w:val="24"/>
        </w:rPr>
        <w:t xml:space="preserve">quantitative PCR </w:t>
      </w:r>
      <w:r w:rsidRPr="00025B8B">
        <w:rPr>
          <w:rFonts w:ascii="Times New Roman" w:hAnsi="Times New Roman" w:hint="eastAsia"/>
          <w:color w:val="000000" w:themeColor="text1"/>
          <w:kern w:val="0"/>
          <w:sz w:val="24"/>
          <w:szCs w:val="24"/>
        </w:rPr>
        <w:t xml:space="preserve">was used to </w:t>
      </w:r>
      <w:r w:rsidRPr="00025B8B">
        <w:rPr>
          <w:rFonts w:ascii="Times New Roman" w:hAnsi="Times New Roman"/>
          <w:color w:val="000000" w:themeColor="text1"/>
          <w:kern w:val="0"/>
          <w:sz w:val="24"/>
          <w:szCs w:val="24"/>
        </w:rPr>
        <w:t xml:space="preserve">measure </w:t>
      </w:r>
      <w:r w:rsidRPr="00025B8B">
        <w:rPr>
          <w:rFonts w:ascii="Times New Roman" w:hAnsi="Times New Roman" w:hint="eastAsia"/>
          <w:color w:val="000000" w:themeColor="text1"/>
          <w:kern w:val="0"/>
          <w:sz w:val="24"/>
          <w:szCs w:val="24"/>
        </w:rPr>
        <w:t xml:space="preserve">the </w:t>
      </w:r>
      <w:r w:rsidRPr="00025B8B">
        <w:rPr>
          <w:rFonts w:ascii="Times New Roman" w:eastAsia="DengXian" w:hAnsi="Times New Roman"/>
          <w:color w:val="000000" w:themeColor="text1"/>
          <w:sz w:val="24"/>
          <w:szCs w:val="24"/>
        </w:rPr>
        <w:t>abundance of a total of 27 ARG subtypes conferring resistance to four common antibiotics (</w:t>
      </w:r>
      <w:r w:rsidRPr="00025B8B">
        <w:rPr>
          <w:rFonts w:ascii="Times New Roman" w:hAnsi="Times New Roman"/>
          <w:color w:val="000000" w:themeColor="text1"/>
          <w:sz w:val="24"/>
          <w:szCs w:val="24"/>
        </w:rPr>
        <w:t>tetracycline, sulfonamide, aminoglycoside and macrolide)</w:t>
      </w:r>
      <w:r w:rsidRPr="00025B8B">
        <w:rPr>
          <w:rFonts w:ascii="Times New Roman" w:hAnsi="Times New Roman"/>
          <w:color w:val="000000" w:themeColor="text1"/>
        </w:rPr>
        <w:t xml:space="preserve"> </w:t>
      </w:r>
      <w:r w:rsidRPr="00025B8B">
        <w:rPr>
          <w:rFonts w:ascii="Times New Roman" w:hAnsi="Times New Roman"/>
          <w:color w:val="000000" w:themeColor="text1"/>
          <w:sz w:val="24"/>
          <w:szCs w:val="24"/>
        </w:rPr>
        <w:t xml:space="preserve">and five MGEs </w:t>
      </w:r>
      <w:r w:rsidRPr="00025B8B">
        <w:rPr>
          <w:rFonts w:ascii="Times New Roman" w:hAnsi="Times New Roman"/>
          <w:color w:val="000000" w:themeColor="text1"/>
          <w:sz w:val="24"/>
          <w:szCs w:val="24"/>
        </w:rPr>
        <w:lastRenderedPageBreak/>
        <w:t>including two integrases (</w:t>
      </w:r>
      <w:r w:rsidRPr="00025B8B">
        <w:rPr>
          <w:rFonts w:ascii="Times New Roman" w:hAnsi="Times New Roman"/>
          <w:i/>
          <w:color w:val="000000" w:themeColor="text1"/>
          <w:sz w:val="24"/>
          <w:szCs w:val="24"/>
        </w:rPr>
        <w:t>intI1</w:t>
      </w:r>
      <w:r w:rsidRPr="00025B8B">
        <w:rPr>
          <w:rFonts w:ascii="Times New Roman" w:hAnsi="Times New Roman"/>
          <w:color w:val="000000" w:themeColor="text1"/>
          <w:sz w:val="24"/>
          <w:szCs w:val="24"/>
        </w:rPr>
        <w:t xml:space="preserve">, </w:t>
      </w:r>
      <w:r w:rsidRPr="00025B8B">
        <w:rPr>
          <w:rFonts w:ascii="Times New Roman" w:hAnsi="Times New Roman"/>
          <w:i/>
          <w:color w:val="000000" w:themeColor="text1"/>
          <w:sz w:val="24"/>
          <w:szCs w:val="24"/>
        </w:rPr>
        <w:t>intI2</w:t>
      </w:r>
      <w:r w:rsidRPr="00025B8B">
        <w:rPr>
          <w:rFonts w:ascii="Times New Roman" w:hAnsi="Times New Roman"/>
          <w:color w:val="000000" w:themeColor="text1"/>
          <w:sz w:val="24"/>
          <w:szCs w:val="24"/>
        </w:rPr>
        <w:t>), two plasmids (</w:t>
      </w:r>
      <w:r w:rsidRPr="00025B8B">
        <w:rPr>
          <w:rFonts w:ascii="Times New Roman" w:hAnsi="Times New Roman"/>
          <w:i/>
          <w:color w:val="000000" w:themeColor="text1"/>
          <w:sz w:val="24"/>
          <w:szCs w:val="24"/>
        </w:rPr>
        <w:t>ISCR1</w:t>
      </w:r>
      <w:r w:rsidRPr="00025B8B">
        <w:rPr>
          <w:rFonts w:ascii="Times New Roman" w:hAnsi="Times New Roman"/>
          <w:color w:val="000000" w:themeColor="text1"/>
          <w:sz w:val="24"/>
          <w:szCs w:val="24"/>
        </w:rPr>
        <w:t xml:space="preserve">, </w:t>
      </w:r>
      <w:r w:rsidRPr="00025B8B">
        <w:rPr>
          <w:rFonts w:ascii="Times New Roman" w:hAnsi="Times New Roman"/>
          <w:i/>
          <w:color w:val="000000" w:themeColor="text1"/>
          <w:sz w:val="24"/>
          <w:szCs w:val="24"/>
        </w:rPr>
        <w:t>IncQ</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and</w:t>
      </w:r>
      <w:r w:rsidRPr="00025B8B">
        <w:rPr>
          <w:rFonts w:ascii="Times New Roman" w:hAnsi="Times New Roman"/>
          <w:color w:val="000000" w:themeColor="text1"/>
          <w:sz w:val="24"/>
          <w:szCs w:val="24"/>
        </w:rPr>
        <w:t xml:space="preserve"> one transposon (</w:t>
      </w:r>
      <w:r w:rsidRPr="00025B8B">
        <w:rPr>
          <w:rFonts w:ascii="Times New Roman" w:hAnsi="Times New Roman"/>
          <w:i/>
          <w:color w:val="000000" w:themeColor="text1"/>
          <w:sz w:val="24"/>
          <w:szCs w:val="24"/>
        </w:rPr>
        <w:t>Tn916</w:t>
      </w:r>
      <w:r w:rsidRPr="00025B8B">
        <w:rPr>
          <w:rFonts w:ascii="Times New Roman" w:hAnsi="Times New Roman"/>
          <w:color w:val="000000" w:themeColor="text1"/>
          <w:sz w:val="24"/>
          <w:szCs w:val="24"/>
        </w:rPr>
        <w:t>/</w:t>
      </w:r>
      <w:r w:rsidRPr="00025B8B">
        <w:rPr>
          <w:rFonts w:ascii="Times New Roman" w:hAnsi="Times New Roman"/>
          <w:i/>
          <w:color w:val="000000" w:themeColor="text1"/>
          <w:sz w:val="24"/>
          <w:szCs w:val="24"/>
        </w:rPr>
        <w:t>1545</w:t>
      </w:r>
      <w:r w:rsidRPr="00025B8B">
        <w:rPr>
          <w:rFonts w:ascii="Times New Roman" w:hAnsi="Times New Roman"/>
          <w:color w:val="000000" w:themeColor="text1"/>
          <w:sz w:val="24"/>
          <w:szCs w:val="24"/>
        </w:rPr>
        <w:t xml:space="preserve">, abbreviated </w:t>
      </w:r>
      <w:r w:rsidRPr="00025B8B">
        <w:rPr>
          <w:rFonts w:ascii="Times New Roman" w:hAnsi="Times New Roman"/>
          <w:i/>
          <w:color w:val="000000" w:themeColor="text1"/>
          <w:sz w:val="24"/>
          <w:szCs w:val="24"/>
        </w:rPr>
        <w:t>Tn916</w:t>
      </w:r>
      <w:r w:rsidRPr="00025B8B">
        <w:rPr>
          <w:rFonts w:ascii="Times New Roman" w:hAnsi="Times New Roman"/>
          <w:color w:val="000000" w:themeColor="text1"/>
          <w:sz w:val="24"/>
          <w:szCs w:val="24"/>
        </w:rPr>
        <w:t>). T</w:t>
      </w:r>
      <w:r w:rsidRPr="00025B8B">
        <w:rPr>
          <w:rFonts w:ascii="Times New Roman" w:hAnsi="Times New Roman" w:hint="eastAsia"/>
          <w:color w:val="000000" w:themeColor="text1"/>
          <w:sz w:val="24"/>
          <w:szCs w:val="24"/>
        </w:rPr>
        <w:t xml:space="preserve">he </w:t>
      </w:r>
      <w:r w:rsidRPr="00025B8B">
        <w:rPr>
          <w:rFonts w:ascii="Times New Roman" w:hAnsi="Times New Roman"/>
          <w:color w:val="000000" w:themeColor="text1"/>
          <w:sz w:val="24"/>
          <w:szCs w:val="24"/>
        </w:rPr>
        <w:t xml:space="preserve">total bacterial abundances </w:t>
      </w:r>
      <w:r w:rsidRPr="00025B8B">
        <w:rPr>
          <w:rFonts w:ascii="Times New Roman" w:hAnsi="Times New Roman" w:hint="eastAsia"/>
          <w:color w:val="000000" w:themeColor="text1"/>
          <w:sz w:val="24"/>
          <w:szCs w:val="24"/>
        </w:rPr>
        <w:t>in soil samples w</w:t>
      </w:r>
      <w:r w:rsidRPr="00025B8B">
        <w:rPr>
          <w:rFonts w:ascii="Times New Roman" w:hAnsi="Times New Roman"/>
          <w:color w:val="000000" w:themeColor="text1"/>
          <w:sz w:val="24"/>
          <w:szCs w:val="24"/>
        </w:rPr>
        <w:t>ere</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determined </w:t>
      </w:r>
      <w:r w:rsidRPr="00025B8B">
        <w:rPr>
          <w:rFonts w:ascii="Times New Roman" w:hAnsi="Times New Roman" w:hint="eastAsia"/>
          <w:color w:val="000000" w:themeColor="text1"/>
          <w:kern w:val="0"/>
          <w:sz w:val="24"/>
          <w:szCs w:val="24"/>
        </w:rPr>
        <w:t xml:space="preserve">using </w:t>
      </w:r>
      <w:r w:rsidRPr="00025B8B">
        <w:rPr>
          <w:rFonts w:ascii="Times New Roman" w:hAnsi="Times New Roman"/>
          <w:color w:val="000000" w:themeColor="text1"/>
          <w:sz w:val="24"/>
          <w:szCs w:val="24"/>
        </w:rPr>
        <w:t>16</w:t>
      </w:r>
      <w:r w:rsidRPr="00025B8B">
        <w:rPr>
          <w:rFonts w:ascii="Times New Roman" w:hAnsi="Times New Roman" w:hint="eastAsia"/>
          <w:color w:val="000000" w:themeColor="text1"/>
          <w:sz w:val="24"/>
          <w:szCs w:val="24"/>
        </w:rPr>
        <w:t>S</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rRNA</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gene</w:t>
      </w:r>
      <w:r w:rsidRPr="00025B8B">
        <w:rPr>
          <w:rFonts w:ascii="Times New Roman" w:hAnsi="Times New Roman"/>
          <w:color w:val="000000" w:themeColor="text1"/>
          <w:sz w:val="24"/>
          <w:szCs w:val="24"/>
        </w:rPr>
        <w:t xml:space="preserve"> (</w:t>
      </w:r>
      <w:r w:rsidRPr="00025B8B">
        <w:rPr>
          <w:rFonts w:ascii="Times New Roman" w:hAnsi="Times New Roman"/>
          <w:color w:val="000000" w:themeColor="text1"/>
          <w:sz w:val="24"/>
          <w:szCs w:val="21"/>
          <w:shd w:val="clear" w:color="auto" w:fill="FFFFFF"/>
        </w:rPr>
        <w:t>341F/515R</w:t>
      </w:r>
      <w:r w:rsidRPr="00025B8B">
        <w:rPr>
          <w:rFonts w:ascii="Times New Roman" w:hAnsi="Times New Roman"/>
          <w:color w:val="000000" w:themeColor="text1"/>
          <w:sz w:val="24"/>
          <w:szCs w:val="24"/>
        </w:rPr>
        <w:t xml:space="preserve">). The quantification was </w:t>
      </w:r>
      <w:r w:rsidRPr="00025B8B">
        <w:rPr>
          <w:rFonts w:ascii="Times New Roman" w:eastAsia="SimSun" w:hAnsi="Times New Roman"/>
          <w:color w:val="000000" w:themeColor="text1"/>
          <w:kern w:val="0"/>
          <w:sz w:val="24"/>
          <w:szCs w:val="24"/>
        </w:rPr>
        <w:t>carried out</w:t>
      </w:r>
      <w:r w:rsidRPr="00025B8B">
        <w:rPr>
          <w:rFonts w:ascii="Times New Roman" w:hAnsi="Times New Roman"/>
          <w:color w:val="000000" w:themeColor="text1"/>
          <w:sz w:val="24"/>
          <w:szCs w:val="24"/>
        </w:rPr>
        <w:t xml:space="preserve"> on a Light Cycler 96 system (Roche, Mannheim, Germany) as described previously </w:t>
      </w:r>
      <w:r w:rsidRPr="00025B8B">
        <w:rPr>
          <w:rFonts w:ascii="Times New Roman" w:hAnsi="Times New Roman"/>
          <w:noProof/>
          <w:color w:val="000000" w:themeColor="text1"/>
          <w:sz w:val="24"/>
          <w:szCs w:val="24"/>
        </w:rPr>
        <w:t>(Liao, et al. 2018)</w:t>
      </w:r>
      <w:r w:rsidRPr="00025B8B">
        <w:rPr>
          <w:rFonts w:ascii="Times New Roman" w:hAnsi="Times New Roman"/>
          <w:color w:val="000000" w:themeColor="text1"/>
          <w:sz w:val="24"/>
          <w:szCs w:val="24"/>
        </w:rPr>
        <w:t xml:space="preserve"> and all the details of the qPCR assay for all target genes (primers, annealing temperatures, reaction conditions and amplification cycles) and results are listed in </w:t>
      </w:r>
      <w:r w:rsidRPr="00025B8B">
        <w:rPr>
          <w:rFonts w:ascii="Times New Roman" w:hAnsi="Times New Roman"/>
          <w:bCs/>
          <w:color w:val="000000" w:themeColor="text1"/>
          <w:sz w:val="24"/>
          <w:szCs w:val="24"/>
        </w:rPr>
        <w:t>Supplementary</w:t>
      </w:r>
      <w:r w:rsidRPr="00025B8B">
        <w:rPr>
          <w:color w:val="000000" w:themeColor="text1"/>
        </w:rPr>
        <w:t xml:space="preserve"> </w:t>
      </w:r>
      <w:r w:rsidRPr="00025B8B">
        <w:rPr>
          <w:rFonts w:ascii="Times New Roman" w:hAnsi="Times New Roman"/>
          <w:bCs/>
          <w:color w:val="000000" w:themeColor="text1"/>
          <w:sz w:val="24"/>
          <w:szCs w:val="24"/>
        </w:rPr>
        <w:t>materials (Supplementary Text 3)</w:t>
      </w:r>
      <w:r w:rsidRPr="00025B8B">
        <w:rPr>
          <w:rFonts w:ascii="Times New Roman" w:hAnsi="Times New Roman"/>
          <w:color w:val="000000" w:themeColor="text1"/>
          <w:sz w:val="24"/>
          <w:szCs w:val="24"/>
        </w:rPr>
        <w:t xml:space="preserve">. </w:t>
      </w:r>
    </w:p>
    <w:p w:rsidR="005E2EB4" w:rsidRPr="00025B8B" w:rsidRDefault="005E2EB4" w:rsidP="00025D1D">
      <w:pPr>
        <w:spacing w:line="480" w:lineRule="auto"/>
        <w:rPr>
          <w:rFonts w:ascii="Times New Roman" w:hAnsi="Times New Roman"/>
          <w:color w:val="000000" w:themeColor="text1"/>
          <w:kern w:val="0"/>
          <w:sz w:val="24"/>
          <w:szCs w:val="24"/>
        </w:rPr>
      </w:pPr>
    </w:p>
    <w:p w:rsidR="005E2EB4" w:rsidRPr="00025B8B" w:rsidRDefault="005E2EB4" w:rsidP="00025D1D">
      <w:pPr>
        <w:spacing w:line="480" w:lineRule="auto"/>
        <w:jc w:val="left"/>
        <w:rPr>
          <w:rFonts w:ascii="Times New Roman" w:hAnsi="Times New Roman"/>
          <w:b/>
          <w:color w:val="000000" w:themeColor="text1"/>
          <w:sz w:val="24"/>
          <w:szCs w:val="24"/>
        </w:rPr>
      </w:pPr>
      <w:r w:rsidRPr="00025B8B">
        <w:rPr>
          <w:rFonts w:ascii="Times New Roman" w:hAnsi="Times New Roman"/>
          <w:b/>
          <w:color w:val="000000" w:themeColor="text1"/>
          <w:sz w:val="24"/>
          <w:szCs w:val="24"/>
        </w:rPr>
        <w:t>Isolation of antibiotic resistant bacteria during the soil microcosm experiment</w:t>
      </w:r>
    </w:p>
    <w:p w:rsidR="005E2EB4" w:rsidRPr="00025B8B" w:rsidRDefault="005E2EB4" w:rsidP="00025D1D">
      <w:pPr>
        <w:spacing w:line="480" w:lineRule="auto"/>
        <w:rPr>
          <w:rFonts w:ascii="Times New Roman" w:hAnsi="Times New Roman"/>
          <w:color w:val="000000" w:themeColor="text1"/>
          <w:sz w:val="24"/>
          <w:szCs w:val="24"/>
        </w:rPr>
      </w:pPr>
      <w:r w:rsidRPr="00025B8B">
        <w:rPr>
          <w:rFonts w:ascii="Times New Roman" w:hAnsi="Times New Roman"/>
          <w:color w:val="000000" w:themeColor="text1"/>
          <w:kern w:val="0"/>
          <w:sz w:val="24"/>
          <w:szCs w:val="24"/>
        </w:rPr>
        <w:t xml:space="preserve">Isolation of culturable antibiotic resistant bacteria was performed at the mid-point (30d) of soil microcosm experiment as described previously </w:t>
      </w:r>
      <w:r w:rsidRPr="00025B8B">
        <w:rPr>
          <w:rFonts w:ascii="Times New Roman" w:hAnsi="Times New Roman"/>
          <w:noProof/>
          <w:color w:val="000000" w:themeColor="text1"/>
          <w:kern w:val="0"/>
          <w:sz w:val="24"/>
          <w:szCs w:val="24"/>
        </w:rPr>
        <w:t>(Liao, et al. 2019)</w:t>
      </w:r>
      <w:r w:rsidRPr="00025B8B">
        <w:rPr>
          <w:rFonts w:ascii="Times New Roman" w:hAnsi="Times New Roman"/>
          <w:color w:val="000000" w:themeColor="text1"/>
          <w:kern w:val="0"/>
          <w:sz w:val="24"/>
          <w:szCs w:val="24"/>
        </w:rPr>
        <w:t xml:space="preserve">. </w:t>
      </w:r>
      <w:r w:rsidRPr="00025B8B">
        <w:rPr>
          <w:rFonts w:ascii="Times New Roman" w:hAnsi="Times New Roman"/>
          <w:color w:val="000000" w:themeColor="text1"/>
          <w:sz w:val="24"/>
          <w:szCs w:val="24"/>
        </w:rPr>
        <w:t xml:space="preserve">Briefly, 1 g of </w:t>
      </w:r>
      <w:r w:rsidRPr="00025B8B">
        <w:rPr>
          <w:rFonts w:ascii="Times New Roman" w:hAnsi="Times New Roman" w:hint="eastAsia"/>
          <w:color w:val="000000" w:themeColor="text1"/>
          <w:sz w:val="24"/>
          <w:szCs w:val="24"/>
        </w:rPr>
        <w:t>soil</w:t>
      </w:r>
      <w:r w:rsidRPr="00025B8B">
        <w:rPr>
          <w:rFonts w:ascii="Times New Roman" w:hAnsi="Times New Roman"/>
          <w:color w:val="000000" w:themeColor="text1"/>
          <w:sz w:val="24"/>
          <w:szCs w:val="24"/>
        </w:rPr>
        <w:t xml:space="preserve"> sample </w:t>
      </w:r>
      <w:r w:rsidRPr="00025B8B">
        <w:rPr>
          <w:rFonts w:ascii="Times New Roman" w:hAnsi="Times New Roman" w:hint="eastAsia"/>
          <w:color w:val="000000" w:themeColor="text1"/>
          <w:sz w:val="24"/>
          <w:szCs w:val="24"/>
        </w:rPr>
        <w:t>was</w:t>
      </w:r>
      <w:r w:rsidRPr="00025B8B">
        <w:rPr>
          <w:rFonts w:ascii="Times New Roman" w:hAnsi="Times New Roman"/>
          <w:color w:val="000000" w:themeColor="text1"/>
          <w:sz w:val="24"/>
          <w:szCs w:val="24"/>
        </w:rPr>
        <w:t xml:space="preserve"> suspended in 9 mL of phosphate-buffered solution by shaking at 200 rpm for 30 min. Samples were then serially diluted in phosphate-buffered solution and plated on LB (10 g tryptone, 5 g yeast extract, 10 g sodium chloride and 15 g of agar in 1 L Mill</w:t>
      </w:r>
      <w:r w:rsidRPr="00025B8B">
        <w:rPr>
          <w:rFonts w:ascii="Times New Roman" w:hAnsi="Times New Roman" w:hint="eastAsia"/>
          <w:color w:val="000000" w:themeColor="text1"/>
          <w:sz w:val="24"/>
          <w:szCs w:val="24"/>
        </w:rPr>
        <w:t>i</w:t>
      </w:r>
      <w:r w:rsidRPr="00025B8B">
        <w:rPr>
          <w:rFonts w:ascii="Times New Roman" w:hAnsi="Times New Roman"/>
          <w:color w:val="000000" w:themeColor="text1"/>
          <w:sz w:val="24"/>
          <w:szCs w:val="24"/>
        </w:rPr>
        <w:t xml:space="preserve">-Q water; pH: 7.4) agar supplemented with one of the four antibiotics </w:t>
      </w:r>
      <w:r w:rsidRPr="00025B8B">
        <w:rPr>
          <w:rFonts w:ascii="Times New Roman" w:hAnsi="Times New Roman" w:hint="eastAsia"/>
          <w:color w:val="000000" w:themeColor="text1"/>
          <w:sz w:val="24"/>
          <w:szCs w:val="24"/>
        </w:rPr>
        <w:t>at</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the</w:t>
      </w:r>
      <w:r w:rsidRPr="00025B8B">
        <w:rPr>
          <w:rFonts w:ascii="Times New Roman" w:hAnsi="Times New Roman"/>
          <w:color w:val="000000" w:themeColor="text1"/>
          <w:sz w:val="24"/>
          <w:szCs w:val="24"/>
        </w:rPr>
        <w:t xml:space="preserve"> following concentrations: </w:t>
      </w:r>
      <w:r w:rsidRPr="00025B8B">
        <w:rPr>
          <w:rFonts w:ascii="Times New Roman" w:hAnsi="Times New Roman" w:hint="eastAsia"/>
          <w:color w:val="000000" w:themeColor="text1"/>
          <w:sz w:val="24"/>
          <w:szCs w:val="24"/>
        </w:rPr>
        <w:t>amo</w:t>
      </w:r>
      <w:r w:rsidRPr="00025B8B">
        <w:rPr>
          <w:rFonts w:ascii="Times New Roman" w:hAnsi="Times New Roman"/>
          <w:color w:val="000000" w:themeColor="text1"/>
          <w:sz w:val="24"/>
          <w:szCs w:val="24"/>
        </w:rPr>
        <w:t xml:space="preserve">xicillin (32 mg/L), chloroamphenicol (16 mg/L), erythromycin (10 mg/L), and tetracycline (16 mg/L). The numbers of colony forming units (CFU) were counted after 24-48 h of incubation at 37 </w:t>
      </w:r>
      <w:bookmarkStart w:id="26" w:name="OLE_LINK1"/>
      <w:r w:rsidRPr="00025B8B">
        <w:rPr>
          <w:rFonts w:ascii="Times New Roman" w:eastAsia="DengXian" w:hAnsi="Times New Roman"/>
          <w:color w:val="000000" w:themeColor="text1"/>
          <w:sz w:val="24"/>
          <w:szCs w:val="24"/>
        </w:rPr>
        <w:t>°C</w:t>
      </w:r>
      <w:bookmarkEnd w:id="26"/>
      <w:r w:rsidRPr="00025B8B">
        <w:rPr>
          <w:rFonts w:ascii="Times New Roman" w:hAnsi="Times New Roman"/>
          <w:color w:val="000000" w:themeColor="text1"/>
          <w:sz w:val="24"/>
          <w:szCs w:val="24"/>
        </w:rPr>
        <w:t xml:space="preserve"> using dilutions that resulted in 20-200 CFUs per plate.</w:t>
      </w:r>
      <w:r w:rsidRPr="00025B8B">
        <w:rPr>
          <w:rFonts w:ascii="Times New Roman" w:hAnsi="Times New Roman" w:hint="eastAsia"/>
          <w:color w:val="000000" w:themeColor="text1"/>
          <w:kern w:val="0"/>
          <w:sz w:val="24"/>
          <w:szCs w:val="24"/>
        </w:rPr>
        <w:t xml:space="preserve"> </w:t>
      </w:r>
      <w:r w:rsidRPr="00025B8B">
        <w:rPr>
          <w:rFonts w:ascii="Times New Roman" w:hAnsi="Times New Roman"/>
          <w:color w:val="000000" w:themeColor="text1"/>
          <w:sz w:val="24"/>
          <w:szCs w:val="24"/>
        </w:rPr>
        <w:t xml:space="preserve">A total of 115 culturable antibiotic-resistant colonies (20-30 </w:t>
      </w:r>
      <w:r w:rsidRPr="00025B8B">
        <w:rPr>
          <w:rFonts w:ascii="Times New Roman" w:hAnsi="Times New Roman" w:hint="eastAsia"/>
          <w:color w:val="000000" w:themeColor="text1"/>
          <w:sz w:val="24"/>
          <w:szCs w:val="24"/>
        </w:rPr>
        <w:t>strains</w:t>
      </w:r>
      <w:r w:rsidRPr="00025B8B">
        <w:rPr>
          <w:rFonts w:ascii="Times New Roman" w:hAnsi="Times New Roman"/>
          <w:color w:val="000000" w:themeColor="text1"/>
          <w:sz w:val="24"/>
          <w:szCs w:val="24"/>
        </w:rPr>
        <w:t xml:space="preserve"> resistant to each </w:t>
      </w:r>
      <w:r w:rsidRPr="00025B8B">
        <w:rPr>
          <w:rFonts w:ascii="Times New Roman" w:hAnsi="Times New Roman" w:hint="eastAsia"/>
          <w:color w:val="000000" w:themeColor="text1"/>
          <w:sz w:val="24"/>
          <w:szCs w:val="24"/>
        </w:rPr>
        <w:t>antibiotic</w:t>
      </w:r>
      <w:r w:rsidRPr="00025B8B">
        <w:rPr>
          <w:rFonts w:ascii="Times New Roman" w:hAnsi="Times New Roman"/>
          <w:color w:val="000000" w:themeColor="text1"/>
          <w:sz w:val="24"/>
          <w:szCs w:val="24"/>
        </w:rPr>
        <w:t xml:space="preserve">) were </w:t>
      </w:r>
      <w:r w:rsidRPr="00025B8B">
        <w:rPr>
          <w:rFonts w:ascii="Times New Roman" w:hAnsi="Times New Roman" w:hint="eastAsia"/>
          <w:color w:val="000000" w:themeColor="text1"/>
          <w:sz w:val="24"/>
          <w:szCs w:val="24"/>
        </w:rPr>
        <w:t xml:space="preserve">randomly </w:t>
      </w:r>
      <w:r w:rsidRPr="00025B8B">
        <w:rPr>
          <w:rFonts w:ascii="Times New Roman" w:hAnsi="Times New Roman"/>
          <w:color w:val="000000" w:themeColor="text1"/>
          <w:sz w:val="24"/>
          <w:szCs w:val="24"/>
        </w:rPr>
        <w:t>isolated and preserved as clonal monocultures at -80°C in 50% glycerol. To identify the taxa of isolated bacterial colonies, we extracted genomic DNA from all isolates using a Bacteria DNA Kit (Tiangen, Beijing, China) following manufacturer's instructions. The 16S ribosomal RNA (rRNA) gene was then amplified by PCR using universal primers 27F</w:t>
      </w:r>
      <w:r w:rsidRPr="00025B8B">
        <w:rPr>
          <w:rFonts w:ascii="Times New Roman" w:hAnsi="Times New Roman"/>
          <w:color w:val="000000" w:themeColor="text1"/>
        </w:rPr>
        <w:t xml:space="preserve"> </w:t>
      </w:r>
      <w:r w:rsidRPr="00025B8B">
        <w:rPr>
          <w:rFonts w:ascii="Times New Roman" w:hAnsi="Times New Roman"/>
          <w:color w:val="000000" w:themeColor="text1"/>
          <w:sz w:val="24"/>
          <w:szCs w:val="24"/>
        </w:rPr>
        <w:t>(5-AGAGTTTGA TCCTGGCTCAG-3) and 1492R</w:t>
      </w:r>
      <w:r w:rsidRPr="00025B8B">
        <w:rPr>
          <w:rFonts w:ascii="Times New Roman" w:hAnsi="Times New Roman"/>
          <w:color w:val="000000" w:themeColor="text1"/>
        </w:rPr>
        <w:t xml:space="preserve"> </w:t>
      </w:r>
      <w:r w:rsidRPr="00025B8B">
        <w:rPr>
          <w:rFonts w:ascii="Times New Roman" w:hAnsi="Times New Roman"/>
          <w:color w:val="000000" w:themeColor="text1"/>
          <w:sz w:val="24"/>
          <w:szCs w:val="24"/>
        </w:rPr>
        <w:t xml:space="preserve">(5-GGCTACCTTGTTACGACTT-3) and PCR products sequenced </w:t>
      </w:r>
      <w:r w:rsidRPr="00025B8B">
        <w:rPr>
          <w:rFonts w:ascii="Times New Roman" w:hAnsi="Times New Roman"/>
          <w:color w:val="000000" w:themeColor="text1"/>
          <w:sz w:val="24"/>
          <w:szCs w:val="24"/>
        </w:rPr>
        <w:lastRenderedPageBreak/>
        <w:t xml:space="preserve">by Shanghai Shengong Biotechnology Co. (Shanghai, China). </w:t>
      </w:r>
    </w:p>
    <w:p w:rsidR="005E2EB4" w:rsidRPr="00025B8B" w:rsidRDefault="005E2EB4" w:rsidP="00025D1D">
      <w:pPr>
        <w:spacing w:line="480" w:lineRule="auto"/>
        <w:rPr>
          <w:rFonts w:ascii="Times New Roman" w:hAnsi="Times New Roman"/>
          <w:b/>
          <w:color w:val="000000" w:themeColor="text1"/>
          <w:sz w:val="24"/>
          <w:szCs w:val="24"/>
        </w:rPr>
      </w:pPr>
    </w:p>
    <w:p w:rsidR="005E2EB4" w:rsidRPr="00025B8B" w:rsidRDefault="005E2EB4" w:rsidP="00025D1D">
      <w:pPr>
        <w:spacing w:line="480" w:lineRule="auto"/>
        <w:rPr>
          <w:rFonts w:ascii="Times New Roman" w:hAnsi="Times New Roman"/>
          <w:b/>
          <w:i/>
          <w:iCs/>
          <w:color w:val="000000" w:themeColor="text1"/>
          <w:sz w:val="24"/>
          <w:szCs w:val="24"/>
        </w:rPr>
      </w:pPr>
      <w:r w:rsidRPr="00025B8B">
        <w:rPr>
          <w:rFonts w:ascii="Times New Roman" w:hAnsi="Times New Roman"/>
          <w:b/>
          <w:i/>
          <w:iCs/>
          <w:color w:val="000000" w:themeColor="text1"/>
          <w:sz w:val="24"/>
          <w:szCs w:val="24"/>
        </w:rPr>
        <w:t xml:space="preserve">2. Herbicide effects on the selection for de novo herbicide and antibiotic resistant mutants and the conjugation rate of </w:t>
      </w:r>
      <w:r w:rsidRPr="00025B8B">
        <w:rPr>
          <w:rFonts w:ascii="Times New Roman" w:hAnsi="Times New Roman" w:hint="eastAsia"/>
          <w:b/>
          <w:i/>
          <w:iCs/>
          <w:color w:val="000000" w:themeColor="text1"/>
          <w:sz w:val="24"/>
          <w:szCs w:val="24"/>
        </w:rPr>
        <w:t>a</w:t>
      </w:r>
      <w:r w:rsidRPr="00025B8B">
        <w:rPr>
          <w:rFonts w:ascii="Times New Roman" w:hAnsi="Times New Roman"/>
          <w:b/>
          <w:i/>
          <w:iCs/>
          <w:color w:val="000000" w:themeColor="text1"/>
          <w:sz w:val="24"/>
          <w:szCs w:val="24"/>
        </w:rPr>
        <w:t xml:space="preserve"> multidrug resistance plasmid </w:t>
      </w:r>
    </w:p>
    <w:p w:rsidR="005E2EB4" w:rsidRPr="00025B8B" w:rsidRDefault="005E2EB4" w:rsidP="00025D1D">
      <w:pPr>
        <w:spacing w:line="480" w:lineRule="auto"/>
        <w:rPr>
          <w:rFonts w:ascii="Times New Roman" w:hAnsi="Times New Roman"/>
          <w:b/>
          <w:color w:val="000000" w:themeColor="text1"/>
          <w:sz w:val="24"/>
          <w:szCs w:val="24"/>
        </w:rPr>
      </w:pP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b/>
          <w:color w:val="000000" w:themeColor="text1"/>
          <w:sz w:val="24"/>
          <w:szCs w:val="24"/>
        </w:rPr>
        <w:t xml:space="preserve">Experiment 1: Determining the frequency of </w:t>
      </w:r>
      <w:r w:rsidRPr="00025B8B">
        <w:rPr>
          <w:rFonts w:ascii="Times New Roman" w:hAnsi="Times New Roman"/>
          <w:b/>
          <w:i/>
          <w:iCs/>
          <w:color w:val="000000" w:themeColor="text1"/>
          <w:sz w:val="24"/>
          <w:szCs w:val="24"/>
        </w:rPr>
        <w:t>de novo</w:t>
      </w:r>
      <w:r w:rsidRPr="00025B8B">
        <w:rPr>
          <w:rFonts w:ascii="Times New Roman" w:hAnsi="Times New Roman"/>
          <w:b/>
          <w:color w:val="000000" w:themeColor="text1"/>
          <w:sz w:val="24"/>
          <w:szCs w:val="24"/>
        </w:rPr>
        <w:t xml:space="preserve"> antibiotic resistant mutants and herbicide resistance under direct herbicide exposure </w:t>
      </w:r>
    </w:p>
    <w:p w:rsidR="005E2EB4" w:rsidRPr="00025B8B" w:rsidRDefault="005E2EB4" w:rsidP="00025D1D">
      <w:pPr>
        <w:spacing w:line="480" w:lineRule="auto"/>
        <w:rPr>
          <w:rFonts w:ascii="Times New Roman" w:hAnsi="Times New Roman"/>
          <w:color w:val="000000" w:themeColor="text1"/>
          <w:sz w:val="24"/>
          <w:szCs w:val="24"/>
        </w:rPr>
      </w:pPr>
      <w:r w:rsidRPr="00025B8B">
        <w:rPr>
          <w:rFonts w:ascii="Times New Roman" w:hAnsi="Times New Roman"/>
          <w:color w:val="000000" w:themeColor="text1"/>
          <w:sz w:val="24"/>
          <w:szCs w:val="24"/>
        </w:rPr>
        <w:t>We used an</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experimental evolution approach to determine the frequency of emerging antibiotic resistant </w:t>
      </w:r>
      <w:r w:rsidRPr="00025B8B">
        <w:rPr>
          <w:rFonts w:ascii="Times New Roman" w:hAnsi="Times New Roman"/>
          <w:i/>
          <w:iCs/>
          <w:color w:val="000000" w:themeColor="text1"/>
          <w:sz w:val="24"/>
          <w:szCs w:val="24"/>
        </w:rPr>
        <w:t>E. coli</w:t>
      </w:r>
      <w:r w:rsidRPr="00025B8B">
        <w:rPr>
          <w:rFonts w:ascii="Times New Roman" w:hAnsi="Times New Roman"/>
          <w:color w:val="000000" w:themeColor="text1"/>
          <w:sz w:val="24"/>
          <w:szCs w:val="24"/>
        </w:rPr>
        <w:t xml:space="preserve"> mutants under herbicide exposure. To this end, a single colony</w:t>
      </w:r>
      <w:r w:rsidRPr="00025B8B">
        <w:rPr>
          <w:rFonts w:ascii="Times New Roman" w:hAnsi="Times New Roman" w:hint="eastAsia"/>
          <w:color w:val="000000" w:themeColor="text1"/>
          <w:sz w:val="24"/>
          <w:szCs w:val="24"/>
        </w:rPr>
        <w:t xml:space="preserve"> of </w:t>
      </w:r>
      <w:r w:rsidRPr="00025B8B">
        <w:rPr>
          <w:rFonts w:ascii="Times New Roman" w:hAnsi="Times New Roman"/>
          <w:i/>
          <w:color w:val="000000" w:themeColor="text1"/>
          <w:sz w:val="24"/>
          <w:szCs w:val="24"/>
        </w:rPr>
        <w:t>E. coli</w:t>
      </w:r>
      <w:r w:rsidRPr="00025B8B">
        <w:rPr>
          <w:rFonts w:ascii="Times New Roman" w:hAnsi="Times New Roman"/>
          <w:color w:val="000000" w:themeColor="text1"/>
          <w:sz w:val="24"/>
          <w:szCs w:val="24"/>
        </w:rPr>
        <w:t xml:space="preserve"> DH5α was revitalized </w:t>
      </w:r>
      <w:r w:rsidRPr="00025B8B">
        <w:rPr>
          <w:rFonts w:ascii="Times New Roman" w:hAnsi="Times New Roman" w:hint="eastAsia"/>
          <w:color w:val="000000" w:themeColor="text1"/>
          <w:sz w:val="24"/>
          <w:szCs w:val="24"/>
        </w:rPr>
        <w:t xml:space="preserve">from </w:t>
      </w:r>
      <w:r w:rsidRPr="00025B8B">
        <w:rPr>
          <w:rFonts w:ascii="Times New Roman" w:hAnsi="Times New Roman"/>
          <w:color w:val="000000" w:themeColor="text1"/>
          <w:sz w:val="24"/>
          <w:szCs w:val="24"/>
        </w:rPr>
        <w:t>-80 °C</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stock and grown in liquid LB for 12 h at 30 °C to reach cell concentrations of 10</w:t>
      </w:r>
      <w:r w:rsidRPr="00025B8B">
        <w:rPr>
          <w:rFonts w:ascii="Times New Roman" w:hAnsi="Times New Roman"/>
          <w:color w:val="000000" w:themeColor="text1"/>
          <w:sz w:val="24"/>
          <w:szCs w:val="24"/>
          <w:vertAlign w:val="superscript"/>
        </w:rPr>
        <w:t>8</w:t>
      </w:r>
      <w:r w:rsidRPr="00025B8B">
        <w:rPr>
          <w:rFonts w:ascii="Times New Roman" w:hAnsi="Times New Roman" w:hint="eastAsia"/>
          <w:color w:val="000000" w:themeColor="text1"/>
          <w:sz w:val="24"/>
          <w:szCs w:val="24"/>
        </w:rPr>
        <w:t>-</w:t>
      </w:r>
      <w:r w:rsidRPr="00025B8B">
        <w:rPr>
          <w:rFonts w:ascii="Times New Roman" w:hAnsi="Times New Roman"/>
          <w:color w:val="000000" w:themeColor="text1"/>
          <w:sz w:val="24"/>
          <w:szCs w:val="24"/>
        </w:rPr>
        <w:t>10</w:t>
      </w:r>
      <w:r w:rsidRPr="00025B8B">
        <w:rPr>
          <w:rFonts w:ascii="Times New Roman" w:hAnsi="Times New Roman"/>
          <w:color w:val="000000" w:themeColor="text1"/>
          <w:sz w:val="24"/>
          <w:szCs w:val="24"/>
          <w:vertAlign w:val="superscript"/>
        </w:rPr>
        <w:t>9</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CFU/mL. To initiate the </w:t>
      </w:r>
      <w:r w:rsidRPr="00025B8B">
        <w:rPr>
          <w:rFonts w:ascii="Times New Roman" w:hAnsi="Times New Roman" w:hint="eastAsia"/>
          <w:color w:val="000000" w:themeColor="text1"/>
          <w:sz w:val="24"/>
          <w:szCs w:val="24"/>
        </w:rPr>
        <w:t>herbicide</w:t>
      </w:r>
      <w:r w:rsidRPr="00025B8B">
        <w:rPr>
          <w:rFonts w:ascii="Times New Roman" w:hAnsi="Times New Roman"/>
          <w:color w:val="000000" w:themeColor="text1"/>
          <w:sz w:val="24"/>
          <w:szCs w:val="24"/>
        </w:rPr>
        <w:t xml:space="preserve"> exposure experiment, 50 μL of</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the overnight cell suspension was inoculated into 4.95 mL of fresh liquid LB supplemented without or with diﬀerent concentrations of </w:t>
      </w:r>
      <w:r w:rsidRPr="00025B8B">
        <w:rPr>
          <w:rFonts w:ascii="Times New Roman" w:hAnsi="Times New Roman" w:hint="eastAsia"/>
          <w:color w:val="000000" w:themeColor="text1"/>
          <w:sz w:val="24"/>
          <w:szCs w:val="24"/>
        </w:rPr>
        <w:t>herbicides</w:t>
      </w:r>
      <w:r w:rsidRPr="00025B8B">
        <w:rPr>
          <w:rFonts w:ascii="Times New Roman" w:hAnsi="Times New Roman"/>
          <w:color w:val="000000" w:themeColor="text1"/>
          <w:sz w:val="24"/>
          <w:szCs w:val="24"/>
        </w:rPr>
        <w:t xml:space="preserve"> (5, 25</w:t>
      </w:r>
      <w:r w:rsidRPr="00025B8B">
        <w:rPr>
          <w:rFonts w:ascii="Times New Roman" w:hAnsi="Times New Roman" w:hint="eastAsia"/>
          <w:color w:val="000000" w:themeColor="text1"/>
          <w:sz w:val="24"/>
          <w:szCs w:val="24"/>
        </w:rPr>
        <w:t>,</w:t>
      </w:r>
      <w:r w:rsidRPr="00025B8B">
        <w:rPr>
          <w:rFonts w:ascii="Times New Roman" w:hAnsi="Times New Roman"/>
          <w:color w:val="000000" w:themeColor="text1"/>
          <w:sz w:val="24"/>
          <w:szCs w:val="24"/>
        </w:rPr>
        <w:t xml:space="preserve"> and 50 mg/L of glyphosate or glufosinate and 2, 10</w:t>
      </w:r>
      <w:r w:rsidRPr="00025B8B">
        <w:rPr>
          <w:rFonts w:ascii="Times New Roman" w:hAnsi="Times New Roman" w:hint="eastAsia"/>
          <w:color w:val="000000" w:themeColor="text1"/>
          <w:sz w:val="24"/>
          <w:szCs w:val="24"/>
        </w:rPr>
        <w:t>,</w:t>
      </w:r>
      <w:r w:rsidRPr="00025B8B">
        <w:rPr>
          <w:rFonts w:ascii="Times New Roman" w:hAnsi="Times New Roman"/>
          <w:color w:val="000000" w:themeColor="text1"/>
          <w:sz w:val="24"/>
          <w:szCs w:val="24"/>
        </w:rPr>
        <w:t xml:space="preserve"> and 20 mg/L of dicamba). All treatments were replicated four times and cultures grown at 30 °C and shaken at 150 rpm. Every 24 h, 50 μL of the homogenized cell mixture was serially transferred to a new tube containing 4.95 mL fresh liquid LB with respective concentrations of </w:t>
      </w:r>
      <w:r w:rsidRPr="00025B8B">
        <w:rPr>
          <w:rFonts w:ascii="Times New Roman" w:hAnsi="Times New Roman" w:hint="eastAsia"/>
          <w:color w:val="000000" w:themeColor="text1"/>
          <w:sz w:val="24"/>
          <w:szCs w:val="24"/>
        </w:rPr>
        <w:t>herbicides</w:t>
      </w:r>
      <w:r w:rsidRPr="00025B8B">
        <w:rPr>
          <w:rFonts w:ascii="Times New Roman" w:hAnsi="Times New Roman"/>
          <w:color w:val="000000" w:themeColor="text1"/>
          <w:sz w:val="24"/>
          <w:szCs w:val="24"/>
        </w:rPr>
        <w:t xml:space="preserve"> (or no herbicides in the control treatment). Serial transfers were repeated for a total of 30 transfers (30 days) equaling around 720 bacterial generations (estimated one cell division h</w:t>
      </w:r>
      <w:r w:rsidRPr="00025B8B">
        <w:rPr>
          <w:rFonts w:ascii="Times New Roman" w:hAnsi="Times New Roman"/>
          <w:color w:val="000000" w:themeColor="text1"/>
          <w:sz w:val="24"/>
          <w:szCs w:val="24"/>
          <w:vertAlign w:val="superscript"/>
        </w:rPr>
        <w:t>-1</w:t>
      </w:r>
      <w:r w:rsidRPr="00025B8B">
        <w:rPr>
          <w:rFonts w:ascii="Times New Roman" w:hAnsi="Times New Roman"/>
          <w:color w:val="000000" w:themeColor="text1"/>
          <w:sz w:val="24"/>
          <w:szCs w:val="24"/>
        </w:rPr>
        <w:t>). The frequency of resistant colonies was estimated after 1, 5, 10, 20, 25 and 30 days from the start of the experiment by plating 100 μL of each replicate sample on LB agar plates without antibiotics (total cells) and with nine different antibiotics in following</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concentrations ((</w:t>
      </w:r>
      <w:r w:rsidRPr="00025B8B">
        <w:rPr>
          <w:rFonts w:ascii="Times New Roman" w:hAnsi="Times New Roman" w:hint="eastAsia"/>
          <w:color w:val="000000" w:themeColor="text1"/>
          <w:sz w:val="24"/>
          <w:szCs w:val="24"/>
        </w:rPr>
        <w:t>amoxicillin</w:t>
      </w:r>
      <w:r w:rsidRPr="00025B8B">
        <w:rPr>
          <w:rFonts w:ascii="Times New Roman" w:hAnsi="Times New Roman"/>
          <w:color w:val="000000" w:themeColor="text1"/>
          <w:sz w:val="24"/>
          <w:szCs w:val="24"/>
        </w:rPr>
        <w:t xml:space="preserve"> (64 </w:t>
      </w:r>
      <w:r w:rsidRPr="00025B8B">
        <w:rPr>
          <w:rFonts w:ascii="Times New Roman" w:hAnsi="Times New Roman" w:hint="eastAsia"/>
          <w:color w:val="000000" w:themeColor="text1"/>
          <w:sz w:val="24"/>
          <w:szCs w:val="24"/>
        </w:rPr>
        <w:t>mg</w:t>
      </w:r>
      <w:r w:rsidRPr="00025B8B">
        <w:rPr>
          <w:rFonts w:ascii="Times New Roman" w:hAnsi="Times New Roman"/>
          <w:color w:val="000000" w:themeColor="text1"/>
          <w:sz w:val="24"/>
          <w:szCs w:val="24"/>
        </w:rPr>
        <w:t>/L), ampicillin (100 mg/</w:t>
      </w:r>
      <w:r w:rsidRPr="00025B8B">
        <w:rPr>
          <w:rFonts w:ascii="Times New Roman" w:hAnsi="Times New Roman" w:hint="eastAsia"/>
          <w:color w:val="000000" w:themeColor="text1"/>
          <w:sz w:val="24"/>
          <w:szCs w:val="24"/>
        </w:rPr>
        <w:t>L</w:t>
      </w:r>
      <w:r w:rsidRPr="00025B8B">
        <w:rPr>
          <w:rFonts w:ascii="Times New Roman" w:hAnsi="Times New Roman"/>
          <w:color w:val="000000" w:themeColor="text1"/>
          <w:sz w:val="24"/>
          <w:szCs w:val="24"/>
        </w:rPr>
        <w:t xml:space="preserve">), chloramphenicol (16 </w:t>
      </w:r>
      <w:r w:rsidRPr="00025B8B">
        <w:rPr>
          <w:rFonts w:ascii="Times New Roman" w:hAnsi="Times New Roman" w:hint="eastAsia"/>
          <w:color w:val="000000" w:themeColor="text1"/>
          <w:sz w:val="24"/>
          <w:szCs w:val="24"/>
        </w:rPr>
        <w:t>mg/L</w:t>
      </w:r>
      <w:r w:rsidRPr="00025B8B">
        <w:rPr>
          <w:rFonts w:ascii="Times New Roman" w:hAnsi="Times New Roman"/>
          <w:color w:val="000000" w:themeColor="text1"/>
          <w:sz w:val="24"/>
          <w:szCs w:val="24"/>
        </w:rPr>
        <w:t xml:space="preserve">), gentamicin (10 mg/L), kanamycin (100 </w:t>
      </w:r>
      <w:r w:rsidRPr="00025B8B">
        <w:rPr>
          <w:rFonts w:ascii="Times New Roman" w:hAnsi="Times New Roman" w:hint="eastAsia"/>
          <w:color w:val="000000" w:themeColor="text1"/>
          <w:sz w:val="24"/>
          <w:szCs w:val="24"/>
        </w:rPr>
        <w:t>mg</w:t>
      </w:r>
      <w:r w:rsidRPr="00025B8B">
        <w:rPr>
          <w:rFonts w:ascii="Times New Roman" w:hAnsi="Times New Roman"/>
          <w:color w:val="000000" w:themeColor="text1"/>
          <w:sz w:val="24"/>
          <w:szCs w:val="24"/>
        </w:rPr>
        <w:t>/L), tetracycline (4 mg/L), erythromycin (15 mg/</w:t>
      </w:r>
      <w:r w:rsidRPr="00025B8B">
        <w:rPr>
          <w:rFonts w:ascii="Times New Roman" w:hAnsi="Times New Roman" w:hint="eastAsia"/>
          <w:color w:val="000000" w:themeColor="text1"/>
          <w:sz w:val="24"/>
          <w:szCs w:val="24"/>
        </w:rPr>
        <w:t>L</w:t>
      </w:r>
      <w:r w:rsidRPr="00025B8B">
        <w:rPr>
          <w:rFonts w:ascii="Times New Roman" w:hAnsi="Times New Roman"/>
          <w:color w:val="000000" w:themeColor="text1"/>
          <w:sz w:val="24"/>
          <w:szCs w:val="24"/>
        </w:rPr>
        <w:t xml:space="preserve">), </w:t>
      </w:r>
      <w:r w:rsidRPr="00025B8B">
        <w:rPr>
          <w:rFonts w:ascii="Times New Roman" w:hAnsi="Times New Roman"/>
          <w:color w:val="000000" w:themeColor="text1"/>
          <w:sz w:val="24"/>
          <w:szCs w:val="24"/>
        </w:rPr>
        <w:lastRenderedPageBreak/>
        <w:t>rifampicin (100 mg/L) and streptomycin (30 mg/L)). Plates were incubated at 30 °C for 48 h after the number of colonies per replicate plate</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counted. The</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frequency of antibiotic resistant colonies was estimated by dividing the number of antibiotic-resistant colonies with the total bacterial counts (LB-only plates). As resistance did not evolve to some of the tested antibiotics, we mainly focused on tracking down the frequencies of gentamicin</w:t>
      </w:r>
      <w:r w:rsidRPr="00025B8B">
        <w:rPr>
          <w:rFonts w:ascii="Times New Roman" w:hAnsi="Times New Roman" w:hint="eastAsia"/>
          <w:color w:val="000000" w:themeColor="text1"/>
          <w:sz w:val="24"/>
          <w:szCs w:val="24"/>
        </w:rPr>
        <w:t>,</w:t>
      </w:r>
      <w:r w:rsidRPr="00025B8B">
        <w:rPr>
          <w:rFonts w:ascii="Times New Roman" w:hAnsi="Times New Roman"/>
          <w:color w:val="000000" w:themeColor="text1"/>
          <w:sz w:val="24"/>
          <w:szCs w:val="24"/>
        </w:rPr>
        <w:t xml:space="preserve"> streptomycin and </w:t>
      </w:r>
      <w:r w:rsidRPr="00025B8B">
        <w:rPr>
          <w:rFonts w:ascii="Times New Roman" w:hAnsi="Times New Roman" w:hint="eastAsia"/>
          <w:color w:val="000000" w:themeColor="text1"/>
          <w:sz w:val="24"/>
          <w:szCs w:val="24"/>
        </w:rPr>
        <w:t>amoxicillin</w:t>
      </w:r>
      <w:r w:rsidRPr="00025B8B">
        <w:rPr>
          <w:rFonts w:ascii="Times New Roman" w:hAnsi="Times New Roman"/>
          <w:color w:val="000000" w:themeColor="text1"/>
          <w:sz w:val="24"/>
          <w:szCs w:val="24"/>
        </w:rPr>
        <w:t xml:space="preserve"> resistant </w:t>
      </w:r>
      <w:r w:rsidRPr="00025B8B">
        <w:rPr>
          <w:rFonts w:ascii="Times New Roman" w:hAnsi="Times New Roman"/>
          <w:i/>
          <w:iCs/>
          <w:color w:val="000000" w:themeColor="text1"/>
          <w:sz w:val="24"/>
          <w:szCs w:val="24"/>
        </w:rPr>
        <w:t>E. coli</w:t>
      </w:r>
      <w:r w:rsidRPr="00025B8B">
        <w:rPr>
          <w:rFonts w:ascii="Times New Roman" w:hAnsi="Times New Roman"/>
          <w:color w:val="000000" w:themeColor="text1"/>
          <w:sz w:val="24"/>
          <w:szCs w:val="24"/>
        </w:rPr>
        <w:t xml:space="preserve"> clones under glyphosate exposure (10 mg</w:t>
      </w:r>
      <w:r w:rsidRPr="00025B8B">
        <w:rPr>
          <w:rFonts w:ascii="Times New Roman" w:hAnsi="Times New Roman" w:hint="eastAsia"/>
          <w:color w:val="000000" w:themeColor="text1"/>
          <w:sz w:val="24"/>
          <w:szCs w:val="24"/>
        </w:rPr>
        <w:t>/</w:t>
      </w:r>
      <w:r w:rsidRPr="00025B8B">
        <w:rPr>
          <w:rFonts w:ascii="Times New Roman" w:hAnsi="Times New Roman"/>
          <w:color w:val="000000" w:themeColor="text1"/>
          <w:sz w:val="24"/>
          <w:szCs w:val="24"/>
        </w:rPr>
        <w:t>L) and gentamicin and amoxicillin resistant clones under glufosinate and dicamba treatments (5 mg</w:t>
      </w:r>
      <w:r w:rsidRPr="00025B8B">
        <w:rPr>
          <w:rFonts w:ascii="Times New Roman" w:hAnsi="Times New Roman" w:hint="eastAsia"/>
          <w:color w:val="000000" w:themeColor="text1"/>
          <w:sz w:val="24"/>
          <w:szCs w:val="24"/>
        </w:rPr>
        <w:t>/</w:t>
      </w:r>
      <w:r w:rsidRPr="00025B8B">
        <w:rPr>
          <w:rFonts w:ascii="Times New Roman" w:hAnsi="Times New Roman"/>
          <w:color w:val="000000" w:themeColor="text1"/>
          <w:sz w:val="24"/>
          <w:szCs w:val="24"/>
        </w:rPr>
        <w:t>L in case of both herbicides).</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We also determined the minimum inhibitory concentrations (MIC) for all resistant colonies against the antibiotics used for the isolation as described previously </w:t>
      </w:r>
      <w:r w:rsidRPr="00025B8B">
        <w:rPr>
          <w:rFonts w:ascii="Times New Roman" w:hAnsi="Times New Roman"/>
          <w:noProof/>
          <w:color w:val="000000" w:themeColor="text1"/>
          <w:sz w:val="24"/>
          <w:szCs w:val="24"/>
        </w:rPr>
        <w:t>(Lu, et al. 2018)</w:t>
      </w:r>
      <w:r w:rsidRPr="00025B8B">
        <w:rPr>
          <w:rFonts w:ascii="Times New Roman" w:hAnsi="Times New Roman"/>
          <w:color w:val="000000" w:themeColor="text1"/>
          <w:sz w:val="24"/>
          <w:szCs w:val="24"/>
        </w:rPr>
        <w:t>.</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Briefly, resistant bacteria were grown in LB in the absence of herbicides and antibiotics and diluted to approximately 10</w:t>
      </w:r>
      <w:r w:rsidRPr="00025B8B">
        <w:rPr>
          <w:rFonts w:ascii="Times New Roman" w:hAnsi="Times New Roman"/>
          <w:color w:val="000000" w:themeColor="text1"/>
          <w:sz w:val="24"/>
          <w:szCs w:val="24"/>
          <w:vertAlign w:val="superscript"/>
        </w:rPr>
        <w:t>5</w:t>
      </w:r>
      <w:r w:rsidRPr="00025B8B">
        <w:rPr>
          <w:rFonts w:ascii="Times New Roman" w:hAnsi="Times New Roman" w:hint="eastAsia"/>
          <w:color w:val="000000" w:themeColor="text1"/>
          <w:sz w:val="24"/>
          <w:szCs w:val="24"/>
          <w:vertAlign w:val="superscript"/>
        </w:rPr>
        <w:t xml:space="preserve"> </w:t>
      </w:r>
      <w:r w:rsidRPr="00025B8B">
        <w:rPr>
          <w:rFonts w:ascii="Times New Roman" w:hAnsi="Times New Roman"/>
          <w:color w:val="000000" w:themeColor="text1"/>
          <w:sz w:val="24"/>
          <w:szCs w:val="24"/>
        </w:rPr>
        <w:t>cfu/mL as described previously.</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MIC assays were then performed on 96-well microplates with a range of antibiotic concentrations diluted in LB media (5 μL of bacterial</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cultures, 15 μL of antibiotics (with </w:t>
      </w:r>
      <w:r w:rsidRPr="00025B8B">
        <w:rPr>
          <w:rFonts w:ascii="Times New Roman" w:hAnsi="Times New Roman" w:hint="eastAsia"/>
          <w:color w:val="000000" w:themeColor="text1"/>
          <w:sz w:val="24"/>
          <w:szCs w:val="24"/>
        </w:rPr>
        <w:t>same</w:t>
      </w:r>
      <w:r w:rsidRPr="00025B8B">
        <w:rPr>
          <w:rFonts w:ascii="Times New Roman" w:hAnsi="Times New Roman"/>
          <w:color w:val="000000" w:themeColor="text1"/>
          <w:sz w:val="24"/>
          <w:szCs w:val="24"/>
        </w:rPr>
        <w:t xml:space="preserve"> concentrations </w:t>
      </w:r>
      <w:r w:rsidRPr="00025B8B">
        <w:rPr>
          <w:rFonts w:ascii="Times New Roman" w:hAnsi="Times New Roman" w:hint="eastAsia"/>
          <w:color w:val="000000" w:themeColor="text1"/>
          <w:sz w:val="24"/>
          <w:szCs w:val="24"/>
        </w:rPr>
        <w:t>as above</w:t>
      </w:r>
      <w:r w:rsidRPr="00025B8B">
        <w:rPr>
          <w:rFonts w:ascii="Times New Roman" w:hAnsi="Times New Roman"/>
          <w:color w:val="000000" w:themeColor="text1"/>
          <w:sz w:val="24"/>
          <w:szCs w:val="24"/>
        </w:rPr>
        <w:t>)</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and 130 μL of fresh LB media). Mixtures of fresh LB medium, ethanol and</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sterilized </w:t>
      </w:r>
      <w:r w:rsidRPr="00025B8B">
        <w:rPr>
          <w:rFonts w:ascii="Times New Roman" w:hAnsi="Times New Roman" w:hint="eastAsia"/>
          <w:color w:val="000000" w:themeColor="text1"/>
          <w:sz w:val="24"/>
          <w:szCs w:val="24"/>
        </w:rPr>
        <w:t xml:space="preserve">water </w:t>
      </w:r>
      <w:r w:rsidRPr="00025B8B">
        <w:rPr>
          <w:rFonts w:ascii="Times New Roman" w:hAnsi="Times New Roman"/>
          <w:color w:val="000000" w:themeColor="text1"/>
          <w:sz w:val="24"/>
          <w:szCs w:val="24"/>
        </w:rPr>
        <w:t xml:space="preserve">were used as blank controls as some </w:t>
      </w:r>
      <w:r w:rsidRPr="00025B8B">
        <w:rPr>
          <w:rFonts w:ascii="Times New Roman" w:hAnsi="Times New Roman" w:hint="eastAsia"/>
          <w:color w:val="000000" w:themeColor="text1"/>
          <w:sz w:val="24"/>
          <w:szCs w:val="24"/>
        </w:rPr>
        <w:t>antibiotics</w:t>
      </w:r>
      <w:r w:rsidRPr="00025B8B">
        <w:rPr>
          <w:rFonts w:ascii="Times New Roman" w:hAnsi="Times New Roman"/>
          <w:color w:val="000000" w:themeColor="text1"/>
          <w:sz w:val="24"/>
          <w:szCs w:val="24"/>
        </w:rPr>
        <w:t xml:space="preserve"> could be dissolved only in the ethanol (</w:t>
      </w:r>
      <w:r w:rsidRPr="00025B8B">
        <w:rPr>
          <w:rFonts w:ascii="Times New Roman" w:hAnsi="Times New Roman" w:hint="eastAsia"/>
          <w:color w:val="000000" w:themeColor="text1"/>
          <w:sz w:val="24"/>
          <w:szCs w:val="24"/>
        </w:rPr>
        <w:t>Chl</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Str</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Rif</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and</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Ery</w:t>
      </w:r>
      <w:r w:rsidRPr="00025B8B">
        <w:rPr>
          <w:rFonts w:ascii="Times New Roman" w:hAnsi="Times New Roman"/>
          <w:color w:val="000000" w:themeColor="text1"/>
          <w:sz w:val="24"/>
          <w:szCs w:val="24"/>
        </w:rPr>
        <w:t xml:space="preserve">), while </w:t>
      </w:r>
      <w:r w:rsidRPr="00025B8B">
        <w:rPr>
          <w:rFonts w:ascii="Times New Roman" w:hAnsi="Times New Roman" w:hint="eastAsia"/>
          <w:color w:val="000000" w:themeColor="text1"/>
          <w:sz w:val="24"/>
          <w:szCs w:val="24"/>
        </w:rPr>
        <w:t xml:space="preserve">other </w:t>
      </w:r>
      <w:r w:rsidRPr="00025B8B">
        <w:rPr>
          <w:rFonts w:ascii="Times New Roman" w:hAnsi="Times New Roman"/>
          <w:color w:val="000000" w:themeColor="text1"/>
          <w:sz w:val="24"/>
          <w:szCs w:val="24"/>
        </w:rPr>
        <w:t>were dissolved in sterilized milli-Q water (Amp, Tet, Ka</w:t>
      </w:r>
      <w:r w:rsidRPr="00025B8B">
        <w:rPr>
          <w:rFonts w:ascii="Times New Roman" w:hAnsi="Times New Roman" w:hint="eastAsia"/>
          <w:color w:val="000000" w:themeColor="text1"/>
          <w:sz w:val="24"/>
          <w:szCs w:val="24"/>
        </w:rPr>
        <w:t>n</w:t>
      </w:r>
      <w:r w:rsidRPr="00025B8B">
        <w:rPr>
          <w:rFonts w:ascii="Times New Roman" w:hAnsi="Times New Roman"/>
          <w:color w:val="000000" w:themeColor="text1"/>
          <w:sz w:val="24"/>
          <w:szCs w:val="24"/>
        </w:rPr>
        <w:t xml:space="preserve">, and </w:t>
      </w:r>
      <w:r w:rsidRPr="00025B8B">
        <w:rPr>
          <w:rFonts w:ascii="Times New Roman" w:hAnsi="Times New Roman" w:hint="eastAsia"/>
          <w:color w:val="000000" w:themeColor="text1"/>
          <w:sz w:val="24"/>
          <w:szCs w:val="24"/>
        </w:rPr>
        <w:t>Amo</w:t>
      </w:r>
      <w:r w:rsidRPr="00025B8B">
        <w:rPr>
          <w:rFonts w:ascii="Times New Roman" w:hAnsi="Times New Roman"/>
          <w:color w:val="000000" w:themeColor="text1"/>
          <w:sz w:val="24"/>
          <w:szCs w:val="24"/>
        </w:rPr>
        <w:t>). The plates</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were incubated at 30 °C for 20 h before measuring bacterial densities as optical density (OD600 nm) using microplate reader (In</w:t>
      </w:r>
      <w:r w:rsidRPr="00025B8B">
        <w:rPr>
          <w:rFonts w:ascii="Times New Roman" w:hAnsi="Times New Roman" w:hint="eastAsia"/>
          <w:color w:val="000000" w:themeColor="text1"/>
          <w:sz w:val="24"/>
          <w:szCs w:val="24"/>
        </w:rPr>
        <w:t>fi</w:t>
      </w:r>
      <w:r w:rsidRPr="00025B8B">
        <w:rPr>
          <w:rFonts w:ascii="Times New Roman" w:hAnsi="Times New Roman"/>
          <w:color w:val="000000" w:themeColor="text1"/>
          <w:sz w:val="24"/>
          <w:szCs w:val="24"/>
        </w:rPr>
        <w:t>nite</w:t>
      </w:r>
      <w:r w:rsidRPr="00025B8B">
        <w:rPr>
          <w:rFonts w:ascii="Times New Roman" w:hAnsi="Times New Roman"/>
          <w:color w:val="000000" w:themeColor="text1"/>
          <w:sz w:val="24"/>
          <w:szCs w:val="24"/>
          <w:vertAlign w:val="superscript"/>
        </w:rPr>
        <w:t>®</w:t>
      </w:r>
      <w:r w:rsidRPr="00025B8B">
        <w:rPr>
          <w:rFonts w:ascii="Times New Roman" w:hAnsi="Times New Roman"/>
          <w:color w:val="000000" w:themeColor="text1"/>
          <w:sz w:val="24"/>
          <w:szCs w:val="24"/>
        </w:rPr>
        <w:t xml:space="preserve"> 200 PRO, Tecan, Swiss). The MICs of the bacterial strains were determined as</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the concentration of antibiotic inhibited 90% of</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the bacterial growth and each resistant clone was tested in triplicate.</w:t>
      </w:r>
    </w:p>
    <w:p w:rsidR="005E2EB4" w:rsidRPr="00025B8B" w:rsidRDefault="005E2EB4" w:rsidP="00025D1D">
      <w:pPr>
        <w:spacing w:line="480" w:lineRule="auto"/>
        <w:jc w:val="left"/>
        <w:rPr>
          <w:rFonts w:ascii="Times New Roman" w:hAnsi="Times New Roman"/>
          <w:b/>
          <w:color w:val="000000" w:themeColor="text1"/>
          <w:sz w:val="24"/>
          <w:szCs w:val="24"/>
        </w:rPr>
      </w:pPr>
    </w:p>
    <w:p w:rsidR="005E2EB4" w:rsidRPr="00025B8B" w:rsidRDefault="005E2EB4" w:rsidP="00025D1D">
      <w:pPr>
        <w:spacing w:line="480" w:lineRule="auto"/>
        <w:jc w:val="left"/>
        <w:rPr>
          <w:rFonts w:ascii="Times New Roman" w:hAnsi="Times New Roman"/>
          <w:b/>
          <w:color w:val="000000" w:themeColor="text1"/>
          <w:sz w:val="24"/>
          <w:szCs w:val="24"/>
        </w:rPr>
      </w:pPr>
      <w:r w:rsidRPr="00025B8B">
        <w:rPr>
          <w:rFonts w:ascii="Times New Roman" w:hAnsi="Times New Roman"/>
          <w:b/>
          <w:color w:val="000000" w:themeColor="text1"/>
          <w:sz w:val="24"/>
          <w:szCs w:val="24"/>
        </w:rPr>
        <w:t>Quantifying herbicide tolerance after the selection experiment</w:t>
      </w:r>
    </w:p>
    <w:p w:rsidR="005E2EB4" w:rsidRPr="00025B8B" w:rsidRDefault="005E2EB4" w:rsidP="00025D1D">
      <w:pPr>
        <w:spacing w:line="480" w:lineRule="auto"/>
        <w:rPr>
          <w:rFonts w:ascii="Times New Roman" w:hAnsi="Times New Roman"/>
          <w:color w:val="0000FF"/>
          <w:sz w:val="24"/>
          <w:szCs w:val="24"/>
        </w:rPr>
      </w:pPr>
      <w:r w:rsidRPr="00025B8B">
        <w:rPr>
          <w:rFonts w:ascii="Times New Roman" w:hAnsi="Times New Roman"/>
          <w:color w:val="000000" w:themeColor="text1"/>
          <w:sz w:val="24"/>
          <w:szCs w:val="24"/>
        </w:rPr>
        <w:t xml:space="preserve">As the herbicides used in our experiments did not impose a clear bacterial mortality, it was not possible </w:t>
      </w:r>
      <w:r w:rsidRPr="00025B8B">
        <w:rPr>
          <w:rFonts w:ascii="Times New Roman" w:hAnsi="Times New Roman"/>
          <w:color w:val="000000" w:themeColor="text1"/>
          <w:sz w:val="24"/>
          <w:szCs w:val="24"/>
        </w:rPr>
        <w:lastRenderedPageBreak/>
        <w:t>to determine a clear breakpoint, such as Minimum Inhibitory Concentration (MICs), which was used with antibiotics. As a result, herbicide tolerance was quantified as effects on bacterial growth</w:t>
      </w:r>
      <w:r w:rsidRPr="00025B8B">
        <w:rPr>
          <w:rFonts w:ascii="Times New Roman" w:hAnsi="Times New Roman"/>
          <w:color w:val="0000FF"/>
          <w:sz w:val="24"/>
          <w:szCs w:val="24"/>
        </w:rPr>
        <w:t xml:space="preserve"> </w:t>
      </w:r>
      <w:r w:rsidRPr="00025B8B">
        <w:rPr>
          <w:rFonts w:ascii="Times New Roman" w:hAnsi="Times New Roman"/>
          <w:color w:val="000000" w:themeColor="text1"/>
          <w:sz w:val="24"/>
          <w:szCs w:val="24"/>
        </w:rPr>
        <w:t xml:space="preserve">under </w:t>
      </w:r>
      <w:r w:rsidRPr="00025B8B">
        <w:rPr>
          <w:rFonts w:ascii="Times New Roman" w:hAnsi="Times New Roman" w:hint="eastAsia"/>
          <w:color w:val="000000" w:themeColor="text1"/>
          <w:sz w:val="24"/>
          <w:szCs w:val="24"/>
        </w:rPr>
        <w:t>high</w:t>
      </w:r>
      <w:r w:rsidRPr="00025B8B">
        <w:rPr>
          <w:rFonts w:ascii="Times New Roman" w:hAnsi="Times New Roman"/>
          <w:color w:val="000000" w:themeColor="text1"/>
          <w:sz w:val="24"/>
          <w:szCs w:val="24"/>
        </w:rPr>
        <w:t xml:space="preserve"> but still sublethal herbicide </w:t>
      </w:r>
      <w:r w:rsidRPr="00025B8B">
        <w:rPr>
          <w:rFonts w:ascii="Times New Roman" w:hAnsi="Times New Roman" w:hint="eastAsia"/>
          <w:color w:val="000000" w:themeColor="text1"/>
          <w:sz w:val="24"/>
          <w:szCs w:val="24"/>
        </w:rPr>
        <w:t>concentration</w:t>
      </w:r>
      <w:r w:rsidRPr="00025B8B">
        <w:rPr>
          <w:rFonts w:ascii="Times New Roman" w:hAnsi="Times New Roman"/>
          <w:color w:val="000000" w:themeColor="text1"/>
          <w:sz w:val="24"/>
          <w:szCs w:val="24"/>
        </w:rPr>
        <w:t>s (glyphosate: 500 mg/L</w:t>
      </w:r>
      <w:r w:rsidRPr="00025B8B">
        <w:rPr>
          <w:rFonts w:ascii="Times New Roman" w:hAnsi="Times New Roman" w:hint="eastAsia"/>
          <w:color w:val="000000" w:themeColor="text1"/>
          <w:sz w:val="24"/>
          <w:szCs w:val="24"/>
        </w:rPr>
        <w:t>;</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glufosinate</w:t>
      </w:r>
      <w:r w:rsidRPr="00025B8B">
        <w:rPr>
          <w:rFonts w:ascii="Times New Roman" w:hAnsi="Times New Roman"/>
          <w:color w:val="000000" w:themeColor="text1"/>
          <w:sz w:val="24"/>
          <w:szCs w:val="24"/>
        </w:rPr>
        <w:t xml:space="preserve">: 3500 </w:t>
      </w:r>
      <w:r w:rsidRPr="00025B8B">
        <w:rPr>
          <w:rFonts w:ascii="Times New Roman" w:hAnsi="Times New Roman" w:hint="eastAsia"/>
          <w:color w:val="000000" w:themeColor="text1"/>
          <w:sz w:val="24"/>
          <w:szCs w:val="24"/>
        </w:rPr>
        <w:t>mg</w:t>
      </w:r>
      <w:r w:rsidRPr="00025B8B">
        <w:rPr>
          <w:rFonts w:ascii="Times New Roman" w:hAnsi="Times New Roman"/>
          <w:color w:val="000000" w:themeColor="text1"/>
          <w:sz w:val="24"/>
          <w:szCs w:val="24"/>
        </w:rPr>
        <w:t>/</w:t>
      </w:r>
      <w:r w:rsidRPr="00025B8B">
        <w:rPr>
          <w:rFonts w:ascii="Times New Roman" w:hAnsi="Times New Roman" w:hint="eastAsia"/>
          <w:color w:val="000000" w:themeColor="text1"/>
          <w:sz w:val="24"/>
          <w:szCs w:val="24"/>
        </w:rPr>
        <w:t>L</w:t>
      </w:r>
      <w:r w:rsidRPr="00025B8B">
        <w:rPr>
          <w:rFonts w:ascii="Times New Roman" w:hAnsi="Times New Roman"/>
          <w:color w:val="000000" w:themeColor="text1"/>
          <w:sz w:val="24"/>
          <w:szCs w:val="24"/>
        </w:rPr>
        <w:t xml:space="preserve"> and dicamba: 100 mg/L) in liquid</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LB media (in 96-</w:t>
      </w:r>
      <w:r w:rsidRPr="00025B8B">
        <w:rPr>
          <w:rFonts w:ascii="Times New Roman" w:hAnsi="Times New Roman" w:hint="eastAsia"/>
          <w:color w:val="000000" w:themeColor="text1"/>
          <w:sz w:val="24"/>
          <w:szCs w:val="24"/>
        </w:rPr>
        <w:t>well microplate</w:t>
      </w:r>
      <w:r w:rsidRPr="00025B8B">
        <w:rPr>
          <w:rFonts w:ascii="Times New Roman" w:hAnsi="Times New Roman"/>
          <w:color w:val="000000" w:themeColor="text1"/>
          <w:sz w:val="24"/>
          <w:szCs w:val="24"/>
        </w:rPr>
        <w:t>s). Bacteria</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were</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incubated at 30 °C for 12 h, and growth measured (OD600) </w:t>
      </w:r>
      <w:r w:rsidRPr="00025B8B">
        <w:rPr>
          <w:rFonts w:ascii="Times New Roman" w:hAnsi="Times New Roman" w:hint="eastAsia"/>
          <w:color w:val="000000" w:themeColor="text1"/>
          <w:sz w:val="24"/>
          <w:szCs w:val="24"/>
        </w:rPr>
        <w:t xml:space="preserve">every </w:t>
      </w:r>
      <w:r w:rsidRPr="00025B8B">
        <w:rPr>
          <w:rFonts w:ascii="Times New Roman" w:hAnsi="Times New Roman"/>
          <w:color w:val="000000" w:themeColor="text1"/>
          <w:sz w:val="24"/>
          <w:szCs w:val="24"/>
        </w:rPr>
        <w:t xml:space="preserve">1 </w:t>
      </w:r>
      <w:r w:rsidRPr="00025B8B">
        <w:rPr>
          <w:rFonts w:ascii="Times New Roman" w:hAnsi="Times New Roman" w:hint="eastAsia"/>
          <w:color w:val="000000" w:themeColor="text1"/>
          <w:sz w:val="24"/>
          <w:szCs w:val="24"/>
        </w:rPr>
        <w:t>hour</w:t>
      </w:r>
      <w:r w:rsidRPr="00025B8B">
        <w:rPr>
          <w:rFonts w:ascii="Times New Roman" w:hAnsi="Times New Roman"/>
          <w:color w:val="000000" w:themeColor="text1"/>
          <w:sz w:val="24"/>
          <w:szCs w:val="24"/>
        </w:rPr>
        <w:t xml:space="preserve"> using spectrophotometer (In</w:t>
      </w:r>
      <w:r w:rsidRPr="00025B8B">
        <w:rPr>
          <w:rFonts w:ascii="Times New Roman" w:hAnsi="Times New Roman" w:hint="eastAsia"/>
          <w:color w:val="000000" w:themeColor="text1"/>
          <w:sz w:val="24"/>
          <w:szCs w:val="24"/>
        </w:rPr>
        <w:t>fi</w:t>
      </w:r>
      <w:r w:rsidRPr="00025B8B">
        <w:rPr>
          <w:rFonts w:ascii="Times New Roman" w:hAnsi="Times New Roman"/>
          <w:color w:val="000000" w:themeColor="text1"/>
          <w:sz w:val="24"/>
          <w:szCs w:val="24"/>
        </w:rPr>
        <w:t>nite</w:t>
      </w:r>
      <w:r w:rsidRPr="00025B8B">
        <w:rPr>
          <w:rFonts w:ascii="Times New Roman" w:hAnsi="Times New Roman"/>
          <w:color w:val="000000" w:themeColor="text1"/>
          <w:sz w:val="24"/>
          <w:szCs w:val="24"/>
          <w:vertAlign w:val="superscript"/>
        </w:rPr>
        <w:t>®</w:t>
      </w:r>
      <w:r w:rsidRPr="00025B8B">
        <w:rPr>
          <w:rFonts w:ascii="Times New Roman" w:hAnsi="Times New Roman"/>
          <w:color w:val="000000" w:themeColor="text1"/>
          <w:sz w:val="24"/>
          <w:szCs w:val="24"/>
        </w:rPr>
        <w:t xml:space="preserve"> 200 PRO, Tecan, Swiss). All experiments were performed at least in triplicate. </w:t>
      </w:r>
    </w:p>
    <w:p w:rsidR="005E2EB4" w:rsidRPr="00025B8B" w:rsidRDefault="005E2EB4" w:rsidP="00025D1D">
      <w:pPr>
        <w:spacing w:line="480" w:lineRule="auto"/>
        <w:jc w:val="left"/>
        <w:rPr>
          <w:rFonts w:ascii="Times New Roman" w:hAnsi="Times New Roman"/>
          <w:b/>
          <w:color w:val="000000" w:themeColor="text1"/>
          <w:sz w:val="24"/>
          <w:szCs w:val="24"/>
        </w:rPr>
      </w:pPr>
    </w:p>
    <w:p w:rsidR="005E2EB4" w:rsidRPr="00025B8B" w:rsidRDefault="005E2EB4" w:rsidP="00025D1D">
      <w:pPr>
        <w:spacing w:line="480" w:lineRule="auto"/>
        <w:jc w:val="left"/>
        <w:rPr>
          <w:rFonts w:ascii="Times New Roman" w:hAnsi="Times New Roman"/>
          <w:b/>
          <w:color w:val="000000" w:themeColor="text1"/>
          <w:sz w:val="24"/>
          <w:szCs w:val="24"/>
        </w:rPr>
      </w:pPr>
      <w:r w:rsidRPr="00025B8B">
        <w:rPr>
          <w:rFonts w:ascii="Times New Roman" w:hAnsi="Times New Roman"/>
          <w:b/>
          <w:color w:val="000000" w:themeColor="text1"/>
          <w:sz w:val="24"/>
          <w:szCs w:val="24"/>
        </w:rPr>
        <w:t>DNA extraction and whole-genome DNA sequencing of resistant</w:t>
      </w:r>
      <w:r w:rsidRPr="00025B8B">
        <w:rPr>
          <w:rFonts w:ascii="Times New Roman" w:hAnsi="Times New Roman" w:hint="eastAsia"/>
          <w:b/>
          <w:color w:val="000000" w:themeColor="text1"/>
          <w:sz w:val="24"/>
          <w:szCs w:val="24"/>
        </w:rPr>
        <w:t xml:space="preserve"> </w:t>
      </w:r>
      <w:r w:rsidRPr="00025B8B">
        <w:rPr>
          <w:rFonts w:ascii="Times New Roman" w:hAnsi="Times New Roman"/>
          <w:b/>
          <w:bCs/>
          <w:i/>
          <w:iCs/>
          <w:color w:val="000000" w:themeColor="text1"/>
          <w:sz w:val="24"/>
          <w:szCs w:val="24"/>
        </w:rPr>
        <w:t>E. coli</w:t>
      </w:r>
      <w:r w:rsidRPr="00025B8B">
        <w:rPr>
          <w:rFonts w:ascii="Times New Roman" w:hAnsi="Times New Roman"/>
          <w:b/>
          <w:bCs/>
          <w:color w:val="000000" w:themeColor="text1"/>
          <w:sz w:val="24"/>
          <w:szCs w:val="24"/>
        </w:rPr>
        <w:t xml:space="preserve"> DH5α clones</w:t>
      </w:r>
    </w:p>
    <w:p w:rsidR="005E2EB4" w:rsidRPr="00025B8B" w:rsidRDefault="005E2EB4" w:rsidP="00025D1D">
      <w:pPr>
        <w:spacing w:line="480" w:lineRule="auto"/>
        <w:rPr>
          <w:rFonts w:ascii="Times New Roman" w:hAnsi="Times New Roman"/>
          <w:color w:val="000000" w:themeColor="text1"/>
          <w:sz w:val="24"/>
          <w:szCs w:val="24"/>
        </w:rPr>
      </w:pPr>
      <w:r w:rsidRPr="00025B8B">
        <w:rPr>
          <w:rFonts w:ascii="Times New Roman" w:hAnsi="Times New Roman"/>
          <w:color w:val="000000" w:themeColor="text1"/>
          <w:sz w:val="24"/>
          <w:szCs w:val="24"/>
        </w:rPr>
        <w:t>T</w:t>
      </w:r>
      <w:r w:rsidRPr="00025B8B">
        <w:rPr>
          <w:rFonts w:ascii="Times New Roman" w:hAnsi="Times New Roman" w:hint="eastAsia"/>
          <w:color w:val="000000" w:themeColor="text1"/>
          <w:sz w:val="24"/>
          <w:szCs w:val="24"/>
        </w:rPr>
        <w:t xml:space="preserve">o </w:t>
      </w:r>
      <w:r w:rsidRPr="00025B8B">
        <w:rPr>
          <w:rFonts w:ascii="Times New Roman" w:hAnsi="Times New Roman"/>
          <w:color w:val="000000" w:themeColor="text1"/>
          <w:sz w:val="24"/>
          <w:szCs w:val="24"/>
        </w:rPr>
        <w:t xml:space="preserve">shed light on the underlying molecular mechanisms of resistance, </w:t>
      </w:r>
      <w:r w:rsidRPr="00025B8B">
        <w:rPr>
          <w:rFonts w:ascii="Times New Roman" w:hAnsi="Times New Roman" w:hint="eastAsia"/>
          <w:color w:val="000000" w:themeColor="text1"/>
          <w:sz w:val="24"/>
          <w:szCs w:val="24"/>
        </w:rPr>
        <w:t>three</w:t>
      </w:r>
      <w:r w:rsidRPr="00025B8B">
        <w:rPr>
          <w:rFonts w:ascii="Times New Roman" w:hAnsi="Times New Roman"/>
          <w:color w:val="000000" w:themeColor="text1"/>
          <w:sz w:val="24"/>
          <w:szCs w:val="24"/>
        </w:rPr>
        <w:t xml:space="preserve"> evolved </w:t>
      </w:r>
      <w:r w:rsidRPr="00025B8B">
        <w:rPr>
          <w:rFonts w:ascii="Times New Roman" w:hAnsi="Times New Roman"/>
          <w:i/>
          <w:iCs/>
          <w:color w:val="000000" w:themeColor="text1"/>
          <w:sz w:val="24"/>
          <w:szCs w:val="24"/>
        </w:rPr>
        <w:t>E. coli</w:t>
      </w:r>
      <w:r w:rsidRPr="00025B8B">
        <w:rPr>
          <w:rFonts w:ascii="Times New Roman" w:hAnsi="Times New Roman"/>
          <w:color w:val="000000" w:themeColor="text1"/>
          <w:sz w:val="24"/>
          <w:szCs w:val="24"/>
        </w:rPr>
        <w:t xml:space="preserve"> DH5α mutants (one per replicate) and three ancestor clones were selected from each herbicide treatment for whole-genome DNA sequencing </w:t>
      </w:r>
      <w:r w:rsidRPr="00025B8B">
        <w:rPr>
          <w:rFonts w:ascii="Times New Roman" w:hAnsi="Times New Roman"/>
          <w:noProof/>
          <w:color w:val="000000" w:themeColor="text1"/>
          <w:sz w:val="24"/>
          <w:szCs w:val="24"/>
        </w:rPr>
        <w:t>(Lu, et al. 2018)</w:t>
      </w:r>
      <w:r w:rsidRPr="00025B8B">
        <w:rPr>
          <w:rFonts w:ascii="Times New Roman" w:hAnsi="Times New Roman"/>
          <w:color w:val="000000" w:themeColor="text1"/>
          <w:sz w:val="24"/>
          <w:szCs w:val="24"/>
        </w:rPr>
        <w:t xml:space="preserve"> using gentamycin (glyphosate treatment; labeled </w:t>
      </w:r>
      <w:r w:rsidRPr="00025B8B">
        <w:rPr>
          <w:rFonts w:ascii="Times New Roman" w:hAnsi="Times New Roman" w:hint="eastAsia"/>
          <w:color w:val="000000" w:themeColor="text1"/>
          <w:sz w:val="24"/>
          <w:szCs w:val="24"/>
        </w:rPr>
        <w:t>Gly-gen</w:t>
      </w:r>
      <w:r w:rsidRPr="00025B8B">
        <w:rPr>
          <w:rFonts w:ascii="Times New Roman" w:hAnsi="Times New Roman"/>
          <w:color w:val="000000" w:themeColor="text1"/>
          <w:sz w:val="24"/>
          <w:szCs w:val="24"/>
        </w:rPr>
        <w:t>;), streptomycin (</w:t>
      </w:r>
      <w:r w:rsidRPr="00025B8B">
        <w:rPr>
          <w:rFonts w:ascii="Times New Roman" w:hAnsi="Times New Roman" w:hint="eastAsia"/>
          <w:color w:val="000000" w:themeColor="text1"/>
          <w:sz w:val="24"/>
          <w:szCs w:val="24"/>
        </w:rPr>
        <w:t>glufosinate</w:t>
      </w:r>
      <w:r w:rsidRPr="00025B8B">
        <w:rPr>
          <w:rFonts w:ascii="Times New Roman" w:hAnsi="Times New Roman"/>
          <w:color w:val="000000" w:themeColor="text1"/>
          <w:sz w:val="24"/>
          <w:szCs w:val="24"/>
        </w:rPr>
        <w:t xml:space="preserve"> treatment; labeled </w:t>
      </w:r>
      <w:r w:rsidRPr="00025B8B">
        <w:rPr>
          <w:rFonts w:ascii="Times New Roman" w:hAnsi="Times New Roman" w:hint="eastAsia"/>
          <w:color w:val="000000" w:themeColor="text1"/>
          <w:sz w:val="24"/>
          <w:szCs w:val="24"/>
        </w:rPr>
        <w:t>Glu</w:t>
      </w:r>
      <w:r w:rsidRPr="00025B8B">
        <w:rPr>
          <w:rFonts w:ascii="Times New Roman" w:hAnsi="Times New Roman"/>
          <w:color w:val="000000" w:themeColor="text1"/>
          <w:sz w:val="24"/>
          <w:szCs w:val="24"/>
        </w:rPr>
        <w:t>-</w:t>
      </w:r>
      <w:r w:rsidRPr="00025B8B">
        <w:rPr>
          <w:rFonts w:ascii="Times New Roman" w:hAnsi="Times New Roman" w:hint="eastAsia"/>
          <w:color w:val="000000" w:themeColor="text1"/>
          <w:sz w:val="24"/>
          <w:szCs w:val="24"/>
        </w:rPr>
        <w:t>s</w:t>
      </w:r>
      <w:r w:rsidRPr="00025B8B">
        <w:rPr>
          <w:rFonts w:ascii="Times New Roman" w:hAnsi="Times New Roman"/>
          <w:color w:val="000000" w:themeColor="text1"/>
          <w:sz w:val="24"/>
          <w:szCs w:val="24"/>
        </w:rPr>
        <w:t xml:space="preserve">tr) and amoxicillin (dicamba treatment; labeled </w:t>
      </w:r>
      <w:r w:rsidRPr="00025B8B">
        <w:rPr>
          <w:rFonts w:ascii="Times New Roman" w:hAnsi="Times New Roman" w:hint="eastAsia"/>
          <w:color w:val="000000" w:themeColor="text1"/>
          <w:sz w:val="24"/>
          <w:szCs w:val="24"/>
        </w:rPr>
        <w:t>Dic</w:t>
      </w:r>
      <w:r w:rsidRPr="00025B8B">
        <w:rPr>
          <w:rFonts w:ascii="Times New Roman" w:hAnsi="Times New Roman"/>
          <w:color w:val="000000" w:themeColor="text1"/>
          <w:sz w:val="24"/>
          <w:szCs w:val="24"/>
        </w:rPr>
        <w:t>-</w:t>
      </w:r>
      <w:r w:rsidRPr="00025B8B">
        <w:rPr>
          <w:rFonts w:ascii="Times New Roman" w:hAnsi="Times New Roman" w:hint="eastAsia"/>
          <w:color w:val="000000" w:themeColor="text1"/>
          <w:sz w:val="24"/>
          <w:szCs w:val="24"/>
        </w:rPr>
        <w:t>a</w:t>
      </w:r>
      <w:r w:rsidRPr="00025B8B">
        <w:rPr>
          <w:rFonts w:ascii="Times New Roman" w:hAnsi="Times New Roman"/>
          <w:color w:val="000000" w:themeColor="text1"/>
          <w:sz w:val="24"/>
          <w:szCs w:val="24"/>
        </w:rPr>
        <w:t xml:space="preserve">mo) selective plates. Genomic DNA was extracted using the </w:t>
      </w:r>
      <w:r w:rsidRPr="00025B8B">
        <w:rPr>
          <w:rFonts w:ascii="Times New Roman" w:hAnsi="Times New Roman"/>
          <w:color w:val="000000" w:themeColor="text1"/>
          <w:kern w:val="0"/>
          <w:sz w:val="24"/>
          <w:szCs w:val="24"/>
        </w:rPr>
        <w:t>TIAN</w:t>
      </w:r>
      <w:r w:rsidRPr="00025B8B">
        <w:rPr>
          <w:rFonts w:ascii="Times New Roman" w:hAnsi="Times New Roman" w:hint="eastAsia"/>
          <w:color w:val="000000" w:themeColor="text1"/>
          <w:kern w:val="0"/>
          <w:sz w:val="24"/>
          <w:szCs w:val="24"/>
        </w:rPr>
        <w:t>GEN</w:t>
      </w:r>
      <w:r w:rsidRPr="00025B8B">
        <w:rPr>
          <w:rFonts w:ascii="Times New Roman" w:hAnsi="Times New Roman"/>
          <w:color w:val="000000" w:themeColor="text1"/>
          <w:kern w:val="0"/>
          <w:sz w:val="24"/>
          <w:szCs w:val="24"/>
        </w:rPr>
        <w:t xml:space="preserve"> </w:t>
      </w:r>
      <w:r w:rsidRPr="00025B8B">
        <w:rPr>
          <w:rFonts w:ascii="Times New Roman" w:hAnsi="Times New Roman" w:hint="eastAsia"/>
          <w:color w:val="000000" w:themeColor="text1"/>
          <w:kern w:val="0"/>
          <w:sz w:val="24"/>
          <w:szCs w:val="24"/>
        </w:rPr>
        <w:t>Bacteria</w:t>
      </w:r>
      <w:r w:rsidRPr="00025B8B">
        <w:rPr>
          <w:rFonts w:ascii="Times New Roman" w:hAnsi="Times New Roman"/>
          <w:color w:val="000000" w:themeColor="text1"/>
          <w:kern w:val="0"/>
          <w:sz w:val="24"/>
          <w:szCs w:val="24"/>
        </w:rPr>
        <w:t xml:space="preserve"> </w:t>
      </w:r>
      <w:r w:rsidRPr="00025B8B">
        <w:rPr>
          <w:rFonts w:ascii="Times New Roman" w:hAnsi="Times New Roman" w:hint="eastAsia"/>
          <w:color w:val="000000" w:themeColor="text1"/>
          <w:kern w:val="0"/>
          <w:sz w:val="24"/>
          <w:szCs w:val="24"/>
        </w:rPr>
        <w:t>DNA</w:t>
      </w:r>
      <w:r w:rsidRPr="00025B8B">
        <w:rPr>
          <w:rFonts w:ascii="Times New Roman" w:hAnsi="Times New Roman"/>
          <w:color w:val="000000" w:themeColor="text1"/>
          <w:kern w:val="0"/>
          <w:sz w:val="24"/>
          <w:szCs w:val="24"/>
        </w:rPr>
        <w:t xml:space="preserve"> </w:t>
      </w:r>
      <w:r w:rsidRPr="00025B8B">
        <w:rPr>
          <w:rFonts w:ascii="Times New Roman" w:hAnsi="Times New Roman" w:hint="eastAsia"/>
          <w:color w:val="000000" w:themeColor="text1"/>
          <w:kern w:val="0"/>
          <w:sz w:val="24"/>
          <w:szCs w:val="24"/>
        </w:rPr>
        <w:t xml:space="preserve">extraction </w:t>
      </w:r>
      <w:r w:rsidRPr="00025B8B">
        <w:rPr>
          <w:rFonts w:ascii="Times New Roman" w:hAnsi="Times New Roman"/>
          <w:color w:val="000000" w:themeColor="text1"/>
          <w:kern w:val="0"/>
          <w:sz w:val="24"/>
          <w:szCs w:val="24"/>
        </w:rPr>
        <w:t>kit (Tiangen, Beijing, China)</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following manufacturer’s instructions and</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overnight bacterial cultures.</w:t>
      </w:r>
      <w:r w:rsidRPr="00025B8B">
        <w:rPr>
          <w:rFonts w:ascii="Times New Roman" w:hAnsi="Times New Roman" w:hint="eastAsia"/>
          <w:color w:val="000000" w:themeColor="text1"/>
          <w:sz w:val="24"/>
          <w:szCs w:val="24"/>
        </w:rPr>
        <w:t xml:space="preserve"> D</w:t>
      </w:r>
      <w:r w:rsidRPr="00025B8B">
        <w:rPr>
          <w:rFonts w:ascii="Times New Roman" w:hAnsi="Times New Roman"/>
          <w:color w:val="000000" w:themeColor="text1"/>
          <w:sz w:val="24"/>
          <w:szCs w:val="24"/>
        </w:rPr>
        <w:t xml:space="preserve">NA quality was analysed using NanoDrop spectrophotometers (Thermo Fisher Scientific) </w:t>
      </w:r>
      <w:r w:rsidRPr="00025B8B">
        <w:rPr>
          <w:rFonts w:ascii="Times New Roman" w:hAnsi="Times New Roman" w:hint="eastAsia"/>
          <w:color w:val="000000" w:themeColor="text1"/>
          <w:sz w:val="24"/>
          <w:szCs w:val="24"/>
        </w:rPr>
        <w:t xml:space="preserve">and </w:t>
      </w:r>
      <w:r w:rsidRPr="00025B8B">
        <w:rPr>
          <w:rFonts w:ascii="Times New Roman" w:hAnsi="Times New Roman"/>
          <w:color w:val="000000" w:themeColor="text1"/>
          <w:sz w:val="24"/>
          <w:szCs w:val="24"/>
        </w:rPr>
        <w:t xml:space="preserve">electrophoresis </w:t>
      </w:r>
      <w:r w:rsidRPr="00025B8B">
        <w:rPr>
          <w:rFonts w:ascii="Times New Roman" w:hAnsi="Times New Roman" w:hint="eastAsia"/>
          <w:color w:val="000000" w:themeColor="text1"/>
          <w:sz w:val="24"/>
          <w:szCs w:val="24"/>
        </w:rPr>
        <w:t>gel</w:t>
      </w:r>
      <w:r w:rsidRPr="00025B8B">
        <w:rPr>
          <w:rFonts w:ascii="Times New Roman" w:hAnsi="Times New Roman"/>
          <w:color w:val="000000" w:themeColor="text1"/>
          <w:sz w:val="24"/>
          <w:szCs w:val="24"/>
        </w:rPr>
        <w:t>.</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DNA samples were submitted to</w:t>
      </w:r>
      <w:r w:rsidRPr="00025B8B">
        <w:rPr>
          <w:rFonts w:ascii="Times New Roman" w:hAnsi="Times New Roman"/>
          <w:color w:val="000000" w:themeColor="text1"/>
          <w:kern w:val="0"/>
          <w:sz w:val="24"/>
          <w:szCs w:val="24"/>
        </w:rPr>
        <w:t xml:space="preserve"> Guangdong Magigene Biotechnology Co. Ltd</w:t>
      </w:r>
      <w:r w:rsidRPr="00025B8B">
        <w:rPr>
          <w:rFonts w:ascii="Times New Roman" w:hAnsi="Times New Roman"/>
          <w:color w:val="000000" w:themeColor="text1"/>
          <w:sz w:val="24"/>
          <w:szCs w:val="24"/>
        </w:rPr>
        <w:t xml:space="preserve"> for the sequencing on</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the HiSeq </w:t>
      </w:r>
      <w:r w:rsidRPr="00025B8B">
        <w:rPr>
          <w:rFonts w:ascii="Times New Roman" w:hAnsi="Times New Roman" w:hint="eastAsia"/>
          <w:color w:val="000000" w:themeColor="text1"/>
          <w:sz w:val="24"/>
          <w:szCs w:val="24"/>
        </w:rPr>
        <w:t xml:space="preserve">platform </w:t>
      </w:r>
      <w:r w:rsidRPr="00025B8B">
        <w:rPr>
          <w:rFonts w:ascii="Times New Roman" w:hAnsi="Times New Roman"/>
          <w:color w:val="000000" w:themeColor="text1"/>
          <w:sz w:val="24"/>
          <w:szCs w:val="24"/>
        </w:rPr>
        <w:t xml:space="preserve">(Illumina) with 150bp paired-end sequencing. After quality trimming, the </w:t>
      </w:r>
      <w:r w:rsidRPr="00025B8B">
        <w:rPr>
          <w:rFonts w:ascii="Times New Roman" w:hAnsi="Times New Roman" w:hint="eastAsia"/>
          <w:color w:val="000000" w:themeColor="text1"/>
          <w:sz w:val="24"/>
          <w:szCs w:val="24"/>
        </w:rPr>
        <w:t>clean</w:t>
      </w:r>
      <w:r w:rsidRPr="00025B8B">
        <w:rPr>
          <w:rFonts w:ascii="Times New Roman" w:hAnsi="Times New Roman"/>
          <w:color w:val="000000" w:themeColor="text1"/>
          <w:sz w:val="24"/>
          <w:szCs w:val="24"/>
        </w:rPr>
        <w:t xml:space="preserve"> reads were </w:t>
      </w:r>
      <w:r w:rsidRPr="00025B8B">
        <w:rPr>
          <w:rFonts w:ascii="Times New Roman" w:hAnsi="Times New Roman"/>
          <w:i/>
          <w:iCs/>
          <w:color w:val="000000" w:themeColor="text1"/>
          <w:sz w:val="24"/>
          <w:szCs w:val="24"/>
        </w:rPr>
        <w:t>de novo</w:t>
      </w:r>
      <w:r w:rsidRPr="00025B8B">
        <w:rPr>
          <w:rFonts w:ascii="Times New Roman" w:hAnsi="Times New Roman"/>
          <w:color w:val="000000" w:themeColor="text1"/>
          <w:sz w:val="24"/>
          <w:szCs w:val="24"/>
        </w:rPr>
        <w:t xml:space="preserve"> assembled using the SPAdes </w:t>
      </w:r>
      <w:r w:rsidRPr="00025B8B">
        <w:rPr>
          <w:rFonts w:ascii="Times New Roman" w:hAnsi="Times New Roman"/>
          <w:noProof/>
          <w:color w:val="000000" w:themeColor="text1"/>
          <w:sz w:val="24"/>
          <w:szCs w:val="24"/>
        </w:rPr>
        <w:t>(Bankevich, et al. 2012)</w:t>
      </w:r>
      <w:r w:rsidRPr="00025B8B">
        <w:rPr>
          <w:rFonts w:ascii="Times New Roman" w:hAnsi="Times New Roman"/>
          <w:color w:val="000000" w:themeColor="text1"/>
          <w:sz w:val="24"/>
          <w:szCs w:val="24"/>
        </w:rPr>
        <w:t xml:space="preserve"> with default parameters. The whole-genome</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sequence data from each strain was </w:t>
      </w:r>
      <w:r w:rsidRPr="00025B8B">
        <w:rPr>
          <w:rFonts w:ascii="Times New Roman" w:hAnsi="Times New Roman"/>
          <w:color w:val="000000" w:themeColor="text1"/>
          <w:sz w:val="24"/>
          <w:szCs w:val="24"/>
          <w:shd w:val="clear" w:color="auto" w:fill="FFFFFF"/>
        </w:rPr>
        <w:t>align</w:t>
      </w:r>
      <w:r w:rsidRPr="00025B8B">
        <w:rPr>
          <w:rFonts w:ascii="Times New Roman" w:hAnsi="Times New Roman" w:hint="eastAsia"/>
          <w:color w:val="000000" w:themeColor="text1"/>
          <w:sz w:val="24"/>
          <w:szCs w:val="24"/>
          <w:shd w:val="clear" w:color="auto" w:fill="FFFFFF"/>
        </w:rPr>
        <w:t>ed</w:t>
      </w:r>
      <w:r w:rsidRPr="00025B8B">
        <w:rPr>
          <w:rFonts w:ascii="Times New Roman" w:hAnsi="Times New Roman"/>
          <w:color w:val="000000" w:themeColor="text1"/>
          <w:sz w:val="24"/>
          <w:szCs w:val="24"/>
          <w:shd w:val="clear" w:color="auto" w:fill="FFFFFF"/>
        </w:rPr>
        <w:t xml:space="preserve"> </w:t>
      </w:r>
      <w:r w:rsidRPr="00025B8B">
        <w:rPr>
          <w:rFonts w:ascii="Times New Roman" w:hAnsi="Times New Roman" w:hint="eastAsia"/>
          <w:color w:val="000000" w:themeColor="text1"/>
          <w:sz w:val="24"/>
          <w:szCs w:val="24"/>
        </w:rPr>
        <w:t xml:space="preserve">against </w:t>
      </w:r>
      <w:r w:rsidRPr="00025B8B">
        <w:rPr>
          <w:rFonts w:ascii="Times New Roman" w:hAnsi="Times New Roman"/>
          <w:color w:val="000000" w:themeColor="text1"/>
          <w:sz w:val="24"/>
          <w:szCs w:val="24"/>
        </w:rPr>
        <w:t xml:space="preserve">the </w:t>
      </w:r>
      <w:r w:rsidRPr="00025B8B">
        <w:rPr>
          <w:rFonts w:ascii="Times New Roman" w:hAnsi="Times New Roman"/>
          <w:i/>
          <w:iCs/>
          <w:color w:val="000000" w:themeColor="text1"/>
          <w:sz w:val="24"/>
          <w:szCs w:val="24"/>
        </w:rPr>
        <w:t>E. coli</w:t>
      </w:r>
      <w:r w:rsidRPr="00025B8B">
        <w:rPr>
          <w:rFonts w:ascii="Times New Roman" w:hAnsi="Times New Roman"/>
          <w:color w:val="000000" w:themeColor="text1"/>
          <w:sz w:val="24"/>
          <w:szCs w:val="24"/>
        </w:rPr>
        <w:t xml:space="preserve"> str. K-12 substr. MG1655 reference genome</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(Accession NC000913.3) and variant calling performed using</w:t>
      </w:r>
      <w:r w:rsidRPr="00025B8B">
        <w:rPr>
          <w:color w:val="000000" w:themeColor="text1"/>
        </w:rPr>
        <w:t xml:space="preserve"> </w:t>
      </w:r>
      <w:r w:rsidRPr="00025B8B">
        <w:rPr>
          <w:rFonts w:ascii="Times New Roman" w:hAnsi="Times New Roman"/>
          <w:color w:val="000000" w:themeColor="text1"/>
          <w:sz w:val="24"/>
          <w:szCs w:val="24"/>
        </w:rPr>
        <w:t xml:space="preserve">Breseq pipeline with default parameters (https://www.barricklab.org/twiki/bin/view/Lab/ToolsBacterialGenomeResequencing) to explore </w:t>
      </w:r>
      <w:r w:rsidRPr="00025B8B">
        <w:rPr>
          <w:rFonts w:ascii="Times New Roman" w:hAnsi="Times New Roman" w:hint="eastAsia"/>
          <w:color w:val="000000" w:themeColor="text1"/>
          <w:sz w:val="24"/>
          <w:szCs w:val="24"/>
        </w:rPr>
        <w:lastRenderedPageBreak/>
        <w:t>s</w:t>
      </w:r>
      <w:r w:rsidRPr="00025B8B">
        <w:rPr>
          <w:rFonts w:ascii="Times New Roman" w:hAnsi="Times New Roman"/>
          <w:color w:val="000000" w:themeColor="text1"/>
          <w:sz w:val="24"/>
          <w:szCs w:val="24"/>
        </w:rPr>
        <w:t xml:space="preserve">ingle nucleotide polymorphism (SNP) and and short </w:t>
      </w:r>
      <w:r w:rsidRPr="00025B8B">
        <w:rPr>
          <w:rFonts w:ascii="Times New Roman" w:hAnsi="Times New Roman" w:hint="eastAsia"/>
          <w:color w:val="000000" w:themeColor="text1"/>
          <w:sz w:val="24"/>
          <w:szCs w:val="24"/>
        </w:rPr>
        <w:t>INDEL</w:t>
      </w:r>
      <w:r w:rsidRPr="00025B8B">
        <w:rPr>
          <w:rFonts w:ascii="Times New Roman" w:hAnsi="Times New Roman"/>
          <w:color w:val="000000" w:themeColor="text1"/>
          <w:sz w:val="24"/>
          <w:szCs w:val="24"/>
        </w:rPr>
        <w:t xml:space="preserve">s (insertions and deletions) as </w:t>
      </w:r>
      <w:r w:rsidRPr="00025B8B">
        <w:rPr>
          <w:rFonts w:ascii="Times New Roman" w:hAnsi="Times New Roman" w:hint="eastAsia"/>
          <w:color w:val="000000" w:themeColor="text1"/>
          <w:sz w:val="24"/>
          <w:szCs w:val="24"/>
        </w:rPr>
        <w:t>described</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previously</w:t>
      </w:r>
      <w:r w:rsidRPr="00025B8B">
        <w:rPr>
          <w:rFonts w:ascii="Times New Roman" w:hAnsi="Times New Roman"/>
          <w:color w:val="000000" w:themeColor="text1"/>
          <w:sz w:val="24"/>
          <w:szCs w:val="24"/>
        </w:rPr>
        <w:t xml:space="preserve"> </w:t>
      </w:r>
      <w:r w:rsidRPr="00025B8B">
        <w:rPr>
          <w:rFonts w:ascii="Times New Roman" w:hAnsi="Times New Roman"/>
          <w:noProof/>
          <w:color w:val="000000" w:themeColor="text1"/>
          <w:sz w:val="24"/>
          <w:szCs w:val="24"/>
        </w:rPr>
        <w:t>(Lang, et al. 2013)</w:t>
      </w:r>
      <w:r w:rsidRPr="00025B8B">
        <w:rPr>
          <w:rFonts w:ascii="Times New Roman" w:hAnsi="Times New Roman"/>
          <w:color w:val="000000" w:themeColor="text1"/>
          <w:sz w:val="24"/>
          <w:szCs w:val="24"/>
        </w:rPr>
        <w:t xml:space="preserve">. </w:t>
      </w:r>
    </w:p>
    <w:p w:rsidR="005E2EB4" w:rsidRPr="00025B8B" w:rsidRDefault="005E2EB4" w:rsidP="00025D1D">
      <w:pPr>
        <w:spacing w:line="480" w:lineRule="auto"/>
        <w:rPr>
          <w:rFonts w:ascii="Times New Roman" w:hAnsi="Times New Roman"/>
          <w:b/>
          <w:color w:val="000000" w:themeColor="text1"/>
          <w:sz w:val="24"/>
          <w:szCs w:val="24"/>
        </w:rPr>
      </w:pP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b/>
          <w:color w:val="000000" w:themeColor="text1"/>
          <w:sz w:val="24"/>
          <w:szCs w:val="24"/>
        </w:rPr>
        <w:t>Experiment 2: Determining the frequency of plasmid conjugation under direct h</w:t>
      </w:r>
      <w:r w:rsidRPr="00025B8B">
        <w:rPr>
          <w:rFonts w:ascii="Times New Roman" w:hAnsi="Times New Roman" w:hint="eastAsia"/>
          <w:b/>
          <w:color w:val="000000" w:themeColor="text1"/>
          <w:sz w:val="24"/>
          <w:szCs w:val="24"/>
        </w:rPr>
        <w:t>erbicide</w:t>
      </w:r>
      <w:r w:rsidRPr="00025B8B">
        <w:rPr>
          <w:rFonts w:ascii="Times New Roman" w:hAnsi="Times New Roman"/>
          <w:b/>
          <w:color w:val="000000" w:themeColor="text1"/>
          <w:sz w:val="24"/>
          <w:szCs w:val="24"/>
        </w:rPr>
        <w:t xml:space="preserve"> exposure</w:t>
      </w:r>
    </w:p>
    <w:p w:rsidR="005E2EB4" w:rsidRPr="00025B8B" w:rsidRDefault="005E2EB4" w:rsidP="00025D1D">
      <w:pPr>
        <w:spacing w:line="480" w:lineRule="auto"/>
        <w:rPr>
          <w:rFonts w:ascii="Times New Roman" w:hAnsi="Times New Roman"/>
          <w:color w:val="000000" w:themeColor="text1"/>
          <w:sz w:val="24"/>
          <w:szCs w:val="24"/>
        </w:rPr>
      </w:pPr>
      <w:r w:rsidRPr="00025B8B">
        <w:rPr>
          <w:rFonts w:ascii="Times New Roman" w:hAnsi="Times New Roman"/>
          <w:color w:val="000000" w:themeColor="text1"/>
          <w:sz w:val="24"/>
          <w:szCs w:val="24"/>
        </w:rPr>
        <w:t xml:space="preserve">The effect of herbicides on the frequency of plasmid conjugation was measured using </w:t>
      </w:r>
      <w:r w:rsidRPr="00025B8B">
        <w:rPr>
          <w:rFonts w:ascii="Times New Roman" w:hAnsi="Times New Roman"/>
          <w:i/>
          <w:color w:val="000000" w:themeColor="text1"/>
          <w:sz w:val="24"/>
          <w:szCs w:val="24"/>
        </w:rPr>
        <w:t>E. coli</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HB</w:t>
      </w:r>
      <w:r w:rsidRPr="00025B8B">
        <w:rPr>
          <w:rFonts w:ascii="Times New Roman" w:hAnsi="Times New Roman"/>
          <w:color w:val="000000" w:themeColor="text1"/>
          <w:sz w:val="24"/>
          <w:szCs w:val="24"/>
        </w:rPr>
        <w:t>101 strain carrying</w:t>
      </w:r>
      <w:r w:rsidRPr="00025B8B">
        <w:rPr>
          <w:rFonts w:ascii="Times New Roman" w:hAnsi="Times New Roman" w:hint="eastAsia"/>
          <w:color w:val="000000" w:themeColor="text1"/>
          <w:sz w:val="24"/>
          <w:szCs w:val="24"/>
        </w:rPr>
        <w:t xml:space="preserve"> a</w:t>
      </w:r>
      <w:r w:rsidRPr="00025B8B">
        <w:rPr>
          <w:rFonts w:ascii="Times New Roman" w:hAnsi="Times New Roman"/>
          <w:color w:val="000000" w:themeColor="text1"/>
          <w:sz w:val="24"/>
          <w:szCs w:val="24"/>
        </w:rPr>
        <w:t xml:space="preserve"> multidrug resistance</w:t>
      </w:r>
      <w:r w:rsidRPr="00025B8B">
        <w:rPr>
          <w:rFonts w:ascii="Times New Roman" w:hAnsi="Times New Roman" w:hint="eastAsia"/>
          <w:color w:val="000000" w:themeColor="text1"/>
          <w:sz w:val="24"/>
          <w:szCs w:val="24"/>
        </w:rPr>
        <w:t xml:space="preserve"> RP4</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plasmid</w:t>
      </w:r>
      <w:r w:rsidRPr="00025B8B">
        <w:rPr>
          <w:rFonts w:ascii="Times New Roman" w:hAnsi="Times New Roman"/>
          <w:color w:val="000000" w:themeColor="text1"/>
          <w:sz w:val="24"/>
          <w:szCs w:val="24"/>
        </w:rPr>
        <w:t xml:space="preserve"> as a donor cell </w:t>
      </w:r>
      <w:r w:rsidRPr="00025B8B">
        <w:rPr>
          <w:rFonts w:ascii="Times New Roman" w:hAnsi="Times New Roman"/>
          <w:noProof/>
          <w:color w:val="000000" w:themeColor="text1"/>
          <w:sz w:val="24"/>
          <w:szCs w:val="24"/>
        </w:rPr>
        <w:t>(Qiu, et al. 2012)</w:t>
      </w:r>
      <w:r w:rsidRPr="00025B8B">
        <w:rPr>
          <w:rFonts w:ascii="Times New Roman" w:hAnsi="Times New Roman"/>
          <w:color w:val="000000" w:themeColor="text1"/>
          <w:sz w:val="24"/>
          <w:szCs w:val="24"/>
        </w:rPr>
        <w:t xml:space="preserve"> (resistant to tetracycline, kanamycin,</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and ampicillin; kindly gifted by Professor Junwen Li and Zhigang</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Qiu from Tianjin Institute of Environmental &amp; Operational Medicine, Tianjin, China). </w:t>
      </w:r>
      <w:r w:rsidRPr="00025B8B">
        <w:rPr>
          <w:rFonts w:ascii="Times New Roman" w:hAnsi="Times New Roman"/>
          <w:i/>
          <w:color w:val="000000" w:themeColor="text1"/>
          <w:sz w:val="24"/>
          <w:szCs w:val="24"/>
        </w:rPr>
        <w:t>Pseudomonas</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ssp.</w:t>
      </w:r>
      <w:r w:rsidRPr="00025B8B">
        <w:rPr>
          <w:rFonts w:ascii="Times New Roman" w:hAnsi="Times New Roman"/>
          <w:color w:val="000000" w:themeColor="text1"/>
          <w:sz w:val="24"/>
          <w:szCs w:val="24"/>
        </w:rPr>
        <w:t xml:space="preserve"> G1 (resistant to gentamicin), </w:t>
      </w:r>
      <w:r w:rsidRPr="00025B8B">
        <w:rPr>
          <w:rFonts w:ascii="Times New Roman" w:hAnsi="Times New Roman"/>
          <w:i/>
          <w:color w:val="000000" w:themeColor="text1"/>
          <w:sz w:val="24"/>
          <w:szCs w:val="24"/>
        </w:rPr>
        <w:t>Bacillus oleronius</w:t>
      </w:r>
      <w:r w:rsidRPr="00025B8B">
        <w:rPr>
          <w:rFonts w:ascii="Times New Roman" w:hAnsi="Times New Roman"/>
          <w:color w:val="000000" w:themeColor="text1"/>
          <w:sz w:val="24"/>
          <w:szCs w:val="24"/>
        </w:rPr>
        <w:t xml:space="preserve"> C13 (resistant to chloramphenicol) </w:t>
      </w:r>
      <w:r w:rsidRPr="00025B8B">
        <w:rPr>
          <w:rFonts w:ascii="Times New Roman" w:hAnsi="Times New Roman" w:hint="eastAsia"/>
          <w:color w:val="000000" w:themeColor="text1"/>
          <w:sz w:val="24"/>
          <w:szCs w:val="24"/>
        </w:rPr>
        <w:t>and</w:t>
      </w:r>
      <w:r w:rsidRPr="00025B8B">
        <w:rPr>
          <w:rFonts w:ascii="Times New Roman" w:hAnsi="Times New Roman"/>
          <w:color w:val="000000" w:themeColor="text1"/>
          <w:sz w:val="24"/>
          <w:szCs w:val="24"/>
        </w:rPr>
        <w:t xml:space="preserve"> </w:t>
      </w:r>
      <w:r w:rsidRPr="00025B8B">
        <w:rPr>
          <w:rFonts w:ascii="Times New Roman" w:hAnsi="Times New Roman"/>
          <w:i/>
          <w:color w:val="000000" w:themeColor="text1"/>
          <w:sz w:val="24"/>
          <w:szCs w:val="24"/>
        </w:rPr>
        <w:t>E. coli</w:t>
      </w:r>
      <w:r w:rsidRPr="00025B8B">
        <w:rPr>
          <w:rFonts w:ascii="Times New Roman" w:hAnsi="Times New Roman"/>
          <w:color w:val="000000" w:themeColor="text1"/>
          <w:sz w:val="24"/>
          <w:szCs w:val="24"/>
        </w:rPr>
        <w:t xml:space="preserve"> DH5α (resistant to chloramphenicol)</w:t>
      </w:r>
      <w:r w:rsidRPr="00025B8B" w:rsidDel="008B5C88">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were used as</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recipient </w:t>
      </w:r>
      <w:r w:rsidRPr="00025B8B">
        <w:rPr>
          <w:rFonts w:ascii="Times New Roman" w:hAnsi="Times New Roman" w:hint="eastAsia"/>
          <w:color w:val="000000" w:themeColor="text1"/>
          <w:sz w:val="24"/>
          <w:szCs w:val="24"/>
        </w:rPr>
        <w:t>strain</w:t>
      </w:r>
      <w:r w:rsidRPr="00025B8B">
        <w:rPr>
          <w:rFonts w:ascii="Times New Roman" w:hAnsi="Times New Roman"/>
          <w:color w:val="000000" w:themeColor="text1"/>
          <w:sz w:val="24"/>
          <w:szCs w:val="24"/>
        </w:rPr>
        <w:t xml:space="preserve">s. </w:t>
      </w:r>
      <w:r w:rsidRPr="00025B8B">
        <w:rPr>
          <w:rFonts w:ascii="Times New Roman" w:hAnsi="Times New Roman"/>
          <w:i/>
          <w:color w:val="000000" w:themeColor="text1"/>
          <w:sz w:val="24"/>
          <w:szCs w:val="24"/>
        </w:rPr>
        <w:t>Pseudomonas</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ssp.</w:t>
      </w:r>
      <w:r w:rsidRPr="00025B8B">
        <w:rPr>
          <w:rFonts w:ascii="Times New Roman" w:hAnsi="Times New Roman"/>
          <w:color w:val="000000" w:themeColor="text1"/>
          <w:sz w:val="24"/>
          <w:szCs w:val="24"/>
        </w:rPr>
        <w:t xml:space="preserve"> G1 </w:t>
      </w:r>
      <w:r w:rsidRPr="00025B8B">
        <w:rPr>
          <w:rFonts w:ascii="Times New Roman" w:hAnsi="Times New Roman" w:hint="eastAsia"/>
          <w:color w:val="000000" w:themeColor="text1"/>
          <w:sz w:val="24"/>
          <w:szCs w:val="24"/>
        </w:rPr>
        <w:t>and</w:t>
      </w:r>
      <w:r w:rsidRPr="00025B8B">
        <w:rPr>
          <w:rFonts w:ascii="Times New Roman" w:hAnsi="Times New Roman"/>
          <w:color w:val="000000" w:themeColor="text1"/>
          <w:sz w:val="24"/>
          <w:szCs w:val="24"/>
        </w:rPr>
        <w:t xml:space="preserve"> </w:t>
      </w:r>
      <w:r w:rsidRPr="00025B8B">
        <w:rPr>
          <w:rFonts w:ascii="Times New Roman" w:hAnsi="Times New Roman"/>
          <w:i/>
          <w:color w:val="000000" w:themeColor="text1"/>
          <w:sz w:val="24"/>
          <w:szCs w:val="24"/>
        </w:rPr>
        <w:t>Bacillus oleronius</w:t>
      </w:r>
      <w:r w:rsidRPr="00025B8B">
        <w:rPr>
          <w:rFonts w:ascii="Times New Roman" w:hAnsi="Times New Roman"/>
          <w:color w:val="000000" w:themeColor="text1"/>
          <w:sz w:val="24"/>
          <w:szCs w:val="24"/>
        </w:rPr>
        <w:t xml:space="preserve"> C13 strains were </w:t>
      </w:r>
      <w:r w:rsidRPr="00025B8B">
        <w:rPr>
          <w:rFonts w:ascii="Times New Roman" w:hAnsi="Times New Roman" w:hint="eastAsia"/>
          <w:color w:val="000000" w:themeColor="text1"/>
          <w:sz w:val="24"/>
          <w:szCs w:val="24"/>
        </w:rPr>
        <w:t>isolated from</w:t>
      </w:r>
      <w:r w:rsidRPr="00025B8B">
        <w:rPr>
          <w:rFonts w:ascii="Times New Roman" w:hAnsi="Times New Roman"/>
          <w:color w:val="000000" w:themeColor="text1"/>
          <w:sz w:val="24"/>
          <w:szCs w:val="24"/>
        </w:rPr>
        <w:t xml:space="preserve"> the</w:t>
      </w:r>
      <w:r w:rsidRPr="00025B8B">
        <w:rPr>
          <w:rFonts w:ascii="Times New Roman" w:hAnsi="Times New Roman" w:hint="eastAsia"/>
          <w:color w:val="000000" w:themeColor="text1"/>
          <w:sz w:val="24"/>
          <w:szCs w:val="24"/>
        </w:rPr>
        <w:t xml:space="preserve"> glyphosate herbicide</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expos</w:t>
      </w:r>
      <w:r w:rsidRPr="00025B8B">
        <w:rPr>
          <w:rFonts w:ascii="Times New Roman" w:hAnsi="Times New Roman"/>
          <w:color w:val="000000" w:themeColor="text1"/>
          <w:sz w:val="24"/>
          <w:szCs w:val="24"/>
        </w:rPr>
        <w:t xml:space="preserve">ed </w:t>
      </w:r>
      <w:r w:rsidRPr="00025B8B">
        <w:rPr>
          <w:rFonts w:ascii="Times New Roman" w:hAnsi="Times New Roman" w:hint="eastAsia"/>
          <w:color w:val="000000" w:themeColor="text1"/>
          <w:sz w:val="24"/>
          <w:szCs w:val="24"/>
        </w:rPr>
        <w:t>soil</w:t>
      </w:r>
      <w:r w:rsidRPr="00025B8B">
        <w:rPr>
          <w:rFonts w:ascii="Times New Roman" w:hAnsi="Times New Roman"/>
          <w:color w:val="000000" w:themeColor="text1"/>
          <w:sz w:val="24"/>
          <w:szCs w:val="24"/>
        </w:rPr>
        <w:t xml:space="preserve"> of the</w:t>
      </w:r>
      <w:r w:rsidRPr="00025B8B">
        <w:rPr>
          <w:rFonts w:ascii="Times New Roman" w:hAnsi="Times New Roman" w:hint="eastAsia"/>
          <w:color w:val="000000" w:themeColor="text1"/>
          <w:sz w:val="24"/>
          <w:szCs w:val="24"/>
        </w:rPr>
        <w:t xml:space="preserve"> present study</w:t>
      </w:r>
      <w:r w:rsidRPr="00025B8B">
        <w:rPr>
          <w:rFonts w:ascii="Times New Roman" w:hAnsi="Times New Roman"/>
          <w:color w:val="000000" w:themeColor="text1"/>
          <w:sz w:val="24"/>
          <w:szCs w:val="24"/>
        </w:rPr>
        <w:t xml:space="preserve"> (showing </w:t>
      </w:r>
      <w:r w:rsidRPr="00025B8B">
        <w:rPr>
          <w:rFonts w:ascii="Times New Roman" w:hAnsi="Times New Roman" w:hint="eastAsia"/>
          <w:color w:val="000000" w:themeColor="text1"/>
          <w:sz w:val="24"/>
          <w:szCs w:val="24"/>
        </w:rPr>
        <w:t xml:space="preserve">stable </w:t>
      </w:r>
      <w:r w:rsidRPr="00025B8B">
        <w:rPr>
          <w:rFonts w:ascii="Times New Roman" w:hAnsi="Times New Roman"/>
          <w:color w:val="000000" w:themeColor="text1"/>
          <w:sz w:val="24"/>
          <w:szCs w:val="24"/>
        </w:rPr>
        <w:t xml:space="preserve">resistance to gentamicin </w:t>
      </w:r>
      <w:r w:rsidRPr="00025B8B">
        <w:rPr>
          <w:rFonts w:ascii="Times New Roman" w:hAnsi="Times New Roman" w:hint="eastAsia"/>
          <w:color w:val="000000" w:themeColor="text1"/>
          <w:sz w:val="24"/>
          <w:szCs w:val="24"/>
        </w:rPr>
        <w:t>and</w:t>
      </w:r>
      <w:r w:rsidRPr="00025B8B">
        <w:rPr>
          <w:rFonts w:ascii="Times New Roman" w:hAnsi="Times New Roman"/>
          <w:color w:val="000000" w:themeColor="text1"/>
          <w:sz w:val="24"/>
          <w:szCs w:val="24"/>
        </w:rPr>
        <w:t xml:space="preserve"> chloramphenicol, </w:t>
      </w:r>
      <w:r w:rsidRPr="00025B8B">
        <w:rPr>
          <w:rFonts w:ascii="Times New Roman" w:hAnsi="Times New Roman" w:hint="eastAsia"/>
          <w:color w:val="000000" w:themeColor="text1"/>
          <w:sz w:val="24"/>
          <w:szCs w:val="24"/>
        </w:rPr>
        <w:t>respectively</w:t>
      </w:r>
      <w:r w:rsidRPr="00025B8B">
        <w:rPr>
          <w:rFonts w:ascii="Times New Roman" w:hAnsi="Times New Roman"/>
          <w:color w:val="000000" w:themeColor="text1"/>
          <w:sz w:val="24"/>
          <w:szCs w:val="24"/>
        </w:rPr>
        <w:t>). Before the start of the experiments, both the donor and recipient strains were incubated overnight at 30 °C in LB medium and shaken at 150 rpm. Bacterial cells were then collected by centrifugation at 6000×g for 5 min at 4 °C, washed (1 × PBS, pH = 7.2) and resuspended to PBS in cell densities of 1 × 10</w:t>
      </w:r>
      <w:r w:rsidRPr="00025B8B">
        <w:rPr>
          <w:rFonts w:ascii="Times New Roman" w:hAnsi="Times New Roman"/>
          <w:color w:val="000000" w:themeColor="text1"/>
          <w:sz w:val="24"/>
          <w:szCs w:val="24"/>
          <w:vertAlign w:val="superscript"/>
        </w:rPr>
        <w:t>8</w:t>
      </w:r>
      <w:r w:rsidRPr="00025B8B">
        <w:rPr>
          <w:rFonts w:ascii="Times New Roman" w:hAnsi="Times New Roman"/>
          <w:color w:val="000000" w:themeColor="text1"/>
          <w:sz w:val="24"/>
          <w:szCs w:val="24"/>
        </w:rPr>
        <w:t xml:space="preserve"> CFU/mL. The donor and recipient </w:t>
      </w:r>
      <w:r w:rsidRPr="00025B8B">
        <w:rPr>
          <w:rFonts w:ascii="Times New Roman" w:hAnsi="Times New Roman" w:hint="eastAsia"/>
          <w:color w:val="000000" w:themeColor="text1"/>
          <w:sz w:val="24"/>
          <w:szCs w:val="24"/>
        </w:rPr>
        <w:t>strains</w:t>
      </w:r>
      <w:r w:rsidRPr="00025B8B">
        <w:rPr>
          <w:rFonts w:ascii="Times New Roman" w:hAnsi="Times New Roman"/>
          <w:color w:val="000000" w:themeColor="text1"/>
          <w:sz w:val="24"/>
          <w:szCs w:val="24"/>
        </w:rPr>
        <w:t xml:space="preserve"> were mixed at 1:1 ratio and exposed to different concentrations of all </w:t>
      </w:r>
      <w:r w:rsidRPr="00025B8B">
        <w:rPr>
          <w:rFonts w:ascii="Times New Roman" w:hAnsi="Times New Roman" w:hint="eastAsia"/>
          <w:color w:val="000000" w:themeColor="text1"/>
          <w:sz w:val="24"/>
          <w:szCs w:val="24"/>
        </w:rPr>
        <w:t>three herbicides</w:t>
      </w:r>
      <w:r w:rsidRPr="00025B8B">
        <w:rPr>
          <w:rFonts w:ascii="Times New Roman" w:hAnsi="Times New Roman"/>
          <w:color w:val="000000" w:themeColor="text1"/>
          <w:sz w:val="24"/>
          <w:szCs w:val="24"/>
        </w:rPr>
        <w:t xml:space="preserve"> in factorial experimental design (2, </w:t>
      </w:r>
      <w:r w:rsidRPr="00025B8B">
        <w:rPr>
          <w:rFonts w:ascii="Times New Roman" w:hAnsi="Times New Roman" w:hint="eastAsia"/>
          <w:color w:val="000000" w:themeColor="text1"/>
          <w:sz w:val="24"/>
          <w:szCs w:val="24"/>
        </w:rPr>
        <w:t>1</w:t>
      </w:r>
      <w:r w:rsidRPr="00025B8B">
        <w:rPr>
          <w:rFonts w:ascii="Times New Roman" w:hAnsi="Times New Roman"/>
          <w:color w:val="000000" w:themeColor="text1"/>
          <w:sz w:val="24"/>
          <w:szCs w:val="24"/>
        </w:rPr>
        <w:t>0</w:t>
      </w:r>
      <w:r w:rsidRPr="00025B8B">
        <w:rPr>
          <w:rFonts w:ascii="Times New Roman" w:hAnsi="Times New Roman" w:hint="eastAsia"/>
          <w:color w:val="000000" w:themeColor="text1"/>
          <w:sz w:val="24"/>
          <w:szCs w:val="24"/>
        </w:rPr>
        <w:t>,</w:t>
      </w:r>
      <w:r w:rsidRPr="00025B8B">
        <w:rPr>
          <w:rFonts w:ascii="Times New Roman" w:hAnsi="Times New Roman"/>
          <w:color w:val="000000" w:themeColor="text1"/>
          <w:sz w:val="24"/>
          <w:szCs w:val="24"/>
        </w:rPr>
        <w:t xml:space="preserve"> and 20 </w:t>
      </w:r>
      <w:r w:rsidRPr="00025B8B">
        <w:rPr>
          <w:rFonts w:ascii="Times New Roman" w:hAnsi="Times New Roman" w:hint="eastAsia"/>
          <w:color w:val="000000" w:themeColor="text1"/>
          <w:sz w:val="24"/>
          <w:szCs w:val="24"/>
        </w:rPr>
        <w:t>mg</w:t>
      </w:r>
      <w:r w:rsidRPr="00025B8B">
        <w:rPr>
          <w:rFonts w:ascii="Times New Roman" w:hAnsi="Times New Roman"/>
          <w:color w:val="000000" w:themeColor="text1"/>
          <w:sz w:val="24"/>
          <w:szCs w:val="24"/>
        </w:rPr>
        <w:t xml:space="preserve">/L) for 6 h at 30 °C using three replicates to estimate the frequency of conjugation. The six hours exposure time was chosen to minimize the emergence of potential </w:t>
      </w:r>
      <w:r w:rsidRPr="00025B8B">
        <w:rPr>
          <w:rFonts w:ascii="Times New Roman" w:hAnsi="Times New Roman"/>
          <w:i/>
          <w:iCs/>
          <w:color w:val="000000" w:themeColor="text1"/>
          <w:sz w:val="24"/>
          <w:szCs w:val="24"/>
        </w:rPr>
        <w:t>de novo</w:t>
      </w:r>
      <w:r w:rsidRPr="00025B8B">
        <w:rPr>
          <w:rFonts w:ascii="Times New Roman" w:hAnsi="Times New Roman"/>
          <w:color w:val="000000" w:themeColor="text1"/>
          <w:sz w:val="24"/>
          <w:szCs w:val="24"/>
        </w:rPr>
        <w:t xml:space="preserve"> resistance mutations during the herbicide exposure and no-herbicide (Milli-Q water only) treatment was included as a</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control group. The same sets</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of conjugation experiments were conducted also in the presence of thiourea (final concentration</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of 100 μM), which </w:t>
      </w:r>
      <w:r w:rsidRPr="00025B8B">
        <w:rPr>
          <w:rFonts w:ascii="Times New Roman" w:hAnsi="Times New Roman"/>
          <w:color w:val="000000" w:themeColor="text1"/>
          <w:sz w:val="24"/>
          <w:szCs w:val="24"/>
        </w:rPr>
        <w:lastRenderedPageBreak/>
        <w:t xml:space="preserve">is an ROS scavenger inactivating any ROS produced by bacteria. The frequency of transconjugants was determined based on previously described method </w:t>
      </w:r>
      <w:r w:rsidRPr="00025B8B">
        <w:rPr>
          <w:rFonts w:ascii="Times New Roman" w:hAnsi="Times New Roman"/>
          <w:noProof/>
          <w:color w:val="000000" w:themeColor="text1"/>
          <w:sz w:val="24"/>
          <w:szCs w:val="24"/>
        </w:rPr>
        <w:t>(Wang, et al. 2019)</w:t>
      </w:r>
      <w:r w:rsidRPr="00025B8B">
        <w:rPr>
          <w:rFonts w:ascii="Times New Roman" w:hAnsi="Times New Roman"/>
          <w:color w:val="000000" w:themeColor="text1"/>
          <w:sz w:val="24"/>
          <w:szCs w:val="24"/>
        </w:rPr>
        <w:t xml:space="preserve"> as follows. While the RP4 plasmid conferred high resistance to tetracycline, kanamycin and ampicillin, the recipient strains were only resistant to</w:t>
      </w:r>
      <w:r w:rsidRPr="00025B8B">
        <w:rPr>
          <w:color w:val="000000" w:themeColor="text1"/>
        </w:rPr>
        <w:t xml:space="preserve"> </w:t>
      </w:r>
      <w:r w:rsidRPr="00025B8B">
        <w:rPr>
          <w:rFonts w:ascii="Times New Roman" w:hAnsi="Times New Roman"/>
          <w:color w:val="000000" w:themeColor="text1"/>
          <w:sz w:val="24"/>
          <w:szCs w:val="24"/>
        </w:rPr>
        <w:t>chloramphenicol or gentamicin. As a result, the frequency of transconjugants could be estimated by plating samples on LB agar plates containing four different antibiotics and by dividing the number of transconjugants with the number of total bacterial cells in the co-culture (total colonies on LB-only plates). PCR was also used to confirm plasmid transfer as follows. Two transconjugants were randomly selected from agar</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plates containing all four antibiotics (per treatment) and cultured in LB broth over-night. Plasmid extractions were performed using the Invirogen Quick Plasmid Miniprep Kit (Life</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Technologies, USA) following the manufacturer’s</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instructions. Following extraction, agarose gel electrophoresis was applied to verify the presence of plasmids in</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each transconjugant, and PCR was performed to conﬁrm that the</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transconjugants contained the same genes as the original RP4 plasmid (</w:t>
      </w:r>
      <w:r w:rsidRPr="00025B8B">
        <w:rPr>
          <w:rFonts w:ascii="Times New Roman" w:hAnsi="Times New Roman" w:hint="eastAsia"/>
          <w:color w:val="000000" w:themeColor="text1"/>
          <w:sz w:val="24"/>
          <w:szCs w:val="24"/>
        </w:rPr>
        <w:t>Supplementary</w:t>
      </w:r>
      <w:r w:rsidRPr="00025B8B">
        <w:rPr>
          <w:rFonts w:ascii="Times New Roman" w:hAnsi="Times New Roman"/>
          <w:color w:val="000000" w:themeColor="text1"/>
          <w:sz w:val="24"/>
          <w:szCs w:val="24"/>
        </w:rPr>
        <w:t xml:space="preserve"> Text 4).</w:t>
      </w:r>
    </w:p>
    <w:p w:rsidR="005E2EB4" w:rsidRPr="00025B8B" w:rsidRDefault="005E2EB4" w:rsidP="00025D1D">
      <w:pPr>
        <w:spacing w:line="480" w:lineRule="auto"/>
        <w:rPr>
          <w:rFonts w:ascii="Times New Roman" w:hAnsi="Times New Roman"/>
          <w:color w:val="000000" w:themeColor="text1"/>
          <w:sz w:val="24"/>
          <w:szCs w:val="24"/>
        </w:rPr>
      </w:pP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b/>
          <w:color w:val="000000" w:themeColor="text1"/>
          <w:sz w:val="24"/>
          <w:szCs w:val="24"/>
        </w:rPr>
        <w:t>Measurement of activity of reactive oxygen species (ROS), antioxidant enzymes and cell membrane</w:t>
      </w:r>
      <w:r w:rsidRPr="00025B8B">
        <w:rPr>
          <w:rFonts w:ascii="Times New Roman" w:hAnsi="Times New Roman" w:hint="eastAsia"/>
          <w:b/>
          <w:color w:val="000000" w:themeColor="text1"/>
          <w:sz w:val="24"/>
          <w:szCs w:val="24"/>
        </w:rPr>
        <w:t xml:space="preserve"> </w:t>
      </w:r>
      <w:r w:rsidRPr="00025B8B">
        <w:rPr>
          <w:rFonts w:ascii="Times New Roman" w:hAnsi="Times New Roman"/>
          <w:b/>
          <w:color w:val="000000" w:themeColor="text1"/>
          <w:sz w:val="24"/>
          <w:szCs w:val="24"/>
        </w:rPr>
        <w:t>permeability</w:t>
      </w:r>
    </w:p>
    <w:p w:rsidR="005E2EB4" w:rsidRPr="00025B8B" w:rsidRDefault="005E2EB4" w:rsidP="00025D1D">
      <w:pPr>
        <w:spacing w:line="480" w:lineRule="auto"/>
        <w:rPr>
          <w:rFonts w:ascii="Times New Roman" w:hAnsi="Times New Roman"/>
          <w:color w:val="000000" w:themeColor="text1"/>
          <w:sz w:val="24"/>
          <w:szCs w:val="24"/>
        </w:rPr>
      </w:pPr>
      <w:r w:rsidRPr="00025B8B">
        <w:rPr>
          <w:rFonts w:ascii="Times New Roman" w:hAnsi="Times New Roman"/>
          <w:color w:val="000000" w:themeColor="text1"/>
          <w:sz w:val="24"/>
          <w:szCs w:val="24"/>
        </w:rPr>
        <w:t xml:space="preserve">To mechanistically understand how herbicide exposure could affect the rate of conjugation, we measured changes in cell membrane permeability, antioxidant enzyme </w:t>
      </w:r>
      <w:r w:rsidRPr="00025B8B">
        <w:rPr>
          <w:rFonts w:ascii="Times New Roman" w:hAnsi="Times New Roman" w:hint="eastAsia"/>
          <w:color w:val="000000" w:themeColor="text1"/>
          <w:sz w:val="24"/>
          <w:szCs w:val="24"/>
        </w:rPr>
        <w:t>and</w:t>
      </w:r>
      <w:r w:rsidRPr="00025B8B">
        <w:rPr>
          <w:rFonts w:ascii="Times New Roman" w:hAnsi="Times New Roman"/>
          <w:color w:val="000000" w:themeColor="text1"/>
          <w:sz w:val="24"/>
          <w:szCs w:val="24"/>
        </w:rPr>
        <w:t xml:space="preserve"> ROS activity in the absence and presence of herbicides for </w:t>
      </w:r>
      <w:r w:rsidRPr="00025B8B">
        <w:rPr>
          <w:rFonts w:ascii="Times New Roman" w:hAnsi="Times New Roman" w:hint="eastAsia"/>
          <w:color w:val="000000" w:themeColor="text1"/>
          <w:sz w:val="24"/>
          <w:szCs w:val="24"/>
        </w:rPr>
        <w:t xml:space="preserve">all </w:t>
      </w:r>
      <w:r w:rsidRPr="00025B8B">
        <w:rPr>
          <w:rFonts w:ascii="Times New Roman" w:hAnsi="Times New Roman"/>
          <w:color w:val="000000" w:themeColor="text1"/>
          <w:sz w:val="24"/>
          <w:szCs w:val="24"/>
        </w:rPr>
        <w:t>recipient</w:t>
      </w:r>
      <w:r w:rsidRPr="00025B8B">
        <w:rPr>
          <w:rFonts w:ascii="Times New Roman" w:hAnsi="Times New Roman" w:hint="eastAsia"/>
          <w:color w:val="000000" w:themeColor="text1"/>
          <w:sz w:val="24"/>
          <w:szCs w:val="24"/>
        </w:rPr>
        <w:t xml:space="preserve"> and donor strains</w:t>
      </w:r>
      <w:r w:rsidRPr="00025B8B">
        <w:rPr>
          <w:rFonts w:ascii="Times New Roman" w:hAnsi="Times New Roman"/>
          <w:color w:val="000000" w:themeColor="text1"/>
          <w:sz w:val="24"/>
          <w:szCs w:val="24"/>
        </w:rPr>
        <w:t>. Bacterial ROS were detected with a DCFDA/H2DCFDA-cellular ROS detection assay kit (ab113851, Abcam, UK) using multimode microplate reader (</w:t>
      </w:r>
      <w:r w:rsidRPr="00025B8B">
        <w:rPr>
          <w:rFonts w:ascii="Times New Roman" w:hAnsi="Times New Roman"/>
          <w:color w:val="000000" w:themeColor="text1"/>
          <w:sz w:val="24"/>
          <w:szCs w:val="21"/>
          <w:shd w:val="clear" w:color="auto" w:fill="FFFFFF"/>
        </w:rPr>
        <w:t>Varioskan LUX2,</w:t>
      </w:r>
      <w:r w:rsidRPr="00025B8B">
        <w:rPr>
          <w:color w:val="000000" w:themeColor="text1"/>
          <w:sz w:val="24"/>
        </w:rPr>
        <w:t xml:space="preserve"> </w:t>
      </w:r>
      <w:r w:rsidRPr="00025B8B">
        <w:rPr>
          <w:rFonts w:ascii="Times New Roman" w:hAnsi="Times New Roman"/>
          <w:color w:val="000000" w:themeColor="text1"/>
          <w:sz w:val="24"/>
          <w:szCs w:val="21"/>
          <w:shd w:val="clear" w:color="auto" w:fill="FFFFFF"/>
        </w:rPr>
        <w:t>Thermo Fisher Scientific, USA</w:t>
      </w:r>
      <w:r w:rsidRPr="00025B8B">
        <w:rPr>
          <w:rFonts w:ascii="Times New Roman" w:hAnsi="Times New Roman"/>
          <w:color w:val="000000" w:themeColor="text1"/>
          <w:sz w:val="24"/>
          <w:szCs w:val="24"/>
        </w:rPr>
        <w:t>). Bacterial antioxidant</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enzymes, including catalase (CAT) </w:t>
      </w:r>
      <w:r w:rsidRPr="00025B8B">
        <w:rPr>
          <w:rFonts w:ascii="Times New Roman" w:hAnsi="Times New Roman" w:hint="eastAsia"/>
          <w:color w:val="000000" w:themeColor="text1"/>
          <w:sz w:val="24"/>
          <w:szCs w:val="24"/>
        </w:rPr>
        <w:t xml:space="preserve">and </w:t>
      </w:r>
      <w:r w:rsidRPr="00025B8B">
        <w:rPr>
          <w:rFonts w:ascii="Times New Roman" w:hAnsi="Times New Roman"/>
          <w:color w:val="000000" w:themeColor="text1"/>
          <w:sz w:val="24"/>
          <w:szCs w:val="24"/>
        </w:rPr>
        <w:t xml:space="preserve">superoxide dismutase (SOD) activity were assayed with commercial kits </w:t>
      </w:r>
      <w:r w:rsidRPr="00025B8B">
        <w:rPr>
          <w:rFonts w:ascii="Times New Roman" w:hAnsi="Times New Roman"/>
          <w:color w:val="000000" w:themeColor="text1"/>
          <w:sz w:val="24"/>
          <w:szCs w:val="24"/>
        </w:rPr>
        <w:lastRenderedPageBreak/>
        <w:t>manufactured by the</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Nanjing Jiancheng Bioengineering Institute (Nanjing,</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China) and a microplate reader (In</w:t>
      </w:r>
      <w:r w:rsidRPr="00025B8B">
        <w:rPr>
          <w:rFonts w:ascii="Times New Roman" w:hAnsi="Times New Roman" w:hint="eastAsia"/>
          <w:color w:val="000000" w:themeColor="text1"/>
          <w:sz w:val="24"/>
          <w:szCs w:val="24"/>
        </w:rPr>
        <w:t>fi</w:t>
      </w:r>
      <w:r w:rsidRPr="00025B8B">
        <w:rPr>
          <w:rFonts w:ascii="Times New Roman" w:hAnsi="Times New Roman"/>
          <w:color w:val="000000" w:themeColor="text1"/>
          <w:sz w:val="24"/>
          <w:szCs w:val="24"/>
        </w:rPr>
        <w:t>nite</w:t>
      </w:r>
      <w:r w:rsidRPr="00025B8B">
        <w:rPr>
          <w:rFonts w:ascii="Times New Roman" w:hAnsi="Times New Roman"/>
          <w:color w:val="000000" w:themeColor="text1"/>
          <w:sz w:val="24"/>
          <w:szCs w:val="24"/>
          <w:vertAlign w:val="superscript"/>
        </w:rPr>
        <w:t>®</w:t>
      </w:r>
      <w:r w:rsidRPr="00025B8B">
        <w:rPr>
          <w:rFonts w:ascii="Times New Roman" w:hAnsi="Times New Roman"/>
          <w:color w:val="000000" w:themeColor="text1"/>
          <w:sz w:val="24"/>
          <w:szCs w:val="24"/>
        </w:rPr>
        <w:t xml:space="preserve"> 200 PRO, Tecan, Swiss).</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The hydrolysis rate of the o-nitrophenyl-β-D-galactopyranoside (ONPG) by cell was measured to assess cell</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permeability in terms of absorbance values at 420 nm as described in a</w:t>
      </w:r>
      <w:r w:rsidRPr="00025B8B">
        <w:rPr>
          <w:rFonts w:ascii="Times New Roman" w:hAnsi="Times New Roman" w:hint="eastAsia"/>
          <w:color w:val="000000" w:themeColor="text1"/>
          <w:sz w:val="24"/>
          <w:szCs w:val="24"/>
        </w:rPr>
        <w:t xml:space="preserve"> previous</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study</w:t>
      </w:r>
      <w:r w:rsidRPr="00025B8B">
        <w:rPr>
          <w:rFonts w:ascii="Times New Roman" w:hAnsi="Times New Roman"/>
          <w:color w:val="000000" w:themeColor="text1"/>
          <w:sz w:val="24"/>
          <w:szCs w:val="24"/>
        </w:rPr>
        <w:t xml:space="preserve"> </w:t>
      </w:r>
      <w:r w:rsidRPr="00025B8B">
        <w:rPr>
          <w:rFonts w:ascii="Times New Roman" w:hAnsi="Times New Roman"/>
          <w:noProof/>
          <w:color w:val="000000" w:themeColor="text1"/>
          <w:sz w:val="24"/>
          <w:szCs w:val="24"/>
        </w:rPr>
        <w:t>(Jin, et al. 2020)</w:t>
      </w:r>
      <w:r w:rsidRPr="00025B8B">
        <w:rPr>
          <w:rFonts w:ascii="Times New Roman" w:hAnsi="Times New Roman"/>
          <w:color w:val="000000" w:themeColor="text1"/>
          <w:sz w:val="24"/>
          <w:szCs w:val="24"/>
        </w:rPr>
        <w:t>. Transmission electron microscope (TEM) was performed to characterize whether the cell morphology or membranes were changed</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under exposure of </w:t>
      </w:r>
      <w:r w:rsidRPr="00025B8B">
        <w:rPr>
          <w:rFonts w:ascii="Times New Roman" w:hAnsi="Times New Roman" w:hint="eastAsia"/>
          <w:color w:val="000000" w:themeColor="text1"/>
          <w:sz w:val="24"/>
          <w:szCs w:val="24"/>
        </w:rPr>
        <w:t>herbicide</w:t>
      </w:r>
      <w:r w:rsidRPr="00025B8B">
        <w:rPr>
          <w:rFonts w:ascii="Times New Roman" w:hAnsi="Times New Roman"/>
          <w:color w:val="000000" w:themeColor="text1"/>
          <w:sz w:val="24"/>
          <w:szCs w:val="24"/>
        </w:rPr>
        <w:t xml:space="preserve"> indicative of cell damage. The details for all these methods are described in Supplementary </w:t>
      </w:r>
      <w:r w:rsidRPr="00025B8B">
        <w:rPr>
          <w:rFonts w:ascii="Times New Roman" w:hAnsi="Times New Roman" w:hint="eastAsia"/>
          <w:color w:val="000000" w:themeColor="text1"/>
          <w:sz w:val="24"/>
          <w:szCs w:val="24"/>
        </w:rPr>
        <w:t>materials</w:t>
      </w:r>
      <w:r w:rsidRPr="00025B8B">
        <w:rPr>
          <w:rFonts w:ascii="Times New Roman" w:hAnsi="Times New Roman"/>
          <w:color w:val="000000" w:themeColor="text1"/>
          <w:sz w:val="24"/>
          <w:szCs w:val="24"/>
        </w:rPr>
        <w:t xml:space="preserve"> (Supplementary Texts 5-7)</w:t>
      </w:r>
      <w:r w:rsidRPr="00025B8B">
        <w:rPr>
          <w:rFonts w:ascii="Times New Roman" w:hAnsi="Times New Roman" w:hint="eastAsia"/>
          <w:color w:val="000000" w:themeColor="text1"/>
          <w:sz w:val="24"/>
          <w:szCs w:val="24"/>
        </w:rPr>
        <w:t>.</w:t>
      </w:r>
      <w:r w:rsidRPr="00025B8B">
        <w:rPr>
          <w:rFonts w:ascii="Times New Roman" w:hAnsi="Times New Roman"/>
          <w:color w:val="000000" w:themeColor="text1"/>
          <w:sz w:val="24"/>
          <w:szCs w:val="24"/>
        </w:rPr>
        <w:t xml:space="preserve"> Each experiment was performed </w:t>
      </w:r>
      <w:r w:rsidRPr="00025B8B">
        <w:rPr>
          <w:rFonts w:ascii="Times New Roman" w:hAnsi="Times New Roman" w:hint="eastAsia"/>
          <w:color w:val="000000" w:themeColor="text1"/>
          <w:sz w:val="24"/>
          <w:szCs w:val="24"/>
        </w:rPr>
        <w:t xml:space="preserve">at least </w:t>
      </w:r>
      <w:r w:rsidRPr="00025B8B">
        <w:rPr>
          <w:rFonts w:ascii="Times New Roman" w:hAnsi="Times New Roman"/>
          <w:color w:val="000000" w:themeColor="text1"/>
          <w:sz w:val="24"/>
          <w:szCs w:val="24"/>
        </w:rPr>
        <w:t>in triplicate.</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 </w:t>
      </w:r>
    </w:p>
    <w:p w:rsidR="005E2EB4" w:rsidRPr="00025B8B" w:rsidRDefault="005E2EB4" w:rsidP="00025D1D">
      <w:pPr>
        <w:spacing w:line="480" w:lineRule="auto"/>
        <w:jc w:val="left"/>
        <w:rPr>
          <w:rFonts w:ascii="Times New Roman" w:hAnsi="Times New Roman"/>
          <w:b/>
          <w:color w:val="000000" w:themeColor="text1"/>
          <w:sz w:val="24"/>
          <w:szCs w:val="24"/>
        </w:rPr>
      </w:pPr>
    </w:p>
    <w:p w:rsidR="005E2EB4" w:rsidRPr="00025B8B" w:rsidRDefault="005E2EB4" w:rsidP="00025D1D">
      <w:pPr>
        <w:spacing w:line="480" w:lineRule="auto"/>
        <w:rPr>
          <w:rFonts w:ascii="Times New Roman" w:hAnsi="Times New Roman"/>
          <w:b/>
          <w:bCs/>
          <w:color w:val="000000" w:themeColor="text1"/>
          <w:sz w:val="24"/>
          <w:szCs w:val="24"/>
        </w:rPr>
      </w:pPr>
      <w:r w:rsidRPr="00025B8B">
        <w:rPr>
          <w:rFonts w:ascii="Times New Roman" w:hAnsi="Times New Roman"/>
          <w:b/>
          <w:bCs/>
          <w:color w:val="000000" w:themeColor="text1"/>
          <w:sz w:val="24"/>
          <w:szCs w:val="24"/>
        </w:rPr>
        <w:t xml:space="preserve">RNA extraction </w:t>
      </w:r>
      <w:r w:rsidRPr="00025B8B">
        <w:rPr>
          <w:rFonts w:ascii="Times New Roman" w:hAnsi="Times New Roman" w:hint="eastAsia"/>
          <w:b/>
          <w:bCs/>
          <w:color w:val="000000" w:themeColor="text1"/>
          <w:sz w:val="24"/>
          <w:szCs w:val="24"/>
        </w:rPr>
        <w:t>and</w:t>
      </w:r>
      <w:r w:rsidRPr="00025B8B">
        <w:rPr>
          <w:rFonts w:ascii="Times New Roman" w:hAnsi="Times New Roman"/>
          <w:b/>
          <w:bCs/>
          <w:color w:val="000000" w:themeColor="text1"/>
          <w:sz w:val="24"/>
          <w:szCs w:val="24"/>
        </w:rPr>
        <w:t xml:space="preserve"> genome-wide RNA sequencing </w:t>
      </w:r>
      <w:r w:rsidRPr="00025B8B">
        <w:rPr>
          <w:rFonts w:ascii="Times New Roman" w:hAnsi="Times New Roman" w:hint="eastAsia"/>
          <w:b/>
          <w:bCs/>
          <w:color w:val="000000" w:themeColor="text1"/>
          <w:sz w:val="24"/>
          <w:szCs w:val="24"/>
        </w:rPr>
        <w:t>for</w:t>
      </w:r>
      <w:r w:rsidRPr="00025B8B">
        <w:rPr>
          <w:rFonts w:ascii="Times New Roman" w:hAnsi="Times New Roman"/>
          <w:b/>
          <w:bCs/>
          <w:color w:val="000000" w:themeColor="text1"/>
          <w:sz w:val="24"/>
          <w:szCs w:val="24"/>
        </w:rPr>
        <w:t xml:space="preserve"> transcriptomic</w:t>
      </w:r>
      <w:r w:rsidRPr="00025B8B">
        <w:rPr>
          <w:rFonts w:ascii="Times New Roman" w:hAnsi="Times New Roman" w:hint="eastAsia"/>
          <w:b/>
          <w:bCs/>
          <w:color w:val="000000" w:themeColor="text1"/>
          <w:sz w:val="24"/>
          <w:szCs w:val="24"/>
        </w:rPr>
        <w:t xml:space="preserve"> </w:t>
      </w:r>
      <w:r w:rsidRPr="00025B8B">
        <w:rPr>
          <w:rFonts w:ascii="Times New Roman" w:hAnsi="Times New Roman"/>
          <w:b/>
          <w:bCs/>
          <w:color w:val="000000" w:themeColor="text1"/>
          <w:sz w:val="24"/>
          <w:szCs w:val="24"/>
        </w:rPr>
        <w:t>analysis</w:t>
      </w:r>
    </w:p>
    <w:p w:rsidR="005E2EB4" w:rsidRPr="00025B8B" w:rsidRDefault="005E2EB4" w:rsidP="00025D1D">
      <w:pPr>
        <w:spacing w:line="480" w:lineRule="auto"/>
        <w:rPr>
          <w:rFonts w:ascii="Times New Roman" w:hAnsi="Times New Roman"/>
          <w:bCs/>
          <w:color w:val="000000" w:themeColor="text1"/>
          <w:sz w:val="24"/>
          <w:szCs w:val="24"/>
        </w:rPr>
      </w:pPr>
      <w:r w:rsidRPr="00025B8B">
        <w:rPr>
          <w:rFonts w:ascii="Times New Roman" w:hAnsi="Times New Roman"/>
          <w:color w:val="000000" w:themeColor="text1"/>
          <w:sz w:val="24"/>
          <w:szCs w:val="24"/>
        </w:rPr>
        <w:t xml:space="preserve">To study how herbicide exposure might affect the bacterial </w:t>
      </w:r>
      <w:r w:rsidRPr="00025B8B">
        <w:rPr>
          <w:rFonts w:ascii="Times New Roman" w:hAnsi="Times New Roman" w:hint="eastAsia"/>
          <w:color w:val="000000" w:themeColor="text1"/>
          <w:sz w:val="24"/>
          <w:szCs w:val="24"/>
        </w:rPr>
        <w:t>gene expression</w:t>
      </w:r>
      <w:r w:rsidRPr="00025B8B">
        <w:rPr>
          <w:rFonts w:ascii="Times New Roman" w:hAnsi="Times New Roman"/>
          <w:color w:val="000000" w:themeColor="text1"/>
          <w:sz w:val="24"/>
          <w:szCs w:val="24"/>
        </w:rPr>
        <w:t xml:space="preserve">, we </w:t>
      </w:r>
      <w:r w:rsidRPr="00025B8B">
        <w:rPr>
          <w:rFonts w:ascii="Times New Roman" w:hAnsi="Times New Roman" w:hint="eastAsia"/>
          <w:color w:val="000000" w:themeColor="text1"/>
          <w:sz w:val="24"/>
          <w:szCs w:val="24"/>
        </w:rPr>
        <w:t xml:space="preserve">conducted </w:t>
      </w:r>
      <w:r w:rsidRPr="00025B8B">
        <w:rPr>
          <w:rFonts w:ascii="Times New Roman" w:hAnsi="Times New Roman"/>
          <w:color w:val="000000" w:themeColor="text1"/>
          <w:sz w:val="24"/>
          <w:szCs w:val="24"/>
        </w:rPr>
        <w:t xml:space="preserve">transcriptomic analysis </w:t>
      </w:r>
      <w:r w:rsidRPr="00025B8B">
        <w:rPr>
          <w:rFonts w:ascii="Times New Roman" w:hAnsi="Times New Roman" w:hint="eastAsia"/>
          <w:color w:val="000000" w:themeColor="text1"/>
          <w:sz w:val="24"/>
          <w:szCs w:val="24"/>
        </w:rPr>
        <w:t xml:space="preserve">of </w:t>
      </w:r>
      <w:r w:rsidRPr="00025B8B">
        <w:rPr>
          <w:rFonts w:ascii="Times New Roman" w:hAnsi="Times New Roman"/>
          <w:i/>
          <w:iCs/>
          <w:color w:val="000000" w:themeColor="text1"/>
          <w:sz w:val="24"/>
          <w:szCs w:val="24"/>
        </w:rPr>
        <w:t>E. coli</w:t>
      </w:r>
      <w:r w:rsidRPr="00025B8B">
        <w:rPr>
          <w:rFonts w:ascii="Times New Roman" w:hAnsi="Times New Roman"/>
          <w:color w:val="000000" w:themeColor="text1"/>
          <w:sz w:val="24"/>
          <w:szCs w:val="24"/>
        </w:rPr>
        <w:t xml:space="preserve"> DH5α strain in the absence and presence of</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all</w:t>
      </w:r>
      <w:r w:rsidRPr="00025B8B">
        <w:rPr>
          <w:rFonts w:ascii="Times New Roman" w:hAnsi="Times New Roman" w:hint="eastAsia"/>
          <w:color w:val="000000" w:themeColor="text1"/>
          <w:sz w:val="24"/>
          <w:szCs w:val="24"/>
        </w:rPr>
        <w:t xml:space="preserve"> herbicides </w:t>
      </w:r>
      <w:r w:rsidRPr="00025B8B">
        <w:rPr>
          <w:rFonts w:ascii="Times New Roman" w:hAnsi="Times New Roman"/>
          <w:color w:val="000000" w:themeColor="text1"/>
          <w:sz w:val="24"/>
          <w:szCs w:val="24"/>
        </w:rPr>
        <w:t xml:space="preserve">(at </w:t>
      </w:r>
      <w:r w:rsidRPr="00025B8B">
        <w:rPr>
          <w:rFonts w:ascii="Times New Roman" w:hAnsi="Times New Roman" w:hint="eastAsia"/>
          <w:color w:val="000000" w:themeColor="text1"/>
          <w:sz w:val="24"/>
          <w:szCs w:val="24"/>
        </w:rPr>
        <w:t xml:space="preserve">concentration of </w:t>
      </w:r>
      <w:r w:rsidRPr="00025B8B">
        <w:rPr>
          <w:rFonts w:ascii="Times New Roman" w:hAnsi="Times New Roman"/>
          <w:color w:val="000000" w:themeColor="text1"/>
          <w:sz w:val="24"/>
          <w:szCs w:val="24"/>
        </w:rPr>
        <w:t xml:space="preserve">10 </w:t>
      </w:r>
      <w:r w:rsidRPr="00025B8B">
        <w:rPr>
          <w:rFonts w:ascii="Times New Roman" w:hAnsi="Times New Roman" w:hint="eastAsia"/>
          <w:color w:val="000000" w:themeColor="text1"/>
          <w:sz w:val="24"/>
          <w:szCs w:val="24"/>
        </w:rPr>
        <w:t>mg</w:t>
      </w:r>
      <w:r w:rsidRPr="00025B8B">
        <w:rPr>
          <w:rFonts w:ascii="Times New Roman" w:hAnsi="Times New Roman"/>
          <w:color w:val="000000" w:themeColor="text1"/>
          <w:sz w:val="24"/>
          <w:szCs w:val="24"/>
        </w:rPr>
        <w:t>/</w:t>
      </w:r>
      <w:r w:rsidRPr="00025B8B">
        <w:rPr>
          <w:rFonts w:ascii="Times New Roman" w:hAnsi="Times New Roman" w:hint="eastAsia"/>
          <w:color w:val="000000" w:themeColor="text1"/>
          <w:sz w:val="24"/>
          <w:szCs w:val="24"/>
        </w:rPr>
        <w:t>L</w:t>
      </w:r>
      <w:r w:rsidRPr="00025B8B">
        <w:rPr>
          <w:rFonts w:ascii="Times New Roman" w:hAnsi="Times New Roman"/>
          <w:color w:val="000000" w:themeColor="text1"/>
          <w:sz w:val="24"/>
          <w:szCs w:val="24"/>
        </w:rPr>
        <w:t>) after</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6 h exposure at 30 °C. Total RNA was extracted from the </w:t>
      </w:r>
      <w:r w:rsidRPr="00025B8B">
        <w:rPr>
          <w:rFonts w:ascii="Times New Roman" w:hAnsi="Times New Roman" w:hint="eastAsia"/>
          <w:color w:val="000000" w:themeColor="text1"/>
          <w:sz w:val="24"/>
          <w:szCs w:val="24"/>
        </w:rPr>
        <w:t>strains</w:t>
      </w:r>
      <w:r w:rsidRPr="00025B8B">
        <w:rPr>
          <w:rFonts w:ascii="Times New Roman" w:hAnsi="Times New Roman"/>
          <w:color w:val="000000" w:themeColor="text1"/>
          <w:sz w:val="24"/>
          <w:szCs w:val="24"/>
        </w:rPr>
        <w:t xml:space="preserve"> using the QIAGEN</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miRNeasy Mini Kit (Cat #217184, Valencia,</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CA, USA) manufacturer's protocol. RNA quality </w:t>
      </w:r>
      <w:r w:rsidRPr="00025B8B">
        <w:rPr>
          <w:rFonts w:ascii="Times New Roman" w:hAnsi="Times New Roman" w:hint="eastAsia"/>
          <w:color w:val="000000" w:themeColor="text1"/>
          <w:sz w:val="24"/>
          <w:szCs w:val="24"/>
        </w:rPr>
        <w:t>and</w:t>
      </w:r>
      <w:r w:rsidRPr="00025B8B">
        <w:rPr>
          <w:rFonts w:ascii="Times New Roman" w:hAnsi="Times New Roman"/>
          <w:color w:val="000000" w:themeColor="text1"/>
          <w:sz w:val="24"/>
          <w:szCs w:val="24"/>
        </w:rPr>
        <w:t xml:space="preserve"> concentration were measured using Qubit RNA Assay Kit in a Qubit 3.0 Fluorometer (Life Technologies). Furthermore, RNA integrity was assessed using the RNA Nano 6000 Assay kit by Agilent Bioanalyzer 2100 (Agilent Technologies). A 1 μg high-quality RNA (RNA integrity number &gt;7) was used as input material for the library preparation. Ribosomal RNA was removed using Epicentre Ribo ZeroTM rRNA Removal Kits (Epicentre, USA) and sequencing libraries were subsequently prepared </w:t>
      </w:r>
      <w:r w:rsidRPr="00025B8B">
        <w:rPr>
          <w:rFonts w:ascii="Times New Roman" w:hAnsi="Times New Roman" w:hint="eastAsia"/>
          <w:color w:val="000000" w:themeColor="text1"/>
          <w:sz w:val="24"/>
          <w:szCs w:val="24"/>
        </w:rPr>
        <w:t xml:space="preserve">using </w:t>
      </w:r>
      <w:r w:rsidRPr="00025B8B">
        <w:rPr>
          <w:rFonts w:ascii="Times New Roman" w:hAnsi="Times New Roman"/>
          <w:color w:val="000000" w:themeColor="text1"/>
          <w:sz w:val="24"/>
          <w:szCs w:val="24"/>
        </w:rPr>
        <w:t xml:space="preserve">Library Prep Kit for Illumina (Vazyme, catalogue no. NR603) following the manufacturer’s protocols. RNA samples were then submitted to </w:t>
      </w:r>
      <w:r w:rsidRPr="00025B8B">
        <w:rPr>
          <w:rFonts w:ascii="Times New Roman" w:hAnsi="Times New Roman"/>
          <w:color w:val="000000" w:themeColor="text1"/>
          <w:kern w:val="0"/>
          <w:sz w:val="24"/>
          <w:szCs w:val="24"/>
        </w:rPr>
        <w:t>Guangdong Magigene Biotechnology Co. Ltd</w:t>
      </w:r>
      <w:r w:rsidRPr="00025B8B">
        <w:rPr>
          <w:rFonts w:ascii="Times New Roman" w:hAnsi="Times New Roman"/>
          <w:color w:val="000000" w:themeColor="text1"/>
          <w:sz w:val="24"/>
          <w:szCs w:val="24"/>
        </w:rPr>
        <w:t xml:space="preserve"> </w:t>
      </w:r>
      <w:r w:rsidRPr="00025B8B">
        <w:rPr>
          <w:rFonts w:ascii="Times New Roman" w:hAnsi="Times New Roman" w:hint="eastAsia"/>
          <w:color w:val="000000" w:themeColor="text1"/>
          <w:sz w:val="24"/>
          <w:szCs w:val="24"/>
        </w:rPr>
        <w:t>for s</w:t>
      </w:r>
      <w:r w:rsidRPr="00025B8B">
        <w:rPr>
          <w:rFonts w:ascii="Times New Roman" w:hAnsi="Times New Roman"/>
          <w:color w:val="000000" w:themeColor="text1"/>
          <w:sz w:val="24"/>
          <w:szCs w:val="24"/>
        </w:rPr>
        <w:t>trand-speci</w:t>
      </w:r>
      <w:r w:rsidRPr="00025B8B">
        <w:rPr>
          <w:rFonts w:ascii="Times New Roman" w:hAnsi="Times New Roman" w:hint="eastAsia"/>
          <w:color w:val="000000" w:themeColor="text1"/>
          <w:sz w:val="24"/>
          <w:szCs w:val="24"/>
        </w:rPr>
        <w:t>fi</w:t>
      </w:r>
      <w:r w:rsidRPr="00025B8B">
        <w:rPr>
          <w:rFonts w:ascii="Times New Roman" w:hAnsi="Times New Roman"/>
          <w:color w:val="000000" w:themeColor="text1"/>
          <w:sz w:val="24"/>
          <w:szCs w:val="24"/>
        </w:rPr>
        <w:t>c cDNA library construction and</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paired-end sequencing (HiSeq </w:t>
      </w:r>
      <w:r w:rsidRPr="00025B8B">
        <w:rPr>
          <w:rFonts w:ascii="Times New Roman" w:hAnsi="Times New Roman" w:hint="eastAsia"/>
          <w:color w:val="000000" w:themeColor="text1"/>
          <w:sz w:val="24"/>
          <w:szCs w:val="24"/>
        </w:rPr>
        <w:t>platform</w:t>
      </w:r>
      <w:r w:rsidRPr="00025B8B">
        <w:rPr>
          <w:rFonts w:ascii="Times New Roman" w:hAnsi="Times New Roman"/>
          <w:color w:val="000000" w:themeColor="text1"/>
          <w:sz w:val="24"/>
          <w:szCs w:val="24"/>
        </w:rPr>
        <w:t xml:space="preserve">, </w:t>
      </w:r>
      <w:r w:rsidRPr="00025B8B">
        <w:rPr>
          <w:rFonts w:ascii="Times New Roman" w:hAnsi="Times New Roman"/>
          <w:color w:val="000000" w:themeColor="text1"/>
          <w:sz w:val="24"/>
          <w:szCs w:val="24"/>
        </w:rPr>
        <w:lastRenderedPageBreak/>
        <w:t xml:space="preserve">Illumina, USA). </w:t>
      </w:r>
      <w:r w:rsidRPr="00025B8B">
        <w:rPr>
          <w:rFonts w:ascii="Times New Roman" w:hAnsi="Times New Roman"/>
          <w:bCs/>
          <w:color w:val="000000" w:themeColor="text1"/>
          <w:sz w:val="24"/>
          <w:szCs w:val="24"/>
        </w:rPr>
        <w:t xml:space="preserve">Bioinformatics for whole-genome RNA sequencing were performed following a previous study </w:t>
      </w:r>
      <w:r w:rsidRPr="00025B8B">
        <w:rPr>
          <w:rFonts w:ascii="Times New Roman" w:hAnsi="Times New Roman"/>
          <w:bCs/>
          <w:noProof/>
          <w:color w:val="000000" w:themeColor="text1"/>
          <w:sz w:val="24"/>
          <w:szCs w:val="24"/>
        </w:rPr>
        <w:t>(Wang, et al. 2019)</w:t>
      </w:r>
      <w:r w:rsidRPr="00025B8B">
        <w:rPr>
          <w:rFonts w:ascii="Times New Roman" w:hAnsi="Times New Roman"/>
          <w:bCs/>
          <w:color w:val="000000" w:themeColor="text1"/>
          <w:sz w:val="24"/>
          <w:szCs w:val="24"/>
        </w:rPr>
        <w:t xml:space="preserve">. Briefly, clean reads were obtained by removing low-quality reads, reads containing adaptor and reads with more than 10% of unidentified base information. The individual libraries were converted into the FASTQ format and gene expression was calculated as fragments per kilobase of a gene per million mapped reads (FPKM). Differences in fold changes between different groups were calculated by log 2 fold-change between control and herbicide-treated samples </w:t>
      </w:r>
      <w:r w:rsidRPr="00025B8B">
        <w:rPr>
          <w:rFonts w:ascii="Times New Roman" w:hAnsi="Times New Roman"/>
          <w:color w:val="000000" w:themeColor="text1"/>
          <w:sz w:val="24"/>
          <w:szCs w:val="24"/>
        </w:rPr>
        <w:t xml:space="preserve">using the DESeq2 package </w:t>
      </w:r>
      <w:r w:rsidRPr="00025B8B">
        <w:rPr>
          <w:rFonts w:ascii="Times New Roman" w:hAnsi="Times New Roman"/>
          <w:noProof/>
          <w:color w:val="000000" w:themeColor="text1"/>
          <w:sz w:val="24"/>
          <w:szCs w:val="24"/>
        </w:rPr>
        <w:t>(Love, et al. 2014)</w:t>
      </w:r>
      <w:r w:rsidRPr="00025B8B">
        <w:rPr>
          <w:rFonts w:ascii="Times New Roman" w:hAnsi="Times New Roman"/>
          <w:color w:val="000000" w:themeColor="text1"/>
          <w:sz w:val="24"/>
          <w:szCs w:val="24"/>
        </w:rPr>
        <w:t xml:space="preserve">. The differentially expressed genes between the two </w:t>
      </w:r>
      <w:r w:rsidRPr="00025B8B">
        <w:rPr>
          <w:rFonts w:ascii="Times New Roman" w:hAnsi="Times New Roman" w:hint="eastAsia"/>
          <w:color w:val="000000" w:themeColor="text1"/>
          <w:sz w:val="24"/>
          <w:szCs w:val="24"/>
        </w:rPr>
        <w:t>groups</w:t>
      </w:r>
      <w:r w:rsidRPr="00025B8B">
        <w:rPr>
          <w:rFonts w:ascii="Times New Roman" w:hAnsi="Times New Roman"/>
          <w:color w:val="000000" w:themeColor="text1"/>
          <w:sz w:val="24"/>
          <w:szCs w:val="24"/>
        </w:rPr>
        <w:t xml:space="preserve"> were identified by considering both fold changes (|log2FC| &gt; 1) and adjusted </w:t>
      </w:r>
      <w:r w:rsidRPr="00025B8B">
        <w:rPr>
          <w:rFonts w:ascii="Times New Roman" w:hAnsi="Times New Roman"/>
          <w:i/>
          <w:color w:val="000000" w:themeColor="text1"/>
          <w:sz w:val="24"/>
          <w:szCs w:val="24"/>
        </w:rPr>
        <w:t>p</w:t>
      </w:r>
      <w:r w:rsidRPr="00025B8B">
        <w:rPr>
          <w:rFonts w:ascii="Times New Roman" w:hAnsi="Times New Roman"/>
          <w:color w:val="000000" w:themeColor="text1"/>
          <w:sz w:val="24"/>
          <w:szCs w:val="24"/>
        </w:rPr>
        <w:t xml:space="preserve">-values (false-discovery rate corrected </w:t>
      </w:r>
      <w:r w:rsidRPr="00025B8B">
        <w:rPr>
          <w:rFonts w:ascii="Times New Roman" w:hAnsi="Times New Roman"/>
          <w:i/>
          <w:color w:val="000000" w:themeColor="text1"/>
          <w:sz w:val="24"/>
          <w:szCs w:val="24"/>
        </w:rPr>
        <w:t>p</w:t>
      </w:r>
      <w:r w:rsidRPr="00025B8B">
        <w:rPr>
          <w:rFonts w:ascii="Times New Roman" w:hAnsi="Times New Roman"/>
          <w:color w:val="000000" w:themeColor="text1"/>
          <w:sz w:val="24"/>
          <w:szCs w:val="24"/>
        </w:rPr>
        <w:t xml:space="preserve"> &lt; 0.05) </w:t>
      </w:r>
      <w:r w:rsidRPr="00025B8B">
        <w:rPr>
          <w:rFonts w:ascii="Times New Roman" w:hAnsi="Times New Roman"/>
          <w:noProof/>
          <w:color w:val="000000" w:themeColor="text1"/>
          <w:sz w:val="24"/>
          <w:szCs w:val="24"/>
        </w:rPr>
        <w:t>(Li, et al. 2019)</w:t>
      </w:r>
      <w:r w:rsidRPr="00025B8B">
        <w:rPr>
          <w:rFonts w:ascii="Times New Roman" w:hAnsi="Times New Roman"/>
          <w:color w:val="000000" w:themeColor="text1"/>
          <w:sz w:val="24"/>
          <w:szCs w:val="24"/>
        </w:rPr>
        <w:t>.</w:t>
      </w:r>
    </w:p>
    <w:p w:rsidR="005E2EB4" w:rsidRPr="00025B8B" w:rsidRDefault="005E2EB4" w:rsidP="00025D1D">
      <w:pPr>
        <w:spacing w:line="480" w:lineRule="auto"/>
        <w:rPr>
          <w:rFonts w:ascii="Times New Roman" w:eastAsia="SimSun" w:hAnsi="Times New Roman"/>
          <w:b/>
          <w:color w:val="000000" w:themeColor="text1"/>
          <w:sz w:val="24"/>
          <w:szCs w:val="24"/>
        </w:rPr>
      </w:pPr>
    </w:p>
    <w:p w:rsidR="005E2EB4" w:rsidRPr="00025B8B" w:rsidRDefault="005E2EB4" w:rsidP="00025D1D">
      <w:pPr>
        <w:spacing w:line="480" w:lineRule="auto"/>
        <w:rPr>
          <w:rFonts w:ascii="Times New Roman" w:eastAsia="SimSun" w:hAnsi="Times New Roman"/>
          <w:b/>
          <w:i/>
          <w:iCs/>
          <w:color w:val="000000" w:themeColor="text1"/>
          <w:sz w:val="24"/>
          <w:szCs w:val="24"/>
        </w:rPr>
      </w:pPr>
      <w:r w:rsidRPr="00025B8B">
        <w:rPr>
          <w:rFonts w:ascii="Times New Roman" w:eastAsia="SimSun" w:hAnsi="Times New Roman" w:hint="eastAsia"/>
          <w:b/>
          <w:i/>
          <w:iCs/>
          <w:color w:val="000000" w:themeColor="text1"/>
          <w:sz w:val="24"/>
          <w:szCs w:val="24"/>
        </w:rPr>
        <w:t>3</w:t>
      </w:r>
      <w:r w:rsidRPr="00025B8B">
        <w:rPr>
          <w:rFonts w:ascii="Times New Roman" w:eastAsia="SimSun" w:hAnsi="Times New Roman"/>
          <w:b/>
          <w:i/>
          <w:iCs/>
          <w:color w:val="000000" w:themeColor="text1"/>
          <w:sz w:val="24"/>
          <w:szCs w:val="24"/>
        </w:rPr>
        <w:t>. Collection and analysis of agricultural f</w:t>
      </w:r>
      <w:r w:rsidRPr="00025B8B">
        <w:rPr>
          <w:rFonts w:ascii="Times New Roman" w:eastAsia="SimSun" w:hAnsi="Times New Roman" w:hint="eastAsia"/>
          <w:b/>
          <w:i/>
          <w:iCs/>
          <w:color w:val="000000" w:themeColor="text1"/>
          <w:sz w:val="24"/>
          <w:szCs w:val="24"/>
        </w:rPr>
        <w:t>ield data</w:t>
      </w:r>
    </w:p>
    <w:p w:rsidR="005E2EB4" w:rsidRPr="00025B8B" w:rsidRDefault="005E2EB4" w:rsidP="00025D1D">
      <w:pPr>
        <w:spacing w:line="480" w:lineRule="auto"/>
        <w:rPr>
          <w:rFonts w:ascii="Times New Roman" w:eastAsia="SimSun" w:hAnsi="Times New Roman"/>
          <w:b/>
          <w:color w:val="000000" w:themeColor="text1"/>
          <w:sz w:val="24"/>
          <w:szCs w:val="24"/>
        </w:rPr>
      </w:pPr>
      <w:r w:rsidRPr="00025B8B">
        <w:rPr>
          <w:rFonts w:ascii="Times New Roman" w:eastAsia="SimSun" w:hAnsi="Times New Roman"/>
          <w:b/>
          <w:color w:val="000000" w:themeColor="text1"/>
          <w:sz w:val="24"/>
          <w:szCs w:val="24"/>
        </w:rPr>
        <w:t xml:space="preserve">Field sites and soil sampling </w:t>
      </w:r>
    </w:p>
    <w:p w:rsidR="005E2EB4" w:rsidRPr="00025B8B" w:rsidRDefault="005E2EB4" w:rsidP="00025D1D">
      <w:pPr>
        <w:spacing w:line="480" w:lineRule="auto"/>
        <w:rPr>
          <w:rFonts w:ascii="Times New Roman" w:eastAsia="SimSun" w:hAnsi="Times New Roman"/>
          <w:color w:val="000000" w:themeColor="text1"/>
          <w:sz w:val="24"/>
          <w:szCs w:val="24"/>
        </w:rPr>
      </w:pPr>
      <w:r w:rsidRPr="00025B8B">
        <w:rPr>
          <w:rFonts w:ascii="Times New Roman" w:eastAsia="SimSun" w:hAnsi="Times New Roman"/>
          <w:color w:val="000000" w:themeColor="text1"/>
          <w:sz w:val="24"/>
          <w:szCs w:val="24"/>
        </w:rPr>
        <w:t xml:space="preserve">To test the effect of herbicide on ARG and MGE abundances in agricultural ﬁelds, 21 agricultural soil sites across 11 provinces were selected for sampling (from 22.78°N to 48.89°N and 100.97°E to 130.40°E across eastern China, Fig. </w:t>
      </w:r>
      <w:r w:rsidRPr="00025B8B">
        <w:rPr>
          <w:rFonts w:ascii="Times New Roman" w:eastAsia="SimSun" w:hAnsi="Times New Roman" w:hint="eastAsia"/>
          <w:color w:val="000000" w:themeColor="text1"/>
          <w:sz w:val="24"/>
          <w:szCs w:val="24"/>
        </w:rPr>
        <w:t>S</w:t>
      </w:r>
      <w:r w:rsidRPr="00025B8B">
        <w:rPr>
          <w:rFonts w:ascii="Times New Roman" w:eastAsia="SimSun" w:hAnsi="Times New Roman"/>
          <w:color w:val="000000" w:themeColor="text1"/>
          <w:sz w:val="24"/>
          <w:szCs w:val="24"/>
        </w:rPr>
        <w:t xml:space="preserve">22). </w:t>
      </w:r>
      <w:r w:rsidRPr="00025B8B">
        <w:rPr>
          <w:rFonts w:ascii="Times New Roman" w:hAnsi="Times New Roman"/>
          <w:color w:val="000000" w:themeColor="text1"/>
          <w:sz w:val="24"/>
          <w:szCs w:val="24"/>
        </w:rPr>
        <w:t xml:space="preserve">Based on the oral communication with farmers, glyphosate and glufosinate were the main herbicides </w:t>
      </w:r>
      <w:r w:rsidRPr="00025B8B">
        <w:rPr>
          <w:rFonts w:ascii="Times New Roman" w:hAnsi="Times New Roman" w:hint="eastAsia"/>
          <w:color w:val="000000" w:themeColor="text1"/>
          <w:sz w:val="24"/>
          <w:szCs w:val="24"/>
        </w:rPr>
        <w:t>use</w:t>
      </w:r>
      <w:r w:rsidRPr="00025B8B">
        <w:rPr>
          <w:rFonts w:ascii="Times New Roman" w:hAnsi="Times New Roman"/>
          <w:color w:val="000000" w:themeColor="text1"/>
          <w:sz w:val="24"/>
          <w:szCs w:val="24"/>
        </w:rPr>
        <w:t>d in the field sampling sites. As glyphosate had the relatively largest effect in our lab experiments, we focused on quantifying only glyphosate concentrations in the field samples.</w:t>
      </w:r>
      <w:r w:rsidRPr="00025B8B">
        <w:rPr>
          <w:rFonts w:ascii="Times New Roman" w:hAnsi="Times New Roman"/>
          <w:color w:val="0000FF"/>
          <w:sz w:val="24"/>
          <w:szCs w:val="24"/>
        </w:rPr>
        <w:t xml:space="preserve"> </w:t>
      </w:r>
      <w:r w:rsidRPr="00025B8B">
        <w:rPr>
          <w:rFonts w:ascii="Times New Roman" w:eastAsia="SimSun" w:hAnsi="Times New Roman"/>
          <w:color w:val="000000" w:themeColor="text1"/>
          <w:sz w:val="24"/>
          <w:szCs w:val="24"/>
        </w:rPr>
        <w:t>At each location, two sites were sampled: herbicide-exposed field sites that had consecutively been under glyphosate use at least 10 years with recommended application rate of 1.455-2.895 kg/ha (herbicides were typically applied for 2-4 times at each field site based on the cultivated crop), and correspondingly, 21 control sites with no exposure to any herbicide</w:t>
      </w:r>
      <w:r w:rsidRPr="00025B8B">
        <w:rPr>
          <w:rFonts w:ascii="Times New Roman" w:eastAsia="SimSun" w:hAnsi="Times New Roman" w:hint="eastAsia"/>
          <w:color w:val="000000" w:themeColor="text1"/>
          <w:sz w:val="24"/>
          <w:szCs w:val="24"/>
        </w:rPr>
        <w:t>s</w:t>
      </w:r>
      <w:r w:rsidRPr="00025B8B">
        <w:rPr>
          <w:rFonts w:ascii="Times New Roman" w:eastAsia="SimSun" w:hAnsi="Times New Roman"/>
          <w:color w:val="000000" w:themeColor="text1"/>
          <w:sz w:val="24"/>
          <w:szCs w:val="24"/>
        </w:rPr>
        <w:t xml:space="preserve"> during the past 5 years (</w:t>
      </w:r>
      <w:r w:rsidRPr="00025B8B">
        <w:rPr>
          <w:rFonts w:ascii="Times New Roman" w:hAnsi="Times New Roman" w:hint="eastAsia"/>
          <w:color w:val="000000" w:themeColor="text1"/>
          <w:sz w:val="24"/>
          <w:szCs w:val="24"/>
        </w:rPr>
        <w:t>Supplementary</w:t>
      </w:r>
      <w:r w:rsidRPr="00025B8B">
        <w:rPr>
          <w:rFonts w:ascii="Times New Roman" w:eastAsia="SimSun" w:hAnsi="Times New Roman" w:hint="eastAsia"/>
          <w:color w:val="000000" w:themeColor="text1"/>
          <w:sz w:val="24"/>
          <w:szCs w:val="24"/>
        </w:rPr>
        <w:t xml:space="preserve"> Table</w:t>
      </w:r>
      <w:r w:rsidRPr="00025B8B">
        <w:rPr>
          <w:rFonts w:ascii="Times New Roman" w:eastAsia="SimSun" w:hAnsi="Times New Roman"/>
          <w:color w:val="000000" w:themeColor="text1"/>
          <w:sz w:val="24"/>
          <w:szCs w:val="24"/>
        </w:rPr>
        <w:t xml:space="preserve"> </w:t>
      </w:r>
      <w:r w:rsidRPr="00025B8B">
        <w:rPr>
          <w:rFonts w:ascii="Times New Roman" w:eastAsia="SimSun" w:hAnsi="Times New Roman" w:hint="eastAsia"/>
          <w:color w:val="000000" w:themeColor="text1"/>
          <w:sz w:val="24"/>
          <w:szCs w:val="24"/>
        </w:rPr>
        <w:t>S</w:t>
      </w:r>
      <w:r w:rsidRPr="00025B8B">
        <w:rPr>
          <w:rFonts w:ascii="Times New Roman" w:eastAsia="SimSun" w:hAnsi="Times New Roman"/>
          <w:color w:val="000000" w:themeColor="text1"/>
          <w:sz w:val="24"/>
          <w:szCs w:val="24"/>
        </w:rPr>
        <w:t xml:space="preserve">9). Each of the paired sites were located in adjacent ﬁelds with </w:t>
      </w:r>
      <w:r w:rsidRPr="00025B8B">
        <w:rPr>
          <w:rFonts w:ascii="Times New Roman" w:eastAsia="SimSun" w:hAnsi="Times New Roman"/>
          <w:color w:val="000000" w:themeColor="text1"/>
          <w:sz w:val="24"/>
          <w:szCs w:val="24"/>
        </w:rPr>
        <w:lastRenderedPageBreak/>
        <w:t xml:space="preserve">less than 1 km </w:t>
      </w:r>
      <w:r w:rsidRPr="00025B8B">
        <w:rPr>
          <w:rFonts w:ascii="Times New Roman" w:eastAsia="SimSun" w:hAnsi="Times New Roman" w:hint="eastAsia"/>
          <w:color w:val="000000" w:themeColor="text1"/>
          <w:sz w:val="24"/>
          <w:szCs w:val="24"/>
        </w:rPr>
        <w:t>distance</w:t>
      </w:r>
      <w:r w:rsidRPr="00025B8B">
        <w:rPr>
          <w:rFonts w:ascii="Times New Roman" w:eastAsia="SimSun" w:hAnsi="Times New Roman"/>
          <w:color w:val="000000" w:themeColor="text1"/>
          <w:sz w:val="24"/>
          <w:szCs w:val="24"/>
        </w:rPr>
        <w:t xml:space="preserve"> in between. At each site, three 50 m</w:t>
      </w:r>
      <w:r w:rsidRPr="00025B8B">
        <w:rPr>
          <w:rFonts w:ascii="Times New Roman" w:eastAsia="SimSun" w:hAnsi="Times New Roman"/>
          <w:color w:val="000000" w:themeColor="text1"/>
          <w:sz w:val="24"/>
          <w:szCs w:val="24"/>
          <w:vertAlign w:val="superscript"/>
        </w:rPr>
        <w:t>2</w:t>
      </w:r>
      <w:r w:rsidRPr="00025B8B">
        <w:rPr>
          <w:rFonts w:ascii="Times New Roman" w:eastAsia="SimSun" w:hAnsi="Times New Roman"/>
          <w:color w:val="000000" w:themeColor="text1"/>
          <w:sz w:val="24"/>
          <w:szCs w:val="24"/>
        </w:rPr>
        <w:t xml:space="preserve"> plots were sampled using six soil cores (500 g per core) at a depth of 0-10 cm per plot </w:t>
      </w:r>
      <w:r w:rsidRPr="00025B8B">
        <w:rPr>
          <w:rFonts w:ascii="Times New Roman" w:eastAsia="SimSun" w:hAnsi="Times New Roman" w:hint="eastAsia"/>
          <w:color w:val="000000" w:themeColor="text1"/>
          <w:sz w:val="24"/>
          <w:szCs w:val="24"/>
        </w:rPr>
        <w:t>i</w:t>
      </w:r>
      <w:r w:rsidRPr="00025B8B">
        <w:rPr>
          <w:rFonts w:ascii="Times New Roman" w:eastAsia="SimSun" w:hAnsi="Times New Roman"/>
          <w:color w:val="000000" w:themeColor="text1"/>
          <w:sz w:val="24"/>
          <w:szCs w:val="24"/>
        </w:rPr>
        <w:t xml:space="preserve">n June 2020. </w:t>
      </w:r>
      <w:r w:rsidRPr="00025B8B">
        <w:rPr>
          <w:rFonts w:ascii="Times New Roman" w:hAnsi="Times New Roman"/>
          <w:color w:val="000000" w:themeColor="text1"/>
          <w:sz w:val="24"/>
          <w:szCs w:val="24"/>
        </w:rPr>
        <w:t>All soil samples per site were mixed and homogenized manually before the analyses resulting in</w:t>
      </w:r>
      <w:r w:rsidRPr="00025B8B">
        <w:rPr>
          <w:rFonts w:ascii="Times New Roman" w:hAnsi="Times New Roman" w:hint="eastAsia"/>
          <w:color w:val="000000" w:themeColor="text1"/>
          <w:sz w:val="24"/>
          <w:szCs w:val="24"/>
        </w:rPr>
        <w:t xml:space="preserve"> total</w:t>
      </w:r>
      <w:r w:rsidRPr="00025B8B">
        <w:rPr>
          <w:rFonts w:ascii="Times New Roman" w:hAnsi="Times New Roman"/>
          <w:color w:val="000000" w:themeColor="text1"/>
          <w:sz w:val="24"/>
          <w:szCs w:val="24"/>
        </w:rPr>
        <w:t xml:space="preserve"> of</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42 </w:t>
      </w:r>
      <w:r w:rsidRPr="00025B8B">
        <w:rPr>
          <w:rFonts w:ascii="Times New Roman" w:eastAsia="SimSun" w:hAnsi="Times New Roman" w:hint="eastAsia"/>
          <w:color w:val="000000" w:themeColor="text1"/>
          <w:sz w:val="24"/>
          <w:szCs w:val="24"/>
        </w:rPr>
        <w:t>s</w:t>
      </w:r>
      <w:r w:rsidRPr="00025B8B">
        <w:rPr>
          <w:rFonts w:ascii="Times New Roman" w:eastAsia="SimSun" w:hAnsi="Times New Roman"/>
          <w:color w:val="000000" w:themeColor="text1"/>
          <w:sz w:val="24"/>
          <w:szCs w:val="24"/>
        </w:rPr>
        <w:t xml:space="preserve">oil </w:t>
      </w:r>
      <w:r w:rsidRPr="00025B8B">
        <w:rPr>
          <w:rFonts w:ascii="Times New Roman" w:eastAsia="SimSun" w:hAnsi="Times New Roman" w:hint="eastAsia"/>
          <w:color w:val="000000" w:themeColor="text1"/>
          <w:sz w:val="24"/>
          <w:szCs w:val="24"/>
        </w:rPr>
        <w:t>samples</w:t>
      </w:r>
      <w:r w:rsidRPr="00025B8B">
        <w:rPr>
          <w:rFonts w:ascii="Times New Roman" w:eastAsia="SimSun" w:hAnsi="Times New Roman"/>
          <w:color w:val="000000" w:themeColor="text1"/>
          <w:sz w:val="24"/>
          <w:szCs w:val="24"/>
        </w:rPr>
        <w:t xml:space="preserve">. qPCR analysis of target ARGs and MGEs were performed as described previously </w:t>
      </w:r>
      <w:r w:rsidRPr="00025B8B">
        <w:rPr>
          <w:rFonts w:ascii="Times New Roman" w:eastAsia="SimSun" w:hAnsi="Times New Roman"/>
          <w:noProof/>
          <w:color w:val="000000" w:themeColor="text1"/>
          <w:sz w:val="24"/>
          <w:szCs w:val="24"/>
        </w:rPr>
        <w:t>(Liao, et al. 2018)</w:t>
      </w:r>
      <w:r w:rsidRPr="00025B8B">
        <w:rPr>
          <w:rFonts w:ascii="Times New Roman" w:eastAsia="SimSun" w:hAnsi="Times New Roman"/>
          <w:color w:val="000000" w:themeColor="text1"/>
          <w:sz w:val="24"/>
          <w:szCs w:val="24"/>
        </w:rPr>
        <w:t>.</w:t>
      </w:r>
    </w:p>
    <w:p w:rsidR="005E2EB4" w:rsidRPr="00025B8B" w:rsidRDefault="005E2EB4" w:rsidP="00025D1D">
      <w:pPr>
        <w:spacing w:line="480" w:lineRule="auto"/>
        <w:rPr>
          <w:rFonts w:ascii="Times New Roman" w:eastAsia="SimSun" w:hAnsi="Times New Roman"/>
          <w:color w:val="000000" w:themeColor="text1"/>
          <w:sz w:val="24"/>
          <w:szCs w:val="24"/>
        </w:rPr>
      </w:pPr>
    </w:p>
    <w:p w:rsidR="005E2EB4" w:rsidRPr="00025B8B" w:rsidRDefault="005E2EB4" w:rsidP="00025D1D">
      <w:pPr>
        <w:spacing w:line="480" w:lineRule="auto"/>
        <w:rPr>
          <w:rFonts w:ascii="Times New Roman" w:eastAsia="SimSun" w:hAnsi="Times New Roman"/>
          <w:b/>
          <w:color w:val="000000" w:themeColor="text1"/>
          <w:sz w:val="24"/>
          <w:szCs w:val="24"/>
        </w:rPr>
      </w:pPr>
      <w:r w:rsidRPr="00025B8B">
        <w:rPr>
          <w:rFonts w:ascii="Times New Roman" w:eastAsia="SimSun" w:hAnsi="Times New Roman"/>
          <w:b/>
          <w:color w:val="000000" w:themeColor="text1"/>
          <w:sz w:val="24"/>
          <w:szCs w:val="24"/>
        </w:rPr>
        <w:t xml:space="preserve">Measuring glyphosate residues in soil samples using </w:t>
      </w:r>
      <w:r w:rsidRPr="00025B8B">
        <w:rPr>
          <w:rFonts w:ascii="Times New Roman" w:eastAsia="SimSun" w:hAnsi="Times New Roman" w:hint="eastAsia"/>
          <w:b/>
          <w:color w:val="000000" w:themeColor="text1"/>
          <w:sz w:val="24"/>
          <w:szCs w:val="24"/>
        </w:rPr>
        <w:t>LC-MS/MS</w:t>
      </w:r>
    </w:p>
    <w:p w:rsidR="005E2EB4" w:rsidRPr="00025B8B" w:rsidRDefault="005E2EB4" w:rsidP="00025D1D">
      <w:pPr>
        <w:spacing w:line="480" w:lineRule="auto"/>
        <w:rPr>
          <w:rFonts w:ascii="Times New Roman" w:hAnsi="Times New Roman"/>
          <w:color w:val="000000" w:themeColor="text1"/>
          <w:sz w:val="24"/>
        </w:rPr>
      </w:pPr>
      <w:r w:rsidRPr="00025B8B">
        <w:rPr>
          <w:rFonts w:ascii="Times New Roman" w:hAnsi="Times New Roman"/>
          <w:color w:val="000000" w:themeColor="text1"/>
          <w:sz w:val="24"/>
        </w:rPr>
        <w:t xml:space="preserve">The glyphosate residues in the collected soil samples </w:t>
      </w:r>
      <w:r w:rsidRPr="00025B8B">
        <w:rPr>
          <w:rFonts w:ascii="Times New Roman" w:hAnsi="Times New Roman" w:hint="eastAsia"/>
          <w:color w:val="000000" w:themeColor="text1"/>
          <w:sz w:val="24"/>
        </w:rPr>
        <w:t>soils</w:t>
      </w:r>
      <w:r w:rsidRPr="00025B8B">
        <w:rPr>
          <w:rFonts w:ascii="Times New Roman" w:hAnsi="Times New Roman"/>
          <w:color w:val="000000" w:themeColor="text1"/>
          <w:sz w:val="24"/>
        </w:rPr>
        <w:t xml:space="preserve"> were analyzed </w:t>
      </w:r>
      <w:r w:rsidRPr="00025B8B">
        <w:rPr>
          <w:rFonts w:ascii="Times New Roman" w:hAnsi="Times New Roman" w:hint="eastAsia"/>
          <w:color w:val="000000" w:themeColor="text1"/>
          <w:sz w:val="24"/>
        </w:rPr>
        <w:t xml:space="preserve">using </w:t>
      </w:r>
      <w:r w:rsidRPr="00025B8B">
        <w:rPr>
          <w:rFonts w:ascii="Times New Roman" w:hAnsi="Times New Roman"/>
          <w:color w:val="000000" w:themeColor="text1"/>
          <w:sz w:val="24"/>
        </w:rPr>
        <w:t>liquid chromatography-tandem mass spectrometry</w:t>
      </w:r>
      <w:r w:rsidRPr="00025B8B">
        <w:rPr>
          <w:rFonts w:ascii="Times New Roman" w:hAnsi="Times New Roman" w:hint="eastAsia"/>
          <w:color w:val="000000" w:themeColor="text1"/>
          <w:sz w:val="24"/>
        </w:rPr>
        <w:t xml:space="preserve"> </w:t>
      </w:r>
      <w:r w:rsidRPr="00025B8B">
        <w:rPr>
          <w:rFonts w:ascii="Times New Roman" w:hAnsi="Times New Roman"/>
          <w:color w:val="000000" w:themeColor="text1"/>
          <w:sz w:val="24"/>
        </w:rPr>
        <w:t>as described</w:t>
      </w:r>
      <w:r w:rsidRPr="00025B8B">
        <w:rPr>
          <w:rFonts w:ascii="Times New Roman" w:hAnsi="Times New Roman" w:hint="eastAsia"/>
          <w:color w:val="000000" w:themeColor="text1"/>
          <w:sz w:val="24"/>
        </w:rPr>
        <w:t xml:space="preserve"> </w:t>
      </w:r>
      <w:r w:rsidRPr="00025B8B">
        <w:rPr>
          <w:rFonts w:ascii="Times New Roman" w:hAnsi="Times New Roman"/>
          <w:color w:val="000000" w:themeColor="text1"/>
          <w:sz w:val="24"/>
        </w:rPr>
        <w:t xml:space="preserve">previously </w:t>
      </w:r>
      <w:r w:rsidRPr="00025B8B">
        <w:rPr>
          <w:rFonts w:ascii="Times New Roman" w:hAnsi="Times New Roman"/>
          <w:noProof/>
          <w:color w:val="000000" w:themeColor="text1"/>
          <w:sz w:val="24"/>
        </w:rPr>
        <w:t>(Silva, et al. 2018)</w:t>
      </w:r>
      <w:r w:rsidRPr="00025B8B">
        <w:rPr>
          <w:rFonts w:ascii="Times New Roman" w:hAnsi="Times New Roman"/>
          <w:color w:val="000000" w:themeColor="text1"/>
          <w:sz w:val="24"/>
        </w:rPr>
        <w:t xml:space="preserve">. Glyphosate concentrations were determined from soil washes in aliquots through HPLC-MS/MS following the same extraction and derivatization methods, chemicals, mobile phases, column characteristics and instrumentation conditions as described in Vera Silva </w:t>
      </w:r>
      <w:r w:rsidRPr="00025B8B">
        <w:rPr>
          <w:rFonts w:ascii="Times New Roman" w:hAnsi="Times New Roman" w:hint="eastAsia"/>
          <w:color w:val="000000" w:themeColor="text1"/>
          <w:sz w:val="24"/>
        </w:rPr>
        <w:t>et</w:t>
      </w:r>
      <w:r w:rsidRPr="00025B8B">
        <w:rPr>
          <w:rFonts w:ascii="Times New Roman" w:hAnsi="Times New Roman"/>
          <w:color w:val="000000" w:themeColor="text1"/>
          <w:sz w:val="24"/>
        </w:rPr>
        <w:t xml:space="preserve">. al (2018). Further details and methods of these analyses </w:t>
      </w:r>
      <w:r w:rsidRPr="00025B8B">
        <w:rPr>
          <w:rFonts w:ascii="Times New Roman" w:hAnsi="Times New Roman"/>
          <w:color w:val="000000" w:themeColor="text1"/>
          <w:sz w:val="24"/>
          <w:szCs w:val="24"/>
        </w:rPr>
        <w:t>are described in Supplementary Text 8</w:t>
      </w:r>
      <w:r w:rsidRPr="00025B8B">
        <w:rPr>
          <w:rFonts w:ascii="Times New Roman" w:hAnsi="Times New Roman" w:hint="eastAsia"/>
          <w:color w:val="000000" w:themeColor="text1"/>
          <w:sz w:val="24"/>
          <w:szCs w:val="24"/>
        </w:rPr>
        <w:t>.</w:t>
      </w:r>
    </w:p>
    <w:p w:rsidR="005E2EB4" w:rsidRPr="00025B8B" w:rsidRDefault="005E2EB4" w:rsidP="00025D1D">
      <w:pPr>
        <w:spacing w:line="480" w:lineRule="auto"/>
        <w:jc w:val="left"/>
        <w:rPr>
          <w:rFonts w:ascii="Times New Roman" w:hAnsi="Times New Roman"/>
          <w:b/>
          <w:color w:val="000000" w:themeColor="text1"/>
          <w:sz w:val="24"/>
          <w:szCs w:val="24"/>
        </w:rPr>
      </w:pPr>
    </w:p>
    <w:p w:rsidR="005E2EB4" w:rsidRPr="00025B8B" w:rsidRDefault="005E2EB4" w:rsidP="00025D1D">
      <w:pPr>
        <w:spacing w:line="480" w:lineRule="auto"/>
        <w:jc w:val="left"/>
        <w:rPr>
          <w:rFonts w:ascii="Times New Roman" w:hAnsi="Times New Roman"/>
          <w:b/>
          <w:color w:val="000000" w:themeColor="text1"/>
          <w:sz w:val="24"/>
          <w:szCs w:val="24"/>
        </w:rPr>
      </w:pPr>
      <w:r w:rsidRPr="00025B8B">
        <w:rPr>
          <w:rFonts w:ascii="Times New Roman" w:hAnsi="Times New Roman"/>
          <w:b/>
          <w:color w:val="000000" w:themeColor="text1"/>
          <w:sz w:val="24"/>
          <w:szCs w:val="24"/>
        </w:rPr>
        <w:t>Statistical analysis</w:t>
      </w: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color w:val="000000" w:themeColor="text1"/>
          <w:kern w:val="0"/>
          <w:sz w:val="24"/>
          <w:szCs w:val="24"/>
        </w:rPr>
        <w:t>Bacterial total abundances, community diversity and richness were estimated using 16</w:t>
      </w:r>
      <w:r w:rsidRPr="00025B8B">
        <w:rPr>
          <w:rFonts w:ascii="Times New Roman" w:hAnsi="Times New Roman" w:hint="eastAsia"/>
          <w:color w:val="000000" w:themeColor="text1"/>
          <w:kern w:val="0"/>
          <w:sz w:val="24"/>
          <w:szCs w:val="24"/>
        </w:rPr>
        <w:t>s rRNA</w:t>
      </w:r>
      <w:r w:rsidRPr="00025B8B">
        <w:rPr>
          <w:rFonts w:ascii="Times New Roman" w:hAnsi="Times New Roman"/>
          <w:color w:val="000000" w:themeColor="text1"/>
          <w:kern w:val="0"/>
          <w:sz w:val="24"/>
          <w:szCs w:val="24"/>
        </w:rPr>
        <w:t xml:space="preserve"> </w:t>
      </w:r>
      <w:r w:rsidRPr="00025B8B">
        <w:rPr>
          <w:rFonts w:ascii="Times New Roman" w:hAnsi="Times New Roman" w:hint="eastAsia"/>
          <w:color w:val="000000" w:themeColor="text1"/>
          <w:kern w:val="0"/>
          <w:sz w:val="24"/>
          <w:szCs w:val="24"/>
        </w:rPr>
        <w:t>gene</w:t>
      </w:r>
      <w:r w:rsidRPr="00025B8B">
        <w:rPr>
          <w:rFonts w:ascii="Times New Roman" w:hAnsi="Times New Roman"/>
          <w:color w:val="000000" w:themeColor="text1"/>
          <w:kern w:val="0"/>
          <w:sz w:val="24"/>
          <w:szCs w:val="24"/>
        </w:rPr>
        <w:t xml:space="preserve"> c</w:t>
      </w:r>
      <w:r w:rsidRPr="00025B8B">
        <w:rPr>
          <w:rFonts w:ascii="Times New Roman" w:hAnsi="Times New Roman" w:hint="eastAsia"/>
          <w:color w:val="000000" w:themeColor="text1"/>
          <w:kern w:val="0"/>
          <w:sz w:val="24"/>
          <w:szCs w:val="24"/>
        </w:rPr>
        <w:t>opies</w:t>
      </w:r>
      <w:r w:rsidRPr="00025B8B">
        <w:rPr>
          <w:rFonts w:ascii="Times New Roman" w:hAnsi="Times New Roman"/>
          <w:color w:val="000000" w:themeColor="text1"/>
          <w:kern w:val="0"/>
          <w:sz w:val="24"/>
          <w:szCs w:val="24"/>
        </w:rPr>
        <w:t>, alpha diversity (Shannon and observed ASV) and beta diversity (</w:t>
      </w:r>
      <w:r w:rsidRPr="00025B8B">
        <w:rPr>
          <w:rFonts w:ascii="Times New Roman" w:hAnsi="Times New Roman"/>
          <w:color w:val="000000" w:themeColor="text1"/>
          <w:sz w:val="24"/>
        </w:rPr>
        <w:t>Weighted-UniFrac distance</w:t>
      </w:r>
      <w:r w:rsidRPr="00025B8B">
        <w:rPr>
          <w:rFonts w:ascii="Times New Roman" w:hAnsi="Times New Roman"/>
          <w:color w:val="000000" w:themeColor="text1"/>
          <w:kern w:val="0"/>
          <w:sz w:val="24"/>
          <w:szCs w:val="24"/>
        </w:rPr>
        <w:t xml:space="preserve">) using the q2-diversity pipeline within QIIME2. Bacterial community and </w:t>
      </w:r>
      <w:r w:rsidRPr="00025B8B">
        <w:rPr>
          <w:rFonts w:ascii="Times New Roman" w:hAnsi="Times New Roman" w:hint="eastAsia"/>
          <w:color w:val="000000" w:themeColor="text1"/>
          <w:kern w:val="0"/>
          <w:sz w:val="24"/>
          <w:szCs w:val="24"/>
        </w:rPr>
        <w:t xml:space="preserve">resistome structure </w:t>
      </w:r>
      <w:r w:rsidRPr="00025B8B">
        <w:rPr>
          <w:rFonts w:ascii="Times New Roman" w:hAnsi="Times New Roman"/>
          <w:color w:val="000000" w:themeColor="text1"/>
          <w:kern w:val="0"/>
          <w:sz w:val="24"/>
          <w:szCs w:val="24"/>
        </w:rPr>
        <w:t xml:space="preserve">were visualized using principal co-ordinates analysis (PCoA, </w:t>
      </w:r>
      <w:r w:rsidRPr="00025B8B">
        <w:rPr>
          <w:rFonts w:ascii="Times New Roman" w:hAnsi="Times New Roman"/>
          <w:color w:val="000000" w:themeColor="text1"/>
          <w:sz w:val="24"/>
        </w:rPr>
        <w:t>Weighted-UniFrac distance</w:t>
      </w:r>
      <w:r w:rsidRPr="00025B8B">
        <w:rPr>
          <w:rFonts w:ascii="Times New Roman" w:hAnsi="Times New Roman"/>
          <w:color w:val="000000" w:themeColor="text1"/>
          <w:kern w:val="0"/>
          <w:sz w:val="24"/>
          <w:szCs w:val="24"/>
        </w:rPr>
        <w:t xml:space="preserve">) and </w:t>
      </w:r>
      <w:r w:rsidRPr="00025B8B">
        <w:rPr>
          <w:rFonts w:ascii="Times New Roman" w:hAnsi="Times New Roman" w:hint="eastAsia"/>
          <w:color w:val="000000" w:themeColor="text1"/>
          <w:kern w:val="0"/>
          <w:sz w:val="24"/>
          <w:szCs w:val="24"/>
        </w:rPr>
        <w:t>n</w:t>
      </w:r>
      <w:r w:rsidRPr="00025B8B">
        <w:rPr>
          <w:rFonts w:ascii="Times New Roman" w:hAnsi="Times New Roman"/>
          <w:color w:val="000000" w:themeColor="text1"/>
          <w:kern w:val="0"/>
          <w:sz w:val="24"/>
          <w:szCs w:val="24"/>
        </w:rPr>
        <w:t xml:space="preserve">on-metric multidimensional scaling (NMDS, Bray-Curtis distance) ordination, </w:t>
      </w:r>
      <w:r w:rsidRPr="00025B8B">
        <w:rPr>
          <w:rFonts w:ascii="Times New Roman" w:hAnsi="Times New Roman" w:hint="eastAsia"/>
          <w:color w:val="000000" w:themeColor="text1"/>
          <w:kern w:val="0"/>
          <w:sz w:val="24"/>
          <w:szCs w:val="24"/>
        </w:rPr>
        <w:t>respectively</w:t>
      </w:r>
      <w:r w:rsidRPr="00025B8B">
        <w:rPr>
          <w:rFonts w:ascii="Times New Roman" w:hAnsi="Times New Roman"/>
          <w:color w:val="000000" w:themeColor="text1"/>
          <w:kern w:val="0"/>
          <w:sz w:val="24"/>
          <w:szCs w:val="24"/>
        </w:rPr>
        <w:t xml:space="preserve">. PERMANOVA (Adonis </w:t>
      </w:r>
      <w:r w:rsidRPr="00025B8B">
        <w:rPr>
          <w:rFonts w:ascii="Times New Roman" w:hAnsi="Times New Roman" w:hint="eastAsia"/>
          <w:color w:val="000000" w:themeColor="text1"/>
          <w:kern w:val="0"/>
          <w:sz w:val="24"/>
          <w:szCs w:val="24"/>
        </w:rPr>
        <w:t>test</w:t>
      </w:r>
      <w:r w:rsidRPr="00025B8B">
        <w:rPr>
          <w:rFonts w:ascii="Times New Roman" w:hAnsi="Times New Roman"/>
          <w:color w:val="000000" w:themeColor="text1"/>
          <w:kern w:val="0"/>
          <w:sz w:val="24"/>
          <w:szCs w:val="24"/>
        </w:rPr>
        <w:t xml:space="preserve">) was used to determine the signiﬁcance of </w:t>
      </w:r>
      <w:r w:rsidRPr="00025B8B">
        <w:rPr>
          <w:rFonts w:ascii="Times New Roman" w:hAnsi="Times New Roman" w:hint="eastAsia"/>
          <w:color w:val="000000" w:themeColor="text1"/>
          <w:kern w:val="0"/>
          <w:sz w:val="24"/>
          <w:szCs w:val="24"/>
        </w:rPr>
        <w:t xml:space="preserve">different treatment </w:t>
      </w:r>
      <w:r w:rsidRPr="00025B8B">
        <w:rPr>
          <w:rFonts w:ascii="Times New Roman" w:hAnsi="Times New Roman"/>
          <w:color w:val="000000" w:themeColor="text1"/>
          <w:kern w:val="0"/>
          <w:sz w:val="24"/>
          <w:szCs w:val="24"/>
        </w:rPr>
        <w:t xml:space="preserve">on the </w:t>
      </w:r>
      <w:r w:rsidRPr="00025B8B">
        <w:rPr>
          <w:rFonts w:ascii="Times New Roman" w:hAnsi="Times New Roman" w:hint="eastAsia"/>
          <w:color w:val="000000" w:themeColor="text1"/>
          <w:kern w:val="0"/>
          <w:sz w:val="24"/>
          <w:szCs w:val="24"/>
        </w:rPr>
        <w:t>soil</w:t>
      </w:r>
      <w:r w:rsidRPr="00025B8B">
        <w:rPr>
          <w:rFonts w:ascii="Times New Roman" w:hAnsi="Times New Roman"/>
          <w:color w:val="000000" w:themeColor="text1"/>
          <w:kern w:val="0"/>
          <w:sz w:val="24"/>
          <w:szCs w:val="24"/>
        </w:rPr>
        <w:t xml:space="preserve"> microbiome</w:t>
      </w:r>
      <w:r w:rsidRPr="00025B8B">
        <w:rPr>
          <w:rFonts w:ascii="Times New Roman" w:hAnsi="Times New Roman" w:hint="eastAsia"/>
          <w:color w:val="000000" w:themeColor="text1"/>
          <w:kern w:val="0"/>
          <w:sz w:val="24"/>
          <w:szCs w:val="24"/>
        </w:rPr>
        <w:t xml:space="preserve"> </w:t>
      </w:r>
      <w:r w:rsidRPr="00025B8B">
        <w:rPr>
          <w:rFonts w:ascii="Times New Roman" w:hAnsi="Times New Roman"/>
          <w:color w:val="000000" w:themeColor="text1"/>
          <w:kern w:val="0"/>
          <w:sz w:val="24"/>
          <w:szCs w:val="24"/>
        </w:rPr>
        <w:t>as well as antibiotic</w:t>
      </w:r>
      <w:r w:rsidRPr="00025B8B">
        <w:rPr>
          <w:rFonts w:ascii="Times New Roman" w:hAnsi="Times New Roman" w:hint="eastAsia"/>
          <w:color w:val="000000" w:themeColor="text1"/>
          <w:kern w:val="0"/>
          <w:sz w:val="24"/>
          <w:szCs w:val="24"/>
        </w:rPr>
        <w:t xml:space="preserve"> </w:t>
      </w:r>
      <w:r w:rsidRPr="00025B8B">
        <w:rPr>
          <w:rFonts w:ascii="Times New Roman" w:hAnsi="Times New Roman"/>
          <w:color w:val="000000" w:themeColor="text1"/>
          <w:kern w:val="0"/>
          <w:sz w:val="24"/>
          <w:szCs w:val="24"/>
        </w:rPr>
        <w:t xml:space="preserve">resistome. </w:t>
      </w:r>
      <w:bookmarkStart w:id="27" w:name="_Hlk60909152"/>
      <w:r w:rsidRPr="00025B8B">
        <w:rPr>
          <w:rFonts w:ascii="Times New Roman" w:hAnsi="Times New Roman"/>
          <w:color w:val="000000" w:themeColor="text1"/>
          <w:kern w:val="0"/>
          <w:sz w:val="24"/>
          <w:szCs w:val="24"/>
        </w:rPr>
        <w:t xml:space="preserve">The </w:t>
      </w:r>
      <w:bookmarkStart w:id="28" w:name="_Hlk60862057"/>
      <w:r w:rsidRPr="00025B8B">
        <w:rPr>
          <w:rFonts w:ascii="Times New Roman" w:hAnsi="Times New Roman"/>
          <w:color w:val="000000" w:themeColor="text1"/>
          <w:kern w:val="0"/>
          <w:sz w:val="24"/>
          <w:szCs w:val="24"/>
        </w:rPr>
        <w:t>overall mean differences between treatments</w:t>
      </w:r>
      <w:bookmarkEnd w:id="28"/>
      <w:r w:rsidRPr="00025B8B">
        <w:rPr>
          <w:rFonts w:ascii="Times New Roman" w:hAnsi="Times New Roman"/>
          <w:color w:val="000000" w:themeColor="text1"/>
          <w:kern w:val="0"/>
          <w:sz w:val="24"/>
          <w:szCs w:val="24"/>
        </w:rPr>
        <w:t xml:space="preserve"> were analyzed using repeated measures (with time structured data) or ANOVA (</w:t>
      </w:r>
      <w:r w:rsidRPr="00025B8B">
        <w:rPr>
          <w:rFonts w:ascii="Times New Roman" w:hAnsi="Times New Roman" w:hint="eastAsia"/>
          <w:color w:val="000000" w:themeColor="text1"/>
          <w:kern w:val="0"/>
          <w:sz w:val="24"/>
          <w:szCs w:val="24"/>
        </w:rPr>
        <w:t>one</w:t>
      </w:r>
      <w:r w:rsidRPr="00025B8B">
        <w:rPr>
          <w:rFonts w:ascii="Times New Roman" w:hAnsi="Times New Roman"/>
          <w:color w:val="000000" w:themeColor="text1"/>
          <w:kern w:val="0"/>
          <w:sz w:val="24"/>
          <w:szCs w:val="24"/>
        </w:rPr>
        <w:t>-</w:t>
      </w:r>
      <w:r w:rsidRPr="00025B8B">
        <w:rPr>
          <w:rFonts w:ascii="Times New Roman" w:hAnsi="Times New Roman" w:hint="eastAsia"/>
          <w:color w:val="000000" w:themeColor="text1"/>
          <w:kern w:val="0"/>
          <w:sz w:val="24"/>
          <w:szCs w:val="24"/>
        </w:rPr>
        <w:t xml:space="preserve">way </w:t>
      </w:r>
      <w:r w:rsidRPr="00025B8B">
        <w:rPr>
          <w:rFonts w:ascii="Times New Roman" w:hAnsi="Times New Roman"/>
          <w:color w:val="000000" w:themeColor="text1"/>
          <w:kern w:val="0"/>
          <w:sz w:val="24"/>
          <w:szCs w:val="24"/>
        </w:rPr>
        <w:t xml:space="preserve">or </w:t>
      </w:r>
      <w:r w:rsidRPr="00025B8B">
        <w:rPr>
          <w:rFonts w:ascii="Times New Roman" w:hAnsi="Times New Roman" w:hint="eastAsia"/>
          <w:color w:val="000000" w:themeColor="text1"/>
          <w:kern w:val="0"/>
          <w:sz w:val="24"/>
          <w:szCs w:val="24"/>
        </w:rPr>
        <w:t>t</w:t>
      </w:r>
      <w:r w:rsidRPr="00025B8B">
        <w:rPr>
          <w:rFonts w:ascii="Times New Roman" w:hAnsi="Times New Roman"/>
          <w:color w:val="000000" w:themeColor="text1"/>
          <w:kern w:val="0"/>
          <w:sz w:val="24"/>
          <w:szCs w:val="24"/>
        </w:rPr>
        <w:t>wo-</w:t>
      </w:r>
      <w:r w:rsidRPr="00025B8B">
        <w:rPr>
          <w:rFonts w:ascii="Times New Roman" w:hAnsi="Times New Roman" w:hint="eastAsia"/>
          <w:color w:val="000000" w:themeColor="text1"/>
          <w:kern w:val="0"/>
          <w:sz w:val="24"/>
          <w:szCs w:val="24"/>
        </w:rPr>
        <w:t>w</w:t>
      </w:r>
      <w:r w:rsidRPr="00025B8B">
        <w:rPr>
          <w:rFonts w:ascii="Times New Roman" w:hAnsi="Times New Roman"/>
          <w:color w:val="000000" w:themeColor="text1"/>
          <w:kern w:val="0"/>
          <w:sz w:val="24"/>
          <w:szCs w:val="24"/>
        </w:rPr>
        <w:t>ay) followed by</w:t>
      </w:r>
      <w:r w:rsidRPr="00025B8B">
        <w:rPr>
          <w:rFonts w:ascii="Times New Roman" w:hAnsi="Times New Roman"/>
          <w:color w:val="000000" w:themeColor="text1"/>
          <w:sz w:val="24"/>
          <w:szCs w:val="24"/>
        </w:rPr>
        <w:t xml:space="preserve"> multiple </w:t>
      </w:r>
      <w:r w:rsidRPr="00025B8B">
        <w:rPr>
          <w:rFonts w:ascii="Times New Roman" w:hAnsi="Times New Roman"/>
          <w:color w:val="000000" w:themeColor="text1"/>
          <w:sz w:val="24"/>
          <w:szCs w:val="24"/>
        </w:rPr>
        <w:lastRenderedPageBreak/>
        <w:t>comparison</w:t>
      </w:r>
      <w:r w:rsidRPr="00025B8B">
        <w:rPr>
          <w:rFonts w:ascii="Times New Roman" w:hAnsi="Times New Roman"/>
          <w:color w:val="000000" w:themeColor="text1"/>
          <w:kern w:val="0"/>
          <w:sz w:val="24"/>
          <w:szCs w:val="24"/>
        </w:rPr>
        <w:t xml:space="preserve"> based on Tukey HSD test. </w:t>
      </w:r>
      <w:bookmarkEnd w:id="27"/>
      <w:r w:rsidRPr="00025B8B">
        <w:rPr>
          <w:rFonts w:ascii="Times New Roman" w:hAnsi="Times New Roman"/>
          <w:color w:val="000000" w:themeColor="text1"/>
          <w:kern w:val="0"/>
          <w:sz w:val="24"/>
          <w:szCs w:val="24"/>
        </w:rPr>
        <w:t>For nonparametric tests, such as Wilcoxon</w:t>
      </w:r>
      <w:r w:rsidRPr="00025B8B">
        <w:rPr>
          <w:rFonts w:ascii="Times New Roman" w:hAnsi="Times New Roman" w:hint="eastAsia"/>
          <w:color w:val="000000" w:themeColor="text1"/>
          <w:kern w:val="0"/>
          <w:sz w:val="24"/>
          <w:szCs w:val="24"/>
        </w:rPr>
        <w:t xml:space="preserve"> </w:t>
      </w:r>
      <w:r w:rsidRPr="00025B8B">
        <w:rPr>
          <w:rFonts w:ascii="Times New Roman" w:hAnsi="Times New Roman"/>
          <w:color w:val="000000" w:themeColor="text1"/>
          <w:kern w:val="0"/>
          <w:sz w:val="24"/>
          <w:szCs w:val="24"/>
        </w:rPr>
        <w:t xml:space="preserve">signed-rank </w:t>
      </w:r>
      <w:r w:rsidRPr="00025B8B">
        <w:rPr>
          <w:rFonts w:ascii="Times New Roman" w:hAnsi="Times New Roman" w:hint="eastAsia"/>
          <w:color w:val="000000" w:themeColor="text1"/>
          <w:kern w:val="0"/>
          <w:sz w:val="24"/>
          <w:szCs w:val="24"/>
        </w:rPr>
        <w:t>and</w:t>
      </w:r>
      <w:r w:rsidRPr="00025B8B">
        <w:rPr>
          <w:rFonts w:ascii="Times New Roman" w:hAnsi="Times New Roman"/>
          <w:color w:val="000000" w:themeColor="text1"/>
          <w:kern w:val="0"/>
          <w:sz w:val="24"/>
          <w:szCs w:val="24"/>
        </w:rPr>
        <w:t xml:space="preserve"> Adonis tests, statistical signi</w:t>
      </w:r>
      <w:r w:rsidRPr="00025B8B">
        <w:rPr>
          <w:rFonts w:ascii="Times New Roman" w:hAnsi="Times New Roman" w:hint="eastAsia"/>
          <w:color w:val="000000" w:themeColor="text1"/>
          <w:kern w:val="0"/>
          <w:sz w:val="24"/>
          <w:szCs w:val="24"/>
        </w:rPr>
        <w:t>fi</w:t>
      </w:r>
      <w:r w:rsidRPr="00025B8B">
        <w:rPr>
          <w:rFonts w:ascii="Times New Roman" w:hAnsi="Times New Roman"/>
          <w:color w:val="000000" w:themeColor="text1"/>
          <w:kern w:val="0"/>
          <w:sz w:val="24"/>
          <w:szCs w:val="24"/>
        </w:rPr>
        <w:t>cance</w:t>
      </w:r>
      <w:r w:rsidRPr="00025B8B">
        <w:rPr>
          <w:rFonts w:ascii="Times New Roman" w:hAnsi="Times New Roman" w:hint="eastAsia"/>
          <w:color w:val="000000" w:themeColor="text1"/>
          <w:kern w:val="0"/>
          <w:sz w:val="24"/>
          <w:szCs w:val="24"/>
        </w:rPr>
        <w:t xml:space="preserve"> </w:t>
      </w:r>
      <w:r w:rsidRPr="00025B8B">
        <w:rPr>
          <w:rFonts w:ascii="Times New Roman" w:hAnsi="Times New Roman"/>
          <w:color w:val="000000" w:themeColor="text1"/>
          <w:kern w:val="0"/>
          <w:sz w:val="24"/>
          <w:szCs w:val="24"/>
        </w:rPr>
        <w:t>was determined based on 999 permutations. In all analyses,</w:t>
      </w:r>
      <w:r w:rsidRPr="00025B8B">
        <w:rPr>
          <w:rFonts w:ascii="Times New Roman" w:hAnsi="Times New Roman"/>
          <w:color w:val="000000" w:themeColor="text1"/>
          <w:sz w:val="24"/>
          <w:szCs w:val="24"/>
        </w:rPr>
        <w:t xml:space="preserve"> </w:t>
      </w:r>
      <w:r w:rsidRPr="00025B8B">
        <w:rPr>
          <w:rFonts w:ascii="Times New Roman" w:hAnsi="Times New Roman"/>
          <w:i/>
          <w:color w:val="000000" w:themeColor="text1"/>
          <w:sz w:val="24"/>
          <w:szCs w:val="24"/>
        </w:rPr>
        <w:t>p</w:t>
      </w:r>
      <w:r w:rsidRPr="00025B8B">
        <w:rPr>
          <w:rFonts w:ascii="Times New Roman" w:hAnsi="Times New Roman"/>
          <w:color w:val="000000" w:themeColor="text1"/>
          <w:sz w:val="24"/>
          <w:szCs w:val="24"/>
        </w:rPr>
        <w:t xml:space="preserve">-values smaller than 0.05 were used to indicate a statistically signiﬁcant diﬀerence. All statistical analyses were performed using the </w:t>
      </w:r>
      <w:r w:rsidRPr="00025B8B">
        <w:rPr>
          <w:rFonts w:ascii="Times New Roman" w:hAnsi="Times New Roman" w:hint="eastAsia"/>
          <w:color w:val="000000" w:themeColor="text1"/>
          <w:kern w:val="0"/>
          <w:sz w:val="24"/>
          <w:szCs w:val="24"/>
        </w:rPr>
        <w:t>SPSS</w:t>
      </w:r>
      <w:r w:rsidRPr="00025B8B">
        <w:rPr>
          <w:rFonts w:ascii="Times New Roman" w:hAnsi="Times New Roman"/>
          <w:color w:val="000000" w:themeColor="text1"/>
          <w:kern w:val="0"/>
          <w:sz w:val="24"/>
          <w:szCs w:val="24"/>
        </w:rPr>
        <w:t xml:space="preserve"> 19 </w:t>
      </w:r>
      <w:r w:rsidRPr="00025B8B">
        <w:rPr>
          <w:rFonts w:ascii="Times New Roman" w:hAnsi="Times New Roman"/>
          <w:color w:val="000000" w:themeColor="text1"/>
          <w:sz w:val="24"/>
          <w:szCs w:val="24"/>
        </w:rPr>
        <w:t>(IBM, USA) and</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 xml:space="preserve">R </w:t>
      </w:r>
      <w:r w:rsidRPr="00025B8B">
        <w:rPr>
          <w:rFonts w:ascii="Times New Roman" w:hAnsi="Times New Roman"/>
          <w:color w:val="000000" w:themeColor="text1"/>
          <w:kern w:val="0"/>
          <w:sz w:val="24"/>
          <w:szCs w:val="24"/>
        </w:rPr>
        <w:t xml:space="preserve">3.5.1 </w:t>
      </w:r>
      <w:r w:rsidRPr="00025B8B">
        <w:rPr>
          <w:rFonts w:ascii="Times New Roman" w:hAnsi="Times New Roman"/>
          <w:noProof/>
          <w:color w:val="000000" w:themeColor="text1"/>
          <w:kern w:val="0"/>
          <w:sz w:val="24"/>
          <w:szCs w:val="24"/>
        </w:rPr>
        <w:t>(Team 2019)</w:t>
      </w:r>
      <w:r w:rsidRPr="00025B8B">
        <w:rPr>
          <w:rFonts w:ascii="Times New Roman" w:hAnsi="Times New Roman"/>
          <w:color w:val="000000" w:themeColor="text1"/>
          <w:kern w:val="0"/>
          <w:sz w:val="24"/>
          <w:szCs w:val="24"/>
        </w:rPr>
        <w:t xml:space="preserve"> using vegan (v2.5-6), </w:t>
      </w:r>
      <w:r w:rsidRPr="00025B8B">
        <w:rPr>
          <w:rFonts w:ascii="Times New Roman" w:hAnsi="Times New Roman" w:hint="eastAsia"/>
          <w:color w:val="000000" w:themeColor="text1"/>
          <w:kern w:val="0"/>
          <w:sz w:val="24"/>
          <w:szCs w:val="24"/>
        </w:rPr>
        <w:t>ggplot2</w:t>
      </w:r>
      <w:r w:rsidRPr="00025B8B">
        <w:rPr>
          <w:rFonts w:ascii="Times New Roman" w:hAnsi="Times New Roman"/>
          <w:color w:val="000000" w:themeColor="text1"/>
          <w:kern w:val="0"/>
          <w:sz w:val="24"/>
          <w:szCs w:val="24"/>
        </w:rPr>
        <w:t xml:space="preserve"> (3.3.1), tidyverse (3.0.1), ggrepel (0.8.2),</w:t>
      </w:r>
      <w:r w:rsidRPr="00025B8B">
        <w:rPr>
          <w:rFonts w:ascii="Times New Roman" w:hAnsi="Times New Roman" w:hint="eastAsia"/>
          <w:color w:val="000000" w:themeColor="text1"/>
          <w:kern w:val="0"/>
          <w:sz w:val="24"/>
          <w:szCs w:val="24"/>
        </w:rPr>
        <w:t xml:space="preserve"> and</w:t>
      </w:r>
      <w:r w:rsidRPr="00025B8B">
        <w:rPr>
          <w:rFonts w:ascii="Times New Roman" w:hAnsi="Times New Roman"/>
          <w:color w:val="000000" w:themeColor="text1"/>
          <w:kern w:val="0"/>
          <w:sz w:val="24"/>
          <w:szCs w:val="24"/>
        </w:rPr>
        <w:t xml:space="preserve"> </w:t>
      </w:r>
      <w:r w:rsidRPr="00025B8B">
        <w:rPr>
          <w:rFonts w:ascii="Times New Roman" w:hAnsi="Times New Roman" w:hint="eastAsia"/>
          <w:color w:val="000000" w:themeColor="text1"/>
          <w:kern w:val="0"/>
          <w:sz w:val="24"/>
          <w:szCs w:val="24"/>
        </w:rPr>
        <w:t>pheatmap</w:t>
      </w:r>
      <w:r w:rsidRPr="00025B8B">
        <w:rPr>
          <w:rFonts w:ascii="Times New Roman" w:hAnsi="Times New Roman"/>
          <w:color w:val="000000" w:themeColor="text1"/>
          <w:kern w:val="0"/>
          <w:sz w:val="24"/>
          <w:szCs w:val="24"/>
        </w:rPr>
        <w:t xml:space="preserve"> (1.0.12) package</w:t>
      </w:r>
      <w:r w:rsidRPr="00025B8B">
        <w:rPr>
          <w:rFonts w:ascii="Times New Roman" w:hAnsi="Times New Roman" w:hint="eastAsia"/>
          <w:color w:val="000000" w:themeColor="text1"/>
          <w:kern w:val="0"/>
          <w:sz w:val="24"/>
          <w:szCs w:val="24"/>
        </w:rPr>
        <w:t>s</w:t>
      </w:r>
      <w:r w:rsidRPr="00025B8B">
        <w:rPr>
          <w:rFonts w:ascii="Times New Roman" w:hAnsi="Times New Roman"/>
          <w:color w:val="000000" w:themeColor="text1"/>
          <w:kern w:val="0"/>
          <w:sz w:val="24"/>
          <w:szCs w:val="24"/>
        </w:rPr>
        <w:t>.</w:t>
      </w:r>
      <w:r w:rsidRPr="00025B8B">
        <w:rPr>
          <w:rFonts w:ascii="Arial" w:eastAsia="SimSun" w:hAnsi="Arial" w:cs="Arial"/>
          <w:color w:val="000000" w:themeColor="text1"/>
          <w:sz w:val="24"/>
          <w:szCs w:val="24"/>
        </w:rPr>
        <w:t xml:space="preserve"> </w:t>
      </w:r>
    </w:p>
    <w:p w:rsidR="005E2EB4" w:rsidRPr="00025B8B" w:rsidRDefault="005E2EB4" w:rsidP="00025D1D">
      <w:pPr>
        <w:spacing w:line="480" w:lineRule="auto"/>
        <w:rPr>
          <w:rFonts w:ascii="Times New Roman" w:hAnsi="Times New Roman"/>
          <w:b/>
          <w:color w:val="000000" w:themeColor="text1"/>
          <w:sz w:val="24"/>
          <w:szCs w:val="24"/>
        </w:rPr>
      </w:pP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b/>
          <w:color w:val="000000" w:themeColor="text1"/>
          <w:sz w:val="24"/>
          <w:szCs w:val="24"/>
        </w:rPr>
        <w:t>Data availability</w:t>
      </w:r>
    </w:p>
    <w:p w:rsidR="005E2EB4" w:rsidRPr="00025B8B" w:rsidRDefault="005E2EB4" w:rsidP="00025D1D">
      <w:pPr>
        <w:spacing w:line="480" w:lineRule="auto"/>
        <w:rPr>
          <w:rFonts w:ascii="Times New Roman" w:hAnsi="Times New Roman"/>
          <w:color w:val="000000" w:themeColor="text1"/>
          <w:sz w:val="24"/>
          <w:szCs w:val="24"/>
        </w:rPr>
      </w:pPr>
      <w:r w:rsidRPr="00025B8B">
        <w:rPr>
          <w:rFonts w:ascii="Times New Roman" w:hAnsi="Times New Roman"/>
          <w:color w:val="000000" w:themeColor="text1"/>
          <w:sz w:val="24"/>
          <w:szCs w:val="24"/>
        </w:rPr>
        <w:t>Sequencing data generated from both amplicon and shotgun metagenomes in this study</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have been deposited with the NCBI SRA (accession no: PRJNA634745) and are publicly available. The authors declare that the other main data supporting</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the findings of this study are available within this Article and in the Supplementary</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Information files. Additional data supporting the findings of this study are available from</w:t>
      </w:r>
      <w:r w:rsidRPr="00025B8B">
        <w:rPr>
          <w:rFonts w:ascii="Times New Roman" w:hAnsi="Times New Roman" w:hint="eastAsia"/>
          <w:color w:val="000000" w:themeColor="text1"/>
          <w:sz w:val="24"/>
          <w:szCs w:val="24"/>
        </w:rPr>
        <w:t xml:space="preserve"> </w:t>
      </w:r>
      <w:r w:rsidRPr="00025B8B">
        <w:rPr>
          <w:rFonts w:ascii="Times New Roman" w:hAnsi="Times New Roman"/>
          <w:color w:val="000000" w:themeColor="text1"/>
          <w:sz w:val="24"/>
          <w:szCs w:val="24"/>
        </w:rPr>
        <w:t>the corresponding author upon reasonable request.</w:t>
      </w:r>
    </w:p>
    <w:p w:rsidR="005E2EB4" w:rsidRPr="00025B8B" w:rsidRDefault="005E2EB4" w:rsidP="00025D1D">
      <w:pPr>
        <w:spacing w:line="480" w:lineRule="auto"/>
        <w:rPr>
          <w:rFonts w:ascii="Times New Roman" w:hAnsi="Times New Roman"/>
          <w:b/>
          <w:color w:val="000000" w:themeColor="text1"/>
          <w:sz w:val="24"/>
          <w:szCs w:val="24"/>
        </w:rPr>
      </w:pP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b/>
          <w:color w:val="000000" w:themeColor="text1"/>
          <w:sz w:val="24"/>
          <w:szCs w:val="24"/>
        </w:rPr>
        <w:t>Code availability</w:t>
      </w:r>
    </w:p>
    <w:p w:rsidR="005E2EB4" w:rsidRPr="00025B8B" w:rsidRDefault="005E2EB4" w:rsidP="00025D1D">
      <w:pPr>
        <w:spacing w:line="480" w:lineRule="auto"/>
        <w:rPr>
          <w:rFonts w:ascii="Times New Roman" w:hAnsi="Times New Roman"/>
          <w:color w:val="000000" w:themeColor="text1"/>
          <w:sz w:val="24"/>
          <w:szCs w:val="24"/>
        </w:rPr>
      </w:pPr>
      <w:r w:rsidRPr="00025B8B">
        <w:rPr>
          <w:rFonts w:ascii="Times New Roman" w:hAnsi="Times New Roman"/>
          <w:color w:val="000000" w:themeColor="text1"/>
          <w:sz w:val="24"/>
          <w:szCs w:val="24"/>
        </w:rPr>
        <w:t>All code used in this study are available from the corresponding author upon request.</w:t>
      </w:r>
    </w:p>
    <w:p w:rsidR="005E2EB4" w:rsidRPr="00025B8B" w:rsidRDefault="005E2EB4" w:rsidP="00025D1D">
      <w:pPr>
        <w:spacing w:line="480" w:lineRule="auto"/>
        <w:rPr>
          <w:rFonts w:ascii="Times New Roman" w:hAnsi="Times New Roman"/>
          <w:b/>
          <w:color w:val="000000" w:themeColor="text1"/>
          <w:sz w:val="24"/>
          <w:szCs w:val="24"/>
        </w:rPr>
      </w:pP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b/>
          <w:color w:val="000000" w:themeColor="text1"/>
          <w:sz w:val="24"/>
          <w:szCs w:val="24"/>
        </w:rPr>
        <w:t>Acknowledgements</w:t>
      </w:r>
    </w:p>
    <w:p w:rsidR="005E2EB4" w:rsidRPr="00025B8B" w:rsidRDefault="005E2EB4" w:rsidP="00025D1D">
      <w:pPr>
        <w:spacing w:line="480" w:lineRule="auto"/>
        <w:rPr>
          <w:rFonts w:ascii="Times New Roman" w:hAnsi="Times New Roman"/>
          <w:color w:val="000000" w:themeColor="text1"/>
          <w:sz w:val="24"/>
          <w:szCs w:val="24"/>
        </w:rPr>
      </w:pPr>
      <w:r w:rsidRPr="00025B8B">
        <w:rPr>
          <w:rFonts w:ascii="Times New Roman" w:hAnsi="Times New Roman"/>
          <w:color w:val="000000" w:themeColor="text1"/>
          <w:kern w:val="0"/>
          <w:sz w:val="24"/>
          <w:szCs w:val="24"/>
        </w:rPr>
        <w:t xml:space="preserve">We thank </w:t>
      </w:r>
      <w:r w:rsidRPr="00025B8B">
        <w:rPr>
          <w:rFonts w:ascii="Times New Roman" w:hAnsi="Times New Roman" w:hint="eastAsia"/>
          <w:color w:val="000000" w:themeColor="text1"/>
          <w:kern w:val="0"/>
          <w:sz w:val="24"/>
          <w:szCs w:val="24"/>
        </w:rPr>
        <w:t>Dr.</w:t>
      </w:r>
      <w:r w:rsidRPr="00025B8B">
        <w:rPr>
          <w:rFonts w:ascii="Times New Roman" w:hAnsi="Times New Roman"/>
          <w:color w:val="000000" w:themeColor="text1"/>
          <w:kern w:val="0"/>
          <w:sz w:val="24"/>
          <w:szCs w:val="24"/>
        </w:rPr>
        <w:t xml:space="preserve"> </w:t>
      </w:r>
      <w:r w:rsidRPr="00025B8B">
        <w:rPr>
          <w:rFonts w:ascii="Times New Roman" w:hAnsi="Times New Roman" w:hint="eastAsia"/>
          <w:color w:val="000000" w:themeColor="text1"/>
          <w:kern w:val="0"/>
          <w:sz w:val="24"/>
          <w:szCs w:val="24"/>
        </w:rPr>
        <w:t>Zhong Wei</w:t>
      </w:r>
      <w:r w:rsidRPr="00025B8B">
        <w:rPr>
          <w:rFonts w:ascii="Times New Roman" w:hAnsi="Times New Roman"/>
          <w:color w:val="000000" w:themeColor="text1"/>
          <w:kern w:val="0"/>
          <w:sz w:val="24"/>
          <w:szCs w:val="24"/>
        </w:rPr>
        <w:t xml:space="preserve"> (</w:t>
      </w:r>
      <w:r w:rsidRPr="00025B8B">
        <w:rPr>
          <w:rFonts w:ascii="Times New Roman" w:hAnsi="Times New Roman" w:hint="eastAsia"/>
          <w:color w:val="000000" w:themeColor="text1"/>
          <w:kern w:val="0"/>
          <w:sz w:val="24"/>
          <w:szCs w:val="24"/>
        </w:rPr>
        <w:t>NJAU</w:t>
      </w:r>
      <w:r w:rsidRPr="00025B8B">
        <w:rPr>
          <w:rFonts w:ascii="Times New Roman" w:hAnsi="Times New Roman"/>
          <w:color w:val="000000" w:themeColor="text1"/>
          <w:kern w:val="0"/>
          <w:sz w:val="24"/>
          <w:szCs w:val="24"/>
        </w:rPr>
        <w:t xml:space="preserve">) </w:t>
      </w:r>
      <w:r w:rsidRPr="00025B8B">
        <w:rPr>
          <w:rFonts w:ascii="Times New Roman" w:hAnsi="Times New Roman" w:hint="eastAsia"/>
          <w:color w:val="000000" w:themeColor="text1"/>
          <w:kern w:val="0"/>
          <w:sz w:val="24"/>
          <w:szCs w:val="24"/>
        </w:rPr>
        <w:t>for the comments</w:t>
      </w:r>
      <w:r w:rsidRPr="00025B8B">
        <w:rPr>
          <w:rFonts w:ascii="Times New Roman" w:hAnsi="Times New Roman"/>
          <w:color w:val="000000" w:themeColor="text1"/>
          <w:kern w:val="0"/>
          <w:sz w:val="24"/>
          <w:szCs w:val="24"/>
        </w:rPr>
        <w:t xml:space="preserve"> </w:t>
      </w:r>
      <w:r w:rsidRPr="00025B8B">
        <w:rPr>
          <w:rFonts w:ascii="Times New Roman" w:hAnsi="Times New Roman" w:hint="eastAsia"/>
          <w:color w:val="000000" w:themeColor="text1"/>
          <w:kern w:val="0"/>
          <w:sz w:val="24"/>
          <w:szCs w:val="24"/>
        </w:rPr>
        <w:t>on this manuscript</w:t>
      </w:r>
      <w:r w:rsidRPr="00025B8B">
        <w:rPr>
          <w:color w:val="000000" w:themeColor="text1"/>
        </w:rPr>
        <w:t xml:space="preserve"> </w:t>
      </w:r>
      <w:r w:rsidRPr="00025B8B">
        <w:rPr>
          <w:rFonts w:ascii="Times New Roman" w:hAnsi="Times New Roman"/>
          <w:color w:val="000000" w:themeColor="text1"/>
          <w:sz w:val="24"/>
          <w:szCs w:val="24"/>
        </w:rPr>
        <w:t>and</w:t>
      </w:r>
      <w:r w:rsidRPr="00025B8B">
        <w:rPr>
          <w:rFonts w:hint="eastAsia"/>
          <w:color w:val="000000" w:themeColor="text1"/>
        </w:rPr>
        <w:t xml:space="preserve"> </w:t>
      </w:r>
      <w:r w:rsidRPr="00025B8B">
        <w:rPr>
          <w:rFonts w:ascii="Times New Roman" w:hAnsi="Times New Roman"/>
          <w:color w:val="000000" w:themeColor="text1"/>
          <w:kern w:val="0"/>
          <w:sz w:val="24"/>
          <w:szCs w:val="24"/>
        </w:rPr>
        <w:t xml:space="preserve">the </w:t>
      </w:r>
      <w:r w:rsidRPr="00025B8B">
        <w:rPr>
          <w:rFonts w:ascii="Times New Roman" w:hAnsi="Times New Roman" w:hint="eastAsia"/>
          <w:color w:val="000000" w:themeColor="text1"/>
          <w:kern w:val="0"/>
          <w:sz w:val="24"/>
          <w:szCs w:val="24"/>
        </w:rPr>
        <w:t xml:space="preserve">graduate </w:t>
      </w:r>
      <w:r w:rsidRPr="00025B8B">
        <w:rPr>
          <w:rFonts w:ascii="Times New Roman" w:hAnsi="Times New Roman"/>
          <w:color w:val="000000" w:themeColor="text1"/>
          <w:kern w:val="0"/>
          <w:sz w:val="24"/>
          <w:szCs w:val="24"/>
        </w:rPr>
        <w:t xml:space="preserve">students in </w:t>
      </w:r>
      <w:r w:rsidRPr="00025B8B">
        <w:rPr>
          <w:rFonts w:ascii="Times New Roman" w:hAnsi="Times New Roman" w:hint="eastAsia"/>
          <w:color w:val="000000" w:themeColor="text1"/>
          <w:kern w:val="0"/>
          <w:sz w:val="24"/>
          <w:szCs w:val="24"/>
        </w:rPr>
        <w:t>Zhou</w:t>
      </w:r>
      <w:r w:rsidRPr="00025B8B">
        <w:rPr>
          <w:rFonts w:ascii="Times New Roman" w:hAnsi="Times New Roman"/>
          <w:color w:val="000000" w:themeColor="text1"/>
          <w:kern w:val="0"/>
          <w:sz w:val="24"/>
          <w:szCs w:val="24"/>
        </w:rPr>
        <w:t xml:space="preserve"> lab from </w:t>
      </w:r>
      <w:r w:rsidRPr="00025B8B">
        <w:rPr>
          <w:rFonts w:ascii="Times New Roman" w:hAnsi="Times New Roman" w:hint="eastAsia"/>
          <w:color w:val="000000" w:themeColor="text1"/>
          <w:kern w:val="0"/>
          <w:sz w:val="24"/>
          <w:szCs w:val="24"/>
        </w:rPr>
        <w:t>FAFU</w:t>
      </w:r>
      <w:r w:rsidRPr="00025B8B">
        <w:rPr>
          <w:rFonts w:ascii="Times New Roman" w:hAnsi="Times New Roman"/>
          <w:color w:val="000000" w:themeColor="text1"/>
          <w:kern w:val="0"/>
          <w:sz w:val="24"/>
          <w:szCs w:val="24"/>
        </w:rPr>
        <w:t xml:space="preserve"> for their contributions to sampling. This work was supported by the National Natural Science Foundation of China (31972521</w:t>
      </w:r>
      <w:r w:rsidR="00E9544E" w:rsidRPr="00025B8B">
        <w:rPr>
          <w:rFonts w:ascii="Times New Roman" w:hAnsi="Times New Roman"/>
          <w:color w:val="000000" w:themeColor="text1"/>
          <w:kern w:val="0"/>
          <w:sz w:val="24"/>
          <w:szCs w:val="24"/>
        </w:rPr>
        <w:t xml:space="preserve"> and 42090060</w:t>
      </w:r>
      <w:r w:rsidR="00442472" w:rsidRPr="00025B8B">
        <w:rPr>
          <w:rFonts w:ascii="Times New Roman" w:hAnsi="Times New Roman"/>
          <w:color w:val="000000" w:themeColor="text1"/>
          <w:kern w:val="0"/>
          <w:sz w:val="24"/>
          <w:szCs w:val="24"/>
        </w:rPr>
        <w:t xml:space="preserve"> </w:t>
      </w:r>
      <w:r w:rsidR="00442472" w:rsidRPr="00025B8B">
        <w:rPr>
          <w:rFonts w:ascii="Times New Roman" w:hAnsi="Times New Roman" w:hint="eastAsia"/>
          <w:color w:val="000000" w:themeColor="text1"/>
          <w:kern w:val="0"/>
          <w:sz w:val="24"/>
          <w:szCs w:val="24"/>
        </w:rPr>
        <w:t>for</w:t>
      </w:r>
      <w:r w:rsidR="00442472" w:rsidRPr="00025B8B">
        <w:rPr>
          <w:rFonts w:ascii="Times New Roman" w:hAnsi="Times New Roman"/>
          <w:color w:val="000000" w:themeColor="text1"/>
          <w:kern w:val="0"/>
          <w:sz w:val="24"/>
          <w:szCs w:val="24"/>
        </w:rPr>
        <w:t xml:space="preserve"> </w:t>
      </w:r>
      <w:r w:rsidR="00442472" w:rsidRPr="00025B8B">
        <w:rPr>
          <w:rFonts w:ascii="Times New Roman" w:hAnsi="Times New Roman" w:hint="eastAsia"/>
          <w:color w:val="000000" w:themeColor="text1"/>
          <w:kern w:val="0"/>
          <w:sz w:val="24"/>
          <w:szCs w:val="24"/>
        </w:rPr>
        <w:t>YG</w:t>
      </w:r>
      <w:r w:rsidR="00442472" w:rsidRPr="00025B8B">
        <w:rPr>
          <w:rFonts w:ascii="Times New Roman" w:hAnsi="Times New Roman"/>
          <w:color w:val="000000" w:themeColor="text1"/>
          <w:kern w:val="0"/>
          <w:sz w:val="24"/>
          <w:szCs w:val="24"/>
        </w:rPr>
        <w:t xml:space="preserve"> </w:t>
      </w:r>
      <w:r w:rsidR="00442472" w:rsidRPr="00025B8B">
        <w:rPr>
          <w:rFonts w:ascii="Times New Roman" w:hAnsi="Times New Roman" w:hint="eastAsia"/>
          <w:color w:val="000000" w:themeColor="text1"/>
          <w:kern w:val="0"/>
          <w:sz w:val="24"/>
          <w:szCs w:val="24"/>
        </w:rPr>
        <w:t>Zhu</w:t>
      </w:r>
      <w:r w:rsidRPr="00025B8B">
        <w:rPr>
          <w:rFonts w:ascii="Times New Roman" w:hAnsi="Times New Roman"/>
          <w:color w:val="000000" w:themeColor="text1"/>
          <w:kern w:val="0"/>
          <w:sz w:val="24"/>
          <w:szCs w:val="24"/>
        </w:rPr>
        <w:t>), National Key Technologies R&amp;D Program of China (2017YFD0800203)</w:t>
      </w:r>
      <w:r w:rsidRPr="00025B8B">
        <w:rPr>
          <w:rFonts w:ascii="Times New Roman" w:hAnsi="Times New Roman" w:hint="eastAsia"/>
          <w:color w:val="000000" w:themeColor="text1"/>
          <w:kern w:val="0"/>
          <w:sz w:val="24"/>
          <w:szCs w:val="24"/>
        </w:rPr>
        <w:t>,</w:t>
      </w:r>
      <w:r w:rsidRPr="00025B8B">
        <w:rPr>
          <w:rFonts w:ascii="Times New Roman" w:hAnsi="Times New Roman"/>
          <w:color w:val="000000" w:themeColor="text1"/>
          <w:kern w:val="0"/>
          <w:sz w:val="24"/>
          <w:szCs w:val="24"/>
        </w:rPr>
        <w:t xml:space="preserve"> the Fujian Agriculture and Forestry University Program for Distinguished Young Scholar (No. XJQ2017001), the Natural Science </w:t>
      </w:r>
      <w:r w:rsidRPr="00025B8B">
        <w:rPr>
          <w:rFonts w:ascii="Times New Roman" w:hAnsi="Times New Roman"/>
          <w:color w:val="000000" w:themeColor="text1"/>
          <w:kern w:val="0"/>
          <w:sz w:val="24"/>
          <w:szCs w:val="24"/>
        </w:rPr>
        <w:lastRenderedPageBreak/>
        <w:t xml:space="preserve">Foundation of Fujian (2018J01709). </w:t>
      </w:r>
      <w:r w:rsidRPr="00025B8B">
        <w:rPr>
          <w:rFonts w:ascii="Times New Roman" w:hAnsi="Times New Roman"/>
          <w:color w:val="000000" w:themeColor="text1"/>
          <w:sz w:val="24"/>
          <w:szCs w:val="24"/>
        </w:rPr>
        <w:t>Ville-Petri Friman is funded by the Royal Society (grant nos. RSG\R1\180213 and CHL\R1\180031) and jointly by a grant from UKRI, Defra, and the Scottish Government, under the Strategic Priorities Fund Plant Bacterial Diseases programme (BB/T010606/1) at the University of York.</w:t>
      </w:r>
    </w:p>
    <w:p w:rsidR="005E2EB4" w:rsidRPr="00025B8B" w:rsidRDefault="005E2EB4" w:rsidP="00025D1D">
      <w:pPr>
        <w:spacing w:line="480" w:lineRule="auto"/>
        <w:rPr>
          <w:rFonts w:ascii="Times New Roman" w:hAnsi="Times New Roman"/>
          <w:color w:val="000000" w:themeColor="text1"/>
          <w:sz w:val="24"/>
          <w:szCs w:val="24"/>
        </w:rPr>
      </w:pPr>
    </w:p>
    <w:p w:rsidR="005E2EB4" w:rsidRPr="00025B8B" w:rsidRDefault="005E2EB4" w:rsidP="00025D1D">
      <w:pPr>
        <w:spacing w:line="480" w:lineRule="auto"/>
        <w:rPr>
          <w:rFonts w:ascii="Times New Roman" w:eastAsia="SimSun" w:hAnsi="Times New Roman"/>
          <w:b/>
          <w:color w:val="000000" w:themeColor="text1"/>
          <w:sz w:val="24"/>
          <w:szCs w:val="24"/>
        </w:rPr>
      </w:pPr>
      <w:r w:rsidRPr="00025B8B">
        <w:rPr>
          <w:rFonts w:ascii="Times New Roman" w:eastAsia="SimSun" w:hAnsi="Times New Roman"/>
          <w:b/>
          <w:color w:val="000000" w:themeColor="text1"/>
          <w:sz w:val="24"/>
          <w:szCs w:val="24"/>
        </w:rPr>
        <w:t xml:space="preserve">Contributions </w:t>
      </w:r>
    </w:p>
    <w:p w:rsidR="005E2EB4" w:rsidRPr="00025B8B" w:rsidRDefault="005E2EB4" w:rsidP="00025D1D">
      <w:pPr>
        <w:widowControl/>
        <w:autoSpaceDE w:val="0"/>
        <w:autoSpaceDN w:val="0"/>
        <w:adjustRightInd w:val="0"/>
        <w:snapToGrid w:val="0"/>
        <w:spacing w:line="480" w:lineRule="auto"/>
        <w:rPr>
          <w:rFonts w:ascii="Times New Roman" w:eastAsia="Microsoft YaHei" w:hAnsi="Times New Roman"/>
          <w:color w:val="000000" w:themeColor="text1"/>
          <w:kern w:val="0"/>
          <w:sz w:val="24"/>
          <w:szCs w:val="24"/>
        </w:rPr>
      </w:pPr>
      <w:r w:rsidRPr="00025B8B">
        <w:rPr>
          <w:rFonts w:ascii="Times New Roman" w:eastAsia="Microsoft YaHei" w:hAnsi="Times New Roman"/>
          <w:color w:val="000000" w:themeColor="text1"/>
          <w:kern w:val="0"/>
          <w:sz w:val="24"/>
          <w:szCs w:val="24"/>
        </w:rPr>
        <w:t xml:space="preserve">XL, </w:t>
      </w:r>
      <w:r w:rsidRPr="00025B8B">
        <w:rPr>
          <w:rFonts w:ascii="Times New Roman" w:eastAsia="Microsoft YaHei" w:hAnsi="Times New Roman" w:hint="eastAsia"/>
          <w:color w:val="000000" w:themeColor="text1"/>
          <w:kern w:val="0"/>
          <w:sz w:val="24"/>
          <w:szCs w:val="24"/>
        </w:rPr>
        <w:t>HL</w:t>
      </w:r>
      <w:r w:rsidRPr="00025B8B">
        <w:rPr>
          <w:rFonts w:ascii="Times New Roman" w:eastAsia="Microsoft YaHei" w:hAnsi="Times New Roman"/>
          <w:color w:val="000000" w:themeColor="text1"/>
          <w:kern w:val="0"/>
          <w:sz w:val="24"/>
          <w:szCs w:val="24"/>
        </w:rPr>
        <w:t xml:space="preserve">, YB, PC, CW and CL performed and analyzed most of lab experiment data, and YB, PC, CW, </w:t>
      </w:r>
      <w:r w:rsidRPr="00025B8B">
        <w:rPr>
          <w:rFonts w:ascii="Times New Roman" w:eastAsia="Microsoft YaHei" w:hAnsi="Times New Roman" w:hint="eastAsia"/>
          <w:color w:val="000000" w:themeColor="text1"/>
          <w:kern w:val="0"/>
          <w:sz w:val="24"/>
          <w:szCs w:val="24"/>
        </w:rPr>
        <w:t>ZC</w:t>
      </w:r>
      <w:r w:rsidRPr="00025B8B">
        <w:rPr>
          <w:rFonts w:ascii="Times New Roman" w:eastAsia="Microsoft YaHei" w:hAnsi="Times New Roman"/>
          <w:color w:val="000000" w:themeColor="text1"/>
          <w:kern w:val="0"/>
          <w:sz w:val="24"/>
          <w:szCs w:val="24"/>
        </w:rPr>
        <w:t xml:space="preserve">, </w:t>
      </w:r>
      <w:r w:rsidRPr="00025B8B">
        <w:rPr>
          <w:rFonts w:ascii="Times New Roman" w:eastAsia="Microsoft YaHei" w:hAnsi="Times New Roman" w:hint="eastAsia"/>
          <w:color w:val="000000" w:themeColor="text1"/>
          <w:kern w:val="0"/>
          <w:sz w:val="24"/>
          <w:szCs w:val="24"/>
        </w:rPr>
        <w:t>ZY</w:t>
      </w:r>
      <w:r w:rsidRPr="00025B8B">
        <w:rPr>
          <w:rFonts w:ascii="Times New Roman" w:eastAsia="Microsoft YaHei" w:hAnsi="Times New Roman"/>
          <w:color w:val="000000" w:themeColor="text1"/>
          <w:kern w:val="0"/>
          <w:sz w:val="24"/>
          <w:szCs w:val="24"/>
        </w:rPr>
        <w:t xml:space="preserve">, JT, JC and CL performed and analyzed most of </w:t>
      </w:r>
      <w:r w:rsidRPr="00025B8B">
        <w:rPr>
          <w:rFonts w:ascii="Times New Roman" w:eastAsia="Microsoft YaHei" w:hAnsi="Times New Roman" w:hint="eastAsia"/>
          <w:color w:val="000000" w:themeColor="text1"/>
          <w:kern w:val="0"/>
          <w:sz w:val="24"/>
          <w:szCs w:val="24"/>
        </w:rPr>
        <w:t>field</w:t>
      </w:r>
      <w:r w:rsidRPr="00025B8B">
        <w:rPr>
          <w:rFonts w:ascii="Times New Roman" w:eastAsia="Microsoft YaHei" w:hAnsi="Times New Roman"/>
          <w:color w:val="000000" w:themeColor="text1"/>
          <w:kern w:val="0"/>
          <w:sz w:val="24"/>
          <w:szCs w:val="24"/>
        </w:rPr>
        <w:t xml:space="preserve"> experiment data. </w:t>
      </w:r>
      <w:r w:rsidRPr="00025B8B">
        <w:rPr>
          <w:rFonts w:ascii="Times New Roman" w:eastAsia="Microsoft YaHei" w:hAnsi="Times New Roman" w:hint="eastAsia"/>
          <w:color w:val="000000" w:themeColor="text1"/>
          <w:kern w:val="0"/>
          <w:sz w:val="24"/>
          <w:szCs w:val="24"/>
        </w:rPr>
        <w:t>HL</w:t>
      </w:r>
      <w:r w:rsidRPr="00025B8B">
        <w:rPr>
          <w:rFonts w:ascii="Times New Roman" w:eastAsia="Microsoft YaHei" w:hAnsi="Times New Roman"/>
          <w:color w:val="000000" w:themeColor="text1"/>
          <w:kern w:val="0"/>
          <w:sz w:val="24"/>
          <w:szCs w:val="24"/>
        </w:rPr>
        <w:t xml:space="preserve"> performed most of</w:t>
      </w:r>
      <w:r w:rsidRPr="00025B8B">
        <w:rPr>
          <w:rFonts w:ascii="Times New Roman" w:eastAsia="SimSun" w:hAnsi="Times New Roman"/>
          <w:color w:val="000000" w:themeColor="text1"/>
          <w:sz w:val="24"/>
          <w:szCs w:val="24"/>
        </w:rPr>
        <w:t xml:space="preserve"> statistical analyses</w:t>
      </w:r>
      <w:r w:rsidRPr="00025B8B">
        <w:rPr>
          <w:rFonts w:ascii="Times New Roman" w:eastAsia="Microsoft YaHei" w:hAnsi="Times New Roman"/>
          <w:color w:val="000000" w:themeColor="text1"/>
          <w:kern w:val="0"/>
          <w:sz w:val="24"/>
          <w:szCs w:val="24"/>
        </w:rPr>
        <w:t>.</w:t>
      </w:r>
      <w:r w:rsidRPr="00025B8B">
        <w:rPr>
          <w:rFonts w:ascii="Times New Roman" w:eastAsia="SimSun" w:hAnsi="Times New Roman" w:hint="eastAsia"/>
          <w:color w:val="000000" w:themeColor="text1"/>
          <w:sz w:val="24"/>
          <w:szCs w:val="24"/>
        </w:rPr>
        <w:t xml:space="preserve"> </w:t>
      </w:r>
      <w:r w:rsidRPr="00025B8B">
        <w:rPr>
          <w:rFonts w:ascii="Times New Roman" w:eastAsia="Microsoft YaHei" w:hAnsi="Times New Roman"/>
          <w:color w:val="000000" w:themeColor="text1"/>
          <w:kern w:val="0"/>
          <w:sz w:val="24"/>
          <w:szCs w:val="24"/>
        </w:rPr>
        <w:t xml:space="preserve">VPF, </w:t>
      </w:r>
      <w:r w:rsidRPr="00025B8B">
        <w:rPr>
          <w:rFonts w:ascii="Times New Roman" w:eastAsia="Microsoft YaHei" w:hAnsi="Times New Roman" w:hint="eastAsia"/>
          <w:color w:val="000000" w:themeColor="text1"/>
          <w:kern w:val="0"/>
          <w:sz w:val="24"/>
          <w:szCs w:val="24"/>
        </w:rPr>
        <w:t>SG</w:t>
      </w:r>
      <w:r w:rsidRPr="00025B8B">
        <w:rPr>
          <w:rFonts w:ascii="Times New Roman" w:eastAsia="Microsoft YaHei" w:hAnsi="Times New Roman"/>
          <w:color w:val="000000" w:themeColor="text1"/>
          <w:kern w:val="0"/>
          <w:sz w:val="24"/>
          <w:szCs w:val="24"/>
        </w:rPr>
        <w:t xml:space="preserve">, </w:t>
      </w:r>
      <w:r w:rsidRPr="00025B8B">
        <w:rPr>
          <w:rFonts w:ascii="Times New Roman" w:eastAsia="Microsoft YaHei" w:hAnsi="Times New Roman" w:hint="eastAsia"/>
          <w:color w:val="000000" w:themeColor="text1"/>
          <w:kern w:val="0"/>
          <w:sz w:val="24"/>
          <w:szCs w:val="24"/>
        </w:rPr>
        <w:t>QY</w:t>
      </w:r>
      <w:r w:rsidRPr="00025B8B">
        <w:rPr>
          <w:rFonts w:ascii="Times New Roman" w:eastAsia="Microsoft YaHei" w:hAnsi="Times New Roman"/>
          <w:color w:val="000000" w:themeColor="text1"/>
          <w:kern w:val="0"/>
          <w:sz w:val="24"/>
          <w:szCs w:val="24"/>
        </w:rPr>
        <w:t xml:space="preserve"> </w:t>
      </w:r>
      <w:r w:rsidRPr="00025B8B">
        <w:rPr>
          <w:rFonts w:ascii="Times New Roman" w:eastAsia="Microsoft YaHei" w:hAnsi="Times New Roman" w:hint="eastAsia"/>
          <w:color w:val="000000" w:themeColor="text1"/>
          <w:kern w:val="0"/>
          <w:sz w:val="24"/>
          <w:szCs w:val="24"/>
        </w:rPr>
        <w:t>and YZ</w:t>
      </w:r>
      <w:r w:rsidRPr="00025B8B">
        <w:rPr>
          <w:rFonts w:ascii="Times New Roman" w:eastAsia="Microsoft YaHei" w:hAnsi="Times New Roman"/>
          <w:color w:val="000000" w:themeColor="text1"/>
          <w:kern w:val="0"/>
          <w:sz w:val="24"/>
          <w:szCs w:val="24"/>
        </w:rPr>
        <w:t xml:space="preserve"> designed the experiments, contributed intellectual input and helped with the </w:t>
      </w:r>
      <w:r w:rsidRPr="00025B8B">
        <w:rPr>
          <w:rFonts w:ascii="Times New Roman" w:eastAsia="Microsoft YaHei" w:hAnsi="Times New Roman" w:hint="eastAsia"/>
          <w:color w:val="000000" w:themeColor="text1"/>
          <w:kern w:val="0"/>
          <w:sz w:val="24"/>
          <w:szCs w:val="24"/>
        </w:rPr>
        <w:t>s</w:t>
      </w:r>
      <w:r w:rsidRPr="00025B8B">
        <w:rPr>
          <w:rFonts w:ascii="Times New Roman" w:eastAsia="Microsoft YaHei" w:hAnsi="Times New Roman"/>
          <w:color w:val="000000" w:themeColor="text1"/>
          <w:kern w:val="0"/>
          <w:sz w:val="24"/>
          <w:szCs w:val="24"/>
        </w:rPr>
        <w:t xml:space="preserve">equencing data </w:t>
      </w:r>
      <w:r w:rsidRPr="00025B8B">
        <w:rPr>
          <w:rFonts w:ascii="Times New Roman" w:eastAsia="Microsoft YaHei" w:hAnsi="Times New Roman" w:hint="eastAsia"/>
          <w:color w:val="000000" w:themeColor="text1"/>
          <w:kern w:val="0"/>
          <w:sz w:val="24"/>
          <w:szCs w:val="24"/>
        </w:rPr>
        <w:t>analys</w:t>
      </w:r>
      <w:r w:rsidRPr="00025B8B">
        <w:rPr>
          <w:rFonts w:ascii="Times New Roman" w:eastAsia="Microsoft YaHei" w:hAnsi="Times New Roman"/>
          <w:color w:val="000000" w:themeColor="text1"/>
          <w:kern w:val="0"/>
          <w:sz w:val="24"/>
          <w:szCs w:val="24"/>
        </w:rPr>
        <w:t>e</w:t>
      </w:r>
      <w:r w:rsidRPr="00025B8B">
        <w:rPr>
          <w:rFonts w:ascii="Times New Roman" w:eastAsia="Microsoft YaHei" w:hAnsi="Times New Roman" w:hint="eastAsia"/>
          <w:color w:val="000000" w:themeColor="text1"/>
          <w:kern w:val="0"/>
          <w:sz w:val="24"/>
          <w:szCs w:val="24"/>
        </w:rPr>
        <w:t>s</w:t>
      </w:r>
      <w:r w:rsidRPr="00025B8B">
        <w:rPr>
          <w:rFonts w:ascii="Times New Roman" w:eastAsia="Microsoft YaHei" w:hAnsi="Times New Roman"/>
          <w:color w:val="000000" w:themeColor="text1"/>
          <w:kern w:val="0"/>
          <w:sz w:val="24"/>
          <w:szCs w:val="24"/>
        </w:rPr>
        <w:t xml:space="preserve">. </w:t>
      </w:r>
      <w:r w:rsidRPr="00025B8B">
        <w:rPr>
          <w:rFonts w:ascii="Times New Roman" w:eastAsia="SimSun" w:hAnsi="Times New Roman" w:hint="eastAsia"/>
          <w:color w:val="000000" w:themeColor="text1"/>
          <w:sz w:val="24"/>
          <w:szCs w:val="24"/>
        </w:rPr>
        <w:t>HL</w:t>
      </w:r>
      <w:r w:rsidRPr="00025B8B">
        <w:rPr>
          <w:rFonts w:ascii="Times New Roman" w:eastAsia="SimSun" w:hAnsi="Times New Roman"/>
          <w:color w:val="000000" w:themeColor="text1"/>
          <w:sz w:val="24"/>
          <w:szCs w:val="24"/>
        </w:rPr>
        <w:t xml:space="preserve"> </w:t>
      </w:r>
      <w:r w:rsidRPr="00025B8B">
        <w:rPr>
          <w:rFonts w:ascii="Times New Roman" w:eastAsia="SimSun" w:hAnsi="Times New Roman" w:hint="eastAsia"/>
          <w:color w:val="000000" w:themeColor="text1"/>
          <w:sz w:val="24"/>
          <w:szCs w:val="24"/>
        </w:rPr>
        <w:t>and</w:t>
      </w:r>
      <w:r w:rsidRPr="00025B8B">
        <w:rPr>
          <w:rFonts w:ascii="Times New Roman" w:eastAsia="SimSun" w:hAnsi="Times New Roman"/>
          <w:color w:val="000000" w:themeColor="text1"/>
          <w:sz w:val="24"/>
          <w:szCs w:val="24"/>
        </w:rPr>
        <w:t xml:space="preserve"> </w:t>
      </w:r>
      <w:r w:rsidRPr="00025B8B">
        <w:rPr>
          <w:rFonts w:ascii="Times New Roman" w:eastAsia="Microsoft YaHei" w:hAnsi="Times New Roman"/>
          <w:color w:val="000000" w:themeColor="text1"/>
          <w:kern w:val="0"/>
          <w:sz w:val="24"/>
          <w:szCs w:val="24"/>
        </w:rPr>
        <w:t xml:space="preserve">VPF wrote the manuscript with the help of all co-authors. All the authors discussed the results and commented on the manuscript. </w:t>
      </w:r>
      <w:r w:rsidRPr="00025B8B">
        <w:rPr>
          <w:rFonts w:ascii="Times New Roman" w:eastAsia="Microsoft YaHei" w:hAnsi="Times New Roman" w:hint="eastAsia"/>
          <w:color w:val="000000" w:themeColor="text1"/>
          <w:kern w:val="0"/>
          <w:sz w:val="24"/>
          <w:szCs w:val="24"/>
        </w:rPr>
        <w:t>SZ</w:t>
      </w:r>
      <w:r w:rsidRPr="00025B8B">
        <w:rPr>
          <w:rFonts w:ascii="Times New Roman" w:eastAsia="Microsoft YaHei" w:hAnsi="Times New Roman"/>
          <w:color w:val="000000" w:themeColor="text1"/>
          <w:kern w:val="0"/>
          <w:sz w:val="24"/>
          <w:szCs w:val="24"/>
        </w:rPr>
        <w:t xml:space="preserve"> supervised the study.</w:t>
      </w:r>
    </w:p>
    <w:p w:rsidR="005E2EB4" w:rsidRPr="00025B8B" w:rsidRDefault="005E2EB4" w:rsidP="00025D1D">
      <w:pPr>
        <w:pStyle w:val="EndNoteBibliography"/>
        <w:ind w:left="720" w:hanging="720"/>
        <w:rPr>
          <w:color w:val="000000" w:themeColor="text1"/>
        </w:rPr>
      </w:pPr>
    </w:p>
    <w:p w:rsidR="005E2EB4" w:rsidRPr="00025B8B" w:rsidRDefault="005E2EB4" w:rsidP="00025D1D">
      <w:pPr>
        <w:widowControl/>
        <w:autoSpaceDE w:val="0"/>
        <w:autoSpaceDN w:val="0"/>
        <w:adjustRightInd w:val="0"/>
        <w:snapToGrid w:val="0"/>
        <w:spacing w:line="480" w:lineRule="auto"/>
        <w:rPr>
          <w:rFonts w:ascii="Times New Roman" w:eastAsia="SimSun" w:hAnsi="Times New Roman"/>
          <w:b/>
          <w:color w:val="000000" w:themeColor="text1"/>
          <w:sz w:val="24"/>
          <w:szCs w:val="24"/>
        </w:rPr>
      </w:pPr>
      <w:r w:rsidRPr="00025B8B">
        <w:rPr>
          <w:rFonts w:ascii="Times New Roman" w:eastAsia="SimSun" w:hAnsi="Times New Roman"/>
          <w:b/>
          <w:color w:val="000000" w:themeColor="text1"/>
          <w:sz w:val="24"/>
          <w:szCs w:val="24"/>
        </w:rPr>
        <w:t>Competing interests</w:t>
      </w:r>
    </w:p>
    <w:p w:rsidR="005E2EB4" w:rsidRPr="00025B8B" w:rsidRDefault="005E2EB4" w:rsidP="00025D1D">
      <w:pPr>
        <w:widowControl/>
        <w:autoSpaceDE w:val="0"/>
        <w:autoSpaceDN w:val="0"/>
        <w:adjustRightInd w:val="0"/>
        <w:snapToGrid w:val="0"/>
        <w:spacing w:line="480" w:lineRule="auto"/>
        <w:rPr>
          <w:rFonts w:ascii="Times New Roman" w:eastAsia="Microsoft YaHei" w:hAnsi="Times New Roman"/>
          <w:color w:val="000000" w:themeColor="text1"/>
          <w:kern w:val="0"/>
          <w:sz w:val="24"/>
          <w:szCs w:val="24"/>
        </w:rPr>
      </w:pPr>
      <w:r w:rsidRPr="00025B8B">
        <w:rPr>
          <w:rFonts w:ascii="Times New Roman" w:eastAsia="Microsoft YaHei" w:hAnsi="Times New Roman"/>
          <w:color w:val="000000" w:themeColor="text1"/>
          <w:kern w:val="0"/>
          <w:sz w:val="24"/>
          <w:szCs w:val="24"/>
        </w:rPr>
        <w:t>The authors declare no competing interests.</w:t>
      </w:r>
    </w:p>
    <w:p w:rsidR="005E2EB4" w:rsidRPr="00025B8B" w:rsidRDefault="005E2EB4" w:rsidP="00025D1D">
      <w:pPr>
        <w:spacing w:line="480" w:lineRule="auto"/>
        <w:rPr>
          <w:rFonts w:ascii="Times New Roman" w:hAnsi="Times New Roman"/>
          <w:b/>
          <w:color w:val="000000" w:themeColor="text1"/>
          <w:sz w:val="24"/>
          <w:szCs w:val="24"/>
        </w:rPr>
      </w:pPr>
      <w:r w:rsidRPr="00025B8B">
        <w:rPr>
          <w:rFonts w:ascii="Times New Roman" w:hAnsi="Times New Roman"/>
          <w:b/>
          <w:color w:val="000000" w:themeColor="text1"/>
          <w:sz w:val="24"/>
          <w:szCs w:val="24"/>
        </w:rPr>
        <w:t>References</w:t>
      </w:r>
    </w:p>
    <w:p w:rsidR="005E2EB4" w:rsidRPr="00025B8B" w:rsidRDefault="005E2EB4" w:rsidP="00025D1D">
      <w:pPr>
        <w:pStyle w:val="EndNoteBibliography"/>
        <w:ind w:left="400" w:hangingChars="200" w:hanging="400"/>
      </w:pPr>
      <w:r w:rsidRPr="00025B8B">
        <w:t xml:space="preserve">Abell </w:t>
      </w:r>
      <w:r w:rsidR="002350B2" w:rsidRPr="00025B8B">
        <w:t>Lynn M</w:t>
      </w:r>
      <w:r w:rsidRPr="00025B8B">
        <w:t>. 1996. Biochemical Approaches to Herbicide Discovery: Advances in Enzyme Target Identification and Inhibitor Design. Weed Science 44:734-742.</w:t>
      </w:r>
    </w:p>
    <w:p w:rsidR="005E2EB4" w:rsidRPr="00025B8B" w:rsidRDefault="005E2EB4" w:rsidP="00025D1D">
      <w:pPr>
        <w:pStyle w:val="EndNoteBibliography"/>
        <w:ind w:left="400" w:hangingChars="200" w:hanging="400"/>
      </w:pPr>
      <w:r w:rsidRPr="00025B8B">
        <w:t>Avalos Vizcarra I, Hosseini V, Kollmannsberger P, Meier S, Weber SS, Arnoldini M, Ackermann M, Vogel V. 2016. How type 1 fimbriae help Escherichia coli to evade extracellular antibiotics. Sci Rep 6:18109.</w:t>
      </w:r>
    </w:p>
    <w:p w:rsidR="005E2EB4" w:rsidRPr="00025B8B" w:rsidRDefault="005E2EB4" w:rsidP="00025D1D">
      <w:pPr>
        <w:pStyle w:val="EndNoteBibliography"/>
        <w:ind w:left="400" w:hangingChars="200" w:hanging="400"/>
      </w:pPr>
      <w:r w:rsidRPr="00025B8B">
        <w:t>Bankevich A, Nurk S, Antipov D, Gurevich A, Dvorkin M, Kulikov AS, Lesin VM, Nikolenko SI, Pham S, Prjibelski ADJJoCB. 2012. SPAdes: A New Genome Assembly Algorithm and Its Applications to Single-Cell Sequencing. Journal Of Computational Biology 19:455-477.</w:t>
      </w:r>
    </w:p>
    <w:p w:rsidR="005E2EB4" w:rsidRPr="00025B8B" w:rsidRDefault="005E2EB4" w:rsidP="00025D1D">
      <w:pPr>
        <w:pStyle w:val="EndNoteBibliography"/>
        <w:ind w:left="400" w:hangingChars="200" w:hanging="400"/>
      </w:pPr>
      <w:r w:rsidRPr="00025B8B">
        <w:t>Bolger A, Lohse M, Usadel BJB. 2014. Trimmomatic: a flexible trimmer for Illumina sequence data. Bioinformatics 30:2114-2120.</w:t>
      </w:r>
    </w:p>
    <w:p w:rsidR="005E2EB4" w:rsidRPr="00025B8B" w:rsidRDefault="005E2EB4" w:rsidP="00025D1D">
      <w:pPr>
        <w:pStyle w:val="EndNoteBibliography"/>
        <w:ind w:left="400" w:hangingChars="200" w:hanging="400"/>
      </w:pPr>
      <w:r w:rsidRPr="00025B8B">
        <w:t>Bolyen E, Rideout JR, Dillon MR, Bokulich NA, Abnet CC, Al-Ghalith GA, Alexander H, Alm EJ, Arumugam M, Asnicar F, et al. 2019. Reproducible, interactive, scalable and extensible microbiome data science using QIIME 2. Nature Biotechnology 37:852-857.</w:t>
      </w:r>
    </w:p>
    <w:p w:rsidR="005E2EB4" w:rsidRPr="00025B8B" w:rsidRDefault="005E2EB4" w:rsidP="00025D1D">
      <w:pPr>
        <w:pStyle w:val="EndNoteBibliography"/>
        <w:ind w:left="400" w:hangingChars="200" w:hanging="400"/>
      </w:pPr>
      <w:r w:rsidRPr="00025B8B">
        <w:t>Brilisauer K, Rapp J, Rath P, Schöllhorn A, Bleul L, Weiß E, Stahl M, Grond S, Forchhammer K. 2019. Cyanobacterial antimetabolite 7-deoxy-sedoheptulose blocks the shikimate pathway to inhibit the growth of prototrophic organisms. Nat Commun 10:545.</w:t>
      </w:r>
    </w:p>
    <w:p w:rsidR="005E2EB4" w:rsidRPr="00025B8B" w:rsidRDefault="005E2EB4" w:rsidP="00025D1D">
      <w:pPr>
        <w:pStyle w:val="EndNoteBibliography"/>
        <w:ind w:left="400" w:hangingChars="200" w:hanging="400"/>
      </w:pPr>
      <w:r w:rsidRPr="00025B8B">
        <w:lastRenderedPageBreak/>
        <w:t>Callahan BJ, McMurdie PJ, Rosen MJ, Han AW, Johnson AJA, Holmes SP. 2016. DADA2: High-resolution sample inference from Illumina amplicon data. Nature Methods 13:581-583.</w:t>
      </w:r>
    </w:p>
    <w:p w:rsidR="005E2EB4" w:rsidRPr="00025B8B" w:rsidRDefault="005E2EB4" w:rsidP="00025D1D">
      <w:pPr>
        <w:pStyle w:val="EndNoteBibliography"/>
        <w:ind w:left="400" w:hangingChars="200" w:hanging="400"/>
      </w:pPr>
      <w:r w:rsidRPr="00025B8B">
        <w:t>Carr JF, Hamburg D-M, Gregory ST, Limbach PA, Dahlberg AE. 2006. Effects of Streptomycin Resistance Mutations on Posttranslational Modification of Ribosomal Protein S12. Journal Of Bacteriology 188:2020-2023.</w:t>
      </w:r>
    </w:p>
    <w:p w:rsidR="005E2EB4" w:rsidRPr="00025B8B" w:rsidRDefault="005E2EB4" w:rsidP="00025D1D">
      <w:pPr>
        <w:pStyle w:val="EndNoteBibliography"/>
        <w:ind w:left="400" w:hangingChars="200" w:hanging="400"/>
      </w:pPr>
      <w:r w:rsidRPr="00025B8B">
        <w:t>Christoffoleti PJ, De Figueiredo MRA, Peres LEP, Nissen SJ, Gaines TAJSA. 2015. Auxinic herbicides, mechanisms of action, and weed resistance: A look into recent plant science advances. Scientia Agricola 72:356-362.</w:t>
      </w:r>
    </w:p>
    <w:p w:rsidR="005E2EB4" w:rsidRPr="00025B8B" w:rsidRDefault="005E2EB4" w:rsidP="00025D1D">
      <w:pPr>
        <w:pStyle w:val="EndNoteBibliography"/>
        <w:ind w:left="400" w:hangingChars="200" w:hanging="400"/>
      </w:pPr>
      <w:r w:rsidRPr="00025B8B">
        <w:t>Comont D, Lowe C, Hull R, Crook L, Hicks HL, Onkokesung N, Beffa R, Childs DZ, Edwards R, Freckleton RP, et al. 2020. Evolution of generalist resistance to herbicide mixtures reveals a trade-off in resistance management. Nat Commun 11:3086.</w:t>
      </w:r>
    </w:p>
    <w:p w:rsidR="005E2EB4" w:rsidRPr="00025B8B" w:rsidRDefault="005E2EB4" w:rsidP="00025D1D">
      <w:pPr>
        <w:pStyle w:val="EndNoteBibliography"/>
        <w:ind w:left="400" w:hangingChars="200" w:hanging="400"/>
      </w:pPr>
      <w:r w:rsidRPr="00025B8B">
        <w:t xml:space="preserve">Conte SS, </w:t>
      </w:r>
      <w:r w:rsidR="00D3166C" w:rsidRPr="00025B8B">
        <w:t xml:space="preserve">Alan M </w:t>
      </w:r>
      <w:r w:rsidRPr="00025B8B">
        <w:t>Lloyd. 2011. Exploring multiple drug and herbicide resistance in plants—Spotlight on transporter proteins. Plant Science 180:196-203.</w:t>
      </w:r>
    </w:p>
    <w:p w:rsidR="005E2EB4" w:rsidRPr="00025B8B" w:rsidRDefault="005E2EB4" w:rsidP="00025D1D">
      <w:pPr>
        <w:pStyle w:val="EndNoteBibliography"/>
        <w:ind w:left="400" w:hangingChars="200" w:hanging="400"/>
      </w:pPr>
      <w:r w:rsidRPr="00025B8B">
        <w:t>Cummins I, Wortley DJ, Sabbadin F, He Z, Coxon CR, Straker HE, Sellars JD, Knight KM, Edwards L, Hughes DJPotNAoSotUSoA. 2013. Key role for a glutathione transferase in multiple-herbicide resistance in grass weeds. Proc Natl Acad Sci USA 110:5812-5817.</w:t>
      </w:r>
    </w:p>
    <w:p w:rsidR="005E2EB4" w:rsidRPr="00025B8B" w:rsidRDefault="005E2EB4" w:rsidP="00025D1D">
      <w:pPr>
        <w:pStyle w:val="EndNoteBibliography"/>
        <w:ind w:left="400" w:hangingChars="200" w:hanging="400"/>
      </w:pPr>
      <w:r w:rsidRPr="00025B8B">
        <w:t>Dahabiyeh LA, Bustanji Y, Taha MO. 2019. The herbicide quinclorac as potent lipase inhibitor: Discovery via virtual screening and in vitro/in vivo validation. Chem Biol Drug Des 93:787-797.</w:t>
      </w:r>
    </w:p>
    <w:p w:rsidR="005E2EB4" w:rsidRPr="00025B8B" w:rsidRDefault="005E2EB4" w:rsidP="00025D1D">
      <w:pPr>
        <w:pStyle w:val="EndNoteBibliography"/>
        <w:ind w:left="400" w:hangingChars="200" w:hanging="400"/>
      </w:pPr>
      <w:r w:rsidRPr="00025B8B">
        <w:t xml:space="preserve">Delye C, Duhoux A, Pernin F, Riggins CW, </w:t>
      </w:r>
      <w:r w:rsidR="00E82678" w:rsidRPr="00025B8B">
        <w:t>Patrick J. Tranel</w:t>
      </w:r>
      <w:r w:rsidRPr="00025B8B">
        <w:t>. 2015. Molecular Mechanisms of Herbicide Resistance. Weed Science 63:91-115.</w:t>
      </w:r>
    </w:p>
    <w:p w:rsidR="005E2EB4" w:rsidRPr="00025B8B" w:rsidRDefault="005E2EB4" w:rsidP="00025D1D">
      <w:pPr>
        <w:pStyle w:val="EndNoteBibliography"/>
        <w:ind w:left="400" w:hangingChars="200" w:hanging="400"/>
      </w:pPr>
      <w:r w:rsidRPr="00025B8B">
        <w:t>Dennis PG, Kukulies T, Forstner C, Orton TG, Pattison AB. 2018. The effects of glyphosate, glufosinate, paraquat and paraquat-diquat on soil microbial activity and bacterial, archaeal and nematode diversity. Sci Rep 8:2119.</w:t>
      </w:r>
    </w:p>
    <w:p w:rsidR="005E2EB4" w:rsidRPr="00025B8B" w:rsidRDefault="005E2EB4" w:rsidP="00025D1D">
      <w:pPr>
        <w:pStyle w:val="EndNoteBibliography"/>
        <w:ind w:left="400" w:hangingChars="200" w:hanging="400"/>
      </w:pPr>
      <w:r w:rsidRPr="00025B8B">
        <w:t>Druart C, Delhomme O, de Vaufleury A, Ntcho E, Millet M. 2011. Optimization of extraction procedure and chromatographic separation of glyphosate, glufosinate and aminomethylphosphonic acid in soil. Anal Bioanal Chem 399:1725-1732.</w:t>
      </w:r>
    </w:p>
    <w:p w:rsidR="005E2EB4" w:rsidRPr="00025B8B" w:rsidRDefault="005E2EB4" w:rsidP="00025D1D">
      <w:pPr>
        <w:pStyle w:val="EndNoteBibliography"/>
        <w:ind w:left="400" w:hangingChars="200" w:hanging="400"/>
      </w:pPr>
      <w:r w:rsidRPr="00025B8B">
        <w:t>Fan X-T, Li H, Chen Q-L, Zhang Y-S, Ye J, Zhu Y-G, Su J-Q. 2019. Fate of antibiotic resistant Pseudomonas putida and broad host range plasmid in natural soil microcosms. Frontiers in Microbiology 10:194.</w:t>
      </w:r>
    </w:p>
    <w:p w:rsidR="005E2EB4" w:rsidRPr="00025B8B" w:rsidRDefault="005E2EB4" w:rsidP="00025D1D">
      <w:pPr>
        <w:pStyle w:val="EndNoteBibliography"/>
        <w:ind w:left="400" w:hangingChars="200" w:hanging="400"/>
      </w:pPr>
      <w:r w:rsidRPr="00025B8B">
        <w:t>Favrot L, Blanchard JS, Vergnolle O. 2016. Bacterial GCN5-Related N-Acetyltransferases: From Resistance to Regulation. Biochemistry 55:989-1002.</w:t>
      </w:r>
    </w:p>
    <w:p w:rsidR="005E2EB4" w:rsidRPr="00025B8B" w:rsidRDefault="005E2EB4" w:rsidP="00025D1D">
      <w:pPr>
        <w:pStyle w:val="EndNoteBibliography"/>
        <w:ind w:left="400" w:hangingChars="200" w:hanging="400"/>
      </w:pPr>
      <w:r w:rsidRPr="00025B8B">
        <w:t>Feehily C, Karatzas KA. 2013. Role of glutamate metabolism in bacterial responses towards acid and other stresses. Journal Of Applied Microbiology 114:11-24.</w:t>
      </w:r>
    </w:p>
    <w:p w:rsidR="005E2EB4" w:rsidRPr="00025B8B" w:rsidRDefault="005E2EB4" w:rsidP="00025D1D">
      <w:pPr>
        <w:pStyle w:val="EndNoteBibliography"/>
        <w:ind w:left="400" w:hangingChars="200" w:hanging="400"/>
      </w:pPr>
      <w:r w:rsidRPr="00025B8B">
        <w:t>Fischer E, Wolf H, Hantke K, Parmeggiani A. 1977. Elongation factor Tu resistant to kirromycin in an Escherichia coli mutant altered in both tuf genes. Proc Natl Acad Sci USA 74:4341-4345.</w:t>
      </w:r>
    </w:p>
    <w:p w:rsidR="005E2EB4" w:rsidRPr="00025B8B" w:rsidRDefault="005E2EB4" w:rsidP="00025D1D">
      <w:pPr>
        <w:pStyle w:val="EndNoteBibliography"/>
        <w:ind w:left="400" w:hangingChars="200" w:hanging="400"/>
      </w:pPr>
      <w:r w:rsidRPr="00025B8B">
        <w:t>Ghai I, Ghai S. 2018. Understanding antibiotic resistance via outer membrane permeability. Infection and drug resistance 11:523-530.</w:t>
      </w:r>
    </w:p>
    <w:p w:rsidR="005E2EB4" w:rsidRPr="00025B8B" w:rsidRDefault="005E2EB4" w:rsidP="00025D1D">
      <w:pPr>
        <w:pStyle w:val="EndNoteBibliography"/>
        <w:ind w:left="400" w:hangingChars="200" w:hanging="400"/>
      </w:pPr>
      <w:r w:rsidRPr="00025B8B">
        <w:t xml:space="preserve">Gullberg E, Cao S, Berg OG, Ilback C, Sandegren L, Hughes D, </w:t>
      </w:r>
      <w:r w:rsidR="00726656" w:rsidRPr="00025B8B">
        <w:t>Dan I. Andersson</w:t>
      </w:r>
      <w:r w:rsidRPr="00025B8B">
        <w:t>. 2011. Selection of resistant bacteria at very low antibiotic concentrations. PLOS Pathogens 7</w:t>
      </w:r>
      <w:r w:rsidR="00AB39E1" w:rsidRPr="00025B8B">
        <w:t>:1-9</w:t>
      </w:r>
      <w:r w:rsidRPr="00025B8B">
        <w:t>.</w:t>
      </w:r>
    </w:p>
    <w:p w:rsidR="005E2EB4" w:rsidRPr="00025B8B" w:rsidRDefault="005E2EB4" w:rsidP="00025D1D">
      <w:pPr>
        <w:pStyle w:val="EndNoteBibliography"/>
        <w:ind w:left="400" w:hangingChars="200" w:hanging="400"/>
      </w:pPr>
      <w:r w:rsidRPr="00025B8B">
        <w:t>Gupta K, Liao J, Petrova OE, Cherny KE, Sauer K. 2014. Elevated levels of the second messenger c-di-GMP contribute to antimicrobial resistance of Pseudomonas aeruginosa. Molecular Microbiology 92:488-506.</w:t>
      </w:r>
    </w:p>
    <w:p w:rsidR="005E2EB4" w:rsidRPr="00025B8B" w:rsidRDefault="005E2EB4" w:rsidP="00025D1D">
      <w:pPr>
        <w:pStyle w:val="EndNoteBibliography"/>
        <w:ind w:left="400" w:hangingChars="200" w:hanging="400"/>
      </w:pPr>
      <w:r w:rsidRPr="00025B8B">
        <w:t xml:space="preserve">Hall CW, </w:t>
      </w:r>
      <w:r w:rsidR="00E82678" w:rsidRPr="00025B8B">
        <w:t>Thien-Fah Mah</w:t>
      </w:r>
      <w:r w:rsidRPr="00025B8B">
        <w:t>. 2017. Molecular mechanisms of biofilm-based antibiotic resistance and tolerance in pathogenic bacteria. F</w:t>
      </w:r>
      <w:r w:rsidR="00E82678" w:rsidRPr="00025B8B">
        <w:t>EMS</w:t>
      </w:r>
      <w:r w:rsidRPr="00025B8B">
        <w:t xml:space="preserve"> Microbiology Reviews 41:276-301.</w:t>
      </w:r>
    </w:p>
    <w:p w:rsidR="005E2EB4" w:rsidRPr="00025B8B" w:rsidRDefault="005E2EB4" w:rsidP="00025D1D">
      <w:pPr>
        <w:pStyle w:val="EndNoteBibliography"/>
        <w:ind w:left="400" w:hangingChars="200" w:hanging="400"/>
      </w:pPr>
      <w:r w:rsidRPr="00025B8B">
        <w:t>Hu H, Zhou H, Zhou S, Li Z, Wei C, Yu Y, Hay AG. 2019. Fomesafen impacts bacterial communities and enzyme activities in the rhizosphere. Environmental Pollution 253:302-311.</w:t>
      </w:r>
    </w:p>
    <w:p w:rsidR="005E2EB4" w:rsidRPr="00025B8B" w:rsidRDefault="005E2EB4" w:rsidP="00025D1D">
      <w:pPr>
        <w:pStyle w:val="EndNoteBibliography"/>
        <w:ind w:left="400" w:hangingChars="200" w:hanging="400"/>
      </w:pPr>
      <w:r w:rsidRPr="00025B8B">
        <w:t>Huang H, Chen Y, Yang S, Zheng X. 2019. CuO and ZnO nanoparticles drive the propagation of antibiotic resistance genes during sludge anaerobic digestion: possible role of stimulated signal transduction. Environ Sci-Nano 6:528-539.</w:t>
      </w:r>
    </w:p>
    <w:p w:rsidR="005E2EB4" w:rsidRPr="00025B8B" w:rsidRDefault="005E2EB4" w:rsidP="00025D1D">
      <w:pPr>
        <w:pStyle w:val="EndNoteBibliography"/>
        <w:ind w:left="400" w:hangingChars="200" w:hanging="400"/>
      </w:pPr>
      <w:r w:rsidRPr="00025B8B">
        <w:t xml:space="preserve">Ibacache-Quiroga C, Oliveros JC, Couce A, Blázquez J. 2018. Parallel evolution of high-level aminoglycoside resistance </w:t>
      </w:r>
      <w:r w:rsidRPr="00025B8B">
        <w:lastRenderedPageBreak/>
        <w:t>in escherichia coli under low and high mutation supply rates. Frontiers in Microbiology 9</w:t>
      </w:r>
      <w:r w:rsidR="00AB39E1" w:rsidRPr="00025B8B">
        <w:t>:427</w:t>
      </w:r>
      <w:r w:rsidRPr="00025B8B">
        <w:t>.</w:t>
      </w:r>
    </w:p>
    <w:p w:rsidR="005E2EB4" w:rsidRPr="00025B8B" w:rsidRDefault="005E2EB4" w:rsidP="00025D1D">
      <w:pPr>
        <w:pStyle w:val="EndNoteBibliography"/>
        <w:ind w:left="400" w:hangingChars="200" w:hanging="400"/>
      </w:pPr>
      <w:r w:rsidRPr="00025B8B">
        <w:t>Jin M, Liu L, Wang D-n, Yang D, Liu W-l, Yin J, Yang Z-w, Wang H-r, Qiu Z-g, Shen Z-q, et al. 2020. Chlorine disinfection promotes the exchange of antibiotic resistance genes across bacterial genera by natural transformation. The ISME Journal 14:1847–1856.</w:t>
      </w:r>
    </w:p>
    <w:p w:rsidR="005E2EB4" w:rsidRPr="00025B8B" w:rsidRDefault="005E2EB4" w:rsidP="00025D1D">
      <w:pPr>
        <w:pStyle w:val="EndNoteBibliography"/>
        <w:ind w:left="400" w:hangingChars="200" w:hanging="400"/>
      </w:pPr>
      <w:r w:rsidRPr="00025B8B">
        <w:t>Katrin Bote, Judith Pöppe RM, Makarova O, Roesler U. 2019. Minimum Inhibitory concentration of glyphosate and of a glyphosate-containing herbicide formulation for escherichia coli isolates – differences between pathogenicand non-pathogenic isolates and between host species. Front. Microbiol 5:2019.00932.</w:t>
      </w:r>
    </w:p>
    <w:p w:rsidR="005E2EB4" w:rsidRPr="00025B8B" w:rsidRDefault="005E2EB4" w:rsidP="00025D1D">
      <w:pPr>
        <w:pStyle w:val="EndNoteBibliography"/>
        <w:ind w:left="400" w:hangingChars="200" w:hanging="400"/>
      </w:pPr>
      <w:r w:rsidRPr="00025B8B">
        <w:t>Kurenbach B, Gibson PS, Hill AM, Bitzer AS, Silby MW, Godsoe W, Heinemann JA. 2017. Herbicide ingredients change Salmonella enterica sv. Typhimurium and Escherichia coli antibiotic responses. Microbiology 163:1791-1801.</w:t>
      </w:r>
    </w:p>
    <w:p w:rsidR="005E2EB4" w:rsidRPr="00025B8B" w:rsidRDefault="005E2EB4" w:rsidP="00025D1D">
      <w:pPr>
        <w:pStyle w:val="EndNoteBibliography"/>
        <w:ind w:left="400" w:hangingChars="200" w:hanging="400"/>
      </w:pPr>
      <w:r w:rsidRPr="00025B8B">
        <w:t>Kurenbach B, Hill AM, Godsoe W, van Hamelsveld S, Heinemann JA. 2018. Agrichemicals and antibiotics in combination increase antibiotic resistance evolution. PeerJ 6:e5801.</w:t>
      </w:r>
    </w:p>
    <w:p w:rsidR="005E2EB4" w:rsidRPr="00025B8B" w:rsidRDefault="005E2EB4" w:rsidP="00025D1D">
      <w:pPr>
        <w:pStyle w:val="EndNoteBibliography"/>
        <w:ind w:left="400" w:hangingChars="200" w:hanging="400"/>
      </w:pPr>
      <w:r w:rsidRPr="00025B8B">
        <w:t>Kurenbach B, Marjoshi D, Amábile-Cuevas CF, Ferguson GC, Godsoe W, Gibson P, Heinemann JA. 2015. Sublethal exposure to commercial formulations of the herbicides dicamba, 2,4-dichlorophenoxyacetic acid, and glyphosate cause changes in antibiotic susceptibility in Escherichia coli and Salmonella enterica serovar Typhimurium. mBio 6:e00009-00015.</w:t>
      </w:r>
    </w:p>
    <w:p w:rsidR="005E2EB4" w:rsidRPr="00090ABD" w:rsidRDefault="005E2EB4" w:rsidP="00025D1D">
      <w:pPr>
        <w:pStyle w:val="EndNoteBibliography"/>
        <w:ind w:left="400" w:hangingChars="200" w:hanging="400"/>
        <w:rPr>
          <w:lang w:val="fi-FI"/>
        </w:rPr>
      </w:pPr>
      <w:r w:rsidRPr="00025B8B">
        <w:t xml:space="preserve">Lang GI, Rice DP, Hickman MJ, Sodergren E, Weinstock GM, Botstein D, </w:t>
      </w:r>
      <w:r w:rsidR="00E9544E" w:rsidRPr="00025B8B">
        <w:t>Michael M. Desai</w:t>
      </w:r>
      <w:r w:rsidRPr="00025B8B">
        <w:t xml:space="preserve">. 2013. Pervasive genetic hitchhiking and clonal interference in forty evolving yeast populations. </w:t>
      </w:r>
      <w:r w:rsidRPr="00090ABD">
        <w:rPr>
          <w:lang w:val="fi-FI"/>
        </w:rPr>
        <w:t>Nature 500:571-574.</w:t>
      </w:r>
    </w:p>
    <w:p w:rsidR="005E2EB4" w:rsidRPr="00025B8B" w:rsidRDefault="005E2EB4" w:rsidP="00025D1D">
      <w:pPr>
        <w:pStyle w:val="EndNoteBibliography"/>
        <w:ind w:left="400" w:hangingChars="200" w:hanging="400"/>
      </w:pPr>
      <w:r w:rsidRPr="00090ABD">
        <w:rPr>
          <w:lang w:val="fi-FI"/>
        </w:rPr>
        <w:t xml:space="preserve">Leino L, Tall T, Helander M, Saloniemi I, Saikkonen K, Ruuskanen S, Puigbò P. 2020. </w:t>
      </w:r>
      <w:r w:rsidRPr="00025B8B">
        <w:t>Classification of the glyphosate target enzyme (5-enolpyruvylshikimate-3-phosphate synthase). bioRxiv:2020.2005.2027.118265.</w:t>
      </w:r>
    </w:p>
    <w:p w:rsidR="005E2EB4" w:rsidRPr="00025B8B" w:rsidRDefault="005E2EB4" w:rsidP="00025D1D">
      <w:pPr>
        <w:pStyle w:val="EndNoteBibliography"/>
        <w:ind w:left="400" w:hangingChars="200" w:hanging="400"/>
      </w:pPr>
      <w:r w:rsidRPr="00025B8B">
        <w:t>Li M, He Y, Sun J, Li J, Bai J, Zhang C. 2019. Chronic exposure to an environmentally relevant triclosan concentration induces persistent triclosan resistance but reversible antibiotic tolerance in Escherichia coli. Environmental Science &amp; Technology 53:3277-3286.</w:t>
      </w:r>
    </w:p>
    <w:p w:rsidR="005E2EB4" w:rsidRPr="00025B8B" w:rsidRDefault="005E2EB4" w:rsidP="00025D1D">
      <w:pPr>
        <w:pStyle w:val="EndNoteBibliography"/>
        <w:ind w:left="400" w:hangingChars="200" w:hanging="400"/>
      </w:pPr>
      <w:r w:rsidRPr="00025B8B">
        <w:t>Liao H, Lu X, Rensing C, Friman VP, Geisen S, Chen Z, Yu Z, Wei Z, Zhou S, Zhu Y. 2018. Hyperthermophilic composting accelerates the removal of antibiotic resistance genes and mobile genetic elements in sewage sludge. Environmental Science &amp; Technology 52:266-276.</w:t>
      </w:r>
    </w:p>
    <w:p w:rsidR="005E2EB4" w:rsidRPr="00025B8B" w:rsidRDefault="005E2EB4" w:rsidP="00025D1D">
      <w:pPr>
        <w:pStyle w:val="EndNoteBibliography"/>
        <w:ind w:left="400" w:hangingChars="200" w:hanging="400"/>
      </w:pPr>
      <w:r w:rsidRPr="00025B8B">
        <w:t>Liao H, Zhao Q, Cui P, Chen Z, Yu Z, Geisen S, Friman V-P, Zhou S. 2019. Efficient reduction of antibiotic residues and associated resistance genes in tylosin antibiotic fermentation waste using hyperthermophilic composting. Environment International 133.</w:t>
      </w:r>
    </w:p>
    <w:p w:rsidR="005E2EB4" w:rsidRPr="00025B8B" w:rsidRDefault="005E2EB4" w:rsidP="00025D1D">
      <w:pPr>
        <w:pStyle w:val="EndNoteBibliography"/>
        <w:ind w:left="400" w:hangingChars="200" w:hanging="400"/>
      </w:pPr>
      <w:r w:rsidRPr="00025B8B">
        <w:t>Locher KP. 2016. Mechanistic diversity in ATP-binding cassette (ABC) transporters. Nat Struct Mol Biol 23:487-493.</w:t>
      </w:r>
    </w:p>
    <w:p w:rsidR="005E2EB4" w:rsidRPr="00025B8B" w:rsidRDefault="005E2EB4" w:rsidP="00025D1D">
      <w:pPr>
        <w:pStyle w:val="EndNoteBibliography"/>
        <w:ind w:left="400" w:hangingChars="200" w:hanging="400"/>
      </w:pPr>
      <w:r w:rsidRPr="00025B8B">
        <w:t>Love MI, Huber W, Anders S. 2014. Moderated estimation of fold change and dispersion for RNA-seq data with DESeq2. Genome Biology 15:550.</w:t>
      </w:r>
    </w:p>
    <w:p w:rsidR="005E2EB4" w:rsidRPr="00025B8B" w:rsidRDefault="005E2EB4" w:rsidP="00025D1D">
      <w:pPr>
        <w:pStyle w:val="EndNoteBibliography"/>
        <w:ind w:left="400" w:hangingChars="200" w:hanging="400"/>
      </w:pPr>
      <w:r w:rsidRPr="00025B8B">
        <w:t>Lu J, Jin M, Nguyen SH, Mao L, Li J, Coin LJM, Yuan Z, Guo J. 2018. Non-antibiotic antimicrobial triclosan induces multiple antibiotic resistance through genetic mutation. Environment International 118:257-265.</w:t>
      </w:r>
    </w:p>
    <w:p w:rsidR="005E2EB4" w:rsidRPr="00025B8B" w:rsidRDefault="005E2EB4" w:rsidP="00025D1D">
      <w:pPr>
        <w:pStyle w:val="EndNoteBibliography"/>
        <w:ind w:left="400" w:hangingChars="200" w:hanging="400"/>
      </w:pPr>
      <w:r w:rsidRPr="00025B8B">
        <w:t>Maggi F, Tang FHM, la Cecilia D, McBratney A. 2019. PEST-CHEMGRIDS, global gridded maps of the top 20 crop-specific pesticide application rates from 2015 to 2025. Scientific Data 6:170.</w:t>
      </w:r>
    </w:p>
    <w:p w:rsidR="005E2EB4" w:rsidRPr="00025B8B" w:rsidRDefault="005E2EB4" w:rsidP="00025D1D">
      <w:pPr>
        <w:pStyle w:val="EndNoteBibliography"/>
        <w:ind w:left="400" w:hangingChars="200" w:hanging="400"/>
      </w:pPr>
      <w:r w:rsidRPr="00025B8B">
        <w:t>May KL, Grabowicz M. 2018. The bacterial outer membrane is an evolving antibiotic barrier. Proc Natl Acad Sci USA 115:8852-8854.</w:t>
      </w:r>
    </w:p>
    <w:p w:rsidR="005E2EB4" w:rsidRPr="00025B8B" w:rsidRDefault="005E2EB4" w:rsidP="00025D1D">
      <w:pPr>
        <w:pStyle w:val="EndNoteBibliography"/>
        <w:ind w:left="400" w:hangingChars="200" w:hanging="400"/>
      </w:pPr>
      <w:r w:rsidRPr="00025B8B">
        <w:t>Motta E</w:t>
      </w:r>
      <w:r w:rsidR="0057724A" w:rsidRPr="00025B8B">
        <w:t>vs</w:t>
      </w:r>
      <w:r w:rsidRPr="00025B8B">
        <w:t>, Raymann K, Moran NA. 2018. Glyphosate perturbs the gut microbiota of honey bees. Proceedings of the National Academy of Sciences USA 115:10305-10310.</w:t>
      </w:r>
    </w:p>
    <w:p w:rsidR="005E2EB4" w:rsidRPr="00025B8B" w:rsidRDefault="005E2EB4" w:rsidP="00025D1D">
      <w:pPr>
        <w:pStyle w:val="EndNoteBibliography"/>
        <w:ind w:left="400" w:hangingChars="200" w:hanging="400"/>
      </w:pPr>
      <w:r w:rsidRPr="00025B8B">
        <w:t xml:space="preserve">Ohta D, Mori I, Ward </w:t>
      </w:r>
      <w:r w:rsidR="0057724A" w:rsidRPr="00025B8B">
        <w:t>Eric</w:t>
      </w:r>
      <w:r w:rsidRPr="00025B8B">
        <w:t>. 1997. Inhibitors of imidazoleglycerolphosphate dehydratase as herbicides. Weed Science 45:610-620.</w:t>
      </w:r>
    </w:p>
    <w:p w:rsidR="005E2EB4" w:rsidRPr="00025B8B" w:rsidRDefault="005E2EB4" w:rsidP="00025D1D">
      <w:pPr>
        <w:pStyle w:val="EndNoteBibliography"/>
        <w:ind w:left="400" w:hangingChars="200" w:hanging="400"/>
      </w:pPr>
      <w:r w:rsidRPr="00025B8B">
        <w:t>Otoshi A, Yoshimura K, Miyagawa Y, Shigeoka SJSA. 2001. Isolation of genes involved in stress tolerance by activation tagging. Science Access 3.</w:t>
      </w:r>
    </w:p>
    <w:p w:rsidR="005E2EB4" w:rsidRPr="00025B8B" w:rsidRDefault="005E2EB4" w:rsidP="00025D1D">
      <w:pPr>
        <w:pStyle w:val="EndNoteBibliography"/>
        <w:ind w:left="400" w:hangingChars="200" w:hanging="400"/>
      </w:pPr>
      <w:r w:rsidRPr="00025B8B">
        <w:t xml:space="preserve">Paul D, Chakraborty R, Mandal SM. 2019. Biocides and health-care agents are more than just antibiotics: Inducing cross </w:t>
      </w:r>
      <w:r w:rsidRPr="00025B8B">
        <w:lastRenderedPageBreak/>
        <w:t>to co-resistance in microbes. Ecotoxicol Environ Saf 174:601-610.</w:t>
      </w:r>
    </w:p>
    <w:p w:rsidR="005E2EB4" w:rsidRPr="00025B8B" w:rsidRDefault="005E2EB4" w:rsidP="00025D1D">
      <w:pPr>
        <w:pStyle w:val="EndNoteBibliography"/>
        <w:ind w:left="400" w:hangingChars="200" w:hanging="400"/>
      </w:pPr>
      <w:r w:rsidRPr="00025B8B">
        <w:t>Qiu Z, Yu Y, Chen Z, Jin M, Yang D, Zhao Z, Wang J, Shen Z, Wang X, Qian D, et al. 2012. Nanoalumina promotes the horizontal transfer of multiresistance genes mediated by plasmids across genera. Proc Natl Acad Sci USA 109:4944-4949.</w:t>
      </w:r>
    </w:p>
    <w:p w:rsidR="005E2EB4" w:rsidRPr="00025B8B" w:rsidRDefault="005E2EB4" w:rsidP="00025D1D">
      <w:pPr>
        <w:pStyle w:val="EndNoteBibliography"/>
        <w:ind w:left="400" w:hangingChars="200" w:hanging="400"/>
      </w:pPr>
      <w:r w:rsidRPr="00025B8B">
        <w:t>Quast C, Pruesse E, Yilmaz P, Gerken J, Schweer T, Yarza P, Peplies J, Glöckner FO. 2012. The SILVA ribosomal RNA gene database project: improved data processing and web-based tools. Nucleic Acids Research 41:D590-D596.</w:t>
      </w:r>
    </w:p>
    <w:p w:rsidR="005E2EB4" w:rsidRPr="00025B8B" w:rsidRDefault="005E2EB4" w:rsidP="00025D1D">
      <w:pPr>
        <w:pStyle w:val="EndNoteBibliography"/>
        <w:ind w:left="400" w:hangingChars="200" w:hanging="400"/>
      </w:pPr>
      <w:r w:rsidRPr="00025B8B">
        <w:t>Rainio MJ, Ruuskanen S, Helander M, Saikkonen K, Saloniemi I, Puigbò P. 2020. Adaptation of bacteria to glyphosate: a microevolutionary perspective of the enzyme 5-enolpyruvylshikimate-3-phosphate (EPSP) synthase. bioRxiv:2020.2006.2016.154005.</w:t>
      </w:r>
    </w:p>
    <w:p w:rsidR="005E2EB4" w:rsidRPr="00025B8B" w:rsidRDefault="005E2EB4" w:rsidP="00025D1D">
      <w:pPr>
        <w:pStyle w:val="EndNoteBibliography"/>
        <w:ind w:left="400" w:hangingChars="200" w:hanging="400"/>
      </w:pPr>
      <w:r w:rsidRPr="00025B8B">
        <w:t xml:space="preserve">Shariq I Sherwani, Ibrahim A Arif, Khan HA. 2015. </w:t>
      </w:r>
      <w:r w:rsidR="008F41C6" w:rsidRPr="00025B8B">
        <w:t>Modes of Action of Different Classes of Herbicides. In: Price, A., Kelton, J. and Sarunaite, L., Eds., Herbicides, Physiology of Action, and Safety, InTech, 165-186.</w:t>
      </w:r>
    </w:p>
    <w:p w:rsidR="005E2EB4" w:rsidRPr="00025B8B" w:rsidRDefault="005E2EB4" w:rsidP="00025D1D">
      <w:pPr>
        <w:pStyle w:val="EndNoteBibliography"/>
        <w:ind w:left="400" w:hangingChars="200" w:hanging="400"/>
      </w:pPr>
      <w:r w:rsidRPr="00025B8B">
        <w:t>Silva V, Montanarella L, Jones A, Fernández-Ugalde O, Mol HGJ, Ritsema CJ, Geissen V. 2018. Distribution of glyphosate and aminomethylphosphonic acid (AMPA) in agricultural topsoils of the European Union. Science Of The Total Environment 621:1352-1359.</w:t>
      </w:r>
    </w:p>
    <w:p w:rsidR="005E2EB4" w:rsidRPr="00025B8B" w:rsidRDefault="005E2EB4" w:rsidP="00025D1D">
      <w:pPr>
        <w:pStyle w:val="EndNoteBibliography"/>
        <w:ind w:left="400" w:hangingChars="200" w:hanging="400"/>
      </w:pPr>
      <w:r w:rsidRPr="00025B8B">
        <w:t>Staub JM, Brand L, Tran M, Kong Y, Rogers SG. 2012. Bacterial glyphosate resistance conferred by overexpression of an E. coli membrane efflux transporter. Journal of Industrial Microbiology &amp; Biotechnology 39:641-647.</w:t>
      </w:r>
    </w:p>
    <w:p w:rsidR="005E2EB4" w:rsidRPr="00025B8B" w:rsidRDefault="005E2EB4" w:rsidP="00025D1D">
      <w:pPr>
        <w:pStyle w:val="EndNoteBibliography"/>
        <w:ind w:left="400" w:hangingChars="200" w:hanging="400"/>
      </w:pPr>
      <w:r w:rsidRPr="00025B8B">
        <w:t>Suzuki S, Horinouchi T, Furusawa C. 2014. Prediction of antibiotic resistance by gene expression profiles. Nature Communications 5:5792-5792.</w:t>
      </w:r>
    </w:p>
    <w:p w:rsidR="005E2EB4" w:rsidRPr="00025B8B" w:rsidRDefault="005E2EB4" w:rsidP="00025D1D">
      <w:pPr>
        <w:pStyle w:val="EndNoteBibliography"/>
        <w:ind w:left="400" w:hangingChars="200" w:hanging="400"/>
      </w:pPr>
      <w:r w:rsidRPr="00025B8B">
        <w:t>Tanaka Y, Iwaki S, Tsukazaki T. 2017. Crystal Structure of a Plant Multidrug and Toxic Compound Extrusion Family Protein. Structure 25:1455-1460.e1452.</w:t>
      </w:r>
    </w:p>
    <w:p w:rsidR="005E2EB4" w:rsidRPr="00025B8B" w:rsidRDefault="005E2EB4" w:rsidP="00025D1D">
      <w:pPr>
        <w:pStyle w:val="EndNoteBibliography"/>
        <w:ind w:left="400" w:hangingChars="200" w:hanging="400"/>
      </w:pPr>
      <w:r w:rsidRPr="00025B8B">
        <w:t>Team RC. 2019. R: A Language and Environment for Statistical Computing. R Foundation for Statistical Computing, Vienna, Austria.</w:t>
      </w:r>
    </w:p>
    <w:p w:rsidR="005E2EB4" w:rsidRPr="00025B8B" w:rsidRDefault="005E2EB4" w:rsidP="00025D1D">
      <w:pPr>
        <w:pStyle w:val="EndNoteBibliography"/>
        <w:ind w:left="400" w:hangingChars="200" w:hanging="400"/>
      </w:pPr>
      <w:r w:rsidRPr="00025B8B">
        <w:t xml:space="preserve">Tincher C, Long H, Behringer MG, Walker N, </w:t>
      </w:r>
      <w:r w:rsidR="008F41C6" w:rsidRPr="00025B8B">
        <w:t>Michael Lynch</w:t>
      </w:r>
      <w:r w:rsidRPr="00025B8B">
        <w:t>, Genomes, Genetics. 2017. The Glyphosate-Based Herbicide Roundup Does Not Elevate Genome-Wide Mutagenesis of Escherichia coli. G3: Genes, Genomes, Genetics 7:3331-3335.</w:t>
      </w:r>
    </w:p>
    <w:p w:rsidR="005E2EB4" w:rsidRPr="00025B8B" w:rsidRDefault="005E2EB4" w:rsidP="00025D1D">
      <w:pPr>
        <w:pStyle w:val="EndNoteBibliography"/>
        <w:ind w:left="400" w:hangingChars="200" w:hanging="400"/>
      </w:pPr>
      <w:r w:rsidRPr="00025B8B">
        <w:t>Tothova T, Sobekova A, Holovska K, Legath J, Pristas P, Javorsky P. 2010. Natural glufosinate resistance of soil microorganisms and GMO safety. Central European Journal of Biology 5:656-663.</w:t>
      </w:r>
    </w:p>
    <w:p w:rsidR="005E2EB4" w:rsidRPr="00025B8B" w:rsidRDefault="005E2EB4" w:rsidP="00025D1D">
      <w:pPr>
        <w:pStyle w:val="EndNoteBibliography"/>
        <w:ind w:left="400" w:hangingChars="200" w:hanging="400"/>
      </w:pPr>
      <w:r w:rsidRPr="00025B8B">
        <w:t>Udikovic-Kolic N, Wichmann F, Broderick NA, Handelsman J. 2014. Bloom of resident antibiotic-resistant bacteria in soil following manure fertilization. Proc Natl Acad Sci USA 111:15202-15207.</w:t>
      </w:r>
    </w:p>
    <w:p w:rsidR="005E2EB4" w:rsidRPr="00025B8B" w:rsidRDefault="005E2EB4" w:rsidP="00025D1D">
      <w:pPr>
        <w:pStyle w:val="EndNoteBibliography"/>
        <w:ind w:left="400" w:hangingChars="200" w:hanging="400"/>
      </w:pPr>
      <w:r w:rsidRPr="00025B8B">
        <w:t>Valle AL, Mello FCC, Alves-Balvedi RP, Rodrigues LP, Goulart LR. 2019. Glyphosate detection: methods, needs and challenges. Environ Chem Lett 17:291-317.</w:t>
      </w:r>
    </w:p>
    <w:p w:rsidR="005E2EB4" w:rsidRPr="00025B8B" w:rsidRDefault="005E2EB4" w:rsidP="00025D1D">
      <w:pPr>
        <w:pStyle w:val="EndNoteBibliography"/>
        <w:ind w:left="400" w:hangingChars="200" w:hanging="400"/>
      </w:pPr>
      <w:r w:rsidRPr="00025B8B">
        <w:t>Voos G, Groffman PM, Pfeil M. 1994. Laboratory Analysis of 2,4-D and Dicamba Residues in Soil. Journal Of Agricultural And Food Chemistry 42:2502-2507.</w:t>
      </w:r>
    </w:p>
    <w:p w:rsidR="005E2EB4" w:rsidRPr="00025B8B" w:rsidRDefault="005E2EB4" w:rsidP="00025D1D">
      <w:pPr>
        <w:pStyle w:val="EndNoteBibliography"/>
        <w:ind w:left="400" w:hangingChars="200" w:hanging="400"/>
      </w:pPr>
      <w:r w:rsidRPr="00025B8B">
        <w:t>Wang C, Lin X, Li L, Lin S. 2016. Differential Growth Responses of Marine Phytoplankton to Herbicide Glyphosate. PLOS ONE 11:e0151633-e0151633.</w:t>
      </w:r>
    </w:p>
    <w:p w:rsidR="005E2EB4" w:rsidRPr="00025B8B" w:rsidRDefault="005E2EB4" w:rsidP="00025D1D">
      <w:pPr>
        <w:pStyle w:val="EndNoteBibliography"/>
        <w:ind w:left="400" w:hangingChars="200" w:hanging="400"/>
      </w:pPr>
      <w:r w:rsidRPr="00025B8B">
        <w:t>Wang GH, Berdy BM, Velasquez O, Jovanovic N, Alkhalifa S, Minbiole KPC, Brucker RM. 2020. Changes in Microbiome Confer Multigenerational Host Resistance after Sub-toxic Pesticide Exposure. Cell Host Microbe.</w:t>
      </w:r>
    </w:p>
    <w:p w:rsidR="005E2EB4" w:rsidRPr="00025B8B" w:rsidRDefault="005E2EB4" w:rsidP="00025D1D">
      <w:pPr>
        <w:pStyle w:val="EndNoteBibliography"/>
        <w:ind w:left="400" w:hangingChars="200" w:hanging="400"/>
      </w:pPr>
      <w:r w:rsidRPr="00025B8B">
        <w:t>Wang X, Chen Z, Mu Q, Wu X, Zhang J, Mao D, Luo Y, Alvarez PJJ. 2020. Liquid enriches the antibiotic resistome, especially efflux pump genes, before significantly affecting microbial community structure. Environmental Science &amp; Technology 54:8770–8778.</w:t>
      </w:r>
    </w:p>
    <w:p w:rsidR="005E2EB4" w:rsidRPr="00025B8B" w:rsidRDefault="005E2EB4" w:rsidP="00025D1D">
      <w:pPr>
        <w:pStyle w:val="EndNoteBibliography"/>
        <w:ind w:left="400" w:hangingChars="200" w:hanging="400"/>
      </w:pPr>
      <w:r w:rsidRPr="00025B8B">
        <w:t>Wang Y, Lu J, Engelstädter J, Zhang S, Ding P, Mao L, Yuan Z, Bond PL, Guo J. 2020. Non-antibiotic pharmaceuticals enhance the transmission of exogenous antibiotic resistance genes through bacterial transformation. The ISME Journal 14:2179-2196.</w:t>
      </w:r>
    </w:p>
    <w:p w:rsidR="005E2EB4" w:rsidRPr="00025B8B" w:rsidRDefault="005E2EB4" w:rsidP="00025D1D">
      <w:pPr>
        <w:pStyle w:val="EndNoteBibliography"/>
        <w:ind w:left="400" w:hangingChars="200" w:hanging="400"/>
      </w:pPr>
      <w:r w:rsidRPr="00025B8B">
        <w:t xml:space="preserve">Wang Y, Lu J, Mao L, Li J, Yuan Z, Bond PL, Guo J. 2019. Antiepileptic drug carbamazepine promotes horizontal transfer </w:t>
      </w:r>
      <w:r w:rsidRPr="00025B8B">
        <w:lastRenderedPageBreak/>
        <w:t>of plasmid-borne multi-antibiotic resistance genes within and across bacterial genera. The ISME Journal 13:09–522.</w:t>
      </w:r>
    </w:p>
    <w:p w:rsidR="005E2EB4" w:rsidRPr="00025B8B" w:rsidRDefault="005E2EB4" w:rsidP="00025D1D">
      <w:pPr>
        <w:pStyle w:val="EndNoteBibliography"/>
        <w:ind w:left="400" w:hangingChars="200" w:hanging="400"/>
      </w:pPr>
      <w:r w:rsidRPr="00025B8B">
        <w:t>Wells TJ, Tree JJ, Ulett GC, Schembri MA. 2007. Autotransporter proteins: novel targets at the bacterial cell surface. Fems Microbiology Letters 274:163-172.</w:t>
      </w:r>
    </w:p>
    <w:p w:rsidR="005E2EB4" w:rsidRPr="00025B8B" w:rsidRDefault="005E2EB4" w:rsidP="00025D1D">
      <w:pPr>
        <w:pStyle w:val="EndNoteBibliography"/>
        <w:ind w:left="400" w:hangingChars="200" w:hanging="400"/>
      </w:pPr>
      <w:r w:rsidRPr="00025B8B">
        <w:t>Wicke D, Schulz LM, Lentes S, Scholz P, Poehlein A, Gibhardt J, Daniel R, Ischebeck T, Commichau FM. 2019. Identification of the first glyphosate transporter by genomic adaptation. Environmental Microbiology 21:1287-1305.</w:t>
      </w:r>
    </w:p>
    <w:p w:rsidR="005E2EB4" w:rsidRPr="00025B8B" w:rsidRDefault="005E2EB4" w:rsidP="00025D1D">
      <w:pPr>
        <w:pStyle w:val="EndNoteBibliography"/>
        <w:ind w:left="400" w:hangingChars="200" w:hanging="400"/>
      </w:pPr>
      <w:r w:rsidRPr="00025B8B">
        <w:t>Xing Y, Wu S, Men Y. 2020. Exposure to environmental level pesticides stimulates and diversifies evolution in Escherichia coli towards greater antibiotic resistance. Environmental Science &amp; Technology 54:8770–8778.</w:t>
      </w:r>
    </w:p>
    <w:p w:rsidR="005E2EB4" w:rsidRPr="00025B8B" w:rsidRDefault="005E2EB4" w:rsidP="00025D1D">
      <w:pPr>
        <w:pStyle w:val="EndNoteBibliography"/>
        <w:ind w:left="400" w:hangingChars="200" w:hanging="400"/>
      </w:pPr>
      <w:r w:rsidRPr="00025B8B">
        <w:t>Xu X, Zarecki R, Medina S, Ofaim S, Liu X, Chen C, Hu S, Brom D, Gat D, Porob S, et al. 2018. Modeling microbial communities from atrazine contaminated soils promotes the development of biostimulation solutions. The ISME Journal 13:494–508.</w:t>
      </w:r>
    </w:p>
    <w:p w:rsidR="005E2EB4" w:rsidRPr="00025B8B" w:rsidRDefault="005E2EB4" w:rsidP="00025D1D">
      <w:pPr>
        <w:pStyle w:val="EndNoteBibliography"/>
        <w:ind w:left="400" w:hangingChars="200" w:hanging="400"/>
      </w:pPr>
      <w:r w:rsidRPr="00025B8B">
        <w:t>Yang L, Liu W, Zhu D, Hou J, Ma T, Wu L, Zhu Y, Christie P. 2018. Application of biosolids drives the diversity of antibiotic resistance genes in soil and lettuce at harvest. Soil Biology &amp; Biochemistry 122:131-140.</w:t>
      </w:r>
    </w:p>
    <w:p w:rsidR="005E2EB4" w:rsidRPr="00025B8B" w:rsidRDefault="005E2EB4" w:rsidP="00025D1D">
      <w:pPr>
        <w:pStyle w:val="EndNoteBibliography"/>
        <w:ind w:left="400" w:hangingChars="200" w:hanging="400"/>
      </w:pPr>
      <w:r w:rsidRPr="00025B8B">
        <w:t>Yin X, Jiang X-T, Chai B, Li L, Yang Y, Cole JR, Tiedje JM, Zhang T, Wren J. 2018. ARGs-OAP v2.0 with an expanded SARG database and Hidden Markov Models for enhancement characterization and quantification of antibiotic resistance genes in environmental metagenomes. Bioinformatics 34:2263-2270.</w:t>
      </w:r>
    </w:p>
    <w:p w:rsidR="005E2EB4" w:rsidRPr="00025B8B" w:rsidRDefault="00726656" w:rsidP="00025D1D">
      <w:pPr>
        <w:pStyle w:val="EndNoteBibliography"/>
        <w:ind w:left="400" w:hangingChars="200" w:hanging="400"/>
      </w:pPr>
      <w:r w:rsidRPr="00025B8B">
        <w:t>Yoshida Takehito, Stephen P Ellner, Laura E Jones, Brendan J. M Bohannan, Richard E Lenski, Nelson G Hairston Jr</w:t>
      </w:r>
      <w:r w:rsidR="005E2EB4" w:rsidRPr="00025B8B">
        <w:t>. 2007. Cryptic Population Dynamics: Rapid Evolution Masks Trophic Interactions. PLOS Biology 5</w:t>
      </w:r>
      <w:r w:rsidRPr="00025B8B">
        <w:t>: 1868– 1879.</w:t>
      </w:r>
    </w:p>
    <w:p w:rsidR="005E2EB4" w:rsidRPr="00025B8B" w:rsidRDefault="005E2EB4" w:rsidP="00025D1D">
      <w:pPr>
        <w:pStyle w:val="EndNoteBibliography"/>
        <w:ind w:left="400" w:hangingChars="200" w:hanging="400"/>
      </w:pPr>
      <w:r w:rsidRPr="00025B8B">
        <w:t xml:space="preserve">Zampieri M, Enke TN, Chubukov V, Ricci V, Piddock LJV, </w:t>
      </w:r>
      <w:r w:rsidR="008F41C6" w:rsidRPr="00025B8B">
        <w:t>Uwe Sauer</w:t>
      </w:r>
      <w:r w:rsidRPr="00025B8B">
        <w:t>. 2017. Metabolic constraints on the evolution of antibiotic resistance. Molecular Systems Biology 13:917-917.</w:t>
      </w:r>
    </w:p>
    <w:p w:rsidR="005E2EB4" w:rsidRPr="00025B8B" w:rsidRDefault="005E2EB4" w:rsidP="00025D1D">
      <w:pPr>
        <w:pStyle w:val="EndNoteBibliography"/>
        <w:ind w:left="400" w:hangingChars="200" w:hanging="400"/>
      </w:pPr>
      <w:r w:rsidRPr="00025B8B">
        <w:t>Zhang C, Feng L, He T-t, Yang C-h, Chen G-q, Tian X-s. 2015. Investigating the mechanisms of glyphosate resistance in goosegrass (Eleusine indica) population from South China. Journal of Integrative Agriculture 14:909-918.</w:t>
      </w:r>
    </w:p>
    <w:p w:rsidR="005E2EB4" w:rsidRPr="00025B8B" w:rsidRDefault="005E2EB4" w:rsidP="00025D1D">
      <w:pPr>
        <w:pStyle w:val="EndNoteBibliography"/>
        <w:ind w:left="400" w:hangingChars="200" w:hanging="400"/>
      </w:pPr>
      <w:r w:rsidRPr="00025B8B">
        <w:t>Zheng T, Nolan EM. 2014. Enterobactin-Mediated Delivery of β-Lactam Antibiotics Enhances Antibacterial Activity against Pathogenic Escherichia coli. Journal Of The American Chemical Society 136:9677-9691.</w:t>
      </w:r>
    </w:p>
    <w:p w:rsidR="005E2EB4" w:rsidRPr="00025B8B" w:rsidRDefault="005E2EB4" w:rsidP="00025D1D">
      <w:pPr>
        <w:spacing w:line="480" w:lineRule="auto"/>
        <w:rPr>
          <w:rFonts w:ascii="Times New Roman" w:hAnsi="Times New Roman"/>
          <w:bCs/>
          <w:color w:val="000000" w:themeColor="text1"/>
          <w:szCs w:val="21"/>
        </w:rPr>
        <w:sectPr w:rsidR="005E2EB4" w:rsidRPr="00025B8B" w:rsidSect="008B7AFA">
          <w:footerReference w:type="default" r:id="rId7"/>
          <w:pgSz w:w="11906" w:h="16838"/>
          <w:pgMar w:top="1440" w:right="1080" w:bottom="1440" w:left="1080" w:header="851" w:footer="992" w:gutter="0"/>
          <w:lnNumType w:countBy="1" w:restart="continuous"/>
          <w:cols w:space="425"/>
          <w:docGrid w:type="lines" w:linePitch="312"/>
        </w:sectPr>
      </w:pPr>
    </w:p>
    <w:p w:rsidR="005E2EB4" w:rsidRPr="00025B8B" w:rsidRDefault="005E2EB4" w:rsidP="00025D1D">
      <w:pPr>
        <w:spacing w:line="360" w:lineRule="auto"/>
        <w:rPr>
          <w:rStyle w:val="CommentReference"/>
          <w:rFonts w:ascii="Times New Roman" w:hAnsi="Times New Roman"/>
          <w:b/>
          <w:color w:val="000000" w:themeColor="text1"/>
          <w:sz w:val="24"/>
          <w:szCs w:val="24"/>
        </w:rPr>
      </w:pPr>
      <w:r w:rsidRPr="00025B8B">
        <w:rPr>
          <w:rStyle w:val="CommentReference"/>
          <w:rFonts w:ascii="Times New Roman" w:hAnsi="Times New Roman"/>
          <w:b/>
          <w:color w:val="000000" w:themeColor="text1"/>
          <w:sz w:val="24"/>
          <w:szCs w:val="24"/>
        </w:rPr>
        <w:lastRenderedPageBreak/>
        <w:t>Figure legend</w:t>
      </w:r>
    </w:p>
    <w:p w:rsidR="005E2EB4" w:rsidRPr="00025B8B" w:rsidRDefault="005E2EB4" w:rsidP="00025D1D">
      <w:pPr>
        <w:spacing w:line="360" w:lineRule="auto"/>
        <w:rPr>
          <w:rStyle w:val="CommentReference"/>
          <w:rFonts w:ascii="Times New Roman" w:hAnsi="Times New Roman"/>
          <w:color w:val="000000" w:themeColor="text1"/>
          <w:sz w:val="24"/>
          <w:szCs w:val="24"/>
        </w:rPr>
      </w:pPr>
      <w:r w:rsidRPr="00025B8B">
        <w:rPr>
          <w:rStyle w:val="CommentReference"/>
          <w:rFonts w:ascii="Times New Roman" w:hAnsi="Times New Roman"/>
          <w:b/>
          <w:color w:val="000000" w:themeColor="text1"/>
          <w:sz w:val="24"/>
          <w:szCs w:val="24"/>
        </w:rPr>
        <w:t xml:space="preserve">Fig.1 </w:t>
      </w:r>
      <w:r w:rsidRPr="00025B8B">
        <w:rPr>
          <w:rStyle w:val="CommentReference"/>
          <w:rFonts w:ascii="Times New Roman" w:hAnsi="Times New Roman"/>
          <w:color w:val="000000" w:themeColor="text1"/>
          <w:sz w:val="24"/>
          <w:szCs w:val="24"/>
        </w:rPr>
        <w:t>| The effect of herbicide exposure on bacterial abundances, diversity and community composition during soil microcosm experiment based on 16S rRNA amplicon sequencing. (</w:t>
      </w:r>
      <w:r w:rsidRPr="00025B8B">
        <w:rPr>
          <w:rStyle w:val="CommentReference"/>
          <w:rFonts w:ascii="Times New Roman" w:hAnsi="Times New Roman"/>
          <w:b/>
          <w:color w:val="000000" w:themeColor="text1"/>
          <w:sz w:val="24"/>
          <w:szCs w:val="24"/>
        </w:rPr>
        <w:t>a</w:t>
      </w:r>
      <w:r w:rsidRPr="00025B8B">
        <w:rPr>
          <w:rStyle w:val="CommentReference"/>
          <w:rFonts w:ascii="Times New Roman" w:hAnsi="Times New Roman"/>
          <w:color w:val="000000" w:themeColor="text1"/>
          <w:sz w:val="24"/>
          <w:szCs w:val="24"/>
        </w:rPr>
        <w:t>) The total bacterial abundances between control (CK), dicamba (Dic), glufosinate (Glu) and glyphosate (Gly) herbicide treatments at the end of the soil microcosm experiment (n=9 biological replicates per treatment). (</w:t>
      </w:r>
      <w:r w:rsidRPr="00025B8B">
        <w:rPr>
          <w:rStyle w:val="CommentReference"/>
          <w:rFonts w:ascii="Times New Roman" w:hAnsi="Times New Roman"/>
          <w:b/>
          <w:color w:val="000000" w:themeColor="text1"/>
          <w:sz w:val="24"/>
          <w:szCs w:val="24"/>
        </w:rPr>
        <w:t>b</w:t>
      </w:r>
      <w:r w:rsidRPr="00025B8B">
        <w:rPr>
          <w:rStyle w:val="CommentReference"/>
          <w:rFonts w:ascii="Times New Roman" w:hAnsi="Times New Roman"/>
          <w:color w:val="000000" w:themeColor="text1"/>
          <w:sz w:val="24"/>
          <w:szCs w:val="24"/>
        </w:rPr>
        <w:t>) The relative bacterial abundances at the phyla level between control and herbicide treatments at the beginning (0d), 15d, 30d and 60d after initial herbicide application. (</w:t>
      </w:r>
      <w:r w:rsidRPr="00025B8B">
        <w:rPr>
          <w:rStyle w:val="CommentReference"/>
          <w:rFonts w:ascii="Times New Roman" w:hAnsi="Times New Roman"/>
          <w:b/>
          <w:color w:val="000000" w:themeColor="text1"/>
          <w:sz w:val="24"/>
          <w:szCs w:val="24"/>
        </w:rPr>
        <w:t>c</w:t>
      </w:r>
      <w:r w:rsidRPr="00025B8B">
        <w:rPr>
          <w:rStyle w:val="CommentReference"/>
          <w:rFonts w:ascii="Times New Roman" w:hAnsi="Times New Roman"/>
          <w:color w:val="000000" w:themeColor="text1"/>
          <w:sz w:val="24"/>
          <w:szCs w:val="24"/>
        </w:rPr>
        <w:t>) Changes in bacterial community species richness (right) and alpha diversity (Shannon index; left) between control and herbicide treatments (n=9 and n=12 biological replicates per treatment for herbicide and control treatments, respectively). (</w:t>
      </w:r>
      <w:r w:rsidRPr="00025B8B">
        <w:rPr>
          <w:rStyle w:val="CommentReference"/>
          <w:rFonts w:ascii="Times New Roman" w:hAnsi="Times New Roman"/>
          <w:b/>
          <w:color w:val="000000" w:themeColor="text1"/>
          <w:sz w:val="24"/>
          <w:szCs w:val="24"/>
        </w:rPr>
        <w:t>d</w:t>
      </w:r>
      <w:r w:rsidRPr="00025B8B">
        <w:rPr>
          <w:rStyle w:val="CommentReference"/>
          <w:rFonts w:ascii="Times New Roman" w:hAnsi="Times New Roman"/>
          <w:color w:val="000000" w:themeColor="text1"/>
          <w:sz w:val="24"/>
          <w:szCs w:val="24"/>
        </w:rPr>
        <w:t>) Changes in community composition in terms of weighted-Unifrac distances between control and herbicide treatments relative to the initial soil sample. In (a, c, d) and box and violin plots encompass 25-75th percentiles, whiskers show the minimum and maximum values and the midline shows the median (dots present the biologically independent samples and n.s denotes for non-significant difference (</w:t>
      </w:r>
      <w:r w:rsidRPr="00025B8B">
        <w:rPr>
          <w:rStyle w:val="CommentReference"/>
          <w:rFonts w:ascii="Times New Roman" w:hAnsi="Times New Roman"/>
          <w:i/>
          <w:color w:val="000000" w:themeColor="text1"/>
          <w:sz w:val="24"/>
          <w:szCs w:val="24"/>
        </w:rPr>
        <w:t>p</w:t>
      </w:r>
      <w:r w:rsidRPr="00025B8B">
        <w:rPr>
          <w:rStyle w:val="CommentReference"/>
          <w:rFonts w:ascii="Times New Roman" w:hAnsi="Times New Roman"/>
          <w:color w:val="000000" w:themeColor="text1"/>
          <w:sz w:val="24"/>
          <w:szCs w:val="24"/>
        </w:rPr>
        <w:t xml:space="preserve"> ≥ 0.05)). </w:t>
      </w:r>
      <w:r w:rsidRPr="00025B8B">
        <w:rPr>
          <w:rStyle w:val="CommentReference"/>
          <w:rFonts w:ascii="Times New Roman" w:hAnsi="Times New Roman" w:hint="eastAsia"/>
          <w:color w:val="000000" w:themeColor="text1"/>
          <w:sz w:val="24"/>
          <w:szCs w:val="24"/>
        </w:rPr>
        <w:t xml:space="preserve">The significant </w:t>
      </w:r>
      <w:r w:rsidRPr="00025B8B">
        <w:rPr>
          <w:rFonts w:ascii="Times New Roman" w:hAnsi="Times New Roman"/>
          <w:color w:val="000000" w:themeColor="text1"/>
          <w:kern w:val="0"/>
          <w:sz w:val="24"/>
          <w:szCs w:val="24"/>
        </w:rPr>
        <w:t xml:space="preserve">differences between </w:t>
      </w:r>
      <w:r w:rsidRPr="00025B8B">
        <w:rPr>
          <w:rStyle w:val="CommentReference"/>
          <w:rFonts w:ascii="Times New Roman" w:hAnsi="Times New Roman"/>
          <w:color w:val="000000" w:themeColor="text1"/>
          <w:sz w:val="24"/>
          <w:szCs w:val="24"/>
        </w:rPr>
        <w:t xml:space="preserve">control </w:t>
      </w:r>
      <w:r w:rsidRPr="00025B8B">
        <w:rPr>
          <w:rStyle w:val="CommentReference"/>
          <w:rFonts w:ascii="Times New Roman" w:hAnsi="Times New Roman" w:hint="eastAsia"/>
          <w:color w:val="000000" w:themeColor="text1"/>
          <w:sz w:val="24"/>
          <w:szCs w:val="24"/>
        </w:rPr>
        <w:t>and</w:t>
      </w:r>
      <w:r w:rsidRPr="00025B8B">
        <w:rPr>
          <w:rStyle w:val="CommentReference"/>
          <w:rFonts w:ascii="Times New Roman" w:hAnsi="Times New Roman"/>
          <w:color w:val="000000" w:themeColor="text1"/>
          <w:sz w:val="24"/>
          <w:szCs w:val="24"/>
        </w:rPr>
        <w:t xml:space="preserve"> </w:t>
      </w:r>
      <w:r w:rsidRPr="00025B8B">
        <w:rPr>
          <w:rFonts w:ascii="Times New Roman" w:hAnsi="Times New Roman"/>
          <w:color w:val="000000" w:themeColor="text1"/>
          <w:kern w:val="0"/>
          <w:sz w:val="24"/>
          <w:szCs w:val="24"/>
        </w:rPr>
        <w:t>treatments were analyzed using Wilcoxon</w:t>
      </w:r>
      <w:r w:rsidRPr="00025B8B">
        <w:rPr>
          <w:rFonts w:ascii="Times New Roman" w:hAnsi="Times New Roman" w:hint="eastAsia"/>
          <w:color w:val="000000" w:themeColor="text1"/>
          <w:kern w:val="0"/>
          <w:sz w:val="24"/>
          <w:szCs w:val="24"/>
        </w:rPr>
        <w:t xml:space="preserve"> </w:t>
      </w:r>
      <w:r w:rsidRPr="00025B8B">
        <w:rPr>
          <w:rFonts w:ascii="Times New Roman" w:hAnsi="Times New Roman"/>
          <w:color w:val="000000" w:themeColor="text1"/>
          <w:kern w:val="0"/>
          <w:sz w:val="24"/>
          <w:szCs w:val="24"/>
        </w:rPr>
        <w:t>signed-rank test.</w:t>
      </w:r>
    </w:p>
    <w:p w:rsidR="005E2EB4" w:rsidRPr="00025B8B" w:rsidRDefault="005E2EB4" w:rsidP="00025D1D">
      <w:pPr>
        <w:spacing w:line="360" w:lineRule="auto"/>
        <w:rPr>
          <w:rStyle w:val="CommentReference"/>
          <w:rFonts w:ascii="Times New Roman" w:hAnsi="Times New Roman"/>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1E1DD9" w:rsidRPr="00025B8B" w:rsidRDefault="001E1DD9" w:rsidP="00025D1D">
      <w:pPr>
        <w:spacing w:line="360" w:lineRule="auto"/>
        <w:rPr>
          <w:rStyle w:val="CommentReference"/>
          <w:rFonts w:ascii="Times New Roman" w:hAnsi="Times New Roman"/>
          <w:b/>
          <w:color w:val="000000" w:themeColor="text1"/>
          <w:sz w:val="24"/>
          <w:szCs w:val="24"/>
        </w:rPr>
      </w:pPr>
    </w:p>
    <w:p w:rsidR="001E1DD9" w:rsidRPr="00025B8B" w:rsidRDefault="001E1DD9" w:rsidP="00025D1D">
      <w:pPr>
        <w:spacing w:line="360" w:lineRule="auto"/>
        <w:rPr>
          <w:rStyle w:val="CommentReference"/>
          <w:rFonts w:ascii="Times New Roman" w:hAnsi="Times New Roman"/>
          <w:b/>
          <w:color w:val="000000" w:themeColor="text1"/>
          <w:sz w:val="24"/>
          <w:szCs w:val="24"/>
        </w:rPr>
      </w:pPr>
    </w:p>
    <w:p w:rsidR="001E1DD9" w:rsidRPr="00025B8B" w:rsidRDefault="001E1DD9"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color w:val="000000" w:themeColor="text1"/>
          <w:sz w:val="24"/>
          <w:szCs w:val="24"/>
        </w:rPr>
      </w:pPr>
      <w:r w:rsidRPr="00025B8B">
        <w:rPr>
          <w:rStyle w:val="CommentReference"/>
          <w:rFonts w:ascii="Times New Roman" w:hAnsi="Times New Roman"/>
          <w:b/>
          <w:color w:val="000000" w:themeColor="text1"/>
          <w:sz w:val="24"/>
          <w:szCs w:val="24"/>
        </w:rPr>
        <w:lastRenderedPageBreak/>
        <w:t>Fig. 2</w:t>
      </w:r>
      <w:r w:rsidRPr="00025B8B">
        <w:rPr>
          <w:rStyle w:val="CommentReference"/>
          <w:rFonts w:ascii="Times New Roman" w:hAnsi="Times New Roman"/>
          <w:color w:val="000000" w:themeColor="text1"/>
          <w:sz w:val="24"/>
          <w:szCs w:val="24"/>
        </w:rPr>
        <w:t xml:space="preserve"> | Changes in the abundance, composition and diversity of ARGs and MGEs during the soil microcosm experiment based on metagenomic sequencing. (</w:t>
      </w:r>
      <w:r w:rsidRPr="00025B8B">
        <w:rPr>
          <w:rStyle w:val="CommentReference"/>
          <w:rFonts w:ascii="Times New Roman" w:hAnsi="Times New Roman"/>
          <w:b/>
          <w:color w:val="000000" w:themeColor="text1"/>
          <w:sz w:val="24"/>
          <w:szCs w:val="24"/>
        </w:rPr>
        <w:t>a</w:t>
      </w:r>
      <w:r w:rsidRPr="00025B8B">
        <w:rPr>
          <w:rStyle w:val="CommentReference"/>
          <w:rFonts w:ascii="Times New Roman" w:hAnsi="Times New Roman"/>
          <w:color w:val="000000" w:themeColor="text1"/>
          <w:sz w:val="24"/>
          <w:szCs w:val="24"/>
        </w:rPr>
        <w:t>) Changes in the number of detected ARGs and MGEs in different treatments after 30 and 60 days of initial herbicide application. (</w:t>
      </w:r>
      <w:r w:rsidRPr="00025B8B">
        <w:rPr>
          <w:rStyle w:val="CommentReference"/>
          <w:rFonts w:ascii="Times New Roman" w:hAnsi="Times New Roman"/>
          <w:b/>
          <w:color w:val="000000" w:themeColor="text1"/>
          <w:sz w:val="24"/>
          <w:szCs w:val="24"/>
        </w:rPr>
        <w:t>b</w:t>
      </w:r>
      <w:r w:rsidRPr="00025B8B">
        <w:rPr>
          <w:rStyle w:val="CommentReference"/>
          <w:rFonts w:ascii="Times New Roman" w:hAnsi="Times New Roman"/>
          <w:color w:val="000000" w:themeColor="text1"/>
          <w:sz w:val="24"/>
          <w:szCs w:val="24"/>
        </w:rPr>
        <w:t>) Heatmaps representing the mean fold changes in individual ARG (upper panel) and MGE (lower panel) abundances between different treatments relative to initial soil samples (values below 1 denote for a reduction, and values above 1, increase in gene abundances). (</w:t>
      </w:r>
      <w:r w:rsidRPr="00025B8B">
        <w:rPr>
          <w:rStyle w:val="CommentReference"/>
          <w:rFonts w:ascii="Times New Roman" w:hAnsi="Times New Roman"/>
          <w:b/>
          <w:color w:val="000000" w:themeColor="text1"/>
          <w:sz w:val="24"/>
          <w:szCs w:val="24"/>
        </w:rPr>
        <w:t>c</w:t>
      </w:r>
      <w:r w:rsidRPr="00025B8B">
        <w:rPr>
          <w:rStyle w:val="CommentReference"/>
          <w:rFonts w:ascii="Times New Roman" w:hAnsi="Times New Roman"/>
          <w:color w:val="000000" w:themeColor="text1"/>
          <w:sz w:val="24"/>
          <w:szCs w:val="24"/>
        </w:rPr>
        <w:t>) The fold changes in the total ARG (left) and MGE (right) abundances in control (CK), dicamba (Dic), glufosinate (Glu) and glyphosate (Gly) treatments after 30 and 60 days of initial herbicide application. (</w:t>
      </w:r>
      <w:r w:rsidRPr="00025B8B">
        <w:rPr>
          <w:rStyle w:val="CommentReference"/>
          <w:rFonts w:ascii="Times New Roman" w:hAnsi="Times New Roman"/>
          <w:b/>
          <w:color w:val="000000" w:themeColor="text1"/>
          <w:sz w:val="24"/>
          <w:szCs w:val="24"/>
        </w:rPr>
        <w:t>d</w:t>
      </w:r>
      <w:r w:rsidRPr="00025B8B">
        <w:rPr>
          <w:rStyle w:val="CommentReference"/>
          <w:rFonts w:ascii="Times New Roman" w:hAnsi="Times New Roman"/>
          <w:color w:val="000000" w:themeColor="text1"/>
          <w:sz w:val="24"/>
          <w:szCs w:val="24"/>
        </w:rPr>
        <w:t>) the diversity of ARGs and MGEs in different treatments. In (a-c), data shows mean ± SD of three biological replicates per treatment at each time point (n=3). In (d), data is averaged over both sampling time points showing mean ± SD of six biological replicates per treatment. In (a, c and d), box plots encompass 25-75th percentiles, whiskers show the minimum and maximum values and the midline shows the median (dots present biological replicates and asterisks denote for significant differences (*</w:t>
      </w:r>
      <w:r w:rsidRPr="00025B8B">
        <w:rPr>
          <w:rStyle w:val="CommentReference"/>
          <w:rFonts w:ascii="Times New Roman" w:hAnsi="Times New Roman"/>
          <w:i/>
          <w:color w:val="000000" w:themeColor="text1"/>
          <w:sz w:val="24"/>
          <w:szCs w:val="24"/>
        </w:rPr>
        <w:t>p</w:t>
      </w:r>
      <w:r w:rsidRPr="00025B8B">
        <w:rPr>
          <w:rStyle w:val="CommentReference"/>
          <w:rFonts w:ascii="Times New Roman" w:hAnsi="Times New Roman"/>
          <w:color w:val="000000" w:themeColor="text1"/>
          <w:sz w:val="24"/>
          <w:szCs w:val="24"/>
        </w:rPr>
        <w:t xml:space="preserve"> &lt; 0.05, **</w:t>
      </w:r>
      <w:r w:rsidRPr="00025B8B">
        <w:rPr>
          <w:rStyle w:val="CommentReference"/>
          <w:rFonts w:ascii="Times New Roman" w:hAnsi="Times New Roman"/>
          <w:i/>
          <w:color w:val="000000" w:themeColor="text1"/>
          <w:sz w:val="24"/>
          <w:szCs w:val="24"/>
        </w:rPr>
        <w:t>p</w:t>
      </w:r>
      <w:r w:rsidRPr="00025B8B">
        <w:rPr>
          <w:rStyle w:val="CommentReference"/>
          <w:rFonts w:ascii="Times New Roman" w:hAnsi="Times New Roman"/>
          <w:color w:val="000000" w:themeColor="text1"/>
          <w:sz w:val="24"/>
          <w:szCs w:val="24"/>
        </w:rPr>
        <w:t xml:space="preserve"> &lt; 0.01)). </w:t>
      </w:r>
      <w:r w:rsidRPr="00025B8B">
        <w:rPr>
          <w:rFonts w:ascii="Times New Roman" w:hAnsi="Times New Roman"/>
          <w:color w:val="000000" w:themeColor="text1"/>
          <w:kern w:val="0"/>
          <w:sz w:val="24"/>
          <w:szCs w:val="24"/>
        </w:rPr>
        <w:t>Wilcoxon</w:t>
      </w:r>
      <w:r w:rsidRPr="00025B8B">
        <w:rPr>
          <w:rFonts w:ascii="Times New Roman" w:hAnsi="Times New Roman" w:hint="eastAsia"/>
          <w:color w:val="000000" w:themeColor="text1"/>
          <w:kern w:val="0"/>
          <w:sz w:val="24"/>
          <w:szCs w:val="24"/>
        </w:rPr>
        <w:t xml:space="preserve"> </w:t>
      </w:r>
      <w:r w:rsidRPr="00025B8B">
        <w:rPr>
          <w:rFonts w:ascii="Times New Roman" w:hAnsi="Times New Roman"/>
          <w:color w:val="000000" w:themeColor="text1"/>
          <w:kern w:val="0"/>
          <w:sz w:val="24"/>
          <w:szCs w:val="24"/>
        </w:rPr>
        <w:t>signed-rank</w:t>
      </w:r>
      <w:r w:rsidRPr="00025B8B">
        <w:rPr>
          <w:rFonts w:ascii="Times New Roman" w:hAnsi="Times New Roman" w:hint="eastAsia"/>
          <w:color w:val="000000" w:themeColor="text1"/>
          <w:kern w:val="0"/>
          <w:sz w:val="24"/>
          <w:szCs w:val="24"/>
        </w:rPr>
        <w:t xml:space="preserve"> </w:t>
      </w:r>
      <w:r w:rsidRPr="00025B8B">
        <w:rPr>
          <w:rFonts w:ascii="Times New Roman" w:hAnsi="Times New Roman"/>
          <w:color w:val="000000" w:themeColor="text1"/>
          <w:kern w:val="0"/>
          <w:sz w:val="24"/>
          <w:szCs w:val="24"/>
        </w:rPr>
        <w:t xml:space="preserve">test </w:t>
      </w:r>
      <w:r w:rsidRPr="00025B8B">
        <w:rPr>
          <w:rFonts w:ascii="Times New Roman" w:hAnsi="Times New Roman" w:hint="eastAsia"/>
          <w:color w:val="000000" w:themeColor="text1"/>
          <w:kern w:val="0"/>
          <w:sz w:val="24"/>
          <w:szCs w:val="24"/>
        </w:rPr>
        <w:t>was used</w:t>
      </w:r>
      <w:r w:rsidRPr="00025B8B">
        <w:rPr>
          <w:rFonts w:ascii="Times New Roman" w:hAnsi="Times New Roman"/>
          <w:color w:val="000000" w:themeColor="text1"/>
          <w:kern w:val="0"/>
          <w:sz w:val="24"/>
          <w:szCs w:val="24"/>
        </w:rPr>
        <w:t xml:space="preserve"> </w:t>
      </w:r>
      <w:r w:rsidRPr="00025B8B">
        <w:rPr>
          <w:rFonts w:ascii="Times New Roman" w:hAnsi="Times New Roman" w:hint="eastAsia"/>
          <w:color w:val="000000" w:themeColor="text1"/>
          <w:kern w:val="0"/>
          <w:sz w:val="24"/>
          <w:szCs w:val="24"/>
        </w:rPr>
        <w:t>to</w:t>
      </w:r>
      <w:r w:rsidRPr="00025B8B">
        <w:rPr>
          <w:rFonts w:ascii="Times New Roman" w:hAnsi="Times New Roman"/>
          <w:color w:val="000000" w:themeColor="text1"/>
          <w:kern w:val="0"/>
          <w:sz w:val="24"/>
          <w:szCs w:val="24"/>
        </w:rPr>
        <w:t xml:space="preserve"> </w:t>
      </w:r>
      <w:r w:rsidRPr="00025B8B">
        <w:rPr>
          <w:rFonts w:ascii="Times New Roman" w:hAnsi="Times New Roman" w:hint="eastAsia"/>
          <w:color w:val="000000" w:themeColor="text1"/>
          <w:kern w:val="0"/>
          <w:sz w:val="24"/>
          <w:szCs w:val="24"/>
        </w:rPr>
        <w:t>analyze</w:t>
      </w:r>
      <w:r w:rsidRPr="00025B8B">
        <w:rPr>
          <w:rFonts w:ascii="Times New Roman" w:hAnsi="Times New Roman"/>
          <w:color w:val="000000" w:themeColor="text1"/>
          <w:kern w:val="0"/>
          <w:sz w:val="24"/>
          <w:szCs w:val="24"/>
        </w:rPr>
        <w:t xml:space="preserve"> </w:t>
      </w:r>
      <w:r w:rsidRPr="00025B8B">
        <w:rPr>
          <w:rFonts w:ascii="Times New Roman" w:hAnsi="Times New Roman" w:hint="eastAsia"/>
          <w:color w:val="000000" w:themeColor="text1"/>
          <w:kern w:val="0"/>
          <w:sz w:val="24"/>
          <w:szCs w:val="24"/>
        </w:rPr>
        <w:t>the difference</w:t>
      </w:r>
      <w:r w:rsidRPr="00025B8B">
        <w:rPr>
          <w:rFonts w:ascii="Times New Roman" w:hAnsi="Times New Roman"/>
          <w:color w:val="000000" w:themeColor="text1"/>
          <w:kern w:val="0"/>
          <w:sz w:val="24"/>
          <w:szCs w:val="24"/>
        </w:rPr>
        <w:t>s</w:t>
      </w:r>
      <w:r w:rsidRPr="00025B8B">
        <w:rPr>
          <w:rFonts w:ascii="Times New Roman" w:hAnsi="Times New Roman" w:hint="eastAsia"/>
          <w:color w:val="000000" w:themeColor="text1"/>
          <w:kern w:val="0"/>
          <w:sz w:val="24"/>
          <w:szCs w:val="24"/>
        </w:rPr>
        <w:t xml:space="preserve"> </w:t>
      </w:r>
      <w:r w:rsidRPr="00025B8B">
        <w:rPr>
          <w:rFonts w:ascii="Times New Roman" w:hAnsi="Times New Roman"/>
          <w:color w:val="000000" w:themeColor="text1"/>
          <w:kern w:val="0"/>
          <w:sz w:val="24"/>
          <w:szCs w:val="24"/>
        </w:rPr>
        <w:t>between</w:t>
      </w:r>
      <w:r w:rsidRPr="00025B8B">
        <w:rPr>
          <w:rStyle w:val="CommentReference"/>
          <w:rFonts w:ascii="Times New Roman" w:hAnsi="Times New Roman"/>
          <w:color w:val="000000" w:themeColor="text1"/>
          <w:sz w:val="24"/>
          <w:szCs w:val="24"/>
        </w:rPr>
        <w:t xml:space="preserve"> control </w:t>
      </w:r>
      <w:r w:rsidRPr="00025B8B">
        <w:rPr>
          <w:rStyle w:val="CommentReference"/>
          <w:rFonts w:ascii="Times New Roman" w:hAnsi="Times New Roman" w:hint="eastAsia"/>
          <w:color w:val="000000" w:themeColor="text1"/>
          <w:sz w:val="24"/>
          <w:szCs w:val="24"/>
        </w:rPr>
        <w:t>and</w:t>
      </w:r>
      <w:r w:rsidRPr="00025B8B">
        <w:rPr>
          <w:rStyle w:val="CommentReference"/>
          <w:rFonts w:ascii="Times New Roman" w:hAnsi="Times New Roman"/>
          <w:color w:val="000000" w:themeColor="text1"/>
          <w:sz w:val="24"/>
          <w:szCs w:val="24"/>
        </w:rPr>
        <w:t xml:space="preserve"> herbicide</w:t>
      </w:r>
      <w:r w:rsidRPr="00025B8B">
        <w:rPr>
          <w:rFonts w:ascii="Times New Roman" w:hAnsi="Times New Roman"/>
          <w:color w:val="000000" w:themeColor="text1"/>
          <w:kern w:val="0"/>
          <w:sz w:val="24"/>
          <w:szCs w:val="24"/>
        </w:rPr>
        <w:t xml:space="preserve"> treatments </w:t>
      </w:r>
      <w:r w:rsidRPr="00025B8B">
        <w:rPr>
          <w:rFonts w:ascii="Times New Roman" w:hAnsi="Times New Roman" w:hint="eastAsia"/>
          <w:color w:val="000000" w:themeColor="text1"/>
          <w:kern w:val="0"/>
          <w:sz w:val="24"/>
          <w:szCs w:val="24"/>
        </w:rPr>
        <w:t xml:space="preserve">at </w:t>
      </w:r>
      <w:r w:rsidRPr="00025B8B">
        <w:rPr>
          <w:rFonts w:ascii="Times New Roman" w:hAnsi="Times New Roman"/>
          <w:color w:val="000000" w:themeColor="text1"/>
          <w:kern w:val="0"/>
          <w:sz w:val="24"/>
          <w:szCs w:val="24"/>
        </w:rPr>
        <w:t>both 30</w:t>
      </w:r>
      <w:r w:rsidRPr="00025B8B">
        <w:rPr>
          <w:rFonts w:ascii="Times New Roman" w:hAnsi="Times New Roman" w:hint="eastAsia"/>
          <w:color w:val="000000" w:themeColor="text1"/>
          <w:kern w:val="0"/>
          <w:sz w:val="24"/>
          <w:szCs w:val="24"/>
        </w:rPr>
        <w:t>d</w:t>
      </w:r>
      <w:r w:rsidRPr="00025B8B">
        <w:rPr>
          <w:rFonts w:ascii="Times New Roman" w:hAnsi="Times New Roman"/>
          <w:color w:val="000000" w:themeColor="text1"/>
          <w:kern w:val="0"/>
          <w:sz w:val="24"/>
          <w:szCs w:val="24"/>
        </w:rPr>
        <w:t xml:space="preserve"> </w:t>
      </w:r>
      <w:r w:rsidRPr="00025B8B">
        <w:rPr>
          <w:rFonts w:ascii="Times New Roman" w:hAnsi="Times New Roman" w:hint="eastAsia"/>
          <w:color w:val="000000" w:themeColor="text1"/>
          <w:kern w:val="0"/>
          <w:sz w:val="24"/>
          <w:szCs w:val="24"/>
        </w:rPr>
        <w:t>and</w:t>
      </w:r>
      <w:r w:rsidRPr="00025B8B">
        <w:rPr>
          <w:rFonts w:ascii="Times New Roman" w:hAnsi="Times New Roman"/>
          <w:color w:val="000000" w:themeColor="text1"/>
          <w:kern w:val="0"/>
          <w:sz w:val="24"/>
          <w:szCs w:val="24"/>
        </w:rPr>
        <w:t xml:space="preserve"> 60</w:t>
      </w:r>
      <w:r w:rsidRPr="00025B8B">
        <w:rPr>
          <w:rFonts w:ascii="Times New Roman" w:hAnsi="Times New Roman" w:hint="eastAsia"/>
          <w:color w:val="000000" w:themeColor="text1"/>
          <w:kern w:val="0"/>
          <w:sz w:val="24"/>
          <w:szCs w:val="24"/>
        </w:rPr>
        <w:t>d time point</w:t>
      </w:r>
      <w:r w:rsidRPr="00025B8B">
        <w:rPr>
          <w:rFonts w:ascii="Times New Roman" w:hAnsi="Times New Roman"/>
          <w:color w:val="000000" w:themeColor="text1"/>
          <w:kern w:val="0"/>
          <w:sz w:val="24"/>
          <w:szCs w:val="24"/>
        </w:rPr>
        <w:t>s.</w:t>
      </w:r>
    </w:p>
    <w:p w:rsidR="005E2EB4" w:rsidRPr="00025B8B" w:rsidRDefault="005E2EB4" w:rsidP="00025D1D">
      <w:pPr>
        <w:spacing w:line="360" w:lineRule="auto"/>
        <w:rPr>
          <w:rStyle w:val="CommentReference"/>
          <w:rFonts w:ascii="Times New Roman" w:hAnsi="Times New Roman"/>
          <w:color w:val="000000" w:themeColor="text1"/>
          <w:sz w:val="24"/>
          <w:szCs w:val="24"/>
        </w:rPr>
      </w:pPr>
    </w:p>
    <w:p w:rsidR="005E2EB4" w:rsidRPr="00025B8B" w:rsidRDefault="005E2EB4" w:rsidP="00025D1D">
      <w:pPr>
        <w:spacing w:line="360" w:lineRule="auto"/>
        <w:rPr>
          <w:rStyle w:val="CommentReference"/>
          <w:rFonts w:ascii="Times New Roman" w:hAnsi="Times New Roman"/>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1E1DD9" w:rsidRPr="00025B8B" w:rsidRDefault="001E1DD9" w:rsidP="00025D1D">
      <w:pPr>
        <w:spacing w:line="360" w:lineRule="auto"/>
        <w:rPr>
          <w:rStyle w:val="CommentReference"/>
          <w:rFonts w:ascii="Times New Roman" w:hAnsi="Times New Roman"/>
          <w:b/>
          <w:color w:val="000000" w:themeColor="text1"/>
          <w:sz w:val="24"/>
          <w:szCs w:val="24"/>
        </w:rPr>
      </w:pPr>
    </w:p>
    <w:p w:rsidR="001E1DD9" w:rsidRPr="00025B8B" w:rsidRDefault="001E1DD9" w:rsidP="00025D1D">
      <w:pPr>
        <w:spacing w:line="360" w:lineRule="auto"/>
        <w:rPr>
          <w:rStyle w:val="CommentReference"/>
          <w:rFonts w:ascii="Times New Roman" w:hAnsi="Times New Roman"/>
          <w:b/>
          <w:color w:val="000000" w:themeColor="text1"/>
          <w:sz w:val="24"/>
          <w:szCs w:val="24"/>
        </w:rPr>
      </w:pPr>
    </w:p>
    <w:p w:rsidR="001E1DD9" w:rsidRPr="00025B8B" w:rsidRDefault="001E1DD9"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color w:val="000000" w:themeColor="text1"/>
          <w:sz w:val="24"/>
          <w:szCs w:val="24"/>
        </w:rPr>
      </w:pPr>
      <w:r w:rsidRPr="00025B8B">
        <w:rPr>
          <w:rStyle w:val="CommentReference"/>
          <w:rFonts w:ascii="Times New Roman" w:hAnsi="Times New Roman"/>
          <w:b/>
          <w:color w:val="000000" w:themeColor="text1"/>
          <w:sz w:val="24"/>
          <w:szCs w:val="24"/>
        </w:rPr>
        <w:lastRenderedPageBreak/>
        <w:t>Fig. 3</w:t>
      </w:r>
      <w:r w:rsidRPr="00025B8B">
        <w:rPr>
          <w:rStyle w:val="CommentReference"/>
          <w:rFonts w:ascii="Times New Roman" w:hAnsi="Times New Roman"/>
          <w:color w:val="000000" w:themeColor="text1"/>
          <w:sz w:val="24"/>
          <w:szCs w:val="24"/>
        </w:rPr>
        <w:t xml:space="preserve"> | The eﬀect of herbicide selection on the </w:t>
      </w:r>
      <w:r w:rsidRPr="00025B8B">
        <w:rPr>
          <w:rStyle w:val="CommentReference"/>
          <w:rFonts w:ascii="Times New Roman" w:hAnsi="Times New Roman"/>
          <w:i/>
          <w:color w:val="000000" w:themeColor="text1"/>
          <w:sz w:val="24"/>
          <w:szCs w:val="24"/>
        </w:rPr>
        <w:t>de novo</w:t>
      </w:r>
      <w:r w:rsidRPr="00025B8B">
        <w:rPr>
          <w:rStyle w:val="CommentReference"/>
          <w:rFonts w:ascii="Times New Roman" w:hAnsi="Times New Roman"/>
          <w:color w:val="000000" w:themeColor="text1"/>
          <w:sz w:val="24"/>
          <w:szCs w:val="24"/>
        </w:rPr>
        <w:t xml:space="preserve"> antibiotic resistance evolution and horizontal gene transfer of multidrug resistance plasmid. (</w:t>
      </w:r>
      <w:r w:rsidRPr="00025B8B">
        <w:rPr>
          <w:rStyle w:val="CommentReference"/>
          <w:rFonts w:ascii="Times New Roman" w:hAnsi="Times New Roman"/>
          <w:b/>
          <w:color w:val="000000" w:themeColor="text1"/>
          <w:sz w:val="24"/>
          <w:szCs w:val="24"/>
        </w:rPr>
        <w:t>a</w:t>
      </w:r>
      <w:r w:rsidRPr="00025B8B">
        <w:rPr>
          <w:rStyle w:val="CommentReference"/>
          <w:rFonts w:ascii="Times New Roman" w:hAnsi="Times New Roman"/>
          <w:color w:val="000000" w:themeColor="text1"/>
          <w:sz w:val="24"/>
          <w:szCs w:val="24"/>
        </w:rPr>
        <w:t>) the MIC fold changes of evolved clones relative to ancestor (WT) against amoxicillin (Amo), ampicillin (Amp), chloramphenicol (Chl), gentamicin (Gen), kanamycin (Kan), tetracycline (Tet), erythromycin (Ery), rifampicin (Rif) and streptomycin (Str) antibiotics. Evolved mutants originated from glyphosate (Gly-gen), glufosinate (Glu-str) and dicamba (Dic-amo) treatments. (</w:t>
      </w:r>
      <w:r w:rsidRPr="00025B8B">
        <w:rPr>
          <w:rStyle w:val="CommentReference"/>
          <w:rFonts w:ascii="Times New Roman" w:hAnsi="Times New Roman"/>
          <w:b/>
          <w:color w:val="000000" w:themeColor="text1"/>
          <w:sz w:val="24"/>
          <w:szCs w:val="24"/>
        </w:rPr>
        <w:t>b</w:t>
      </w:r>
      <w:r w:rsidRPr="00025B8B">
        <w:rPr>
          <w:rStyle w:val="CommentReference"/>
          <w:rFonts w:ascii="Times New Roman" w:hAnsi="Times New Roman"/>
          <w:color w:val="000000" w:themeColor="text1"/>
          <w:sz w:val="24"/>
          <w:szCs w:val="24"/>
        </w:rPr>
        <w:t>) Herbicide tolerance measured as the growth (optical density at 600 nm) of evolved and ancestor (WT) clones in high glyphosate (500 mg/L), glufosinate (3500 mg/L) and dicamba (100 mg/L) concentrations after 12 hours of incubation. (</w:t>
      </w:r>
      <w:r w:rsidRPr="00025B8B">
        <w:rPr>
          <w:rStyle w:val="CommentReference"/>
          <w:rFonts w:ascii="Times New Roman" w:hAnsi="Times New Roman"/>
          <w:b/>
          <w:color w:val="000000" w:themeColor="text1"/>
          <w:sz w:val="24"/>
          <w:szCs w:val="24"/>
        </w:rPr>
        <w:t>c</w:t>
      </w:r>
      <w:r w:rsidRPr="00025B8B">
        <w:rPr>
          <w:rStyle w:val="CommentReference"/>
          <w:rFonts w:ascii="Times New Roman" w:hAnsi="Times New Roman"/>
          <w:color w:val="000000" w:themeColor="text1"/>
          <w:sz w:val="24"/>
          <w:szCs w:val="24"/>
        </w:rPr>
        <w:t>) Circular genome plot showing parallel mutations of evolved clones associated with antibiotic (black text) and herbicide (red text) tolerance mutations. Colored circles refer to different herbicide exposure treatments, and grey and white dots the number of parallel mutations observed within herbicide treatments (in two or three replicates of total of three sequenced replicates, respectively). Text on the outer circle show the names for the mutated genes. (</w:t>
      </w:r>
      <w:r w:rsidRPr="00025B8B">
        <w:rPr>
          <w:rStyle w:val="CommentReference"/>
          <w:rFonts w:ascii="Times New Roman" w:hAnsi="Times New Roman"/>
          <w:b/>
          <w:color w:val="000000" w:themeColor="text1"/>
          <w:sz w:val="24"/>
          <w:szCs w:val="24"/>
        </w:rPr>
        <w:t>d-f</w:t>
      </w:r>
      <w:r w:rsidRPr="00025B8B">
        <w:rPr>
          <w:rStyle w:val="CommentReference"/>
          <w:rFonts w:ascii="Times New Roman" w:hAnsi="Times New Roman"/>
          <w:color w:val="000000" w:themeColor="text1"/>
          <w:sz w:val="24"/>
          <w:szCs w:val="24"/>
        </w:rPr>
        <w:t xml:space="preserve">) Fold changes in the conjugation frequency of RP4 multi-drug resistance plasmid from </w:t>
      </w:r>
      <w:r w:rsidRPr="00025B8B">
        <w:rPr>
          <w:rStyle w:val="CommentReference"/>
          <w:rFonts w:ascii="Times New Roman" w:hAnsi="Times New Roman"/>
          <w:i/>
          <w:color w:val="000000" w:themeColor="text1"/>
          <w:sz w:val="24"/>
          <w:szCs w:val="24"/>
        </w:rPr>
        <w:t>E. coli</w:t>
      </w:r>
      <w:r w:rsidRPr="00025B8B">
        <w:rPr>
          <w:rStyle w:val="CommentReference"/>
          <w:rFonts w:ascii="Times New Roman" w:hAnsi="Times New Roman"/>
          <w:color w:val="000000" w:themeColor="text1"/>
          <w:sz w:val="24"/>
          <w:szCs w:val="24"/>
        </w:rPr>
        <w:t xml:space="preserve"> HB101 donor strain to </w:t>
      </w:r>
      <w:r w:rsidRPr="00025B8B">
        <w:rPr>
          <w:rStyle w:val="CommentReference"/>
          <w:rFonts w:ascii="Times New Roman" w:hAnsi="Times New Roman"/>
          <w:i/>
          <w:color w:val="000000" w:themeColor="text1"/>
          <w:sz w:val="24"/>
          <w:szCs w:val="24"/>
        </w:rPr>
        <w:t xml:space="preserve">E. coli </w:t>
      </w:r>
      <w:r w:rsidRPr="00025B8B">
        <w:rPr>
          <w:rStyle w:val="CommentReference"/>
          <w:rFonts w:ascii="Times New Roman" w:hAnsi="Times New Roman"/>
          <w:color w:val="000000" w:themeColor="text1"/>
          <w:sz w:val="24"/>
          <w:szCs w:val="24"/>
        </w:rPr>
        <w:t xml:space="preserve">DH5α (d), </w:t>
      </w:r>
      <w:r w:rsidRPr="00025B8B">
        <w:rPr>
          <w:rStyle w:val="CommentReference"/>
          <w:rFonts w:ascii="Times New Roman" w:hAnsi="Times New Roman"/>
          <w:i/>
          <w:color w:val="000000" w:themeColor="text1"/>
          <w:sz w:val="24"/>
          <w:szCs w:val="24"/>
        </w:rPr>
        <w:t>Pseudomonas</w:t>
      </w:r>
      <w:r w:rsidRPr="00025B8B">
        <w:rPr>
          <w:rStyle w:val="CommentReference"/>
          <w:rFonts w:ascii="Times New Roman" w:hAnsi="Times New Roman"/>
          <w:color w:val="000000" w:themeColor="text1"/>
          <w:sz w:val="24"/>
          <w:szCs w:val="24"/>
        </w:rPr>
        <w:t xml:space="preserve"> spp. G1 (e) and </w:t>
      </w:r>
      <w:r w:rsidRPr="00025B8B">
        <w:rPr>
          <w:rStyle w:val="CommentReference"/>
          <w:rFonts w:ascii="Times New Roman" w:hAnsi="Times New Roman"/>
          <w:i/>
          <w:color w:val="000000" w:themeColor="text1"/>
          <w:sz w:val="24"/>
          <w:szCs w:val="24"/>
        </w:rPr>
        <w:t>Bacillus oleronius</w:t>
      </w:r>
      <w:r w:rsidRPr="00025B8B">
        <w:rPr>
          <w:rStyle w:val="CommentReference"/>
          <w:rFonts w:ascii="Times New Roman" w:hAnsi="Times New Roman"/>
          <w:color w:val="000000" w:themeColor="text1"/>
          <w:sz w:val="24"/>
          <w:szCs w:val="24"/>
        </w:rPr>
        <w:t xml:space="preserve"> C13 (f) recipient strains in different herbicide concentrations. (g) Fold changes in cell membrane permeability in the absence (CK) and presence of glyphosate (Gly), glufosinate (Glu) and dicamba (Dic) herbicides at 10 mg/L concentration (Donor: </w:t>
      </w:r>
      <w:r w:rsidRPr="00025B8B">
        <w:rPr>
          <w:rStyle w:val="CommentReference"/>
          <w:rFonts w:ascii="Times New Roman" w:hAnsi="Times New Roman"/>
          <w:i/>
          <w:color w:val="000000" w:themeColor="text1"/>
          <w:sz w:val="24"/>
          <w:szCs w:val="24"/>
        </w:rPr>
        <w:t>E. coli</w:t>
      </w:r>
      <w:r w:rsidRPr="00025B8B">
        <w:rPr>
          <w:rStyle w:val="CommentReference"/>
          <w:rFonts w:ascii="Times New Roman" w:hAnsi="Times New Roman"/>
          <w:color w:val="000000" w:themeColor="text1"/>
          <w:sz w:val="24"/>
          <w:szCs w:val="24"/>
        </w:rPr>
        <w:t xml:space="preserve"> HB101; Recipient: </w:t>
      </w:r>
      <w:r w:rsidRPr="00025B8B">
        <w:rPr>
          <w:rStyle w:val="CommentReference"/>
          <w:rFonts w:ascii="Times New Roman" w:hAnsi="Times New Roman"/>
          <w:i/>
          <w:color w:val="000000" w:themeColor="text1"/>
          <w:sz w:val="24"/>
          <w:szCs w:val="24"/>
        </w:rPr>
        <w:t>E. coli</w:t>
      </w:r>
      <w:r w:rsidRPr="00025B8B">
        <w:rPr>
          <w:rStyle w:val="CommentReference"/>
          <w:rFonts w:ascii="Times New Roman" w:hAnsi="Times New Roman"/>
          <w:color w:val="000000" w:themeColor="text1"/>
          <w:sz w:val="24"/>
          <w:szCs w:val="24"/>
        </w:rPr>
        <w:t xml:space="preserve"> DH5α; </w:t>
      </w:r>
      <w:r w:rsidRPr="00025B8B">
        <w:rPr>
          <w:rStyle w:val="CommentReference"/>
          <w:rFonts w:ascii="Times New Roman" w:hAnsi="Times New Roman"/>
          <w:i/>
          <w:color w:val="000000" w:themeColor="text1"/>
          <w:sz w:val="24"/>
          <w:szCs w:val="24"/>
        </w:rPr>
        <w:t>B. oleronius</w:t>
      </w:r>
      <w:r w:rsidRPr="00025B8B">
        <w:rPr>
          <w:rStyle w:val="CommentReference"/>
          <w:rFonts w:ascii="Times New Roman" w:hAnsi="Times New Roman"/>
          <w:color w:val="000000" w:themeColor="text1"/>
          <w:sz w:val="24"/>
          <w:szCs w:val="24"/>
        </w:rPr>
        <w:t xml:space="preserve"> C13; </w:t>
      </w:r>
      <w:r w:rsidRPr="00025B8B">
        <w:rPr>
          <w:rStyle w:val="CommentReference"/>
          <w:rFonts w:ascii="Times New Roman" w:hAnsi="Times New Roman"/>
          <w:i/>
          <w:color w:val="000000" w:themeColor="text1"/>
          <w:sz w:val="24"/>
          <w:szCs w:val="24"/>
        </w:rPr>
        <w:t>Pseudomonas</w:t>
      </w:r>
      <w:r w:rsidRPr="00025B8B">
        <w:rPr>
          <w:rStyle w:val="CommentReference"/>
          <w:rFonts w:ascii="Times New Roman" w:hAnsi="Times New Roman"/>
          <w:color w:val="000000" w:themeColor="text1"/>
          <w:sz w:val="24"/>
          <w:szCs w:val="24"/>
        </w:rPr>
        <w:t xml:space="preserve"> spp G1). In all panels (except of c), data show mean ± SD with of three biological replicates per treatment (n = 3), asterisks denote for significant differences (*</w:t>
      </w:r>
      <w:r w:rsidRPr="00025B8B">
        <w:rPr>
          <w:rStyle w:val="CommentReference"/>
          <w:rFonts w:ascii="Times New Roman" w:hAnsi="Times New Roman"/>
          <w:i/>
          <w:color w:val="000000" w:themeColor="text1"/>
          <w:sz w:val="24"/>
          <w:szCs w:val="24"/>
        </w:rPr>
        <w:t>p</w:t>
      </w:r>
      <w:r w:rsidRPr="00025B8B">
        <w:rPr>
          <w:rStyle w:val="CommentReference"/>
          <w:rFonts w:ascii="Times New Roman" w:hAnsi="Times New Roman"/>
          <w:color w:val="000000" w:themeColor="text1"/>
          <w:sz w:val="24"/>
          <w:szCs w:val="24"/>
        </w:rPr>
        <w:t xml:space="preserve"> &lt; 0.05, **</w:t>
      </w:r>
      <w:r w:rsidRPr="00025B8B">
        <w:rPr>
          <w:rStyle w:val="CommentReference"/>
          <w:rFonts w:ascii="Times New Roman" w:hAnsi="Times New Roman"/>
          <w:i/>
          <w:color w:val="000000" w:themeColor="text1"/>
          <w:sz w:val="24"/>
          <w:szCs w:val="24"/>
        </w:rPr>
        <w:t>p</w:t>
      </w:r>
      <w:r w:rsidRPr="00025B8B">
        <w:rPr>
          <w:rStyle w:val="CommentReference"/>
          <w:rFonts w:ascii="Times New Roman" w:hAnsi="Times New Roman"/>
          <w:color w:val="000000" w:themeColor="text1"/>
          <w:sz w:val="24"/>
          <w:szCs w:val="24"/>
        </w:rPr>
        <w:t xml:space="preserve"> &lt; 0.01, ***</w:t>
      </w:r>
      <w:r w:rsidRPr="00025B8B">
        <w:rPr>
          <w:rStyle w:val="CommentReference"/>
          <w:rFonts w:ascii="Times New Roman" w:hAnsi="Times New Roman"/>
          <w:i/>
          <w:color w:val="000000" w:themeColor="text1"/>
          <w:sz w:val="24"/>
          <w:szCs w:val="24"/>
        </w:rPr>
        <w:t>p</w:t>
      </w:r>
      <w:r w:rsidRPr="00025B8B">
        <w:rPr>
          <w:rStyle w:val="CommentReference"/>
          <w:rFonts w:ascii="Times New Roman" w:hAnsi="Times New Roman"/>
          <w:color w:val="000000" w:themeColor="text1"/>
          <w:sz w:val="24"/>
          <w:szCs w:val="24"/>
        </w:rPr>
        <w:t xml:space="preserve"> &lt; 0.001). </w:t>
      </w:r>
      <w:r w:rsidRPr="00025B8B">
        <w:rPr>
          <w:rStyle w:val="CommentReference"/>
          <w:rFonts w:ascii="Times New Roman" w:hAnsi="Times New Roman" w:hint="eastAsia"/>
          <w:color w:val="000000" w:themeColor="text1"/>
          <w:sz w:val="24"/>
          <w:szCs w:val="24"/>
        </w:rPr>
        <w:t xml:space="preserve">The significant </w:t>
      </w:r>
      <w:r w:rsidRPr="00025B8B">
        <w:rPr>
          <w:rFonts w:ascii="Times New Roman" w:hAnsi="Times New Roman"/>
          <w:color w:val="000000" w:themeColor="text1"/>
          <w:kern w:val="0"/>
          <w:sz w:val="24"/>
          <w:szCs w:val="24"/>
        </w:rPr>
        <w:t>differences between treatments were analyzed using ANOVA followed by</w:t>
      </w:r>
      <w:r w:rsidRPr="00025B8B">
        <w:rPr>
          <w:rFonts w:ascii="Times New Roman" w:hAnsi="Times New Roman"/>
          <w:color w:val="000000" w:themeColor="text1"/>
          <w:sz w:val="24"/>
          <w:szCs w:val="24"/>
        </w:rPr>
        <w:t xml:space="preserve"> multiple comparison</w:t>
      </w:r>
      <w:r w:rsidRPr="00025B8B">
        <w:rPr>
          <w:rFonts w:ascii="Times New Roman" w:hAnsi="Times New Roman"/>
          <w:color w:val="000000" w:themeColor="text1"/>
          <w:kern w:val="0"/>
          <w:sz w:val="24"/>
          <w:szCs w:val="24"/>
        </w:rPr>
        <w:t xml:space="preserve"> using Tukey HSD test.</w:t>
      </w:r>
    </w:p>
    <w:p w:rsidR="005E2EB4" w:rsidRPr="00025B8B" w:rsidRDefault="005E2EB4" w:rsidP="00025D1D">
      <w:pPr>
        <w:spacing w:line="360" w:lineRule="auto"/>
        <w:rPr>
          <w:rStyle w:val="CommentReference"/>
          <w:rFonts w:ascii="Times New Roman" w:hAnsi="Times New Roman"/>
          <w:color w:val="000000" w:themeColor="text1"/>
          <w:sz w:val="24"/>
          <w:szCs w:val="24"/>
        </w:rPr>
      </w:pPr>
    </w:p>
    <w:p w:rsidR="005E2EB4" w:rsidRPr="00025B8B" w:rsidRDefault="005E2EB4" w:rsidP="00025D1D">
      <w:pPr>
        <w:spacing w:line="360" w:lineRule="auto"/>
        <w:rPr>
          <w:rStyle w:val="CommentReference"/>
          <w:rFonts w:ascii="Times New Roman" w:hAnsi="Times New Roman"/>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b/>
          <w:color w:val="000000" w:themeColor="text1"/>
          <w:sz w:val="24"/>
          <w:szCs w:val="24"/>
        </w:rPr>
      </w:pPr>
    </w:p>
    <w:p w:rsidR="001E1DD9" w:rsidRPr="00025B8B" w:rsidRDefault="001E1DD9" w:rsidP="00025D1D">
      <w:pPr>
        <w:spacing w:line="360" w:lineRule="auto"/>
        <w:rPr>
          <w:rStyle w:val="CommentReference"/>
          <w:rFonts w:ascii="Times New Roman" w:hAnsi="Times New Roman"/>
          <w:b/>
          <w:color w:val="000000" w:themeColor="text1"/>
          <w:sz w:val="24"/>
          <w:szCs w:val="24"/>
        </w:rPr>
      </w:pPr>
    </w:p>
    <w:p w:rsidR="001E1DD9" w:rsidRPr="00025B8B" w:rsidRDefault="001E1DD9" w:rsidP="00025D1D">
      <w:pPr>
        <w:spacing w:line="360" w:lineRule="auto"/>
        <w:rPr>
          <w:rStyle w:val="CommentReference"/>
          <w:rFonts w:ascii="Times New Roman" w:hAnsi="Times New Roman"/>
          <w:b/>
          <w:color w:val="000000" w:themeColor="text1"/>
          <w:sz w:val="24"/>
          <w:szCs w:val="24"/>
        </w:rPr>
      </w:pPr>
    </w:p>
    <w:p w:rsidR="001E1DD9" w:rsidRPr="00025B8B" w:rsidRDefault="001E1DD9" w:rsidP="00025D1D">
      <w:pPr>
        <w:spacing w:line="360" w:lineRule="auto"/>
        <w:rPr>
          <w:rStyle w:val="CommentReference"/>
          <w:rFonts w:ascii="Times New Roman" w:hAnsi="Times New Roman"/>
          <w:b/>
          <w:color w:val="000000" w:themeColor="text1"/>
          <w:sz w:val="24"/>
          <w:szCs w:val="24"/>
        </w:rPr>
      </w:pPr>
    </w:p>
    <w:p w:rsidR="001E1DD9" w:rsidRPr="00025B8B" w:rsidRDefault="001E1DD9" w:rsidP="00025D1D">
      <w:pPr>
        <w:spacing w:line="360" w:lineRule="auto"/>
        <w:rPr>
          <w:rStyle w:val="CommentReference"/>
          <w:rFonts w:ascii="Times New Roman" w:hAnsi="Times New Roman"/>
          <w:b/>
          <w:color w:val="000000" w:themeColor="text1"/>
          <w:sz w:val="24"/>
          <w:szCs w:val="24"/>
        </w:rPr>
      </w:pPr>
    </w:p>
    <w:p w:rsidR="005E2EB4" w:rsidRPr="00025B8B" w:rsidRDefault="005E2EB4" w:rsidP="00025D1D">
      <w:pPr>
        <w:spacing w:line="360" w:lineRule="auto"/>
        <w:rPr>
          <w:rStyle w:val="CommentReference"/>
          <w:rFonts w:ascii="Times New Roman" w:hAnsi="Times New Roman"/>
          <w:color w:val="000000" w:themeColor="text1"/>
          <w:sz w:val="24"/>
          <w:szCs w:val="24"/>
        </w:rPr>
      </w:pPr>
      <w:r w:rsidRPr="00025B8B">
        <w:rPr>
          <w:rStyle w:val="CommentReference"/>
          <w:rFonts w:ascii="Times New Roman" w:hAnsi="Times New Roman"/>
          <w:b/>
          <w:color w:val="000000" w:themeColor="text1"/>
          <w:sz w:val="24"/>
          <w:szCs w:val="24"/>
        </w:rPr>
        <w:lastRenderedPageBreak/>
        <w:t xml:space="preserve">Fig. 4 </w:t>
      </w:r>
      <w:r w:rsidRPr="00025B8B">
        <w:rPr>
          <w:rStyle w:val="CommentReference"/>
          <w:rFonts w:ascii="Times New Roman" w:hAnsi="Times New Roman"/>
          <w:color w:val="000000" w:themeColor="text1"/>
          <w:sz w:val="24"/>
          <w:szCs w:val="24"/>
        </w:rPr>
        <w:t>| The effects of glyphosate herbicide application on ARG and MGE abundances across 21 sampled field sites in China based on qPCR analysis of selected target genes. (</w:t>
      </w:r>
      <w:r w:rsidRPr="00025B8B">
        <w:rPr>
          <w:rStyle w:val="CommentReference"/>
          <w:rFonts w:ascii="Times New Roman" w:hAnsi="Times New Roman"/>
          <w:b/>
          <w:color w:val="000000" w:themeColor="text1"/>
          <w:sz w:val="24"/>
          <w:szCs w:val="24"/>
        </w:rPr>
        <w:t>a-b</w:t>
      </w:r>
      <w:r w:rsidRPr="00025B8B">
        <w:rPr>
          <w:rStyle w:val="CommentReference"/>
          <w:rFonts w:ascii="Times New Roman" w:hAnsi="Times New Roman"/>
          <w:color w:val="000000" w:themeColor="text1"/>
          <w:sz w:val="24"/>
          <w:szCs w:val="24"/>
        </w:rPr>
        <w:t>) show the relative ARG and MGE abundances in fields with contrasting herbicide use histories. (</w:t>
      </w:r>
      <w:r w:rsidRPr="00025B8B">
        <w:rPr>
          <w:rStyle w:val="CommentReference"/>
          <w:rFonts w:ascii="Times New Roman" w:hAnsi="Times New Roman"/>
          <w:b/>
          <w:color w:val="000000" w:themeColor="text1"/>
          <w:sz w:val="24"/>
          <w:szCs w:val="24"/>
        </w:rPr>
        <w:t>c</w:t>
      </w:r>
      <w:r w:rsidRPr="00025B8B">
        <w:rPr>
          <w:rStyle w:val="CommentReference"/>
          <w:rFonts w:ascii="Times New Roman" w:hAnsi="Times New Roman"/>
          <w:color w:val="000000" w:themeColor="text1"/>
          <w:sz w:val="24"/>
          <w:szCs w:val="24"/>
        </w:rPr>
        <w:t>) Heatmaps represent the fold changes of individual ARG (upper panel) and MGE (lower panel) gene abundances relative to herbicide free control sites (S1-21 on X-axis denotes for 21 sampling sites). (</w:t>
      </w:r>
      <w:r w:rsidRPr="00025B8B">
        <w:rPr>
          <w:rStyle w:val="CommentReference"/>
          <w:rFonts w:ascii="Times New Roman" w:hAnsi="Times New Roman"/>
          <w:b/>
          <w:color w:val="000000" w:themeColor="text1"/>
          <w:sz w:val="24"/>
          <w:szCs w:val="24"/>
        </w:rPr>
        <w:t>d</w:t>
      </w:r>
      <w:r w:rsidRPr="00025B8B">
        <w:rPr>
          <w:rStyle w:val="CommentReference"/>
          <w:rFonts w:ascii="Times New Roman" w:hAnsi="Times New Roman"/>
          <w:color w:val="000000" w:themeColor="text1"/>
          <w:sz w:val="24"/>
          <w:szCs w:val="24"/>
        </w:rPr>
        <w:t>) The mean target gene abundances across all the sampled herbicide-sites shown as fold changes relative to herbicide-free control sites. (</w:t>
      </w:r>
      <w:r w:rsidRPr="00025B8B">
        <w:rPr>
          <w:rStyle w:val="CommentReference"/>
          <w:rFonts w:ascii="Times New Roman" w:hAnsi="Times New Roman"/>
          <w:b/>
          <w:color w:val="000000" w:themeColor="text1"/>
          <w:sz w:val="24"/>
          <w:szCs w:val="24"/>
        </w:rPr>
        <w:t>e</w:t>
      </w:r>
      <w:r w:rsidRPr="00025B8B">
        <w:rPr>
          <w:rStyle w:val="CommentReference"/>
          <w:rFonts w:ascii="Times New Roman" w:hAnsi="Times New Roman"/>
          <w:color w:val="000000" w:themeColor="text1"/>
          <w:sz w:val="24"/>
          <w:szCs w:val="24"/>
        </w:rPr>
        <w:t>) Positive correlation between relative ARG abundances and detected glyphosate residues in the sampled soils. (</w:t>
      </w:r>
      <w:r w:rsidRPr="00025B8B">
        <w:rPr>
          <w:rStyle w:val="CommentReference"/>
          <w:rFonts w:ascii="Times New Roman" w:hAnsi="Times New Roman"/>
          <w:b/>
          <w:color w:val="000000" w:themeColor="text1"/>
          <w:sz w:val="24"/>
          <w:szCs w:val="24"/>
        </w:rPr>
        <w:t>f</w:t>
      </w:r>
      <w:r w:rsidRPr="00025B8B">
        <w:rPr>
          <w:rStyle w:val="CommentReference"/>
          <w:rFonts w:ascii="Times New Roman" w:hAnsi="Times New Roman"/>
          <w:color w:val="000000" w:themeColor="text1"/>
          <w:sz w:val="24"/>
          <w:szCs w:val="24"/>
        </w:rPr>
        <w:t xml:space="preserve">) Positive correlation between relative MGE and ARG abundances across all sampled sites. The shaded area depicts the 95 % confidence interval and R2 the adjusted coefficient of determination with the slope of the best-fit trendlines. </w:t>
      </w:r>
      <w:bookmarkStart w:id="29" w:name="_Hlk60861572"/>
      <w:r w:rsidRPr="00025B8B">
        <w:rPr>
          <w:rStyle w:val="CommentReference"/>
          <w:rFonts w:ascii="Times New Roman" w:hAnsi="Times New Roman"/>
          <w:color w:val="000000" w:themeColor="text1"/>
          <w:sz w:val="24"/>
          <w:szCs w:val="24"/>
        </w:rPr>
        <w:t xml:space="preserve">In (a, b, e, f) data is based on 42 biological replicates (n=21 for each group) and data in plot (c) shows the mean values based on three technical replicates per site (n = 3). In (a, b, d), asterisks denote for significant differences based on </w:t>
      </w:r>
      <w:r w:rsidRPr="00025B8B">
        <w:rPr>
          <w:rFonts w:ascii="Times New Roman" w:hAnsi="Times New Roman"/>
          <w:color w:val="000000" w:themeColor="text1"/>
          <w:kern w:val="0"/>
          <w:sz w:val="24"/>
          <w:szCs w:val="24"/>
        </w:rPr>
        <w:t>Wilcoxon</w:t>
      </w:r>
      <w:r w:rsidRPr="00025B8B">
        <w:rPr>
          <w:rFonts w:ascii="Times New Roman" w:hAnsi="Times New Roman" w:hint="eastAsia"/>
          <w:color w:val="000000" w:themeColor="text1"/>
          <w:kern w:val="0"/>
          <w:sz w:val="24"/>
          <w:szCs w:val="24"/>
        </w:rPr>
        <w:t xml:space="preserve"> </w:t>
      </w:r>
      <w:r w:rsidRPr="00025B8B">
        <w:rPr>
          <w:rFonts w:ascii="Times New Roman" w:hAnsi="Times New Roman"/>
          <w:color w:val="000000" w:themeColor="text1"/>
          <w:kern w:val="0"/>
          <w:sz w:val="24"/>
          <w:szCs w:val="24"/>
        </w:rPr>
        <w:t xml:space="preserve">signed-rank </w:t>
      </w:r>
      <w:r w:rsidRPr="00025B8B">
        <w:rPr>
          <w:rFonts w:ascii="Times New Roman" w:hAnsi="Times New Roman" w:hint="eastAsia"/>
          <w:color w:val="000000" w:themeColor="text1"/>
          <w:kern w:val="0"/>
          <w:sz w:val="24"/>
          <w:szCs w:val="24"/>
        </w:rPr>
        <w:t>test</w:t>
      </w:r>
      <w:r w:rsidRPr="00025B8B">
        <w:rPr>
          <w:rStyle w:val="CommentReference"/>
          <w:rFonts w:ascii="Times New Roman" w:hAnsi="Times New Roman" w:hint="eastAsia"/>
          <w:color w:val="000000" w:themeColor="text1"/>
          <w:sz w:val="24"/>
          <w:szCs w:val="24"/>
        </w:rPr>
        <w:t xml:space="preserve"> </w:t>
      </w:r>
      <w:r w:rsidRPr="00025B8B">
        <w:rPr>
          <w:rStyle w:val="CommentReference"/>
          <w:rFonts w:ascii="Times New Roman" w:hAnsi="Times New Roman"/>
          <w:color w:val="000000" w:themeColor="text1"/>
          <w:sz w:val="24"/>
          <w:szCs w:val="24"/>
        </w:rPr>
        <w:t>(*</w:t>
      </w:r>
      <w:r w:rsidRPr="00025B8B">
        <w:rPr>
          <w:rStyle w:val="CommentReference"/>
          <w:rFonts w:ascii="Times New Roman" w:hAnsi="Times New Roman"/>
          <w:i/>
          <w:color w:val="000000" w:themeColor="text1"/>
          <w:sz w:val="24"/>
          <w:szCs w:val="24"/>
        </w:rPr>
        <w:t>p</w:t>
      </w:r>
      <w:r w:rsidRPr="00025B8B">
        <w:rPr>
          <w:rStyle w:val="CommentReference"/>
          <w:rFonts w:ascii="Times New Roman" w:hAnsi="Times New Roman"/>
          <w:color w:val="000000" w:themeColor="text1"/>
          <w:sz w:val="24"/>
          <w:szCs w:val="24"/>
        </w:rPr>
        <w:t xml:space="preserve"> &lt; 0.05</w:t>
      </w:r>
      <w:r w:rsidRPr="00025B8B">
        <w:rPr>
          <w:rStyle w:val="CommentReference"/>
          <w:rFonts w:ascii="Times New Roman" w:hAnsi="Times New Roman" w:hint="eastAsia"/>
          <w:color w:val="000000" w:themeColor="text1"/>
          <w:sz w:val="24"/>
          <w:szCs w:val="24"/>
        </w:rPr>
        <w:t>,</w:t>
      </w:r>
      <w:r w:rsidRPr="00025B8B">
        <w:rPr>
          <w:rStyle w:val="CommentReference"/>
          <w:rFonts w:ascii="Times New Roman" w:hAnsi="Times New Roman"/>
          <w:color w:val="000000" w:themeColor="text1"/>
          <w:sz w:val="24"/>
          <w:szCs w:val="24"/>
        </w:rPr>
        <w:t xml:space="preserve"> **</w:t>
      </w:r>
      <w:r w:rsidRPr="00025B8B">
        <w:rPr>
          <w:rStyle w:val="CommentReference"/>
          <w:rFonts w:ascii="Times New Roman" w:hAnsi="Times New Roman"/>
          <w:i/>
          <w:color w:val="000000" w:themeColor="text1"/>
          <w:sz w:val="24"/>
          <w:szCs w:val="24"/>
        </w:rPr>
        <w:t>p</w:t>
      </w:r>
      <w:r w:rsidRPr="00025B8B">
        <w:rPr>
          <w:rStyle w:val="CommentReference"/>
          <w:rFonts w:ascii="Times New Roman" w:hAnsi="Times New Roman"/>
          <w:color w:val="000000" w:themeColor="text1"/>
          <w:sz w:val="24"/>
          <w:szCs w:val="24"/>
        </w:rPr>
        <w:t xml:space="preserve"> &lt; 0.01, ***</w:t>
      </w:r>
      <w:r w:rsidRPr="00025B8B">
        <w:rPr>
          <w:rStyle w:val="CommentReference"/>
          <w:rFonts w:ascii="Times New Roman" w:hAnsi="Times New Roman"/>
          <w:i/>
          <w:color w:val="000000" w:themeColor="text1"/>
          <w:sz w:val="24"/>
          <w:szCs w:val="24"/>
        </w:rPr>
        <w:t>p</w:t>
      </w:r>
      <w:r w:rsidRPr="00025B8B">
        <w:rPr>
          <w:rStyle w:val="CommentReference"/>
          <w:rFonts w:ascii="Times New Roman" w:hAnsi="Times New Roman"/>
          <w:color w:val="000000" w:themeColor="text1"/>
          <w:sz w:val="24"/>
          <w:szCs w:val="24"/>
        </w:rPr>
        <w:t xml:space="preserve"> &lt; 0.001).</w:t>
      </w:r>
    </w:p>
    <w:bookmarkEnd w:id="29"/>
    <w:p w:rsidR="005E2EB4" w:rsidRPr="00025B8B" w:rsidRDefault="005E2EB4" w:rsidP="00025D1D">
      <w:pPr>
        <w:spacing w:line="360" w:lineRule="auto"/>
        <w:rPr>
          <w:rStyle w:val="CommentReference"/>
          <w:color w:val="000000" w:themeColor="text1"/>
        </w:rPr>
      </w:pPr>
    </w:p>
    <w:p w:rsidR="005E2EB4" w:rsidRPr="00025B8B" w:rsidRDefault="005E2EB4" w:rsidP="00025D1D">
      <w:pPr>
        <w:spacing w:line="360" w:lineRule="auto"/>
        <w:rPr>
          <w:rStyle w:val="CommentReference"/>
          <w:color w:val="000000" w:themeColor="text1"/>
        </w:rPr>
      </w:pPr>
    </w:p>
    <w:p w:rsidR="005E2EB4" w:rsidRPr="00025B8B" w:rsidRDefault="005E2EB4" w:rsidP="00025D1D">
      <w:pPr>
        <w:spacing w:line="360" w:lineRule="auto"/>
        <w:rPr>
          <w:rStyle w:val="CommentReference"/>
          <w:color w:val="000000" w:themeColor="text1"/>
        </w:rPr>
      </w:pPr>
    </w:p>
    <w:p w:rsidR="005E2EB4" w:rsidRPr="00025B8B" w:rsidRDefault="005E2EB4" w:rsidP="00025D1D">
      <w:pPr>
        <w:spacing w:line="360" w:lineRule="auto"/>
        <w:rPr>
          <w:rStyle w:val="CommentReference"/>
          <w:color w:val="000000" w:themeColor="text1"/>
        </w:rPr>
      </w:pPr>
    </w:p>
    <w:p w:rsidR="005E2EB4" w:rsidRPr="00025B8B" w:rsidRDefault="005E2EB4" w:rsidP="00025D1D">
      <w:pPr>
        <w:spacing w:line="360" w:lineRule="auto"/>
        <w:rPr>
          <w:rStyle w:val="CommentReference"/>
          <w:color w:val="000000" w:themeColor="text1"/>
        </w:rPr>
      </w:pPr>
    </w:p>
    <w:p w:rsidR="005E2EB4" w:rsidRPr="00025B8B" w:rsidRDefault="005E2EB4" w:rsidP="00025D1D">
      <w:pPr>
        <w:spacing w:line="360" w:lineRule="auto"/>
        <w:rPr>
          <w:rStyle w:val="CommentReference"/>
          <w:color w:val="000000" w:themeColor="text1"/>
        </w:rPr>
      </w:pPr>
    </w:p>
    <w:p w:rsidR="005E2EB4" w:rsidRPr="00025B8B" w:rsidRDefault="005E2EB4" w:rsidP="00025D1D">
      <w:pPr>
        <w:spacing w:line="360" w:lineRule="auto"/>
        <w:rPr>
          <w:rStyle w:val="CommentReference"/>
          <w:color w:val="000000" w:themeColor="text1"/>
        </w:rPr>
      </w:pPr>
    </w:p>
    <w:p w:rsidR="005E2EB4" w:rsidRPr="00025B8B" w:rsidRDefault="005E2EB4" w:rsidP="00025D1D">
      <w:pPr>
        <w:spacing w:line="360" w:lineRule="auto"/>
        <w:rPr>
          <w:rStyle w:val="CommentReference"/>
          <w:color w:val="000000" w:themeColor="text1"/>
        </w:rPr>
      </w:pPr>
    </w:p>
    <w:p w:rsidR="005E2EB4" w:rsidRPr="00025B8B" w:rsidRDefault="005E2EB4" w:rsidP="00025D1D">
      <w:pPr>
        <w:spacing w:line="360" w:lineRule="auto"/>
        <w:rPr>
          <w:rStyle w:val="CommentReference"/>
          <w:color w:val="000000" w:themeColor="text1"/>
        </w:rPr>
      </w:pPr>
    </w:p>
    <w:p w:rsidR="005E2EB4" w:rsidRPr="00025B8B" w:rsidRDefault="005E2EB4" w:rsidP="00025D1D">
      <w:pPr>
        <w:spacing w:line="360" w:lineRule="auto"/>
        <w:rPr>
          <w:rStyle w:val="CommentReference"/>
          <w:color w:val="000000" w:themeColor="text1"/>
        </w:rPr>
      </w:pPr>
    </w:p>
    <w:p w:rsidR="005E2EB4" w:rsidRPr="00025B8B" w:rsidRDefault="005E2EB4" w:rsidP="00025D1D">
      <w:pPr>
        <w:spacing w:line="360" w:lineRule="auto"/>
        <w:rPr>
          <w:rStyle w:val="CommentReference"/>
          <w:color w:val="000000" w:themeColor="text1"/>
        </w:rPr>
      </w:pPr>
    </w:p>
    <w:p w:rsidR="005E2EB4" w:rsidRPr="00025B8B" w:rsidRDefault="005E2EB4" w:rsidP="00025D1D">
      <w:pPr>
        <w:spacing w:line="360" w:lineRule="auto"/>
        <w:rPr>
          <w:rStyle w:val="CommentReference"/>
          <w:color w:val="000000" w:themeColor="text1"/>
        </w:rPr>
      </w:pPr>
    </w:p>
    <w:p w:rsidR="005E2EB4" w:rsidRPr="00025B8B" w:rsidRDefault="005E2EB4" w:rsidP="00025D1D">
      <w:pPr>
        <w:spacing w:line="360" w:lineRule="auto"/>
        <w:rPr>
          <w:rStyle w:val="CommentReference"/>
          <w:color w:val="000000" w:themeColor="text1"/>
        </w:rPr>
      </w:pPr>
    </w:p>
    <w:p w:rsidR="005E2EB4" w:rsidRPr="00025B8B" w:rsidRDefault="005E2EB4" w:rsidP="00025D1D">
      <w:pPr>
        <w:spacing w:line="360" w:lineRule="auto"/>
        <w:rPr>
          <w:rStyle w:val="CommentReference"/>
          <w:color w:val="000000" w:themeColor="text1"/>
        </w:rPr>
      </w:pPr>
    </w:p>
    <w:p w:rsidR="005E2EB4" w:rsidRPr="00025B8B" w:rsidRDefault="005E2EB4" w:rsidP="00025D1D">
      <w:pPr>
        <w:spacing w:line="360" w:lineRule="auto"/>
        <w:rPr>
          <w:rStyle w:val="CommentReference"/>
          <w:color w:val="000000" w:themeColor="text1"/>
        </w:rPr>
      </w:pPr>
    </w:p>
    <w:p w:rsidR="005E2EB4" w:rsidRPr="00025B8B" w:rsidRDefault="005E2EB4" w:rsidP="00025D1D">
      <w:pPr>
        <w:spacing w:line="360" w:lineRule="auto"/>
        <w:rPr>
          <w:rStyle w:val="CommentReference"/>
          <w:color w:val="000000" w:themeColor="text1"/>
        </w:rPr>
      </w:pPr>
    </w:p>
    <w:p w:rsidR="005E2EB4" w:rsidRPr="00025B8B" w:rsidRDefault="005E2EB4" w:rsidP="00025D1D">
      <w:pPr>
        <w:spacing w:line="360" w:lineRule="auto"/>
        <w:rPr>
          <w:rStyle w:val="CommentReference"/>
          <w:color w:val="000000" w:themeColor="text1"/>
          <w:lang w:val="en-GB"/>
        </w:rPr>
      </w:pPr>
    </w:p>
    <w:p w:rsidR="005E2EB4" w:rsidRPr="00025B8B" w:rsidRDefault="005E2EB4" w:rsidP="00025D1D">
      <w:pPr>
        <w:spacing w:line="360" w:lineRule="auto"/>
        <w:rPr>
          <w:rStyle w:val="CommentReference"/>
          <w:color w:val="000000" w:themeColor="text1"/>
        </w:rPr>
      </w:pPr>
    </w:p>
    <w:p w:rsidR="005E2EB4" w:rsidRPr="00025B8B" w:rsidRDefault="005E2EB4" w:rsidP="00025D1D">
      <w:pPr>
        <w:spacing w:line="360" w:lineRule="auto"/>
        <w:rPr>
          <w:rStyle w:val="CommentReference"/>
          <w:color w:val="000000" w:themeColor="text1"/>
        </w:rPr>
      </w:pPr>
    </w:p>
    <w:p w:rsidR="00920B72" w:rsidRPr="00025B8B" w:rsidRDefault="00920B72" w:rsidP="00920B72">
      <w:pPr>
        <w:spacing w:line="480" w:lineRule="auto"/>
        <w:rPr>
          <w:rFonts w:ascii="Times New Roman" w:hAnsi="Times New Roman"/>
          <w:b/>
          <w:color w:val="000000" w:themeColor="text1"/>
          <w:szCs w:val="21"/>
        </w:rPr>
      </w:pPr>
      <w:r w:rsidRPr="00025B8B">
        <w:rPr>
          <w:noProof/>
        </w:rPr>
        <w:lastRenderedPageBreak/>
        <w:drawing>
          <wp:inline distT="0" distB="0" distL="0" distR="0" wp14:anchorId="5A1CF7BB" wp14:editId="24589D52">
            <wp:extent cx="6591869" cy="402726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9449" cy="4031895"/>
                    </a:xfrm>
                    <a:prstGeom prst="rect">
                      <a:avLst/>
                    </a:prstGeom>
                    <a:noFill/>
                    <a:ln>
                      <a:noFill/>
                    </a:ln>
                  </pic:spPr>
                </pic:pic>
              </a:graphicData>
            </a:graphic>
          </wp:inline>
        </w:drawing>
      </w:r>
    </w:p>
    <w:p w:rsidR="00920B72" w:rsidRPr="00025B8B" w:rsidRDefault="00920B72" w:rsidP="00920B72">
      <w:pPr>
        <w:spacing w:line="360" w:lineRule="auto"/>
        <w:jc w:val="center"/>
        <w:rPr>
          <w:rFonts w:ascii="Times New Roman" w:hAnsi="Times New Roman"/>
          <w:color w:val="000000" w:themeColor="text1"/>
          <w:szCs w:val="21"/>
        </w:rPr>
      </w:pPr>
      <w:r w:rsidRPr="00025B8B">
        <w:rPr>
          <w:rFonts w:ascii="Times New Roman" w:hAnsi="Times New Roman"/>
          <w:b/>
          <w:color w:val="000000" w:themeColor="text1"/>
          <w:szCs w:val="21"/>
        </w:rPr>
        <w:t>Fig.1</w:t>
      </w:r>
    </w:p>
    <w:p w:rsidR="00920B72" w:rsidRPr="00025B8B" w:rsidRDefault="00920B72" w:rsidP="00920B72">
      <w:pPr>
        <w:spacing w:line="360" w:lineRule="auto"/>
        <w:rPr>
          <w:rFonts w:ascii="Times New Roman" w:hAnsi="Times New Roman"/>
          <w:color w:val="000000" w:themeColor="text1"/>
        </w:rPr>
      </w:pPr>
    </w:p>
    <w:p w:rsidR="00920B72" w:rsidRPr="00025B8B" w:rsidRDefault="00920B72" w:rsidP="00920B72">
      <w:pPr>
        <w:spacing w:line="480" w:lineRule="auto"/>
        <w:rPr>
          <w:rFonts w:ascii="Times New Roman" w:hAnsi="Times New Roman"/>
          <w:color w:val="000000" w:themeColor="text1"/>
          <w:sz w:val="24"/>
          <w:szCs w:val="24"/>
        </w:rPr>
      </w:pPr>
    </w:p>
    <w:p w:rsidR="00920B72" w:rsidRPr="00025B8B" w:rsidRDefault="00920B72" w:rsidP="00920B72">
      <w:pPr>
        <w:spacing w:line="360" w:lineRule="auto"/>
        <w:rPr>
          <w:rFonts w:ascii="Times New Roman" w:hAnsi="Times New Roman"/>
          <w:color w:val="000000" w:themeColor="text1"/>
          <w:kern w:val="0"/>
          <w:sz w:val="22"/>
          <w:szCs w:val="24"/>
        </w:rPr>
      </w:pPr>
      <w:r w:rsidRPr="00025B8B">
        <w:rPr>
          <w:rFonts w:ascii="Times New Roman" w:eastAsia="Times New Roman" w:hAnsi="Times New Roman"/>
          <w:snapToGrid w:val="0"/>
          <w:color w:val="000000" w:themeColor="text1"/>
          <w:w w:val="0"/>
          <w:kern w:val="0"/>
          <w:sz w:val="0"/>
          <w:szCs w:val="0"/>
          <w:u w:color="000000"/>
          <w:bdr w:val="none" w:sz="0" w:space="0" w:color="000000"/>
          <w:shd w:val="clear" w:color="000000" w:fill="000000"/>
          <w:lang w:val="x-none" w:eastAsia="x-none" w:bidi="x-none"/>
        </w:rPr>
        <w:lastRenderedPageBreak/>
        <w:t xml:space="preserve"> </w:t>
      </w:r>
      <w:r w:rsidRPr="00025B8B">
        <w:rPr>
          <w:noProof/>
        </w:rPr>
        <w:drawing>
          <wp:inline distT="0" distB="0" distL="0" distR="0" wp14:anchorId="76982B34" wp14:editId="46BE509E">
            <wp:extent cx="6625988" cy="6005529"/>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8435" cy="6007747"/>
                    </a:xfrm>
                    <a:prstGeom prst="rect">
                      <a:avLst/>
                    </a:prstGeom>
                    <a:noFill/>
                    <a:ln>
                      <a:noFill/>
                    </a:ln>
                  </pic:spPr>
                </pic:pic>
              </a:graphicData>
            </a:graphic>
          </wp:inline>
        </w:drawing>
      </w:r>
      <w:r w:rsidRPr="00025B8B">
        <w:rPr>
          <w:rFonts w:ascii="Times New Roman" w:hAnsi="Times New Roman"/>
          <w:color w:val="000000" w:themeColor="text1"/>
          <w:kern w:val="0"/>
          <w:sz w:val="22"/>
          <w:szCs w:val="24"/>
        </w:rPr>
        <w:t xml:space="preserve"> </w:t>
      </w:r>
    </w:p>
    <w:p w:rsidR="00920B72" w:rsidRPr="00025B8B" w:rsidRDefault="00920B72" w:rsidP="00920B72">
      <w:pPr>
        <w:jc w:val="center"/>
        <w:rPr>
          <w:rFonts w:ascii="Times New Roman" w:hAnsi="Times New Roman"/>
          <w:color w:val="000000" w:themeColor="text1"/>
          <w:szCs w:val="24"/>
        </w:rPr>
      </w:pPr>
      <w:bookmarkStart w:id="30" w:name="_Hlk43410182"/>
      <w:r w:rsidRPr="00025B8B">
        <w:rPr>
          <w:rFonts w:ascii="Times New Roman" w:hAnsi="Times New Roman" w:hint="eastAsia"/>
          <w:b/>
          <w:color w:val="000000" w:themeColor="text1"/>
          <w:szCs w:val="24"/>
        </w:rPr>
        <w:t>Fig</w:t>
      </w:r>
      <w:r w:rsidRPr="00025B8B">
        <w:rPr>
          <w:rFonts w:ascii="Times New Roman" w:hAnsi="Times New Roman"/>
          <w:b/>
          <w:color w:val="000000" w:themeColor="text1"/>
          <w:szCs w:val="24"/>
        </w:rPr>
        <w:t>. 2</w:t>
      </w:r>
      <w:bookmarkEnd w:id="30"/>
    </w:p>
    <w:p w:rsidR="00920B72" w:rsidRPr="00025B8B" w:rsidRDefault="00920B72" w:rsidP="00920B72">
      <w:pPr>
        <w:rPr>
          <w:rFonts w:ascii="Times New Roman" w:hAnsi="Times New Roman"/>
          <w:color w:val="000000" w:themeColor="text1"/>
          <w:szCs w:val="24"/>
        </w:rPr>
      </w:pPr>
    </w:p>
    <w:p w:rsidR="00920B72" w:rsidRPr="00025B8B" w:rsidRDefault="00920B72" w:rsidP="00920B72">
      <w:pPr>
        <w:spacing w:line="360" w:lineRule="auto"/>
        <w:rPr>
          <w:rStyle w:val="CommentReference"/>
          <w:color w:val="000000" w:themeColor="text1"/>
        </w:rPr>
      </w:pPr>
      <w:r w:rsidRPr="00025B8B">
        <w:rPr>
          <w:rStyle w:val="CommentReference"/>
          <w:color w:val="000000" w:themeColor="text1"/>
        </w:rPr>
        <w:t xml:space="preserve"> </w:t>
      </w:r>
    </w:p>
    <w:p w:rsidR="00920B72" w:rsidRPr="00025B8B" w:rsidRDefault="00920B72" w:rsidP="00920B72">
      <w:pPr>
        <w:spacing w:line="360" w:lineRule="auto"/>
        <w:rPr>
          <w:noProof/>
          <w:color w:val="000000" w:themeColor="text1"/>
        </w:rPr>
        <w:sectPr w:rsidR="00920B72" w:rsidRPr="00025B8B" w:rsidSect="005248E4">
          <w:footerReference w:type="default" r:id="rId10"/>
          <w:pgSz w:w="11906" w:h="16838"/>
          <w:pgMar w:top="720" w:right="720" w:bottom="720" w:left="720" w:header="851" w:footer="992" w:gutter="0"/>
          <w:cols w:space="425"/>
          <w:docGrid w:type="lines" w:linePitch="312"/>
        </w:sectPr>
      </w:pPr>
    </w:p>
    <w:p w:rsidR="00920B72" w:rsidRPr="00025B8B" w:rsidRDefault="00096DCE" w:rsidP="00920B72">
      <w:pPr>
        <w:spacing w:line="360" w:lineRule="auto"/>
        <w:rPr>
          <w:noProof/>
          <w:color w:val="000000" w:themeColor="text1"/>
        </w:rPr>
      </w:pPr>
      <w:r>
        <w:rPr>
          <w:noProof/>
        </w:rPr>
        <w:lastRenderedPageBreak/>
        <w:drawing>
          <wp:inline distT="0" distB="0" distL="0" distR="0">
            <wp:extent cx="9251950" cy="3555897"/>
            <wp:effectExtent l="0" t="0" r="635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1950" cy="3555897"/>
                    </a:xfrm>
                    <a:prstGeom prst="rect">
                      <a:avLst/>
                    </a:prstGeom>
                    <a:noFill/>
                    <a:ln>
                      <a:noFill/>
                    </a:ln>
                  </pic:spPr>
                </pic:pic>
              </a:graphicData>
            </a:graphic>
          </wp:inline>
        </w:drawing>
      </w:r>
    </w:p>
    <w:p w:rsidR="00920B72" w:rsidRPr="00025B8B" w:rsidRDefault="00920B72" w:rsidP="00920B72">
      <w:pPr>
        <w:jc w:val="center"/>
        <w:rPr>
          <w:rFonts w:ascii="Times New Roman" w:hAnsi="Times New Roman"/>
          <w:color w:val="000000" w:themeColor="text1"/>
          <w:szCs w:val="21"/>
        </w:rPr>
      </w:pPr>
      <w:r w:rsidRPr="00025B8B">
        <w:rPr>
          <w:rFonts w:ascii="Times New Roman" w:hAnsi="Times New Roman"/>
          <w:b/>
          <w:color w:val="000000" w:themeColor="text1"/>
          <w:szCs w:val="21"/>
        </w:rPr>
        <w:t>Fig. 3</w:t>
      </w:r>
    </w:p>
    <w:p w:rsidR="00920B72" w:rsidRPr="00025B8B" w:rsidRDefault="00920B72" w:rsidP="00920B72">
      <w:pPr>
        <w:spacing w:line="360" w:lineRule="auto"/>
        <w:rPr>
          <w:noProof/>
          <w:color w:val="000000" w:themeColor="text1"/>
        </w:rPr>
      </w:pPr>
      <w:r w:rsidRPr="00025B8B">
        <w:rPr>
          <w:noProof/>
        </w:rPr>
        <w:lastRenderedPageBreak/>
        <w:drawing>
          <wp:inline distT="0" distB="0" distL="0" distR="0" wp14:anchorId="197BF306" wp14:editId="4326DB09">
            <wp:extent cx="9251950" cy="421701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51950" cy="4217015"/>
                    </a:xfrm>
                    <a:prstGeom prst="rect">
                      <a:avLst/>
                    </a:prstGeom>
                    <a:noFill/>
                    <a:ln>
                      <a:noFill/>
                    </a:ln>
                  </pic:spPr>
                </pic:pic>
              </a:graphicData>
            </a:graphic>
          </wp:inline>
        </w:drawing>
      </w:r>
    </w:p>
    <w:p w:rsidR="00920B72" w:rsidRPr="00025B8B" w:rsidRDefault="00920B72" w:rsidP="00920B72">
      <w:pPr>
        <w:jc w:val="center"/>
        <w:rPr>
          <w:rFonts w:ascii="Times New Roman" w:hAnsi="Times New Roman"/>
          <w:b/>
          <w:color w:val="000000" w:themeColor="text1"/>
          <w:szCs w:val="21"/>
        </w:rPr>
        <w:sectPr w:rsidR="00920B72" w:rsidRPr="00025B8B" w:rsidSect="00093264">
          <w:pgSz w:w="16838" w:h="11906" w:orient="landscape"/>
          <w:pgMar w:top="1134" w:right="1134" w:bottom="1134" w:left="1134" w:header="851" w:footer="992" w:gutter="0"/>
          <w:cols w:space="425"/>
          <w:docGrid w:type="lines" w:linePitch="312"/>
        </w:sectPr>
      </w:pPr>
      <w:r w:rsidRPr="00025B8B">
        <w:rPr>
          <w:rFonts w:ascii="Times New Roman" w:hAnsi="Times New Roman" w:hint="eastAsia"/>
          <w:b/>
          <w:color w:val="000000" w:themeColor="text1"/>
          <w:szCs w:val="21"/>
        </w:rPr>
        <w:t>Fig</w:t>
      </w:r>
      <w:r w:rsidRPr="00025B8B">
        <w:rPr>
          <w:rFonts w:ascii="Times New Roman" w:hAnsi="Times New Roman"/>
          <w:b/>
          <w:color w:val="000000" w:themeColor="text1"/>
          <w:szCs w:val="21"/>
        </w:rPr>
        <w:t>.4</w:t>
      </w:r>
    </w:p>
    <w:p w:rsidR="005E2EB4" w:rsidRPr="00025B8B" w:rsidRDefault="005E2EB4" w:rsidP="00025D1D">
      <w:pPr>
        <w:spacing w:line="276" w:lineRule="auto"/>
        <w:jc w:val="center"/>
        <w:rPr>
          <w:rFonts w:ascii="Times New Roman" w:hAnsi="Times New Roman"/>
          <w:color w:val="000000" w:themeColor="text1"/>
          <w:sz w:val="24"/>
          <w:szCs w:val="24"/>
          <w:lang w:val="en-GB"/>
        </w:rPr>
      </w:pPr>
      <w:r w:rsidRPr="00025B8B">
        <w:rPr>
          <w:rFonts w:ascii="Times New Roman" w:hAnsi="Times New Roman"/>
          <w:b/>
          <w:color w:val="000000" w:themeColor="text1"/>
          <w:sz w:val="24"/>
          <w:szCs w:val="24"/>
          <w:lang w:val="en-GB"/>
        </w:rPr>
        <w:lastRenderedPageBreak/>
        <w:t>Table 1</w:t>
      </w:r>
      <w:r w:rsidRPr="00025B8B">
        <w:rPr>
          <w:rFonts w:ascii="Times New Roman" w:hAnsi="Times New Roman"/>
          <w:color w:val="000000" w:themeColor="text1"/>
          <w:sz w:val="24"/>
          <w:szCs w:val="24"/>
          <w:lang w:val="en-GB"/>
        </w:rPr>
        <w:t xml:space="preserve"> The genetic mutations linked with antibiotic (black text) and herbicide (red text) resistances for nine clones evolved in different herbicide exposure treatments.</w:t>
      </w:r>
    </w:p>
    <w:p w:rsidR="005E2EB4" w:rsidRPr="00025B8B" w:rsidRDefault="005E2EB4" w:rsidP="00025D1D">
      <w:pPr>
        <w:rPr>
          <w:lang w:val="en-GB"/>
        </w:rPr>
      </w:pPr>
    </w:p>
    <w:tbl>
      <w:tblPr>
        <w:tblW w:w="19835" w:type="dxa"/>
        <w:jc w:val="center"/>
        <w:tblLook w:val="04A0" w:firstRow="1" w:lastRow="0" w:firstColumn="1" w:lastColumn="0" w:noHBand="0" w:noVBand="1"/>
      </w:tblPr>
      <w:tblGrid>
        <w:gridCol w:w="1078"/>
        <w:gridCol w:w="326"/>
        <w:gridCol w:w="347"/>
        <w:gridCol w:w="348"/>
        <w:gridCol w:w="347"/>
        <w:gridCol w:w="348"/>
        <w:gridCol w:w="348"/>
        <w:gridCol w:w="347"/>
        <w:gridCol w:w="347"/>
        <w:gridCol w:w="349"/>
        <w:gridCol w:w="1157"/>
        <w:gridCol w:w="2790"/>
        <w:gridCol w:w="1497"/>
        <w:gridCol w:w="5387"/>
        <w:gridCol w:w="4819"/>
      </w:tblGrid>
      <w:tr w:rsidR="005E2EB4" w:rsidRPr="00025B8B" w:rsidTr="00025D1D">
        <w:trPr>
          <w:trHeight w:val="415"/>
          <w:jc w:val="center"/>
        </w:trPr>
        <w:tc>
          <w:tcPr>
            <w:tcW w:w="10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E2EB4" w:rsidRPr="00025B8B" w:rsidRDefault="005E2EB4" w:rsidP="00025D1D">
            <w:pPr>
              <w:widowControl/>
              <w:jc w:val="center"/>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 xml:space="preserve">Position </w:t>
            </w:r>
          </w:p>
        </w:tc>
        <w:tc>
          <w:tcPr>
            <w:tcW w:w="1021" w:type="dxa"/>
            <w:gridSpan w:val="3"/>
            <w:tcBorders>
              <w:top w:val="single" w:sz="8" w:space="0" w:color="auto"/>
              <w:left w:val="nil"/>
              <w:bottom w:val="single" w:sz="8" w:space="0" w:color="auto"/>
              <w:right w:val="single" w:sz="8" w:space="0" w:color="000000"/>
            </w:tcBorders>
            <w:shd w:val="clear" w:color="auto" w:fill="auto"/>
            <w:noWrap/>
            <w:vAlign w:val="center"/>
            <w:hideMark/>
          </w:tcPr>
          <w:p w:rsidR="005E2EB4" w:rsidRPr="00025B8B" w:rsidRDefault="005E2EB4" w:rsidP="00025D1D">
            <w:pPr>
              <w:widowControl/>
              <w:jc w:val="center"/>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Glu-str</w:t>
            </w:r>
          </w:p>
        </w:tc>
        <w:tc>
          <w:tcPr>
            <w:tcW w:w="1043" w:type="dxa"/>
            <w:gridSpan w:val="3"/>
            <w:tcBorders>
              <w:top w:val="single" w:sz="8" w:space="0" w:color="auto"/>
              <w:left w:val="nil"/>
              <w:bottom w:val="single" w:sz="8" w:space="0" w:color="auto"/>
              <w:right w:val="single" w:sz="8" w:space="0" w:color="000000"/>
            </w:tcBorders>
            <w:shd w:val="clear" w:color="auto" w:fill="auto"/>
            <w:noWrap/>
            <w:vAlign w:val="center"/>
            <w:hideMark/>
          </w:tcPr>
          <w:p w:rsidR="005E2EB4" w:rsidRPr="00025B8B" w:rsidRDefault="005E2EB4" w:rsidP="00025D1D">
            <w:pPr>
              <w:widowControl/>
              <w:jc w:val="center"/>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Gly-gen</w:t>
            </w:r>
          </w:p>
        </w:tc>
        <w:tc>
          <w:tcPr>
            <w:tcW w:w="1043" w:type="dxa"/>
            <w:gridSpan w:val="3"/>
            <w:tcBorders>
              <w:top w:val="single" w:sz="8" w:space="0" w:color="auto"/>
              <w:left w:val="nil"/>
              <w:bottom w:val="single" w:sz="8" w:space="0" w:color="auto"/>
              <w:right w:val="single" w:sz="8" w:space="0" w:color="000000"/>
            </w:tcBorders>
            <w:shd w:val="clear" w:color="auto" w:fill="auto"/>
            <w:noWrap/>
            <w:vAlign w:val="center"/>
            <w:hideMark/>
          </w:tcPr>
          <w:p w:rsidR="005E2EB4" w:rsidRPr="00025B8B" w:rsidRDefault="005E2EB4" w:rsidP="00025D1D">
            <w:pPr>
              <w:widowControl/>
              <w:jc w:val="center"/>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Dic-amo</w:t>
            </w:r>
          </w:p>
        </w:tc>
        <w:tc>
          <w:tcPr>
            <w:tcW w:w="115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E2EB4" w:rsidRPr="00025B8B" w:rsidRDefault="005E2EB4" w:rsidP="00025D1D">
            <w:pPr>
              <w:widowControl/>
              <w:jc w:val="center"/>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Mutation</w:t>
            </w:r>
          </w:p>
        </w:tc>
        <w:tc>
          <w:tcPr>
            <w:tcW w:w="27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E2EB4" w:rsidRPr="00025B8B" w:rsidRDefault="005E2EB4" w:rsidP="00025D1D">
            <w:pPr>
              <w:widowControl/>
              <w:jc w:val="center"/>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Annotation</w:t>
            </w:r>
          </w:p>
        </w:tc>
        <w:tc>
          <w:tcPr>
            <w:tcW w:w="149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E2EB4" w:rsidRPr="00025B8B" w:rsidRDefault="005E2EB4" w:rsidP="00025D1D">
            <w:pPr>
              <w:widowControl/>
              <w:jc w:val="center"/>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Gene</w:t>
            </w:r>
          </w:p>
        </w:tc>
        <w:tc>
          <w:tcPr>
            <w:tcW w:w="538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E2EB4" w:rsidRPr="00025B8B" w:rsidRDefault="005E2EB4" w:rsidP="00025D1D">
            <w:pPr>
              <w:widowControl/>
              <w:jc w:val="center"/>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 xml:space="preserve">Description </w:t>
            </w:r>
          </w:p>
        </w:tc>
        <w:tc>
          <w:tcPr>
            <w:tcW w:w="48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E2EB4" w:rsidRPr="00025B8B" w:rsidRDefault="005E2EB4" w:rsidP="00025D1D">
            <w:pPr>
              <w:widowControl/>
              <w:jc w:val="center"/>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Potential association with resistance</w:t>
            </w:r>
            <w:r w:rsidRPr="00025B8B">
              <w:rPr>
                <w:rFonts w:ascii="Times New Roman" w:eastAsia="DengXian" w:hAnsi="Times New Roman"/>
                <w:b/>
                <w:bCs/>
                <w:color w:val="000000"/>
                <w:kern w:val="0"/>
                <w:sz w:val="22"/>
                <w:szCs w:val="21"/>
                <w:vertAlign w:val="superscript"/>
              </w:rPr>
              <w:t>#</w:t>
            </w:r>
            <w:r w:rsidRPr="00025B8B">
              <w:rPr>
                <w:rFonts w:ascii="Times New Roman" w:eastAsia="DengXian" w:hAnsi="Times New Roman"/>
                <w:b/>
                <w:bCs/>
                <w:color w:val="000000"/>
                <w:kern w:val="0"/>
                <w:sz w:val="22"/>
                <w:szCs w:val="21"/>
              </w:rPr>
              <w:t xml:space="preserve"> </w:t>
            </w:r>
          </w:p>
        </w:tc>
      </w:tr>
      <w:tr w:rsidR="005E2EB4" w:rsidRPr="00025B8B" w:rsidTr="00025D1D">
        <w:trPr>
          <w:trHeight w:val="296"/>
          <w:jc w:val="center"/>
        </w:trPr>
        <w:tc>
          <w:tcPr>
            <w:tcW w:w="1078" w:type="dxa"/>
            <w:vMerge/>
            <w:tcBorders>
              <w:top w:val="single" w:sz="8" w:space="0" w:color="auto"/>
              <w:left w:val="single" w:sz="8" w:space="0" w:color="auto"/>
              <w:bottom w:val="single" w:sz="8" w:space="0" w:color="000000"/>
              <w:right w:val="single" w:sz="8" w:space="0" w:color="auto"/>
            </w:tcBorders>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p>
        </w:tc>
        <w:tc>
          <w:tcPr>
            <w:tcW w:w="326"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center"/>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1</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center"/>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2</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center"/>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3</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center"/>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1</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center"/>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2</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center"/>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3</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center"/>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1</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center"/>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2</w:t>
            </w:r>
          </w:p>
        </w:tc>
        <w:tc>
          <w:tcPr>
            <w:tcW w:w="34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center"/>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3</w:t>
            </w:r>
          </w:p>
        </w:tc>
        <w:tc>
          <w:tcPr>
            <w:tcW w:w="1157" w:type="dxa"/>
            <w:vMerge/>
            <w:tcBorders>
              <w:top w:val="single" w:sz="8" w:space="0" w:color="auto"/>
              <w:left w:val="single" w:sz="8" w:space="0" w:color="auto"/>
              <w:bottom w:val="single" w:sz="8" w:space="0" w:color="000000"/>
              <w:right w:val="single" w:sz="8" w:space="0" w:color="auto"/>
            </w:tcBorders>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p>
        </w:tc>
        <w:tc>
          <w:tcPr>
            <w:tcW w:w="2790" w:type="dxa"/>
            <w:vMerge/>
            <w:tcBorders>
              <w:top w:val="single" w:sz="8" w:space="0" w:color="auto"/>
              <w:left w:val="single" w:sz="8" w:space="0" w:color="auto"/>
              <w:bottom w:val="single" w:sz="8" w:space="0" w:color="000000"/>
              <w:right w:val="single" w:sz="8" w:space="0" w:color="auto"/>
            </w:tcBorders>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p>
        </w:tc>
        <w:tc>
          <w:tcPr>
            <w:tcW w:w="1497" w:type="dxa"/>
            <w:vMerge/>
            <w:tcBorders>
              <w:top w:val="single" w:sz="8" w:space="0" w:color="auto"/>
              <w:left w:val="single" w:sz="8" w:space="0" w:color="auto"/>
              <w:bottom w:val="single" w:sz="8" w:space="0" w:color="000000"/>
              <w:right w:val="single" w:sz="8" w:space="0" w:color="auto"/>
            </w:tcBorders>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p>
        </w:tc>
        <w:tc>
          <w:tcPr>
            <w:tcW w:w="5387" w:type="dxa"/>
            <w:vMerge/>
            <w:tcBorders>
              <w:top w:val="single" w:sz="8" w:space="0" w:color="auto"/>
              <w:left w:val="single" w:sz="8" w:space="0" w:color="auto"/>
              <w:bottom w:val="single" w:sz="8" w:space="0" w:color="000000"/>
              <w:right w:val="single" w:sz="8" w:space="0" w:color="auto"/>
            </w:tcBorders>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p>
        </w:tc>
        <w:tc>
          <w:tcPr>
            <w:tcW w:w="4819" w:type="dxa"/>
            <w:vMerge/>
            <w:tcBorders>
              <w:top w:val="single" w:sz="8" w:space="0" w:color="auto"/>
              <w:left w:val="single" w:sz="8" w:space="0" w:color="auto"/>
              <w:bottom w:val="single" w:sz="8" w:space="0" w:color="000000"/>
              <w:right w:val="single" w:sz="8" w:space="0" w:color="auto"/>
            </w:tcBorders>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252937</w:t>
            </w:r>
          </w:p>
        </w:tc>
        <w:tc>
          <w:tcPr>
            <w:tcW w:w="326"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nil"/>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single" w:sz="8" w:space="0" w:color="auto"/>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9"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C--&gt;T</w:t>
            </w:r>
          </w:p>
        </w:tc>
        <w:tc>
          <w:tcPr>
            <w:tcW w:w="2790"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Y151H (CAT—&gt;TAT)</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YafP</w:t>
            </w:r>
          </w:p>
        </w:tc>
        <w:tc>
          <w:tcPr>
            <w:tcW w:w="5387"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Putative N-acetyltransferase</w:t>
            </w:r>
          </w:p>
        </w:tc>
        <w:tc>
          <w:tcPr>
            <w:tcW w:w="481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Aminoglycoside antibiotics</w:t>
            </w:r>
            <w:r w:rsidRPr="00025B8B">
              <w:rPr>
                <w:rFonts w:ascii="Times New Roman" w:eastAsia="DengXian" w:hAnsi="Times New Roman"/>
                <w:b/>
                <w:bCs/>
                <w:color w:val="000000"/>
                <w:kern w:val="0"/>
                <w:sz w:val="22"/>
                <w:szCs w:val="21"/>
                <w:vertAlign w:val="superscript"/>
              </w:rPr>
              <w:t>(1)</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601577</w:t>
            </w:r>
          </w:p>
        </w:tc>
        <w:tc>
          <w:tcPr>
            <w:tcW w:w="326"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b/>
                <w:bCs/>
                <w:color w:val="FF0000"/>
                <w:kern w:val="0"/>
                <w:sz w:val="22"/>
                <w:szCs w:val="21"/>
              </w:rPr>
            </w:pPr>
            <w:r w:rsidRPr="00025B8B">
              <w:rPr>
                <w:rFonts w:ascii="DengXian" w:eastAsia="DengXian" w:hAnsi="DengXian" w:cs="SimSun" w:hint="eastAsia"/>
                <w:b/>
                <w:bCs/>
                <w:color w:val="FF0000"/>
                <w:kern w:val="0"/>
                <w:sz w:val="22"/>
                <w:szCs w:val="21"/>
              </w:rPr>
              <w:t xml:space="preserve">　</w:t>
            </w:r>
          </w:p>
        </w:tc>
        <w:tc>
          <w:tcPr>
            <w:tcW w:w="348"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b/>
                <w:bCs/>
                <w:color w:val="FF0000"/>
                <w:kern w:val="0"/>
                <w:sz w:val="22"/>
                <w:szCs w:val="21"/>
              </w:rPr>
            </w:pPr>
            <w:r w:rsidRPr="00025B8B">
              <w:rPr>
                <w:rFonts w:ascii="DengXian" w:eastAsia="DengXian" w:hAnsi="DengXian" w:cs="SimSun" w:hint="eastAsia"/>
                <w:b/>
                <w:bCs/>
                <w:color w:val="FF0000"/>
                <w:kern w:val="0"/>
                <w:sz w:val="22"/>
                <w:szCs w:val="21"/>
              </w:rPr>
              <w:t xml:space="preserve">　</w:t>
            </w:r>
          </w:p>
        </w:tc>
        <w:tc>
          <w:tcPr>
            <w:tcW w:w="348"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b/>
                <w:bCs/>
                <w:color w:val="FF0000"/>
                <w:kern w:val="0"/>
                <w:sz w:val="22"/>
                <w:szCs w:val="21"/>
              </w:rPr>
            </w:pPr>
            <w:r w:rsidRPr="00025B8B">
              <w:rPr>
                <w:rFonts w:ascii="DengXian" w:eastAsia="DengXian" w:hAnsi="DengXian" w:cs="SimSun" w:hint="eastAsia"/>
                <w:b/>
                <w:bCs/>
                <w:color w:val="FF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T--&gt;A</w:t>
            </w:r>
          </w:p>
        </w:tc>
        <w:tc>
          <w:tcPr>
            <w:tcW w:w="2790"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V954E (GTG—&gt;GAG)</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cusA</w:t>
            </w:r>
          </w:p>
        </w:tc>
        <w:tc>
          <w:tcPr>
            <w:tcW w:w="5387"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 xml:space="preserve">Cation efflux system protein </w:t>
            </w:r>
          </w:p>
        </w:tc>
        <w:tc>
          <w:tcPr>
            <w:tcW w:w="481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Heavy metal and multidrug</w:t>
            </w:r>
            <w:r w:rsidRPr="00025B8B">
              <w:rPr>
                <w:rFonts w:ascii="Times New Roman" w:eastAsia="DengXian" w:hAnsi="Times New Roman"/>
                <w:b/>
                <w:bCs/>
                <w:color w:val="000000"/>
                <w:kern w:val="0"/>
                <w:sz w:val="22"/>
                <w:szCs w:val="21"/>
                <w:vertAlign w:val="superscript"/>
              </w:rPr>
              <w:t>(2)</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614277</w:t>
            </w:r>
          </w:p>
        </w:tc>
        <w:tc>
          <w:tcPr>
            <w:tcW w:w="326"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b/>
                <w:bCs/>
                <w:color w:val="FF0000"/>
                <w:kern w:val="0"/>
                <w:sz w:val="22"/>
                <w:szCs w:val="21"/>
              </w:rPr>
            </w:pPr>
            <w:r w:rsidRPr="00025B8B">
              <w:rPr>
                <w:rFonts w:ascii="DengXian" w:eastAsia="DengXian" w:hAnsi="DengXian" w:cs="SimSun" w:hint="eastAsia"/>
                <w:b/>
                <w:bCs/>
                <w:color w:val="FF0000"/>
                <w:kern w:val="0"/>
                <w:sz w:val="22"/>
                <w:szCs w:val="21"/>
              </w:rPr>
              <w:t xml:space="preserve">　</w:t>
            </w:r>
          </w:p>
        </w:tc>
        <w:tc>
          <w:tcPr>
            <w:tcW w:w="347"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b/>
                <w:bCs/>
                <w:color w:val="FF0000"/>
                <w:kern w:val="0"/>
                <w:sz w:val="22"/>
                <w:szCs w:val="21"/>
              </w:rPr>
            </w:pPr>
            <w:r w:rsidRPr="00025B8B">
              <w:rPr>
                <w:rFonts w:ascii="DengXian" w:eastAsia="DengXian" w:hAnsi="DengXian" w:cs="SimSun" w:hint="eastAsia"/>
                <w:b/>
                <w:bCs/>
                <w:color w:val="FF0000"/>
                <w:kern w:val="0"/>
                <w:sz w:val="22"/>
                <w:szCs w:val="21"/>
              </w:rPr>
              <w:t xml:space="preserve">　</w:t>
            </w:r>
          </w:p>
        </w:tc>
        <w:tc>
          <w:tcPr>
            <w:tcW w:w="348"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b/>
                <w:bCs/>
                <w:color w:val="FF0000"/>
                <w:kern w:val="0"/>
                <w:sz w:val="22"/>
                <w:szCs w:val="21"/>
              </w:rPr>
            </w:pPr>
            <w:r w:rsidRPr="00025B8B">
              <w:rPr>
                <w:rFonts w:ascii="DengXian" w:eastAsia="DengXian" w:hAnsi="DengXian" w:cs="SimSun" w:hint="eastAsia"/>
                <w:b/>
                <w:bCs/>
                <w:color w:val="FF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9"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G--&gt;A</w:t>
            </w:r>
          </w:p>
        </w:tc>
        <w:tc>
          <w:tcPr>
            <w:tcW w:w="2790"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S121A (GTT—&gt;ATT)</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entF</w:t>
            </w:r>
          </w:p>
        </w:tc>
        <w:tc>
          <w:tcPr>
            <w:tcW w:w="5387"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Enterobactin synthase component F</w:t>
            </w:r>
          </w:p>
        </w:tc>
        <w:tc>
          <w:tcPr>
            <w:tcW w:w="481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β</w:t>
            </w:r>
            <w:r w:rsidRPr="00025B8B">
              <w:rPr>
                <w:rFonts w:ascii="Times New Roman" w:eastAsia="DengXian" w:hAnsi="Times New Roman"/>
                <w:b/>
                <w:bCs/>
                <w:color w:val="000000"/>
                <w:kern w:val="0"/>
                <w:sz w:val="22"/>
                <w:szCs w:val="21"/>
              </w:rPr>
              <w:noBreakHyphen/>
              <w:t>Lactam, ampicillin and amoxicillin</w:t>
            </w:r>
            <w:r w:rsidRPr="00025B8B">
              <w:rPr>
                <w:rFonts w:ascii="Times New Roman" w:eastAsia="DengXian" w:hAnsi="Times New Roman"/>
                <w:b/>
                <w:bCs/>
                <w:color w:val="000000"/>
                <w:kern w:val="0"/>
                <w:sz w:val="22"/>
                <w:szCs w:val="21"/>
                <w:vertAlign w:val="superscript"/>
              </w:rPr>
              <w:t>(3)</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750985</w:t>
            </w:r>
          </w:p>
        </w:tc>
        <w:tc>
          <w:tcPr>
            <w:tcW w:w="326"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9"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C--&gt;T</w:t>
            </w:r>
          </w:p>
        </w:tc>
        <w:tc>
          <w:tcPr>
            <w:tcW w:w="2790"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M1185I (CAT—&gt;TAT)</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PapC</w:t>
            </w:r>
          </w:p>
        </w:tc>
        <w:tc>
          <w:tcPr>
            <w:tcW w:w="5387"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Outer membrane protein</w:t>
            </w:r>
          </w:p>
        </w:tc>
        <w:tc>
          <w:tcPr>
            <w:tcW w:w="481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β-lactams,ampicillin, imipenem, ceftazidime</w:t>
            </w:r>
            <w:r w:rsidRPr="00025B8B">
              <w:rPr>
                <w:rFonts w:ascii="Times New Roman" w:eastAsia="DengXian" w:hAnsi="Times New Roman"/>
                <w:b/>
                <w:bCs/>
                <w:color w:val="000000"/>
                <w:kern w:val="0"/>
                <w:sz w:val="22"/>
                <w:szCs w:val="21"/>
                <w:vertAlign w:val="superscript"/>
              </w:rPr>
              <w:t>(4)</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751010</w:t>
            </w:r>
          </w:p>
        </w:tc>
        <w:tc>
          <w:tcPr>
            <w:tcW w:w="326"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9"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T--&gt;C</w:t>
            </w:r>
          </w:p>
        </w:tc>
        <w:tc>
          <w:tcPr>
            <w:tcW w:w="2790"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D1160G (ATC—&gt;ACC)</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PapC</w:t>
            </w:r>
          </w:p>
        </w:tc>
        <w:tc>
          <w:tcPr>
            <w:tcW w:w="5387"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Outer membrane protein</w:t>
            </w:r>
          </w:p>
        </w:tc>
        <w:tc>
          <w:tcPr>
            <w:tcW w:w="481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β-lactams,ampicillin, imipenem, ceftazidime</w:t>
            </w:r>
            <w:r w:rsidRPr="00025B8B">
              <w:rPr>
                <w:rFonts w:ascii="Times New Roman" w:eastAsia="DengXian" w:hAnsi="Times New Roman"/>
                <w:b/>
                <w:bCs/>
                <w:color w:val="000000"/>
                <w:kern w:val="0"/>
                <w:sz w:val="22"/>
                <w:szCs w:val="21"/>
                <w:vertAlign w:val="superscript"/>
              </w:rPr>
              <w:t>(4)</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751017</w:t>
            </w:r>
          </w:p>
        </w:tc>
        <w:tc>
          <w:tcPr>
            <w:tcW w:w="326"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9"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T--&gt;G</w:t>
            </w:r>
          </w:p>
        </w:tc>
        <w:tc>
          <w:tcPr>
            <w:tcW w:w="2790"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I1153L (AAT—&gt;AAG)</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PapC</w:t>
            </w:r>
          </w:p>
        </w:tc>
        <w:tc>
          <w:tcPr>
            <w:tcW w:w="5387"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Outer membrane protein</w:t>
            </w:r>
          </w:p>
        </w:tc>
        <w:tc>
          <w:tcPr>
            <w:tcW w:w="481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β-lactams,ampicillin, imipenem, ceftazidime</w:t>
            </w:r>
            <w:r w:rsidRPr="00025B8B">
              <w:rPr>
                <w:rFonts w:ascii="Times New Roman" w:eastAsia="DengXian" w:hAnsi="Times New Roman"/>
                <w:b/>
                <w:bCs/>
                <w:color w:val="000000"/>
                <w:kern w:val="0"/>
                <w:sz w:val="22"/>
                <w:szCs w:val="21"/>
                <w:vertAlign w:val="superscript"/>
              </w:rPr>
              <w:t>(4)</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792360</w:t>
            </w:r>
          </w:p>
        </w:tc>
        <w:tc>
          <w:tcPr>
            <w:tcW w:w="326"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G--&gt;A</w:t>
            </w:r>
          </w:p>
        </w:tc>
        <w:tc>
          <w:tcPr>
            <w:tcW w:w="2790"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P476S (CGG—&gt;CGA)</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ylmA</w:t>
            </w:r>
          </w:p>
        </w:tc>
        <w:tc>
          <w:tcPr>
            <w:tcW w:w="5387"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 xml:space="preserve">Putative ABC transporter ATP-binding protein </w:t>
            </w:r>
          </w:p>
        </w:tc>
        <w:tc>
          <w:tcPr>
            <w:tcW w:w="481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Macrolides, aminoglycosides and polymyxins</w:t>
            </w:r>
            <w:r w:rsidRPr="00025B8B">
              <w:rPr>
                <w:rFonts w:ascii="Times New Roman" w:eastAsia="DengXian" w:hAnsi="Times New Roman"/>
                <w:b/>
                <w:bCs/>
                <w:color w:val="000000"/>
                <w:kern w:val="0"/>
                <w:sz w:val="22"/>
                <w:szCs w:val="21"/>
                <w:vertAlign w:val="superscript"/>
              </w:rPr>
              <w:t>(5)</w:t>
            </w:r>
          </w:p>
        </w:tc>
      </w:tr>
      <w:tr w:rsidR="005E2EB4" w:rsidRPr="00025B8B" w:rsidTr="00025D1D">
        <w:trPr>
          <w:trHeight w:val="385"/>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987543</w:t>
            </w:r>
          </w:p>
        </w:tc>
        <w:tc>
          <w:tcPr>
            <w:tcW w:w="326"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b/>
                <w:bCs/>
                <w:color w:val="FF0000"/>
                <w:kern w:val="0"/>
                <w:sz w:val="22"/>
                <w:szCs w:val="21"/>
              </w:rPr>
            </w:pPr>
            <w:r w:rsidRPr="00025B8B">
              <w:rPr>
                <w:rFonts w:ascii="DengXian" w:eastAsia="DengXian" w:hAnsi="DengXian" w:cs="SimSun" w:hint="eastAsia"/>
                <w:b/>
                <w:bCs/>
                <w:color w:val="FF0000"/>
                <w:kern w:val="0"/>
                <w:sz w:val="22"/>
                <w:szCs w:val="21"/>
              </w:rPr>
              <w:t xml:space="preserve">　</w:t>
            </w:r>
          </w:p>
        </w:tc>
        <w:tc>
          <w:tcPr>
            <w:tcW w:w="348"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b/>
                <w:bCs/>
                <w:color w:val="FF0000"/>
                <w:kern w:val="0"/>
                <w:sz w:val="22"/>
                <w:szCs w:val="21"/>
              </w:rPr>
            </w:pPr>
            <w:r w:rsidRPr="00025B8B">
              <w:rPr>
                <w:rFonts w:ascii="DengXian" w:eastAsia="DengXian" w:hAnsi="DengXian" w:cs="SimSun" w:hint="eastAsia"/>
                <w:b/>
                <w:bCs/>
                <w:color w:val="FF0000"/>
                <w:kern w:val="0"/>
                <w:sz w:val="22"/>
                <w:szCs w:val="21"/>
              </w:rPr>
              <w:t xml:space="preserve">　</w:t>
            </w:r>
          </w:p>
        </w:tc>
        <w:tc>
          <w:tcPr>
            <w:tcW w:w="348"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b/>
                <w:bCs/>
                <w:color w:val="FF0000"/>
                <w:kern w:val="0"/>
                <w:sz w:val="22"/>
                <w:szCs w:val="21"/>
              </w:rPr>
            </w:pPr>
            <w:r w:rsidRPr="00025B8B">
              <w:rPr>
                <w:rFonts w:ascii="DengXian" w:eastAsia="DengXian" w:hAnsi="DengXian" w:cs="SimSun" w:hint="eastAsia"/>
                <w:b/>
                <w:bCs/>
                <w:color w:val="FF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9"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Cambria Math" w:eastAsia="DengXian" w:hAnsi="Cambria Math" w:cs="SimSun"/>
                <w:b/>
                <w:bCs/>
                <w:color w:val="000000"/>
                <w:kern w:val="0"/>
                <w:sz w:val="22"/>
                <w:szCs w:val="21"/>
              </w:rPr>
            </w:pPr>
            <w:r w:rsidRPr="00025B8B">
              <w:rPr>
                <w:rFonts w:ascii="Cambria Math" w:eastAsia="DengXian" w:hAnsi="Cambria Math" w:cs="SimSun"/>
                <w:b/>
                <w:bCs/>
                <w:color w:val="000000"/>
                <w:kern w:val="0"/>
                <w:sz w:val="22"/>
                <w:szCs w:val="21"/>
              </w:rPr>
              <w:t>△ 8 bp</w:t>
            </w:r>
          </w:p>
        </w:tc>
        <w:tc>
          <w:tcPr>
            <w:tcW w:w="2790"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intergenic (TAAAAAAA)</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ompF/asnS</w:t>
            </w:r>
          </w:p>
        </w:tc>
        <w:tc>
          <w:tcPr>
            <w:tcW w:w="5387"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Outer membrane porin F/asparagine--tRNA ligase</w:t>
            </w:r>
          </w:p>
        </w:tc>
        <w:tc>
          <w:tcPr>
            <w:tcW w:w="481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Carbapenems, cefepime</w:t>
            </w:r>
            <w:r w:rsidRPr="00025B8B">
              <w:rPr>
                <w:rFonts w:ascii="Times New Roman" w:eastAsia="DengXian" w:hAnsi="Times New Roman"/>
                <w:b/>
                <w:bCs/>
                <w:color w:val="000000"/>
                <w:kern w:val="0"/>
                <w:sz w:val="22"/>
                <w:szCs w:val="21"/>
                <w:vertAlign w:val="superscript"/>
              </w:rPr>
              <w:t>(6)</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2027720</w:t>
            </w:r>
          </w:p>
        </w:tc>
        <w:tc>
          <w:tcPr>
            <w:tcW w:w="326"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C--&gt;T</w:t>
            </w:r>
          </w:p>
        </w:tc>
        <w:tc>
          <w:tcPr>
            <w:tcW w:w="2790"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D99N (ATC—&gt;ATT)</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yedQ</w:t>
            </w:r>
          </w:p>
        </w:tc>
        <w:tc>
          <w:tcPr>
            <w:tcW w:w="5387"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Putative diguanylate cyclase</w:t>
            </w:r>
          </w:p>
        </w:tc>
        <w:tc>
          <w:tcPr>
            <w:tcW w:w="481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Colistin, tobramycin and norfloxacin</w:t>
            </w:r>
            <w:r w:rsidRPr="00025B8B">
              <w:rPr>
                <w:rFonts w:ascii="Times New Roman" w:eastAsia="DengXian" w:hAnsi="Times New Roman"/>
                <w:b/>
                <w:bCs/>
                <w:color w:val="000000"/>
                <w:kern w:val="0"/>
                <w:sz w:val="22"/>
                <w:szCs w:val="21"/>
                <w:vertAlign w:val="superscript"/>
              </w:rPr>
              <w:t>(7)</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2340961</w:t>
            </w:r>
          </w:p>
        </w:tc>
        <w:tc>
          <w:tcPr>
            <w:tcW w:w="326"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b/>
                <w:bCs/>
                <w:color w:val="FF0000"/>
                <w:kern w:val="0"/>
                <w:sz w:val="22"/>
                <w:szCs w:val="21"/>
              </w:rPr>
            </w:pPr>
            <w:r w:rsidRPr="00025B8B">
              <w:rPr>
                <w:rFonts w:ascii="DengXian" w:eastAsia="DengXian" w:hAnsi="DengXian" w:cs="SimSun" w:hint="eastAsia"/>
                <w:b/>
                <w:bCs/>
                <w:color w:val="FF0000"/>
                <w:kern w:val="0"/>
                <w:sz w:val="22"/>
                <w:szCs w:val="21"/>
              </w:rPr>
              <w:t xml:space="preserve">　</w:t>
            </w:r>
          </w:p>
        </w:tc>
        <w:tc>
          <w:tcPr>
            <w:tcW w:w="348"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b/>
                <w:bCs/>
                <w:color w:val="FF0000"/>
                <w:kern w:val="0"/>
                <w:sz w:val="22"/>
                <w:szCs w:val="21"/>
              </w:rPr>
            </w:pPr>
            <w:r w:rsidRPr="00025B8B">
              <w:rPr>
                <w:rFonts w:ascii="DengXian" w:eastAsia="DengXian" w:hAnsi="DengXian" w:cs="SimSun" w:hint="eastAsia"/>
                <w:b/>
                <w:bCs/>
                <w:color w:val="FF0000"/>
                <w:kern w:val="0"/>
                <w:sz w:val="22"/>
                <w:szCs w:val="21"/>
              </w:rPr>
              <w:t xml:space="preserve">　</w:t>
            </w:r>
          </w:p>
        </w:tc>
        <w:tc>
          <w:tcPr>
            <w:tcW w:w="348"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b/>
                <w:bCs/>
                <w:color w:val="FF0000"/>
                <w:kern w:val="0"/>
                <w:sz w:val="22"/>
                <w:szCs w:val="21"/>
              </w:rPr>
            </w:pPr>
            <w:r w:rsidRPr="00025B8B">
              <w:rPr>
                <w:rFonts w:ascii="DengXian" w:eastAsia="DengXian" w:hAnsi="DengXian" w:cs="SimSun" w:hint="eastAsia"/>
                <w:b/>
                <w:bCs/>
                <w:color w:val="FF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A--&gt;T</w:t>
            </w:r>
          </w:p>
        </w:tc>
        <w:tc>
          <w:tcPr>
            <w:tcW w:w="2790"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F1053Y (AAA—&gt;ATA)</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aidA-I</w:t>
            </w:r>
          </w:p>
        </w:tc>
        <w:tc>
          <w:tcPr>
            <w:tcW w:w="5387"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AIDA-I autotransporter</w:t>
            </w:r>
          </w:p>
        </w:tc>
        <w:tc>
          <w:tcPr>
            <w:tcW w:w="481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Ampicillin, cephaloridine</w:t>
            </w:r>
            <w:r w:rsidRPr="00025B8B">
              <w:rPr>
                <w:rFonts w:ascii="Times New Roman" w:eastAsia="DengXian" w:hAnsi="Times New Roman"/>
                <w:b/>
                <w:bCs/>
                <w:color w:val="000000"/>
                <w:kern w:val="0"/>
                <w:sz w:val="22"/>
                <w:szCs w:val="21"/>
                <w:vertAlign w:val="superscript"/>
              </w:rPr>
              <w:t>(8)</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2455748</w:t>
            </w:r>
          </w:p>
        </w:tc>
        <w:tc>
          <w:tcPr>
            <w:tcW w:w="326"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9"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TCCC</w:t>
            </w:r>
          </w:p>
        </w:tc>
        <w:tc>
          <w:tcPr>
            <w:tcW w:w="2790"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intergenic (TCCC)</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yfcV/sixA</w:t>
            </w:r>
          </w:p>
        </w:tc>
        <w:tc>
          <w:tcPr>
            <w:tcW w:w="5387"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Fimbrial protein YfcV/phosphohistidine phosphatase</w:t>
            </w:r>
          </w:p>
        </w:tc>
        <w:tc>
          <w:tcPr>
            <w:tcW w:w="481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Gentamicin</w:t>
            </w:r>
            <w:r w:rsidRPr="00025B8B">
              <w:rPr>
                <w:rFonts w:ascii="Times New Roman" w:eastAsia="DengXian" w:hAnsi="Times New Roman"/>
                <w:b/>
                <w:bCs/>
                <w:color w:val="000000"/>
                <w:kern w:val="0"/>
                <w:sz w:val="22"/>
                <w:szCs w:val="21"/>
                <w:vertAlign w:val="superscript"/>
              </w:rPr>
              <w:t>(9)</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3287837</w:t>
            </w:r>
          </w:p>
        </w:tc>
        <w:tc>
          <w:tcPr>
            <w:tcW w:w="326"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A--&gt;C</w:t>
            </w:r>
          </w:p>
        </w:tc>
        <w:tc>
          <w:tcPr>
            <w:tcW w:w="2790"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I137L (ATT—&gt;CTT)</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yraH</w:t>
            </w:r>
          </w:p>
        </w:tc>
        <w:tc>
          <w:tcPr>
            <w:tcW w:w="5387"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Putative fimbrial-like protein YraH</w:t>
            </w:r>
          </w:p>
        </w:tc>
        <w:tc>
          <w:tcPr>
            <w:tcW w:w="481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Gentamicin</w:t>
            </w:r>
            <w:r w:rsidRPr="00025B8B">
              <w:rPr>
                <w:rFonts w:ascii="Times New Roman" w:eastAsia="DengXian" w:hAnsi="Times New Roman"/>
                <w:b/>
                <w:bCs/>
                <w:color w:val="000000"/>
                <w:kern w:val="0"/>
                <w:sz w:val="22"/>
                <w:szCs w:val="21"/>
                <w:vertAlign w:val="superscript"/>
              </w:rPr>
              <w:t>(9)</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3471692</w:t>
            </w:r>
          </w:p>
        </w:tc>
        <w:tc>
          <w:tcPr>
            <w:tcW w:w="326"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b/>
                <w:bCs/>
                <w:color w:val="FF0000"/>
                <w:kern w:val="0"/>
                <w:sz w:val="22"/>
                <w:szCs w:val="21"/>
              </w:rPr>
            </w:pPr>
            <w:r w:rsidRPr="00025B8B">
              <w:rPr>
                <w:rFonts w:ascii="DengXian" w:eastAsia="DengXian" w:hAnsi="DengXian" w:cs="SimSun" w:hint="eastAsia"/>
                <w:b/>
                <w:bCs/>
                <w:color w:val="FF0000"/>
                <w:kern w:val="0"/>
                <w:sz w:val="22"/>
                <w:szCs w:val="21"/>
              </w:rPr>
              <w:t xml:space="preserve">　</w:t>
            </w:r>
          </w:p>
        </w:tc>
        <w:tc>
          <w:tcPr>
            <w:tcW w:w="348"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b/>
                <w:bCs/>
                <w:color w:val="FF0000"/>
                <w:kern w:val="0"/>
                <w:sz w:val="22"/>
                <w:szCs w:val="21"/>
              </w:rPr>
            </w:pPr>
            <w:r w:rsidRPr="00025B8B">
              <w:rPr>
                <w:rFonts w:ascii="DengXian" w:eastAsia="DengXian" w:hAnsi="DengXian" w:cs="SimSun" w:hint="eastAsia"/>
                <w:b/>
                <w:bCs/>
                <w:color w:val="FF0000"/>
                <w:kern w:val="0"/>
                <w:sz w:val="22"/>
                <w:szCs w:val="21"/>
              </w:rPr>
              <w:t xml:space="preserve">　</w:t>
            </w:r>
          </w:p>
        </w:tc>
        <w:tc>
          <w:tcPr>
            <w:tcW w:w="348"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b/>
                <w:bCs/>
                <w:color w:val="FF0000"/>
                <w:kern w:val="0"/>
                <w:sz w:val="22"/>
                <w:szCs w:val="21"/>
              </w:rPr>
            </w:pPr>
            <w:r w:rsidRPr="00025B8B">
              <w:rPr>
                <w:rFonts w:ascii="DengXian" w:eastAsia="DengXian" w:hAnsi="DengXian" w:cs="SimSun" w:hint="eastAsia"/>
                <w:b/>
                <w:bCs/>
                <w:color w:val="FF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G--&gt;A</w:t>
            </w:r>
          </w:p>
        </w:tc>
        <w:tc>
          <w:tcPr>
            <w:tcW w:w="2790"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A607V (CGC—&gt;CAC</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fusA</w:t>
            </w:r>
          </w:p>
        </w:tc>
        <w:tc>
          <w:tcPr>
            <w:tcW w:w="5387"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Elongation factor G</w:t>
            </w:r>
          </w:p>
        </w:tc>
        <w:tc>
          <w:tcPr>
            <w:tcW w:w="481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Aminopenicillins</w:t>
            </w:r>
            <w:r w:rsidRPr="00025B8B">
              <w:rPr>
                <w:rFonts w:ascii="Times New Roman" w:eastAsia="DengXian" w:hAnsi="Times New Roman"/>
                <w:b/>
                <w:bCs/>
                <w:color w:val="000000"/>
                <w:kern w:val="0"/>
                <w:sz w:val="22"/>
                <w:szCs w:val="21"/>
                <w:vertAlign w:val="superscript"/>
              </w:rPr>
              <w:t>(10)</w:t>
            </w:r>
            <w:r w:rsidRPr="00025B8B">
              <w:rPr>
                <w:rFonts w:ascii="Times New Roman" w:eastAsia="DengXian" w:hAnsi="Times New Roman"/>
                <w:b/>
                <w:bCs/>
                <w:color w:val="000000"/>
                <w:kern w:val="0"/>
                <w:sz w:val="22"/>
                <w:szCs w:val="21"/>
              </w:rPr>
              <w:t>, kirromycin</w:t>
            </w:r>
            <w:r w:rsidRPr="00025B8B">
              <w:rPr>
                <w:rFonts w:ascii="Times New Roman" w:eastAsia="DengXian" w:hAnsi="Times New Roman"/>
                <w:b/>
                <w:bCs/>
                <w:color w:val="000000"/>
                <w:kern w:val="0"/>
                <w:sz w:val="22"/>
                <w:szCs w:val="21"/>
                <w:vertAlign w:val="superscript"/>
              </w:rPr>
              <w:t>(11)</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3474297</w:t>
            </w:r>
          </w:p>
        </w:tc>
        <w:tc>
          <w:tcPr>
            <w:tcW w:w="326"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G--&gt;T</w:t>
            </w:r>
          </w:p>
        </w:tc>
        <w:tc>
          <w:tcPr>
            <w:tcW w:w="2790"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R85S (ACG—&gt;ACT)</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rpsL</w:t>
            </w:r>
          </w:p>
        </w:tc>
        <w:tc>
          <w:tcPr>
            <w:tcW w:w="5387"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30S ribosomal protein S12</w:t>
            </w:r>
          </w:p>
        </w:tc>
        <w:tc>
          <w:tcPr>
            <w:tcW w:w="481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Streptomycin</w:t>
            </w:r>
            <w:r w:rsidRPr="00025B8B">
              <w:rPr>
                <w:rFonts w:ascii="Times New Roman" w:eastAsia="DengXian" w:hAnsi="Times New Roman"/>
                <w:b/>
                <w:bCs/>
                <w:color w:val="000000"/>
                <w:kern w:val="0"/>
                <w:sz w:val="22"/>
                <w:szCs w:val="21"/>
                <w:vertAlign w:val="superscript"/>
              </w:rPr>
              <w:t>(12)</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3703643</w:t>
            </w:r>
          </w:p>
        </w:tc>
        <w:tc>
          <w:tcPr>
            <w:tcW w:w="326"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34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b/>
                <w:bCs/>
                <w:color w:val="000000"/>
                <w:kern w:val="0"/>
                <w:sz w:val="22"/>
                <w:szCs w:val="21"/>
              </w:rPr>
            </w:pPr>
            <w:r w:rsidRPr="00025B8B">
              <w:rPr>
                <w:rFonts w:ascii="DengXian" w:eastAsia="DengXian" w:hAnsi="DengXian" w:cs="SimSun" w:hint="eastAsia"/>
                <w:b/>
                <w:bCs/>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T--&gt;A</w:t>
            </w:r>
          </w:p>
        </w:tc>
        <w:tc>
          <w:tcPr>
            <w:tcW w:w="2790"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E68V (CTC—&gt;CAC)</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oppD</w:t>
            </w:r>
          </w:p>
        </w:tc>
        <w:tc>
          <w:tcPr>
            <w:tcW w:w="5387"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 xml:space="preserve">Oligopeptide transport ATP-binding protein </w:t>
            </w:r>
          </w:p>
        </w:tc>
        <w:tc>
          <w:tcPr>
            <w:tcW w:w="481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Macrolides, aminoglycosides, polymyxins</w:t>
            </w:r>
            <w:r w:rsidRPr="00025B8B">
              <w:rPr>
                <w:rFonts w:ascii="Times New Roman" w:eastAsia="DengXian" w:hAnsi="Times New Roman"/>
                <w:b/>
                <w:bCs/>
                <w:color w:val="000000"/>
                <w:kern w:val="0"/>
                <w:sz w:val="22"/>
                <w:szCs w:val="21"/>
                <w:vertAlign w:val="superscript"/>
              </w:rPr>
              <w:t>(5)</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4317826</w:t>
            </w:r>
          </w:p>
        </w:tc>
        <w:tc>
          <w:tcPr>
            <w:tcW w:w="326"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color w:val="FF0000"/>
                <w:kern w:val="0"/>
                <w:sz w:val="22"/>
                <w:szCs w:val="21"/>
              </w:rPr>
            </w:pPr>
            <w:r w:rsidRPr="00025B8B">
              <w:rPr>
                <w:rFonts w:ascii="DengXian" w:eastAsia="DengXian" w:hAnsi="DengXian" w:cs="SimSun" w:hint="eastAsia"/>
                <w:color w:val="FF0000"/>
                <w:kern w:val="0"/>
                <w:sz w:val="22"/>
                <w:szCs w:val="21"/>
              </w:rPr>
              <w:t xml:space="preserve">　</w:t>
            </w:r>
          </w:p>
        </w:tc>
        <w:tc>
          <w:tcPr>
            <w:tcW w:w="348"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color w:val="FF0000"/>
                <w:kern w:val="0"/>
                <w:sz w:val="22"/>
                <w:szCs w:val="21"/>
              </w:rPr>
            </w:pPr>
            <w:r w:rsidRPr="00025B8B">
              <w:rPr>
                <w:rFonts w:ascii="DengXian" w:eastAsia="DengXian" w:hAnsi="DengXian" w:cs="SimSun" w:hint="eastAsia"/>
                <w:color w:val="FF0000"/>
                <w:kern w:val="0"/>
                <w:sz w:val="22"/>
                <w:szCs w:val="21"/>
              </w:rPr>
              <w:t xml:space="preserve">　</w:t>
            </w:r>
          </w:p>
        </w:tc>
        <w:tc>
          <w:tcPr>
            <w:tcW w:w="348" w:type="dxa"/>
            <w:tcBorders>
              <w:top w:val="nil"/>
              <w:left w:val="nil"/>
              <w:bottom w:val="single" w:sz="8" w:space="0" w:color="auto"/>
              <w:right w:val="nil"/>
            </w:tcBorders>
            <w:shd w:val="clear" w:color="000000" w:fill="00B050"/>
            <w:noWrap/>
            <w:vAlign w:val="center"/>
            <w:hideMark/>
          </w:tcPr>
          <w:p w:rsidR="005E2EB4" w:rsidRPr="00025B8B" w:rsidRDefault="005E2EB4" w:rsidP="00025D1D">
            <w:pPr>
              <w:widowControl/>
              <w:jc w:val="left"/>
              <w:rPr>
                <w:rFonts w:ascii="DengXian" w:eastAsia="DengXian" w:hAnsi="DengXian" w:cs="SimSun"/>
                <w:color w:val="FF0000"/>
                <w:kern w:val="0"/>
                <w:sz w:val="22"/>
                <w:szCs w:val="21"/>
              </w:rPr>
            </w:pPr>
            <w:r w:rsidRPr="00025B8B">
              <w:rPr>
                <w:rFonts w:ascii="DengXian" w:eastAsia="DengXian" w:hAnsi="DengXian" w:cs="SimSun" w:hint="eastAsia"/>
                <w:color w:val="FF0000"/>
                <w:kern w:val="0"/>
                <w:sz w:val="22"/>
                <w:szCs w:val="21"/>
              </w:rPr>
              <w:t xml:space="preserve">　</w:t>
            </w:r>
          </w:p>
        </w:tc>
        <w:tc>
          <w:tcPr>
            <w:tcW w:w="347"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G--&gt;A</w:t>
            </w:r>
          </w:p>
        </w:tc>
        <w:tc>
          <w:tcPr>
            <w:tcW w:w="2790"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L23F (GAG—&gt;GAA</w:t>
            </w:r>
            <w:r w:rsidRPr="00025B8B">
              <w:rPr>
                <w:rFonts w:ascii="DengXian" w:eastAsia="DengXian" w:hAnsi="DengXian" w:hint="eastAsia"/>
                <w:color w:val="000000"/>
                <w:kern w:val="0"/>
                <w:sz w:val="22"/>
                <w:szCs w:val="21"/>
              </w:rPr>
              <w:t>）</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FF0000"/>
                <w:kern w:val="0"/>
                <w:sz w:val="22"/>
                <w:szCs w:val="21"/>
              </w:rPr>
            </w:pPr>
            <w:r w:rsidRPr="00025B8B">
              <w:rPr>
                <w:rFonts w:ascii="Times New Roman" w:eastAsia="DengXian" w:hAnsi="Times New Roman"/>
                <w:b/>
                <w:bCs/>
                <w:i/>
                <w:iCs/>
                <w:color w:val="FF0000"/>
                <w:kern w:val="0"/>
                <w:sz w:val="22"/>
                <w:szCs w:val="21"/>
              </w:rPr>
              <w:t>phnL</w:t>
            </w:r>
          </w:p>
        </w:tc>
        <w:tc>
          <w:tcPr>
            <w:tcW w:w="538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FF0000"/>
                <w:kern w:val="0"/>
                <w:sz w:val="22"/>
                <w:szCs w:val="21"/>
              </w:rPr>
            </w:pPr>
            <w:r w:rsidRPr="00025B8B">
              <w:rPr>
                <w:rFonts w:ascii="Times New Roman" w:eastAsia="DengXian" w:hAnsi="Times New Roman"/>
                <w:b/>
                <w:bCs/>
                <w:color w:val="FF0000"/>
                <w:kern w:val="0"/>
                <w:sz w:val="22"/>
                <w:szCs w:val="21"/>
              </w:rPr>
              <w:t xml:space="preserve">Methylphosphonate degradation complex </w:t>
            </w:r>
          </w:p>
        </w:tc>
        <w:tc>
          <w:tcPr>
            <w:tcW w:w="4819"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FF0000"/>
                <w:kern w:val="0"/>
                <w:sz w:val="22"/>
                <w:szCs w:val="21"/>
              </w:rPr>
            </w:pPr>
            <w:r w:rsidRPr="00025B8B">
              <w:rPr>
                <w:rFonts w:ascii="Times New Roman" w:eastAsia="DengXian" w:hAnsi="Times New Roman"/>
                <w:b/>
                <w:bCs/>
                <w:color w:val="FF0000"/>
                <w:kern w:val="0"/>
                <w:sz w:val="22"/>
                <w:szCs w:val="21"/>
              </w:rPr>
              <w:t>Degradation of glyphosate</w:t>
            </w:r>
            <w:r w:rsidRPr="00025B8B">
              <w:rPr>
                <w:rFonts w:ascii="Times New Roman" w:eastAsia="DengXian" w:hAnsi="Times New Roman"/>
                <w:b/>
                <w:bCs/>
                <w:color w:val="FF0000"/>
                <w:kern w:val="0"/>
                <w:sz w:val="22"/>
                <w:szCs w:val="21"/>
                <w:vertAlign w:val="superscript"/>
              </w:rPr>
              <w:t>(13)</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869730</w:t>
            </w:r>
          </w:p>
        </w:tc>
        <w:tc>
          <w:tcPr>
            <w:tcW w:w="326"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color w:val="FF0000"/>
                <w:kern w:val="0"/>
                <w:sz w:val="22"/>
                <w:szCs w:val="21"/>
              </w:rPr>
            </w:pPr>
            <w:r w:rsidRPr="00025B8B">
              <w:rPr>
                <w:rFonts w:ascii="DengXian" w:eastAsia="DengXian" w:hAnsi="DengXian" w:cs="SimSun" w:hint="eastAsia"/>
                <w:color w:val="FF0000"/>
                <w:kern w:val="0"/>
                <w:sz w:val="22"/>
                <w:szCs w:val="21"/>
              </w:rPr>
              <w:t xml:space="preserve">　</w:t>
            </w:r>
          </w:p>
        </w:tc>
        <w:tc>
          <w:tcPr>
            <w:tcW w:w="348"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color w:val="FF0000"/>
                <w:kern w:val="0"/>
                <w:sz w:val="22"/>
                <w:szCs w:val="21"/>
              </w:rPr>
            </w:pPr>
            <w:r w:rsidRPr="00025B8B">
              <w:rPr>
                <w:rFonts w:ascii="DengXian" w:eastAsia="DengXian" w:hAnsi="DengXian" w:cs="SimSun" w:hint="eastAsia"/>
                <w:color w:val="FF0000"/>
                <w:kern w:val="0"/>
                <w:sz w:val="22"/>
                <w:szCs w:val="21"/>
              </w:rPr>
              <w:t xml:space="preserve">　</w:t>
            </w:r>
          </w:p>
        </w:tc>
        <w:tc>
          <w:tcPr>
            <w:tcW w:w="348" w:type="dxa"/>
            <w:tcBorders>
              <w:top w:val="nil"/>
              <w:left w:val="nil"/>
              <w:bottom w:val="single" w:sz="8" w:space="0" w:color="auto"/>
              <w:right w:val="nil"/>
            </w:tcBorders>
            <w:shd w:val="clear" w:color="000000" w:fill="00B050"/>
            <w:noWrap/>
            <w:vAlign w:val="center"/>
            <w:hideMark/>
          </w:tcPr>
          <w:p w:rsidR="005E2EB4" w:rsidRPr="00025B8B" w:rsidRDefault="005E2EB4" w:rsidP="00025D1D">
            <w:pPr>
              <w:widowControl/>
              <w:jc w:val="left"/>
              <w:rPr>
                <w:rFonts w:ascii="DengXian" w:eastAsia="DengXian" w:hAnsi="DengXian" w:cs="SimSun"/>
                <w:color w:val="FF0000"/>
                <w:kern w:val="0"/>
                <w:sz w:val="22"/>
                <w:szCs w:val="21"/>
              </w:rPr>
            </w:pPr>
            <w:r w:rsidRPr="00025B8B">
              <w:rPr>
                <w:rFonts w:ascii="DengXian" w:eastAsia="DengXian" w:hAnsi="DengXian" w:cs="SimSun" w:hint="eastAsia"/>
                <w:color w:val="FF0000"/>
                <w:kern w:val="0"/>
                <w:sz w:val="22"/>
                <w:szCs w:val="21"/>
              </w:rPr>
              <w:t xml:space="preserve">　</w:t>
            </w:r>
          </w:p>
        </w:tc>
        <w:tc>
          <w:tcPr>
            <w:tcW w:w="347"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C--&gt;T</w:t>
            </w:r>
          </w:p>
        </w:tc>
        <w:tc>
          <w:tcPr>
            <w:tcW w:w="2790"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A106V (GCG—&gt;GTG)</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FF0000"/>
                <w:kern w:val="0"/>
                <w:sz w:val="22"/>
                <w:szCs w:val="21"/>
              </w:rPr>
            </w:pPr>
            <w:r w:rsidRPr="00025B8B">
              <w:rPr>
                <w:rFonts w:ascii="Times New Roman" w:eastAsia="DengXian" w:hAnsi="Times New Roman"/>
                <w:b/>
                <w:bCs/>
                <w:i/>
                <w:iCs/>
                <w:color w:val="FF0000"/>
                <w:kern w:val="0"/>
                <w:sz w:val="22"/>
                <w:szCs w:val="21"/>
              </w:rPr>
              <w:t>gsiB</w:t>
            </w:r>
          </w:p>
        </w:tc>
        <w:tc>
          <w:tcPr>
            <w:tcW w:w="538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FF0000"/>
                <w:kern w:val="0"/>
                <w:sz w:val="22"/>
                <w:szCs w:val="21"/>
              </w:rPr>
            </w:pPr>
            <w:r w:rsidRPr="00025B8B">
              <w:rPr>
                <w:rFonts w:ascii="Times New Roman" w:eastAsia="DengXian" w:hAnsi="Times New Roman"/>
                <w:b/>
                <w:bCs/>
                <w:color w:val="FF0000"/>
                <w:kern w:val="0"/>
                <w:sz w:val="22"/>
                <w:szCs w:val="21"/>
              </w:rPr>
              <w:t xml:space="preserve">Glutathione-binding protein </w:t>
            </w:r>
          </w:p>
        </w:tc>
        <w:tc>
          <w:tcPr>
            <w:tcW w:w="4819"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FF0000"/>
                <w:kern w:val="0"/>
                <w:sz w:val="22"/>
                <w:szCs w:val="21"/>
              </w:rPr>
            </w:pPr>
            <w:r w:rsidRPr="00025B8B">
              <w:rPr>
                <w:rFonts w:ascii="Times New Roman" w:eastAsia="DengXian" w:hAnsi="Times New Roman"/>
                <w:b/>
                <w:bCs/>
                <w:color w:val="FF0000"/>
                <w:kern w:val="0"/>
                <w:sz w:val="22"/>
                <w:szCs w:val="21"/>
              </w:rPr>
              <w:t>Multiple herbicides</w:t>
            </w:r>
            <w:r w:rsidRPr="00025B8B">
              <w:rPr>
                <w:rFonts w:ascii="Times New Roman" w:eastAsia="DengXian" w:hAnsi="Times New Roman"/>
                <w:b/>
                <w:bCs/>
                <w:color w:val="FF0000"/>
                <w:kern w:val="0"/>
                <w:sz w:val="22"/>
                <w:szCs w:val="21"/>
                <w:vertAlign w:val="superscript"/>
              </w:rPr>
              <w:t>(14)</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2252670</w:t>
            </w:r>
          </w:p>
        </w:tc>
        <w:tc>
          <w:tcPr>
            <w:tcW w:w="326"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8"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color w:val="FF0000"/>
                <w:kern w:val="0"/>
                <w:sz w:val="22"/>
                <w:szCs w:val="21"/>
              </w:rPr>
            </w:pPr>
            <w:r w:rsidRPr="00025B8B">
              <w:rPr>
                <w:rFonts w:ascii="DengXian" w:eastAsia="DengXian" w:hAnsi="DengXian" w:cs="SimSun" w:hint="eastAsia"/>
                <w:color w:val="FF0000"/>
                <w:kern w:val="0"/>
                <w:sz w:val="22"/>
                <w:szCs w:val="21"/>
              </w:rPr>
              <w:t xml:space="preserve">　</w:t>
            </w:r>
          </w:p>
        </w:tc>
        <w:tc>
          <w:tcPr>
            <w:tcW w:w="348"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color w:val="FF0000"/>
                <w:kern w:val="0"/>
                <w:sz w:val="22"/>
                <w:szCs w:val="21"/>
              </w:rPr>
            </w:pPr>
            <w:r w:rsidRPr="00025B8B">
              <w:rPr>
                <w:rFonts w:ascii="DengXian" w:eastAsia="DengXian" w:hAnsi="DengXian" w:cs="SimSun" w:hint="eastAsia"/>
                <w:color w:val="FF0000"/>
                <w:kern w:val="0"/>
                <w:sz w:val="22"/>
                <w:szCs w:val="21"/>
              </w:rPr>
              <w:t xml:space="preserve">　</w:t>
            </w:r>
          </w:p>
        </w:tc>
        <w:tc>
          <w:tcPr>
            <w:tcW w:w="348" w:type="dxa"/>
            <w:tcBorders>
              <w:top w:val="nil"/>
              <w:left w:val="nil"/>
              <w:bottom w:val="single" w:sz="8" w:space="0" w:color="auto"/>
              <w:right w:val="nil"/>
            </w:tcBorders>
            <w:shd w:val="clear" w:color="000000" w:fill="00B050"/>
            <w:noWrap/>
            <w:vAlign w:val="center"/>
            <w:hideMark/>
          </w:tcPr>
          <w:p w:rsidR="005E2EB4" w:rsidRPr="00025B8B" w:rsidRDefault="005E2EB4" w:rsidP="00025D1D">
            <w:pPr>
              <w:widowControl/>
              <w:jc w:val="left"/>
              <w:rPr>
                <w:rFonts w:ascii="DengXian" w:eastAsia="DengXian" w:hAnsi="DengXian" w:cs="SimSun"/>
                <w:color w:val="FF0000"/>
                <w:kern w:val="0"/>
                <w:sz w:val="22"/>
                <w:szCs w:val="21"/>
              </w:rPr>
            </w:pPr>
            <w:r w:rsidRPr="00025B8B">
              <w:rPr>
                <w:rFonts w:ascii="DengXian" w:eastAsia="DengXian" w:hAnsi="DengXian" w:cs="SimSun" w:hint="eastAsia"/>
                <w:color w:val="FF0000"/>
                <w:kern w:val="0"/>
                <w:sz w:val="22"/>
                <w:szCs w:val="21"/>
              </w:rPr>
              <w:t xml:space="preserve">　</w:t>
            </w:r>
          </w:p>
        </w:tc>
        <w:tc>
          <w:tcPr>
            <w:tcW w:w="347" w:type="dxa"/>
            <w:tcBorders>
              <w:top w:val="nil"/>
              <w:left w:val="single" w:sz="8" w:space="0" w:color="auto"/>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9"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G--&gt;A</w:t>
            </w:r>
          </w:p>
        </w:tc>
        <w:tc>
          <w:tcPr>
            <w:tcW w:w="2790"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S323N (AGT—&gt;AAT)</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FF0000"/>
                <w:kern w:val="0"/>
                <w:sz w:val="22"/>
                <w:szCs w:val="21"/>
              </w:rPr>
            </w:pPr>
            <w:r w:rsidRPr="00025B8B">
              <w:rPr>
                <w:rFonts w:ascii="Times New Roman" w:eastAsia="DengXian" w:hAnsi="Times New Roman"/>
                <w:b/>
                <w:bCs/>
                <w:i/>
                <w:iCs/>
                <w:color w:val="FF0000"/>
                <w:kern w:val="0"/>
                <w:sz w:val="22"/>
                <w:szCs w:val="21"/>
              </w:rPr>
              <w:t>psuK</w:t>
            </w:r>
          </w:p>
        </w:tc>
        <w:tc>
          <w:tcPr>
            <w:tcW w:w="538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FF0000"/>
                <w:kern w:val="0"/>
                <w:sz w:val="22"/>
                <w:szCs w:val="21"/>
              </w:rPr>
            </w:pPr>
            <w:r w:rsidRPr="00025B8B">
              <w:rPr>
                <w:rFonts w:ascii="Times New Roman" w:eastAsia="DengXian" w:hAnsi="Times New Roman"/>
                <w:b/>
                <w:bCs/>
                <w:color w:val="FF0000"/>
                <w:kern w:val="0"/>
                <w:sz w:val="22"/>
                <w:szCs w:val="21"/>
              </w:rPr>
              <w:t>Pseudouridine kinase</w:t>
            </w:r>
          </w:p>
        </w:tc>
        <w:tc>
          <w:tcPr>
            <w:tcW w:w="4819"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FF0000"/>
                <w:kern w:val="0"/>
                <w:sz w:val="22"/>
                <w:szCs w:val="21"/>
              </w:rPr>
            </w:pPr>
            <w:r w:rsidRPr="00025B8B">
              <w:rPr>
                <w:rFonts w:ascii="Times New Roman" w:eastAsia="DengXian" w:hAnsi="Times New Roman"/>
                <w:b/>
                <w:bCs/>
                <w:color w:val="FF0000"/>
                <w:kern w:val="0"/>
                <w:sz w:val="22"/>
                <w:szCs w:val="21"/>
              </w:rPr>
              <w:t>Auxinic herbicide</w:t>
            </w:r>
            <w:r w:rsidRPr="00025B8B">
              <w:rPr>
                <w:rFonts w:ascii="Times New Roman" w:eastAsia="DengXian" w:hAnsi="Times New Roman"/>
                <w:b/>
                <w:bCs/>
                <w:color w:val="FF0000"/>
                <w:kern w:val="0"/>
                <w:sz w:val="22"/>
                <w:szCs w:val="21"/>
                <w:vertAlign w:val="superscript"/>
              </w:rPr>
              <w:t>(15)</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3958897</w:t>
            </w:r>
          </w:p>
        </w:tc>
        <w:tc>
          <w:tcPr>
            <w:tcW w:w="326"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8" w:type="dxa"/>
            <w:tcBorders>
              <w:top w:val="nil"/>
              <w:left w:val="nil"/>
              <w:bottom w:val="single" w:sz="8" w:space="0" w:color="auto"/>
              <w:right w:val="single" w:sz="8" w:space="0" w:color="auto"/>
            </w:tcBorders>
            <w:shd w:val="clear" w:color="000000" w:fill="FFC00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8" w:type="dxa"/>
            <w:tcBorders>
              <w:top w:val="nil"/>
              <w:left w:val="nil"/>
              <w:bottom w:val="single" w:sz="8" w:space="0" w:color="auto"/>
              <w:right w:val="nil"/>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G--&gt;A</w:t>
            </w:r>
          </w:p>
        </w:tc>
        <w:tc>
          <w:tcPr>
            <w:tcW w:w="2790"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G309S (GGC—&gt;AGC)</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FF0000"/>
                <w:kern w:val="0"/>
                <w:sz w:val="22"/>
                <w:szCs w:val="21"/>
              </w:rPr>
            </w:pPr>
            <w:r w:rsidRPr="00025B8B">
              <w:rPr>
                <w:rFonts w:ascii="Times New Roman" w:eastAsia="DengXian" w:hAnsi="Times New Roman"/>
                <w:b/>
                <w:bCs/>
                <w:i/>
                <w:iCs/>
                <w:color w:val="FF0000"/>
                <w:kern w:val="0"/>
                <w:sz w:val="22"/>
                <w:szCs w:val="21"/>
              </w:rPr>
              <w:t>ilvC</w:t>
            </w:r>
          </w:p>
        </w:tc>
        <w:tc>
          <w:tcPr>
            <w:tcW w:w="538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FF0000"/>
                <w:kern w:val="0"/>
                <w:sz w:val="22"/>
                <w:szCs w:val="21"/>
              </w:rPr>
            </w:pPr>
            <w:r w:rsidRPr="00025B8B">
              <w:rPr>
                <w:rFonts w:ascii="Times New Roman" w:eastAsia="DengXian" w:hAnsi="Times New Roman"/>
                <w:b/>
                <w:bCs/>
                <w:color w:val="FF0000"/>
                <w:kern w:val="0"/>
                <w:sz w:val="22"/>
                <w:szCs w:val="21"/>
              </w:rPr>
              <w:t xml:space="preserve">Ketol-acid reductoisomerase </w:t>
            </w:r>
          </w:p>
        </w:tc>
        <w:tc>
          <w:tcPr>
            <w:tcW w:w="4819"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FF0000"/>
                <w:kern w:val="0"/>
                <w:sz w:val="22"/>
                <w:szCs w:val="21"/>
              </w:rPr>
            </w:pPr>
            <w:r w:rsidRPr="00025B8B">
              <w:rPr>
                <w:rFonts w:ascii="Times New Roman" w:eastAsia="DengXian" w:hAnsi="Times New Roman"/>
                <w:b/>
                <w:bCs/>
                <w:color w:val="FF0000"/>
                <w:kern w:val="0"/>
                <w:sz w:val="22"/>
                <w:szCs w:val="21"/>
              </w:rPr>
              <w:t>Imidazolinones herbicide</w:t>
            </w:r>
            <w:r w:rsidRPr="00025B8B">
              <w:rPr>
                <w:rFonts w:ascii="Times New Roman" w:eastAsia="DengXian" w:hAnsi="Times New Roman"/>
                <w:b/>
                <w:bCs/>
                <w:color w:val="FF0000"/>
                <w:kern w:val="0"/>
                <w:sz w:val="22"/>
                <w:szCs w:val="21"/>
                <w:vertAlign w:val="superscript"/>
              </w:rPr>
              <w:t>(16</w:t>
            </w:r>
            <w:r w:rsidRPr="00025B8B">
              <w:rPr>
                <w:rFonts w:ascii="Times New Roman" w:eastAsia="DengXian" w:hAnsi="Times New Roman" w:hint="eastAsia"/>
                <w:b/>
                <w:bCs/>
                <w:color w:val="FF0000"/>
                <w:kern w:val="0"/>
                <w:sz w:val="22"/>
                <w:szCs w:val="21"/>
                <w:vertAlign w:val="superscript"/>
              </w:rPr>
              <w:t>)</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4069809</w:t>
            </w:r>
          </w:p>
        </w:tc>
        <w:tc>
          <w:tcPr>
            <w:tcW w:w="326"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color w:val="FF0000"/>
                <w:kern w:val="0"/>
                <w:sz w:val="22"/>
                <w:szCs w:val="21"/>
              </w:rPr>
            </w:pPr>
            <w:r w:rsidRPr="00025B8B">
              <w:rPr>
                <w:rFonts w:ascii="DengXian" w:eastAsia="DengXian" w:hAnsi="DengXian" w:cs="SimSun" w:hint="eastAsia"/>
                <w:color w:val="FF0000"/>
                <w:kern w:val="0"/>
                <w:sz w:val="22"/>
                <w:szCs w:val="21"/>
              </w:rPr>
              <w:t xml:space="preserve">　</w:t>
            </w:r>
          </w:p>
        </w:tc>
        <w:tc>
          <w:tcPr>
            <w:tcW w:w="348" w:type="dxa"/>
            <w:tcBorders>
              <w:top w:val="nil"/>
              <w:left w:val="nil"/>
              <w:bottom w:val="single" w:sz="8" w:space="0" w:color="auto"/>
              <w:right w:val="single" w:sz="8" w:space="0" w:color="auto"/>
            </w:tcBorders>
            <w:shd w:val="clear" w:color="000000" w:fill="00B050"/>
            <w:noWrap/>
            <w:vAlign w:val="center"/>
            <w:hideMark/>
          </w:tcPr>
          <w:p w:rsidR="005E2EB4" w:rsidRPr="00025B8B" w:rsidRDefault="005E2EB4" w:rsidP="00025D1D">
            <w:pPr>
              <w:widowControl/>
              <w:jc w:val="left"/>
              <w:rPr>
                <w:rFonts w:ascii="DengXian" w:eastAsia="DengXian" w:hAnsi="DengXian" w:cs="SimSun"/>
                <w:color w:val="FF0000"/>
                <w:kern w:val="0"/>
                <w:sz w:val="22"/>
                <w:szCs w:val="21"/>
              </w:rPr>
            </w:pPr>
            <w:r w:rsidRPr="00025B8B">
              <w:rPr>
                <w:rFonts w:ascii="DengXian" w:eastAsia="DengXian" w:hAnsi="DengXian" w:cs="SimSun" w:hint="eastAsia"/>
                <w:color w:val="FF0000"/>
                <w:kern w:val="0"/>
                <w:sz w:val="22"/>
                <w:szCs w:val="21"/>
              </w:rPr>
              <w:t xml:space="preserve">　</w:t>
            </w:r>
          </w:p>
        </w:tc>
        <w:tc>
          <w:tcPr>
            <w:tcW w:w="348" w:type="dxa"/>
            <w:tcBorders>
              <w:top w:val="nil"/>
              <w:left w:val="nil"/>
              <w:bottom w:val="single" w:sz="8" w:space="0" w:color="auto"/>
              <w:right w:val="nil"/>
            </w:tcBorders>
            <w:shd w:val="clear" w:color="000000" w:fill="00B050"/>
            <w:noWrap/>
            <w:vAlign w:val="center"/>
            <w:hideMark/>
          </w:tcPr>
          <w:p w:rsidR="005E2EB4" w:rsidRPr="00025B8B" w:rsidRDefault="005E2EB4" w:rsidP="00025D1D">
            <w:pPr>
              <w:widowControl/>
              <w:jc w:val="left"/>
              <w:rPr>
                <w:rFonts w:ascii="DengXian" w:eastAsia="DengXian" w:hAnsi="DengXian" w:cs="SimSun"/>
                <w:color w:val="FF0000"/>
                <w:kern w:val="0"/>
                <w:sz w:val="22"/>
                <w:szCs w:val="21"/>
              </w:rPr>
            </w:pPr>
            <w:r w:rsidRPr="00025B8B">
              <w:rPr>
                <w:rFonts w:ascii="DengXian" w:eastAsia="DengXian" w:hAnsi="DengXian" w:cs="SimSun" w:hint="eastAsia"/>
                <w:color w:val="FF0000"/>
                <w:kern w:val="0"/>
                <w:sz w:val="22"/>
                <w:szCs w:val="21"/>
              </w:rPr>
              <w:t xml:space="preserve">　</w:t>
            </w:r>
          </w:p>
        </w:tc>
        <w:tc>
          <w:tcPr>
            <w:tcW w:w="347"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G--&gt;A</w:t>
            </w:r>
          </w:p>
        </w:tc>
        <w:tc>
          <w:tcPr>
            <w:tcW w:w="2790"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A197V (CGC—&gt;CAC</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FF0000"/>
                <w:kern w:val="0"/>
                <w:sz w:val="22"/>
                <w:szCs w:val="21"/>
              </w:rPr>
            </w:pPr>
            <w:r w:rsidRPr="00025B8B">
              <w:rPr>
                <w:rFonts w:ascii="Times New Roman" w:eastAsia="DengXian" w:hAnsi="Times New Roman"/>
                <w:b/>
                <w:bCs/>
                <w:i/>
                <w:iCs/>
                <w:color w:val="FF0000"/>
                <w:kern w:val="0"/>
                <w:sz w:val="22"/>
                <w:szCs w:val="21"/>
              </w:rPr>
              <w:t>galM</w:t>
            </w:r>
          </w:p>
        </w:tc>
        <w:tc>
          <w:tcPr>
            <w:tcW w:w="538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FF0000"/>
                <w:kern w:val="0"/>
                <w:sz w:val="22"/>
                <w:szCs w:val="21"/>
              </w:rPr>
            </w:pPr>
            <w:r w:rsidRPr="00025B8B">
              <w:rPr>
                <w:rFonts w:ascii="Times New Roman" w:eastAsia="DengXian" w:hAnsi="Times New Roman"/>
                <w:b/>
                <w:bCs/>
                <w:color w:val="FF0000"/>
                <w:kern w:val="0"/>
                <w:sz w:val="22"/>
                <w:szCs w:val="21"/>
              </w:rPr>
              <w:t>Aldose 1-epimerase</w:t>
            </w:r>
          </w:p>
        </w:tc>
        <w:tc>
          <w:tcPr>
            <w:tcW w:w="4819"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FF0000"/>
                <w:kern w:val="0"/>
                <w:sz w:val="22"/>
                <w:szCs w:val="21"/>
              </w:rPr>
            </w:pPr>
            <w:r w:rsidRPr="00025B8B">
              <w:rPr>
                <w:rFonts w:ascii="Times New Roman" w:eastAsia="DengXian" w:hAnsi="Times New Roman"/>
                <w:b/>
                <w:bCs/>
                <w:color w:val="FF0000"/>
                <w:kern w:val="0"/>
                <w:sz w:val="22"/>
                <w:szCs w:val="21"/>
              </w:rPr>
              <w:t>Paraquat herbicide</w:t>
            </w:r>
            <w:r w:rsidRPr="00025B8B">
              <w:rPr>
                <w:rFonts w:ascii="Times New Roman" w:eastAsia="DengXian" w:hAnsi="Times New Roman"/>
                <w:b/>
                <w:bCs/>
                <w:color w:val="FF0000"/>
                <w:kern w:val="0"/>
                <w:sz w:val="22"/>
                <w:szCs w:val="21"/>
                <w:vertAlign w:val="superscript"/>
              </w:rPr>
              <w:t>(17)</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4251667</w:t>
            </w:r>
          </w:p>
        </w:tc>
        <w:tc>
          <w:tcPr>
            <w:tcW w:w="326"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8" w:type="dxa"/>
            <w:tcBorders>
              <w:top w:val="nil"/>
              <w:left w:val="nil"/>
              <w:bottom w:val="single" w:sz="8" w:space="0" w:color="auto"/>
              <w:right w:val="nil"/>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single" w:sz="8" w:space="0" w:color="auto"/>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9"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T--&gt;C</w:t>
            </w:r>
          </w:p>
        </w:tc>
        <w:tc>
          <w:tcPr>
            <w:tcW w:w="2790"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I713T (ATA—&gt;ACA)</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FF0000"/>
                <w:kern w:val="0"/>
                <w:sz w:val="22"/>
                <w:szCs w:val="21"/>
              </w:rPr>
            </w:pPr>
            <w:r w:rsidRPr="00025B8B">
              <w:rPr>
                <w:rFonts w:ascii="Times New Roman" w:eastAsia="DengXian" w:hAnsi="Times New Roman"/>
                <w:b/>
                <w:bCs/>
                <w:i/>
                <w:iCs/>
                <w:color w:val="FF0000"/>
                <w:kern w:val="0"/>
                <w:sz w:val="22"/>
                <w:szCs w:val="21"/>
              </w:rPr>
              <w:t>SopA</w:t>
            </w:r>
          </w:p>
        </w:tc>
        <w:tc>
          <w:tcPr>
            <w:tcW w:w="538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FF0000"/>
                <w:kern w:val="0"/>
                <w:sz w:val="22"/>
                <w:szCs w:val="21"/>
              </w:rPr>
            </w:pPr>
            <w:r w:rsidRPr="00025B8B">
              <w:rPr>
                <w:rFonts w:ascii="Times New Roman" w:eastAsia="DengXian" w:hAnsi="Times New Roman"/>
                <w:b/>
                <w:bCs/>
                <w:color w:val="FF0000"/>
                <w:kern w:val="0"/>
                <w:sz w:val="22"/>
                <w:szCs w:val="21"/>
              </w:rPr>
              <w:t>E3 ubiquitin ligase</w:t>
            </w:r>
          </w:p>
        </w:tc>
        <w:tc>
          <w:tcPr>
            <w:tcW w:w="4819"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FF0000"/>
                <w:kern w:val="0"/>
                <w:sz w:val="22"/>
                <w:szCs w:val="21"/>
              </w:rPr>
            </w:pPr>
            <w:r w:rsidRPr="00025B8B">
              <w:rPr>
                <w:rFonts w:ascii="Times New Roman" w:eastAsia="DengXian" w:hAnsi="Times New Roman"/>
                <w:b/>
                <w:bCs/>
                <w:color w:val="FF0000"/>
                <w:kern w:val="0"/>
                <w:sz w:val="22"/>
                <w:szCs w:val="21"/>
              </w:rPr>
              <w:t>Quinclorac herbicide</w:t>
            </w:r>
            <w:r w:rsidRPr="00025B8B">
              <w:rPr>
                <w:rFonts w:ascii="Times New Roman" w:eastAsia="DengXian" w:hAnsi="Times New Roman"/>
                <w:b/>
                <w:bCs/>
                <w:color w:val="FF0000"/>
                <w:kern w:val="0"/>
                <w:sz w:val="22"/>
                <w:szCs w:val="21"/>
                <w:vertAlign w:val="superscript"/>
              </w:rPr>
              <w:t>(18)</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1479358</w:t>
            </w:r>
          </w:p>
        </w:tc>
        <w:tc>
          <w:tcPr>
            <w:tcW w:w="326"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8" w:type="dxa"/>
            <w:tcBorders>
              <w:top w:val="nil"/>
              <w:left w:val="nil"/>
              <w:bottom w:val="single" w:sz="8" w:space="0" w:color="auto"/>
              <w:right w:val="nil"/>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single" w:sz="8" w:space="0" w:color="auto"/>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9"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G--&gt;C</w:t>
            </w:r>
          </w:p>
        </w:tc>
        <w:tc>
          <w:tcPr>
            <w:tcW w:w="2790"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S221T (AGT—&gt;ACT)</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FF0000"/>
                <w:kern w:val="0"/>
                <w:sz w:val="22"/>
                <w:szCs w:val="21"/>
              </w:rPr>
            </w:pPr>
            <w:r w:rsidRPr="00025B8B">
              <w:rPr>
                <w:rFonts w:ascii="Times New Roman" w:eastAsia="DengXian" w:hAnsi="Times New Roman"/>
                <w:b/>
                <w:bCs/>
                <w:i/>
                <w:iCs/>
                <w:color w:val="FF0000"/>
                <w:kern w:val="0"/>
                <w:sz w:val="22"/>
                <w:szCs w:val="21"/>
              </w:rPr>
              <w:t>Mgll</w:t>
            </w:r>
          </w:p>
        </w:tc>
        <w:tc>
          <w:tcPr>
            <w:tcW w:w="538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FF0000"/>
                <w:kern w:val="0"/>
                <w:sz w:val="22"/>
                <w:szCs w:val="21"/>
              </w:rPr>
            </w:pPr>
            <w:r w:rsidRPr="00025B8B">
              <w:rPr>
                <w:rFonts w:ascii="Times New Roman" w:eastAsia="DengXian" w:hAnsi="Times New Roman"/>
                <w:b/>
                <w:bCs/>
                <w:color w:val="FF0000"/>
                <w:kern w:val="0"/>
                <w:sz w:val="22"/>
                <w:szCs w:val="21"/>
              </w:rPr>
              <w:t>Monoacylglycerol lipase</w:t>
            </w:r>
          </w:p>
        </w:tc>
        <w:tc>
          <w:tcPr>
            <w:tcW w:w="4819"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FF0000"/>
                <w:kern w:val="0"/>
                <w:sz w:val="22"/>
                <w:szCs w:val="21"/>
              </w:rPr>
            </w:pPr>
            <w:r w:rsidRPr="00025B8B">
              <w:rPr>
                <w:rFonts w:ascii="Times New Roman" w:eastAsia="DengXian" w:hAnsi="Times New Roman"/>
                <w:b/>
                <w:bCs/>
                <w:color w:val="FF0000"/>
                <w:kern w:val="0"/>
                <w:sz w:val="22"/>
                <w:szCs w:val="21"/>
              </w:rPr>
              <w:t>Quinclorac herbicide</w:t>
            </w:r>
            <w:r w:rsidRPr="00025B8B">
              <w:rPr>
                <w:rFonts w:ascii="Times New Roman" w:eastAsia="DengXian" w:hAnsi="Times New Roman"/>
                <w:b/>
                <w:bCs/>
                <w:color w:val="FF0000"/>
                <w:kern w:val="0"/>
                <w:sz w:val="22"/>
                <w:szCs w:val="21"/>
                <w:vertAlign w:val="superscript"/>
              </w:rPr>
              <w:t>(18)</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1479403</w:t>
            </w:r>
          </w:p>
        </w:tc>
        <w:tc>
          <w:tcPr>
            <w:tcW w:w="326"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8" w:type="dxa"/>
            <w:tcBorders>
              <w:top w:val="nil"/>
              <w:left w:val="nil"/>
              <w:bottom w:val="single" w:sz="8" w:space="0" w:color="auto"/>
              <w:right w:val="nil"/>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single" w:sz="8" w:space="0" w:color="auto"/>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9"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G--&gt;A</w:t>
            </w:r>
          </w:p>
        </w:tc>
        <w:tc>
          <w:tcPr>
            <w:tcW w:w="2790"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R266Q (CGG—&gt;CAG)</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FF0000"/>
                <w:kern w:val="0"/>
                <w:sz w:val="22"/>
                <w:szCs w:val="21"/>
              </w:rPr>
            </w:pPr>
            <w:r w:rsidRPr="00025B8B">
              <w:rPr>
                <w:rFonts w:ascii="Times New Roman" w:eastAsia="DengXian" w:hAnsi="Times New Roman"/>
                <w:b/>
                <w:bCs/>
                <w:i/>
                <w:iCs/>
                <w:color w:val="FF0000"/>
                <w:kern w:val="0"/>
                <w:sz w:val="22"/>
                <w:szCs w:val="21"/>
              </w:rPr>
              <w:t>Mgll</w:t>
            </w:r>
          </w:p>
        </w:tc>
        <w:tc>
          <w:tcPr>
            <w:tcW w:w="538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FF0000"/>
                <w:kern w:val="0"/>
                <w:sz w:val="22"/>
                <w:szCs w:val="21"/>
              </w:rPr>
            </w:pPr>
            <w:r w:rsidRPr="00025B8B">
              <w:rPr>
                <w:rFonts w:ascii="Times New Roman" w:eastAsia="DengXian" w:hAnsi="Times New Roman"/>
                <w:b/>
                <w:bCs/>
                <w:color w:val="FF0000"/>
                <w:kern w:val="0"/>
                <w:sz w:val="22"/>
                <w:szCs w:val="21"/>
              </w:rPr>
              <w:t>Monoacylglycerol lipase</w:t>
            </w:r>
          </w:p>
        </w:tc>
        <w:tc>
          <w:tcPr>
            <w:tcW w:w="481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FF0000"/>
                <w:kern w:val="0"/>
                <w:sz w:val="22"/>
                <w:szCs w:val="21"/>
              </w:rPr>
            </w:pPr>
            <w:r w:rsidRPr="00025B8B">
              <w:rPr>
                <w:rFonts w:ascii="Times New Roman" w:eastAsia="DengXian" w:hAnsi="Times New Roman"/>
                <w:b/>
                <w:bCs/>
                <w:color w:val="FF0000"/>
                <w:kern w:val="0"/>
                <w:sz w:val="22"/>
                <w:szCs w:val="21"/>
              </w:rPr>
              <w:t>Quinclorac herbicide</w:t>
            </w:r>
            <w:r w:rsidRPr="00025B8B">
              <w:rPr>
                <w:rFonts w:ascii="Times New Roman" w:eastAsia="DengXian" w:hAnsi="Times New Roman"/>
                <w:b/>
                <w:bCs/>
                <w:color w:val="FF0000"/>
                <w:kern w:val="0"/>
                <w:sz w:val="22"/>
                <w:szCs w:val="21"/>
                <w:vertAlign w:val="superscript"/>
              </w:rPr>
              <w:t>(18)</w:t>
            </w:r>
          </w:p>
        </w:tc>
      </w:tr>
      <w:tr w:rsidR="005E2EB4" w:rsidRPr="00025B8B" w:rsidTr="00025D1D">
        <w:trPr>
          <w:trHeight w:val="434"/>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2095454</w:t>
            </w:r>
          </w:p>
        </w:tc>
        <w:tc>
          <w:tcPr>
            <w:tcW w:w="326"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8"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8" w:type="dxa"/>
            <w:tcBorders>
              <w:top w:val="nil"/>
              <w:left w:val="nil"/>
              <w:bottom w:val="single" w:sz="8" w:space="0" w:color="auto"/>
              <w:right w:val="nil"/>
            </w:tcBorders>
            <w:shd w:val="clear" w:color="auto" w:fill="auto"/>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single" w:sz="8" w:space="0" w:color="auto"/>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7"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349" w:type="dxa"/>
            <w:tcBorders>
              <w:top w:val="nil"/>
              <w:left w:val="nil"/>
              <w:bottom w:val="single" w:sz="8" w:space="0" w:color="auto"/>
              <w:right w:val="single" w:sz="8" w:space="0" w:color="auto"/>
            </w:tcBorders>
            <w:shd w:val="clear" w:color="000000" w:fill="00B0F0"/>
            <w:noWrap/>
            <w:vAlign w:val="center"/>
            <w:hideMark/>
          </w:tcPr>
          <w:p w:rsidR="005E2EB4" w:rsidRPr="00025B8B" w:rsidRDefault="005E2EB4" w:rsidP="00025D1D">
            <w:pPr>
              <w:widowControl/>
              <w:jc w:val="left"/>
              <w:rPr>
                <w:rFonts w:ascii="DengXian" w:eastAsia="DengXian" w:hAnsi="DengXian" w:cs="SimSun"/>
                <w:color w:val="000000"/>
                <w:kern w:val="0"/>
                <w:sz w:val="22"/>
                <w:szCs w:val="21"/>
              </w:rPr>
            </w:pPr>
            <w:r w:rsidRPr="00025B8B">
              <w:rPr>
                <w:rFonts w:ascii="DengXian" w:eastAsia="DengXian" w:hAnsi="DengXian" w:cs="SimSun" w:hint="eastAsia"/>
                <w:color w:val="000000"/>
                <w:kern w:val="0"/>
                <w:sz w:val="22"/>
                <w:szCs w:val="21"/>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000000"/>
                <w:kern w:val="0"/>
                <w:sz w:val="22"/>
                <w:szCs w:val="21"/>
              </w:rPr>
            </w:pPr>
            <w:r w:rsidRPr="00025B8B">
              <w:rPr>
                <w:rFonts w:ascii="Times New Roman" w:eastAsia="DengXian" w:hAnsi="Times New Roman"/>
                <w:b/>
                <w:bCs/>
                <w:i/>
                <w:iCs/>
                <w:color w:val="000000"/>
                <w:kern w:val="0"/>
                <w:sz w:val="22"/>
                <w:szCs w:val="21"/>
              </w:rPr>
              <w:t>T--&gt;A</w:t>
            </w:r>
          </w:p>
        </w:tc>
        <w:tc>
          <w:tcPr>
            <w:tcW w:w="2790" w:type="dxa"/>
            <w:tcBorders>
              <w:top w:val="nil"/>
              <w:left w:val="nil"/>
              <w:bottom w:val="single" w:sz="8" w:space="0" w:color="auto"/>
              <w:right w:val="single" w:sz="8" w:space="0" w:color="auto"/>
            </w:tcBorders>
            <w:shd w:val="clear" w:color="auto" w:fill="auto"/>
            <w:vAlign w:val="center"/>
            <w:hideMark/>
          </w:tcPr>
          <w:p w:rsidR="005E2EB4" w:rsidRPr="00025B8B" w:rsidRDefault="005E2EB4" w:rsidP="00025D1D">
            <w:pPr>
              <w:widowControl/>
              <w:jc w:val="left"/>
              <w:rPr>
                <w:rFonts w:ascii="Times New Roman" w:eastAsia="DengXian" w:hAnsi="Times New Roman"/>
                <w:b/>
                <w:bCs/>
                <w:color w:val="000000"/>
                <w:kern w:val="0"/>
                <w:sz w:val="22"/>
                <w:szCs w:val="21"/>
              </w:rPr>
            </w:pPr>
            <w:r w:rsidRPr="00025B8B">
              <w:rPr>
                <w:rFonts w:ascii="Times New Roman" w:eastAsia="DengXian" w:hAnsi="Times New Roman"/>
                <w:b/>
                <w:bCs/>
                <w:color w:val="000000"/>
                <w:kern w:val="0"/>
                <w:sz w:val="22"/>
                <w:szCs w:val="21"/>
              </w:rPr>
              <w:t>D330E (GAT—&gt;GAA)</w:t>
            </w:r>
          </w:p>
        </w:tc>
        <w:tc>
          <w:tcPr>
            <w:tcW w:w="149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i/>
                <w:iCs/>
                <w:color w:val="FF0000"/>
                <w:kern w:val="0"/>
                <w:sz w:val="22"/>
                <w:szCs w:val="21"/>
              </w:rPr>
            </w:pPr>
            <w:r w:rsidRPr="00025B8B">
              <w:rPr>
                <w:rFonts w:ascii="Times New Roman" w:eastAsia="DengXian" w:hAnsi="Times New Roman"/>
                <w:b/>
                <w:bCs/>
                <w:i/>
                <w:iCs/>
                <w:color w:val="FF0000"/>
                <w:kern w:val="0"/>
                <w:sz w:val="22"/>
                <w:szCs w:val="21"/>
              </w:rPr>
              <w:t>hisA</w:t>
            </w:r>
          </w:p>
        </w:tc>
        <w:tc>
          <w:tcPr>
            <w:tcW w:w="5387"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FF0000"/>
                <w:kern w:val="0"/>
                <w:sz w:val="22"/>
                <w:szCs w:val="21"/>
              </w:rPr>
            </w:pPr>
            <w:r w:rsidRPr="00025B8B">
              <w:rPr>
                <w:rFonts w:ascii="Times New Roman" w:eastAsia="DengXian" w:hAnsi="Times New Roman"/>
                <w:b/>
                <w:bCs/>
                <w:color w:val="FF0000"/>
                <w:kern w:val="0"/>
                <w:sz w:val="22"/>
                <w:szCs w:val="21"/>
              </w:rPr>
              <w:t xml:space="preserve">L-histidine biosynthesis </w:t>
            </w:r>
          </w:p>
        </w:tc>
        <w:tc>
          <w:tcPr>
            <w:tcW w:w="4819" w:type="dxa"/>
            <w:tcBorders>
              <w:top w:val="nil"/>
              <w:left w:val="nil"/>
              <w:bottom w:val="single" w:sz="8" w:space="0" w:color="auto"/>
              <w:right w:val="single" w:sz="8" w:space="0" w:color="auto"/>
            </w:tcBorders>
            <w:shd w:val="clear" w:color="auto" w:fill="auto"/>
            <w:noWrap/>
            <w:vAlign w:val="center"/>
            <w:hideMark/>
          </w:tcPr>
          <w:p w:rsidR="005E2EB4" w:rsidRPr="00025B8B" w:rsidRDefault="005E2EB4" w:rsidP="00025D1D">
            <w:pPr>
              <w:widowControl/>
              <w:jc w:val="left"/>
              <w:rPr>
                <w:rFonts w:ascii="Times New Roman" w:eastAsia="DengXian" w:hAnsi="Times New Roman"/>
                <w:b/>
                <w:bCs/>
                <w:color w:val="FF0000"/>
                <w:kern w:val="0"/>
                <w:sz w:val="22"/>
                <w:szCs w:val="21"/>
              </w:rPr>
            </w:pPr>
            <w:r w:rsidRPr="00025B8B">
              <w:rPr>
                <w:rFonts w:ascii="Times New Roman" w:eastAsia="DengXian" w:hAnsi="Times New Roman"/>
                <w:b/>
                <w:bCs/>
                <w:color w:val="FF0000"/>
                <w:kern w:val="0"/>
                <w:sz w:val="22"/>
                <w:szCs w:val="21"/>
              </w:rPr>
              <w:t>Multiple herbicides</w:t>
            </w:r>
            <w:r w:rsidRPr="00025B8B">
              <w:rPr>
                <w:rFonts w:ascii="Times New Roman" w:eastAsia="DengXian" w:hAnsi="Times New Roman"/>
                <w:b/>
                <w:bCs/>
                <w:color w:val="FF0000"/>
                <w:kern w:val="0"/>
                <w:sz w:val="22"/>
                <w:szCs w:val="21"/>
                <w:vertAlign w:val="superscript"/>
              </w:rPr>
              <w:t>(19,20)</w:t>
            </w:r>
          </w:p>
        </w:tc>
      </w:tr>
    </w:tbl>
    <w:p w:rsidR="005E2EB4" w:rsidRPr="00025B8B" w:rsidRDefault="005E2EB4" w:rsidP="00025D1D">
      <w:pPr>
        <w:rPr>
          <w:rFonts w:ascii="Times New Roman" w:hAnsi="Times New Roman"/>
        </w:rPr>
      </w:pPr>
    </w:p>
    <w:p w:rsidR="005E2EB4" w:rsidRDefault="005E2EB4" w:rsidP="00025D1D">
      <w:pPr>
        <w:rPr>
          <w:rFonts w:ascii="Times New Roman" w:hAnsi="Times New Roman"/>
          <w:sz w:val="24"/>
          <w:szCs w:val="24"/>
        </w:rPr>
      </w:pPr>
      <w:r w:rsidRPr="00025B8B">
        <w:rPr>
          <w:rFonts w:ascii="Times New Roman" w:hAnsi="Times New Roman"/>
          <w:sz w:val="24"/>
          <w:szCs w:val="24"/>
        </w:rPr>
        <w:t>Note: # denote</w:t>
      </w:r>
      <w:r w:rsidRPr="00025B8B">
        <w:rPr>
          <w:rFonts w:ascii="Times New Roman" w:hAnsi="Times New Roman" w:hint="eastAsia"/>
          <w:sz w:val="24"/>
          <w:szCs w:val="24"/>
        </w:rPr>
        <w:t>s</w:t>
      </w:r>
      <w:r w:rsidRPr="00025B8B">
        <w:rPr>
          <w:rFonts w:ascii="Times New Roman" w:hAnsi="Times New Roman"/>
          <w:sz w:val="24"/>
          <w:szCs w:val="24"/>
        </w:rPr>
        <w:t xml:space="preserve"> for references </w:t>
      </w:r>
      <w:r w:rsidRPr="00025B8B">
        <w:rPr>
          <w:rFonts w:ascii="Times New Roman" w:hAnsi="Times New Roman" w:hint="eastAsia"/>
          <w:sz w:val="24"/>
          <w:szCs w:val="24"/>
        </w:rPr>
        <w:t>listed</w:t>
      </w:r>
      <w:r w:rsidRPr="00025B8B">
        <w:rPr>
          <w:rFonts w:ascii="Times New Roman" w:hAnsi="Times New Roman"/>
          <w:sz w:val="24"/>
          <w:szCs w:val="24"/>
        </w:rPr>
        <w:t xml:space="preserve"> </w:t>
      </w:r>
      <w:r w:rsidRPr="00025B8B">
        <w:rPr>
          <w:rFonts w:ascii="Times New Roman" w:hAnsi="Times New Roman" w:hint="eastAsia"/>
          <w:sz w:val="24"/>
          <w:szCs w:val="24"/>
        </w:rPr>
        <w:t>in</w:t>
      </w:r>
      <w:r w:rsidRPr="00025B8B">
        <w:rPr>
          <w:rFonts w:ascii="Times New Roman" w:hAnsi="Times New Roman"/>
          <w:sz w:val="24"/>
          <w:szCs w:val="24"/>
        </w:rPr>
        <w:t xml:space="preserve"> </w:t>
      </w:r>
      <w:r w:rsidRPr="00025B8B">
        <w:rPr>
          <w:rFonts w:ascii="Times New Roman" w:hAnsi="Times New Roman" w:hint="eastAsia"/>
          <w:sz w:val="24"/>
          <w:szCs w:val="24"/>
        </w:rPr>
        <w:t>supplementary</w:t>
      </w:r>
      <w:r w:rsidRPr="00025B8B">
        <w:rPr>
          <w:rFonts w:ascii="Times New Roman" w:hAnsi="Times New Roman"/>
          <w:sz w:val="24"/>
          <w:szCs w:val="24"/>
        </w:rPr>
        <w:t xml:space="preserve"> </w:t>
      </w:r>
      <w:r w:rsidRPr="00025B8B">
        <w:rPr>
          <w:rFonts w:ascii="Times New Roman" w:hAnsi="Times New Roman" w:hint="eastAsia"/>
          <w:sz w:val="24"/>
          <w:szCs w:val="24"/>
        </w:rPr>
        <w:t>file.</w:t>
      </w:r>
    </w:p>
    <w:p w:rsidR="00920B72" w:rsidRDefault="00920B72"/>
    <w:sectPr w:rsidR="00920B72" w:rsidSect="00025D1D">
      <w:footerReference w:type="default" r:id="rId13"/>
      <w:pgSz w:w="23811" w:h="16838" w:orient="landscape" w:code="8"/>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D79E6" w:rsidRDefault="006D79E6">
      <w:r>
        <w:separator/>
      </w:r>
    </w:p>
  </w:endnote>
  <w:endnote w:type="continuationSeparator" w:id="0">
    <w:p w:rsidR="006D79E6" w:rsidRDefault="006D7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8773013"/>
      <w:docPartObj>
        <w:docPartGallery w:val="Page Numbers (Bottom of Page)"/>
        <w:docPartUnique/>
      </w:docPartObj>
    </w:sdtPr>
    <w:sdtEndPr/>
    <w:sdtContent>
      <w:p w:rsidR="00025D1D" w:rsidRDefault="00025D1D">
        <w:pPr>
          <w:pStyle w:val="Footer"/>
          <w:jc w:val="center"/>
        </w:pPr>
        <w:r>
          <w:fldChar w:fldCharType="begin"/>
        </w:r>
        <w:r>
          <w:instrText>PAGE   \* MERGEFORMAT</w:instrText>
        </w:r>
        <w:r>
          <w:fldChar w:fldCharType="separate"/>
        </w:r>
        <w:r>
          <w:rPr>
            <w:lang w:val="zh-CN"/>
          </w:rPr>
          <w:t>2</w:t>
        </w:r>
        <w:r>
          <w:fldChar w:fldCharType="end"/>
        </w:r>
      </w:p>
    </w:sdtContent>
  </w:sdt>
  <w:p w:rsidR="00025D1D" w:rsidRDefault="00025D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6406420"/>
      <w:docPartObj>
        <w:docPartGallery w:val="Page Numbers (Bottom of Page)"/>
        <w:docPartUnique/>
      </w:docPartObj>
    </w:sdtPr>
    <w:sdtEndPr/>
    <w:sdtContent>
      <w:p w:rsidR="00920B72" w:rsidRDefault="00920B72">
        <w:pPr>
          <w:pStyle w:val="Footer"/>
          <w:jc w:val="center"/>
        </w:pPr>
        <w:r>
          <w:fldChar w:fldCharType="begin"/>
        </w:r>
        <w:r>
          <w:instrText>PAGE   \* MERGEFORMAT</w:instrText>
        </w:r>
        <w:r>
          <w:fldChar w:fldCharType="separate"/>
        </w:r>
        <w:r w:rsidRPr="00FD46F4">
          <w:rPr>
            <w:noProof/>
            <w:lang w:val="zh-CN"/>
          </w:rPr>
          <w:t>38</w:t>
        </w:r>
        <w:r>
          <w:fldChar w:fldCharType="end"/>
        </w:r>
      </w:p>
    </w:sdtContent>
  </w:sdt>
  <w:p w:rsidR="00920B72" w:rsidRDefault="00920B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5D1D" w:rsidRDefault="00025D1D">
    <w:pPr>
      <w:pStyle w:val="Footer"/>
      <w:jc w:val="center"/>
    </w:pPr>
    <w:r>
      <w:fldChar w:fldCharType="begin"/>
    </w:r>
    <w:r>
      <w:instrText>PAGE   \* MERGEFORMAT</w:instrText>
    </w:r>
    <w:r>
      <w:fldChar w:fldCharType="separate"/>
    </w:r>
    <w:r w:rsidRPr="00631B75">
      <w:rPr>
        <w:noProof/>
        <w:lang w:val="zh-CN"/>
      </w:rPr>
      <w:t>36</w:t>
    </w:r>
    <w:r>
      <w:fldChar w:fldCharType="end"/>
    </w:r>
  </w:p>
  <w:p w:rsidR="00025D1D" w:rsidRDefault="00025D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D79E6" w:rsidRDefault="006D79E6">
      <w:r>
        <w:separator/>
      </w:r>
    </w:p>
  </w:footnote>
  <w:footnote w:type="continuationSeparator" w:id="0">
    <w:p w:rsidR="006D79E6" w:rsidRDefault="006D79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F778D"/>
    <w:multiLevelType w:val="hybridMultilevel"/>
    <w:tmpl w:val="ADEEFBAE"/>
    <w:lvl w:ilvl="0" w:tplc="168A273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15:restartNumberingAfterBreak="0">
    <w:nsid w:val="08BD5A32"/>
    <w:multiLevelType w:val="hybridMultilevel"/>
    <w:tmpl w:val="65329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036944"/>
    <w:multiLevelType w:val="hybridMultilevel"/>
    <w:tmpl w:val="A5E6E2F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A586654"/>
    <w:multiLevelType w:val="hybridMultilevel"/>
    <w:tmpl w:val="EB00E0E6"/>
    <w:lvl w:ilvl="0" w:tplc="89C82EA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15:restartNumberingAfterBreak="0">
    <w:nsid w:val="241B5F3C"/>
    <w:multiLevelType w:val="hybridMultilevel"/>
    <w:tmpl w:val="DA9A089E"/>
    <w:lvl w:ilvl="0" w:tplc="25989E0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15:restartNumberingAfterBreak="0">
    <w:nsid w:val="54A34140"/>
    <w:multiLevelType w:val="multilevel"/>
    <w:tmpl w:val="E066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2C781C"/>
    <w:multiLevelType w:val="hybridMultilevel"/>
    <w:tmpl w:val="84BCC12A"/>
    <w:lvl w:ilvl="0" w:tplc="805CB31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15:restartNumberingAfterBreak="0">
    <w:nsid w:val="7058361F"/>
    <w:multiLevelType w:val="hybridMultilevel"/>
    <w:tmpl w:val="7A36E8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E235293"/>
    <w:multiLevelType w:val="hybridMultilevel"/>
    <w:tmpl w:val="0458F0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6"/>
  </w:num>
  <w:num w:numId="5">
    <w:abstractNumId w:val="2"/>
  </w:num>
  <w:num w:numId="6">
    <w:abstractNumId w:val="7"/>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5E2EB4"/>
    <w:rsid w:val="00025B8B"/>
    <w:rsid w:val="00025D1D"/>
    <w:rsid w:val="00027EE0"/>
    <w:rsid w:val="00083B4E"/>
    <w:rsid w:val="00090ABD"/>
    <w:rsid w:val="00096DCE"/>
    <w:rsid w:val="000B581F"/>
    <w:rsid w:val="001D18CA"/>
    <w:rsid w:val="001E1DD9"/>
    <w:rsid w:val="002350B2"/>
    <w:rsid w:val="002C4BB9"/>
    <w:rsid w:val="003204A7"/>
    <w:rsid w:val="00337EAF"/>
    <w:rsid w:val="003863C4"/>
    <w:rsid w:val="003B6574"/>
    <w:rsid w:val="003C0C6D"/>
    <w:rsid w:val="00442472"/>
    <w:rsid w:val="004825B6"/>
    <w:rsid w:val="004836C9"/>
    <w:rsid w:val="004A2906"/>
    <w:rsid w:val="0057724A"/>
    <w:rsid w:val="005E2EB4"/>
    <w:rsid w:val="00633E6A"/>
    <w:rsid w:val="006D79E6"/>
    <w:rsid w:val="00726656"/>
    <w:rsid w:val="00790389"/>
    <w:rsid w:val="00800D32"/>
    <w:rsid w:val="008359E9"/>
    <w:rsid w:val="008B7AFA"/>
    <w:rsid w:val="008F41C6"/>
    <w:rsid w:val="00920B72"/>
    <w:rsid w:val="00A40A1D"/>
    <w:rsid w:val="00A62029"/>
    <w:rsid w:val="00AB39E1"/>
    <w:rsid w:val="00AD5048"/>
    <w:rsid w:val="00BA4048"/>
    <w:rsid w:val="00BE01D0"/>
    <w:rsid w:val="00CD33B7"/>
    <w:rsid w:val="00D3166C"/>
    <w:rsid w:val="00E05B34"/>
    <w:rsid w:val="00E82678"/>
    <w:rsid w:val="00E9544E"/>
    <w:rsid w:val="00EF445A"/>
    <w:rsid w:val="00F03EFC"/>
    <w:rsid w:val="00F56935"/>
    <w:rsid w:val="00FF34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DFA2396-C9F5-4BA0-9E7D-E524B8866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EB4"/>
    <w:pPr>
      <w:widowControl w:val="0"/>
      <w:jc w:val="both"/>
    </w:pPr>
    <w:rPr>
      <w:rFonts w:cs="Times New Roman"/>
    </w:rPr>
  </w:style>
  <w:style w:type="paragraph" w:styleId="Heading1">
    <w:name w:val="heading 1"/>
    <w:basedOn w:val="Normal"/>
    <w:link w:val="Heading1Char"/>
    <w:uiPriority w:val="9"/>
    <w:qFormat/>
    <w:rsid w:val="005E2EB4"/>
    <w:pPr>
      <w:widowControl/>
      <w:spacing w:before="100" w:beforeAutospacing="1" w:after="100" w:afterAutospacing="1"/>
      <w:jc w:val="left"/>
      <w:outlineLvl w:val="0"/>
    </w:pPr>
    <w:rPr>
      <w:rFonts w:ascii="Times New Roman" w:eastAsia="Times New Roman" w:hAnsi="Times New Roman"/>
      <w:b/>
      <w:bCs/>
      <w:kern w:val="36"/>
      <w:sz w:val="48"/>
      <w:szCs w:val="48"/>
      <w:lang w:val="en-GB" w:eastAsia="en-GB"/>
    </w:rPr>
  </w:style>
  <w:style w:type="paragraph" w:styleId="Heading3">
    <w:name w:val="heading 3"/>
    <w:basedOn w:val="Normal"/>
    <w:next w:val="Normal"/>
    <w:link w:val="Heading3Char"/>
    <w:uiPriority w:val="9"/>
    <w:semiHidden/>
    <w:unhideWhenUsed/>
    <w:qFormat/>
    <w:rsid w:val="005E2EB4"/>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EB4"/>
    <w:rPr>
      <w:rFonts w:ascii="Times New Roman" w:eastAsia="Times New Roman" w:hAnsi="Times New Roman" w:cs="Times New Roman"/>
      <w:b/>
      <w:bCs/>
      <w:kern w:val="36"/>
      <w:sz w:val="48"/>
      <w:szCs w:val="48"/>
      <w:lang w:val="en-GB" w:eastAsia="en-GB"/>
    </w:rPr>
  </w:style>
  <w:style w:type="character" w:customStyle="1" w:styleId="Heading3Char">
    <w:name w:val="Heading 3 Char"/>
    <w:basedOn w:val="DefaultParagraphFont"/>
    <w:link w:val="Heading3"/>
    <w:uiPriority w:val="9"/>
    <w:semiHidden/>
    <w:rsid w:val="005E2EB4"/>
    <w:rPr>
      <w:rFonts w:cs="Times New Roman"/>
      <w:b/>
      <w:bCs/>
      <w:sz w:val="32"/>
      <w:szCs w:val="32"/>
    </w:rPr>
  </w:style>
  <w:style w:type="paragraph" w:styleId="ListParagraph">
    <w:name w:val="List Paragraph"/>
    <w:basedOn w:val="Normal"/>
    <w:uiPriority w:val="34"/>
    <w:qFormat/>
    <w:rsid w:val="005E2EB4"/>
    <w:pPr>
      <w:ind w:firstLineChars="200" w:firstLine="420"/>
    </w:pPr>
  </w:style>
  <w:style w:type="character" w:styleId="CommentReference">
    <w:name w:val="annotation reference"/>
    <w:basedOn w:val="DefaultParagraphFont"/>
    <w:uiPriority w:val="99"/>
    <w:semiHidden/>
    <w:unhideWhenUsed/>
    <w:rsid w:val="005E2EB4"/>
    <w:rPr>
      <w:rFonts w:cs="Times New Roman"/>
      <w:sz w:val="16"/>
      <w:szCs w:val="16"/>
    </w:rPr>
  </w:style>
  <w:style w:type="paragraph" w:styleId="CommentText">
    <w:name w:val="annotation text"/>
    <w:basedOn w:val="Normal"/>
    <w:link w:val="CommentTextChar"/>
    <w:uiPriority w:val="99"/>
    <w:unhideWhenUsed/>
    <w:rsid w:val="005E2EB4"/>
    <w:rPr>
      <w:sz w:val="20"/>
      <w:szCs w:val="20"/>
    </w:rPr>
  </w:style>
  <w:style w:type="character" w:customStyle="1" w:styleId="CommentTextChar">
    <w:name w:val="Comment Text Char"/>
    <w:basedOn w:val="DefaultParagraphFont"/>
    <w:link w:val="CommentText"/>
    <w:uiPriority w:val="99"/>
    <w:rsid w:val="005E2EB4"/>
    <w:rPr>
      <w:rFonts w:cs="Times New Roman"/>
      <w:sz w:val="20"/>
      <w:szCs w:val="20"/>
    </w:rPr>
  </w:style>
  <w:style w:type="paragraph" w:styleId="BalloonText">
    <w:name w:val="Balloon Text"/>
    <w:basedOn w:val="Normal"/>
    <w:link w:val="BalloonTextChar"/>
    <w:uiPriority w:val="99"/>
    <w:semiHidden/>
    <w:unhideWhenUsed/>
    <w:rsid w:val="005E2EB4"/>
    <w:rPr>
      <w:sz w:val="18"/>
      <w:szCs w:val="18"/>
    </w:rPr>
  </w:style>
  <w:style w:type="character" w:customStyle="1" w:styleId="BalloonTextChar">
    <w:name w:val="Balloon Text Char"/>
    <w:basedOn w:val="DefaultParagraphFont"/>
    <w:link w:val="BalloonText"/>
    <w:uiPriority w:val="99"/>
    <w:semiHidden/>
    <w:rsid w:val="005E2EB4"/>
    <w:rPr>
      <w:rFonts w:cs="Times New Roman"/>
      <w:sz w:val="18"/>
      <w:szCs w:val="18"/>
    </w:rPr>
  </w:style>
  <w:style w:type="paragraph" w:customStyle="1" w:styleId="EndNoteBibliographyTitle">
    <w:name w:val="EndNote Bibliography Title"/>
    <w:basedOn w:val="Normal"/>
    <w:link w:val="EndNoteBibliographyTitle0"/>
    <w:rsid w:val="005E2EB4"/>
    <w:pPr>
      <w:jc w:val="center"/>
    </w:pPr>
    <w:rPr>
      <w:rFonts w:ascii="Times New Roman" w:eastAsia="DengXian" w:hAnsi="Times New Roman"/>
      <w:noProof/>
      <w:sz w:val="20"/>
    </w:rPr>
  </w:style>
  <w:style w:type="character" w:customStyle="1" w:styleId="EndNoteBibliographyTitle0">
    <w:name w:val="EndNote Bibliography Title 字符"/>
    <w:basedOn w:val="DefaultParagraphFont"/>
    <w:link w:val="EndNoteBibliographyTitle"/>
    <w:locked/>
    <w:rsid w:val="005E2EB4"/>
    <w:rPr>
      <w:rFonts w:ascii="Times New Roman" w:eastAsia="DengXian" w:hAnsi="Times New Roman" w:cs="Times New Roman"/>
      <w:noProof/>
      <w:sz w:val="20"/>
    </w:rPr>
  </w:style>
  <w:style w:type="paragraph" w:customStyle="1" w:styleId="EndNoteBibliography">
    <w:name w:val="EndNote Bibliography"/>
    <w:basedOn w:val="Normal"/>
    <w:link w:val="EndNoteBibliography0"/>
    <w:rsid w:val="005E2EB4"/>
    <w:rPr>
      <w:rFonts w:ascii="Times New Roman" w:eastAsia="DengXian" w:hAnsi="Times New Roman"/>
      <w:noProof/>
      <w:sz w:val="20"/>
    </w:rPr>
  </w:style>
  <w:style w:type="character" w:customStyle="1" w:styleId="EndNoteBibliography0">
    <w:name w:val="EndNote Bibliography 字符"/>
    <w:basedOn w:val="DefaultParagraphFont"/>
    <w:link w:val="EndNoteBibliography"/>
    <w:locked/>
    <w:rsid w:val="005E2EB4"/>
    <w:rPr>
      <w:rFonts w:ascii="Times New Roman" w:eastAsia="DengXian" w:hAnsi="Times New Roman" w:cs="Times New Roman"/>
      <w:noProof/>
      <w:sz w:val="20"/>
    </w:rPr>
  </w:style>
  <w:style w:type="paragraph" w:styleId="Header">
    <w:name w:val="header"/>
    <w:basedOn w:val="Normal"/>
    <w:link w:val="HeaderChar"/>
    <w:uiPriority w:val="99"/>
    <w:unhideWhenUsed/>
    <w:rsid w:val="005E2EB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E2EB4"/>
    <w:rPr>
      <w:rFonts w:cs="Times New Roman"/>
      <w:sz w:val="18"/>
      <w:szCs w:val="18"/>
    </w:rPr>
  </w:style>
  <w:style w:type="paragraph" w:styleId="Footer">
    <w:name w:val="footer"/>
    <w:basedOn w:val="Normal"/>
    <w:link w:val="FooterChar"/>
    <w:uiPriority w:val="99"/>
    <w:unhideWhenUsed/>
    <w:rsid w:val="005E2EB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E2EB4"/>
    <w:rPr>
      <w:rFonts w:cs="Times New Roman"/>
      <w:sz w:val="18"/>
      <w:szCs w:val="18"/>
    </w:rPr>
  </w:style>
  <w:style w:type="character" w:styleId="Hyperlink">
    <w:name w:val="Hyperlink"/>
    <w:basedOn w:val="DefaultParagraphFont"/>
    <w:uiPriority w:val="99"/>
    <w:unhideWhenUsed/>
    <w:rsid w:val="005E2EB4"/>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5E2EB4"/>
    <w:rPr>
      <w:rFonts w:cs="Times New Roman"/>
      <w:color w:val="605E5C"/>
      <w:shd w:val="clear" w:color="auto" w:fill="E1DFDD"/>
    </w:rPr>
  </w:style>
  <w:style w:type="character" w:customStyle="1" w:styleId="apple-converted-space">
    <w:name w:val="apple-converted-space"/>
    <w:basedOn w:val="DefaultParagraphFont"/>
    <w:rsid w:val="005E2EB4"/>
    <w:rPr>
      <w:rFonts w:cs="Times New Roman"/>
    </w:rPr>
  </w:style>
  <w:style w:type="character" w:styleId="LineNumber">
    <w:name w:val="line number"/>
    <w:basedOn w:val="DefaultParagraphFont"/>
    <w:uiPriority w:val="99"/>
    <w:semiHidden/>
    <w:unhideWhenUsed/>
    <w:rsid w:val="005E2EB4"/>
    <w:rPr>
      <w:rFonts w:cs="Times New Roman"/>
    </w:rPr>
  </w:style>
  <w:style w:type="paragraph" w:styleId="CommentSubject">
    <w:name w:val="annotation subject"/>
    <w:basedOn w:val="CommentText"/>
    <w:next w:val="CommentText"/>
    <w:link w:val="CommentSubjectChar"/>
    <w:uiPriority w:val="99"/>
    <w:semiHidden/>
    <w:unhideWhenUsed/>
    <w:rsid w:val="005E2EB4"/>
    <w:rPr>
      <w:b/>
      <w:bCs/>
    </w:rPr>
  </w:style>
  <w:style w:type="character" w:customStyle="1" w:styleId="CommentSubjectChar">
    <w:name w:val="Comment Subject Char"/>
    <w:basedOn w:val="CommentTextChar"/>
    <w:link w:val="CommentSubject"/>
    <w:uiPriority w:val="99"/>
    <w:semiHidden/>
    <w:rsid w:val="005E2EB4"/>
    <w:rPr>
      <w:rFonts w:cs="Times New Roman"/>
      <w:b/>
      <w:bCs/>
      <w:sz w:val="20"/>
      <w:szCs w:val="20"/>
    </w:rPr>
  </w:style>
  <w:style w:type="paragraph" w:styleId="Revision">
    <w:name w:val="Revision"/>
    <w:hidden/>
    <w:uiPriority w:val="99"/>
    <w:semiHidden/>
    <w:rsid w:val="005E2EB4"/>
    <w:rPr>
      <w:rFonts w:cs="Times New Roman"/>
    </w:rPr>
  </w:style>
  <w:style w:type="character" w:styleId="Emphasis">
    <w:name w:val="Emphasis"/>
    <w:basedOn w:val="DefaultParagraphFont"/>
    <w:uiPriority w:val="20"/>
    <w:qFormat/>
    <w:rsid w:val="005E2EB4"/>
    <w:rPr>
      <w:rFonts w:cs="Times New Roman"/>
      <w:i/>
      <w:iCs/>
    </w:rPr>
  </w:style>
  <w:style w:type="character" w:customStyle="1" w:styleId="UnresolvedMention2">
    <w:name w:val="Unresolved Mention2"/>
    <w:basedOn w:val="DefaultParagraphFont"/>
    <w:uiPriority w:val="99"/>
    <w:semiHidden/>
    <w:unhideWhenUsed/>
    <w:rsid w:val="005E2EB4"/>
    <w:rPr>
      <w:rFonts w:cs="Times New Roman"/>
      <w:color w:val="605E5C"/>
      <w:shd w:val="clear" w:color="auto" w:fill="E1DFDD"/>
    </w:rPr>
  </w:style>
  <w:style w:type="character" w:customStyle="1" w:styleId="UnresolvedMention3">
    <w:name w:val="Unresolved Mention3"/>
    <w:basedOn w:val="DefaultParagraphFont"/>
    <w:uiPriority w:val="99"/>
    <w:semiHidden/>
    <w:unhideWhenUsed/>
    <w:rsid w:val="005E2EB4"/>
    <w:rPr>
      <w:color w:val="605E5C"/>
      <w:shd w:val="clear" w:color="auto" w:fill="E1DFDD"/>
    </w:rPr>
  </w:style>
  <w:style w:type="character" w:customStyle="1" w:styleId="period">
    <w:name w:val="period"/>
    <w:basedOn w:val="DefaultParagraphFont"/>
    <w:rsid w:val="005E2EB4"/>
  </w:style>
  <w:style w:type="character" w:customStyle="1" w:styleId="cit">
    <w:name w:val="cit"/>
    <w:basedOn w:val="DefaultParagraphFont"/>
    <w:rsid w:val="005E2EB4"/>
  </w:style>
  <w:style w:type="character" w:customStyle="1" w:styleId="citation-doi">
    <w:name w:val="citation-doi"/>
    <w:basedOn w:val="DefaultParagraphFont"/>
    <w:rsid w:val="005E2EB4"/>
  </w:style>
  <w:style w:type="character" w:customStyle="1" w:styleId="secondary-date">
    <w:name w:val="secondary-date"/>
    <w:basedOn w:val="DefaultParagraphFont"/>
    <w:rsid w:val="005E2EB4"/>
  </w:style>
  <w:style w:type="character" w:styleId="FollowedHyperlink">
    <w:name w:val="FollowedHyperlink"/>
    <w:basedOn w:val="DefaultParagraphFont"/>
    <w:uiPriority w:val="99"/>
    <w:semiHidden/>
    <w:unhideWhenUsed/>
    <w:rsid w:val="005E2EB4"/>
    <w:rPr>
      <w:color w:val="954F72" w:themeColor="followedHyperlink"/>
      <w:u w:val="single"/>
    </w:rPr>
  </w:style>
  <w:style w:type="character" w:customStyle="1" w:styleId="UnresolvedMention4">
    <w:name w:val="Unresolved Mention4"/>
    <w:basedOn w:val="DefaultParagraphFont"/>
    <w:uiPriority w:val="99"/>
    <w:semiHidden/>
    <w:unhideWhenUsed/>
    <w:rsid w:val="005E2EB4"/>
    <w:rPr>
      <w:color w:val="605E5C"/>
      <w:shd w:val="clear" w:color="auto" w:fill="E1DFDD"/>
    </w:rPr>
  </w:style>
  <w:style w:type="character" w:styleId="Strong">
    <w:name w:val="Strong"/>
    <w:basedOn w:val="DefaultParagraphFont"/>
    <w:uiPriority w:val="22"/>
    <w:qFormat/>
    <w:rsid w:val="005E2EB4"/>
    <w:rPr>
      <w:b/>
      <w:bCs/>
    </w:rPr>
  </w:style>
  <w:style w:type="character" w:customStyle="1" w:styleId="1">
    <w:name w:val="未处理的提及1"/>
    <w:basedOn w:val="DefaultParagraphFont"/>
    <w:uiPriority w:val="99"/>
    <w:semiHidden/>
    <w:unhideWhenUsed/>
    <w:rsid w:val="005E2EB4"/>
    <w:rPr>
      <w:color w:val="605E5C"/>
      <w:shd w:val="clear" w:color="auto" w:fill="E1DFDD"/>
    </w:rPr>
  </w:style>
  <w:style w:type="character" w:customStyle="1" w:styleId="2">
    <w:name w:val="未处理的提及2"/>
    <w:basedOn w:val="DefaultParagraphFont"/>
    <w:uiPriority w:val="99"/>
    <w:semiHidden/>
    <w:unhideWhenUsed/>
    <w:rsid w:val="005E2EB4"/>
    <w:rPr>
      <w:color w:val="605E5C"/>
      <w:shd w:val="clear" w:color="auto" w:fill="E1DFDD"/>
    </w:rPr>
  </w:style>
  <w:style w:type="character" w:styleId="UnresolvedMention">
    <w:name w:val="Unresolved Mention"/>
    <w:basedOn w:val="DefaultParagraphFont"/>
    <w:uiPriority w:val="99"/>
    <w:semiHidden/>
    <w:unhideWhenUsed/>
    <w:rsid w:val="005E2E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374106">
      <w:bodyDiv w:val="1"/>
      <w:marLeft w:val="0"/>
      <w:marRight w:val="0"/>
      <w:marTop w:val="0"/>
      <w:marBottom w:val="0"/>
      <w:divBdr>
        <w:top w:val="none" w:sz="0" w:space="0" w:color="auto"/>
        <w:left w:val="none" w:sz="0" w:space="0" w:color="auto"/>
        <w:bottom w:val="none" w:sz="0" w:space="0" w:color="auto"/>
        <w:right w:val="none" w:sz="0" w:space="0" w:color="auto"/>
      </w:divBdr>
    </w:div>
    <w:div w:id="211073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11713</Words>
  <Characters>66766</Characters>
  <Application>Microsoft Office Word</Application>
  <DocSecurity>0</DocSecurity>
  <Lines>556</Lines>
  <Paragraphs>156</Paragraphs>
  <ScaleCrop>false</ScaleCrop>
  <Company/>
  <LinksUpToDate>false</LinksUpToDate>
  <CharactersWithSpaces>78323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Liao Hanpeng</dc:creator>
  <cp:keywords/>
  <dc:description/>
  <cp:lastModifiedBy>Ville Friman</cp:lastModifiedBy>
  <cp:revision>3</cp:revision>
  <dcterms:created xsi:type="dcterms:W3CDTF">2021-01-22T08:08:00Z</dcterms:created>
  <dcterms:modified xsi:type="dcterms:W3CDTF">2021-01-22T08:09:00Z</dcterms:modified>
</cp:coreProperties>
</file>