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DCFCF" w14:textId="06500672" w:rsidR="007C2F80" w:rsidRPr="008573D2" w:rsidRDefault="007C2F80" w:rsidP="00C475C3">
      <w:pPr>
        <w:spacing w:line="480" w:lineRule="auto"/>
        <w:jc w:val="center"/>
        <w:rPr>
          <w:rFonts w:ascii="Times New Roman" w:hAnsi="Times New Roman" w:cs="Times New Roman"/>
          <w:b/>
          <w:bCs/>
          <w:sz w:val="28"/>
          <w:szCs w:val="28"/>
        </w:rPr>
      </w:pPr>
      <w:r w:rsidRPr="008573D2">
        <w:rPr>
          <w:rFonts w:ascii="Times New Roman" w:hAnsi="Times New Roman" w:cs="Times New Roman"/>
          <w:b/>
          <w:bCs/>
          <w:sz w:val="28"/>
          <w:szCs w:val="28"/>
        </w:rPr>
        <w:t xml:space="preserve">The Effect of </w:t>
      </w:r>
      <w:r w:rsidR="007B1695" w:rsidRPr="008573D2">
        <w:rPr>
          <w:rFonts w:ascii="Times New Roman" w:hAnsi="Times New Roman" w:cs="Times New Roman"/>
          <w:b/>
          <w:bCs/>
          <w:sz w:val="28"/>
          <w:szCs w:val="28"/>
        </w:rPr>
        <w:t xml:space="preserve">the </w:t>
      </w:r>
      <w:r w:rsidRPr="008573D2">
        <w:rPr>
          <w:rFonts w:ascii="Times New Roman" w:hAnsi="Times New Roman" w:cs="Times New Roman"/>
          <w:b/>
          <w:bCs/>
          <w:sz w:val="28"/>
          <w:szCs w:val="28"/>
        </w:rPr>
        <w:t>COVID</w:t>
      </w:r>
      <w:r w:rsidR="00DC214A" w:rsidRPr="008573D2">
        <w:rPr>
          <w:rFonts w:ascii="Times New Roman" w:hAnsi="Times New Roman" w:cs="Times New Roman"/>
          <w:b/>
          <w:bCs/>
          <w:sz w:val="28"/>
          <w:szCs w:val="28"/>
        </w:rPr>
        <w:t>-</w:t>
      </w:r>
      <w:r w:rsidRPr="008573D2">
        <w:rPr>
          <w:rFonts w:ascii="Times New Roman" w:hAnsi="Times New Roman" w:cs="Times New Roman"/>
          <w:b/>
          <w:bCs/>
          <w:sz w:val="28"/>
          <w:szCs w:val="28"/>
        </w:rPr>
        <w:t>19 Pandemic on Global Stock Market Volatility:</w:t>
      </w:r>
    </w:p>
    <w:p w14:paraId="3339E330" w14:textId="288A1CC1" w:rsidR="00263F5E" w:rsidRPr="008573D2" w:rsidRDefault="007C2F80" w:rsidP="00C475C3">
      <w:pPr>
        <w:spacing w:line="480" w:lineRule="auto"/>
        <w:jc w:val="center"/>
        <w:rPr>
          <w:rFonts w:ascii="Times New Roman" w:hAnsi="Times New Roman" w:cs="Times New Roman"/>
          <w:b/>
          <w:bCs/>
          <w:sz w:val="24"/>
          <w:szCs w:val="24"/>
        </w:rPr>
      </w:pPr>
      <w:r w:rsidRPr="008573D2">
        <w:rPr>
          <w:rFonts w:ascii="Times New Roman" w:hAnsi="Times New Roman" w:cs="Times New Roman"/>
          <w:b/>
          <w:bCs/>
          <w:sz w:val="28"/>
          <w:szCs w:val="28"/>
        </w:rPr>
        <w:t>Can Economic Strength Help to Manage the Uncertainty?</w:t>
      </w:r>
    </w:p>
    <w:p w14:paraId="4CB90518" w14:textId="77777777" w:rsidR="00263F5E" w:rsidRPr="008573D2" w:rsidRDefault="00263F5E" w:rsidP="00C475C3">
      <w:pPr>
        <w:spacing w:line="480" w:lineRule="auto"/>
        <w:rPr>
          <w:rFonts w:ascii="Times New Roman" w:hAnsi="Times New Roman" w:cs="Times New Roman"/>
          <w:b/>
          <w:bCs/>
          <w:sz w:val="24"/>
          <w:szCs w:val="24"/>
        </w:rPr>
      </w:pPr>
    </w:p>
    <w:p w14:paraId="3ADB28AF" w14:textId="77777777" w:rsidR="00263F5E" w:rsidRPr="008573D2" w:rsidRDefault="00263F5E" w:rsidP="00C475C3">
      <w:pPr>
        <w:spacing w:line="480" w:lineRule="auto"/>
        <w:rPr>
          <w:rFonts w:ascii="Times New Roman" w:hAnsi="Times New Roman" w:cs="Times New Roman"/>
          <w:b/>
          <w:bCs/>
          <w:sz w:val="24"/>
          <w:szCs w:val="24"/>
        </w:rPr>
      </w:pPr>
    </w:p>
    <w:p w14:paraId="1F5C2773" w14:textId="4713EE59" w:rsidR="00263F5E" w:rsidRPr="008573D2" w:rsidRDefault="009B65A2" w:rsidP="00C475C3">
      <w:pPr>
        <w:spacing w:line="480" w:lineRule="auto"/>
        <w:rPr>
          <w:rFonts w:ascii="Times New Roman" w:hAnsi="Times New Roman" w:cs="Times New Roman"/>
          <w:b/>
          <w:bCs/>
          <w:sz w:val="24"/>
          <w:szCs w:val="24"/>
        </w:rPr>
      </w:pPr>
      <w:r w:rsidRPr="008573D2">
        <w:rPr>
          <w:rFonts w:ascii="Times New Roman" w:hAnsi="Times New Roman" w:cs="Times New Roman"/>
          <w:b/>
          <w:bCs/>
          <w:sz w:val="24"/>
          <w:szCs w:val="24"/>
        </w:rPr>
        <w:t>Abstract</w:t>
      </w:r>
    </w:p>
    <w:p w14:paraId="53568EE8" w14:textId="67672905" w:rsidR="009B65A2" w:rsidRPr="008573D2" w:rsidRDefault="00DC214A" w:rsidP="00C475C3">
      <w:pPr>
        <w:spacing w:line="480" w:lineRule="auto"/>
        <w:jc w:val="both"/>
        <w:rPr>
          <w:rFonts w:ascii="Times New Roman" w:hAnsi="Times New Roman" w:cs="Times New Roman"/>
          <w:sz w:val="24"/>
          <w:szCs w:val="24"/>
        </w:rPr>
      </w:pPr>
      <w:r w:rsidRPr="008573D2">
        <w:rPr>
          <w:rFonts w:ascii="Times New Roman" w:hAnsi="Times New Roman" w:cs="Times New Roman"/>
          <w:sz w:val="24"/>
          <w:szCs w:val="24"/>
        </w:rPr>
        <w:t>S</w:t>
      </w:r>
      <w:r w:rsidR="0075557A" w:rsidRPr="008573D2">
        <w:rPr>
          <w:rFonts w:ascii="Times New Roman" w:hAnsi="Times New Roman" w:cs="Times New Roman"/>
          <w:sz w:val="24"/>
          <w:szCs w:val="24"/>
        </w:rPr>
        <w:t xml:space="preserve">tock markets across the </w:t>
      </w:r>
      <w:r w:rsidR="007B1695" w:rsidRPr="008573D2">
        <w:rPr>
          <w:rFonts w:ascii="Times New Roman" w:hAnsi="Times New Roman" w:cs="Times New Roman"/>
          <w:sz w:val="24"/>
          <w:szCs w:val="24"/>
        </w:rPr>
        <w:t>w</w:t>
      </w:r>
      <w:r w:rsidR="0075557A" w:rsidRPr="008573D2">
        <w:rPr>
          <w:rFonts w:ascii="Times New Roman" w:hAnsi="Times New Roman" w:cs="Times New Roman"/>
          <w:sz w:val="24"/>
          <w:szCs w:val="24"/>
        </w:rPr>
        <w:t>orld have exhibited varying degrees of stock market volatility following the recent COVID</w:t>
      </w:r>
      <w:r w:rsidRPr="008573D2">
        <w:rPr>
          <w:rFonts w:ascii="Times New Roman" w:hAnsi="Times New Roman" w:cs="Times New Roman"/>
          <w:sz w:val="24"/>
          <w:szCs w:val="24"/>
        </w:rPr>
        <w:t>-</w:t>
      </w:r>
      <w:r w:rsidR="0075557A" w:rsidRPr="008573D2">
        <w:rPr>
          <w:rFonts w:ascii="Times New Roman" w:hAnsi="Times New Roman" w:cs="Times New Roman"/>
          <w:sz w:val="24"/>
          <w:szCs w:val="24"/>
        </w:rPr>
        <w:t>19 pandemic. We have examined the effect of this pandemic on stock market volatility and whether economic strength, measured by a set of selected country</w:t>
      </w:r>
      <w:r w:rsidR="007B1695" w:rsidRPr="008573D2">
        <w:rPr>
          <w:rFonts w:ascii="Times New Roman" w:hAnsi="Times New Roman" w:cs="Times New Roman"/>
          <w:sz w:val="24"/>
          <w:szCs w:val="24"/>
        </w:rPr>
        <w:t>-</w:t>
      </w:r>
      <w:r w:rsidR="0075557A" w:rsidRPr="008573D2">
        <w:rPr>
          <w:rFonts w:ascii="Times New Roman" w:hAnsi="Times New Roman" w:cs="Times New Roman"/>
          <w:sz w:val="24"/>
          <w:szCs w:val="24"/>
        </w:rPr>
        <w:t>level economic characteristics and factors such as economic resilience, intensity of capitalism, level of corporate governance, financial development, monetary policy rate and quality of health system, can potentially mitigate the possible detrimental effect of the global pandemic on stock market volatility. Using data from 34 developed and emerging markets, we have found that these country</w:t>
      </w:r>
      <w:r w:rsidR="007B1695" w:rsidRPr="008573D2">
        <w:rPr>
          <w:rFonts w:ascii="Times New Roman" w:hAnsi="Times New Roman" w:cs="Times New Roman"/>
          <w:sz w:val="24"/>
          <w:szCs w:val="24"/>
        </w:rPr>
        <w:t>-</w:t>
      </w:r>
      <w:r w:rsidR="0075557A" w:rsidRPr="008573D2">
        <w:rPr>
          <w:rFonts w:ascii="Times New Roman" w:hAnsi="Times New Roman" w:cs="Times New Roman"/>
          <w:sz w:val="24"/>
          <w:szCs w:val="24"/>
        </w:rPr>
        <w:t xml:space="preserve">level economic characteristics and factors do help to reduce the volatility arising from the virus pandemic. The results of this paper are important as policymakers can use these economic factors to set policy responses to tackle extraordinary heat in the global stock market in order to avoid any possible future financial crisis. </w:t>
      </w:r>
      <w:r w:rsidR="009B65A2" w:rsidRPr="008573D2">
        <w:rPr>
          <w:rFonts w:ascii="Times New Roman" w:hAnsi="Times New Roman" w:cs="Times New Roman"/>
          <w:sz w:val="24"/>
          <w:szCs w:val="24"/>
        </w:rPr>
        <w:t xml:space="preserve"> </w:t>
      </w:r>
    </w:p>
    <w:p w14:paraId="2DE5076A" w14:textId="77777777" w:rsidR="009B65A2" w:rsidRPr="008573D2" w:rsidRDefault="009B65A2" w:rsidP="00C475C3">
      <w:pPr>
        <w:spacing w:line="480" w:lineRule="auto"/>
        <w:rPr>
          <w:rFonts w:ascii="Times New Roman" w:hAnsi="Times New Roman" w:cs="Times New Roman"/>
          <w:sz w:val="24"/>
          <w:szCs w:val="24"/>
        </w:rPr>
      </w:pPr>
    </w:p>
    <w:p w14:paraId="53A5CA7B" w14:textId="77777777" w:rsidR="00DD788F" w:rsidRPr="008573D2" w:rsidRDefault="00DD788F" w:rsidP="00C475C3">
      <w:pPr>
        <w:spacing w:line="480" w:lineRule="auto"/>
        <w:rPr>
          <w:rFonts w:ascii="Times New Roman" w:hAnsi="Times New Roman" w:cs="Times New Roman"/>
          <w:sz w:val="24"/>
          <w:szCs w:val="24"/>
        </w:rPr>
      </w:pPr>
      <w:r w:rsidRPr="008573D2">
        <w:rPr>
          <w:rFonts w:ascii="Times New Roman" w:hAnsi="Times New Roman" w:cs="Times New Roman"/>
          <w:b/>
          <w:bCs/>
          <w:sz w:val="24"/>
          <w:szCs w:val="24"/>
        </w:rPr>
        <w:t xml:space="preserve">Key Words: </w:t>
      </w:r>
      <w:r w:rsidRPr="008573D2">
        <w:rPr>
          <w:rFonts w:ascii="Times New Roman" w:hAnsi="Times New Roman" w:cs="Times New Roman"/>
          <w:sz w:val="24"/>
          <w:szCs w:val="24"/>
        </w:rPr>
        <w:t>COVID-19; Stock Market Volatility; Economic Resilience; Capitalism; Financial Development; Corporate Governance.</w:t>
      </w:r>
    </w:p>
    <w:p w14:paraId="4B7EDF8A" w14:textId="77777777" w:rsidR="009B65A2" w:rsidRPr="008573D2" w:rsidRDefault="009B65A2" w:rsidP="00C475C3">
      <w:pPr>
        <w:spacing w:line="480" w:lineRule="auto"/>
        <w:rPr>
          <w:rFonts w:ascii="Times New Roman" w:hAnsi="Times New Roman" w:cs="Times New Roman"/>
          <w:b/>
          <w:bCs/>
          <w:sz w:val="24"/>
          <w:szCs w:val="24"/>
        </w:rPr>
      </w:pPr>
    </w:p>
    <w:p w14:paraId="3A926042" w14:textId="77777777" w:rsidR="002259EE" w:rsidRPr="008573D2" w:rsidRDefault="002259EE" w:rsidP="00C475C3">
      <w:pPr>
        <w:spacing w:line="480" w:lineRule="auto"/>
        <w:rPr>
          <w:rFonts w:ascii="Times New Roman" w:hAnsi="Times New Roman" w:cs="Times New Roman"/>
          <w:b/>
          <w:bCs/>
          <w:sz w:val="24"/>
          <w:szCs w:val="24"/>
        </w:rPr>
      </w:pPr>
    </w:p>
    <w:p w14:paraId="7D2550CE" w14:textId="77777777" w:rsidR="002259EE" w:rsidRPr="008573D2" w:rsidRDefault="002259EE" w:rsidP="00C475C3">
      <w:pPr>
        <w:spacing w:line="480" w:lineRule="auto"/>
        <w:rPr>
          <w:rFonts w:ascii="Times New Roman" w:hAnsi="Times New Roman" w:cs="Times New Roman"/>
          <w:b/>
          <w:bCs/>
          <w:sz w:val="24"/>
          <w:szCs w:val="24"/>
        </w:rPr>
      </w:pPr>
    </w:p>
    <w:p w14:paraId="4C3937C8" w14:textId="67C55A06" w:rsidR="00263F5E" w:rsidRPr="008573D2" w:rsidRDefault="00CF6387" w:rsidP="00C475C3">
      <w:pPr>
        <w:spacing w:line="480" w:lineRule="auto"/>
        <w:rPr>
          <w:rFonts w:ascii="Times New Roman" w:hAnsi="Times New Roman" w:cs="Times New Roman"/>
          <w:b/>
          <w:bCs/>
          <w:sz w:val="24"/>
          <w:szCs w:val="24"/>
        </w:rPr>
      </w:pPr>
      <w:r w:rsidRPr="008573D2">
        <w:rPr>
          <w:rFonts w:ascii="Times New Roman" w:hAnsi="Times New Roman" w:cs="Times New Roman"/>
          <w:b/>
          <w:bCs/>
          <w:sz w:val="24"/>
          <w:szCs w:val="24"/>
        </w:rPr>
        <w:lastRenderedPageBreak/>
        <w:t xml:space="preserve">1. </w:t>
      </w:r>
      <w:r w:rsidR="00263F5E" w:rsidRPr="008573D2">
        <w:rPr>
          <w:rFonts w:ascii="Times New Roman" w:hAnsi="Times New Roman" w:cs="Times New Roman"/>
          <w:b/>
          <w:bCs/>
          <w:sz w:val="24"/>
          <w:szCs w:val="24"/>
        </w:rPr>
        <w:t>Introduction</w:t>
      </w:r>
    </w:p>
    <w:p w14:paraId="7FEC10D5" w14:textId="162651D0" w:rsidR="00A46A3F" w:rsidRPr="008573D2" w:rsidRDefault="00F34362" w:rsidP="00C475C3">
      <w:pPr>
        <w:spacing w:line="48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The </w:t>
      </w:r>
      <w:r w:rsidR="00964C2B" w:rsidRPr="008573D2">
        <w:rPr>
          <w:rFonts w:ascii="Times New Roman" w:hAnsi="Times New Roman" w:cs="Times New Roman"/>
          <w:sz w:val="24"/>
          <w:szCs w:val="24"/>
        </w:rPr>
        <w:t>COVID-19</w:t>
      </w:r>
      <w:r w:rsidRPr="008573D2">
        <w:rPr>
          <w:rFonts w:ascii="Times New Roman" w:hAnsi="Times New Roman" w:cs="Times New Roman"/>
          <w:sz w:val="24"/>
          <w:szCs w:val="24"/>
        </w:rPr>
        <w:t xml:space="preserve"> pandemic has affected almost every aspect of human life and </w:t>
      </w:r>
      <w:r w:rsidR="003A5C62" w:rsidRPr="008573D2">
        <w:rPr>
          <w:rFonts w:ascii="Times New Roman" w:hAnsi="Times New Roman" w:cs="Times New Roman"/>
          <w:sz w:val="24"/>
          <w:szCs w:val="24"/>
        </w:rPr>
        <w:t xml:space="preserve">the </w:t>
      </w:r>
      <w:r w:rsidRPr="008573D2">
        <w:rPr>
          <w:rFonts w:ascii="Times New Roman" w:hAnsi="Times New Roman" w:cs="Times New Roman"/>
          <w:sz w:val="24"/>
          <w:szCs w:val="24"/>
        </w:rPr>
        <w:t xml:space="preserve">economy and has been labelled as a black swan event due to its sudden and severe nature (Verma and Gustafsson, 2020). </w:t>
      </w:r>
      <w:r w:rsidR="00DC214A" w:rsidRPr="008573D2">
        <w:rPr>
          <w:rFonts w:ascii="Times New Roman" w:hAnsi="Times New Roman" w:cs="Times New Roman"/>
          <w:sz w:val="24"/>
          <w:szCs w:val="24"/>
        </w:rPr>
        <w:t>S</w:t>
      </w:r>
      <w:r w:rsidR="00765263" w:rsidRPr="008573D2">
        <w:rPr>
          <w:rFonts w:ascii="Times New Roman" w:hAnsi="Times New Roman" w:cs="Times New Roman"/>
          <w:sz w:val="24"/>
          <w:szCs w:val="24"/>
        </w:rPr>
        <w:t xml:space="preserve">tock markets across the </w:t>
      </w:r>
      <w:r w:rsidR="00DC214A" w:rsidRPr="008573D2">
        <w:rPr>
          <w:rFonts w:ascii="Times New Roman" w:hAnsi="Times New Roman" w:cs="Times New Roman"/>
          <w:sz w:val="24"/>
          <w:szCs w:val="24"/>
        </w:rPr>
        <w:t>w</w:t>
      </w:r>
      <w:r w:rsidR="00765263" w:rsidRPr="008573D2">
        <w:rPr>
          <w:rFonts w:ascii="Times New Roman" w:hAnsi="Times New Roman" w:cs="Times New Roman"/>
          <w:sz w:val="24"/>
          <w:szCs w:val="24"/>
        </w:rPr>
        <w:t>orld have exhibited varying degree</w:t>
      </w:r>
      <w:r w:rsidR="003A5C62" w:rsidRPr="008573D2">
        <w:rPr>
          <w:rFonts w:ascii="Times New Roman" w:hAnsi="Times New Roman" w:cs="Times New Roman"/>
          <w:sz w:val="24"/>
          <w:szCs w:val="24"/>
        </w:rPr>
        <w:t>s</w:t>
      </w:r>
      <w:r w:rsidR="00765263" w:rsidRPr="008573D2">
        <w:rPr>
          <w:rFonts w:ascii="Times New Roman" w:hAnsi="Times New Roman" w:cs="Times New Roman"/>
          <w:sz w:val="24"/>
          <w:szCs w:val="24"/>
        </w:rPr>
        <w:t xml:space="preserve"> of stock market volatility following the </w:t>
      </w:r>
      <w:r w:rsidR="006227DC" w:rsidRPr="008573D2">
        <w:rPr>
          <w:rFonts w:ascii="Times New Roman" w:hAnsi="Times New Roman" w:cs="Times New Roman"/>
          <w:sz w:val="24"/>
          <w:szCs w:val="24"/>
        </w:rPr>
        <w:t>pandemic</w:t>
      </w:r>
      <w:r w:rsidR="00765263" w:rsidRPr="008573D2">
        <w:rPr>
          <w:rFonts w:ascii="Times New Roman" w:hAnsi="Times New Roman" w:cs="Times New Roman"/>
          <w:sz w:val="24"/>
          <w:szCs w:val="24"/>
        </w:rPr>
        <w:t>. Our aim in this paper is dual: first to analy</w:t>
      </w:r>
      <w:r w:rsidR="00DC214A" w:rsidRPr="008573D2">
        <w:rPr>
          <w:rFonts w:ascii="Times New Roman" w:hAnsi="Times New Roman" w:cs="Times New Roman"/>
          <w:sz w:val="24"/>
          <w:szCs w:val="24"/>
        </w:rPr>
        <w:t>s</w:t>
      </w:r>
      <w:r w:rsidR="00765263" w:rsidRPr="008573D2">
        <w:rPr>
          <w:rFonts w:ascii="Times New Roman" w:hAnsi="Times New Roman" w:cs="Times New Roman"/>
          <w:sz w:val="24"/>
          <w:szCs w:val="24"/>
        </w:rPr>
        <w:t xml:space="preserve">e quantitatively to </w:t>
      </w:r>
      <w:r w:rsidR="005215AB" w:rsidRPr="008573D2">
        <w:rPr>
          <w:rFonts w:ascii="Times New Roman" w:hAnsi="Times New Roman" w:cs="Times New Roman"/>
          <w:sz w:val="24"/>
          <w:szCs w:val="24"/>
        </w:rPr>
        <w:t xml:space="preserve">what </w:t>
      </w:r>
      <w:r w:rsidR="00765263" w:rsidRPr="008573D2">
        <w:rPr>
          <w:rFonts w:ascii="Times New Roman" w:hAnsi="Times New Roman" w:cs="Times New Roman"/>
          <w:sz w:val="24"/>
          <w:szCs w:val="24"/>
        </w:rPr>
        <w:t>extent the surge in volatility can be attributed to COVID</w:t>
      </w:r>
      <w:r w:rsidR="00DC214A" w:rsidRPr="008573D2">
        <w:rPr>
          <w:rFonts w:ascii="Times New Roman" w:hAnsi="Times New Roman" w:cs="Times New Roman"/>
          <w:sz w:val="24"/>
          <w:szCs w:val="24"/>
        </w:rPr>
        <w:t>-</w:t>
      </w:r>
      <w:r w:rsidR="00765263" w:rsidRPr="008573D2">
        <w:rPr>
          <w:rFonts w:ascii="Times New Roman" w:hAnsi="Times New Roman" w:cs="Times New Roman"/>
          <w:sz w:val="24"/>
          <w:szCs w:val="24"/>
        </w:rPr>
        <w:t xml:space="preserve">19 and then </w:t>
      </w:r>
      <w:r w:rsidR="00263F5E" w:rsidRPr="008573D2">
        <w:rPr>
          <w:rFonts w:ascii="Times New Roman" w:hAnsi="Times New Roman" w:cs="Times New Roman"/>
          <w:sz w:val="24"/>
          <w:szCs w:val="24"/>
        </w:rPr>
        <w:t xml:space="preserve">to </w:t>
      </w:r>
      <w:r w:rsidR="00765263" w:rsidRPr="008573D2">
        <w:rPr>
          <w:rFonts w:ascii="Times New Roman" w:hAnsi="Times New Roman" w:cs="Times New Roman"/>
          <w:sz w:val="24"/>
          <w:szCs w:val="24"/>
        </w:rPr>
        <w:t xml:space="preserve">examine whether </w:t>
      </w:r>
      <w:r w:rsidR="00263F5E" w:rsidRPr="008573D2">
        <w:rPr>
          <w:rFonts w:ascii="Times New Roman" w:hAnsi="Times New Roman" w:cs="Times New Roman"/>
          <w:sz w:val="24"/>
          <w:szCs w:val="24"/>
        </w:rPr>
        <w:t xml:space="preserve">the relevant economic </w:t>
      </w:r>
      <w:r w:rsidR="0005270E" w:rsidRPr="008573D2">
        <w:rPr>
          <w:rFonts w:ascii="Times New Roman" w:hAnsi="Times New Roman" w:cs="Times New Roman"/>
          <w:sz w:val="24"/>
          <w:szCs w:val="24"/>
        </w:rPr>
        <w:t>factors</w:t>
      </w:r>
      <w:r w:rsidR="00263F5E" w:rsidRPr="008573D2">
        <w:rPr>
          <w:rFonts w:ascii="Times New Roman" w:hAnsi="Times New Roman" w:cs="Times New Roman"/>
          <w:sz w:val="24"/>
          <w:szCs w:val="24"/>
        </w:rPr>
        <w:t xml:space="preserve"> </w:t>
      </w:r>
      <w:r w:rsidR="00A46A3F" w:rsidRPr="008573D2">
        <w:rPr>
          <w:rFonts w:ascii="Times New Roman" w:hAnsi="Times New Roman" w:cs="Times New Roman"/>
          <w:sz w:val="24"/>
          <w:szCs w:val="24"/>
        </w:rPr>
        <w:t>such as economic resilience</w:t>
      </w:r>
      <w:r w:rsidR="006C15C1" w:rsidRPr="008573D2">
        <w:rPr>
          <w:rFonts w:ascii="Times New Roman" w:hAnsi="Times New Roman" w:cs="Times New Roman"/>
          <w:sz w:val="24"/>
          <w:szCs w:val="24"/>
        </w:rPr>
        <w:t xml:space="preserve">, intensity of capitalism, level of corporate governance, </w:t>
      </w:r>
      <w:r w:rsidR="00A46A3F" w:rsidRPr="008573D2">
        <w:rPr>
          <w:rFonts w:ascii="Times New Roman" w:hAnsi="Times New Roman" w:cs="Times New Roman"/>
          <w:sz w:val="24"/>
          <w:szCs w:val="24"/>
        </w:rPr>
        <w:t xml:space="preserve">financial development </w:t>
      </w:r>
      <w:r w:rsidR="006C15C1" w:rsidRPr="008573D2">
        <w:rPr>
          <w:rFonts w:ascii="Times New Roman" w:hAnsi="Times New Roman" w:cs="Times New Roman"/>
          <w:sz w:val="24"/>
          <w:szCs w:val="24"/>
        </w:rPr>
        <w:t xml:space="preserve">and level of health system development </w:t>
      </w:r>
      <w:r w:rsidR="00263F5E" w:rsidRPr="008573D2">
        <w:rPr>
          <w:rFonts w:ascii="Times New Roman" w:hAnsi="Times New Roman" w:cs="Times New Roman"/>
          <w:sz w:val="24"/>
          <w:szCs w:val="24"/>
        </w:rPr>
        <w:t xml:space="preserve">may </w:t>
      </w:r>
      <w:r w:rsidR="00765263" w:rsidRPr="008573D2">
        <w:rPr>
          <w:rFonts w:ascii="Times New Roman" w:hAnsi="Times New Roman" w:cs="Times New Roman"/>
          <w:sz w:val="24"/>
          <w:szCs w:val="24"/>
        </w:rPr>
        <w:t xml:space="preserve">reduce the </w:t>
      </w:r>
      <w:r w:rsidR="009F4696" w:rsidRPr="008573D2">
        <w:rPr>
          <w:rFonts w:ascii="Times New Roman" w:hAnsi="Times New Roman" w:cs="Times New Roman"/>
          <w:sz w:val="24"/>
          <w:szCs w:val="24"/>
        </w:rPr>
        <w:t xml:space="preserve">already existing </w:t>
      </w:r>
      <w:r w:rsidR="00765263" w:rsidRPr="008573D2">
        <w:rPr>
          <w:rFonts w:ascii="Times New Roman" w:hAnsi="Times New Roman" w:cs="Times New Roman"/>
          <w:sz w:val="24"/>
          <w:szCs w:val="24"/>
        </w:rPr>
        <w:t xml:space="preserve">turmoil in the stock market </w:t>
      </w:r>
      <w:r w:rsidR="009F4696" w:rsidRPr="008573D2">
        <w:rPr>
          <w:rFonts w:ascii="Times New Roman" w:hAnsi="Times New Roman" w:cs="Times New Roman"/>
          <w:sz w:val="24"/>
          <w:szCs w:val="24"/>
        </w:rPr>
        <w:t xml:space="preserve">to some extent </w:t>
      </w:r>
      <w:r w:rsidR="00263F5E" w:rsidRPr="008573D2">
        <w:rPr>
          <w:rFonts w:ascii="Times New Roman" w:hAnsi="Times New Roman" w:cs="Times New Roman"/>
          <w:sz w:val="24"/>
          <w:szCs w:val="24"/>
        </w:rPr>
        <w:t xml:space="preserve">so that </w:t>
      </w:r>
      <w:r w:rsidR="001672FA" w:rsidRPr="008573D2">
        <w:rPr>
          <w:rFonts w:ascii="Times New Roman" w:hAnsi="Times New Roman" w:cs="Times New Roman"/>
          <w:sz w:val="24"/>
          <w:szCs w:val="24"/>
        </w:rPr>
        <w:t>a potential crisis following this extraordinary heat in global stock markets</w:t>
      </w:r>
      <w:r w:rsidR="00765263" w:rsidRPr="008573D2">
        <w:rPr>
          <w:rFonts w:ascii="Times New Roman" w:hAnsi="Times New Roman" w:cs="Times New Roman"/>
          <w:sz w:val="24"/>
          <w:szCs w:val="24"/>
        </w:rPr>
        <w:t xml:space="preserve"> could be avoided in future</w:t>
      </w:r>
      <w:r w:rsidR="001672FA" w:rsidRPr="008573D2">
        <w:rPr>
          <w:rFonts w:ascii="Times New Roman" w:hAnsi="Times New Roman" w:cs="Times New Roman"/>
          <w:sz w:val="24"/>
          <w:szCs w:val="24"/>
        </w:rPr>
        <w:t>.</w:t>
      </w:r>
      <w:r w:rsidR="009205DF" w:rsidRPr="008573D2">
        <w:rPr>
          <w:rFonts w:ascii="Times New Roman" w:hAnsi="Times New Roman" w:cs="Times New Roman"/>
          <w:sz w:val="24"/>
          <w:szCs w:val="24"/>
        </w:rPr>
        <w:t xml:space="preserve"> </w:t>
      </w:r>
    </w:p>
    <w:p w14:paraId="214136C4" w14:textId="30237361" w:rsidR="00263F5E" w:rsidRPr="008573D2" w:rsidRDefault="00263F5E" w:rsidP="00C475C3">
      <w:pPr>
        <w:spacing w:line="48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The </w:t>
      </w:r>
      <w:r w:rsidR="00EF6193" w:rsidRPr="008573D2">
        <w:rPr>
          <w:rFonts w:ascii="Times New Roman" w:hAnsi="Times New Roman" w:cs="Times New Roman"/>
          <w:sz w:val="24"/>
          <w:szCs w:val="24"/>
        </w:rPr>
        <w:t>w</w:t>
      </w:r>
      <w:r w:rsidRPr="008573D2">
        <w:rPr>
          <w:rFonts w:ascii="Times New Roman" w:hAnsi="Times New Roman" w:cs="Times New Roman"/>
          <w:sz w:val="24"/>
          <w:szCs w:val="24"/>
        </w:rPr>
        <w:t xml:space="preserve">orld has been </w:t>
      </w:r>
      <w:r w:rsidR="00EF6193" w:rsidRPr="008573D2">
        <w:rPr>
          <w:rFonts w:ascii="Times New Roman" w:hAnsi="Times New Roman" w:cs="Times New Roman"/>
          <w:sz w:val="24"/>
          <w:szCs w:val="24"/>
        </w:rPr>
        <w:t>experiencing</w:t>
      </w:r>
      <w:r w:rsidRPr="008573D2">
        <w:rPr>
          <w:rFonts w:ascii="Times New Roman" w:hAnsi="Times New Roman" w:cs="Times New Roman"/>
          <w:sz w:val="24"/>
          <w:szCs w:val="24"/>
        </w:rPr>
        <w:t xml:space="preserve"> a severe </w:t>
      </w:r>
      <w:r w:rsidR="0005270E" w:rsidRPr="008573D2">
        <w:rPr>
          <w:rFonts w:ascii="Times New Roman" w:hAnsi="Times New Roman" w:cs="Times New Roman"/>
          <w:sz w:val="24"/>
          <w:szCs w:val="24"/>
        </w:rPr>
        <w:t>pandemic</w:t>
      </w:r>
      <w:r w:rsidRPr="008573D2">
        <w:rPr>
          <w:rFonts w:ascii="Times New Roman" w:hAnsi="Times New Roman" w:cs="Times New Roman"/>
          <w:sz w:val="24"/>
          <w:szCs w:val="24"/>
        </w:rPr>
        <w:t xml:space="preserve"> caused by </w:t>
      </w:r>
      <w:r w:rsidR="00964C2B" w:rsidRPr="008573D2">
        <w:rPr>
          <w:rFonts w:ascii="Times New Roman" w:hAnsi="Times New Roman" w:cs="Times New Roman"/>
          <w:sz w:val="24"/>
          <w:szCs w:val="24"/>
        </w:rPr>
        <w:t>COVID-19</w:t>
      </w:r>
      <w:r w:rsidR="004B2D3C" w:rsidRPr="008573D2">
        <w:rPr>
          <w:rFonts w:ascii="Times New Roman" w:hAnsi="Times New Roman" w:cs="Times New Roman"/>
          <w:sz w:val="24"/>
          <w:szCs w:val="24"/>
        </w:rPr>
        <w:t>,</w:t>
      </w:r>
      <w:r w:rsidRPr="008573D2">
        <w:rPr>
          <w:rFonts w:ascii="Times New Roman" w:hAnsi="Times New Roman" w:cs="Times New Roman"/>
          <w:sz w:val="24"/>
          <w:szCs w:val="24"/>
        </w:rPr>
        <w:t xml:space="preserve"> which is an acute respiratory </w:t>
      </w:r>
      <w:r w:rsidR="0005270E" w:rsidRPr="008573D2">
        <w:rPr>
          <w:rFonts w:ascii="Times New Roman" w:hAnsi="Times New Roman" w:cs="Times New Roman"/>
          <w:sz w:val="24"/>
          <w:szCs w:val="24"/>
        </w:rPr>
        <w:t>disease</w:t>
      </w:r>
      <w:r w:rsidR="00EF6193" w:rsidRPr="008573D2">
        <w:rPr>
          <w:rFonts w:ascii="Times New Roman" w:hAnsi="Times New Roman" w:cs="Times New Roman"/>
          <w:sz w:val="24"/>
          <w:szCs w:val="24"/>
        </w:rPr>
        <w:t xml:space="preserve"> that</w:t>
      </w:r>
      <w:r w:rsidRPr="008573D2">
        <w:rPr>
          <w:rFonts w:ascii="Times New Roman" w:hAnsi="Times New Roman" w:cs="Times New Roman"/>
          <w:sz w:val="24"/>
          <w:szCs w:val="24"/>
        </w:rPr>
        <w:t xml:space="preserve"> originated </w:t>
      </w:r>
      <w:r w:rsidR="009205DF" w:rsidRPr="008573D2">
        <w:rPr>
          <w:rFonts w:ascii="Times New Roman" w:hAnsi="Times New Roman" w:cs="Times New Roman"/>
          <w:sz w:val="24"/>
          <w:szCs w:val="24"/>
        </w:rPr>
        <w:t xml:space="preserve">in </w:t>
      </w:r>
      <w:r w:rsidRPr="008573D2">
        <w:rPr>
          <w:rFonts w:ascii="Times New Roman" w:hAnsi="Times New Roman" w:cs="Times New Roman"/>
          <w:sz w:val="24"/>
          <w:szCs w:val="24"/>
        </w:rPr>
        <w:t xml:space="preserve">China and now has spread through the world and already killed </w:t>
      </w:r>
      <w:r w:rsidR="006C4099" w:rsidRPr="008573D2">
        <w:rPr>
          <w:rFonts w:ascii="Times New Roman" w:hAnsi="Times New Roman" w:cs="Times New Roman"/>
          <w:sz w:val="24"/>
          <w:szCs w:val="24"/>
        </w:rPr>
        <w:t xml:space="preserve">hundreds of </w:t>
      </w:r>
      <w:r w:rsidR="009205DF" w:rsidRPr="008573D2">
        <w:rPr>
          <w:rFonts w:ascii="Times New Roman" w:hAnsi="Times New Roman" w:cs="Times New Roman"/>
          <w:sz w:val="24"/>
          <w:szCs w:val="24"/>
        </w:rPr>
        <w:t>thousands</w:t>
      </w:r>
      <w:r w:rsidR="006C4099" w:rsidRPr="008573D2">
        <w:rPr>
          <w:rFonts w:ascii="Times New Roman" w:hAnsi="Times New Roman" w:cs="Times New Roman"/>
          <w:sz w:val="24"/>
          <w:szCs w:val="24"/>
        </w:rPr>
        <w:t xml:space="preserve"> </w:t>
      </w:r>
      <w:r w:rsidR="009205DF" w:rsidRPr="008573D2">
        <w:rPr>
          <w:rFonts w:ascii="Times New Roman" w:hAnsi="Times New Roman" w:cs="Times New Roman"/>
          <w:sz w:val="24"/>
          <w:szCs w:val="24"/>
        </w:rPr>
        <w:t xml:space="preserve">of </w:t>
      </w:r>
      <w:r w:rsidR="006C4099" w:rsidRPr="008573D2">
        <w:rPr>
          <w:rFonts w:ascii="Times New Roman" w:hAnsi="Times New Roman" w:cs="Times New Roman"/>
          <w:sz w:val="24"/>
          <w:szCs w:val="24"/>
        </w:rPr>
        <w:t>people</w:t>
      </w:r>
      <w:r w:rsidR="007E32CB" w:rsidRPr="008573D2">
        <w:rPr>
          <w:rStyle w:val="FootnoteReference"/>
          <w:rFonts w:ascii="Times New Roman" w:hAnsi="Times New Roman" w:cs="Times New Roman"/>
          <w:sz w:val="24"/>
          <w:szCs w:val="24"/>
        </w:rPr>
        <w:footnoteReference w:id="1"/>
      </w:r>
      <w:r w:rsidRPr="008573D2">
        <w:rPr>
          <w:rFonts w:ascii="Times New Roman" w:hAnsi="Times New Roman" w:cs="Times New Roman"/>
          <w:sz w:val="24"/>
          <w:szCs w:val="24"/>
        </w:rPr>
        <w:t xml:space="preserve">. The shock and panic </w:t>
      </w:r>
      <w:r w:rsidR="00766BDB" w:rsidRPr="008573D2">
        <w:rPr>
          <w:rFonts w:ascii="Times New Roman" w:hAnsi="Times New Roman" w:cs="Times New Roman"/>
          <w:sz w:val="24"/>
          <w:szCs w:val="24"/>
        </w:rPr>
        <w:t>have</w:t>
      </w:r>
      <w:r w:rsidRPr="008573D2">
        <w:rPr>
          <w:rFonts w:ascii="Times New Roman" w:hAnsi="Times New Roman" w:cs="Times New Roman"/>
          <w:sz w:val="24"/>
          <w:szCs w:val="24"/>
        </w:rPr>
        <w:t xml:space="preserve"> caused severe fall</w:t>
      </w:r>
      <w:r w:rsidR="00EF6193" w:rsidRPr="008573D2">
        <w:rPr>
          <w:rFonts w:ascii="Times New Roman" w:hAnsi="Times New Roman" w:cs="Times New Roman"/>
          <w:sz w:val="24"/>
          <w:szCs w:val="24"/>
        </w:rPr>
        <w:t>s</w:t>
      </w:r>
      <w:r w:rsidRPr="008573D2">
        <w:rPr>
          <w:rFonts w:ascii="Times New Roman" w:hAnsi="Times New Roman" w:cs="Times New Roman"/>
          <w:sz w:val="24"/>
          <w:szCs w:val="24"/>
        </w:rPr>
        <w:t xml:space="preserve"> in stock market</w:t>
      </w:r>
      <w:r w:rsidR="00EF6193" w:rsidRPr="008573D2">
        <w:rPr>
          <w:rFonts w:ascii="Times New Roman" w:hAnsi="Times New Roman" w:cs="Times New Roman"/>
          <w:sz w:val="24"/>
          <w:szCs w:val="24"/>
        </w:rPr>
        <w:t>s</w:t>
      </w:r>
      <w:r w:rsidRPr="008573D2">
        <w:rPr>
          <w:rFonts w:ascii="Times New Roman" w:hAnsi="Times New Roman" w:cs="Times New Roman"/>
          <w:sz w:val="24"/>
          <w:szCs w:val="24"/>
        </w:rPr>
        <w:t xml:space="preserve"> around the world</w:t>
      </w:r>
      <w:r w:rsidR="001672FA" w:rsidRPr="008573D2">
        <w:rPr>
          <w:rFonts w:ascii="Times New Roman" w:hAnsi="Times New Roman" w:cs="Times New Roman"/>
          <w:sz w:val="24"/>
          <w:szCs w:val="24"/>
        </w:rPr>
        <w:t xml:space="preserve">. </w:t>
      </w:r>
      <w:r w:rsidR="00B61DA2" w:rsidRPr="008573D2">
        <w:rPr>
          <w:rFonts w:ascii="Times New Roman" w:hAnsi="Times New Roman" w:cs="Times New Roman"/>
          <w:sz w:val="24"/>
          <w:szCs w:val="24"/>
        </w:rPr>
        <w:t xml:space="preserve">The </w:t>
      </w:r>
      <w:r w:rsidR="00A43740" w:rsidRPr="008573D2">
        <w:rPr>
          <w:rFonts w:ascii="Times New Roman" w:hAnsi="Times New Roman" w:cs="Times New Roman"/>
          <w:sz w:val="24"/>
          <w:szCs w:val="24"/>
        </w:rPr>
        <w:t>BBC reported on 31</w:t>
      </w:r>
      <w:r w:rsidR="00A43740" w:rsidRPr="008573D2">
        <w:rPr>
          <w:rFonts w:ascii="Times New Roman" w:hAnsi="Times New Roman" w:cs="Times New Roman"/>
          <w:sz w:val="24"/>
          <w:szCs w:val="24"/>
          <w:vertAlign w:val="superscript"/>
        </w:rPr>
        <w:t>st</w:t>
      </w:r>
      <w:r w:rsidR="00A43740" w:rsidRPr="008573D2">
        <w:rPr>
          <w:rFonts w:ascii="Times New Roman" w:hAnsi="Times New Roman" w:cs="Times New Roman"/>
          <w:sz w:val="24"/>
          <w:szCs w:val="24"/>
        </w:rPr>
        <w:t xml:space="preserve"> March </w:t>
      </w:r>
      <w:r w:rsidR="00B61DA2" w:rsidRPr="008573D2">
        <w:rPr>
          <w:rFonts w:ascii="Times New Roman" w:hAnsi="Times New Roman" w:cs="Times New Roman"/>
          <w:sz w:val="24"/>
          <w:szCs w:val="24"/>
        </w:rPr>
        <w:t xml:space="preserve">2020 </w:t>
      </w:r>
      <w:r w:rsidR="00A43740" w:rsidRPr="008573D2">
        <w:rPr>
          <w:rFonts w:ascii="Times New Roman" w:hAnsi="Times New Roman" w:cs="Times New Roman"/>
          <w:sz w:val="24"/>
          <w:szCs w:val="24"/>
        </w:rPr>
        <w:t xml:space="preserve">that </w:t>
      </w:r>
      <w:r w:rsidR="00B61DA2" w:rsidRPr="008573D2">
        <w:rPr>
          <w:rFonts w:ascii="Times New Roman" w:hAnsi="Times New Roman" w:cs="Times New Roman"/>
          <w:sz w:val="24"/>
          <w:szCs w:val="24"/>
        </w:rPr>
        <w:t xml:space="preserve">the </w:t>
      </w:r>
      <w:r w:rsidR="00A43740" w:rsidRPr="008573D2">
        <w:rPr>
          <w:rFonts w:ascii="Times New Roman" w:hAnsi="Times New Roman" w:cs="Times New Roman"/>
          <w:sz w:val="24"/>
          <w:szCs w:val="24"/>
        </w:rPr>
        <w:t xml:space="preserve">Dow Jones Industrial Average and FTSE 100 </w:t>
      </w:r>
      <w:r w:rsidR="00EF6193" w:rsidRPr="008573D2">
        <w:rPr>
          <w:rFonts w:ascii="Times New Roman" w:hAnsi="Times New Roman" w:cs="Times New Roman"/>
          <w:sz w:val="24"/>
          <w:szCs w:val="24"/>
        </w:rPr>
        <w:t xml:space="preserve">had </w:t>
      </w:r>
      <w:r w:rsidR="00A43740" w:rsidRPr="008573D2">
        <w:rPr>
          <w:rFonts w:ascii="Times New Roman" w:hAnsi="Times New Roman" w:cs="Times New Roman"/>
          <w:sz w:val="24"/>
          <w:szCs w:val="24"/>
        </w:rPr>
        <w:t>plunged by 23% and 25%</w:t>
      </w:r>
      <w:r w:rsidR="007578A7" w:rsidRPr="008573D2">
        <w:rPr>
          <w:rFonts w:ascii="Times New Roman" w:hAnsi="Times New Roman" w:cs="Times New Roman"/>
          <w:sz w:val="24"/>
          <w:szCs w:val="24"/>
        </w:rPr>
        <w:t>,</w:t>
      </w:r>
      <w:r w:rsidR="00A43740" w:rsidRPr="008573D2">
        <w:rPr>
          <w:rFonts w:ascii="Times New Roman" w:hAnsi="Times New Roman" w:cs="Times New Roman"/>
          <w:sz w:val="24"/>
          <w:szCs w:val="24"/>
        </w:rPr>
        <w:t xml:space="preserve"> respectively </w:t>
      </w:r>
      <w:r w:rsidR="00EF6193" w:rsidRPr="008573D2">
        <w:rPr>
          <w:rFonts w:ascii="Times New Roman" w:hAnsi="Times New Roman" w:cs="Times New Roman"/>
          <w:sz w:val="24"/>
          <w:szCs w:val="24"/>
        </w:rPr>
        <w:t>–</w:t>
      </w:r>
      <w:r w:rsidR="00A43740" w:rsidRPr="008573D2">
        <w:rPr>
          <w:rFonts w:ascii="Times New Roman" w:hAnsi="Times New Roman" w:cs="Times New Roman"/>
          <w:sz w:val="24"/>
          <w:szCs w:val="24"/>
        </w:rPr>
        <w:t xml:space="preserve"> </w:t>
      </w:r>
      <w:r w:rsidR="00B61DA2" w:rsidRPr="008573D2">
        <w:rPr>
          <w:rFonts w:ascii="Times New Roman" w:hAnsi="Times New Roman" w:cs="Times New Roman"/>
          <w:sz w:val="24"/>
          <w:szCs w:val="24"/>
        </w:rPr>
        <w:t xml:space="preserve">the </w:t>
      </w:r>
      <w:r w:rsidR="00A43740" w:rsidRPr="008573D2">
        <w:rPr>
          <w:rFonts w:ascii="Times New Roman" w:hAnsi="Times New Roman" w:cs="Times New Roman"/>
          <w:sz w:val="24"/>
          <w:szCs w:val="24"/>
        </w:rPr>
        <w:t xml:space="preserve">biggest quarterly drops since 1987. </w:t>
      </w:r>
      <w:r w:rsidR="00B61DA2" w:rsidRPr="008573D2">
        <w:rPr>
          <w:rFonts w:ascii="Times New Roman" w:hAnsi="Times New Roman" w:cs="Times New Roman"/>
          <w:sz w:val="24"/>
          <w:szCs w:val="24"/>
        </w:rPr>
        <w:t xml:space="preserve">The </w:t>
      </w:r>
      <w:r w:rsidR="00A43740" w:rsidRPr="008573D2">
        <w:rPr>
          <w:rFonts w:ascii="Times New Roman" w:hAnsi="Times New Roman" w:cs="Times New Roman"/>
          <w:sz w:val="24"/>
          <w:szCs w:val="24"/>
        </w:rPr>
        <w:t>S&amp;P 500 also lost 20% during the same time</w:t>
      </w:r>
      <w:r w:rsidR="00EF6193" w:rsidRPr="008573D2">
        <w:rPr>
          <w:rFonts w:ascii="Times New Roman" w:hAnsi="Times New Roman" w:cs="Times New Roman"/>
          <w:sz w:val="24"/>
          <w:szCs w:val="24"/>
        </w:rPr>
        <w:t>,</w:t>
      </w:r>
      <w:r w:rsidR="00A43740" w:rsidRPr="008573D2">
        <w:rPr>
          <w:rFonts w:ascii="Times New Roman" w:hAnsi="Times New Roman" w:cs="Times New Roman"/>
          <w:sz w:val="24"/>
          <w:szCs w:val="24"/>
        </w:rPr>
        <w:t xml:space="preserve"> which was the worst</w:t>
      </w:r>
      <w:r w:rsidR="00EF6193" w:rsidRPr="008573D2">
        <w:rPr>
          <w:rFonts w:ascii="Times New Roman" w:hAnsi="Times New Roman" w:cs="Times New Roman"/>
          <w:sz w:val="24"/>
          <w:szCs w:val="24"/>
        </w:rPr>
        <w:t xml:space="preserve"> loss</w:t>
      </w:r>
      <w:r w:rsidR="00A43740" w:rsidRPr="008573D2">
        <w:rPr>
          <w:rFonts w:ascii="Times New Roman" w:hAnsi="Times New Roman" w:cs="Times New Roman"/>
          <w:sz w:val="24"/>
          <w:szCs w:val="24"/>
        </w:rPr>
        <w:t xml:space="preserve"> since</w:t>
      </w:r>
      <w:r w:rsidR="00B61DA2" w:rsidRPr="008573D2">
        <w:rPr>
          <w:rFonts w:ascii="Times New Roman" w:hAnsi="Times New Roman" w:cs="Times New Roman"/>
          <w:sz w:val="24"/>
          <w:szCs w:val="24"/>
        </w:rPr>
        <w:t xml:space="preserve"> the</w:t>
      </w:r>
      <w:r w:rsidR="00A43740" w:rsidRPr="008573D2">
        <w:rPr>
          <w:rFonts w:ascii="Times New Roman" w:hAnsi="Times New Roman" w:cs="Times New Roman"/>
          <w:sz w:val="24"/>
          <w:szCs w:val="24"/>
        </w:rPr>
        <w:t xml:space="preserve"> 2008 financial crisis. </w:t>
      </w:r>
      <w:r w:rsidR="00B61DA2" w:rsidRPr="008573D2">
        <w:rPr>
          <w:rFonts w:ascii="Times New Roman" w:hAnsi="Times New Roman" w:cs="Times New Roman"/>
          <w:sz w:val="24"/>
          <w:szCs w:val="24"/>
        </w:rPr>
        <w:t>Economists made s</w:t>
      </w:r>
      <w:r w:rsidR="00A43740" w:rsidRPr="008573D2">
        <w:rPr>
          <w:rFonts w:ascii="Times New Roman" w:hAnsi="Times New Roman" w:cs="Times New Roman"/>
          <w:sz w:val="24"/>
          <w:szCs w:val="24"/>
        </w:rPr>
        <w:t>tark warning</w:t>
      </w:r>
      <w:r w:rsidR="00B61DA2" w:rsidRPr="008573D2">
        <w:rPr>
          <w:rFonts w:ascii="Times New Roman" w:hAnsi="Times New Roman" w:cs="Times New Roman"/>
          <w:sz w:val="24"/>
          <w:szCs w:val="24"/>
        </w:rPr>
        <w:t>s</w:t>
      </w:r>
      <w:r w:rsidR="00A43740" w:rsidRPr="008573D2">
        <w:rPr>
          <w:rFonts w:ascii="Times New Roman" w:hAnsi="Times New Roman" w:cs="Times New Roman"/>
          <w:sz w:val="24"/>
          <w:szCs w:val="24"/>
        </w:rPr>
        <w:t xml:space="preserve"> about the sharp global slowdown. </w:t>
      </w:r>
      <w:r w:rsidR="00057AC8" w:rsidRPr="008573D2">
        <w:rPr>
          <w:rFonts w:ascii="Times New Roman" w:hAnsi="Times New Roman" w:cs="Times New Roman"/>
          <w:sz w:val="24"/>
          <w:szCs w:val="24"/>
        </w:rPr>
        <w:t>Global Economic Prospects (June 2020)</w:t>
      </w:r>
      <w:r w:rsidR="00057AC8" w:rsidRPr="008573D2">
        <w:rPr>
          <w:rStyle w:val="FootnoteReference"/>
          <w:rFonts w:ascii="Times New Roman" w:hAnsi="Times New Roman" w:cs="Times New Roman"/>
          <w:sz w:val="24"/>
          <w:szCs w:val="24"/>
        </w:rPr>
        <w:footnoteReference w:id="2"/>
      </w:r>
      <w:r w:rsidR="00057AC8" w:rsidRPr="008573D2">
        <w:rPr>
          <w:rFonts w:ascii="Times New Roman" w:hAnsi="Times New Roman" w:cs="Times New Roman"/>
          <w:sz w:val="24"/>
          <w:szCs w:val="24"/>
        </w:rPr>
        <w:t xml:space="preserve"> reported that </w:t>
      </w:r>
      <w:r w:rsidR="00B61DA2" w:rsidRPr="008573D2">
        <w:rPr>
          <w:rFonts w:ascii="Times New Roman" w:hAnsi="Times New Roman" w:cs="Times New Roman"/>
          <w:sz w:val="24"/>
          <w:szCs w:val="24"/>
        </w:rPr>
        <w:t xml:space="preserve">the </w:t>
      </w:r>
      <w:r w:rsidR="00057AC8" w:rsidRPr="008573D2">
        <w:rPr>
          <w:rFonts w:ascii="Times New Roman" w:hAnsi="Times New Roman" w:cs="Times New Roman"/>
          <w:sz w:val="24"/>
          <w:szCs w:val="24"/>
        </w:rPr>
        <w:t xml:space="preserve">pandemic would </w:t>
      </w:r>
      <w:r w:rsidR="005215AB" w:rsidRPr="008573D2">
        <w:rPr>
          <w:rFonts w:ascii="Times New Roman" w:hAnsi="Times New Roman" w:cs="Times New Roman"/>
          <w:sz w:val="24"/>
          <w:szCs w:val="24"/>
        </w:rPr>
        <w:t>drag</w:t>
      </w:r>
      <w:r w:rsidR="00057AC8" w:rsidRPr="008573D2">
        <w:rPr>
          <w:rFonts w:ascii="Times New Roman" w:hAnsi="Times New Roman" w:cs="Times New Roman"/>
          <w:sz w:val="24"/>
          <w:szCs w:val="24"/>
        </w:rPr>
        <w:t xml:space="preserve"> </w:t>
      </w:r>
      <w:r w:rsidR="00B61DA2" w:rsidRPr="008573D2">
        <w:rPr>
          <w:rFonts w:ascii="Times New Roman" w:hAnsi="Times New Roman" w:cs="Times New Roman"/>
          <w:sz w:val="24"/>
          <w:szCs w:val="24"/>
        </w:rPr>
        <w:t xml:space="preserve">the </w:t>
      </w:r>
      <w:r w:rsidR="00057AC8" w:rsidRPr="008573D2">
        <w:rPr>
          <w:rFonts w:ascii="Times New Roman" w:hAnsi="Times New Roman" w:cs="Times New Roman"/>
          <w:sz w:val="24"/>
          <w:szCs w:val="24"/>
        </w:rPr>
        <w:t>majority of worl</w:t>
      </w:r>
      <w:r w:rsidR="00673DC7" w:rsidRPr="008573D2">
        <w:rPr>
          <w:rFonts w:ascii="Times New Roman" w:hAnsi="Times New Roman" w:cs="Times New Roman"/>
          <w:sz w:val="24"/>
          <w:szCs w:val="24"/>
        </w:rPr>
        <w:t>d</w:t>
      </w:r>
      <w:r w:rsidR="00057AC8" w:rsidRPr="008573D2">
        <w:rPr>
          <w:rFonts w:ascii="Times New Roman" w:hAnsi="Times New Roman" w:cs="Times New Roman"/>
          <w:sz w:val="24"/>
          <w:szCs w:val="24"/>
        </w:rPr>
        <w:t xml:space="preserve"> economies into recession</w:t>
      </w:r>
      <w:r w:rsidR="005215AB" w:rsidRPr="008573D2">
        <w:rPr>
          <w:rFonts w:ascii="Times New Roman" w:hAnsi="Times New Roman" w:cs="Times New Roman"/>
          <w:sz w:val="24"/>
          <w:szCs w:val="24"/>
        </w:rPr>
        <w:t xml:space="preserve"> and global </w:t>
      </w:r>
      <w:r w:rsidR="00057AC8" w:rsidRPr="008573D2">
        <w:rPr>
          <w:rFonts w:ascii="Times New Roman" w:hAnsi="Times New Roman" w:cs="Times New Roman"/>
          <w:sz w:val="24"/>
          <w:szCs w:val="24"/>
        </w:rPr>
        <w:t xml:space="preserve">per capita output contraction would be </w:t>
      </w:r>
      <w:r w:rsidR="00B61DA2" w:rsidRPr="008573D2">
        <w:rPr>
          <w:rFonts w:ascii="Times New Roman" w:hAnsi="Times New Roman" w:cs="Times New Roman"/>
          <w:sz w:val="24"/>
          <w:szCs w:val="24"/>
        </w:rPr>
        <w:t xml:space="preserve">the </w:t>
      </w:r>
      <w:r w:rsidR="00057AC8" w:rsidRPr="008573D2">
        <w:rPr>
          <w:rFonts w:ascii="Times New Roman" w:hAnsi="Times New Roman" w:cs="Times New Roman"/>
          <w:sz w:val="24"/>
          <w:szCs w:val="24"/>
        </w:rPr>
        <w:t xml:space="preserve">largest since 1870. The report also pointed out that </w:t>
      </w:r>
      <w:r w:rsidR="00B61DA2" w:rsidRPr="008573D2">
        <w:rPr>
          <w:rFonts w:ascii="Times New Roman" w:hAnsi="Times New Roman" w:cs="Times New Roman"/>
          <w:sz w:val="24"/>
          <w:szCs w:val="24"/>
        </w:rPr>
        <w:t>the g</w:t>
      </w:r>
      <w:r w:rsidR="00057AC8" w:rsidRPr="008573D2">
        <w:rPr>
          <w:rFonts w:ascii="Times New Roman" w:hAnsi="Times New Roman" w:cs="Times New Roman"/>
          <w:sz w:val="24"/>
          <w:szCs w:val="24"/>
        </w:rPr>
        <w:t xml:space="preserve">lobal </w:t>
      </w:r>
      <w:r w:rsidR="00B61DA2" w:rsidRPr="008573D2">
        <w:rPr>
          <w:rFonts w:ascii="Times New Roman" w:hAnsi="Times New Roman" w:cs="Times New Roman"/>
          <w:sz w:val="24"/>
          <w:szCs w:val="24"/>
        </w:rPr>
        <w:t xml:space="preserve">contraction in </w:t>
      </w:r>
      <w:r w:rsidR="00057AC8" w:rsidRPr="008573D2">
        <w:rPr>
          <w:rFonts w:ascii="Times New Roman" w:hAnsi="Times New Roman" w:cs="Times New Roman"/>
          <w:sz w:val="24"/>
          <w:szCs w:val="24"/>
        </w:rPr>
        <w:t>real GDP would be 5.2%</w:t>
      </w:r>
      <w:r w:rsidR="00B61DA2" w:rsidRPr="008573D2">
        <w:rPr>
          <w:rFonts w:ascii="Times New Roman" w:hAnsi="Times New Roman" w:cs="Times New Roman"/>
          <w:sz w:val="24"/>
          <w:szCs w:val="24"/>
        </w:rPr>
        <w:t>.</w:t>
      </w:r>
      <w:r w:rsidR="00057AC8" w:rsidRPr="008573D2">
        <w:rPr>
          <w:rFonts w:ascii="Times New Roman" w:hAnsi="Times New Roman" w:cs="Times New Roman"/>
          <w:sz w:val="24"/>
          <w:szCs w:val="24"/>
        </w:rPr>
        <w:t xml:space="preserve"> </w:t>
      </w:r>
      <w:r w:rsidR="00B61DA2" w:rsidRPr="008573D2">
        <w:rPr>
          <w:rFonts w:ascii="Times New Roman" w:hAnsi="Times New Roman" w:cs="Times New Roman"/>
          <w:sz w:val="24"/>
          <w:szCs w:val="24"/>
        </w:rPr>
        <w:t>The figures</w:t>
      </w:r>
      <w:r w:rsidR="00DC214A" w:rsidRPr="008573D2">
        <w:rPr>
          <w:rFonts w:ascii="Times New Roman" w:hAnsi="Times New Roman" w:cs="Times New Roman"/>
          <w:sz w:val="24"/>
          <w:szCs w:val="24"/>
        </w:rPr>
        <w:t xml:space="preserve"> </w:t>
      </w:r>
      <w:r w:rsidR="00057AC8" w:rsidRPr="008573D2">
        <w:rPr>
          <w:rFonts w:ascii="Times New Roman" w:hAnsi="Times New Roman" w:cs="Times New Roman"/>
          <w:sz w:val="24"/>
          <w:szCs w:val="24"/>
        </w:rPr>
        <w:t xml:space="preserve">for advanced economies and emerging and developing economies </w:t>
      </w:r>
      <w:r w:rsidR="00057AC8" w:rsidRPr="008573D2">
        <w:rPr>
          <w:rFonts w:ascii="Times New Roman" w:hAnsi="Times New Roman" w:cs="Times New Roman"/>
          <w:sz w:val="24"/>
          <w:szCs w:val="24"/>
        </w:rPr>
        <w:lastRenderedPageBreak/>
        <w:t>would be 7% and 2.5%</w:t>
      </w:r>
      <w:r w:rsidR="007578A7" w:rsidRPr="008573D2">
        <w:rPr>
          <w:rFonts w:ascii="Times New Roman" w:hAnsi="Times New Roman" w:cs="Times New Roman"/>
          <w:sz w:val="24"/>
          <w:szCs w:val="24"/>
        </w:rPr>
        <w:t>,</w:t>
      </w:r>
      <w:r w:rsidR="00057AC8" w:rsidRPr="008573D2">
        <w:rPr>
          <w:rFonts w:ascii="Times New Roman" w:hAnsi="Times New Roman" w:cs="Times New Roman"/>
          <w:sz w:val="24"/>
          <w:szCs w:val="24"/>
        </w:rPr>
        <w:t xml:space="preserve"> respectively</w:t>
      </w:r>
      <w:r w:rsidR="00A43740" w:rsidRPr="008573D2">
        <w:rPr>
          <w:rFonts w:ascii="Times New Roman" w:hAnsi="Times New Roman" w:cs="Times New Roman"/>
          <w:sz w:val="24"/>
          <w:szCs w:val="24"/>
        </w:rPr>
        <w:t xml:space="preserve">. </w:t>
      </w:r>
      <w:r w:rsidR="00A46A3F" w:rsidRPr="008573D2">
        <w:rPr>
          <w:rFonts w:ascii="Times New Roman" w:hAnsi="Times New Roman" w:cs="Times New Roman"/>
          <w:sz w:val="24"/>
          <w:szCs w:val="24"/>
        </w:rPr>
        <w:t>A recent report by Deloitte</w:t>
      </w:r>
      <w:r w:rsidR="00A46A3F" w:rsidRPr="008573D2">
        <w:rPr>
          <w:rStyle w:val="FootnoteReference"/>
          <w:rFonts w:ascii="Times New Roman" w:hAnsi="Times New Roman" w:cs="Times New Roman"/>
          <w:sz w:val="24"/>
          <w:szCs w:val="24"/>
        </w:rPr>
        <w:footnoteReference w:id="3"/>
      </w:r>
      <w:r w:rsidR="00A46A3F" w:rsidRPr="008573D2">
        <w:rPr>
          <w:rFonts w:ascii="Times New Roman" w:hAnsi="Times New Roman" w:cs="Times New Roman"/>
          <w:sz w:val="24"/>
          <w:szCs w:val="24"/>
        </w:rPr>
        <w:t xml:space="preserve"> </w:t>
      </w:r>
      <w:r w:rsidR="00EF6193" w:rsidRPr="008573D2">
        <w:rPr>
          <w:rFonts w:ascii="Times New Roman" w:hAnsi="Times New Roman" w:cs="Times New Roman"/>
          <w:sz w:val="24"/>
          <w:szCs w:val="24"/>
        </w:rPr>
        <w:t xml:space="preserve">stated </w:t>
      </w:r>
      <w:r w:rsidR="00A46A3F" w:rsidRPr="008573D2">
        <w:rPr>
          <w:rFonts w:ascii="Times New Roman" w:hAnsi="Times New Roman" w:cs="Times New Roman"/>
          <w:sz w:val="24"/>
          <w:szCs w:val="24"/>
        </w:rPr>
        <w:t xml:space="preserve">that </w:t>
      </w:r>
      <w:r w:rsidR="00B61DA2" w:rsidRPr="008573D2">
        <w:rPr>
          <w:rFonts w:ascii="Times New Roman" w:hAnsi="Times New Roman" w:cs="Times New Roman"/>
          <w:sz w:val="24"/>
          <w:szCs w:val="24"/>
        </w:rPr>
        <w:t xml:space="preserve">the </w:t>
      </w:r>
      <w:r w:rsidR="00964C2B" w:rsidRPr="008573D2">
        <w:rPr>
          <w:rFonts w:ascii="Times New Roman" w:hAnsi="Times New Roman" w:cs="Times New Roman"/>
          <w:sz w:val="24"/>
          <w:szCs w:val="24"/>
        </w:rPr>
        <w:t>COVID-19</w:t>
      </w:r>
      <w:r w:rsidR="00A46A3F" w:rsidRPr="008573D2">
        <w:rPr>
          <w:rFonts w:ascii="Times New Roman" w:hAnsi="Times New Roman" w:cs="Times New Roman"/>
          <w:sz w:val="24"/>
          <w:szCs w:val="24"/>
        </w:rPr>
        <w:t xml:space="preserve"> pandemic has affected both the supply and demand side</w:t>
      </w:r>
      <w:r w:rsidR="00B61DA2" w:rsidRPr="008573D2">
        <w:rPr>
          <w:rFonts w:ascii="Times New Roman" w:hAnsi="Times New Roman" w:cs="Times New Roman"/>
          <w:sz w:val="24"/>
          <w:szCs w:val="24"/>
        </w:rPr>
        <w:t>s</w:t>
      </w:r>
      <w:r w:rsidR="00A46A3F" w:rsidRPr="008573D2">
        <w:rPr>
          <w:rFonts w:ascii="Times New Roman" w:hAnsi="Times New Roman" w:cs="Times New Roman"/>
          <w:sz w:val="24"/>
          <w:szCs w:val="24"/>
        </w:rPr>
        <w:t xml:space="preserve"> of the global economy. In</w:t>
      </w:r>
      <w:r w:rsidR="00906333" w:rsidRPr="008573D2">
        <w:rPr>
          <w:rFonts w:ascii="Times New Roman" w:hAnsi="Times New Roman" w:cs="Times New Roman"/>
          <w:sz w:val="24"/>
          <w:szCs w:val="24"/>
        </w:rPr>
        <w:t xml:space="preserve"> </w:t>
      </w:r>
      <w:r w:rsidR="00A46A3F" w:rsidRPr="008573D2">
        <w:rPr>
          <w:rFonts w:ascii="Times New Roman" w:hAnsi="Times New Roman" w:cs="Times New Roman"/>
          <w:sz w:val="24"/>
          <w:szCs w:val="24"/>
        </w:rPr>
        <w:t xml:space="preserve">addition to </w:t>
      </w:r>
      <w:r w:rsidR="006C4099" w:rsidRPr="008573D2">
        <w:rPr>
          <w:rFonts w:ascii="Times New Roman" w:hAnsi="Times New Roman" w:cs="Times New Roman"/>
          <w:sz w:val="24"/>
          <w:szCs w:val="24"/>
        </w:rPr>
        <w:t>significant number</w:t>
      </w:r>
      <w:r w:rsidR="00EF6193" w:rsidRPr="008573D2">
        <w:rPr>
          <w:rFonts w:ascii="Times New Roman" w:hAnsi="Times New Roman" w:cs="Times New Roman"/>
          <w:sz w:val="24"/>
          <w:szCs w:val="24"/>
        </w:rPr>
        <w:t>s</w:t>
      </w:r>
      <w:r w:rsidR="00A46A3F" w:rsidRPr="008573D2">
        <w:rPr>
          <w:rFonts w:ascii="Times New Roman" w:hAnsi="Times New Roman" w:cs="Times New Roman"/>
          <w:sz w:val="24"/>
          <w:szCs w:val="24"/>
        </w:rPr>
        <w:t xml:space="preserve"> of </w:t>
      </w:r>
      <w:r w:rsidR="006C4099" w:rsidRPr="008573D2">
        <w:rPr>
          <w:rFonts w:ascii="Times New Roman" w:hAnsi="Times New Roman" w:cs="Times New Roman"/>
          <w:sz w:val="24"/>
          <w:szCs w:val="24"/>
        </w:rPr>
        <w:t xml:space="preserve">infections and </w:t>
      </w:r>
      <w:r w:rsidR="0005270E" w:rsidRPr="008573D2">
        <w:rPr>
          <w:rFonts w:ascii="Times New Roman" w:hAnsi="Times New Roman" w:cs="Times New Roman"/>
          <w:sz w:val="24"/>
          <w:szCs w:val="24"/>
        </w:rPr>
        <w:t>deaths</w:t>
      </w:r>
      <w:r w:rsidR="00A46A3F" w:rsidRPr="008573D2">
        <w:rPr>
          <w:rFonts w:ascii="Times New Roman" w:hAnsi="Times New Roman" w:cs="Times New Roman"/>
          <w:sz w:val="24"/>
          <w:szCs w:val="24"/>
        </w:rPr>
        <w:t xml:space="preserve">, the global economy has been suffering very </w:t>
      </w:r>
      <w:r w:rsidR="00B61DA2" w:rsidRPr="008573D2">
        <w:rPr>
          <w:rFonts w:ascii="Times New Roman" w:hAnsi="Times New Roman" w:cs="Times New Roman"/>
          <w:sz w:val="24"/>
          <w:szCs w:val="24"/>
        </w:rPr>
        <w:t>severely</w:t>
      </w:r>
      <w:r w:rsidR="00DC214A" w:rsidRPr="008573D2">
        <w:rPr>
          <w:rFonts w:ascii="Times New Roman" w:hAnsi="Times New Roman" w:cs="Times New Roman"/>
          <w:sz w:val="24"/>
          <w:szCs w:val="24"/>
        </w:rPr>
        <w:t xml:space="preserve"> </w:t>
      </w:r>
      <w:r w:rsidR="006C4099" w:rsidRPr="008573D2">
        <w:rPr>
          <w:rFonts w:ascii="Times New Roman" w:hAnsi="Times New Roman" w:cs="Times New Roman"/>
          <w:sz w:val="24"/>
          <w:szCs w:val="24"/>
        </w:rPr>
        <w:t>in many ways</w:t>
      </w:r>
      <w:r w:rsidR="00EF6193" w:rsidRPr="008573D2">
        <w:rPr>
          <w:rFonts w:ascii="Times New Roman" w:hAnsi="Times New Roman" w:cs="Times New Roman"/>
          <w:sz w:val="24"/>
          <w:szCs w:val="24"/>
        </w:rPr>
        <w:t>,</w:t>
      </w:r>
      <w:r w:rsidR="006C4099" w:rsidRPr="008573D2">
        <w:rPr>
          <w:rFonts w:ascii="Times New Roman" w:hAnsi="Times New Roman" w:cs="Times New Roman"/>
          <w:sz w:val="24"/>
          <w:szCs w:val="24"/>
        </w:rPr>
        <w:t xml:space="preserve"> such as </w:t>
      </w:r>
      <w:r w:rsidR="00B61DA2" w:rsidRPr="008573D2">
        <w:rPr>
          <w:rFonts w:ascii="Times New Roman" w:hAnsi="Times New Roman" w:cs="Times New Roman"/>
          <w:sz w:val="24"/>
          <w:szCs w:val="24"/>
        </w:rPr>
        <w:t xml:space="preserve">a </w:t>
      </w:r>
      <w:r w:rsidR="006C4099" w:rsidRPr="008573D2">
        <w:rPr>
          <w:rFonts w:ascii="Times New Roman" w:hAnsi="Times New Roman" w:cs="Times New Roman"/>
          <w:sz w:val="24"/>
          <w:szCs w:val="24"/>
        </w:rPr>
        <w:t>fall in b</w:t>
      </w:r>
      <w:r w:rsidR="00405669" w:rsidRPr="008573D2">
        <w:rPr>
          <w:rFonts w:ascii="Times New Roman" w:hAnsi="Times New Roman" w:cs="Times New Roman"/>
          <w:sz w:val="24"/>
          <w:szCs w:val="24"/>
        </w:rPr>
        <w:t>ond yield</w:t>
      </w:r>
      <w:r w:rsidR="00B61DA2" w:rsidRPr="008573D2">
        <w:rPr>
          <w:rFonts w:ascii="Times New Roman" w:hAnsi="Times New Roman" w:cs="Times New Roman"/>
          <w:sz w:val="24"/>
          <w:szCs w:val="24"/>
        </w:rPr>
        <w:t>s</w:t>
      </w:r>
      <w:r w:rsidR="00405669" w:rsidRPr="008573D2">
        <w:rPr>
          <w:rFonts w:ascii="Times New Roman" w:hAnsi="Times New Roman" w:cs="Times New Roman"/>
          <w:sz w:val="24"/>
          <w:szCs w:val="24"/>
        </w:rPr>
        <w:t xml:space="preserve">, </w:t>
      </w:r>
      <w:r w:rsidR="00EF6193" w:rsidRPr="008573D2">
        <w:rPr>
          <w:rFonts w:ascii="Times New Roman" w:hAnsi="Times New Roman" w:cs="Times New Roman"/>
          <w:sz w:val="24"/>
          <w:szCs w:val="24"/>
        </w:rPr>
        <w:t xml:space="preserve">and </w:t>
      </w:r>
      <w:r w:rsidR="00B61DA2" w:rsidRPr="008573D2">
        <w:rPr>
          <w:rFonts w:ascii="Times New Roman" w:hAnsi="Times New Roman" w:cs="Times New Roman"/>
          <w:sz w:val="24"/>
          <w:szCs w:val="24"/>
        </w:rPr>
        <w:t xml:space="preserve">a </w:t>
      </w:r>
      <w:r w:rsidR="006C4099" w:rsidRPr="008573D2">
        <w:rPr>
          <w:rFonts w:ascii="Times New Roman" w:hAnsi="Times New Roman" w:cs="Times New Roman"/>
          <w:sz w:val="24"/>
          <w:szCs w:val="24"/>
        </w:rPr>
        <w:t xml:space="preserve">sharp drop in </w:t>
      </w:r>
      <w:r w:rsidR="00405669" w:rsidRPr="008573D2">
        <w:rPr>
          <w:rFonts w:ascii="Times New Roman" w:hAnsi="Times New Roman" w:cs="Times New Roman"/>
          <w:sz w:val="24"/>
          <w:szCs w:val="24"/>
        </w:rPr>
        <w:t>oil prices and s</w:t>
      </w:r>
      <w:r w:rsidR="00A46A3F" w:rsidRPr="008573D2">
        <w:rPr>
          <w:rFonts w:ascii="Times New Roman" w:hAnsi="Times New Roman" w:cs="Times New Roman"/>
          <w:sz w:val="24"/>
          <w:szCs w:val="24"/>
        </w:rPr>
        <w:t>tock markets</w:t>
      </w:r>
      <w:r w:rsidR="00EF6193" w:rsidRPr="008573D2">
        <w:rPr>
          <w:rFonts w:ascii="Times New Roman" w:hAnsi="Times New Roman" w:cs="Times New Roman"/>
          <w:sz w:val="24"/>
          <w:szCs w:val="24"/>
        </w:rPr>
        <w:t>,</w:t>
      </w:r>
      <w:r w:rsidR="006C4099" w:rsidRPr="008573D2">
        <w:rPr>
          <w:rFonts w:ascii="Times New Roman" w:hAnsi="Times New Roman" w:cs="Times New Roman"/>
          <w:sz w:val="24"/>
          <w:szCs w:val="24"/>
        </w:rPr>
        <w:t xml:space="preserve"> </w:t>
      </w:r>
      <w:r w:rsidR="00A46A3F" w:rsidRPr="008573D2">
        <w:rPr>
          <w:rFonts w:ascii="Times New Roman" w:hAnsi="Times New Roman" w:cs="Times New Roman"/>
          <w:sz w:val="24"/>
          <w:szCs w:val="24"/>
        </w:rPr>
        <w:t xml:space="preserve">along with </w:t>
      </w:r>
      <w:r w:rsidR="00B61DA2" w:rsidRPr="008573D2">
        <w:rPr>
          <w:rFonts w:ascii="Times New Roman" w:hAnsi="Times New Roman" w:cs="Times New Roman"/>
          <w:sz w:val="24"/>
          <w:szCs w:val="24"/>
        </w:rPr>
        <w:t xml:space="preserve">a </w:t>
      </w:r>
      <w:r w:rsidR="00A46A3F" w:rsidRPr="008573D2">
        <w:rPr>
          <w:rFonts w:ascii="Times New Roman" w:hAnsi="Times New Roman" w:cs="Times New Roman"/>
          <w:sz w:val="24"/>
          <w:szCs w:val="24"/>
        </w:rPr>
        <w:t xml:space="preserve">potential liquidity crisis </w:t>
      </w:r>
      <w:r w:rsidR="00B61DA2" w:rsidRPr="008573D2">
        <w:rPr>
          <w:rFonts w:ascii="Times New Roman" w:hAnsi="Times New Roman" w:cs="Times New Roman"/>
          <w:sz w:val="24"/>
          <w:szCs w:val="24"/>
        </w:rPr>
        <w:t xml:space="preserve">at </w:t>
      </w:r>
      <w:r w:rsidR="00A46A3F" w:rsidRPr="008573D2">
        <w:rPr>
          <w:rFonts w:ascii="Times New Roman" w:hAnsi="Times New Roman" w:cs="Times New Roman"/>
          <w:sz w:val="24"/>
          <w:szCs w:val="24"/>
        </w:rPr>
        <w:t xml:space="preserve">both </w:t>
      </w:r>
      <w:r w:rsidR="00B61DA2" w:rsidRPr="008573D2">
        <w:rPr>
          <w:rFonts w:ascii="Times New Roman" w:hAnsi="Times New Roman" w:cs="Times New Roman"/>
          <w:sz w:val="24"/>
          <w:szCs w:val="24"/>
        </w:rPr>
        <w:t xml:space="preserve">the </w:t>
      </w:r>
      <w:r w:rsidR="00A46A3F" w:rsidRPr="008573D2">
        <w:rPr>
          <w:rFonts w:ascii="Times New Roman" w:hAnsi="Times New Roman" w:cs="Times New Roman"/>
          <w:sz w:val="24"/>
          <w:szCs w:val="24"/>
        </w:rPr>
        <w:t>institution</w:t>
      </w:r>
      <w:r w:rsidR="00B61DA2" w:rsidRPr="008573D2">
        <w:rPr>
          <w:rFonts w:ascii="Times New Roman" w:hAnsi="Times New Roman" w:cs="Times New Roman"/>
          <w:sz w:val="24"/>
          <w:szCs w:val="24"/>
        </w:rPr>
        <w:t>al</w:t>
      </w:r>
      <w:r w:rsidR="00A46A3F" w:rsidRPr="008573D2">
        <w:rPr>
          <w:rFonts w:ascii="Times New Roman" w:hAnsi="Times New Roman" w:cs="Times New Roman"/>
          <w:sz w:val="24"/>
          <w:szCs w:val="24"/>
        </w:rPr>
        <w:t xml:space="preserve"> and individual level</w:t>
      </w:r>
      <w:r w:rsidR="00B61DA2" w:rsidRPr="008573D2">
        <w:rPr>
          <w:rFonts w:ascii="Times New Roman" w:hAnsi="Times New Roman" w:cs="Times New Roman"/>
          <w:sz w:val="24"/>
          <w:szCs w:val="24"/>
        </w:rPr>
        <w:t>s</w:t>
      </w:r>
      <w:r w:rsidR="00A46A3F" w:rsidRPr="008573D2">
        <w:rPr>
          <w:rFonts w:ascii="Times New Roman" w:hAnsi="Times New Roman" w:cs="Times New Roman"/>
          <w:sz w:val="24"/>
          <w:szCs w:val="24"/>
        </w:rPr>
        <w:t xml:space="preserve">. </w:t>
      </w:r>
      <w:r w:rsidR="007C4634" w:rsidRPr="008573D2">
        <w:rPr>
          <w:rFonts w:ascii="Times New Roman" w:hAnsi="Times New Roman" w:cs="Times New Roman"/>
          <w:sz w:val="24"/>
          <w:szCs w:val="24"/>
        </w:rPr>
        <w:t xml:space="preserve">Baker et al. (2020) </w:t>
      </w:r>
      <w:r w:rsidR="00A97A8A" w:rsidRPr="008573D2">
        <w:rPr>
          <w:rFonts w:ascii="Times New Roman" w:hAnsi="Times New Roman" w:cs="Times New Roman"/>
          <w:sz w:val="24"/>
          <w:szCs w:val="24"/>
        </w:rPr>
        <w:t>reported</w:t>
      </w:r>
      <w:r w:rsidR="007C4634" w:rsidRPr="008573D2">
        <w:rPr>
          <w:rFonts w:ascii="Times New Roman" w:hAnsi="Times New Roman" w:cs="Times New Roman"/>
          <w:sz w:val="24"/>
          <w:szCs w:val="24"/>
        </w:rPr>
        <w:t xml:space="preserve"> that</w:t>
      </w:r>
      <w:r w:rsidR="00BF61A3" w:rsidRPr="008573D2">
        <w:rPr>
          <w:rFonts w:ascii="Times New Roman" w:hAnsi="Times New Roman" w:cs="Times New Roman"/>
          <w:sz w:val="24"/>
          <w:szCs w:val="24"/>
        </w:rPr>
        <w:t>,</w:t>
      </w:r>
      <w:r w:rsidR="007C4634" w:rsidRPr="008573D2">
        <w:rPr>
          <w:rFonts w:ascii="Times New Roman" w:hAnsi="Times New Roman" w:cs="Times New Roman"/>
          <w:sz w:val="24"/>
          <w:szCs w:val="24"/>
        </w:rPr>
        <w:t xml:space="preserve"> </w:t>
      </w:r>
      <w:r w:rsidR="00A97A8A" w:rsidRPr="008573D2">
        <w:rPr>
          <w:rFonts w:ascii="Times New Roman" w:hAnsi="Times New Roman" w:cs="Times New Roman"/>
          <w:sz w:val="24"/>
          <w:szCs w:val="24"/>
        </w:rPr>
        <w:t xml:space="preserve">in </w:t>
      </w:r>
      <w:r w:rsidR="009D0723" w:rsidRPr="008573D2">
        <w:rPr>
          <w:rFonts w:ascii="Times New Roman" w:hAnsi="Times New Roman" w:cs="Times New Roman"/>
          <w:sz w:val="24"/>
          <w:szCs w:val="24"/>
        </w:rPr>
        <w:t xml:space="preserve">the </w:t>
      </w:r>
      <w:r w:rsidR="00A97A8A" w:rsidRPr="008573D2">
        <w:rPr>
          <w:rFonts w:ascii="Times New Roman" w:hAnsi="Times New Roman" w:cs="Times New Roman"/>
          <w:sz w:val="24"/>
          <w:szCs w:val="24"/>
        </w:rPr>
        <w:t>US stock market</w:t>
      </w:r>
      <w:r w:rsidR="00A43740" w:rsidRPr="008573D2">
        <w:rPr>
          <w:rFonts w:ascii="Times New Roman" w:hAnsi="Times New Roman" w:cs="Times New Roman"/>
          <w:sz w:val="24"/>
          <w:szCs w:val="24"/>
        </w:rPr>
        <w:t>,</w:t>
      </w:r>
      <w:r w:rsidR="00A97A8A" w:rsidRPr="008573D2">
        <w:rPr>
          <w:rFonts w:ascii="Times New Roman" w:hAnsi="Times New Roman" w:cs="Times New Roman"/>
          <w:sz w:val="24"/>
          <w:szCs w:val="24"/>
        </w:rPr>
        <w:t xml:space="preserve"> there were 18 market jumps between 24</w:t>
      </w:r>
      <w:r w:rsidR="00A97A8A" w:rsidRPr="008573D2">
        <w:rPr>
          <w:rFonts w:ascii="Times New Roman" w:hAnsi="Times New Roman" w:cs="Times New Roman"/>
          <w:sz w:val="24"/>
          <w:szCs w:val="24"/>
          <w:vertAlign w:val="superscript"/>
        </w:rPr>
        <w:t>th</w:t>
      </w:r>
      <w:r w:rsidR="00A97A8A" w:rsidRPr="008573D2">
        <w:rPr>
          <w:rFonts w:ascii="Times New Roman" w:hAnsi="Times New Roman" w:cs="Times New Roman"/>
          <w:sz w:val="24"/>
          <w:szCs w:val="24"/>
        </w:rPr>
        <w:t xml:space="preserve"> February and 24</w:t>
      </w:r>
      <w:r w:rsidR="00A97A8A" w:rsidRPr="008573D2">
        <w:rPr>
          <w:rFonts w:ascii="Times New Roman" w:hAnsi="Times New Roman" w:cs="Times New Roman"/>
          <w:sz w:val="24"/>
          <w:szCs w:val="24"/>
          <w:vertAlign w:val="superscript"/>
        </w:rPr>
        <w:t>th</w:t>
      </w:r>
      <w:r w:rsidR="00A97A8A" w:rsidRPr="008573D2">
        <w:rPr>
          <w:rFonts w:ascii="Times New Roman" w:hAnsi="Times New Roman" w:cs="Times New Roman"/>
          <w:sz w:val="24"/>
          <w:szCs w:val="24"/>
        </w:rPr>
        <w:t xml:space="preserve"> March </w:t>
      </w:r>
      <w:r w:rsidR="00BF61A3" w:rsidRPr="008573D2">
        <w:rPr>
          <w:rFonts w:ascii="Times New Roman" w:hAnsi="Times New Roman" w:cs="Times New Roman"/>
          <w:sz w:val="24"/>
          <w:szCs w:val="24"/>
        </w:rPr>
        <w:t xml:space="preserve">2020 </w:t>
      </w:r>
      <w:r w:rsidR="00A97A8A" w:rsidRPr="008573D2">
        <w:rPr>
          <w:rFonts w:ascii="Times New Roman" w:hAnsi="Times New Roman" w:cs="Times New Roman"/>
          <w:sz w:val="24"/>
          <w:szCs w:val="24"/>
        </w:rPr>
        <w:t xml:space="preserve">(a total of 22 trading days). This is more than any other period in history with </w:t>
      </w:r>
      <w:r w:rsidR="00BF61A3" w:rsidRPr="008573D2">
        <w:rPr>
          <w:rFonts w:ascii="Times New Roman" w:hAnsi="Times New Roman" w:cs="Times New Roman"/>
          <w:sz w:val="24"/>
          <w:szCs w:val="24"/>
        </w:rPr>
        <w:t xml:space="preserve">the </w:t>
      </w:r>
      <w:r w:rsidR="00A97A8A" w:rsidRPr="008573D2">
        <w:rPr>
          <w:rFonts w:ascii="Times New Roman" w:hAnsi="Times New Roman" w:cs="Times New Roman"/>
          <w:sz w:val="24"/>
          <w:szCs w:val="24"/>
        </w:rPr>
        <w:t xml:space="preserve">same number of trading days. The authors also reported that </w:t>
      </w:r>
      <w:r w:rsidR="0015014E" w:rsidRPr="008573D2">
        <w:rPr>
          <w:rFonts w:ascii="Times New Roman" w:hAnsi="Times New Roman" w:cs="Times New Roman"/>
          <w:sz w:val="24"/>
          <w:szCs w:val="24"/>
        </w:rPr>
        <w:t xml:space="preserve">the volatility increase in US markets due to </w:t>
      </w:r>
      <w:r w:rsidR="00583B82" w:rsidRPr="008573D2">
        <w:rPr>
          <w:rFonts w:ascii="Times New Roman" w:hAnsi="Times New Roman" w:cs="Times New Roman"/>
          <w:sz w:val="24"/>
          <w:szCs w:val="24"/>
        </w:rPr>
        <w:t xml:space="preserve">the </w:t>
      </w:r>
      <w:r w:rsidR="00964C2B" w:rsidRPr="008573D2">
        <w:rPr>
          <w:rFonts w:ascii="Times New Roman" w:hAnsi="Times New Roman" w:cs="Times New Roman"/>
          <w:sz w:val="24"/>
          <w:szCs w:val="24"/>
        </w:rPr>
        <w:t>COVID-19</w:t>
      </w:r>
      <w:r w:rsidR="0015014E" w:rsidRPr="008573D2">
        <w:rPr>
          <w:rFonts w:ascii="Times New Roman" w:hAnsi="Times New Roman" w:cs="Times New Roman"/>
          <w:sz w:val="24"/>
          <w:szCs w:val="24"/>
        </w:rPr>
        <w:t xml:space="preserve"> outbreak is much bigger than any other past events such as </w:t>
      </w:r>
      <w:r w:rsidR="00583B82" w:rsidRPr="008573D2">
        <w:rPr>
          <w:rFonts w:ascii="Times New Roman" w:hAnsi="Times New Roman" w:cs="Times New Roman"/>
          <w:sz w:val="24"/>
          <w:szCs w:val="24"/>
        </w:rPr>
        <w:t>g</w:t>
      </w:r>
      <w:r w:rsidR="0015014E" w:rsidRPr="008573D2">
        <w:rPr>
          <w:rFonts w:ascii="Times New Roman" w:hAnsi="Times New Roman" w:cs="Times New Roman"/>
          <w:sz w:val="24"/>
          <w:szCs w:val="24"/>
        </w:rPr>
        <w:t xml:space="preserve">lobal influenza in 1918, SARS in 2003 or Ebola in 2015. </w:t>
      </w:r>
      <w:r w:rsidR="00F81940" w:rsidRPr="008573D2">
        <w:rPr>
          <w:rFonts w:ascii="Times New Roman" w:hAnsi="Times New Roman" w:cs="Times New Roman"/>
          <w:sz w:val="24"/>
          <w:szCs w:val="24"/>
        </w:rPr>
        <w:t xml:space="preserve">The </w:t>
      </w:r>
      <w:r w:rsidR="00964C2B" w:rsidRPr="008573D2">
        <w:rPr>
          <w:rFonts w:ascii="Times New Roman" w:hAnsi="Times New Roman" w:cs="Times New Roman"/>
          <w:sz w:val="24"/>
          <w:szCs w:val="24"/>
        </w:rPr>
        <w:t>COVID-19</w:t>
      </w:r>
      <w:r w:rsidR="00F81940" w:rsidRPr="008573D2">
        <w:rPr>
          <w:rFonts w:ascii="Times New Roman" w:hAnsi="Times New Roman" w:cs="Times New Roman"/>
          <w:sz w:val="24"/>
          <w:szCs w:val="24"/>
        </w:rPr>
        <w:t xml:space="preserve"> outbreak created </w:t>
      </w:r>
      <w:r w:rsidR="00583B82" w:rsidRPr="008573D2">
        <w:rPr>
          <w:rFonts w:ascii="Times New Roman" w:hAnsi="Times New Roman" w:cs="Times New Roman"/>
          <w:sz w:val="24"/>
          <w:szCs w:val="24"/>
        </w:rPr>
        <w:t xml:space="preserve">a </w:t>
      </w:r>
      <w:r w:rsidR="00F81940" w:rsidRPr="008573D2">
        <w:rPr>
          <w:rFonts w:ascii="Times New Roman" w:hAnsi="Times New Roman" w:cs="Times New Roman"/>
          <w:sz w:val="24"/>
          <w:szCs w:val="24"/>
        </w:rPr>
        <w:t>significant amount of fear and uncertainty due to its rapid contamination and high death rates. Moreover, both demand and supply shock</w:t>
      </w:r>
      <w:r w:rsidR="00583B82" w:rsidRPr="008573D2">
        <w:rPr>
          <w:rFonts w:ascii="Times New Roman" w:hAnsi="Times New Roman" w:cs="Times New Roman"/>
          <w:sz w:val="24"/>
          <w:szCs w:val="24"/>
        </w:rPr>
        <w:t>s</w:t>
      </w:r>
      <w:r w:rsidR="00F81940" w:rsidRPr="008573D2">
        <w:rPr>
          <w:rFonts w:ascii="Times New Roman" w:hAnsi="Times New Roman" w:cs="Times New Roman"/>
          <w:sz w:val="24"/>
          <w:szCs w:val="24"/>
        </w:rPr>
        <w:t xml:space="preserve"> have created panic in financial markets. This has increased the severity of stock market volatility</w:t>
      </w:r>
      <w:r w:rsidR="00BF61A3" w:rsidRPr="008573D2">
        <w:rPr>
          <w:rFonts w:ascii="Times New Roman" w:hAnsi="Times New Roman" w:cs="Times New Roman"/>
          <w:sz w:val="24"/>
          <w:szCs w:val="24"/>
        </w:rPr>
        <w:t>,</w:t>
      </w:r>
      <w:r w:rsidR="00F81940" w:rsidRPr="008573D2">
        <w:rPr>
          <w:rFonts w:ascii="Times New Roman" w:hAnsi="Times New Roman" w:cs="Times New Roman"/>
          <w:sz w:val="24"/>
          <w:szCs w:val="24"/>
        </w:rPr>
        <w:t xml:space="preserve"> as Engle and Ng (1993) found that negative return shock</w:t>
      </w:r>
      <w:r w:rsidR="00583B82" w:rsidRPr="008573D2">
        <w:rPr>
          <w:rFonts w:ascii="Times New Roman" w:hAnsi="Times New Roman" w:cs="Times New Roman"/>
          <w:sz w:val="24"/>
          <w:szCs w:val="24"/>
        </w:rPr>
        <w:t>s</w:t>
      </w:r>
      <w:r w:rsidR="00F81940" w:rsidRPr="008573D2">
        <w:rPr>
          <w:rFonts w:ascii="Times New Roman" w:hAnsi="Times New Roman" w:cs="Times New Roman"/>
          <w:sz w:val="24"/>
          <w:szCs w:val="24"/>
        </w:rPr>
        <w:t xml:space="preserve"> influence volatility more than positive return shock</w:t>
      </w:r>
      <w:r w:rsidR="00583B82" w:rsidRPr="008573D2">
        <w:rPr>
          <w:rFonts w:ascii="Times New Roman" w:hAnsi="Times New Roman" w:cs="Times New Roman"/>
          <w:sz w:val="24"/>
          <w:szCs w:val="24"/>
        </w:rPr>
        <w:t>s</w:t>
      </w:r>
      <w:r w:rsidR="00F81940" w:rsidRPr="008573D2">
        <w:rPr>
          <w:rFonts w:ascii="Times New Roman" w:hAnsi="Times New Roman" w:cs="Times New Roman"/>
          <w:sz w:val="24"/>
          <w:szCs w:val="24"/>
        </w:rPr>
        <w:t xml:space="preserve">. </w:t>
      </w:r>
      <w:proofErr w:type="spellStart"/>
      <w:r w:rsidR="00F81940" w:rsidRPr="008573D2">
        <w:rPr>
          <w:rFonts w:ascii="Times New Roman" w:hAnsi="Times New Roman" w:cs="Times New Roman"/>
          <w:sz w:val="24"/>
          <w:szCs w:val="24"/>
        </w:rPr>
        <w:t>Borjigin</w:t>
      </w:r>
      <w:proofErr w:type="spellEnd"/>
      <w:r w:rsidR="00F81940" w:rsidRPr="008573D2">
        <w:rPr>
          <w:rFonts w:ascii="Times New Roman" w:hAnsi="Times New Roman" w:cs="Times New Roman"/>
          <w:sz w:val="24"/>
          <w:szCs w:val="24"/>
        </w:rPr>
        <w:t xml:space="preserve"> et al. (2020) also find evidence o</w:t>
      </w:r>
      <w:r w:rsidR="00BF61A3" w:rsidRPr="008573D2">
        <w:rPr>
          <w:rFonts w:ascii="Times New Roman" w:hAnsi="Times New Roman" w:cs="Times New Roman"/>
          <w:sz w:val="24"/>
          <w:szCs w:val="24"/>
        </w:rPr>
        <w:t>f</w:t>
      </w:r>
      <w:r w:rsidR="00F81940" w:rsidRPr="008573D2">
        <w:rPr>
          <w:rFonts w:ascii="Times New Roman" w:hAnsi="Times New Roman" w:cs="Times New Roman"/>
          <w:sz w:val="24"/>
          <w:szCs w:val="24"/>
        </w:rPr>
        <w:t xml:space="preserve"> </w:t>
      </w:r>
      <w:r w:rsidR="00583B82" w:rsidRPr="008573D2">
        <w:rPr>
          <w:rFonts w:ascii="Times New Roman" w:hAnsi="Times New Roman" w:cs="Times New Roman"/>
          <w:sz w:val="24"/>
          <w:szCs w:val="24"/>
        </w:rPr>
        <w:t xml:space="preserve">the </w:t>
      </w:r>
      <w:r w:rsidR="00F81940" w:rsidRPr="008573D2">
        <w:rPr>
          <w:rFonts w:ascii="Times New Roman" w:hAnsi="Times New Roman" w:cs="Times New Roman"/>
          <w:sz w:val="24"/>
          <w:szCs w:val="24"/>
        </w:rPr>
        <w:t>stronger effect of negative news on market volatility compared to good news.</w:t>
      </w:r>
      <w:r w:rsidR="008D0CF0" w:rsidRPr="008573D2">
        <w:rPr>
          <w:rFonts w:ascii="Times New Roman" w:hAnsi="Times New Roman" w:cs="Times New Roman"/>
          <w:sz w:val="24"/>
          <w:szCs w:val="24"/>
        </w:rPr>
        <w:t xml:space="preserve"> </w:t>
      </w:r>
      <w:r w:rsidR="003C241C" w:rsidRPr="008573D2">
        <w:rPr>
          <w:rFonts w:ascii="Times New Roman" w:hAnsi="Times New Roman" w:cs="Times New Roman"/>
          <w:sz w:val="24"/>
          <w:szCs w:val="24"/>
        </w:rPr>
        <w:t>Falling</w:t>
      </w:r>
      <w:r w:rsidR="008D0CF0" w:rsidRPr="008573D2">
        <w:rPr>
          <w:rFonts w:ascii="Times New Roman" w:hAnsi="Times New Roman" w:cs="Times New Roman"/>
          <w:sz w:val="24"/>
          <w:szCs w:val="24"/>
        </w:rPr>
        <w:t xml:space="preserve"> stock prices across the world mean </w:t>
      </w:r>
      <w:r w:rsidR="00BF61A3" w:rsidRPr="008573D2">
        <w:rPr>
          <w:rFonts w:ascii="Times New Roman" w:hAnsi="Times New Roman" w:cs="Times New Roman"/>
          <w:sz w:val="24"/>
          <w:szCs w:val="24"/>
        </w:rPr>
        <w:t xml:space="preserve">that </w:t>
      </w:r>
      <w:r w:rsidR="008D0CF0" w:rsidRPr="008573D2">
        <w:rPr>
          <w:rFonts w:ascii="Times New Roman" w:hAnsi="Times New Roman" w:cs="Times New Roman"/>
          <w:sz w:val="24"/>
          <w:szCs w:val="24"/>
        </w:rPr>
        <w:t>market</w:t>
      </w:r>
      <w:r w:rsidR="00583B82" w:rsidRPr="008573D2">
        <w:rPr>
          <w:rFonts w:ascii="Times New Roman" w:hAnsi="Times New Roman" w:cs="Times New Roman"/>
          <w:sz w:val="24"/>
          <w:szCs w:val="24"/>
        </w:rPr>
        <w:t>s</w:t>
      </w:r>
      <w:r w:rsidR="008D0CF0" w:rsidRPr="008573D2">
        <w:rPr>
          <w:rFonts w:ascii="Times New Roman" w:hAnsi="Times New Roman" w:cs="Times New Roman"/>
          <w:sz w:val="24"/>
          <w:szCs w:val="24"/>
        </w:rPr>
        <w:t xml:space="preserve"> become more volatile due to </w:t>
      </w:r>
      <w:r w:rsidR="00583B82" w:rsidRPr="008573D2">
        <w:rPr>
          <w:rFonts w:ascii="Times New Roman" w:hAnsi="Times New Roman" w:cs="Times New Roman"/>
          <w:sz w:val="24"/>
          <w:szCs w:val="24"/>
        </w:rPr>
        <w:t xml:space="preserve">the </w:t>
      </w:r>
      <w:r w:rsidR="008D0CF0" w:rsidRPr="008573D2">
        <w:rPr>
          <w:rFonts w:ascii="Times New Roman" w:hAnsi="Times New Roman" w:cs="Times New Roman"/>
          <w:sz w:val="24"/>
          <w:szCs w:val="24"/>
        </w:rPr>
        <w:t xml:space="preserve">leverage effect – a drop in </w:t>
      </w:r>
      <w:r w:rsidR="00BF61A3" w:rsidRPr="008573D2">
        <w:rPr>
          <w:rFonts w:ascii="Times New Roman" w:hAnsi="Times New Roman" w:cs="Times New Roman"/>
          <w:sz w:val="24"/>
          <w:szCs w:val="24"/>
        </w:rPr>
        <w:t xml:space="preserve">stock </w:t>
      </w:r>
      <w:r w:rsidR="008D0CF0" w:rsidRPr="008573D2">
        <w:rPr>
          <w:rFonts w:ascii="Times New Roman" w:hAnsi="Times New Roman" w:cs="Times New Roman"/>
          <w:sz w:val="24"/>
          <w:szCs w:val="24"/>
        </w:rPr>
        <w:t xml:space="preserve">value leads to an increase in financial leverage. This eventually makes the stock riskier and increases volatility (Black, 1976; Christie, 1982). Moreover, using </w:t>
      </w:r>
      <w:r w:rsidR="00BF61A3" w:rsidRPr="008573D2">
        <w:rPr>
          <w:rFonts w:ascii="Times New Roman" w:hAnsi="Times New Roman" w:cs="Times New Roman"/>
          <w:sz w:val="24"/>
          <w:szCs w:val="24"/>
        </w:rPr>
        <w:t xml:space="preserve">the </w:t>
      </w:r>
      <w:r w:rsidR="008D0CF0" w:rsidRPr="008573D2">
        <w:rPr>
          <w:rFonts w:ascii="Times New Roman" w:hAnsi="Times New Roman" w:cs="Times New Roman"/>
          <w:sz w:val="24"/>
          <w:szCs w:val="24"/>
        </w:rPr>
        <w:t>volatility feedback effect, Anderson et al. (2001) stated that asymmetry between stock market return</w:t>
      </w:r>
      <w:r w:rsidR="00583B82" w:rsidRPr="008573D2">
        <w:rPr>
          <w:rFonts w:ascii="Times New Roman" w:hAnsi="Times New Roman" w:cs="Times New Roman"/>
          <w:sz w:val="24"/>
          <w:szCs w:val="24"/>
        </w:rPr>
        <w:t>s</w:t>
      </w:r>
      <w:r w:rsidR="008D0CF0" w:rsidRPr="008573D2">
        <w:rPr>
          <w:rFonts w:ascii="Times New Roman" w:hAnsi="Times New Roman" w:cs="Times New Roman"/>
          <w:sz w:val="24"/>
          <w:szCs w:val="24"/>
        </w:rPr>
        <w:t xml:space="preserve"> and volatility is stronger with negative return</w:t>
      </w:r>
      <w:r w:rsidR="00583B82" w:rsidRPr="008573D2">
        <w:rPr>
          <w:rFonts w:ascii="Times New Roman" w:hAnsi="Times New Roman" w:cs="Times New Roman"/>
          <w:sz w:val="24"/>
          <w:szCs w:val="24"/>
        </w:rPr>
        <w:t>s</w:t>
      </w:r>
      <w:r w:rsidR="008D0CF0" w:rsidRPr="008573D2">
        <w:rPr>
          <w:rFonts w:ascii="Times New Roman" w:hAnsi="Times New Roman" w:cs="Times New Roman"/>
          <w:sz w:val="24"/>
          <w:szCs w:val="24"/>
        </w:rPr>
        <w:t xml:space="preserve"> rather than positive return</w:t>
      </w:r>
      <w:r w:rsidR="00583B82" w:rsidRPr="008573D2">
        <w:rPr>
          <w:rFonts w:ascii="Times New Roman" w:hAnsi="Times New Roman" w:cs="Times New Roman"/>
          <w:sz w:val="24"/>
          <w:szCs w:val="24"/>
        </w:rPr>
        <w:t>s</w:t>
      </w:r>
      <w:r w:rsidR="008D0CF0" w:rsidRPr="008573D2">
        <w:rPr>
          <w:rFonts w:ascii="Times New Roman" w:hAnsi="Times New Roman" w:cs="Times New Roman"/>
          <w:sz w:val="24"/>
          <w:szCs w:val="24"/>
        </w:rPr>
        <w:t xml:space="preserve">. </w:t>
      </w:r>
    </w:p>
    <w:p w14:paraId="3873E4DE" w14:textId="0F104075" w:rsidR="0015014E" w:rsidRPr="008573D2" w:rsidRDefault="0015014E" w:rsidP="00C475C3">
      <w:pPr>
        <w:spacing w:line="48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Examining volatility is important as </w:t>
      </w:r>
      <w:r w:rsidR="00583B82" w:rsidRPr="008573D2">
        <w:rPr>
          <w:rFonts w:ascii="Times New Roman" w:hAnsi="Times New Roman" w:cs="Times New Roman"/>
          <w:sz w:val="24"/>
          <w:szCs w:val="24"/>
        </w:rPr>
        <w:t xml:space="preserve">a </w:t>
      </w:r>
      <w:r w:rsidRPr="008573D2">
        <w:rPr>
          <w:rFonts w:ascii="Times New Roman" w:hAnsi="Times New Roman" w:cs="Times New Roman"/>
          <w:sz w:val="24"/>
          <w:szCs w:val="24"/>
        </w:rPr>
        <w:t xml:space="preserve">sudden and significant increase in volatility may lead to </w:t>
      </w:r>
      <w:r w:rsidR="00583B82" w:rsidRPr="008573D2">
        <w:rPr>
          <w:rFonts w:ascii="Times New Roman" w:hAnsi="Times New Roman" w:cs="Times New Roman"/>
          <w:sz w:val="24"/>
          <w:szCs w:val="24"/>
        </w:rPr>
        <w:t xml:space="preserve">a </w:t>
      </w:r>
      <w:r w:rsidRPr="008573D2">
        <w:rPr>
          <w:rFonts w:ascii="Times New Roman" w:hAnsi="Times New Roman" w:cs="Times New Roman"/>
          <w:sz w:val="24"/>
          <w:szCs w:val="24"/>
        </w:rPr>
        <w:t xml:space="preserve">financial crisis. </w:t>
      </w:r>
      <w:r w:rsidR="005F085F" w:rsidRPr="008573D2">
        <w:rPr>
          <w:rFonts w:ascii="Times New Roman" w:hAnsi="Times New Roman" w:cs="Times New Roman"/>
          <w:sz w:val="24"/>
          <w:szCs w:val="24"/>
        </w:rPr>
        <w:t>Danielsson et al. (2018) pointed out that unusual level</w:t>
      </w:r>
      <w:r w:rsidR="00583B82" w:rsidRPr="008573D2">
        <w:rPr>
          <w:rFonts w:ascii="Times New Roman" w:hAnsi="Times New Roman" w:cs="Times New Roman"/>
          <w:sz w:val="24"/>
          <w:szCs w:val="24"/>
        </w:rPr>
        <w:t>s</w:t>
      </w:r>
      <w:r w:rsidR="005F085F" w:rsidRPr="008573D2">
        <w:rPr>
          <w:rFonts w:ascii="Times New Roman" w:hAnsi="Times New Roman" w:cs="Times New Roman"/>
          <w:sz w:val="24"/>
          <w:szCs w:val="24"/>
        </w:rPr>
        <w:t xml:space="preserve"> of financial market </w:t>
      </w:r>
      <w:r w:rsidR="005F085F" w:rsidRPr="008573D2">
        <w:rPr>
          <w:rFonts w:ascii="Times New Roman" w:hAnsi="Times New Roman" w:cs="Times New Roman"/>
          <w:sz w:val="24"/>
          <w:szCs w:val="24"/>
        </w:rPr>
        <w:lastRenderedPageBreak/>
        <w:t xml:space="preserve">volatility </w:t>
      </w:r>
      <w:r w:rsidR="0005270E" w:rsidRPr="008573D2">
        <w:rPr>
          <w:rFonts w:ascii="Times New Roman" w:hAnsi="Times New Roman" w:cs="Times New Roman"/>
          <w:sz w:val="24"/>
          <w:szCs w:val="24"/>
        </w:rPr>
        <w:t>increase</w:t>
      </w:r>
      <w:r w:rsidR="005F085F" w:rsidRPr="008573D2">
        <w:rPr>
          <w:rFonts w:ascii="Times New Roman" w:hAnsi="Times New Roman" w:cs="Times New Roman"/>
          <w:sz w:val="24"/>
          <w:szCs w:val="24"/>
        </w:rPr>
        <w:t xml:space="preserve"> the likelihood of a subsequent financial crisis. When the actual financial market volatility deviates from an expected level, that essentially affect</w:t>
      </w:r>
      <w:r w:rsidR="00583B82" w:rsidRPr="008573D2">
        <w:rPr>
          <w:rFonts w:ascii="Times New Roman" w:hAnsi="Times New Roman" w:cs="Times New Roman"/>
          <w:sz w:val="24"/>
          <w:szCs w:val="24"/>
        </w:rPr>
        <w:t>s</w:t>
      </w:r>
      <w:r w:rsidR="005F085F" w:rsidRPr="008573D2">
        <w:rPr>
          <w:rFonts w:ascii="Times New Roman" w:hAnsi="Times New Roman" w:cs="Times New Roman"/>
          <w:sz w:val="24"/>
          <w:szCs w:val="24"/>
        </w:rPr>
        <w:t xml:space="preserve"> </w:t>
      </w:r>
      <w:r w:rsidR="00267051" w:rsidRPr="008573D2">
        <w:rPr>
          <w:rFonts w:ascii="Times New Roman" w:hAnsi="Times New Roman" w:cs="Times New Roman"/>
          <w:sz w:val="24"/>
          <w:szCs w:val="24"/>
        </w:rPr>
        <w:t xml:space="preserve">economic decisions (Keynes, 1936; Hayek, 1960). In </w:t>
      </w:r>
      <w:r w:rsidR="00583B82" w:rsidRPr="008573D2">
        <w:rPr>
          <w:rFonts w:ascii="Times New Roman" w:hAnsi="Times New Roman" w:cs="Times New Roman"/>
          <w:sz w:val="24"/>
          <w:szCs w:val="24"/>
        </w:rPr>
        <w:t>this vein</w:t>
      </w:r>
      <w:r w:rsidR="00267051" w:rsidRPr="008573D2">
        <w:rPr>
          <w:rFonts w:ascii="Times New Roman" w:hAnsi="Times New Roman" w:cs="Times New Roman"/>
          <w:sz w:val="24"/>
          <w:szCs w:val="24"/>
        </w:rPr>
        <w:t xml:space="preserve">, Baker et al. (2016) and </w:t>
      </w:r>
      <w:proofErr w:type="spellStart"/>
      <w:r w:rsidR="00267051" w:rsidRPr="008573D2">
        <w:rPr>
          <w:rFonts w:ascii="Times New Roman" w:hAnsi="Times New Roman" w:cs="Times New Roman"/>
          <w:sz w:val="24"/>
          <w:szCs w:val="24"/>
        </w:rPr>
        <w:t>Gulen</w:t>
      </w:r>
      <w:proofErr w:type="spellEnd"/>
      <w:r w:rsidR="00267051" w:rsidRPr="008573D2">
        <w:rPr>
          <w:rFonts w:ascii="Times New Roman" w:hAnsi="Times New Roman" w:cs="Times New Roman"/>
          <w:sz w:val="24"/>
          <w:szCs w:val="24"/>
        </w:rPr>
        <w:t xml:space="preserve"> and Ion (2016) find that higher level</w:t>
      </w:r>
      <w:r w:rsidR="00583B82" w:rsidRPr="008573D2">
        <w:rPr>
          <w:rFonts w:ascii="Times New Roman" w:hAnsi="Times New Roman" w:cs="Times New Roman"/>
          <w:sz w:val="24"/>
          <w:szCs w:val="24"/>
        </w:rPr>
        <w:t>s</w:t>
      </w:r>
      <w:r w:rsidR="00267051" w:rsidRPr="008573D2">
        <w:rPr>
          <w:rFonts w:ascii="Times New Roman" w:hAnsi="Times New Roman" w:cs="Times New Roman"/>
          <w:sz w:val="24"/>
          <w:szCs w:val="24"/>
        </w:rPr>
        <w:t xml:space="preserve"> of stock market volatility will have a detrimental effect on investment, output and employment and increase policy uncertainty. Similarly, Engle et al. (2013) show that higher volatility increases output and inflation uncertainty. Using real option theory, Dixit and </w:t>
      </w:r>
      <w:proofErr w:type="spellStart"/>
      <w:r w:rsidR="00267051" w:rsidRPr="008573D2">
        <w:rPr>
          <w:rFonts w:ascii="Times New Roman" w:hAnsi="Times New Roman" w:cs="Times New Roman"/>
          <w:sz w:val="24"/>
          <w:szCs w:val="24"/>
        </w:rPr>
        <w:t>Pindyck</w:t>
      </w:r>
      <w:proofErr w:type="spellEnd"/>
      <w:r w:rsidR="00267051" w:rsidRPr="008573D2">
        <w:rPr>
          <w:rFonts w:ascii="Times New Roman" w:hAnsi="Times New Roman" w:cs="Times New Roman"/>
          <w:sz w:val="24"/>
          <w:szCs w:val="24"/>
        </w:rPr>
        <w:t xml:space="preserve"> (1994) show that uncertainty increases the value of </w:t>
      </w:r>
      <w:r w:rsidR="00583B82" w:rsidRPr="008573D2">
        <w:rPr>
          <w:rFonts w:ascii="Times New Roman" w:hAnsi="Times New Roman" w:cs="Times New Roman"/>
          <w:sz w:val="24"/>
          <w:szCs w:val="24"/>
        </w:rPr>
        <w:t xml:space="preserve">the </w:t>
      </w:r>
      <w:r w:rsidR="00267051" w:rsidRPr="008573D2">
        <w:rPr>
          <w:rFonts w:ascii="Times New Roman" w:hAnsi="Times New Roman" w:cs="Times New Roman"/>
          <w:sz w:val="24"/>
          <w:szCs w:val="24"/>
        </w:rPr>
        <w:t xml:space="preserve">option to invest later. This essentially means </w:t>
      </w:r>
      <w:r w:rsidR="00BF61A3" w:rsidRPr="008573D2">
        <w:rPr>
          <w:rFonts w:ascii="Times New Roman" w:hAnsi="Times New Roman" w:cs="Times New Roman"/>
          <w:sz w:val="24"/>
          <w:szCs w:val="24"/>
        </w:rPr>
        <w:t xml:space="preserve">that there is a </w:t>
      </w:r>
      <w:r w:rsidR="00267051" w:rsidRPr="008573D2">
        <w:rPr>
          <w:rFonts w:ascii="Times New Roman" w:hAnsi="Times New Roman" w:cs="Times New Roman"/>
          <w:sz w:val="24"/>
          <w:szCs w:val="24"/>
        </w:rPr>
        <w:t xml:space="preserve">scarcity of </w:t>
      </w:r>
      <w:r w:rsidR="00914CAE" w:rsidRPr="008573D2">
        <w:rPr>
          <w:rFonts w:ascii="Times New Roman" w:hAnsi="Times New Roman" w:cs="Times New Roman"/>
          <w:sz w:val="24"/>
          <w:szCs w:val="24"/>
        </w:rPr>
        <w:t>resources</w:t>
      </w:r>
      <w:r w:rsidR="00267051" w:rsidRPr="008573D2">
        <w:rPr>
          <w:rFonts w:ascii="Times New Roman" w:hAnsi="Times New Roman" w:cs="Times New Roman"/>
          <w:sz w:val="24"/>
          <w:szCs w:val="24"/>
        </w:rPr>
        <w:t xml:space="preserve"> to maintain </w:t>
      </w:r>
      <w:r w:rsidR="00BF61A3" w:rsidRPr="008573D2">
        <w:rPr>
          <w:rFonts w:ascii="Times New Roman" w:hAnsi="Times New Roman" w:cs="Times New Roman"/>
          <w:sz w:val="24"/>
          <w:szCs w:val="24"/>
        </w:rPr>
        <w:t xml:space="preserve">the </w:t>
      </w:r>
      <w:r w:rsidR="00267051" w:rsidRPr="008573D2">
        <w:rPr>
          <w:rFonts w:ascii="Times New Roman" w:hAnsi="Times New Roman" w:cs="Times New Roman"/>
          <w:sz w:val="24"/>
          <w:szCs w:val="24"/>
        </w:rPr>
        <w:t>required level</w:t>
      </w:r>
      <w:r w:rsidR="00583B82" w:rsidRPr="008573D2">
        <w:rPr>
          <w:rFonts w:ascii="Times New Roman" w:hAnsi="Times New Roman" w:cs="Times New Roman"/>
          <w:sz w:val="24"/>
          <w:szCs w:val="24"/>
        </w:rPr>
        <w:t>s</w:t>
      </w:r>
      <w:r w:rsidR="00267051" w:rsidRPr="008573D2">
        <w:rPr>
          <w:rFonts w:ascii="Times New Roman" w:hAnsi="Times New Roman" w:cs="Times New Roman"/>
          <w:sz w:val="24"/>
          <w:szCs w:val="24"/>
        </w:rPr>
        <w:t xml:space="preserve"> of investment in uncertain times. </w:t>
      </w:r>
      <w:r w:rsidR="00717289" w:rsidRPr="008573D2">
        <w:rPr>
          <w:rFonts w:ascii="Times New Roman" w:hAnsi="Times New Roman" w:cs="Times New Roman"/>
          <w:sz w:val="24"/>
          <w:szCs w:val="24"/>
        </w:rPr>
        <w:t>Wu (2001) stated that the leverage effect and feedback effect of asymmetric volatility can recur and damage stock values significantly</w:t>
      </w:r>
      <w:r w:rsidR="00583B82" w:rsidRPr="008573D2">
        <w:rPr>
          <w:rFonts w:ascii="Times New Roman" w:hAnsi="Times New Roman" w:cs="Times New Roman"/>
          <w:sz w:val="24"/>
          <w:szCs w:val="24"/>
        </w:rPr>
        <w:t>, which</w:t>
      </w:r>
      <w:r w:rsidR="00B73C0B" w:rsidRPr="008573D2">
        <w:rPr>
          <w:rFonts w:ascii="Times New Roman" w:hAnsi="Times New Roman" w:cs="Times New Roman"/>
          <w:sz w:val="24"/>
          <w:szCs w:val="24"/>
        </w:rPr>
        <w:t xml:space="preserve"> might lead to a stock market crash. Other authors who </w:t>
      </w:r>
      <w:r w:rsidR="00BF61A3" w:rsidRPr="008573D2">
        <w:rPr>
          <w:rFonts w:ascii="Times New Roman" w:hAnsi="Times New Roman" w:cs="Times New Roman"/>
          <w:sz w:val="24"/>
          <w:szCs w:val="24"/>
        </w:rPr>
        <w:t xml:space="preserve">have </w:t>
      </w:r>
      <w:r w:rsidR="00B73C0B" w:rsidRPr="008573D2">
        <w:rPr>
          <w:rFonts w:ascii="Times New Roman" w:hAnsi="Times New Roman" w:cs="Times New Roman"/>
          <w:sz w:val="24"/>
          <w:szCs w:val="24"/>
        </w:rPr>
        <w:t xml:space="preserve">examined the link between higher volatility and real economic activities include </w:t>
      </w:r>
      <w:proofErr w:type="spellStart"/>
      <w:r w:rsidR="00B73C0B" w:rsidRPr="008573D2">
        <w:rPr>
          <w:rFonts w:ascii="Times New Roman" w:hAnsi="Times New Roman" w:cs="Times New Roman"/>
          <w:sz w:val="24"/>
          <w:szCs w:val="24"/>
        </w:rPr>
        <w:t>Fornari</w:t>
      </w:r>
      <w:proofErr w:type="spellEnd"/>
      <w:r w:rsidR="00B73C0B" w:rsidRPr="008573D2">
        <w:rPr>
          <w:rFonts w:ascii="Times New Roman" w:hAnsi="Times New Roman" w:cs="Times New Roman"/>
          <w:sz w:val="24"/>
          <w:szCs w:val="24"/>
        </w:rPr>
        <w:t xml:space="preserve"> and Mele (2013) and Choudhury et al. (2016). </w:t>
      </w:r>
      <w:r w:rsidR="00543957" w:rsidRPr="008573D2">
        <w:rPr>
          <w:rFonts w:ascii="Times New Roman" w:hAnsi="Times New Roman" w:cs="Times New Roman"/>
          <w:sz w:val="24"/>
          <w:szCs w:val="24"/>
        </w:rPr>
        <w:t xml:space="preserve">These authors conclude that higher volatility will have </w:t>
      </w:r>
      <w:r w:rsidR="00583B82" w:rsidRPr="008573D2">
        <w:rPr>
          <w:rFonts w:ascii="Times New Roman" w:hAnsi="Times New Roman" w:cs="Times New Roman"/>
          <w:sz w:val="24"/>
          <w:szCs w:val="24"/>
        </w:rPr>
        <w:t xml:space="preserve">a </w:t>
      </w:r>
      <w:r w:rsidR="00543957" w:rsidRPr="008573D2">
        <w:rPr>
          <w:rFonts w:ascii="Times New Roman" w:hAnsi="Times New Roman" w:cs="Times New Roman"/>
          <w:sz w:val="24"/>
          <w:szCs w:val="24"/>
        </w:rPr>
        <w:t>negative effect on real economic activit</w:t>
      </w:r>
      <w:r w:rsidR="00583B82" w:rsidRPr="008573D2">
        <w:rPr>
          <w:rFonts w:ascii="Times New Roman" w:hAnsi="Times New Roman" w:cs="Times New Roman"/>
          <w:sz w:val="24"/>
          <w:szCs w:val="24"/>
        </w:rPr>
        <w:t>y,</w:t>
      </w:r>
      <w:r w:rsidR="00543957" w:rsidRPr="008573D2">
        <w:rPr>
          <w:rFonts w:ascii="Times New Roman" w:hAnsi="Times New Roman" w:cs="Times New Roman"/>
          <w:sz w:val="24"/>
          <w:szCs w:val="24"/>
        </w:rPr>
        <w:t xml:space="preserve"> </w:t>
      </w:r>
      <w:r w:rsidR="00583B82" w:rsidRPr="008573D2">
        <w:rPr>
          <w:rFonts w:ascii="Times New Roman" w:hAnsi="Times New Roman" w:cs="Times New Roman"/>
          <w:sz w:val="24"/>
          <w:szCs w:val="24"/>
        </w:rPr>
        <w:t>which</w:t>
      </w:r>
      <w:r w:rsidR="00543957" w:rsidRPr="008573D2">
        <w:rPr>
          <w:rFonts w:ascii="Times New Roman" w:hAnsi="Times New Roman" w:cs="Times New Roman"/>
          <w:sz w:val="24"/>
          <w:szCs w:val="24"/>
        </w:rPr>
        <w:t xml:space="preserve"> may lead to </w:t>
      </w:r>
      <w:r w:rsidR="00583B82" w:rsidRPr="008573D2">
        <w:rPr>
          <w:rFonts w:ascii="Times New Roman" w:hAnsi="Times New Roman" w:cs="Times New Roman"/>
          <w:sz w:val="24"/>
          <w:szCs w:val="24"/>
        </w:rPr>
        <w:t xml:space="preserve">an </w:t>
      </w:r>
      <w:r w:rsidR="00543957" w:rsidRPr="008573D2">
        <w:rPr>
          <w:rFonts w:ascii="Times New Roman" w:hAnsi="Times New Roman" w:cs="Times New Roman"/>
          <w:sz w:val="24"/>
          <w:szCs w:val="24"/>
        </w:rPr>
        <w:t xml:space="preserve">economic recession. </w:t>
      </w:r>
      <w:r w:rsidR="00695325" w:rsidRPr="008573D2">
        <w:rPr>
          <w:rFonts w:ascii="Times New Roman" w:hAnsi="Times New Roman" w:cs="Times New Roman"/>
          <w:sz w:val="24"/>
          <w:szCs w:val="24"/>
        </w:rPr>
        <w:t xml:space="preserve">Similarly, </w:t>
      </w:r>
      <w:proofErr w:type="spellStart"/>
      <w:r w:rsidR="00C83ECE" w:rsidRPr="008573D2">
        <w:rPr>
          <w:rFonts w:ascii="Times New Roman" w:hAnsi="Times New Roman" w:cs="Times New Roman"/>
          <w:sz w:val="24"/>
          <w:szCs w:val="24"/>
        </w:rPr>
        <w:t>Fornari</w:t>
      </w:r>
      <w:proofErr w:type="spellEnd"/>
      <w:r w:rsidR="00C83ECE" w:rsidRPr="008573D2">
        <w:rPr>
          <w:rFonts w:ascii="Times New Roman" w:hAnsi="Times New Roman" w:cs="Times New Roman"/>
          <w:sz w:val="24"/>
          <w:szCs w:val="24"/>
        </w:rPr>
        <w:t xml:space="preserve"> and Mele (2013)</w:t>
      </w:r>
      <w:r w:rsidR="00B73C0B" w:rsidRPr="008573D2">
        <w:rPr>
          <w:rFonts w:ascii="Times New Roman" w:hAnsi="Times New Roman" w:cs="Times New Roman"/>
          <w:sz w:val="24"/>
          <w:szCs w:val="24"/>
        </w:rPr>
        <w:t xml:space="preserve"> </w:t>
      </w:r>
      <w:r w:rsidR="00543957" w:rsidRPr="008573D2">
        <w:rPr>
          <w:rFonts w:ascii="Times New Roman" w:hAnsi="Times New Roman" w:cs="Times New Roman"/>
          <w:sz w:val="24"/>
          <w:szCs w:val="24"/>
        </w:rPr>
        <w:t>find</w:t>
      </w:r>
      <w:r w:rsidR="00B73C0B" w:rsidRPr="008573D2">
        <w:rPr>
          <w:rFonts w:ascii="Times New Roman" w:hAnsi="Times New Roman" w:cs="Times New Roman"/>
          <w:sz w:val="24"/>
          <w:szCs w:val="24"/>
        </w:rPr>
        <w:t xml:space="preserve"> that </w:t>
      </w:r>
      <w:r w:rsidR="00543957" w:rsidRPr="008573D2">
        <w:rPr>
          <w:rFonts w:ascii="Times New Roman" w:hAnsi="Times New Roman" w:cs="Times New Roman"/>
          <w:sz w:val="24"/>
          <w:szCs w:val="24"/>
        </w:rPr>
        <w:t>financial volatility explains between 30% and 40% of industrial production growth at the horizons of one and two years. They further conclude that</w:t>
      </w:r>
      <w:r w:rsidR="00BF61A3" w:rsidRPr="008573D2">
        <w:rPr>
          <w:rFonts w:ascii="Times New Roman" w:hAnsi="Times New Roman" w:cs="Times New Roman"/>
          <w:sz w:val="24"/>
          <w:szCs w:val="24"/>
        </w:rPr>
        <w:t>,</w:t>
      </w:r>
      <w:r w:rsidR="00543957" w:rsidRPr="008573D2">
        <w:rPr>
          <w:rFonts w:ascii="Times New Roman" w:hAnsi="Times New Roman" w:cs="Times New Roman"/>
          <w:sz w:val="24"/>
          <w:szCs w:val="24"/>
        </w:rPr>
        <w:t xml:space="preserve"> during the same </w:t>
      </w:r>
      <w:r w:rsidR="00583B82" w:rsidRPr="008573D2">
        <w:rPr>
          <w:rFonts w:ascii="Times New Roman" w:hAnsi="Times New Roman" w:cs="Times New Roman"/>
          <w:sz w:val="24"/>
          <w:szCs w:val="24"/>
        </w:rPr>
        <w:t>time</w:t>
      </w:r>
      <w:r w:rsidR="00543957" w:rsidRPr="008573D2">
        <w:rPr>
          <w:rFonts w:ascii="Times New Roman" w:hAnsi="Times New Roman" w:cs="Times New Roman"/>
          <w:sz w:val="24"/>
          <w:szCs w:val="24"/>
        </w:rPr>
        <w:t>, stock market volatility alone can explain between 35% and 55% of future real economic activity.</w:t>
      </w:r>
    </w:p>
    <w:p w14:paraId="0748AD90" w14:textId="7D857A2E" w:rsidR="001063B3" w:rsidRPr="008573D2" w:rsidRDefault="006C268C" w:rsidP="00C475C3">
      <w:pPr>
        <w:spacing w:line="480" w:lineRule="auto"/>
        <w:jc w:val="both"/>
        <w:rPr>
          <w:rFonts w:ascii="Times New Roman" w:hAnsi="Times New Roman" w:cs="Times New Roman"/>
          <w:sz w:val="24"/>
          <w:szCs w:val="24"/>
        </w:rPr>
      </w:pPr>
      <w:r w:rsidRPr="008573D2">
        <w:rPr>
          <w:rFonts w:ascii="Times New Roman" w:hAnsi="Times New Roman" w:cs="Times New Roman"/>
          <w:sz w:val="24"/>
          <w:szCs w:val="24"/>
        </w:rPr>
        <w:t>Given the evidence of possible financial cris</w:t>
      </w:r>
      <w:r w:rsidR="00C9338B" w:rsidRPr="008573D2">
        <w:rPr>
          <w:rFonts w:ascii="Times New Roman" w:hAnsi="Times New Roman" w:cs="Times New Roman"/>
          <w:sz w:val="24"/>
          <w:szCs w:val="24"/>
        </w:rPr>
        <w:t>e</w:t>
      </w:r>
      <w:r w:rsidRPr="008573D2">
        <w:rPr>
          <w:rFonts w:ascii="Times New Roman" w:hAnsi="Times New Roman" w:cs="Times New Roman"/>
          <w:sz w:val="24"/>
          <w:szCs w:val="24"/>
        </w:rPr>
        <w:t xml:space="preserve">s following </w:t>
      </w:r>
      <w:r w:rsidR="00C9338B" w:rsidRPr="008573D2">
        <w:rPr>
          <w:rFonts w:ascii="Times New Roman" w:hAnsi="Times New Roman" w:cs="Times New Roman"/>
          <w:sz w:val="24"/>
          <w:szCs w:val="24"/>
        </w:rPr>
        <w:t xml:space="preserve">episodes of increased </w:t>
      </w:r>
      <w:r w:rsidRPr="008573D2">
        <w:rPr>
          <w:rFonts w:ascii="Times New Roman" w:hAnsi="Times New Roman" w:cs="Times New Roman"/>
          <w:sz w:val="24"/>
          <w:szCs w:val="24"/>
        </w:rPr>
        <w:t xml:space="preserve">financial market volatility (Engle et al., 2013; Baker et al., 2016; </w:t>
      </w:r>
      <w:proofErr w:type="spellStart"/>
      <w:r w:rsidRPr="008573D2">
        <w:rPr>
          <w:rFonts w:ascii="Times New Roman" w:hAnsi="Times New Roman" w:cs="Times New Roman"/>
          <w:sz w:val="24"/>
          <w:szCs w:val="24"/>
        </w:rPr>
        <w:t>Gulen</w:t>
      </w:r>
      <w:proofErr w:type="spellEnd"/>
      <w:r w:rsidRPr="008573D2">
        <w:rPr>
          <w:rFonts w:ascii="Times New Roman" w:hAnsi="Times New Roman" w:cs="Times New Roman"/>
          <w:sz w:val="24"/>
          <w:szCs w:val="24"/>
        </w:rPr>
        <w:t xml:space="preserve"> and Ion, 2016)</w:t>
      </w:r>
      <w:r w:rsidR="009F4696" w:rsidRPr="008573D2">
        <w:rPr>
          <w:rFonts w:ascii="Times New Roman" w:hAnsi="Times New Roman" w:cs="Times New Roman"/>
          <w:sz w:val="24"/>
          <w:szCs w:val="24"/>
        </w:rPr>
        <w:t xml:space="preserve"> </w:t>
      </w:r>
      <w:r w:rsidRPr="008573D2">
        <w:rPr>
          <w:rFonts w:ascii="Times New Roman" w:hAnsi="Times New Roman" w:cs="Times New Roman"/>
          <w:sz w:val="24"/>
          <w:szCs w:val="24"/>
        </w:rPr>
        <w:t>or the negative effect of volatility on real economic activit</w:t>
      </w:r>
      <w:r w:rsidR="00C9338B" w:rsidRPr="008573D2">
        <w:rPr>
          <w:rFonts w:ascii="Times New Roman" w:hAnsi="Times New Roman" w:cs="Times New Roman"/>
          <w:sz w:val="24"/>
          <w:szCs w:val="24"/>
        </w:rPr>
        <w:t>y</w:t>
      </w:r>
      <w:r w:rsidRPr="008573D2">
        <w:rPr>
          <w:rFonts w:ascii="Times New Roman" w:hAnsi="Times New Roman" w:cs="Times New Roman"/>
          <w:sz w:val="24"/>
          <w:szCs w:val="24"/>
        </w:rPr>
        <w:t xml:space="preserve"> (</w:t>
      </w:r>
      <w:proofErr w:type="spellStart"/>
      <w:r w:rsidRPr="008573D2">
        <w:rPr>
          <w:rFonts w:ascii="Times New Roman" w:hAnsi="Times New Roman" w:cs="Times New Roman"/>
          <w:sz w:val="24"/>
          <w:szCs w:val="24"/>
        </w:rPr>
        <w:t>Fornari</w:t>
      </w:r>
      <w:proofErr w:type="spellEnd"/>
      <w:r w:rsidRPr="008573D2">
        <w:rPr>
          <w:rFonts w:ascii="Times New Roman" w:hAnsi="Times New Roman" w:cs="Times New Roman"/>
          <w:sz w:val="24"/>
          <w:szCs w:val="24"/>
        </w:rPr>
        <w:t xml:space="preserve"> and Mele, 2013 and Choudhury et al., 2016), it is essential to </w:t>
      </w:r>
      <w:r w:rsidR="00BF61A3" w:rsidRPr="008573D2">
        <w:rPr>
          <w:rFonts w:ascii="Times New Roman" w:hAnsi="Times New Roman" w:cs="Times New Roman"/>
          <w:sz w:val="24"/>
          <w:szCs w:val="24"/>
        </w:rPr>
        <w:t>identify</w:t>
      </w:r>
      <w:r w:rsidRPr="008573D2">
        <w:rPr>
          <w:rFonts w:ascii="Times New Roman" w:hAnsi="Times New Roman" w:cs="Times New Roman"/>
          <w:sz w:val="24"/>
          <w:szCs w:val="24"/>
        </w:rPr>
        <w:t xml:space="preserve"> possible factors that may help us save the global economy from entering into any </w:t>
      </w:r>
      <w:r w:rsidR="00695325" w:rsidRPr="008573D2">
        <w:rPr>
          <w:rFonts w:ascii="Times New Roman" w:hAnsi="Times New Roman" w:cs="Times New Roman"/>
          <w:sz w:val="24"/>
          <w:szCs w:val="24"/>
        </w:rPr>
        <w:t xml:space="preserve">prolonged </w:t>
      </w:r>
      <w:r w:rsidRPr="008573D2">
        <w:rPr>
          <w:rFonts w:ascii="Times New Roman" w:hAnsi="Times New Roman" w:cs="Times New Roman"/>
          <w:sz w:val="24"/>
          <w:szCs w:val="24"/>
        </w:rPr>
        <w:t xml:space="preserve">recession. </w:t>
      </w:r>
      <w:r w:rsidR="001063B3" w:rsidRPr="008573D2">
        <w:rPr>
          <w:rFonts w:ascii="Times New Roman" w:hAnsi="Times New Roman" w:cs="Times New Roman"/>
          <w:sz w:val="24"/>
          <w:szCs w:val="24"/>
        </w:rPr>
        <w:t>Several factors have been pointed out in the existing literature in this context</w:t>
      </w:r>
      <w:r w:rsidR="00BF61A3" w:rsidRPr="008573D2">
        <w:rPr>
          <w:rFonts w:ascii="Times New Roman" w:hAnsi="Times New Roman" w:cs="Times New Roman"/>
          <w:sz w:val="24"/>
          <w:szCs w:val="24"/>
        </w:rPr>
        <w:t>,</w:t>
      </w:r>
      <w:r w:rsidR="00695325" w:rsidRPr="008573D2">
        <w:rPr>
          <w:rFonts w:ascii="Times New Roman" w:hAnsi="Times New Roman" w:cs="Times New Roman"/>
          <w:sz w:val="24"/>
          <w:szCs w:val="24"/>
        </w:rPr>
        <w:t xml:space="preserve"> such as </w:t>
      </w:r>
      <w:r w:rsidR="001063B3" w:rsidRPr="008573D2">
        <w:rPr>
          <w:rFonts w:ascii="Times New Roman" w:hAnsi="Times New Roman" w:cs="Times New Roman"/>
          <w:sz w:val="24"/>
          <w:szCs w:val="24"/>
        </w:rPr>
        <w:t xml:space="preserve">economic resilience, </w:t>
      </w:r>
      <w:r w:rsidR="00C9338B" w:rsidRPr="008573D2">
        <w:rPr>
          <w:rFonts w:ascii="Times New Roman" w:hAnsi="Times New Roman" w:cs="Times New Roman"/>
          <w:sz w:val="24"/>
          <w:szCs w:val="24"/>
        </w:rPr>
        <w:t xml:space="preserve">the </w:t>
      </w:r>
      <w:r w:rsidR="001063B3" w:rsidRPr="008573D2">
        <w:rPr>
          <w:rFonts w:ascii="Times New Roman" w:hAnsi="Times New Roman" w:cs="Times New Roman"/>
          <w:sz w:val="24"/>
          <w:szCs w:val="24"/>
        </w:rPr>
        <w:t xml:space="preserve">intensity of capitalism, corporate governance and financial development. </w:t>
      </w:r>
    </w:p>
    <w:p w14:paraId="4A046363" w14:textId="04AD20F7" w:rsidR="001063B3" w:rsidRPr="008573D2" w:rsidRDefault="001063B3" w:rsidP="00C475C3">
      <w:pPr>
        <w:spacing w:line="480" w:lineRule="auto"/>
        <w:jc w:val="both"/>
        <w:rPr>
          <w:rFonts w:ascii="Times New Roman" w:hAnsi="Times New Roman" w:cs="Times New Roman"/>
          <w:sz w:val="24"/>
          <w:szCs w:val="24"/>
        </w:rPr>
      </w:pPr>
      <w:r w:rsidRPr="008573D2">
        <w:rPr>
          <w:rFonts w:ascii="Times New Roman" w:hAnsi="Times New Roman" w:cs="Times New Roman"/>
          <w:sz w:val="24"/>
          <w:szCs w:val="24"/>
        </w:rPr>
        <w:lastRenderedPageBreak/>
        <w:t>E</w:t>
      </w:r>
      <w:r w:rsidR="00F97812" w:rsidRPr="008573D2">
        <w:rPr>
          <w:rFonts w:ascii="Times New Roman" w:hAnsi="Times New Roman" w:cs="Times New Roman"/>
          <w:sz w:val="24"/>
          <w:szCs w:val="24"/>
        </w:rPr>
        <w:t xml:space="preserve">conomic </w:t>
      </w:r>
      <w:r w:rsidR="0005270E" w:rsidRPr="008573D2">
        <w:rPr>
          <w:rFonts w:ascii="Times New Roman" w:hAnsi="Times New Roman" w:cs="Times New Roman"/>
          <w:sz w:val="24"/>
          <w:szCs w:val="24"/>
        </w:rPr>
        <w:t>resilience</w:t>
      </w:r>
      <w:r w:rsidR="00F97812" w:rsidRPr="008573D2">
        <w:rPr>
          <w:rFonts w:ascii="Times New Roman" w:hAnsi="Times New Roman" w:cs="Times New Roman"/>
          <w:sz w:val="24"/>
          <w:szCs w:val="24"/>
        </w:rPr>
        <w:t xml:space="preserve"> </w:t>
      </w:r>
      <w:r w:rsidRPr="008573D2">
        <w:rPr>
          <w:rFonts w:ascii="Times New Roman" w:hAnsi="Times New Roman" w:cs="Times New Roman"/>
          <w:sz w:val="24"/>
          <w:szCs w:val="24"/>
        </w:rPr>
        <w:t xml:space="preserve">is </w:t>
      </w:r>
      <w:r w:rsidR="00F97812" w:rsidRPr="008573D2">
        <w:rPr>
          <w:rFonts w:ascii="Times New Roman" w:hAnsi="Times New Roman" w:cs="Times New Roman"/>
          <w:sz w:val="24"/>
          <w:szCs w:val="24"/>
        </w:rPr>
        <w:t xml:space="preserve">defined as the ability of a particular economy to cope with any uncertainty or adverse situation. </w:t>
      </w:r>
      <w:proofErr w:type="spellStart"/>
      <w:r w:rsidR="00E06600" w:rsidRPr="008573D2">
        <w:rPr>
          <w:rFonts w:ascii="Times New Roman" w:hAnsi="Times New Roman" w:cs="Times New Roman"/>
          <w:sz w:val="24"/>
          <w:szCs w:val="24"/>
        </w:rPr>
        <w:t>Briguglio</w:t>
      </w:r>
      <w:proofErr w:type="spellEnd"/>
      <w:r w:rsidR="00E06600" w:rsidRPr="008573D2">
        <w:rPr>
          <w:rFonts w:ascii="Times New Roman" w:hAnsi="Times New Roman" w:cs="Times New Roman"/>
          <w:sz w:val="24"/>
          <w:szCs w:val="24"/>
        </w:rPr>
        <w:t xml:space="preserve"> et</w:t>
      </w:r>
      <w:r w:rsidR="009F4696" w:rsidRPr="008573D2">
        <w:rPr>
          <w:rFonts w:ascii="Times New Roman" w:hAnsi="Times New Roman" w:cs="Times New Roman"/>
          <w:sz w:val="24"/>
          <w:szCs w:val="24"/>
        </w:rPr>
        <w:t xml:space="preserve"> </w:t>
      </w:r>
      <w:r w:rsidR="00E06600" w:rsidRPr="008573D2">
        <w:rPr>
          <w:rFonts w:ascii="Times New Roman" w:hAnsi="Times New Roman" w:cs="Times New Roman"/>
          <w:sz w:val="24"/>
          <w:szCs w:val="24"/>
        </w:rPr>
        <w:t xml:space="preserve">al. (2009) stated that economic resilience refers to </w:t>
      </w:r>
      <w:r w:rsidR="0034461A" w:rsidRPr="008573D2">
        <w:rPr>
          <w:rFonts w:ascii="Times New Roman" w:hAnsi="Times New Roman" w:cs="Times New Roman"/>
          <w:sz w:val="24"/>
          <w:szCs w:val="24"/>
        </w:rPr>
        <w:t xml:space="preserve">the </w:t>
      </w:r>
      <w:r w:rsidR="00E06600" w:rsidRPr="008573D2">
        <w:rPr>
          <w:rFonts w:ascii="Times New Roman" w:hAnsi="Times New Roman" w:cs="Times New Roman"/>
          <w:sz w:val="24"/>
          <w:szCs w:val="24"/>
        </w:rPr>
        <w:t>policy</w:t>
      </w:r>
      <w:r w:rsidR="0034461A" w:rsidRPr="008573D2">
        <w:rPr>
          <w:rFonts w:ascii="Times New Roman" w:hAnsi="Times New Roman" w:cs="Times New Roman"/>
          <w:sz w:val="24"/>
          <w:szCs w:val="24"/>
        </w:rPr>
        <w:t>-</w:t>
      </w:r>
      <w:r w:rsidR="00E06600" w:rsidRPr="008573D2">
        <w:rPr>
          <w:rFonts w:ascii="Times New Roman" w:hAnsi="Times New Roman" w:cs="Times New Roman"/>
          <w:sz w:val="24"/>
          <w:szCs w:val="24"/>
        </w:rPr>
        <w:t xml:space="preserve">induced ability of an economy to recover from or </w:t>
      </w:r>
      <w:r w:rsidR="0005270E" w:rsidRPr="008573D2">
        <w:rPr>
          <w:rFonts w:ascii="Times New Roman" w:hAnsi="Times New Roman" w:cs="Times New Roman"/>
          <w:sz w:val="24"/>
          <w:szCs w:val="24"/>
        </w:rPr>
        <w:t>adjust</w:t>
      </w:r>
      <w:r w:rsidR="00E06600" w:rsidRPr="008573D2">
        <w:rPr>
          <w:rFonts w:ascii="Times New Roman" w:hAnsi="Times New Roman" w:cs="Times New Roman"/>
          <w:sz w:val="24"/>
          <w:szCs w:val="24"/>
        </w:rPr>
        <w:t xml:space="preserve"> to </w:t>
      </w:r>
      <w:r w:rsidR="0034461A" w:rsidRPr="008573D2">
        <w:rPr>
          <w:rFonts w:ascii="Times New Roman" w:hAnsi="Times New Roman" w:cs="Times New Roman"/>
          <w:sz w:val="24"/>
          <w:szCs w:val="24"/>
        </w:rPr>
        <w:t xml:space="preserve">the </w:t>
      </w:r>
      <w:r w:rsidR="00E06600" w:rsidRPr="008573D2">
        <w:rPr>
          <w:rFonts w:ascii="Times New Roman" w:hAnsi="Times New Roman" w:cs="Times New Roman"/>
          <w:sz w:val="24"/>
          <w:szCs w:val="24"/>
        </w:rPr>
        <w:t xml:space="preserve">negative impact of adverse exogenous shocks and to benefit from positive shocks. Sondermann (2018) pointed </w:t>
      </w:r>
      <w:r w:rsidR="0005270E" w:rsidRPr="008573D2">
        <w:rPr>
          <w:rFonts w:ascii="Times New Roman" w:hAnsi="Times New Roman" w:cs="Times New Roman"/>
          <w:sz w:val="24"/>
          <w:szCs w:val="24"/>
        </w:rPr>
        <w:t>out</w:t>
      </w:r>
      <w:r w:rsidR="00E06600" w:rsidRPr="008573D2">
        <w:rPr>
          <w:rFonts w:ascii="Times New Roman" w:hAnsi="Times New Roman" w:cs="Times New Roman"/>
          <w:sz w:val="24"/>
          <w:szCs w:val="24"/>
        </w:rPr>
        <w:t xml:space="preserve"> that economic resilience is essential to cope with adverse economic shock</w:t>
      </w:r>
      <w:r w:rsidR="0034461A" w:rsidRPr="008573D2">
        <w:rPr>
          <w:rFonts w:ascii="Times New Roman" w:hAnsi="Times New Roman" w:cs="Times New Roman"/>
          <w:sz w:val="24"/>
          <w:szCs w:val="24"/>
        </w:rPr>
        <w:t>s</w:t>
      </w:r>
      <w:r w:rsidR="00E06600" w:rsidRPr="008573D2">
        <w:rPr>
          <w:rFonts w:ascii="Times New Roman" w:hAnsi="Times New Roman" w:cs="Times New Roman"/>
          <w:sz w:val="24"/>
          <w:szCs w:val="24"/>
        </w:rPr>
        <w:t xml:space="preserve"> and reduce economic costs arising from those shocks.</w:t>
      </w:r>
      <w:r w:rsidR="00317BA8" w:rsidRPr="008573D2">
        <w:rPr>
          <w:rFonts w:ascii="Times New Roman" w:hAnsi="Times New Roman" w:cs="Times New Roman"/>
          <w:sz w:val="24"/>
          <w:szCs w:val="24"/>
        </w:rPr>
        <w:t xml:space="preserve"> The author mention</w:t>
      </w:r>
      <w:r w:rsidR="003C241C" w:rsidRPr="008573D2">
        <w:rPr>
          <w:rFonts w:ascii="Times New Roman" w:hAnsi="Times New Roman" w:cs="Times New Roman"/>
          <w:sz w:val="24"/>
          <w:szCs w:val="24"/>
        </w:rPr>
        <w:t>s</w:t>
      </w:r>
      <w:r w:rsidR="00317BA8" w:rsidRPr="008573D2">
        <w:rPr>
          <w:rFonts w:ascii="Times New Roman" w:hAnsi="Times New Roman" w:cs="Times New Roman"/>
          <w:sz w:val="24"/>
          <w:szCs w:val="24"/>
        </w:rPr>
        <w:t xml:space="preserve"> that a country with weaker economic resilience suffers </w:t>
      </w:r>
      <w:r w:rsidR="0005270E" w:rsidRPr="008573D2">
        <w:rPr>
          <w:rFonts w:ascii="Times New Roman" w:hAnsi="Times New Roman" w:cs="Times New Roman"/>
          <w:sz w:val="24"/>
          <w:szCs w:val="24"/>
        </w:rPr>
        <w:t>up to</w:t>
      </w:r>
      <w:r w:rsidR="00317BA8" w:rsidRPr="008573D2">
        <w:rPr>
          <w:rFonts w:ascii="Times New Roman" w:hAnsi="Times New Roman" w:cs="Times New Roman"/>
          <w:sz w:val="24"/>
          <w:szCs w:val="24"/>
        </w:rPr>
        <w:t xml:space="preserve"> twice the output loss in a given year due to exogenous economic shock</w:t>
      </w:r>
      <w:r w:rsidR="0034461A" w:rsidRPr="008573D2">
        <w:rPr>
          <w:rFonts w:ascii="Times New Roman" w:hAnsi="Times New Roman" w:cs="Times New Roman"/>
          <w:sz w:val="24"/>
          <w:szCs w:val="24"/>
        </w:rPr>
        <w:t>s</w:t>
      </w:r>
      <w:r w:rsidR="00317BA8" w:rsidRPr="008573D2">
        <w:rPr>
          <w:rFonts w:ascii="Times New Roman" w:hAnsi="Times New Roman" w:cs="Times New Roman"/>
          <w:sz w:val="24"/>
          <w:szCs w:val="24"/>
        </w:rPr>
        <w:t xml:space="preserve"> compared to </w:t>
      </w:r>
      <w:r w:rsidR="0034461A" w:rsidRPr="008573D2">
        <w:rPr>
          <w:rFonts w:ascii="Times New Roman" w:hAnsi="Times New Roman" w:cs="Times New Roman"/>
          <w:sz w:val="24"/>
          <w:szCs w:val="24"/>
        </w:rPr>
        <w:t xml:space="preserve">a </w:t>
      </w:r>
      <w:r w:rsidR="00317BA8" w:rsidRPr="008573D2">
        <w:rPr>
          <w:rFonts w:ascii="Times New Roman" w:hAnsi="Times New Roman" w:cs="Times New Roman"/>
          <w:sz w:val="24"/>
          <w:szCs w:val="24"/>
        </w:rPr>
        <w:t xml:space="preserve">country with stronger economic </w:t>
      </w:r>
      <w:r w:rsidR="0005270E" w:rsidRPr="008573D2">
        <w:rPr>
          <w:rFonts w:ascii="Times New Roman" w:hAnsi="Times New Roman" w:cs="Times New Roman"/>
          <w:sz w:val="24"/>
          <w:szCs w:val="24"/>
        </w:rPr>
        <w:t>resilience</w:t>
      </w:r>
      <w:r w:rsidR="00317BA8" w:rsidRPr="008573D2">
        <w:rPr>
          <w:rFonts w:ascii="Times New Roman" w:hAnsi="Times New Roman" w:cs="Times New Roman"/>
          <w:sz w:val="24"/>
          <w:szCs w:val="24"/>
        </w:rPr>
        <w:t xml:space="preserve">. </w:t>
      </w:r>
      <w:r w:rsidR="00F11D0F" w:rsidRPr="008573D2">
        <w:rPr>
          <w:rFonts w:ascii="Times New Roman" w:hAnsi="Times New Roman" w:cs="Times New Roman"/>
          <w:sz w:val="24"/>
          <w:szCs w:val="24"/>
        </w:rPr>
        <w:t xml:space="preserve">Comparing the performance of a group of OECD countries </w:t>
      </w:r>
      <w:r w:rsidR="0034461A" w:rsidRPr="008573D2">
        <w:rPr>
          <w:rFonts w:ascii="Times New Roman" w:hAnsi="Times New Roman" w:cs="Times New Roman"/>
          <w:sz w:val="24"/>
          <w:szCs w:val="24"/>
        </w:rPr>
        <w:t>in</w:t>
      </w:r>
      <w:r w:rsidR="00F11D0F" w:rsidRPr="008573D2">
        <w:rPr>
          <w:rFonts w:ascii="Times New Roman" w:hAnsi="Times New Roman" w:cs="Times New Roman"/>
          <w:sz w:val="24"/>
          <w:szCs w:val="24"/>
        </w:rPr>
        <w:t xml:space="preserve"> fac</w:t>
      </w:r>
      <w:r w:rsidR="0034461A" w:rsidRPr="008573D2">
        <w:rPr>
          <w:rFonts w:ascii="Times New Roman" w:hAnsi="Times New Roman" w:cs="Times New Roman"/>
          <w:sz w:val="24"/>
          <w:szCs w:val="24"/>
        </w:rPr>
        <w:t>ing</w:t>
      </w:r>
      <w:r w:rsidR="00F11D0F" w:rsidRPr="008573D2">
        <w:rPr>
          <w:rFonts w:ascii="Times New Roman" w:hAnsi="Times New Roman" w:cs="Times New Roman"/>
          <w:sz w:val="24"/>
          <w:szCs w:val="24"/>
        </w:rPr>
        <w:t xml:space="preserve"> common economic shock</w:t>
      </w:r>
      <w:r w:rsidR="0034461A" w:rsidRPr="008573D2">
        <w:rPr>
          <w:rFonts w:ascii="Times New Roman" w:hAnsi="Times New Roman" w:cs="Times New Roman"/>
          <w:sz w:val="24"/>
          <w:szCs w:val="24"/>
        </w:rPr>
        <w:t>s</w:t>
      </w:r>
      <w:r w:rsidR="00F11D0F" w:rsidRPr="008573D2">
        <w:rPr>
          <w:rFonts w:ascii="Times New Roman" w:hAnsi="Times New Roman" w:cs="Times New Roman"/>
          <w:sz w:val="24"/>
          <w:szCs w:val="24"/>
        </w:rPr>
        <w:t xml:space="preserve">, Duval and Vogel (2008) conclude that the </w:t>
      </w:r>
      <w:r w:rsidR="0005270E" w:rsidRPr="008573D2">
        <w:rPr>
          <w:rFonts w:ascii="Times New Roman" w:hAnsi="Times New Roman" w:cs="Times New Roman"/>
          <w:sz w:val="24"/>
          <w:szCs w:val="24"/>
        </w:rPr>
        <w:t>countries</w:t>
      </w:r>
      <w:r w:rsidR="00F11D0F" w:rsidRPr="008573D2">
        <w:rPr>
          <w:rFonts w:ascii="Times New Roman" w:hAnsi="Times New Roman" w:cs="Times New Roman"/>
          <w:sz w:val="24"/>
          <w:szCs w:val="24"/>
        </w:rPr>
        <w:t xml:space="preserve"> that are more resilient performed better </w:t>
      </w:r>
      <w:r w:rsidR="0034461A" w:rsidRPr="008573D2">
        <w:rPr>
          <w:rFonts w:ascii="Times New Roman" w:hAnsi="Times New Roman" w:cs="Times New Roman"/>
          <w:sz w:val="24"/>
          <w:szCs w:val="24"/>
        </w:rPr>
        <w:t>in</w:t>
      </w:r>
      <w:r w:rsidR="00F11D0F" w:rsidRPr="008573D2">
        <w:rPr>
          <w:rFonts w:ascii="Times New Roman" w:hAnsi="Times New Roman" w:cs="Times New Roman"/>
          <w:sz w:val="24"/>
          <w:szCs w:val="24"/>
        </w:rPr>
        <w:t xml:space="preserve"> manag</w:t>
      </w:r>
      <w:r w:rsidR="0034461A" w:rsidRPr="008573D2">
        <w:rPr>
          <w:rFonts w:ascii="Times New Roman" w:hAnsi="Times New Roman" w:cs="Times New Roman"/>
          <w:sz w:val="24"/>
          <w:szCs w:val="24"/>
        </w:rPr>
        <w:t>ing</w:t>
      </w:r>
      <w:r w:rsidR="00F11D0F" w:rsidRPr="008573D2">
        <w:rPr>
          <w:rFonts w:ascii="Times New Roman" w:hAnsi="Times New Roman" w:cs="Times New Roman"/>
          <w:sz w:val="24"/>
          <w:szCs w:val="24"/>
        </w:rPr>
        <w:t xml:space="preserve"> </w:t>
      </w:r>
      <w:r w:rsidR="00BF61A3" w:rsidRPr="008573D2">
        <w:rPr>
          <w:rFonts w:ascii="Times New Roman" w:hAnsi="Times New Roman" w:cs="Times New Roman"/>
          <w:sz w:val="24"/>
          <w:szCs w:val="24"/>
        </w:rPr>
        <w:t xml:space="preserve">the </w:t>
      </w:r>
      <w:r w:rsidR="00F11D0F" w:rsidRPr="008573D2">
        <w:rPr>
          <w:rFonts w:ascii="Times New Roman" w:hAnsi="Times New Roman" w:cs="Times New Roman"/>
          <w:sz w:val="24"/>
          <w:szCs w:val="24"/>
        </w:rPr>
        <w:t>economic shock</w:t>
      </w:r>
      <w:r w:rsidR="0034461A" w:rsidRPr="008573D2">
        <w:rPr>
          <w:rFonts w:ascii="Times New Roman" w:hAnsi="Times New Roman" w:cs="Times New Roman"/>
          <w:sz w:val="24"/>
          <w:szCs w:val="24"/>
        </w:rPr>
        <w:t>s</w:t>
      </w:r>
      <w:r w:rsidR="00F11D0F" w:rsidRPr="008573D2">
        <w:rPr>
          <w:rFonts w:ascii="Times New Roman" w:hAnsi="Times New Roman" w:cs="Times New Roman"/>
          <w:sz w:val="24"/>
          <w:szCs w:val="24"/>
        </w:rPr>
        <w:t>. Didier et al. (2012)</w:t>
      </w:r>
      <w:r w:rsidR="00BB62C8" w:rsidRPr="008573D2">
        <w:rPr>
          <w:rFonts w:ascii="Times New Roman" w:hAnsi="Times New Roman" w:cs="Times New Roman"/>
          <w:sz w:val="24"/>
          <w:szCs w:val="24"/>
        </w:rPr>
        <w:t xml:space="preserve"> and </w:t>
      </w:r>
      <w:proofErr w:type="spellStart"/>
      <w:r w:rsidR="00BB62C8" w:rsidRPr="008573D2">
        <w:rPr>
          <w:rFonts w:ascii="Times New Roman" w:hAnsi="Times New Roman" w:cs="Times New Roman"/>
          <w:sz w:val="24"/>
          <w:szCs w:val="24"/>
        </w:rPr>
        <w:t>Abiad</w:t>
      </w:r>
      <w:proofErr w:type="spellEnd"/>
      <w:r w:rsidR="00BB62C8" w:rsidRPr="008573D2">
        <w:rPr>
          <w:rFonts w:ascii="Times New Roman" w:hAnsi="Times New Roman" w:cs="Times New Roman"/>
          <w:sz w:val="24"/>
          <w:szCs w:val="24"/>
        </w:rPr>
        <w:t xml:space="preserve"> et al. (2015) </w:t>
      </w:r>
      <w:r w:rsidR="0005270E" w:rsidRPr="008573D2">
        <w:rPr>
          <w:rFonts w:ascii="Times New Roman" w:hAnsi="Times New Roman" w:cs="Times New Roman"/>
          <w:sz w:val="24"/>
          <w:szCs w:val="24"/>
        </w:rPr>
        <w:t>conclude</w:t>
      </w:r>
      <w:r w:rsidR="00F11D0F" w:rsidRPr="008573D2">
        <w:rPr>
          <w:rFonts w:ascii="Times New Roman" w:hAnsi="Times New Roman" w:cs="Times New Roman"/>
          <w:sz w:val="24"/>
          <w:szCs w:val="24"/>
        </w:rPr>
        <w:t xml:space="preserve"> the same</w:t>
      </w:r>
      <w:r w:rsidR="0034461A" w:rsidRPr="008573D2">
        <w:rPr>
          <w:rFonts w:ascii="Times New Roman" w:hAnsi="Times New Roman" w:cs="Times New Roman"/>
          <w:sz w:val="24"/>
          <w:szCs w:val="24"/>
        </w:rPr>
        <w:t>,</w:t>
      </w:r>
      <w:r w:rsidR="00F11D0F" w:rsidRPr="008573D2">
        <w:rPr>
          <w:rFonts w:ascii="Times New Roman" w:hAnsi="Times New Roman" w:cs="Times New Roman"/>
          <w:sz w:val="24"/>
          <w:szCs w:val="24"/>
        </w:rPr>
        <w:t xml:space="preserve"> using data from emerging countries</w:t>
      </w:r>
      <w:r w:rsidR="00BB62C8" w:rsidRPr="008573D2">
        <w:rPr>
          <w:rFonts w:ascii="Times New Roman" w:hAnsi="Times New Roman" w:cs="Times New Roman"/>
          <w:sz w:val="24"/>
          <w:szCs w:val="24"/>
        </w:rPr>
        <w:t xml:space="preserve"> and developing economies</w:t>
      </w:r>
      <w:r w:rsidR="00F11D0F" w:rsidRPr="008573D2">
        <w:rPr>
          <w:rFonts w:ascii="Times New Roman" w:hAnsi="Times New Roman" w:cs="Times New Roman"/>
          <w:sz w:val="24"/>
          <w:szCs w:val="24"/>
        </w:rPr>
        <w:t xml:space="preserve">. </w:t>
      </w:r>
      <w:r w:rsidR="0011785E" w:rsidRPr="008573D2">
        <w:rPr>
          <w:rFonts w:ascii="Times New Roman" w:hAnsi="Times New Roman" w:cs="Times New Roman"/>
          <w:sz w:val="24"/>
          <w:szCs w:val="24"/>
        </w:rPr>
        <w:t>In this study</w:t>
      </w:r>
      <w:r w:rsidR="00BF61A3" w:rsidRPr="008573D2">
        <w:rPr>
          <w:rFonts w:ascii="Times New Roman" w:hAnsi="Times New Roman" w:cs="Times New Roman"/>
          <w:sz w:val="24"/>
          <w:szCs w:val="24"/>
        </w:rPr>
        <w:t>,</w:t>
      </w:r>
      <w:r w:rsidR="0011785E" w:rsidRPr="008573D2">
        <w:rPr>
          <w:rFonts w:ascii="Times New Roman" w:hAnsi="Times New Roman" w:cs="Times New Roman"/>
          <w:sz w:val="24"/>
          <w:szCs w:val="24"/>
        </w:rPr>
        <w:t xml:space="preserve"> we have examined </w:t>
      </w:r>
      <w:r w:rsidR="0034461A" w:rsidRPr="008573D2">
        <w:rPr>
          <w:rFonts w:ascii="Times New Roman" w:hAnsi="Times New Roman" w:cs="Times New Roman"/>
          <w:sz w:val="24"/>
          <w:szCs w:val="24"/>
        </w:rPr>
        <w:t>whether</w:t>
      </w:r>
      <w:r w:rsidR="0011785E" w:rsidRPr="008573D2">
        <w:rPr>
          <w:rFonts w:ascii="Times New Roman" w:hAnsi="Times New Roman" w:cs="Times New Roman"/>
          <w:sz w:val="24"/>
          <w:szCs w:val="24"/>
        </w:rPr>
        <w:t xml:space="preserve"> the level of economic </w:t>
      </w:r>
      <w:r w:rsidR="006227DC" w:rsidRPr="008573D2">
        <w:rPr>
          <w:rFonts w:ascii="Times New Roman" w:hAnsi="Times New Roman" w:cs="Times New Roman"/>
          <w:sz w:val="24"/>
          <w:szCs w:val="24"/>
        </w:rPr>
        <w:t>resilience</w:t>
      </w:r>
      <w:r w:rsidR="0011785E" w:rsidRPr="008573D2">
        <w:rPr>
          <w:rFonts w:ascii="Times New Roman" w:hAnsi="Times New Roman" w:cs="Times New Roman"/>
          <w:sz w:val="24"/>
          <w:szCs w:val="24"/>
        </w:rPr>
        <w:t xml:space="preserve"> of selected sample countries helps mitigate the effect of </w:t>
      </w:r>
      <w:r w:rsidR="0034461A" w:rsidRPr="008573D2">
        <w:rPr>
          <w:rFonts w:ascii="Times New Roman" w:hAnsi="Times New Roman" w:cs="Times New Roman"/>
          <w:sz w:val="24"/>
          <w:szCs w:val="24"/>
        </w:rPr>
        <w:t xml:space="preserve">the </w:t>
      </w:r>
      <w:r w:rsidR="0011785E" w:rsidRPr="008573D2">
        <w:rPr>
          <w:rFonts w:ascii="Times New Roman" w:hAnsi="Times New Roman" w:cs="Times New Roman"/>
          <w:sz w:val="24"/>
          <w:szCs w:val="24"/>
        </w:rPr>
        <w:t xml:space="preserve">global pandemic on stock </w:t>
      </w:r>
      <w:r w:rsidR="006227DC" w:rsidRPr="008573D2">
        <w:rPr>
          <w:rFonts w:ascii="Times New Roman" w:hAnsi="Times New Roman" w:cs="Times New Roman"/>
          <w:sz w:val="24"/>
          <w:szCs w:val="24"/>
        </w:rPr>
        <w:t>market</w:t>
      </w:r>
      <w:r w:rsidR="0011785E" w:rsidRPr="008573D2">
        <w:rPr>
          <w:rFonts w:ascii="Times New Roman" w:hAnsi="Times New Roman" w:cs="Times New Roman"/>
          <w:sz w:val="24"/>
          <w:szCs w:val="24"/>
        </w:rPr>
        <w:t xml:space="preserve"> volatility. </w:t>
      </w:r>
      <w:r w:rsidR="0034461A" w:rsidRPr="008573D2">
        <w:rPr>
          <w:rFonts w:ascii="Times New Roman" w:hAnsi="Times New Roman" w:cs="Times New Roman"/>
          <w:sz w:val="24"/>
          <w:szCs w:val="24"/>
        </w:rPr>
        <w:t>E</w:t>
      </w:r>
      <w:r w:rsidR="0011785E" w:rsidRPr="008573D2">
        <w:rPr>
          <w:rFonts w:ascii="Times New Roman" w:hAnsi="Times New Roman" w:cs="Times New Roman"/>
          <w:sz w:val="24"/>
          <w:szCs w:val="24"/>
        </w:rPr>
        <w:t xml:space="preserve">conomic </w:t>
      </w:r>
      <w:r w:rsidR="006227DC" w:rsidRPr="008573D2">
        <w:rPr>
          <w:rFonts w:ascii="Times New Roman" w:hAnsi="Times New Roman" w:cs="Times New Roman"/>
          <w:sz w:val="24"/>
          <w:szCs w:val="24"/>
        </w:rPr>
        <w:t>resilience</w:t>
      </w:r>
      <w:r w:rsidR="0011785E" w:rsidRPr="008573D2">
        <w:rPr>
          <w:rFonts w:ascii="Times New Roman" w:hAnsi="Times New Roman" w:cs="Times New Roman"/>
          <w:sz w:val="24"/>
          <w:szCs w:val="24"/>
        </w:rPr>
        <w:t xml:space="preserve"> is measured using 12 different economic drivers. Details of th</w:t>
      </w:r>
      <w:r w:rsidR="00BF61A3" w:rsidRPr="008573D2">
        <w:rPr>
          <w:rFonts w:ascii="Times New Roman" w:hAnsi="Times New Roman" w:cs="Times New Roman"/>
          <w:sz w:val="24"/>
          <w:szCs w:val="24"/>
        </w:rPr>
        <w:t>e</w:t>
      </w:r>
      <w:r w:rsidR="0011785E" w:rsidRPr="008573D2">
        <w:rPr>
          <w:rFonts w:ascii="Times New Roman" w:hAnsi="Times New Roman" w:cs="Times New Roman"/>
          <w:sz w:val="24"/>
          <w:szCs w:val="24"/>
        </w:rPr>
        <w:t>se drivers are provided in Table 1.</w:t>
      </w:r>
    </w:p>
    <w:p w14:paraId="44180AB2" w14:textId="5598767D" w:rsidR="000B20D4" w:rsidRPr="008573D2" w:rsidRDefault="001063B3" w:rsidP="00C475C3">
      <w:pPr>
        <w:spacing w:line="48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The second factor is </w:t>
      </w:r>
      <w:r w:rsidR="0034461A" w:rsidRPr="008573D2">
        <w:rPr>
          <w:rFonts w:ascii="Times New Roman" w:hAnsi="Times New Roman" w:cs="Times New Roman"/>
          <w:sz w:val="24"/>
          <w:szCs w:val="24"/>
        </w:rPr>
        <w:t xml:space="preserve">the </w:t>
      </w:r>
      <w:r w:rsidRPr="008573D2">
        <w:rPr>
          <w:rFonts w:ascii="Times New Roman" w:hAnsi="Times New Roman" w:cs="Times New Roman"/>
          <w:sz w:val="24"/>
          <w:szCs w:val="24"/>
        </w:rPr>
        <w:t xml:space="preserve">intensity of capitalism. </w:t>
      </w:r>
      <w:r w:rsidR="0022296F" w:rsidRPr="008573D2">
        <w:rPr>
          <w:rFonts w:ascii="Times New Roman" w:hAnsi="Times New Roman" w:cs="Times New Roman"/>
          <w:sz w:val="24"/>
          <w:szCs w:val="24"/>
        </w:rPr>
        <w:t xml:space="preserve">In general, </w:t>
      </w:r>
      <w:r w:rsidR="0005270E" w:rsidRPr="008573D2">
        <w:rPr>
          <w:rFonts w:ascii="Times New Roman" w:hAnsi="Times New Roman" w:cs="Times New Roman"/>
          <w:sz w:val="24"/>
          <w:szCs w:val="24"/>
        </w:rPr>
        <w:t>capitalism</w:t>
      </w:r>
      <w:r w:rsidR="0022296F" w:rsidRPr="008573D2">
        <w:rPr>
          <w:rFonts w:ascii="Times New Roman" w:hAnsi="Times New Roman" w:cs="Times New Roman"/>
          <w:sz w:val="24"/>
          <w:szCs w:val="24"/>
        </w:rPr>
        <w:t xml:space="preserve"> is defined as </w:t>
      </w:r>
      <w:r w:rsidR="0034461A" w:rsidRPr="008573D2">
        <w:rPr>
          <w:rFonts w:ascii="Times New Roman" w:hAnsi="Times New Roman" w:cs="Times New Roman"/>
          <w:sz w:val="24"/>
          <w:szCs w:val="24"/>
        </w:rPr>
        <w:t>an</w:t>
      </w:r>
      <w:r w:rsidR="0022296F" w:rsidRPr="008573D2">
        <w:rPr>
          <w:rFonts w:ascii="Times New Roman" w:hAnsi="Times New Roman" w:cs="Times New Roman"/>
          <w:sz w:val="24"/>
          <w:szCs w:val="24"/>
        </w:rPr>
        <w:t xml:space="preserve"> economic system where trade and industry </w:t>
      </w:r>
      <w:r w:rsidR="0005270E" w:rsidRPr="008573D2">
        <w:rPr>
          <w:rFonts w:ascii="Times New Roman" w:hAnsi="Times New Roman" w:cs="Times New Roman"/>
          <w:sz w:val="24"/>
          <w:szCs w:val="24"/>
        </w:rPr>
        <w:t>are</w:t>
      </w:r>
      <w:r w:rsidR="0022296F" w:rsidRPr="008573D2">
        <w:rPr>
          <w:rFonts w:ascii="Times New Roman" w:hAnsi="Times New Roman" w:cs="Times New Roman"/>
          <w:sz w:val="24"/>
          <w:szCs w:val="24"/>
        </w:rPr>
        <w:t xml:space="preserve"> owned and controlled by private owners for profit rather than by the state. </w:t>
      </w:r>
      <w:r w:rsidRPr="008573D2">
        <w:rPr>
          <w:rFonts w:ascii="Times New Roman" w:hAnsi="Times New Roman" w:cs="Times New Roman"/>
          <w:sz w:val="24"/>
          <w:szCs w:val="24"/>
        </w:rPr>
        <w:t xml:space="preserve">According to </w:t>
      </w:r>
      <w:r w:rsidR="0022296F" w:rsidRPr="008573D2">
        <w:rPr>
          <w:rFonts w:ascii="Times New Roman" w:hAnsi="Times New Roman" w:cs="Times New Roman"/>
          <w:sz w:val="24"/>
          <w:szCs w:val="24"/>
        </w:rPr>
        <w:t>Hodgson (2016)</w:t>
      </w:r>
      <w:r w:rsidRPr="008573D2">
        <w:rPr>
          <w:rFonts w:ascii="Times New Roman" w:hAnsi="Times New Roman" w:cs="Times New Roman"/>
          <w:sz w:val="24"/>
          <w:szCs w:val="24"/>
        </w:rPr>
        <w:t>,</w:t>
      </w:r>
      <w:r w:rsidR="0022296F" w:rsidRPr="008573D2">
        <w:rPr>
          <w:rFonts w:ascii="Times New Roman" w:hAnsi="Times New Roman" w:cs="Times New Roman"/>
          <w:sz w:val="24"/>
          <w:szCs w:val="24"/>
        </w:rPr>
        <w:t xml:space="preserve"> capitalism is a </w:t>
      </w:r>
      <w:r w:rsidR="0005270E" w:rsidRPr="008573D2">
        <w:rPr>
          <w:rFonts w:ascii="Times New Roman" w:hAnsi="Times New Roman" w:cs="Times New Roman"/>
          <w:sz w:val="24"/>
          <w:szCs w:val="24"/>
        </w:rPr>
        <w:t>socio-economic</w:t>
      </w:r>
      <w:r w:rsidR="0022296F" w:rsidRPr="008573D2">
        <w:rPr>
          <w:rFonts w:ascii="Times New Roman" w:hAnsi="Times New Roman" w:cs="Times New Roman"/>
          <w:sz w:val="24"/>
          <w:szCs w:val="24"/>
        </w:rPr>
        <w:t xml:space="preserve"> system where </w:t>
      </w:r>
      <w:r w:rsidR="0034461A" w:rsidRPr="008573D2">
        <w:rPr>
          <w:rFonts w:ascii="Times New Roman" w:hAnsi="Times New Roman" w:cs="Times New Roman"/>
          <w:sz w:val="24"/>
          <w:szCs w:val="24"/>
        </w:rPr>
        <w:t xml:space="preserve">the </w:t>
      </w:r>
      <w:r w:rsidR="0022296F" w:rsidRPr="008573D2">
        <w:rPr>
          <w:rFonts w:ascii="Times New Roman" w:hAnsi="Times New Roman" w:cs="Times New Roman"/>
          <w:sz w:val="24"/>
          <w:szCs w:val="24"/>
        </w:rPr>
        <w:t>legal system support</w:t>
      </w:r>
      <w:r w:rsidR="0034461A" w:rsidRPr="008573D2">
        <w:rPr>
          <w:rFonts w:ascii="Times New Roman" w:hAnsi="Times New Roman" w:cs="Times New Roman"/>
          <w:sz w:val="24"/>
          <w:szCs w:val="24"/>
        </w:rPr>
        <w:t>s</w:t>
      </w:r>
      <w:r w:rsidR="0022296F" w:rsidRPr="008573D2">
        <w:rPr>
          <w:rFonts w:ascii="Times New Roman" w:hAnsi="Times New Roman" w:cs="Times New Roman"/>
          <w:sz w:val="24"/>
          <w:szCs w:val="24"/>
        </w:rPr>
        <w:t xml:space="preserve"> individual property right</w:t>
      </w:r>
      <w:r w:rsidR="0034461A" w:rsidRPr="008573D2">
        <w:rPr>
          <w:rFonts w:ascii="Times New Roman" w:hAnsi="Times New Roman" w:cs="Times New Roman"/>
          <w:sz w:val="24"/>
          <w:szCs w:val="24"/>
        </w:rPr>
        <w:t>s</w:t>
      </w:r>
      <w:r w:rsidR="0022296F" w:rsidRPr="008573D2">
        <w:rPr>
          <w:rFonts w:ascii="Times New Roman" w:hAnsi="Times New Roman" w:cs="Times New Roman"/>
          <w:sz w:val="24"/>
          <w:szCs w:val="24"/>
        </w:rPr>
        <w:t xml:space="preserve">, commodities </w:t>
      </w:r>
      <w:r w:rsidR="0034461A" w:rsidRPr="008573D2">
        <w:rPr>
          <w:rFonts w:ascii="Times New Roman" w:hAnsi="Times New Roman" w:cs="Times New Roman"/>
          <w:sz w:val="24"/>
          <w:szCs w:val="24"/>
        </w:rPr>
        <w:t>ar</w:t>
      </w:r>
      <w:r w:rsidR="00BF61A3" w:rsidRPr="008573D2">
        <w:rPr>
          <w:rFonts w:ascii="Times New Roman" w:hAnsi="Times New Roman" w:cs="Times New Roman"/>
          <w:sz w:val="24"/>
          <w:szCs w:val="24"/>
        </w:rPr>
        <w:t>e</w:t>
      </w:r>
      <w:r w:rsidR="0022296F" w:rsidRPr="008573D2">
        <w:rPr>
          <w:rFonts w:ascii="Times New Roman" w:hAnsi="Times New Roman" w:cs="Times New Roman"/>
          <w:sz w:val="24"/>
          <w:szCs w:val="24"/>
        </w:rPr>
        <w:t xml:space="preserve"> exchanged that </w:t>
      </w:r>
      <w:r w:rsidR="0005270E" w:rsidRPr="008573D2">
        <w:rPr>
          <w:rFonts w:ascii="Times New Roman" w:hAnsi="Times New Roman" w:cs="Times New Roman"/>
          <w:sz w:val="24"/>
          <w:szCs w:val="24"/>
        </w:rPr>
        <w:t>involves</w:t>
      </w:r>
      <w:r w:rsidR="0022296F" w:rsidRPr="008573D2">
        <w:rPr>
          <w:rFonts w:ascii="Times New Roman" w:hAnsi="Times New Roman" w:cs="Times New Roman"/>
          <w:sz w:val="24"/>
          <w:szCs w:val="24"/>
        </w:rPr>
        <w:t xml:space="preserve"> money, </w:t>
      </w:r>
      <w:r w:rsidR="0034461A" w:rsidRPr="008573D2">
        <w:rPr>
          <w:rFonts w:ascii="Times New Roman" w:hAnsi="Times New Roman" w:cs="Times New Roman"/>
          <w:sz w:val="24"/>
          <w:szCs w:val="24"/>
        </w:rPr>
        <w:t xml:space="preserve">the </w:t>
      </w:r>
      <w:r w:rsidR="0022296F" w:rsidRPr="008573D2">
        <w:rPr>
          <w:rFonts w:ascii="Times New Roman" w:hAnsi="Times New Roman" w:cs="Times New Roman"/>
          <w:sz w:val="24"/>
          <w:szCs w:val="24"/>
        </w:rPr>
        <w:t xml:space="preserve">private ownership of production to earn profit, </w:t>
      </w:r>
      <w:r w:rsidRPr="008573D2">
        <w:rPr>
          <w:rFonts w:ascii="Times New Roman" w:hAnsi="Times New Roman" w:cs="Times New Roman"/>
          <w:sz w:val="24"/>
          <w:szCs w:val="24"/>
        </w:rPr>
        <w:t xml:space="preserve">and </w:t>
      </w:r>
      <w:r w:rsidR="0034461A" w:rsidRPr="008573D2">
        <w:rPr>
          <w:rFonts w:ascii="Times New Roman" w:hAnsi="Times New Roman" w:cs="Times New Roman"/>
          <w:sz w:val="24"/>
          <w:szCs w:val="24"/>
        </w:rPr>
        <w:t xml:space="preserve">a </w:t>
      </w:r>
      <w:r w:rsidR="0022296F" w:rsidRPr="008573D2">
        <w:rPr>
          <w:rFonts w:ascii="Times New Roman" w:hAnsi="Times New Roman" w:cs="Times New Roman"/>
          <w:sz w:val="24"/>
          <w:szCs w:val="24"/>
        </w:rPr>
        <w:t xml:space="preserve">developed financial system with banking institutions </w:t>
      </w:r>
      <w:r w:rsidRPr="008573D2">
        <w:rPr>
          <w:rFonts w:ascii="Times New Roman" w:hAnsi="Times New Roman" w:cs="Times New Roman"/>
          <w:sz w:val="24"/>
          <w:szCs w:val="24"/>
        </w:rPr>
        <w:t>to</w:t>
      </w:r>
      <w:r w:rsidR="003E4186" w:rsidRPr="008573D2">
        <w:rPr>
          <w:rFonts w:ascii="Times New Roman" w:hAnsi="Times New Roman" w:cs="Times New Roman"/>
          <w:sz w:val="24"/>
          <w:szCs w:val="24"/>
        </w:rPr>
        <w:t xml:space="preserve"> facilitate credit and debt. </w:t>
      </w:r>
      <w:r w:rsidR="000E6A4A" w:rsidRPr="008573D2">
        <w:rPr>
          <w:rFonts w:ascii="Times New Roman" w:hAnsi="Times New Roman" w:cs="Times New Roman"/>
          <w:sz w:val="24"/>
          <w:szCs w:val="24"/>
        </w:rPr>
        <w:t xml:space="preserve">When capitalism is in place to solve </w:t>
      </w:r>
      <w:r w:rsidR="0034461A" w:rsidRPr="008573D2">
        <w:rPr>
          <w:rFonts w:ascii="Times New Roman" w:hAnsi="Times New Roman" w:cs="Times New Roman"/>
          <w:sz w:val="24"/>
          <w:szCs w:val="24"/>
        </w:rPr>
        <w:t>an</w:t>
      </w:r>
      <w:r w:rsidR="000E6A4A" w:rsidRPr="008573D2">
        <w:rPr>
          <w:rFonts w:ascii="Times New Roman" w:hAnsi="Times New Roman" w:cs="Times New Roman"/>
          <w:sz w:val="24"/>
          <w:szCs w:val="24"/>
        </w:rPr>
        <w:t xml:space="preserve"> economic problem, </w:t>
      </w:r>
      <w:r w:rsidR="0034461A" w:rsidRPr="008573D2">
        <w:rPr>
          <w:rFonts w:ascii="Times New Roman" w:hAnsi="Times New Roman" w:cs="Times New Roman"/>
          <w:sz w:val="24"/>
          <w:szCs w:val="24"/>
        </w:rPr>
        <w:t xml:space="preserve">the </w:t>
      </w:r>
      <w:r w:rsidR="000E6A4A" w:rsidRPr="008573D2">
        <w:rPr>
          <w:rFonts w:ascii="Times New Roman" w:hAnsi="Times New Roman" w:cs="Times New Roman"/>
          <w:sz w:val="24"/>
          <w:szCs w:val="24"/>
        </w:rPr>
        <w:t xml:space="preserve">capital market plays a pivotal role in </w:t>
      </w:r>
      <w:r w:rsidR="0034461A" w:rsidRPr="008573D2">
        <w:rPr>
          <w:rFonts w:ascii="Times New Roman" w:hAnsi="Times New Roman" w:cs="Times New Roman"/>
          <w:sz w:val="24"/>
          <w:szCs w:val="24"/>
        </w:rPr>
        <w:t xml:space="preserve">the </w:t>
      </w:r>
      <w:r w:rsidR="0005270E" w:rsidRPr="008573D2">
        <w:rPr>
          <w:rFonts w:ascii="Times New Roman" w:hAnsi="Times New Roman" w:cs="Times New Roman"/>
          <w:sz w:val="24"/>
          <w:szCs w:val="24"/>
        </w:rPr>
        <w:t>allocation</w:t>
      </w:r>
      <w:r w:rsidR="000E6A4A" w:rsidRPr="008573D2">
        <w:rPr>
          <w:rFonts w:ascii="Times New Roman" w:hAnsi="Times New Roman" w:cs="Times New Roman"/>
          <w:sz w:val="24"/>
          <w:szCs w:val="24"/>
        </w:rPr>
        <w:t xml:space="preserve"> of capital</w:t>
      </w:r>
      <w:r w:rsidR="00970565" w:rsidRPr="008573D2">
        <w:rPr>
          <w:rFonts w:ascii="Times New Roman" w:hAnsi="Times New Roman" w:cs="Times New Roman"/>
          <w:sz w:val="24"/>
          <w:szCs w:val="24"/>
        </w:rPr>
        <w:t xml:space="preserve"> (Gordon</w:t>
      </w:r>
      <w:r w:rsidR="00630254" w:rsidRPr="008573D2">
        <w:rPr>
          <w:rFonts w:ascii="Times New Roman" w:hAnsi="Times New Roman" w:cs="Times New Roman"/>
          <w:sz w:val="24"/>
          <w:szCs w:val="24"/>
        </w:rPr>
        <w:t>,</w:t>
      </w:r>
      <w:r w:rsidR="00970565" w:rsidRPr="008573D2">
        <w:rPr>
          <w:rFonts w:ascii="Times New Roman" w:hAnsi="Times New Roman" w:cs="Times New Roman"/>
          <w:sz w:val="24"/>
          <w:szCs w:val="24"/>
        </w:rPr>
        <w:t xml:space="preserve"> 2005)</w:t>
      </w:r>
      <w:r w:rsidR="000E6A4A" w:rsidRPr="008573D2">
        <w:rPr>
          <w:rFonts w:ascii="Times New Roman" w:hAnsi="Times New Roman" w:cs="Times New Roman"/>
          <w:sz w:val="24"/>
          <w:szCs w:val="24"/>
        </w:rPr>
        <w:t xml:space="preserve">. </w:t>
      </w:r>
      <w:proofErr w:type="spellStart"/>
      <w:r w:rsidR="000B20D4" w:rsidRPr="008573D2">
        <w:rPr>
          <w:rFonts w:ascii="Times New Roman" w:hAnsi="Times New Roman" w:cs="Times New Roman"/>
          <w:sz w:val="24"/>
          <w:szCs w:val="24"/>
        </w:rPr>
        <w:t>Bakshi</w:t>
      </w:r>
      <w:proofErr w:type="spellEnd"/>
      <w:r w:rsidR="000B20D4" w:rsidRPr="008573D2">
        <w:rPr>
          <w:rFonts w:ascii="Times New Roman" w:hAnsi="Times New Roman" w:cs="Times New Roman"/>
          <w:sz w:val="24"/>
          <w:szCs w:val="24"/>
        </w:rPr>
        <w:t xml:space="preserve"> and Chen (1996) included wealth in the utility function in addition </w:t>
      </w:r>
      <w:r w:rsidR="0034461A" w:rsidRPr="008573D2">
        <w:rPr>
          <w:rFonts w:ascii="Times New Roman" w:hAnsi="Times New Roman" w:cs="Times New Roman"/>
          <w:sz w:val="24"/>
          <w:szCs w:val="24"/>
        </w:rPr>
        <w:t>to</w:t>
      </w:r>
      <w:r w:rsidR="000B20D4" w:rsidRPr="008573D2">
        <w:rPr>
          <w:rFonts w:ascii="Times New Roman" w:hAnsi="Times New Roman" w:cs="Times New Roman"/>
          <w:sz w:val="24"/>
          <w:szCs w:val="24"/>
        </w:rPr>
        <w:t xml:space="preserve"> consumption</w:t>
      </w:r>
      <w:r w:rsidR="0034461A" w:rsidRPr="008573D2">
        <w:rPr>
          <w:rFonts w:ascii="Times New Roman" w:hAnsi="Times New Roman" w:cs="Times New Roman"/>
          <w:sz w:val="24"/>
          <w:szCs w:val="24"/>
        </w:rPr>
        <w:t>.</w:t>
      </w:r>
      <w:r w:rsidR="000B20D4" w:rsidRPr="008573D2">
        <w:rPr>
          <w:rFonts w:ascii="Times New Roman" w:hAnsi="Times New Roman" w:cs="Times New Roman"/>
          <w:sz w:val="24"/>
          <w:szCs w:val="24"/>
        </w:rPr>
        <w:t xml:space="preserve"> </w:t>
      </w:r>
      <w:r w:rsidR="00630254" w:rsidRPr="008573D2">
        <w:rPr>
          <w:rFonts w:ascii="Times New Roman" w:hAnsi="Times New Roman" w:cs="Times New Roman"/>
          <w:sz w:val="24"/>
          <w:szCs w:val="24"/>
        </w:rPr>
        <w:t xml:space="preserve">This plausibly </w:t>
      </w:r>
      <w:r w:rsidR="000B20D4" w:rsidRPr="008573D2">
        <w:rPr>
          <w:rFonts w:ascii="Times New Roman" w:hAnsi="Times New Roman" w:cs="Times New Roman"/>
          <w:sz w:val="24"/>
          <w:szCs w:val="24"/>
        </w:rPr>
        <w:t>following t</w:t>
      </w:r>
      <w:r w:rsidR="000E6A4A" w:rsidRPr="008573D2">
        <w:rPr>
          <w:rFonts w:ascii="Times New Roman" w:hAnsi="Times New Roman" w:cs="Times New Roman"/>
          <w:sz w:val="24"/>
          <w:szCs w:val="24"/>
        </w:rPr>
        <w:t xml:space="preserve">he spirit of capitalism </w:t>
      </w:r>
      <w:r w:rsidR="000B20D4" w:rsidRPr="008573D2">
        <w:rPr>
          <w:rFonts w:ascii="Times New Roman" w:hAnsi="Times New Roman" w:cs="Times New Roman"/>
          <w:sz w:val="24"/>
          <w:szCs w:val="24"/>
        </w:rPr>
        <w:t>as t</w:t>
      </w:r>
      <w:r w:rsidR="00EC1F5A" w:rsidRPr="008573D2">
        <w:rPr>
          <w:rFonts w:ascii="Times New Roman" w:hAnsi="Times New Roman" w:cs="Times New Roman"/>
          <w:sz w:val="24"/>
          <w:szCs w:val="24"/>
        </w:rPr>
        <w:t xml:space="preserve">he inclusion of wealth in </w:t>
      </w:r>
      <w:r w:rsidR="0034461A" w:rsidRPr="008573D2">
        <w:rPr>
          <w:rFonts w:ascii="Times New Roman" w:hAnsi="Times New Roman" w:cs="Times New Roman"/>
          <w:sz w:val="24"/>
          <w:szCs w:val="24"/>
        </w:rPr>
        <w:t xml:space="preserve">the </w:t>
      </w:r>
      <w:r w:rsidR="00EC1F5A" w:rsidRPr="008573D2">
        <w:rPr>
          <w:rFonts w:ascii="Times New Roman" w:hAnsi="Times New Roman" w:cs="Times New Roman"/>
          <w:sz w:val="24"/>
          <w:szCs w:val="24"/>
        </w:rPr>
        <w:t xml:space="preserve">utility function increases risk aversion by investors and reduces the demand for risky assets. </w:t>
      </w:r>
      <w:r w:rsidR="00296B4E" w:rsidRPr="008573D2">
        <w:rPr>
          <w:rFonts w:ascii="Times New Roman" w:hAnsi="Times New Roman" w:cs="Times New Roman"/>
          <w:sz w:val="24"/>
          <w:szCs w:val="24"/>
        </w:rPr>
        <w:lastRenderedPageBreak/>
        <w:t>As such</w:t>
      </w:r>
      <w:r w:rsidR="00630254" w:rsidRPr="008573D2">
        <w:rPr>
          <w:rFonts w:ascii="Times New Roman" w:hAnsi="Times New Roman" w:cs="Times New Roman"/>
          <w:sz w:val="24"/>
          <w:szCs w:val="24"/>
        </w:rPr>
        <w:t>,</w:t>
      </w:r>
      <w:r w:rsidR="00296B4E" w:rsidRPr="008573D2">
        <w:rPr>
          <w:rFonts w:ascii="Times New Roman" w:hAnsi="Times New Roman" w:cs="Times New Roman"/>
          <w:sz w:val="24"/>
          <w:szCs w:val="24"/>
        </w:rPr>
        <w:t xml:space="preserve"> there is a possibility that capitalism discourage</w:t>
      </w:r>
      <w:r w:rsidR="0034461A" w:rsidRPr="008573D2">
        <w:rPr>
          <w:rFonts w:ascii="Times New Roman" w:hAnsi="Times New Roman" w:cs="Times New Roman"/>
          <w:sz w:val="24"/>
          <w:szCs w:val="24"/>
        </w:rPr>
        <w:t>s</w:t>
      </w:r>
      <w:r w:rsidR="00296B4E" w:rsidRPr="008573D2">
        <w:rPr>
          <w:rFonts w:ascii="Times New Roman" w:hAnsi="Times New Roman" w:cs="Times New Roman"/>
          <w:sz w:val="24"/>
          <w:szCs w:val="24"/>
        </w:rPr>
        <w:t xml:space="preserve"> risky investments during volatile times and contribut</w:t>
      </w:r>
      <w:r w:rsidR="0034461A" w:rsidRPr="008573D2">
        <w:rPr>
          <w:rFonts w:ascii="Times New Roman" w:hAnsi="Times New Roman" w:cs="Times New Roman"/>
          <w:sz w:val="24"/>
          <w:szCs w:val="24"/>
        </w:rPr>
        <w:t>es</w:t>
      </w:r>
      <w:r w:rsidR="00296B4E" w:rsidRPr="008573D2">
        <w:rPr>
          <w:rFonts w:ascii="Times New Roman" w:hAnsi="Times New Roman" w:cs="Times New Roman"/>
          <w:sz w:val="24"/>
          <w:szCs w:val="24"/>
        </w:rPr>
        <w:t xml:space="preserve"> to reduc</w:t>
      </w:r>
      <w:r w:rsidR="0034461A" w:rsidRPr="008573D2">
        <w:rPr>
          <w:rFonts w:ascii="Times New Roman" w:hAnsi="Times New Roman" w:cs="Times New Roman"/>
          <w:sz w:val="24"/>
          <w:szCs w:val="24"/>
        </w:rPr>
        <w:t>ing</w:t>
      </w:r>
      <w:r w:rsidR="00296B4E" w:rsidRPr="008573D2">
        <w:rPr>
          <w:rFonts w:ascii="Times New Roman" w:hAnsi="Times New Roman" w:cs="Times New Roman"/>
          <w:sz w:val="24"/>
          <w:szCs w:val="24"/>
        </w:rPr>
        <w:t xml:space="preserve"> the heat of the market. </w:t>
      </w:r>
      <w:r w:rsidR="0011785E" w:rsidRPr="008573D2">
        <w:rPr>
          <w:rFonts w:ascii="Times New Roman" w:hAnsi="Times New Roman" w:cs="Times New Roman"/>
          <w:sz w:val="24"/>
          <w:szCs w:val="24"/>
        </w:rPr>
        <w:t xml:space="preserve">This study examines </w:t>
      </w:r>
      <w:r w:rsidR="0021190F" w:rsidRPr="008573D2">
        <w:rPr>
          <w:rFonts w:ascii="Times New Roman" w:hAnsi="Times New Roman" w:cs="Times New Roman"/>
          <w:sz w:val="24"/>
          <w:szCs w:val="24"/>
        </w:rPr>
        <w:t>whether</w:t>
      </w:r>
      <w:r w:rsidR="0011785E" w:rsidRPr="008573D2">
        <w:rPr>
          <w:rFonts w:ascii="Times New Roman" w:hAnsi="Times New Roman" w:cs="Times New Roman"/>
          <w:sz w:val="24"/>
          <w:szCs w:val="24"/>
        </w:rPr>
        <w:t xml:space="preserve"> the aggregate capitalism score of sample countries help</w:t>
      </w:r>
      <w:r w:rsidR="0021190F" w:rsidRPr="008573D2">
        <w:rPr>
          <w:rFonts w:ascii="Times New Roman" w:hAnsi="Times New Roman" w:cs="Times New Roman"/>
          <w:sz w:val="24"/>
          <w:szCs w:val="24"/>
        </w:rPr>
        <w:t>s</w:t>
      </w:r>
      <w:r w:rsidR="0011785E" w:rsidRPr="008573D2">
        <w:rPr>
          <w:rFonts w:ascii="Times New Roman" w:hAnsi="Times New Roman" w:cs="Times New Roman"/>
          <w:sz w:val="24"/>
          <w:szCs w:val="24"/>
        </w:rPr>
        <w:t xml:space="preserve"> to explain the mitigation of stock market volatility arising due to </w:t>
      </w:r>
      <w:r w:rsidR="0021190F" w:rsidRPr="008573D2">
        <w:rPr>
          <w:rFonts w:ascii="Times New Roman" w:hAnsi="Times New Roman" w:cs="Times New Roman"/>
          <w:sz w:val="24"/>
          <w:szCs w:val="24"/>
        </w:rPr>
        <w:t xml:space="preserve">the </w:t>
      </w:r>
      <w:r w:rsidR="0011785E" w:rsidRPr="008573D2">
        <w:rPr>
          <w:rFonts w:ascii="Times New Roman" w:hAnsi="Times New Roman" w:cs="Times New Roman"/>
          <w:sz w:val="24"/>
          <w:szCs w:val="24"/>
        </w:rPr>
        <w:t xml:space="preserve">global pandemic. The study uses aggregate capitalism scores available </w:t>
      </w:r>
      <w:r w:rsidR="00386027" w:rsidRPr="008573D2">
        <w:rPr>
          <w:rFonts w:ascii="Times New Roman" w:hAnsi="Times New Roman" w:cs="Times New Roman"/>
          <w:sz w:val="24"/>
          <w:szCs w:val="24"/>
        </w:rPr>
        <w:t xml:space="preserve">at the Heritage Foundation and the </w:t>
      </w:r>
      <w:r w:rsidR="00412C46" w:rsidRPr="008573D2">
        <w:rPr>
          <w:rFonts w:ascii="Times New Roman" w:hAnsi="Times New Roman" w:cs="Times New Roman"/>
          <w:sz w:val="24"/>
          <w:szCs w:val="24"/>
        </w:rPr>
        <w:t>W</w:t>
      </w:r>
      <w:r w:rsidR="00386027" w:rsidRPr="008573D2">
        <w:rPr>
          <w:rFonts w:ascii="Times New Roman" w:hAnsi="Times New Roman" w:cs="Times New Roman"/>
          <w:sz w:val="24"/>
          <w:szCs w:val="24"/>
        </w:rPr>
        <w:t xml:space="preserve">orld </w:t>
      </w:r>
      <w:r w:rsidR="00412C46" w:rsidRPr="008573D2">
        <w:rPr>
          <w:rFonts w:ascii="Times New Roman" w:hAnsi="Times New Roman" w:cs="Times New Roman"/>
          <w:sz w:val="24"/>
          <w:szCs w:val="24"/>
        </w:rPr>
        <w:t>P</w:t>
      </w:r>
      <w:r w:rsidR="00386027" w:rsidRPr="008573D2">
        <w:rPr>
          <w:rFonts w:ascii="Times New Roman" w:hAnsi="Times New Roman" w:cs="Times New Roman"/>
          <w:sz w:val="24"/>
          <w:szCs w:val="24"/>
        </w:rPr>
        <w:t xml:space="preserve">opulation </w:t>
      </w:r>
      <w:r w:rsidR="00412C46" w:rsidRPr="008573D2">
        <w:rPr>
          <w:rFonts w:ascii="Times New Roman" w:hAnsi="Times New Roman" w:cs="Times New Roman"/>
          <w:sz w:val="24"/>
          <w:szCs w:val="24"/>
        </w:rPr>
        <w:t>R</w:t>
      </w:r>
      <w:r w:rsidR="00386027" w:rsidRPr="008573D2">
        <w:rPr>
          <w:rFonts w:ascii="Times New Roman" w:hAnsi="Times New Roman" w:cs="Times New Roman"/>
          <w:sz w:val="24"/>
          <w:szCs w:val="24"/>
        </w:rPr>
        <w:t xml:space="preserve">eview database. Details about the capitalism scores </w:t>
      </w:r>
      <w:r w:rsidR="0021190F" w:rsidRPr="008573D2">
        <w:rPr>
          <w:rFonts w:ascii="Times New Roman" w:hAnsi="Times New Roman" w:cs="Times New Roman"/>
          <w:sz w:val="24"/>
          <w:szCs w:val="24"/>
        </w:rPr>
        <w:t>are</w:t>
      </w:r>
      <w:r w:rsidR="00386027" w:rsidRPr="008573D2">
        <w:rPr>
          <w:rFonts w:ascii="Times New Roman" w:hAnsi="Times New Roman" w:cs="Times New Roman"/>
          <w:sz w:val="24"/>
          <w:szCs w:val="24"/>
        </w:rPr>
        <w:t xml:space="preserve"> provided in Table 1.</w:t>
      </w:r>
    </w:p>
    <w:p w14:paraId="47BA77AB" w14:textId="602795A9" w:rsidR="000B20D4" w:rsidRPr="008573D2" w:rsidRDefault="00296B4E" w:rsidP="00C475C3">
      <w:pPr>
        <w:spacing w:line="48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Corporate governance is another important issue that may have </w:t>
      </w:r>
      <w:r w:rsidR="0021190F" w:rsidRPr="008573D2">
        <w:rPr>
          <w:rFonts w:ascii="Times New Roman" w:hAnsi="Times New Roman" w:cs="Times New Roman"/>
          <w:sz w:val="24"/>
          <w:szCs w:val="24"/>
        </w:rPr>
        <w:t xml:space="preserve">a </w:t>
      </w:r>
      <w:r w:rsidRPr="008573D2">
        <w:rPr>
          <w:rFonts w:ascii="Times New Roman" w:hAnsi="Times New Roman" w:cs="Times New Roman"/>
          <w:sz w:val="24"/>
          <w:szCs w:val="24"/>
        </w:rPr>
        <w:t>direct impact on market volatility.</w:t>
      </w:r>
      <w:r w:rsidR="00494F96" w:rsidRPr="008573D2">
        <w:rPr>
          <w:rFonts w:ascii="Times New Roman" w:hAnsi="Times New Roman" w:cs="Times New Roman"/>
          <w:sz w:val="24"/>
          <w:szCs w:val="24"/>
        </w:rPr>
        <w:t xml:space="preserve"> Huang et al. (2011) state that corporate governance is the way th</w:t>
      </w:r>
      <w:r w:rsidR="0021190F" w:rsidRPr="008573D2">
        <w:rPr>
          <w:rFonts w:ascii="Times New Roman" w:hAnsi="Times New Roman" w:cs="Times New Roman"/>
          <w:sz w:val="24"/>
          <w:szCs w:val="24"/>
        </w:rPr>
        <w:t>at</w:t>
      </w:r>
      <w:r w:rsidR="00494F96" w:rsidRPr="008573D2">
        <w:rPr>
          <w:rFonts w:ascii="Times New Roman" w:hAnsi="Times New Roman" w:cs="Times New Roman"/>
          <w:sz w:val="24"/>
          <w:szCs w:val="24"/>
        </w:rPr>
        <w:t xml:space="preserve"> firms supervise and control corporate activities. Although minimi</w:t>
      </w:r>
      <w:r w:rsidR="00DC214A" w:rsidRPr="008573D2">
        <w:rPr>
          <w:rFonts w:ascii="Times New Roman" w:hAnsi="Times New Roman" w:cs="Times New Roman"/>
          <w:sz w:val="24"/>
          <w:szCs w:val="24"/>
        </w:rPr>
        <w:t>s</w:t>
      </w:r>
      <w:r w:rsidR="00494F96" w:rsidRPr="008573D2">
        <w:rPr>
          <w:rFonts w:ascii="Times New Roman" w:hAnsi="Times New Roman" w:cs="Times New Roman"/>
          <w:sz w:val="24"/>
          <w:szCs w:val="24"/>
        </w:rPr>
        <w:t xml:space="preserve">ing </w:t>
      </w:r>
      <w:r w:rsidR="0021190F" w:rsidRPr="008573D2">
        <w:rPr>
          <w:rFonts w:ascii="Times New Roman" w:hAnsi="Times New Roman" w:cs="Times New Roman"/>
          <w:sz w:val="24"/>
          <w:szCs w:val="24"/>
        </w:rPr>
        <w:t xml:space="preserve">the </w:t>
      </w:r>
      <w:r w:rsidR="00494F96" w:rsidRPr="008573D2">
        <w:rPr>
          <w:rFonts w:ascii="Times New Roman" w:hAnsi="Times New Roman" w:cs="Times New Roman"/>
          <w:sz w:val="24"/>
          <w:szCs w:val="24"/>
        </w:rPr>
        <w:t>agency problem is the main objective of corporate governance, other core objectives include protecting minority shareholders from expropriation by managers and controlling shareholders. Stronger corporate governance helps to reduce stock price volatility</w:t>
      </w:r>
      <w:r w:rsidR="00816242" w:rsidRPr="008573D2">
        <w:rPr>
          <w:rFonts w:ascii="Times New Roman" w:hAnsi="Times New Roman" w:cs="Times New Roman"/>
          <w:sz w:val="24"/>
          <w:szCs w:val="24"/>
        </w:rPr>
        <w:t>. Better corporate governance improves monitoring</w:t>
      </w:r>
      <w:r w:rsidR="0021190F" w:rsidRPr="008573D2">
        <w:rPr>
          <w:rFonts w:ascii="Times New Roman" w:hAnsi="Times New Roman" w:cs="Times New Roman"/>
          <w:sz w:val="24"/>
          <w:szCs w:val="24"/>
        </w:rPr>
        <w:t>,</w:t>
      </w:r>
      <w:r w:rsidR="00816242" w:rsidRPr="008573D2">
        <w:rPr>
          <w:rFonts w:ascii="Times New Roman" w:hAnsi="Times New Roman" w:cs="Times New Roman"/>
          <w:sz w:val="24"/>
          <w:szCs w:val="24"/>
        </w:rPr>
        <w:t xml:space="preserve"> reduces </w:t>
      </w:r>
      <w:r w:rsidR="0021190F" w:rsidRPr="008573D2">
        <w:rPr>
          <w:rFonts w:ascii="Times New Roman" w:hAnsi="Times New Roman" w:cs="Times New Roman"/>
          <w:sz w:val="24"/>
          <w:szCs w:val="24"/>
        </w:rPr>
        <w:t xml:space="preserve">the </w:t>
      </w:r>
      <w:r w:rsidR="00816242" w:rsidRPr="008573D2">
        <w:rPr>
          <w:rFonts w:ascii="Times New Roman" w:hAnsi="Times New Roman" w:cs="Times New Roman"/>
          <w:sz w:val="24"/>
          <w:szCs w:val="24"/>
        </w:rPr>
        <w:t xml:space="preserve">agency problem and provides safety to minority shareholders. As a result, investors feel </w:t>
      </w:r>
      <w:r w:rsidR="0021190F" w:rsidRPr="008573D2">
        <w:rPr>
          <w:rFonts w:ascii="Times New Roman" w:hAnsi="Times New Roman" w:cs="Times New Roman"/>
          <w:sz w:val="24"/>
          <w:szCs w:val="24"/>
        </w:rPr>
        <w:t xml:space="preserve">more </w:t>
      </w:r>
      <w:r w:rsidR="00816242" w:rsidRPr="008573D2">
        <w:rPr>
          <w:rFonts w:ascii="Times New Roman" w:hAnsi="Times New Roman" w:cs="Times New Roman"/>
          <w:sz w:val="24"/>
          <w:szCs w:val="24"/>
        </w:rPr>
        <w:t xml:space="preserve">confident </w:t>
      </w:r>
      <w:r w:rsidR="0021190F" w:rsidRPr="008573D2">
        <w:rPr>
          <w:rFonts w:ascii="Times New Roman" w:hAnsi="Times New Roman" w:cs="Times New Roman"/>
          <w:sz w:val="24"/>
          <w:szCs w:val="24"/>
        </w:rPr>
        <w:t>to invest in</w:t>
      </w:r>
      <w:r w:rsidR="00816242" w:rsidRPr="008573D2">
        <w:rPr>
          <w:rFonts w:ascii="Times New Roman" w:hAnsi="Times New Roman" w:cs="Times New Roman"/>
          <w:sz w:val="24"/>
          <w:szCs w:val="24"/>
        </w:rPr>
        <w:t xml:space="preserve"> firms with better corporate governance. Therefore</w:t>
      </w:r>
      <w:r w:rsidR="005F416D" w:rsidRPr="008573D2">
        <w:rPr>
          <w:rFonts w:ascii="Times New Roman" w:hAnsi="Times New Roman" w:cs="Times New Roman"/>
          <w:sz w:val="24"/>
          <w:szCs w:val="24"/>
        </w:rPr>
        <w:t>,</w:t>
      </w:r>
      <w:r w:rsidR="00816242" w:rsidRPr="008573D2">
        <w:rPr>
          <w:rFonts w:ascii="Times New Roman" w:hAnsi="Times New Roman" w:cs="Times New Roman"/>
          <w:sz w:val="24"/>
          <w:szCs w:val="24"/>
        </w:rPr>
        <w:t xml:space="preserve"> </w:t>
      </w:r>
      <w:r w:rsidR="0021190F" w:rsidRPr="008573D2">
        <w:rPr>
          <w:rFonts w:ascii="Times New Roman" w:hAnsi="Times New Roman" w:cs="Times New Roman"/>
          <w:sz w:val="24"/>
          <w:szCs w:val="24"/>
        </w:rPr>
        <w:t xml:space="preserve">the </w:t>
      </w:r>
      <w:r w:rsidR="00816242" w:rsidRPr="008573D2">
        <w:rPr>
          <w:rFonts w:ascii="Times New Roman" w:hAnsi="Times New Roman" w:cs="Times New Roman"/>
          <w:sz w:val="24"/>
          <w:szCs w:val="24"/>
        </w:rPr>
        <w:t xml:space="preserve">stock prices of these firms tend to be less volatile (Huang et al., 2011). Mitton (2002), Lemmon and </w:t>
      </w:r>
      <w:proofErr w:type="spellStart"/>
      <w:r w:rsidR="00816242" w:rsidRPr="008573D2">
        <w:rPr>
          <w:rFonts w:ascii="Times New Roman" w:hAnsi="Times New Roman" w:cs="Times New Roman"/>
          <w:sz w:val="24"/>
          <w:szCs w:val="24"/>
        </w:rPr>
        <w:t>Lins</w:t>
      </w:r>
      <w:proofErr w:type="spellEnd"/>
      <w:r w:rsidR="00816242" w:rsidRPr="008573D2">
        <w:rPr>
          <w:rFonts w:ascii="Times New Roman" w:hAnsi="Times New Roman" w:cs="Times New Roman"/>
          <w:sz w:val="24"/>
          <w:szCs w:val="24"/>
        </w:rPr>
        <w:t xml:space="preserve"> (2003) and </w:t>
      </w:r>
      <w:proofErr w:type="spellStart"/>
      <w:r w:rsidR="00816242" w:rsidRPr="008573D2">
        <w:rPr>
          <w:rFonts w:ascii="Times New Roman" w:hAnsi="Times New Roman" w:cs="Times New Roman"/>
          <w:sz w:val="24"/>
          <w:szCs w:val="24"/>
        </w:rPr>
        <w:t>Baek</w:t>
      </w:r>
      <w:proofErr w:type="spellEnd"/>
      <w:r w:rsidR="00816242" w:rsidRPr="008573D2">
        <w:rPr>
          <w:rFonts w:ascii="Times New Roman" w:hAnsi="Times New Roman" w:cs="Times New Roman"/>
          <w:sz w:val="24"/>
          <w:szCs w:val="24"/>
        </w:rPr>
        <w:t xml:space="preserve"> et al. (2004) also provide evidence of better performance of firms with strong corporate governance during economic uncertainty such as </w:t>
      </w:r>
      <w:r w:rsidR="0021190F" w:rsidRPr="008573D2">
        <w:rPr>
          <w:rFonts w:ascii="Times New Roman" w:hAnsi="Times New Roman" w:cs="Times New Roman"/>
          <w:sz w:val="24"/>
          <w:szCs w:val="24"/>
        </w:rPr>
        <w:t xml:space="preserve">a </w:t>
      </w:r>
      <w:r w:rsidR="00816242" w:rsidRPr="008573D2">
        <w:rPr>
          <w:rFonts w:ascii="Times New Roman" w:hAnsi="Times New Roman" w:cs="Times New Roman"/>
          <w:sz w:val="24"/>
          <w:szCs w:val="24"/>
        </w:rPr>
        <w:t xml:space="preserve">financial crisis. </w:t>
      </w:r>
      <w:r w:rsidR="00FC79DA" w:rsidRPr="008573D2">
        <w:rPr>
          <w:rFonts w:ascii="Times New Roman" w:hAnsi="Times New Roman" w:cs="Times New Roman"/>
          <w:sz w:val="24"/>
          <w:szCs w:val="24"/>
        </w:rPr>
        <w:t xml:space="preserve">Using data from 41 countries, Hu et al. (2020) provide robust evidence that reforms in corporate board </w:t>
      </w:r>
      <w:r w:rsidR="0021190F" w:rsidRPr="008573D2">
        <w:rPr>
          <w:rFonts w:ascii="Times New Roman" w:hAnsi="Times New Roman" w:cs="Times New Roman"/>
          <w:sz w:val="24"/>
          <w:szCs w:val="24"/>
        </w:rPr>
        <w:t xml:space="preserve">structure </w:t>
      </w:r>
      <w:r w:rsidR="00FC79DA" w:rsidRPr="008573D2">
        <w:rPr>
          <w:rFonts w:ascii="Times New Roman" w:hAnsi="Times New Roman" w:cs="Times New Roman"/>
          <w:sz w:val="24"/>
          <w:szCs w:val="24"/>
        </w:rPr>
        <w:t xml:space="preserve">improve </w:t>
      </w:r>
      <w:r w:rsidR="0021190F" w:rsidRPr="008573D2">
        <w:rPr>
          <w:rFonts w:ascii="Times New Roman" w:hAnsi="Times New Roman" w:cs="Times New Roman"/>
          <w:sz w:val="24"/>
          <w:szCs w:val="24"/>
        </w:rPr>
        <w:t xml:space="preserve">the </w:t>
      </w:r>
      <w:r w:rsidR="00FC79DA" w:rsidRPr="008573D2">
        <w:rPr>
          <w:rFonts w:ascii="Times New Roman" w:hAnsi="Times New Roman" w:cs="Times New Roman"/>
          <w:sz w:val="24"/>
          <w:szCs w:val="24"/>
        </w:rPr>
        <w:t xml:space="preserve">financial </w:t>
      </w:r>
      <w:r w:rsidR="0005270E" w:rsidRPr="008573D2">
        <w:rPr>
          <w:rFonts w:ascii="Times New Roman" w:hAnsi="Times New Roman" w:cs="Times New Roman"/>
          <w:sz w:val="24"/>
          <w:szCs w:val="24"/>
        </w:rPr>
        <w:t>transparency</w:t>
      </w:r>
      <w:r w:rsidR="00FC79DA" w:rsidRPr="008573D2">
        <w:rPr>
          <w:rFonts w:ascii="Times New Roman" w:hAnsi="Times New Roman" w:cs="Times New Roman"/>
          <w:sz w:val="24"/>
          <w:szCs w:val="24"/>
        </w:rPr>
        <w:t xml:space="preserve"> of firms and reduce crash risk. </w:t>
      </w:r>
      <w:r w:rsidR="00816242" w:rsidRPr="008573D2">
        <w:rPr>
          <w:rFonts w:ascii="Times New Roman" w:hAnsi="Times New Roman" w:cs="Times New Roman"/>
          <w:sz w:val="24"/>
          <w:szCs w:val="24"/>
        </w:rPr>
        <w:t>Using country</w:t>
      </w:r>
      <w:r w:rsidR="005F416D" w:rsidRPr="008573D2">
        <w:rPr>
          <w:rFonts w:ascii="Times New Roman" w:hAnsi="Times New Roman" w:cs="Times New Roman"/>
          <w:sz w:val="24"/>
          <w:szCs w:val="24"/>
        </w:rPr>
        <w:t>-</w:t>
      </w:r>
      <w:r w:rsidR="00816242" w:rsidRPr="008573D2">
        <w:rPr>
          <w:rFonts w:ascii="Times New Roman" w:hAnsi="Times New Roman" w:cs="Times New Roman"/>
          <w:sz w:val="24"/>
          <w:szCs w:val="24"/>
        </w:rPr>
        <w:t xml:space="preserve">level governance quality, Johnson et al. (2000) and La Porta et al. (2002) conclude that </w:t>
      </w:r>
      <w:r w:rsidR="004B3630" w:rsidRPr="008573D2">
        <w:rPr>
          <w:rFonts w:ascii="Times New Roman" w:hAnsi="Times New Roman" w:cs="Times New Roman"/>
          <w:sz w:val="24"/>
          <w:szCs w:val="24"/>
        </w:rPr>
        <w:t>firms in countries with better corporate governance have higher value</w:t>
      </w:r>
      <w:r w:rsidR="0021190F" w:rsidRPr="008573D2">
        <w:rPr>
          <w:rFonts w:ascii="Times New Roman" w:hAnsi="Times New Roman" w:cs="Times New Roman"/>
          <w:sz w:val="24"/>
          <w:szCs w:val="24"/>
        </w:rPr>
        <w:t>s</w:t>
      </w:r>
      <w:r w:rsidR="004B3630" w:rsidRPr="008573D2">
        <w:rPr>
          <w:rFonts w:ascii="Times New Roman" w:hAnsi="Times New Roman" w:cs="Times New Roman"/>
          <w:sz w:val="24"/>
          <w:szCs w:val="24"/>
        </w:rPr>
        <w:t xml:space="preserve"> and better performance and </w:t>
      </w:r>
      <w:r w:rsidR="0021190F" w:rsidRPr="008573D2">
        <w:rPr>
          <w:rFonts w:ascii="Times New Roman" w:hAnsi="Times New Roman" w:cs="Times New Roman"/>
          <w:sz w:val="24"/>
          <w:szCs w:val="24"/>
        </w:rPr>
        <w:t>are</w:t>
      </w:r>
      <w:r w:rsidR="004B3630" w:rsidRPr="008573D2">
        <w:rPr>
          <w:rFonts w:ascii="Times New Roman" w:hAnsi="Times New Roman" w:cs="Times New Roman"/>
          <w:sz w:val="24"/>
          <w:szCs w:val="24"/>
        </w:rPr>
        <w:t xml:space="preserve"> less affected by exogenous shocks.</w:t>
      </w:r>
      <w:r w:rsidR="00FE22BB" w:rsidRPr="008573D2">
        <w:rPr>
          <w:rFonts w:ascii="Times New Roman" w:hAnsi="Times New Roman" w:cs="Times New Roman"/>
          <w:sz w:val="24"/>
          <w:szCs w:val="24"/>
        </w:rPr>
        <w:t xml:space="preserve"> </w:t>
      </w:r>
      <w:r w:rsidR="009F0031" w:rsidRPr="008573D2">
        <w:rPr>
          <w:rFonts w:ascii="Times New Roman" w:hAnsi="Times New Roman" w:cs="Times New Roman"/>
          <w:sz w:val="24"/>
          <w:szCs w:val="24"/>
        </w:rPr>
        <w:t>Given the evidence that better country</w:t>
      </w:r>
      <w:r w:rsidR="005F416D" w:rsidRPr="008573D2">
        <w:rPr>
          <w:rFonts w:ascii="Times New Roman" w:hAnsi="Times New Roman" w:cs="Times New Roman"/>
          <w:sz w:val="24"/>
          <w:szCs w:val="24"/>
        </w:rPr>
        <w:t>-</w:t>
      </w:r>
      <w:r w:rsidR="009F0031" w:rsidRPr="008573D2">
        <w:rPr>
          <w:rFonts w:ascii="Times New Roman" w:hAnsi="Times New Roman" w:cs="Times New Roman"/>
          <w:sz w:val="24"/>
          <w:szCs w:val="24"/>
        </w:rPr>
        <w:t xml:space="preserve">level corporate </w:t>
      </w:r>
      <w:r w:rsidR="006227DC" w:rsidRPr="008573D2">
        <w:rPr>
          <w:rFonts w:ascii="Times New Roman" w:hAnsi="Times New Roman" w:cs="Times New Roman"/>
          <w:sz w:val="24"/>
          <w:szCs w:val="24"/>
        </w:rPr>
        <w:t>governance</w:t>
      </w:r>
      <w:r w:rsidR="009F0031" w:rsidRPr="008573D2">
        <w:rPr>
          <w:rFonts w:ascii="Times New Roman" w:hAnsi="Times New Roman" w:cs="Times New Roman"/>
          <w:sz w:val="24"/>
          <w:szCs w:val="24"/>
        </w:rPr>
        <w:t xml:space="preserve"> practice helps to reduce market volatility during </w:t>
      </w:r>
      <w:r w:rsidR="0021190F" w:rsidRPr="008573D2">
        <w:rPr>
          <w:rFonts w:ascii="Times New Roman" w:hAnsi="Times New Roman" w:cs="Times New Roman"/>
          <w:sz w:val="24"/>
          <w:szCs w:val="24"/>
        </w:rPr>
        <w:t>a</w:t>
      </w:r>
      <w:r w:rsidR="009F0031" w:rsidRPr="008573D2">
        <w:rPr>
          <w:rFonts w:ascii="Times New Roman" w:hAnsi="Times New Roman" w:cs="Times New Roman"/>
          <w:sz w:val="24"/>
          <w:szCs w:val="24"/>
        </w:rPr>
        <w:t xml:space="preserve"> period of exogenous shocks, this study examine</w:t>
      </w:r>
      <w:r w:rsidR="0021190F" w:rsidRPr="008573D2">
        <w:rPr>
          <w:rFonts w:ascii="Times New Roman" w:hAnsi="Times New Roman" w:cs="Times New Roman"/>
          <w:sz w:val="24"/>
          <w:szCs w:val="24"/>
        </w:rPr>
        <w:t>s</w:t>
      </w:r>
      <w:r w:rsidR="009F0031" w:rsidRPr="008573D2">
        <w:rPr>
          <w:rFonts w:ascii="Times New Roman" w:hAnsi="Times New Roman" w:cs="Times New Roman"/>
          <w:sz w:val="24"/>
          <w:szCs w:val="24"/>
        </w:rPr>
        <w:t xml:space="preserve"> </w:t>
      </w:r>
      <w:r w:rsidR="0021190F" w:rsidRPr="008573D2">
        <w:rPr>
          <w:rFonts w:ascii="Times New Roman" w:hAnsi="Times New Roman" w:cs="Times New Roman"/>
          <w:sz w:val="24"/>
          <w:szCs w:val="24"/>
        </w:rPr>
        <w:t>whether</w:t>
      </w:r>
      <w:r w:rsidR="009F0031" w:rsidRPr="008573D2">
        <w:rPr>
          <w:rFonts w:ascii="Times New Roman" w:hAnsi="Times New Roman" w:cs="Times New Roman"/>
          <w:sz w:val="24"/>
          <w:szCs w:val="24"/>
        </w:rPr>
        <w:t xml:space="preserve"> corporate governance practices </w:t>
      </w:r>
      <w:r w:rsidR="006227DC" w:rsidRPr="008573D2">
        <w:rPr>
          <w:rFonts w:ascii="Times New Roman" w:hAnsi="Times New Roman" w:cs="Times New Roman"/>
          <w:sz w:val="24"/>
          <w:szCs w:val="24"/>
        </w:rPr>
        <w:t>among</w:t>
      </w:r>
      <w:r w:rsidR="009F0031" w:rsidRPr="008573D2">
        <w:rPr>
          <w:rFonts w:ascii="Times New Roman" w:hAnsi="Times New Roman" w:cs="Times New Roman"/>
          <w:sz w:val="24"/>
          <w:szCs w:val="24"/>
        </w:rPr>
        <w:t xml:space="preserve"> the sample countries help to reduce the detrimental effect of </w:t>
      </w:r>
      <w:r w:rsidR="00964C2B" w:rsidRPr="008573D2">
        <w:rPr>
          <w:rFonts w:ascii="Times New Roman" w:hAnsi="Times New Roman" w:cs="Times New Roman"/>
          <w:sz w:val="24"/>
          <w:szCs w:val="24"/>
        </w:rPr>
        <w:t>COVID-19</w:t>
      </w:r>
      <w:r w:rsidR="009F0031" w:rsidRPr="008573D2">
        <w:rPr>
          <w:rFonts w:ascii="Times New Roman" w:hAnsi="Times New Roman" w:cs="Times New Roman"/>
          <w:sz w:val="24"/>
          <w:szCs w:val="24"/>
        </w:rPr>
        <w:t xml:space="preserve"> on stock market volatility. The country</w:t>
      </w:r>
      <w:r w:rsidR="005F416D" w:rsidRPr="008573D2">
        <w:rPr>
          <w:rFonts w:ascii="Times New Roman" w:hAnsi="Times New Roman" w:cs="Times New Roman"/>
          <w:sz w:val="24"/>
          <w:szCs w:val="24"/>
        </w:rPr>
        <w:t>-</w:t>
      </w:r>
      <w:r w:rsidR="009F0031" w:rsidRPr="008573D2">
        <w:rPr>
          <w:rFonts w:ascii="Times New Roman" w:hAnsi="Times New Roman" w:cs="Times New Roman"/>
          <w:sz w:val="24"/>
          <w:szCs w:val="24"/>
        </w:rPr>
        <w:t xml:space="preserve">level </w:t>
      </w:r>
      <w:r w:rsidR="009F0031" w:rsidRPr="008573D2">
        <w:rPr>
          <w:rFonts w:ascii="Times New Roman" w:hAnsi="Times New Roman" w:cs="Times New Roman"/>
          <w:sz w:val="24"/>
          <w:szCs w:val="24"/>
        </w:rPr>
        <w:lastRenderedPageBreak/>
        <w:t xml:space="preserve">corporate governance scores are collected from </w:t>
      </w:r>
      <w:r w:rsidR="0021190F" w:rsidRPr="008573D2">
        <w:rPr>
          <w:rFonts w:ascii="Times New Roman" w:hAnsi="Times New Roman" w:cs="Times New Roman"/>
          <w:sz w:val="24"/>
          <w:szCs w:val="24"/>
        </w:rPr>
        <w:t xml:space="preserve">the </w:t>
      </w:r>
      <w:r w:rsidR="009F0031" w:rsidRPr="008573D2">
        <w:rPr>
          <w:rFonts w:ascii="Times New Roman" w:hAnsi="Times New Roman" w:cs="Times New Roman"/>
          <w:sz w:val="24"/>
          <w:szCs w:val="24"/>
        </w:rPr>
        <w:t xml:space="preserve">World Economic Forum and </w:t>
      </w:r>
      <w:r w:rsidR="0021190F" w:rsidRPr="008573D2">
        <w:rPr>
          <w:rFonts w:ascii="Times New Roman" w:hAnsi="Times New Roman" w:cs="Times New Roman"/>
          <w:sz w:val="24"/>
          <w:szCs w:val="24"/>
        </w:rPr>
        <w:t xml:space="preserve">the </w:t>
      </w:r>
      <w:r w:rsidR="009F0031" w:rsidRPr="008573D2">
        <w:rPr>
          <w:rFonts w:ascii="Times New Roman" w:hAnsi="Times New Roman" w:cs="Times New Roman"/>
          <w:sz w:val="24"/>
          <w:szCs w:val="24"/>
        </w:rPr>
        <w:t>FM Global database. Further details of corporate governance scores are provided in Table 1.</w:t>
      </w:r>
    </w:p>
    <w:p w14:paraId="3FDEC7EC" w14:textId="69A55460" w:rsidR="00F97812" w:rsidRPr="008573D2" w:rsidRDefault="000B20D4" w:rsidP="00C475C3">
      <w:pPr>
        <w:spacing w:line="480" w:lineRule="auto"/>
        <w:jc w:val="both"/>
        <w:rPr>
          <w:rFonts w:ascii="Times New Roman" w:hAnsi="Times New Roman" w:cs="Times New Roman"/>
          <w:sz w:val="24"/>
          <w:szCs w:val="24"/>
        </w:rPr>
      </w:pPr>
      <w:r w:rsidRPr="008573D2">
        <w:rPr>
          <w:rFonts w:ascii="Times New Roman" w:hAnsi="Times New Roman" w:cs="Times New Roman"/>
          <w:sz w:val="24"/>
          <w:szCs w:val="24"/>
        </w:rPr>
        <w:t>T</w:t>
      </w:r>
      <w:r w:rsidR="00A504EA" w:rsidRPr="008573D2">
        <w:rPr>
          <w:rFonts w:ascii="Times New Roman" w:hAnsi="Times New Roman" w:cs="Times New Roman"/>
          <w:sz w:val="24"/>
          <w:szCs w:val="24"/>
        </w:rPr>
        <w:t>he</w:t>
      </w:r>
      <w:r w:rsidRPr="008573D2">
        <w:rPr>
          <w:rFonts w:ascii="Times New Roman" w:hAnsi="Times New Roman" w:cs="Times New Roman"/>
          <w:sz w:val="24"/>
          <w:szCs w:val="24"/>
        </w:rPr>
        <w:t xml:space="preserve"> level of financial development could </w:t>
      </w:r>
      <w:r w:rsidR="00A504EA" w:rsidRPr="008573D2">
        <w:rPr>
          <w:rFonts w:ascii="Times New Roman" w:hAnsi="Times New Roman" w:cs="Times New Roman"/>
          <w:sz w:val="24"/>
          <w:szCs w:val="24"/>
        </w:rPr>
        <w:t>help</w:t>
      </w:r>
      <w:r w:rsidR="00494F96" w:rsidRPr="008573D2">
        <w:rPr>
          <w:rFonts w:ascii="Times New Roman" w:hAnsi="Times New Roman" w:cs="Times New Roman"/>
          <w:sz w:val="24"/>
          <w:szCs w:val="24"/>
        </w:rPr>
        <w:t xml:space="preserve"> </w:t>
      </w:r>
      <w:r w:rsidR="00A504EA" w:rsidRPr="008573D2">
        <w:rPr>
          <w:rFonts w:ascii="Times New Roman" w:hAnsi="Times New Roman" w:cs="Times New Roman"/>
          <w:sz w:val="24"/>
          <w:szCs w:val="24"/>
        </w:rPr>
        <w:t xml:space="preserve">countries to </w:t>
      </w:r>
      <w:r w:rsidR="002D513D" w:rsidRPr="008573D2">
        <w:rPr>
          <w:rFonts w:ascii="Times New Roman" w:hAnsi="Times New Roman" w:cs="Times New Roman"/>
          <w:sz w:val="24"/>
          <w:szCs w:val="24"/>
        </w:rPr>
        <w:t>minimi</w:t>
      </w:r>
      <w:r w:rsidR="00DC214A" w:rsidRPr="008573D2">
        <w:rPr>
          <w:rFonts w:ascii="Times New Roman" w:hAnsi="Times New Roman" w:cs="Times New Roman"/>
          <w:sz w:val="24"/>
          <w:szCs w:val="24"/>
        </w:rPr>
        <w:t>s</w:t>
      </w:r>
      <w:r w:rsidR="002D513D" w:rsidRPr="008573D2">
        <w:rPr>
          <w:rFonts w:ascii="Times New Roman" w:hAnsi="Times New Roman" w:cs="Times New Roman"/>
          <w:sz w:val="24"/>
          <w:szCs w:val="24"/>
        </w:rPr>
        <w:t>e</w:t>
      </w:r>
      <w:r w:rsidR="00A504EA" w:rsidRPr="008573D2">
        <w:rPr>
          <w:rFonts w:ascii="Times New Roman" w:hAnsi="Times New Roman" w:cs="Times New Roman"/>
          <w:sz w:val="24"/>
          <w:szCs w:val="24"/>
        </w:rPr>
        <w:t xml:space="preserve"> high stock market volatility caused by </w:t>
      </w:r>
      <w:r w:rsidR="0021190F" w:rsidRPr="008573D2">
        <w:rPr>
          <w:rFonts w:ascii="Times New Roman" w:hAnsi="Times New Roman" w:cs="Times New Roman"/>
          <w:sz w:val="24"/>
          <w:szCs w:val="24"/>
        </w:rPr>
        <w:t xml:space="preserve">the </w:t>
      </w:r>
      <w:r w:rsidR="00A504EA" w:rsidRPr="008573D2">
        <w:rPr>
          <w:rFonts w:ascii="Times New Roman" w:hAnsi="Times New Roman" w:cs="Times New Roman"/>
          <w:sz w:val="24"/>
          <w:szCs w:val="24"/>
        </w:rPr>
        <w:t xml:space="preserve">virus outbreak. </w:t>
      </w:r>
      <w:proofErr w:type="spellStart"/>
      <w:r w:rsidR="00A504EA" w:rsidRPr="008573D2">
        <w:rPr>
          <w:rFonts w:ascii="Times New Roman" w:hAnsi="Times New Roman" w:cs="Times New Roman"/>
          <w:sz w:val="24"/>
          <w:szCs w:val="24"/>
        </w:rPr>
        <w:t>Dellas</w:t>
      </w:r>
      <w:proofErr w:type="spellEnd"/>
      <w:r w:rsidR="00A504EA" w:rsidRPr="008573D2">
        <w:rPr>
          <w:rFonts w:ascii="Times New Roman" w:hAnsi="Times New Roman" w:cs="Times New Roman"/>
          <w:sz w:val="24"/>
          <w:szCs w:val="24"/>
        </w:rPr>
        <w:t xml:space="preserve"> and Hess (2005) state that financial development should have </w:t>
      </w:r>
      <w:r w:rsidR="0021190F" w:rsidRPr="008573D2">
        <w:rPr>
          <w:rFonts w:ascii="Times New Roman" w:hAnsi="Times New Roman" w:cs="Times New Roman"/>
          <w:sz w:val="24"/>
          <w:szCs w:val="24"/>
        </w:rPr>
        <w:t xml:space="preserve">a </w:t>
      </w:r>
      <w:r w:rsidR="00A504EA" w:rsidRPr="008573D2">
        <w:rPr>
          <w:rFonts w:ascii="Times New Roman" w:hAnsi="Times New Roman" w:cs="Times New Roman"/>
          <w:sz w:val="24"/>
          <w:szCs w:val="24"/>
        </w:rPr>
        <w:t xml:space="preserve">negative effect on stock market volatility. The authors point out that asset price movement is influenced by </w:t>
      </w:r>
      <w:r w:rsidR="0005270E" w:rsidRPr="008573D2">
        <w:rPr>
          <w:rFonts w:ascii="Times New Roman" w:hAnsi="Times New Roman" w:cs="Times New Roman"/>
          <w:sz w:val="24"/>
          <w:szCs w:val="24"/>
        </w:rPr>
        <w:t>market</w:t>
      </w:r>
      <w:r w:rsidR="00A504EA" w:rsidRPr="008573D2">
        <w:rPr>
          <w:rFonts w:ascii="Times New Roman" w:hAnsi="Times New Roman" w:cs="Times New Roman"/>
          <w:sz w:val="24"/>
          <w:szCs w:val="24"/>
        </w:rPr>
        <w:t xml:space="preserve"> liquidity, trading facilitation, hedging and diversification of risk and quality corporate control. A developed financial market with </w:t>
      </w:r>
      <w:r w:rsidR="0021190F" w:rsidRPr="008573D2">
        <w:rPr>
          <w:rFonts w:ascii="Times New Roman" w:hAnsi="Times New Roman" w:cs="Times New Roman"/>
          <w:sz w:val="24"/>
          <w:szCs w:val="24"/>
        </w:rPr>
        <w:t xml:space="preserve">a </w:t>
      </w:r>
      <w:r w:rsidR="00A504EA" w:rsidRPr="008573D2">
        <w:rPr>
          <w:rFonts w:ascii="Times New Roman" w:hAnsi="Times New Roman" w:cs="Times New Roman"/>
          <w:sz w:val="24"/>
          <w:szCs w:val="24"/>
        </w:rPr>
        <w:t xml:space="preserve">stronger banking network and </w:t>
      </w:r>
      <w:r w:rsidR="0021190F" w:rsidRPr="008573D2">
        <w:rPr>
          <w:rFonts w:ascii="Times New Roman" w:hAnsi="Times New Roman" w:cs="Times New Roman"/>
          <w:sz w:val="24"/>
          <w:szCs w:val="24"/>
        </w:rPr>
        <w:t xml:space="preserve">a </w:t>
      </w:r>
      <w:r w:rsidR="0005270E" w:rsidRPr="008573D2">
        <w:rPr>
          <w:rFonts w:ascii="Times New Roman" w:hAnsi="Times New Roman" w:cs="Times New Roman"/>
          <w:sz w:val="24"/>
          <w:szCs w:val="24"/>
        </w:rPr>
        <w:t>well-structured</w:t>
      </w:r>
      <w:r w:rsidR="00A504EA" w:rsidRPr="008573D2">
        <w:rPr>
          <w:rFonts w:ascii="Times New Roman" w:hAnsi="Times New Roman" w:cs="Times New Roman"/>
          <w:sz w:val="24"/>
          <w:szCs w:val="24"/>
        </w:rPr>
        <w:t xml:space="preserve"> capital market would facilitate these provisions and therefore would reduce stock price volatility. </w:t>
      </w:r>
      <w:r w:rsidR="0005270E" w:rsidRPr="008573D2">
        <w:rPr>
          <w:rFonts w:ascii="Times New Roman" w:hAnsi="Times New Roman" w:cs="Times New Roman"/>
          <w:sz w:val="24"/>
          <w:szCs w:val="24"/>
        </w:rPr>
        <w:t xml:space="preserve">One of the important effects of this virus outbreak is the shock </w:t>
      </w:r>
      <w:r w:rsidR="0021190F" w:rsidRPr="008573D2">
        <w:rPr>
          <w:rFonts w:ascii="Times New Roman" w:hAnsi="Times New Roman" w:cs="Times New Roman"/>
          <w:sz w:val="24"/>
          <w:szCs w:val="24"/>
        </w:rPr>
        <w:t>to</w:t>
      </w:r>
      <w:r w:rsidR="0005270E" w:rsidRPr="008573D2">
        <w:rPr>
          <w:rFonts w:ascii="Times New Roman" w:hAnsi="Times New Roman" w:cs="Times New Roman"/>
          <w:sz w:val="24"/>
          <w:szCs w:val="24"/>
        </w:rPr>
        <w:t xml:space="preserve"> both demand and supply. This two-way shock has made this more worrying for the global economy. </w:t>
      </w:r>
      <w:r w:rsidR="00F72A4A" w:rsidRPr="008573D2">
        <w:rPr>
          <w:rFonts w:ascii="Times New Roman" w:hAnsi="Times New Roman" w:cs="Times New Roman"/>
          <w:sz w:val="24"/>
          <w:szCs w:val="24"/>
        </w:rPr>
        <w:t>However, authors such as Wang et al. (2018), Bekaert et al. (200</w:t>
      </w:r>
      <w:r w:rsidR="00401A5C" w:rsidRPr="008573D2">
        <w:rPr>
          <w:rFonts w:ascii="Times New Roman" w:hAnsi="Times New Roman" w:cs="Times New Roman"/>
          <w:sz w:val="24"/>
          <w:szCs w:val="24"/>
        </w:rPr>
        <w:t>5</w:t>
      </w:r>
      <w:r w:rsidR="00F72A4A" w:rsidRPr="008573D2">
        <w:rPr>
          <w:rFonts w:ascii="Times New Roman" w:hAnsi="Times New Roman" w:cs="Times New Roman"/>
          <w:sz w:val="24"/>
          <w:szCs w:val="24"/>
        </w:rPr>
        <w:t xml:space="preserve">) and Easterly et al. (2000) find that financial development has </w:t>
      </w:r>
      <w:r w:rsidR="0021190F" w:rsidRPr="008573D2">
        <w:rPr>
          <w:rFonts w:ascii="Times New Roman" w:hAnsi="Times New Roman" w:cs="Times New Roman"/>
          <w:sz w:val="24"/>
          <w:szCs w:val="24"/>
        </w:rPr>
        <w:t xml:space="preserve">a </w:t>
      </w:r>
      <w:r w:rsidR="00F72A4A" w:rsidRPr="008573D2">
        <w:rPr>
          <w:rFonts w:ascii="Times New Roman" w:hAnsi="Times New Roman" w:cs="Times New Roman"/>
          <w:sz w:val="24"/>
          <w:szCs w:val="24"/>
        </w:rPr>
        <w:t xml:space="preserve">significant negative relationship with macroeconomic volatility. These authors </w:t>
      </w:r>
      <w:r w:rsidR="0021190F" w:rsidRPr="008573D2">
        <w:rPr>
          <w:rFonts w:ascii="Times New Roman" w:hAnsi="Times New Roman" w:cs="Times New Roman"/>
          <w:sz w:val="24"/>
          <w:szCs w:val="24"/>
        </w:rPr>
        <w:t>find</w:t>
      </w:r>
      <w:r w:rsidR="00F72A4A" w:rsidRPr="008573D2">
        <w:rPr>
          <w:rFonts w:ascii="Times New Roman" w:hAnsi="Times New Roman" w:cs="Times New Roman"/>
          <w:sz w:val="24"/>
          <w:szCs w:val="24"/>
        </w:rPr>
        <w:t xml:space="preserve"> that financial development help</w:t>
      </w:r>
      <w:r w:rsidR="0021190F" w:rsidRPr="008573D2">
        <w:rPr>
          <w:rFonts w:ascii="Times New Roman" w:hAnsi="Times New Roman" w:cs="Times New Roman"/>
          <w:sz w:val="24"/>
          <w:szCs w:val="24"/>
        </w:rPr>
        <w:t>s</w:t>
      </w:r>
      <w:r w:rsidR="00F72A4A" w:rsidRPr="008573D2">
        <w:rPr>
          <w:rFonts w:ascii="Times New Roman" w:hAnsi="Times New Roman" w:cs="Times New Roman"/>
          <w:sz w:val="24"/>
          <w:szCs w:val="24"/>
        </w:rPr>
        <w:t xml:space="preserve"> to reduce </w:t>
      </w:r>
      <w:r w:rsidR="0021190F" w:rsidRPr="008573D2">
        <w:rPr>
          <w:rFonts w:ascii="Times New Roman" w:hAnsi="Times New Roman" w:cs="Times New Roman"/>
          <w:sz w:val="24"/>
          <w:szCs w:val="24"/>
        </w:rPr>
        <w:t xml:space="preserve">the </w:t>
      </w:r>
      <w:r w:rsidR="00F72A4A" w:rsidRPr="008573D2">
        <w:rPr>
          <w:rFonts w:ascii="Times New Roman" w:hAnsi="Times New Roman" w:cs="Times New Roman"/>
          <w:sz w:val="24"/>
          <w:szCs w:val="24"/>
        </w:rPr>
        <w:t>volatility of both aggregate consumption and aggregate output and thereby help</w:t>
      </w:r>
      <w:r w:rsidR="0021190F" w:rsidRPr="008573D2">
        <w:rPr>
          <w:rFonts w:ascii="Times New Roman" w:hAnsi="Times New Roman" w:cs="Times New Roman"/>
          <w:sz w:val="24"/>
          <w:szCs w:val="24"/>
        </w:rPr>
        <w:t>s</w:t>
      </w:r>
      <w:r w:rsidR="00F72A4A" w:rsidRPr="008573D2">
        <w:rPr>
          <w:rFonts w:ascii="Times New Roman" w:hAnsi="Times New Roman" w:cs="Times New Roman"/>
          <w:sz w:val="24"/>
          <w:szCs w:val="24"/>
        </w:rPr>
        <w:t xml:space="preserve"> the economy to absorb both the demand and supply shock</w:t>
      </w:r>
      <w:r w:rsidR="0021190F" w:rsidRPr="008573D2">
        <w:rPr>
          <w:rFonts w:ascii="Times New Roman" w:hAnsi="Times New Roman" w:cs="Times New Roman"/>
          <w:sz w:val="24"/>
          <w:szCs w:val="24"/>
        </w:rPr>
        <w:t>s</w:t>
      </w:r>
      <w:r w:rsidR="00F72A4A" w:rsidRPr="008573D2">
        <w:rPr>
          <w:rFonts w:ascii="Times New Roman" w:hAnsi="Times New Roman" w:cs="Times New Roman"/>
          <w:sz w:val="24"/>
          <w:szCs w:val="24"/>
        </w:rPr>
        <w:t>.</w:t>
      </w:r>
      <w:r w:rsidR="009F0031" w:rsidRPr="008573D2">
        <w:rPr>
          <w:rFonts w:ascii="Times New Roman" w:hAnsi="Times New Roman" w:cs="Times New Roman"/>
          <w:sz w:val="24"/>
          <w:szCs w:val="24"/>
        </w:rPr>
        <w:t xml:space="preserve"> Given the evidence that financial development help to mitigate stock market volatility, this study will examine </w:t>
      </w:r>
      <w:r w:rsidR="0021190F" w:rsidRPr="008573D2">
        <w:rPr>
          <w:rFonts w:ascii="Times New Roman" w:hAnsi="Times New Roman" w:cs="Times New Roman"/>
          <w:sz w:val="24"/>
          <w:szCs w:val="24"/>
        </w:rPr>
        <w:t xml:space="preserve">whether </w:t>
      </w:r>
      <w:r w:rsidR="009F0031" w:rsidRPr="008573D2">
        <w:rPr>
          <w:rFonts w:ascii="Times New Roman" w:hAnsi="Times New Roman" w:cs="Times New Roman"/>
          <w:sz w:val="24"/>
          <w:szCs w:val="24"/>
        </w:rPr>
        <w:t xml:space="preserve">the level of financial development of </w:t>
      </w:r>
      <w:r w:rsidR="005F416D" w:rsidRPr="008573D2">
        <w:rPr>
          <w:rFonts w:ascii="Times New Roman" w:hAnsi="Times New Roman" w:cs="Times New Roman"/>
          <w:sz w:val="24"/>
          <w:szCs w:val="24"/>
        </w:rPr>
        <w:t xml:space="preserve">the </w:t>
      </w:r>
      <w:r w:rsidR="009F0031" w:rsidRPr="008573D2">
        <w:rPr>
          <w:rFonts w:ascii="Times New Roman" w:hAnsi="Times New Roman" w:cs="Times New Roman"/>
          <w:sz w:val="24"/>
          <w:szCs w:val="24"/>
        </w:rPr>
        <w:t>sample countries help</w:t>
      </w:r>
      <w:r w:rsidR="0021190F" w:rsidRPr="008573D2">
        <w:rPr>
          <w:rFonts w:ascii="Times New Roman" w:hAnsi="Times New Roman" w:cs="Times New Roman"/>
          <w:sz w:val="24"/>
          <w:szCs w:val="24"/>
        </w:rPr>
        <w:t>s</w:t>
      </w:r>
      <w:r w:rsidR="009F0031" w:rsidRPr="008573D2">
        <w:rPr>
          <w:rFonts w:ascii="Times New Roman" w:hAnsi="Times New Roman" w:cs="Times New Roman"/>
          <w:sz w:val="24"/>
          <w:szCs w:val="24"/>
        </w:rPr>
        <w:t xml:space="preserve"> to </w:t>
      </w:r>
      <w:r w:rsidR="00F73104" w:rsidRPr="008573D2">
        <w:rPr>
          <w:rFonts w:ascii="Times New Roman" w:hAnsi="Times New Roman" w:cs="Times New Roman"/>
          <w:sz w:val="24"/>
          <w:szCs w:val="24"/>
        </w:rPr>
        <w:t xml:space="preserve">reduce the effect of </w:t>
      </w:r>
      <w:r w:rsidR="0021190F" w:rsidRPr="008573D2">
        <w:rPr>
          <w:rFonts w:ascii="Times New Roman" w:hAnsi="Times New Roman" w:cs="Times New Roman"/>
          <w:sz w:val="24"/>
          <w:szCs w:val="24"/>
        </w:rPr>
        <w:t xml:space="preserve">the </w:t>
      </w:r>
      <w:r w:rsidR="00F73104" w:rsidRPr="008573D2">
        <w:rPr>
          <w:rFonts w:ascii="Times New Roman" w:hAnsi="Times New Roman" w:cs="Times New Roman"/>
          <w:sz w:val="24"/>
          <w:szCs w:val="24"/>
        </w:rPr>
        <w:t xml:space="preserve">global pandemic on stock market volatility. </w:t>
      </w:r>
      <w:r w:rsidR="00E714A8" w:rsidRPr="008573D2">
        <w:rPr>
          <w:rFonts w:ascii="Times New Roman" w:hAnsi="Times New Roman" w:cs="Times New Roman"/>
          <w:sz w:val="24"/>
          <w:szCs w:val="24"/>
        </w:rPr>
        <w:t xml:space="preserve">Data on </w:t>
      </w:r>
      <w:r w:rsidR="0021190F" w:rsidRPr="008573D2">
        <w:rPr>
          <w:rFonts w:ascii="Times New Roman" w:hAnsi="Times New Roman" w:cs="Times New Roman"/>
          <w:sz w:val="24"/>
          <w:szCs w:val="24"/>
        </w:rPr>
        <w:t xml:space="preserve">the </w:t>
      </w:r>
      <w:r w:rsidR="00E714A8" w:rsidRPr="008573D2">
        <w:rPr>
          <w:rFonts w:ascii="Times New Roman" w:hAnsi="Times New Roman" w:cs="Times New Roman"/>
          <w:sz w:val="24"/>
          <w:szCs w:val="24"/>
        </w:rPr>
        <w:t xml:space="preserve">financial development index is </w:t>
      </w:r>
      <w:r w:rsidR="006227DC" w:rsidRPr="008573D2">
        <w:rPr>
          <w:rFonts w:ascii="Times New Roman" w:hAnsi="Times New Roman" w:cs="Times New Roman"/>
          <w:sz w:val="24"/>
          <w:szCs w:val="24"/>
        </w:rPr>
        <w:t>available</w:t>
      </w:r>
      <w:r w:rsidR="00E714A8" w:rsidRPr="008573D2">
        <w:rPr>
          <w:rFonts w:ascii="Times New Roman" w:hAnsi="Times New Roman" w:cs="Times New Roman"/>
          <w:sz w:val="24"/>
          <w:szCs w:val="24"/>
        </w:rPr>
        <w:t xml:space="preserve"> </w:t>
      </w:r>
      <w:r w:rsidR="0021190F" w:rsidRPr="008573D2">
        <w:rPr>
          <w:rFonts w:ascii="Times New Roman" w:hAnsi="Times New Roman" w:cs="Times New Roman"/>
          <w:sz w:val="24"/>
          <w:szCs w:val="24"/>
        </w:rPr>
        <w:t>from</w:t>
      </w:r>
      <w:r w:rsidR="00E714A8" w:rsidRPr="008573D2">
        <w:rPr>
          <w:rFonts w:ascii="Times New Roman" w:hAnsi="Times New Roman" w:cs="Times New Roman"/>
          <w:sz w:val="24"/>
          <w:szCs w:val="24"/>
        </w:rPr>
        <w:t xml:space="preserve"> </w:t>
      </w:r>
      <w:r w:rsidR="0021190F" w:rsidRPr="008573D2">
        <w:rPr>
          <w:rFonts w:ascii="Times New Roman" w:hAnsi="Times New Roman" w:cs="Times New Roman"/>
          <w:sz w:val="24"/>
          <w:szCs w:val="24"/>
        </w:rPr>
        <w:t xml:space="preserve">the </w:t>
      </w:r>
      <w:r w:rsidR="00E714A8" w:rsidRPr="008573D2">
        <w:rPr>
          <w:rFonts w:ascii="Times New Roman" w:hAnsi="Times New Roman" w:cs="Times New Roman"/>
          <w:sz w:val="24"/>
          <w:szCs w:val="24"/>
        </w:rPr>
        <w:t>IMF database and</w:t>
      </w:r>
      <w:r w:rsidR="00F73104" w:rsidRPr="008573D2">
        <w:rPr>
          <w:rFonts w:ascii="Times New Roman" w:hAnsi="Times New Roman" w:cs="Times New Roman"/>
          <w:sz w:val="24"/>
          <w:szCs w:val="24"/>
        </w:rPr>
        <w:t xml:space="preserve"> is constructed using information on </w:t>
      </w:r>
      <w:r w:rsidR="0021190F" w:rsidRPr="008573D2">
        <w:rPr>
          <w:rFonts w:ascii="Times New Roman" w:hAnsi="Times New Roman" w:cs="Times New Roman"/>
          <w:sz w:val="24"/>
          <w:szCs w:val="24"/>
        </w:rPr>
        <w:t xml:space="preserve">the </w:t>
      </w:r>
      <w:r w:rsidR="00F73104" w:rsidRPr="008573D2">
        <w:rPr>
          <w:rFonts w:ascii="Times New Roman" w:hAnsi="Times New Roman" w:cs="Times New Roman"/>
          <w:sz w:val="24"/>
          <w:szCs w:val="24"/>
        </w:rPr>
        <w:t>size and liquidity of financial market</w:t>
      </w:r>
      <w:r w:rsidR="0021190F" w:rsidRPr="008573D2">
        <w:rPr>
          <w:rFonts w:ascii="Times New Roman" w:hAnsi="Times New Roman" w:cs="Times New Roman"/>
          <w:sz w:val="24"/>
          <w:szCs w:val="24"/>
        </w:rPr>
        <w:t>s</w:t>
      </w:r>
      <w:r w:rsidR="00F73104" w:rsidRPr="008573D2">
        <w:rPr>
          <w:rFonts w:ascii="Times New Roman" w:hAnsi="Times New Roman" w:cs="Times New Roman"/>
          <w:sz w:val="24"/>
          <w:szCs w:val="24"/>
        </w:rPr>
        <w:t xml:space="preserve"> </w:t>
      </w:r>
      <w:r w:rsidR="006227DC" w:rsidRPr="008573D2">
        <w:rPr>
          <w:rFonts w:ascii="Times New Roman" w:hAnsi="Times New Roman" w:cs="Times New Roman"/>
          <w:sz w:val="24"/>
          <w:szCs w:val="24"/>
        </w:rPr>
        <w:t>and</w:t>
      </w:r>
      <w:r w:rsidR="00F73104" w:rsidRPr="008573D2">
        <w:rPr>
          <w:rFonts w:ascii="Times New Roman" w:hAnsi="Times New Roman" w:cs="Times New Roman"/>
          <w:sz w:val="24"/>
          <w:szCs w:val="24"/>
        </w:rPr>
        <w:t xml:space="preserve"> by using access of financial </w:t>
      </w:r>
      <w:r w:rsidR="006227DC" w:rsidRPr="008573D2">
        <w:rPr>
          <w:rFonts w:ascii="Times New Roman" w:hAnsi="Times New Roman" w:cs="Times New Roman"/>
          <w:sz w:val="24"/>
          <w:szCs w:val="24"/>
        </w:rPr>
        <w:t>services</w:t>
      </w:r>
      <w:r w:rsidR="00F73104" w:rsidRPr="008573D2">
        <w:rPr>
          <w:rFonts w:ascii="Times New Roman" w:hAnsi="Times New Roman" w:cs="Times New Roman"/>
          <w:sz w:val="24"/>
          <w:szCs w:val="24"/>
        </w:rPr>
        <w:t xml:space="preserve"> and efficiency of financial institutions. Further details on </w:t>
      </w:r>
      <w:r w:rsidR="0021190F" w:rsidRPr="008573D2">
        <w:rPr>
          <w:rFonts w:ascii="Times New Roman" w:hAnsi="Times New Roman" w:cs="Times New Roman"/>
          <w:sz w:val="24"/>
          <w:szCs w:val="24"/>
        </w:rPr>
        <w:t xml:space="preserve">the </w:t>
      </w:r>
      <w:r w:rsidR="00F73104" w:rsidRPr="008573D2">
        <w:rPr>
          <w:rFonts w:ascii="Times New Roman" w:hAnsi="Times New Roman" w:cs="Times New Roman"/>
          <w:sz w:val="24"/>
          <w:szCs w:val="24"/>
        </w:rPr>
        <w:t xml:space="preserve">financial development index </w:t>
      </w:r>
      <w:r w:rsidR="0021190F" w:rsidRPr="008573D2">
        <w:rPr>
          <w:rFonts w:ascii="Times New Roman" w:hAnsi="Times New Roman" w:cs="Times New Roman"/>
          <w:sz w:val="24"/>
          <w:szCs w:val="24"/>
        </w:rPr>
        <w:t>are</w:t>
      </w:r>
      <w:r w:rsidR="00F73104" w:rsidRPr="008573D2">
        <w:rPr>
          <w:rFonts w:ascii="Times New Roman" w:hAnsi="Times New Roman" w:cs="Times New Roman"/>
          <w:sz w:val="24"/>
          <w:szCs w:val="24"/>
        </w:rPr>
        <w:t xml:space="preserve"> provided in Table 1. </w:t>
      </w:r>
    </w:p>
    <w:p w14:paraId="0A46CBE4" w14:textId="04BDC00B" w:rsidR="00F72A4A" w:rsidRPr="008573D2" w:rsidRDefault="000B20D4" w:rsidP="00C475C3">
      <w:pPr>
        <w:spacing w:line="48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Given the above literature, we contribute </w:t>
      </w:r>
      <w:r w:rsidR="005F416D" w:rsidRPr="008573D2">
        <w:rPr>
          <w:rFonts w:ascii="Times New Roman" w:hAnsi="Times New Roman" w:cs="Times New Roman"/>
          <w:sz w:val="24"/>
          <w:szCs w:val="24"/>
        </w:rPr>
        <w:t xml:space="preserve">to </w:t>
      </w:r>
      <w:r w:rsidRPr="008573D2">
        <w:rPr>
          <w:rFonts w:ascii="Times New Roman" w:hAnsi="Times New Roman" w:cs="Times New Roman"/>
          <w:sz w:val="24"/>
          <w:szCs w:val="24"/>
        </w:rPr>
        <w:t>the existing literature in the following ways: first</w:t>
      </w:r>
      <w:r w:rsidR="005F416D" w:rsidRPr="008573D2">
        <w:rPr>
          <w:rFonts w:ascii="Times New Roman" w:hAnsi="Times New Roman" w:cs="Times New Roman"/>
          <w:sz w:val="24"/>
          <w:szCs w:val="24"/>
        </w:rPr>
        <w:t>,</w:t>
      </w:r>
      <w:r w:rsidRPr="008573D2">
        <w:rPr>
          <w:rFonts w:ascii="Times New Roman" w:hAnsi="Times New Roman" w:cs="Times New Roman"/>
          <w:sz w:val="24"/>
          <w:szCs w:val="24"/>
        </w:rPr>
        <w:t xml:space="preserve"> we examine the effect of </w:t>
      </w:r>
      <w:r w:rsidR="00964C2B" w:rsidRPr="008573D2">
        <w:rPr>
          <w:rFonts w:ascii="Times New Roman" w:hAnsi="Times New Roman" w:cs="Times New Roman"/>
          <w:sz w:val="24"/>
          <w:szCs w:val="24"/>
        </w:rPr>
        <w:t>COVID-19</w:t>
      </w:r>
      <w:r w:rsidRPr="008573D2">
        <w:rPr>
          <w:rFonts w:ascii="Times New Roman" w:hAnsi="Times New Roman" w:cs="Times New Roman"/>
          <w:sz w:val="24"/>
          <w:szCs w:val="24"/>
        </w:rPr>
        <w:t xml:space="preserve"> on stock market volatility using data from 34 countries. Second, consistent with previous literature, we analy</w:t>
      </w:r>
      <w:r w:rsidR="00DC214A" w:rsidRPr="008573D2">
        <w:rPr>
          <w:rFonts w:ascii="Times New Roman" w:hAnsi="Times New Roman" w:cs="Times New Roman"/>
          <w:sz w:val="24"/>
          <w:szCs w:val="24"/>
        </w:rPr>
        <w:t>s</w:t>
      </w:r>
      <w:r w:rsidRPr="008573D2">
        <w:rPr>
          <w:rFonts w:ascii="Times New Roman" w:hAnsi="Times New Roman" w:cs="Times New Roman"/>
          <w:sz w:val="24"/>
          <w:szCs w:val="24"/>
        </w:rPr>
        <w:t xml:space="preserve">e the impact of economic resilience, level of capitalism, corporate governance and financial development on stock market volatility. </w:t>
      </w:r>
      <w:r w:rsidR="009B66CB" w:rsidRPr="008573D2">
        <w:rPr>
          <w:rFonts w:ascii="Times New Roman" w:hAnsi="Times New Roman" w:cs="Times New Roman"/>
          <w:sz w:val="24"/>
          <w:szCs w:val="24"/>
        </w:rPr>
        <w:lastRenderedPageBreak/>
        <w:t>Third</w:t>
      </w:r>
      <w:r w:rsidRPr="008573D2">
        <w:rPr>
          <w:rFonts w:ascii="Times New Roman" w:hAnsi="Times New Roman" w:cs="Times New Roman"/>
          <w:sz w:val="24"/>
          <w:szCs w:val="24"/>
        </w:rPr>
        <w:t xml:space="preserve">, we depart from the existing literature and also </w:t>
      </w:r>
      <w:r w:rsidR="009B66CB" w:rsidRPr="008573D2">
        <w:rPr>
          <w:rFonts w:ascii="Times New Roman" w:hAnsi="Times New Roman" w:cs="Times New Roman"/>
          <w:sz w:val="24"/>
          <w:szCs w:val="24"/>
        </w:rPr>
        <w:t>look</w:t>
      </w:r>
      <w:r w:rsidR="00F72A4A" w:rsidRPr="008573D2">
        <w:rPr>
          <w:rFonts w:ascii="Times New Roman" w:hAnsi="Times New Roman" w:cs="Times New Roman"/>
          <w:sz w:val="24"/>
          <w:szCs w:val="24"/>
        </w:rPr>
        <w:t xml:space="preserve"> at </w:t>
      </w:r>
      <w:r w:rsidR="00993067" w:rsidRPr="008573D2">
        <w:rPr>
          <w:rFonts w:ascii="Times New Roman" w:hAnsi="Times New Roman" w:cs="Times New Roman"/>
          <w:sz w:val="24"/>
          <w:szCs w:val="24"/>
        </w:rPr>
        <w:t xml:space="preserve">the effect of </w:t>
      </w:r>
      <w:r w:rsidR="00F72A4A" w:rsidRPr="008573D2">
        <w:rPr>
          <w:rFonts w:ascii="Times New Roman" w:hAnsi="Times New Roman" w:cs="Times New Roman"/>
          <w:sz w:val="24"/>
          <w:szCs w:val="24"/>
        </w:rPr>
        <w:t xml:space="preserve">macroeconomic policy on stock market volatility. </w:t>
      </w:r>
      <w:r w:rsidR="009B66CB" w:rsidRPr="008573D2">
        <w:rPr>
          <w:rFonts w:ascii="Times New Roman" w:hAnsi="Times New Roman" w:cs="Times New Roman"/>
          <w:sz w:val="24"/>
          <w:szCs w:val="24"/>
        </w:rPr>
        <w:t xml:space="preserve">We </w:t>
      </w:r>
      <w:r w:rsidR="00993067" w:rsidRPr="008573D2">
        <w:rPr>
          <w:rFonts w:ascii="Times New Roman" w:hAnsi="Times New Roman" w:cs="Times New Roman"/>
          <w:sz w:val="24"/>
          <w:szCs w:val="24"/>
        </w:rPr>
        <w:t>suggest</w:t>
      </w:r>
      <w:r w:rsidR="00DC214A" w:rsidRPr="008573D2">
        <w:rPr>
          <w:rFonts w:ascii="Times New Roman" w:hAnsi="Times New Roman" w:cs="Times New Roman"/>
          <w:sz w:val="24"/>
          <w:szCs w:val="24"/>
        </w:rPr>
        <w:t xml:space="preserve"> </w:t>
      </w:r>
      <w:r w:rsidR="009B66CB" w:rsidRPr="008573D2">
        <w:rPr>
          <w:rFonts w:ascii="Times New Roman" w:hAnsi="Times New Roman" w:cs="Times New Roman"/>
          <w:sz w:val="24"/>
          <w:szCs w:val="24"/>
        </w:rPr>
        <w:t xml:space="preserve">that </w:t>
      </w:r>
      <w:r w:rsidR="00F72A4A" w:rsidRPr="008573D2">
        <w:rPr>
          <w:rFonts w:ascii="Times New Roman" w:hAnsi="Times New Roman" w:cs="Times New Roman"/>
          <w:sz w:val="24"/>
          <w:szCs w:val="24"/>
        </w:rPr>
        <w:t>monetary policy adjustment</w:t>
      </w:r>
      <w:r w:rsidR="00993067" w:rsidRPr="008573D2">
        <w:rPr>
          <w:rFonts w:ascii="Times New Roman" w:hAnsi="Times New Roman" w:cs="Times New Roman"/>
          <w:sz w:val="24"/>
          <w:szCs w:val="24"/>
        </w:rPr>
        <w:t>s</w:t>
      </w:r>
      <w:r w:rsidR="00F72A4A" w:rsidRPr="008573D2">
        <w:rPr>
          <w:rFonts w:ascii="Times New Roman" w:hAnsi="Times New Roman" w:cs="Times New Roman"/>
          <w:sz w:val="24"/>
          <w:szCs w:val="24"/>
        </w:rPr>
        <w:t xml:space="preserve"> such as a reduction in bank rate could be helpful for coming out of </w:t>
      </w:r>
      <w:r w:rsidR="00993067" w:rsidRPr="008573D2">
        <w:rPr>
          <w:rFonts w:ascii="Times New Roman" w:hAnsi="Times New Roman" w:cs="Times New Roman"/>
          <w:sz w:val="24"/>
          <w:szCs w:val="24"/>
        </w:rPr>
        <w:t xml:space="preserve">the </w:t>
      </w:r>
      <w:r w:rsidR="00F72A4A" w:rsidRPr="008573D2">
        <w:rPr>
          <w:rFonts w:ascii="Times New Roman" w:hAnsi="Times New Roman" w:cs="Times New Roman"/>
          <w:sz w:val="24"/>
          <w:szCs w:val="24"/>
        </w:rPr>
        <w:t>economic constraint</w:t>
      </w:r>
      <w:r w:rsidR="00993067" w:rsidRPr="008573D2">
        <w:rPr>
          <w:rFonts w:ascii="Times New Roman" w:hAnsi="Times New Roman" w:cs="Times New Roman"/>
          <w:sz w:val="24"/>
          <w:szCs w:val="24"/>
        </w:rPr>
        <w:t>s</w:t>
      </w:r>
      <w:r w:rsidR="00F72A4A" w:rsidRPr="008573D2">
        <w:rPr>
          <w:rFonts w:ascii="Times New Roman" w:hAnsi="Times New Roman" w:cs="Times New Roman"/>
          <w:sz w:val="24"/>
          <w:szCs w:val="24"/>
        </w:rPr>
        <w:t xml:space="preserve"> </w:t>
      </w:r>
      <w:r w:rsidR="00993067" w:rsidRPr="008573D2">
        <w:rPr>
          <w:rFonts w:ascii="Times New Roman" w:hAnsi="Times New Roman" w:cs="Times New Roman"/>
          <w:sz w:val="24"/>
          <w:szCs w:val="24"/>
        </w:rPr>
        <w:t>caused</w:t>
      </w:r>
      <w:r w:rsidR="00DC214A" w:rsidRPr="008573D2">
        <w:rPr>
          <w:rFonts w:ascii="Times New Roman" w:hAnsi="Times New Roman" w:cs="Times New Roman"/>
          <w:sz w:val="24"/>
          <w:szCs w:val="24"/>
        </w:rPr>
        <w:t xml:space="preserve"> </w:t>
      </w:r>
      <w:r w:rsidR="00F72A4A" w:rsidRPr="008573D2">
        <w:rPr>
          <w:rFonts w:ascii="Times New Roman" w:hAnsi="Times New Roman" w:cs="Times New Roman"/>
          <w:sz w:val="24"/>
          <w:szCs w:val="24"/>
        </w:rPr>
        <w:t xml:space="preserve">by </w:t>
      </w:r>
      <w:r w:rsidR="00993067" w:rsidRPr="008573D2">
        <w:rPr>
          <w:rFonts w:ascii="Times New Roman" w:hAnsi="Times New Roman" w:cs="Times New Roman"/>
          <w:sz w:val="24"/>
          <w:szCs w:val="24"/>
        </w:rPr>
        <w:t xml:space="preserve">the </w:t>
      </w:r>
      <w:r w:rsidR="00F72A4A" w:rsidRPr="008573D2">
        <w:rPr>
          <w:rFonts w:ascii="Times New Roman" w:hAnsi="Times New Roman" w:cs="Times New Roman"/>
          <w:sz w:val="24"/>
          <w:szCs w:val="24"/>
        </w:rPr>
        <w:t>exogenous shock. However, chang</w:t>
      </w:r>
      <w:r w:rsidR="00993067" w:rsidRPr="008573D2">
        <w:rPr>
          <w:rFonts w:ascii="Times New Roman" w:hAnsi="Times New Roman" w:cs="Times New Roman"/>
          <w:sz w:val="24"/>
          <w:szCs w:val="24"/>
        </w:rPr>
        <w:t>ing</w:t>
      </w:r>
      <w:r w:rsidR="00F72A4A" w:rsidRPr="008573D2">
        <w:rPr>
          <w:rFonts w:ascii="Times New Roman" w:hAnsi="Times New Roman" w:cs="Times New Roman"/>
          <w:sz w:val="24"/>
          <w:szCs w:val="24"/>
        </w:rPr>
        <w:t xml:space="preserve"> policy rates during uncertain time</w:t>
      </w:r>
      <w:r w:rsidR="00993067" w:rsidRPr="008573D2">
        <w:rPr>
          <w:rFonts w:ascii="Times New Roman" w:hAnsi="Times New Roman" w:cs="Times New Roman"/>
          <w:sz w:val="24"/>
          <w:szCs w:val="24"/>
        </w:rPr>
        <w:t>s</w:t>
      </w:r>
      <w:r w:rsidR="00F72A4A" w:rsidRPr="008573D2">
        <w:rPr>
          <w:rFonts w:ascii="Times New Roman" w:hAnsi="Times New Roman" w:cs="Times New Roman"/>
          <w:sz w:val="24"/>
          <w:szCs w:val="24"/>
        </w:rPr>
        <w:t xml:space="preserve"> may be </w:t>
      </w:r>
      <w:r w:rsidR="003E2B80" w:rsidRPr="008573D2">
        <w:rPr>
          <w:rFonts w:ascii="Times New Roman" w:hAnsi="Times New Roman" w:cs="Times New Roman"/>
          <w:sz w:val="24"/>
          <w:szCs w:val="24"/>
        </w:rPr>
        <w:t>considered</w:t>
      </w:r>
      <w:r w:rsidR="00F72A4A" w:rsidRPr="008573D2">
        <w:rPr>
          <w:rFonts w:ascii="Times New Roman" w:hAnsi="Times New Roman" w:cs="Times New Roman"/>
          <w:sz w:val="24"/>
          <w:szCs w:val="24"/>
        </w:rPr>
        <w:t xml:space="preserve"> </w:t>
      </w:r>
      <w:r w:rsidR="003E2B80" w:rsidRPr="008573D2">
        <w:rPr>
          <w:rFonts w:ascii="Times New Roman" w:hAnsi="Times New Roman" w:cs="Times New Roman"/>
          <w:sz w:val="24"/>
          <w:szCs w:val="24"/>
        </w:rPr>
        <w:t xml:space="preserve">as </w:t>
      </w:r>
      <w:r w:rsidR="00F72A4A" w:rsidRPr="008573D2">
        <w:rPr>
          <w:rFonts w:ascii="Times New Roman" w:hAnsi="Times New Roman" w:cs="Times New Roman"/>
          <w:sz w:val="24"/>
          <w:szCs w:val="24"/>
        </w:rPr>
        <w:t xml:space="preserve">a sign of </w:t>
      </w:r>
      <w:r w:rsidR="00993067" w:rsidRPr="008573D2">
        <w:rPr>
          <w:rFonts w:ascii="Times New Roman" w:hAnsi="Times New Roman" w:cs="Times New Roman"/>
          <w:sz w:val="24"/>
          <w:szCs w:val="24"/>
        </w:rPr>
        <w:t xml:space="preserve">a </w:t>
      </w:r>
      <w:r w:rsidR="00F72A4A" w:rsidRPr="008573D2">
        <w:rPr>
          <w:rFonts w:ascii="Times New Roman" w:hAnsi="Times New Roman" w:cs="Times New Roman"/>
          <w:sz w:val="24"/>
          <w:szCs w:val="24"/>
        </w:rPr>
        <w:t xml:space="preserve">gloomy future </w:t>
      </w:r>
      <w:r w:rsidR="00993067" w:rsidRPr="008573D2">
        <w:rPr>
          <w:rFonts w:ascii="Times New Roman" w:hAnsi="Times New Roman" w:cs="Times New Roman"/>
          <w:sz w:val="24"/>
          <w:szCs w:val="24"/>
        </w:rPr>
        <w:t>with</w:t>
      </w:r>
      <w:r w:rsidR="00F72A4A" w:rsidRPr="008573D2">
        <w:rPr>
          <w:rFonts w:ascii="Times New Roman" w:hAnsi="Times New Roman" w:cs="Times New Roman"/>
          <w:sz w:val="24"/>
          <w:szCs w:val="24"/>
        </w:rPr>
        <w:t xml:space="preserve"> more uncertainty</w:t>
      </w:r>
      <w:r w:rsidR="00993067" w:rsidRPr="008573D2">
        <w:rPr>
          <w:rFonts w:ascii="Times New Roman" w:hAnsi="Times New Roman" w:cs="Times New Roman"/>
          <w:sz w:val="24"/>
          <w:szCs w:val="24"/>
        </w:rPr>
        <w:t>,</w:t>
      </w:r>
      <w:r w:rsidR="00F72A4A" w:rsidRPr="008573D2">
        <w:rPr>
          <w:rFonts w:ascii="Times New Roman" w:hAnsi="Times New Roman" w:cs="Times New Roman"/>
          <w:sz w:val="24"/>
          <w:szCs w:val="24"/>
        </w:rPr>
        <w:t xml:space="preserve"> and </w:t>
      </w:r>
      <w:r w:rsidR="00993067" w:rsidRPr="008573D2">
        <w:rPr>
          <w:rFonts w:ascii="Times New Roman" w:hAnsi="Times New Roman" w:cs="Times New Roman"/>
          <w:sz w:val="24"/>
          <w:szCs w:val="24"/>
        </w:rPr>
        <w:t xml:space="preserve">could </w:t>
      </w:r>
      <w:r w:rsidR="00F72A4A" w:rsidRPr="008573D2">
        <w:rPr>
          <w:rFonts w:ascii="Times New Roman" w:hAnsi="Times New Roman" w:cs="Times New Roman"/>
          <w:sz w:val="24"/>
          <w:szCs w:val="24"/>
        </w:rPr>
        <w:t>therefore</w:t>
      </w:r>
      <w:r w:rsidR="00DC214A" w:rsidRPr="008573D2">
        <w:rPr>
          <w:rFonts w:ascii="Times New Roman" w:hAnsi="Times New Roman" w:cs="Times New Roman"/>
          <w:sz w:val="24"/>
          <w:szCs w:val="24"/>
        </w:rPr>
        <w:t xml:space="preserve"> </w:t>
      </w:r>
      <w:r w:rsidR="00F72A4A" w:rsidRPr="008573D2">
        <w:rPr>
          <w:rFonts w:ascii="Times New Roman" w:hAnsi="Times New Roman" w:cs="Times New Roman"/>
          <w:sz w:val="24"/>
          <w:szCs w:val="24"/>
        </w:rPr>
        <w:t xml:space="preserve">trigger more volatility in </w:t>
      </w:r>
      <w:r w:rsidR="00993067" w:rsidRPr="008573D2">
        <w:rPr>
          <w:rFonts w:ascii="Times New Roman" w:hAnsi="Times New Roman" w:cs="Times New Roman"/>
          <w:sz w:val="24"/>
          <w:szCs w:val="24"/>
        </w:rPr>
        <w:t xml:space="preserve">the </w:t>
      </w:r>
      <w:r w:rsidR="00F72A4A" w:rsidRPr="008573D2">
        <w:rPr>
          <w:rFonts w:ascii="Times New Roman" w:hAnsi="Times New Roman" w:cs="Times New Roman"/>
          <w:sz w:val="24"/>
          <w:szCs w:val="24"/>
        </w:rPr>
        <w:t>stock market.</w:t>
      </w:r>
      <w:r w:rsidR="009B66CB" w:rsidRPr="008573D2">
        <w:rPr>
          <w:rStyle w:val="FootnoteReference"/>
          <w:rFonts w:ascii="Times New Roman" w:hAnsi="Times New Roman" w:cs="Times New Roman"/>
          <w:sz w:val="24"/>
          <w:szCs w:val="24"/>
        </w:rPr>
        <w:footnoteReference w:id="4"/>
      </w:r>
      <w:r w:rsidR="00F72A4A" w:rsidRPr="008573D2">
        <w:rPr>
          <w:rFonts w:ascii="Times New Roman" w:hAnsi="Times New Roman" w:cs="Times New Roman"/>
          <w:sz w:val="24"/>
          <w:szCs w:val="24"/>
        </w:rPr>
        <w:t xml:space="preserve"> </w:t>
      </w:r>
      <w:r w:rsidR="004725E9" w:rsidRPr="008573D2">
        <w:rPr>
          <w:rFonts w:ascii="Times New Roman" w:hAnsi="Times New Roman" w:cs="Times New Roman"/>
          <w:sz w:val="24"/>
          <w:szCs w:val="24"/>
        </w:rPr>
        <w:t>Fourth, w</w:t>
      </w:r>
      <w:r w:rsidR="00644FEB" w:rsidRPr="008573D2">
        <w:rPr>
          <w:rFonts w:ascii="Times New Roman" w:hAnsi="Times New Roman" w:cs="Times New Roman"/>
          <w:sz w:val="24"/>
          <w:szCs w:val="24"/>
        </w:rPr>
        <w:t xml:space="preserve">e also have examined the effectiveness of health system development </w:t>
      </w:r>
      <w:r w:rsidR="00993067" w:rsidRPr="008573D2">
        <w:rPr>
          <w:rFonts w:ascii="Times New Roman" w:hAnsi="Times New Roman" w:cs="Times New Roman"/>
          <w:sz w:val="24"/>
          <w:szCs w:val="24"/>
        </w:rPr>
        <w:t>in</w:t>
      </w:r>
      <w:r w:rsidR="00644FEB" w:rsidRPr="008573D2">
        <w:rPr>
          <w:rFonts w:ascii="Times New Roman" w:hAnsi="Times New Roman" w:cs="Times New Roman"/>
          <w:sz w:val="24"/>
          <w:szCs w:val="24"/>
        </w:rPr>
        <w:t xml:space="preserve"> help</w:t>
      </w:r>
      <w:r w:rsidR="00993067" w:rsidRPr="008573D2">
        <w:rPr>
          <w:rFonts w:ascii="Times New Roman" w:hAnsi="Times New Roman" w:cs="Times New Roman"/>
          <w:sz w:val="24"/>
          <w:szCs w:val="24"/>
        </w:rPr>
        <w:t>ing</w:t>
      </w:r>
      <w:r w:rsidR="00644FEB" w:rsidRPr="008573D2">
        <w:rPr>
          <w:rFonts w:ascii="Times New Roman" w:hAnsi="Times New Roman" w:cs="Times New Roman"/>
          <w:sz w:val="24"/>
          <w:szCs w:val="24"/>
        </w:rPr>
        <w:t xml:space="preserve"> </w:t>
      </w:r>
      <w:r w:rsidR="00993067" w:rsidRPr="008573D2">
        <w:rPr>
          <w:rFonts w:ascii="Times New Roman" w:hAnsi="Times New Roman" w:cs="Times New Roman"/>
          <w:sz w:val="24"/>
          <w:szCs w:val="24"/>
        </w:rPr>
        <w:t xml:space="preserve">to </w:t>
      </w:r>
      <w:r w:rsidR="00644FEB" w:rsidRPr="008573D2">
        <w:rPr>
          <w:rFonts w:ascii="Times New Roman" w:hAnsi="Times New Roman" w:cs="Times New Roman"/>
          <w:sz w:val="24"/>
          <w:szCs w:val="24"/>
        </w:rPr>
        <w:t xml:space="preserve">reduce market volatility. </w:t>
      </w:r>
      <w:r w:rsidR="00993067" w:rsidRPr="008573D2">
        <w:rPr>
          <w:rFonts w:ascii="Times New Roman" w:hAnsi="Times New Roman" w:cs="Times New Roman"/>
          <w:sz w:val="24"/>
          <w:szCs w:val="24"/>
        </w:rPr>
        <w:t xml:space="preserve">The </w:t>
      </w:r>
      <w:r w:rsidR="00644FEB" w:rsidRPr="008573D2">
        <w:rPr>
          <w:rFonts w:ascii="Times New Roman" w:hAnsi="Times New Roman" w:cs="Times New Roman"/>
          <w:sz w:val="24"/>
          <w:szCs w:val="24"/>
        </w:rPr>
        <w:t xml:space="preserve">COVID-19 pandemic has created </w:t>
      </w:r>
      <w:r w:rsidR="00993067" w:rsidRPr="008573D2">
        <w:rPr>
          <w:rFonts w:ascii="Times New Roman" w:hAnsi="Times New Roman" w:cs="Times New Roman"/>
          <w:sz w:val="24"/>
          <w:szCs w:val="24"/>
        </w:rPr>
        <w:t xml:space="preserve">a </w:t>
      </w:r>
      <w:r w:rsidR="00644FEB" w:rsidRPr="008573D2">
        <w:rPr>
          <w:rFonts w:ascii="Times New Roman" w:hAnsi="Times New Roman" w:cs="Times New Roman"/>
          <w:sz w:val="24"/>
          <w:szCs w:val="24"/>
        </w:rPr>
        <w:t>fear of infection and death among people. A sound, effective and robust health system should give people assurance and confidence. Anecdotal evidence suggests that</w:t>
      </w:r>
      <w:r w:rsidR="005F416D" w:rsidRPr="008573D2">
        <w:rPr>
          <w:rFonts w:ascii="Times New Roman" w:hAnsi="Times New Roman" w:cs="Times New Roman"/>
          <w:sz w:val="24"/>
          <w:szCs w:val="24"/>
        </w:rPr>
        <w:t>,</w:t>
      </w:r>
      <w:r w:rsidR="00644FEB" w:rsidRPr="008573D2">
        <w:rPr>
          <w:rFonts w:ascii="Times New Roman" w:hAnsi="Times New Roman" w:cs="Times New Roman"/>
          <w:sz w:val="24"/>
          <w:szCs w:val="24"/>
        </w:rPr>
        <w:t xml:space="preserve"> while most sectors </w:t>
      </w:r>
      <w:r w:rsidR="005F416D" w:rsidRPr="008573D2">
        <w:rPr>
          <w:rFonts w:ascii="Times New Roman" w:hAnsi="Times New Roman" w:cs="Times New Roman"/>
          <w:sz w:val="24"/>
          <w:szCs w:val="24"/>
        </w:rPr>
        <w:t xml:space="preserve">have </w:t>
      </w:r>
      <w:r w:rsidR="00644FEB" w:rsidRPr="008573D2">
        <w:rPr>
          <w:rFonts w:ascii="Times New Roman" w:hAnsi="Times New Roman" w:cs="Times New Roman"/>
          <w:sz w:val="24"/>
          <w:szCs w:val="24"/>
        </w:rPr>
        <w:t>fac</w:t>
      </w:r>
      <w:r w:rsidR="00993067" w:rsidRPr="008573D2">
        <w:rPr>
          <w:rFonts w:ascii="Times New Roman" w:hAnsi="Times New Roman" w:cs="Times New Roman"/>
          <w:sz w:val="24"/>
          <w:szCs w:val="24"/>
        </w:rPr>
        <w:t>ed</w:t>
      </w:r>
      <w:r w:rsidR="00644FEB" w:rsidRPr="008573D2">
        <w:rPr>
          <w:rFonts w:ascii="Times New Roman" w:hAnsi="Times New Roman" w:cs="Times New Roman"/>
          <w:sz w:val="24"/>
          <w:szCs w:val="24"/>
        </w:rPr>
        <w:t xml:space="preserve"> negative return shock</w:t>
      </w:r>
      <w:r w:rsidR="00993067" w:rsidRPr="008573D2">
        <w:rPr>
          <w:rFonts w:ascii="Times New Roman" w:hAnsi="Times New Roman" w:cs="Times New Roman"/>
          <w:sz w:val="24"/>
          <w:szCs w:val="24"/>
        </w:rPr>
        <w:t>s</w:t>
      </w:r>
      <w:r w:rsidR="00644FEB" w:rsidRPr="008573D2">
        <w:rPr>
          <w:rFonts w:ascii="Times New Roman" w:hAnsi="Times New Roman" w:cs="Times New Roman"/>
          <w:sz w:val="24"/>
          <w:szCs w:val="24"/>
        </w:rPr>
        <w:t xml:space="preserve"> in recent times, </w:t>
      </w:r>
      <w:r w:rsidR="00993067" w:rsidRPr="008573D2">
        <w:rPr>
          <w:rFonts w:ascii="Times New Roman" w:hAnsi="Times New Roman" w:cs="Times New Roman"/>
          <w:sz w:val="24"/>
          <w:szCs w:val="24"/>
        </w:rPr>
        <w:t xml:space="preserve">the </w:t>
      </w:r>
      <w:r w:rsidR="00644FEB" w:rsidRPr="008573D2">
        <w:rPr>
          <w:rFonts w:ascii="Times New Roman" w:hAnsi="Times New Roman" w:cs="Times New Roman"/>
          <w:sz w:val="24"/>
          <w:szCs w:val="24"/>
        </w:rPr>
        <w:t xml:space="preserve">healthcare sector has </w:t>
      </w:r>
      <w:r w:rsidR="00993067" w:rsidRPr="008573D2">
        <w:rPr>
          <w:rFonts w:ascii="Times New Roman" w:hAnsi="Times New Roman" w:cs="Times New Roman"/>
          <w:sz w:val="24"/>
          <w:szCs w:val="24"/>
        </w:rPr>
        <w:t xml:space="preserve">seen </w:t>
      </w:r>
      <w:r w:rsidR="00644FEB" w:rsidRPr="008573D2">
        <w:rPr>
          <w:rFonts w:ascii="Times New Roman" w:hAnsi="Times New Roman" w:cs="Times New Roman"/>
          <w:sz w:val="24"/>
          <w:szCs w:val="24"/>
        </w:rPr>
        <w:t xml:space="preserve">the opposite. </w:t>
      </w:r>
      <w:r w:rsidR="00401E44" w:rsidRPr="008573D2">
        <w:rPr>
          <w:rFonts w:ascii="Times New Roman" w:hAnsi="Times New Roman" w:cs="Times New Roman"/>
          <w:sz w:val="24"/>
          <w:szCs w:val="24"/>
        </w:rPr>
        <w:t xml:space="preserve">Baker et al. (2019) state that </w:t>
      </w:r>
      <w:r w:rsidR="005F416D" w:rsidRPr="008573D2">
        <w:rPr>
          <w:rFonts w:ascii="Times New Roman" w:hAnsi="Times New Roman" w:cs="Times New Roman"/>
          <w:sz w:val="24"/>
          <w:szCs w:val="24"/>
        </w:rPr>
        <w:t xml:space="preserve">an </w:t>
      </w:r>
      <w:r w:rsidR="00401E44" w:rsidRPr="008573D2">
        <w:rPr>
          <w:rFonts w:ascii="Times New Roman" w:hAnsi="Times New Roman" w:cs="Times New Roman"/>
          <w:sz w:val="24"/>
          <w:szCs w:val="24"/>
        </w:rPr>
        <w:t xml:space="preserve">effective health policy is in the list of issues that contribute to stock market volatility. </w:t>
      </w:r>
      <w:r w:rsidR="009B66CB" w:rsidRPr="008573D2">
        <w:rPr>
          <w:rFonts w:ascii="Times New Roman" w:hAnsi="Times New Roman" w:cs="Times New Roman"/>
          <w:sz w:val="24"/>
          <w:szCs w:val="24"/>
        </w:rPr>
        <w:t>Finally</w:t>
      </w:r>
      <w:r w:rsidR="004725E9" w:rsidRPr="008573D2">
        <w:rPr>
          <w:rFonts w:ascii="Times New Roman" w:hAnsi="Times New Roman" w:cs="Times New Roman"/>
          <w:sz w:val="24"/>
          <w:szCs w:val="24"/>
        </w:rPr>
        <w:t>,</w:t>
      </w:r>
      <w:r w:rsidR="009B66CB" w:rsidRPr="008573D2">
        <w:rPr>
          <w:rFonts w:ascii="Times New Roman" w:hAnsi="Times New Roman" w:cs="Times New Roman"/>
          <w:sz w:val="24"/>
          <w:szCs w:val="24"/>
        </w:rPr>
        <w:t xml:space="preserve"> instead of examining return and volatility changes and </w:t>
      </w:r>
      <w:r w:rsidR="00993067" w:rsidRPr="008573D2">
        <w:rPr>
          <w:rFonts w:ascii="Times New Roman" w:hAnsi="Times New Roman" w:cs="Times New Roman"/>
          <w:sz w:val="24"/>
          <w:szCs w:val="24"/>
        </w:rPr>
        <w:t xml:space="preserve">the </w:t>
      </w:r>
      <w:r w:rsidR="009B66CB" w:rsidRPr="008573D2">
        <w:rPr>
          <w:rFonts w:ascii="Times New Roman" w:hAnsi="Times New Roman" w:cs="Times New Roman"/>
          <w:sz w:val="24"/>
          <w:szCs w:val="24"/>
        </w:rPr>
        <w:t>contagion effect of pandemics</w:t>
      </w:r>
      <w:r w:rsidR="00993067" w:rsidRPr="008573D2">
        <w:rPr>
          <w:rFonts w:ascii="Times New Roman" w:hAnsi="Times New Roman" w:cs="Times New Roman"/>
          <w:sz w:val="24"/>
          <w:szCs w:val="24"/>
        </w:rPr>
        <w:t>, as</w:t>
      </w:r>
      <w:r w:rsidR="009B66CB" w:rsidRPr="008573D2">
        <w:rPr>
          <w:rFonts w:ascii="Times New Roman" w:hAnsi="Times New Roman" w:cs="Times New Roman"/>
          <w:sz w:val="24"/>
          <w:szCs w:val="24"/>
        </w:rPr>
        <w:t xml:space="preserve"> recent papers</w:t>
      </w:r>
      <w:r w:rsidR="00993067" w:rsidRPr="008573D2">
        <w:rPr>
          <w:rFonts w:ascii="Times New Roman" w:hAnsi="Times New Roman" w:cs="Times New Roman"/>
          <w:sz w:val="24"/>
          <w:szCs w:val="24"/>
        </w:rPr>
        <w:t xml:space="preserve"> have done</w:t>
      </w:r>
      <w:r w:rsidR="009B66CB" w:rsidRPr="008573D2">
        <w:rPr>
          <w:rFonts w:ascii="Times New Roman" w:hAnsi="Times New Roman" w:cs="Times New Roman"/>
          <w:sz w:val="24"/>
          <w:szCs w:val="24"/>
        </w:rPr>
        <w:t>,</w:t>
      </w:r>
      <w:r w:rsidR="009B66CB" w:rsidRPr="008573D2">
        <w:rPr>
          <w:rStyle w:val="FootnoteReference"/>
          <w:rFonts w:ascii="Times New Roman" w:hAnsi="Times New Roman" w:cs="Times New Roman"/>
          <w:sz w:val="24"/>
          <w:szCs w:val="24"/>
        </w:rPr>
        <w:footnoteReference w:id="5"/>
      </w:r>
      <w:r w:rsidR="009B66CB" w:rsidRPr="008573D2">
        <w:rPr>
          <w:rFonts w:ascii="Times New Roman" w:hAnsi="Times New Roman" w:cs="Times New Roman"/>
          <w:sz w:val="24"/>
          <w:szCs w:val="24"/>
        </w:rPr>
        <w:t xml:space="preserve"> we examine the relevant economic factors that may help to minimi</w:t>
      </w:r>
      <w:r w:rsidR="00DC214A" w:rsidRPr="008573D2">
        <w:rPr>
          <w:rFonts w:ascii="Times New Roman" w:hAnsi="Times New Roman" w:cs="Times New Roman"/>
          <w:sz w:val="24"/>
          <w:szCs w:val="24"/>
        </w:rPr>
        <w:t>s</w:t>
      </w:r>
      <w:r w:rsidR="009B66CB" w:rsidRPr="008573D2">
        <w:rPr>
          <w:rFonts w:ascii="Times New Roman" w:hAnsi="Times New Roman" w:cs="Times New Roman"/>
          <w:sz w:val="24"/>
          <w:szCs w:val="24"/>
        </w:rPr>
        <w:t xml:space="preserve">e volatility. Examining these factors is important as there is </w:t>
      </w:r>
      <w:r w:rsidR="00993067" w:rsidRPr="008573D2">
        <w:rPr>
          <w:rFonts w:ascii="Times New Roman" w:hAnsi="Times New Roman" w:cs="Times New Roman"/>
          <w:sz w:val="24"/>
          <w:szCs w:val="24"/>
        </w:rPr>
        <w:t>a</w:t>
      </w:r>
      <w:r w:rsidR="009B66CB" w:rsidRPr="008573D2">
        <w:rPr>
          <w:rFonts w:ascii="Times New Roman" w:hAnsi="Times New Roman" w:cs="Times New Roman"/>
          <w:sz w:val="24"/>
          <w:szCs w:val="24"/>
        </w:rPr>
        <w:t xml:space="preserve"> possibility of </w:t>
      </w:r>
      <w:r w:rsidR="004C3C40" w:rsidRPr="008573D2">
        <w:rPr>
          <w:rFonts w:ascii="Times New Roman" w:hAnsi="Times New Roman" w:cs="Times New Roman"/>
          <w:sz w:val="24"/>
          <w:szCs w:val="24"/>
        </w:rPr>
        <w:t>another</w:t>
      </w:r>
      <w:r w:rsidR="009B66CB" w:rsidRPr="008573D2">
        <w:rPr>
          <w:rFonts w:ascii="Times New Roman" w:hAnsi="Times New Roman" w:cs="Times New Roman"/>
          <w:sz w:val="24"/>
          <w:szCs w:val="24"/>
        </w:rPr>
        <w:t xml:space="preserve"> wave of virus outbreak</w:t>
      </w:r>
      <w:r w:rsidR="00CF6387" w:rsidRPr="008573D2">
        <w:rPr>
          <w:rFonts w:ascii="Times New Roman" w:hAnsi="Times New Roman" w:cs="Times New Roman"/>
          <w:sz w:val="24"/>
          <w:szCs w:val="24"/>
        </w:rPr>
        <w:t>,</w:t>
      </w:r>
      <w:r w:rsidR="009B66CB" w:rsidRPr="008573D2">
        <w:rPr>
          <w:rFonts w:ascii="Times New Roman" w:hAnsi="Times New Roman" w:cs="Times New Roman"/>
          <w:sz w:val="24"/>
          <w:szCs w:val="24"/>
        </w:rPr>
        <w:t xml:space="preserve"> which might lead us to persistent higher stock market volatility in </w:t>
      </w:r>
      <w:r w:rsidR="005F416D" w:rsidRPr="008573D2">
        <w:rPr>
          <w:rFonts w:ascii="Times New Roman" w:hAnsi="Times New Roman" w:cs="Times New Roman"/>
          <w:sz w:val="24"/>
          <w:szCs w:val="24"/>
        </w:rPr>
        <w:t xml:space="preserve">the </w:t>
      </w:r>
      <w:r w:rsidR="009B66CB" w:rsidRPr="008573D2">
        <w:rPr>
          <w:rFonts w:ascii="Times New Roman" w:hAnsi="Times New Roman" w:cs="Times New Roman"/>
          <w:sz w:val="24"/>
          <w:szCs w:val="24"/>
        </w:rPr>
        <w:t xml:space="preserve">coming </w:t>
      </w:r>
      <w:r w:rsidR="00993067" w:rsidRPr="008573D2">
        <w:rPr>
          <w:rFonts w:ascii="Times New Roman" w:hAnsi="Times New Roman" w:cs="Times New Roman"/>
          <w:sz w:val="24"/>
          <w:szCs w:val="24"/>
        </w:rPr>
        <w:t>months</w:t>
      </w:r>
      <w:r w:rsidR="009B66CB" w:rsidRPr="008573D2">
        <w:rPr>
          <w:rFonts w:ascii="Times New Roman" w:hAnsi="Times New Roman" w:cs="Times New Roman"/>
          <w:sz w:val="24"/>
          <w:szCs w:val="24"/>
        </w:rPr>
        <w:t xml:space="preserve">. As higher volatility could lead us to </w:t>
      </w:r>
      <w:r w:rsidR="00993067" w:rsidRPr="008573D2">
        <w:rPr>
          <w:rFonts w:ascii="Times New Roman" w:hAnsi="Times New Roman" w:cs="Times New Roman"/>
          <w:sz w:val="24"/>
          <w:szCs w:val="24"/>
        </w:rPr>
        <w:t xml:space="preserve">a </w:t>
      </w:r>
      <w:r w:rsidR="009B66CB" w:rsidRPr="008573D2">
        <w:rPr>
          <w:rFonts w:ascii="Times New Roman" w:hAnsi="Times New Roman" w:cs="Times New Roman"/>
          <w:sz w:val="24"/>
          <w:szCs w:val="24"/>
        </w:rPr>
        <w:t xml:space="preserve">financial crisis, policymakers should focus on these factors to avoid any future fallout. </w:t>
      </w:r>
    </w:p>
    <w:p w14:paraId="428A4E47" w14:textId="7DC244DF" w:rsidR="00D65408" w:rsidRPr="008573D2" w:rsidRDefault="009B66CB" w:rsidP="00C475C3">
      <w:pPr>
        <w:spacing w:line="48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Our results show </w:t>
      </w:r>
      <w:r w:rsidR="00D66124" w:rsidRPr="008573D2">
        <w:rPr>
          <w:rFonts w:ascii="Times New Roman" w:hAnsi="Times New Roman" w:cs="Times New Roman"/>
          <w:sz w:val="24"/>
          <w:szCs w:val="24"/>
        </w:rPr>
        <w:t xml:space="preserve">that </w:t>
      </w:r>
      <w:r w:rsidR="00754524" w:rsidRPr="008573D2">
        <w:rPr>
          <w:rFonts w:ascii="Times New Roman" w:hAnsi="Times New Roman" w:cs="Times New Roman"/>
          <w:sz w:val="24"/>
          <w:szCs w:val="24"/>
        </w:rPr>
        <w:t xml:space="preserve">the </w:t>
      </w:r>
      <w:r w:rsidR="00964C2B" w:rsidRPr="008573D2">
        <w:rPr>
          <w:rFonts w:ascii="Times New Roman" w:hAnsi="Times New Roman" w:cs="Times New Roman"/>
          <w:sz w:val="24"/>
          <w:szCs w:val="24"/>
        </w:rPr>
        <w:t>COVID-19</w:t>
      </w:r>
      <w:r w:rsidR="00770451" w:rsidRPr="008573D2">
        <w:rPr>
          <w:rFonts w:ascii="Times New Roman" w:hAnsi="Times New Roman" w:cs="Times New Roman"/>
          <w:sz w:val="24"/>
          <w:szCs w:val="24"/>
        </w:rPr>
        <w:t xml:space="preserve"> pandemic has significantly increased stock market volatility across the world. However, </w:t>
      </w:r>
      <w:r w:rsidR="00D66124" w:rsidRPr="008573D2">
        <w:rPr>
          <w:rFonts w:ascii="Times New Roman" w:hAnsi="Times New Roman" w:cs="Times New Roman"/>
          <w:sz w:val="24"/>
          <w:szCs w:val="24"/>
        </w:rPr>
        <w:t xml:space="preserve">economic resilience, </w:t>
      </w:r>
      <w:r w:rsidR="00754524" w:rsidRPr="008573D2">
        <w:rPr>
          <w:rFonts w:ascii="Times New Roman" w:hAnsi="Times New Roman" w:cs="Times New Roman"/>
          <w:sz w:val="24"/>
          <w:szCs w:val="24"/>
        </w:rPr>
        <w:t xml:space="preserve">the </w:t>
      </w:r>
      <w:r w:rsidRPr="008573D2">
        <w:rPr>
          <w:rFonts w:ascii="Times New Roman" w:hAnsi="Times New Roman" w:cs="Times New Roman"/>
          <w:sz w:val="24"/>
          <w:szCs w:val="24"/>
        </w:rPr>
        <w:t xml:space="preserve">intensity of </w:t>
      </w:r>
      <w:r w:rsidR="00D66124" w:rsidRPr="008573D2">
        <w:rPr>
          <w:rFonts w:ascii="Times New Roman" w:hAnsi="Times New Roman" w:cs="Times New Roman"/>
          <w:sz w:val="24"/>
          <w:szCs w:val="24"/>
        </w:rPr>
        <w:t xml:space="preserve">capitalism, </w:t>
      </w:r>
      <w:r w:rsidR="00754524" w:rsidRPr="008573D2">
        <w:rPr>
          <w:rFonts w:ascii="Times New Roman" w:hAnsi="Times New Roman" w:cs="Times New Roman"/>
          <w:sz w:val="24"/>
          <w:szCs w:val="24"/>
        </w:rPr>
        <w:t xml:space="preserve">the </w:t>
      </w:r>
      <w:r w:rsidR="00D66124" w:rsidRPr="008573D2">
        <w:rPr>
          <w:rFonts w:ascii="Times New Roman" w:hAnsi="Times New Roman" w:cs="Times New Roman"/>
          <w:sz w:val="24"/>
          <w:szCs w:val="24"/>
        </w:rPr>
        <w:t xml:space="preserve">quality of corporate governance and </w:t>
      </w:r>
      <w:r w:rsidR="00754524" w:rsidRPr="008573D2">
        <w:rPr>
          <w:rFonts w:ascii="Times New Roman" w:hAnsi="Times New Roman" w:cs="Times New Roman"/>
          <w:sz w:val="24"/>
          <w:szCs w:val="24"/>
        </w:rPr>
        <w:t xml:space="preserve">the </w:t>
      </w:r>
      <w:r w:rsidR="00D66124" w:rsidRPr="008573D2">
        <w:rPr>
          <w:rFonts w:ascii="Times New Roman" w:hAnsi="Times New Roman" w:cs="Times New Roman"/>
          <w:sz w:val="24"/>
          <w:szCs w:val="24"/>
        </w:rPr>
        <w:t xml:space="preserve">level of financial development </w:t>
      </w:r>
      <w:r w:rsidR="00770451" w:rsidRPr="008573D2">
        <w:rPr>
          <w:rFonts w:ascii="Times New Roman" w:hAnsi="Times New Roman" w:cs="Times New Roman"/>
          <w:sz w:val="24"/>
          <w:szCs w:val="24"/>
        </w:rPr>
        <w:t>provide helpful support to reduce the excessive heat in global capital markets</w:t>
      </w:r>
      <w:r w:rsidR="00D66124" w:rsidRPr="008573D2">
        <w:rPr>
          <w:rFonts w:ascii="Times New Roman" w:hAnsi="Times New Roman" w:cs="Times New Roman"/>
          <w:sz w:val="24"/>
          <w:szCs w:val="24"/>
        </w:rPr>
        <w:t xml:space="preserve">. </w:t>
      </w:r>
      <w:r w:rsidR="00BF2061" w:rsidRPr="008573D2">
        <w:rPr>
          <w:rFonts w:ascii="Times New Roman" w:hAnsi="Times New Roman" w:cs="Times New Roman"/>
          <w:sz w:val="24"/>
          <w:szCs w:val="24"/>
        </w:rPr>
        <w:t xml:space="preserve">Our results confirm the differential </w:t>
      </w:r>
      <w:r w:rsidR="00517C3F" w:rsidRPr="008573D2">
        <w:rPr>
          <w:rFonts w:ascii="Times New Roman" w:hAnsi="Times New Roman" w:cs="Times New Roman"/>
          <w:sz w:val="24"/>
          <w:szCs w:val="24"/>
        </w:rPr>
        <w:t>policy response by developed and emerging countries. For example, w</w:t>
      </w:r>
      <w:r w:rsidR="007E20D9" w:rsidRPr="008573D2">
        <w:rPr>
          <w:rFonts w:ascii="Times New Roman" w:hAnsi="Times New Roman" w:cs="Times New Roman"/>
          <w:sz w:val="24"/>
          <w:szCs w:val="24"/>
        </w:rPr>
        <w:t xml:space="preserve">e have found robust evidence that </w:t>
      </w:r>
      <w:r w:rsidR="00754524" w:rsidRPr="008573D2">
        <w:rPr>
          <w:rFonts w:ascii="Times New Roman" w:hAnsi="Times New Roman" w:cs="Times New Roman"/>
          <w:sz w:val="24"/>
          <w:szCs w:val="24"/>
        </w:rPr>
        <w:t xml:space="preserve">an </w:t>
      </w:r>
      <w:r w:rsidR="007E20D9" w:rsidRPr="008573D2">
        <w:rPr>
          <w:rFonts w:ascii="Times New Roman" w:hAnsi="Times New Roman" w:cs="Times New Roman"/>
          <w:sz w:val="24"/>
          <w:szCs w:val="24"/>
        </w:rPr>
        <w:t>improved health system do</w:t>
      </w:r>
      <w:r w:rsidR="00754524" w:rsidRPr="008573D2">
        <w:rPr>
          <w:rFonts w:ascii="Times New Roman" w:hAnsi="Times New Roman" w:cs="Times New Roman"/>
          <w:sz w:val="24"/>
          <w:szCs w:val="24"/>
        </w:rPr>
        <w:t>es</w:t>
      </w:r>
      <w:r w:rsidR="007E20D9" w:rsidRPr="008573D2">
        <w:rPr>
          <w:rFonts w:ascii="Times New Roman" w:hAnsi="Times New Roman" w:cs="Times New Roman"/>
          <w:sz w:val="24"/>
          <w:szCs w:val="24"/>
        </w:rPr>
        <w:t xml:space="preserve"> help investors feel assured and thereby help</w:t>
      </w:r>
      <w:r w:rsidR="00754524" w:rsidRPr="008573D2">
        <w:rPr>
          <w:rFonts w:ascii="Times New Roman" w:hAnsi="Times New Roman" w:cs="Times New Roman"/>
          <w:sz w:val="24"/>
          <w:szCs w:val="24"/>
        </w:rPr>
        <w:t>s</w:t>
      </w:r>
      <w:r w:rsidR="007E20D9" w:rsidRPr="008573D2">
        <w:rPr>
          <w:rFonts w:ascii="Times New Roman" w:hAnsi="Times New Roman" w:cs="Times New Roman"/>
          <w:sz w:val="24"/>
          <w:szCs w:val="24"/>
        </w:rPr>
        <w:t xml:space="preserve"> to </w:t>
      </w:r>
      <w:r w:rsidR="007E20D9" w:rsidRPr="008573D2">
        <w:rPr>
          <w:rFonts w:ascii="Times New Roman" w:hAnsi="Times New Roman" w:cs="Times New Roman"/>
          <w:sz w:val="24"/>
          <w:szCs w:val="24"/>
        </w:rPr>
        <w:lastRenderedPageBreak/>
        <w:t>reduce market volatility</w:t>
      </w:r>
      <w:r w:rsidR="00754524" w:rsidRPr="008573D2">
        <w:rPr>
          <w:rFonts w:ascii="Times New Roman" w:hAnsi="Times New Roman" w:cs="Times New Roman"/>
          <w:sz w:val="24"/>
          <w:szCs w:val="24"/>
        </w:rPr>
        <w:t>,</w:t>
      </w:r>
      <w:r w:rsidR="00517C3F" w:rsidRPr="008573D2">
        <w:rPr>
          <w:rFonts w:ascii="Times New Roman" w:hAnsi="Times New Roman" w:cs="Times New Roman"/>
          <w:sz w:val="24"/>
          <w:szCs w:val="24"/>
        </w:rPr>
        <w:t xml:space="preserve"> and this effect is more prominent in emerging markets</w:t>
      </w:r>
      <w:r w:rsidR="007E20D9" w:rsidRPr="008573D2">
        <w:rPr>
          <w:rFonts w:ascii="Times New Roman" w:hAnsi="Times New Roman" w:cs="Times New Roman"/>
          <w:sz w:val="24"/>
          <w:szCs w:val="24"/>
        </w:rPr>
        <w:t xml:space="preserve">. </w:t>
      </w:r>
      <w:r w:rsidR="00A340DF" w:rsidRPr="008573D2">
        <w:rPr>
          <w:rFonts w:ascii="Times New Roman" w:hAnsi="Times New Roman" w:cs="Times New Roman"/>
          <w:sz w:val="24"/>
          <w:szCs w:val="24"/>
        </w:rPr>
        <w:t>Moreover, we have found that changing policy rate</w:t>
      </w:r>
      <w:r w:rsidR="00754524" w:rsidRPr="008573D2">
        <w:rPr>
          <w:rFonts w:ascii="Times New Roman" w:hAnsi="Times New Roman" w:cs="Times New Roman"/>
          <w:sz w:val="24"/>
          <w:szCs w:val="24"/>
        </w:rPr>
        <w:t>s</w:t>
      </w:r>
      <w:r w:rsidR="00A340DF" w:rsidRPr="008573D2">
        <w:rPr>
          <w:rFonts w:ascii="Times New Roman" w:hAnsi="Times New Roman" w:cs="Times New Roman"/>
          <w:sz w:val="24"/>
          <w:szCs w:val="24"/>
        </w:rPr>
        <w:t xml:space="preserve"> amid fear and uncertainty does not work very well</w:t>
      </w:r>
      <w:r w:rsidR="00517C3F" w:rsidRPr="008573D2">
        <w:rPr>
          <w:rFonts w:ascii="Times New Roman" w:hAnsi="Times New Roman" w:cs="Times New Roman"/>
          <w:sz w:val="24"/>
          <w:szCs w:val="24"/>
        </w:rPr>
        <w:t xml:space="preserve"> in developed markets</w:t>
      </w:r>
      <w:r w:rsidR="00754524" w:rsidRPr="008573D2">
        <w:rPr>
          <w:rFonts w:ascii="Times New Roman" w:hAnsi="Times New Roman" w:cs="Times New Roman"/>
          <w:sz w:val="24"/>
          <w:szCs w:val="24"/>
        </w:rPr>
        <w:t>,</w:t>
      </w:r>
      <w:r w:rsidR="00517C3F" w:rsidRPr="008573D2">
        <w:rPr>
          <w:rFonts w:ascii="Times New Roman" w:hAnsi="Times New Roman" w:cs="Times New Roman"/>
          <w:sz w:val="24"/>
          <w:szCs w:val="24"/>
        </w:rPr>
        <w:t xml:space="preserve"> but provide</w:t>
      </w:r>
      <w:r w:rsidR="00754524" w:rsidRPr="008573D2">
        <w:rPr>
          <w:rFonts w:ascii="Times New Roman" w:hAnsi="Times New Roman" w:cs="Times New Roman"/>
          <w:sz w:val="24"/>
          <w:szCs w:val="24"/>
        </w:rPr>
        <w:t>s</w:t>
      </w:r>
      <w:r w:rsidR="00517C3F" w:rsidRPr="008573D2">
        <w:rPr>
          <w:rFonts w:ascii="Times New Roman" w:hAnsi="Times New Roman" w:cs="Times New Roman"/>
          <w:sz w:val="24"/>
          <w:szCs w:val="24"/>
        </w:rPr>
        <w:t xml:space="preserve"> helpful support to stock markets in emerging countries</w:t>
      </w:r>
      <w:r w:rsidR="00A340DF" w:rsidRPr="008573D2">
        <w:rPr>
          <w:rFonts w:ascii="Times New Roman" w:hAnsi="Times New Roman" w:cs="Times New Roman"/>
          <w:sz w:val="24"/>
          <w:szCs w:val="24"/>
        </w:rPr>
        <w:t xml:space="preserve">. </w:t>
      </w:r>
      <w:r w:rsidRPr="008573D2">
        <w:rPr>
          <w:rFonts w:ascii="Times New Roman" w:hAnsi="Times New Roman" w:cs="Times New Roman"/>
          <w:sz w:val="24"/>
          <w:szCs w:val="24"/>
        </w:rPr>
        <w:t>The rest of the paper is organi</w:t>
      </w:r>
      <w:r w:rsidR="00DC214A" w:rsidRPr="008573D2">
        <w:rPr>
          <w:rFonts w:ascii="Times New Roman" w:hAnsi="Times New Roman" w:cs="Times New Roman"/>
          <w:sz w:val="24"/>
          <w:szCs w:val="24"/>
        </w:rPr>
        <w:t>s</w:t>
      </w:r>
      <w:r w:rsidRPr="008573D2">
        <w:rPr>
          <w:rFonts w:ascii="Times New Roman" w:hAnsi="Times New Roman" w:cs="Times New Roman"/>
          <w:sz w:val="24"/>
          <w:szCs w:val="24"/>
        </w:rPr>
        <w:t>ed as follows:</w:t>
      </w:r>
      <w:r w:rsidR="00DC214A" w:rsidRPr="008573D2">
        <w:rPr>
          <w:rFonts w:ascii="Times New Roman" w:hAnsi="Times New Roman" w:cs="Times New Roman"/>
          <w:sz w:val="24"/>
          <w:szCs w:val="24"/>
        </w:rPr>
        <w:t xml:space="preserve"> </w:t>
      </w:r>
      <w:r w:rsidRPr="008573D2">
        <w:rPr>
          <w:rFonts w:ascii="Times New Roman" w:hAnsi="Times New Roman" w:cs="Times New Roman"/>
          <w:sz w:val="24"/>
          <w:szCs w:val="24"/>
        </w:rPr>
        <w:t>S</w:t>
      </w:r>
      <w:r w:rsidR="00D65408" w:rsidRPr="008573D2">
        <w:rPr>
          <w:rFonts w:ascii="Times New Roman" w:hAnsi="Times New Roman" w:cs="Times New Roman"/>
          <w:sz w:val="24"/>
          <w:szCs w:val="24"/>
        </w:rPr>
        <w:t xml:space="preserve">ection </w:t>
      </w:r>
      <w:r w:rsidRPr="008573D2">
        <w:rPr>
          <w:rFonts w:ascii="Times New Roman" w:hAnsi="Times New Roman" w:cs="Times New Roman"/>
          <w:sz w:val="24"/>
          <w:szCs w:val="24"/>
        </w:rPr>
        <w:t xml:space="preserve">2 </w:t>
      </w:r>
      <w:r w:rsidR="00D65408" w:rsidRPr="008573D2">
        <w:rPr>
          <w:rFonts w:ascii="Times New Roman" w:hAnsi="Times New Roman" w:cs="Times New Roman"/>
          <w:sz w:val="24"/>
          <w:szCs w:val="24"/>
        </w:rPr>
        <w:t xml:space="preserve">describes </w:t>
      </w:r>
      <w:r w:rsidRPr="008573D2">
        <w:rPr>
          <w:rFonts w:ascii="Times New Roman" w:hAnsi="Times New Roman" w:cs="Times New Roman"/>
          <w:sz w:val="24"/>
          <w:szCs w:val="24"/>
        </w:rPr>
        <w:t xml:space="preserve">the </w:t>
      </w:r>
      <w:r w:rsidR="00D728D2" w:rsidRPr="008573D2">
        <w:rPr>
          <w:rFonts w:ascii="Times New Roman" w:hAnsi="Times New Roman" w:cs="Times New Roman"/>
          <w:sz w:val="24"/>
          <w:szCs w:val="24"/>
        </w:rPr>
        <w:t>data and methodology. In</w:t>
      </w:r>
      <w:r w:rsidR="00D65408" w:rsidRPr="008573D2">
        <w:rPr>
          <w:rFonts w:ascii="Times New Roman" w:hAnsi="Times New Roman" w:cs="Times New Roman"/>
          <w:sz w:val="24"/>
          <w:szCs w:val="24"/>
        </w:rPr>
        <w:t xml:space="preserve"> Section </w:t>
      </w:r>
      <w:r w:rsidR="00D728D2" w:rsidRPr="008573D2">
        <w:rPr>
          <w:rFonts w:ascii="Times New Roman" w:hAnsi="Times New Roman" w:cs="Times New Roman"/>
          <w:sz w:val="24"/>
          <w:szCs w:val="24"/>
        </w:rPr>
        <w:t xml:space="preserve">3, we present </w:t>
      </w:r>
      <w:r w:rsidR="00D65408" w:rsidRPr="008573D2">
        <w:rPr>
          <w:rFonts w:ascii="Times New Roman" w:hAnsi="Times New Roman" w:cs="Times New Roman"/>
          <w:sz w:val="24"/>
          <w:szCs w:val="24"/>
        </w:rPr>
        <w:t xml:space="preserve">the empirical findings and </w:t>
      </w:r>
      <w:r w:rsidR="00D728D2" w:rsidRPr="008573D2">
        <w:rPr>
          <w:rFonts w:ascii="Times New Roman" w:hAnsi="Times New Roman" w:cs="Times New Roman"/>
          <w:sz w:val="24"/>
          <w:szCs w:val="24"/>
        </w:rPr>
        <w:t>S</w:t>
      </w:r>
      <w:r w:rsidR="00D65408" w:rsidRPr="008573D2">
        <w:rPr>
          <w:rFonts w:ascii="Times New Roman" w:hAnsi="Times New Roman" w:cs="Times New Roman"/>
          <w:sz w:val="24"/>
          <w:szCs w:val="24"/>
        </w:rPr>
        <w:t xml:space="preserve">ection </w:t>
      </w:r>
      <w:r w:rsidR="00D728D2" w:rsidRPr="008573D2">
        <w:rPr>
          <w:rFonts w:ascii="Times New Roman" w:hAnsi="Times New Roman" w:cs="Times New Roman"/>
          <w:sz w:val="24"/>
          <w:szCs w:val="24"/>
        </w:rPr>
        <w:t>4 concludes.</w:t>
      </w:r>
    </w:p>
    <w:p w14:paraId="4D24FA23" w14:textId="77777777" w:rsidR="00D65408" w:rsidRPr="008573D2" w:rsidRDefault="00D65408" w:rsidP="00C475C3">
      <w:pPr>
        <w:spacing w:line="480" w:lineRule="auto"/>
        <w:rPr>
          <w:rFonts w:ascii="Times New Roman" w:hAnsi="Times New Roman" w:cs="Times New Roman"/>
        </w:rPr>
      </w:pPr>
    </w:p>
    <w:p w14:paraId="47305750" w14:textId="65FA4A2D" w:rsidR="00AC1F99" w:rsidRPr="008573D2" w:rsidRDefault="00BC6448" w:rsidP="00C475C3">
      <w:pPr>
        <w:spacing w:line="480" w:lineRule="auto"/>
        <w:rPr>
          <w:rFonts w:ascii="Times New Roman" w:hAnsi="Times New Roman" w:cs="Times New Roman"/>
          <w:b/>
          <w:bCs/>
          <w:sz w:val="24"/>
          <w:szCs w:val="24"/>
        </w:rPr>
      </w:pPr>
      <w:r w:rsidRPr="008573D2">
        <w:rPr>
          <w:rFonts w:ascii="Times New Roman" w:hAnsi="Times New Roman" w:cs="Times New Roman"/>
          <w:b/>
          <w:bCs/>
          <w:sz w:val="24"/>
          <w:szCs w:val="24"/>
        </w:rPr>
        <w:t xml:space="preserve">2. </w:t>
      </w:r>
      <w:r w:rsidR="00AC1F99" w:rsidRPr="008573D2">
        <w:rPr>
          <w:rFonts w:ascii="Times New Roman" w:hAnsi="Times New Roman" w:cs="Times New Roman"/>
          <w:b/>
          <w:bCs/>
          <w:sz w:val="24"/>
          <w:szCs w:val="24"/>
        </w:rPr>
        <w:t xml:space="preserve">Data and </w:t>
      </w:r>
      <w:r w:rsidR="000A554B" w:rsidRPr="008573D2">
        <w:rPr>
          <w:rFonts w:ascii="Times New Roman" w:hAnsi="Times New Roman" w:cs="Times New Roman"/>
          <w:b/>
          <w:bCs/>
          <w:sz w:val="24"/>
          <w:szCs w:val="24"/>
        </w:rPr>
        <w:t>M</w:t>
      </w:r>
      <w:r w:rsidR="00AC1F99" w:rsidRPr="008573D2">
        <w:rPr>
          <w:rFonts w:ascii="Times New Roman" w:hAnsi="Times New Roman" w:cs="Times New Roman"/>
          <w:b/>
          <w:bCs/>
          <w:sz w:val="24"/>
          <w:szCs w:val="24"/>
        </w:rPr>
        <w:t>ethodology</w:t>
      </w:r>
    </w:p>
    <w:p w14:paraId="6C2B2E62" w14:textId="3D073CC6" w:rsidR="0040362B" w:rsidRPr="008573D2" w:rsidRDefault="00686C49" w:rsidP="00C475C3">
      <w:pPr>
        <w:spacing w:after="200" w:line="48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In this paper, we have </w:t>
      </w:r>
      <w:r w:rsidR="005B1410" w:rsidRPr="008573D2">
        <w:rPr>
          <w:rFonts w:ascii="Times New Roman" w:hAnsi="Times New Roman" w:cs="Times New Roman"/>
          <w:sz w:val="24"/>
          <w:szCs w:val="24"/>
        </w:rPr>
        <w:t xml:space="preserve">applied </w:t>
      </w:r>
      <w:r w:rsidRPr="008573D2">
        <w:rPr>
          <w:rFonts w:ascii="Times New Roman" w:hAnsi="Times New Roman" w:cs="Times New Roman"/>
          <w:sz w:val="24"/>
          <w:szCs w:val="24"/>
        </w:rPr>
        <w:t xml:space="preserve">data from various sources. </w:t>
      </w:r>
      <w:r w:rsidR="00CF6387" w:rsidRPr="008573D2">
        <w:rPr>
          <w:rFonts w:ascii="Times New Roman" w:hAnsi="Times New Roman" w:cs="Times New Roman"/>
          <w:sz w:val="24"/>
          <w:szCs w:val="24"/>
        </w:rPr>
        <w:t xml:space="preserve">A </w:t>
      </w:r>
      <w:r w:rsidRPr="008573D2">
        <w:rPr>
          <w:rFonts w:ascii="Times New Roman" w:hAnsi="Times New Roman" w:cs="Times New Roman"/>
          <w:sz w:val="24"/>
          <w:szCs w:val="24"/>
        </w:rPr>
        <w:t>detail</w:t>
      </w:r>
      <w:r w:rsidR="00964C2B" w:rsidRPr="008573D2">
        <w:rPr>
          <w:rFonts w:ascii="Times New Roman" w:hAnsi="Times New Roman" w:cs="Times New Roman"/>
          <w:sz w:val="24"/>
          <w:szCs w:val="24"/>
        </w:rPr>
        <w:t>ed</w:t>
      </w:r>
      <w:r w:rsidRPr="008573D2">
        <w:rPr>
          <w:rFonts w:ascii="Times New Roman" w:hAnsi="Times New Roman" w:cs="Times New Roman"/>
          <w:sz w:val="24"/>
          <w:szCs w:val="24"/>
        </w:rPr>
        <w:t xml:space="preserve"> list of </w:t>
      </w:r>
      <w:r w:rsidR="00CF6387" w:rsidRPr="008573D2">
        <w:rPr>
          <w:rFonts w:ascii="Times New Roman" w:hAnsi="Times New Roman" w:cs="Times New Roman"/>
          <w:sz w:val="24"/>
          <w:szCs w:val="24"/>
        </w:rPr>
        <w:t xml:space="preserve">the </w:t>
      </w:r>
      <w:r w:rsidRPr="008573D2">
        <w:rPr>
          <w:rFonts w:ascii="Times New Roman" w:hAnsi="Times New Roman" w:cs="Times New Roman"/>
          <w:sz w:val="24"/>
          <w:szCs w:val="24"/>
        </w:rPr>
        <w:t>variables</w:t>
      </w:r>
      <w:r w:rsidR="00163752" w:rsidRPr="008573D2">
        <w:rPr>
          <w:rFonts w:ascii="Times New Roman" w:hAnsi="Times New Roman" w:cs="Times New Roman"/>
          <w:sz w:val="24"/>
          <w:szCs w:val="24"/>
        </w:rPr>
        <w:t>,</w:t>
      </w:r>
      <w:r w:rsidRPr="008573D2">
        <w:rPr>
          <w:rFonts w:ascii="Times New Roman" w:hAnsi="Times New Roman" w:cs="Times New Roman"/>
          <w:sz w:val="24"/>
          <w:szCs w:val="24"/>
        </w:rPr>
        <w:t xml:space="preserve"> their definitions</w:t>
      </w:r>
      <w:r w:rsidR="005B1410" w:rsidRPr="008573D2">
        <w:rPr>
          <w:rFonts w:ascii="Times New Roman" w:hAnsi="Times New Roman" w:cs="Times New Roman"/>
          <w:sz w:val="24"/>
          <w:szCs w:val="24"/>
        </w:rPr>
        <w:t xml:space="preserve"> and sources</w:t>
      </w:r>
      <w:r w:rsidRPr="008573D2">
        <w:rPr>
          <w:rFonts w:ascii="Times New Roman" w:hAnsi="Times New Roman" w:cs="Times New Roman"/>
          <w:sz w:val="24"/>
          <w:szCs w:val="24"/>
        </w:rPr>
        <w:t xml:space="preserve"> </w:t>
      </w:r>
      <w:proofErr w:type="gramStart"/>
      <w:r w:rsidR="00964C2B" w:rsidRPr="008573D2">
        <w:rPr>
          <w:rFonts w:ascii="Times New Roman" w:hAnsi="Times New Roman" w:cs="Times New Roman"/>
          <w:sz w:val="24"/>
          <w:szCs w:val="24"/>
        </w:rPr>
        <w:t>is</w:t>
      </w:r>
      <w:proofErr w:type="gramEnd"/>
      <w:r w:rsidR="005B1410" w:rsidRPr="008573D2">
        <w:rPr>
          <w:rFonts w:ascii="Times New Roman" w:hAnsi="Times New Roman" w:cs="Times New Roman"/>
          <w:sz w:val="24"/>
          <w:szCs w:val="24"/>
        </w:rPr>
        <w:t xml:space="preserve"> </w:t>
      </w:r>
      <w:r w:rsidRPr="008573D2">
        <w:rPr>
          <w:rFonts w:ascii="Times New Roman" w:hAnsi="Times New Roman" w:cs="Times New Roman"/>
          <w:sz w:val="24"/>
          <w:szCs w:val="24"/>
        </w:rPr>
        <w:t xml:space="preserve">provided in Table 1. Our </w:t>
      </w:r>
      <w:r w:rsidR="005B1410" w:rsidRPr="008573D2">
        <w:rPr>
          <w:rFonts w:ascii="Times New Roman" w:hAnsi="Times New Roman" w:cs="Times New Roman"/>
          <w:sz w:val="24"/>
          <w:szCs w:val="24"/>
        </w:rPr>
        <w:t>dataset</w:t>
      </w:r>
      <w:r w:rsidR="003E2B99" w:rsidRPr="008573D2">
        <w:rPr>
          <w:rFonts w:ascii="Times New Roman" w:hAnsi="Times New Roman" w:cs="Times New Roman"/>
          <w:sz w:val="24"/>
          <w:szCs w:val="24"/>
        </w:rPr>
        <w:t>,</w:t>
      </w:r>
      <w:r w:rsidR="005B1410" w:rsidRPr="008573D2">
        <w:rPr>
          <w:rFonts w:ascii="Times New Roman" w:hAnsi="Times New Roman" w:cs="Times New Roman"/>
          <w:sz w:val="24"/>
          <w:szCs w:val="24"/>
        </w:rPr>
        <w:t xml:space="preserve"> including </w:t>
      </w:r>
      <w:r w:rsidRPr="008573D2">
        <w:rPr>
          <w:rFonts w:ascii="Times New Roman" w:hAnsi="Times New Roman" w:cs="Times New Roman"/>
          <w:sz w:val="24"/>
          <w:szCs w:val="24"/>
        </w:rPr>
        <w:t>daily price ind</w:t>
      </w:r>
      <w:r w:rsidR="00964C2B" w:rsidRPr="008573D2">
        <w:rPr>
          <w:rFonts w:ascii="Times New Roman" w:hAnsi="Times New Roman" w:cs="Times New Roman"/>
          <w:sz w:val="24"/>
          <w:szCs w:val="24"/>
        </w:rPr>
        <w:t>ices</w:t>
      </w:r>
      <w:r w:rsidRPr="008573D2">
        <w:rPr>
          <w:rFonts w:ascii="Times New Roman" w:hAnsi="Times New Roman" w:cs="Times New Roman"/>
          <w:sz w:val="24"/>
          <w:szCs w:val="24"/>
        </w:rPr>
        <w:t xml:space="preserve">, </w:t>
      </w:r>
      <w:r w:rsidR="00A43306" w:rsidRPr="008573D2">
        <w:rPr>
          <w:rFonts w:ascii="Times New Roman" w:hAnsi="Times New Roman" w:cs="Times New Roman"/>
          <w:sz w:val="24"/>
          <w:szCs w:val="24"/>
        </w:rPr>
        <w:t xml:space="preserve">daily </w:t>
      </w:r>
      <w:r w:rsidRPr="008573D2">
        <w:rPr>
          <w:rFonts w:ascii="Times New Roman" w:hAnsi="Times New Roman" w:cs="Times New Roman"/>
          <w:sz w:val="24"/>
          <w:szCs w:val="24"/>
        </w:rPr>
        <w:t>trading volume</w:t>
      </w:r>
      <w:r w:rsidR="00964C2B" w:rsidRPr="008573D2">
        <w:rPr>
          <w:rFonts w:ascii="Times New Roman" w:hAnsi="Times New Roman" w:cs="Times New Roman"/>
          <w:sz w:val="24"/>
          <w:szCs w:val="24"/>
        </w:rPr>
        <w:t>s</w:t>
      </w:r>
      <w:r w:rsidR="00A43306" w:rsidRPr="008573D2">
        <w:rPr>
          <w:rFonts w:ascii="Times New Roman" w:hAnsi="Times New Roman" w:cs="Times New Roman"/>
          <w:sz w:val="24"/>
          <w:szCs w:val="24"/>
        </w:rPr>
        <w:t xml:space="preserve"> and </w:t>
      </w:r>
      <w:r w:rsidR="00964C2B" w:rsidRPr="008573D2">
        <w:rPr>
          <w:rFonts w:ascii="Times New Roman" w:hAnsi="Times New Roman" w:cs="Times New Roman"/>
          <w:sz w:val="24"/>
          <w:szCs w:val="24"/>
        </w:rPr>
        <w:t xml:space="preserve">the </w:t>
      </w:r>
      <w:r w:rsidR="00A43306" w:rsidRPr="008573D2">
        <w:rPr>
          <w:rFonts w:ascii="Times New Roman" w:hAnsi="Times New Roman" w:cs="Times New Roman"/>
          <w:sz w:val="24"/>
          <w:szCs w:val="24"/>
        </w:rPr>
        <w:t xml:space="preserve">daily CBOE VIX index </w:t>
      </w:r>
      <w:r w:rsidRPr="008573D2">
        <w:rPr>
          <w:rFonts w:ascii="Times New Roman" w:hAnsi="Times New Roman" w:cs="Times New Roman"/>
          <w:sz w:val="24"/>
          <w:szCs w:val="24"/>
        </w:rPr>
        <w:t xml:space="preserve">cover </w:t>
      </w:r>
      <w:r w:rsidR="00964C2B" w:rsidRPr="008573D2">
        <w:rPr>
          <w:rFonts w:ascii="Times New Roman" w:hAnsi="Times New Roman" w:cs="Times New Roman"/>
          <w:sz w:val="24"/>
          <w:szCs w:val="24"/>
        </w:rPr>
        <w:t xml:space="preserve">the period </w:t>
      </w:r>
      <w:r w:rsidR="00A43306" w:rsidRPr="008573D2">
        <w:rPr>
          <w:rFonts w:ascii="Times New Roman" w:hAnsi="Times New Roman" w:cs="Times New Roman"/>
          <w:sz w:val="24"/>
          <w:szCs w:val="24"/>
        </w:rPr>
        <w:t>1 July 2019 to 1</w:t>
      </w:r>
      <w:r w:rsidR="005A5ECD" w:rsidRPr="008573D2">
        <w:rPr>
          <w:rFonts w:ascii="Times New Roman" w:hAnsi="Times New Roman" w:cs="Times New Roman"/>
          <w:sz w:val="24"/>
          <w:szCs w:val="24"/>
        </w:rPr>
        <w:t>4</w:t>
      </w:r>
      <w:r w:rsidR="00A43306" w:rsidRPr="008573D2">
        <w:rPr>
          <w:rFonts w:ascii="Times New Roman" w:hAnsi="Times New Roman" w:cs="Times New Roman"/>
          <w:sz w:val="24"/>
          <w:szCs w:val="24"/>
        </w:rPr>
        <w:t xml:space="preserve"> </w:t>
      </w:r>
      <w:r w:rsidR="005A5ECD" w:rsidRPr="008573D2">
        <w:rPr>
          <w:rFonts w:ascii="Times New Roman" w:hAnsi="Times New Roman" w:cs="Times New Roman"/>
          <w:sz w:val="24"/>
          <w:szCs w:val="24"/>
        </w:rPr>
        <w:t>August</w:t>
      </w:r>
      <w:r w:rsidR="00A43306" w:rsidRPr="008573D2">
        <w:rPr>
          <w:rFonts w:ascii="Times New Roman" w:hAnsi="Times New Roman" w:cs="Times New Roman"/>
          <w:sz w:val="24"/>
          <w:szCs w:val="24"/>
        </w:rPr>
        <w:t xml:space="preserve"> 2020.</w:t>
      </w:r>
      <w:r w:rsidRPr="008573D2">
        <w:rPr>
          <w:rFonts w:ascii="Times New Roman" w:hAnsi="Times New Roman" w:cs="Times New Roman"/>
          <w:sz w:val="24"/>
          <w:szCs w:val="24"/>
        </w:rPr>
        <w:t xml:space="preserve"> </w:t>
      </w:r>
      <w:r w:rsidR="003C53AE" w:rsidRPr="008573D2">
        <w:rPr>
          <w:rFonts w:ascii="Times New Roman" w:hAnsi="Times New Roman" w:cs="Times New Roman"/>
          <w:sz w:val="24"/>
          <w:szCs w:val="24"/>
        </w:rPr>
        <w:t>We have collected</w:t>
      </w:r>
      <w:r w:rsidR="005B1410" w:rsidRPr="008573D2">
        <w:rPr>
          <w:rFonts w:ascii="Times New Roman" w:hAnsi="Times New Roman" w:cs="Times New Roman"/>
          <w:sz w:val="24"/>
          <w:szCs w:val="24"/>
        </w:rPr>
        <w:t xml:space="preserve"> </w:t>
      </w:r>
      <w:r w:rsidR="003C53AE" w:rsidRPr="008573D2">
        <w:rPr>
          <w:rFonts w:ascii="Times New Roman" w:hAnsi="Times New Roman" w:cs="Times New Roman"/>
          <w:sz w:val="24"/>
          <w:szCs w:val="24"/>
        </w:rPr>
        <w:t>the</w:t>
      </w:r>
      <w:r w:rsidR="005B1410" w:rsidRPr="008573D2">
        <w:rPr>
          <w:rFonts w:ascii="Times New Roman" w:hAnsi="Times New Roman" w:cs="Times New Roman"/>
          <w:sz w:val="24"/>
          <w:szCs w:val="24"/>
        </w:rPr>
        <w:t>se</w:t>
      </w:r>
      <w:r w:rsidR="003C53AE" w:rsidRPr="008573D2">
        <w:rPr>
          <w:rFonts w:ascii="Times New Roman" w:hAnsi="Times New Roman" w:cs="Times New Roman"/>
          <w:sz w:val="24"/>
          <w:szCs w:val="24"/>
        </w:rPr>
        <w:t xml:space="preserve"> capital market, resilience and macroeconomic data for </w:t>
      </w:r>
      <w:r w:rsidR="00CF6387" w:rsidRPr="008573D2">
        <w:rPr>
          <w:rFonts w:ascii="Times New Roman" w:hAnsi="Times New Roman" w:cs="Times New Roman"/>
          <w:sz w:val="24"/>
          <w:szCs w:val="24"/>
        </w:rPr>
        <w:t>34</w:t>
      </w:r>
      <w:r w:rsidR="003C53AE" w:rsidRPr="008573D2">
        <w:rPr>
          <w:rFonts w:ascii="Times New Roman" w:hAnsi="Times New Roman" w:cs="Times New Roman"/>
          <w:sz w:val="24"/>
          <w:szCs w:val="24"/>
        </w:rPr>
        <w:t xml:space="preserve"> economi</w:t>
      </w:r>
      <w:r w:rsidR="00CF6387" w:rsidRPr="008573D2">
        <w:rPr>
          <w:rFonts w:ascii="Times New Roman" w:hAnsi="Times New Roman" w:cs="Times New Roman"/>
          <w:sz w:val="24"/>
          <w:szCs w:val="24"/>
        </w:rPr>
        <w:t>es</w:t>
      </w:r>
      <w:r w:rsidR="003C53AE" w:rsidRPr="008573D2">
        <w:rPr>
          <w:rFonts w:ascii="Times New Roman" w:hAnsi="Times New Roman" w:cs="Times New Roman"/>
          <w:sz w:val="24"/>
          <w:szCs w:val="24"/>
        </w:rPr>
        <w:t xml:space="preserve"> based on the data availability and comprehensiveness of the market. </w:t>
      </w:r>
      <w:r w:rsidR="00CF6387" w:rsidRPr="008573D2">
        <w:rPr>
          <w:rFonts w:ascii="Times New Roman" w:hAnsi="Times New Roman" w:cs="Times New Roman"/>
          <w:sz w:val="24"/>
          <w:szCs w:val="24"/>
        </w:rPr>
        <w:t xml:space="preserve">A </w:t>
      </w:r>
      <w:r w:rsidR="003C53AE" w:rsidRPr="008573D2">
        <w:rPr>
          <w:rFonts w:ascii="Times New Roman" w:hAnsi="Times New Roman" w:cs="Times New Roman"/>
          <w:sz w:val="24"/>
          <w:szCs w:val="24"/>
        </w:rPr>
        <w:t xml:space="preserve">description </w:t>
      </w:r>
      <w:r w:rsidR="005B1410" w:rsidRPr="008573D2">
        <w:rPr>
          <w:rFonts w:ascii="Times New Roman" w:hAnsi="Times New Roman" w:cs="Times New Roman"/>
          <w:sz w:val="24"/>
          <w:szCs w:val="24"/>
        </w:rPr>
        <w:t>of our sample</w:t>
      </w:r>
      <w:r w:rsidR="00964C2B" w:rsidRPr="008573D2">
        <w:rPr>
          <w:rFonts w:ascii="Times New Roman" w:hAnsi="Times New Roman" w:cs="Times New Roman"/>
          <w:sz w:val="24"/>
          <w:szCs w:val="24"/>
        </w:rPr>
        <w:t xml:space="preserve"> by country</w:t>
      </w:r>
      <w:r w:rsidR="005B1410" w:rsidRPr="008573D2">
        <w:rPr>
          <w:rFonts w:ascii="Times New Roman" w:hAnsi="Times New Roman" w:cs="Times New Roman"/>
          <w:sz w:val="24"/>
          <w:szCs w:val="24"/>
        </w:rPr>
        <w:t xml:space="preserve"> </w:t>
      </w:r>
      <w:r w:rsidR="003C53AE" w:rsidRPr="008573D2">
        <w:rPr>
          <w:rFonts w:ascii="Times New Roman" w:hAnsi="Times New Roman" w:cs="Times New Roman"/>
          <w:sz w:val="24"/>
          <w:szCs w:val="24"/>
        </w:rPr>
        <w:t>is presented in Table 2</w:t>
      </w:r>
      <w:r w:rsidR="00964C2B" w:rsidRPr="008573D2">
        <w:rPr>
          <w:rFonts w:ascii="Times New Roman" w:hAnsi="Times New Roman" w:cs="Times New Roman"/>
          <w:sz w:val="24"/>
          <w:szCs w:val="24"/>
        </w:rPr>
        <w:t>. There are</w:t>
      </w:r>
      <w:r w:rsidR="003C53AE" w:rsidRPr="008573D2">
        <w:rPr>
          <w:rFonts w:ascii="Times New Roman" w:hAnsi="Times New Roman" w:cs="Times New Roman"/>
          <w:sz w:val="24"/>
          <w:szCs w:val="24"/>
        </w:rPr>
        <w:t xml:space="preserve"> </w:t>
      </w:r>
      <w:r w:rsidR="0014089F" w:rsidRPr="008573D2">
        <w:rPr>
          <w:rFonts w:ascii="Times New Roman" w:hAnsi="Times New Roman" w:cs="Times New Roman"/>
          <w:sz w:val="24"/>
          <w:szCs w:val="24"/>
        </w:rPr>
        <w:t xml:space="preserve">an </w:t>
      </w:r>
      <w:r w:rsidR="003C53AE" w:rsidRPr="008573D2">
        <w:rPr>
          <w:rFonts w:ascii="Times New Roman" w:hAnsi="Times New Roman" w:cs="Times New Roman"/>
          <w:sz w:val="24"/>
          <w:szCs w:val="24"/>
        </w:rPr>
        <w:t>equal number of observations for each country</w:t>
      </w:r>
      <w:r w:rsidR="00163752" w:rsidRPr="008573D2">
        <w:rPr>
          <w:rFonts w:ascii="Times New Roman" w:hAnsi="Times New Roman" w:cs="Times New Roman"/>
          <w:sz w:val="24"/>
          <w:szCs w:val="24"/>
        </w:rPr>
        <w:t xml:space="preserve"> and thus</w:t>
      </w:r>
      <w:r w:rsidR="001535D1" w:rsidRPr="008573D2">
        <w:rPr>
          <w:rFonts w:ascii="Times New Roman" w:hAnsi="Times New Roman" w:cs="Times New Roman"/>
          <w:sz w:val="24"/>
          <w:szCs w:val="24"/>
        </w:rPr>
        <w:t xml:space="preserve"> </w:t>
      </w:r>
      <w:r w:rsidR="00964C2B" w:rsidRPr="008573D2">
        <w:rPr>
          <w:rFonts w:ascii="Times New Roman" w:hAnsi="Times New Roman" w:cs="Times New Roman"/>
          <w:sz w:val="24"/>
          <w:szCs w:val="24"/>
        </w:rPr>
        <w:t>we have</w:t>
      </w:r>
      <w:r w:rsidR="00DC214A" w:rsidRPr="008573D2">
        <w:rPr>
          <w:rFonts w:ascii="Times New Roman" w:hAnsi="Times New Roman" w:cs="Times New Roman"/>
          <w:sz w:val="24"/>
          <w:szCs w:val="24"/>
        </w:rPr>
        <w:t xml:space="preserve"> </w:t>
      </w:r>
      <w:r w:rsidR="001535D1" w:rsidRPr="008573D2">
        <w:rPr>
          <w:rFonts w:ascii="Times New Roman" w:hAnsi="Times New Roman" w:cs="Times New Roman"/>
          <w:sz w:val="24"/>
          <w:szCs w:val="24"/>
        </w:rPr>
        <w:t>a balanced panel.</w:t>
      </w:r>
    </w:p>
    <w:p w14:paraId="6AEA7523" w14:textId="59B35849" w:rsidR="00C05BFF" w:rsidRPr="008573D2" w:rsidRDefault="0040362B" w:rsidP="00C475C3">
      <w:pPr>
        <w:spacing w:after="200" w:line="48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The daily data on the number of </w:t>
      </w:r>
      <w:r w:rsidR="00964C2B" w:rsidRPr="008573D2">
        <w:rPr>
          <w:rFonts w:ascii="Times New Roman" w:hAnsi="Times New Roman" w:cs="Times New Roman"/>
          <w:sz w:val="24"/>
          <w:szCs w:val="24"/>
        </w:rPr>
        <w:t>COVID-19</w:t>
      </w:r>
      <w:r w:rsidRPr="008573D2">
        <w:rPr>
          <w:rFonts w:ascii="Times New Roman" w:hAnsi="Times New Roman" w:cs="Times New Roman"/>
          <w:sz w:val="24"/>
          <w:szCs w:val="24"/>
        </w:rPr>
        <w:t xml:space="preserve"> reported cases and deaths </w:t>
      </w:r>
      <w:r w:rsidR="00CF6387" w:rsidRPr="008573D2">
        <w:rPr>
          <w:rFonts w:ascii="Times New Roman" w:hAnsi="Times New Roman" w:cs="Times New Roman"/>
          <w:sz w:val="24"/>
          <w:szCs w:val="24"/>
        </w:rPr>
        <w:t>start from</w:t>
      </w:r>
      <w:r w:rsidRPr="008573D2">
        <w:rPr>
          <w:rFonts w:ascii="Times New Roman" w:hAnsi="Times New Roman" w:cs="Times New Roman"/>
          <w:sz w:val="24"/>
          <w:szCs w:val="24"/>
        </w:rPr>
        <w:t xml:space="preserve"> the first official record of </w:t>
      </w:r>
      <w:r w:rsidR="0014089F" w:rsidRPr="008573D2">
        <w:rPr>
          <w:rFonts w:ascii="Times New Roman" w:hAnsi="Times New Roman" w:cs="Times New Roman"/>
          <w:sz w:val="24"/>
          <w:szCs w:val="24"/>
        </w:rPr>
        <w:t xml:space="preserve">the </w:t>
      </w:r>
      <w:r w:rsidRPr="008573D2">
        <w:rPr>
          <w:rFonts w:ascii="Times New Roman" w:hAnsi="Times New Roman" w:cs="Times New Roman"/>
          <w:sz w:val="24"/>
          <w:szCs w:val="24"/>
        </w:rPr>
        <w:t>World Health Organization, which is 31 December 2019</w:t>
      </w:r>
      <w:r w:rsidR="00964C2B" w:rsidRPr="008573D2">
        <w:rPr>
          <w:rFonts w:ascii="Times New Roman" w:hAnsi="Times New Roman" w:cs="Times New Roman"/>
          <w:sz w:val="24"/>
          <w:szCs w:val="24"/>
        </w:rPr>
        <w:t>,</w:t>
      </w:r>
      <w:r w:rsidRPr="008573D2">
        <w:rPr>
          <w:rFonts w:ascii="Times New Roman" w:hAnsi="Times New Roman" w:cs="Times New Roman"/>
          <w:sz w:val="24"/>
          <w:szCs w:val="24"/>
        </w:rPr>
        <w:t xml:space="preserve"> and continue until</w:t>
      </w:r>
      <w:r w:rsidR="005B1410" w:rsidRPr="008573D2">
        <w:rPr>
          <w:rFonts w:ascii="Times New Roman" w:hAnsi="Times New Roman" w:cs="Times New Roman"/>
          <w:sz w:val="24"/>
          <w:szCs w:val="24"/>
        </w:rPr>
        <w:t xml:space="preserve"> </w:t>
      </w:r>
      <w:r w:rsidRPr="008573D2">
        <w:rPr>
          <w:rFonts w:ascii="Times New Roman" w:hAnsi="Times New Roman" w:cs="Times New Roman"/>
          <w:sz w:val="24"/>
          <w:szCs w:val="24"/>
        </w:rPr>
        <w:t>1</w:t>
      </w:r>
      <w:r w:rsidR="005311B8" w:rsidRPr="008573D2">
        <w:rPr>
          <w:rFonts w:ascii="Times New Roman" w:hAnsi="Times New Roman" w:cs="Times New Roman"/>
          <w:sz w:val="24"/>
          <w:szCs w:val="24"/>
        </w:rPr>
        <w:t>4</w:t>
      </w:r>
      <w:r w:rsidRPr="008573D2">
        <w:rPr>
          <w:rFonts w:ascii="Times New Roman" w:hAnsi="Times New Roman" w:cs="Times New Roman"/>
          <w:sz w:val="24"/>
          <w:szCs w:val="24"/>
        </w:rPr>
        <w:t xml:space="preserve"> A</w:t>
      </w:r>
      <w:r w:rsidR="005311B8" w:rsidRPr="008573D2">
        <w:rPr>
          <w:rFonts w:ascii="Times New Roman" w:hAnsi="Times New Roman" w:cs="Times New Roman"/>
          <w:sz w:val="24"/>
          <w:szCs w:val="24"/>
        </w:rPr>
        <w:t>ugust</w:t>
      </w:r>
      <w:r w:rsidRPr="008573D2">
        <w:rPr>
          <w:rFonts w:ascii="Times New Roman" w:hAnsi="Times New Roman" w:cs="Times New Roman"/>
          <w:sz w:val="24"/>
          <w:szCs w:val="24"/>
        </w:rPr>
        <w:t xml:space="preserve"> 2020.</w:t>
      </w:r>
      <w:r w:rsidR="003C53AE" w:rsidRPr="008573D2">
        <w:rPr>
          <w:rFonts w:ascii="Times New Roman" w:hAnsi="Times New Roman" w:cs="Times New Roman"/>
          <w:sz w:val="24"/>
          <w:szCs w:val="24"/>
        </w:rPr>
        <w:t xml:space="preserve"> </w:t>
      </w:r>
      <w:r w:rsidR="00E36708" w:rsidRPr="008573D2">
        <w:rPr>
          <w:rFonts w:ascii="Times New Roman" w:hAnsi="Times New Roman" w:cs="Times New Roman"/>
          <w:sz w:val="24"/>
          <w:szCs w:val="24"/>
        </w:rPr>
        <w:t>Before using our variables in empirical models, we have made sure</w:t>
      </w:r>
      <w:r w:rsidR="005B1410" w:rsidRPr="008573D2">
        <w:rPr>
          <w:rFonts w:ascii="Times New Roman" w:hAnsi="Times New Roman" w:cs="Times New Roman"/>
          <w:sz w:val="24"/>
          <w:szCs w:val="24"/>
        </w:rPr>
        <w:t xml:space="preserve"> that</w:t>
      </w:r>
      <w:r w:rsidR="00E36708" w:rsidRPr="008573D2">
        <w:rPr>
          <w:rFonts w:ascii="Times New Roman" w:hAnsi="Times New Roman" w:cs="Times New Roman"/>
          <w:sz w:val="24"/>
          <w:szCs w:val="24"/>
        </w:rPr>
        <w:t xml:space="preserve"> they are not suffering from </w:t>
      </w:r>
      <w:r w:rsidR="0014089F" w:rsidRPr="008573D2">
        <w:rPr>
          <w:rFonts w:ascii="Times New Roman" w:hAnsi="Times New Roman" w:cs="Times New Roman"/>
          <w:sz w:val="24"/>
          <w:szCs w:val="24"/>
        </w:rPr>
        <w:t xml:space="preserve">the </w:t>
      </w:r>
      <w:r w:rsidR="00E36708" w:rsidRPr="008573D2">
        <w:rPr>
          <w:rFonts w:ascii="Times New Roman" w:hAnsi="Times New Roman" w:cs="Times New Roman"/>
          <w:sz w:val="24"/>
          <w:szCs w:val="24"/>
        </w:rPr>
        <w:t>unit root problem. To control t</w:t>
      </w:r>
      <w:r w:rsidR="005C7532" w:rsidRPr="008573D2">
        <w:rPr>
          <w:rFonts w:ascii="Times New Roman" w:hAnsi="Times New Roman" w:cs="Times New Roman"/>
          <w:sz w:val="24"/>
          <w:szCs w:val="24"/>
        </w:rPr>
        <w:t>he stationarity problem,</w:t>
      </w:r>
      <w:r w:rsidR="00E36708" w:rsidRPr="008573D2">
        <w:rPr>
          <w:rFonts w:ascii="Times New Roman" w:hAnsi="Times New Roman" w:cs="Times New Roman"/>
          <w:sz w:val="24"/>
          <w:szCs w:val="24"/>
        </w:rPr>
        <w:t xml:space="preserve"> we </w:t>
      </w:r>
      <w:r w:rsidR="005C7532" w:rsidRPr="008573D2">
        <w:rPr>
          <w:rFonts w:ascii="Times New Roman" w:hAnsi="Times New Roman" w:cs="Times New Roman"/>
          <w:sz w:val="24"/>
          <w:szCs w:val="24"/>
        </w:rPr>
        <w:t xml:space="preserve">use </w:t>
      </w:r>
      <w:r w:rsidR="0014089F" w:rsidRPr="008573D2">
        <w:rPr>
          <w:rFonts w:ascii="Times New Roman" w:hAnsi="Times New Roman" w:cs="Times New Roman"/>
          <w:sz w:val="24"/>
          <w:szCs w:val="24"/>
        </w:rPr>
        <w:t xml:space="preserve">the </w:t>
      </w:r>
      <w:r w:rsidR="005C7532" w:rsidRPr="008573D2">
        <w:rPr>
          <w:rFonts w:ascii="Times New Roman" w:hAnsi="Times New Roman" w:cs="Times New Roman"/>
          <w:sz w:val="24"/>
          <w:szCs w:val="24"/>
        </w:rPr>
        <w:t xml:space="preserve">first </w:t>
      </w:r>
      <w:r w:rsidR="005B1410" w:rsidRPr="008573D2">
        <w:rPr>
          <w:rFonts w:ascii="Times New Roman" w:hAnsi="Times New Roman" w:cs="Times New Roman"/>
          <w:sz w:val="24"/>
          <w:szCs w:val="24"/>
        </w:rPr>
        <w:t>or</w:t>
      </w:r>
      <w:r w:rsidR="00F45BC4" w:rsidRPr="008573D2">
        <w:rPr>
          <w:rFonts w:ascii="Times New Roman" w:hAnsi="Times New Roman" w:cs="Times New Roman"/>
          <w:sz w:val="24"/>
          <w:szCs w:val="24"/>
        </w:rPr>
        <w:t xml:space="preserve"> </w:t>
      </w:r>
      <w:r w:rsidR="005C7532" w:rsidRPr="008573D2">
        <w:rPr>
          <w:rFonts w:ascii="Times New Roman" w:hAnsi="Times New Roman" w:cs="Times New Roman"/>
          <w:sz w:val="24"/>
          <w:szCs w:val="24"/>
        </w:rPr>
        <w:t>second difference of the data where appropriate</w:t>
      </w:r>
      <w:r w:rsidR="00964C2B" w:rsidRPr="008573D2">
        <w:rPr>
          <w:rFonts w:ascii="Times New Roman" w:hAnsi="Times New Roman" w:cs="Times New Roman"/>
          <w:sz w:val="24"/>
          <w:szCs w:val="24"/>
        </w:rPr>
        <w:t>,</w:t>
      </w:r>
      <w:r w:rsidR="005C7532" w:rsidRPr="008573D2">
        <w:rPr>
          <w:rFonts w:ascii="Times New Roman" w:hAnsi="Times New Roman" w:cs="Times New Roman"/>
          <w:sz w:val="24"/>
          <w:szCs w:val="24"/>
        </w:rPr>
        <w:t xml:space="preserve"> based on various panel </w:t>
      </w:r>
      <w:r w:rsidR="001535D1" w:rsidRPr="008573D2">
        <w:rPr>
          <w:rFonts w:ascii="Times New Roman" w:hAnsi="Times New Roman" w:cs="Times New Roman"/>
          <w:sz w:val="24"/>
          <w:szCs w:val="24"/>
        </w:rPr>
        <w:t xml:space="preserve">unit root </w:t>
      </w:r>
      <w:r w:rsidR="005C7532" w:rsidRPr="008573D2">
        <w:rPr>
          <w:rFonts w:ascii="Times New Roman" w:hAnsi="Times New Roman" w:cs="Times New Roman"/>
          <w:sz w:val="24"/>
          <w:szCs w:val="24"/>
        </w:rPr>
        <w:t>tests</w:t>
      </w:r>
      <w:r w:rsidR="001535D1" w:rsidRPr="008573D2">
        <w:rPr>
          <w:rFonts w:ascii="Times New Roman" w:hAnsi="Times New Roman" w:cs="Times New Roman"/>
          <w:sz w:val="24"/>
          <w:szCs w:val="24"/>
        </w:rPr>
        <w:t xml:space="preserve">, such as Levin-Lin-Chu (2002), </w:t>
      </w:r>
      <w:proofErr w:type="spellStart"/>
      <w:r w:rsidR="001535D1" w:rsidRPr="008573D2">
        <w:rPr>
          <w:rFonts w:ascii="Times New Roman" w:hAnsi="Times New Roman" w:cs="Times New Roman"/>
          <w:sz w:val="24"/>
          <w:szCs w:val="24"/>
        </w:rPr>
        <w:t>Im</w:t>
      </w:r>
      <w:proofErr w:type="spellEnd"/>
      <w:r w:rsidR="001535D1" w:rsidRPr="008573D2">
        <w:rPr>
          <w:rFonts w:ascii="Times New Roman" w:hAnsi="Times New Roman" w:cs="Times New Roman"/>
          <w:sz w:val="24"/>
          <w:szCs w:val="24"/>
        </w:rPr>
        <w:t>-</w:t>
      </w:r>
      <w:proofErr w:type="spellStart"/>
      <w:r w:rsidR="001535D1" w:rsidRPr="008573D2">
        <w:rPr>
          <w:rFonts w:ascii="Times New Roman" w:hAnsi="Times New Roman" w:cs="Times New Roman"/>
          <w:sz w:val="24"/>
          <w:szCs w:val="24"/>
        </w:rPr>
        <w:t>Pesaran</w:t>
      </w:r>
      <w:proofErr w:type="spellEnd"/>
      <w:r w:rsidR="001535D1" w:rsidRPr="008573D2">
        <w:rPr>
          <w:rFonts w:ascii="Times New Roman" w:hAnsi="Times New Roman" w:cs="Times New Roman"/>
          <w:sz w:val="24"/>
          <w:szCs w:val="24"/>
        </w:rPr>
        <w:t>-Shin (2003)</w:t>
      </w:r>
      <w:r w:rsidR="00930964" w:rsidRPr="008573D2">
        <w:rPr>
          <w:rFonts w:ascii="Times New Roman" w:hAnsi="Times New Roman" w:cs="Times New Roman"/>
          <w:sz w:val="24"/>
          <w:szCs w:val="24"/>
        </w:rPr>
        <w:t xml:space="preserve"> and</w:t>
      </w:r>
      <w:r w:rsidR="001535D1" w:rsidRPr="008573D2">
        <w:rPr>
          <w:rFonts w:ascii="Times New Roman" w:hAnsi="Times New Roman" w:cs="Times New Roman"/>
          <w:sz w:val="24"/>
          <w:szCs w:val="24"/>
        </w:rPr>
        <w:t xml:space="preserve"> Fisher-type</w:t>
      </w:r>
      <w:r w:rsidR="00930964" w:rsidRPr="008573D2">
        <w:rPr>
          <w:rFonts w:ascii="Times New Roman" w:hAnsi="Times New Roman" w:cs="Times New Roman"/>
          <w:sz w:val="24"/>
          <w:szCs w:val="24"/>
        </w:rPr>
        <w:t>s.</w:t>
      </w:r>
    </w:p>
    <w:p w14:paraId="1D0DB5FF" w14:textId="390B423C" w:rsidR="00E6534A" w:rsidRPr="008573D2" w:rsidRDefault="00E6534A" w:rsidP="00C475C3">
      <w:pPr>
        <w:spacing w:after="200" w:line="480" w:lineRule="auto"/>
        <w:jc w:val="center"/>
        <w:rPr>
          <w:rFonts w:ascii="Times New Roman" w:hAnsi="Times New Roman" w:cs="Times New Roman"/>
          <w:b/>
          <w:bCs/>
          <w:sz w:val="24"/>
          <w:szCs w:val="24"/>
        </w:rPr>
      </w:pPr>
      <w:r w:rsidRPr="008573D2">
        <w:rPr>
          <w:rFonts w:ascii="Times New Roman" w:hAnsi="Times New Roman" w:cs="Times New Roman"/>
          <w:b/>
          <w:bCs/>
          <w:sz w:val="24"/>
          <w:szCs w:val="24"/>
        </w:rPr>
        <w:t>Please insert Table 1 about here</w:t>
      </w:r>
    </w:p>
    <w:p w14:paraId="7FF8C32C" w14:textId="72BF0C6B" w:rsidR="00E6534A" w:rsidRPr="008573D2" w:rsidRDefault="00E6534A" w:rsidP="00C475C3">
      <w:pPr>
        <w:spacing w:after="200" w:line="480" w:lineRule="auto"/>
        <w:jc w:val="center"/>
        <w:rPr>
          <w:rFonts w:ascii="Times New Roman" w:hAnsi="Times New Roman" w:cs="Times New Roman"/>
          <w:b/>
          <w:bCs/>
          <w:sz w:val="24"/>
          <w:szCs w:val="24"/>
        </w:rPr>
      </w:pPr>
      <w:r w:rsidRPr="008573D2">
        <w:rPr>
          <w:rFonts w:ascii="Times New Roman" w:hAnsi="Times New Roman" w:cs="Times New Roman"/>
          <w:b/>
          <w:bCs/>
          <w:sz w:val="24"/>
          <w:szCs w:val="24"/>
        </w:rPr>
        <w:t>Please insert Table 2 about here</w:t>
      </w:r>
    </w:p>
    <w:p w14:paraId="114B2C2C" w14:textId="77777777" w:rsidR="002C7D77" w:rsidRPr="008573D2" w:rsidRDefault="002C7D77" w:rsidP="00C475C3">
      <w:pPr>
        <w:spacing w:after="200" w:line="480" w:lineRule="auto"/>
        <w:jc w:val="both"/>
        <w:rPr>
          <w:rFonts w:ascii="Times New Roman" w:eastAsiaTheme="minorEastAsia" w:hAnsi="Times New Roman" w:cs="Times New Roman"/>
          <w:sz w:val="24"/>
          <w:szCs w:val="24"/>
        </w:rPr>
      </w:pPr>
      <w:r w:rsidRPr="008573D2">
        <w:rPr>
          <w:rFonts w:ascii="Times New Roman" w:hAnsi="Times New Roman" w:cs="Times New Roman"/>
          <w:sz w:val="24"/>
          <w:szCs w:val="24"/>
        </w:rPr>
        <w:lastRenderedPageBreak/>
        <w:t xml:space="preserve">For empirical analysis, we develop a dynamic panel-based EGARCH (1,1) model following the approach suggested in earlier literature, such as Lee (2010) and Ribeiro et al. (2017). For a cross-section of </w:t>
      </w:r>
      <w:r w:rsidRPr="008573D2">
        <w:rPr>
          <w:rFonts w:ascii="Times New Roman" w:hAnsi="Times New Roman" w:cs="Times New Roman"/>
          <w:i/>
          <w:iCs/>
          <w:sz w:val="24"/>
          <w:szCs w:val="24"/>
        </w:rPr>
        <w:t>N</w:t>
      </w:r>
      <w:r w:rsidRPr="008573D2">
        <w:rPr>
          <w:rFonts w:ascii="Times New Roman" w:hAnsi="Times New Roman" w:cs="Times New Roman"/>
          <w:sz w:val="24"/>
          <w:szCs w:val="24"/>
        </w:rPr>
        <w:t xml:space="preserve"> countries and </w:t>
      </w:r>
      <w:r w:rsidRPr="008573D2">
        <w:rPr>
          <w:rFonts w:ascii="Times New Roman" w:hAnsi="Times New Roman" w:cs="Times New Roman"/>
          <w:i/>
          <w:iCs/>
          <w:sz w:val="24"/>
          <w:szCs w:val="24"/>
        </w:rPr>
        <w:t>T</w:t>
      </w:r>
      <w:r w:rsidRPr="008573D2">
        <w:rPr>
          <w:rFonts w:ascii="Times New Roman" w:hAnsi="Times New Roman" w:cs="Times New Roman"/>
          <w:sz w:val="24"/>
          <w:szCs w:val="24"/>
        </w:rPr>
        <w:t xml:space="preserve"> time periods, we express the conditional mean equation for index returns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RET</m:t>
                </m:r>
              </m:e>
              <m:sub>
                <m:r>
                  <w:rPr>
                    <w:rFonts w:ascii="Cambria Math" w:hAnsi="Cambria Math" w:cs="Times New Roman"/>
                    <w:sz w:val="24"/>
                    <w:szCs w:val="24"/>
                  </w:rPr>
                  <m:t>it</m:t>
                </m:r>
              </m:sub>
            </m:sSub>
          </m:e>
        </m:d>
      </m:oMath>
      <w:r w:rsidRPr="008573D2">
        <w:rPr>
          <w:rFonts w:ascii="Times New Roman" w:eastAsiaTheme="minorEastAsia" w:hAnsi="Times New Roman" w:cs="Times New Roman"/>
          <w:sz w:val="24"/>
          <w:szCs w:val="24"/>
        </w:rPr>
        <w:t xml:space="preserve"> as a dynamic panel with fixed effects:</w:t>
      </w:r>
    </w:p>
    <w:p w14:paraId="0BEA491D" w14:textId="77777777" w:rsidR="002C7D77" w:rsidRPr="008573D2" w:rsidRDefault="00984A85" w:rsidP="00C475C3">
      <w:pPr>
        <w:spacing w:after="200" w:line="48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RET</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i</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k=1</m:t>
            </m:r>
          </m:sub>
          <m:sup>
            <m:r>
              <w:rPr>
                <w:rFonts w:ascii="Cambria Math" w:hAnsi="Cambria Math" w:cs="Times New Roman"/>
                <w:sz w:val="24"/>
                <w:szCs w:val="24"/>
              </w:rPr>
              <m:t>K</m:t>
            </m:r>
          </m:sup>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k</m:t>
                </m:r>
              </m:sub>
            </m:sSub>
          </m:e>
        </m:nary>
        <m:sSub>
          <m:sSubPr>
            <m:ctrlPr>
              <w:rPr>
                <w:rFonts w:ascii="Cambria Math" w:hAnsi="Cambria Math" w:cs="Times New Roman"/>
                <w:i/>
                <w:sz w:val="24"/>
                <w:szCs w:val="24"/>
              </w:rPr>
            </m:ctrlPr>
          </m:sSubPr>
          <m:e>
            <m:r>
              <w:rPr>
                <w:rFonts w:ascii="Cambria Math" w:hAnsi="Cambria Math" w:cs="Times New Roman"/>
                <w:sz w:val="24"/>
                <w:szCs w:val="24"/>
              </w:rPr>
              <m:t>RET</m:t>
            </m:r>
          </m:e>
          <m:sub>
            <m:r>
              <w:rPr>
                <w:rFonts w:ascii="Cambria Math" w:hAnsi="Cambria Math" w:cs="Times New Roman"/>
                <w:sz w:val="24"/>
                <w:szCs w:val="24"/>
              </w:rPr>
              <m:t>i,t-k</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it</m:t>
            </m:r>
          </m:sub>
        </m:sSub>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CW</m:t>
            </m:r>
          </m:e>
          <m:sub>
            <m:r>
              <w:rPr>
                <w:rFonts w:ascii="Cambria Math" w:hAnsi="Cambria Math" w:cs="Times New Roman"/>
                <w:sz w:val="24"/>
                <w:szCs w:val="24"/>
              </w:rPr>
              <m:t>t</m:t>
            </m:r>
          </m:sub>
        </m:sSub>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CS</m:t>
            </m:r>
          </m:e>
          <m:sub>
            <m:r>
              <w:rPr>
                <w:rFonts w:ascii="Cambria Math" w:hAnsi="Cambria Math" w:cs="Times New Roman"/>
                <w:sz w:val="24"/>
                <w:szCs w:val="24"/>
              </w:rPr>
              <m:t>it</m:t>
            </m:r>
          </m:sub>
        </m:sSub>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it</m:t>
            </m:r>
          </m:sub>
        </m:sSub>
        <m:r>
          <w:rPr>
            <w:rFonts w:ascii="Cambria Math" w:hAnsi="Cambria Math" w:cs="Times New Roman"/>
            <w:sz w:val="24"/>
            <w:szCs w:val="24"/>
          </w:rPr>
          <m:t>,</m:t>
        </m:r>
      </m:oMath>
      <w:r w:rsidR="002C7D77" w:rsidRPr="008573D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i=1,…, N;t=t,…T</m:t>
        </m:r>
      </m:oMath>
      <w:r w:rsidR="002C7D77" w:rsidRPr="008573D2">
        <w:rPr>
          <w:rFonts w:ascii="Times New Roman" w:eastAsiaTheme="minorEastAsia" w:hAnsi="Times New Roman" w:cs="Times New Roman"/>
          <w:sz w:val="24"/>
          <w:szCs w:val="24"/>
        </w:rPr>
        <w:t xml:space="preserve"> (1)</w:t>
      </w:r>
    </w:p>
    <w:p w14:paraId="360388B2" w14:textId="5A75ABAF" w:rsidR="002C7D77" w:rsidRPr="008573D2" w:rsidRDefault="002C7D77" w:rsidP="00C475C3">
      <w:pPr>
        <w:spacing w:after="200" w:line="480" w:lineRule="auto"/>
        <w:jc w:val="both"/>
        <w:rPr>
          <w:rFonts w:ascii="Times New Roman" w:eastAsiaTheme="minorEastAsia" w:hAnsi="Times New Roman" w:cs="Times New Roman"/>
          <w:sz w:val="24"/>
          <w:szCs w:val="24"/>
        </w:rPr>
      </w:pPr>
      <w:r w:rsidRPr="008573D2">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i</m:t>
            </m:r>
          </m:sub>
        </m:sSub>
      </m:oMath>
      <w:r w:rsidRPr="008573D2">
        <w:rPr>
          <w:rFonts w:ascii="Times New Roman" w:eastAsiaTheme="minorEastAsia" w:hAnsi="Times New Roman" w:cs="Times New Roman"/>
          <w:sz w:val="24"/>
          <w:szCs w:val="24"/>
        </w:rPr>
        <w:t xml:space="preserve"> captures the country-specific effects that are assumed to be fixed,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it</m:t>
            </m:r>
          </m:sub>
        </m:sSub>
      </m:oMath>
      <w:r w:rsidRPr="008573D2">
        <w:rPr>
          <w:rFonts w:ascii="Times New Roman" w:eastAsiaTheme="minorEastAsia" w:hAnsi="Times New Roman" w:cs="Times New Roman"/>
          <w:sz w:val="24"/>
          <w:szCs w:val="24"/>
        </w:rPr>
        <w:t xml:space="preserve"> is a vector of control (exogenous) variables, which includes log of trading volume (LVO), the VIX returns (RVX), the log of oil price (LOP) and the log of quarterly GDP (LGD).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oMath>
      <w:r w:rsidRPr="008573D2">
        <w:rPr>
          <w:rFonts w:ascii="Times New Roman" w:eastAsiaTheme="minorEastAsia" w:hAnsi="Times New Roman" w:cs="Times New Roman"/>
          <w:sz w:val="24"/>
          <w:szCs w:val="24"/>
        </w:rPr>
        <w:t xml:space="preserve"> is the corresponding coefficient of this vector. In equation (1), </w:t>
      </w:r>
      <m:oMath>
        <m:sSub>
          <m:sSubPr>
            <m:ctrlPr>
              <w:rPr>
                <w:rFonts w:ascii="Cambria Math" w:hAnsi="Cambria Math" w:cs="Times New Roman"/>
                <w:i/>
                <w:sz w:val="24"/>
                <w:szCs w:val="24"/>
              </w:rPr>
            </m:ctrlPr>
          </m:sSubPr>
          <m:e>
            <m:r>
              <w:rPr>
                <w:rFonts w:ascii="Cambria Math" w:hAnsi="Cambria Math" w:cs="Times New Roman"/>
                <w:sz w:val="24"/>
                <w:szCs w:val="24"/>
              </w:rPr>
              <m:t>CW</m:t>
            </m:r>
          </m:e>
          <m:sub>
            <m:r>
              <w:rPr>
                <w:rFonts w:ascii="Cambria Math" w:hAnsi="Cambria Math" w:cs="Times New Roman"/>
                <w:sz w:val="24"/>
                <w:szCs w:val="24"/>
              </w:rPr>
              <m:t>t</m:t>
            </m:r>
          </m:sub>
        </m:sSub>
      </m:oMath>
      <w:r w:rsidRPr="008573D2">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CS</m:t>
            </m:r>
          </m:e>
          <m:sub>
            <m:r>
              <w:rPr>
                <w:rFonts w:ascii="Cambria Math" w:hAnsi="Cambria Math" w:cs="Times New Roman"/>
                <w:sz w:val="24"/>
                <w:szCs w:val="24"/>
              </w:rPr>
              <m:t>it</m:t>
            </m:r>
          </m:sub>
        </m:sSub>
      </m:oMath>
      <w:r w:rsidRPr="008573D2">
        <w:rPr>
          <w:rFonts w:ascii="Times New Roman" w:eastAsiaTheme="minorEastAsia" w:hAnsi="Times New Roman" w:cs="Times New Roman"/>
          <w:sz w:val="24"/>
          <w:szCs w:val="24"/>
        </w:rPr>
        <w:t xml:space="preserve"> represent the vector of change in COVID-19</w:t>
      </w:r>
      <w:r w:rsidR="00CF6387" w:rsidRPr="008573D2">
        <w:rPr>
          <w:rFonts w:ascii="Times New Roman" w:eastAsiaTheme="minorEastAsia" w:hAnsi="Times New Roman" w:cs="Times New Roman"/>
          <w:sz w:val="24"/>
          <w:szCs w:val="24"/>
        </w:rPr>
        <w:t>-</w:t>
      </w:r>
      <w:r w:rsidRPr="008573D2">
        <w:rPr>
          <w:rFonts w:ascii="Times New Roman" w:eastAsiaTheme="minorEastAsia" w:hAnsi="Times New Roman" w:cs="Times New Roman"/>
          <w:sz w:val="24"/>
          <w:szCs w:val="24"/>
        </w:rPr>
        <w:t xml:space="preserve">related cases and deaths </w:t>
      </w:r>
      <w:r w:rsidR="00CF6387" w:rsidRPr="008573D2">
        <w:rPr>
          <w:rFonts w:ascii="Times New Roman" w:eastAsiaTheme="minorEastAsia" w:hAnsi="Times New Roman" w:cs="Times New Roman"/>
          <w:sz w:val="24"/>
          <w:szCs w:val="24"/>
        </w:rPr>
        <w:t>worldwide</w:t>
      </w:r>
      <w:r w:rsidRPr="008573D2">
        <w:rPr>
          <w:rFonts w:ascii="Times New Roman" w:eastAsiaTheme="minorEastAsia" w:hAnsi="Times New Roman" w:cs="Times New Roman"/>
          <w:sz w:val="24"/>
          <w:szCs w:val="24"/>
        </w:rPr>
        <w:t xml:space="preserve"> (CTC and CTD) and </w:t>
      </w:r>
      <w:r w:rsidR="00CF6387" w:rsidRPr="008573D2">
        <w:rPr>
          <w:rFonts w:ascii="Times New Roman" w:eastAsiaTheme="minorEastAsia" w:hAnsi="Times New Roman" w:cs="Times New Roman"/>
          <w:sz w:val="24"/>
          <w:szCs w:val="24"/>
        </w:rPr>
        <w:t xml:space="preserve">in </w:t>
      </w:r>
      <w:r w:rsidRPr="008573D2">
        <w:rPr>
          <w:rFonts w:ascii="Times New Roman" w:eastAsiaTheme="minorEastAsia" w:hAnsi="Times New Roman" w:cs="Times New Roman"/>
          <w:sz w:val="24"/>
          <w:szCs w:val="24"/>
        </w:rPr>
        <w:t xml:space="preserve">each country in our sample (CSC and CSD), respectively, where the corresponding coefficient are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oMath>
      <w:r w:rsidRPr="008573D2">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oMath>
      <w:r w:rsidRPr="008573D2">
        <w:rPr>
          <w:rFonts w:ascii="Times New Roman" w:eastAsiaTheme="minorEastAsia" w:hAnsi="Times New Roman" w:cs="Times New Roman"/>
          <w:sz w:val="24"/>
          <w:szCs w:val="24"/>
        </w:rPr>
        <w:t>. We have used both country-specific and global COVID-19</w:t>
      </w:r>
      <w:r w:rsidR="00CF6387" w:rsidRPr="008573D2">
        <w:rPr>
          <w:rFonts w:ascii="Times New Roman" w:eastAsiaTheme="minorEastAsia" w:hAnsi="Times New Roman" w:cs="Times New Roman"/>
          <w:sz w:val="24"/>
          <w:szCs w:val="24"/>
        </w:rPr>
        <w:t>-</w:t>
      </w:r>
      <w:r w:rsidRPr="008573D2">
        <w:rPr>
          <w:rFonts w:ascii="Times New Roman" w:eastAsiaTheme="minorEastAsia" w:hAnsi="Times New Roman" w:cs="Times New Roman"/>
          <w:sz w:val="24"/>
          <w:szCs w:val="24"/>
        </w:rPr>
        <w:t xml:space="preserve">related data in this study because during a crisis financial markets observe a contagion effect and thus become not only prone to local information but also to global risk (see </w:t>
      </w:r>
      <w:proofErr w:type="spellStart"/>
      <w:r w:rsidRPr="008573D2">
        <w:rPr>
          <w:rFonts w:ascii="Times New Roman" w:eastAsiaTheme="minorEastAsia" w:hAnsi="Times New Roman" w:cs="Times New Roman"/>
          <w:sz w:val="24"/>
          <w:szCs w:val="24"/>
        </w:rPr>
        <w:t>Akhtaruzzaman</w:t>
      </w:r>
      <w:proofErr w:type="spellEnd"/>
      <w:r w:rsidRPr="008573D2">
        <w:rPr>
          <w:rFonts w:ascii="Times New Roman" w:eastAsiaTheme="minorEastAsia" w:hAnsi="Times New Roman" w:cs="Times New Roman"/>
          <w:sz w:val="24"/>
          <w:szCs w:val="24"/>
        </w:rPr>
        <w:t xml:space="preserve"> et al., 2020). For example, the European and Asian markets have displayed higher volatility with the increasing number</w:t>
      </w:r>
      <w:r w:rsidR="00CF6387" w:rsidRPr="008573D2">
        <w:rPr>
          <w:rFonts w:ascii="Times New Roman" w:eastAsiaTheme="minorEastAsia" w:hAnsi="Times New Roman" w:cs="Times New Roman"/>
          <w:sz w:val="24"/>
          <w:szCs w:val="24"/>
        </w:rPr>
        <w:t>s</w:t>
      </w:r>
      <w:r w:rsidRPr="008573D2">
        <w:rPr>
          <w:rFonts w:ascii="Times New Roman" w:eastAsiaTheme="minorEastAsia" w:hAnsi="Times New Roman" w:cs="Times New Roman"/>
          <w:sz w:val="24"/>
          <w:szCs w:val="24"/>
        </w:rPr>
        <w:t xml:space="preserve"> of COVID-19 cases and deaths in the US (see, Ali et al., 2020). Similarly, news on the development of a coronavirus vaccine heated up financial markets across the world. Moreover, during this COVID-19 pandemic</w:t>
      </w:r>
      <w:r w:rsidR="00CF6387" w:rsidRPr="008573D2">
        <w:rPr>
          <w:rFonts w:ascii="Times New Roman" w:eastAsiaTheme="minorEastAsia" w:hAnsi="Times New Roman" w:cs="Times New Roman"/>
          <w:sz w:val="24"/>
          <w:szCs w:val="24"/>
        </w:rPr>
        <w:t>,</w:t>
      </w:r>
      <w:r w:rsidRPr="008573D2">
        <w:rPr>
          <w:rFonts w:ascii="Times New Roman" w:eastAsiaTheme="minorEastAsia" w:hAnsi="Times New Roman" w:cs="Times New Roman"/>
          <w:sz w:val="24"/>
          <w:szCs w:val="24"/>
        </w:rPr>
        <w:t xml:space="preserve"> commodity markets such as the oil price experienced an unforeseen fall, which had a </w:t>
      </w:r>
      <w:proofErr w:type="spellStart"/>
      <w:r w:rsidRPr="008573D2">
        <w:rPr>
          <w:rFonts w:ascii="Times New Roman" w:eastAsiaTheme="minorEastAsia" w:hAnsi="Times New Roman" w:cs="Times New Roman"/>
          <w:sz w:val="24"/>
          <w:szCs w:val="24"/>
        </w:rPr>
        <w:t>spillover</w:t>
      </w:r>
      <w:proofErr w:type="spellEnd"/>
      <w:r w:rsidRPr="008573D2">
        <w:rPr>
          <w:rFonts w:ascii="Times New Roman" w:eastAsiaTheme="minorEastAsia" w:hAnsi="Times New Roman" w:cs="Times New Roman"/>
          <w:sz w:val="24"/>
          <w:szCs w:val="24"/>
        </w:rPr>
        <w:t xml:space="preserve"> effect on equity markets across the world. Therefore, we use the global impact of COVID-19 on the local equity returns by including CTC and CTD in equation (1) with the local cases and deaths. </w:t>
      </w:r>
    </w:p>
    <w:p w14:paraId="409FE01E" w14:textId="77777777" w:rsidR="002C7D77" w:rsidRPr="008573D2" w:rsidRDefault="002C7D77" w:rsidP="00C475C3">
      <w:pPr>
        <w:spacing w:after="200" w:line="480" w:lineRule="auto"/>
        <w:jc w:val="both"/>
        <w:rPr>
          <w:rFonts w:ascii="Times New Roman" w:eastAsiaTheme="minorEastAsia" w:hAnsi="Times New Roman" w:cs="Times New Roman"/>
          <w:sz w:val="24"/>
          <w:szCs w:val="24"/>
        </w:rPr>
      </w:pPr>
      <w:r w:rsidRPr="008573D2">
        <w:rPr>
          <w:rFonts w:ascii="Times New Roman" w:eastAsiaTheme="minorEastAsia" w:hAnsi="Times New Roman" w:cs="Times New Roman"/>
          <w:sz w:val="24"/>
          <w:szCs w:val="24"/>
        </w:rPr>
        <w:t xml:space="preserve">The </w:t>
      </w:r>
      <w:r w:rsidRPr="008573D2">
        <w:rPr>
          <w:rFonts w:ascii="Times New Roman" w:eastAsiaTheme="minorEastAsia" w:hAnsi="Times New Roman" w:cs="Times New Roman"/>
          <w:i/>
          <w:iCs/>
          <w:sz w:val="24"/>
          <w:szCs w:val="24"/>
        </w:rPr>
        <w:t>N-</w:t>
      </w:r>
      <w:r w:rsidRPr="008573D2">
        <w:rPr>
          <w:rFonts w:ascii="Times New Roman" w:eastAsiaTheme="minorEastAsia" w:hAnsi="Times New Roman" w:cs="Times New Roman"/>
          <w:sz w:val="24"/>
          <w:szCs w:val="24"/>
        </w:rPr>
        <w:t xml:space="preserve">dimensional vector of disturbances </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it</m:t>
            </m:r>
          </m:sub>
        </m:sSub>
      </m:oMath>
      <w:r w:rsidRPr="008573D2">
        <w:rPr>
          <w:rFonts w:ascii="Times New Roman" w:eastAsiaTheme="minorEastAsia" w:hAnsi="Times New Roman" w:cs="Times New Roman"/>
          <w:sz w:val="24"/>
          <w:szCs w:val="24"/>
        </w:rPr>
        <w:t xml:space="preserve"> in equation (1) is assumed to have a normal distribution with mean zero along with the following conditional moments:</w:t>
      </w:r>
    </w:p>
    <w:p w14:paraId="5065B55D" w14:textId="77777777" w:rsidR="002C7D77" w:rsidRPr="008573D2" w:rsidRDefault="002C7D77" w:rsidP="00C475C3">
      <w:pPr>
        <w:spacing w:after="200" w:line="48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w:lastRenderedPageBreak/>
          <m:t>E</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js</m:t>
                </m:r>
              </m:sub>
            </m:sSub>
          </m:e>
        </m:d>
        <m:r>
          <w:rPr>
            <w:rFonts w:ascii="Cambria Math" w:eastAsiaTheme="minorEastAsia" w:hAnsi="Cambria Math" w:cs="Times New Roman"/>
            <w:sz w:val="24"/>
            <w:szCs w:val="24"/>
          </w:rPr>
          <m:t>=0</m:t>
        </m:r>
      </m:oMath>
      <w:r w:rsidRPr="008573D2">
        <w:rPr>
          <w:rFonts w:ascii="Times New Roman" w:eastAsiaTheme="minorEastAsia" w:hAnsi="Times New Roman" w:cs="Times New Roman"/>
          <w:sz w:val="24"/>
          <w:szCs w:val="24"/>
        </w:rPr>
        <w:tab/>
      </w:r>
      <w:r w:rsidRPr="008573D2">
        <w:rPr>
          <w:rFonts w:ascii="Times New Roman" w:eastAsiaTheme="minorEastAsia" w:hAnsi="Times New Roman" w:cs="Times New Roman"/>
          <w:sz w:val="24"/>
          <w:szCs w:val="24"/>
        </w:rPr>
        <w:tab/>
        <w:t xml:space="preserve">for </w:t>
      </w:r>
      <m:oMath>
        <m:r>
          <w:rPr>
            <w:rFonts w:ascii="Cambria Math" w:eastAsiaTheme="minorEastAsia" w:hAnsi="Cambria Math" w:cs="Times New Roman"/>
            <w:sz w:val="24"/>
            <w:szCs w:val="24"/>
          </w:rPr>
          <m:t>i≠j</m:t>
        </m:r>
      </m:oMath>
      <w:r w:rsidRPr="008573D2">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t≠s,</m:t>
        </m:r>
      </m:oMath>
      <w:r w:rsidRPr="008573D2">
        <w:rPr>
          <w:rFonts w:ascii="Times New Roman" w:eastAsiaTheme="minorEastAsia" w:hAnsi="Times New Roman" w:cs="Times New Roman"/>
          <w:sz w:val="24"/>
          <w:szCs w:val="24"/>
        </w:rPr>
        <w:tab/>
      </w:r>
      <w:r w:rsidRPr="008573D2">
        <w:rPr>
          <w:rFonts w:ascii="Times New Roman" w:eastAsiaTheme="minorEastAsia" w:hAnsi="Times New Roman" w:cs="Times New Roman"/>
          <w:sz w:val="24"/>
          <w:szCs w:val="24"/>
        </w:rPr>
        <w:tab/>
      </w:r>
      <w:r w:rsidRPr="008573D2">
        <w:rPr>
          <w:rFonts w:ascii="Times New Roman" w:eastAsiaTheme="minorEastAsia" w:hAnsi="Times New Roman" w:cs="Times New Roman"/>
          <w:sz w:val="24"/>
          <w:szCs w:val="24"/>
        </w:rPr>
        <w:tab/>
      </w:r>
      <w:r w:rsidRPr="008573D2">
        <w:rPr>
          <w:rFonts w:ascii="Times New Roman" w:eastAsiaTheme="minorEastAsia" w:hAnsi="Times New Roman" w:cs="Times New Roman"/>
          <w:sz w:val="24"/>
          <w:szCs w:val="24"/>
        </w:rPr>
        <w:tab/>
      </w:r>
      <w:r w:rsidRPr="008573D2">
        <w:rPr>
          <w:rFonts w:ascii="Times New Roman" w:eastAsiaTheme="minorEastAsia" w:hAnsi="Times New Roman" w:cs="Times New Roman"/>
          <w:sz w:val="24"/>
          <w:szCs w:val="24"/>
        </w:rPr>
        <w:tab/>
      </w:r>
      <w:r w:rsidRPr="008573D2">
        <w:rPr>
          <w:rFonts w:ascii="Times New Roman" w:eastAsiaTheme="minorEastAsia" w:hAnsi="Times New Roman" w:cs="Times New Roman"/>
          <w:sz w:val="24"/>
          <w:szCs w:val="24"/>
        </w:rPr>
        <w:tab/>
      </w:r>
      <w:r w:rsidRPr="008573D2">
        <w:rPr>
          <w:rFonts w:ascii="Times New Roman" w:eastAsiaTheme="minorEastAsia" w:hAnsi="Times New Roman" w:cs="Times New Roman"/>
          <w:sz w:val="24"/>
          <w:szCs w:val="24"/>
        </w:rPr>
        <w:tab/>
        <w:t>(2)</w:t>
      </w:r>
    </w:p>
    <w:p w14:paraId="68EBA226" w14:textId="77777777" w:rsidR="002C7D77" w:rsidRPr="008573D2" w:rsidRDefault="002C7D77" w:rsidP="00C475C3">
      <w:pPr>
        <w:spacing w:after="200" w:line="48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E</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js</m:t>
                </m:r>
              </m:sub>
            </m:sSub>
          </m:e>
        </m:d>
        <m:r>
          <w:rPr>
            <w:rFonts w:ascii="Cambria Math" w:eastAsiaTheme="minorEastAsia" w:hAnsi="Cambria Math" w:cs="Times New Roman"/>
            <w:sz w:val="24"/>
            <w:szCs w:val="24"/>
          </w:rPr>
          <m:t>=0</m:t>
        </m:r>
      </m:oMath>
      <w:r w:rsidRPr="008573D2">
        <w:rPr>
          <w:rFonts w:ascii="Times New Roman" w:eastAsiaTheme="minorEastAsia" w:hAnsi="Times New Roman" w:cs="Times New Roman"/>
          <w:sz w:val="24"/>
          <w:szCs w:val="24"/>
        </w:rPr>
        <w:tab/>
      </w:r>
      <w:r w:rsidRPr="008573D2">
        <w:rPr>
          <w:rFonts w:ascii="Times New Roman" w:eastAsiaTheme="minorEastAsia" w:hAnsi="Times New Roman" w:cs="Times New Roman"/>
          <w:sz w:val="24"/>
          <w:szCs w:val="24"/>
        </w:rPr>
        <w:tab/>
        <w:t xml:space="preserve">for </w:t>
      </w:r>
      <m:oMath>
        <m:r>
          <w:rPr>
            <w:rFonts w:ascii="Cambria Math" w:eastAsiaTheme="minorEastAsia" w:hAnsi="Cambria Math" w:cs="Times New Roman"/>
            <w:sz w:val="24"/>
            <w:szCs w:val="24"/>
          </w:rPr>
          <m:t>i=j</m:t>
        </m:r>
      </m:oMath>
      <w:r w:rsidRPr="008573D2">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t≠s,</m:t>
        </m:r>
      </m:oMath>
      <w:r w:rsidRPr="008573D2">
        <w:rPr>
          <w:rFonts w:ascii="Times New Roman" w:eastAsiaTheme="minorEastAsia" w:hAnsi="Times New Roman" w:cs="Times New Roman"/>
          <w:sz w:val="24"/>
          <w:szCs w:val="24"/>
        </w:rPr>
        <w:tab/>
      </w:r>
      <w:r w:rsidRPr="008573D2">
        <w:rPr>
          <w:rFonts w:ascii="Times New Roman" w:eastAsiaTheme="minorEastAsia" w:hAnsi="Times New Roman" w:cs="Times New Roman"/>
          <w:sz w:val="24"/>
          <w:szCs w:val="24"/>
        </w:rPr>
        <w:tab/>
      </w:r>
      <w:r w:rsidRPr="008573D2">
        <w:rPr>
          <w:rFonts w:ascii="Times New Roman" w:eastAsiaTheme="minorEastAsia" w:hAnsi="Times New Roman" w:cs="Times New Roman"/>
          <w:sz w:val="24"/>
          <w:szCs w:val="24"/>
        </w:rPr>
        <w:tab/>
      </w:r>
      <w:r w:rsidRPr="008573D2">
        <w:rPr>
          <w:rFonts w:ascii="Times New Roman" w:eastAsiaTheme="minorEastAsia" w:hAnsi="Times New Roman" w:cs="Times New Roman"/>
          <w:sz w:val="24"/>
          <w:szCs w:val="24"/>
        </w:rPr>
        <w:tab/>
      </w:r>
      <w:r w:rsidRPr="008573D2">
        <w:rPr>
          <w:rFonts w:ascii="Times New Roman" w:eastAsiaTheme="minorEastAsia" w:hAnsi="Times New Roman" w:cs="Times New Roman"/>
          <w:sz w:val="24"/>
          <w:szCs w:val="24"/>
        </w:rPr>
        <w:tab/>
      </w:r>
      <w:r w:rsidRPr="008573D2">
        <w:rPr>
          <w:rFonts w:ascii="Times New Roman" w:eastAsiaTheme="minorEastAsia" w:hAnsi="Times New Roman" w:cs="Times New Roman"/>
          <w:sz w:val="24"/>
          <w:szCs w:val="24"/>
        </w:rPr>
        <w:tab/>
      </w:r>
      <w:r w:rsidRPr="008573D2">
        <w:rPr>
          <w:rFonts w:ascii="Times New Roman" w:eastAsiaTheme="minorEastAsia" w:hAnsi="Times New Roman" w:cs="Times New Roman"/>
          <w:sz w:val="24"/>
          <w:szCs w:val="24"/>
        </w:rPr>
        <w:tab/>
        <w:t>(3)</w:t>
      </w:r>
    </w:p>
    <w:p w14:paraId="32B88531" w14:textId="77777777" w:rsidR="002C7D77" w:rsidRPr="008573D2" w:rsidRDefault="002C7D77" w:rsidP="00C475C3">
      <w:pPr>
        <w:spacing w:after="200" w:line="48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E</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js</m:t>
                </m:r>
              </m:sub>
            </m:sSub>
          </m:e>
        </m:d>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ij,t</m:t>
            </m:r>
          </m:sub>
          <m:sup>
            <m:r>
              <w:rPr>
                <w:rFonts w:ascii="Cambria Math" w:eastAsiaTheme="minorEastAsia" w:hAnsi="Cambria Math" w:cs="Times New Roman"/>
                <w:sz w:val="24"/>
                <w:szCs w:val="24"/>
              </w:rPr>
              <m:t>2</m:t>
            </m:r>
          </m:sup>
        </m:sSubSup>
      </m:oMath>
      <w:r w:rsidRPr="008573D2">
        <w:rPr>
          <w:rFonts w:ascii="Times New Roman" w:eastAsiaTheme="minorEastAsia" w:hAnsi="Times New Roman" w:cs="Times New Roman"/>
          <w:sz w:val="24"/>
          <w:szCs w:val="24"/>
        </w:rPr>
        <w:tab/>
        <w:t xml:space="preserve">for </w:t>
      </w:r>
      <m:oMath>
        <m:r>
          <w:rPr>
            <w:rFonts w:ascii="Cambria Math" w:eastAsiaTheme="minorEastAsia" w:hAnsi="Cambria Math" w:cs="Times New Roman"/>
            <w:sz w:val="24"/>
            <w:szCs w:val="24"/>
          </w:rPr>
          <m:t>i≠j</m:t>
        </m:r>
      </m:oMath>
      <w:r w:rsidRPr="008573D2">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t=s,</m:t>
        </m:r>
      </m:oMath>
      <w:r w:rsidRPr="008573D2">
        <w:rPr>
          <w:rFonts w:ascii="Times New Roman" w:eastAsiaTheme="minorEastAsia" w:hAnsi="Times New Roman" w:cs="Times New Roman"/>
          <w:sz w:val="24"/>
          <w:szCs w:val="24"/>
        </w:rPr>
        <w:tab/>
      </w:r>
      <w:r w:rsidRPr="008573D2">
        <w:rPr>
          <w:rFonts w:ascii="Times New Roman" w:eastAsiaTheme="minorEastAsia" w:hAnsi="Times New Roman" w:cs="Times New Roman"/>
          <w:sz w:val="24"/>
          <w:szCs w:val="24"/>
        </w:rPr>
        <w:tab/>
      </w:r>
      <w:r w:rsidRPr="008573D2">
        <w:rPr>
          <w:rFonts w:ascii="Times New Roman" w:eastAsiaTheme="minorEastAsia" w:hAnsi="Times New Roman" w:cs="Times New Roman"/>
          <w:sz w:val="24"/>
          <w:szCs w:val="24"/>
        </w:rPr>
        <w:tab/>
      </w:r>
      <w:r w:rsidRPr="008573D2">
        <w:rPr>
          <w:rFonts w:ascii="Times New Roman" w:eastAsiaTheme="minorEastAsia" w:hAnsi="Times New Roman" w:cs="Times New Roman"/>
          <w:sz w:val="24"/>
          <w:szCs w:val="24"/>
        </w:rPr>
        <w:tab/>
      </w:r>
      <w:r w:rsidRPr="008573D2">
        <w:rPr>
          <w:rFonts w:ascii="Times New Roman" w:eastAsiaTheme="minorEastAsia" w:hAnsi="Times New Roman" w:cs="Times New Roman"/>
          <w:sz w:val="24"/>
          <w:szCs w:val="24"/>
        </w:rPr>
        <w:tab/>
      </w:r>
      <w:r w:rsidRPr="008573D2">
        <w:rPr>
          <w:rFonts w:ascii="Times New Roman" w:eastAsiaTheme="minorEastAsia" w:hAnsi="Times New Roman" w:cs="Times New Roman"/>
          <w:sz w:val="24"/>
          <w:szCs w:val="24"/>
        </w:rPr>
        <w:tab/>
      </w:r>
      <w:r w:rsidRPr="008573D2">
        <w:rPr>
          <w:rFonts w:ascii="Times New Roman" w:eastAsiaTheme="minorEastAsia" w:hAnsi="Times New Roman" w:cs="Times New Roman"/>
          <w:sz w:val="24"/>
          <w:szCs w:val="24"/>
        </w:rPr>
        <w:tab/>
        <w:t>(4)</w:t>
      </w:r>
    </w:p>
    <w:p w14:paraId="6BDA662A" w14:textId="77777777" w:rsidR="002C7D77" w:rsidRPr="008573D2" w:rsidRDefault="002C7D77" w:rsidP="00C475C3">
      <w:pPr>
        <w:spacing w:after="200" w:line="48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E</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js</m:t>
                </m:r>
              </m:sub>
            </m:sSub>
          </m:e>
        </m:d>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it</m:t>
            </m:r>
          </m:sub>
          <m:sup>
            <m:r>
              <w:rPr>
                <w:rFonts w:ascii="Cambria Math" w:eastAsiaTheme="minorEastAsia" w:hAnsi="Cambria Math" w:cs="Times New Roman"/>
                <w:sz w:val="24"/>
                <w:szCs w:val="24"/>
              </w:rPr>
              <m:t>2</m:t>
            </m:r>
          </m:sup>
        </m:sSubSup>
      </m:oMath>
      <w:r w:rsidRPr="008573D2">
        <w:rPr>
          <w:rFonts w:ascii="Times New Roman" w:eastAsiaTheme="minorEastAsia" w:hAnsi="Times New Roman" w:cs="Times New Roman"/>
          <w:sz w:val="24"/>
          <w:szCs w:val="24"/>
        </w:rPr>
        <w:tab/>
        <w:t xml:space="preserve">for </w:t>
      </w:r>
      <m:oMath>
        <m:r>
          <w:rPr>
            <w:rFonts w:ascii="Cambria Math" w:eastAsiaTheme="minorEastAsia" w:hAnsi="Cambria Math" w:cs="Times New Roman"/>
            <w:sz w:val="24"/>
            <w:szCs w:val="24"/>
          </w:rPr>
          <m:t>i=j</m:t>
        </m:r>
      </m:oMath>
      <w:r w:rsidRPr="008573D2">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t=s,</m:t>
        </m:r>
      </m:oMath>
      <w:r w:rsidRPr="008573D2">
        <w:rPr>
          <w:rFonts w:ascii="Times New Roman" w:eastAsiaTheme="minorEastAsia" w:hAnsi="Times New Roman" w:cs="Times New Roman"/>
          <w:sz w:val="24"/>
          <w:szCs w:val="24"/>
        </w:rPr>
        <w:tab/>
      </w:r>
      <w:r w:rsidRPr="008573D2">
        <w:rPr>
          <w:rFonts w:ascii="Times New Roman" w:eastAsiaTheme="minorEastAsia" w:hAnsi="Times New Roman" w:cs="Times New Roman"/>
          <w:sz w:val="24"/>
          <w:szCs w:val="24"/>
        </w:rPr>
        <w:tab/>
      </w:r>
      <w:r w:rsidRPr="008573D2">
        <w:rPr>
          <w:rFonts w:ascii="Times New Roman" w:eastAsiaTheme="minorEastAsia" w:hAnsi="Times New Roman" w:cs="Times New Roman"/>
          <w:sz w:val="24"/>
          <w:szCs w:val="24"/>
        </w:rPr>
        <w:tab/>
      </w:r>
      <w:r w:rsidRPr="008573D2">
        <w:rPr>
          <w:rFonts w:ascii="Times New Roman" w:eastAsiaTheme="minorEastAsia" w:hAnsi="Times New Roman" w:cs="Times New Roman"/>
          <w:sz w:val="24"/>
          <w:szCs w:val="24"/>
        </w:rPr>
        <w:tab/>
      </w:r>
      <w:r w:rsidRPr="008573D2">
        <w:rPr>
          <w:rFonts w:ascii="Times New Roman" w:eastAsiaTheme="minorEastAsia" w:hAnsi="Times New Roman" w:cs="Times New Roman"/>
          <w:sz w:val="24"/>
          <w:szCs w:val="24"/>
        </w:rPr>
        <w:tab/>
      </w:r>
      <w:r w:rsidRPr="008573D2">
        <w:rPr>
          <w:rFonts w:ascii="Times New Roman" w:eastAsiaTheme="minorEastAsia" w:hAnsi="Times New Roman" w:cs="Times New Roman"/>
          <w:sz w:val="24"/>
          <w:szCs w:val="24"/>
        </w:rPr>
        <w:tab/>
      </w:r>
      <w:r w:rsidRPr="008573D2">
        <w:rPr>
          <w:rFonts w:ascii="Times New Roman" w:eastAsiaTheme="minorEastAsia" w:hAnsi="Times New Roman" w:cs="Times New Roman"/>
          <w:sz w:val="24"/>
          <w:szCs w:val="24"/>
        </w:rPr>
        <w:tab/>
        <w:t>(5)</w:t>
      </w:r>
    </w:p>
    <w:p w14:paraId="348E5065" w14:textId="4946BBD6" w:rsidR="002C7D77" w:rsidRPr="008573D2" w:rsidRDefault="002C7D77" w:rsidP="00C475C3">
      <w:pPr>
        <w:spacing w:after="200" w:line="480" w:lineRule="auto"/>
        <w:jc w:val="both"/>
        <w:rPr>
          <w:rFonts w:ascii="Times New Roman" w:eastAsiaTheme="minorEastAsia" w:hAnsi="Times New Roman" w:cs="Times New Roman"/>
          <w:sz w:val="24"/>
          <w:szCs w:val="24"/>
        </w:rPr>
      </w:pPr>
      <w:r w:rsidRPr="008573D2">
        <w:rPr>
          <w:rFonts w:ascii="Times New Roman" w:eastAsiaTheme="minorEastAsia" w:hAnsi="Times New Roman" w:cs="Times New Roman"/>
          <w:sz w:val="24"/>
          <w:szCs w:val="24"/>
        </w:rPr>
        <w:t>The conditions in equation</w:t>
      </w:r>
      <w:r w:rsidR="00CF6387" w:rsidRPr="008573D2">
        <w:rPr>
          <w:rFonts w:ascii="Times New Roman" w:eastAsiaTheme="minorEastAsia" w:hAnsi="Times New Roman" w:cs="Times New Roman"/>
          <w:sz w:val="24"/>
          <w:szCs w:val="24"/>
        </w:rPr>
        <w:t>s</w:t>
      </w:r>
      <w:r w:rsidRPr="008573D2">
        <w:rPr>
          <w:rFonts w:ascii="Times New Roman" w:eastAsiaTheme="minorEastAsia" w:hAnsi="Times New Roman" w:cs="Times New Roman"/>
          <w:sz w:val="24"/>
          <w:szCs w:val="24"/>
        </w:rPr>
        <w:t xml:space="preserve"> (2) and (3) assume no non-contemporaneous cross-sectional correlation and no autocorrelation. The third and fourth assumptions define the general conditions of the conditional variance-covariance process. Empirically, the cross-sectional co-movements of conditional variance can be captured via other models, such as </w:t>
      </w:r>
      <w:proofErr w:type="spellStart"/>
      <w:r w:rsidRPr="008573D2">
        <w:rPr>
          <w:rFonts w:ascii="Times New Roman" w:eastAsiaTheme="minorEastAsia" w:hAnsi="Times New Roman" w:cs="Times New Roman"/>
          <w:sz w:val="24"/>
          <w:szCs w:val="24"/>
        </w:rPr>
        <w:t>Bollerslev’s</w:t>
      </w:r>
      <w:proofErr w:type="spellEnd"/>
      <w:r w:rsidRPr="008573D2">
        <w:rPr>
          <w:rFonts w:ascii="Times New Roman" w:eastAsiaTheme="minorEastAsia" w:hAnsi="Times New Roman" w:cs="Times New Roman"/>
          <w:sz w:val="24"/>
          <w:szCs w:val="24"/>
        </w:rPr>
        <w:t xml:space="preserve"> (1990) CCC and Engle’s (2002) DCC. However, in this paper, we opted to examine whether market resilience could reduce the extra stock market volatility induced by COVID-19, so we are only interested in the conditional variance process developed and estimated from equation (1). Therefore, ensuring our objective, we assume the conditional variance follows a Nelson’s (1991) EGARCH (1,1) process:</w:t>
      </w:r>
    </w:p>
    <w:p w14:paraId="52AF0556" w14:textId="77777777" w:rsidR="002C7D77" w:rsidRPr="008573D2" w:rsidRDefault="00984A85" w:rsidP="00C475C3">
      <w:pPr>
        <w:spacing w:after="200" w:line="480" w:lineRule="auto"/>
        <w:jc w:val="both"/>
        <w:rPr>
          <w:rFonts w:ascii="Times New Roman" w:eastAsiaTheme="minorEastAsia" w:hAnsi="Times New Roman" w:cs="Times New Roman"/>
          <w:sz w:val="24"/>
          <w:szCs w:val="24"/>
        </w:rPr>
      </w:pPr>
      <m:oMath>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ln</m:t>
            </m:r>
          </m:fName>
          <m:e>
            <m:d>
              <m:dPr>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it</m:t>
                    </m:r>
                  </m:sub>
                  <m:sup>
                    <m:r>
                      <w:rPr>
                        <w:rFonts w:ascii="Cambria Math" w:eastAsiaTheme="minorEastAsia" w:hAnsi="Cambria Math" w:cs="Times New Roman"/>
                        <w:sz w:val="24"/>
                        <w:szCs w:val="24"/>
                      </w:rPr>
                      <m:t>2</m:t>
                    </m:r>
                  </m:sup>
                </m:sSubSup>
              </m:e>
            </m:d>
          </m:e>
        </m:func>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w:bookmarkStart w:id="0" w:name="_Hlk40996753"/>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1</m:t>
            </m:r>
          </m:sub>
        </m:sSub>
        <w:bookmarkEnd w:id="0"/>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CW</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CS</m:t>
            </m:r>
          </m:e>
          <m:sub>
            <m:r>
              <w:rPr>
                <w:rFonts w:ascii="Cambria Math"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RS</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+α</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i,t-1</m:t>
            </m:r>
          </m:sub>
        </m:sSub>
        <m:r>
          <w:rPr>
            <w:rFonts w:ascii="Cambria Math" w:eastAsiaTheme="minorEastAsia" w:hAnsi="Cambria Math" w:cs="Times New Roman"/>
            <w:sz w:val="24"/>
            <w:szCs w:val="24"/>
          </w:rPr>
          <m:t>+γ</m:t>
        </m:r>
        <m:d>
          <m:dPr>
            <m:ctrlPr>
              <w:rPr>
                <w:rFonts w:ascii="Cambria Math" w:eastAsiaTheme="minorEastAsia" w:hAnsi="Cambria Math" w:cs="Times New Roman"/>
                <w:i/>
                <w:sz w:val="24"/>
                <w:szCs w:val="24"/>
              </w:rPr>
            </m:ctrlPr>
          </m:dPr>
          <m:e>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i,t-1</m:t>
                    </m:r>
                  </m:sub>
                </m:sSub>
              </m:e>
            </m: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f>
                  <m:fPr>
                    <m:type m:val="lin"/>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π</m:t>
                    </m:r>
                  </m:den>
                </m:f>
              </m:e>
            </m:rad>
          </m:e>
        </m:d>
        <m:r>
          <w:rPr>
            <w:rFonts w:ascii="Cambria Math" w:eastAsiaTheme="minorEastAsia" w:hAnsi="Cambria Math" w:cs="Times New Roman"/>
            <w:sz w:val="24"/>
            <w:szCs w:val="24"/>
          </w:rPr>
          <m:t>+δ</m:t>
        </m:r>
        <m:r>
          <m:rPr>
            <m:sty m:val="p"/>
          </m:rPr>
          <w:rPr>
            <w:rFonts w:ascii="Cambria Math" w:eastAsiaTheme="minorEastAsia" w:hAnsi="Cambria Math" w:cs="Times New Roman"/>
            <w:sz w:val="24"/>
            <w:szCs w:val="24"/>
          </w:rPr>
          <m:t>ln⁡</m:t>
        </m:r>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i,t-1</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oMath>
      <w:r w:rsidR="002C7D77" w:rsidRPr="008573D2">
        <w:rPr>
          <w:rFonts w:ascii="Times New Roman" w:eastAsiaTheme="minorEastAsia" w:hAnsi="Times New Roman" w:cs="Times New Roman"/>
          <w:sz w:val="24"/>
          <w:szCs w:val="24"/>
        </w:rPr>
        <w:tab/>
        <w:t xml:space="preserve"> (6)</w:t>
      </w:r>
    </w:p>
    <w:p w14:paraId="1F6C9B7F" w14:textId="4132971E" w:rsidR="002C7D77" w:rsidRPr="008573D2" w:rsidRDefault="002C7D77" w:rsidP="00C475C3">
      <w:pPr>
        <w:spacing w:after="200" w:line="480" w:lineRule="auto"/>
        <w:jc w:val="both"/>
        <w:rPr>
          <w:rFonts w:ascii="Times New Roman" w:eastAsiaTheme="minorEastAsia" w:hAnsi="Times New Roman" w:cs="Times New Roman"/>
          <w:sz w:val="24"/>
          <w:szCs w:val="24"/>
        </w:rPr>
      </w:pPr>
      <w:r w:rsidRPr="008573D2">
        <w:rPr>
          <w:rFonts w:ascii="Times New Roman" w:eastAsiaTheme="minorEastAsia" w:hAnsi="Times New Roman" w:cs="Times New Roman"/>
          <w:sz w:val="24"/>
          <w:szCs w:val="24"/>
        </w:rPr>
        <w:t xml:space="preserve">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f>
          <m:fPr>
            <m:type m:val="skw"/>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it</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it</m:t>
                </m:r>
              </m:sub>
            </m:sSub>
          </m:den>
        </m:f>
      </m:oMath>
      <w:r w:rsidRPr="008573D2">
        <w:rPr>
          <w:rFonts w:ascii="Times New Roman" w:eastAsiaTheme="minorEastAsia" w:hAnsi="Times New Roman" w:cs="Times New Roman"/>
          <w:sz w:val="24"/>
          <w:szCs w:val="24"/>
        </w:rPr>
        <w:t xml:space="preserve">, and the error term follows a Gaussian process. Like the earlier equation (1), </w:t>
      </w:r>
      <w:bookmarkStart w:id="1" w:name="_Hlk50647672"/>
      <m:oMath>
        <m:sSub>
          <m:sSubPr>
            <m:ctrlPr>
              <w:rPr>
                <w:rFonts w:ascii="Cambria Math" w:hAnsi="Cambria Math" w:cs="Times New Roman"/>
                <w:i/>
                <w:sz w:val="24"/>
                <w:szCs w:val="24"/>
              </w:rPr>
            </m:ctrlPr>
          </m:sSubPr>
          <m:e>
            <m:r>
              <w:rPr>
                <w:rFonts w:ascii="Cambria Math" w:hAnsi="Cambria Math" w:cs="Times New Roman"/>
                <w:sz w:val="24"/>
                <w:szCs w:val="24"/>
              </w:rPr>
              <m:t>CW</m:t>
            </m:r>
          </m:e>
          <m:sub>
            <m:r>
              <w:rPr>
                <w:rFonts w:ascii="Cambria Math" w:hAnsi="Cambria Math" w:cs="Times New Roman"/>
                <w:sz w:val="24"/>
                <w:szCs w:val="24"/>
              </w:rPr>
              <m:t>t</m:t>
            </m:r>
          </m:sub>
        </m:sSub>
      </m:oMath>
      <w:r w:rsidRPr="008573D2">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CS</m:t>
            </m:r>
          </m:e>
          <m:sub>
            <m:r>
              <w:rPr>
                <w:rFonts w:ascii="Cambria Math" w:hAnsi="Cambria Math" w:cs="Times New Roman"/>
                <w:sz w:val="24"/>
                <w:szCs w:val="24"/>
              </w:rPr>
              <m:t>it</m:t>
            </m:r>
          </m:sub>
        </m:sSub>
      </m:oMath>
      <w:bookmarkEnd w:id="1"/>
      <w:r w:rsidRPr="008573D2">
        <w:rPr>
          <w:rFonts w:ascii="Times New Roman" w:eastAsiaTheme="minorEastAsia" w:hAnsi="Times New Roman" w:cs="Times New Roman"/>
          <w:sz w:val="24"/>
          <w:szCs w:val="24"/>
        </w:rPr>
        <w:t xml:space="preserve"> represent the vector of growth in global and country</w:t>
      </w:r>
      <w:r w:rsidR="00CF6387" w:rsidRPr="008573D2">
        <w:rPr>
          <w:rFonts w:ascii="Times New Roman" w:eastAsiaTheme="minorEastAsia" w:hAnsi="Times New Roman" w:cs="Times New Roman"/>
          <w:sz w:val="24"/>
          <w:szCs w:val="24"/>
        </w:rPr>
        <w:t>-</w:t>
      </w:r>
      <w:r w:rsidRPr="008573D2">
        <w:rPr>
          <w:rFonts w:ascii="Times New Roman" w:eastAsiaTheme="minorEastAsia" w:hAnsi="Times New Roman" w:cs="Times New Roman"/>
          <w:sz w:val="24"/>
          <w:szCs w:val="24"/>
        </w:rPr>
        <w:t xml:space="preserve">specific COVID-19 cases and deaths (CTC, CTD, CSC and CSD) in equation (6). The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RS</m:t>
            </m:r>
          </m:e>
          <m:sub>
            <m:r>
              <w:rPr>
                <w:rFonts w:ascii="Cambria Math" w:eastAsiaTheme="minorEastAsia" w:hAnsi="Cambria Math" w:cs="Times New Roman"/>
                <w:sz w:val="24"/>
                <w:szCs w:val="24"/>
              </w:rPr>
              <m:t>it</m:t>
            </m:r>
          </m:sub>
        </m:sSub>
      </m:oMath>
      <w:r w:rsidRPr="008573D2">
        <w:rPr>
          <w:rFonts w:ascii="Times New Roman" w:eastAsiaTheme="minorEastAsia" w:hAnsi="Times New Roman" w:cs="Times New Roman"/>
          <w:sz w:val="24"/>
          <w:szCs w:val="24"/>
        </w:rPr>
        <w:t>, on the other hand, is a vector of our resilience score, its sub-components</w:t>
      </w:r>
      <w:r w:rsidR="00CF6387" w:rsidRPr="008573D2">
        <w:rPr>
          <w:rFonts w:ascii="Times New Roman" w:eastAsiaTheme="minorEastAsia" w:hAnsi="Times New Roman" w:cs="Times New Roman"/>
          <w:sz w:val="24"/>
          <w:szCs w:val="24"/>
        </w:rPr>
        <w:t>’</w:t>
      </w:r>
      <w:r w:rsidRPr="008573D2">
        <w:rPr>
          <w:rFonts w:ascii="Times New Roman" w:eastAsiaTheme="minorEastAsia" w:hAnsi="Times New Roman" w:cs="Times New Roman"/>
          <w:sz w:val="24"/>
          <w:szCs w:val="24"/>
        </w:rPr>
        <w:t xml:space="preserve"> scores, and other macro</w:t>
      </w:r>
      <w:r w:rsidR="00AC6621" w:rsidRPr="008573D2">
        <w:rPr>
          <w:rFonts w:ascii="Times New Roman" w:eastAsiaTheme="minorEastAsia" w:hAnsi="Times New Roman" w:cs="Times New Roman"/>
          <w:sz w:val="24"/>
          <w:szCs w:val="24"/>
        </w:rPr>
        <w:t xml:space="preserve"> </w:t>
      </w:r>
      <w:r w:rsidRPr="008573D2">
        <w:rPr>
          <w:rFonts w:ascii="Times New Roman" w:eastAsiaTheme="minorEastAsia" w:hAnsi="Times New Roman" w:cs="Times New Roman"/>
          <w:sz w:val="24"/>
          <w:szCs w:val="24"/>
        </w:rPr>
        <w:t>characteristics as described in Table 1. Therefore, our prime objective is to determine the sign and value of the coefficients of the vector</w:t>
      </w:r>
      <w:r w:rsidR="00C104BF" w:rsidRPr="008573D2">
        <w:rPr>
          <w:rFonts w:ascii="Times New Roman" w:eastAsiaTheme="minorEastAsia" w:hAnsi="Times New Roman" w:cs="Times New Roman"/>
          <w:sz w:val="24"/>
          <w:szCs w:val="24"/>
        </w:rPr>
        <w:t>s</w:t>
      </w:r>
      <w:r w:rsidRPr="008573D2">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CW</m:t>
            </m:r>
          </m:e>
          <m:sub>
            <m:r>
              <w:rPr>
                <w:rFonts w:ascii="Cambria Math" w:eastAsiaTheme="minorEastAsia" w:hAnsi="Cambria Math" w:cs="Times New Roman"/>
                <w:sz w:val="24"/>
                <w:szCs w:val="24"/>
              </w:rPr>
              <m:t>t</m:t>
            </m:r>
          </m:sub>
        </m:sSub>
      </m:oMath>
      <w:r w:rsidRPr="008573D2">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CS</m:t>
            </m:r>
          </m:e>
          <m:sub>
            <m:r>
              <w:rPr>
                <w:rFonts w:ascii="Cambria Math" w:hAnsi="Cambria Math" w:cs="Times New Roman"/>
                <w:sz w:val="24"/>
                <w:szCs w:val="24"/>
              </w:rPr>
              <m:t>it</m:t>
            </m:r>
          </m:sub>
        </m:sSub>
      </m:oMath>
      <w:r w:rsidRPr="008573D2">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RS</m:t>
            </m:r>
          </m:e>
          <m:sub>
            <m:r>
              <w:rPr>
                <w:rFonts w:ascii="Cambria Math" w:eastAsiaTheme="minorEastAsia" w:hAnsi="Cambria Math" w:cs="Times New Roman"/>
                <w:sz w:val="24"/>
                <w:szCs w:val="24"/>
              </w:rPr>
              <m:t>it</m:t>
            </m:r>
          </m:sub>
        </m:sSub>
      </m:oMath>
      <w:r w:rsidRPr="008573D2">
        <w:rPr>
          <w:rFonts w:ascii="Times New Roman" w:eastAsiaTheme="minorEastAsia" w:hAnsi="Times New Roman" w:cs="Times New Roman"/>
          <w:sz w:val="24"/>
          <w:szCs w:val="24"/>
        </w:rPr>
        <w:t xml:space="preserve">, </w:t>
      </w:r>
      <w:proofErr w:type="gramStart"/>
      <w:r w:rsidRPr="008573D2">
        <w:rPr>
          <w:rFonts w:ascii="Times New Roman" w:eastAsiaTheme="minorEastAsia" w:hAnsi="Times New Roman" w:cs="Times New Roman"/>
          <w:sz w:val="24"/>
          <w:szCs w:val="24"/>
        </w:rPr>
        <w:t>i.e.</w:t>
      </w:r>
      <w:proofErr w:type="gramEnd"/>
      <w:r w:rsidRPr="008573D2">
        <w:rPr>
          <w:rFonts w:ascii="Times New Roman" w:eastAsiaTheme="minorEastAsia" w:hAnsi="Times New Roman" w:cs="Times New Roman"/>
          <w:sz w:val="24"/>
          <w:szCs w:val="24"/>
        </w:rPr>
        <w:t xml:space="preserve"> sign and value of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1</m:t>
            </m:r>
          </m:sub>
        </m:sSub>
      </m:oMath>
      <w:r w:rsidRPr="008573D2">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2</m:t>
            </m:r>
          </m:sub>
        </m:sSub>
      </m:oMath>
      <w:r w:rsidRPr="008573D2">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3</m:t>
            </m:r>
          </m:sub>
        </m:sSub>
      </m:oMath>
      <w:r w:rsidRPr="008573D2">
        <w:rPr>
          <w:rFonts w:ascii="Times New Roman" w:eastAsiaTheme="minorEastAsia" w:hAnsi="Times New Roman" w:cs="Times New Roman"/>
          <w:sz w:val="24"/>
          <w:szCs w:val="24"/>
        </w:rPr>
        <w:t xml:space="preserve"> in equation (6). For example, a positive sign of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1</m:t>
            </m:r>
          </m:sub>
        </m:sSub>
      </m:oMath>
      <w:r w:rsidRPr="008573D2">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2</m:t>
            </m:r>
          </m:sub>
        </m:sSub>
      </m:oMath>
      <w:r w:rsidRPr="008573D2">
        <w:rPr>
          <w:rFonts w:ascii="Times New Roman" w:eastAsiaTheme="minorEastAsia" w:hAnsi="Times New Roman" w:cs="Times New Roman"/>
          <w:sz w:val="24"/>
          <w:szCs w:val="24"/>
        </w:rPr>
        <w:t xml:space="preserve"> would imply a volatility enhancement due to COVID-19, yet if the market resilience could lessen the variance in the stock market then we </w:t>
      </w:r>
      <w:r w:rsidRPr="008573D2">
        <w:rPr>
          <w:rFonts w:ascii="Times New Roman" w:eastAsiaTheme="minorEastAsia" w:hAnsi="Times New Roman" w:cs="Times New Roman"/>
          <w:sz w:val="24"/>
          <w:szCs w:val="24"/>
        </w:rPr>
        <w:lastRenderedPageBreak/>
        <w:t xml:space="preserve">should expect a negative sign of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3</m:t>
            </m:r>
          </m:sub>
        </m:sSub>
      </m:oMath>
      <w:r w:rsidRPr="008573D2">
        <w:rPr>
          <w:rFonts w:ascii="Times New Roman" w:eastAsiaTheme="minorEastAsia" w:hAnsi="Times New Roman" w:cs="Times New Roman"/>
          <w:sz w:val="24"/>
          <w:szCs w:val="24"/>
        </w:rPr>
        <w:t xml:space="preserve"> for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RS</m:t>
            </m:r>
          </m:e>
          <m:sub>
            <m:r>
              <w:rPr>
                <w:rFonts w:ascii="Cambria Math" w:eastAsiaTheme="minorEastAsia" w:hAnsi="Cambria Math" w:cs="Times New Roman"/>
                <w:sz w:val="24"/>
                <w:szCs w:val="24"/>
              </w:rPr>
              <m:t>it</m:t>
            </m:r>
          </m:sub>
        </m:sSub>
      </m:oMath>
      <w:r w:rsidRPr="008573D2">
        <w:rPr>
          <w:rFonts w:ascii="Times New Roman" w:eastAsiaTheme="minorEastAsia" w:hAnsi="Times New Roman" w:cs="Times New Roman"/>
          <w:sz w:val="24"/>
          <w:szCs w:val="24"/>
        </w:rPr>
        <w:t xml:space="preserve"> components.</w:t>
      </w:r>
      <w:r w:rsidR="00DC214A" w:rsidRPr="008573D2">
        <w:rPr>
          <w:rFonts w:ascii="Times New Roman" w:eastAsiaTheme="minorEastAsia" w:hAnsi="Times New Roman" w:cs="Times New Roman"/>
          <w:sz w:val="24"/>
          <w:szCs w:val="24"/>
        </w:rPr>
        <w:t xml:space="preserve"> </w:t>
      </w:r>
      <w:r w:rsidRPr="008573D2">
        <w:rPr>
          <w:rFonts w:ascii="Times New Roman" w:eastAsiaTheme="minorEastAsia" w:hAnsi="Times New Roman" w:cs="Times New Roman"/>
          <w:sz w:val="24"/>
          <w:szCs w:val="24"/>
        </w:rPr>
        <w:t xml:space="preserve">We also introduce an interaction term of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RS</m:t>
            </m:r>
          </m:e>
          <m:sub>
            <m:r>
              <w:rPr>
                <w:rFonts w:ascii="Cambria Math" w:eastAsiaTheme="minorEastAsia" w:hAnsi="Cambria Math" w:cs="Times New Roman"/>
                <w:sz w:val="24"/>
                <w:szCs w:val="24"/>
              </w:rPr>
              <m:t>it</m:t>
            </m:r>
          </m:sub>
        </m:sSub>
      </m:oMath>
      <w:r w:rsidRPr="008573D2">
        <w:rPr>
          <w:rFonts w:ascii="Times New Roman" w:eastAsiaTheme="minorEastAsia" w:hAnsi="Times New Roman" w:cs="Times New Roman"/>
          <w:sz w:val="24"/>
          <w:szCs w:val="24"/>
        </w:rPr>
        <w:t xml:space="preserve">and </w:t>
      </w:r>
      <m:oMath>
        <m:r>
          <w:rPr>
            <w:rFonts w:ascii="Cambria Math" w:eastAsiaTheme="minorEastAsia" w:hAnsi="Cambria Math" w:cs="Times New Roman"/>
            <w:sz w:val="24"/>
            <w:szCs w:val="24"/>
          </w:rPr>
          <m:t>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t</m:t>
            </m:r>
          </m:sub>
        </m:sSub>
      </m:oMath>
      <w:r w:rsidRPr="008573D2">
        <w:rPr>
          <w:rFonts w:ascii="Times New Roman" w:eastAsiaTheme="minorEastAsia" w:hAnsi="Times New Roman" w:cs="Times New Roman"/>
          <w:sz w:val="24"/>
          <w:szCs w:val="24"/>
        </w:rPr>
        <w:t xml:space="preserve">; and of </w:t>
      </w:r>
      <m:oMath>
        <m:r>
          <w:rPr>
            <w:rFonts w:ascii="Cambria Math" w:eastAsiaTheme="minorEastAsia" w:hAnsi="Cambria Math" w:cs="Times New Roman"/>
            <w:sz w:val="24"/>
            <w:szCs w:val="24"/>
          </w:rPr>
          <m:t>R</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it</m:t>
            </m:r>
          </m:sub>
        </m:sSub>
      </m:oMath>
      <w:r w:rsidRPr="008573D2">
        <w:rPr>
          <w:rFonts w:ascii="Times New Roman" w:eastAsiaTheme="minorEastAsia" w:hAnsi="Times New Roman" w:cs="Times New Roman"/>
          <w:sz w:val="24"/>
          <w:szCs w:val="24"/>
        </w:rPr>
        <w:t xml:space="preserve">and </w:t>
      </w:r>
      <m:oMath>
        <m:r>
          <w:rPr>
            <w:rFonts w:ascii="Cambria Math" w:eastAsiaTheme="minorEastAsia" w:hAnsi="Cambria Math" w:cs="Times New Roman"/>
            <w:sz w:val="24"/>
            <w:szCs w:val="24"/>
          </w:rPr>
          <m:t>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it</m:t>
            </m:r>
          </m:sub>
        </m:sSub>
      </m:oMath>
      <w:r w:rsidRPr="008573D2">
        <w:rPr>
          <w:rFonts w:ascii="Times New Roman" w:eastAsiaTheme="minorEastAsia" w:hAnsi="Times New Roman" w:cs="Times New Roman"/>
          <w:sz w:val="24"/>
          <w:szCs w:val="24"/>
        </w:rPr>
        <w:t xml:space="preserve">. Our equation with the interaction terms is: </w:t>
      </w:r>
    </w:p>
    <w:p w14:paraId="24961627" w14:textId="77777777" w:rsidR="002C7D77" w:rsidRPr="008573D2" w:rsidRDefault="00984A85" w:rsidP="00C475C3">
      <w:pPr>
        <w:spacing w:after="200" w:line="480" w:lineRule="auto"/>
        <w:jc w:val="both"/>
        <w:rPr>
          <w:rFonts w:ascii="Times New Roman" w:eastAsiaTheme="minorEastAsia" w:hAnsi="Times New Roman" w:cs="Times New Roman"/>
          <w:sz w:val="24"/>
          <w:szCs w:val="24"/>
        </w:rPr>
      </w:pPr>
      <m:oMath>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ln</m:t>
            </m:r>
          </m:fName>
          <m:e>
            <m:d>
              <m:dPr>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it</m:t>
                    </m:r>
                  </m:sub>
                  <m:sup>
                    <m:r>
                      <w:rPr>
                        <w:rFonts w:ascii="Cambria Math" w:eastAsiaTheme="minorEastAsia" w:hAnsi="Cambria Math" w:cs="Times New Roman"/>
                        <w:sz w:val="24"/>
                        <w:szCs w:val="24"/>
                      </w:rPr>
                      <m:t>2</m:t>
                    </m:r>
                  </m:sup>
                </m:sSubSup>
              </m:e>
            </m:d>
          </m:e>
        </m:func>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CW</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CS</m:t>
            </m:r>
          </m:e>
          <m:sub>
            <m:r>
              <w:rPr>
                <w:rFonts w:ascii="Cambria Math"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RS</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*R</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5</m:t>
            </m:r>
          </m:sub>
        </m:sSub>
        <m:r>
          <w:rPr>
            <w:rFonts w:ascii="Cambria Math" w:eastAsiaTheme="minorEastAsia" w:hAnsi="Cambria Math" w:cs="Times New Roman"/>
            <w:sz w:val="24"/>
            <w:szCs w:val="24"/>
          </w:rPr>
          <m:t>C</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*R</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+α</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i,t-1</m:t>
            </m:r>
          </m:sub>
        </m:sSub>
        <m:r>
          <w:rPr>
            <w:rFonts w:ascii="Cambria Math" w:eastAsiaTheme="minorEastAsia" w:hAnsi="Cambria Math" w:cs="Times New Roman"/>
            <w:sz w:val="24"/>
            <w:szCs w:val="24"/>
          </w:rPr>
          <m:t>+γ</m:t>
        </m:r>
        <m:d>
          <m:dPr>
            <m:ctrlPr>
              <w:rPr>
                <w:rFonts w:ascii="Cambria Math" w:eastAsiaTheme="minorEastAsia" w:hAnsi="Cambria Math" w:cs="Times New Roman"/>
                <w:i/>
                <w:sz w:val="24"/>
                <w:szCs w:val="24"/>
              </w:rPr>
            </m:ctrlPr>
          </m:dPr>
          <m:e>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i,t-1</m:t>
                    </m:r>
                  </m:sub>
                </m:sSub>
              </m:e>
            </m:d>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f>
                  <m:fPr>
                    <m:type m:val="lin"/>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π</m:t>
                    </m:r>
                  </m:den>
                </m:f>
              </m:e>
            </m:rad>
          </m:e>
        </m:d>
        <m:r>
          <w:rPr>
            <w:rFonts w:ascii="Cambria Math" w:eastAsiaTheme="minorEastAsia" w:hAnsi="Cambria Math" w:cs="Times New Roman"/>
            <w:sz w:val="24"/>
            <w:szCs w:val="24"/>
          </w:rPr>
          <m:t>+δ</m:t>
        </m:r>
        <m:r>
          <m:rPr>
            <m:sty m:val="p"/>
          </m:rPr>
          <w:rPr>
            <w:rFonts w:ascii="Cambria Math" w:eastAsiaTheme="minorEastAsia" w:hAnsi="Cambria Math" w:cs="Times New Roman"/>
            <w:sz w:val="24"/>
            <w:szCs w:val="24"/>
          </w:rPr>
          <m:t>ln⁡</m:t>
        </m:r>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i,t-1</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oMath>
      <w:r w:rsidR="002C7D77" w:rsidRPr="008573D2">
        <w:rPr>
          <w:rFonts w:ascii="Times New Roman" w:eastAsiaTheme="minorEastAsia" w:hAnsi="Times New Roman" w:cs="Times New Roman"/>
          <w:sz w:val="24"/>
          <w:szCs w:val="24"/>
        </w:rPr>
        <w:tab/>
        <w:t xml:space="preserve"> </w:t>
      </w:r>
      <w:r w:rsidR="002C7D77" w:rsidRPr="008573D2">
        <w:rPr>
          <w:rFonts w:ascii="Times New Roman" w:eastAsiaTheme="minorEastAsia" w:hAnsi="Times New Roman" w:cs="Times New Roman"/>
          <w:sz w:val="24"/>
          <w:szCs w:val="24"/>
        </w:rPr>
        <w:tab/>
      </w:r>
      <w:r w:rsidR="002C7D77" w:rsidRPr="008573D2">
        <w:rPr>
          <w:rFonts w:ascii="Times New Roman" w:eastAsiaTheme="minorEastAsia" w:hAnsi="Times New Roman" w:cs="Times New Roman"/>
          <w:sz w:val="24"/>
          <w:szCs w:val="24"/>
        </w:rPr>
        <w:tab/>
      </w:r>
      <w:r w:rsidR="002C7D77" w:rsidRPr="008573D2">
        <w:rPr>
          <w:rFonts w:ascii="Times New Roman" w:eastAsiaTheme="minorEastAsia" w:hAnsi="Times New Roman" w:cs="Times New Roman"/>
          <w:sz w:val="24"/>
          <w:szCs w:val="24"/>
        </w:rPr>
        <w:tab/>
      </w:r>
      <w:r w:rsidR="002C7D77" w:rsidRPr="008573D2">
        <w:rPr>
          <w:rFonts w:ascii="Times New Roman" w:eastAsiaTheme="minorEastAsia" w:hAnsi="Times New Roman" w:cs="Times New Roman"/>
          <w:sz w:val="24"/>
          <w:szCs w:val="24"/>
        </w:rPr>
        <w:tab/>
      </w:r>
      <w:r w:rsidR="002C7D77" w:rsidRPr="008573D2">
        <w:rPr>
          <w:rFonts w:ascii="Times New Roman" w:eastAsiaTheme="minorEastAsia" w:hAnsi="Times New Roman" w:cs="Times New Roman"/>
          <w:sz w:val="24"/>
          <w:szCs w:val="24"/>
        </w:rPr>
        <w:tab/>
      </w:r>
      <w:r w:rsidR="002C7D77" w:rsidRPr="008573D2">
        <w:rPr>
          <w:rFonts w:ascii="Times New Roman" w:eastAsiaTheme="minorEastAsia" w:hAnsi="Times New Roman" w:cs="Times New Roman"/>
          <w:sz w:val="24"/>
          <w:szCs w:val="24"/>
        </w:rPr>
        <w:tab/>
      </w:r>
      <w:r w:rsidR="002C7D77" w:rsidRPr="008573D2">
        <w:rPr>
          <w:rFonts w:ascii="Times New Roman" w:eastAsiaTheme="minorEastAsia" w:hAnsi="Times New Roman" w:cs="Times New Roman"/>
          <w:sz w:val="24"/>
          <w:szCs w:val="24"/>
        </w:rPr>
        <w:tab/>
        <w:t>(7)</w:t>
      </w:r>
    </w:p>
    <w:p w14:paraId="2CDCA6CB" w14:textId="77777777" w:rsidR="002C7D77" w:rsidRPr="008573D2" w:rsidRDefault="002C7D77" w:rsidP="00C475C3">
      <w:pPr>
        <w:spacing w:after="200" w:line="480" w:lineRule="auto"/>
        <w:jc w:val="both"/>
        <w:rPr>
          <w:rFonts w:ascii="Times New Roman" w:eastAsiaTheme="minorEastAsia" w:hAnsi="Times New Roman" w:cs="Times New Roman"/>
          <w:sz w:val="24"/>
          <w:szCs w:val="24"/>
        </w:rPr>
      </w:pPr>
      <w:r w:rsidRPr="008573D2">
        <w:rPr>
          <w:rFonts w:ascii="Times New Roman" w:eastAsiaTheme="minorEastAsia" w:hAnsi="Times New Roman" w:cs="Times New Roman"/>
          <w:sz w:val="24"/>
          <w:szCs w:val="24"/>
        </w:rPr>
        <w:t xml:space="preserve">We run various post-estimation tests to confirm the statistical validity of our models. Moreover, we have applied between-effect models, and our results remain statistically robust. </w:t>
      </w:r>
    </w:p>
    <w:p w14:paraId="5CB557E4" w14:textId="77777777" w:rsidR="002C7D77" w:rsidRPr="008573D2" w:rsidRDefault="002C7D77" w:rsidP="00C475C3">
      <w:pPr>
        <w:pStyle w:val="Heading1"/>
        <w:spacing w:before="0" w:after="200" w:line="480" w:lineRule="auto"/>
        <w:rPr>
          <w:rFonts w:ascii="Times New Roman" w:hAnsi="Times New Roman" w:cs="Times New Roman"/>
          <w:b/>
          <w:bCs/>
          <w:color w:val="auto"/>
          <w:sz w:val="24"/>
          <w:szCs w:val="24"/>
        </w:rPr>
      </w:pPr>
      <w:r w:rsidRPr="008573D2">
        <w:rPr>
          <w:rFonts w:ascii="Times New Roman" w:hAnsi="Times New Roman" w:cs="Times New Roman"/>
          <w:b/>
          <w:bCs/>
          <w:color w:val="auto"/>
          <w:sz w:val="24"/>
          <w:szCs w:val="24"/>
        </w:rPr>
        <w:t>3. Empirical Findings</w:t>
      </w:r>
    </w:p>
    <w:p w14:paraId="33F9B2B3" w14:textId="5064AFA4" w:rsidR="002C7D77" w:rsidRPr="008573D2" w:rsidRDefault="002C7D77" w:rsidP="00C475C3">
      <w:pPr>
        <w:pStyle w:val="Heading2"/>
        <w:spacing w:before="0" w:after="200" w:line="480" w:lineRule="auto"/>
        <w:rPr>
          <w:rFonts w:ascii="Times New Roman" w:hAnsi="Times New Roman" w:cs="Times New Roman"/>
          <w:b/>
          <w:bCs/>
          <w:color w:val="auto"/>
          <w:sz w:val="24"/>
          <w:szCs w:val="24"/>
        </w:rPr>
      </w:pPr>
      <w:r w:rsidRPr="008573D2">
        <w:rPr>
          <w:rFonts w:ascii="Times New Roman" w:hAnsi="Times New Roman" w:cs="Times New Roman"/>
          <w:b/>
          <w:bCs/>
          <w:color w:val="auto"/>
          <w:sz w:val="24"/>
          <w:szCs w:val="24"/>
        </w:rPr>
        <w:t xml:space="preserve">3.1 Preliminary </w:t>
      </w:r>
      <w:r w:rsidR="000A554B" w:rsidRPr="008573D2">
        <w:rPr>
          <w:rFonts w:ascii="Times New Roman" w:hAnsi="Times New Roman" w:cs="Times New Roman"/>
          <w:b/>
          <w:bCs/>
          <w:color w:val="auto"/>
          <w:sz w:val="24"/>
          <w:szCs w:val="24"/>
        </w:rPr>
        <w:t>S</w:t>
      </w:r>
      <w:r w:rsidRPr="008573D2">
        <w:rPr>
          <w:rFonts w:ascii="Times New Roman" w:hAnsi="Times New Roman" w:cs="Times New Roman"/>
          <w:b/>
          <w:bCs/>
          <w:color w:val="auto"/>
          <w:sz w:val="24"/>
          <w:szCs w:val="24"/>
        </w:rPr>
        <w:t xml:space="preserve">tatistics and </w:t>
      </w:r>
      <w:r w:rsidR="000A554B" w:rsidRPr="008573D2">
        <w:rPr>
          <w:rFonts w:ascii="Times New Roman" w:hAnsi="Times New Roman" w:cs="Times New Roman"/>
          <w:b/>
          <w:bCs/>
          <w:color w:val="auto"/>
          <w:sz w:val="24"/>
          <w:szCs w:val="24"/>
        </w:rPr>
        <w:t>B</w:t>
      </w:r>
      <w:r w:rsidRPr="008573D2">
        <w:rPr>
          <w:rFonts w:ascii="Times New Roman" w:hAnsi="Times New Roman" w:cs="Times New Roman"/>
          <w:b/>
          <w:bCs/>
          <w:color w:val="auto"/>
          <w:sz w:val="24"/>
          <w:szCs w:val="24"/>
        </w:rPr>
        <w:t xml:space="preserve">asic </w:t>
      </w:r>
      <w:r w:rsidR="000A554B" w:rsidRPr="008573D2">
        <w:rPr>
          <w:rFonts w:ascii="Times New Roman" w:hAnsi="Times New Roman" w:cs="Times New Roman"/>
          <w:b/>
          <w:bCs/>
          <w:color w:val="auto"/>
          <w:sz w:val="24"/>
          <w:szCs w:val="24"/>
        </w:rPr>
        <w:t>V</w:t>
      </w:r>
      <w:r w:rsidRPr="008573D2">
        <w:rPr>
          <w:rFonts w:ascii="Times New Roman" w:hAnsi="Times New Roman" w:cs="Times New Roman"/>
          <w:b/>
          <w:bCs/>
          <w:color w:val="auto"/>
          <w:sz w:val="24"/>
          <w:szCs w:val="24"/>
        </w:rPr>
        <w:t xml:space="preserve">olatility </w:t>
      </w:r>
      <w:r w:rsidR="000A554B" w:rsidRPr="008573D2">
        <w:rPr>
          <w:rFonts w:ascii="Times New Roman" w:hAnsi="Times New Roman" w:cs="Times New Roman"/>
          <w:b/>
          <w:bCs/>
          <w:color w:val="auto"/>
          <w:sz w:val="24"/>
          <w:szCs w:val="24"/>
        </w:rPr>
        <w:t>M</w:t>
      </w:r>
      <w:r w:rsidRPr="008573D2">
        <w:rPr>
          <w:rFonts w:ascii="Times New Roman" w:hAnsi="Times New Roman" w:cs="Times New Roman"/>
          <w:b/>
          <w:bCs/>
          <w:color w:val="auto"/>
          <w:sz w:val="24"/>
          <w:szCs w:val="24"/>
        </w:rPr>
        <w:t>odel</w:t>
      </w:r>
    </w:p>
    <w:p w14:paraId="0D4953F3" w14:textId="134D9DC1" w:rsidR="002C7D77" w:rsidRPr="008573D2" w:rsidRDefault="002C7D77" w:rsidP="00C475C3">
      <w:pPr>
        <w:spacing w:after="200" w:line="48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Graph 1 shows the distribution of the log return of indices under consideration over the sample period. A significant variance is observed from March 2020, when COVID-19 hits the European countries, </w:t>
      </w:r>
      <w:proofErr w:type="gramStart"/>
      <w:r w:rsidRPr="008573D2">
        <w:rPr>
          <w:rFonts w:ascii="Times New Roman" w:hAnsi="Times New Roman" w:cs="Times New Roman"/>
          <w:sz w:val="24"/>
          <w:szCs w:val="24"/>
        </w:rPr>
        <w:t>e.g.</w:t>
      </w:r>
      <w:proofErr w:type="gramEnd"/>
      <w:r w:rsidRPr="008573D2">
        <w:rPr>
          <w:rFonts w:ascii="Times New Roman" w:hAnsi="Times New Roman" w:cs="Times New Roman"/>
          <w:sz w:val="24"/>
          <w:szCs w:val="24"/>
        </w:rPr>
        <w:t xml:space="preserve"> Italy, France and Spain. That suggests COVID-19 has increased variations in returns among the equity markets in our study. The impact is further documented in Table 3, where we report the summary statistics and correlation matrix between our main variables of interest. </w:t>
      </w:r>
      <w:bookmarkStart w:id="2" w:name="_Hlk50711249"/>
      <w:r w:rsidRPr="008573D2">
        <w:rPr>
          <w:rFonts w:ascii="Times New Roman" w:hAnsi="Times New Roman" w:cs="Times New Roman"/>
          <w:sz w:val="24"/>
          <w:szCs w:val="24"/>
        </w:rPr>
        <w:t>Panel A of Table 3</w:t>
      </w:r>
      <w:bookmarkEnd w:id="2"/>
      <w:r w:rsidRPr="008573D2">
        <w:rPr>
          <w:rFonts w:ascii="Times New Roman" w:hAnsi="Times New Roman" w:cs="Times New Roman"/>
          <w:sz w:val="24"/>
          <w:szCs w:val="24"/>
        </w:rPr>
        <w:t xml:space="preserve"> indicates that the mean index return of our sample markets is -0.03%, and the mean returns of MSCI World Index and Emerging Market Index are around </w:t>
      </w:r>
      <w:r w:rsidR="00C104BF" w:rsidRPr="008573D2">
        <w:rPr>
          <w:rFonts w:ascii="Times New Roman" w:hAnsi="Times New Roman" w:cs="Times New Roman"/>
          <w:sz w:val="24"/>
          <w:szCs w:val="24"/>
        </w:rPr>
        <w:t xml:space="preserve">nearly </w:t>
      </w:r>
      <w:r w:rsidRPr="008573D2">
        <w:rPr>
          <w:rFonts w:ascii="Times New Roman" w:hAnsi="Times New Roman" w:cs="Times New Roman"/>
          <w:sz w:val="24"/>
          <w:szCs w:val="24"/>
        </w:rPr>
        <w:t>zero (0.03% and 0.01%, respectively) over the sample period. A possible effect of COVID-19 is further reflected in the trading volume. The mean of log of trading volume (LVO) is 12.50 with a high standard deviation of 2.87, implying a significant fluctuation in the trading volume following the increased volatility in the equity markets induced by the coronavirus. In support of the argument for high variance in market returns and fluctuations in trading volume, we observe the volatility index</w:t>
      </w:r>
      <w:r w:rsidR="00380BB9" w:rsidRPr="008573D2">
        <w:rPr>
          <w:rFonts w:ascii="Times New Roman" w:hAnsi="Times New Roman" w:cs="Times New Roman"/>
          <w:sz w:val="24"/>
          <w:szCs w:val="24"/>
        </w:rPr>
        <w:t>,</w:t>
      </w:r>
      <w:r w:rsidRPr="008573D2">
        <w:rPr>
          <w:rFonts w:ascii="Times New Roman" w:hAnsi="Times New Roman" w:cs="Times New Roman"/>
          <w:sz w:val="24"/>
          <w:szCs w:val="24"/>
        </w:rPr>
        <w:t xml:space="preserve"> VIX</w:t>
      </w:r>
      <w:r w:rsidR="00380BB9" w:rsidRPr="008573D2">
        <w:rPr>
          <w:rFonts w:ascii="Times New Roman" w:hAnsi="Times New Roman" w:cs="Times New Roman"/>
          <w:sz w:val="24"/>
          <w:szCs w:val="24"/>
        </w:rPr>
        <w:t>,</w:t>
      </w:r>
      <w:r w:rsidRPr="008573D2">
        <w:rPr>
          <w:rFonts w:ascii="Times New Roman" w:hAnsi="Times New Roman" w:cs="Times New Roman"/>
          <w:sz w:val="24"/>
          <w:szCs w:val="24"/>
        </w:rPr>
        <w:t xml:space="preserve"> reached the highest level around the time when COVID-19 hit the European markets, and the World Health Organization </w:t>
      </w:r>
      <w:r w:rsidRPr="008573D2">
        <w:rPr>
          <w:rFonts w:ascii="Times New Roman" w:hAnsi="Times New Roman" w:cs="Times New Roman"/>
          <w:sz w:val="24"/>
          <w:szCs w:val="24"/>
        </w:rPr>
        <w:lastRenderedPageBreak/>
        <w:t>declared the situation to be a pandemic (see Graph 2). The VIX remains high until the end of our sample period</w:t>
      </w:r>
      <w:r w:rsidR="00380BB9" w:rsidRPr="008573D2">
        <w:rPr>
          <w:rFonts w:ascii="Times New Roman" w:hAnsi="Times New Roman" w:cs="Times New Roman"/>
          <w:sz w:val="24"/>
          <w:szCs w:val="24"/>
        </w:rPr>
        <w:t>,</w:t>
      </w:r>
      <w:r w:rsidRPr="008573D2">
        <w:rPr>
          <w:rFonts w:ascii="Times New Roman" w:hAnsi="Times New Roman" w:cs="Times New Roman"/>
          <w:sz w:val="24"/>
          <w:szCs w:val="24"/>
        </w:rPr>
        <w:t xml:space="preserve"> starting from March 2020, compared to before the pandemic</w:t>
      </w:r>
      <w:r w:rsidRPr="008573D2">
        <w:rPr>
          <w:rStyle w:val="FootnoteReference"/>
          <w:rFonts w:ascii="Times New Roman" w:hAnsi="Times New Roman" w:cs="Times New Roman"/>
          <w:sz w:val="24"/>
          <w:szCs w:val="24"/>
        </w:rPr>
        <w:footnoteReference w:id="6"/>
      </w:r>
      <w:r w:rsidRPr="008573D2">
        <w:rPr>
          <w:rFonts w:ascii="Times New Roman" w:hAnsi="Times New Roman" w:cs="Times New Roman"/>
          <w:sz w:val="24"/>
          <w:szCs w:val="24"/>
        </w:rPr>
        <w:t>.</w:t>
      </w:r>
    </w:p>
    <w:p w14:paraId="5126395D" w14:textId="226A5609" w:rsidR="002C7D77" w:rsidRPr="008573D2" w:rsidRDefault="002C7D77" w:rsidP="00C475C3">
      <w:pPr>
        <w:spacing w:after="200" w:line="480" w:lineRule="auto"/>
        <w:jc w:val="both"/>
        <w:rPr>
          <w:rFonts w:ascii="Times New Roman" w:hAnsi="Times New Roman" w:cs="Times New Roman"/>
          <w:sz w:val="24"/>
          <w:szCs w:val="24"/>
        </w:rPr>
      </w:pPr>
      <w:r w:rsidRPr="008573D2">
        <w:rPr>
          <w:rFonts w:ascii="Times New Roman" w:hAnsi="Times New Roman" w:cs="Times New Roman"/>
          <w:sz w:val="24"/>
          <w:szCs w:val="24"/>
        </w:rPr>
        <w:t>The correlation matrix further confirms the negative association between COVID-19 and equity market returns. In Panel B of Table 3, RET, RMW and RME are negatively correlated to the change in the number of coronavirus cases (CTC and CSC) and deaths (CTD and CSD). The association of COVID-19 is more negative with the emerging market index RME (up to -0.1293 with CSC) than the aggregate sample (up to -0.1182 with CTD) and the world index (up to -0.0873 with CTD). Similarly, the correlation of volatility index (LVX) is strongly positive with CSC (0.1012), CTD (0.1529) and CSD (0.2014)</w:t>
      </w:r>
      <w:r w:rsidR="00380BB9" w:rsidRPr="008573D2">
        <w:rPr>
          <w:rFonts w:ascii="Times New Roman" w:hAnsi="Times New Roman" w:cs="Times New Roman"/>
          <w:sz w:val="24"/>
          <w:szCs w:val="24"/>
        </w:rPr>
        <w:t>,</w:t>
      </w:r>
      <w:r w:rsidRPr="008573D2">
        <w:rPr>
          <w:rFonts w:ascii="Times New Roman" w:hAnsi="Times New Roman" w:cs="Times New Roman"/>
          <w:sz w:val="24"/>
          <w:szCs w:val="24"/>
        </w:rPr>
        <w:t xml:space="preserve"> which </w:t>
      </w:r>
      <w:r w:rsidR="00C104BF" w:rsidRPr="008573D2">
        <w:rPr>
          <w:rFonts w:ascii="Times New Roman" w:hAnsi="Times New Roman" w:cs="Times New Roman"/>
          <w:sz w:val="24"/>
          <w:szCs w:val="24"/>
        </w:rPr>
        <w:t xml:space="preserve">shows </w:t>
      </w:r>
      <w:r w:rsidRPr="008573D2">
        <w:rPr>
          <w:rFonts w:ascii="Times New Roman" w:hAnsi="Times New Roman" w:cs="Times New Roman"/>
          <w:sz w:val="24"/>
          <w:szCs w:val="24"/>
        </w:rPr>
        <w:t>an increase in</w:t>
      </w:r>
      <w:r w:rsidR="00DC214A" w:rsidRPr="008573D2">
        <w:rPr>
          <w:rFonts w:ascii="Times New Roman" w:hAnsi="Times New Roman" w:cs="Times New Roman"/>
          <w:sz w:val="24"/>
          <w:szCs w:val="24"/>
        </w:rPr>
        <w:t xml:space="preserve"> </w:t>
      </w:r>
      <w:r w:rsidRPr="008573D2">
        <w:rPr>
          <w:rFonts w:ascii="Times New Roman" w:hAnsi="Times New Roman" w:cs="Times New Roman"/>
          <w:sz w:val="24"/>
          <w:szCs w:val="24"/>
        </w:rPr>
        <w:t>market variance following the COVID-19 outbreak. As expected, on the other hand, we observe a significant negative correlation of COVID-19 with the oil price (up to -0.1702 with CSD), which support</w:t>
      </w:r>
      <w:r w:rsidR="00380BB9" w:rsidRPr="008573D2">
        <w:rPr>
          <w:rFonts w:ascii="Times New Roman" w:hAnsi="Times New Roman" w:cs="Times New Roman"/>
          <w:sz w:val="24"/>
          <w:szCs w:val="24"/>
        </w:rPr>
        <w:t>s</w:t>
      </w:r>
      <w:r w:rsidRPr="008573D2">
        <w:rPr>
          <w:rFonts w:ascii="Times New Roman" w:hAnsi="Times New Roman" w:cs="Times New Roman"/>
          <w:sz w:val="24"/>
          <w:szCs w:val="24"/>
        </w:rPr>
        <w:t xml:space="preserve"> the adverse impact of a recent reduction in oil prices in the international market. Surprisingly, the LGD is negatively associated (-0.0023 with CTC and -0.0090 with CSC), indicating that larger economies are critically affected by the growth in COVID-19 cases. Moreover, the sign of monetary policy response (MPR) and COVID-19 is negative (up to -0.0072 with CSD), suggest </w:t>
      </w:r>
      <w:r w:rsidR="00C104BF" w:rsidRPr="008573D2">
        <w:rPr>
          <w:rFonts w:ascii="Times New Roman" w:hAnsi="Times New Roman" w:cs="Times New Roman"/>
          <w:sz w:val="24"/>
          <w:szCs w:val="24"/>
        </w:rPr>
        <w:t xml:space="preserve">a </w:t>
      </w:r>
      <w:r w:rsidRPr="008573D2">
        <w:rPr>
          <w:rFonts w:ascii="Times New Roman" w:hAnsi="Times New Roman" w:cs="Times New Roman"/>
          <w:sz w:val="24"/>
          <w:szCs w:val="24"/>
        </w:rPr>
        <w:t>reduction in the policy rate by central bank</w:t>
      </w:r>
      <w:r w:rsidR="00380BB9" w:rsidRPr="008573D2">
        <w:rPr>
          <w:rFonts w:ascii="Times New Roman" w:hAnsi="Times New Roman" w:cs="Times New Roman"/>
          <w:sz w:val="24"/>
          <w:szCs w:val="24"/>
        </w:rPr>
        <w:t>s</w:t>
      </w:r>
      <w:r w:rsidRPr="008573D2">
        <w:rPr>
          <w:rFonts w:ascii="Times New Roman" w:hAnsi="Times New Roman" w:cs="Times New Roman"/>
          <w:sz w:val="24"/>
          <w:szCs w:val="24"/>
        </w:rPr>
        <w:t xml:space="preserve"> across the world after the outbreak of coronavirus. Finally, the resilience index (RES) is positively correlated with COVID-19 (except with CTC) and market returns (0.0039) but negatively with trading volume (-0.4801). The associations, therefore, specify that resilient economies might display desirable returns for investors despite their higher COVID-19</w:t>
      </w:r>
      <w:r w:rsidR="00380BB9" w:rsidRPr="008573D2">
        <w:rPr>
          <w:rFonts w:ascii="Times New Roman" w:hAnsi="Times New Roman" w:cs="Times New Roman"/>
          <w:sz w:val="24"/>
          <w:szCs w:val="24"/>
        </w:rPr>
        <w:t>-</w:t>
      </w:r>
      <w:r w:rsidRPr="008573D2">
        <w:rPr>
          <w:rFonts w:ascii="Times New Roman" w:hAnsi="Times New Roman" w:cs="Times New Roman"/>
          <w:sz w:val="24"/>
          <w:szCs w:val="24"/>
        </w:rPr>
        <w:t>related cases and deaths. However, investors in these resilient economies may become highly sceptical around this COVID-19 shock, and significantly reduce their trading.</w:t>
      </w:r>
    </w:p>
    <w:p w14:paraId="42738571" w14:textId="04FFA96D" w:rsidR="002C7D77" w:rsidRPr="008573D2" w:rsidRDefault="002C7D77" w:rsidP="00C475C3">
      <w:pPr>
        <w:spacing w:after="200" w:line="480" w:lineRule="auto"/>
        <w:jc w:val="both"/>
        <w:rPr>
          <w:rFonts w:ascii="Times New Roman" w:hAnsi="Times New Roman" w:cs="Times New Roman"/>
          <w:sz w:val="24"/>
          <w:szCs w:val="24"/>
        </w:rPr>
      </w:pPr>
      <w:r w:rsidRPr="008573D2">
        <w:rPr>
          <w:rFonts w:ascii="Times New Roman" w:hAnsi="Times New Roman" w:cs="Times New Roman"/>
          <w:sz w:val="24"/>
          <w:szCs w:val="24"/>
        </w:rPr>
        <w:lastRenderedPageBreak/>
        <w:t xml:space="preserve">Panel C of Table 3 reports the statistics related to country-level macroeconomic characteristics of developed and emerging markets within our sample countries reported in Table 2 (Appendix A shows the country-level mean). The mean value of developed markets in Panel C of Table 3 is higher than </w:t>
      </w:r>
      <w:r w:rsidR="00380BB9" w:rsidRPr="008573D2">
        <w:rPr>
          <w:rFonts w:ascii="Times New Roman" w:hAnsi="Times New Roman" w:cs="Times New Roman"/>
          <w:sz w:val="24"/>
          <w:szCs w:val="24"/>
        </w:rPr>
        <w:t xml:space="preserve">that of </w:t>
      </w:r>
      <w:r w:rsidRPr="008573D2">
        <w:rPr>
          <w:rFonts w:ascii="Times New Roman" w:hAnsi="Times New Roman" w:cs="Times New Roman"/>
          <w:sz w:val="24"/>
          <w:szCs w:val="24"/>
        </w:rPr>
        <w:t>emerging markets across all categories</w:t>
      </w:r>
      <w:r w:rsidR="00380BB9" w:rsidRPr="008573D2">
        <w:rPr>
          <w:rFonts w:ascii="Times New Roman" w:hAnsi="Times New Roman" w:cs="Times New Roman"/>
          <w:sz w:val="24"/>
          <w:szCs w:val="24"/>
        </w:rPr>
        <w:t>,</w:t>
      </w:r>
      <w:r w:rsidRPr="008573D2">
        <w:rPr>
          <w:rFonts w:ascii="Times New Roman" w:hAnsi="Times New Roman" w:cs="Times New Roman"/>
          <w:sz w:val="24"/>
          <w:szCs w:val="24"/>
        </w:rPr>
        <w:t xml:space="preserve"> except the monetary policy rate (MPR) and oil intensity score (OIN). The MPR is significantly low (0.3263) in developed markets, probably due to quantitative easing in monetary policy in various markets, such as in the US, UK and EU. The oil intensity score (OIN), on the other hand, is slightly higher in emerging markets such as China, India, Turkey, Indonesia and the Philippines (4.2967), </w:t>
      </w:r>
      <w:r w:rsidR="00550692" w:rsidRPr="008573D2">
        <w:rPr>
          <w:rFonts w:ascii="Times New Roman" w:hAnsi="Times New Roman" w:cs="Times New Roman"/>
          <w:sz w:val="24"/>
          <w:szCs w:val="24"/>
        </w:rPr>
        <w:t>which may be</w:t>
      </w:r>
      <w:r w:rsidRPr="008573D2">
        <w:rPr>
          <w:rFonts w:ascii="Times New Roman" w:hAnsi="Times New Roman" w:cs="Times New Roman"/>
          <w:sz w:val="24"/>
          <w:szCs w:val="24"/>
        </w:rPr>
        <w:t xml:space="preserve"> due to their strong dependency on oil</w:t>
      </w:r>
      <w:r w:rsidR="00550692" w:rsidRPr="008573D2">
        <w:rPr>
          <w:rFonts w:ascii="Times New Roman" w:hAnsi="Times New Roman" w:cs="Times New Roman"/>
          <w:sz w:val="24"/>
          <w:szCs w:val="24"/>
        </w:rPr>
        <w:t>-</w:t>
      </w:r>
      <w:r w:rsidRPr="008573D2">
        <w:rPr>
          <w:rFonts w:ascii="Times New Roman" w:hAnsi="Times New Roman" w:cs="Times New Roman"/>
          <w:sz w:val="24"/>
          <w:szCs w:val="24"/>
        </w:rPr>
        <w:t>intensive manufacturing sectors (see Appendix A for their score).</w:t>
      </w:r>
    </w:p>
    <w:p w14:paraId="64D32607" w14:textId="289B083C" w:rsidR="002C7D77" w:rsidRPr="008573D2" w:rsidRDefault="002C7D77" w:rsidP="00C475C3">
      <w:pPr>
        <w:spacing w:after="200" w:line="48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In the last three columns of Panel C in Table 3, we report the results of the statistical tests to compare the mean, variance and median values between developed and emerging markets. The pairwise </w:t>
      </w:r>
      <w:r w:rsidRPr="008573D2">
        <w:rPr>
          <w:rFonts w:ascii="Times New Roman" w:hAnsi="Times New Roman" w:cs="Times New Roman"/>
          <w:i/>
          <w:iCs/>
          <w:sz w:val="24"/>
          <w:szCs w:val="24"/>
        </w:rPr>
        <w:t>T</w:t>
      </w:r>
      <w:r w:rsidRPr="008573D2">
        <w:rPr>
          <w:rFonts w:ascii="Times New Roman" w:hAnsi="Times New Roman" w:cs="Times New Roman"/>
          <w:sz w:val="24"/>
          <w:szCs w:val="24"/>
        </w:rPr>
        <w:t xml:space="preserve">-test confirms that the mean scores of each macroeconomic variable reported in Panel C for emerging markets are statistically and significantly different from </w:t>
      </w:r>
      <w:r w:rsidR="00550692" w:rsidRPr="008573D2">
        <w:rPr>
          <w:rFonts w:ascii="Times New Roman" w:hAnsi="Times New Roman" w:cs="Times New Roman"/>
          <w:sz w:val="24"/>
          <w:szCs w:val="24"/>
        </w:rPr>
        <w:t xml:space="preserve">those for </w:t>
      </w:r>
      <w:r w:rsidRPr="008573D2">
        <w:rPr>
          <w:rFonts w:ascii="Times New Roman" w:hAnsi="Times New Roman" w:cs="Times New Roman"/>
          <w:sz w:val="24"/>
          <w:szCs w:val="24"/>
        </w:rPr>
        <w:t xml:space="preserve">developed markets. Similarly, </w:t>
      </w:r>
      <w:proofErr w:type="spellStart"/>
      <w:r w:rsidRPr="008573D2">
        <w:rPr>
          <w:rFonts w:ascii="Times New Roman" w:hAnsi="Times New Roman" w:cs="Times New Roman"/>
          <w:sz w:val="24"/>
          <w:szCs w:val="24"/>
        </w:rPr>
        <w:t>Levene’s</w:t>
      </w:r>
      <w:proofErr w:type="spellEnd"/>
      <w:r w:rsidRPr="008573D2">
        <w:rPr>
          <w:rFonts w:ascii="Times New Roman" w:hAnsi="Times New Roman" w:cs="Times New Roman"/>
          <w:sz w:val="24"/>
          <w:szCs w:val="24"/>
        </w:rPr>
        <w:t xml:space="preserve"> (1960) robust </w:t>
      </w:r>
      <w:r w:rsidRPr="008573D2">
        <w:rPr>
          <w:rFonts w:ascii="Times New Roman" w:hAnsi="Times New Roman" w:cs="Times New Roman"/>
          <w:i/>
          <w:iCs/>
          <w:sz w:val="24"/>
          <w:szCs w:val="24"/>
        </w:rPr>
        <w:t>F</w:t>
      </w:r>
      <w:r w:rsidRPr="008573D2">
        <w:rPr>
          <w:rFonts w:ascii="Times New Roman" w:hAnsi="Times New Roman" w:cs="Times New Roman"/>
          <w:sz w:val="24"/>
          <w:szCs w:val="24"/>
        </w:rPr>
        <w:t xml:space="preserve">-test and the Mann-Whitney test suggest that </w:t>
      </w:r>
      <w:bookmarkStart w:id="3" w:name="_Hlk50714260"/>
      <w:r w:rsidRPr="008573D2">
        <w:rPr>
          <w:rFonts w:ascii="Times New Roman" w:hAnsi="Times New Roman" w:cs="Times New Roman"/>
          <w:sz w:val="24"/>
          <w:szCs w:val="24"/>
        </w:rPr>
        <w:t xml:space="preserve">the variance and median, respectively, are also statistically different between developed and emerging markets in our sample. </w:t>
      </w:r>
      <w:bookmarkEnd w:id="3"/>
      <w:r w:rsidRPr="008573D2">
        <w:rPr>
          <w:rFonts w:ascii="Times New Roman" w:hAnsi="Times New Roman" w:cs="Times New Roman"/>
          <w:sz w:val="24"/>
          <w:szCs w:val="24"/>
        </w:rPr>
        <w:t>All the statistics are significant at the 1</w:t>
      </w:r>
      <w:r w:rsidR="0086642D" w:rsidRPr="008573D2">
        <w:rPr>
          <w:rFonts w:ascii="Times New Roman" w:hAnsi="Times New Roman" w:cs="Times New Roman"/>
          <w:sz w:val="24"/>
          <w:szCs w:val="24"/>
        </w:rPr>
        <w:t>%</w:t>
      </w:r>
      <w:r w:rsidRPr="008573D2">
        <w:rPr>
          <w:rFonts w:ascii="Times New Roman" w:hAnsi="Times New Roman" w:cs="Times New Roman"/>
          <w:sz w:val="24"/>
          <w:szCs w:val="24"/>
        </w:rPr>
        <w:t xml:space="preserve"> level.</w:t>
      </w:r>
    </w:p>
    <w:p w14:paraId="1366BC8D" w14:textId="5E97A0C4" w:rsidR="002C7D77" w:rsidRPr="008573D2" w:rsidRDefault="002C7D77" w:rsidP="00C475C3">
      <w:pPr>
        <w:spacing w:after="200" w:line="480" w:lineRule="auto"/>
        <w:jc w:val="center"/>
        <w:rPr>
          <w:rFonts w:ascii="Times New Roman" w:hAnsi="Times New Roman" w:cs="Times New Roman"/>
          <w:b/>
          <w:bCs/>
          <w:sz w:val="24"/>
          <w:szCs w:val="24"/>
        </w:rPr>
      </w:pPr>
      <w:r w:rsidRPr="008573D2">
        <w:rPr>
          <w:rFonts w:ascii="Times New Roman" w:hAnsi="Times New Roman" w:cs="Times New Roman"/>
          <w:b/>
          <w:bCs/>
          <w:sz w:val="24"/>
          <w:szCs w:val="24"/>
        </w:rPr>
        <w:t>Please insert Grap</w:t>
      </w:r>
      <w:r w:rsidR="007578A7" w:rsidRPr="008573D2">
        <w:rPr>
          <w:rFonts w:ascii="Times New Roman" w:hAnsi="Times New Roman" w:cs="Times New Roman"/>
          <w:b/>
          <w:bCs/>
          <w:sz w:val="24"/>
          <w:szCs w:val="24"/>
        </w:rPr>
        <w:t>h</w:t>
      </w:r>
      <w:r w:rsidRPr="008573D2">
        <w:rPr>
          <w:rFonts w:ascii="Times New Roman" w:hAnsi="Times New Roman" w:cs="Times New Roman"/>
          <w:b/>
          <w:bCs/>
          <w:sz w:val="24"/>
          <w:szCs w:val="24"/>
        </w:rPr>
        <w:t xml:space="preserve"> 1 about here</w:t>
      </w:r>
    </w:p>
    <w:p w14:paraId="675C372D" w14:textId="77777777" w:rsidR="002C7D77" w:rsidRPr="008573D2" w:rsidRDefault="002C7D77" w:rsidP="00C475C3">
      <w:pPr>
        <w:spacing w:after="200" w:line="480" w:lineRule="auto"/>
        <w:jc w:val="center"/>
        <w:rPr>
          <w:rFonts w:ascii="Times New Roman" w:hAnsi="Times New Roman" w:cs="Times New Roman"/>
          <w:b/>
          <w:bCs/>
          <w:sz w:val="24"/>
          <w:szCs w:val="24"/>
        </w:rPr>
      </w:pPr>
      <w:r w:rsidRPr="008573D2">
        <w:rPr>
          <w:rFonts w:ascii="Times New Roman" w:hAnsi="Times New Roman" w:cs="Times New Roman"/>
          <w:b/>
          <w:bCs/>
          <w:sz w:val="24"/>
          <w:szCs w:val="24"/>
        </w:rPr>
        <w:t>Please insert Graph 2 about here</w:t>
      </w:r>
    </w:p>
    <w:p w14:paraId="57BD9DE6" w14:textId="77777777" w:rsidR="002C7D77" w:rsidRPr="008573D2" w:rsidRDefault="002C7D77" w:rsidP="00C475C3">
      <w:pPr>
        <w:spacing w:after="200" w:line="480" w:lineRule="auto"/>
        <w:jc w:val="center"/>
        <w:rPr>
          <w:rFonts w:ascii="Times New Roman" w:hAnsi="Times New Roman" w:cs="Times New Roman"/>
          <w:b/>
          <w:bCs/>
          <w:sz w:val="24"/>
          <w:szCs w:val="24"/>
        </w:rPr>
      </w:pPr>
      <w:r w:rsidRPr="008573D2">
        <w:rPr>
          <w:rFonts w:ascii="Times New Roman" w:hAnsi="Times New Roman" w:cs="Times New Roman"/>
          <w:b/>
          <w:bCs/>
          <w:sz w:val="24"/>
          <w:szCs w:val="24"/>
        </w:rPr>
        <w:t>Please insert Table 3 about here</w:t>
      </w:r>
    </w:p>
    <w:p w14:paraId="03EAEB1A" w14:textId="77777777" w:rsidR="002C7D77" w:rsidRPr="008573D2" w:rsidRDefault="002C7D77" w:rsidP="00C475C3">
      <w:pPr>
        <w:pStyle w:val="Heading2"/>
        <w:spacing w:before="0" w:after="200" w:line="480" w:lineRule="auto"/>
        <w:rPr>
          <w:rFonts w:ascii="Times New Roman" w:hAnsi="Times New Roman" w:cs="Times New Roman"/>
          <w:b/>
          <w:bCs/>
          <w:color w:val="auto"/>
          <w:sz w:val="24"/>
          <w:szCs w:val="24"/>
        </w:rPr>
      </w:pPr>
      <w:r w:rsidRPr="008573D2">
        <w:rPr>
          <w:rFonts w:ascii="Times New Roman" w:hAnsi="Times New Roman" w:cs="Times New Roman"/>
          <w:b/>
          <w:bCs/>
          <w:color w:val="auto"/>
          <w:sz w:val="24"/>
          <w:szCs w:val="24"/>
        </w:rPr>
        <w:t>3.2 The Basic Conditional Mean and Variance Model</w:t>
      </w:r>
    </w:p>
    <w:p w14:paraId="6649F166" w14:textId="6E10CF57" w:rsidR="002C7D77" w:rsidRPr="008573D2" w:rsidRDefault="002C7D77" w:rsidP="00C475C3">
      <w:pPr>
        <w:tabs>
          <w:tab w:val="left" w:pos="1620"/>
        </w:tabs>
        <w:spacing w:after="200" w:line="480" w:lineRule="auto"/>
        <w:jc w:val="both"/>
        <w:rPr>
          <w:rFonts w:ascii="Times New Roman" w:hAnsi="Times New Roman" w:cs="Times New Roman"/>
          <w:sz w:val="24"/>
          <w:szCs w:val="24"/>
        </w:rPr>
      </w:pPr>
      <w:r w:rsidRPr="008573D2">
        <w:rPr>
          <w:rFonts w:ascii="Times New Roman" w:hAnsi="Times New Roman" w:cs="Times New Roman"/>
          <w:sz w:val="24"/>
          <w:szCs w:val="24"/>
        </w:rPr>
        <w:t>Table 4 presents the results of conditional mean and conditional variance for index returns (</w:t>
      </w:r>
      <m:oMath>
        <m:sSub>
          <m:sSubPr>
            <m:ctrlPr>
              <w:rPr>
                <w:rFonts w:ascii="Cambria Math" w:hAnsi="Cambria Math" w:cs="Times New Roman"/>
                <w:i/>
                <w:sz w:val="24"/>
                <w:szCs w:val="24"/>
              </w:rPr>
            </m:ctrlPr>
          </m:sSubPr>
          <m:e>
            <m:r>
              <w:rPr>
                <w:rFonts w:ascii="Cambria Math" w:hAnsi="Cambria Math" w:cs="Times New Roman"/>
                <w:sz w:val="24"/>
                <w:szCs w:val="24"/>
              </w:rPr>
              <m:t>RET</m:t>
            </m:r>
          </m:e>
          <m:sub>
            <m:r>
              <w:rPr>
                <w:rFonts w:ascii="Cambria Math" w:hAnsi="Cambria Math" w:cs="Times New Roman"/>
                <w:sz w:val="24"/>
                <w:szCs w:val="24"/>
              </w:rPr>
              <m:t>it</m:t>
            </m:r>
          </m:sub>
        </m:sSub>
      </m:oMath>
      <w:r w:rsidRPr="008573D2">
        <w:rPr>
          <w:rFonts w:ascii="Times New Roman" w:hAnsi="Times New Roman" w:cs="Times New Roman"/>
          <w:sz w:val="24"/>
          <w:szCs w:val="24"/>
        </w:rPr>
        <w:t>)</w:t>
      </w:r>
      <w:r w:rsidR="00DC214A" w:rsidRPr="008573D2">
        <w:rPr>
          <w:rFonts w:ascii="Times New Roman" w:hAnsi="Times New Roman" w:cs="Times New Roman"/>
          <w:sz w:val="24"/>
          <w:szCs w:val="24"/>
        </w:rPr>
        <w:t xml:space="preserve"> </w:t>
      </w:r>
      <w:r w:rsidRPr="008573D2">
        <w:rPr>
          <w:rFonts w:ascii="Times New Roman" w:hAnsi="Times New Roman" w:cs="Times New Roman"/>
          <w:sz w:val="24"/>
          <w:szCs w:val="24"/>
        </w:rPr>
        <w:t xml:space="preserve">using equations (1) and (6), respectively. Column (1) of this table exhibits the findings </w:t>
      </w:r>
      <w:r w:rsidRPr="008573D2">
        <w:rPr>
          <w:rFonts w:ascii="Times New Roman" w:hAnsi="Times New Roman" w:cs="Times New Roman"/>
          <w:sz w:val="24"/>
          <w:szCs w:val="24"/>
        </w:rPr>
        <w:lastRenderedPageBreak/>
        <w:t xml:space="preserve">related to the dynamic panel with fixed effects applying equation (1), which shows that COVID-19 is negatively affecting the market returns of our sample economies. The growth in the total number of COVID-19 cases (CTC) and deaths (CTD) </w:t>
      </w:r>
      <w:r w:rsidR="007578A7" w:rsidRPr="008573D2">
        <w:rPr>
          <w:rFonts w:ascii="Times New Roman" w:hAnsi="Times New Roman" w:cs="Times New Roman"/>
          <w:sz w:val="24"/>
          <w:szCs w:val="24"/>
        </w:rPr>
        <w:t>worldwide</w:t>
      </w:r>
      <w:r w:rsidRPr="008573D2">
        <w:rPr>
          <w:rFonts w:ascii="Times New Roman" w:hAnsi="Times New Roman" w:cs="Times New Roman"/>
          <w:sz w:val="24"/>
          <w:szCs w:val="24"/>
        </w:rPr>
        <w:t xml:space="preserve"> has reduced the overall index returns by -0.17% and -0.79%</w:t>
      </w:r>
      <w:r w:rsidR="007578A7" w:rsidRPr="008573D2">
        <w:rPr>
          <w:rFonts w:ascii="Times New Roman" w:hAnsi="Times New Roman" w:cs="Times New Roman"/>
          <w:sz w:val="24"/>
          <w:szCs w:val="24"/>
        </w:rPr>
        <w:t>,</w:t>
      </w:r>
      <w:r w:rsidRPr="008573D2">
        <w:rPr>
          <w:rFonts w:ascii="Times New Roman" w:hAnsi="Times New Roman" w:cs="Times New Roman"/>
          <w:sz w:val="24"/>
          <w:szCs w:val="24"/>
        </w:rPr>
        <w:t xml:space="preserve"> respectively, and these are statistically significant at the 1 per cent level. The country-specific growth in COVID-19 deaths (CSD) is also significant at the 10 per cent level and reduced the returns by -0.51%. </w:t>
      </w:r>
      <w:r w:rsidR="007578A7" w:rsidRPr="008573D2">
        <w:rPr>
          <w:rFonts w:ascii="Times New Roman" w:hAnsi="Times New Roman" w:cs="Times New Roman"/>
          <w:sz w:val="24"/>
          <w:szCs w:val="24"/>
        </w:rPr>
        <w:t xml:space="preserve">In addition to </w:t>
      </w:r>
      <w:r w:rsidRPr="008573D2">
        <w:rPr>
          <w:rFonts w:ascii="Times New Roman" w:hAnsi="Times New Roman" w:cs="Times New Roman"/>
          <w:sz w:val="24"/>
          <w:szCs w:val="24"/>
        </w:rPr>
        <w:t>COVID-19, we have used VIX returns (RVX) and trading volume (LVO) to control for market sentiment and trading behaviour. RVX is negatively influencing the returns (-6.43%) in Table 4 and this also</w:t>
      </w:r>
      <w:r w:rsidR="00DC214A" w:rsidRPr="008573D2">
        <w:rPr>
          <w:rFonts w:ascii="Times New Roman" w:hAnsi="Times New Roman" w:cs="Times New Roman"/>
          <w:sz w:val="24"/>
          <w:szCs w:val="24"/>
        </w:rPr>
        <w:t xml:space="preserve"> </w:t>
      </w:r>
      <w:r w:rsidRPr="008573D2">
        <w:rPr>
          <w:rFonts w:ascii="Times New Roman" w:hAnsi="Times New Roman" w:cs="Times New Roman"/>
          <w:sz w:val="24"/>
          <w:szCs w:val="24"/>
        </w:rPr>
        <w:t xml:space="preserve">is statistically significant. The oil price (LOP) and quarterly GDP (LGD), however, are used to control the </w:t>
      </w:r>
      <w:proofErr w:type="spellStart"/>
      <w:r w:rsidRPr="008573D2">
        <w:rPr>
          <w:rFonts w:ascii="Times New Roman" w:hAnsi="Times New Roman" w:cs="Times New Roman"/>
          <w:sz w:val="24"/>
          <w:szCs w:val="24"/>
        </w:rPr>
        <w:t>spillover</w:t>
      </w:r>
      <w:proofErr w:type="spellEnd"/>
      <w:r w:rsidRPr="008573D2">
        <w:rPr>
          <w:rFonts w:ascii="Times New Roman" w:hAnsi="Times New Roman" w:cs="Times New Roman"/>
          <w:sz w:val="24"/>
          <w:szCs w:val="24"/>
        </w:rPr>
        <w:t xml:space="preserve"> effect and the size difference between the economies in our sample. They are positively affecting the returns by 4.69% and 0.01%</w:t>
      </w:r>
      <w:r w:rsidR="007578A7" w:rsidRPr="008573D2">
        <w:rPr>
          <w:rFonts w:ascii="Times New Roman" w:hAnsi="Times New Roman" w:cs="Times New Roman"/>
          <w:sz w:val="24"/>
          <w:szCs w:val="24"/>
        </w:rPr>
        <w:t>,</w:t>
      </w:r>
      <w:r w:rsidRPr="008573D2">
        <w:rPr>
          <w:rFonts w:ascii="Times New Roman" w:hAnsi="Times New Roman" w:cs="Times New Roman"/>
          <w:sz w:val="24"/>
          <w:szCs w:val="24"/>
        </w:rPr>
        <w:t xml:space="preserve"> respectively, but only the coefficient of LOP is significant at the 1 per cent level. All these relationships are consistent with Table 3 and previous literature (</w:t>
      </w:r>
      <w:proofErr w:type="gramStart"/>
      <w:r w:rsidRPr="008573D2">
        <w:rPr>
          <w:rFonts w:ascii="Times New Roman" w:hAnsi="Times New Roman" w:cs="Times New Roman"/>
          <w:sz w:val="24"/>
          <w:szCs w:val="24"/>
        </w:rPr>
        <w:t>e.g.</w:t>
      </w:r>
      <w:proofErr w:type="gramEnd"/>
      <w:r w:rsidRPr="008573D2">
        <w:rPr>
          <w:rFonts w:ascii="Times New Roman" w:hAnsi="Times New Roman" w:cs="Times New Roman"/>
          <w:sz w:val="24"/>
          <w:szCs w:val="24"/>
        </w:rPr>
        <w:t xml:space="preserve"> </w:t>
      </w:r>
      <w:proofErr w:type="spellStart"/>
      <w:r w:rsidRPr="008573D2">
        <w:rPr>
          <w:rFonts w:ascii="Times New Roman" w:hAnsi="Times New Roman" w:cs="Times New Roman"/>
          <w:sz w:val="24"/>
          <w:szCs w:val="24"/>
        </w:rPr>
        <w:t>Mollick</w:t>
      </w:r>
      <w:proofErr w:type="spellEnd"/>
      <w:r w:rsidRPr="008573D2">
        <w:rPr>
          <w:rFonts w:ascii="Times New Roman" w:hAnsi="Times New Roman" w:cs="Times New Roman"/>
          <w:sz w:val="24"/>
          <w:szCs w:val="24"/>
        </w:rPr>
        <w:t xml:space="preserve"> and Assefa, 2013; Fernandes et al., 2014; </w:t>
      </w:r>
      <w:proofErr w:type="spellStart"/>
      <w:r w:rsidRPr="008573D2">
        <w:rPr>
          <w:rFonts w:ascii="Times New Roman" w:hAnsi="Times New Roman" w:cs="Times New Roman"/>
          <w:sz w:val="24"/>
          <w:szCs w:val="24"/>
        </w:rPr>
        <w:t>Onali</w:t>
      </w:r>
      <w:proofErr w:type="spellEnd"/>
      <w:r w:rsidRPr="008573D2">
        <w:rPr>
          <w:rFonts w:ascii="Times New Roman" w:hAnsi="Times New Roman" w:cs="Times New Roman"/>
          <w:sz w:val="24"/>
          <w:szCs w:val="24"/>
        </w:rPr>
        <w:t>, 2020) except the effect of</w:t>
      </w:r>
      <w:r w:rsidR="00DC214A" w:rsidRPr="008573D2">
        <w:rPr>
          <w:rFonts w:ascii="Times New Roman" w:hAnsi="Times New Roman" w:cs="Times New Roman"/>
          <w:sz w:val="24"/>
          <w:szCs w:val="24"/>
        </w:rPr>
        <w:t xml:space="preserve"> </w:t>
      </w:r>
      <w:r w:rsidRPr="008573D2">
        <w:rPr>
          <w:rFonts w:ascii="Times New Roman" w:hAnsi="Times New Roman" w:cs="Times New Roman"/>
          <w:sz w:val="24"/>
          <w:szCs w:val="24"/>
        </w:rPr>
        <w:t>LOP.</w:t>
      </w:r>
    </w:p>
    <w:p w14:paraId="3DBED5A8" w14:textId="0E18F44D" w:rsidR="002C7D77" w:rsidRPr="008573D2" w:rsidRDefault="002C7D77" w:rsidP="00C475C3">
      <w:pPr>
        <w:spacing w:after="200" w:line="48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In column (2) of Table 4 we report the results of the conditional variance process EGARCH (1, 1), applying equation (6) to capture the volatility in global equity markets. It is also our primary interest in this paper as our subsequent volatility models are developed </w:t>
      </w:r>
      <w:r w:rsidR="0086642D" w:rsidRPr="008573D2">
        <w:rPr>
          <w:rFonts w:ascii="Times New Roman" w:hAnsi="Times New Roman" w:cs="Times New Roman"/>
          <w:sz w:val="24"/>
          <w:szCs w:val="24"/>
        </w:rPr>
        <w:t xml:space="preserve">based </w:t>
      </w:r>
      <w:r w:rsidRPr="008573D2">
        <w:rPr>
          <w:rFonts w:ascii="Times New Roman" w:hAnsi="Times New Roman" w:cs="Times New Roman"/>
          <w:sz w:val="24"/>
          <w:szCs w:val="24"/>
        </w:rPr>
        <w:t xml:space="preserve">on that process. The coefficients of growth in total global and country-specific cases and deaths suggest that the conditional variance of an equity market is positively associated with COVID-19, and the association is statistically significant at the 10 per cent level. However, growth in global cases (4.31) and deaths (2.78) has a stronger impact on market variance than growth in local cases (0.06) and deaths (0.24) in our dataset. The upsurge in market volatility following the COVID-19 pandemic is also documented in </w:t>
      </w:r>
      <w:proofErr w:type="spellStart"/>
      <w:r w:rsidRPr="008573D2">
        <w:rPr>
          <w:rFonts w:ascii="Times New Roman" w:hAnsi="Times New Roman" w:cs="Times New Roman"/>
          <w:sz w:val="24"/>
          <w:szCs w:val="24"/>
        </w:rPr>
        <w:t>Onali</w:t>
      </w:r>
      <w:proofErr w:type="spellEnd"/>
      <w:r w:rsidRPr="008573D2">
        <w:rPr>
          <w:rFonts w:ascii="Times New Roman" w:hAnsi="Times New Roman" w:cs="Times New Roman"/>
          <w:sz w:val="24"/>
          <w:szCs w:val="24"/>
        </w:rPr>
        <w:t xml:space="preserve"> (2020), Baker et al. (2020) and </w:t>
      </w:r>
      <w:proofErr w:type="spellStart"/>
      <w:r w:rsidRPr="008573D2">
        <w:rPr>
          <w:rFonts w:ascii="Times New Roman" w:hAnsi="Times New Roman" w:cs="Times New Roman"/>
          <w:sz w:val="24"/>
          <w:szCs w:val="24"/>
        </w:rPr>
        <w:t>Yilmazkuday</w:t>
      </w:r>
      <w:proofErr w:type="spellEnd"/>
      <w:r w:rsidRPr="008573D2">
        <w:rPr>
          <w:rFonts w:ascii="Times New Roman" w:hAnsi="Times New Roman" w:cs="Times New Roman"/>
          <w:sz w:val="24"/>
          <w:szCs w:val="24"/>
        </w:rPr>
        <w:t xml:space="preserve"> (2020). In addition, the coefficient of </w:t>
      </w:r>
      <m:oMath>
        <m:r>
          <w:rPr>
            <w:rFonts w:ascii="Cambria Math" w:eastAsia="Times New Roman" w:hAnsi="Cambria Math" w:cs="Times New Roman"/>
            <w:color w:val="000000"/>
            <w:sz w:val="24"/>
            <w:szCs w:val="24"/>
            <w:lang w:eastAsia="en-GB"/>
          </w:rPr>
          <m:t>δ</m:t>
        </m:r>
      </m:oMath>
      <w:r w:rsidRPr="008573D2">
        <w:rPr>
          <w:rFonts w:ascii="Times New Roman" w:eastAsiaTheme="minorEastAsia" w:hAnsi="Times New Roman" w:cs="Times New Roman"/>
          <w:color w:val="000000"/>
          <w:sz w:val="24"/>
          <w:szCs w:val="24"/>
          <w:lang w:eastAsia="en-GB"/>
        </w:rPr>
        <w:t xml:space="preserve"> </w:t>
      </w:r>
      <w:r w:rsidRPr="008573D2">
        <w:rPr>
          <w:rFonts w:ascii="Times New Roman" w:hAnsi="Times New Roman" w:cs="Times New Roman"/>
          <w:sz w:val="24"/>
          <w:szCs w:val="24"/>
        </w:rPr>
        <w:t xml:space="preserve">in column (2) shows the persistence of volatility. The positive </w:t>
      </w:r>
      <m:oMath>
        <m:r>
          <w:rPr>
            <w:rFonts w:ascii="Cambria Math" w:hAnsi="Cambria Math" w:cs="Times New Roman"/>
            <w:sz w:val="24"/>
            <w:szCs w:val="24"/>
          </w:rPr>
          <m:t>α</m:t>
        </m:r>
      </m:oMath>
      <w:r w:rsidRPr="008573D2">
        <w:rPr>
          <w:rFonts w:ascii="Times New Roman" w:hAnsi="Times New Roman" w:cs="Times New Roman"/>
          <w:sz w:val="24"/>
          <w:szCs w:val="24"/>
        </w:rPr>
        <w:t xml:space="preserve"> coefficient implies that positive innovations are more destabili</w:t>
      </w:r>
      <w:r w:rsidR="00DC214A" w:rsidRPr="008573D2">
        <w:rPr>
          <w:rFonts w:ascii="Times New Roman" w:hAnsi="Times New Roman" w:cs="Times New Roman"/>
          <w:sz w:val="24"/>
          <w:szCs w:val="24"/>
        </w:rPr>
        <w:t>s</w:t>
      </w:r>
      <w:r w:rsidRPr="008573D2">
        <w:rPr>
          <w:rFonts w:ascii="Times New Roman" w:hAnsi="Times New Roman" w:cs="Times New Roman"/>
          <w:sz w:val="24"/>
          <w:szCs w:val="24"/>
        </w:rPr>
        <w:t xml:space="preserve">ing </w:t>
      </w:r>
      <w:r w:rsidRPr="008573D2">
        <w:rPr>
          <w:rFonts w:ascii="Times New Roman" w:hAnsi="Times New Roman" w:cs="Times New Roman"/>
          <w:sz w:val="24"/>
          <w:szCs w:val="24"/>
        </w:rPr>
        <w:lastRenderedPageBreak/>
        <w:t xml:space="preserve">than negative innovations during our sample episode. However, the symmetric effect (0.49) appears stronger than the positive innovation (0.008). Finally, the </w:t>
      </w:r>
      <w:r w:rsidRPr="008573D2">
        <w:rPr>
          <w:rFonts w:ascii="Times New Roman" w:hAnsi="Times New Roman" w:cs="Times New Roman"/>
          <w:i/>
          <w:iCs/>
          <w:sz w:val="24"/>
          <w:szCs w:val="24"/>
        </w:rPr>
        <w:t>p</w:t>
      </w:r>
      <w:r w:rsidRPr="008573D2">
        <w:rPr>
          <w:rFonts w:ascii="Times New Roman" w:hAnsi="Times New Roman" w:cs="Times New Roman"/>
          <w:sz w:val="24"/>
          <w:szCs w:val="24"/>
        </w:rPr>
        <w:t>-values for equality of growth in global and local cases and deaths confirm that their respective coefficients are statistically different in both the conditional mean (</w:t>
      </w:r>
      <w:proofErr w:type="gramStart"/>
      <w:r w:rsidRPr="008573D2">
        <w:rPr>
          <w:rFonts w:ascii="Times New Roman" w:hAnsi="Times New Roman" w:cs="Times New Roman"/>
          <w:sz w:val="24"/>
          <w:szCs w:val="24"/>
        </w:rPr>
        <w:t>i.e.</w:t>
      </w:r>
      <w:proofErr w:type="gramEnd"/>
      <w:r w:rsidRPr="008573D2">
        <w:rPr>
          <w:rFonts w:ascii="Times New Roman" w:hAnsi="Times New Roman" w:cs="Times New Roman"/>
          <w:sz w:val="24"/>
          <w:szCs w:val="24"/>
        </w:rPr>
        <w:t xml:space="preserve"> return) and conditional variance models. </w:t>
      </w:r>
    </w:p>
    <w:p w14:paraId="4F66926A" w14:textId="46EDE0EE" w:rsidR="00FB461A" w:rsidRPr="008573D2" w:rsidRDefault="002C7D77" w:rsidP="00C475C3">
      <w:pPr>
        <w:spacing w:after="200" w:line="480" w:lineRule="auto"/>
        <w:jc w:val="both"/>
        <w:rPr>
          <w:rFonts w:ascii="Times New Roman" w:hAnsi="Times New Roman" w:cs="Times New Roman"/>
          <w:sz w:val="24"/>
          <w:szCs w:val="24"/>
        </w:rPr>
      </w:pPr>
      <w:r w:rsidRPr="008573D2">
        <w:rPr>
          <w:rFonts w:ascii="Times New Roman" w:eastAsia="Times New Roman" w:hAnsi="Times New Roman" w:cs="Times New Roman"/>
          <w:sz w:val="24"/>
          <w:szCs w:val="24"/>
          <w:lang w:eastAsia="en-GB"/>
        </w:rPr>
        <w:t>We have reported the interaction of country-level resilience (RES) and COVID-19 in column (3) of Table 4. The interaction terms reflect the role of the resilience score in minimi</w:t>
      </w:r>
      <w:r w:rsidR="00DC214A" w:rsidRPr="008573D2">
        <w:rPr>
          <w:rFonts w:ascii="Times New Roman" w:eastAsia="Times New Roman" w:hAnsi="Times New Roman" w:cs="Times New Roman"/>
          <w:sz w:val="24"/>
          <w:szCs w:val="24"/>
          <w:lang w:eastAsia="en-GB"/>
        </w:rPr>
        <w:t>s</w:t>
      </w:r>
      <w:r w:rsidRPr="008573D2">
        <w:rPr>
          <w:rFonts w:ascii="Times New Roman" w:eastAsia="Times New Roman" w:hAnsi="Times New Roman" w:cs="Times New Roman"/>
          <w:sz w:val="24"/>
          <w:szCs w:val="24"/>
          <w:lang w:eastAsia="en-GB"/>
        </w:rPr>
        <w:t>ing the risk associated with COVID-19 cases and deaths on the equity market conditional variance. The resilience score (RES) and its interactions with country-specific</w:t>
      </w:r>
      <w:r w:rsidR="00DC214A" w:rsidRPr="008573D2">
        <w:rPr>
          <w:rFonts w:ascii="Times New Roman" w:eastAsia="Times New Roman" w:hAnsi="Times New Roman" w:cs="Times New Roman"/>
          <w:sz w:val="24"/>
          <w:szCs w:val="24"/>
          <w:lang w:eastAsia="en-GB"/>
        </w:rPr>
        <w:t xml:space="preserve"> </w:t>
      </w:r>
      <w:r w:rsidRPr="008573D2">
        <w:rPr>
          <w:rFonts w:ascii="Times New Roman" w:eastAsia="Times New Roman" w:hAnsi="Times New Roman" w:cs="Times New Roman"/>
          <w:sz w:val="24"/>
          <w:szCs w:val="24"/>
          <w:lang w:eastAsia="en-GB"/>
        </w:rPr>
        <w:t>cases (RES*CSC) and deaths (RES*CSD) are negative and statistically significant at the 10 per cent level. Our findings suggest that the resilience of a country could reduce the surge of equity market variance by 24.14% and 29.04%, respectively, via minimi</w:t>
      </w:r>
      <w:r w:rsidR="00DC214A" w:rsidRPr="008573D2">
        <w:rPr>
          <w:rFonts w:ascii="Times New Roman" w:eastAsia="Times New Roman" w:hAnsi="Times New Roman" w:cs="Times New Roman"/>
          <w:sz w:val="24"/>
          <w:szCs w:val="24"/>
          <w:lang w:eastAsia="en-GB"/>
        </w:rPr>
        <w:t>s</w:t>
      </w:r>
      <w:r w:rsidRPr="008573D2">
        <w:rPr>
          <w:rFonts w:ascii="Times New Roman" w:eastAsia="Times New Roman" w:hAnsi="Times New Roman" w:cs="Times New Roman"/>
          <w:sz w:val="24"/>
          <w:szCs w:val="24"/>
          <w:lang w:eastAsia="en-GB"/>
        </w:rPr>
        <w:t>ing the risk associated with local COVID-19 cases and deaths. Moreover, the resilience itself could reduce the volatility by 28.90 per cent.</w:t>
      </w:r>
    </w:p>
    <w:p w14:paraId="358F0DA1" w14:textId="77777777" w:rsidR="002C7D77" w:rsidRPr="008573D2" w:rsidRDefault="002C7D77" w:rsidP="00C475C3">
      <w:pPr>
        <w:spacing w:after="200" w:line="480" w:lineRule="auto"/>
        <w:jc w:val="center"/>
        <w:rPr>
          <w:rFonts w:ascii="Times New Roman" w:eastAsia="Times New Roman" w:hAnsi="Times New Roman" w:cs="Times New Roman"/>
          <w:b/>
          <w:bCs/>
          <w:sz w:val="24"/>
          <w:szCs w:val="24"/>
          <w:lang w:eastAsia="en-GB"/>
        </w:rPr>
      </w:pPr>
      <w:r w:rsidRPr="008573D2">
        <w:rPr>
          <w:rFonts w:ascii="Times New Roman" w:eastAsia="Times New Roman" w:hAnsi="Times New Roman" w:cs="Times New Roman"/>
          <w:b/>
          <w:bCs/>
          <w:sz w:val="24"/>
          <w:szCs w:val="24"/>
          <w:lang w:eastAsia="en-GB"/>
        </w:rPr>
        <w:t>Please insert Table 4 about here</w:t>
      </w:r>
    </w:p>
    <w:p w14:paraId="29EEBF36" w14:textId="77777777" w:rsidR="002C7D77" w:rsidRPr="008573D2" w:rsidRDefault="002C7D77" w:rsidP="00C475C3">
      <w:pPr>
        <w:pStyle w:val="Heading2"/>
        <w:spacing w:before="0" w:after="200" w:line="480" w:lineRule="auto"/>
        <w:rPr>
          <w:rFonts w:ascii="Times New Roman" w:hAnsi="Times New Roman" w:cs="Times New Roman"/>
          <w:b/>
          <w:bCs/>
          <w:color w:val="auto"/>
          <w:sz w:val="24"/>
          <w:szCs w:val="24"/>
        </w:rPr>
      </w:pPr>
      <w:r w:rsidRPr="008573D2">
        <w:rPr>
          <w:rFonts w:ascii="Times New Roman" w:hAnsi="Times New Roman" w:cs="Times New Roman"/>
          <w:b/>
          <w:bCs/>
          <w:color w:val="auto"/>
          <w:sz w:val="24"/>
          <w:szCs w:val="24"/>
        </w:rPr>
        <w:t>3.3 Market Resilience and COVID-19</w:t>
      </w:r>
    </w:p>
    <w:p w14:paraId="472A48FE" w14:textId="2EDADFA8" w:rsidR="002C7D77" w:rsidRPr="008573D2" w:rsidRDefault="002C7D77" w:rsidP="00C475C3">
      <w:pPr>
        <w:spacing w:after="200" w:line="48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In Table 5, we present the impact of various resilience-related indices and scores (as listed in Table 1) on the conditional variance structure following equation (6). Findings are reported in columns (1) to (12) of Table 5. Changes in total COVID-19 cases (CTC and CSC) and total deaths (CTD and CSD) are positively and significantly related to market variance across the table. However, as found in Table 4 (column 2), the impact of global cases (up to 4.48) and deaths (up to 3.84) </w:t>
      </w:r>
      <w:r w:rsidR="007578A7" w:rsidRPr="008573D2">
        <w:rPr>
          <w:rFonts w:ascii="Times New Roman" w:hAnsi="Times New Roman" w:cs="Times New Roman"/>
          <w:sz w:val="24"/>
          <w:szCs w:val="24"/>
        </w:rPr>
        <w:t xml:space="preserve">is </w:t>
      </w:r>
      <w:r w:rsidRPr="008573D2">
        <w:rPr>
          <w:rFonts w:ascii="Times New Roman" w:hAnsi="Times New Roman" w:cs="Times New Roman"/>
          <w:sz w:val="24"/>
          <w:szCs w:val="24"/>
        </w:rPr>
        <w:t xml:space="preserve">stronger on the equity market variance across Table 5 than </w:t>
      </w:r>
      <w:r w:rsidR="007578A7" w:rsidRPr="008573D2">
        <w:rPr>
          <w:rFonts w:ascii="Times New Roman" w:hAnsi="Times New Roman" w:cs="Times New Roman"/>
          <w:sz w:val="24"/>
          <w:szCs w:val="24"/>
        </w:rPr>
        <w:t xml:space="preserve">that of </w:t>
      </w:r>
      <w:r w:rsidRPr="008573D2">
        <w:rPr>
          <w:rFonts w:ascii="Times New Roman" w:hAnsi="Times New Roman" w:cs="Times New Roman"/>
          <w:sz w:val="24"/>
          <w:szCs w:val="24"/>
        </w:rPr>
        <w:t>the local cases (up to 0.08) and deaths (up to 0.26).</w:t>
      </w:r>
    </w:p>
    <w:p w14:paraId="3C3F11F7" w14:textId="5BA4011C" w:rsidR="002C7D77" w:rsidRPr="008573D2" w:rsidRDefault="002C7D77" w:rsidP="00C475C3">
      <w:pPr>
        <w:spacing w:after="200" w:line="480" w:lineRule="auto"/>
        <w:jc w:val="both"/>
        <w:rPr>
          <w:rFonts w:ascii="Times New Roman" w:hAnsi="Times New Roman" w:cs="Times New Roman"/>
          <w:sz w:val="24"/>
          <w:szCs w:val="24"/>
        </w:rPr>
      </w:pPr>
      <w:r w:rsidRPr="008573D2">
        <w:rPr>
          <w:rFonts w:ascii="Times New Roman" w:hAnsi="Times New Roman" w:cs="Times New Roman"/>
          <w:sz w:val="24"/>
          <w:szCs w:val="24"/>
        </w:rPr>
        <w:lastRenderedPageBreak/>
        <w:t>The impact of overall resilience index (RES) within the conditional variance process is displayed in column (1). The coefficient is negative (-0.207) and statistically significant at the 1 per cent level, which implies that market resilience could reduce the returns volatility by 2.07% over the sample period. That means a market might focus on the enhancement of its aggregate resilience to avoid an equity market crisis following any unexpected shock such as the pandemic. In columns (2) to (11), we show the impact of various macro</w:t>
      </w:r>
      <w:r w:rsidR="00AC6621" w:rsidRPr="008573D2">
        <w:rPr>
          <w:rFonts w:ascii="Times New Roman" w:hAnsi="Times New Roman" w:cs="Times New Roman"/>
          <w:sz w:val="24"/>
          <w:szCs w:val="24"/>
        </w:rPr>
        <w:t xml:space="preserve"> </w:t>
      </w:r>
      <w:r w:rsidRPr="008573D2">
        <w:rPr>
          <w:rFonts w:ascii="Times New Roman" w:hAnsi="Times New Roman" w:cs="Times New Roman"/>
          <w:sz w:val="24"/>
          <w:szCs w:val="24"/>
        </w:rPr>
        <w:t>characteristics of a country with the assumption that these might contribute to the enhancement of economic resilience and might help to reduce the returns variance of their capital market. As expected, we find that the capitalism score (CPS), governance score (COG), size</w:t>
      </w:r>
      <w:r w:rsidR="007578A7" w:rsidRPr="008573D2">
        <w:rPr>
          <w:rFonts w:ascii="Times New Roman" w:hAnsi="Times New Roman" w:cs="Times New Roman"/>
          <w:sz w:val="24"/>
          <w:szCs w:val="24"/>
        </w:rPr>
        <w:t xml:space="preserve"> </w:t>
      </w:r>
      <w:r w:rsidRPr="008573D2">
        <w:rPr>
          <w:rFonts w:ascii="Times New Roman" w:hAnsi="Times New Roman" w:cs="Times New Roman"/>
          <w:sz w:val="24"/>
          <w:szCs w:val="24"/>
        </w:rPr>
        <w:t xml:space="preserve">of the economy (LGD), productivity score (PRO), infrastructure quality (INF), health pillar (HEL), financial development index (FDI) and financial institutions development index (FII) are negatively affecting the conditional variance in our stepwise models. The coefficients are all statistically significant at the 1 or 5 per cent level. For example, the corresponding coefficient of CPS is -0.8825, and it is significant at the 1 per cent level, meaning that the aggregate economic freedom of a country could improve the resilience of a market and reduce the returns volatility by around 88.25% during a shock. </w:t>
      </w:r>
    </w:p>
    <w:p w14:paraId="5AA0F477" w14:textId="3DCB6C88" w:rsidR="002C7D77" w:rsidRPr="008573D2" w:rsidRDefault="002C7D77" w:rsidP="00C475C3">
      <w:pPr>
        <w:spacing w:after="200" w:line="48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Interestingly, the health pillar (HEL) has become a significant determinant to market volatility during this COVID-19 pandemic. The pillar measures the extent to which people are healthy and have access to the necessary services to maintain good health. It has a significant impact on investors’ sentiment and could reduce the return volatility by 67.39% per cent over the sample period. Next to the health pillar, the governance quality (COG) has a coefficient of -0.4614 in column (3), showing the importance of </w:t>
      </w:r>
      <w:r w:rsidR="007578A7" w:rsidRPr="008573D2">
        <w:rPr>
          <w:rFonts w:ascii="Times New Roman" w:hAnsi="Times New Roman" w:cs="Times New Roman"/>
          <w:sz w:val="24"/>
          <w:szCs w:val="24"/>
        </w:rPr>
        <w:t xml:space="preserve">a country’s </w:t>
      </w:r>
      <w:r w:rsidRPr="008573D2">
        <w:rPr>
          <w:rFonts w:ascii="Times New Roman" w:hAnsi="Times New Roman" w:cs="Times New Roman"/>
          <w:sz w:val="24"/>
          <w:szCs w:val="24"/>
        </w:rPr>
        <w:t xml:space="preserve">governance quality on investors’ behaviour during a crisis period. This finding suggests </w:t>
      </w:r>
      <w:r w:rsidR="00AC6621" w:rsidRPr="008573D2">
        <w:rPr>
          <w:rFonts w:ascii="Times New Roman" w:hAnsi="Times New Roman" w:cs="Times New Roman"/>
          <w:sz w:val="24"/>
          <w:szCs w:val="24"/>
        </w:rPr>
        <w:t xml:space="preserve">that </w:t>
      </w:r>
      <w:r w:rsidRPr="008573D2">
        <w:rPr>
          <w:rFonts w:ascii="Times New Roman" w:hAnsi="Times New Roman" w:cs="Times New Roman"/>
          <w:sz w:val="24"/>
          <w:szCs w:val="24"/>
        </w:rPr>
        <w:t xml:space="preserve">an economy could reduce its equity market volatility by 46.14% with </w:t>
      </w:r>
      <w:r w:rsidRPr="008573D2">
        <w:rPr>
          <w:rFonts w:ascii="Times New Roman" w:eastAsia="Times New Roman" w:hAnsi="Times New Roman" w:cs="Times New Roman"/>
          <w:sz w:val="24"/>
          <w:szCs w:val="24"/>
          <w:lang w:eastAsia="en-GB"/>
        </w:rPr>
        <w:t xml:space="preserve">the capacity of the government to effectively formulate and </w:t>
      </w:r>
      <w:r w:rsidRPr="008573D2">
        <w:rPr>
          <w:rFonts w:ascii="Times New Roman" w:eastAsia="Times New Roman" w:hAnsi="Times New Roman" w:cs="Times New Roman"/>
          <w:sz w:val="24"/>
          <w:szCs w:val="24"/>
          <w:lang w:eastAsia="en-GB"/>
        </w:rPr>
        <w:lastRenderedPageBreak/>
        <w:t>implement sound policies,</w:t>
      </w:r>
      <w:r w:rsidRPr="008573D2">
        <w:rPr>
          <w:rFonts w:ascii="Times New Roman" w:hAnsi="Times New Roman" w:cs="Times New Roman"/>
          <w:sz w:val="24"/>
          <w:szCs w:val="24"/>
        </w:rPr>
        <w:t xml:space="preserve"> with better auditing and accounting standards, with better regulation of conflicts of interest, and stronger shareholder protection than other countries.</w:t>
      </w:r>
    </w:p>
    <w:p w14:paraId="6BCF5ADC" w14:textId="400F83AF" w:rsidR="002C7D77" w:rsidRPr="008573D2" w:rsidRDefault="002C7D77" w:rsidP="00C475C3">
      <w:pPr>
        <w:spacing w:after="200" w:line="480" w:lineRule="auto"/>
        <w:jc w:val="both"/>
        <w:rPr>
          <w:rFonts w:ascii="Times New Roman" w:hAnsi="Times New Roman" w:cs="Times New Roman"/>
          <w:sz w:val="24"/>
          <w:szCs w:val="24"/>
        </w:rPr>
      </w:pPr>
      <w:r w:rsidRPr="008573D2">
        <w:rPr>
          <w:rFonts w:ascii="Times New Roman" w:hAnsi="Times New Roman" w:cs="Times New Roman"/>
          <w:sz w:val="24"/>
          <w:szCs w:val="24"/>
        </w:rPr>
        <w:t>The development of financial institutions (FII) and the aggregate development of financial markets and institutions (FDI) could also improve market resilience and minimi</w:t>
      </w:r>
      <w:r w:rsidR="00DC214A" w:rsidRPr="008573D2">
        <w:rPr>
          <w:rFonts w:ascii="Times New Roman" w:hAnsi="Times New Roman" w:cs="Times New Roman"/>
          <w:sz w:val="24"/>
          <w:szCs w:val="24"/>
        </w:rPr>
        <w:t>s</w:t>
      </w:r>
      <w:r w:rsidRPr="008573D2">
        <w:rPr>
          <w:rFonts w:ascii="Times New Roman" w:hAnsi="Times New Roman" w:cs="Times New Roman"/>
          <w:sz w:val="24"/>
          <w:szCs w:val="24"/>
        </w:rPr>
        <w:t>e equity variance by 18.60 and 17.04 per cent, respectively. The productivity score (PRO) and infrastructure quality score (INQ), however, could reduce the volatility by 12.47% and 0.045%, respectively. Finally, the size of an economy (LGD) might also negatively influence the return variance by 0.85%, but it is not found to be statistically significant even at the 10 per cent level of significance.</w:t>
      </w:r>
    </w:p>
    <w:p w14:paraId="0CDD9DC4" w14:textId="619AA962" w:rsidR="002C7D77" w:rsidRPr="008573D2" w:rsidRDefault="00AC6621" w:rsidP="00C475C3">
      <w:pPr>
        <w:spacing w:after="200" w:line="480" w:lineRule="auto"/>
        <w:jc w:val="both"/>
        <w:rPr>
          <w:rFonts w:ascii="Times New Roman" w:eastAsia="Times New Roman" w:hAnsi="Times New Roman" w:cs="Times New Roman"/>
          <w:sz w:val="24"/>
          <w:szCs w:val="24"/>
          <w:lang w:eastAsia="en-GB"/>
        </w:rPr>
      </w:pPr>
      <w:r w:rsidRPr="008573D2">
        <w:rPr>
          <w:rFonts w:ascii="Times New Roman" w:hAnsi="Times New Roman" w:cs="Times New Roman"/>
          <w:sz w:val="24"/>
          <w:szCs w:val="24"/>
        </w:rPr>
        <w:t xml:space="preserve">In addition to </w:t>
      </w:r>
      <w:r w:rsidR="002C7D77" w:rsidRPr="008573D2">
        <w:rPr>
          <w:rFonts w:ascii="Times New Roman" w:hAnsi="Times New Roman" w:cs="Times New Roman"/>
          <w:sz w:val="24"/>
          <w:szCs w:val="24"/>
        </w:rPr>
        <w:t>the negative effects of the above</w:t>
      </w:r>
      <w:r w:rsidRPr="008573D2">
        <w:rPr>
          <w:rFonts w:ascii="Times New Roman" w:hAnsi="Times New Roman" w:cs="Times New Roman"/>
          <w:sz w:val="24"/>
          <w:szCs w:val="24"/>
        </w:rPr>
        <w:t>-</w:t>
      </w:r>
      <w:r w:rsidR="002C7D77" w:rsidRPr="008573D2">
        <w:rPr>
          <w:rFonts w:ascii="Times New Roman" w:hAnsi="Times New Roman" w:cs="Times New Roman"/>
          <w:sz w:val="24"/>
          <w:szCs w:val="24"/>
        </w:rPr>
        <w:t>discussed variables on the conditional variance process, we find that oil intensity score (OIN) and monetary policy (MPR) are positively associated with returns volatility. As reported in Table 1, t</w:t>
      </w:r>
      <w:r w:rsidR="002C7D77" w:rsidRPr="008573D2">
        <w:rPr>
          <w:rFonts w:ascii="Times New Roman" w:eastAsia="Times New Roman" w:hAnsi="Times New Roman" w:cs="Times New Roman"/>
          <w:sz w:val="24"/>
          <w:szCs w:val="24"/>
          <w:lang w:eastAsia="en-GB"/>
        </w:rPr>
        <w:t>he OIN represents the vulnerability of a country to an oil shock (shortage, disruption, price hike); thus</w:t>
      </w:r>
      <w:r w:rsidRPr="008573D2">
        <w:rPr>
          <w:rFonts w:ascii="Times New Roman" w:eastAsia="Times New Roman" w:hAnsi="Times New Roman" w:cs="Times New Roman"/>
          <w:sz w:val="24"/>
          <w:szCs w:val="24"/>
          <w:lang w:eastAsia="en-GB"/>
        </w:rPr>
        <w:t>,</w:t>
      </w:r>
      <w:r w:rsidR="002C7D77" w:rsidRPr="008573D2">
        <w:rPr>
          <w:rFonts w:ascii="Times New Roman" w:eastAsia="Times New Roman" w:hAnsi="Times New Roman" w:cs="Times New Roman"/>
          <w:sz w:val="24"/>
          <w:szCs w:val="24"/>
          <w:lang w:eastAsia="en-GB"/>
        </w:rPr>
        <w:t xml:space="preserve"> it measures the country’s dependence on oil for its productivity. Therefore, the definition of oil intensity implies that the country’s dependence on oil will increase the equity market variance by 14.26% during an unexpected event such as COVID-19. This positive influence might be due to the uncertainty of oil production and oil supply </w:t>
      </w:r>
      <w:r w:rsidRPr="008573D2">
        <w:rPr>
          <w:rFonts w:ascii="Times New Roman" w:eastAsia="Times New Roman" w:hAnsi="Times New Roman" w:cs="Times New Roman"/>
          <w:sz w:val="24"/>
          <w:szCs w:val="24"/>
          <w:lang w:eastAsia="en-GB"/>
        </w:rPr>
        <w:t xml:space="preserve">during </w:t>
      </w:r>
      <w:r w:rsidR="002C7D77" w:rsidRPr="008573D2">
        <w:rPr>
          <w:rFonts w:ascii="Times New Roman" w:eastAsia="Times New Roman" w:hAnsi="Times New Roman" w:cs="Times New Roman"/>
          <w:sz w:val="24"/>
          <w:szCs w:val="24"/>
          <w:lang w:eastAsia="en-GB"/>
        </w:rPr>
        <w:t>the global pandemic and lockdown (see Estrada, 2020). The monetary policy rate (MPR), on the other hand, specifies the impact of central banks’ response to COVID-19. We have seen that central banks across the world have reduced their policy rate to increase the money supply and boost consumer confidence during the COVID-19 pandemic</w:t>
      </w:r>
      <w:r w:rsidR="002C7D77" w:rsidRPr="008573D2">
        <w:rPr>
          <w:rStyle w:val="FootnoteReference"/>
          <w:rFonts w:ascii="Times New Roman" w:eastAsia="Times New Roman" w:hAnsi="Times New Roman" w:cs="Times New Roman"/>
          <w:sz w:val="24"/>
          <w:szCs w:val="24"/>
          <w:lang w:eastAsia="en-GB"/>
        </w:rPr>
        <w:footnoteReference w:id="7"/>
      </w:r>
      <w:r w:rsidR="002C7D77" w:rsidRPr="008573D2">
        <w:rPr>
          <w:rFonts w:ascii="Times New Roman" w:eastAsia="Times New Roman" w:hAnsi="Times New Roman" w:cs="Times New Roman"/>
          <w:sz w:val="24"/>
          <w:szCs w:val="24"/>
          <w:lang w:eastAsia="en-GB"/>
        </w:rPr>
        <w:t xml:space="preserve">. The coefficient of MPR in column (4) of Table 5 is 0.0104 and </w:t>
      </w:r>
      <w:r w:rsidRPr="008573D2">
        <w:rPr>
          <w:rFonts w:ascii="Times New Roman" w:eastAsia="Times New Roman" w:hAnsi="Times New Roman" w:cs="Times New Roman"/>
          <w:sz w:val="24"/>
          <w:szCs w:val="24"/>
          <w:lang w:eastAsia="en-GB"/>
        </w:rPr>
        <w:t xml:space="preserve">is </w:t>
      </w:r>
      <w:r w:rsidR="002C7D77" w:rsidRPr="008573D2">
        <w:rPr>
          <w:rFonts w:ascii="Times New Roman" w:eastAsia="Times New Roman" w:hAnsi="Times New Roman" w:cs="Times New Roman"/>
          <w:sz w:val="24"/>
          <w:szCs w:val="24"/>
          <w:lang w:eastAsia="en-GB"/>
        </w:rPr>
        <w:t xml:space="preserve">statistically </w:t>
      </w:r>
      <w:r w:rsidR="002C7D77" w:rsidRPr="008573D2">
        <w:rPr>
          <w:rFonts w:ascii="Times New Roman" w:eastAsia="Times New Roman" w:hAnsi="Times New Roman" w:cs="Times New Roman"/>
          <w:sz w:val="24"/>
          <w:szCs w:val="24"/>
          <w:lang w:eastAsia="en-GB"/>
        </w:rPr>
        <w:lastRenderedPageBreak/>
        <w:t>significant at the 1 per cent level. It suggests that increasing (lowering) the policy rate will increase (lower) the market variance.</w:t>
      </w:r>
    </w:p>
    <w:p w14:paraId="2CFA14C9" w14:textId="2D081DDC" w:rsidR="002C7D77" w:rsidRPr="008573D2" w:rsidRDefault="002C7D77" w:rsidP="00C475C3">
      <w:pPr>
        <w:spacing w:after="200" w:line="480" w:lineRule="auto"/>
        <w:jc w:val="both"/>
        <w:rPr>
          <w:rFonts w:ascii="Times New Roman" w:eastAsia="Times New Roman" w:hAnsi="Times New Roman" w:cs="Times New Roman"/>
          <w:sz w:val="24"/>
          <w:szCs w:val="24"/>
          <w:lang w:eastAsia="en-GB"/>
        </w:rPr>
      </w:pPr>
      <w:r w:rsidRPr="008573D2">
        <w:rPr>
          <w:rFonts w:ascii="Times New Roman" w:eastAsia="Times New Roman" w:hAnsi="Times New Roman" w:cs="Times New Roman"/>
          <w:sz w:val="24"/>
          <w:szCs w:val="24"/>
          <w:lang w:eastAsia="en-GB"/>
        </w:rPr>
        <w:t>The simultaneous impact of resilience’s sub-component</w:t>
      </w:r>
      <w:r w:rsidR="00AC6621" w:rsidRPr="008573D2">
        <w:rPr>
          <w:rFonts w:ascii="Times New Roman" w:eastAsia="Times New Roman" w:hAnsi="Times New Roman" w:cs="Times New Roman"/>
          <w:sz w:val="24"/>
          <w:szCs w:val="24"/>
          <w:lang w:eastAsia="en-GB"/>
        </w:rPr>
        <w:t xml:space="preserve">s and other country-level macro </w:t>
      </w:r>
      <w:r w:rsidRPr="008573D2">
        <w:rPr>
          <w:rFonts w:ascii="Times New Roman" w:eastAsia="Times New Roman" w:hAnsi="Times New Roman" w:cs="Times New Roman"/>
          <w:sz w:val="24"/>
          <w:szCs w:val="24"/>
          <w:lang w:eastAsia="en-GB"/>
        </w:rPr>
        <w:t>characteristics is presented in column (12). We have excluded RES and FII in this model as their sub</w:t>
      </w:r>
      <w:r w:rsidR="004F6E74" w:rsidRPr="008573D2">
        <w:rPr>
          <w:rFonts w:ascii="Times New Roman" w:eastAsia="Times New Roman" w:hAnsi="Times New Roman" w:cs="Times New Roman"/>
          <w:sz w:val="24"/>
          <w:szCs w:val="24"/>
          <w:lang w:eastAsia="en-GB"/>
        </w:rPr>
        <w:t>-</w:t>
      </w:r>
      <w:r w:rsidRPr="008573D2">
        <w:rPr>
          <w:rFonts w:ascii="Times New Roman" w:eastAsia="Times New Roman" w:hAnsi="Times New Roman" w:cs="Times New Roman"/>
          <w:sz w:val="24"/>
          <w:szCs w:val="24"/>
          <w:lang w:eastAsia="en-GB"/>
        </w:rPr>
        <w:t>components and aggregate index, respectively, are included. Results indicate the power of capitalism and governance while a country faces a crisis such as a pandemic. An economy with a higher score in capitalism (CPS) and governance (COG) could reduce the equity market variance by 88.68 and 29.55 per cent, respectively, which are statistically significant at the 1 per cent level. However, unexpectedly, the aggregate financial development index (FDI) is found to be positive (0.5320) and significant in column (12). The coefficients of health pillar, infrastructure quality and size of the economy are still negative but not statistically significant</w:t>
      </w:r>
      <w:r w:rsidR="00AC6621" w:rsidRPr="008573D2">
        <w:rPr>
          <w:rFonts w:ascii="Times New Roman" w:eastAsia="Times New Roman" w:hAnsi="Times New Roman" w:cs="Times New Roman"/>
          <w:sz w:val="24"/>
          <w:szCs w:val="24"/>
          <w:lang w:eastAsia="en-GB"/>
        </w:rPr>
        <w:t>,</w:t>
      </w:r>
      <w:r w:rsidRPr="008573D2">
        <w:rPr>
          <w:rFonts w:ascii="Times New Roman" w:eastAsia="Times New Roman" w:hAnsi="Times New Roman" w:cs="Times New Roman"/>
          <w:sz w:val="24"/>
          <w:szCs w:val="24"/>
          <w:lang w:eastAsia="en-GB"/>
        </w:rPr>
        <w:t xml:space="preserve"> like all </w:t>
      </w:r>
      <w:r w:rsidR="00AC6621" w:rsidRPr="008573D2">
        <w:rPr>
          <w:rFonts w:ascii="Times New Roman" w:eastAsia="Times New Roman" w:hAnsi="Times New Roman" w:cs="Times New Roman"/>
          <w:sz w:val="24"/>
          <w:szCs w:val="24"/>
          <w:lang w:eastAsia="en-GB"/>
        </w:rPr>
        <w:t xml:space="preserve">the </w:t>
      </w:r>
      <w:r w:rsidRPr="008573D2">
        <w:rPr>
          <w:rFonts w:ascii="Times New Roman" w:eastAsia="Times New Roman" w:hAnsi="Times New Roman" w:cs="Times New Roman"/>
          <w:sz w:val="24"/>
          <w:szCs w:val="24"/>
          <w:lang w:eastAsia="en-GB"/>
        </w:rPr>
        <w:t>other variables.</w:t>
      </w:r>
    </w:p>
    <w:p w14:paraId="100F6889" w14:textId="10FC3FC9" w:rsidR="002C7D77" w:rsidRPr="008573D2" w:rsidRDefault="002C7D77" w:rsidP="00C475C3">
      <w:pPr>
        <w:spacing w:after="200" w:line="480" w:lineRule="auto"/>
        <w:jc w:val="center"/>
        <w:rPr>
          <w:rFonts w:ascii="Times New Roman" w:hAnsi="Times New Roman" w:cs="Times New Roman"/>
          <w:sz w:val="24"/>
          <w:szCs w:val="24"/>
        </w:rPr>
      </w:pPr>
      <w:r w:rsidRPr="008573D2">
        <w:rPr>
          <w:rFonts w:ascii="Times New Roman" w:eastAsia="Times New Roman" w:hAnsi="Times New Roman" w:cs="Times New Roman"/>
          <w:b/>
          <w:bCs/>
          <w:sz w:val="24"/>
          <w:szCs w:val="24"/>
          <w:lang w:eastAsia="en-GB"/>
        </w:rPr>
        <w:t>Please insert Table 5 about here</w:t>
      </w:r>
    </w:p>
    <w:p w14:paraId="72A9ACF9" w14:textId="0A0D0717" w:rsidR="002C7D77" w:rsidRPr="008573D2" w:rsidRDefault="002C7D77" w:rsidP="00C475C3">
      <w:pPr>
        <w:pStyle w:val="Heading2"/>
        <w:spacing w:before="0" w:after="200" w:line="480" w:lineRule="auto"/>
        <w:rPr>
          <w:rFonts w:ascii="Times New Roman" w:hAnsi="Times New Roman" w:cs="Times New Roman"/>
          <w:b/>
          <w:bCs/>
          <w:color w:val="auto"/>
          <w:sz w:val="24"/>
          <w:szCs w:val="24"/>
        </w:rPr>
      </w:pPr>
      <w:r w:rsidRPr="008573D2">
        <w:rPr>
          <w:rFonts w:ascii="Times New Roman" w:hAnsi="Times New Roman" w:cs="Times New Roman"/>
          <w:b/>
          <w:bCs/>
          <w:color w:val="auto"/>
          <w:sz w:val="24"/>
          <w:szCs w:val="24"/>
        </w:rPr>
        <w:t>3.</w:t>
      </w:r>
      <w:r w:rsidR="00F8651A" w:rsidRPr="008573D2">
        <w:rPr>
          <w:rFonts w:ascii="Times New Roman" w:hAnsi="Times New Roman" w:cs="Times New Roman"/>
          <w:b/>
          <w:bCs/>
          <w:color w:val="auto"/>
          <w:sz w:val="24"/>
          <w:szCs w:val="24"/>
        </w:rPr>
        <w:t>4</w:t>
      </w:r>
      <w:r w:rsidRPr="008573D2">
        <w:rPr>
          <w:rFonts w:ascii="Times New Roman" w:hAnsi="Times New Roman" w:cs="Times New Roman"/>
          <w:b/>
          <w:bCs/>
          <w:color w:val="auto"/>
          <w:sz w:val="24"/>
          <w:szCs w:val="24"/>
        </w:rPr>
        <w:t xml:space="preserve"> Robustness </w:t>
      </w:r>
      <w:r w:rsidR="000A554B" w:rsidRPr="008573D2">
        <w:rPr>
          <w:rFonts w:ascii="Times New Roman" w:hAnsi="Times New Roman" w:cs="Times New Roman"/>
          <w:b/>
          <w:bCs/>
          <w:color w:val="auto"/>
          <w:sz w:val="24"/>
          <w:szCs w:val="24"/>
        </w:rPr>
        <w:t>T</w:t>
      </w:r>
      <w:r w:rsidRPr="008573D2">
        <w:rPr>
          <w:rFonts w:ascii="Times New Roman" w:hAnsi="Times New Roman" w:cs="Times New Roman"/>
          <w:b/>
          <w:bCs/>
          <w:color w:val="auto"/>
          <w:sz w:val="24"/>
          <w:szCs w:val="24"/>
        </w:rPr>
        <w:t>ests</w:t>
      </w:r>
    </w:p>
    <w:p w14:paraId="725DB282" w14:textId="75687709" w:rsidR="002C7D77" w:rsidRPr="008573D2" w:rsidRDefault="002C7D77" w:rsidP="00C475C3">
      <w:pPr>
        <w:spacing w:after="200" w:line="480" w:lineRule="auto"/>
        <w:jc w:val="both"/>
        <w:rPr>
          <w:rFonts w:ascii="Times New Roman" w:hAnsi="Times New Roman" w:cs="Times New Roman"/>
          <w:sz w:val="24"/>
          <w:szCs w:val="24"/>
        </w:rPr>
      </w:pPr>
      <w:r w:rsidRPr="008573D2">
        <w:rPr>
          <w:rFonts w:ascii="Times New Roman" w:hAnsi="Times New Roman" w:cs="Times New Roman"/>
          <w:sz w:val="24"/>
          <w:szCs w:val="24"/>
        </w:rPr>
        <w:t>We test the robustness of association using interaction terms and separating the samples between developed and emerging markets. In Table 6, we exhibit the findings related to the interaction terms, and Table 7 exhibits the comparative analysis of developed and emerging markets. For interactions, we interact aggregate resilience scores (RES) with its sub</w:t>
      </w:r>
      <w:r w:rsidR="004F6E74" w:rsidRPr="008573D2">
        <w:rPr>
          <w:rFonts w:ascii="Times New Roman" w:hAnsi="Times New Roman" w:cs="Times New Roman"/>
          <w:sz w:val="24"/>
          <w:szCs w:val="24"/>
        </w:rPr>
        <w:t>-</w:t>
      </w:r>
      <w:r w:rsidRPr="008573D2">
        <w:rPr>
          <w:rFonts w:ascii="Times New Roman" w:hAnsi="Times New Roman" w:cs="Times New Roman"/>
          <w:sz w:val="24"/>
          <w:szCs w:val="24"/>
        </w:rPr>
        <w:t xml:space="preserve">components and with other country-level macro attributes. </w:t>
      </w:r>
      <w:bookmarkStart w:id="4" w:name="_Hlk50714026"/>
      <w:r w:rsidRPr="008573D2">
        <w:rPr>
          <w:rFonts w:ascii="Times New Roman" w:hAnsi="Times New Roman" w:cs="Times New Roman"/>
          <w:sz w:val="24"/>
          <w:szCs w:val="24"/>
        </w:rPr>
        <w:t>The objectives of these interaction terms are to see, first, the joint effect; and</w:t>
      </w:r>
      <w:r w:rsidR="00AC6621" w:rsidRPr="008573D2">
        <w:rPr>
          <w:rFonts w:ascii="Times New Roman" w:hAnsi="Times New Roman" w:cs="Times New Roman"/>
          <w:sz w:val="24"/>
          <w:szCs w:val="24"/>
        </w:rPr>
        <w:t>,</w:t>
      </w:r>
      <w:r w:rsidRPr="008573D2">
        <w:rPr>
          <w:rFonts w:ascii="Times New Roman" w:hAnsi="Times New Roman" w:cs="Times New Roman"/>
          <w:sz w:val="24"/>
          <w:szCs w:val="24"/>
        </w:rPr>
        <w:t xml:space="preserve"> second, which country-level macro characteristic may relatively reduce the conditional variance during an uncertain situation such as the COVID-19 pandemic.</w:t>
      </w:r>
      <w:bookmarkEnd w:id="4"/>
      <w:r w:rsidR="00AC6621" w:rsidRPr="008573D2">
        <w:rPr>
          <w:rFonts w:ascii="Times New Roman" w:hAnsi="Times New Roman" w:cs="Times New Roman"/>
          <w:sz w:val="24"/>
          <w:szCs w:val="24"/>
        </w:rPr>
        <w:t xml:space="preserve"> </w:t>
      </w:r>
      <w:r w:rsidRPr="008573D2">
        <w:rPr>
          <w:rFonts w:ascii="Times New Roman" w:hAnsi="Times New Roman" w:cs="Times New Roman"/>
          <w:sz w:val="24"/>
          <w:szCs w:val="24"/>
        </w:rPr>
        <w:t xml:space="preserve">As reported in Table 6, we have found the expected signs and statistical significance for several interaction terms. Like our earlier results in Table 4, the interaction term between resilience score (RES) and capitalism score (CPS), governance score (COG), </w:t>
      </w:r>
      <w:r w:rsidRPr="008573D2">
        <w:rPr>
          <w:rFonts w:ascii="Times New Roman" w:hAnsi="Times New Roman" w:cs="Times New Roman"/>
          <w:sz w:val="24"/>
          <w:szCs w:val="24"/>
        </w:rPr>
        <w:lastRenderedPageBreak/>
        <w:t xml:space="preserve">economic size (LGD), productivity score (PRO), infrastructure quality (INQ), health pillar (HEL), financial development index (FDI) and development of financial institutions index (FII) are negative. It suggests that these variables could reduce the equity market variance within </w:t>
      </w:r>
      <w:r w:rsidR="004F6E74" w:rsidRPr="008573D2">
        <w:rPr>
          <w:rFonts w:ascii="Times New Roman" w:hAnsi="Times New Roman" w:cs="Times New Roman"/>
          <w:sz w:val="24"/>
          <w:szCs w:val="24"/>
        </w:rPr>
        <w:t xml:space="preserve">the </w:t>
      </w:r>
      <w:r w:rsidRPr="008573D2">
        <w:rPr>
          <w:rFonts w:ascii="Times New Roman" w:hAnsi="Times New Roman" w:cs="Times New Roman"/>
          <w:sz w:val="24"/>
          <w:szCs w:val="24"/>
        </w:rPr>
        <w:t>given resilience of a country. How</w:t>
      </w:r>
      <w:r w:rsidR="004F6E74" w:rsidRPr="008573D2">
        <w:rPr>
          <w:rFonts w:ascii="Times New Roman" w:hAnsi="Times New Roman" w:cs="Times New Roman"/>
          <w:sz w:val="24"/>
          <w:szCs w:val="24"/>
        </w:rPr>
        <w:t>ever, the coefficients of CPS (</w:t>
      </w:r>
      <w:r w:rsidR="004F6E74" w:rsidRPr="008573D2">
        <w:rPr>
          <w:rFonts w:ascii="Times New Roman" w:hAnsi="Times New Roman" w:cs="Times New Roman"/>
          <w:sz w:val="24"/>
          <w:szCs w:val="24"/>
        </w:rPr>
        <w:noBreakHyphen/>
      </w:r>
      <w:r w:rsidRPr="008573D2">
        <w:rPr>
          <w:rFonts w:ascii="Times New Roman" w:hAnsi="Times New Roman" w:cs="Times New Roman"/>
          <w:sz w:val="24"/>
          <w:szCs w:val="24"/>
        </w:rPr>
        <w:t>0.9090), COG (-0.0107) and INQ (-0.7688) are only statistically significant at the 10 per cent level. In column</w:t>
      </w:r>
      <w:r w:rsidR="004F6E74" w:rsidRPr="008573D2">
        <w:rPr>
          <w:rFonts w:ascii="Times New Roman" w:hAnsi="Times New Roman" w:cs="Times New Roman"/>
          <w:sz w:val="24"/>
          <w:szCs w:val="24"/>
        </w:rPr>
        <w:t>s</w:t>
      </w:r>
      <w:r w:rsidRPr="008573D2">
        <w:rPr>
          <w:rFonts w:ascii="Times New Roman" w:hAnsi="Times New Roman" w:cs="Times New Roman"/>
          <w:sz w:val="24"/>
          <w:szCs w:val="24"/>
        </w:rPr>
        <w:t xml:space="preserve"> (3) and (6), the joint effects of RES*MPR and RES*OIN are also significant at the 5 per cent level, but the signs are positive. That implies a country with higher policy rate and higher intensity of oil consumption would experience relatively larger equity variance during COVID-19 compare</w:t>
      </w:r>
      <w:r w:rsidR="004F6E74" w:rsidRPr="008573D2">
        <w:rPr>
          <w:rFonts w:ascii="Times New Roman" w:hAnsi="Times New Roman" w:cs="Times New Roman"/>
          <w:sz w:val="24"/>
          <w:szCs w:val="24"/>
        </w:rPr>
        <w:t>d</w:t>
      </w:r>
      <w:r w:rsidRPr="008573D2">
        <w:rPr>
          <w:rFonts w:ascii="Times New Roman" w:hAnsi="Times New Roman" w:cs="Times New Roman"/>
          <w:sz w:val="24"/>
          <w:szCs w:val="24"/>
        </w:rPr>
        <w:t xml:space="preserve"> to other markets with a similar resilience score.</w:t>
      </w:r>
    </w:p>
    <w:p w14:paraId="0F960E5B" w14:textId="2685EDA3" w:rsidR="002C7D77" w:rsidRPr="008573D2" w:rsidRDefault="004F6E74" w:rsidP="00C475C3">
      <w:pPr>
        <w:spacing w:after="200" w:line="48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In addition to </w:t>
      </w:r>
      <w:r w:rsidR="002C7D77" w:rsidRPr="008573D2">
        <w:rPr>
          <w:rFonts w:ascii="Times New Roman" w:hAnsi="Times New Roman" w:cs="Times New Roman"/>
          <w:sz w:val="24"/>
          <w:szCs w:val="24"/>
        </w:rPr>
        <w:t>the signs and significance, the magnitudes of joint effects suggest that the level of capitalism (CPS), infrastructure quality (INQ) and oil intensity score (OIN) are the three most critical macro characteristics which contribute to the country-level resilience and help to reduce the return variance over the sample period. For example, markets with similar overall resilience scores could reduce capital market volatility by 90.90% with a higher level of economic freedom (see column 1). Likewise, with a higher level of infrastructure quality a market could reduce market volatility by 76.88 per cent. The coefficient of OIN, however, suggests that</w:t>
      </w:r>
      <w:r w:rsidRPr="008573D2">
        <w:rPr>
          <w:rFonts w:ascii="Times New Roman" w:hAnsi="Times New Roman" w:cs="Times New Roman"/>
          <w:sz w:val="24"/>
          <w:szCs w:val="24"/>
        </w:rPr>
        <w:t>,</w:t>
      </w:r>
      <w:r w:rsidR="002C7D77" w:rsidRPr="008573D2">
        <w:rPr>
          <w:rFonts w:ascii="Times New Roman" w:hAnsi="Times New Roman" w:cs="Times New Roman"/>
          <w:sz w:val="24"/>
          <w:szCs w:val="24"/>
        </w:rPr>
        <w:t xml:space="preserve"> with a reduction of oil dependency by one unit, an economy would minimi</w:t>
      </w:r>
      <w:r w:rsidR="00DC214A" w:rsidRPr="008573D2">
        <w:rPr>
          <w:rFonts w:ascii="Times New Roman" w:hAnsi="Times New Roman" w:cs="Times New Roman"/>
          <w:sz w:val="24"/>
          <w:szCs w:val="24"/>
        </w:rPr>
        <w:t>s</w:t>
      </w:r>
      <w:r w:rsidR="002C7D77" w:rsidRPr="008573D2">
        <w:rPr>
          <w:rFonts w:ascii="Times New Roman" w:hAnsi="Times New Roman" w:cs="Times New Roman"/>
          <w:sz w:val="24"/>
          <w:szCs w:val="24"/>
        </w:rPr>
        <w:t xml:space="preserve">e the conditional variance of their equity market by 0.4177. The financial development index, health pillar, development of financial institutions, productivity score and size of the economy could reduce the volatility by 29.26%, 19.68%, 14.81%, 4.38% and 0.05%, respectively, for countries with a similar level of resilience scores (RES). However, these interaction terms are not statistically significant in our model and for the period of study. </w:t>
      </w:r>
    </w:p>
    <w:p w14:paraId="0AB1668B" w14:textId="77777777" w:rsidR="002C7D77" w:rsidRPr="008573D2" w:rsidRDefault="002C7D77" w:rsidP="00C475C3">
      <w:pPr>
        <w:spacing w:after="200" w:line="480" w:lineRule="auto"/>
        <w:jc w:val="center"/>
        <w:rPr>
          <w:rFonts w:ascii="Times New Roman" w:hAnsi="Times New Roman" w:cs="Times New Roman"/>
          <w:b/>
          <w:bCs/>
          <w:sz w:val="24"/>
          <w:szCs w:val="24"/>
        </w:rPr>
        <w:sectPr w:rsidR="002C7D77" w:rsidRPr="008573D2" w:rsidSect="00C475C3">
          <w:footerReference w:type="even" r:id="rId8"/>
          <w:footerReference w:type="default" r:id="rId9"/>
          <w:pgSz w:w="11906" w:h="16838"/>
          <w:pgMar w:top="1440" w:right="1440" w:bottom="1440" w:left="1440" w:header="709" w:footer="709" w:gutter="0"/>
          <w:pgNumType w:start="1"/>
          <w:cols w:space="708"/>
          <w:docGrid w:linePitch="360"/>
        </w:sectPr>
      </w:pPr>
      <w:r w:rsidRPr="008573D2">
        <w:rPr>
          <w:rFonts w:ascii="Times New Roman" w:hAnsi="Times New Roman" w:cs="Times New Roman"/>
          <w:b/>
          <w:bCs/>
          <w:sz w:val="24"/>
          <w:szCs w:val="24"/>
        </w:rPr>
        <w:t>Please insert Table 6 about here</w:t>
      </w:r>
    </w:p>
    <w:p w14:paraId="71506836" w14:textId="6F945883" w:rsidR="002C7D77" w:rsidRPr="008573D2" w:rsidRDefault="002C7D77" w:rsidP="00C475C3">
      <w:pPr>
        <w:spacing w:after="200" w:line="480" w:lineRule="auto"/>
        <w:jc w:val="both"/>
        <w:rPr>
          <w:rFonts w:ascii="Times New Roman" w:hAnsi="Times New Roman" w:cs="Times New Roman"/>
          <w:sz w:val="24"/>
          <w:szCs w:val="24"/>
        </w:rPr>
      </w:pPr>
      <w:bookmarkStart w:id="5" w:name="_Hlk50714545"/>
      <w:r w:rsidRPr="008573D2">
        <w:rPr>
          <w:rFonts w:ascii="Times New Roman" w:hAnsi="Times New Roman" w:cs="Times New Roman"/>
          <w:sz w:val="24"/>
          <w:szCs w:val="24"/>
        </w:rPr>
        <w:lastRenderedPageBreak/>
        <w:t xml:space="preserve">In Table 7, we check the robustness of the association by introducing an interaction term of the resilience score and its sub-components with the emerging market dummy. </w:t>
      </w:r>
      <w:bookmarkEnd w:id="5"/>
      <w:r w:rsidRPr="008573D2">
        <w:rPr>
          <w:rFonts w:ascii="Times New Roman" w:hAnsi="Times New Roman" w:cs="Times New Roman"/>
          <w:sz w:val="24"/>
          <w:szCs w:val="24"/>
        </w:rPr>
        <w:t>Panel C of Table 3 shows that the descriptive statistics, such as the mean, median and variance of resilience score, its sub-components and other country-level macro characteristics of emerging markets</w:t>
      </w:r>
      <w:r w:rsidR="004F6E74" w:rsidRPr="008573D2">
        <w:rPr>
          <w:rFonts w:ascii="Times New Roman" w:hAnsi="Times New Roman" w:cs="Times New Roman"/>
          <w:sz w:val="24"/>
          <w:szCs w:val="24"/>
        </w:rPr>
        <w:t>,</w:t>
      </w:r>
      <w:r w:rsidRPr="008573D2">
        <w:rPr>
          <w:rFonts w:ascii="Times New Roman" w:hAnsi="Times New Roman" w:cs="Times New Roman"/>
          <w:sz w:val="24"/>
          <w:szCs w:val="24"/>
        </w:rPr>
        <w:t xml:space="preserve"> are statistically different from those for developed markets. Therefore, our objective is to see how the country-level resilience dynamic is affecting the equity market volatility in two different economic settings. For analytical purposes</w:t>
      </w:r>
      <w:r w:rsidR="004F6E74" w:rsidRPr="008573D2">
        <w:rPr>
          <w:rFonts w:ascii="Times New Roman" w:hAnsi="Times New Roman" w:cs="Times New Roman"/>
          <w:sz w:val="24"/>
          <w:szCs w:val="24"/>
        </w:rPr>
        <w:t>,</w:t>
      </w:r>
      <w:r w:rsidRPr="008573D2">
        <w:rPr>
          <w:rFonts w:ascii="Times New Roman" w:hAnsi="Times New Roman" w:cs="Times New Roman"/>
          <w:sz w:val="24"/>
          <w:szCs w:val="24"/>
        </w:rPr>
        <w:t xml:space="preserve"> we separate the markets based on the definitions of the International Monetary Fund and apply the conditional variance process determined in section 3.2. Results of interest in Table 7 are generated from the coefficients of the interactions terms. Findings suggest several interesting conclusions about the emerging markets in comparison to developed markets in our sample.  </w:t>
      </w:r>
    </w:p>
    <w:p w14:paraId="34BACB71" w14:textId="29148783" w:rsidR="002C7D77" w:rsidRPr="008573D2" w:rsidRDefault="002C7D77" w:rsidP="00C475C3">
      <w:pPr>
        <w:spacing w:after="200" w:line="480" w:lineRule="auto"/>
        <w:jc w:val="both"/>
        <w:rPr>
          <w:rFonts w:ascii="Times New Roman" w:hAnsi="Times New Roman" w:cs="Times New Roman"/>
          <w:sz w:val="24"/>
          <w:szCs w:val="24"/>
        </w:rPr>
      </w:pPr>
      <w:r w:rsidRPr="008573D2">
        <w:rPr>
          <w:rFonts w:ascii="Times New Roman" w:hAnsi="Times New Roman" w:cs="Times New Roman"/>
          <w:sz w:val="24"/>
          <w:szCs w:val="24"/>
        </w:rPr>
        <w:t>First, emerging markets could significantly reduce the adverse impact of global COVID-19 news on equity variance by their economic resilience and macro characteristics. For example, the interaction term EMG*CTD is -2.7840 in column (1) and becomes -3.2286 and -3.8241 in column</w:t>
      </w:r>
      <w:r w:rsidR="004F6E74" w:rsidRPr="008573D2">
        <w:rPr>
          <w:rFonts w:ascii="Times New Roman" w:hAnsi="Times New Roman" w:cs="Times New Roman"/>
          <w:sz w:val="24"/>
          <w:szCs w:val="24"/>
        </w:rPr>
        <w:t>s</w:t>
      </w:r>
      <w:r w:rsidRPr="008573D2">
        <w:rPr>
          <w:rFonts w:ascii="Times New Roman" w:hAnsi="Times New Roman" w:cs="Times New Roman"/>
          <w:sz w:val="24"/>
          <w:szCs w:val="24"/>
        </w:rPr>
        <w:t xml:space="preserve"> (2) and (3), respectively. That means, in the absence of resilience, its sub-components and other macro characteristics (see column 1), emerging equity markets are less affected by global COVID-19 deaths (CTD) as compared to developed markets by 278.40 per cent. However, the variance in equity markets reduced by 322.86 per cent with resilience and 382.41 per cent with sub-components and macro characteristics. All these coefficients are statistically significant at the 1 per cent level. The risk associated with the growth in global COVID-19 cases (EMG*CTC) is also reduced by 0.18% in column (3), but it is not significant at the 10 per cent level.  </w:t>
      </w:r>
    </w:p>
    <w:p w14:paraId="7D1B7036" w14:textId="66E71ECF" w:rsidR="002C7D77" w:rsidRPr="008573D2" w:rsidRDefault="002C7D77" w:rsidP="00C475C3">
      <w:pPr>
        <w:spacing w:after="200" w:line="48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Second, the conditional variances of emerging equity markets are more sensitive to country-level COVID-19 cases than deaths. The interaction term EMG*CSC is positive across Table 7, and it suggests that the volatility increases with local COVID-19 cases (up to 61.34%) in </w:t>
      </w:r>
      <w:r w:rsidRPr="008573D2">
        <w:rPr>
          <w:rFonts w:ascii="Times New Roman" w:hAnsi="Times New Roman" w:cs="Times New Roman"/>
          <w:sz w:val="24"/>
          <w:szCs w:val="24"/>
        </w:rPr>
        <w:lastRenderedPageBreak/>
        <w:t>emerging markets. The interaction term EMG*CSD, on the other hand, is negative and it means that, compared to developed markets</w:t>
      </w:r>
      <w:r w:rsidR="004F6E74" w:rsidRPr="008573D2">
        <w:rPr>
          <w:rFonts w:ascii="Times New Roman" w:hAnsi="Times New Roman" w:cs="Times New Roman"/>
          <w:sz w:val="24"/>
          <w:szCs w:val="24"/>
        </w:rPr>
        <w:t>,</w:t>
      </w:r>
      <w:r w:rsidRPr="008573D2">
        <w:rPr>
          <w:rFonts w:ascii="Times New Roman" w:hAnsi="Times New Roman" w:cs="Times New Roman"/>
          <w:sz w:val="24"/>
          <w:szCs w:val="24"/>
        </w:rPr>
        <w:t xml:space="preserve"> the conditional variance is reduced (</w:t>
      </w:r>
      <w:r w:rsidR="004F6E74" w:rsidRPr="008573D2">
        <w:rPr>
          <w:rFonts w:ascii="Times New Roman" w:hAnsi="Times New Roman" w:cs="Times New Roman"/>
          <w:sz w:val="24"/>
          <w:szCs w:val="24"/>
        </w:rPr>
        <w:t xml:space="preserve">by </w:t>
      </w:r>
      <w:r w:rsidRPr="008573D2">
        <w:rPr>
          <w:rFonts w:ascii="Times New Roman" w:hAnsi="Times New Roman" w:cs="Times New Roman"/>
          <w:sz w:val="24"/>
          <w:szCs w:val="24"/>
        </w:rPr>
        <w:t xml:space="preserve">up to 65.73% in column 1) with the growth in country-level COVID-19 deaths in an emerging market. However, like the local cases, the risk associated with local deaths hardly varies with the country-level resilience or macro strengths.     </w:t>
      </w:r>
    </w:p>
    <w:p w14:paraId="20ACB05F" w14:textId="7AFA4D18" w:rsidR="002C7D77" w:rsidRPr="008573D2" w:rsidRDefault="002C7D77" w:rsidP="00C475C3">
      <w:pPr>
        <w:spacing w:after="200" w:line="480" w:lineRule="auto"/>
        <w:jc w:val="both"/>
        <w:rPr>
          <w:rFonts w:ascii="Times New Roman" w:hAnsi="Times New Roman" w:cs="Times New Roman"/>
          <w:sz w:val="24"/>
          <w:szCs w:val="24"/>
        </w:rPr>
      </w:pPr>
      <w:r w:rsidRPr="008573D2">
        <w:rPr>
          <w:rFonts w:ascii="Times New Roman" w:hAnsi="Times New Roman" w:cs="Times New Roman"/>
          <w:sz w:val="24"/>
          <w:szCs w:val="24"/>
        </w:rPr>
        <w:t>Third, surprisingly</w:t>
      </w:r>
      <w:r w:rsidR="004F6E74" w:rsidRPr="008573D2">
        <w:rPr>
          <w:rFonts w:ascii="Times New Roman" w:hAnsi="Times New Roman" w:cs="Times New Roman"/>
          <w:sz w:val="24"/>
          <w:szCs w:val="24"/>
        </w:rPr>
        <w:t>,</w:t>
      </w:r>
      <w:r w:rsidRPr="008573D2">
        <w:rPr>
          <w:rFonts w:ascii="Times New Roman" w:hAnsi="Times New Roman" w:cs="Times New Roman"/>
          <w:sz w:val="24"/>
          <w:szCs w:val="24"/>
        </w:rPr>
        <w:t xml:space="preserve"> the interaction term EMG*RES is positive in column (2) of Table 7 and statistically significant at the 1 per cent level. The coefficient (0.6472) implies that</w:t>
      </w:r>
      <w:r w:rsidR="004F6E74" w:rsidRPr="008573D2">
        <w:rPr>
          <w:rFonts w:ascii="Times New Roman" w:hAnsi="Times New Roman" w:cs="Times New Roman"/>
          <w:sz w:val="24"/>
          <w:szCs w:val="24"/>
        </w:rPr>
        <w:t>,</w:t>
      </w:r>
      <w:r w:rsidRPr="008573D2">
        <w:rPr>
          <w:rFonts w:ascii="Times New Roman" w:hAnsi="Times New Roman" w:cs="Times New Roman"/>
          <w:sz w:val="24"/>
          <w:szCs w:val="24"/>
        </w:rPr>
        <w:t xml:space="preserve"> in emerging markets, equity variance increases with their country-level resilience compared to a developed market. It further suggests that</w:t>
      </w:r>
      <w:r w:rsidR="004F6E74" w:rsidRPr="008573D2">
        <w:rPr>
          <w:rFonts w:ascii="Times New Roman" w:hAnsi="Times New Roman" w:cs="Times New Roman"/>
          <w:sz w:val="24"/>
          <w:szCs w:val="24"/>
        </w:rPr>
        <w:t>,</w:t>
      </w:r>
      <w:r w:rsidRPr="008573D2">
        <w:rPr>
          <w:rFonts w:ascii="Times New Roman" w:hAnsi="Times New Roman" w:cs="Times New Roman"/>
          <w:sz w:val="24"/>
          <w:szCs w:val="24"/>
        </w:rPr>
        <w:t xml:space="preserve"> during a shock, investors’ risk attitude in emerging markets may not be boosted by economic strength, and is instead impacted by the lack of sustainable development, the fragility of the economic structure, and the fragility of firm performance. For example, Alfaro et al. (2019) recently highlighted the exposure of emerging market firms to exchange rate shocks. They find that larger firms in emerging markets are more financially vulnerable to shocks, and </w:t>
      </w:r>
      <w:r w:rsidR="004F6E74" w:rsidRPr="008573D2">
        <w:rPr>
          <w:rFonts w:ascii="Times New Roman" w:hAnsi="Times New Roman" w:cs="Times New Roman"/>
          <w:sz w:val="24"/>
          <w:szCs w:val="24"/>
        </w:rPr>
        <w:t xml:space="preserve">that </w:t>
      </w:r>
      <w:r w:rsidRPr="008573D2">
        <w:rPr>
          <w:rFonts w:ascii="Times New Roman" w:hAnsi="Times New Roman" w:cs="Times New Roman"/>
          <w:sz w:val="24"/>
          <w:szCs w:val="24"/>
        </w:rPr>
        <w:t>shocks to sales growth of these large firms are positively and significantly correlated with economic growth. Therefore, both firms and the economy suffer from unexpected shocks.</w:t>
      </w:r>
    </w:p>
    <w:p w14:paraId="1BF6DD98" w14:textId="322FA79B" w:rsidR="002C7D77" w:rsidRPr="008573D2" w:rsidRDefault="002C7D77" w:rsidP="00C475C3">
      <w:pPr>
        <w:spacing w:after="200" w:line="480" w:lineRule="auto"/>
        <w:jc w:val="both"/>
        <w:rPr>
          <w:rFonts w:ascii="Times New Roman" w:hAnsi="Times New Roman" w:cs="Times New Roman"/>
          <w:sz w:val="24"/>
          <w:szCs w:val="24"/>
        </w:rPr>
      </w:pPr>
      <w:r w:rsidRPr="008573D2">
        <w:rPr>
          <w:rFonts w:ascii="Times New Roman" w:hAnsi="Times New Roman" w:cs="Times New Roman"/>
          <w:sz w:val="24"/>
          <w:szCs w:val="24"/>
        </w:rPr>
        <w:t>Fourth, relative to developed markets, the governance quality and size of the economy are vital in reducing the equity variance in emerging markets. The interaction terms EMG*COG and EMG*LGD are -0.6429 and -0.3262</w:t>
      </w:r>
      <w:r w:rsidR="007578A7" w:rsidRPr="008573D2">
        <w:rPr>
          <w:rFonts w:ascii="Times New Roman" w:hAnsi="Times New Roman" w:cs="Times New Roman"/>
          <w:sz w:val="24"/>
          <w:szCs w:val="24"/>
        </w:rPr>
        <w:t>,</w:t>
      </w:r>
      <w:r w:rsidRPr="008573D2">
        <w:rPr>
          <w:rFonts w:ascii="Times New Roman" w:hAnsi="Times New Roman" w:cs="Times New Roman"/>
          <w:sz w:val="24"/>
          <w:szCs w:val="24"/>
        </w:rPr>
        <w:t xml:space="preserve"> respectively</w:t>
      </w:r>
      <w:r w:rsidR="007578A7" w:rsidRPr="008573D2">
        <w:rPr>
          <w:rFonts w:ascii="Times New Roman" w:hAnsi="Times New Roman" w:cs="Times New Roman"/>
          <w:sz w:val="24"/>
          <w:szCs w:val="24"/>
        </w:rPr>
        <w:t>,</w:t>
      </w:r>
      <w:r w:rsidRPr="008573D2">
        <w:rPr>
          <w:rFonts w:ascii="Times New Roman" w:hAnsi="Times New Roman" w:cs="Times New Roman"/>
          <w:sz w:val="24"/>
          <w:szCs w:val="24"/>
        </w:rPr>
        <w:t xml:space="preserve"> in column (3) of Table 7, and these are significant at the 1 per cent level. That indicates that, during a crisis, investors in emerging markets give more importance to factors such as </w:t>
      </w:r>
      <w:r w:rsidRPr="008573D2">
        <w:rPr>
          <w:rFonts w:ascii="Times New Roman" w:eastAsia="Times New Roman" w:hAnsi="Times New Roman" w:cs="Times New Roman"/>
          <w:sz w:val="24"/>
          <w:szCs w:val="24"/>
          <w:lang w:eastAsia="en-GB"/>
        </w:rPr>
        <w:t xml:space="preserve">the capacity of the government to formulate and implement sound policies, effective regulations in conflict resolutions, and shareholder governance within a country. Similarly, investors </w:t>
      </w:r>
      <w:r w:rsidR="004F6E74" w:rsidRPr="008573D2">
        <w:rPr>
          <w:rFonts w:ascii="Times New Roman" w:eastAsia="Times New Roman" w:hAnsi="Times New Roman" w:cs="Times New Roman"/>
          <w:sz w:val="24"/>
          <w:szCs w:val="24"/>
          <w:lang w:eastAsia="en-GB"/>
        </w:rPr>
        <w:t xml:space="preserve">place </w:t>
      </w:r>
      <w:r w:rsidRPr="008573D2">
        <w:rPr>
          <w:rFonts w:ascii="Times New Roman" w:eastAsia="Times New Roman" w:hAnsi="Times New Roman" w:cs="Times New Roman"/>
          <w:sz w:val="24"/>
          <w:szCs w:val="24"/>
          <w:lang w:eastAsia="en-GB"/>
        </w:rPr>
        <w:t xml:space="preserve">importance on the size of an economy as it helps to absorb a sudden shock such as COVID-19. </w:t>
      </w:r>
      <w:r w:rsidRPr="008573D2">
        <w:rPr>
          <w:rFonts w:ascii="Times New Roman" w:hAnsi="Times New Roman" w:cs="Times New Roman"/>
          <w:sz w:val="24"/>
          <w:szCs w:val="24"/>
        </w:rPr>
        <w:t xml:space="preserve">The productivity of emerging markets </w:t>
      </w:r>
      <w:r w:rsidRPr="008573D2">
        <w:rPr>
          <w:rFonts w:ascii="Times New Roman" w:hAnsi="Times New Roman" w:cs="Times New Roman"/>
          <w:sz w:val="24"/>
          <w:szCs w:val="24"/>
        </w:rPr>
        <w:lastRenderedPageBreak/>
        <w:t>(EMG*PRO) could also reduce the conditional variance by 14.93%, but it is not found to be statistically significant in our sample.</w:t>
      </w:r>
    </w:p>
    <w:p w14:paraId="689FC2B8" w14:textId="77777777" w:rsidR="002C7D77" w:rsidRPr="008573D2" w:rsidRDefault="002C7D77" w:rsidP="00C475C3">
      <w:pPr>
        <w:spacing w:after="200" w:line="48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Finally, the interaction of EMG*FDI is positive (2.3223) in column (3) and statistically significant at the 1 per cent level. This suggests that, relative to developed markets, the development of financial markets and institutions makes emerging equity markets more sensitive to a shock such as COVID-19. </w:t>
      </w:r>
    </w:p>
    <w:p w14:paraId="3A68979D" w14:textId="53FDF704" w:rsidR="00FB461A" w:rsidRPr="008573D2" w:rsidRDefault="002C7D77" w:rsidP="00C475C3">
      <w:pPr>
        <w:spacing w:after="200" w:line="480" w:lineRule="auto"/>
        <w:jc w:val="center"/>
        <w:rPr>
          <w:rFonts w:ascii="Times New Roman" w:hAnsi="Times New Roman" w:cs="Times New Roman"/>
          <w:sz w:val="24"/>
          <w:szCs w:val="24"/>
        </w:rPr>
      </w:pPr>
      <w:r w:rsidRPr="008573D2">
        <w:rPr>
          <w:rFonts w:ascii="Times New Roman" w:hAnsi="Times New Roman" w:cs="Times New Roman"/>
          <w:b/>
          <w:bCs/>
          <w:sz w:val="24"/>
          <w:szCs w:val="24"/>
        </w:rPr>
        <w:t>Please insert Table 7 about here</w:t>
      </w:r>
    </w:p>
    <w:p w14:paraId="0EAD4B21" w14:textId="77777777" w:rsidR="002C7D77" w:rsidRPr="008573D2" w:rsidRDefault="002C7D77" w:rsidP="00C475C3">
      <w:pPr>
        <w:pStyle w:val="Heading1"/>
        <w:spacing w:line="480" w:lineRule="auto"/>
        <w:rPr>
          <w:rFonts w:ascii="Times New Roman" w:hAnsi="Times New Roman" w:cs="Times New Roman"/>
          <w:b/>
          <w:bCs/>
          <w:color w:val="auto"/>
          <w:sz w:val="24"/>
          <w:szCs w:val="24"/>
        </w:rPr>
      </w:pPr>
      <w:r w:rsidRPr="008573D2">
        <w:rPr>
          <w:rFonts w:ascii="Times New Roman" w:hAnsi="Times New Roman" w:cs="Times New Roman"/>
          <w:b/>
          <w:bCs/>
          <w:color w:val="auto"/>
          <w:sz w:val="24"/>
          <w:szCs w:val="24"/>
        </w:rPr>
        <w:t>4. Conclusion</w:t>
      </w:r>
    </w:p>
    <w:p w14:paraId="2927EAAF" w14:textId="2BEDEA85" w:rsidR="002C7D77" w:rsidRPr="008573D2" w:rsidRDefault="002C7D77" w:rsidP="00C475C3">
      <w:pPr>
        <w:spacing w:after="200" w:line="480" w:lineRule="auto"/>
        <w:jc w:val="both"/>
        <w:rPr>
          <w:rFonts w:ascii="Times New Roman" w:hAnsi="Times New Roman" w:cs="Times New Roman"/>
          <w:sz w:val="24"/>
        </w:rPr>
      </w:pPr>
      <w:r w:rsidRPr="008573D2">
        <w:rPr>
          <w:rFonts w:ascii="Times New Roman" w:hAnsi="Times New Roman" w:cs="Times New Roman"/>
          <w:iCs/>
          <w:sz w:val="24"/>
        </w:rPr>
        <w:t xml:space="preserve">We have been going through the global COVID-19 pandemic for several months now. </w:t>
      </w:r>
      <w:r w:rsidRPr="008573D2">
        <w:rPr>
          <w:rFonts w:ascii="Times New Roman" w:hAnsi="Times New Roman" w:cs="Times New Roman"/>
          <w:sz w:val="24"/>
        </w:rPr>
        <w:t xml:space="preserve">The first case </w:t>
      </w:r>
      <w:r w:rsidR="004F6E74" w:rsidRPr="008573D2">
        <w:rPr>
          <w:rFonts w:ascii="Times New Roman" w:hAnsi="Times New Roman" w:cs="Times New Roman"/>
          <w:sz w:val="24"/>
        </w:rPr>
        <w:t xml:space="preserve">was </w:t>
      </w:r>
      <w:r w:rsidRPr="008573D2">
        <w:rPr>
          <w:rFonts w:ascii="Times New Roman" w:hAnsi="Times New Roman" w:cs="Times New Roman"/>
          <w:sz w:val="24"/>
        </w:rPr>
        <w:t>recogni</w:t>
      </w:r>
      <w:r w:rsidR="00DC214A" w:rsidRPr="008573D2">
        <w:rPr>
          <w:rFonts w:ascii="Times New Roman" w:hAnsi="Times New Roman" w:cs="Times New Roman"/>
          <w:sz w:val="24"/>
        </w:rPr>
        <w:t>s</w:t>
      </w:r>
      <w:r w:rsidRPr="008573D2">
        <w:rPr>
          <w:rFonts w:ascii="Times New Roman" w:hAnsi="Times New Roman" w:cs="Times New Roman"/>
          <w:sz w:val="24"/>
        </w:rPr>
        <w:t xml:space="preserve">ed in China </w:t>
      </w:r>
      <w:r w:rsidR="004F6E74" w:rsidRPr="008573D2">
        <w:rPr>
          <w:rFonts w:ascii="Times New Roman" w:hAnsi="Times New Roman" w:cs="Times New Roman"/>
          <w:sz w:val="24"/>
        </w:rPr>
        <w:t xml:space="preserve">on </w:t>
      </w:r>
      <w:r w:rsidRPr="008573D2">
        <w:rPr>
          <w:rFonts w:ascii="Times New Roman" w:hAnsi="Times New Roman" w:cs="Times New Roman"/>
          <w:sz w:val="24"/>
        </w:rPr>
        <w:t>17</w:t>
      </w:r>
      <w:r w:rsidRPr="008573D2">
        <w:rPr>
          <w:rFonts w:ascii="Times New Roman" w:hAnsi="Times New Roman" w:cs="Times New Roman"/>
          <w:sz w:val="24"/>
          <w:vertAlign w:val="superscript"/>
        </w:rPr>
        <w:t>th</w:t>
      </w:r>
      <w:r w:rsidRPr="008573D2">
        <w:rPr>
          <w:rFonts w:ascii="Times New Roman" w:hAnsi="Times New Roman" w:cs="Times New Roman"/>
          <w:sz w:val="24"/>
        </w:rPr>
        <w:t xml:space="preserve"> November</w:t>
      </w:r>
      <w:r w:rsidR="004F6E74" w:rsidRPr="008573D2">
        <w:rPr>
          <w:rFonts w:ascii="Times New Roman" w:hAnsi="Times New Roman" w:cs="Times New Roman"/>
          <w:sz w:val="24"/>
        </w:rPr>
        <w:t xml:space="preserve"> 2019</w:t>
      </w:r>
      <w:r w:rsidRPr="008573D2">
        <w:rPr>
          <w:rFonts w:ascii="Times New Roman" w:hAnsi="Times New Roman" w:cs="Times New Roman"/>
          <w:sz w:val="24"/>
        </w:rPr>
        <w:t>. Wuhan officials reported an epidemic in January 2020.</w:t>
      </w:r>
      <w:r w:rsidRPr="008573D2">
        <w:rPr>
          <w:rStyle w:val="FootnoteReference"/>
          <w:rFonts w:ascii="Times New Roman" w:hAnsi="Times New Roman" w:cs="Times New Roman"/>
          <w:sz w:val="24"/>
        </w:rPr>
        <w:footnoteReference w:id="8"/>
      </w:r>
      <w:r w:rsidRPr="008573D2">
        <w:rPr>
          <w:rFonts w:ascii="Times New Roman" w:hAnsi="Times New Roman" w:cs="Times New Roman"/>
          <w:sz w:val="24"/>
        </w:rPr>
        <w:t xml:space="preserve"> The first definitely identified case (albeit retrospectively) of the virus in Europe was in Paris on 27</w:t>
      </w:r>
      <w:r w:rsidRPr="008573D2">
        <w:rPr>
          <w:rFonts w:ascii="Times New Roman" w:hAnsi="Times New Roman" w:cs="Times New Roman"/>
          <w:sz w:val="24"/>
          <w:vertAlign w:val="superscript"/>
        </w:rPr>
        <w:t>th</w:t>
      </w:r>
      <w:r w:rsidRPr="008573D2">
        <w:rPr>
          <w:rFonts w:ascii="Times New Roman" w:hAnsi="Times New Roman" w:cs="Times New Roman"/>
          <w:sz w:val="24"/>
        </w:rPr>
        <w:t xml:space="preserve"> December</w:t>
      </w:r>
      <w:r w:rsidR="004F6E74" w:rsidRPr="008573D2">
        <w:rPr>
          <w:rFonts w:ascii="Times New Roman" w:hAnsi="Times New Roman" w:cs="Times New Roman"/>
          <w:sz w:val="24"/>
        </w:rPr>
        <w:t xml:space="preserve"> 2019</w:t>
      </w:r>
      <w:r w:rsidRPr="008573D2">
        <w:rPr>
          <w:rFonts w:ascii="Times New Roman" w:hAnsi="Times New Roman" w:cs="Times New Roman"/>
          <w:sz w:val="24"/>
        </w:rPr>
        <w:t>. The virus outbreak has now reached almost every country in the world. The Corona</w:t>
      </w:r>
      <w:r w:rsidR="004F6E74" w:rsidRPr="008573D2">
        <w:rPr>
          <w:rFonts w:ascii="Times New Roman" w:hAnsi="Times New Roman" w:cs="Times New Roman"/>
          <w:sz w:val="24"/>
        </w:rPr>
        <w:t>v</w:t>
      </w:r>
      <w:r w:rsidRPr="008573D2">
        <w:rPr>
          <w:rFonts w:ascii="Times New Roman" w:hAnsi="Times New Roman" w:cs="Times New Roman"/>
          <w:sz w:val="24"/>
        </w:rPr>
        <w:t xml:space="preserve">irus Resource </w:t>
      </w:r>
      <w:proofErr w:type="spellStart"/>
      <w:r w:rsidRPr="008573D2">
        <w:rPr>
          <w:rFonts w:ascii="Times New Roman" w:hAnsi="Times New Roman" w:cs="Times New Roman"/>
          <w:sz w:val="24"/>
        </w:rPr>
        <w:t>Center</w:t>
      </w:r>
      <w:proofErr w:type="spellEnd"/>
      <w:r w:rsidRPr="008573D2">
        <w:rPr>
          <w:rFonts w:ascii="Times New Roman" w:hAnsi="Times New Roman" w:cs="Times New Roman"/>
          <w:sz w:val="24"/>
        </w:rPr>
        <w:t xml:space="preserve"> at John Hopkins University, USA</w:t>
      </w:r>
      <w:r w:rsidR="004F6E74" w:rsidRPr="008573D2">
        <w:rPr>
          <w:rFonts w:ascii="Times New Roman" w:hAnsi="Times New Roman" w:cs="Times New Roman"/>
          <w:sz w:val="24"/>
        </w:rPr>
        <w:t>,</w:t>
      </w:r>
      <w:r w:rsidRPr="008573D2">
        <w:rPr>
          <w:rFonts w:ascii="Times New Roman" w:hAnsi="Times New Roman" w:cs="Times New Roman"/>
          <w:sz w:val="24"/>
        </w:rPr>
        <w:t xml:space="preserve"> has reported that as of </w:t>
      </w:r>
      <w:r w:rsidR="000A554B" w:rsidRPr="008573D2">
        <w:rPr>
          <w:rFonts w:ascii="Times New Roman" w:hAnsi="Times New Roman" w:cs="Times New Roman"/>
          <w:sz w:val="24"/>
        </w:rPr>
        <w:t>29</w:t>
      </w:r>
      <w:r w:rsidR="000A554B" w:rsidRPr="008573D2">
        <w:rPr>
          <w:rFonts w:ascii="Times New Roman" w:hAnsi="Times New Roman" w:cs="Times New Roman"/>
          <w:sz w:val="24"/>
          <w:vertAlign w:val="superscript"/>
        </w:rPr>
        <w:t>th</w:t>
      </w:r>
      <w:r w:rsidR="000A554B" w:rsidRPr="008573D2">
        <w:rPr>
          <w:rFonts w:ascii="Times New Roman" w:hAnsi="Times New Roman" w:cs="Times New Roman"/>
          <w:sz w:val="24"/>
        </w:rPr>
        <w:t xml:space="preserve"> January, 2021</w:t>
      </w:r>
      <w:r w:rsidRPr="008573D2">
        <w:rPr>
          <w:rFonts w:ascii="Times New Roman" w:hAnsi="Times New Roman" w:cs="Times New Roman"/>
          <w:sz w:val="24"/>
        </w:rPr>
        <w:t xml:space="preserve"> there were over </w:t>
      </w:r>
      <w:r w:rsidR="000A554B" w:rsidRPr="008573D2">
        <w:rPr>
          <w:rFonts w:ascii="Times New Roman" w:hAnsi="Times New Roman" w:cs="Times New Roman"/>
          <w:sz w:val="24"/>
        </w:rPr>
        <w:t xml:space="preserve">102 </w:t>
      </w:r>
      <w:r w:rsidRPr="008573D2">
        <w:rPr>
          <w:rFonts w:ascii="Times New Roman" w:hAnsi="Times New Roman" w:cs="Times New Roman"/>
          <w:sz w:val="24"/>
        </w:rPr>
        <w:t xml:space="preserve">million COVID-19 cases across the world and there were </w:t>
      </w:r>
      <w:r w:rsidR="000A554B" w:rsidRPr="008573D2">
        <w:rPr>
          <w:rFonts w:ascii="Times New Roman" w:hAnsi="Times New Roman" w:cs="Times New Roman"/>
          <w:sz w:val="24"/>
        </w:rPr>
        <w:t>over 2.2 million</w:t>
      </w:r>
      <w:r w:rsidR="004F6E74" w:rsidRPr="008573D2">
        <w:rPr>
          <w:rFonts w:ascii="Times New Roman" w:hAnsi="Times New Roman" w:cs="Times New Roman"/>
          <w:sz w:val="24"/>
        </w:rPr>
        <w:t xml:space="preserve"> </w:t>
      </w:r>
      <w:r w:rsidRPr="008573D2">
        <w:rPr>
          <w:rFonts w:ascii="Times New Roman" w:hAnsi="Times New Roman" w:cs="Times New Roman"/>
          <w:sz w:val="24"/>
        </w:rPr>
        <w:t xml:space="preserve">deaths caused by the virus outbreak. In addition to this, </w:t>
      </w:r>
      <w:r w:rsidR="004F6E74" w:rsidRPr="008573D2">
        <w:rPr>
          <w:rFonts w:ascii="Times New Roman" w:hAnsi="Times New Roman" w:cs="Times New Roman"/>
          <w:sz w:val="24"/>
        </w:rPr>
        <w:t>the pandemic has had</w:t>
      </w:r>
      <w:r w:rsidRPr="008573D2">
        <w:rPr>
          <w:rFonts w:ascii="Times New Roman" w:hAnsi="Times New Roman" w:cs="Times New Roman"/>
          <w:sz w:val="24"/>
        </w:rPr>
        <w:t xml:space="preserve"> a significant indirect effect. Most European countries</w:t>
      </w:r>
      <w:r w:rsidR="00907F71" w:rsidRPr="008573D2">
        <w:rPr>
          <w:rFonts w:ascii="Times New Roman" w:hAnsi="Times New Roman" w:cs="Times New Roman"/>
          <w:sz w:val="24"/>
        </w:rPr>
        <w:t xml:space="preserve"> –</w:t>
      </w:r>
      <w:r w:rsidRPr="008573D2">
        <w:rPr>
          <w:rFonts w:ascii="Times New Roman" w:hAnsi="Times New Roman" w:cs="Times New Roman"/>
          <w:sz w:val="24"/>
        </w:rPr>
        <w:t xml:space="preserve"> with the notable exceptions of Sweden and Belarus </w:t>
      </w:r>
      <w:r w:rsidR="00907F71" w:rsidRPr="008573D2">
        <w:rPr>
          <w:rFonts w:ascii="Times New Roman" w:hAnsi="Times New Roman" w:cs="Times New Roman"/>
          <w:sz w:val="24"/>
        </w:rPr>
        <w:t xml:space="preserve">– </w:t>
      </w:r>
      <w:r w:rsidRPr="008573D2">
        <w:rPr>
          <w:rFonts w:ascii="Times New Roman" w:hAnsi="Times New Roman" w:cs="Times New Roman"/>
          <w:sz w:val="24"/>
        </w:rPr>
        <w:t xml:space="preserve">have </w:t>
      </w:r>
      <w:r w:rsidR="0020502C" w:rsidRPr="008573D2">
        <w:rPr>
          <w:rFonts w:ascii="Times New Roman" w:hAnsi="Times New Roman" w:cs="Times New Roman"/>
          <w:sz w:val="24"/>
        </w:rPr>
        <w:t>imposed lockdown</w:t>
      </w:r>
      <w:r w:rsidRPr="008573D2">
        <w:rPr>
          <w:rFonts w:ascii="Times New Roman" w:hAnsi="Times New Roman" w:cs="Times New Roman"/>
          <w:sz w:val="24"/>
        </w:rPr>
        <w:t xml:space="preserve"> for varying periods of weeks, even though this has never been the response to any epidemic before. All except seven US states (all with Republican governors) have also followed the lockdown route.</w:t>
      </w:r>
      <w:r w:rsidRPr="008573D2">
        <w:rPr>
          <w:rStyle w:val="FootnoteReference"/>
          <w:rFonts w:ascii="Times New Roman" w:hAnsi="Times New Roman" w:cs="Times New Roman"/>
          <w:sz w:val="24"/>
        </w:rPr>
        <w:footnoteReference w:id="9"/>
      </w:r>
      <w:r w:rsidRPr="008573D2">
        <w:rPr>
          <w:rFonts w:ascii="Times New Roman" w:hAnsi="Times New Roman" w:cs="Times New Roman"/>
          <w:sz w:val="24"/>
        </w:rPr>
        <w:t xml:space="preserve"> Unsurprisingly, putting a country’s entire population under lockdown for weeks on end is economically disastrous. The Bank of England has warned that the UK is entering the worst recession since </w:t>
      </w:r>
      <w:r w:rsidRPr="008573D2">
        <w:rPr>
          <w:rFonts w:ascii="Times New Roman" w:hAnsi="Times New Roman" w:cs="Times New Roman"/>
          <w:sz w:val="24"/>
        </w:rPr>
        <w:lastRenderedPageBreak/>
        <w:t xml:space="preserve">the Great Frost of 1709, with output down by almost 30% in the first half </w:t>
      </w:r>
      <w:r w:rsidR="0020502C" w:rsidRPr="008573D2">
        <w:rPr>
          <w:rFonts w:ascii="Times New Roman" w:hAnsi="Times New Roman" w:cs="Times New Roman"/>
          <w:sz w:val="24"/>
        </w:rPr>
        <w:t>of 2020</w:t>
      </w:r>
      <w:r w:rsidRPr="008573D2">
        <w:rPr>
          <w:rFonts w:ascii="Times New Roman" w:hAnsi="Times New Roman" w:cs="Times New Roman"/>
          <w:sz w:val="24"/>
        </w:rPr>
        <w:t>.</w:t>
      </w:r>
      <w:r w:rsidRPr="008573D2">
        <w:rPr>
          <w:rStyle w:val="FootnoteReference"/>
          <w:rFonts w:ascii="Times New Roman" w:hAnsi="Times New Roman" w:cs="Times New Roman"/>
          <w:sz w:val="24"/>
        </w:rPr>
        <w:footnoteReference w:id="10"/>
      </w:r>
      <w:r w:rsidRPr="008573D2">
        <w:rPr>
          <w:rFonts w:ascii="Times New Roman" w:hAnsi="Times New Roman" w:cs="Times New Roman"/>
          <w:sz w:val="24"/>
        </w:rPr>
        <w:t xml:space="preserve"> At the peak of the furlough scheme</w:t>
      </w:r>
      <w:r w:rsidR="00907F71" w:rsidRPr="008573D2">
        <w:rPr>
          <w:rFonts w:ascii="Times New Roman" w:hAnsi="Times New Roman" w:cs="Times New Roman"/>
          <w:sz w:val="24"/>
        </w:rPr>
        <w:t>,</w:t>
      </w:r>
      <w:r w:rsidRPr="008573D2">
        <w:rPr>
          <w:rFonts w:ascii="Times New Roman" w:hAnsi="Times New Roman" w:cs="Times New Roman"/>
          <w:sz w:val="24"/>
        </w:rPr>
        <w:t xml:space="preserve"> one-third of the UK workforce were </w:t>
      </w:r>
      <w:r w:rsidR="009505FB" w:rsidRPr="008573D2">
        <w:rPr>
          <w:rFonts w:ascii="Times New Roman" w:hAnsi="Times New Roman" w:cs="Times New Roman"/>
          <w:sz w:val="24"/>
        </w:rPr>
        <w:t xml:space="preserve">being paid 80% of their salary under the furlough </w:t>
      </w:r>
      <w:r w:rsidR="0070255C" w:rsidRPr="008573D2">
        <w:rPr>
          <w:rFonts w:ascii="Times New Roman" w:hAnsi="Times New Roman" w:cs="Times New Roman"/>
          <w:sz w:val="24"/>
        </w:rPr>
        <w:t xml:space="preserve">scheme. </w:t>
      </w:r>
      <w:r w:rsidRPr="008573D2">
        <w:rPr>
          <w:rStyle w:val="FootnoteReference"/>
          <w:rFonts w:ascii="Times New Roman" w:hAnsi="Times New Roman" w:cs="Times New Roman"/>
          <w:sz w:val="24"/>
        </w:rPr>
        <w:footnoteReference w:id="11"/>
      </w:r>
      <w:r w:rsidRPr="008573D2">
        <w:rPr>
          <w:rFonts w:ascii="Times New Roman" w:hAnsi="Times New Roman" w:cs="Times New Roman"/>
          <w:sz w:val="24"/>
        </w:rPr>
        <w:t xml:space="preserve"> How many of these people will find they are unemployed when the scheme end</w:t>
      </w:r>
      <w:r w:rsidR="00907F71" w:rsidRPr="008573D2">
        <w:rPr>
          <w:rFonts w:ascii="Times New Roman" w:hAnsi="Times New Roman" w:cs="Times New Roman"/>
          <w:sz w:val="24"/>
        </w:rPr>
        <w:t>s</w:t>
      </w:r>
      <w:r w:rsidRPr="008573D2">
        <w:rPr>
          <w:rFonts w:ascii="Times New Roman" w:hAnsi="Times New Roman" w:cs="Times New Roman"/>
          <w:sz w:val="24"/>
        </w:rPr>
        <w:t xml:space="preserve"> </w:t>
      </w:r>
      <w:proofErr w:type="gramStart"/>
      <w:r w:rsidRPr="008573D2">
        <w:rPr>
          <w:rFonts w:ascii="Times New Roman" w:hAnsi="Times New Roman" w:cs="Times New Roman"/>
          <w:sz w:val="24"/>
        </w:rPr>
        <w:t>is</w:t>
      </w:r>
      <w:proofErr w:type="gramEnd"/>
      <w:r w:rsidRPr="008573D2">
        <w:rPr>
          <w:rFonts w:ascii="Times New Roman" w:hAnsi="Times New Roman" w:cs="Times New Roman"/>
          <w:sz w:val="24"/>
        </w:rPr>
        <w:t xml:space="preserve"> unknown. Similar gloomy figures are applicable to most other developed nations. </w:t>
      </w:r>
      <w:r w:rsidR="00907F71" w:rsidRPr="008573D2">
        <w:rPr>
          <w:rFonts w:ascii="Times New Roman" w:hAnsi="Times New Roman" w:cs="Times New Roman"/>
          <w:sz w:val="24"/>
        </w:rPr>
        <w:t>Lockdowns have</w:t>
      </w:r>
      <w:r w:rsidRPr="008573D2">
        <w:rPr>
          <w:rFonts w:ascii="Times New Roman" w:hAnsi="Times New Roman" w:cs="Times New Roman"/>
          <w:sz w:val="24"/>
        </w:rPr>
        <w:t xml:space="preserve"> also been imposed in many emerging countries which are part of the global supply chain and therefore suffer severe supply disruption.</w:t>
      </w:r>
    </w:p>
    <w:p w14:paraId="7B63102A" w14:textId="417CB45F" w:rsidR="002C7D77" w:rsidRPr="008573D2" w:rsidRDefault="002C7D77" w:rsidP="00C475C3">
      <w:pPr>
        <w:spacing w:after="200" w:line="48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In this paper, we have examined these direct and indirect effects of </w:t>
      </w:r>
      <w:r w:rsidR="00907F71" w:rsidRPr="008573D2">
        <w:rPr>
          <w:rFonts w:ascii="Times New Roman" w:hAnsi="Times New Roman" w:cs="Times New Roman"/>
          <w:sz w:val="24"/>
          <w:szCs w:val="24"/>
        </w:rPr>
        <w:t xml:space="preserve">the </w:t>
      </w:r>
      <w:r w:rsidRPr="008573D2">
        <w:rPr>
          <w:rFonts w:ascii="Times New Roman" w:hAnsi="Times New Roman" w:cs="Times New Roman"/>
          <w:sz w:val="24"/>
          <w:szCs w:val="24"/>
        </w:rPr>
        <w:t>COVID-19 pandemic on stock market volatility and</w:t>
      </w:r>
      <w:r w:rsidR="00907F71" w:rsidRPr="008573D2">
        <w:rPr>
          <w:rFonts w:ascii="Times New Roman" w:hAnsi="Times New Roman" w:cs="Times New Roman"/>
          <w:sz w:val="24"/>
          <w:szCs w:val="24"/>
        </w:rPr>
        <w:t xml:space="preserve"> we have</w:t>
      </w:r>
      <w:r w:rsidRPr="008573D2">
        <w:rPr>
          <w:rFonts w:ascii="Times New Roman" w:hAnsi="Times New Roman" w:cs="Times New Roman"/>
          <w:sz w:val="24"/>
          <w:szCs w:val="24"/>
        </w:rPr>
        <w:t xml:space="preserve"> also examined how </w:t>
      </w:r>
      <w:r w:rsidR="00907F71" w:rsidRPr="008573D2">
        <w:rPr>
          <w:rFonts w:ascii="Times New Roman" w:hAnsi="Times New Roman" w:cs="Times New Roman"/>
          <w:sz w:val="24"/>
          <w:szCs w:val="24"/>
        </w:rPr>
        <w:t>certain</w:t>
      </w:r>
      <w:r w:rsidRPr="008573D2">
        <w:rPr>
          <w:rFonts w:ascii="Times New Roman" w:hAnsi="Times New Roman" w:cs="Times New Roman"/>
          <w:sz w:val="24"/>
          <w:szCs w:val="24"/>
        </w:rPr>
        <w:t xml:space="preserve"> economic factors can help to reduce the volatility shock so that we can avoid any potential financial crisis. Using data from 34 developed and emerging countries</w:t>
      </w:r>
      <w:r w:rsidR="00907F71" w:rsidRPr="008573D2">
        <w:rPr>
          <w:rFonts w:ascii="Times New Roman" w:hAnsi="Times New Roman" w:cs="Times New Roman"/>
          <w:sz w:val="24"/>
          <w:szCs w:val="24"/>
        </w:rPr>
        <w:t>,</w:t>
      </w:r>
      <w:r w:rsidRPr="008573D2">
        <w:rPr>
          <w:rFonts w:ascii="Times New Roman" w:hAnsi="Times New Roman" w:cs="Times New Roman"/>
          <w:sz w:val="24"/>
          <w:szCs w:val="24"/>
        </w:rPr>
        <w:t xml:space="preserve"> we have found that resilience scores (RES) could significantly reduce the equity market variance in both developed and emerging markets, but the magnitude of the negative impact is higher in developed countries. The capitalism score (CPS), governance score (COG), productivity score (PRO), health pillar (HEL) and development of financial institutions index (FII) are the crucial determinants and could significantly reduce market volatility. In developed markets, economic freedom, governance and productivity are more important than the other factors </w:t>
      </w:r>
      <w:r w:rsidR="00907F71" w:rsidRPr="008573D2">
        <w:rPr>
          <w:rFonts w:ascii="Times New Roman" w:hAnsi="Times New Roman" w:cs="Times New Roman"/>
          <w:sz w:val="24"/>
          <w:szCs w:val="24"/>
        </w:rPr>
        <w:t>in facing</w:t>
      </w:r>
      <w:r w:rsidRPr="008573D2">
        <w:rPr>
          <w:rFonts w:ascii="Times New Roman" w:hAnsi="Times New Roman" w:cs="Times New Roman"/>
          <w:sz w:val="24"/>
          <w:szCs w:val="24"/>
        </w:rPr>
        <w:t xml:space="preserve"> a pandemic crisis. However, for emerging markets, their quality of health services and availability of infrastructure are far more critical. The central bank strategy to reduce the policy rate is only working in emerging markets. In the developed markets</w:t>
      </w:r>
      <w:r w:rsidR="00907F71" w:rsidRPr="008573D2">
        <w:rPr>
          <w:rFonts w:ascii="Times New Roman" w:hAnsi="Times New Roman" w:cs="Times New Roman"/>
          <w:sz w:val="24"/>
          <w:szCs w:val="24"/>
        </w:rPr>
        <w:t>,</w:t>
      </w:r>
      <w:r w:rsidRPr="008573D2">
        <w:rPr>
          <w:rFonts w:ascii="Times New Roman" w:hAnsi="Times New Roman" w:cs="Times New Roman"/>
          <w:sz w:val="24"/>
          <w:szCs w:val="24"/>
        </w:rPr>
        <w:t xml:space="preserve"> lowering the policy rate creates further uncertainty about the future and increase</w:t>
      </w:r>
      <w:r w:rsidR="00907F71" w:rsidRPr="008573D2">
        <w:rPr>
          <w:rFonts w:ascii="Times New Roman" w:hAnsi="Times New Roman" w:cs="Times New Roman"/>
          <w:sz w:val="24"/>
          <w:szCs w:val="24"/>
        </w:rPr>
        <w:t>s</w:t>
      </w:r>
      <w:r w:rsidRPr="008573D2">
        <w:rPr>
          <w:rFonts w:ascii="Times New Roman" w:hAnsi="Times New Roman" w:cs="Times New Roman"/>
          <w:sz w:val="24"/>
          <w:szCs w:val="24"/>
        </w:rPr>
        <w:t xml:space="preserve"> the returns variance. Oil intensity is only relevant to the developed markets. The quality of financial institutions has a stronger negative effect on the equity market variance in emerging countries. Interestingly, we have found that the impact on the developed economies is far more potent than </w:t>
      </w:r>
      <w:r w:rsidR="00907F71" w:rsidRPr="008573D2">
        <w:rPr>
          <w:rFonts w:ascii="Times New Roman" w:hAnsi="Times New Roman" w:cs="Times New Roman"/>
          <w:sz w:val="24"/>
          <w:szCs w:val="24"/>
        </w:rPr>
        <w:t xml:space="preserve">that on the </w:t>
      </w:r>
      <w:r w:rsidRPr="008573D2">
        <w:rPr>
          <w:rFonts w:ascii="Times New Roman" w:hAnsi="Times New Roman" w:cs="Times New Roman"/>
          <w:sz w:val="24"/>
          <w:szCs w:val="24"/>
        </w:rPr>
        <w:t xml:space="preserve">emerging economies. In </w:t>
      </w:r>
      <w:r w:rsidRPr="008573D2">
        <w:rPr>
          <w:rFonts w:ascii="Times New Roman" w:hAnsi="Times New Roman" w:cs="Times New Roman"/>
          <w:sz w:val="24"/>
          <w:szCs w:val="24"/>
        </w:rPr>
        <w:lastRenderedPageBreak/>
        <w:t>particular, the total number of COVID-19</w:t>
      </w:r>
      <w:r w:rsidR="00907F71" w:rsidRPr="008573D2">
        <w:rPr>
          <w:rFonts w:ascii="Times New Roman" w:hAnsi="Times New Roman" w:cs="Times New Roman"/>
          <w:sz w:val="24"/>
          <w:szCs w:val="24"/>
        </w:rPr>
        <w:t>-</w:t>
      </w:r>
      <w:r w:rsidRPr="008573D2">
        <w:rPr>
          <w:rFonts w:ascii="Times New Roman" w:hAnsi="Times New Roman" w:cs="Times New Roman"/>
          <w:sz w:val="24"/>
          <w:szCs w:val="24"/>
        </w:rPr>
        <w:t>related deaths (CTD) has increased the return variance by five to six times more in developed capital markets compared to their emerging counterparts. However, developed markets are more successful i</w:t>
      </w:r>
      <w:r w:rsidR="00FA0B71" w:rsidRPr="008573D2">
        <w:rPr>
          <w:rFonts w:ascii="Times New Roman" w:hAnsi="Times New Roman" w:cs="Times New Roman"/>
          <w:sz w:val="24"/>
          <w:szCs w:val="24"/>
        </w:rPr>
        <w:t>n</w:t>
      </w:r>
      <w:r w:rsidRPr="008573D2">
        <w:rPr>
          <w:rFonts w:ascii="Times New Roman" w:hAnsi="Times New Roman" w:cs="Times New Roman"/>
          <w:sz w:val="24"/>
          <w:szCs w:val="24"/>
        </w:rPr>
        <w:t xml:space="preserve"> managing the market volatility than the emerging markets, as evidenced by the positive relationship between market volatility and the interaction term of emerging market and economic resilience. This essentially indicates the fragility in emerging market structure and lack of trust among investors in emerging stock markets. To further support this conjecture, this paper has found that governance quality is an important factor that helps to mitigate stock market volatility in emerging countries. Therefore, in times of exogenous shocks such as </w:t>
      </w:r>
      <w:r w:rsidR="002C6557" w:rsidRPr="008573D2">
        <w:rPr>
          <w:rFonts w:ascii="Times New Roman" w:hAnsi="Times New Roman" w:cs="Times New Roman"/>
          <w:sz w:val="24"/>
          <w:szCs w:val="24"/>
        </w:rPr>
        <w:t xml:space="preserve">a </w:t>
      </w:r>
      <w:r w:rsidRPr="008573D2">
        <w:rPr>
          <w:rFonts w:ascii="Times New Roman" w:hAnsi="Times New Roman" w:cs="Times New Roman"/>
          <w:sz w:val="24"/>
          <w:szCs w:val="24"/>
        </w:rPr>
        <w:t>global pandemic, emerging market investors rely more on the capacity of governments to formulate and implement sound policies and regulations to safeguard their interest</w:t>
      </w:r>
      <w:r w:rsidR="002C6557" w:rsidRPr="008573D2">
        <w:rPr>
          <w:rFonts w:ascii="Times New Roman" w:hAnsi="Times New Roman" w:cs="Times New Roman"/>
          <w:sz w:val="24"/>
          <w:szCs w:val="24"/>
        </w:rPr>
        <w:t>s</w:t>
      </w:r>
      <w:r w:rsidRPr="008573D2">
        <w:rPr>
          <w:rFonts w:ascii="Times New Roman" w:hAnsi="Times New Roman" w:cs="Times New Roman"/>
          <w:sz w:val="24"/>
          <w:szCs w:val="24"/>
        </w:rPr>
        <w:t>.</w:t>
      </w:r>
    </w:p>
    <w:p w14:paraId="3D5ED665" w14:textId="77777777" w:rsidR="002C7D77" w:rsidRPr="008573D2" w:rsidRDefault="002C7D77" w:rsidP="00C475C3">
      <w:pPr>
        <w:spacing w:after="200" w:line="48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The findings of this paper have confirmed the effect of fear arising from the severity of </w:t>
      </w:r>
      <w:r w:rsidR="002C6557" w:rsidRPr="008573D2">
        <w:rPr>
          <w:rFonts w:ascii="Times New Roman" w:hAnsi="Times New Roman" w:cs="Times New Roman"/>
          <w:sz w:val="24"/>
          <w:szCs w:val="24"/>
        </w:rPr>
        <w:t xml:space="preserve">a </w:t>
      </w:r>
      <w:r w:rsidRPr="008573D2">
        <w:rPr>
          <w:rFonts w:ascii="Times New Roman" w:hAnsi="Times New Roman" w:cs="Times New Roman"/>
          <w:sz w:val="24"/>
          <w:szCs w:val="24"/>
        </w:rPr>
        <w:t xml:space="preserve">global pandemic on global stock markets. We need to be very careful about the further effect of this significant volatility effect of the virus outbreak as </w:t>
      </w:r>
      <w:r w:rsidR="002C6557" w:rsidRPr="008573D2">
        <w:rPr>
          <w:rFonts w:ascii="Times New Roman" w:hAnsi="Times New Roman" w:cs="Times New Roman"/>
          <w:sz w:val="24"/>
          <w:szCs w:val="24"/>
        </w:rPr>
        <w:t xml:space="preserve">it </w:t>
      </w:r>
      <w:r w:rsidRPr="008573D2">
        <w:rPr>
          <w:rFonts w:ascii="Times New Roman" w:hAnsi="Times New Roman" w:cs="Times New Roman"/>
          <w:sz w:val="24"/>
          <w:szCs w:val="24"/>
        </w:rPr>
        <w:t>could lead us to a potential financial crisis. To avoid this, we can emphasise the selected economic factors that we have found to be particularly</w:t>
      </w:r>
      <w:r w:rsidR="00DC214A" w:rsidRPr="008573D2">
        <w:rPr>
          <w:rFonts w:ascii="Times New Roman" w:hAnsi="Times New Roman" w:cs="Times New Roman"/>
          <w:sz w:val="24"/>
          <w:szCs w:val="24"/>
        </w:rPr>
        <w:t xml:space="preserve"> </w:t>
      </w:r>
      <w:r w:rsidRPr="008573D2">
        <w:rPr>
          <w:rFonts w:ascii="Times New Roman" w:hAnsi="Times New Roman" w:cs="Times New Roman"/>
          <w:sz w:val="24"/>
          <w:szCs w:val="24"/>
        </w:rPr>
        <w:t xml:space="preserve">effective in reducing volatility in stock markets. Verma and Gustafsson (2020) emphasise the importance of an urgent policy response from the government to face the change caused by the global pandemic. The authors point out the necessity of proactive and forward-looking business strategies and economic policies. The findings of our paper will help governments and policymakers to investigate various country-level factors that may be of use to cope with the situation. Doidge et al. (2007) mention that country-level factors are more important than firm-level factors to ensure discipline in the economy. Therefore, faced with economic turmoil due to the global pandemic, governments and policymakers can emphasise the adoption and implementation of the right economic policies by using a set of economic factors that we have shown to be effective. </w:t>
      </w:r>
    </w:p>
    <w:p w14:paraId="736D5B8D" w14:textId="77777777" w:rsidR="00827EAD" w:rsidRPr="008573D2" w:rsidRDefault="00827EAD" w:rsidP="00827EAD">
      <w:pPr>
        <w:rPr>
          <w:rFonts w:ascii="Times New Roman" w:hAnsi="Times New Roman" w:cs="Times New Roman"/>
          <w:b/>
          <w:bCs/>
          <w:sz w:val="24"/>
          <w:szCs w:val="24"/>
        </w:rPr>
      </w:pPr>
      <w:r w:rsidRPr="008573D2">
        <w:rPr>
          <w:rFonts w:ascii="Times New Roman" w:hAnsi="Times New Roman" w:cs="Times New Roman"/>
          <w:b/>
          <w:bCs/>
          <w:sz w:val="24"/>
          <w:szCs w:val="24"/>
        </w:rPr>
        <w:lastRenderedPageBreak/>
        <w:t>References:</w:t>
      </w:r>
    </w:p>
    <w:p w14:paraId="455E1FF1" w14:textId="0A913A31" w:rsidR="00827EAD" w:rsidRPr="008573D2" w:rsidRDefault="00827EAD" w:rsidP="00827EAD">
      <w:pPr>
        <w:spacing w:line="360" w:lineRule="auto"/>
        <w:jc w:val="both"/>
        <w:rPr>
          <w:rFonts w:ascii="Times New Roman" w:hAnsi="Times New Roman" w:cs="Times New Roman"/>
          <w:sz w:val="24"/>
          <w:szCs w:val="24"/>
        </w:rPr>
      </w:pPr>
      <w:proofErr w:type="spellStart"/>
      <w:r w:rsidRPr="008573D2">
        <w:rPr>
          <w:rFonts w:ascii="Times New Roman" w:hAnsi="Times New Roman" w:cs="Times New Roman"/>
          <w:sz w:val="24"/>
          <w:szCs w:val="24"/>
        </w:rPr>
        <w:t>Abiad</w:t>
      </w:r>
      <w:proofErr w:type="spellEnd"/>
      <w:r w:rsidRPr="008573D2">
        <w:rPr>
          <w:rFonts w:ascii="Times New Roman" w:hAnsi="Times New Roman" w:cs="Times New Roman"/>
          <w:sz w:val="24"/>
          <w:szCs w:val="24"/>
        </w:rPr>
        <w:t xml:space="preserve">, A., </w:t>
      </w:r>
      <w:proofErr w:type="spellStart"/>
      <w:r w:rsidRPr="008573D2">
        <w:rPr>
          <w:rFonts w:ascii="Times New Roman" w:hAnsi="Times New Roman" w:cs="Times New Roman"/>
          <w:sz w:val="24"/>
          <w:szCs w:val="24"/>
        </w:rPr>
        <w:t>Bluedorn</w:t>
      </w:r>
      <w:proofErr w:type="spellEnd"/>
      <w:r w:rsidRPr="008573D2">
        <w:rPr>
          <w:rFonts w:ascii="Times New Roman" w:hAnsi="Times New Roman" w:cs="Times New Roman"/>
          <w:sz w:val="24"/>
          <w:szCs w:val="24"/>
        </w:rPr>
        <w:t xml:space="preserve">, J., Guajardo, J. &amp; </w:t>
      </w:r>
      <w:proofErr w:type="spellStart"/>
      <w:r w:rsidRPr="008573D2">
        <w:rPr>
          <w:rFonts w:ascii="Times New Roman" w:hAnsi="Times New Roman" w:cs="Times New Roman"/>
          <w:sz w:val="24"/>
          <w:szCs w:val="24"/>
        </w:rPr>
        <w:t>Topalova</w:t>
      </w:r>
      <w:proofErr w:type="spellEnd"/>
      <w:r w:rsidRPr="008573D2">
        <w:rPr>
          <w:rFonts w:ascii="Times New Roman" w:hAnsi="Times New Roman" w:cs="Times New Roman"/>
          <w:sz w:val="24"/>
          <w:szCs w:val="24"/>
        </w:rPr>
        <w:t xml:space="preserve">, P. (2015). The </w:t>
      </w:r>
      <w:r w:rsidR="00183D0A" w:rsidRPr="008573D2">
        <w:rPr>
          <w:rFonts w:ascii="Times New Roman" w:hAnsi="Times New Roman" w:cs="Times New Roman"/>
          <w:sz w:val="24"/>
          <w:szCs w:val="24"/>
        </w:rPr>
        <w:t>R</w:t>
      </w:r>
      <w:r w:rsidRPr="008573D2">
        <w:rPr>
          <w:rFonts w:ascii="Times New Roman" w:hAnsi="Times New Roman" w:cs="Times New Roman"/>
          <w:sz w:val="24"/>
          <w:szCs w:val="24"/>
        </w:rPr>
        <w:t xml:space="preserve">ising </w:t>
      </w:r>
      <w:r w:rsidR="00183D0A" w:rsidRPr="008573D2">
        <w:rPr>
          <w:rFonts w:ascii="Times New Roman" w:hAnsi="Times New Roman" w:cs="Times New Roman"/>
          <w:sz w:val="24"/>
          <w:szCs w:val="24"/>
        </w:rPr>
        <w:t>R</w:t>
      </w:r>
      <w:r w:rsidRPr="008573D2">
        <w:rPr>
          <w:rFonts w:ascii="Times New Roman" w:hAnsi="Times New Roman" w:cs="Times New Roman"/>
          <w:sz w:val="24"/>
          <w:szCs w:val="24"/>
        </w:rPr>
        <w:t xml:space="preserve">esilience of Emerging Market and Developing Economies, </w:t>
      </w:r>
      <w:r w:rsidRPr="008573D2">
        <w:rPr>
          <w:rFonts w:ascii="Times New Roman" w:hAnsi="Times New Roman" w:cs="Times New Roman"/>
          <w:i/>
          <w:iCs/>
          <w:sz w:val="24"/>
          <w:szCs w:val="24"/>
        </w:rPr>
        <w:t>World Development</w:t>
      </w:r>
      <w:r w:rsidRPr="008573D2">
        <w:rPr>
          <w:rFonts w:ascii="Times New Roman" w:hAnsi="Times New Roman" w:cs="Times New Roman"/>
          <w:sz w:val="24"/>
          <w:szCs w:val="24"/>
        </w:rPr>
        <w:t>, 72, pp. 1 – 26.</w:t>
      </w:r>
    </w:p>
    <w:p w14:paraId="46FC33CC" w14:textId="77777777" w:rsidR="00827EAD" w:rsidRPr="008573D2" w:rsidRDefault="00827EAD" w:rsidP="00827EAD">
      <w:pPr>
        <w:spacing w:line="360" w:lineRule="auto"/>
        <w:jc w:val="both"/>
        <w:rPr>
          <w:rFonts w:ascii="Times New Roman" w:hAnsi="Times New Roman" w:cs="Times New Roman"/>
          <w:sz w:val="24"/>
          <w:szCs w:val="24"/>
        </w:rPr>
      </w:pPr>
      <w:proofErr w:type="spellStart"/>
      <w:r w:rsidRPr="008573D2">
        <w:rPr>
          <w:rFonts w:ascii="Times New Roman" w:hAnsi="Times New Roman" w:cs="Times New Roman"/>
          <w:sz w:val="24"/>
          <w:szCs w:val="24"/>
        </w:rPr>
        <w:t>Akhtaruzzaman</w:t>
      </w:r>
      <w:proofErr w:type="spellEnd"/>
      <w:r w:rsidRPr="008573D2">
        <w:rPr>
          <w:rFonts w:ascii="Times New Roman" w:hAnsi="Times New Roman" w:cs="Times New Roman"/>
          <w:sz w:val="24"/>
          <w:szCs w:val="24"/>
        </w:rPr>
        <w:t xml:space="preserve">, M., </w:t>
      </w:r>
      <w:proofErr w:type="spellStart"/>
      <w:r w:rsidRPr="008573D2">
        <w:rPr>
          <w:rFonts w:ascii="Times New Roman" w:hAnsi="Times New Roman" w:cs="Times New Roman"/>
          <w:sz w:val="24"/>
          <w:szCs w:val="24"/>
        </w:rPr>
        <w:t>Boubaker</w:t>
      </w:r>
      <w:proofErr w:type="spellEnd"/>
      <w:r w:rsidRPr="008573D2">
        <w:rPr>
          <w:rFonts w:ascii="Times New Roman" w:hAnsi="Times New Roman" w:cs="Times New Roman"/>
          <w:sz w:val="24"/>
          <w:szCs w:val="24"/>
        </w:rPr>
        <w:t xml:space="preserve">, S. &amp; </w:t>
      </w:r>
      <w:proofErr w:type="spellStart"/>
      <w:r w:rsidRPr="008573D2">
        <w:rPr>
          <w:rFonts w:ascii="Times New Roman" w:hAnsi="Times New Roman" w:cs="Times New Roman"/>
          <w:sz w:val="24"/>
          <w:szCs w:val="24"/>
        </w:rPr>
        <w:t>Sensoy</w:t>
      </w:r>
      <w:proofErr w:type="spellEnd"/>
      <w:r w:rsidRPr="008573D2">
        <w:rPr>
          <w:rFonts w:ascii="Times New Roman" w:hAnsi="Times New Roman" w:cs="Times New Roman"/>
          <w:sz w:val="24"/>
          <w:szCs w:val="24"/>
        </w:rPr>
        <w:t xml:space="preserve">, A. (2020). Financial Contagion during COVID – 19 Crisis, </w:t>
      </w:r>
      <w:r w:rsidRPr="008573D2">
        <w:rPr>
          <w:rFonts w:ascii="Times New Roman" w:hAnsi="Times New Roman" w:cs="Times New Roman"/>
          <w:i/>
          <w:iCs/>
          <w:sz w:val="24"/>
          <w:szCs w:val="24"/>
        </w:rPr>
        <w:t>Finance Research Letters</w:t>
      </w:r>
      <w:r w:rsidRPr="008573D2">
        <w:rPr>
          <w:rFonts w:ascii="Times New Roman" w:hAnsi="Times New Roman" w:cs="Times New Roman"/>
          <w:sz w:val="24"/>
          <w:szCs w:val="24"/>
        </w:rPr>
        <w:t>, Forthcoming.</w:t>
      </w:r>
    </w:p>
    <w:p w14:paraId="545BEB61" w14:textId="03336D55" w:rsidR="00827EAD" w:rsidRPr="008573D2" w:rsidRDefault="00827EAD" w:rsidP="00827EAD">
      <w:pPr>
        <w:spacing w:line="36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Al-Awadhi, A.M., </w:t>
      </w:r>
      <w:proofErr w:type="spellStart"/>
      <w:r w:rsidRPr="008573D2">
        <w:rPr>
          <w:rFonts w:ascii="Times New Roman" w:hAnsi="Times New Roman" w:cs="Times New Roman"/>
          <w:sz w:val="24"/>
          <w:szCs w:val="24"/>
        </w:rPr>
        <w:t>Alsaifi</w:t>
      </w:r>
      <w:proofErr w:type="spellEnd"/>
      <w:r w:rsidRPr="008573D2">
        <w:rPr>
          <w:rFonts w:ascii="Times New Roman" w:hAnsi="Times New Roman" w:cs="Times New Roman"/>
          <w:sz w:val="24"/>
          <w:szCs w:val="24"/>
        </w:rPr>
        <w:t xml:space="preserve">, K., Al-Awadhi, A. &amp; </w:t>
      </w:r>
      <w:proofErr w:type="spellStart"/>
      <w:r w:rsidRPr="008573D2">
        <w:rPr>
          <w:rFonts w:ascii="Times New Roman" w:hAnsi="Times New Roman" w:cs="Times New Roman"/>
          <w:sz w:val="24"/>
          <w:szCs w:val="24"/>
        </w:rPr>
        <w:t>Alhammadi</w:t>
      </w:r>
      <w:proofErr w:type="spellEnd"/>
      <w:r w:rsidRPr="008573D2">
        <w:rPr>
          <w:rFonts w:ascii="Times New Roman" w:hAnsi="Times New Roman" w:cs="Times New Roman"/>
          <w:sz w:val="24"/>
          <w:szCs w:val="24"/>
        </w:rPr>
        <w:t xml:space="preserve">, S. (2020). Death and </w:t>
      </w:r>
      <w:r w:rsidR="00183D0A" w:rsidRPr="008573D2">
        <w:rPr>
          <w:rFonts w:ascii="Times New Roman" w:hAnsi="Times New Roman" w:cs="Times New Roman"/>
          <w:sz w:val="24"/>
          <w:szCs w:val="24"/>
        </w:rPr>
        <w:t>C</w:t>
      </w:r>
      <w:r w:rsidRPr="008573D2">
        <w:rPr>
          <w:rFonts w:ascii="Times New Roman" w:hAnsi="Times New Roman" w:cs="Times New Roman"/>
          <w:sz w:val="24"/>
          <w:szCs w:val="24"/>
        </w:rPr>
        <w:t xml:space="preserve">ontagious </w:t>
      </w:r>
      <w:r w:rsidR="00183D0A" w:rsidRPr="008573D2">
        <w:rPr>
          <w:rFonts w:ascii="Times New Roman" w:hAnsi="Times New Roman" w:cs="Times New Roman"/>
          <w:sz w:val="24"/>
          <w:szCs w:val="24"/>
        </w:rPr>
        <w:t>I</w:t>
      </w:r>
      <w:r w:rsidRPr="008573D2">
        <w:rPr>
          <w:rFonts w:ascii="Times New Roman" w:hAnsi="Times New Roman" w:cs="Times New Roman"/>
          <w:sz w:val="24"/>
          <w:szCs w:val="24"/>
        </w:rPr>
        <w:t xml:space="preserve">nfectious </w:t>
      </w:r>
      <w:r w:rsidR="00183D0A" w:rsidRPr="008573D2">
        <w:rPr>
          <w:rFonts w:ascii="Times New Roman" w:hAnsi="Times New Roman" w:cs="Times New Roman"/>
          <w:sz w:val="24"/>
          <w:szCs w:val="24"/>
        </w:rPr>
        <w:t>D</w:t>
      </w:r>
      <w:r w:rsidRPr="008573D2">
        <w:rPr>
          <w:rFonts w:ascii="Times New Roman" w:hAnsi="Times New Roman" w:cs="Times New Roman"/>
          <w:sz w:val="24"/>
          <w:szCs w:val="24"/>
        </w:rPr>
        <w:t xml:space="preserve">iseases: Impact of the COVID -19 </w:t>
      </w:r>
      <w:r w:rsidR="00183D0A" w:rsidRPr="008573D2">
        <w:rPr>
          <w:rFonts w:ascii="Times New Roman" w:hAnsi="Times New Roman" w:cs="Times New Roman"/>
          <w:sz w:val="24"/>
          <w:szCs w:val="24"/>
        </w:rPr>
        <w:t>V</w:t>
      </w:r>
      <w:r w:rsidRPr="008573D2">
        <w:rPr>
          <w:rFonts w:ascii="Times New Roman" w:hAnsi="Times New Roman" w:cs="Times New Roman"/>
          <w:sz w:val="24"/>
          <w:szCs w:val="24"/>
        </w:rPr>
        <w:t xml:space="preserve">irus on </w:t>
      </w:r>
      <w:r w:rsidR="00183D0A" w:rsidRPr="008573D2">
        <w:rPr>
          <w:rFonts w:ascii="Times New Roman" w:hAnsi="Times New Roman" w:cs="Times New Roman"/>
          <w:sz w:val="24"/>
          <w:szCs w:val="24"/>
        </w:rPr>
        <w:t>S</w:t>
      </w:r>
      <w:r w:rsidRPr="008573D2">
        <w:rPr>
          <w:rFonts w:ascii="Times New Roman" w:hAnsi="Times New Roman" w:cs="Times New Roman"/>
          <w:sz w:val="24"/>
          <w:szCs w:val="24"/>
        </w:rPr>
        <w:t xml:space="preserve">tock </w:t>
      </w:r>
      <w:r w:rsidR="00183D0A" w:rsidRPr="008573D2">
        <w:rPr>
          <w:rFonts w:ascii="Times New Roman" w:hAnsi="Times New Roman" w:cs="Times New Roman"/>
          <w:sz w:val="24"/>
          <w:szCs w:val="24"/>
        </w:rPr>
        <w:t>M</w:t>
      </w:r>
      <w:r w:rsidRPr="008573D2">
        <w:rPr>
          <w:rFonts w:ascii="Times New Roman" w:hAnsi="Times New Roman" w:cs="Times New Roman"/>
          <w:sz w:val="24"/>
          <w:szCs w:val="24"/>
        </w:rPr>
        <w:t xml:space="preserve">arket </w:t>
      </w:r>
      <w:r w:rsidR="00183D0A" w:rsidRPr="008573D2">
        <w:rPr>
          <w:rFonts w:ascii="Times New Roman" w:hAnsi="Times New Roman" w:cs="Times New Roman"/>
          <w:sz w:val="24"/>
          <w:szCs w:val="24"/>
        </w:rPr>
        <w:t>R</w:t>
      </w:r>
      <w:r w:rsidRPr="008573D2">
        <w:rPr>
          <w:rFonts w:ascii="Times New Roman" w:hAnsi="Times New Roman" w:cs="Times New Roman"/>
          <w:sz w:val="24"/>
          <w:szCs w:val="24"/>
        </w:rPr>
        <w:t xml:space="preserve">eturns, </w:t>
      </w:r>
      <w:r w:rsidRPr="008573D2">
        <w:rPr>
          <w:rFonts w:ascii="Times New Roman" w:hAnsi="Times New Roman" w:cs="Times New Roman"/>
          <w:i/>
          <w:iCs/>
          <w:sz w:val="24"/>
          <w:szCs w:val="24"/>
        </w:rPr>
        <w:t xml:space="preserve">Journal of </w:t>
      </w:r>
      <w:proofErr w:type="spellStart"/>
      <w:r w:rsidRPr="008573D2">
        <w:rPr>
          <w:rFonts w:ascii="Times New Roman" w:hAnsi="Times New Roman" w:cs="Times New Roman"/>
          <w:i/>
          <w:iCs/>
          <w:sz w:val="24"/>
          <w:szCs w:val="24"/>
        </w:rPr>
        <w:t>Behavioral</w:t>
      </w:r>
      <w:proofErr w:type="spellEnd"/>
      <w:r w:rsidRPr="008573D2">
        <w:rPr>
          <w:rFonts w:ascii="Times New Roman" w:hAnsi="Times New Roman" w:cs="Times New Roman"/>
          <w:i/>
          <w:iCs/>
          <w:sz w:val="24"/>
          <w:szCs w:val="24"/>
        </w:rPr>
        <w:t xml:space="preserve"> and Experimental Finance</w:t>
      </w:r>
      <w:r w:rsidRPr="008573D2">
        <w:rPr>
          <w:rFonts w:ascii="Times New Roman" w:hAnsi="Times New Roman" w:cs="Times New Roman"/>
          <w:sz w:val="24"/>
          <w:szCs w:val="24"/>
        </w:rPr>
        <w:t>, 27, pp. 1 – 5.</w:t>
      </w:r>
    </w:p>
    <w:p w14:paraId="6561D302" w14:textId="1F194F69" w:rsidR="00827EAD" w:rsidRPr="008573D2" w:rsidRDefault="00827EAD" w:rsidP="00827EAD">
      <w:pPr>
        <w:spacing w:line="36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Alfaro, L., </w:t>
      </w:r>
      <w:proofErr w:type="spellStart"/>
      <w:r w:rsidRPr="008573D2">
        <w:rPr>
          <w:rFonts w:ascii="Times New Roman" w:hAnsi="Times New Roman" w:cs="Times New Roman"/>
          <w:sz w:val="24"/>
          <w:szCs w:val="24"/>
        </w:rPr>
        <w:t>Asis</w:t>
      </w:r>
      <w:proofErr w:type="spellEnd"/>
      <w:r w:rsidRPr="008573D2">
        <w:rPr>
          <w:rFonts w:ascii="Times New Roman" w:hAnsi="Times New Roman" w:cs="Times New Roman"/>
          <w:sz w:val="24"/>
          <w:szCs w:val="24"/>
        </w:rPr>
        <w:t xml:space="preserve">, G., Chari, A., &amp; Panizza, U. (2019). Corporate </w:t>
      </w:r>
      <w:r w:rsidR="00183D0A" w:rsidRPr="008573D2">
        <w:rPr>
          <w:rFonts w:ascii="Times New Roman" w:hAnsi="Times New Roman" w:cs="Times New Roman"/>
          <w:sz w:val="24"/>
          <w:szCs w:val="24"/>
        </w:rPr>
        <w:t>D</w:t>
      </w:r>
      <w:r w:rsidRPr="008573D2">
        <w:rPr>
          <w:rFonts w:ascii="Times New Roman" w:hAnsi="Times New Roman" w:cs="Times New Roman"/>
          <w:sz w:val="24"/>
          <w:szCs w:val="24"/>
        </w:rPr>
        <w:t xml:space="preserve">ebt, </w:t>
      </w:r>
      <w:r w:rsidR="00183D0A" w:rsidRPr="008573D2">
        <w:rPr>
          <w:rFonts w:ascii="Times New Roman" w:hAnsi="Times New Roman" w:cs="Times New Roman"/>
          <w:sz w:val="24"/>
          <w:szCs w:val="24"/>
        </w:rPr>
        <w:t>F</w:t>
      </w:r>
      <w:r w:rsidRPr="008573D2">
        <w:rPr>
          <w:rFonts w:ascii="Times New Roman" w:hAnsi="Times New Roman" w:cs="Times New Roman"/>
          <w:sz w:val="24"/>
          <w:szCs w:val="24"/>
        </w:rPr>
        <w:t xml:space="preserve">irm </w:t>
      </w:r>
      <w:r w:rsidR="00183D0A" w:rsidRPr="008573D2">
        <w:rPr>
          <w:rFonts w:ascii="Times New Roman" w:hAnsi="Times New Roman" w:cs="Times New Roman"/>
          <w:sz w:val="24"/>
          <w:szCs w:val="24"/>
        </w:rPr>
        <w:t>S</w:t>
      </w:r>
      <w:r w:rsidRPr="008573D2">
        <w:rPr>
          <w:rFonts w:ascii="Times New Roman" w:hAnsi="Times New Roman" w:cs="Times New Roman"/>
          <w:sz w:val="24"/>
          <w:szCs w:val="24"/>
        </w:rPr>
        <w:t xml:space="preserve">ize and </w:t>
      </w:r>
      <w:r w:rsidR="00183D0A" w:rsidRPr="008573D2">
        <w:rPr>
          <w:rFonts w:ascii="Times New Roman" w:hAnsi="Times New Roman" w:cs="Times New Roman"/>
          <w:sz w:val="24"/>
          <w:szCs w:val="24"/>
        </w:rPr>
        <w:t>F</w:t>
      </w:r>
      <w:r w:rsidRPr="008573D2">
        <w:rPr>
          <w:rFonts w:ascii="Times New Roman" w:hAnsi="Times New Roman" w:cs="Times New Roman"/>
          <w:sz w:val="24"/>
          <w:szCs w:val="24"/>
        </w:rPr>
        <w:t xml:space="preserve">inancial </w:t>
      </w:r>
      <w:r w:rsidR="00183D0A" w:rsidRPr="008573D2">
        <w:rPr>
          <w:rFonts w:ascii="Times New Roman" w:hAnsi="Times New Roman" w:cs="Times New Roman"/>
          <w:sz w:val="24"/>
          <w:szCs w:val="24"/>
        </w:rPr>
        <w:t>F</w:t>
      </w:r>
      <w:r w:rsidRPr="008573D2">
        <w:rPr>
          <w:rFonts w:ascii="Times New Roman" w:hAnsi="Times New Roman" w:cs="Times New Roman"/>
          <w:sz w:val="24"/>
          <w:szCs w:val="24"/>
        </w:rPr>
        <w:t xml:space="preserve">ragility in </w:t>
      </w:r>
      <w:r w:rsidR="00183D0A" w:rsidRPr="008573D2">
        <w:rPr>
          <w:rFonts w:ascii="Times New Roman" w:hAnsi="Times New Roman" w:cs="Times New Roman"/>
          <w:sz w:val="24"/>
          <w:szCs w:val="24"/>
        </w:rPr>
        <w:t>E</w:t>
      </w:r>
      <w:r w:rsidRPr="008573D2">
        <w:rPr>
          <w:rFonts w:ascii="Times New Roman" w:hAnsi="Times New Roman" w:cs="Times New Roman"/>
          <w:sz w:val="24"/>
          <w:szCs w:val="24"/>
        </w:rPr>
        <w:t xml:space="preserve">merging </w:t>
      </w:r>
      <w:r w:rsidR="00183D0A" w:rsidRPr="008573D2">
        <w:rPr>
          <w:rFonts w:ascii="Times New Roman" w:hAnsi="Times New Roman" w:cs="Times New Roman"/>
          <w:sz w:val="24"/>
          <w:szCs w:val="24"/>
        </w:rPr>
        <w:t>M</w:t>
      </w:r>
      <w:r w:rsidRPr="008573D2">
        <w:rPr>
          <w:rFonts w:ascii="Times New Roman" w:hAnsi="Times New Roman" w:cs="Times New Roman"/>
          <w:sz w:val="24"/>
          <w:szCs w:val="24"/>
        </w:rPr>
        <w:t xml:space="preserve">arkets. </w:t>
      </w:r>
      <w:r w:rsidRPr="008573D2">
        <w:rPr>
          <w:rFonts w:ascii="Times New Roman" w:hAnsi="Times New Roman" w:cs="Times New Roman"/>
          <w:i/>
          <w:iCs/>
          <w:sz w:val="24"/>
          <w:szCs w:val="24"/>
        </w:rPr>
        <w:t>Journal of International Economics</w:t>
      </w:r>
      <w:r w:rsidRPr="008573D2">
        <w:rPr>
          <w:rFonts w:ascii="Times New Roman" w:hAnsi="Times New Roman" w:cs="Times New Roman"/>
          <w:sz w:val="24"/>
          <w:szCs w:val="24"/>
        </w:rPr>
        <w:t>, 118, pp. 1-19.</w:t>
      </w:r>
    </w:p>
    <w:p w14:paraId="74E8EDB5" w14:textId="46427E11" w:rsidR="00827EAD" w:rsidRPr="008573D2" w:rsidRDefault="00827EAD" w:rsidP="00827EAD">
      <w:pPr>
        <w:spacing w:line="36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Ali, M., </w:t>
      </w:r>
      <w:proofErr w:type="spellStart"/>
      <w:r w:rsidRPr="008573D2">
        <w:rPr>
          <w:rFonts w:ascii="Times New Roman" w:hAnsi="Times New Roman" w:cs="Times New Roman"/>
          <w:sz w:val="24"/>
          <w:szCs w:val="24"/>
        </w:rPr>
        <w:t>Alam</w:t>
      </w:r>
      <w:proofErr w:type="spellEnd"/>
      <w:r w:rsidRPr="008573D2">
        <w:rPr>
          <w:rFonts w:ascii="Times New Roman" w:hAnsi="Times New Roman" w:cs="Times New Roman"/>
          <w:sz w:val="24"/>
          <w:szCs w:val="24"/>
        </w:rPr>
        <w:t xml:space="preserve">, N., &amp; Rizvi, S.A.R. (2020). Coronavirus (COVID-19) – An </w:t>
      </w:r>
      <w:r w:rsidR="00183D0A" w:rsidRPr="008573D2">
        <w:rPr>
          <w:rFonts w:ascii="Times New Roman" w:hAnsi="Times New Roman" w:cs="Times New Roman"/>
          <w:sz w:val="24"/>
          <w:szCs w:val="24"/>
        </w:rPr>
        <w:t>E</w:t>
      </w:r>
      <w:r w:rsidRPr="008573D2">
        <w:rPr>
          <w:rFonts w:ascii="Times New Roman" w:hAnsi="Times New Roman" w:cs="Times New Roman"/>
          <w:sz w:val="24"/>
          <w:szCs w:val="24"/>
        </w:rPr>
        <w:t xml:space="preserve">pidemic or </w:t>
      </w:r>
      <w:r w:rsidR="00183D0A" w:rsidRPr="008573D2">
        <w:rPr>
          <w:rFonts w:ascii="Times New Roman" w:hAnsi="Times New Roman" w:cs="Times New Roman"/>
          <w:sz w:val="24"/>
          <w:szCs w:val="24"/>
        </w:rPr>
        <w:t>P</w:t>
      </w:r>
      <w:r w:rsidRPr="008573D2">
        <w:rPr>
          <w:rFonts w:ascii="Times New Roman" w:hAnsi="Times New Roman" w:cs="Times New Roman"/>
          <w:sz w:val="24"/>
          <w:szCs w:val="24"/>
        </w:rPr>
        <w:t xml:space="preserve">andemic for </w:t>
      </w:r>
      <w:r w:rsidR="00183D0A" w:rsidRPr="008573D2">
        <w:rPr>
          <w:rFonts w:ascii="Times New Roman" w:hAnsi="Times New Roman" w:cs="Times New Roman"/>
          <w:sz w:val="24"/>
          <w:szCs w:val="24"/>
        </w:rPr>
        <w:t>F</w:t>
      </w:r>
      <w:r w:rsidRPr="008573D2">
        <w:rPr>
          <w:rFonts w:ascii="Times New Roman" w:hAnsi="Times New Roman" w:cs="Times New Roman"/>
          <w:sz w:val="24"/>
          <w:szCs w:val="24"/>
        </w:rPr>
        <w:t xml:space="preserve">inancial </w:t>
      </w:r>
      <w:r w:rsidR="00183D0A" w:rsidRPr="008573D2">
        <w:rPr>
          <w:rFonts w:ascii="Times New Roman" w:hAnsi="Times New Roman" w:cs="Times New Roman"/>
          <w:sz w:val="24"/>
          <w:szCs w:val="24"/>
        </w:rPr>
        <w:t>M</w:t>
      </w:r>
      <w:r w:rsidRPr="008573D2">
        <w:rPr>
          <w:rFonts w:ascii="Times New Roman" w:hAnsi="Times New Roman" w:cs="Times New Roman"/>
          <w:sz w:val="24"/>
          <w:szCs w:val="24"/>
        </w:rPr>
        <w:t xml:space="preserve">arkets. </w:t>
      </w:r>
      <w:r w:rsidRPr="008573D2">
        <w:rPr>
          <w:rFonts w:ascii="Times New Roman" w:hAnsi="Times New Roman" w:cs="Times New Roman"/>
          <w:i/>
          <w:iCs/>
          <w:sz w:val="24"/>
          <w:szCs w:val="24"/>
        </w:rPr>
        <w:t xml:space="preserve">Journal of </w:t>
      </w:r>
      <w:proofErr w:type="spellStart"/>
      <w:r w:rsidRPr="008573D2">
        <w:rPr>
          <w:rFonts w:ascii="Times New Roman" w:hAnsi="Times New Roman" w:cs="Times New Roman"/>
          <w:i/>
          <w:iCs/>
          <w:sz w:val="24"/>
          <w:szCs w:val="24"/>
        </w:rPr>
        <w:t>Behavioral</w:t>
      </w:r>
      <w:proofErr w:type="spellEnd"/>
      <w:r w:rsidRPr="008573D2">
        <w:rPr>
          <w:rFonts w:ascii="Times New Roman" w:hAnsi="Times New Roman" w:cs="Times New Roman"/>
          <w:i/>
          <w:iCs/>
          <w:sz w:val="24"/>
          <w:szCs w:val="24"/>
        </w:rPr>
        <w:t xml:space="preserve"> and Experimental Finance</w:t>
      </w:r>
      <w:r w:rsidRPr="008573D2">
        <w:rPr>
          <w:rFonts w:ascii="Times New Roman" w:hAnsi="Times New Roman" w:cs="Times New Roman"/>
          <w:sz w:val="24"/>
          <w:szCs w:val="24"/>
        </w:rPr>
        <w:t>, 27, 100341.</w:t>
      </w:r>
    </w:p>
    <w:p w14:paraId="26F42DDE" w14:textId="454018CA" w:rsidR="00827EAD" w:rsidRPr="008573D2" w:rsidRDefault="00827EAD" w:rsidP="00827EAD">
      <w:pPr>
        <w:spacing w:line="36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Anderson, T.G., </w:t>
      </w:r>
      <w:proofErr w:type="spellStart"/>
      <w:r w:rsidRPr="008573D2">
        <w:rPr>
          <w:rFonts w:ascii="Times New Roman" w:hAnsi="Times New Roman" w:cs="Times New Roman"/>
          <w:sz w:val="24"/>
          <w:szCs w:val="24"/>
        </w:rPr>
        <w:t>Bollerslev</w:t>
      </w:r>
      <w:proofErr w:type="spellEnd"/>
      <w:r w:rsidRPr="008573D2">
        <w:rPr>
          <w:rFonts w:ascii="Times New Roman" w:hAnsi="Times New Roman" w:cs="Times New Roman"/>
          <w:sz w:val="24"/>
          <w:szCs w:val="24"/>
        </w:rPr>
        <w:t xml:space="preserve">, T., Diebold, F.X. &amp; </w:t>
      </w:r>
      <w:proofErr w:type="spellStart"/>
      <w:r w:rsidRPr="008573D2">
        <w:rPr>
          <w:rFonts w:ascii="Times New Roman" w:hAnsi="Times New Roman" w:cs="Times New Roman"/>
          <w:sz w:val="24"/>
          <w:szCs w:val="24"/>
        </w:rPr>
        <w:t>Ebens</w:t>
      </w:r>
      <w:proofErr w:type="spellEnd"/>
      <w:r w:rsidRPr="008573D2">
        <w:rPr>
          <w:rFonts w:ascii="Times New Roman" w:hAnsi="Times New Roman" w:cs="Times New Roman"/>
          <w:sz w:val="24"/>
          <w:szCs w:val="24"/>
        </w:rPr>
        <w:t xml:space="preserve">, H. (2001). The </w:t>
      </w:r>
      <w:r w:rsidR="00183D0A" w:rsidRPr="008573D2">
        <w:rPr>
          <w:rFonts w:ascii="Times New Roman" w:hAnsi="Times New Roman" w:cs="Times New Roman"/>
          <w:sz w:val="24"/>
          <w:szCs w:val="24"/>
        </w:rPr>
        <w:t>D</w:t>
      </w:r>
      <w:r w:rsidRPr="008573D2">
        <w:rPr>
          <w:rFonts w:ascii="Times New Roman" w:hAnsi="Times New Roman" w:cs="Times New Roman"/>
          <w:sz w:val="24"/>
          <w:szCs w:val="24"/>
        </w:rPr>
        <w:t xml:space="preserve">istribution of </w:t>
      </w:r>
      <w:r w:rsidR="00183D0A" w:rsidRPr="008573D2">
        <w:rPr>
          <w:rFonts w:ascii="Times New Roman" w:hAnsi="Times New Roman" w:cs="Times New Roman"/>
          <w:sz w:val="24"/>
          <w:szCs w:val="24"/>
        </w:rPr>
        <w:t>R</w:t>
      </w:r>
      <w:r w:rsidRPr="008573D2">
        <w:rPr>
          <w:rFonts w:ascii="Times New Roman" w:hAnsi="Times New Roman" w:cs="Times New Roman"/>
          <w:sz w:val="24"/>
          <w:szCs w:val="24"/>
        </w:rPr>
        <w:t xml:space="preserve">ealized </w:t>
      </w:r>
      <w:r w:rsidR="00183D0A" w:rsidRPr="008573D2">
        <w:rPr>
          <w:rFonts w:ascii="Times New Roman" w:hAnsi="Times New Roman" w:cs="Times New Roman"/>
          <w:sz w:val="24"/>
          <w:szCs w:val="24"/>
        </w:rPr>
        <w:t>S</w:t>
      </w:r>
      <w:r w:rsidRPr="008573D2">
        <w:rPr>
          <w:rFonts w:ascii="Times New Roman" w:hAnsi="Times New Roman" w:cs="Times New Roman"/>
          <w:sz w:val="24"/>
          <w:szCs w:val="24"/>
        </w:rPr>
        <w:t xml:space="preserve">tock </w:t>
      </w:r>
      <w:r w:rsidR="00183D0A" w:rsidRPr="008573D2">
        <w:rPr>
          <w:rFonts w:ascii="Times New Roman" w:hAnsi="Times New Roman" w:cs="Times New Roman"/>
          <w:sz w:val="24"/>
          <w:szCs w:val="24"/>
        </w:rPr>
        <w:t>R</w:t>
      </w:r>
      <w:r w:rsidRPr="008573D2">
        <w:rPr>
          <w:rFonts w:ascii="Times New Roman" w:hAnsi="Times New Roman" w:cs="Times New Roman"/>
          <w:sz w:val="24"/>
          <w:szCs w:val="24"/>
        </w:rPr>
        <w:t xml:space="preserve">eturn </w:t>
      </w:r>
      <w:r w:rsidR="00183D0A" w:rsidRPr="008573D2">
        <w:rPr>
          <w:rFonts w:ascii="Times New Roman" w:hAnsi="Times New Roman" w:cs="Times New Roman"/>
          <w:sz w:val="24"/>
          <w:szCs w:val="24"/>
        </w:rPr>
        <w:t>V</w:t>
      </w:r>
      <w:r w:rsidRPr="008573D2">
        <w:rPr>
          <w:rFonts w:ascii="Times New Roman" w:hAnsi="Times New Roman" w:cs="Times New Roman"/>
          <w:sz w:val="24"/>
          <w:szCs w:val="24"/>
        </w:rPr>
        <w:t xml:space="preserve">olatility, </w:t>
      </w:r>
      <w:r w:rsidRPr="008573D2">
        <w:rPr>
          <w:rFonts w:ascii="Times New Roman" w:hAnsi="Times New Roman" w:cs="Times New Roman"/>
          <w:i/>
          <w:iCs/>
          <w:sz w:val="24"/>
          <w:szCs w:val="24"/>
        </w:rPr>
        <w:t>Journal of Financial Economics</w:t>
      </w:r>
      <w:r w:rsidRPr="008573D2">
        <w:rPr>
          <w:rFonts w:ascii="Times New Roman" w:hAnsi="Times New Roman" w:cs="Times New Roman"/>
          <w:sz w:val="24"/>
          <w:szCs w:val="24"/>
        </w:rPr>
        <w:t>, 61, pp. 43 – 76.</w:t>
      </w:r>
    </w:p>
    <w:p w14:paraId="009073E5" w14:textId="08AA238D" w:rsidR="00827EAD" w:rsidRPr="008573D2" w:rsidRDefault="00827EAD" w:rsidP="00827EAD">
      <w:pPr>
        <w:spacing w:line="36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Ashraf, B.N. (2020). Stock </w:t>
      </w:r>
      <w:r w:rsidR="00183D0A" w:rsidRPr="008573D2">
        <w:rPr>
          <w:rFonts w:ascii="Times New Roman" w:hAnsi="Times New Roman" w:cs="Times New Roman"/>
          <w:sz w:val="24"/>
          <w:szCs w:val="24"/>
        </w:rPr>
        <w:t>M</w:t>
      </w:r>
      <w:r w:rsidRPr="008573D2">
        <w:rPr>
          <w:rFonts w:ascii="Times New Roman" w:hAnsi="Times New Roman" w:cs="Times New Roman"/>
          <w:sz w:val="24"/>
          <w:szCs w:val="24"/>
        </w:rPr>
        <w:t xml:space="preserve">arkets’ </w:t>
      </w:r>
      <w:r w:rsidR="00183D0A" w:rsidRPr="008573D2">
        <w:rPr>
          <w:rFonts w:ascii="Times New Roman" w:hAnsi="Times New Roman" w:cs="Times New Roman"/>
          <w:sz w:val="24"/>
          <w:szCs w:val="24"/>
        </w:rPr>
        <w:t>R</w:t>
      </w:r>
      <w:r w:rsidRPr="008573D2">
        <w:rPr>
          <w:rFonts w:ascii="Times New Roman" w:hAnsi="Times New Roman" w:cs="Times New Roman"/>
          <w:sz w:val="24"/>
          <w:szCs w:val="24"/>
        </w:rPr>
        <w:t xml:space="preserve">eaction to COVID – 19: Cases or fatalities? </w:t>
      </w:r>
      <w:r w:rsidRPr="008573D2">
        <w:rPr>
          <w:rFonts w:ascii="Times New Roman" w:hAnsi="Times New Roman" w:cs="Times New Roman"/>
          <w:i/>
          <w:iCs/>
          <w:sz w:val="24"/>
          <w:szCs w:val="24"/>
        </w:rPr>
        <w:t>Research in International Business and Finance</w:t>
      </w:r>
      <w:r w:rsidRPr="008573D2">
        <w:rPr>
          <w:rFonts w:ascii="Times New Roman" w:hAnsi="Times New Roman" w:cs="Times New Roman"/>
          <w:sz w:val="24"/>
          <w:szCs w:val="24"/>
        </w:rPr>
        <w:t>, 54, pp. 1 – 7.</w:t>
      </w:r>
    </w:p>
    <w:p w14:paraId="40BACE4A" w14:textId="77777777" w:rsidR="00827EAD" w:rsidRPr="008573D2" w:rsidRDefault="00827EAD" w:rsidP="00827EAD">
      <w:pPr>
        <w:spacing w:line="360" w:lineRule="auto"/>
        <w:jc w:val="both"/>
        <w:rPr>
          <w:rFonts w:ascii="Times New Roman" w:hAnsi="Times New Roman" w:cs="Times New Roman"/>
          <w:sz w:val="24"/>
          <w:szCs w:val="24"/>
        </w:rPr>
      </w:pPr>
      <w:proofErr w:type="spellStart"/>
      <w:r w:rsidRPr="008573D2">
        <w:rPr>
          <w:rFonts w:ascii="Times New Roman" w:hAnsi="Times New Roman" w:cs="Times New Roman"/>
          <w:sz w:val="24"/>
          <w:szCs w:val="24"/>
        </w:rPr>
        <w:t>Baek</w:t>
      </w:r>
      <w:proofErr w:type="spellEnd"/>
      <w:r w:rsidRPr="008573D2">
        <w:rPr>
          <w:rFonts w:ascii="Times New Roman" w:hAnsi="Times New Roman" w:cs="Times New Roman"/>
          <w:sz w:val="24"/>
          <w:szCs w:val="24"/>
        </w:rPr>
        <w:t xml:space="preserve">, J., Kang, J. &amp; Park, K.S. (2004). Corporate Governance and Firm Value: Evidence from Korean Financial Crisis, </w:t>
      </w:r>
      <w:r w:rsidRPr="008573D2">
        <w:rPr>
          <w:rFonts w:ascii="Times New Roman" w:hAnsi="Times New Roman" w:cs="Times New Roman"/>
          <w:i/>
          <w:iCs/>
          <w:sz w:val="24"/>
          <w:szCs w:val="24"/>
        </w:rPr>
        <w:t>Journal of Financial Economics</w:t>
      </w:r>
      <w:r w:rsidRPr="008573D2">
        <w:rPr>
          <w:rFonts w:ascii="Times New Roman" w:hAnsi="Times New Roman" w:cs="Times New Roman"/>
          <w:sz w:val="24"/>
          <w:szCs w:val="24"/>
        </w:rPr>
        <w:t>, 71, pp. 265 – 313.</w:t>
      </w:r>
    </w:p>
    <w:p w14:paraId="5988CC44" w14:textId="77777777" w:rsidR="00827EAD" w:rsidRPr="008573D2" w:rsidRDefault="00827EAD" w:rsidP="00827EAD">
      <w:pPr>
        <w:spacing w:line="36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Baker, S., Nicholas, B. &amp; Davis, S.J. (2016). Measuring Economic Policy Uncertainty, </w:t>
      </w:r>
      <w:r w:rsidRPr="008573D2">
        <w:rPr>
          <w:rFonts w:ascii="Times New Roman" w:hAnsi="Times New Roman" w:cs="Times New Roman"/>
          <w:i/>
          <w:iCs/>
          <w:sz w:val="24"/>
          <w:szCs w:val="24"/>
        </w:rPr>
        <w:t>Quarterly Journal of Economics</w:t>
      </w:r>
      <w:r w:rsidRPr="008573D2">
        <w:rPr>
          <w:rFonts w:ascii="Times New Roman" w:hAnsi="Times New Roman" w:cs="Times New Roman"/>
          <w:sz w:val="24"/>
          <w:szCs w:val="24"/>
        </w:rPr>
        <w:t>, 131(4), pp. 1593 – 1636.</w:t>
      </w:r>
    </w:p>
    <w:p w14:paraId="70113AC5" w14:textId="77777777" w:rsidR="00827EAD" w:rsidRPr="008573D2" w:rsidRDefault="00827EAD" w:rsidP="00827EAD">
      <w:pPr>
        <w:spacing w:line="36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Baker, S., Bloom, N., Davis, S.J. &amp; </w:t>
      </w:r>
      <w:proofErr w:type="spellStart"/>
      <w:r w:rsidRPr="008573D2">
        <w:rPr>
          <w:rFonts w:ascii="Times New Roman" w:hAnsi="Times New Roman" w:cs="Times New Roman"/>
          <w:sz w:val="24"/>
          <w:szCs w:val="24"/>
        </w:rPr>
        <w:t>Kost</w:t>
      </w:r>
      <w:proofErr w:type="spellEnd"/>
      <w:r w:rsidRPr="008573D2">
        <w:rPr>
          <w:rFonts w:ascii="Times New Roman" w:hAnsi="Times New Roman" w:cs="Times New Roman"/>
          <w:sz w:val="24"/>
          <w:szCs w:val="24"/>
        </w:rPr>
        <w:t>, K.J. (2019). Policy News and Stock Market Volatility, NBER Working Paper No. 25720, National Bureau of Economic Research.</w:t>
      </w:r>
    </w:p>
    <w:p w14:paraId="60089140" w14:textId="6D91F912" w:rsidR="00827EAD" w:rsidRPr="008573D2" w:rsidRDefault="00827EAD" w:rsidP="00827EAD">
      <w:pPr>
        <w:spacing w:line="36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Baker, S. R., Bloom, N., Davis, S. J., </w:t>
      </w:r>
      <w:proofErr w:type="spellStart"/>
      <w:r w:rsidRPr="008573D2">
        <w:rPr>
          <w:rFonts w:ascii="Times New Roman" w:hAnsi="Times New Roman" w:cs="Times New Roman"/>
          <w:sz w:val="24"/>
          <w:szCs w:val="24"/>
        </w:rPr>
        <w:t>Kost</w:t>
      </w:r>
      <w:proofErr w:type="spellEnd"/>
      <w:r w:rsidRPr="008573D2">
        <w:rPr>
          <w:rFonts w:ascii="Times New Roman" w:hAnsi="Times New Roman" w:cs="Times New Roman"/>
          <w:sz w:val="24"/>
          <w:szCs w:val="24"/>
        </w:rPr>
        <w:t xml:space="preserve">, K., </w:t>
      </w:r>
      <w:proofErr w:type="spellStart"/>
      <w:r w:rsidRPr="008573D2">
        <w:rPr>
          <w:rFonts w:ascii="Times New Roman" w:hAnsi="Times New Roman" w:cs="Times New Roman"/>
          <w:sz w:val="24"/>
          <w:szCs w:val="24"/>
        </w:rPr>
        <w:t>Sammon</w:t>
      </w:r>
      <w:proofErr w:type="spellEnd"/>
      <w:r w:rsidRPr="008573D2">
        <w:rPr>
          <w:rFonts w:ascii="Times New Roman" w:hAnsi="Times New Roman" w:cs="Times New Roman"/>
          <w:sz w:val="24"/>
          <w:szCs w:val="24"/>
        </w:rPr>
        <w:t xml:space="preserve">, M. &amp; </w:t>
      </w:r>
      <w:proofErr w:type="spellStart"/>
      <w:r w:rsidRPr="008573D2">
        <w:rPr>
          <w:rFonts w:ascii="Times New Roman" w:hAnsi="Times New Roman" w:cs="Times New Roman"/>
          <w:sz w:val="24"/>
          <w:szCs w:val="24"/>
        </w:rPr>
        <w:t>Viratyosi</w:t>
      </w:r>
      <w:proofErr w:type="spellEnd"/>
      <w:r w:rsidRPr="008573D2">
        <w:rPr>
          <w:rFonts w:ascii="Times New Roman" w:hAnsi="Times New Roman" w:cs="Times New Roman"/>
          <w:sz w:val="24"/>
          <w:szCs w:val="24"/>
        </w:rPr>
        <w:t xml:space="preserve">, T. (2020). The </w:t>
      </w:r>
      <w:r w:rsidR="00183D0A" w:rsidRPr="008573D2">
        <w:rPr>
          <w:rFonts w:ascii="Times New Roman" w:hAnsi="Times New Roman" w:cs="Times New Roman"/>
          <w:sz w:val="24"/>
          <w:szCs w:val="24"/>
        </w:rPr>
        <w:t>U</w:t>
      </w:r>
      <w:r w:rsidRPr="008573D2">
        <w:rPr>
          <w:rFonts w:ascii="Times New Roman" w:hAnsi="Times New Roman" w:cs="Times New Roman"/>
          <w:sz w:val="24"/>
          <w:szCs w:val="24"/>
        </w:rPr>
        <w:t xml:space="preserve">nprecedented </w:t>
      </w:r>
      <w:r w:rsidR="00183D0A" w:rsidRPr="008573D2">
        <w:rPr>
          <w:rFonts w:ascii="Times New Roman" w:hAnsi="Times New Roman" w:cs="Times New Roman"/>
          <w:sz w:val="24"/>
          <w:szCs w:val="24"/>
        </w:rPr>
        <w:t>S</w:t>
      </w:r>
      <w:r w:rsidRPr="008573D2">
        <w:rPr>
          <w:rFonts w:ascii="Times New Roman" w:hAnsi="Times New Roman" w:cs="Times New Roman"/>
          <w:sz w:val="24"/>
          <w:szCs w:val="24"/>
        </w:rPr>
        <w:t xml:space="preserve">tock </w:t>
      </w:r>
      <w:r w:rsidR="00183D0A" w:rsidRPr="008573D2">
        <w:rPr>
          <w:rFonts w:ascii="Times New Roman" w:hAnsi="Times New Roman" w:cs="Times New Roman"/>
          <w:sz w:val="24"/>
          <w:szCs w:val="24"/>
        </w:rPr>
        <w:t>M</w:t>
      </w:r>
      <w:r w:rsidRPr="008573D2">
        <w:rPr>
          <w:rFonts w:ascii="Times New Roman" w:hAnsi="Times New Roman" w:cs="Times New Roman"/>
          <w:sz w:val="24"/>
          <w:szCs w:val="24"/>
        </w:rPr>
        <w:t xml:space="preserve">arket </w:t>
      </w:r>
      <w:r w:rsidR="00183D0A" w:rsidRPr="008573D2">
        <w:rPr>
          <w:rFonts w:ascii="Times New Roman" w:hAnsi="Times New Roman" w:cs="Times New Roman"/>
          <w:sz w:val="24"/>
          <w:szCs w:val="24"/>
        </w:rPr>
        <w:t>I</w:t>
      </w:r>
      <w:r w:rsidRPr="008573D2">
        <w:rPr>
          <w:rFonts w:ascii="Times New Roman" w:hAnsi="Times New Roman" w:cs="Times New Roman"/>
          <w:sz w:val="24"/>
          <w:szCs w:val="24"/>
        </w:rPr>
        <w:t>mpact of COVID-19. Working Paper 26945, National Bureau of Economic Research.</w:t>
      </w:r>
    </w:p>
    <w:p w14:paraId="43B91D7D" w14:textId="77777777" w:rsidR="00827EAD" w:rsidRPr="008573D2" w:rsidRDefault="00827EAD" w:rsidP="00827EAD">
      <w:pPr>
        <w:spacing w:line="360" w:lineRule="auto"/>
        <w:jc w:val="both"/>
        <w:rPr>
          <w:rFonts w:ascii="Times New Roman" w:hAnsi="Times New Roman" w:cs="Times New Roman"/>
          <w:sz w:val="24"/>
          <w:szCs w:val="24"/>
        </w:rPr>
      </w:pPr>
      <w:r w:rsidRPr="008573D2">
        <w:rPr>
          <w:rFonts w:ascii="Times New Roman" w:hAnsi="Times New Roman" w:cs="Times New Roman"/>
          <w:sz w:val="24"/>
          <w:szCs w:val="24"/>
        </w:rPr>
        <w:t>Baker, S.R., Bloom, N., Davis, S.J. &amp; Terry, S.J. (2020). COVID-Induced Economic Uncertainty. NBER Working Paper No. 26983, National Bureau of Economic Research, Cambridge, MA.</w:t>
      </w:r>
    </w:p>
    <w:p w14:paraId="2FAD2B10" w14:textId="77777777" w:rsidR="00827EAD" w:rsidRPr="008573D2" w:rsidRDefault="00827EAD" w:rsidP="00827EAD">
      <w:pPr>
        <w:spacing w:line="360" w:lineRule="auto"/>
        <w:jc w:val="both"/>
        <w:rPr>
          <w:rFonts w:ascii="Times New Roman" w:hAnsi="Times New Roman" w:cs="Times New Roman"/>
          <w:sz w:val="24"/>
          <w:szCs w:val="24"/>
        </w:rPr>
      </w:pPr>
      <w:proofErr w:type="spellStart"/>
      <w:r w:rsidRPr="008573D2">
        <w:rPr>
          <w:rFonts w:ascii="Times New Roman" w:hAnsi="Times New Roman" w:cs="Times New Roman"/>
          <w:sz w:val="24"/>
          <w:szCs w:val="24"/>
        </w:rPr>
        <w:lastRenderedPageBreak/>
        <w:t>Bakshi</w:t>
      </w:r>
      <w:proofErr w:type="spellEnd"/>
      <w:r w:rsidRPr="008573D2">
        <w:rPr>
          <w:rFonts w:ascii="Times New Roman" w:hAnsi="Times New Roman" w:cs="Times New Roman"/>
          <w:sz w:val="24"/>
          <w:szCs w:val="24"/>
        </w:rPr>
        <w:t xml:space="preserve">, G. &amp; Chen, Z. (1996). The Spirit of Capitalism and Stock Market Prices, </w:t>
      </w:r>
      <w:r w:rsidRPr="008573D2">
        <w:rPr>
          <w:rFonts w:ascii="Times New Roman" w:hAnsi="Times New Roman" w:cs="Times New Roman"/>
          <w:i/>
          <w:iCs/>
          <w:sz w:val="24"/>
          <w:szCs w:val="24"/>
        </w:rPr>
        <w:t>American Economic Review</w:t>
      </w:r>
      <w:r w:rsidRPr="008573D2">
        <w:rPr>
          <w:rFonts w:ascii="Times New Roman" w:hAnsi="Times New Roman" w:cs="Times New Roman"/>
          <w:sz w:val="24"/>
          <w:szCs w:val="24"/>
        </w:rPr>
        <w:t>, 86, pp. 133 – 157.</w:t>
      </w:r>
    </w:p>
    <w:p w14:paraId="2159D8CF" w14:textId="5E146E0E" w:rsidR="00827EAD" w:rsidRPr="008573D2" w:rsidRDefault="00827EAD" w:rsidP="00827EAD">
      <w:pPr>
        <w:spacing w:line="36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Bekaert, G., Harvey, C.R. &amp; Lundblad, C. (2005). Does </w:t>
      </w:r>
      <w:r w:rsidR="00C30023" w:rsidRPr="008573D2">
        <w:rPr>
          <w:rFonts w:ascii="Times New Roman" w:hAnsi="Times New Roman" w:cs="Times New Roman"/>
          <w:sz w:val="24"/>
          <w:szCs w:val="24"/>
        </w:rPr>
        <w:t>F</w:t>
      </w:r>
      <w:r w:rsidRPr="008573D2">
        <w:rPr>
          <w:rFonts w:ascii="Times New Roman" w:hAnsi="Times New Roman" w:cs="Times New Roman"/>
          <w:sz w:val="24"/>
          <w:szCs w:val="24"/>
        </w:rPr>
        <w:t xml:space="preserve">inancial </w:t>
      </w:r>
      <w:r w:rsidR="00C30023" w:rsidRPr="008573D2">
        <w:rPr>
          <w:rFonts w:ascii="Times New Roman" w:hAnsi="Times New Roman" w:cs="Times New Roman"/>
          <w:sz w:val="24"/>
          <w:szCs w:val="24"/>
        </w:rPr>
        <w:t>L</w:t>
      </w:r>
      <w:r w:rsidRPr="008573D2">
        <w:rPr>
          <w:rFonts w:ascii="Times New Roman" w:hAnsi="Times New Roman" w:cs="Times New Roman"/>
          <w:sz w:val="24"/>
          <w:szCs w:val="24"/>
        </w:rPr>
        <w:t xml:space="preserve">iberalization </w:t>
      </w:r>
      <w:r w:rsidR="00C30023" w:rsidRPr="008573D2">
        <w:rPr>
          <w:rFonts w:ascii="Times New Roman" w:hAnsi="Times New Roman" w:cs="Times New Roman"/>
          <w:sz w:val="24"/>
          <w:szCs w:val="24"/>
        </w:rPr>
        <w:t>S</w:t>
      </w:r>
      <w:r w:rsidRPr="008573D2">
        <w:rPr>
          <w:rFonts w:ascii="Times New Roman" w:hAnsi="Times New Roman" w:cs="Times New Roman"/>
          <w:sz w:val="24"/>
          <w:szCs w:val="24"/>
        </w:rPr>
        <w:t xml:space="preserve">pur </w:t>
      </w:r>
      <w:r w:rsidR="00C30023" w:rsidRPr="008573D2">
        <w:rPr>
          <w:rFonts w:ascii="Times New Roman" w:hAnsi="Times New Roman" w:cs="Times New Roman"/>
          <w:sz w:val="24"/>
          <w:szCs w:val="24"/>
        </w:rPr>
        <w:t>G</w:t>
      </w:r>
      <w:r w:rsidRPr="008573D2">
        <w:rPr>
          <w:rFonts w:ascii="Times New Roman" w:hAnsi="Times New Roman" w:cs="Times New Roman"/>
          <w:sz w:val="24"/>
          <w:szCs w:val="24"/>
        </w:rPr>
        <w:t xml:space="preserve">rowth? </w:t>
      </w:r>
      <w:r w:rsidRPr="008573D2">
        <w:rPr>
          <w:rFonts w:ascii="Times New Roman" w:hAnsi="Times New Roman" w:cs="Times New Roman"/>
          <w:i/>
          <w:iCs/>
          <w:sz w:val="24"/>
          <w:szCs w:val="24"/>
        </w:rPr>
        <w:t>Journal of Financial Economics</w:t>
      </w:r>
      <w:r w:rsidRPr="008573D2">
        <w:rPr>
          <w:rFonts w:ascii="Times New Roman" w:hAnsi="Times New Roman" w:cs="Times New Roman"/>
          <w:sz w:val="24"/>
          <w:szCs w:val="24"/>
        </w:rPr>
        <w:t>, 77, pp. 3 – 55.</w:t>
      </w:r>
    </w:p>
    <w:p w14:paraId="0EDF486E" w14:textId="77777777" w:rsidR="00827EAD" w:rsidRPr="008573D2" w:rsidRDefault="00827EAD" w:rsidP="00827EAD">
      <w:pPr>
        <w:spacing w:line="36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Black, F. (1976). Studies of Stock Price Volatility Changes. Proceedings of the 1976 Meetings of the American Statistical Association, Business and </w:t>
      </w:r>
      <w:proofErr w:type="spellStart"/>
      <w:r w:rsidRPr="008573D2">
        <w:rPr>
          <w:rFonts w:ascii="Times New Roman" w:hAnsi="Times New Roman" w:cs="Times New Roman"/>
          <w:sz w:val="24"/>
          <w:szCs w:val="24"/>
        </w:rPr>
        <w:t>Economical</w:t>
      </w:r>
      <w:proofErr w:type="spellEnd"/>
      <w:r w:rsidRPr="008573D2">
        <w:rPr>
          <w:rFonts w:ascii="Times New Roman" w:hAnsi="Times New Roman" w:cs="Times New Roman"/>
          <w:sz w:val="24"/>
          <w:szCs w:val="24"/>
        </w:rPr>
        <w:t xml:space="preserve"> Statistics Section, pp. 177 – 181.</w:t>
      </w:r>
    </w:p>
    <w:p w14:paraId="26EA6586" w14:textId="77777777" w:rsidR="00827EAD" w:rsidRPr="008573D2" w:rsidRDefault="00827EAD" w:rsidP="00827EAD">
      <w:pPr>
        <w:spacing w:line="36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Bloom, N., Bond, S. &amp; Reenen, J.V. (2007). Uncertainty and Investment Dynamics, </w:t>
      </w:r>
      <w:r w:rsidRPr="008573D2">
        <w:rPr>
          <w:rFonts w:ascii="Times New Roman" w:hAnsi="Times New Roman" w:cs="Times New Roman"/>
          <w:i/>
          <w:iCs/>
          <w:sz w:val="24"/>
          <w:szCs w:val="24"/>
        </w:rPr>
        <w:t>Review of Economic Studies</w:t>
      </w:r>
      <w:r w:rsidRPr="008573D2">
        <w:rPr>
          <w:rFonts w:ascii="Times New Roman" w:hAnsi="Times New Roman" w:cs="Times New Roman"/>
          <w:sz w:val="24"/>
          <w:szCs w:val="24"/>
        </w:rPr>
        <w:t>, 74, pp. 391 – 415.</w:t>
      </w:r>
    </w:p>
    <w:p w14:paraId="09459D0D" w14:textId="7533659E" w:rsidR="00827EAD" w:rsidRPr="008573D2" w:rsidRDefault="00827EAD" w:rsidP="00827EAD">
      <w:pPr>
        <w:spacing w:after="200" w:line="360" w:lineRule="auto"/>
        <w:jc w:val="both"/>
        <w:rPr>
          <w:rFonts w:ascii="Times New Roman" w:hAnsi="Times New Roman" w:cs="Times New Roman"/>
          <w:sz w:val="24"/>
          <w:szCs w:val="24"/>
        </w:rPr>
      </w:pPr>
      <w:proofErr w:type="spellStart"/>
      <w:r w:rsidRPr="008573D2">
        <w:rPr>
          <w:rFonts w:ascii="Times New Roman" w:hAnsi="Times New Roman" w:cs="Times New Roman"/>
          <w:sz w:val="24"/>
          <w:szCs w:val="24"/>
        </w:rPr>
        <w:t>Bollerslev</w:t>
      </w:r>
      <w:proofErr w:type="spellEnd"/>
      <w:r w:rsidRPr="008573D2">
        <w:rPr>
          <w:rFonts w:ascii="Times New Roman" w:hAnsi="Times New Roman" w:cs="Times New Roman"/>
          <w:sz w:val="24"/>
          <w:szCs w:val="24"/>
        </w:rPr>
        <w:t xml:space="preserve">, T. (1990). Modelling the </w:t>
      </w:r>
      <w:r w:rsidR="00C30023" w:rsidRPr="008573D2">
        <w:rPr>
          <w:rFonts w:ascii="Times New Roman" w:hAnsi="Times New Roman" w:cs="Times New Roman"/>
          <w:sz w:val="24"/>
          <w:szCs w:val="24"/>
        </w:rPr>
        <w:t>C</w:t>
      </w:r>
      <w:r w:rsidRPr="008573D2">
        <w:rPr>
          <w:rFonts w:ascii="Times New Roman" w:hAnsi="Times New Roman" w:cs="Times New Roman"/>
          <w:sz w:val="24"/>
          <w:szCs w:val="24"/>
        </w:rPr>
        <w:t xml:space="preserve">oherence in </w:t>
      </w:r>
      <w:r w:rsidR="00C30023" w:rsidRPr="008573D2">
        <w:rPr>
          <w:rFonts w:ascii="Times New Roman" w:hAnsi="Times New Roman" w:cs="Times New Roman"/>
          <w:sz w:val="24"/>
          <w:szCs w:val="24"/>
        </w:rPr>
        <w:t>S</w:t>
      </w:r>
      <w:r w:rsidRPr="008573D2">
        <w:rPr>
          <w:rFonts w:ascii="Times New Roman" w:hAnsi="Times New Roman" w:cs="Times New Roman"/>
          <w:sz w:val="24"/>
          <w:szCs w:val="24"/>
        </w:rPr>
        <w:t xml:space="preserve">hort-run </w:t>
      </w:r>
      <w:r w:rsidR="00C30023" w:rsidRPr="008573D2">
        <w:rPr>
          <w:rFonts w:ascii="Times New Roman" w:hAnsi="Times New Roman" w:cs="Times New Roman"/>
          <w:sz w:val="24"/>
          <w:szCs w:val="24"/>
        </w:rPr>
        <w:t>N</w:t>
      </w:r>
      <w:r w:rsidRPr="008573D2">
        <w:rPr>
          <w:rFonts w:ascii="Times New Roman" w:hAnsi="Times New Roman" w:cs="Times New Roman"/>
          <w:sz w:val="24"/>
          <w:szCs w:val="24"/>
        </w:rPr>
        <w:t xml:space="preserve">ominal </w:t>
      </w:r>
      <w:r w:rsidR="00C30023" w:rsidRPr="008573D2">
        <w:rPr>
          <w:rFonts w:ascii="Times New Roman" w:hAnsi="Times New Roman" w:cs="Times New Roman"/>
          <w:sz w:val="24"/>
          <w:szCs w:val="24"/>
        </w:rPr>
        <w:t>E</w:t>
      </w:r>
      <w:r w:rsidRPr="008573D2">
        <w:rPr>
          <w:rFonts w:ascii="Times New Roman" w:hAnsi="Times New Roman" w:cs="Times New Roman"/>
          <w:sz w:val="24"/>
          <w:szCs w:val="24"/>
        </w:rPr>
        <w:t xml:space="preserve">xchange </w:t>
      </w:r>
      <w:r w:rsidR="00C30023" w:rsidRPr="008573D2">
        <w:rPr>
          <w:rFonts w:ascii="Times New Roman" w:hAnsi="Times New Roman" w:cs="Times New Roman"/>
          <w:sz w:val="24"/>
          <w:szCs w:val="24"/>
        </w:rPr>
        <w:t>R</w:t>
      </w:r>
      <w:r w:rsidRPr="008573D2">
        <w:rPr>
          <w:rFonts w:ascii="Times New Roman" w:hAnsi="Times New Roman" w:cs="Times New Roman"/>
          <w:sz w:val="24"/>
          <w:szCs w:val="24"/>
        </w:rPr>
        <w:t xml:space="preserve">ate: </w:t>
      </w:r>
      <w:r w:rsidR="00C30023" w:rsidRPr="008573D2">
        <w:rPr>
          <w:rFonts w:ascii="Times New Roman" w:hAnsi="Times New Roman" w:cs="Times New Roman"/>
          <w:sz w:val="24"/>
          <w:szCs w:val="24"/>
        </w:rPr>
        <w:t>A</w:t>
      </w:r>
      <w:r w:rsidRPr="008573D2">
        <w:rPr>
          <w:rFonts w:ascii="Times New Roman" w:hAnsi="Times New Roman" w:cs="Times New Roman"/>
          <w:sz w:val="24"/>
          <w:szCs w:val="24"/>
        </w:rPr>
        <w:t xml:space="preserve"> </w:t>
      </w:r>
      <w:r w:rsidR="00C30023" w:rsidRPr="008573D2">
        <w:rPr>
          <w:rFonts w:ascii="Times New Roman" w:hAnsi="Times New Roman" w:cs="Times New Roman"/>
          <w:sz w:val="24"/>
          <w:szCs w:val="24"/>
        </w:rPr>
        <w:t>M</w:t>
      </w:r>
      <w:r w:rsidRPr="008573D2">
        <w:rPr>
          <w:rFonts w:ascii="Times New Roman" w:hAnsi="Times New Roman" w:cs="Times New Roman"/>
          <w:sz w:val="24"/>
          <w:szCs w:val="24"/>
        </w:rPr>
        <w:t xml:space="preserve">ultivariate </w:t>
      </w:r>
      <w:r w:rsidR="00C30023" w:rsidRPr="008573D2">
        <w:rPr>
          <w:rFonts w:ascii="Times New Roman" w:hAnsi="Times New Roman" w:cs="Times New Roman"/>
          <w:sz w:val="24"/>
          <w:szCs w:val="24"/>
        </w:rPr>
        <w:t>G</w:t>
      </w:r>
      <w:r w:rsidRPr="008573D2">
        <w:rPr>
          <w:rFonts w:ascii="Times New Roman" w:hAnsi="Times New Roman" w:cs="Times New Roman"/>
          <w:sz w:val="24"/>
          <w:szCs w:val="24"/>
        </w:rPr>
        <w:t xml:space="preserve">eneralized ARCH </w:t>
      </w:r>
      <w:r w:rsidR="00C30023" w:rsidRPr="008573D2">
        <w:rPr>
          <w:rFonts w:ascii="Times New Roman" w:hAnsi="Times New Roman" w:cs="Times New Roman"/>
          <w:sz w:val="24"/>
          <w:szCs w:val="24"/>
        </w:rPr>
        <w:t>A</w:t>
      </w:r>
      <w:r w:rsidRPr="008573D2">
        <w:rPr>
          <w:rFonts w:ascii="Times New Roman" w:hAnsi="Times New Roman" w:cs="Times New Roman"/>
          <w:sz w:val="24"/>
          <w:szCs w:val="24"/>
        </w:rPr>
        <w:t xml:space="preserve">pproach. </w:t>
      </w:r>
      <w:r w:rsidRPr="008573D2">
        <w:rPr>
          <w:rFonts w:ascii="Times New Roman" w:hAnsi="Times New Roman" w:cs="Times New Roman"/>
          <w:i/>
          <w:iCs/>
          <w:sz w:val="24"/>
          <w:szCs w:val="24"/>
        </w:rPr>
        <w:t>Review of Economic Statistics</w:t>
      </w:r>
      <w:r w:rsidRPr="008573D2">
        <w:rPr>
          <w:rFonts w:ascii="Times New Roman" w:hAnsi="Times New Roman" w:cs="Times New Roman"/>
          <w:sz w:val="24"/>
          <w:szCs w:val="24"/>
        </w:rPr>
        <w:t>, 72 (3), pp. 498–505.</w:t>
      </w:r>
    </w:p>
    <w:p w14:paraId="4EA6A741" w14:textId="5176B64A" w:rsidR="00827EAD" w:rsidRPr="008573D2" w:rsidRDefault="00827EAD" w:rsidP="00827EAD">
      <w:pPr>
        <w:spacing w:line="360" w:lineRule="auto"/>
        <w:jc w:val="both"/>
        <w:rPr>
          <w:rFonts w:ascii="Times New Roman" w:hAnsi="Times New Roman" w:cs="Times New Roman"/>
          <w:sz w:val="24"/>
          <w:szCs w:val="24"/>
        </w:rPr>
      </w:pPr>
      <w:proofErr w:type="spellStart"/>
      <w:r w:rsidRPr="008573D2">
        <w:rPr>
          <w:rFonts w:ascii="Times New Roman" w:hAnsi="Times New Roman" w:cs="Times New Roman"/>
          <w:sz w:val="24"/>
          <w:szCs w:val="24"/>
        </w:rPr>
        <w:t>Borjigin</w:t>
      </w:r>
      <w:proofErr w:type="spellEnd"/>
      <w:r w:rsidRPr="008573D2">
        <w:rPr>
          <w:rFonts w:ascii="Times New Roman" w:hAnsi="Times New Roman" w:cs="Times New Roman"/>
          <w:sz w:val="24"/>
          <w:szCs w:val="24"/>
        </w:rPr>
        <w:t xml:space="preserve">, S., Gao, T., Sun, Y. &amp; An, B. (2020). For </w:t>
      </w:r>
      <w:r w:rsidR="00C44951" w:rsidRPr="008573D2">
        <w:rPr>
          <w:rFonts w:ascii="Times New Roman" w:hAnsi="Times New Roman" w:cs="Times New Roman"/>
          <w:sz w:val="24"/>
          <w:szCs w:val="24"/>
        </w:rPr>
        <w:t>E</w:t>
      </w:r>
      <w:r w:rsidRPr="008573D2">
        <w:rPr>
          <w:rFonts w:ascii="Times New Roman" w:hAnsi="Times New Roman" w:cs="Times New Roman"/>
          <w:sz w:val="24"/>
          <w:szCs w:val="24"/>
        </w:rPr>
        <w:t xml:space="preserve">vil </w:t>
      </w:r>
      <w:r w:rsidR="00C44951" w:rsidRPr="008573D2">
        <w:rPr>
          <w:rFonts w:ascii="Times New Roman" w:hAnsi="Times New Roman" w:cs="Times New Roman"/>
          <w:sz w:val="24"/>
          <w:szCs w:val="24"/>
        </w:rPr>
        <w:t>N</w:t>
      </w:r>
      <w:r w:rsidRPr="008573D2">
        <w:rPr>
          <w:rFonts w:ascii="Times New Roman" w:hAnsi="Times New Roman" w:cs="Times New Roman"/>
          <w:sz w:val="24"/>
          <w:szCs w:val="24"/>
        </w:rPr>
        <w:t xml:space="preserve">ews </w:t>
      </w:r>
      <w:r w:rsidR="00C44951" w:rsidRPr="008573D2">
        <w:rPr>
          <w:rFonts w:ascii="Times New Roman" w:hAnsi="Times New Roman" w:cs="Times New Roman"/>
          <w:sz w:val="24"/>
          <w:szCs w:val="24"/>
        </w:rPr>
        <w:t>R</w:t>
      </w:r>
      <w:r w:rsidRPr="008573D2">
        <w:rPr>
          <w:rFonts w:ascii="Times New Roman" w:hAnsi="Times New Roman" w:cs="Times New Roman"/>
          <w:sz w:val="24"/>
          <w:szCs w:val="24"/>
        </w:rPr>
        <w:t xml:space="preserve">ides </w:t>
      </w:r>
      <w:r w:rsidR="00C44951" w:rsidRPr="008573D2">
        <w:rPr>
          <w:rFonts w:ascii="Times New Roman" w:hAnsi="Times New Roman" w:cs="Times New Roman"/>
          <w:sz w:val="24"/>
          <w:szCs w:val="24"/>
        </w:rPr>
        <w:t>F</w:t>
      </w:r>
      <w:r w:rsidRPr="008573D2">
        <w:rPr>
          <w:rFonts w:ascii="Times New Roman" w:hAnsi="Times New Roman" w:cs="Times New Roman"/>
          <w:sz w:val="24"/>
          <w:szCs w:val="24"/>
        </w:rPr>
        <w:t>ast, while</w:t>
      </w:r>
      <w:r w:rsidR="00C44951" w:rsidRPr="008573D2">
        <w:rPr>
          <w:rFonts w:ascii="Times New Roman" w:hAnsi="Times New Roman" w:cs="Times New Roman"/>
          <w:sz w:val="24"/>
          <w:szCs w:val="24"/>
        </w:rPr>
        <w:t xml:space="preserve"> G</w:t>
      </w:r>
      <w:r w:rsidRPr="008573D2">
        <w:rPr>
          <w:rFonts w:ascii="Times New Roman" w:hAnsi="Times New Roman" w:cs="Times New Roman"/>
          <w:sz w:val="24"/>
          <w:szCs w:val="24"/>
        </w:rPr>
        <w:t xml:space="preserve">ood </w:t>
      </w:r>
      <w:r w:rsidR="00C44951" w:rsidRPr="008573D2">
        <w:rPr>
          <w:rFonts w:ascii="Times New Roman" w:hAnsi="Times New Roman" w:cs="Times New Roman"/>
          <w:sz w:val="24"/>
          <w:szCs w:val="24"/>
        </w:rPr>
        <w:t>N</w:t>
      </w:r>
      <w:r w:rsidRPr="008573D2">
        <w:rPr>
          <w:rFonts w:ascii="Times New Roman" w:hAnsi="Times New Roman" w:cs="Times New Roman"/>
          <w:sz w:val="24"/>
          <w:szCs w:val="24"/>
        </w:rPr>
        <w:t xml:space="preserve">ews </w:t>
      </w:r>
      <w:r w:rsidR="00C44951" w:rsidRPr="008573D2">
        <w:rPr>
          <w:rFonts w:ascii="Times New Roman" w:hAnsi="Times New Roman" w:cs="Times New Roman"/>
          <w:sz w:val="24"/>
          <w:szCs w:val="24"/>
        </w:rPr>
        <w:t>B</w:t>
      </w:r>
      <w:r w:rsidRPr="008573D2">
        <w:rPr>
          <w:rFonts w:ascii="Times New Roman" w:hAnsi="Times New Roman" w:cs="Times New Roman"/>
          <w:sz w:val="24"/>
          <w:szCs w:val="24"/>
        </w:rPr>
        <w:t xml:space="preserve">aits </w:t>
      </w:r>
      <w:r w:rsidR="00C44951" w:rsidRPr="008573D2">
        <w:rPr>
          <w:rFonts w:ascii="Times New Roman" w:hAnsi="Times New Roman" w:cs="Times New Roman"/>
          <w:sz w:val="24"/>
          <w:szCs w:val="24"/>
        </w:rPr>
        <w:t>L</w:t>
      </w:r>
      <w:r w:rsidRPr="008573D2">
        <w:rPr>
          <w:rFonts w:ascii="Times New Roman" w:hAnsi="Times New Roman" w:cs="Times New Roman"/>
          <w:sz w:val="24"/>
          <w:szCs w:val="24"/>
        </w:rPr>
        <w:t xml:space="preserve">ater? – A </w:t>
      </w:r>
      <w:r w:rsidR="00C44951" w:rsidRPr="008573D2">
        <w:rPr>
          <w:rFonts w:ascii="Times New Roman" w:hAnsi="Times New Roman" w:cs="Times New Roman"/>
          <w:sz w:val="24"/>
          <w:szCs w:val="24"/>
        </w:rPr>
        <w:t>N</w:t>
      </w:r>
      <w:r w:rsidRPr="008573D2">
        <w:rPr>
          <w:rFonts w:ascii="Times New Roman" w:hAnsi="Times New Roman" w:cs="Times New Roman"/>
          <w:sz w:val="24"/>
          <w:szCs w:val="24"/>
        </w:rPr>
        <w:t xml:space="preserve">etwork </w:t>
      </w:r>
      <w:r w:rsidR="00C44951" w:rsidRPr="008573D2">
        <w:rPr>
          <w:rFonts w:ascii="Times New Roman" w:hAnsi="Times New Roman" w:cs="Times New Roman"/>
          <w:sz w:val="24"/>
          <w:szCs w:val="24"/>
        </w:rPr>
        <w:t>B</w:t>
      </w:r>
      <w:r w:rsidRPr="008573D2">
        <w:rPr>
          <w:rFonts w:ascii="Times New Roman" w:hAnsi="Times New Roman" w:cs="Times New Roman"/>
          <w:sz w:val="24"/>
          <w:szCs w:val="24"/>
        </w:rPr>
        <w:t xml:space="preserve">ased </w:t>
      </w:r>
      <w:r w:rsidR="00C44951" w:rsidRPr="008573D2">
        <w:rPr>
          <w:rFonts w:ascii="Times New Roman" w:hAnsi="Times New Roman" w:cs="Times New Roman"/>
          <w:sz w:val="24"/>
          <w:szCs w:val="24"/>
        </w:rPr>
        <w:t>A</w:t>
      </w:r>
      <w:r w:rsidRPr="008573D2">
        <w:rPr>
          <w:rFonts w:ascii="Times New Roman" w:hAnsi="Times New Roman" w:cs="Times New Roman"/>
          <w:sz w:val="24"/>
          <w:szCs w:val="24"/>
        </w:rPr>
        <w:t xml:space="preserve">nalysis in Chinese </w:t>
      </w:r>
      <w:r w:rsidR="00C44951" w:rsidRPr="008573D2">
        <w:rPr>
          <w:rFonts w:ascii="Times New Roman" w:hAnsi="Times New Roman" w:cs="Times New Roman"/>
          <w:sz w:val="24"/>
          <w:szCs w:val="24"/>
        </w:rPr>
        <w:t>S</w:t>
      </w:r>
      <w:r w:rsidRPr="008573D2">
        <w:rPr>
          <w:rFonts w:ascii="Times New Roman" w:hAnsi="Times New Roman" w:cs="Times New Roman"/>
          <w:sz w:val="24"/>
          <w:szCs w:val="24"/>
        </w:rPr>
        <w:t xml:space="preserve">tock </w:t>
      </w:r>
      <w:r w:rsidR="00C44951" w:rsidRPr="008573D2">
        <w:rPr>
          <w:rFonts w:ascii="Times New Roman" w:hAnsi="Times New Roman" w:cs="Times New Roman"/>
          <w:sz w:val="24"/>
          <w:szCs w:val="24"/>
        </w:rPr>
        <w:t>M</w:t>
      </w:r>
      <w:r w:rsidRPr="008573D2">
        <w:rPr>
          <w:rFonts w:ascii="Times New Roman" w:hAnsi="Times New Roman" w:cs="Times New Roman"/>
          <w:sz w:val="24"/>
          <w:szCs w:val="24"/>
        </w:rPr>
        <w:t xml:space="preserve">arket, </w:t>
      </w:r>
      <w:proofErr w:type="spellStart"/>
      <w:r w:rsidRPr="008573D2">
        <w:rPr>
          <w:rFonts w:ascii="Times New Roman" w:hAnsi="Times New Roman" w:cs="Times New Roman"/>
          <w:i/>
          <w:iCs/>
          <w:sz w:val="24"/>
          <w:szCs w:val="24"/>
        </w:rPr>
        <w:t>Physica</w:t>
      </w:r>
      <w:proofErr w:type="spellEnd"/>
      <w:r w:rsidRPr="008573D2">
        <w:rPr>
          <w:rFonts w:ascii="Times New Roman" w:hAnsi="Times New Roman" w:cs="Times New Roman"/>
          <w:i/>
          <w:iCs/>
          <w:sz w:val="24"/>
          <w:szCs w:val="24"/>
        </w:rPr>
        <w:t xml:space="preserve"> A</w:t>
      </w:r>
      <w:r w:rsidRPr="008573D2">
        <w:rPr>
          <w:rFonts w:ascii="Times New Roman" w:hAnsi="Times New Roman" w:cs="Times New Roman"/>
          <w:sz w:val="24"/>
          <w:szCs w:val="24"/>
        </w:rPr>
        <w:t>, 551, pp. 1 – 18.</w:t>
      </w:r>
    </w:p>
    <w:p w14:paraId="6A6B56E8" w14:textId="77777777" w:rsidR="00827EAD" w:rsidRPr="008573D2" w:rsidRDefault="00827EAD" w:rsidP="00827EAD">
      <w:pPr>
        <w:spacing w:line="360" w:lineRule="auto"/>
        <w:jc w:val="both"/>
        <w:rPr>
          <w:rFonts w:ascii="Times New Roman" w:hAnsi="Times New Roman" w:cs="Times New Roman"/>
          <w:sz w:val="24"/>
          <w:szCs w:val="24"/>
        </w:rPr>
      </w:pPr>
      <w:proofErr w:type="spellStart"/>
      <w:r w:rsidRPr="008573D2">
        <w:rPr>
          <w:rFonts w:ascii="Times New Roman" w:hAnsi="Times New Roman" w:cs="Times New Roman"/>
          <w:sz w:val="24"/>
          <w:szCs w:val="24"/>
        </w:rPr>
        <w:t>Briguglio</w:t>
      </w:r>
      <w:proofErr w:type="spellEnd"/>
      <w:r w:rsidRPr="008573D2">
        <w:rPr>
          <w:rFonts w:ascii="Times New Roman" w:hAnsi="Times New Roman" w:cs="Times New Roman"/>
          <w:sz w:val="24"/>
          <w:szCs w:val="24"/>
        </w:rPr>
        <w:t xml:space="preserve">, L., </w:t>
      </w:r>
      <w:proofErr w:type="spellStart"/>
      <w:r w:rsidRPr="008573D2">
        <w:rPr>
          <w:rFonts w:ascii="Times New Roman" w:hAnsi="Times New Roman" w:cs="Times New Roman"/>
          <w:sz w:val="24"/>
          <w:szCs w:val="24"/>
        </w:rPr>
        <w:t>Cordina</w:t>
      </w:r>
      <w:proofErr w:type="spellEnd"/>
      <w:r w:rsidRPr="008573D2">
        <w:rPr>
          <w:rFonts w:ascii="Times New Roman" w:hAnsi="Times New Roman" w:cs="Times New Roman"/>
          <w:sz w:val="24"/>
          <w:szCs w:val="24"/>
        </w:rPr>
        <w:t xml:space="preserve">, G., Farrugia, N. &amp; Vella, S. (2009). Economic Vulnerability and Resilience: Concepts and Measurements, </w:t>
      </w:r>
      <w:r w:rsidRPr="008573D2">
        <w:rPr>
          <w:rFonts w:ascii="Times New Roman" w:hAnsi="Times New Roman" w:cs="Times New Roman"/>
          <w:i/>
          <w:iCs/>
          <w:sz w:val="24"/>
          <w:szCs w:val="24"/>
        </w:rPr>
        <w:t>Oxford Development Studies</w:t>
      </w:r>
      <w:r w:rsidRPr="008573D2">
        <w:rPr>
          <w:rFonts w:ascii="Times New Roman" w:hAnsi="Times New Roman" w:cs="Times New Roman"/>
          <w:sz w:val="24"/>
          <w:szCs w:val="24"/>
        </w:rPr>
        <w:t>, 37(3), pp. 229 – 247.</w:t>
      </w:r>
    </w:p>
    <w:p w14:paraId="32F1EA82" w14:textId="4D311BE5" w:rsidR="00827EAD" w:rsidRPr="008573D2" w:rsidRDefault="00827EAD" w:rsidP="00827EAD">
      <w:pPr>
        <w:spacing w:line="36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Choudhury, T., Papadimitriou, F.I. &amp; </w:t>
      </w:r>
      <w:proofErr w:type="spellStart"/>
      <w:r w:rsidRPr="008573D2">
        <w:rPr>
          <w:rFonts w:ascii="Times New Roman" w:hAnsi="Times New Roman" w:cs="Times New Roman"/>
          <w:sz w:val="24"/>
          <w:szCs w:val="24"/>
        </w:rPr>
        <w:t>Shabi</w:t>
      </w:r>
      <w:proofErr w:type="spellEnd"/>
      <w:r w:rsidRPr="008573D2">
        <w:rPr>
          <w:rFonts w:ascii="Times New Roman" w:hAnsi="Times New Roman" w:cs="Times New Roman"/>
          <w:sz w:val="24"/>
          <w:szCs w:val="24"/>
        </w:rPr>
        <w:t xml:space="preserve">, S. (2016). Stock </w:t>
      </w:r>
      <w:r w:rsidR="00C44951" w:rsidRPr="008573D2">
        <w:rPr>
          <w:rFonts w:ascii="Times New Roman" w:hAnsi="Times New Roman" w:cs="Times New Roman"/>
          <w:sz w:val="24"/>
          <w:szCs w:val="24"/>
        </w:rPr>
        <w:t>M</w:t>
      </w:r>
      <w:r w:rsidRPr="008573D2">
        <w:rPr>
          <w:rFonts w:ascii="Times New Roman" w:hAnsi="Times New Roman" w:cs="Times New Roman"/>
          <w:sz w:val="24"/>
          <w:szCs w:val="24"/>
        </w:rPr>
        <w:t xml:space="preserve">arket </w:t>
      </w:r>
      <w:r w:rsidR="00C44951" w:rsidRPr="008573D2">
        <w:rPr>
          <w:rFonts w:ascii="Times New Roman" w:hAnsi="Times New Roman" w:cs="Times New Roman"/>
          <w:sz w:val="24"/>
          <w:szCs w:val="24"/>
        </w:rPr>
        <w:t>V</w:t>
      </w:r>
      <w:r w:rsidRPr="008573D2">
        <w:rPr>
          <w:rFonts w:ascii="Times New Roman" w:hAnsi="Times New Roman" w:cs="Times New Roman"/>
          <w:sz w:val="24"/>
          <w:szCs w:val="24"/>
        </w:rPr>
        <w:t xml:space="preserve">olatility and </w:t>
      </w:r>
      <w:r w:rsidR="00C44951" w:rsidRPr="008573D2">
        <w:rPr>
          <w:rFonts w:ascii="Times New Roman" w:hAnsi="Times New Roman" w:cs="Times New Roman"/>
          <w:sz w:val="24"/>
          <w:szCs w:val="24"/>
        </w:rPr>
        <w:t>B</w:t>
      </w:r>
      <w:r w:rsidRPr="008573D2">
        <w:rPr>
          <w:rFonts w:ascii="Times New Roman" w:hAnsi="Times New Roman" w:cs="Times New Roman"/>
          <w:sz w:val="24"/>
          <w:szCs w:val="24"/>
        </w:rPr>
        <w:t xml:space="preserve">usiness </w:t>
      </w:r>
      <w:r w:rsidR="00C44951" w:rsidRPr="008573D2">
        <w:rPr>
          <w:rFonts w:ascii="Times New Roman" w:hAnsi="Times New Roman" w:cs="Times New Roman"/>
          <w:sz w:val="24"/>
          <w:szCs w:val="24"/>
        </w:rPr>
        <w:t>C</w:t>
      </w:r>
      <w:r w:rsidRPr="008573D2">
        <w:rPr>
          <w:rFonts w:ascii="Times New Roman" w:hAnsi="Times New Roman" w:cs="Times New Roman"/>
          <w:sz w:val="24"/>
          <w:szCs w:val="24"/>
        </w:rPr>
        <w:t xml:space="preserve">ycle: Evidence from </w:t>
      </w:r>
      <w:r w:rsidR="00C44951" w:rsidRPr="008573D2">
        <w:rPr>
          <w:rFonts w:ascii="Times New Roman" w:hAnsi="Times New Roman" w:cs="Times New Roman"/>
          <w:sz w:val="24"/>
          <w:szCs w:val="24"/>
        </w:rPr>
        <w:t>L</w:t>
      </w:r>
      <w:r w:rsidRPr="008573D2">
        <w:rPr>
          <w:rFonts w:ascii="Times New Roman" w:hAnsi="Times New Roman" w:cs="Times New Roman"/>
          <w:sz w:val="24"/>
          <w:szCs w:val="24"/>
        </w:rPr>
        <w:t xml:space="preserve">inear and </w:t>
      </w:r>
      <w:r w:rsidR="00C44951" w:rsidRPr="008573D2">
        <w:rPr>
          <w:rFonts w:ascii="Times New Roman" w:hAnsi="Times New Roman" w:cs="Times New Roman"/>
          <w:sz w:val="24"/>
          <w:szCs w:val="24"/>
        </w:rPr>
        <w:t>N</w:t>
      </w:r>
      <w:r w:rsidRPr="008573D2">
        <w:rPr>
          <w:rFonts w:ascii="Times New Roman" w:hAnsi="Times New Roman" w:cs="Times New Roman"/>
          <w:sz w:val="24"/>
          <w:szCs w:val="24"/>
        </w:rPr>
        <w:t xml:space="preserve">onlinear </w:t>
      </w:r>
      <w:r w:rsidR="00C44951" w:rsidRPr="008573D2">
        <w:rPr>
          <w:rFonts w:ascii="Times New Roman" w:hAnsi="Times New Roman" w:cs="Times New Roman"/>
          <w:sz w:val="24"/>
          <w:szCs w:val="24"/>
        </w:rPr>
        <w:t>C</w:t>
      </w:r>
      <w:r w:rsidRPr="008573D2">
        <w:rPr>
          <w:rFonts w:ascii="Times New Roman" w:hAnsi="Times New Roman" w:cs="Times New Roman"/>
          <w:sz w:val="24"/>
          <w:szCs w:val="24"/>
        </w:rPr>
        <w:t xml:space="preserve">ausality </w:t>
      </w:r>
      <w:r w:rsidR="00C44951" w:rsidRPr="008573D2">
        <w:rPr>
          <w:rFonts w:ascii="Times New Roman" w:hAnsi="Times New Roman" w:cs="Times New Roman"/>
          <w:sz w:val="24"/>
          <w:szCs w:val="24"/>
        </w:rPr>
        <w:t>T</w:t>
      </w:r>
      <w:r w:rsidRPr="008573D2">
        <w:rPr>
          <w:rFonts w:ascii="Times New Roman" w:hAnsi="Times New Roman" w:cs="Times New Roman"/>
          <w:sz w:val="24"/>
          <w:szCs w:val="24"/>
        </w:rPr>
        <w:t xml:space="preserve">ests, </w:t>
      </w:r>
      <w:r w:rsidRPr="008573D2">
        <w:rPr>
          <w:rFonts w:ascii="Times New Roman" w:hAnsi="Times New Roman" w:cs="Times New Roman"/>
          <w:i/>
          <w:iCs/>
          <w:sz w:val="24"/>
          <w:szCs w:val="24"/>
        </w:rPr>
        <w:t>Journal of Banking &amp; Finance</w:t>
      </w:r>
      <w:r w:rsidRPr="008573D2">
        <w:rPr>
          <w:rFonts w:ascii="Times New Roman" w:hAnsi="Times New Roman" w:cs="Times New Roman"/>
          <w:sz w:val="24"/>
          <w:szCs w:val="24"/>
        </w:rPr>
        <w:t>, 66, pp. 89 – 101.</w:t>
      </w:r>
    </w:p>
    <w:p w14:paraId="05BE4A1B" w14:textId="77777777" w:rsidR="00827EAD" w:rsidRPr="008573D2" w:rsidRDefault="00827EAD" w:rsidP="00827EAD">
      <w:pPr>
        <w:spacing w:line="36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Christie, A.A. (1982). The Stochastic Behaviour of Common Stock Variances – Value, Leverage and Interest Rate Effects. </w:t>
      </w:r>
      <w:r w:rsidRPr="008573D2">
        <w:rPr>
          <w:rFonts w:ascii="Times New Roman" w:hAnsi="Times New Roman" w:cs="Times New Roman"/>
          <w:i/>
          <w:iCs/>
          <w:sz w:val="24"/>
          <w:szCs w:val="24"/>
        </w:rPr>
        <w:t>Journal of Financial Economics</w:t>
      </w:r>
      <w:r w:rsidRPr="008573D2">
        <w:rPr>
          <w:rFonts w:ascii="Times New Roman" w:hAnsi="Times New Roman" w:cs="Times New Roman"/>
          <w:sz w:val="24"/>
          <w:szCs w:val="24"/>
        </w:rPr>
        <w:t>, 10, pp. 407 – 432.</w:t>
      </w:r>
    </w:p>
    <w:p w14:paraId="702DAF38" w14:textId="77777777" w:rsidR="00827EAD" w:rsidRPr="008573D2" w:rsidRDefault="00827EAD" w:rsidP="00827EAD">
      <w:pPr>
        <w:spacing w:line="36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Corbet, S., Hou, Y., Hu, Y., Lucey, B. &amp; Oxley, L. (2020). Aye Corona! The Contagion Effects of Being Named Corona During the COVID – 19 Pandemic, </w:t>
      </w:r>
      <w:r w:rsidRPr="008573D2">
        <w:rPr>
          <w:rFonts w:ascii="Times New Roman" w:hAnsi="Times New Roman" w:cs="Times New Roman"/>
          <w:i/>
          <w:iCs/>
          <w:sz w:val="24"/>
          <w:szCs w:val="24"/>
        </w:rPr>
        <w:t>Finance Research Letters</w:t>
      </w:r>
      <w:r w:rsidRPr="008573D2">
        <w:rPr>
          <w:rFonts w:ascii="Times New Roman" w:hAnsi="Times New Roman" w:cs="Times New Roman"/>
          <w:sz w:val="24"/>
          <w:szCs w:val="24"/>
        </w:rPr>
        <w:t>, Forthcoming.</w:t>
      </w:r>
    </w:p>
    <w:p w14:paraId="23A7E724" w14:textId="77777777" w:rsidR="00827EAD" w:rsidRPr="008573D2" w:rsidRDefault="00827EAD" w:rsidP="00827EAD">
      <w:pPr>
        <w:spacing w:line="360" w:lineRule="auto"/>
        <w:jc w:val="both"/>
        <w:rPr>
          <w:rFonts w:ascii="Times New Roman" w:hAnsi="Times New Roman" w:cs="Times New Roman"/>
          <w:sz w:val="24"/>
          <w:szCs w:val="24"/>
        </w:rPr>
      </w:pPr>
      <w:r w:rsidRPr="008573D2">
        <w:rPr>
          <w:rFonts w:ascii="Times New Roman" w:hAnsi="Times New Roman" w:cs="Times New Roman"/>
          <w:sz w:val="24"/>
          <w:szCs w:val="24"/>
          <w:lang w:val="de-DE"/>
        </w:rPr>
        <w:t xml:space="preserve">Danielsson, J., Valenzuela, M. &amp; Zer, I. (2018). </w:t>
      </w:r>
      <w:r w:rsidRPr="008573D2">
        <w:rPr>
          <w:rFonts w:ascii="Times New Roman" w:hAnsi="Times New Roman" w:cs="Times New Roman"/>
          <w:sz w:val="24"/>
          <w:szCs w:val="24"/>
        </w:rPr>
        <w:t xml:space="preserve">Learning from History: Volatility and Financial Crises, </w:t>
      </w:r>
      <w:r w:rsidRPr="008573D2">
        <w:rPr>
          <w:rFonts w:ascii="Times New Roman" w:hAnsi="Times New Roman" w:cs="Times New Roman"/>
          <w:i/>
          <w:iCs/>
          <w:sz w:val="24"/>
          <w:szCs w:val="24"/>
        </w:rPr>
        <w:t>The Review of Financial Studies</w:t>
      </w:r>
      <w:r w:rsidRPr="008573D2">
        <w:rPr>
          <w:rFonts w:ascii="Times New Roman" w:hAnsi="Times New Roman" w:cs="Times New Roman"/>
          <w:sz w:val="24"/>
          <w:szCs w:val="24"/>
        </w:rPr>
        <w:t>, 31(7), pp. 2774 – 2805.</w:t>
      </w:r>
    </w:p>
    <w:p w14:paraId="7B5B03DA" w14:textId="77777777" w:rsidR="00827EAD" w:rsidRPr="008573D2" w:rsidRDefault="00827EAD" w:rsidP="00827EAD">
      <w:pPr>
        <w:spacing w:line="360" w:lineRule="auto"/>
        <w:jc w:val="both"/>
        <w:rPr>
          <w:rFonts w:ascii="Times New Roman" w:hAnsi="Times New Roman" w:cs="Times New Roman"/>
          <w:sz w:val="24"/>
          <w:szCs w:val="24"/>
        </w:rPr>
      </w:pPr>
      <w:proofErr w:type="spellStart"/>
      <w:r w:rsidRPr="008573D2">
        <w:rPr>
          <w:rFonts w:ascii="Times New Roman" w:hAnsi="Times New Roman" w:cs="Times New Roman"/>
          <w:sz w:val="24"/>
          <w:szCs w:val="24"/>
        </w:rPr>
        <w:t>Dellas</w:t>
      </w:r>
      <w:proofErr w:type="spellEnd"/>
      <w:r w:rsidRPr="008573D2">
        <w:rPr>
          <w:rFonts w:ascii="Times New Roman" w:hAnsi="Times New Roman" w:cs="Times New Roman"/>
          <w:sz w:val="24"/>
          <w:szCs w:val="24"/>
        </w:rPr>
        <w:t xml:space="preserve">, H. &amp; Hess, M. (2005). Financial Development and Stock Returns: A Cross-Country Analysis, </w:t>
      </w:r>
      <w:r w:rsidRPr="008573D2">
        <w:rPr>
          <w:rFonts w:ascii="Times New Roman" w:hAnsi="Times New Roman" w:cs="Times New Roman"/>
          <w:i/>
          <w:iCs/>
          <w:sz w:val="24"/>
          <w:szCs w:val="24"/>
        </w:rPr>
        <w:t>Journal of International Money and Finance</w:t>
      </w:r>
      <w:r w:rsidRPr="008573D2">
        <w:rPr>
          <w:rFonts w:ascii="Times New Roman" w:hAnsi="Times New Roman" w:cs="Times New Roman"/>
          <w:sz w:val="24"/>
          <w:szCs w:val="24"/>
        </w:rPr>
        <w:t>, 24(6), pp. 891 – 912.</w:t>
      </w:r>
    </w:p>
    <w:p w14:paraId="6DAFAFBD" w14:textId="628BA7C2" w:rsidR="00827EAD" w:rsidRPr="008573D2" w:rsidRDefault="00827EAD" w:rsidP="00827EAD">
      <w:pPr>
        <w:spacing w:line="360" w:lineRule="auto"/>
        <w:jc w:val="both"/>
        <w:rPr>
          <w:rFonts w:ascii="Times New Roman" w:hAnsi="Times New Roman" w:cs="Times New Roman"/>
          <w:sz w:val="24"/>
          <w:szCs w:val="24"/>
        </w:rPr>
      </w:pPr>
      <w:r w:rsidRPr="008573D2">
        <w:rPr>
          <w:rFonts w:ascii="Times New Roman" w:hAnsi="Times New Roman" w:cs="Times New Roman"/>
          <w:sz w:val="24"/>
          <w:szCs w:val="24"/>
        </w:rPr>
        <w:lastRenderedPageBreak/>
        <w:t xml:space="preserve">Didier, T., </w:t>
      </w:r>
      <w:proofErr w:type="spellStart"/>
      <w:r w:rsidRPr="008573D2">
        <w:rPr>
          <w:rFonts w:ascii="Times New Roman" w:hAnsi="Times New Roman" w:cs="Times New Roman"/>
          <w:sz w:val="24"/>
          <w:szCs w:val="24"/>
        </w:rPr>
        <w:t>Hevia</w:t>
      </w:r>
      <w:proofErr w:type="spellEnd"/>
      <w:r w:rsidRPr="008573D2">
        <w:rPr>
          <w:rFonts w:ascii="Times New Roman" w:hAnsi="Times New Roman" w:cs="Times New Roman"/>
          <w:sz w:val="24"/>
          <w:szCs w:val="24"/>
        </w:rPr>
        <w:t xml:space="preserve">, C. &amp; </w:t>
      </w:r>
      <w:proofErr w:type="spellStart"/>
      <w:r w:rsidRPr="008573D2">
        <w:rPr>
          <w:rFonts w:ascii="Times New Roman" w:hAnsi="Times New Roman" w:cs="Times New Roman"/>
          <w:sz w:val="24"/>
          <w:szCs w:val="24"/>
        </w:rPr>
        <w:t>Schmukler</w:t>
      </w:r>
      <w:proofErr w:type="spellEnd"/>
      <w:r w:rsidRPr="008573D2">
        <w:rPr>
          <w:rFonts w:ascii="Times New Roman" w:hAnsi="Times New Roman" w:cs="Times New Roman"/>
          <w:sz w:val="24"/>
          <w:szCs w:val="24"/>
        </w:rPr>
        <w:t xml:space="preserve">, S.L. (2012). How </w:t>
      </w:r>
      <w:r w:rsidR="00C44951" w:rsidRPr="008573D2">
        <w:rPr>
          <w:rFonts w:ascii="Times New Roman" w:hAnsi="Times New Roman" w:cs="Times New Roman"/>
          <w:sz w:val="24"/>
          <w:szCs w:val="24"/>
        </w:rPr>
        <w:t>R</w:t>
      </w:r>
      <w:r w:rsidRPr="008573D2">
        <w:rPr>
          <w:rFonts w:ascii="Times New Roman" w:hAnsi="Times New Roman" w:cs="Times New Roman"/>
          <w:sz w:val="24"/>
          <w:szCs w:val="24"/>
        </w:rPr>
        <w:t xml:space="preserve">esilient and </w:t>
      </w:r>
      <w:r w:rsidR="00C44951" w:rsidRPr="008573D2">
        <w:rPr>
          <w:rFonts w:ascii="Times New Roman" w:hAnsi="Times New Roman" w:cs="Times New Roman"/>
          <w:sz w:val="24"/>
          <w:szCs w:val="24"/>
        </w:rPr>
        <w:t>C</w:t>
      </w:r>
      <w:r w:rsidRPr="008573D2">
        <w:rPr>
          <w:rFonts w:ascii="Times New Roman" w:hAnsi="Times New Roman" w:cs="Times New Roman"/>
          <w:sz w:val="24"/>
          <w:szCs w:val="24"/>
        </w:rPr>
        <w:t xml:space="preserve">ountercyclical were </w:t>
      </w:r>
      <w:r w:rsidR="00C44951" w:rsidRPr="008573D2">
        <w:rPr>
          <w:rFonts w:ascii="Times New Roman" w:hAnsi="Times New Roman" w:cs="Times New Roman"/>
          <w:sz w:val="24"/>
          <w:szCs w:val="24"/>
        </w:rPr>
        <w:t>E</w:t>
      </w:r>
      <w:r w:rsidRPr="008573D2">
        <w:rPr>
          <w:rFonts w:ascii="Times New Roman" w:hAnsi="Times New Roman" w:cs="Times New Roman"/>
          <w:sz w:val="24"/>
          <w:szCs w:val="24"/>
        </w:rPr>
        <w:t xml:space="preserve">merging </w:t>
      </w:r>
      <w:r w:rsidR="00C44951" w:rsidRPr="008573D2">
        <w:rPr>
          <w:rFonts w:ascii="Times New Roman" w:hAnsi="Times New Roman" w:cs="Times New Roman"/>
          <w:sz w:val="24"/>
          <w:szCs w:val="24"/>
        </w:rPr>
        <w:t>E</w:t>
      </w:r>
      <w:r w:rsidRPr="008573D2">
        <w:rPr>
          <w:rFonts w:ascii="Times New Roman" w:hAnsi="Times New Roman" w:cs="Times New Roman"/>
          <w:sz w:val="24"/>
          <w:szCs w:val="24"/>
        </w:rPr>
        <w:t xml:space="preserve">conomies during </w:t>
      </w:r>
      <w:r w:rsidR="00C44951" w:rsidRPr="008573D2">
        <w:rPr>
          <w:rFonts w:ascii="Times New Roman" w:hAnsi="Times New Roman" w:cs="Times New Roman"/>
          <w:sz w:val="24"/>
          <w:szCs w:val="24"/>
        </w:rPr>
        <w:t>G</w:t>
      </w:r>
      <w:r w:rsidRPr="008573D2">
        <w:rPr>
          <w:rFonts w:ascii="Times New Roman" w:hAnsi="Times New Roman" w:cs="Times New Roman"/>
          <w:sz w:val="24"/>
          <w:szCs w:val="24"/>
        </w:rPr>
        <w:t xml:space="preserve">lobal </w:t>
      </w:r>
      <w:r w:rsidR="00C44951" w:rsidRPr="008573D2">
        <w:rPr>
          <w:rFonts w:ascii="Times New Roman" w:hAnsi="Times New Roman" w:cs="Times New Roman"/>
          <w:sz w:val="24"/>
          <w:szCs w:val="24"/>
        </w:rPr>
        <w:t>F</w:t>
      </w:r>
      <w:r w:rsidRPr="008573D2">
        <w:rPr>
          <w:rFonts w:ascii="Times New Roman" w:hAnsi="Times New Roman" w:cs="Times New Roman"/>
          <w:sz w:val="24"/>
          <w:szCs w:val="24"/>
        </w:rPr>
        <w:t xml:space="preserve">inancial </w:t>
      </w:r>
      <w:r w:rsidR="00C44951" w:rsidRPr="008573D2">
        <w:rPr>
          <w:rFonts w:ascii="Times New Roman" w:hAnsi="Times New Roman" w:cs="Times New Roman"/>
          <w:sz w:val="24"/>
          <w:szCs w:val="24"/>
        </w:rPr>
        <w:t>C</w:t>
      </w:r>
      <w:r w:rsidRPr="008573D2">
        <w:rPr>
          <w:rFonts w:ascii="Times New Roman" w:hAnsi="Times New Roman" w:cs="Times New Roman"/>
          <w:sz w:val="24"/>
          <w:szCs w:val="24"/>
        </w:rPr>
        <w:t xml:space="preserve">risis? </w:t>
      </w:r>
      <w:r w:rsidRPr="008573D2">
        <w:rPr>
          <w:rFonts w:ascii="Times New Roman" w:hAnsi="Times New Roman" w:cs="Times New Roman"/>
          <w:i/>
          <w:iCs/>
          <w:sz w:val="24"/>
          <w:szCs w:val="24"/>
        </w:rPr>
        <w:t>Journal of International Money and Finance</w:t>
      </w:r>
      <w:r w:rsidRPr="008573D2">
        <w:rPr>
          <w:rFonts w:ascii="Times New Roman" w:hAnsi="Times New Roman" w:cs="Times New Roman"/>
          <w:sz w:val="24"/>
          <w:szCs w:val="24"/>
        </w:rPr>
        <w:t>, 31, pp. 2052 – 2077.</w:t>
      </w:r>
    </w:p>
    <w:p w14:paraId="7CFC3DFF" w14:textId="7007FB87" w:rsidR="00827EAD" w:rsidRPr="008573D2" w:rsidRDefault="00827EAD" w:rsidP="00827EAD">
      <w:pPr>
        <w:spacing w:line="36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Dixit, A. K. &amp; </w:t>
      </w:r>
      <w:proofErr w:type="spellStart"/>
      <w:r w:rsidRPr="008573D2">
        <w:rPr>
          <w:rFonts w:ascii="Times New Roman" w:hAnsi="Times New Roman" w:cs="Times New Roman"/>
          <w:sz w:val="24"/>
          <w:szCs w:val="24"/>
        </w:rPr>
        <w:t>Pindyck</w:t>
      </w:r>
      <w:proofErr w:type="spellEnd"/>
      <w:r w:rsidRPr="008573D2">
        <w:rPr>
          <w:rFonts w:ascii="Times New Roman" w:hAnsi="Times New Roman" w:cs="Times New Roman"/>
          <w:sz w:val="24"/>
          <w:szCs w:val="24"/>
        </w:rPr>
        <w:t xml:space="preserve">, R.S. (1994). </w:t>
      </w:r>
      <w:r w:rsidRPr="008573D2">
        <w:rPr>
          <w:rFonts w:ascii="Times New Roman" w:hAnsi="Times New Roman" w:cs="Times New Roman"/>
          <w:i/>
          <w:iCs/>
          <w:sz w:val="24"/>
          <w:szCs w:val="24"/>
        </w:rPr>
        <w:t>Investment under Uncertainty</w:t>
      </w:r>
      <w:r w:rsidRPr="008573D2">
        <w:rPr>
          <w:rFonts w:ascii="Times New Roman" w:hAnsi="Times New Roman" w:cs="Times New Roman"/>
          <w:sz w:val="24"/>
          <w:szCs w:val="24"/>
        </w:rPr>
        <w:t>. Princeton, NJ: Princeton University Press.</w:t>
      </w:r>
    </w:p>
    <w:p w14:paraId="73E368C1" w14:textId="7134D572" w:rsidR="00827EAD" w:rsidRPr="008573D2" w:rsidRDefault="00827EAD" w:rsidP="00827EAD">
      <w:pPr>
        <w:spacing w:line="360" w:lineRule="auto"/>
        <w:jc w:val="both"/>
        <w:rPr>
          <w:rFonts w:ascii="Times New Roman" w:hAnsi="Times New Roman" w:cs="Times New Roman"/>
          <w:sz w:val="24"/>
          <w:szCs w:val="24"/>
        </w:rPr>
      </w:pPr>
      <w:proofErr w:type="gramStart"/>
      <w:r w:rsidRPr="008573D2">
        <w:rPr>
          <w:rFonts w:ascii="Times New Roman" w:hAnsi="Times New Roman" w:cs="Times New Roman"/>
          <w:sz w:val="24"/>
          <w:szCs w:val="24"/>
        </w:rPr>
        <w:t>Doidge ,</w:t>
      </w:r>
      <w:proofErr w:type="gramEnd"/>
      <w:r w:rsidRPr="008573D2">
        <w:rPr>
          <w:rFonts w:ascii="Times New Roman" w:hAnsi="Times New Roman" w:cs="Times New Roman"/>
          <w:sz w:val="24"/>
          <w:szCs w:val="24"/>
        </w:rPr>
        <w:t xml:space="preserve"> C., Karolyi , G. A., &amp;  </w:t>
      </w:r>
      <w:proofErr w:type="spellStart"/>
      <w:r w:rsidRPr="008573D2">
        <w:rPr>
          <w:rFonts w:ascii="Times New Roman" w:hAnsi="Times New Roman" w:cs="Times New Roman"/>
          <w:sz w:val="24"/>
          <w:szCs w:val="24"/>
        </w:rPr>
        <w:t>Stulz</w:t>
      </w:r>
      <w:proofErr w:type="spellEnd"/>
      <w:r w:rsidRPr="008573D2">
        <w:rPr>
          <w:rFonts w:ascii="Times New Roman" w:hAnsi="Times New Roman" w:cs="Times New Roman"/>
          <w:sz w:val="24"/>
          <w:szCs w:val="24"/>
        </w:rPr>
        <w:t xml:space="preserve">, R. M. (2007). Why do </w:t>
      </w:r>
      <w:r w:rsidR="00C44951" w:rsidRPr="008573D2">
        <w:rPr>
          <w:rFonts w:ascii="Times New Roman" w:hAnsi="Times New Roman" w:cs="Times New Roman"/>
          <w:sz w:val="24"/>
          <w:szCs w:val="24"/>
        </w:rPr>
        <w:t>C</w:t>
      </w:r>
      <w:r w:rsidRPr="008573D2">
        <w:rPr>
          <w:rFonts w:ascii="Times New Roman" w:hAnsi="Times New Roman" w:cs="Times New Roman"/>
          <w:sz w:val="24"/>
          <w:szCs w:val="24"/>
        </w:rPr>
        <w:t xml:space="preserve">ountries </w:t>
      </w:r>
      <w:r w:rsidR="00C44951" w:rsidRPr="008573D2">
        <w:rPr>
          <w:rFonts w:ascii="Times New Roman" w:hAnsi="Times New Roman" w:cs="Times New Roman"/>
          <w:sz w:val="24"/>
          <w:szCs w:val="24"/>
        </w:rPr>
        <w:t>M</w:t>
      </w:r>
      <w:r w:rsidRPr="008573D2">
        <w:rPr>
          <w:rFonts w:ascii="Times New Roman" w:hAnsi="Times New Roman" w:cs="Times New Roman"/>
          <w:sz w:val="24"/>
          <w:szCs w:val="24"/>
        </w:rPr>
        <w:t xml:space="preserve">atter so </w:t>
      </w:r>
      <w:r w:rsidR="00C44951" w:rsidRPr="008573D2">
        <w:rPr>
          <w:rFonts w:ascii="Times New Roman" w:hAnsi="Times New Roman" w:cs="Times New Roman"/>
          <w:sz w:val="24"/>
          <w:szCs w:val="24"/>
        </w:rPr>
        <w:t>M</w:t>
      </w:r>
      <w:r w:rsidRPr="008573D2">
        <w:rPr>
          <w:rFonts w:ascii="Times New Roman" w:hAnsi="Times New Roman" w:cs="Times New Roman"/>
          <w:sz w:val="24"/>
          <w:szCs w:val="24"/>
        </w:rPr>
        <w:t xml:space="preserve">uch for </w:t>
      </w:r>
      <w:r w:rsidR="00C44951" w:rsidRPr="008573D2">
        <w:rPr>
          <w:rFonts w:ascii="Times New Roman" w:hAnsi="Times New Roman" w:cs="Times New Roman"/>
          <w:sz w:val="24"/>
          <w:szCs w:val="24"/>
        </w:rPr>
        <w:t>C</w:t>
      </w:r>
      <w:r w:rsidRPr="008573D2">
        <w:rPr>
          <w:rFonts w:ascii="Times New Roman" w:hAnsi="Times New Roman" w:cs="Times New Roman"/>
          <w:sz w:val="24"/>
          <w:szCs w:val="24"/>
        </w:rPr>
        <w:t xml:space="preserve">orporate </w:t>
      </w:r>
      <w:r w:rsidR="00C44951" w:rsidRPr="008573D2">
        <w:rPr>
          <w:rFonts w:ascii="Times New Roman" w:hAnsi="Times New Roman" w:cs="Times New Roman"/>
          <w:sz w:val="24"/>
          <w:szCs w:val="24"/>
        </w:rPr>
        <w:t>G</w:t>
      </w:r>
      <w:r w:rsidRPr="008573D2">
        <w:rPr>
          <w:rFonts w:ascii="Times New Roman" w:hAnsi="Times New Roman" w:cs="Times New Roman"/>
          <w:sz w:val="24"/>
          <w:szCs w:val="24"/>
        </w:rPr>
        <w:t xml:space="preserve">overnance?', </w:t>
      </w:r>
      <w:r w:rsidRPr="008573D2">
        <w:rPr>
          <w:rFonts w:ascii="Times New Roman" w:hAnsi="Times New Roman" w:cs="Times New Roman"/>
          <w:i/>
          <w:sz w:val="24"/>
          <w:szCs w:val="24"/>
        </w:rPr>
        <w:t>Journal of Financial Economics</w:t>
      </w:r>
      <w:r w:rsidRPr="008573D2">
        <w:rPr>
          <w:rFonts w:ascii="Times New Roman" w:hAnsi="Times New Roman" w:cs="Times New Roman"/>
          <w:sz w:val="24"/>
          <w:szCs w:val="24"/>
        </w:rPr>
        <w:t>, 86, pp.  1–39.</w:t>
      </w:r>
    </w:p>
    <w:p w14:paraId="76369D89" w14:textId="77777777" w:rsidR="00827EAD" w:rsidRPr="008573D2" w:rsidRDefault="00827EAD" w:rsidP="00827EAD">
      <w:pPr>
        <w:spacing w:line="36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Duval, R. &amp; Vogel, L. (2008). Economic Resilience to Shocks: The Role of Structural Policies, </w:t>
      </w:r>
      <w:r w:rsidRPr="008573D2">
        <w:rPr>
          <w:rFonts w:ascii="Times New Roman" w:hAnsi="Times New Roman" w:cs="Times New Roman"/>
          <w:i/>
          <w:iCs/>
          <w:sz w:val="24"/>
          <w:szCs w:val="24"/>
        </w:rPr>
        <w:t>OECD Journal: Economic Studies</w:t>
      </w:r>
      <w:r w:rsidRPr="008573D2">
        <w:rPr>
          <w:rFonts w:ascii="Times New Roman" w:hAnsi="Times New Roman" w:cs="Times New Roman"/>
          <w:sz w:val="24"/>
          <w:szCs w:val="24"/>
        </w:rPr>
        <w:t>, 44, pp. 1 – 39.</w:t>
      </w:r>
    </w:p>
    <w:p w14:paraId="2846807D" w14:textId="2877B150" w:rsidR="00827EAD" w:rsidRPr="008573D2" w:rsidRDefault="00827EAD" w:rsidP="00827EAD">
      <w:pPr>
        <w:spacing w:line="36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Easterly, W., Islam, R. &amp; Stiglitz, J. (2000). Explaining </w:t>
      </w:r>
      <w:r w:rsidR="00C44951" w:rsidRPr="008573D2">
        <w:rPr>
          <w:rFonts w:ascii="Times New Roman" w:hAnsi="Times New Roman" w:cs="Times New Roman"/>
          <w:sz w:val="24"/>
          <w:szCs w:val="24"/>
        </w:rPr>
        <w:t>G</w:t>
      </w:r>
      <w:r w:rsidRPr="008573D2">
        <w:rPr>
          <w:rFonts w:ascii="Times New Roman" w:hAnsi="Times New Roman" w:cs="Times New Roman"/>
          <w:sz w:val="24"/>
          <w:szCs w:val="24"/>
        </w:rPr>
        <w:t xml:space="preserve">rowth </w:t>
      </w:r>
      <w:r w:rsidR="00C44951" w:rsidRPr="008573D2">
        <w:rPr>
          <w:rFonts w:ascii="Times New Roman" w:hAnsi="Times New Roman" w:cs="Times New Roman"/>
          <w:sz w:val="24"/>
          <w:szCs w:val="24"/>
        </w:rPr>
        <w:t>V</w:t>
      </w:r>
      <w:r w:rsidRPr="008573D2">
        <w:rPr>
          <w:rFonts w:ascii="Times New Roman" w:hAnsi="Times New Roman" w:cs="Times New Roman"/>
          <w:sz w:val="24"/>
          <w:szCs w:val="24"/>
        </w:rPr>
        <w:t>olatility. Working Paper. The World Bank.</w:t>
      </w:r>
    </w:p>
    <w:p w14:paraId="33BC0EA8" w14:textId="635121A5" w:rsidR="00827EAD" w:rsidRPr="008573D2" w:rsidRDefault="00827EAD" w:rsidP="00827EAD">
      <w:pPr>
        <w:spacing w:line="36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Engle, R. (2002). Dynamic </w:t>
      </w:r>
      <w:r w:rsidR="00975369" w:rsidRPr="008573D2">
        <w:rPr>
          <w:rFonts w:ascii="Times New Roman" w:hAnsi="Times New Roman" w:cs="Times New Roman"/>
          <w:sz w:val="24"/>
          <w:szCs w:val="24"/>
        </w:rPr>
        <w:t>C</w:t>
      </w:r>
      <w:r w:rsidRPr="008573D2">
        <w:rPr>
          <w:rFonts w:ascii="Times New Roman" w:hAnsi="Times New Roman" w:cs="Times New Roman"/>
          <w:sz w:val="24"/>
          <w:szCs w:val="24"/>
        </w:rPr>
        <w:t xml:space="preserve">onditional </w:t>
      </w:r>
      <w:r w:rsidR="00975369" w:rsidRPr="008573D2">
        <w:rPr>
          <w:rFonts w:ascii="Times New Roman" w:hAnsi="Times New Roman" w:cs="Times New Roman"/>
          <w:sz w:val="24"/>
          <w:szCs w:val="24"/>
        </w:rPr>
        <w:t>C</w:t>
      </w:r>
      <w:r w:rsidRPr="008573D2">
        <w:rPr>
          <w:rFonts w:ascii="Times New Roman" w:hAnsi="Times New Roman" w:cs="Times New Roman"/>
          <w:sz w:val="24"/>
          <w:szCs w:val="24"/>
        </w:rPr>
        <w:t xml:space="preserve">orrelation – A </w:t>
      </w:r>
      <w:r w:rsidR="00975369" w:rsidRPr="008573D2">
        <w:rPr>
          <w:rFonts w:ascii="Times New Roman" w:hAnsi="Times New Roman" w:cs="Times New Roman"/>
          <w:sz w:val="24"/>
          <w:szCs w:val="24"/>
        </w:rPr>
        <w:t>S</w:t>
      </w:r>
      <w:r w:rsidRPr="008573D2">
        <w:rPr>
          <w:rFonts w:ascii="Times New Roman" w:hAnsi="Times New Roman" w:cs="Times New Roman"/>
          <w:sz w:val="24"/>
          <w:szCs w:val="24"/>
        </w:rPr>
        <w:t xml:space="preserve">imple </w:t>
      </w:r>
      <w:r w:rsidR="00975369" w:rsidRPr="008573D2">
        <w:rPr>
          <w:rFonts w:ascii="Times New Roman" w:hAnsi="Times New Roman" w:cs="Times New Roman"/>
          <w:sz w:val="24"/>
          <w:szCs w:val="24"/>
        </w:rPr>
        <w:t>C</w:t>
      </w:r>
      <w:r w:rsidRPr="008573D2">
        <w:rPr>
          <w:rFonts w:ascii="Times New Roman" w:hAnsi="Times New Roman" w:cs="Times New Roman"/>
          <w:sz w:val="24"/>
          <w:szCs w:val="24"/>
        </w:rPr>
        <w:t xml:space="preserve">lass of </w:t>
      </w:r>
      <w:r w:rsidR="00975369" w:rsidRPr="008573D2">
        <w:rPr>
          <w:rFonts w:ascii="Times New Roman" w:hAnsi="Times New Roman" w:cs="Times New Roman"/>
          <w:sz w:val="24"/>
          <w:szCs w:val="24"/>
        </w:rPr>
        <w:t>M</w:t>
      </w:r>
      <w:r w:rsidRPr="008573D2">
        <w:rPr>
          <w:rFonts w:ascii="Times New Roman" w:hAnsi="Times New Roman" w:cs="Times New Roman"/>
          <w:sz w:val="24"/>
          <w:szCs w:val="24"/>
        </w:rPr>
        <w:t xml:space="preserve">ultivariate GARCH </w:t>
      </w:r>
      <w:r w:rsidR="00975369" w:rsidRPr="008573D2">
        <w:rPr>
          <w:rFonts w:ascii="Times New Roman" w:hAnsi="Times New Roman" w:cs="Times New Roman"/>
          <w:sz w:val="24"/>
          <w:szCs w:val="24"/>
        </w:rPr>
        <w:t>M</w:t>
      </w:r>
      <w:r w:rsidRPr="008573D2">
        <w:rPr>
          <w:rFonts w:ascii="Times New Roman" w:hAnsi="Times New Roman" w:cs="Times New Roman"/>
          <w:sz w:val="24"/>
          <w:szCs w:val="24"/>
        </w:rPr>
        <w:t xml:space="preserve">odels. </w:t>
      </w:r>
      <w:r w:rsidRPr="008573D2">
        <w:rPr>
          <w:rFonts w:ascii="Times New Roman" w:hAnsi="Times New Roman" w:cs="Times New Roman"/>
          <w:i/>
          <w:iCs/>
          <w:sz w:val="24"/>
          <w:szCs w:val="24"/>
        </w:rPr>
        <w:t>Journal of Business &amp; Economic Statistics</w:t>
      </w:r>
      <w:r w:rsidRPr="008573D2">
        <w:rPr>
          <w:rFonts w:ascii="Times New Roman" w:hAnsi="Times New Roman" w:cs="Times New Roman"/>
          <w:sz w:val="24"/>
          <w:szCs w:val="24"/>
        </w:rPr>
        <w:t>, 20(3), pp. 339-350.</w:t>
      </w:r>
    </w:p>
    <w:p w14:paraId="508B154D" w14:textId="77777777" w:rsidR="00827EAD" w:rsidRPr="008573D2" w:rsidRDefault="00827EAD" w:rsidP="00827EAD">
      <w:pPr>
        <w:spacing w:line="36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Engle, R.F. &amp; Ng, V.K. (1993). Measuring and Testing the Impact of News on Volatility. </w:t>
      </w:r>
      <w:r w:rsidRPr="008573D2">
        <w:rPr>
          <w:rFonts w:ascii="Times New Roman" w:hAnsi="Times New Roman" w:cs="Times New Roman"/>
          <w:i/>
          <w:iCs/>
          <w:sz w:val="24"/>
          <w:szCs w:val="24"/>
        </w:rPr>
        <w:t>The Journal of Finance</w:t>
      </w:r>
      <w:r w:rsidRPr="008573D2">
        <w:rPr>
          <w:rFonts w:ascii="Times New Roman" w:hAnsi="Times New Roman" w:cs="Times New Roman"/>
          <w:sz w:val="24"/>
          <w:szCs w:val="24"/>
        </w:rPr>
        <w:t>, 48, pp. 1749 – 1778.</w:t>
      </w:r>
    </w:p>
    <w:p w14:paraId="02BD15C0" w14:textId="77777777" w:rsidR="00827EAD" w:rsidRPr="008573D2" w:rsidRDefault="00827EAD" w:rsidP="00827EAD">
      <w:pPr>
        <w:spacing w:line="36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Engle, R.F., Ghysels, E. &amp; Sohn, B. (2013). Stock Market Volatility and Macroeconomic Fundamentals, </w:t>
      </w:r>
      <w:r w:rsidRPr="008573D2">
        <w:rPr>
          <w:rFonts w:ascii="Times New Roman" w:hAnsi="Times New Roman" w:cs="Times New Roman"/>
          <w:i/>
          <w:iCs/>
          <w:sz w:val="24"/>
          <w:szCs w:val="24"/>
        </w:rPr>
        <w:t>The Review of Economics and Statistics</w:t>
      </w:r>
      <w:r w:rsidRPr="008573D2">
        <w:rPr>
          <w:rFonts w:ascii="Times New Roman" w:hAnsi="Times New Roman" w:cs="Times New Roman"/>
          <w:sz w:val="24"/>
          <w:szCs w:val="24"/>
        </w:rPr>
        <w:t>, 95(3), pp. 776 – 797.</w:t>
      </w:r>
    </w:p>
    <w:p w14:paraId="2AF81402" w14:textId="1DD9598E" w:rsidR="00827EAD" w:rsidRPr="008573D2" w:rsidRDefault="00827EAD" w:rsidP="00827EAD">
      <w:pPr>
        <w:spacing w:line="36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Estrada, M.A.R. (2020). The </w:t>
      </w:r>
      <w:r w:rsidR="00975369" w:rsidRPr="008573D2">
        <w:rPr>
          <w:rFonts w:ascii="Times New Roman" w:hAnsi="Times New Roman" w:cs="Times New Roman"/>
          <w:sz w:val="24"/>
          <w:szCs w:val="24"/>
        </w:rPr>
        <w:t>I</w:t>
      </w:r>
      <w:r w:rsidRPr="008573D2">
        <w:rPr>
          <w:rFonts w:ascii="Times New Roman" w:hAnsi="Times New Roman" w:cs="Times New Roman"/>
          <w:sz w:val="24"/>
          <w:szCs w:val="24"/>
        </w:rPr>
        <w:t xml:space="preserve">mpact of COVID-19 on the </w:t>
      </w:r>
      <w:r w:rsidR="00975369" w:rsidRPr="008573D2">
        <w:rPr>
          <w:rFonts w:ascii="Times New Roman" w:hAnsi="Times New Roman" w:cs="Times New Roman"/>
          <w:sz w:val="24"/>
          <w:szCs w:val="24"/>
        </w:rPr>
        <w:t>W</w:t>
      </w:r>
      <w:r w:rsidRPr="008573D2">
        <w:rPr>
          <w:rFonts w:ascii="Times New Roman" w:hAnsi="Times New Roman" w:cs="Times New Roman"/>
          <w:sz w:val="24"/>
          <w:szCs w:val="24"/>
        </w:rPr>
        <w:t xml:space="preserve">orld </w:t>
      </w:r>
      <w:r w:rsidR="00975369" w:rsidRPr="008573D2">
        <w:rPr>
          <w:rFonts w:ascii="Times New Roman" w:hAnsi="Times New Roman" w:cs="Times New Roman"/>
          <w:sz w:val="24"/>
          <w:szCs w:val="24"/>
        </w:rPr>
        <w:t>O</w:t>
      </w:r>
      <w:r w:rsidRPr="008573D2">
        <w:rPr>
          <w:rFonts w:ascii="Times New Roman" w:hAnsi="Times New Roman" w:cs="Times New Roman"/>
          <w:sz w:val="24"/>
          <w:szCs w:val="24"/>
        </w:rPr>
        <w:t xml:space="preserve">il </w:t>
      </w:r>
      <w:r w:rsidR="00975369" w:rsidRPr="008573D2">
        <w:rPr>
          <w:rFonts w:ascii="Times New Roman" w:hAnsi="Times New Roman" w:cs="Times New Roman"/>
          <w:sz w:val="24"/>
          <w:szCs w:val="24"/>
        </w:rPr>
        <w:t>P</w:t>
      </w:r>
      <w:r w:rsidRPr="008573D2">
        <w:rPr>
          <w:rFonts w:ascii="Times New Roman" w:hAnsi="Times New Roman" w:cs="Times New Roman"/>
          <w:sz w:val="24"/>
          <w:szCs w:val="24"/>
        </w:rPr>
        <w:t>rices. SSRN Electronic Journal.</w:t>
      </w:r>
    </w:p>
    <w:p w14:paraId="0A245F7B" w14:textId="4051D411" w:rsidR="00827EAD" w:rsidRPr="008573D2" w:rsidRDefault="00827EAD" w:rsidP="00827EAD">
      <w:pPr>
        <w:spacing w:line="36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Fernandes, N. (2020). Economic </w:t>
      </w:r>
      <w:r w:rsidR="000F5F1A" w:rsidRPr="008573D2">
        <w:rPr>
          <w:rFonts w:ascii="Times New Roman" w:hAnsi="Times New Roman" w:cs="Times New Roman"/>
          <w:sz w:val="24"/>
          <w:szCs w:val="24"/>
        </w:rPr>
        <w:t>E</w:t>
      </w:r>
      <w:r w:rsidRPr="008573D2">
        <w:rPr>
          <w:rFonts w:ascii="Times New Roman" w:hAnsi="Times New Roman" w:cs="Times New Roman"/>
          <w:sz w:val="24"/>
          <w:szCs w:val="24"/>
        </w:rPr>
        <w:t xml:space="preserve">ffects of </w:t>
      </w:r>
      <w:r w:rsidR="000F5F1A" w:rsidRPr="008573D2">
        <w:rPr>
          <w:rFonts w:ascii="Times New Roman" w:hAnsi="Times New Roman" w:cs="Times New Roman"/>
          <w:sz w:val="24"/>
          <w:szCs w:val="24"/>
        </w:rPr>
        <w:t>C</w:t>
      </w:r>
      <w:r w:rsidRPr="008573D2">
        <w:rPr>
          <w:rFonts w:ascii="Times New Roman" w:hAnsi="Times New Roman" w:cs="Times New Roman"/>
          <w:sz w:val="24"/>
          <w:szCs w:val="24"/>
        </w:rPr>
        <w:t xml:space="preserve">oronavirus </w:t>
      </w:r>
      <w:r w:rsidR="000F5F1A" w:rsidRPr="008573D2">
        <w:rPr>
          <w:rFonts w:ascii="Times New Roman" w:hAnsi="Times New Roman" w:cs="Times New Roman"/>
          <w:sz w:val="24"/>
          <w:szCs w:val="24"/>
        </w:rPr>
        <w:t>O</w:t>
      </w:r>
      <w:r w:rsidRPr="008573D2">
        <w:rPr>
          <w:rFonts w:ascii="Times New Roman" w:hAnsi="Times New Roman" w:cs="Times New Roman"/>
          <w:sz w:val="24"/>
          <w:szCs w:val="24"/>
        </w:rPr>
        <w:t xml:space="preserve">utbreak (COVID – 19) on the </w:t>
      </w:r>
      <w:r w:rsidR="000F5F1A" w:rsidRPr="008573D2">
        <w:rPr>
          <w:rFonts w:ascii="Times New Roman" w:hAnsi="Times New Roman" w:cs="Times New Roman"/>
          <w:sz w:val="24"/>
          <w:szCs w:val="24"/>
        </w:rPr>
        <w:t>W</w:t>
      </w:r>
      <w:r w:rsidRPr="008573D2">
        <w:rPr>
          <w:rFonts w:ascii="Times New Roman" w:hAnsi="Times New Roman" w:cs="Times New Roman"/>
          <w:sz w:val="24"/>
          <w:szCs w:val="24"/>
        </w:rPr>
        <w:t xml:space="preserve">orld </w:t>
      </w:r>
      <w:r w:rsidR="000F5F1A" w:rsidRPr="008573D2">
        <w:rPr>
          <w:rFonts w:ascii="Times New Roman" w:hAnsi="Times New Roman" w:cs="Times New Roman"/>
          <w:sz w:val="24"/>
          <w:szCs w:val="24"/>
        </w:rPr>
        <w:t>E</w:t>
      </w:r>
      <w:r w:rsidRPr="008573D2">
        <w:rPr>
          <w:rFonts w:ascii="Times New Roman" w:hAnsi="Times New Roman" w:cs="Times New Roman"/>
          <w:sz w:val="24"/>
          <w:szCs w:val="24"/>
        </w:rPr>
        <w:t>conomy. SSRN Electronic Journal.</w:t>
      </w:r>
    </w:p>
    <w:p w14:paraId="306FB87E" w14:textId="3700C416" w:rsidR="00827EAD" w:rsidRPr="008573D2" w:rsidRDefault="00827EAD" w:rsidP="00827EAD">
      <w:pPr>
        <w:spacing w:line="36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Fernandes, M., Medeiros, M.C. &amp; </w:t>
      </w:r>
      <w:proofErr w:type="spellStart"/>
      <w:r w:rsidRPr="008573D2">
        <w:rPr>
          <w:rFonts w:ascii="Times New Roman" w:hAnsi="Times New Roman" w:cs="Times New Roman"/>
          <w:sz w:val="24"/>
          <w:szCs w:val="24"/>
        </w:rPr>
        <w:t>Scharth</w:t>
      </w:r>
      <w:proofErr w:type="spellEnd"/>
      <w:r w:rsidRPr="008573D2">
        <w:rPr>
          <w:rFonts w:ascii="Times New Roman" w:hAnsi="Times New Roman" w:cs="Times New Roman"/>
          <w:sz w:val="24"/>
          <w:szCs w:val="24"/>
        </w:rPr>
        <w:t xml:space="preserve">, M. (2014). Modelling and </w:t>
      </w:r>
      <w:r w:rsidR="00FB26D4" w:rsidRPr="008573D2">
        <w:rPr>
          <w:rFonts w:ascii="Times New Roman" w:hAnsi="Times New Roman" w:cs="Times New Roman"/>
          <w:sz w:val="24"/>
          <w:szCs w:val="24"/>
        </w:rPr>
        <w:t>P</w:t>
      </w:r>
      <w:r w:rsidRPr="008573D2">
        <w:rPr>
          <w:rFonts w:ascii="Times New Roman" w:hAnsi="Times New Roman" w:cs="Times New Roman"/>
          <w:sz w:val="24"/>
          <w:szCs w:val="24"/>
        </w:rPr>
        <w:t xml:space="preserve">redicting the CBOE </w:t>
      </w:r>
      <w:r w:rsidR="00FB26D4" w:rsidRPr="008573D2">
        <w:rPr>
          <w:rFonts w:ascii="Times New Roman" w:hAnsi="Times New Roman" w:cs="Times New Roman"/>
          <w:sz w:val="24"/>
          <w:szCs w:val="24"/>
        </w:rPr>
        <w:t>M</w:t>
      </w:r>
      <w:r w:rsidRPr="008573D2">
        <w:rPr>
          <w:rFonts w:ascii="Times New Roman" w:hAnsi="Times New Roman" w:cs="Times New Roman"/>
          <w:sz w:val="24"/>
          <w:szCs w:val="24"/>
        </w:rPr>
        <w:t xml:space="preserve">arket </w:t>
      </w:r>
      <w:r w:rsidR="00FB26D4" w:rsidRPr="008573D2">
        <w:rPr>
          <w:rFonts w:ascii="Times New Roman" w:hAnsi="Times New Roman" w:cs="Times New Roman"/>
          <w:sz w:val="24"/>
          <w:szCs w:val="24"/>
        </w:rPr>
        <w:t>V</w:t>
      </w:r>
      <w:r w:rsidRPr="008573D2">
        <w:rPr>
          <w:rFonts w:ascii="Times New Roman" w:hAnsi="Times New Roman" w:cs="Times New Roman"/>
          <w:sz w:val="24"/>
          <w:szCs w:val="24"/>
        </w:rPr>
        <w:t xml:space="preserve">olatility </w:t>
      </w:r>
      <w:r w:rsidR="00FB26D4" w:rsidRPr="008573D2">
        <w:rPr>
          <w:rFonts w:ascii="Times New Roman" w:hAnsi="Times New Roman" w:cs="Times New Roman"/>
          <w:sz w:val="24"/>
          <w:szCs w:val="24"/>
        </w:rPr>
        <w:t>I</w:t>
      </w:r>
      <w:r w:rsidRPr="008573D2">
        <w:rPr>
          <w:rFonts w:ascii="Times New Roman" w:hAnsi="Times New Roman" w:cs="Times New Roman"/>
          <w:sz w:val="24"/>
          <w:szCs w:val="24"/>
        </w:rPr>
        <w:t xml:space="preserve">ndex. </w:t>
      </w:r>
      <w:r w:rsidRPr="008573D2">
        <w:rPr>
          <w:rFonts w:ascii="Times New Roman" w:hAnsi="Times New Roman" w:cs="Times New Roman"/>
          <w:i/>
          <w:iCs/>
          <w:sz w:val="24"/>
          <w:szCs w:val="24"/>
        </w:rPr>
        <w:t>Journal of Banking and Finance</w:t>
      </w:r>
      <w:r w:rsidRPr="008573D2">
        <w:rPr>
          <w:rFonts w:ascii="Times New Roman" w:hAnsi="Times New Roman" w:cs="Times New Roman"/>
          <w:sz w:val="24"/>
          <w:szCs w:val="24"/>
        </w:rPr>
        <w:t>, 40, pp. 1-10.</w:t>
      </w:r>
    </w:p>
    <w:p w14:paraId="49058633" w14:textId="77777777" w:rsidR="00827EAD" w:rsidRPr="008573D2" w:rsidRDefault="00827EAD" w:rsidP="00827EAD">
      <w:pPr>
        <w:spacing w:line="360" w:lineRule="auto"/>
        <w:jc w:val="both"/>
        <w:rPr>
          <w:rFonts w:ascii="Times New Roman" w:hAnsi="Times New Roman" w:cs="Times New Roman"/>
          <w:sz w:val="24"/>
          <w:szCs w:val="24"/>
        </w:rPr>
      </w:pPr>
      <w:proofErr w:type="spellStart"/>
      <w:r w:rsidRPr="008573D2">
        <w:rPr>
          <w:rFonts w:ascii="Times New Roman" w:hAnsi="Times New Roman" w:cs="Times New Roman"/>
          <w:sz w:val="24"/>
          <w:szCs w:val="24"/>
        </w:rPr>
        <w:t>Fornari</w:t>
      </w:r>
      <w:proofErr w:type="spellEnd"/>
      <w:r w:rsidRPr="008573D2">
        <w:rPr>
          <w:rFonts w:ascii="Times New Roman" w:hAnsi="Times New Roman" w:cs="Times New Roman"/>
          <w:sz w:val="24"/>
          <w:szCs w:val="24"/>
        </w:rPr>
        <w:t xml:space="preserve">, F. &amp; Mele, A. (2013). Financial Volatility and Economic Activity, </w:t>
      </w:r>
      <w:r w:rsidRPr="008573D2">
        <w:rPr>
          <w:rFonts w:ascii="Times New Roman" w:hAnsi="Times New Roman" w:cs="Times New Roman"/>
          <w:i/>
          <w:iCs/>
          <w:sz w:val="24"/>
          <w:szCs w:val="24"/>
        </w:rPr>
        <w:t>Journal of Financial Management, Markets and Institutions</w:t>
      </w:r>
      <w:r w:rsidRPr="008573D2">
        <w:rPr>
          <w:rFonts w:ascii="Times New Roman" w:hAnsi="Times New Roman" w:cs="Times New Roman"/>
          <w:sz w:val="24"/>
          <w:szCs w:val="24"/>
        </w:rPr>
        <w:t>, 1(2), pp. 155 – 196.</w:t>
      </w:r>
    </w:p>
    <w:p w14:paraId="73FA36DA" w14:textId="4D501341" w:rsidR="00827EAD" w:rsidRPr="008573D2" w:rsidRDefault="00827EAD" w:rsidP="00827EAD">
      <w:pPr>
        <w:spacing w:line="36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Gordon, M.J. (2005). Growth, </w:t>
      </w:r>
      <w:r w:rsidR="00FB26D4" w:rsidRPr="008573D2">
        <w:rPr>
          <w:rFonts w:ascii="Times New Roman" w:hAnsi="Times New Roman" w:cs="Times New Roman"/>
          <w:sz w:val="24"/>
          <w:szCs w:val="24"/>
        </w:rPr>
        <w:t>U</w:t>
      </w:r>
      <w:r w:rsidRPr="008573D2">
        <w:rPr>
          <w:rFonts w:ascii="Times New Roman" w:hAnsi="Times New Roman" w:cs="Times New Roman"/>
          <w:sz w:val="24"/>
          <w:szCs w:val="24"/>
        </w:rPr>
        <w:t xml:space="preserve">ncertainty and the Third World in the </w:t>
      </w:r>
      <w:r w:rsidR="00FB26D4" w:rsidRPr="008573D2">
        <w:rPr>
          <w:rFonts w:ascii="Times New Roman" w:hAnsi="Times New Roman" w:cs="Times New Roman"/>
          <w:sz w:val="24"/>
          <w:szCs w:val="24"/>
        </w:rPr>
        <w:t>R</w:t>
      </w:r>
      <w:r w:rsidRPr="008573D2">
        <w:rPr>
          <w:rFonts w:ascii="Times New Roman" w:hAnsi="Times New Roman" w:cs="Times New Roman"/>
          <w:sz w:val="24"/>
          <w:szCs w:val="24"/>
        </w:rPr>
        <w:t xml:space="preserve">ise and </w:t>
      </w:r>
      <w:r w:rsidR="00FB26D4" w:rsidRPr="008573D2">
        <w:rPr>
          <w:rFonts w:ascii="Times New Roman" w:hAnsi="Times New Roman" w:cs="Times New Roman"/>
          <w:sz w:val="24"/>
          <w:szCs w:val="24"/>
        </w:rPr>
        <w:t>F</w:t>
      </w:r>
      <w:r w:rsidRPr="008573D2">
        <w:rPr>
          <w:rFonts w:ascii="Times New Roman" w:hAnsi="Times New Roman" w:cs="Times New Roman"/>
          <w:sz w:val="24"/>
          <w:szCs w:val="24"/>
        </w:rPr>
        <w:t xml:space="preserve">all of </w:t>
      </w:r>
      <w:r w:rsidR="00FB26D4" w:rsidRPr="008573D2">
        <w:rPr>
          <w:rFonts w:ascii="Times New Roman" w:hAnsi="Times New Roman" w:cs="Times New Roman"/>
          <w:sz w:val="24"/>
          <w:szCs w:val="24"/>
        </w:rPr>
        <w:t>C</w:t>
      </w:r>
      <w:r w:rsidRPr="008573D2">
        <w:rPr>
          <w:rFonts w:ascii="Times New Roman" w:hAnsi="Times New Roman" w:cs="Times New Roman"/>
          <w:sz w:val="24"/>
          <w:szCs w:val="24"/>
        </w:rPr>
        <w:t xml:space="preserve">apitalism, </w:t>
      </w:r>
      <w:r w:rsidRPr="008573D2">
        <w:rPr>
          <w:rFonts w:ascii="Times New Roman" w:hAnsi="Times New Roman" w:cs="Times New Roman"/>
          <w:i/>
          <w:iCs/>
          <w:sz w:val="24"/>
          <w:szCs w:val="24"/>
        </w:rPr>
        <w:t>Journal of Asian Economics</w:t>
      </w:r>
      <w:r w:rsidRPr="008573D2">
        <w:rPr>
          <w:rFonts w:ascii="Times New Roman" w:hAnsi="Times New Roman" w:cs="Times New Roman"/>
          <w:sz w:val="24"/>
          <w:szCs w:val="24"/>
        </w:rPr>
        <w:t>, 16, pp. 153 – 177.</w:t>
      </w:r>
    </w:p>
    <w:p w14:paraId="611751B7" w14:textId="77777777" w:rsidR="00827EAD" w:rsidRPr="008573D2" w:rsidRDefault="00827EAD" w:rsidP="00827EAD">
      <w:pPr>
        <w:spacing w:line="360" w:lineRule="auto"/>
        <w:jc w:val="both"/>
        <w:rPr>
          <w:rFonts w:ascii="Times New Roman" w:hAnsi="Times New Roman" w:cs="Times New Roman"/>
          <w:sz w:val="24"/>
          <w:szCs w:val="24"/>
        </w:rPr>
      </w:pPr>
      <w:proofErr w:type="spellStart"/>
      <w:r w:rsidRPr="008573D2">
        <w:rPr>
          <w:rFonts w:ascii="Times New Roman" w:hAnsi="Times New Roman" w:cs="Times New Roman"/>
          <w:sz w:val="24"/>
          <w:szCs w:val="24"/>
        </w:rPr>
        <w:t>Gulen</w:t>
      </w:r>
      <w:proofErr w:type="spellEnd"/>
      <w:r w:rsidRPr="008573D2">
        <w:rPr>
          <w:rFonts w:ascii="Times New Roman" w:hAnsi="Times New Roman" w:cs="Times New Roman"/>
          <w:sz w:val="24"/>
          <w:szCs w:val="24"/>
        </w:rPr>
        <w:t xml:space="preserve">, H. and Ion, M. (2016). Policy Uncertainty and Corporate Investment, </w:t>
      </w:r>
      <w:r w:rsidRPr="008573D2">
        <w:rPr>
          <w:rFonts w:ascii="Times New Roman" w:hAnsi="Times New Roman" w:cs="Times New Roman"/>
          <w:i/>
          <w:iCs/>
          <w:sz w:val="24"/>
          <w:szCs w:val="24"/>
        </w:rPr>
        <w:t>The Review of Financial Studies</w:t>
      </w:r>
      <w:r w:rsidRPr="008573D2">
        <w:rPr>
          <w:rFonts w:ascii="Times New Roman" w:hAnsi="Times New Roman" w:cs="Times New Roman"/>
          <w:sz w:val="24"/>
          <w:szCs w:val="24"/>
        </w:rPr>
        <w:t>, 29(3), pp. 523 – 564.</w:t>
      </w:r>
    </w:p>
    <w:p w14:paraId="56A6B185" w14:textId="77777777" w:rsidR="00827EAD" w:rsidRPr="008573D2" w:rsidRDefault="00827EAD" w:rsidP="00827EAD">
      <w:pPr>
        <w:spacing w:line="360" w:lineRule="auto"/>
        <w:jc w:val="both"/>
        <w:rPr>
          <w:rFonts w:ascii="Times New Roman" w:hAnsi="Times New Roman" w:cs="Times New Roman"/>
          <w:sz w:val="24"/>
          <w:szCs w:val="24"/>
        </w:rPr>
      </w:pPr>
      <w:r w:rsidRPr="008573D2">
        <w:rPr>
          <w:rFonts w:ascii="Times New Roman" w:hAnsi="Times New Roman" w:cs="Times New Roman"/>
          <w:sz w:val="24"/>
          <w:szCs w:val="24"/>
        </w:rPr>
        <w:lastRenderedPageBreak/>
        <w:t xml:space="preserve">Hayek, F. (1960). </w:t>
      </w:r>
      <w:r w:rsidRPr="008573D2">
        <w:rPr>
          <w:rFonts w:ascii="Times New Roman" w:hAnsi="Times New Roman" w:cs="Times New Roman"/>
          <w:i/>
          <w:iCs/>
          <w:sz w:val="24"/>
          <w:szCs w:val="24"/>
        </w:rPr>
        <w:t>The Constitution of Liberty</w:t>
      </w:r>
      <w:r w:rsidRPr="008573D2">
        <w:rPr>
          <w:rFonts w:ascii="Times New Roman" w:hAnsi="Times New Roman" w:cs="Times New Roman"/>
          <w:sz w:val="24"/>
          <w:szCs w:val="24"/>
        </w:rPr>
        <w:t>. London, UK: Routledge.</w:t>
      </w:r>
    </w:p>
    <w:p w14:paraId="53F52590" w14:textId="77777777" w:rsidR="00827EAD" w:rsidRPr="008573D2" w:rsidRDefault="00827EAD" w:rsidP="00827EAD">
      <w:pPr>
        <w:spacing w:line="36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Hu, J., Li, S., Taboada, A.G. &amp; Zhang, F. (2020). Corporate Board Reforms around the World and Stock Price Crash Risk, </w:t>
      </w:r>
      <w:r w:rsidRPr="008573D2">
        <w:rPr>
          <w:rFonts w:ascii="Times New Roman" w:hAnsi="Times New Roman" w:cs="Times New Roman"/>
          <w:i/>
          <w:iCs/>
          <w:sz w:val="24"/>
          <w:szCs w:val="24"/>
        </w:rPr>
        <w:t>Journal of Corporate Finance</w:t>
      </w:r>
      <w:r w:rsidRPr="008573D2">
        <w:rPr>
          <w:rFonts w:ascii="Times New Roman" w:hAnsi="Times New Roman" w:cs="Times New Roman"/>
          <w:sz w:val="24"/>
          <w:szCs w:val="24"/>
        </w:rPr>
        <w:t>, 62, pp. 1 – 24.</w:t>
      </w:r>
    </w:p>
    <w:p w14:paraId="7EAEF4E1" w14:textId="77777777" w:rsidR="00827EAD" w:rsidRPr="008573D2" w:rsidRDefault="00827EAD" w:rsidP="00827EAD">
      <w:pPr>
        <w:spacing w:line="36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Huang, H-H., Chan, M-L., Huang, I-H. &amp; Chang, C-H. (2011). Stock Price Volatility and Overreaction in a Political Crisis: The Effects of Corporate Governance and Performance, </w:t>
      </w:r>
      <w:r w:rsidRPr="008573D2">
        <w:rPr>
          <w:rFonts w:ascii="Times New Roman" w:hAnsi="Times New Roman" w:cs="Times New Roman"/>
          <w:i/>
          <w:iCs/>
          <w:sz w:val="24"/>
          <w:szCs w:val="24"/>
        </w:rPr>
        <w:t>Pacific-Basin Finance Journal</w:t>
      </w:r>
      <w:r w:rsidRPr="008573D2">
        <w:rPr>
          <w:rFonts w:ascii="Times New Roman" w:hAnsi="Times New Roman" w:cs="Times New Roman"/>
          <w:sz w:val="24"/>
          <w:szCs w:val="24"/>
        </w:rPr>
        <w:t>, 19, pp. 1 – 20.</w:t>
      </w:r>
    </w:p>
    <w:p w14:paraId="18F54757" w14:textId="77777777" w:rsidR="00827EAD" w:rsidRPr="008573D2" w:rsidRDefault="00827EAD" w:rsidP="00827EAD">
      <w:pPr>
        <w:spacing w:line="36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Hodgson, G.M. (2016). Varieties of Capitalism: Some Philosophical and Historical Considerations, </w:t>
      </w:r>
      <w:r w:rsidRPr="008573D2">
        <w:rPr>
          <w:rFonts w:ascii="Times New Roman" w:hAnsi="Times New Roman" w:cs="Times New Roman"/>
          <w:i/>
          <w:iCs/>
          <w:sz w:val="24"/>
          <w:szCs w:val="24"/>
        </w:rPr>
        <w:t>Cambridge Journal of Economics</w:t>
      </w:r>
      <w:r w:rsidRPr="008573D2">
        <w:rPr>
          <w:rFonts w:ascii="Times New Roman" w:hAnsi="Times New Roman" w:cs="Times New Roman"/>
          <w:sz w:val="24"/>
          <w:szCs w:val="24"/>
        </w:rPr>
        <w:t>, 40, pp. 941 – 960.</w:t>
      </w:r>
    </w:p>
    <w:p w14:paraId="14BE81CA" w14:textId="6BB785D9" w:rsidR="00827EAD" w:rsidRPr="008573D2" w:rsidRDefault="00827EAD" w:rsidP="00827EAD">
      <w:pPr>
        <w:spacing w:after="200" w:line="360" w:lineRule="auto"/>
        <w:jc w:val="both"/>
        <w:rPr>
          <w:rFonts w:ascii="Times New Roman" w:hAnsi="Times New Roman" w:cs="Times New Roman"/>
          <w:sz w:val="24"/>
          <w:szCs w:val="24"/>
        </w:rPr>
      </w:pPr>
      <w:proofErr w:type="spellStart"/>
      <w:r w:rsidRPr="008573D2">
        <w:rPr>
          <w:rFonts w:ascii="Times New Roman" w:hAnsi="Times New Roman" w:cs="Times New Roman"/>
          <w:sz w:val="24"/>
          <w:szCs w:val="24"/>
        </w:rPr>
        <w:t>Im</w:t>
      </w:r>
      <w:proofErr w:type="spellEnd"/>
      <w:r w:rsidRPr="008573D2">
        <w:rPr>
          <w:rFonts w:ascii="Times New Roman" w:hAnsi="Times New Roman" w:cs="Times New Roman"/>
          <w:sz w:val="24"/>
          <w:szCs w:val="24"/>
        </w:rPr>
        <w:t xml:space="preserve">, K. S., M. H. </w:t>
      </w:r>
      <w:proofErr w:type="spellStart"/>
      <w:r w:rsidRPr="008573D2">
        <w:rPr>
          <w:rFonts w:ascii="Times New Roman" w:hAnsi="Times New Roman" w:cs="Times New Roman"/>
          <w:sz w:val="24"/>
          <w:szCs w:val="24"/>
        </w:rPr>
        <w:t>Pesaran</w:t>
      </w:r>
      <w:proofErr w:type="spellEnd"/>
      <w:r w:rsidRPr="008573D2">
        <w:rPr>
          <w:rFonts w:ascii="Times New Roman" w:hAnsi="Times New Roman" w:cs="Times New Roman"/>
          <w:sz w:val="24"/>
          <w:szCs w:val="24"/>
        </w:rPr>
        <w:t xml:space="preserve">, &amp; Y. Shin. (2003). Testing for </w:t>
      </w:r>
      <w:r w:rsidR="00FB26D4" w:rsidRPr="008573D2">
        <w:rPr>
          <w:rFonts w:ascii="Times New Roman" w:hAnsi="Times New Roman" w:cs="Times New Roman"/>
          <w:sz w:val="24"/>
          <w:szCs w:val="24"/>
        </w:rPr>
        <w:t>U</w:t>
      </w:r>
      <w:r w:rsidRPr="008573D2">
        <w:rPr>
          <w:rFonts w:ascii="Times New Roman" w:hAnsi="Times New Roman" w:cs="Times New Roman"/>
          <w:sz w:val="24"/>
          <w:szCs w:val="24"/>
        </w:rPr>
        <w:t xml:space="preserve">nit </w:t>
      </w:r>
      <w:r w:rsidR="00FB26D4" w:rsidRPr="008573D2">
        <w:rPr>
          <w:rFonts w:ascii="Times New Roman" w:hAnsi="Times New Roman" w:cs="Times New Roman"/>
          <w:sz w:val="24"/>
          <w:szCs w:val="24"/>
        </w:rPr>
        <w:t>R</w:t>
      </w:r>
      <w:r w:rsidRPr="008573D2">
        <w:rPr>
          <w:rFonts w:ascii="Times New Roman" w:hAnsi="Times New Roman" w:cs="Times New Roman"/>
          <w:sz w:val="24"/>
          <w:szCs w:val="24"/>
        </w:rPr>
        <w:t xml:space="preserve">oots in </w:t>
      </w:r>
      <w:r w:rsidR="00FB26D4" w:rsidRPr="008573D2">
        <w:rPr>
          <w:rFonts w:ascii="Times New Roman" w:hAnsi="Times New Roman" w:cs="Times New Roman"/>
          <w:sz w:val="24"/>
          <w:szCs w:val="24"/>
        </w:rPr>
        <w:t>H</w:t>
      </w:r>
      <w:r w:rsidRPr="008573D2">
        <w:rPr>
          <w:rFonts w:ascii="Times New Roman" w:hAnsi="Times New Roman" w:cs="Times New Roman"/>
          <w:sz w:val="24"/>
          <w:szCs w:val="24"/>
        </w:rPr>
        <w:t xml:space="preserve">eterogeneous </w:t>
      </w:r>
      <w:r w:rsidR="00FB26D4" w:rsidRPr="008573D2">
        <w:rPr>
          <w:rFonts w:ascii="Times New Roman" w:hAnsi="Times New Roman" w:cs="Times New Roman"/>
          <w:sz w:val="24"/>
          <w:szCs w:val="24"/>
        </w:rPr>
        <w:t>P</w:t>
      </w:r>
      <w:r w:rsidRPr="008573D2">
        <w:rPr>
          <w:rFonts w:ascii="Times New Roman" w:hAnsi="Times New Roman" w:cs="Times New Roman"/>
          <w:sz w:val="24"/>
          <w:szCs w:val="24"/>
        </w:rPr>
        <w:t xml:space="preserve">anels. </w:t>
      </w:r>
      <w:r w:rsidRPr="008573D2">
        <w:rPr>
          <w:rFonts w:ascii="Times New Roman" w:hAnsi="Times New Roman" w:cs="Times New Roman"/>
          <w:i/>
          <w:iCs/>
          <w:sz w:val="24"/>
          <w:szCs w:val="24"/>
        </w:rPr>
        <w:t>Journal of Econometrics</w:t>
      </w:r>
      <w:r w:rsidRPr="008573D2">
        <w:rPr>
          <w:rFonts w:ascii="Times New Roman" w:hAnsi="Times New Roman" w:cs="Times New Roman"/>
          <w:sz w:val="24"/>
          <w:szCs w:val="24"/>
        </w:rPr>
        <w:t xml:space="preserve">, 115, pp. 53–74. </w:t>
      </w:r>
    </w:p>
    <w:p w14:paraId="6B85EA29" w14:textId="77777777" w:rsidR="00827EAD" w:rsidRPr="008573D2" w:rsidRDefault="00827EAD" w:rsidP="00827EAD">
      <w:pPr>
        <w:spacing w:line="36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Johnson, S., Boone, P., Breach, A. &amp; Friedman, E. (2000). Corporate Governance in the Asian Financial Crisis, </w:t>
      </w:r>
      <w:r w:rsidRPr="008573D2">
        <w:rPr>
          <w:rFonts w:ascii="Times New Roman" w:hAnsi="Times New Roman" w:cs="Times New Roman"/>
          <w:i/>
          <w:iCs/>
          <w:sz w:val="24"/>
          <w:szCs w:val="24"/>
        </w:rPr>
        <w:t>Journal of Financial Economics</w:t>
      </w:r>
      <w:r w:rsidRPr="008573D2">
        <w:rPr>
          <w:rFonts w:ascii="Times New Roman" w:hAnsi="Times New Roman" w:cs="Times New Roman"/>
          <w:sz w:val="24"/>
          <w:szCs w:val="24"/>
        </w:rPr>
        <w:t>, 58, pp. 141 – 186.</w:t>
      </w:r>
    </w:p>
    <w:p w14:paraId="0B75278D" w14:textId="5AE460FC" w:rsidR="00827EAD" w:rsidRPr="008573D2" w:rsidRDefault="00827EAD" w:rsidP="00827EAD">
      <w:pPr>
        <w:spacing w:line="36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Keynes, J.M. (1936). </w:t>
      </w:r>
      <w:r w:rsidRPr="008573D2">
        <w:rPr>
          <w:rFonts w:ascii="Times New Roman" w:hAnsi="Times New Roman" w:cs="Times New Roman"/>
          <w:i/>
          <w:iCs/>
          <w:sz w:val="24"/>
          <w:szCs w:val="24"/>
        </w:rPr>
        <w:t>The General Theory of Employment, Interest and Money</w:t>
      </w:r>
      <w:r w:rsidRPr="008573D2">
        <w:rPr>
          <w:rFonts w:ascii="Times New Roman" w:hAnsi="Times New Roman" w:cs="Times New Roman"/>
          <w:sz w:val="24"/>
          <w:szCs w:val="24"/>
        </w:rPr>
        <w:t>.</w:t>
      </w:r>
      <w:r w:rsidR="00FB26D4" w:rsidRPr="008573D2">
        <w:rPr>
          <w:rFonts w:ascii="Times New Roman" w:hAnsi="Times New Roman" w:cs="Times New Roman"/>
          <w:sz w:val="24"/>
          <w:szCs w:val="24"/>
        </w:rPr>
        <w:t xml:space="preserve"> Palgrave Macmillan, UK.</w:t>
      </w:r>
    </w:p>
    <w:p w14:paraId="287AFB0E" w14:textId="77777777" w:rsidR="00827EAD" w:rsidRPr="008573D2" w:rsidRDefault="00827EAD" w:rsidP="00827EAD">
      <w:pPr>
        <w:spacing w:line="36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La Porta, R., Lopez-de-Silanes, F., Shleifer, A. &amp; </w:t>
      </w:r>
      <w:proofErr w:type="spellStart"/>
      <w:r w:rsidRPr="008573D2">
        <w:rPr>
          <w:rFonts w:ascii="Times New Roman" w:hAnsi="Times New Roman" w:cs="Times New Roman"/>
          <w:sz w:val="24"/>
          <w:szCs w:val="24"/>
        </w:rPr>
        <w:t>Vishny</w:t>
      </w:r>
      <w:proofErr w:type="spellEnd"/>
      <w:r w:rsidRPr="008573D2">
        <w:rPr>
          <w:rFonts w:ascii="Times New Roman" w:hAnsi="Times New Roman" w:cs="Times New Roman"/>
          <w:sz w:val="24"/>
          <w:szCs w:val="24"/>
        </w:rPr>
        <w:t xml:space="preserve">, R. (2002). Investor Protection and Corporate Valuation, </w:t>
      </w:r>
      <w:r w:rsidRPr="008573D2">
        <w:rPr>
          <w:rFonts w:ascii="Times New Roman" w:hAnsi="Times New Roman" w:cs="Times New Roman"/>
          <w:i/>
          <w:iCs/>
          <w:sz w:val="24"/>
          <w:szCs w:val="24"/>
        </w:rPr>
        <w:t>The Journal of Finance</w:t>
      </w:r>
      <w:r w:rsidRPr="008573D2">
        <w:rPr>
          <w:rFonts w:ascii="Times New Roman" w:hAnsi="Times New Roman" w:cs="Times New Roman"/>
          <w:sz w:val="24"/>
          <w:szCs w:val="24"/>
        </w:rPr>
        <w:t>, 57, pp. 1147 – 1170.</w:t>
      </w:r>
    </w:p>
    <w:p w14:paraId="10FE0FB8" w14:textId="7E871E31" w:rsidR="00827EAD" w:rsidRPr="008573D2" w:rsidRDefault="00827EAD" w:rsidP="00827EAD">
      <w:pPr>
        <w:spacing w:line="36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Lee, J. (2010). The </w:t>
      </w:r>
      <w:r w:rsidR="000477F2" w:rsidRPr="008573D2">
        <w:rPr>
          <w:rFonts w:ascii="Times New Roman" w:hAnsi="Times New Roman" w:cs="Times New Roman"/>
          <w:sz w:val="24"/>
          <w:szCs w:val="24"/>
        </w:rPr>
        <w:t>L</w:t>
      </w:r>
      <w:r w:rsidRPr="008573D2">
        <w:rPr>
          <w:rFonts w:ascii="Times New Roman" w:hAnsi="Times New Roman" w:cs="Times New Roman"/>
          <w:sz w:val="24"/>
          <w:szCs w:val="24"/>
        </w:rPr>
        <w:t xml:space="preserve">ink between </w:t>
      </w:r>
      <w:r w:rsidR="000477F2" w:rsidRPr="008573D2">
        <w:rPr>
          <w:rFonts w:ascii="Times New Roman" w:hAnsi="Times New Roman" w:cs="Times New Roman"/>
          <w:sz w:val="24"/>
          <w:szCs w:val="24"/>
        </w:rPr>
        <w:t>O</w:t>
      </w:r>
      <w:r w:rsidRPr="008573D2">
        <w:rPr>
          <w:rFonts w:ascii="Times New Roman" w:hAnsi="Times New Roman" w:cs="Times New Roman"/>
          <w:sz w:val="24"/>
          <w:szCs w:val="24"/>
        </w:rPr>
        <w:t xml:space="preserve">utput </w:t>
      </w:r>
      <w:r w:rsidR="000477F2" w:rsidRPr="008573D2">
        <w:rPr>
          <w:rFonts w:ascii="Times New Roman" w:hAnsi="Times New Roman" w:cs="Times New Roman"/>
          <w:sz w:val="24"/>
          <w:szCs w:val="24"/>
        </w:rPr>
        <w:t>G</w:t>
      </w:r>
      <w:r w:rsidRPr="008573D2">
        <w:rPr>
          <w:rFonts w:ascii="Times New Roman" w:hAnsi="Times New Roman" w:cs="Times New Roman"/>
          <w:sz w:val="24"/>
          <w:szCs w:val="24"/>
        </w:rPr>
        <w:t xml:space="preserve">rowth and </w:t>
      </w:r>
      <w:r w:rsidR="000477F2" w:rsidRPr="008573D2">
        <w:rPr>
          <w:rFonts w:ascii="Times New Roman" w:hAnsi="Times New Roman" w:cs="Times New Roman"/>
          <w:sz w:val="24"/>
          <w:szCs w:val="24"/>
        </w:rPr>
        <w:t>V</w:t>
      </w:r>
      <w:r w:rsidRPr="008573D2">
        <w:rPr>
          <w:rFonts w:ascii="Times New Roman" w:hAnsi="Times New Roman" w:cs="Times New Roman"/>
          <w:sz w:val="24"/>
          <w:szCs w:val="24"/>
        </w:rPr>
        <w:t xml:space="preserve">olatility: Evidence from a GARCH </w:t>
      </w:r>
      <w:r w:rsidR="000477F2" w:rsidRPr="008573D2">
        <w:rPr>
          <w:rFonts w:ascii="Times New Roman" w:hAnsi="Times New Roman" w:cs="Times New Roman"/>
          <w:sz w:val="24"/>
          <w:szCs w:val="24"/>
        </w:rPr>
        <w:t>M</w:t>
      </w:r>
      <w:r w:rsidRPr="008573D2">
        <w:rPr>
          <w:rFonts w:ascii="Times New Roman" w:hAnsi="Times New Roman" w:cs="Times New Roman"/>
          <w:sz w:val="24"/>
          <w:szCs w:val="24"/>
        </w:rPr>
        <w:t xml:space="preserve">odel with </w:t>
      </w:r>
      <w:r w:rsidR="000477F2" w:rsidRPr="008573D2">
        <w:rPr>
          <w:rFonts w:ascii="Times New Roman" w:hAnsi="Times New Roman" w:cs="Times New Roman"/>
          <w:sz w:val="24"/>
          <w:szCs w:val="24"/>
        </w:rPr>
        <w:t>P</w:t>
      </w:r>
      <w:r w:rsidRPr="008573D2">
        <w:rPr>
          <w:rFonts w:ascii="Times New Roman" w:hAnsi="Times New Roman" w:cs="Times New Roman"/>
          <w:sz w:val="24"/>
          <w:szCs w:val="24"/>
        </w:rPr>
        <w:t xml:space="preserve">anel </w:t>
      </w:r>
      <w:r w:rsidR="000477F2" w:rsidRPr="008573D2">
        <w:rPr>
          <w:rFonts w:ascii="Times New Roman" w:hAnsi="Times New Roman" w:cs="Times New Roman"/>
          <w:sz w:val="24"/>
          <w:szCs w:val="24"/>
        </w:rPr>
        <w:t>D</w:t>
      </w:r>
      <w:r w:rsidRPr="008573D2">
        <w:rPr>
          <w:rFonts w:ascii="Times New Roman" w:hAnsi="Times New Roman" w:cs="Times New Roman"/>
          <w:sz w:val="24"/>
          <w:szCs w:val="24"/>
        </w:rPr>
        <w:t xml:space="preserve">ata. </w:t>
      </w:r>
      <w:r w:rsidRPr="008573D2">
        <w:rPr>
          <w:rFonts w:ascii="Times New Roman" w:hAnsi="Times New Roman" w:cs="Times New Roman"/>
          <w:i/>
          <w:iCs/>
          <w:sz w:val="24"/>
          <w:szCs w:val="24"/>
        </w:rPr>
        <w:t>Economic Letters</w:t>
      </w:r>
      <w:r w:rsidRPr="008573D2">
        <w:rPr>
          <w:rFonts w:ascii="Times New Roman" w:hAnsi="Times New Roman" w:cs="Times New Roman"/>
          <w:sz w:val="24"/>
          <w:szCs w:val="24"/>
        </w:rPr>
        <w:t>, 106, pp. 143-145.</w:t>
      </w:r>
    </w:p>
    <w:p w14:paraId="7DADD231" w14:textId="77777777" w:rsidR="00827EAD" w:rsidRPr="008573D2" w:rsidRDefault="00827EAD" w:rsidP="00827EAD">
      <w:pPr>
        <w:spacing w:after="200" w:line="36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Lemmon, M. &amp; </w:t>
      </w:r>
      <w:proofErr w:type="spellStart"/>
      <w:r w:rsidRPr="008573D2">
        <w:rPr>
          <w:rFonts w:ascii="Times New Roman" w:hAnsi="Times New Roman" w:cs="Times New Roman"/>
          <w:sz w:val="24"/>
          <w:szCs w:val="24"/>
        </w:rPr>
        <w:t>Lins</w:t>
      </w:r>
      <w:proofErr w:type="spellEnd"/>
      <w:r w:rsidRPr="008573D2">
        <w:rPr>
          <w:rFonts w:ascii="Times New Roman" w:hAnsi="Times New Roman" w:cs="Times New Roman"/>
          <w:sz w:val="24"/>
          <w:szCs w:val="24"/>
        </w:rPr>
        <w:t xml:space="preserve">, K. (2003). Ownership Structure, Corporate Governance and Firms Value: Evidence from the East Asian Financial Crisis, </w:t>
      </w:r>
      <w:r w:rsidRPr="008573D2">
        <w:rPr>
          <w:rFonts w:ascii="Times New Roman" w:hAnsi="Times New Roman" w:cs="Times New Roman"/>
          <w:i/>
          <w:iCs/>
          <w:sz w:val="24"/>
          <w:szCs w:val="24"/>
        </w:rPr>
        <w:t>The Journal of Finance</w:t>
      </w:r>
      <w:r w:rsidRPr="008573D2">
        <w:rPr>
          <w:rFonts w:ascii="Times New Roman" w:hAnsi="Times New Roman" w:cs="Times New Roman"/>
          <w:sz w:val="24"/>
          <w:szCs w:val="24"/>
        </w:rPr>
        <w:t>, 58, pp. 1445 – 1468.</w:t>
      </w:r>
    </w:p>
    <w:p w14:paraId="1065A587" w14:textId="2824FCA4" w:rsidR="00827EAD" w:rsidRPr="008573D2" w:rsidRDefault="00827EAD" w:rsidP="00827EAD">
      <w:pPr>
        <w:autoSpaceDE w:val="0"/>
        <w:autoSpaceDN w:val="0"/>
        <w:adjustRightInd w:val="0"/>
        <w:spacing w:after="200" w:line="360" w:lineRule="auto"/>
        <w:rPr>
          <w:rFonts w:ascii="Times New Roman" w:hAnsi="Times New Roman" w:cs="Times New Roman"/>
          <w:sz w:val="24"/>
          <w:szCs w:val="24"/>
        </w:rPr>
      </w:pPr>
      <w:proofErr w:type="spellStart"/>
      <w:r w:rsidRPr="008573D2">
        <w:rPr>
          <w:rFonts w:ascii="Times New Roman" w:hAnsi="Times New Roman" w:cs="Times New Roman"/>
          <w:sz w:val="24"/>
          <w:szCs w:val="24"/>
        </w:rPr>
        <w:t>Levene</w:t>
      </w:r>
      <w:proofErr w:type="spellEnd"/>
      <w:r w:rsidRPr="008573D2">
        <w:rPr>
          <w:rFonts w:ascii="Times New Roman" w:hAnsi="Times New Roman" w:cs="Times New Roman"/>
          <w:sz w:val="24"/>
          <w:szCs w:val="24"/>
        </w:rPr>
        <w:t xml:space="preserve">, H. (1960). Robust </w:t>
      </w:r>
      <w:r w:rsidR="000477F2" w:rsidRPr="008573D2">
        <w:rPr>
          <w:rFonts w:ascii="Times New Roman" w:hAnsi="Times New Roman" w:cs="Times New Roman"/>
          <w:sz w:val="24"/>
          <w:szCs w:val="24"/>
        </w:rPr>
        <w:t>T</w:t>
      </w:r>
      <w:r w:rsidRPr="008573D2">
        <w:rPr>
          <w:rFonts w:ascii="Times New Roman" w:hAnsi="Times New Roman" w:cs="Times New Roman"/>
          <w:sz w:val="24"/>
          <w:szCs w:val="24"/>
        </w:rPr>
        <w:t xml:space="preserve">ests for </w:t>
      </w:r>
      <w:r w:rsidR="000477F2" w:rsidRPr="008573D2">
        <w:rPr>
          <w:rFonts w:ascii="Times New Roman" w:hAnsi="Times New Roman" w:cs="Times New Roman"/>
          <w:sz w:val="24"/>
          <w:szCs w:val="24"/>
        </w:rPr>
        <w:t>E</w:t>
      </w:r>
      <w:r w:rsidRPr="008573D2">
        <w:rPr>
          <w:rFonts w:ascii="Times New Roman" w:hAnsi="Times New Roman" w:cs="Times New Roman"/>
          <w:sz w:val="24"/>
          <w:szCs w:val="24"/>
        </w:rPr>
        <w:t xml:space="preserve">quality of </w:t>
      </w:r>
      <w:r w:rsidR="000477F2" w:rsidRPr="008573D2">
        <w:rPr>
          <w:rFonts w:ascii="Times New Roman" w:hAnsi="Times New Roman" w:cs="Times New Roman"/>
          <w:sz w:val="24"/>
          <w:szCs w:val="24"/>
        </w:rPr>
        <w:t>V</w:t>
      </w:r>
      <w:r w:rsidRPr="008573D2">
        <w:rPr>
          <w:rFonts w:ascii="Times New Roman" w:hAnsi="Times New Roman" w:cs="Times New Roman"/>
          <w:sz w:val="24"/>
          <w:szCs w:val="24"/>
        </w:rPr>
        <w:t xml:space="preserve">ariances. In Contributions to Probability and Statistics: Essays in </w:t>
      </w:r>
      <w:proofErr w:type="spellStart"/>
      <w:r w:rsidRPr="008573D2">
        <w:rPr>
          <w:rFonts w:ascii="Times New Roman" w:hAnsi="Times New Roman" w:cs="Times New Roman"/>
          <w:sz w:val="24"/>
          <w:szCs w:val="24"/>
        </w:rPr>
        <w:t>Honor</w:t>
      </w:r>
      <w:proofErr w:type="spellEnd"/>
      <w:r w:rsidRPr="008573D2">
        <w:rPr>
          <w:rFonts w:ascii="Times New Roman" w:hAnsi="Times New Roman" w:cs="Times New Roman"/>
          <w:sz w:val="24"/>
          <w:szCs w:val="24"/>
        </w:rPr>
        <w:t xml:space="preserve"> of Harold Hotelling, ed. I. Olkin, S. G. </w:t>
      </w:r>
      <w:proofErr w:type="spellStart"/>
      <w:r w:rsidRPr="008573D2">
        <w:rPr>
          <w:rFonts w:ascii="Times New Roman" w:hAnsi="Times New Roman" w:cs="Times New Roman"/>
          <w:sz w:val="24"/>
          <w:szCs w:val="24"/>
        </w:rPr>
        <w:t>Ghurye</w:t>
      </w:r>
      <w:proofErr w:type="spellEnd"/>
      <w:r w:rsidRPr="008573D2">
        <w:rPr>
          <w:rFonts w:ascii="Times New Roman" w:hAnsi="Times New Roman" w:cs="Times New Roman"/>
          <w:sz w:val="24"/>
          <w:szCs w:val="24"/>
        </w:rPr>
        <w:t xml:space="preserve">, W. </w:t>
      </w:r>
      <w:proofErr w:type="spellStart"/>
      <w:r w:rsidRPr="008573D2">
        <w:rPr>
          <w:rFonts w:ascii="Times New Roman" w:hAnsi="Times New Roman" w:cs="Times New Roman"/>
          <w:sz w:val="24"/>
          <w:szCs w:val="24"/>
        </w:rPr>
        <w:t>Hoeffding</w:t>
      </w:r>
      <w:proofErr w:type="spellEnd"/>
      <w:r w:rsidRPr="008573D2">
        <w:rPr>
          <w:rFonts w:ascii="Times New Roman" w:hAnsi="Times New Roman" w:cs="Times New Roman"/>
          <w:sz w:val="24"/>
          <w:szCs w:val="24"/>
        </w:rPr>
        <w:t xml:space="preserve">, W. G. </w:t>
      </w:r>
      <w:proofErr w:type="spellStart"/>
      <w:r w:rsidRPr="008573D2">
        <w:rPr>
          <w:rFonts w:ascii="Times New Roman" w:hAnsi="Times New Roman" w:cs="Times New Roman"/>
          <w:sz w:val="24"/>
          <w:szCs w:val="24"/>
        </w:rPr>
        <w:t>Madow</w:t>
      </w:r>
      <w:proofErr w:type="spellEnd"/>
      <w:r w:rsidRPr="008573D2">
        <w:rPr>
          <w:rFonts w:ascii="Times New Roman" w:hAnsi="Times New Roman" w:cs="Times New Roman"/>
          <w:sz w:val="24"/>
          <w:szCs w:val="24"/>
        </w:rPr>
        <w:t>, and H. B. Mann, 278–292. Menlo Park, CA: Stanford University Press.</w:t>
      </w:r>
    </w:p>
    <w:p w14:paraId="268BEC1C" w14:textId="5892ED38" w:rsidR="00827EAD" w:rsidRPr="008573D2" w:rsidRDefault="00827EAD" w:rsidP="00827EAD">
      <w:pPr>
        <w:autoSpaceDE w:val="0"/>
        <w:autoSpaceDN w:val="0"/>
        <w:adjustRightInd w:val="0"/>
        <w:spacing w:after="200" w:line="360" w:lineRule="auto"/>
        <w:rPr>
          <w:rFonts w:ascii="Times New Roman" w:hAnsi="Times New Roman" w:cs="Times New Roman"/>
          <w:sz w:val="24"/>
          <w:szCs w:val="24"/>
        </w:rPr>
      </w:pPr>
      <w:r w:rsidRPr="008573D2">
        <w:rPr>
          <w:rFonts w:ascii="Times New Roman" w:hAnsi="Times New Roman" w:cs="Times New Roman"/>
          <w:sz w:val="24"/>
          <w:szCs w:val="24"/>
        </w:rPr>
        <w:t xml:space="preserve">Levin, A., C.-F. Lin, &amp; C.-S. J. Chu. (2002). Unit </w:t>
      </w:r>
      <w:r w:rsidR="006F7784" w:rsidRPr="008573D2">
        <w:rPr>
          <w:rFonts w:ascii="Times New Roman" w:hAnsi="Times New Roman" w:cs="Times New Roman"/>
          <w:sz w:val="24"/>
          <w:szCs w:val="24"/>
        </w:rPr>
        <w:t>R</w:t>
      </w:r>
      <w:r w:rsidRPr="008573D2">
        <w:rPr>
          <w:rFonts w:ascii="Times New Roman" w:hAnsi="Times New Roman" w:cs="Times New Roman"/>
          <w:sz w:val="24"/>
          <w:szCs w:val="24"/>
        </w:rPr>
        <w:t xml:space="preserve">oot </w:t>
      </w:r>
      <w:r w:rsidR="006F7784" w:rsidRPr="008573D2">
        <w:rPr>
          <w:rFonts w:ascii="Times New Roman" w:hAnsi="Times New Roman" w:cs="Times New Roman"/>
          <w:sz w:val="24"/>
          <w:szCs w:val="24"/>
        </w:rPr>
        <w:t>T</w:t>
      </w:r>
      <w:r w:rsidRPr="008573D2">
        <w:rPr>
          <w:rFonts w:ascii="Times New Roman" w:hAnsi="Times New Roman" w:cs="Times New Roman"/>
          <w:sz w:val="24"/>
          <w:szCs w:val="24"/>
        </w:rPr>
        <w:t xml:space="preserve">ests in </w:t>
      </w:r>
      <w:r w:rsidR="006F7784" w:rsidRPr="008573D2">
        <w:rPr>
          <w:rFonts w:ascii="Times New Roman" w:hAnsi="Times New Roman" w:cs="Times New Roman"/>
          <w:sz w:val="24"/>
          <w:szCs w:val="24"/>
        </w:rPr>
        <w:t>P</w:t>
      </w:r>
      <w:r w:rsidRPr="008573D2">
        <w:rPr>
          <w:rFonts w:ascii="Times New Roman" w:hAnsi="Times New Roman" w:cs="Times New Roman"/>
          <w:sz w:val="24"/>
          <w:szCs w:val="24"/>
        </w:rPr>
        <w:t xml:space="preserve">anel </w:t>
      </w:r>
      <w:r w:rsidR="006F7784" w:rsidRPr="008573D2">
        <w:rPr>
          <w:rFonts w:ascii="Times New Roman" w:hAnsi="Times New Roman" w:cs="Times New Roman"/>
          <w:sz w:val="24"/>
          <w:szCs w:val="24"/>
        </w:rPr>
        <w:t>D</w:t>
      </w:r>
      <w:r w:rsidRPr="008573D2">
        <w:rPr>
          <w:rFonts w:ascii="Times New Roman" w:hAnsi="Times New Roman" w:cs="Times New Roman"/>
          <w:sz w:val="24"/>
          <w:szCs w:val="24"/>
        </w:rPr>
        <w:t xml:space="preserve">ata: Asymptotic and </w:t>
      </w:r>
      <w:r w:rsidR="006F7784" w:rsidRPr="008573D2">
        <w:rPr>
          <w:rFonts w:ascii="Times New Roman" w:hAnsi="Times New Roman" w:cs="Times New Roman"/>
          <w:sz w:val="24"/>
          <w:szCs w:val="24"/>
        </w:rPr>
        <w:t>F</w:t>
      </w:r>
      <w:r w:rsidRPr="008573D2">
        <w:rPr>
          <w:rFonts w:ascii="Times New Roman" w:hAnsi="Times New Roman" w:cs="Times New Roman"/>
          <w:sz w:val="24"/>
          <w:szCs w:val="24"/>
        </w:rPr>
        <w:t xml:space="preserve">inite-sample </w:t>
      </w:r>
      <w:r w:rsidR="006F7784" w:rsidRPr="008573D2">
        <w:rPr>
          <w:rFonts w:ascii="Times New Roman" w:hAnsi="Times New Roman" w:cs="Times New Roman"/>
          <w:sz w:val="24"/>
          <w:szCs w:val="24"/>
        </w:rPr>
        <w:t>P</w:t>
      </w:r>
      <w:r w:rsidRPr="008573D2">
        <w:rPr>
          <w:rFonts w:ascii="Times New Roman" w:hAnsi="Times New Roman" w:cs="Times New Roman"/>
          <w:sz w:val="24"/>
          <w:szCs w:val="24"/>
        </w:rPr>
        <w:t xml:space="preserve">roperties. </w:t>
      </w:r>
      <w:r w:rsidRPr="008573D2">
        <w:rPr>
          <w:rFonts w:ascii="Times New Roman" w:hAnsi="Times New Roman" w:cs="Times New Roman"/>
          <w:i/>
          <w:iCs/>
          <w:sz w:val="24"/>
          <w:szCs w:val="24"/>
        </w:rPr>
        <w:t>Journal of Econometrics</w:t>
      </w:r>
      <w:r w:rsidRPr="008573D2">
        <w:rPr>
          <w:rFonts w:ascii="Times New Roman" w:hAnsi="Times New Roman" w:cs="Times New Roman"/>
          <w:sz w:val="24"/>
          <w:szCs w:val="24"/>
        </w:rPr>
        <w:t>, 108, pp. 1–24.</w:t>
      </w:r>
    </w:p>
    <w:p w14:paraId="60EDAD43" w14:textId="77777777" w:rsidR="00827EAD" w:rsidRPr="008573D2" w:rsidRDefault="00827EAD" w:rsidP="00827EAD">
      <w:pPr>
        <w:spacing w:after="200" w:line="36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Mitton, T. (2002). A Cross-Firm Analysis of the Impact of Corporate Governance on the East Asian Financial Crisis, </w:t>
      </w:r>
      <w:r w:rsidRPr="008573D2">
        <w:rPr>
          <w:rFonts w:ascii="Times New Roman" w:hAnsi="Times New Roman" w:cs="Times New Roman"/>
          <w:i/>
          <w:iCs/>
          <w:sz w:val="24"/>
          <w:szCs w:val="24"/>
        </w:rPr>
        <w:t>Journal of Financial Economics</w:t>
      </w:r>
      <w:r w:rsidRPr="008573D2">
        <w:rPr>
          <w:rFonts w:ascii="Times New Roman" w:hAnsi="Times New Roman" w:cs="Times New Roman"/>
          <w:sz w:val="24"/>
          <w:szCs w:val="24"/>
        </w:rPr>
        <w:t>, 64, pp. 215 – 241.</w:t>
      </w:r>
    </w:p>
    <w:p w14:paraId="191CBAEF" w14:textId="34A0BA77" w:rsidR="00827EAD" w:rsidRPr="008573D2" w:rsidRDefault="00827EAD" w:rsidP="00827EAD">
      <w:pPr>
        <w:spacing w:after="200" w:line="360" w:lineRule="auto"/>
        <w:jc w:val="both"/>
        <w:rPr>
          <w:rFonts w:ascii="Times New Roman" w:hAnsi="Times New Roman" w:cs="Times New Roman"/>
          <w:sz w:val="24"/>
          <w:szCs w:val="24"/>
        </w:rPr>
      </w:pPr>
      <w:proofErr w:type="spellStart"/>
      <w:r w:rsidRPr="008573D2">
        <w:rPr>
          <w:rFonts w:ascii="Times New Roman" w:hAnsi="Times New Roman" w:cs="Times New Roman"/>
          <w:sz w:val="24"/>
          <w:szCs w:val="24"/>
        </w:rPr>
        <w:lastRenderedPageBreak/>
        <w:t>Mollick</w:t>
      </w:r>
      <w:proofErr w:type="spellEnd"/>
      <w:r w:rsidRPr="008573D2">
        <w:rPr>
          <w:rFonts w:ascii="Times New Roman" w:hAnsi="Times New Roman" w:cs="Times New Roman"/>
          <w:sz w:val="24"/>
          <w:szCs w:val="24"/>
        </w:rPr>
        <w:t xml:space="preserve">, A.V. &amp; Assefa, T.A. (2013). US </w:t>
      </w:r>
      <w:r w:rsidR="006F7784" w:rsidRPr="008573D2">
        <w:rPr>
          <w:rFonts w:ascii="Times New Roman" w:hAnsi="Times New Roman" w:cs="Times New Roman"/>
          <w:sz w:val="24"/>
          <w:szCs w:val="24"/>
        </w:rPr>
        <w:t>S</w:t>
      </w:r>
      <w:r w:rsidRPr="008573D2">
        <w:rPr>
          <w:rFonts w:ascii="Times New Roman" w:hAnsi="Times New Roman" w:cs="Times New Roman"/>
          <w:sz w:val="24"/>
          <w:szCs w:val="24"/>
        </w:rPr>
        <w:t xml:space="preserve">tock </w:t>
      </w:r>
      <w:r w:rsidR="006F7784" w:rsidRPr="008573D2">
        <w:rPr>
          <w:rFonts w:ascii="Times New Roman" w:hAnsi="Times New Roman" w:cs="Times New Roman"/>
          <w:sz w:val="24"/>
          <w:szCs w:val="24"/>
        </w:rPr>
        <w:t>R</w:t>
      </w:r>
      <w:r w:rsidRPr="008573D2">
        <w:rPr>
          <w:rFonts w:ascii="Times New Roman" w:hAnsi="Times New Roman" w:cs="Times New Roman"/>
          <w:sz w:val="24"/>
          <w:szCs w:val="24"/>
        </w:rPr>
        <w:t xml:space="preserve">eturns and </w:t>
      </w:r>
      <w:r w:rsidR="006F7784" w:rsidRPr="008573D2">
        <w:rPr>
          <w:rFonts w:ascii="Times New Roman" w:hAnsi="Times New Roman" w:cs="Times New Roman"/>
          <w:sz w:val="24"/>
          <w:szCs w:val="24"/>
        </w:rPr>
        <w:t>O</w:t>
      </w:r>
      <w:r w:rsidRPr="008573D2">
        <w:rPr>
          <w:rFonts w:ascii="Times New Roman" w:hAnsi="Times New Roman" w:cs="Times New Roman"/>
          <w:sz w:val="24"/>
          <w:szCs w:val="24"/>
        </w:rPr>
        <w:t xml:space="preserve">il </w:t>
      </w:r>
      <w:r w:rsidR="006F7784" w:rsidRPr="008573D2">
        <w:rPr>
          <w:rFonts w:ascii="Times New Roman" w:hAnsi="Times New Roman" w:cs="Times New Roman"/>
          <w:sz w:val="24"/>
          <w:szCs w:val="24"/>
        </w:rPr>
        <w:t>P</w:t>
      </w:r>
      <w:r w:rsidRPr="008573D2">
        <w:rPr>
          <w:rFonts w:ascii="Times New Roman" w:hAnsi="Times New Roman" w:cs="Times New Roman"/>
          <w:sz w:val="24"/>
          <w:szCs w:val="24"/>
        </w:rPr>
        <w:t xml:space="preserve">rices: The </w:t>
      </w:r>
      <w:r w:rsidR="006F7784" w:rsidRPr="008573D2">
        <w:rPr>
          <w:rFonts w:ascii="Times New Roman" w:hAnsi="Times New Roman" w:cs="Times New Roman"/>
          <w:sz w:val="24"/>
          <w:szCs w:val="24"/>
        </w:rPr>
        <w:t>T</w:t>
      </w:r>
      <w:r w:rsidRPr="008573D2">
        <w:rPr>
          <w:rFonts w:ascii="Times New Roman" w:hAnsi="Times New Roman" w:cs="Times New Roman"/>
          <w:sz w:val="24"/>
          <w:szCs w:val="24"/>
        </w:rPr>
        <w:t xml:space="preserve">ale from </w:t>
      </w:r>
      <w:r w:rsidR="006F7784" w:rsidRPr="008573D2">
        <w:rPr>
          <w:rFonts w:ascii="Times New Roman" w:hAnsi="Times New Roman" w:cs="Times New Roman"/>
          <w:sz w:val="24"/>
          <w:szCs w:val="24"/>
        </w:rPr>
        <w:t>D</w:t>
      </w:r>
      <w:r w:rsidRPr="008573D2">
        <w:rPr>
          <w:rFonts w:ascii="Times New Roman" w:hAnsi="Times New Roman" w:cs="Times New Roman"/>
          <w:sz w:val="24"/>
          <w:szCs w:val="24"/>
        </w:rPr>
        <w:t xml:space="preserve">aily </w:t>
      </w:r>
      <w:r w:rsidR="006F7784" w:rsidRPr="008573D2">
        <w:rPr>
          <w:rFonts w:ascii="Times New Roman" w:hAnsi="Times New Roman" w:cs="Times New Roman"/>
          <w:sz w:val="24"/>
          <w:szCs w:val="24"/>
        </w:rPr>
        <w:t>D</w:t>
      </w:r>
      <w:r w:rsidRPr="008573D2">
        <w:rPr>
          <w:rFonts w:ascii="Times New Roman" w:hAnsi="Times New Roman" w:cs="Times New Roman"/>
          <w:sz w:val="24"/>
          <w:szCs w:val="24"/>
        </w:rPr>
        <w:t xml:space="preserve">ata and the 2008-2009 </w:t>
      </w:r>
      <w:r w:rsidR="006F7784" w:rsidRPr="008573D2">
        <w:rPr>
          <w:rFonts w:ascii="Times New Roman" w:hAnsi="Times New Roman" w:cs="Times New Roman"/>
          <w:sz w:val="24"/>
          <w:szCs w:val="24"/>
        </w:rPr>
        <w:t>F</w:t>
      </w:r>
      <w:r w:rsidRPr="008573D2">
        <w:rPr>
          <w:rFonts w:ascii="Times New Roman" w:hAnsi="Times New Roman" w:cs="Times New Roman"/>
          <w:sz w:val="24"/>
          <w:szCs w:val="24"/>
        </w:rPr>
        <w:t xml:space="preserve">inancial </w:t>
      </w:r>
      <w:r w:rsidR="006F7784" w:rsidRPr="008573D2">
        <w:rPr>
          <w:rFonts w:ascii="Times New Roman" w:hAnsi="Times New Roman" w:cs="Times New Roman"/>
          <w:sz w:val="24"/>
          <w:szCs w:val="24"/>
        </w:rPr>
        <w:t>C</w:t>
      </w:r>
      <w:r w:rsidRPr="008573D2">
        <w:rPr>
          <w:rFonts w:ascii="Times New Roman" w:hAnsi="Times New Roman" w:cs="Times New Roman"/>
          <w:sz w:val="24"/>
          <w:szCs w:val="24"/>
        </w:rPr>
        <w:t xml:space="preserve">risis’. </w:t>
      </w:r>
      <w:r w:rsidRPr="008573D2">
        <w:rPr>
          <w:rFonts w:ascii="Times New Roman" w:hAnsi="Times New Roman" w:cs="Times New Roman"/>
          <w:i/>
          <w:iCs/>
          <w:sz w:val="24"/>
          <w:szCs w:val="24"/>
        </w:rPr>
        <w:t>Energy Economics</w:t>
      </w:r>
      <w:r w:rsidRPr="008573D2">
        <w:rPr>
          <w:rFonts w:ascii="Times New Roman" w:hAnsi="Times New Roman" w:cs="Times New Roman"/>
          <w:sz w:val="24"/>
          <w:szCs w:val="24"/>
        </w:rPr>
        <w:t>, 36, pp. 1-18.</w:t>
      </w:r>
    </w:p>
    <w:p w14:paraId="7E3C2342" w14:textId="4B7673C5" w:rsidR="00827EAD" w:rsidRPr="008573D2" w:rsidRDefault="00827EAD" w:rsidP="00827EAD">
      <w:pPr>
        <w:spacing w:line="36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Nelson, D. B. (1991). Conditional </w:t>
      </w:r>
      <w:r w:rsidR="006F7784" w:rsidRPr="008573D2">
        <w:rPr>
          <w:rFonts w:ascii="Times New Roman" w:hAnsi="Times New Roman" w:cs="Times New Roman"/>
          <w:sz w:val="24"/>
          <w:szCs w:val="24"/>
        </w:rPr>
        <w:t>H</w:t>
      </w:r>
      <w:r w:rsidRPr="008573D2">
        <w:rPr>
          <w:rFonts w:ascii="Times New Roman" w:hAnsi="Times New Roman" w:cs="Times New Roman"/>
          <w:sz w:val="24"/>
          <w:szCs w:val="24"/>
        </w:rPr>
        <w:t xml:space="preserve">eteroskedasticity in </w:t>
      </w:r>
      <w:r w:rsidR="006F7784" w:rsidRPr="008573D2">
        <w:rPr>
          <w:rFonts w:ascii="Times New Roman" w:hAnsi="Times New Roman" w:cs="Times New Roman"/>
          <w:sz w:val="24"/>
          <w:szCs w:val="24"/>
        </w:rPr>
        <w:t>A</w:t>
      </w:r>
      <w:r w:rsidRPr="008573D2">
        <w:rPr>
          <w:rFonts w:ascii="Times New Roman" w:hAnsi="Times New Roman" w:cs="Times New Roman"/>
          <w:sz w:val="24"/>
          <w:szCs w:val="24"/>
        </w:rPr>
        <w:t xml:space="preserve">sset </w:t>
      </w:r>
      <w:r w:rsidR="006F7784" w:rsidRPr="008573D2">
        <w:rPr>
          <w:rFonts w:ascii="Times New Roman" w:hAnsi="Times New Roman" w:cs="Times New Roman"/>
          <w:sz w:val="24"/>
          <w:szCs w:val="24"/>
        </w:rPr>
        <w:t>R</w:t>
      </w:r>
      <w:r w:rsidRPr="008573D2">
        <w:rPr>
          <w:rFonts w:ascii="Times New Roman" w:hAnsi="Times New Roman" w:cs="Times New Roman"/>
          <w:sz w:val="24"/>
          <w:szCs w:val="24"/>
        </w:rPr>
        <w:t xml:space="preserve">eturns: A </w:t>
      </w:r>
      <w:r w:rsidR="006F7784" w:rsidRPr="008573D2">
        <w:rPr>
          <w:rFonts w:ascii="Times New Roman" w:hAnsi="Times New Roman" w:cs="Times New Roman"/>
          <w:sz w:val="24"/>
          <w:szCs w:val="24"/>
        </w:rPr>
        <w:t>N</w:t>
      </w:r>
      <w:r w:rsidRPr="008573D2">
        <w:rPr>
          <w:rFonts w:ascii="Times New Roman" w:hAnsi="Times New Roman" w:cs="Times New Roman"/>
          <w:sz w:val="24"/>
          <w:szCs w:val="24"/>
        </w:rPr>
        <w:t xml:space="preserve">ew </w:t>
      </w:r>
      <w:r w:rsidR="006F7784" w:rsidRPr="008573D2">
        <w:rPr>
          <w:rFonts w:ascii="Times New Roman" w:hAnsi="Times New Roman" w:cs="Times New Roman"/>
          <w:sz w:val="24"/>
          <w:szCs w:val="24"/>
        </w:rPr>
        <w:t>A</w:t>
      </w:r>
      <w:r w:rsidRPr="008573D2">
        <w:rPr>
          <w:rFonts w:ascii="Times New Roman" w:hAnsi="Times New Roman" w:cs="Times New Roman"/>
          <w:sz w:val="24"/>
          <w:szCs w:val="24"/>
        </w:rPr>
        <w:t xml:space="preserve">pproach. </w:t>
      </w:r>
      <w:proofErr w:type="spellStart"/>
      <w:r w:rsidRPr="008573D2">
        <w:rPr>
          <w:rFonts w:ascii="Times New Roman" w:hAnsi="Times New Roman" w:cs="Times New Roman"/>
          <w:i/>
          <w:iCs/>
          <w:sz w:val="24"/>
          <w:szCs w:val="24"/>
        </w:rPr>
        <w:t>Econometrica</w:t>
      </w:r>
      <w:proofErr w:type="spellEnd"/>
      <w:r w:rsidRPr="008573D2">
        <w:rPr>
          <w:rFonts w:ascii="Times New Roman" w:hAnsi="Times New Roman" w:cs="Times New Roman"/>
          <w:sz w:val="24"/>
          <w:szCs w:val="24"/>
        </w:rPr>
        <w:t>, 59, pp. 347–370.</w:t>
      </w:r>
    </w:p>
    <w:p w14:paraId="7981777D" w14:textId="73C19D87" w:rsidR="00827EAD" w:rsidRPr="008573D2" w:rsidRDefault="00827EAD" w:rsidP="00827EAD">
      <w:pPr>
        <w:spacing w:after="200" w:line="360" w:lineRule="auto"/>
        <w:jc w:val="both"/>
        <w:rPr>
          <w:rFonts w:ascii="Times New Roman" w:hAnsi="Times New Roman" w:cs="Times New Roman"/>
          <w:sz w:val="24"/>
          <w:szCs w:val="24"/>
        </w:rPr>
      </w:pPr>
      <w:proofErr w:type="spellStart"/>
      <w:r w:rsidRPr="008573D2">
        <w:rPr>
          <w:rFonts w:ascii="Times New Roman" w:hAnsi="Times New Roman" w:cs="Times New Roman"/>
          <w:sz w:val="24"/>
          <w:szCs w:val="24"/>
        </w:rPr>
        <w:t>Onali</w:t>
      </w:r>
      <w:proofErr w:type="spellEnd"/>
      <w:r w:rsidRPr="008573D2">
        <w:rPr>
          <w:rFonts w:ascii="Times New Roman" w:hAnsi="Times New Roman" w:cs="Times New Roman"/>
          <w:sz w:val="24"/>
          <w:szCs w:val="24"/>
        </w:rPr>
        <w:t xml:space="preserve">, E. (2020). COVID-19 and </w:t>
      </w:r>
      <w:r w:rsidR="006F7784" w:rsidRPr="008573D2">
        <w:rPr>
          <w:rFonts w:ascii="Times New Roman" w:hAnsi="Times New Roman" w:cs="Times New Roman"/>
          <w:sz w:val="24"/>
          <w:szCs w:val="24"/>
        </w:rPr>
        <w:t>S</w:t>
      </w:r>
      <w:r w:rsidRPr="008573D2">
        <w:rPr>
          <w:rFonts w:ascii="Times New Roman" w:hAnsi="Times New Roman" w:cs="Times New Roman"/>
          <w:sz w:val="24"/>
          <w:szCs w:val="24"/>
        </w:rPr>
        <w:t xml:space="preserve">tock </w:t>
      </w:r>
      <w:r w:rsidR="006F7784" w:rsidRPr="008573D2">
        <w:rPr>
          <w:rFonts w:ascii="Times New Roman" w:hAnsi="Times New Roman" w:cs="Times New Roman"/>
          <w:sz w:val="24"/>
          <w:szCs w:val="24"/>
        </w:rPr>
        <w:t>M</w:t>
      </w:r>
      <w:r w:rsidRPr="008573D2">
        <w:rPr>
          <w:rFonts w:ascii="Times New Roman" w:hAnsi="Times New Roman" w:cs="Times New Roman"/>
          <w:sz w:val="24"/>
          <w:szCs w:val="24"/>
        </w:rPr>
        <w:t xml:space="preserve">arket </w:t>
      </w:r>
      <w:r w:rsidR="006F7784" w:rsidRPr="008573D2">
        <w:rPr>
          <w:rFonts w:ascii="Times New Roman" w:hAnsi="Times New Roman" w:cs="Times New Roman"/>
          <w:sz w:val="24"/>
          <w:szCs w:val="24"/>
        </w:rPr>
        <w:t>V</w:t>
      </w:r>
      <w:r w:rsidRPr="008573D2">
        <w:rPr>
          <w:rFonts w:ascii="Times New Roman" w:hAnsi="Times New Roman" w:cs="Times New Roman"/>
          <w:sz w:val="24"/>
          <w:szCs w:val="24"/>
        </w:rPr>
        <w:t>olatility. SSRN Electronic Journal.</w:t>
      </w:r>
    </w:p>
    <w:p w14:paraId="76D1E60D" w14:textId="3F7D83F2" w:rsidR="00827EAD" w:rsidRPr="008573D2" w:rsidRDefault="00827EAD" w:rsidP="00827EAD">
      <w:pPr>
        <w:spacing w:line="36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Ribeiro, P.P., </w:t>
      </w:r>
      <w:proofErr w:type="spellStart"/>
      <w:r w:rsidRPr="008573D2">
        <w:rPr>
          <w:rFonts w:ascii="Times New Roman" w:hAnsi="Times New Roman" w:cs="Times New Roman"/>
          <w:sz w:val="24"/>
          <w:szCs w:val="24"/>
        </w:rPr>
        <w:t>Cermeno</w:t>
      </w:r>
      <w:proofErr w:type="spellEnd"/>
      <w:r w:rsidRPr="008573D2">
        <w:rPr>
          <w:rFonts w:ascii="Times New Roman" w:hAnsi="Times New Roman" w:cs="Times New Roman"/>
          <w:sz w:val="24"/>
          <w:szCs w:val="24"/>
        </w:rPr>
        <w:t xml:space="preserve">, R. &amp; </w:t>
      </w:r>
      <w:proofErr w:type="spellStart"/>
      <w:r w:rsidRPr="008573D2">
        <w:rPr>
          <w:rFonts w:ascii="Times New Roman" w:hAnsi="Times New Roman" w:cs="Times New Roman"/>
          <w:sz w:val="24"/>
          <w:szCs w:val="24"/>
        </w:rPr>
        <w:t>Curto</w:t>
      </w:r>
      <w:proofErr w:type="spellEnd"/>
      <w:r w:rsidRPr="008573D2">
        <w:rPr>
          <w:rFonts w:ascii="Times New Roman" w:hAnsi="Times New Roman" w:cs="Times New Roman"/>
          <w:sz w:val="24"/>
          <w:szCs w:val="24"/>
        </w:rPr>
        <w:t xml:space="preserve">, J.D. (2017). Sovereign </w:t>
      </w:r>
      <w:r w:rsidR="006F7784" w:rsidRPr="008573D2">
        <w:rPr>
          <w:rFonts w:ascii="Times New Roman" w:hAnsi="Times New Roman" w:cs="Times New Roman"/>
          <w:sz w:val="24"/>
          <w:szCs w:val="24"/>
        </w:rPr>
        <w:t>B</w:t>
      </w:r>
      <w:r w:rsidRPr="008573D2">
        <w:rPr>
          <w:rFonts w:ascii="Times New Roman" w:hAnsi="Times New Roman" w:cs="Times New Roman"/>
          <w:sz w:val="24"/>
          <w:szCs w:val="24"/>
        </w:rPr>
        <w:t xml:space="preserve">ond </w:t>
      </w:r>
      <w:r w:rsidR="006F7784" w:rsidRPr="008573D2">
        <w:rPr>
          <w:rFonts w:ascii="Times New Roman" w:hAnsi="Times New Roman" w:cs="Times New Roman"/>
          <w:sz w:val="24"/>
          <w:szCs w:val="24"/>
        </w:rPr>
        <w:t>M</w:t>
      </w:r>
      <w:r w:rsidRPr="008573D2">
        <w:rPr>
          <w:rFonts w:ascii="Times New Roman" w:hAnsi="Times New Roman" w:cs="Times New Roman"/>
          <w:sz w:val="24"/>
          <w:szCs w:val="24"/>
        </w:rPr>
        <w:t xml:space="preserve">arkets and </w:t>
      </w:r>
      <w:r w:rsidR="006F7784" w:rsidRPr="008573D2">
        <w:rPr>
          <w:rFonts w:ascii="Times New Roman" w:hAnsi="Times New Roman" w:cs="Times New Roman"/>
          <w:sz w:val="24"/>
          <w:szCs w:val="24"/>
        </w:rPr>
        <w:t>F</w:t>
      </w:r>
      <w:r w:rsidRPr="008573D2">
        <w:rPr>
          <w:rFonts w:ascii="Times New Roman" w:hAnsi="Times New Roman" w:cs="Times New Roman"/>
          <w:sz w:val="24"/>
          <w:szCs w:val="24"/>
        </w:rPr>
        <w:t xml:space="preserve">inancial </w:t>
      </w:r>
      <w:r w:rsidR="006F7784" w:rsidRPr="008573D2">
        <w:rPr>
          <w:rFonts w:ascii="Times New Roman" w:hAnsi="Times New Roman" w:cs="Times New Roman"/>
          <w:sz w:val="24"/>
          <w:szCs w:val="24"/>
        </w:rPr>
        <w:t>V</w:t>
      </w:r>
      <w:r w:rsidRPr="008573D2">
        <w:rPr>
          <w:rFonts w:ascii="Times New Roman" w:hAnsi="Times New Roman" w:cs="Times New Roman"/>
          <w:sz w:val="24"/>
          <w:szCs w:val="24"/>
        </w:rPr>
        <w:t xml:space="preserve">olatility </w:t>
      </w:r>
      <w:r w:rsidR="006F7784" w:rsidRPr="008573D2">
        <w:rPr>
          <w:rFonts w:ascii="Times New Roman" w:hAnsi="Times New Roman" w:cs="Times New Roman"/>
          <w:sz w:val="24"/>
          <w:szCs w:val="24"/>
        </w:rPr>
        <w:t>D</w:t>
      </w:r>
      <w:r w:rsidRPr="008573D2">
        <w:rPr>
          <w:rFonts w:ascii="Times New Roman" w:hAnsi="Times New Roman" w:cs="Times New Roman"/>
          <w:sz w:val="24"/>
          <w:szCs w:val="24"/>
        </w:rPr>
        <w:t xml:space="preserve">ynamics: Panel-GARCH </w:t>
      </w:r>
      <w:r w:rsidR="006F7784" w:rsidRPr="008573D2">
        <w:rPr>
          <w:rFonts w:ascii="Times New Roman" w:hAnsi="Times New Roman" w:cs="Times New Roman"/>
          <w:sz w:val="24"/>
          <w:szCs w:val="24"/>
        </w:rPr>
        <w:t>E</w:t>
      </w:r>
      <w:r w:rsidRPr="008573D2">
        <w:rPr>
          <w:rFonts w:ascii="Times New Roman" w:hAnsi="Times New Roman" w:cs="Times New Roman"/>
          <w:sz w:val="24"/>
          <w:szCs w:val="24"/>
        </w:rPr>
        <w:t xml:space="preserve">vidence for </w:t>
      </w:r>
      <w:r w:rsidR="006F7784" w:rsidRPr="008573D2">
        <w:rPr>
          <w:rFonts w:ascii="Times New Roman" w:hAnsi="Times New Roman" w:cs="Times New Roman"/>
          <w:sz w:val="24"/>
          <w:szCs w:val="24"/>
        </w:rPr>
        <w:t>S</w:t>
      </w:r>
      <w:r w:rsidRPr="008573D2">
        <w:rPr>
          <w:rFonts w:ascii="Times New Roman" w:hAnsi="Times New Roman" w:cs="Times New Roman"/>
          <w:sz w:val="24"/>
          <w:szCs w:val="24"/>
        </w:rPr>
        <w:t xml:space="preserve">ix-euro </w:t>
      </w:r>
      <w:r w:rsidR="006F7784" w:rsidRPr="008573D2">
        <w:rPr>
          <w:rFonts w:ascii="Times New Roman" w:hAnsi="Times New Roman" w:cs="Times New Roman"/>
          <w:sz w:val="24"/>
          <w:szCs w:val="24"/>
        </w:rPr>
        <w:t>A</w:t>
      </w:r>
      <w:r w:rsidRPr="008573D2">
        <w:rPr>
          <w:rFonts w:ascii="Times New Roman" w:hAnsi="Times New Roman" w:cs="Times New Roman"/>
          <w:sz w:val="24"/>
          <w:szCs w:val="24"/>
        </w:rPr>
        <w:t xml:space="preserve">rea </w:t>
      </w:r>
      <w:r w:rsidR="006F7784" w:rsidRPr="008573D2">
        <w:rPr>
          <w:rFonts w:ascii="Times New Roman" w:hAnsi="Times New Roman" w:cs="Times New Roman"/>
          <w:sz w:val="24"/>
          <w:szCs w:val="24"/>
        </w:rPr>
        <w:t>C</w:t>
      </w:r>
      <w:r w:rsidRPr="008573D2">
        <w:rPr>
          <w:rFonts w:ascii="Times New Roman" w:hAnsi="Times New Roman" w:cs="Times New Roman"/>
          <w:sz w:val="24"/>
          <w:szCs w:val="24"/>
        </w:rPr>
        <w:t xml:space="preserve">ountries. </w:t>
      </w:r>
      <w:r w:rsidRPr="008573D2">
        <w:rPr>
          <w:rFonts w:ascii="Times New Roman" w:hAnsi="Times New Roman" w:cs="Times New Roman"/>
          <w:i/>
          <w:iCs/>
          <w:sz w:val="24"/>
          <w:szCs w:val="24"/>
        </w:rPr>
        <w:t>Finance Research Letters</w:t>
      </w:r>
      <w:r w:rsidRPr="008573D2">
        <w:rPr>
          <w:rFonts w:ascii="Times New Roman" w:hAnsi="Times New Roman" w:cs="Times New Roman"/>
          <w:sz w:val="24"/>
          <w:szCs w:val="24"/>
        </w:rPr>
        <w:t>, 21, pp. 107-114.</w:t>
      </w:r>
    </w:p>
    <w:p w14:paraId="6D73736F" w14:textId="23A17B91" w:rsidR="00827EAD" w:rsidRPr="008573D2" w:rsidRDefault="00827EAD" w:rsidP="00827EAD">
      <w:pPr>
        <w:spacing w:line="36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Sharif, A., </w:t>
      </w:r>
      <w:proofErr w:type="spellStart"/>
      <w:r w:rsidRPr="008573D2">
        <w:rPr>
          <w:rFonts w:ascii="Times New Roman" w:hAnsi="Times New Roman" w:cs="Times New Roman"/>
          <w:sz w:val="24"/>
          <w:szCs w:val="24"/>
        </w:rPr>
        <w:t>Aloui</w:t>
      </w:r>
      <w:proofErr w:type="spellEnd"/>
      <w:r w:rsidRPr="008573D2">
        <w:rPr>
          <w:rFonts w:ascii="Times New Roman" w:hAnsi="Times New Roman" w:cs="Times New Roman"/>
          <w:sz w:val="24"/>
          <w:szCs w:val="24"/>
        </w:rPr>
        <w:t xml:space="preserve">, C. &amp; </w:t>
      </w:r>
      <w:proofErr w:type="spellStart"/>
      <w:r w:rsidRPr="008573D2">
        <w:rPr>
          <w:rFonts w:ascii="Times New Roman" w:hAnsi="Times New Roman" w:cs="Times New Roman"/>
          <w:sz w:val="24"/>
          <w:szCs w:val="24"/>
        </w:rPr>
        <w:t>Yarovaya</w:t>
      </w:r>
      <w:proofErr w:type="spellEnd"/>
      <w:r w:rsidRPr="008573D2">
        <w:rPr>
          <w:rFonts w:ascii="Times New Roman" w:hAnsi="Times New Roman" w:cs="Times New Roman"/>
          <w:sz w:val="24"/>
          <w:szCs w:val="24"/>
        </w:rPr>
        <w:t xml:space="preserve">, L. (2020). COVID – 19 </w:t>
      </w:r>
      <w:r w:rsidR="006F7784" w:rsidRPr="008573D2">
        <w:rPr>
          <w:rFonts w:ascii="Times New Roman" w:hAnsi="Times New Roman" w:cs="Times New Roman"/>
          <w:sz w:val="24"/>
          <w:szCs w:val="24"/>
        </w:rPr>
        <w:t>P</w:t>
      </w:r>
      <w:r w:rsidRPr="008573D2">
        <w:rPr>
          <w:rFonts w:ascii="Times New Roman" w:hAnsi="Times New Roman" w:cs="Times New Roman"/>
          <w:sz w:val="24"/>
          <w:szCs w:val="24"/>
        </w:rPr>
        <w:t xml:space="preserve">andemic, </w:t>
      </w:r>
      <w:r w:rsidR="006F7784" w:rsidRPr="008573D2">
        <w:rPr>
          <w:rFonts w:ascii="Times New Roman" w:hAnsi="Times New Roman" w:cs="Times New Roman"/>
          <w:sz w:val="24"/>
          <w:szCs w:val="24"/>
        </w:rPr>
        <w:t>O</w:t>
      </w:r>
      <w:r w:rsidRPr="008573D2">
        <w:rPr>
          <w:rFonts w:ascii="Times New Roman" w:hAnsi="Times New Roman" w:cs="Times New Roman"/>
          <w:sz w:val="24"/>
          <w:szCs w:val="24"/>
        </w:rPr>
        <w:t xml:space="preserve">il </w:t>
      </w:r>
      <w:r w:rsidR="006F7784" w:rsidRPr="008573D2">
        <w:rPr>
          <w:rFonts w:ascii="Times New Roman" w:hAnsi="Times New Roman" w:cs="Times New Roman"/>
          <w:sz w:val="24"/>
          <w:szCs w:val="24"/>
        </w:rPr>
        <w:t>P</w:t>
      </w:r>
      <w:r w:rsidRPr="008573D2">
        <w:rPr>
          <w:rFonts w:ascii="Times New Roman" w:hAnsi="Times New Roman" w:cs="Times New Roman"/>
          <w:sz w:val="24"/>
          <w:szCs w:val="24"/>
        </w:rPr>
        <w:t xml:space="preserve">rices, </w:t>
      </w:r>
      <w:r w:rsidR="006F7784" w:rsidRPr="008573D2">
        <w:rPr>
          <w:rFonts w:ascii="Times New Roman" w:hAnsi="Times New Roman" w:cs="Times New Roman"/>
          <w:sz w:val="24"/>
          <w:szCs w:val="24"/>
        </w:rPr>
        <w:t>S</w:t>
      </w:r>
      <w:r w:rsidRPr="008573D2">
        <w:rPr>
          <w:rFonts w:ascii="Times New Roman" w:hAnsi="Times New Roman" w:cs="Times New Roman"/>
          <w:sz w:val="24"/>
          <w:szCs w:val="24"/>
        </w:rPr>
        <w:t xml:space="preserve">tock </w:t>
      </w:r>
      <w:r w:rsidR="006F7784" w:rsidRPr="008573D2">
        <w:rPr>
          <w:rFonts w:ascii="Times New Roman" w:hAnsi="Times New Roman" w:cs="Times New Roman"/>
          <w:sz w:val="24"/>
          <w:szCs w:val="24"/>
        </w:rPr>
        <w:t>M</w:t>
      </w:r>
      <w:r w:rsidRPr="008573D2">
        <w:rPr>
          <w:rFonts w:ascii="Times New Roman" w:hAnsi="Times New Roman" w:cs="Times New Roman"/>
          <w:sz w:val="24"/>
          <w:szCs w:val="24"/>
        </w:rPr>
        <w:t xml:space="preserve">arket, </w:t>
      </w:r>
      <w:r w:rsidR="006F7784" w:rsidRPr="008573D2">
        <w:rPr>
          <w:rFonts w:ascii="Times New Roman" w:hAnsi="Times New Roman" w:cs="Times New Roman"/>
          <w:sz w:val="24"/>
          <w:szCs w:val="24"/>
        </w:rPr>
        <w:t>G</w:t>
      </w:r>
      <w:r w:rsidRPr="008573D2">
        <w:rPr>
          <w:rFonts w:ascii="Times New Roman" w:hAnsi="Times New Roman" w:cs="Times New Roman"/>
          <w:sz w:val="24"/>
          <w:szCs w:val="24"/>
        </w:rPr>
        <w:t xml:space="preserve">eopolitical </w:t>
      </w:r>
      <w:r w:rsidR="006F7784" w:rsidRPr="008573D2">
        <w:rPr>
          <w:rFonts w:ascii="Times New Roman" w:hAnsi="Times New Roman" w:cs="Times New Roman"/>
          <w:sz w:val="24"/>
          <w:szCs w:val="24"/>
        </w:rPr>
        <w:t>R</w:t>
      </w:r>
      <w:r w:rsidRPr="008573D2">
        <w:rPr>
          <w:rFonts w:ascii="Times New Roman" w:hAnsi="Times New Roman" w:cs="Times New Roman"/>
          <w:sz w:val="24"/>
          <w:szCs w:val="24"/>
        </w:rPr>
        <w:t xml:space="preserve">isk and </w:t>
      </w:r>
      <w:r w:rsidR="006F7784" w:rsidRPr="008573D2">
        <w:rPr>
          <w:rFonts w:ascii="Times New Roman" w:hAnsi="Times New Roman" w:cs="Times New Roman"/>
          <w:sz w:val="24"/>
          <w:szCs w:val="24"/>
        </w:rPr>
        <w:t>P</w:t>
      </w:r>
      <w:r w:rsidRPr="008573D2">
        <w:rPr>
          <w:rFonts w:ascii="Times New Roman" w:hAnsi="Times New Roman" w:cs="Times New Roman"/>
          <w:sz w:val="24"/>
          <w:szCs w:val="24"/>
        </w:rPr>
        <w:t xml:space="preserve">olicy </w:t>
      </w:r>
      <w:r w:rsidR="006F7784" w:rsidRPr="008573D2">
        <w:rPr>
          <w:rFonts w:ascii="Times New Roman" w:hAnsi="Times New Roman" w:cs="Times New Roman"/>
          <w:sz w:val="24"/>
          <w:szCs w:val="24"/>
        </w:rPr>
        <w:t>U</w:t>
      </w:r>
      <w:r w:rsidRPr="008573D2">
        <w:rPr>
          <w:rFonts w:ascii="Times New Roman" w:hAnsi="Times New Roman" w:cs="Times New Roman"/>
          <w:sz w:val="24"/>
          <w:szCs w:val="24"/>
        </w:rPr>
        <w:t xml:space="preserve">ncertainty </w:t>
      </w:r>
      <w:r w:rsidR="006F7784" w:rsidRPr="008573D2">
        <w:rPr>
          <w:rFonts w:ascii="Times New Roman" w:hAnsi="Times New Roman" w:cs="Times New Roman"/>
          <w:sz w:val="24"/>
          <w:szCs w:val="24"/>
        </w:rPr>
        <w:t>N</w:t>
      </w:r>
      <w:r w:rsidRPr="008573D2">
        <w:rPr>
          <w:rFonts w:ascii="Times New Roman" w:hAnsi="Times New Roman" w:cs="Times New Roman"/>
          <w:sz w:val="24"/>
          <w:szCs w:val="24"/>
        </w:rPr>
        <w:t xml:space="preserve">exus in the US </w:t>
      </w:r>
      <w:r w:rsidR="006F7784" w:rsidRPr="008573D2">
        <w:rPr>
          <w:rFonts w:ascii="Times New Roman" w:hAnsi="Times New Roman" w:cs="Times New Roman"/>
          <w:sz w:val="24"/>
          <w:szCs w:val="24"/>
        </w:rPr>
        <w:t>E</w:t>
      </w:r>
      <w:r w:rsidRPr="008573D2">
        <w:rPr>
          <w:rFonts w:ascii="Times New Roman" w:hAnsi="Times New Roman" w:cs="Times New Roman"/>
          <w:sz w:val="24"/>
          <w:szCs w:val="24"/>
        </w:rPr>
        <w:t xml:space="preserve">conomy: Fresh </w:t>
      </w:r>
      <w:r w:rsidR="006F7784" w:rsidRPr="008573D2">
        <w:rPr>
          <w:rFonts w:ascii="Times New Roman" w:hAnsi="Times New Roman" w:cs="Times New Roman"/>
          <w:sz w:val="24"/>
          <w:szCs w:val="24"/>
        </w:rPr>
        <w:t>E</w:t>
      </w:r>
      <w:r w:rsidRPr="008573D2">
        <w:rPr>
          <w:rFonts w:ascii="Times New Roman" w:hAnsi="Times New Roman" w:cs="Times New Roman"/>
          <w:sz w:val="24"/>
          <w:szCs w:val="24"/>
        </w:rPr>
        <w:t xml:space="preserve">vidence from the </w:t>
      </w:r>
      <w:r w:rsidR="006F7784" w:rsidRPr="008573D2">
        <w:rPr>
          <w:rFonts w:ascii="Times New Roman" w:hAnsi="Times New Roman" w:cs="Times New Roman"/>
          <w:sz w:val="24"/>
          <w:szCs w:val="24"/>
        </w:rPr>
        <w:t>W</w:t>
      </w:r>
      <w:r w:rsidRPr="008573D2">
        <w:rPr>
          <w:rFonts w:ascii="Times New Roman" w:hAnsi="Times New Roman" w:cs="Times New Roman"/>
          <w:sz w:val="24"/>
          <w:szCs w:val="24"/>
        </w:rPr>
        <w:t xml:space="preserve">avelet-based </w:t>
      </w:r>
      <w:r w:rsidR="006F7784" w:rsidRPr="008573D2">
        <w:rPr>
          <w:rFonts w:ascii="Times New Roman" w:hAnsi="Times New Roman" w:cs="Times New Roman"/>
          <w:sz w:val="24"/>
          <w:szCs w:val="24"/>
        </w:rPr>
        <w:t>A</w:t>
      </w:r>
      <w:r w:rsidRPr="008573D2">
        <w:rPr>
          <w:rFonts w:ascii="Times New Roman" w:hAnsi="Times New Roman" w:cs="Times New Roman"/>
          <w:sz w:val="24"/>
          <w:szCs w:val="24"/>
        </w:rPr>
        <w:t xml:space="preserve">pproach, </w:t>
      </w:r>
      <w:r w:rsidRPr="008573D2">
        <w:rPr>
          <w:rFonts w:ascii="Times New Roman" w:hAnsi="Times New Roman" w:cs="Times New Roman"/>
          <w:i/>
          <w:iCs/>
          <w:sz w:val="24"/>
          <w:szCs w:val="24"/>
        </w:rPr>
        <w:t>International Review of Financial Analysis</w:t>
      </w:r>
      <w:r w:rsidRPr="008573D2">
        <w:rPr>
          <w:rFonts w:ascii="Times New Roman" w:hAnsi="Times New Roman" w:cs="Times New Roman"/>
          <w:sz w:val="24"/>
          <w:szCs w:val="24"/>
        </w:rPr>
        <w:t>, 70, pp. 1 – 9.</w:t>
      </w:r>
    </w:p>
    <w:p w14:paraId="01206D21" w14:textId="03696997" w:rsidR="00827EAD" w:rsidRPr="008573D2" w:rsidRDefault="00827EAD" w:rsidP="00827EAD">
      <w:pPr>
        <w:spacing w:line="36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Sondermann, D. (2018). Towards </w:t>
      </w:r>
      <w:r w:rsidR="00CB3617" w:rsidRPr="008573D2">
        <w:rPr>
          <w:rFonts w:ascii="Times New Roman" w:hAnsi="Times New Roman" w:cs="Times New Roman"/>
          <w:sz w:val="24"/>
          <w:szCs w:val="24"/>
        </w:rPr>
        <w:t>m</w:t>
      </w:r>
      <w:r w:rsidRPr="008573D2">
        <w:rPr>
          <w:rFonts w:ascii="Times New Roman" w:hAnsi="Times New Roman" w:cs="Times New Roman"/>
          <w:sz w:val="24"/>
          <w:szCs w:val="24"/>
        </w:rPr>
        <w:t xml:space="preserve">ore </w:t>
      </w:r>
      <w:r w:rsidR="00CB3617" w:rsidRPr="008573D2">
        <w:rPr>
          <w:rFonts w:ascii="Times New Roman" w:hAnsi="Times New Roman" w:cs="Times New Roman"/>
          <w:sz w:val="24"/>
          <w:szCs w:val="24"/>
        </w:rPr>
        <w:t>R</w:t>
      </w:r>
      <w:r w:rsidRPr="008573D2">
        <w:rPr>
          <w:rFonts w:ascii="Times New Roman" w:hAnsi="Times New Roman" w:cs="Times New Roman"/>
          <w:sz w:val="24"/>
          <w:szCs w:val="24"/>
        </w:rPr>
        <w:t xml:space="preserve">esilient </w:t>
      </w:r>
      <w:r w:rsidR="00CB3617" w:rsidRPr="008573D2">
        <w:rPr>
          <w:rFonts w:ascii="Times New Roman" w:hAnsi="Times New Roman" w:cs="Times New Roman"/>
          <w:sz w:val="24"/>
          <w:szCs w:val="24"/>
        </w:rPr>
        <w:t>E</w:t>
      </w:r>
      <w:r w:rsidRPr="008573D2">
        <w:rPr>
          <w:rFonts w:ascii="Times New Roman" w:hAnsi="Times New Roman" w:cs="Times New Roman"/>
          <w:sz w:val="24"/>
          <w:szCs w:val="24"/>
        </w:rPr>
        <w:t xml:space="preserve">conomies: The </w:t>
      </w:r>
      <w:r w:rsidR="00CB3617" w:rsidRPr="008573D2">
        <w:rPr>
          <w:rFonts w:ascii="Times New Roman" w:hAnsi="Times New Roman" w:cs="Times New Roman"/>
          <w:sz w:val="24"/>
          <w:szCs w:val="24"/>
        </w:rPr>
        <w:t>R</w:t>
      </w:r>
      <w:r w:rsidRPr="008573D2">
        <w:rPr>
          <w:rFonts w:ascii="Times New Roman" w:hAnsi="Times New Roman" w:cs="Times New Roman"/>
          <w:sz w:val="24"/>
          <w:szCs w:val="24"/>
        </w:rPr>
        <w:t xml:space="preserve">ole of </w:t>
      </w:r>
      <w:r w:rsidR="00CB3617" w:rsidRPr="008573D2">
        <w:rPr>
          <w:rFonts w:ascii="Times New Roman" w:hAnsi="Times New Roman" w:cs="Times New Roman"/>
          <w:sz w:val="24"/>
          <w:szCs w:val="24"/>
        </w:rPr>
        <w:t>W</w:t>
      </w:r>
      <w:r w:rsidRPr="008573D2">
        <w:rPr>
          <w:rFonts w:ascii="Times New Roman" w:hAnsi="Times New Roman" w:cs="Times New Roman"/>
          <w:sz w:val="24"/>
          <w:szCs w:val="24"/>
        </w:rPr>
        <w:t xml:space="preserve">ell-functioning </w:t>
      </w:r>
      <w:r w:rsidR="00CB3617" w:rsidRPr="008573D2">
        <w:rPr>
          <w:rFonts w:ascii="Times New Roman" w:hAnsi="Times New Roman" w:cs="Times New Roman"/>
          <w:sz w:val="24"/>
          <w:szCs w:val="24"/>
        </w:rPr>
        <w:t>E</w:t>
      </w:r>
      <w:r w:rsidRPr="008573D2">
        <w:rPr>
          <w:rFonts w:ascii="Times New Roman" w:hAnsi="Times New Roman" w:cs="Times New Roman"/>
          <w:sz w:val="24"/>
          <w:szCs w:val="24"/>
        </w:rPr>
        <w:t xml:space="preserve">conomic </w:t>
      </w:r>
      <w:r w:rsidR="00CB3617" w:rsidRPr="008573D2">
        <w:rPr>
          <w:rFonts w:ascii="Times New Roman" w:hAnsi="Times New Roman" w:cs="Times New Roman"/>
          <w:sz w:val="24"/>
          <w:szCs w:val="24"/>
        </w:rPr>
        <w:t>S</w:t>
      </w:r>
      <w:r w:rsidRPr="008573D2">
        <w:rPr>
          <w:rFonts w:ascii="Times New Roman" w:hAnsi="Times New Roman" w:cs="Times New Roman"/>
          <w:sz w:val="24"/>
          <w:szCs w:val="24"/>
        </w:rPr>
        <w:t xml:space="preserve">tructure, </w:t>
      </w:r>
      <w:r w:rsidRPr="008573D2">
        <w:rPr>
          <w:rFonts w:ascii="Times New Roman" w:hAnsi="Times New Roman" w:cs="Times New Roman"/>
          <w:i/>
          <w:iCs/>
          <w:sz w:val="24"/>
          <w:szCs w:val="24"/>
        </w:rPr>
        <w:t>Journal of Policy Mode</w:t>
      </w:r>
      <w:r w:rsidR="00CB3617" w:rsidRPr="008573D2">
        <w:rPr>
          <w:rFonts w:ascii="Times New Roman" w:hAnsi="Times New Roman" w:cs="Times New Roman"/>
          <w:i/>
          <w:iCs/>
          <w:sz w:val="24"/>
          <w:szCs w:val="24"/>
        </w:rPr>
        <w:t>l</w:t>
      </w:r>
      <w:r w:rsidRPr="008573D2">
        <w:rPr>
          <w:rFonts w:ascii="Times New Roman" w:hAnsi="Times New Roman" w:cs="Times New Roman"/>
          <w:i/>
          <w:iCs/>
          <w:sz w:val="24"/>
          <w:szCs w:val="24"/>
        </w:rPr>
        <w:t>ling</w:t>
      </w:r>
      <w:r w:rsidRPr="008573D2">
        <w:rPr>
          <w:rFonts w:ascii="Times New Roman" w:hAnsi="Times New Roman" w:cs="Times New Roman"/>
          <w:sz w:val="24"/>
          <w:szCs w:val="24"/>
        </w:rPr>
        <w:t>, 40, pp. 97 – 117.</w:t>
      </w:r>
    </w:p>
    <w:p w14:paraId="54072B95" w14:textId="3914D7D5" w:rsidR="00827EAD" w:rsidRPr="008573D2" w:rsidRDefault="00827EAD" w:rsidP="00827EAD">
      <w:pPr>
        <w:spacing w:line="36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Verma, S. &amp; Gustafsson, A. (2020). Investigating the </w:t>
      </w:r>
      <w:r w:rsidR="00CB3617" w:rsidRPr="008573D2">
        <w:rPr>
          <w:rFonts w:ascii="Times New Roman" w:hAnsi="Times New Roman" w:cs="Times New Roman"/>
          <w:sz w:val="24"/>
          <w:szCs w:val="24"/>
        </w:rPr>
        <w:t>E</w:t>
      </w:r>
      <w:r w:rsidRPr="008573D2">
        <w:rPr>
          <w:rFonts w:ascii="Times New Roman" w:hAnsi="Times New Roman" w:cs="Times New Roman"/>
          <w:sz w:val="24"/>
          <w:szCs w:val="24"/>
        </w:rPr>
        <w:t xml:space="preserve">merging COVID-19 </w:t>
      </w:r>
      <w:r w:rsidR="00CB3617" w:rsidRPr="008573D2">
        <w:rPr>
          <w:rFonts w:ascii="Times New Roman" w:hAnsi="Times New Roman" w:cs="Times New Roman"/>
          <w:sz w:val="24"/>
          <w:szCs w:val="24"/>
        </w:rPr>
        <w:t>R</w:t>
      </w:r>
      <w:r w:rsidRPr="008573D2">
        <w:rPr>
          <w:rFonts w:ascii="Times New Roman" w:hAnsi="Times New Roman" w:cs="Times New Roman"/>
          <w:sz w:val="24"/>
          <w:szCs w:val="24"/>
        </w:rPr>
        <w:t xml:space="preserve">esearch </w:t>
      </w:r>
      <w:r w:rsidR="00CB3617" w:rsidRPr="008573D2">
        <w:rPr>
          <w:rFonts w:ascii="Times New Roman" w:hAnsi="Times New Roman" w:cs="Times New Roman"/>
          <w:sz w:val="24"/>
          <w:szCs w:val="24"/>
        </w:rPr>
        <w:t>T</w:t>
      </w:r>
      <w:r w:rsidRPr="008573D2">
        <w:rPr>
          <w:rFonts w:ascii="Times New Roman" w:hAnsi="Times New Roman" w:cs="Times New Roman"/>
          <w:sz w:val="24"/>
          <w:szCs w:val="24"/>
        </w:rPr>
        <w:t xml:space="preserve">rends in the </w:t>
      </w:r>
      <w:r w:rsidR="00CB3617" w:rsidRPr="008573D2">
        <w:rPr>
          <w:rFonts w:ascii="Times New Roman" w:hAnsi="Times New Roman" w:cs="Times New Roman"/>
          <w:sz w:val="24"/>
          <w:szCs w:val="24"/>
        </w:rPr>
        <w:t>F</w:t>
      </w:r>
      <w:r w:rsidRPr="008573D2">
        <w:rPr>
          <w:rFonts w:ascii="Times New Roman" w:hAnsi="Times New Roman" w:cs="Times New Roman"/>
          <w:sz w:val="24"/>
          <w:szCs w:val="24"/>
        </w:rPr>
        <w:t xml:space="preserve">ield of </w:t>
      </w:r>
      <w:r w:rsidR="00CB3617" w:rsidRPr="008573D2">
        <w:rPr>
          <w:rFonts w:ascii="Times New Roman" w:hAnsi="Times New Roman" w:cs="Times New Roman"/>
          <w:sz w:val="24"/>
          <w:szCs w:val="24"/>
        </w:rPr>
        <w:t>B</w:t>
      </w:r>
      <w:r w:rsidRPr="008573D2">
        <w:rPr>
          <w:rFonts w:ascii="Times New Roman" w:hAnsi="Times New Roman" w:cs="Times New Roman"/>
          <w:sz w:val="24"/>
          <w:szCs w:val="24"/>
        </w:rPr>
        <w:t xml:space="preserve">usiness and </w:t>
      </w:r>
      <w:r w:rsidR="00CB3617" w:rsidRPr="008573D2">
        <w:rPr>
          <w:rFonts w:ascii="Times New Roman" w:hAnsi="Times New Roman" w:cs="Times New Roman"/>
          <w:sz w:val="24"/>
          <w:szCs w:val="24"/>
        </w:rPr>
        <w:t>M</w:t>
      </w:r>
      <w:r w:rsidRPr="008573D2">
        <w:rPr>
          <w:rFonts w:ascii="Times New Roman" w:hAnsi="Times New Roman" w:cs="Times New Roman"/>
          <w:sz w:val="24"/>
          <w:szCs w:val="24"/>
        </w:rPr>
        <w:t xml:space="preserve">anagement: A </w:t>
      </w:r>
      <w:r w:rsidR="00CB3617" w:rsidRPr="008573D2">
        <w:rPr>
          <w:rFonts w:ascii="Times New Roman" w:hAnsi="Times New Roman" w:cs="Times New Roman"/>
          <w:sz w:val="24"/>
          <w:szCs w:val="24"/>
        </w:rPr>
        <w:t>B</w:t>
      </w:r>
      <w:r w:rsidRPr="008573D2">
        <w:rPr>
          <w:rFonts w:ascii="Times New Roman" w:hAnsi="Times New Roman" w:cs="Times New Roman"/>
          <w:sz w:val="24"/>
          <w:szCs w:val="24"/>
        </w:rPr>
        <w:t xml:space="preserve">ibliometric </w:t>
      </w:r>
      <w:r w:rsidR="00CB3617" w:rsidRPr="008573D2">
        <w:rPr>
          <w:rFonts w:ascii="Times New Roman" w:hAnsi="Times New Roman" w:cs="Times New Roman"/>
          <w:sz w:val="24"/>
          <w:szCs w:val="24"/>
        </w:rPr>
        <w:t>A</w:t>
      </w:r>
      <w:r w:rsidRPr="008573D2">
        <w:rPr>
          <w:rFonts w:ascii="Times New Roman" w:hAnsi="Times New Roman" w:cs="Times New Roman"/>
          <w:sz w:val="24"/>
          <w:szCs w:val="24"/>
        </w:rPr>
        <w:t xml:space="preserve">nalysis </w:t>
      </w:r>
      <w:r w:rsidR="00CB3617" w:rsidRPr="008573D2">
        <w:rPr>
          <w:rFonts w:ascii="Times New Roman" w:hAnsi="Times New Roman" w:cs="Times New Roman"/>
          <w:sz w:val="24"/>
          <w:szCs w:val="24"/>
        </w:rPr>
        <w:t>A</w:t>
      </w:r>
      <w:r w:rsidRPr="008573D2">
        <w:rPr>
          <w:rFonts w:ascii="Times New Roman" w:hAnsi="Times New Roman" w:cs="Times New Roman"/>
          <w:sz w:val="24"/>
          <w:szCs w:val="24"/>
        </w:rPr>
        <w:t xml:space="preserve">pproach. </w:t>
      </w:r>
      <w:r w:rsidRPr="008573D2">
        <w:rPr>
          <w:rFonts w:ascii="Times New Roman" w:hAnsi="Times New Roman" w:cs="Times New Roman"/>
          <w:i/>
          <w:iCs/>
          <w:sz w:val="24"/>
          <w:szCs w:val="24"/>
        </w:rPr>
        <w:t>Journal of Business Research</w:t>
      </w:r>
      <w:r w:rsidRPr="008573D2">
        <w:rPr>
          <w:rFonts w:ascii="Times New Roman" w:hAnsi="Times New Roman" w:cs="Times New Roman"/>
          <w:sz w:val="24"/>
          <w:szCs w:val="24"/>
        </w:rPr>
        <w:t>, 118, pp. 253 – 261.</w:t>
      </w:r>
    </w:p>
    <w:p w14:paraId="321FCD7F" w14:textId="77777777" w:rsidR="00827EAD" w:rsidRPr="008573D2" w:rsidRDefault="00827EAD" w:rsidP="00827EAD">
      <w:pPr>
        <w:spacing w:line="36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Wang, P., Wen, Y. &amp; Xu, Z. (2018). Financial Development and Long-run Volatility Trends, </w:t>
      </w:r>
      <w:r w:rsidRPr="008573D2">
        <w:rPr>
          <w:rFonts w:ascii="Times New Roman" w:hAnsi="Times New Roman" w:cs="Times New Roman"/>
          <w:i/>
          <w:iCs/>
          <w:sz w:val="24"/>
          <w:szCs w:val="24"/>
        </w:rPr>
        <w:t>Review of Economic Dynamics</w:t>
      </w:r>
      <w:r w:rsidRPr="008573D2">
        <w:rPr>
          <w:rFonts w:ascii="Times New Roman" w:hAnsi="Times New Roman" w:cs="Times New Roman"/>
          <w:sz w:val="24"/>
          <w:szCs w:val="24"/>
        </w:rPr>
        <w:t>, 28, pp. 221 – 251.</w:t>
      </w:r>
    </w:p>
    <w:p w14:paraId="091B4254" w14:textId="0F2E7C54" w:rsidR="00827EAD" w:rsidRPr="008573D2" w:rsidRDefault="00827EAD" w:rsidP="00827EAD">
      <w:pPr>
        <w:spacing w:line="360" w:lineRule="auto"/>
        <w:jc w:val="both"/>
        <w:rPr>
          <w:rFonts w:ascii="Times New Roman" w:hAnsi="Times New Roman" w:cs="Times New Roman"/>
          <w:sz w:val="24"/>
          <w:szCs w:val="24"/>
        </w:rPr>
      </w:pPr>
      <w:r w:rsidRPr="008573D2">
        <w:rPr>
          <w:rFonts w:ascii="Times New Roman" w:hAnsi="Times New Roman" w:cs="Times New Roman"/>
          <w:sz w:val="24"/>
          <w:szCs w:val="24"/>
        </w:rPr>
        <w:t xml:space="preserve">Wu, G. (2001). The </w:t>
      </w:r>
      <w:r w:rsidR="00CB3617" w:rsidRPr="008573D2">
        <w:rPr>
          <w:rFonts w:ascii="Times New Roman" w:hAnsi="Times New Roman" w:cs="Times New Roman"/>
          <w:sz w:val="24"/>
          <w:szCs w:val="24"/>
        </w:rPr>
        <w:t>D</w:t>
      </w:r>
      <w:r w:rsidRPr="008573D2">
        <w:rPr>
          <w:rFonts w:ascii="Times New Roman" w:hAnsi="Times New Roman" w:cs="Times New Roman"/>
          <w:sz w:val="24"/>
          <w:szCs w:val="24"/>
        </w:rPr>
        <w:t xml:space="preserve">eterminants of </w:t>
      </w:r>
      <w:r w:rsidR="00CB3617" w:rsidRPr="008573D2">
        <w:rPr>
          <w:rFonts w:ascii="Times New Roman" w:hAnsi="Times New Roman" w:cs="Times New Roman"/>
          <w:sz w:val="24"/>
          <w:szCs w:val="24"/>
        </w:rPr>
        <w:t>A</w:t>
      </w:r>
      <w:r w:rsidRPr="008573D2">
        <w:rPr>
          <w:rFonts w:ascii="Times New Roman" w:hAnsi="Times New Roman" w:cs="Times New Roman"/>
          <w:sz w:val="24"/>
          <w:szCs w:val="24"/>
        </w:rPr>
        <w:t xml:space="preserve">symmetric </w:t>
      </w:r>
      <w:r w:rsidR="00CB3617" w:rsidRPr="008573D2">
        <w:rPr>
          <w:rFonts w:ascii="Times New Roman" w:hAnsi="Times New Roman" w:cs="Times New Roman"/>
          <w:sz w:val="24"/>
          <w:szCs w:val="24"/>
        </w:rPr>
        <w:t>V</w:t>
      </w:r>
      <w:r w:rsidRPr="008573D2">
        <w:rPr>
          <w:rFonts w:ascii="Times New Roman" w:hAnsi="Times New Roman" w:cs="Times New Roman"/>
          <w:sz w:val="24"/>
          <w:szCs w:val="24"/>
        </w:rPr>
        <w:t xml:space="preserve">olatility, </w:t>
      </w:r>
      <w:r w:rsidRPr="008573D2">
        <w:rPr>
          <w:rFonts w:ascii="Times New Roman" w:hAnsi="Times New Roman" w:cs="Times New Roman"/>
          <w:i/>
          <w:iCs/>
          <w:sz w:val="24"/>
          <w:szCs w:val="24"/>
        </w:rPr>
        <w:t>Review of Financial Studies</w:t>
      </w:r>
      <w:r w:rsidRPr="008573D2">
        <w:rPr>
          <w:rFonts w:ascii="Times New Roman" w:hAnsi="Times New Roman" w:cs="Times New Roman"/>
          <w:sz w:val="24"/>
          <w:szCs w:val="24"/>
        </w:rPr>
        <w:t>, 14, pp. 837 – 859.</w:t>
      </w:r>
    </w:p>
    <w:p w14:paraId="75CC450A" w14:textId="4A37847E" w:rsidR="00827EAD" w:rsidRPr="008573D2" w:rsidRDefault="00827EAD" w:rsidP="00827EAD">
      <w:pPr>
        <w:spacing w:line="360" w:lineRule="auto"/>
        <w:jc w:val="both"/>
        <w:rPr>
          <w:rFonts w:ascii="Times New Roman" w:hAnsi="Times New Roman" w:cs="Times New Roman"/>
          <w:sz w:val="24"/>
          <w:szCs w:val="24"/>
        </w:rPr>
      </w:pPr>
      <w:proofErr w:type="spellStart"/>
      <w:r w:rsidRPr="008573D2">
        <w:rPr>
          <w:rFonts w:ascii="Times New Roman" w:hAnsi="Times New Roman" w:cs="Times New Roman"/>
          <w:sz w:val="24"/>
          <w:szCs w:val="24"/>
        </w:rPr>
        <w:t>Yilmazkuday</w:t>
      </w:r>
      <w:proofErr w:type="spellEnd"/>
      <w:r w:rsidRPr="008573D2">
        <w:rPr>
          <w:rFonts w:ascii="Times New Roman" w:hAnsi="Times New Roman" w:cs="Times New Roman"/>
          <w:sz w:val="24"/>
          <w:szCs w:val="24"/>
        </w:rPr>
        <w:t xml:space="preserve">, H. (2020). COVID-19 </w:t>
      </w:r>
      <w:r w:rsidR="00CB3617" w:rsidRPr="008573D2">
        <w:rPr>
          <w:rFonts w:ascii="Times New Roman" w:hAnsi="Times New Roman" w:cs="Times New Roman"/>
          <w:sz w:val="24"/>
          <w:szCs w:val="24"/>
        </w:rPr>
        <w:t>E</w:t>
      </w:r>
      <w:r w:rsidRPr="008573D2">
        <w:rPr>
          <w:rFonts w:ascii="Times New Roman" w:hAnsi="Times New Roman" w:cs="Times New Roman"/>
          <w:sz w:val="24"/>
          <w:szCs w:val="24"/>
        </w:rPr>
        <w:t xml:space="preserve">ffects on the S&amp;P 500 </w:t>
      </w:r>
      <w:r w:rsidR="00CB3617" w:rsidRPr="008573D2">
        <w:rPr>
          <w:rFonts w:ascii="Times New Roman" w:hAnsi="Times New Roman" w:cs="Times New Roman"/>
          <w:sz w:val="24"/>
          <w:szCs w:val="24"/>
        </w:rPr>
        <w:t>I</w:t>
      </w:r>
      <w:r w:rsidRPr="008573D2">
        <w:rPr>
          <w:rFonts w:ascii="Times New Roman" w:hAnsi="Times New Roman" w:cs="Times New Roman"/>
          <w:sz w:val="24"/>
          <w:szCs w:val="24"/>
        </w:rPr>
        <w:t>ndex’, SSRN Electronic Journal.</w:t>
      </w:r>
    </w:p>
    <w:p w14:paraId="22701E3C" w14:textId="1FE43601" w:rsidR="00827EAD" w:rsidRPr="008573D2" w:rsidRDefault="00827EAD" w:rsidP="00827EAD">
      <w:pPr>
        <w:spacing w:after="200" w:line="360" w:lineRule="auto"/>
        <w:jc w:val="both"/>
        <w:rPr>
          <w:rFonts w:ascii="Times New Roman" w:hAnsi="Times New Roman" w:cs="Times New Roman"/>
          <w:b/>
          <w:bCs/>
          <w:sz w:val="24"/>
          <w:szCs w:val="24"/>
        </w:rPr>
        <w:sectPr w:rsidR="00827EAD" w:rsidRPr="008573D2" w:rsidSect="00C475C3">
          <w:pgSz w:w="11906" w:h="16838"/>
          <w:pgMar w:top="1440" w:right="1440" w:bottom="1440" w:left="1440" w:header="709" w:footer="709" w:gutter="0"/>
          <w:cols w:space="708"/>
          <w:docGrid w:linePitch="360"/>
        </w:sectPr>
      </w:pPr>
      <w:r w:rsidRPr="008573D2">
        <w:rPr>
          <w:rFonts w:ascii="Times New Roman" w:hAnsi="Times New Roman" w:cs="Times New Roman"/>
          <w:sz w:val="24"/>
          <w:szCs w:val="24"/>
        </w:rPr>
        <w:t xml:space="preserve">Zaremba, A., </w:t>
      </w:r>
      <w:proofErr w:type="spellStart"/>
      <w:r w:rsidRPr="008573D2">
        <w:rPr>
          <w:rFonts w:ascii="Times New Roman" w:hAnsi="Times New Roman" w:cs="Times New Roman"/>
          <w:sz w:val="24"/>
          <w:szCs w:val="24"/>
        </w:rPr>
        <w:t>Kizys</w:t>
      </w:r>
      <w:proofErr w:type="spellEnd"/>
      <w:r w:rsidRPr="008573D2">
        <w:rPr>
          <w:rFonts w:ascii="Times New Roman" w:hAnsi="Times New Roman" w:cs="Times New Roman"/>
          <w:sz w:val="24"/>
          <w:szCs w:val="24"/>
        </w:rPr>
        <w:t xml:space="preserve">, R., </w:t>
      </w:r>
      <w:proofErr w:type="spellStart"/>
      <w:r w:rsidRPr="008573D2">
        <w:rPr>
          <w:rFonts w:ascii="Times New Roman" w:hAnsi="Times New Roman" w:cs="Times New Roman"/>
          <w:sz w:val="24"/>
          <w:szCs w:val="24"/>
        </w:rPr>
        <w:t>Aharon</w:t>
      </w:r>
      <w:proofErr w:type="spellEnd"/>
      <w:r w:rsidRPr="008573D2">
        <w:rPr>
          <w:rFonts w:ascii="Times New Roman" w:hAnsi="Times New Roman" w:cs="Times New Roman"/>
          <w:sz w:val="24"/>
          <w:szCs w:val="24"/>
        </w:rPr>
        <w:t xml:space="preserve">, D.Y. &amp; Demir, E. (2020). Infected Markets: Novel Coronavirus, Government Interventions, and Stock Return Volatility around the Globe, </w:t>
      </w:r>
      <w:r w:rsidRPr="008573D2">
        <w:rPr>
          <w:rFonts w:ascii="Times New Roman" w:hAnsi="Times New Roman" w:cs="Times New Roman"/>
          <w:i/>
          <w:iCs/>
          <w:sz w:val="24"/>
          <w:szCs w:val="24"/>
        </w:rPr>
        <w:t>Finance Research Letters</w:t>
      </w:r>
      <w:r w:rsidRPr="008573D2">
        <w:rPr>
          <w:rFonts w:ascii="Times New Roman" w:hAnsi="Times New Roman" w:cs="Times New Roman"/>
          <w:sz w:val="24"/>
          <w:szCs w:val="24"/>
        </w:rPr>
        <w:t>, Forthcoming</w:t>
      </w:r>
    </w:p>
    <w:p w14:paraId="0C1CFC44" w14:textId="77777777" w:rsidR="000A0995" w:rsidRPr="008573D2" w:rsidRDefault="000A0995" w:rsidP="00FB461A">
      <w:pPr>
        <w:spacing w:after="200" w:line="360" w:lineRule="auto"/>
        <w:jc w:val="both"/>
        <w:rPr>
          <w:rFonts w:ascii="Times New Roman" w:hAnsi="Times New Roman" w:cs="Times New Roman"/>
          <w:sz w:val="24"/>
          <w:szCs w:val="24"/>
        </w:rPr>
      </w:pPr>
    </w:p>
    <w:p w14:paraId="26A8A443" w14:textId="59413C2B" w:rsidR="00A746F9" w:rsidRPr="008573D2" w:rsidRDefault="00A746F9" w:rsidP="00496A70">
      <w:pPr>
        <w:jc w:val="center"/>
        <w:rPr>
          <w:rFonts w:ascii="Times New Roman" w:hAnsi="Times New Roman" w:cs="Times New Roman"/>
          <w:b/>
          <w:bCs/>
          <w:sz w:val="24"/>
          <w:szCs w:val="24"/>
        </w:rPr>
      </w:pPr>
      <w:r w:rsidRPr="008573D2">
        <w:rPr>
          <w:rFonts w:ascii="Times New Roman" w:hAnsi="Times New Roman" w:cs="Times New Roman"/>
          <w:b/>
          <w:bCs/>
          <w:sz w:val="24"/>
          <w:szCs w:val="24"/>
        </w:rPr>
        <w:t>Table 1:</w:t>
      </w:r>
      <w:r w:rsidR="00476209" w:rsidRPr="008573D2">
        <w:rPr>
          <w:rFonts w:ascii="Times New Roman" w:hAnsi="Times New Roman" w:cs="Times New Roman"/>
          <w:b/>
          <w:bCs/>
          <w:sz w:val="24"/>
          <w:szCs w:val="24"/>
        </w:rPr>
        <w:t xml:space="preserve"> List of </w:t>
      </w:r>
      <w:r w:rsidR="00AD1A21" w:rsidRPr="008573D2">
        <w:rPr>
          <w:rFonts w:ascii="Times New Roman" w:hAnsi="Times New Roman" w:cs="Times New Roman"/>
          <w:b/>
          <w:bCs/>
          <w:sz w:val="24"/>
          <w:szCs w:val="24"/>
        </w:rPr>
        <w:t>V</w:t>
      </w:r>
      <w:r w:rsidR="00476209" w:rsidRPr="008573D2">
        <w:rPr>
          <w:rFonts w:ascii="Times New Roman" w:hAnsi="Times New Roman" w:cs="Times New Roman"/>
          <w:b/>
          <w:bCs/>
          <w:sz w:val="24"/>
          <w:szCs w:val="24"/>
        </w:rPr>
        <w:t xml:space="preserve">ariables and </w:t>
      </w:r>
      <w:r w:rsidR="00AD1A21" w:rsidRPr="008573D2">
        <w:rPr>
          <w:rFonts w:ascii="Times New Roman" w:hAnsi="Times New Roman" w:cs="Times New Roman"/>
          <w:b/>
          <w:bCs/>
          <w:sz w:val="24"/>
          <w:szCs w:val="24"/>
        </w:rPr>
        <w:t>t</w:t>
      </w:r>
      <w:r w:rsidR="00476209" w:rsidRPr="008573D2">
        <w:rPr>
          <w:rFonts w:ascii="Times New Roman" w:hAnsi="Times New Roman" w:cs="Times New Roman"/>
          <w:b/>
          <w:bCs/>
          <w:sz w:val="24"/>
          <w:szCs w:val="24"/>
        </w:rPr>
        <w:t xml:space="preserve">heir </w:t>
      </w:r>
      <w:r w:rsidR="00AD1A21" w:rsidRPr="008573D2">
        <w:rPr>
          <w:rFonts w:ascii="Times New Roman" w:hAnsi="Times New Roman" w:cs="Times New Roman"/>
          <w:b/>
          <w:bCs/>
          <w:sz w:val="24"/>
          <w:szCs w:val="24"/>
        </w:rPr>
        <w:t>D</w:t>
      </w:r>
      <w:r w:rsidR="00476209" w:rsidRPr="008573D2">
        <w:rPr>
          <w:rFonts w:ascii="Times New Roman" w:hAnsi="Times New Roman" w:cs="Times New Roman"/>
          <w:b/>
          <w:bCs/>
          <w:sz w:val="24"/>
          <w:szCs w:val="24"/>
        </w:rPr>
        <w:t>efinitions</w:t>
      </w:r>
    </w:p>
    <w:tbl>
      <w:tblPr>
        <w:tblW w:w="10216" w:type="dxa"/>
        <w:tblLook w:val="04A0" w:firstRow="1" w:lastRow="0" w:firstColumn="1" w:lastColumn="0" w:noHBand="0" w:noVBand="1"/>
      </w:tblPr>
      <w:tblGrid>
        <w:gridCol w:w="1203"/>
        <w:gridCol w:w="7016"/>
        <w:gridCol w:w="1997"/>
      </w:tblGrid>
      <w:tr w:rsidR="004A6BEA" w:rsidRPr="008573D2" w14:paraId="1D3EFA07" w14:textId="77777777" w:rsidTr="004A6BEA">
        <w:trPr>
          <w:trHeight w:val="300"/>
        </w:trPr>
        <w:tc>
          <w:tcPr>
            <w:tcW w:w="1201" w:type="dxa"/>
            <w:tcBorders>
              <w:top w:val="single" w:sz="4" w:space="0" w:color="auto"/>
            </w:tcBorders>
            <w:shd w:val="clear" w:color="auto" w:fill="auto"/>
            <w:noWrap/>
            <w:hideMark/>
          </w:tcPr>
          <w:p w14:paraId="4D1F7255" w14:textId="77777777" w:rsidR="004A6BEA" w:rsidRPr="008573D2" w:rsidRDefault="004A6BEA" w:rsidP="004A6BEA">
            <w:pPr>
              <w:spacing w:after="200" w:line="240" w:lineRule="auto"/>
              <w:contextualSpacing/>
              <w:rPr>
                <w:rFonts w:ascii="Times New Roman" w:eastAsia="Times New Roman" w:hAnsi="Times New Roman" w:cs="Times New Roman"/>
                <w:b/>
                <w:bCs/>
                <w:sz w:val="24"/>
                <w:szCs w:val="24"/>
                <w:lang w:eastAsia="en-GB"/>
              </w:rPr>
            </w:pPr>
            <w:r w:rsidRPr="008573D2">
              <w:rPr>
                <w:rFonts w:ascii="Times New Roman" w:eastAsia="Times New Roman" w:hAnsi="Times New Roman" w:cs="Times New Roman"/>
                <w:b/>
                <w:bCs/>
                <w:sz w:val="24"/>
                <w:szCs w:val="24"/>
                <w:lang w:eastAsia="en-GB"/>
              </w:rPr>
              <w:t>Variables</w:t>
            </w:r>
          </w:p>
        </w:tc>
        <w:tc>
          <w:tcPr>
            <w:tcW w:w="7016" w:type="dxa"/>
            <w:tcBorders>
              <w:top w:val="single" w:sz="4" w:space="0" w:color="auto"/>
            </w:tcBorders>
            <w:shd w:val="clear" w:color="auto" w:fill="auto"/>
            <w:noWrap/>
            <w:hideMark/>
          </w:tcPr>
          <w:p w14:paraId="4A71F807" w14:textId="77777777" w:rsidR="004A6BEA" w:rsidRPr="008573D2" w:rsidRDefault="004A6BEA" w:rsidP="004A6BEA">
            <w:pPr>
              <w:spacing w:after="200" w:line="240" w:lineRule="auto"/>
              <w:contextualSpacing/>
              <w:jc w:val="center"/>
              <w:rPr>
                <w:rFonts w:ascii="Times New Roman" w:eastAsia="Times New Roman" w:hAnsi="Times New Roman" w:cs="Times New Roman"/>
                <w:b/>
                <w:bCs/>
                <w:sz w:val="24"/>
                <w:szCs w:val="24"/>
                <w:lang w:eastAsia="en-GB"/>
              </w:rPr>
            </w:pPr>
            <w:r w:rsidRPr="008573D2">
              <w:rPr>
                <w:rFonts w:ascii="Times New Roman" w:eastAsia="Times New Roman" w:hAnsi="Times New Roman" w:cs="Times New Roman"/>
                <w:b/>
                <w:bCs/>
                <w:sz w:val="24"/>
                <w:szCs w:val="24"/>
                <w:lang w:eastAsia="en-GB"/>
              </w:rPr>
              <w:t>Definitions of the variables</w:t>
            </w:r>
          </w:p>
        </w:tc>
        <w:tc>
          <w:tcPr>
            <w:tcW w:w="1999" w:type="dxa"/>
            <w:tcBorders>
              <w:top w:val="single" w:sz="4" w:space="0" w:color="auto"/>
            </w:tcBorders>
            <w:shd w:val="clear" w:color="auto" w:fill="auto"/>
          </w:tcPr>
          <w:p w14:paraId="1144F385" w14:textId="77777777" w:rsidR="004A6BEA" w:rsidRPr="008573D2" w:rsidRDefault="004A6BEA" w:rsidP="004A6BEA">
            <w:pPr>
              <w:spacing w:after="200" w:line="240" w:lineRule="auto"/>
              <w:contextualSpacing/>
              <w:jc w:val="center"/>
              <w:rPr>
                <w:rFonts w:ascii="Times New Roman" w:eastAsia="Times New Roman" w:hAnsi="Times New Roman" w:cs="Times New Roman"/>
                <w:b/>
                <w:bCs/>
                <w:sz w:val="24"/>
                <w:szCs w:val="24"/>
                <w:lang w:eastAsia="en-GB"/>
              </w:rPr>
            </w:pPr>
            <w:r w:rsidRPr="008573D2">
              <w:rPr>
                <w:rFonts w:ascii="Times New Roman" w:eastAsia="Times New Roman" w:hAnsi="Times New Roman" w:cs="Times New Roman"/>
                <w:b/>
                <w:bCs/>
                <w:sz w:val="24"/>
                <w:szCs w:val="24"/>
                <w:lang w:eastAsia="en-GB"/>
              </w:rPr>
              <w:t>Sources</w:t>
            </w:r>
          </w:p>
        </w:tc>
      </w:tr>
      <w:tr w:rsidR="004A6BEA" w:rsidRPr="008573D2" w14:paraId="4BBB8872" w14:textId="77777777" w:rsidTr="004A6BEA">
        <w:trPr>
          <w:trHeight w:val="300"/>
        </w:trPr>
        <w:tc>
          <w:tcPr>
            <w:tcW w:w="1201" w:type="dxa"/>
            <w:tcBorders>
              <w:bottom w:val="single" w:sz="4" w:space="0" w:color="auto"/>
            </w:tcBorders>
            <w:shd w:val="clear" w:color="auto" w:fill="auto"/>
            <w:noWrap/>
          </w:tcPr>
          <w:p w14:paraId="140AA7AD" w14:textId="77777777" w:rsidR="004A6BEA" w:rsidRPr="008573D2" w:rsidRDefault="004A6BEA" w:rsidP="004A6BEA">
            <w:pPr>
              <w:spacing w:after="200" w:line="240" w:lineRule="auto"/>
              <w:contextualSpacing/>
              <w:rPr>
                <w:rFonts w:ascii="Times New Roman" w:eastAsia="Times New Roman" w:hAnsi="Times New Roman" w:cs="Times New Roman"/>
                <w:sz w:val="24"/>
                <w:szCs w:val="24"/>
                <w:lang w:eastAsia="en-GB"/>
              </w:rPr>
            </w:pPr>
          </w:p>
        </w:tc>
        <w:tc>
          <w:tcPr>
            <w:tcW w:w="7016" w:type="dxa"/>
            <w:tcBorders>
              <w:bottom w:val="single" w:sz="4" w:space="0" w:color="auto"/>
            </w:tcBorders>
            <w:shd w:val="clear" w:color="auto" w:fill="auto"/>
            <w:noWrap/>
          </w:tcPr>
          <w:p w14:paraId="77CF561C" w14:textId="77777777" w:rsidR="004A6BEA" w:rsidRPr="008573D2" w:rsidRDefault="004A6BEA" w:rsidP="004A6BEA">
            <w:pPr>
              <w:spacing w:after="200" w:line="240" w:lineRule="auto"/>
              <w:contextualSpacing/>
              <w:jc w:val="both"/>
              <w:rPr>
                <w:rFonts w:ascii="Times New Roman" w:eastAsia="Times New Roman" w:hAnsi="Times New Roman" w:cs="Times New Roman"/>
                <w:sz w:val="24"/>
                <w:szCs w:val="24"/>
                <w:lang w:eastAsia="en-GB"/>
              </w:rPr>
            </w:pPr>
          </w:p>
        </w:tc>
        <w:tc>
          <w:tcPr>
            <w:tcW w:w="1999" w:type="dxa"/>
            <w:tcBorders>
              <w:bottom w:val="single" w:sz="4" w:space="0" w:color="auto"/>
            </w:tcBorders>
            <w:shd w:val="clear" w:color="auto" w:fill="auto"/>
          </w:tcPr>
          <w:p w14:paraId="68276E33" w14:textId="77777777" w:rsidR="004A6BEA" w:rsidRPr="008573D2" w:rsidRDefault="004A6BEA" w:rsidP="004A6BEA">
            <w:pPr>
              <w:spacing w:after="200" w:line="240" w:lineRule="auto"/>
              <w:contextualSpacing/>
              <w:jc w:val="center"/>
              <w:rPr>
                <w:rFonts w:ascii="Times New Roman" w:eastAsia="Times New Roman" w:hAnsi="Times New Roman" w:cs="Times New Roman"/>
                <w:sz w:val="24"/>
                <w:szCs w:val="24"/>
                <w:lang w:eastAsia="en-GB"/>
              </w:rPr>
            </w:pPr>
          </w:p>
        </w:tc>
      </w:tr>
      <w:tr w:rsidR="004A6BEA" w:rsidRPr="00F82B8F" w14:paraId="091DE7DB" w14:textId="77777777" w:rsidTr="004A6BEA">
        <w:trPr>
          <w:trHeight w:val="300"/>
        </w:trPr>
        <w:tc>
          <w:tcPr>
            <w:tcW w:w="8217" w:type="dxa"/>
            <w:gridSpan w:val="2"/>
            <w:tcBorders>
              <w:top w:val="single" w:sz="4" w:space="0" w:color="auto"/>
            </w:tcBorders>
            <w:shd w:val="clear" w:color="auto" w:fill="auto"/>
            <w:noWrap/>
          </w:tcPr>
          <w:p w14:paraId="746E6928" w14:textId="0A81EFFE" w:rsidR="004A6BEA" w:rsidRPr="00F82B8F" w:rsidRDefault="004A6BEA" w:rsidP="004A6BEA">
            <w:pPr>
              <w:spacing w:after="200" w:line="360" w:lineRule="auto"/>
              <w:contextualSpacing/>
              <w:jc w:val="both"/>
              <w:rPr>
                <w:rFonts w:ascii="Times New Roman" w:eastAsia="Times New Roman" w:hAnsi="Times New Roman" w:cs="Times New Roman"/>
                <w:b/>
                <w:bCs/>
                <w:sz w:val="20"/>
                <w:szCs w:val="20"/>
                <w:lang w:eastAsia="en-GB"/>
              </w:rPr>
            </w:pPr>
            <w:r w:rsidRPr="00F82B8F">
              <w:rPr>
                <w:rFonts w:ascii="Times New Roman" w:eastAsia="Times New Roman" w:hAnsi="Times New Roman" w:cs="Times New Roman"/>
                <w:b/>
                <w:bCs/>
                <w:sz w:val="20"/>
                <w:szCs w:val="20"/>
                <w:lang w:eastAsia="en-GB"/>
              </w:rPr>
              <w:t xml:space="preserve">Variables related to </w:t>
            </w:r>
            <w:r w:rsidR="00964C2B" w:rsidRPr="00F82B8F">
              <w:rPr>
                <w:rFonts w:ascii="Times New Roman" w:eastAsia="Times New Roman" w:hAnsi="Times New Roman" w:cs="Times New Roman"/>
                <w:b/>
                <w:bCs/>
                <w:sz w:val="20"/>
                <w:szCs w:val="20"/>
                <w:lang w:eastAsia="en-GB"/>
              </w:rPr>
              <w:t>COVID-19</w:t>
            </w:r>
          </w:p>
        </w:tc>
        <w:tc>
          <w:tcPr>
            <w:tcW w:w="1999" w:type="dxa"/>
            <w:tcBorders>
              <w:top w:val="single" w:sz="4" w:space="0" w:color="auto"/>
            </w:tcBorders>
            <w:shd w:val="clear" w:color="auto" w:fill="auto"/>
          </w:tcPr>
          <w:p w14:paraId="4AC52B60" w14:textId="77777777" w:rsidR="004A6BEA" w:rsidRPr="00F82B8F" w:rsidRDefault="004A6BEA" w:rsidP="004A6BEA">
            <w:pPr>
              <w:spacing w:after="200" w:line="360" w:lineRule="auto"/>
              <w:contextualSpacing/>
              <w:jc w:val="center"/>
              <w:rPr>
                <w:rFonts w:ascii="Times New Roman" w:eastAsia="Times New Roman" w:hAnsi="Times New Roman" w:cs="Times New Roman"/>
                <w:b/>
                <w:bCs/>
                <w:sz w:val="20"/>
                <w:szCs w:val="20"/>
                <w:lang w:eastAsia="en-GB"/>
              </w:rPr>
            </w:pPr>
          </w:p>
        </w:tc>
      </w:tr>
      <w:tr w:rsidR="004A6BEA" w:rsidRPr="00F82B8F" w14:paraId="414399E1" w14:textId="77777777" w:rsidTr="004A6BEA">
        <w:trPr>
          <w:trHeight w:val="300"/>
        </w:trPr>
        <w:tc>
          <w:tcPr>
            <w:tcW w:w="1201" w:type="dxa"/>
            <w:shd w:val="clear" w:color="auto" w:fill="auto"/>
            <w:noWrap/>
          </w:tcPr>
          <w:p w14:paraId="5B547833" w14:textId="77777777" w:rsidR="004A6BEA" w:rsidRPr="00F82B8F" w:rsidRDefault="004A6BEA" w:rsidP="004A6BEA">
            <w:pPr>
              <w:spacing w:after="200" w:line="360" w:lineRule="auto"/>
              <w:contextualSpacing/>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CTC</w:t>
            </w:r>
          </w:p>
        </w:tc>
        <w:tc>
          <w:tcPr>
            <w:tcW w:w="7016" w:type="dxa"/>
            <w:shd w:val="clear" w:color="auto" w:fill="auto"/>
            <w:noWrap/>
          </w:tcPr>
          <w:p w14:paraId="52942CD8" w14:textId="35E0873D" w:rsidR="004A6BEA" w:rsidRPr="00F82B8F" w:rsidRDefault="004A6BEA" w:rsidP="004A6BEA">
            <w:pPr>
              <w:spacing w:after="200" w:line="360" w:lineRule="auto"/>
              <w:contextualSpacing/>
              <w:jc w:val="both"/>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 xml:space="preserve">Growth in total </w:t>
            </w:r>
            <w:r w:rsidR="00964C2B" w:rsidRPr="00F82B8F">
              <w:rPr>
                <w:rFonts w:ascii="Times New Roman" w:eastAsia="Times New Roman" w:hAnsi="Times New Roman" w:cs="Times New Roman"/>
                <w:sz w:val="20"/>
                <w:szCs w:val="20"/>
                <w:lang w:eastAsia="en-GB"/>
              </w:rPr>
              <w:t>COVID-19</w:t>
            </w:r>
            <w:r w:rsidRPr="00F82B8F">
              <w:rPr>
                <w:rFonts w:ascii="Times New Roman" w:eastAsia="Times New Roman" w:hAnsi="Times New Roman" w:cs="Times New Roman"/>
                <w:sz w:val="20"/>
                <w:szCs w:val="20"/>
                <w:lang w:eastAsia="en-GB"/>
              </w:rPr>
              <w:t xml:space="preserve"> cases in the world</w:t>
            </w:r>
          </w:p>
        </w:tc>
        <w:tc>
          <w:tcPr>
            <w:tcW w:w="1999" w:type="dxa"/>
            <w:vMerge w:val="restart"/>
            <w:shd w:val="clear" w:color="auto" w:fill="auto"/>
          </w:tcPr>
          <w:p w14:paraId="19893F06" w14:textId="77777777" w:rsidR="004A6BEA" w:rsidRPr="00F82B8F" w:rsidRDefault="004A6BEA" w:rsidP="004A6BEA">
            <w:pPr>
              <w:spacing w:after="200" w:line="360" w:lineRule="auto"/>
              <w:contextualSpacing/>
              <w:jc w:val="center"/>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The World Health Organization, and ourworldindata.org</w:t>
            </w:r>
          </w:p>
        </w:tc>
      </w:tr>
      <w:tr w:rsidR="004A6BEA" w:rsidRPr="00F82B8F" w14:paraId="519CC5C3" w14:textId="77777777" w:rsidTr="004A6BEA">
        <w:trPr>
          <w:trHeight w:val="300"/>
        </w:trPr>
        <w:tc>
          <w:tcPr>
            <w:tcW w:w="1201" w:type="dxa"/>
            <w:shd w:val="clear" w:color="auto" w:fill="auto"/>
            <w:noWrap/>
          </w:tcPr>
          <w:p w14:paraId="59731844" w14:textId="77777777" w:rsidR="004A6BEA" w:rsidRPr="00F82B8F" w:rsidRDefault="004A6BEA" w:rsidP="004A6BEA">
            <w:pPr>
              <w:spacing w:after="200" w:line="360" w:lineRule="auto"/>
              <w:contextualSpacing/>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CTD</w:t>
            </w:r>
          </w:p>
        </w:tc>
        <w:tc>
          <w:tcPr>
            <w:tcW w:w="7016" w:type="dxa"/>
            <w:shd w:val="clear" w:color="auto" w:fill="auto"/>
            <w:noWrap/>
          </w:tcPr>
          <w:p w14:paraId="2F76C624" w14:textId="01B11032" w:rsidR="004A6BEA" w:rsidRPr="00F82B8F" w:rsidRDefault="004A6BEA" w:rsidP="004A6BEA">
            <w:pPr>
              <w:spacing w:after="200" w:line="360" w:lineRule="auto"/>
              <w:contextualSpacing/>
              <w:jc w:val="both"/>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 xml:space="preserve">Growth in total </w:t>
            </w:r>
            <w:r w:rsidR="00964C2B" w:rsidRPr="00F82B8F">
              <w:rPr>
                <w:rFonts w:ascii="Times New Roman" w:eastAsia="Times New Roman" w:hAnsi="Times New Roman" w:cs="Times New Roman"/>
                <w:sz w:val="20"/>
                <w:szCs w:val="20"/>
                <w:lang w:eastAsia="en-GB"/>
              </w:rPr>
              <w:t>COVID-19</w:t>
            </w:r>
            <w:r w:rsidRPr="00F82B8F">
              <w:rPr>
                <w:rFonts w:ascii="Times New Roman" w:eastAsia="Times New Roman" w:hAnsi="Times New Roman" w:cs="Times New Roman"/>
                <w:sz w:val="20"/>
                <w:szCs w:val="20"/>
                <w:lang w:eastAsia="en-GB"/>
              </w:rPr>
              <w:t xml:space="preserve"> deaths in the world</w:t>
            </w:r>
          </w:p>
        </w:tc>
        <w:tc>
          <w:tcPr>
            <w:tcW w:w="1999" w:type="dxa"/>
            <w:vMerge/>
            <w:shd w:val="clear" w:color="auto" w:fill="auto"/>
          </w:tcPr>
          <w:p w14:paraId="7A9C19F5" w14:textId="77777777" w:rsidR="004A6BEA" w:rsidRPr="00F82B8F" w:rsidRDefault="004A6BEA" w:rsidP="004A6BEA">
            <w:pPr>
              <w:spacing w:after="200" w:line="360" w:lineRule="auto"/>
              <w:contextualSpacing/>
              <w:jc w:val="center"/>
              <w:rPr>
                <w:rFonts w:ascii="Times New Roman" w:eastAsia="Times New Roman" w:hAnsi="Times New Roman" w:cs="Times New Roman"/>
                <w:sz w:val="20"/>
                <w:szCs w:val="20"/>
                <w:lang w:eastAsia="en-GB"/>
              </w:rPr>
            </w:pPr>
          </w:p>
        </w:tc>
      </w:tr>
      <w:tr w:rsidR="004A6BEA" w:rsidRPr="00F82B8F" w14:paraId="39E44F70" w14:textId="77777777" w:rsidTr="004A6BEA">
        <w:trPr>
          <w:trHeight w:val="300"/>
        </w:trPr>
        <w:tc>
          <w:tcPr>
            <w:tcW w:w="1201" w:type="dxa"/>
            <w:shd w:val="clear" w:color="auto" w:fill="auto"/>
            <w:noWrap/>
          </w:tcPr>
          <w:p w14:paraId="065BAA20" w14:textId="77777777" w:rsidR="004A6BEA" w:rsidRPr="00F82B8F" w:rsidRDefault="004A6BEA" w:rsidP="004A6BEA">
            <w:pPr>
              <w:spacing w:after="200" w:line="360" w:lineRule="auto"/>
              <w:contextualSpacing/>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CSC</w:t>
            </w:r>
          </w:p>
        </w:tc>
        <w:tc>
          <w:tcPr>
            <w:tcW w:w="7016" w:type="dxa"/>
            <w:shd w:val="clear" w:color="auto" w:fill="auto"/>
            <w:noWrap/>
          </w:tcPr>
          <w:p w14:paraId="059A50C4" w14:textId="00C70A43" w:rsidR="004A6BEA" w:rsidRPr="00F82B8F" w:rsidRDefault="004A6BEA" w:rsidP="004A6BEA">
            <w:pPr>
              <w:spacing w:after="200" w:line="360" w:lineRule="auto"/>
              <w:contextualSpacing/>
              <w:jc w:val="both"/>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 xml:space="preserve">Growth in total </w:t>
            </w:r>
            <w:r w:rsidR="00964C2B" w:rsidRPr="00F82B8F">
              <w:rPr>
                <w:rFonts w:ascii="Times New Roman" w:eastAsia="Times New Roman" w:hAnsi="Times New Roman" w:cs="Times New Roman"/>
                <w:sz w:val="20"/>
                <w:szCs w:val="20"/>
                <w:lang w:eastAsia="en-GB"/>
              </w:rPr>
              <w:t>COVID-19</w:t>
            </w:r>
            <w:r w:rsidRPr="00F82B8F">
              <w:rPr>
                <w:rFonts w:ascii="Times New Roman" w:eastAsia="Times New Roman" w:hAnsi="Times New Roman" w:cs="Times New Roman"/>
                <w:sz w:val="20"/>
                <w:szCs w:val="20"/>
                <w:lang w:eastAsia="en-GB"/>
              </w:rPr>
              <w:t xml:space="preserve"> cases of each country in our sample</w:t>
            </w:r>
          </w:p>
        </w:tc>
        <w:tc>
          <w:tcPr>
            <w:tcW w:w="1999" w:type="dxa"/>
            <w:vMerge/>
            <w:shd w:val="clear" w:color="auto" w:fill="auto"/>
          </w:tcPr>
          <w:p w14:paraId="0C191917" w14:textId="77777777" w:rsidR="004A6BEA" w:rsidRPr="00F82B8F" w:rsidRDefault="004A6BEA" w:rsidP="004A6BEA">
            <w:pPr>
              <w:spacing w:after="200" w:line="360" w:lineRule="auto"/>
              <w:contextualSpacing/>
              <w:jc w:val="center"/>
              <w:rPr>
                <w:rFonts w:ascii="Times New Roman" w:eastAsia="Times New Roman" w:hAnsi="Times New Roman" w:cs="Times New Roman"/>
                <w:sz w:val="20"/>
                <w:szCs w:val="20"/>
                <w:lang w:eastAsia="en-GB"/>
              </w:rPr>
            </w:pPr>
          </w:p>
        </w:tc>
      </w:tr>
      <w:tr w:rsidR="004A6BEA" w:rsidRPr="00F82B8F" w14:paraId="133B6412" w14:textId="77777777" w:rsidTr="004A6BEA">
        <w:trPr>
          <w:trHeight w:val="511"/>
        </w:trPr>
        <w:tc>
          <w:tcPr>
            <w:tcW w:w="1201" w:type="dxa"/>
            <w:shd w:val="clear" w:color="auto" w:fill="auto"/>
            <w:noWrap/>
          </w:tcPr>
          <w:p w14:paraId="06C84B7D" w14:textId="77777777" w:rsidR="004A6BEA" w:rsidRPr="00F82B8F" w:rsidRDefault="004A6BEA" w:rsidP="004A6BEA">
            <w:pPr>
              <w:spacing w:after="200" w:line="360" w:lineRule="auto"/>
              <w:contextualSpacing/>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CSD</w:t>
            </w:r>
          </w:p>
        </w:tc>
        <w:tc>
          <w:tcPr>
            <w:tcW w:w="7016" w:type="dxa"/>
            <w:shd w:val="clear" w:color="auto" w:fill="auto"/>
            <w:noWrap/>
          </w:tcPr>
          <w:p w14:paraId="4D04BF0B" w14:textId="6EE15361" w:rsidR="004A6BEA" w:rsidRPr="00F82B8F" w:rsidRDefault="004A6BEA" w:rsidP="004A6BEA">
            <w:pPr>
              <w:spacing w:after="200" w:line="360" w:lineRule="auto"/>
              <w:contextualSpacing/>
              <w:jc w:val="both"/>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 xml:space="preserve">Growth in </w:t>
            </w:r>
            <w:r w:rsidR="00964C2B" w:rsidRPr="00F82B8F">
              <w:rPr>
                <w:rFonts w:ascii="Times New Roman" w:eastAsia="Times New Roman" w:hAnsi="Times New Roman" w:cs="Times New Roman"/>
                <w:sz w:val="20"/>
                <w:szCs w:val="20"/>
                <w:lang w:eastAsia="en-GB"/>
              </w:rPr>
              <w:t>COVID-19</w:t>
            </w:r>
            <w:r w:rsidRPr="00F82B8F">
              <w:rPr>
                <w:rFonts w:ascii="Times New Roman" w:eastAsia="Times New Roman" w:hAnsi="Times New Roman" w:cs="Times New Roman"/>
                <w:sz w:val="20"/>
                <w:szCs w:val="20"/>
                <w:lang w:eastAsia="en-GB"/>
              </w:rPr>
              <w:t xml:space="preserve"> deaths of each country in our sample</w:t>
            </w:r>
          </w:p>
        </w:tc>
        <w:tc>
          <w:tcPr>
            <w:tcW w:w="1999" w:type="dxa"/>
            <w:vMerge/>
            <w:shd w:val="clear" w:color="auto" w:fill="auto"/>
          </w:tcPr>
          <w:p w14:paraId="4A21F185" w14:textId="77777777" w:rsidR="004A6BEA" w:rsidRPr="00F82B8F" w:rsidRDefault="004A6BEA" w:rsidP="004A6BEA">
            <w:pPr>
              <w:spacing w:after="200" w:line="360" w:lineRule="auto"/>
              <w:contextualSpacing/>
              <w:jc w:val="center"/>
              <w:rPr>
                <w:rFonts w:ascii="Times New Roman" w:eastAsia="Times New Roman" w:hAnsi="Times New Roman" w:cs="Times New Roman"/>
                <w:sz w:val="20"/>
                <w:szCs w:val="20"/>
                <w:lang w:eastAsia="en-GB"/>
              </w:rPr>
            </w:pPr>
          </w:p>
        </w:tc>
      </w:tr>
      <w:tr w:rsidR="004A6BEA" w:rsidRPr="00F82B8F" w14:paraId="31277DBC" w14:textId="77777777" w:rsidTr="004A6BEA">
        <w:trPr>
          <w:trHeight w:val="300"/>
        </w:trPr>
        <w:tc>
          <w:tcPr>
            <w:tcW w:w="8217" w:type="dxa"/>
            <w:gridSpan w:val="2"/>
            <w:shd w:val="clear" w:color="auto" w:fill="auto"/>
            <w:noWrap/>
          </w:tcPr>
          <w:p w14:paraId="687AB777" w14:textId="77777777" w:rsidR="004A6BEA" w:rsidRPr="00F82B8F" w:rsidRDefault="004A6BEA" w:rsidP="004A6BEA">
            <w:pPr>
              <w:spacing w:after="200" w:line="360" w:lineRule="auto"/>
              <w:contextualSpacing/>
              <w:jc w:val="both"/>
              <w:rPr>
                <w:rFonts w:ascii="Times New Roman" w:eastAsia="Times New Roman" w:hAnsi="Times New Roman" w:cs="Times New Roman"/>
                <w:b/>
                <w:bCs/>
                <w:sz w:val="20"/>
                <w:szCs w:val="20"/>
                <w:lang w:eastAsia="en-GB"/>
              </w:rPr>
            </w:pPr>
            <w:r w:rsidRPr="00F82B8F">
              <w:rPr>
                <w:rFonts w:ascii="Times New Roman" w:eastAsia="Times New Roman" w:hAnsi="Times New Roman" w:cs="Times New Roman"/>
                <w:b/>
                <w:bCs/>
                <w:sz w:val="20"/>
                <w:szCs w:val="20"/>
                <w:lang w:eastAsia="en-GB"/>
              </w:rPr>
              <w:t>Variables related to the capital market</w:t>
            </w:r>
          </w:p>
        </w:tc>
        <w:tc>
          <w:tcPr>
            <w:tcW w:w="1999" w:type="dxa"/>
            <w:shd w:val="clear" w:color="auto" w:fill="auto"/>
          </w:tcPr>
          <w:p w14:paraId="46DD4186" w14:textId="77777777" w:rsidR="004A6BEA" w:rsidRPr="00F82B8F" w:rsidRDefault="004A6BEA" w:rsidP="004A6BEA">
            <w:pPr>
              <w:spacing w:after="200" w:line="360" w:lineRule="auto"/>
              <w:contextualSpacing/>
              <w:jc w:val="center"/>
              <w:rPr>
                <w:rFonts w:ascii="Times New Roman" w:eastAsia="Times New Roman" w:hAnsi="Times New Roman" w:cs="Times New Roman"/>
                <w:b/>
                <w:bCs/>
                <w:sz w:val="20"/>
                <w:szCs w:val="20"/>
                <w:lang w:eastAsia="en-GB"/>
              </w:rPr>
            </w:pPr>
          </w:p>
        </w:tc>
      </w:tr>
      <w:tr w:rsidR="004A6BEA" w:rsidRPr="00F82B8F" w14:paraId="1244ED63" w14:textId="77777777" w:rsidTr="004A6BEA">
        <w:trPr>
          <w:trHeight w:val="300"/>
        </w:trPr>
        <w:tc>
          <w:tcPr>
            <w:tcW w:w="1201" w:type="dxa"/>
            <w:shd w:val="clear" w:color="auto" w:fill="auto"/>
            <w:noWrap/>
          </w:tcPr>
          <w:p w14:paraId="530F56C9" w14:textId="77777777" w:rsidR="004A6BEA" w:rsidRPr="00F82B8F" w:rsidRDefault="004A6BEA" w:rsidP="004A6BEA">
            <w:pPr>
              <w:spacing w:after="200" w:line="360" w:lineRule="auto"/>
              <w:contextualSpacing/>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RET</w:t>
            </w:r>
          </w:p>
        </w:tc>
        <w:tc>
          <w:tcPr>
            <w:tcW w:w="7016" w:type="dxa"/>
            <w:shd w:val="clear" w:color="auto" w:fill="auto"/>
            <w:noWrap/>
          </w:tcPr>
          <w:p w14:paraId="0E812D6C" w14:textId="77777777" w:rsidR="004A6BEA" w:rsidRPr="00F82B8F" w:rsidRDefault="004A6BEA" w:rsidP="004A6BEA">
            <w:pPr>
              <w:spacing w:after="200" w:line="360" w:lineRule="auto"/>
              <w:contextualSpacing/>
              <w:jc w:val="both"/>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Log return of the broad stock market index from each country in our sample</w:t>
            </w:r>
          </w:p>
        </w:tc>
        <w:tc>
          <w:tcPr>
            <w:tcW w:w="1999" w:type="dxa"/>
            <w:vMerge w:val="restart"/>
            <w:shd w:val="clear" w:color="auto" w:fill="auto"/>
          </w:tcPr>
          <w:p w14:paraId="0CB837E4" w14:textId="77777777" w:rsidR="004A6BEA" w:rsidRPr="00F82B8F" w:rsidRDefault="004A6BEA" w:rsidP="004A6BEA">
            <w:pPr>
              <w:spacing w:after="200" w:line="360" w:lineRule="auto"/>
              <w:contextualSpacing/>
              <w:jc w:val="center"/>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Datastream</w:t>
            </w:r>
          </w:p>
        </w:tc>
      </w:tr>
      <w:tr w:rsidR="004A6BEA" w:rsidRPr="00F82B8F" w14:paraId="4F1C7023" w14:textId="77777777" w:rsidTr="004A6BEA">
        <w:trPr>
          <w:trHeight w:val="300"/>
        </w:trPr>
        <w:tc>
          <w:tcPr>
            <w:tcW w:w="1201" w:type="dxa"/>
            <w:shd w:val="clear" w:color="auto" w:fill="auto"/>
            <w:noWrap/>
          </w:tcPr>
          <w:p w14:paraId="7953B458" w14:textId="77777777" w:rsidR="004A6BEA" w:rsidRPr="00F82B8F" w:rsidRDefault="004A6BEA" w:rsidP="004A6BEA">
            <w:pPr>
              <w:spacing w:after="200" w:line="360" w:lineRule="auto"/>
              <w:contextualSpacing/>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RME</w:t>
            </w:r>
          </w:p>
        </w:tc>
        <w:tc>
          <w:tcPr>
            <w:tcW w:w="7016" w:type="dxa"/>
            <w:shd w:val="clear" w:color="auto" w:fill="auto"/>
            <w:noWrap/>
          </w:tcPr>
          <w:p w14:paraId="1B3A9BD1" w14:textId="77777777" w:rsidR="004A6BEA" w:rsidRPr="00F82B8F" w:rsidRDefault="004A6BEA" w:rsidP="004A6BEA">
            <w:pPr>
              <w:spacing w:after="200" w:line="360" w:lineRule="auto"/>
              <w:contextualSpacing/>
              <w:jc w:val="both"/>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Log return on MSCI Emerging Market index</w:t>
            </w:r>
          </w:p>
        </w:tc>
        <w:tc>
          <w:tcPr>
            <w:tcW w:w="1999" w:type="dxa"/>
            <w:vMerge/>
            <w:shd w:val="clear" w:color="auto" w:fill="auto"/>
          </w:tcPr>
          <w:p w14:paraId="3278608B" w14:textId="77777777" w:rsidR="004A6BEA" w:rsidRPr="00F82B8F" w:rsidRDefault="004A6BEA" w:rsidP="004A6BEA">
            <w:pPr>
              <w:spacing w:after="200" w:line="360" w:lineRule="auto"/>
              <w:contextualSpacing/>
              <w:jc w:val="center"/>
              <w:rPr>
                <w:rFonts w:ascii="Times New Roman" w:eastAsia="Times New Roman" w:hAnsi="Times New Roman" w:cs="Times New Roman"/>
                <w:sz w:val="20"/>
                <w:szCs w:val="20"/>
                <w:lang w:eastAsia="en-GB"/>
              </w:rPr>
            </w:pPr>
          </w:p>
        </w:tc>
      </w:tr>
      <w:tr w:rsidR="004A6BEA" w:rsidRPr="00F82B8F" w14:paraId="4A761334" w14:textId="77777777" w:rsidTr="004A6BEA">
        <w:trPr>
          <w:trHeight w:val="300"/>
        </w:trPr>
        <w:tc>
          <w:tcPr>
            <w:tcW w:w="1201" w:type="dxa"/>
            <w:shd w:val="clear" w:color="auto" w:fill="auto"/>
            <w:noWrap/>
          </w:tcPr>
          <w:p w14:paraId="1106DF09" w14:textId="77777777" w:rsidR="004A6BEA" w:rsidRPr="00F82B8F" w:rsidRDefault="004A6BEA" w:rsidP="004A6BEA">
            <w:pPr>
              <w:spacing w:after="200" w:line="360" w:lineRule="auto"/>
              <w:contextualSpacing/>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RMW</w:t>
            </w:r>
          </w:p>
        </w:tc>
        <w:tc>
          <w:tcPr>
            <w:tcW w:w="7016" w:type="dxa"/>
            <w:shd w:val="clear" w:color="auto" w:fill="auto"/>
            <w:noWrap/>
          </w:tcPr>
          <w:p w14:paraId="4FA71A76" w14:textId="77777777" w:rsidR="004A6BEA" w:rsidRPr="00F82B8F" w:rsidRDefault="004A6BEA" w:rsidP="004A6BEA">
            <w:pPr>
              <w:spacing w:after="200" w:line="360" w:lineRule="auto"/>
              <w:contextualSpacing/>
              <w:jc w:val="both"/>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Log return of MSCI world index</w:t>
            </w:r>
          </w:p>
        </w:tc>
        <w:tc>
          <w:tcPr>
            <w:tcW w:w="1999" w:type="dxa"/>
            <w:vMerge/>
            <w:shd w:val="clear" w:color="auto" w:fill="auto"/>
          </w:tcPr>
          <w:p w14:paraId="58AEF190" w14:textId="77777777" w:rsidR="004A6BEA" w:rsidRPr="00F82B8F" w:rsidRDefault="004A6BEA" w:rsidP="004A6BEA">
            <w:pPr>
              <w:spacing w:after="200" w:line="360" w:lineRule="auto"/>
              <w:contextualSpacing/>
              <w:jc w:val="center"/>
              <w:rPr>
                <w:rFonts w:ascii="Times New Roman" w:eastAsia="Times New Roman" w:hAnsi="Times New Roman" w:cs="Times New Roman"/>
                <w:sz w:val="20"/>
                <w:szCs w:val="20"/>
                <w:lang w:eastAsia="en-GB"/>
              </w:rPr>
            </w:pPr>
          </w:p>
        </w:tc>
      </w:tr>
      <w:tr w:rsidR="004A6BEA" w:rsidRPr="00F82B8F" w14:paraId="52C117FC" w14:textId="77777777" w:rsidTr="004A6BEA">
        <w:trPr>
          <w:trHeight w:val="300"/>
        </w:trPr>
        <w:tc>
          <w:tcPr>
            <w:tcW w:w="1201" w:type="dxa"/>
            <w:shd w:val="clear" w:color="auto" w:fill="auto"/>
            <w:noWrap/>
          </w:tcPr>
          <w:p w14:paraId="2ECB8F54" w14:textId="77777777" w:rsidR="004A6BEA" w:rsidRPr="00F82B8F" w:rsidRDefault="004A6BEA" w:rsidP="004A6BEA">
            <w:pPr>
              <w:spacing w:after="200" w:line="360" w:lineRule="auto"/>
              <w:contextualSpacing/>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RVX</w:t>
            </w:r>
          </w:p>
        </w:tc>
        <w:tc>
          <w:tcPr>
            <w:tcW w:w="7016" w:type="dxa"/>
            <w:shd w:val="clear" w:color="auto" w:fill="auto"/>
            <w:noWrap/>
          </w:tcPr>
          <w:p w14:paraId="52465066" w14:textId="77777777" w:rsidR="004A6BEA" w:rsidRPr="00F82B8F" w:rsidRDefault="004A6BEA" w:rsidP="004A6BEA">
            <w:pPr>
              <w:spacing w:after="200" w:line="360" w:lineRule="auto"/>
              <w:contextualSpacing/>
              <w:jc w:val="both"/>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Log returns of CBOE VIX volatility index</w:t>
            </w:r>
          </w:p>
        </w:tc>
        <w:tc>
          <w:tcPr>
            <w:tcW w:w="1999" w:type="dxa"/>
            <w:vMerge/>
            <w:shd w:val="clear" w:color="auto" w:fill="auto"/>
          </w:tcPr>
          <w:p w14:paraId="6E872C73" w14:textId="77777777" w:rsidR="004A6BEA" w:rsidRPr="00F82B8F" w:rsidRDefault="004A6BEA" w:rsidP="004A6BEA">
            <w:pPr>
              <w:spacing w:after="200" w:line="360" w:lineRule="auto"/>
              <w:contextualSpacing/>
              <w:jc w:val="center"/>
              <w:rPr>
                <w:rFonts w:ascii="Times New Roman" w:eastAsia="Times New Roman" w:hAnsi="Times New Roman" w:cs="Times New Roman"/>
                <w:sz w:val="20"/>
                <w:szCs w:val="20"/>
                <w:lang w:eastAsia="en-GB"/>
              </w:rPr>
            </w:pPr>
          </w:p>
        </w:tc>
      </w:tr>
      <w:tr w:rsidR="004A6BEA" w:rsidRPr="00F82B8F" w14:paraId="6431C50E" w14:textId="77777777" w:rsidTr="004A6BEA">
        <w:trPr>
          <w:trHeight w:val="300"/>
        </w:trPr>
        <w:tc>
          <w:tcPr>
            <w:tcW w:w="1201" w:type="dxa"/>
            <w:shd w:val="clear" w:color="auto" w:fill="auto"/>
            <w:noWrap/>
          </w:tcPr>
          <w:p w14:paraId="54C20114" w14:textId="77777777" w:rsidR="004A6BEA" w:rsidRPr="00F82B8F" w:rsidRDefault="004A6BEA" w:rsidP="004A6BEA">
            <w:pPr>
              <w:spacing w:after="200" w:line="360" w:lineRule="auto"/>
              <w:contextualSpacing/>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LVO</w:t>
            </w:r>
          </w:p>
        </w:tc>
        <w:tc>
          <w:tcPr>
            <w:tcW w:w="7016" w:type="dxa"/>
            <w:shd w:val="clear" w:color="auto" w:fill="auto"/>
            <w:noWrap/>
          </w:tcPr>
          <w:p w14:paraId="31B030A3" w14:textId="77777777" w:rsidR="004A6BEA" w:rsidRPr="00F82B8F" w:rsidRDefault="004A6BEA" w:rsidP="004A6BEA">
            <w:pPr>
              <w:spacing w:after="200" w:line="360" w:lineRule="auto"/>
              <w:contextualSpacing/>
              <w:jc w:val="both"/>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Log of total trading volume of each market index in our sample</w:t>
            </w:r>
          </w:p>
        </w:tc>
        <w:tc>
          <w:tcPr>
            <w:tcW w:w="1999" w:type="dxa"/>
            <w:vMerge/>
            <w:shd w:val="clear" w:color="auto" w:fill="auto"/>
          </w:tcPr>
          <w:p w14:paraId="4F46A4EC" w14:textId="77777777" w:rsidR="004A6BEA" w:rsidRPr="00F82B8F" w:rsidRDefault="004A6BEA" w:rsidP="004A6BEA">
            <w:pPr>
              <w:spacing w:after="200" w:line="360" w:lineRule="auto"/>
              <w:contextualSpacing/>
              <w:jc w:val="center"/>
              <w:rPr>
                <w:rFonts w:ascii="Times New Roman" w:eastAsia="Times New Roman" w:hAnsi="Times New Roman" w:cs="Times New Roman"/>
                <w:sz w:val="20"/>
                <w:szCs w:val="20"/>
                <w:lang w:eastAsia="en-GB"/>
              </w:rPr>
            </w:pPr>
          </w:p>
        </w:tc>
      </w:tr>
      <w:tr w:rsidR="004A6BEA" w:rsidRPr="00F82B8F" w14:paraId="391A759C" w14:textId="77777777" w:rsidTr="004A6BEA">
        <w:trPr>
          <w:trHeight w:val="300"/>
        </w:trPr>
        <w:tc>
          <w:tcPr>
            <w:tcW w:w="1201" w:type="dxa"/>
            <w:shd w:val="clear" w:color="auto" w:fill="auto"/>
            <w:noWrap/>
          </w:tcPr>
          <w:p w14:paraId="64618353" w14:textId="77777777" w:rsidR="004A6BEA" w:rsidRPr="00F82B8F" w:rsidRDefault="004A6BEA" w:rsidP="004A6BEA">
            <w:pPr>
              <w:spacing w:after="200" w:line="360" w:lineRule="auto"/>
              <w:contextualSpacing/>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LVX</w:t>
            </w:r>
          </w:p>
        </w:tc>
        <w:tc>
          <w:tcPr>
            <w:tcW w:w="7016" w:type="dxa"/>
            <w:shd w:val="clear" w:color="auto" w:fill="auto"/>
            <w:noWrap/>
          </w:tcPr>
          <w:p w14:paraId="0BF7EDCF" w14:textId="77777777" w:rsidR="004A6BEA" w:rsidRPr="00F82B8F" w:rsidRDefault="004A6BEA" w:rsidP="004A6BEA">
            <w:pPr>
              <w:spacing w:after="200" w:line="360" w:lineRule="auto"/>
              <w:contextualSpacing/>
              <w:jc w:val="both"/>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Log of CBOE VIX volatility index</w:t>
            </w:r>
          </w:p>
        </w:tc>
        <w:tc>
          <w:tcPr>
            <w:tcW w:w="1999" w:type="dxa"/>
            <w:vMerge/>
            <w:shd w:val="clear" w:color="auto" w:fill="auto"/>
          </w:tcPr>
          <w:p w14:paraId="416ACBD5" w14:textId="77777777" w:rsidR="004A6BEA" w:rsidRPr="00F82B8F" w:rsidRDefault="004A6BEA" w:rsidP="004A6BEA">
            <w:pPr>
              <w:spacing w:after="200" w:line="360" w:lineRule="auto"/>
              <w:contextualSpacing/>
              <w:jc w:val="center"/>
              <w:rPr>
                <w:rFonts w:ascii="Times New Roman" w:eastAsia="Times New Roman" w:hAnsi="Times New Roman" w:cs="Times New Roman"/>
                <w:sz w:val="20"/>
                <w:szCs w:val="20"/>
                <w:lang w:eastAsia="en-GB"/>
              </w:rPr>
            </w:pPr>
          </w:p>
        </w:tc>
      </w:tr>
      <w:tr w:rsidR="004A6BEA" w:rsidRPr="00F82B8F" w14:paraId="40A8BB8A" w14:textId="77777777" w:rsidTr="004A6BEA">
        <w:trPr>
          <w:trHeight w:val="300"/>
        </w:trPr>
        <w:tc>
          <w:tcPr>
            <w:tcW w:w="1201" w:type="dxa"/>
            <w:shd w:val="clear" w:color="auto" w:fill="auto"/>
            <w:noWrap/>
          </w:tcPr>
          <w:p w14:paraId="471EA33C" w14:textId="77777777" w:rsidR="004A6BEA" w:rsidRPr="00F82B8F" w:rsidRDefault="004A6BEA" w:rsidP="004A6BEA">
            <w:pPr>
              <w:spacing w:after="200" w:line="360" w:lineRule="auto"/>
              <w:contextualSpacing/>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LDX</w:t>
            </w:r>
          </w:p>
        </w:tc>
        <w:tc>
          <w:tcPr>
            <w:tcW w:w="7016" w:type="dxa"/>
            <w:shd w:val="clear" w:color="auto" w:fill="auto"/>
            <w:noWrap/>
          </w:tcPr>
          <w:p w14:paraId="7D690C29" w14:textId="77777777" w:rsidR="004A6BEA" w:rsidRPr="00F82B8F" w:rsidRDefault="004A6BEA" w:rsidP="004A6BEA">
            <w:pPr>
              <w:spacing w:after="200" w:line="360" w:lineRule="auto"/>
              <w:contextualSpacing/>
              <w:jc w:val="both"/>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Log of the broad stock market index of each country in our sample</w:t>
            </w:r>
          </w:p>
        </w:tc>
        <w:tc>
          <w:tcPr>
            <w:tcW w:w="1999" w:type="dxa"/>
            <w:vMerge/>
            <w:shd w:val="clear" w:color="auto" w:fill="auto"/>
          </w:tcPr>
          <w:p w14:paraId="42047928" w14:textId="77777777" w:rsidR="004A6BEA" w:rsidRPr="00F82B8F" w:rsidRDefault="004A6BEA" w:rsidP="004A6BEA">
            <w:pPr>
              <w:spacing w:after="200" w:line="360" w:lineRule="auto"/>
              <w:contextualSpacing/>
              <w:jc w:val="center"/>
              <w:rPr>
                <w:rFonts w:ascii="Times New Roman" w:eastAsia="Times New Roman" w:hAnsi="Times New Roman" w:cs="Times New Roman"/>
                <w:sz w:val="20"/>
                <w:szCs w:val="20"/>
                <w:lang w:eastAsia="en-GB"/>
              </w:rPr>
            </w:pPr>
          </w:p>
        </w:tc>
      </w:tr>
      <w:tr w:rsidR="004A6BEA" w:rsidRPr="00F82B8F" w14:paraId="6E9CF86F" w14:textId="77777777" w:rsidTr="004A6BEA">
        <w:trPr>
          <w:trHeight w:val="300"/>
        </w:trPr>
        <w:tc>
          <w:tcPr>
            <w:tcW w:w="1201" w:type="dxa"/>
            <w:shd w:val="clear" w:color="auto" w:fill="auto"/>
            <w:noWrap/>
          </w:tcPr>
          <w:p w14:paraId="242F65F7" w14:textId="77777777" w:rsidR="004A6BEA" w:rsidRPr="00F82B8F" w:rsidRDefault="004A6BEA" w:rsidP="004A6BEA">
            <w:pPr>
              <w:spacing w:after="200" w:line="360" w:lineRule="auto"/>
              <w:contextualSpacing/>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LGX</w:t>
            </w:r>
          </w:p>
        </w:tc>
        <w:tc>
          <w:tcPr>
            <w:tcW w:w="7016" w:type="dxa"/>
            <w:shd w:val="clear" w:color="auto" w:fill="auto"/>
            <w:noWrap/>
          </w:tcPr>
          <w:p w14:paraId="49677D7C" w14:textId="77777777" w:rsidR="004A6BEA" w:rsidRPr="00F82B8F" w:rsidRDefault="004A6BEA" w:rsidP="004A6BEA">
            <w:pPr>
              <w:spacing w:after="200" w:line="360" w:lineRule="auto"/>
              <w:contextualSpacing/>
              <w:jc w:val="both"/>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GDP adjusted market Index</w:t>
            </w:r>
          </w:p>
        </w:tc>
        <w:tc>
          <w:tcPr>
            <w:tcW w:w="1999" w:type="dxa"/>
            <w:vMerge/>
            <w:shd w:val="clear" w:color="auto" w:fill="auto"/>
          </w:tcPr>
          <w:p w14:paraId="2245E633" w14:textId="77777777" w:rsidR="004A6BEA" w:rsidRPr="00F82B8F" w:rsidRDefault="004A6BEA" w:rsidP="004A6BEA">
            <w:pPr>
              <w:spacing w:after="200" w:line="360" w:lineRule="auto"/>
              <w:contextualSpacing/>
              <w:jc w:val="center"/>
              <w:rPr>
                <w:rFonts w:ascii="Times New Roman" w:eastAsia="Times New Roman" w:hAnsi="Times New Roman" w:cs="Times New Roman"/>
                <w:sz w:val="20"/>
                <w:szCs w:val="20"/>
                <w:lang w:eastAsia="en-GB"/>
              </w:rPr>
            </w:pPr>
          </w:p>
        </w:tc>
      </w:tr>
      <w:tr w:rsidR="004A6BEA" w:rsidRPr="00F82B8F" w14:paraId="5D169380" w14:textId="77777777" w:rsidTr="004A6BEA">
        <w:trPr>
          <w:trHeight w:val="300"/>
        </w:trPr>
        <w:tc>
          <w:tcPr>
            <w:tcW w:w="8217" w:type="dxa"/>
            <w:gridSpan w:val="2"/>
            <w:shd w:val="clear" w:color="auto" w:fill="auto"/>
            <w:noWrap/>
          </w:tcPr>
          <w:p w14:paraId="16F3A639" w14:textId="77777777" w:rsidR="004A6BEA" w:rsidRPr="00F82B8F" w:rsidRDefault="004A6BEA" w:rsidP="004A6BEA">
            <w:pPr>
              <w:spacing w:after="200" w:line="360" w:lineRule="auto"/>
              <w:contextualSpacing/>
              <w:jc w:val="both"/>
              <w:rPr>
                <w:rFonts w:ascii="Times New Roman" w:eastAsia="Times New Roman" w:hAnsi="Times New Roman" w:cs="Times New Roman"/>
                <w:b/>
                <w:bCs/>
                <w:sz w:val="20"/>
                <w:szCs w:val="20"/>
                <w:lang w:eastAsia="en-GB"/>
              </w:rPr>
            </w:pPr>
            <w:r w:rsidRPr="00F82B8F">
              <w:rPr>
                <w:rFonts w:ascii="Times New Roman" w:eastAsia="Times New Roman" w:hAnsi="Times New Roman" w:cs="Times New Roman"/>
                <w:b/>
                <w:bCs/>
                <w:sz w:val="20"/>
                <w:szCs w:val="20"/>
                <w:lang w:eastAsia="en-GB"/>
              </w:rPr>
              <w:t>Variables related to measures of country-level resilience</w:t>
            </w:r>
          </w:p>
        </w:tc>
        <w:tc>
          <w:tcPr>
            <w:tcW w:w="1999" w:type="dxa"/>
            <w:shd w:val="clear" w:color="auto" w:fill="auto"/>
          </w:tcPr>
          <w:p w14:paraId="1C3CA1C4" w14:textId="77777777" w:rsidR="004A6BEA" w:rsidRPr="00F82B8F" w:rsidRDefault="004A6BEA" w:rsidP="004A6BEA">
            <w:pPr>
              <w:spacing w:after="200" w:line="360" w:lineRule="auto"/>
              <w:contextualSpacing/>
              <w:jc w:val="center"/>
              <w:rPr>
                <w:rFonts w:ascii="Times New Roman" w:eastAsia="Times New Roman" w:hAnsi="Times New Roman" w:cs="Times New Roman"/>
                <w:b/>
                <w:bCs/>
                <w:sz w:val="20"/>
                <w:szCs w:val="20"/>
                <w:lang w:eastAsia="en-GB"/>
              </w:rPr>
            </w:pPr>
          </w:p>
        </w:tc>
      </w:tr>
      <w:tr w:rsidR="004A6BEA" w:rsidRPr="00F82B8F" w14:paraId="22598593" w14:textId="77777777" w:rsidTr="004A6BEA">
        <w:trPr>
          <w:trHeight w:val="300"/>
        </w:trPr>
        <w:tc>
          <w:tcPr>
            <w:tcW w:w="1201" w:type="dxa"/>
            <w:shd w:val="clear" w:color="auto" w:fill="auto"/>
            <w:noWrap/>
          </w:tcPr>
          <w:p w14:paraId="46257149" w14:textId="77777777" w:rsidR="004A6BEA" w:rsidRPr="00F82B8F" w:rsidRDefault="004A6BEA" w:rsidP="004A6BEA">
            <w:pPr>
              <w:spacing w:after="200" w:line="360" w:lineRule="auto"/>
              <w:contextualSpacing/>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RES</w:t>
            </w:r>
          </w:p>
        </w:tc>
        <w:tc>
          <w:tcPr>
            <w:tcW w:w="7016" w:type="dxa"/>
            <w:shd w:val="clear" w:color="auto" w:fill="auto"/>
            <w:noWrap/>
          </w:tcPr>
          <w:p w14:paraId="2577EAEB" w14:textId="17B2173B" w:rsidR="004A6BEA" w:rsidRPr="00F82B8F" w:rsidRDefault="004A6BEA" w:rsidP="00412C46">
            <w:pPr>
              <w:spacing w:after="200" w:line="360" w:lineRule="auto"/>
              <w:contextualSpacing/>
              <w:jc w:val="both"/>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Overall Resilience score. The score shows the strength and vulnerability in a country’s resilience, both broadly across factors (i.e., economic, risk quality or supply chain), and more precisely across the 12 different drivers. The score offers the opportunity to the government (managers) seeking to improve their country’s (company’s) resilience to disruptive events. The drivers include</w:t>
            </w:r>
            <w:r w:rsidR="00964C2B" w:rsidRPr="00F82B8F">
              <w:rPr>
                <w:rFonts w:ascii="Times New Roman" w:eastAsia="Times New Roman" w:hAnsi="Times New Roman" w:cs="Times New Roman"/>
                <w:sz w:val="20"/>
                <w:szCs w:val="20"/>
                <w:lang w:eastAsia="en-GB"/>
              </w:rPr>
              <w:t>d</w:t>
            </w:r>
            <w:r w:rsidRPr="00F82B8F">
              <w:rPr>
                <w:rFonts w:ascii="Times New Roman" w:eastAsia="Times New Roman" w:hAnsi="Times New Roman" w:cs="Times New Roman"/>
                <w:sz w:val="20"/>
                <w:szCs w:val="20"/>
                <w:lang w:eastAsia="en-GB"/>
              </w:rPr>
              <w:t xml:space="preserve"> in this score are: (i) within Economic factors - productivity, political risk, oil intensity, and urbani</w:t>
            </w:r>
            <w:r w:rsidR="00DC214A" w:rsidRPr="00F82B8F">
              <w:rPr>
                <w:rFonts w:ascii="Times New Roman" w:eastAsia="Times New Roman" w:hAnsi="Times New Roman" w:cs="Times New Roman"/>
                <w:sz w:val="20"/>
                <w:szCs w:val="20"/>
                <w:lang w:eastAsia="en-GB"/>
              </w:rPr>
              <w:t>s</w:t>
            </w:r>
            <w:r w:rsidRPr="00F82B8F">
              <w:rPr>
                <w:rFonts w:ascii="Times New Roman" w:eastAsia="Times New Roman" w:hAnsi="Times New Roman" w:cs="Times New Roman"/>
                <w:sz w:val="20"/>
                <w:szCs w:val="20"/>
                <w:lang w:eastAsia="en-GB"/>
              </w:rPr>
              <w:t xml:space="preserve">ation rate; (ii) within Risk Quality factors – exposure to natural hazards, natural hazard risk quality, fire risk quality, and inherent cyber risk; </w:t>
            </w:r>
            <w:r w:rsidR="00964C2B" w:rsidRPr="00F82B8F">
              <w:rPr>
                <w:rFonts w:ascii="Times New Roman" w:eastAsia="Times New Roman" w:hAnsi="Times New Roman" w:cs="Times New Roman"/>
                <w:sz w:val="20"/>
                <w:szCs w:val="20"/>
                <w:lang w:eastAsia="en-GB"/>
              </w:rPr>
              <w:t xml:space="preserve">and </w:t>
            </w:r>
            <w:r w:rsidRPr="00F82B8F">
              <w:rPr>
                <w:rFonts w:ascii="Times New Roman" w:eastAsia="Times New Roman" w:hAnsi="Times New Roman" w:cs="Times New Roman"/>
                <w:sz w:val="20"/>
                <w:szCs w:val="20"/>
                <w:lang w:eastAsia="en-GB"/>
              </w:rPr>
              <w:t xml:space="preserve">(iii) within Supply Chain factors – control of corruption, quality of infrastructure, corporate governance and supply chain visibility. The overall resilience score is an equally weighted composite measure of these three factors, where each factor is constructed using </w:t>
            </w:r>
            <w:r w:rsidR="004B2D3C" w:rsidRPr="00F82B8F">
              <w:rPr>
                <w:rFonts w:ascii="Times New Roman" w:eastAsia="Times New Roman" w:hAnsi="Times New Roman" w:cs="Times New Roman"/>
                <w:sz w:val="20"/>
                <w:szCs w:val="20"/>
                <w:lang w:eastAsia="en-GB"/>
              </w:rPr>
              <w:t xml:space="preserve">an </w:t>
            </w:r>
            <w:r w:rsidRPr="00F82B8F">
              <w:rPr>
                <w:rFonts w:ascii="Times New Roman" w:eastAsia="Times New Roman" w:hAnsi="Times New Roman" w:cs="Times New Roman"/>
                <w:sz w:val="20"/>
                <w:szCs w:val="20"/>
                <w:lang w:eastAsia="en-GB"/>
              </w:rPr>
              <w:t xml:space="preserve">equally weighted mean of four different drivers within each group. Therefore, in combination with additional information, this score provides business executives, investors, and government with a source of guidance on enterprise (country-level) risk when making decisions such as risk improvement priorities, sourcing suppliers, the destination of physical investment, and strength of the country (company) to </w:t>
            </w:r>
            <w:r w:rsidR="00412C46" w:rsidRPr="00F82B8F">
              <w:rPr>
                <w:rFonts w:ascii="Times New Roman" w:eastAsia="Times New Roman" w:hAnsi="Times New Roman" w:cs="Times New Roman"/>
                <w:sz w:val="20"/>
                <w:szCs w:val="20"/>
                <w:lang w:eastAsia="en-GB"/>
              </w:rPr>
              <w:t>withstand surprise</w:t>
            </w:r>
            <w:r w:rsidRPr="00F82B8F">
              <w:rPr>
                <w:rFonts w:ascii="Times New Roman" w:eastAsia="Times New Roman" w:hAnsi="Times New Roman" w:cs="Times New Roman"/>
                <w:sz w:val="20"/>
                <w:szCs w:val="20"/>
                <w:lang w:eastAsia="en-GB"/>
              </w:rPr>
              <w:t xml:space="preserve"> events.    </w:t>
            </w:r>
          </w:p>
        </w:tc>
        <w:tc>
          <w:tcPr>
            <w:tcW w:w="1999" w:type="dxa"/>
            <w:shd w:val="clear" w:color="auto" w:fill="auto"/>
          </w:tcPr>
          <w:p w14:paraId="047BF458" w14:textId="38C8317C" w:rsidR="004A6BEA" w:rsidRPr="00F82B8F" w:rsidRDefault="007D55DC" w:rsidP="004A6BEA">
            <w:pPr>
              <w:spacing w:after="200" w:line="360" w:lineRule="auto"/>
              <w:contextualSpacing/>
              <w:jc w:val="center"/>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 xml:space="preserve">The </w:t>
            </w:r>
            <w:r w:rsidR="004A6BEA" w:rsidRPr="00F82B8F">
              <w:rPr>
                <w:rFonts w:ascii="Times New Roman" w:eastAsia="Times New Roman" w:hAnsi="Times New Roman" w:cs="Times New Roman"/>
                <w:sz w:val="20"/>
                <w:szCs w:val="20"/>
                <w:lang w:eastAsia="en-GB"/>
              </w:rPr>
              <w:t>FM Global</w:t>
            </w:r>
          </w:p>
        </w:tc>
      </w:tr>
      <w:tr w:rsidR="004A6BEA" w:rsidRPr="00F82B8F" w14:paraId="6275B88B" w14:textId="77777777" w:rsidTr="004A6BEA">
        <w:trPr>
          <w:trHeight w:val="300"/>
        </w:trPr>
        <w:tc>
          <w:tcPr>
            <w:tcW w:w="1201" w:type="dxa"/>
            <w:shd w:val="clear" w:color="auto" w:fill="auto"/>
            <w:noWrap/>
          </w:tcPr>
          <w:p w14:paraId="5F661551" w14:textId="77777777" w:rsidR="004A6BEA" w:rsidRPr="00F82B8F" w:rsidRDefault="004A6BEA" w:rsidP="004A6BEA">
            <w:pPr>
              <w:spacing w:after="200" w:line="360" w:lineRule="auto"/>
              <w:contextualSpacing/>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COG</w:t>
            </w:r>
          </w:p>
        </w:tc>
        <w:tc>
          <w:tcPr>
            <w:tcW w:w="7016" w:type="dxa"/>
            <w:shd w:val="clear" w:color="auto" w:fill="auto"/>
            <w:noWrap/>
          </w:tcPr>
          <w:p w14:paraId="6A4CB81D" w14:textId="76CA9C45" w:rsidR="004A6BEA" w:rsidRPr="00F82B8F" w:rsidRDefault="004A6BEA" w:rsidP="004A6BEA">
            <w:pPr>
              <w:spacing w:after="200" w:line="360" w:lineRule="auto"/>
              <w:contextualSpacing/>
              <w:jc w:val="both"/>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Corporate governance score.</w:t>
            </w:r>
            <w:r w:rsidR="00BC11E8" w:rsidRPr="00F82B8F">
              <w:rPr>
                <w:rFonts w:ascii="Times New Roman" w:eastAsia="Times New Roman" w:hAnsi="Times New Roman" w:cs="Times New Roman"/>
                <w:sz w:val="20"/>
                <w:szCs w:val="20"/>
                <w:lang w:eastAsia="en-GB"/>
              </w:rPr>
              <w:t xml:space="preserve"> Governance consists of the traditions and institution by which authority in a county is exercised. This include</w:t>
            </w:r>
            <w:r w:rsidR="004B2D3C" w:rsidRPr="00F82B8F">
              <w:rPr>
                <w:rFonts w:ascii="Times New Roman" w:eastAsia="Times New Roman" w:hAnsi="Times New Roman" w:cs="Times New Roman"/>
                <w:sz w:val="20"/>
                <w:szCs w:val="20"/>
                <w:lang w:eastAsia="en-GB"/>
              </w:rPr>
              <w:t>s</w:t>
            </w:r>
            <w:r w:rsidR="00BC11E8" w:rsidRPr="00F82B8F">
              <w:rPr>
                <w:rFonts w:ascii="Times New Roman" w:eastAsia="Times New Roman" w:hAnsi="Times New Roman" w:cs="Times New Roman"/>
                <w:sz w:val="20"/>
                <w:szCs w:val="20"/>
                <w:lang w:eastAsia="en-GB"/>
              </w:rPr>
              <w:t xml:space="preserve"> the process by which governments are selected, monitored and replaced; the capacity of the government to effectively formulate and implement sound polic</w:t>
            </w:r>
            <w:r w:rsidR="004B2D3C" w:rsidRPr="00F82B8F">
              <w:rPr>
                <w:rFonts w:ascii="Times New Roman" w:eastAsia="Times New Roman" w:hAnsi="Times New Roman" w:cs="Times New Roman"/>
                <w:sz w:val="20"/>
                <w:szCs w:val="20"/>
                <w:lang w:eastAsia="en-GB"/>
              </w:rPr>
              <w:t>i</w:t>
            </w:r>
            <w:r w:rsidR="00BC11E8" w:rsidRPr="00F82B8F">
              <w:rPr>
                <w:rFonts w:ascii="Times New Roman" w:eastAsia="Times New Roman" w:hAnsi="Times New Roman" w:cs="Times New Roman"/>
                <w:sz w:val="20"/>
                <w:szCs w:val="20"/>
                <w:lang w:eastAsia="en-GB"/>
              </w:rPr>
              <w:t xml:space="preserve">es; and the respect of citizens and </w:t>
            </w:r>
            <w:r w:rsidR="00BC11E8" w:rsidRPr="00F82B8F">
              <w:rPr>
                <w:rFonts w:ascii="Times New Roman" w:eastAsia="Times New Roman" w:hAnsi="Times New Roman" w:cs="Times New Roman"/>
                <w:sz w:val="20"/>
                <w:szCs w:val="20"/>
                <w:lang w:eastAsia="en-GB"/>
              </w:rPr>
              <w:lastRenderedPageBreak/>
              <w:t xml:space="preserve">the state for the institutions that govern economic and social interactions among them. </w:t>
            </w:r>
            <w:r w:rsidRPr="00F82B8F">
              <w:rPr>
                <w:rFonts w:ascii="Times New Roman" w:eastAsia="Times New Roman" w:hAnsi="Times New Roman" w:cs="Times New Roman"/>
                <w:sz w:val="20"/>
                <w:szCs w:val="20"/>
                <w:lang w:eastAsia="en-GB"/>
              </w:rPr>
              <w:t xml:space="preserve">The score </w:t>
            </w:r>
            <w:r w:rsidR="00BC11E8" w:rsidRPr="00F82B8F">
              <w:rPr>
                <w:rFonts w:ascii="Times New Roman" w:eastAsia="Times New Roman" w:hAnsi="Times New Roman" w:cs="Times New Roman"/>
                <w:sz w:val="20"/>
                <w:szCs w:val="20"/>
                <w:lang w:eastAsia="en-GB"/>
              </w:rPr>
              <w:t xml:space="preserve">also </w:t>
            </w:r>
            <w:r w:rsidRPr="00F82B8F">
              <w:rPr>
                <w:rFonts w:ascii="Times New Roman" w:eastAsia="Times New Roman" w:hAnsi="Times New Roman" w:cs="Times New Roman"/>
                <w:sz w:val="20"/>
                <w:szCs w:val="20"/>
                <w:lang w:eastAsia="en-GB"/>
              </w:rPr>
              <w:t>shows the strength of auditing and accounting standards, conflicts of interest regulation and shareholder governance</w:t>
            </w:r>
            <w:r w:rsidR="00BC11E8" w:rsidRPr="00F82B8F">
              <w:rPr>
                <w:rFonts w:ascii="Times New Roman" w:eastAsia="Times New Roman" w:hAnsi="Times New Roman" w:cs="Times New Roman"/>
                <w:sz w:val="20"/>
                <w:szCs w:val="20"/>
                <w:lang w:eastAsia="en-GB"/>
              </w:rPr>
              <w:t xml:space="preserve"> within a country. </w:t>
            </w:r>
          </w:p>
        </w:tc>
        <w:tc>
          <w:tcPr>
            <w:tcW w:w="1999" w:type="dxa"/>
            <w:shd w:val="clear" w:color="auto" w:fill="auto"/>
          </w:tcPr>
          <w:p w14:paraId="1C401BC3" w14:textId="501BFD14" w:rsidR="004A6BEA" w:rsidRPr="00F82B8F" w:rsidRDefault="004A6BEA" w:rsidP="004A6BEA">
            <w:pPr>
              <w:spacing w:after="200" w:line="360" w:lineRule="auto"/>
              <w:contextualSpacing/>
              <w:jc w:val="center"/>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lastRenderedPageBreak/>
              <w:t>World Economic Forum</w:t>
            </w:r>
            <w:r w:rsidR="00BC11E8" w:rsidRPr="00F82B8F">
              <w:rPr>
                <w:rFonts w:ascii="Times New Roman" w:eastAsia="Times New Roman" w:hAnsi="Times New Roman" w:cs="Times New Roman"/>
                <w:sz w:val="20"/>
                <w:szCs w:val="20"/>
                <w:lang w:eastAsia="en-GB"/>
              </w:rPr>
              <w:t xml:space="preserve"> and </w:t>
            </w:r>
            <w:r w:rsidR="007D55DC" w:rsidRPr="00F82B8F">
              <w:rPr>
                <w:rFonts w:ascii="Times New Roman" w:eastAsia="Times New Roman" w:hAnsi="Times New Roman" w:cs="Times New Roman"/>
                <w:sz w:val="20"/>
                <w:szCs w:val="20"/>
                <w:lang w:eastAsia="en-GB"/>
              </w:rPr>
              <w:t xml:space="preserve">the </w:t>
            </w:r>
            <w:r w:rsidR="00BC11E8" w:rsidRPr="00F82B8F">
              <w:rPr>
                <w:rFonts w:ascii="Times New Roman" w:eastAsia="Times New Roman" w:hAnsi="Times New Roman" w:cs="Times New Roman"/>
                <w:sz w:val="20"/>
                <w:szCs w:val="20"/>
                <w:lang w:eastAsia="en-GB"/>
              </w:rPr>
              <w:t>FM Global</w:t>
            </w:r>
          </w:p>
        </w:tc>
      </w:tr>
      <w:tr w:rsidR="004A6BEA" w:rsidRPr="00F82B8F" w14:paraId="1630B240" w14:textId="77777777" w:rsidTr="004A6BEA">
        <w:trPr>
          <w:trHeight w:val="300"/>
        </w:trPr>
        <w:tc>
          <w:tcPr>
            <w:tcW w:w="1201" w:type="dxa"/>
            <w:shd w:val="clear" w:color="auto" w:fill="auto"/>
            <w:noWrap/>
          </w:tcPr>
          <w:p w14:paraId="593588E2" w14:textId="77777777" w:rsidR="004A6BEA" w:rsidRPr="00F82B8F" w:rsidRDefault="004A6BEA" w:rsidP="004A6BEA">
            <w:pPr>
              <w:spacing w:after="200" w:line="360" w:lineRule="auto"/>
              <w:contextualSpacing/>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CPS</w:t>
            </w:r>
          </w:p>
        </w:tc>
        <w:tc>
          <w:tcPr>
            <w:tcW w:w="7016" w:type="dxa"/>
            <w:shd w:val="clear" w:color="auto" w:fill="auto"/>
            <w:noWrap/>
          </w:tcPr>
          <w:p w14:paraId="75D11E84" w14:textId="521ACB62" w:rsidR="004A6BEA" w:rsidRPr="00F82B8F" w:rsidRDefault="004A6BEA" w:rsidP="00412C46">
            <w:pPr>
              <w:spacing w:after="200" w:line="360" w:lineRule="auto"/>
              <w:contextualSpacing/>
              <w:jc w:val="both"/>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 xml:space="preserve">Capitalism score. Capitalism is an ideology where the means of production is controlled by private business. This means that individual citizens run the economy without the government interfering in production and pricing. Instead, pricing is set by the free market. The score is based on aggregate Economic Freedom Scores from </w:t>
            </w:r>
            <w:r w:rsidR="00BC11E8" w:rsidRPr="00F82B8F">
              <w:rPr>
                <w:rFonts w:ascii="Times New Roman" w:eastAsia="Times New Roman" w:hAnsi="Times New Roman" w:cs="Times New Roman"/>
                <w:sz w:val="20"/>
                <w:szCs w:val="20"/>
                <w:lang w:eastAsia="en-GB"/>
              </w:rPr>
              <w:t xml:space="preserve">twelve </w:t>
            </w:r>
            <w:r w:rsidRPr="00F82B8F">
              <w:rPr>
                <w:rFonts w:ascii="Times New Roman" w:eastAsia="Times New Roman" w:hAnsi="Times New Roman" w:cs="Times New Roman"/>
                <w:sz w:val="20"/>
                <w:szCs w:val="20"/>
                <w:lang w:eastAsia="en-GB"/>
              </w:rPr>
              <w:t>quantitative and qualitative factors, grouped into four broad pillars (Rule of Law, Government Size, Regulatory Efficiency and Open Markets).</w:t>
            </w:r>
          </w:p>
        </w:tc>
        <w:tc>
          <w:tcPr>
            <w:tcW w:w="1999" w:type="dxa"/>
            <w:shd w:val="clear" w:color="auto" w:fill="auto"/>
          </w:tcPr>
          <w:p w14:paraId="728C94AD" w14:textId="65F1C14A" w:rsidR="004A6BEA" w:rsidRPr="00F82B8F" w:rsidRDefault="004A6BEA" w:rsidP="00412C46">
            <w:pPr>
              <w:spacing w:after="200" w:line="360" w:lineRule="auto"/>
              <w:contextualSpacing/>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 xml:space="preserve">The Heritage Foundation and the </w:t>
            </w:r>
            <w:r w:rsidR="00412C46" w:rsidRPr="00F82B8F">
              <w:rPr>
                <w:rFonts w:ascii="Times New Roman" w:hAnsi="Times New Roman" w:cs="Times New Roman"/>
                <w:sz w:val="20"/>
                <w:szCs w:val="20"/>
              </w:rPr>
              <w:t>W</w:t>
            </w:r>
            <w:r w:rsidRPr="00F82B8F">
              <w:rPr>
                <w:rFonts w:ascii="Times New Roman" w:hAnsi="Times New Roman" w:cs="Times New Roman"/>
                <w:sz w:val="20"/>
                <w:szCs w:val="20"/>
              </w:rPr>
              <w:t xml:space="preserve">orld </w:t>
            </w:r>
            <w:r w:rsidR="00412C46" w:rsidRPr="00F82B8F">
              <w:rPr>
                <w:rFonts w:ascii="Times New Roman" w:hAnsi="Times New Roman" w:cs="Times New Roman"/>
                <w:sz w:val="20"/>
                <w:szCs w:val="20"/>
              </w:rPr>
              <w:t>P</w:t>
            </w:r>
            <w:r w:rsidRPr="00F82B8F">
              <w:rPr>
                <w:rFonts w:ascii="Times New Roman" w:hAnsi="Times New Roman" w:cs="Times New Roman"/>
                <w:sz w:val="20"/>
                <w:szCs w:val="20"/>
              </w:rPr>
              <w:t xml:space="preserve">opulation </w:t>
            </w:r>
            <w:r w:rsidR="00412C46" w:rsidRPr="00F82B8F">
              <w:rPr>
                <w:rFonts w:ascii="Times New Roman" w:hAnsi="Times New Roman" w:cs="Times New Roman"/>
                <w:sz w:val="20"/>
                <w:szCs w:val="20"/>
              </w:rPr>
              <w:t>R</w:t>
            </w:r>
            <w:r w:rsidRPr="00F82B8F">
              <w:rPr>
                <w:rFonts w:ascii="Times New Roman" w:hAnsi="Times New Roman" w:cs="Times New Roman"/>
                <w:sz w:val="20"/>
                <w:szCs w:val="20"/>
              </w:rPr>
              <w:t>eview</w:t>
            </w:r>
          </w:p>
        </w:tc>
      </w:tr>
      <w:tr w:rsidR="004A6BEA" w:rsidRPr="00F82B8F" w14:paraId="22CADB7F" w14:textId="77777777" w:rsidTr="004A6BEA">
        <w:trPr>
          <w:trHeight w:val="300"/>
        </w:trPr>
        <w:tc>
          <w:tcPr>
            <w:tcW w:w="1201" w:type="dxa"/>
            <w:shd w:val="clear" w:color="auto" w:fill="auto"/>
            <w:noWrap/>
          </w:tcPr>
          <w:p w14:paraId="65330F66" w14:textId="77777777" w:rsidR="004A6BEA" w:rsidRPr="00F82B8F" w:rsidRDefault="004A6BEA" w:rsidP="004A6BEA">
            <w:pPr>
              <w:spacing w:after="200" w:line="360" w:lineRule="auto"/>
              <w:contextualSpacing/>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INQ</w:t>
            </w:r>
          </w:p>
        </w:tc>
        <w:tc>
          <w:tcPr>
            <w:tcW w:w="7016" w:type="dxa"/>
            <w:shd w:val="clear" w:color="auto" w:fill="auto"/>
            <w:noWrap/>
          </w:tcPr>
          <w:p w14:paraId="72E2A733" w14:textId="3731B034" w:rsidR="004A6BEA" w:rsidRPr="00F82B8F" w:rsidRDefault="004A6BEA" w:rsidP="00412C46">
            <w:pPr>
              <w:spacing w:after="200" w:line="360" w:lineRule="auto"/>
              <w:contextualSpacing/>
              <w:jc w:val="both"/>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Quality of infrastructure score. The quality and exten</w:t>
            </w:r>
            <w:r w:rsidR="00412C46" w:rsidRPr="00F82B8F">
              <w:rPr>
                <w:rFonts w:ascii="Times New Roman" w:eastAsia="Times New Roman" w:hAnsi="Times New Roman" w:cs="Times New Roman"/>
                <w:sz w:val="20"/>
                <w:szCs w:val="20"/>
                <w:lang w:eastAsia="en-GB"/>
              </w:rPr>
              <w:t>t</w:t>
            </w:r>
            <w:r w:rsidRPr="00F82B8F">
              <w:rPr>
                <w:rFonts w:ascii="Times New Roman" w:eastAsia="Times New Roman" w:hAnsi="Times New Roman" w:cs="Times New Roman"/>
                <w:sz w:val="20"/>
                <w:szCs w:val="20"/>
                <w:lang w:eastAsia="en-GB"/>
              </w:rPr>
              <w:t xml:space="preserve"> of transport infrastructure (road, rail, water and air) and utility infrastructure. </w:t>
            </w:r>
            <w:r w:rsidR="00243A8B" w:rsidRPr="00F82B8F">
              <w:rPr>
                <w:rFonts w:ascii="Times New Roman" w:eastAsia="Times New Roman" w:hAnsi="Times New Roman" w:cs="Times New Roman"/>
                <w:sz w:val="20"/>
                <w:szCs w:val="20"/>
                <w:lang w:eastAsia="en-GB"/>
              </w:rPr>
              <w:t>Extensive and efficient infrastructure is critical for ensuring the effective functioning of the economy. Effective modes of transport enable entrepreneurs to get their goods and services to market in a secure and timely man</w:t>
            </w:r>
            <w:r w:rsidR="004B2D3C" w:rsidRPr="00F82B8F">
              <w:rPr>
                <w:rFonts w:ascii="Times New Roman" w:eastAsia="Times New Roman" w:hAnsi="Times New Roman" w:cs="Times New Roman"/>
                <w:sz w:val="20"/>
                <w:szCs w:val="20"/>
                <w:lang w:eastAsia="en-GB"/>
              </w:rPr>
              <w:t>n</w:t>
            </w:r>
            <w:r w:rsidR="00243A8B" w:rsidRPr="00F82B8F">
              <w:rPr>
                <w:rFonts w:ascii="Times New Roman" w:eastAsia="Times New Roman" w:hAnsi="Times New Roman" w:cs="Times New Roman"/>
                <w:sz w:val="20"/>
                <w:szCs w:val="20"/>
                <w:lang w:eastAsia="en-GB"/>
              </w:rPr>
              <w:t xml:space="preserve">er and facilitate the movement of workers to the most suitable jobs. Similarly, economic efficiency also depends on uninterrupted electricity supplies and </w:t>
            </w:r>
            <w:r w:rsidR="00412C46" w:rsidRPr="00F82B8F">
              <w:rPr>
                <w:rFonts w:ascii="Times New Roman" w:eastAsia="Times New Roman" w:hAnsi="Times New Roman" w:cs="Times New Roman"/>
                <w:sz w:val="20"/>
                <w:szCs w:val="20"/>
                <w:lang w:eastAsia="en-GB"/>
              </w:rPr>
              <w:t xml:space="preserve">an </w:t>
            </w:r>
            <w:r w:rsidR="00243A8B" w:rsidRPr="00F82B8F">
              <w:rPr>
                <w:rFonts w:ascii="Times New Roman" w:eastAsia="Times New Roman" w:hAnsi="Times New Roman" w:cs="Times New Roman"/>
                <w:sz w:val="20"/>
                <w:szCs w:val="20"/>
                <w:lang w:eastAsia="en-GB"/>
              </w:rPr>
              <w:t>extensive telecommunications network.</w:t>
            </w:r>
          </w:p>
        </w:tc>
        <w:tc>
          <w:tcPr>
            <w:tcW w:w="1999" w:type="dxa"/>
            <w:shd w:val="clear" w:color="auto" w:fill="auto"/>
          </w:tcPr>
          <w:p w14:paraId="7C3545FC" w14:textId="4619863E" w:rsidR="004A6BEA" w:rsidRPr="00F82B8F" w:rsidRDefault="00412C46" w:rsidP="004A6BEA">
            <w:pPr>
              <w:spacing w:after="200" w:line="360" w:lineRule="auto"/>
              <w:contextualSpacing/>
              <w:jc w:val="center"/>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 xml:space="preserve">The </w:t>
            </w:r>
            <w:r w:rsidR="004A6BEA" w:rsidRPr="00F82B8F">
              <w:rPr>
                <w:rFonts w:ascii="Times New Roman" w:eastAsia="Times New Roman" w:hAnsi="Times New Roman" w:cs="Times New Roman"/>
                <w:sz w:val="20"/>
                <w:szCs w:val="20"/>
                <w:lang w:eastAsia="en-GB"/>
              </w:rPr>
              <w:t>World Economic Forum</w:t>
            </w:r>
            <w:r w:rsidR="00243A8B" w:rsidRPr="00F82B8F">
              <w:rPr>
                <w:rFonts w:ascii="Times New Roman" w:eastAsia="Times New Roman" w:hAnsi="Times New Roman" w:cs="Times New Roman"/>
                <w:sz w:val="20"/>
                <w:szCs w:val="20"/>
                <w:lang w:eastAsia="en-GB"/>
              </w:rPr>
              <w:t xml:space="preserve"> and </w:t>
            </w:r>
            <w:r w:rsidR="007D55DC" w:rsidRPr="00F82B8F">
              <w:rPr>
                <w:rFonts w:ascii="Times New Roman" w:eastAsia="Times New Roman" w:hAnsi="Times New Roman" w:cs="Times New Roman"/>
                <w:sz w:val="20"/>
                <w:szCs w:val="20"/>
                <w:lang w:eastAsia="en-GB"/>
              </w:rPr>
              <w:t xml:space="preserve">the </w:t>
            </w:r>
            <w:r w:rsidR="00243A8B" w:rsidRPr="00F82B8F">
              <w:rPr>
                <w:rFonts w:ascii="Times New Roman" w:eastAsia="Times New Roman" w:hAnsi="Times New Roman" w:cs="Times New Roman"/>
                <w:sz w:val="20"/>
                <w:szCs w:val="20"/>
                <w:lang w:eastAsia="en-GB"/>
              </w:rPr>
              <w:t>FM Global</w:t>
            </w:r>
          </w:p>
        </w:tc>
      </w:tr>
      <w:tr w:rsidR="004A6BEA" w:rsidRPr="00F82B8F" w14:paraId="735D46DB" w14:textId="77777777" w:rsidTr="004A6BEA">
        <w:trPr>
          <w:trHeight w:val="300"/>
        </w:trPr>
        <w:tc>
          <w:tcPr>
            <w:tcW w:w="1201" w:type="dxa"/>
            <w:shd w:val="clear" w:color="auto" w:fill="auto"/>
            <w:noWrap/>
          </w:tcPr>
          <w:p w14:paraId="5B534FDB" w14:textId="77777777" w:rsidR="004A6BEA" w:rsidRPr="00F82B8F" w:rsidRDefault="004A6BEA" w:rsidP="004A6BEA">
            <w:pPr>
              <w:spacing w:after="200" w:line="360" w:lineRule="auto"/>
              <w:contextualSpacing/>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OIN</w:t>
            </w:r>
          </w:p>
        </w:tc>
        <w:tc>
          <w:tcPr>
            <w:tcW w:w="7016" w:type="dxa"/>
            <w:shd w:val="clear" w:color="auto" w:fill="auto"/>
            <w:noWrap/>
          </w:tcPr>
          <w:p w14:paraId="262B71A8" w14:textId="2521CF63" w:rsidR="004A6BEA" w:rsidRPr="00F82B8F" w:rsidRDefault="004A6BEA" w:rsidP="00412C46">
            <w:pPr>
              <w:spacing w:after="200" w:line="360" w:lineRule="auto"/>
              <w:contextualSpacing/>
              <w:jc w:val="both"/>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Oil intensity score. The score represents the vulnerability to an oil shock (short</w:t>
            </w:r>
            <w:r w:rsidR="002C6557" w:rsidRPr="00F82B8F">
              <w:rPr>
                <w:rFonts w:ascii="Times New Roman" w:eastAsia="Times New Roman" w:hAnsi="Times New Roman" w:cs="Times New Roman"/>
                <w:sz w:val="20"/>
                <w:szCs w:val="20"/>
                <w:lang w:eastAsia="en-GB"/>
              </w:rPr>
              <w:t>a</w:t>
            </w:r>
            <w:r w:rsidRPr="00F82B8F">
              <w:rPr>
                <w:rFonts w:ascii="Times New Roman" w:eastAsia="Times New Roman" w:hAnsi="Times New Roman" w:cs="Times New Roman"/>
                <w:sz w:val="20"/>
                <w:szCs w:val="20"/>
                <w:lang w:eastAsia="en-GB"/>
              </w:rPr>
              <w:t xml:space="preserve">ge, disruption, price hike). The score is estimated by dividing oil consumption by GDP. </w:t>
            </w:r>
            <w:proofErr w:type="gramStart"/>
            <w:r w:rsidRPr="00F82B8F">
              <w:rPr>
                <w:rFonts w:ascii="Times New Roman" w:eastAsia="Times New Roman" w:hAnsi="Times New Roman" w:cs="Times New Roman"/>
                <w:sz w:val="20"/>
                <w:szCs w:val="20"/>
                <w:lang w:eastAsia="en-GB"/>
              </w:rPr>
              <w:t>Thus</w:t>
            </w:r>
            <w:proofErr w:type="gramEnd"/>
            <w:r w:rsidRPr="00F82B8F">
              <w:rPr>
                <w:rFonts w:ascii="Times New Roman" w:eastAsia="Times New Roman" w:hAnsi="Times New Roman" w:cs="Times New Roman"/>
                <w:sz w:val="20"/>
                <w:szCs w:val="20"/>
                <w:lang w:eastAsia="en-GB"/>
              </w:rPr>
              <w:t xml:space="preserve"> it measures dependency on oil for producti</w:t>
            </w:r>
            <w:r w:rsidR="00412C46" w:rsidRPr="00F82B8F">
              <w:rPr>
                <w:rFonts w:ascii="Times New Roman" w:eastAsia="Times New Roman" w:hAnsi="Times New Roman" w:cs="Times New Roman"/>
                <w:sz w:val="20"/>
                <w:szCs w:val="20"/>
                <w:lang w:eastAsia="en-GB"/>
              </w:rPr>
              <w:t>on</w:t>
            </w:r>
            <w:r w:rsidRPr="00F82B8F">
              <w:rPr>
                <w:rFonts w:ascii="Times New Roman" w:eastAsia="Times New Roman" w:hAnsi="Times New Roman" w:cs="Times New Roman"/>
                <w:sz w:val="20"/>
                <w:szCs w:val="20"/>
                <w:lang w:eastAsia="en-GB"/>
              </w:rPr>
              <w:t>.</w:t>
            </w:r>
          </w:p>
        </w:tc>
        <w:tc>
          <w:tcPr>
            <w:tcW w:w="1999" w:type="dxa"/>
            <w:shd w:val="clear" w:color="auto" w:fill="auto"/>
          </w:tcPr>
          <w:p w14:paraId="6BB3FF7D" w14:textId="55D3D250" w:rsidR="004A6BEA" w:rsidRPr="00F82B8F" w:rsidRDefault="007D55DC" w:rsidP="004A6BEA">
            <w:pPr>
              <w:spacing w:after="200" w:line="360" w:lineRule="auto"/>
              <w:contextualSpacing/>
              <w:jc w:val="center"/>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 xml:space="preserve">The </w:t>
            </w:r>
            <w:r w:rsidR="004A6BEA" w:rsidRPr="00F82B8F">
              <w:rPr>
                <w:rFonts w:ascii="Times New Roman" w:eastAsia="Times New Roman" w:hAnsi="Times New Roman" w:cs="Times New Roman"/>
                <w:sz w:val="20"/>
                <w:szCs w:val="20"/>
                <w:lang w:eastAsia="en-GB"/>
              </w:rPr>
              <w:t xml:space="preserve">FM Global </w:t>
            </w:r>
            <w:r w:rsidR="00C30C8A" w:rsidRPr="00F82B8F">
              <w:rPr>
                <w:rFonts w:ascii="Times New Roman" w:eastAsia="Times New Roman" w:hAnsi="Times New Roman" w:cs="Times New Roman"/>
                <w:sz w:val="20"/>
                <w:szCs w:val="20"/>
                <w:lang w:eastAsia="en-GB"/>
              </w:rPr>
              <w:t>(</w:t>
            </w:r>
            <w:r w:rsidR="004A6BEA" w:rsidRPr="00F82B8F">
              <w:rPr>
                <w:rFonts w:ascii="Times New Roman" w:eastAsia="Times New Roman" w:hAnsi="Times New Roman" w:cs="Times New Roman"/>
                <w:sz w:val="20"/>
                <w:szCs w:val="20"/>
                <w:lang w:eastAsia="en-GB"/>
              </w:rPr>
              <w:t xml:space="preserve">US Energy </w:t>
            </w:r>
            <w:r w:rsidR="00C30C8A" w:rsidRPr="00F82B8F">
              <w:rPr>
                <w:rFonts w:ascii="Times New Roman" w:eastAsia="Times New Roman" w:hAnsi="Times New Roman" w:cs="Times New Roman"/>
                <w:sz w:val="20"/>
                <w:szCs w:val="20"/>
                <w:lang w:eastAsia="en-GB"/>
              </w:rPr>
              <w:t>I</w:t>
            </w:r>
            <w:r w:rsidR="004A6BEA" w:rsidRPr="00F82B8F">
              <w:rPr>
                <w:rFonts w:ascii="Times New Roman" w:eastAsia="Times New Roman" w:hAnsi="Times New Roman" w:cs="Times New Roman"/>
                <w:sz w:val="20"/>
                <w:szCs w:val="20"/>
                <w:lang w:eastAsia="en-GB"/>
              </w:rPr>
              <w:t>nformation Administration)</w:t>
            </w:r>
          </w:p>
        </w:tc>
      </w:tr>
      <w:tr w:rsidR="004A6BEA" w:rsidRPr="00F82B8F" w14:paraId="7A741258" w14:textId="77777777" w:rsidTr="004A6BEA">
        <w:trPr>
          <w:trHeight w:val="300"/>
        </w:trPr>
        <w:tc>
          <w:tcPr>
            <w:tcW w:w="1201" w:type="dxa"/>
            <w:shd w:val="clear" w:color="auto" w:fill="auto"/>
            <w:noWrap/>
          </w:tcPr>
          <w:p w14:paraId="559A20B5" w14:textId="77777777" w:rsidR="000D0F4C" w:rsidRPr="00F82B8F" w:rsidRDefault="000D0F4C" w:rsidP="004A6BEA">
            <w:pPr>
              <w:spacing w:after="200" w:line="360" w:lineRule="auto"/>
              <w:contextualSpacing/>
              <w:rPr>
                <w:rFonts w:ascii="Times New Roman" w:eastAsia="Times New Roman" w:hAnsi="Times New Roman" w:cs="Times New Roman"/>
                <w:sz w:val="20"/>
                <w:szCs w:val="20"/>
                <w:lang w:eastAsia="en-GB"/>
              </w:rPr>
            </w:pPr>
          </w:p>
          <w:p w14:paraId="48C08B14" w14:textId="77777777" w:rsidR="000D0F4C" w:rsidRPr="00F82B8F" w:rsidRDefault="000D0F4C" w:rsidP="004A6BEA">
            <w:pPr>
              <w:spacing w:after="200" w:line="360" w:lineRule="auto"/>
              <w:contextualSpacing/>
              <w:rPr>
                <w:rFonts w:ascii="Times New Roman" w:eastAsia="Times New Roman" w:hAnsi="Times New Roman" w:cs="Times New Roman"/>
                <w:sz w:val="20"/>
                <w:szCs w:val="20"/>
                <w:lang w:eastAsia="en-GB"/>
              </w:rPr>
            </w:pPr>
          </w:p>
          <w:p w14:paraId="4265118B" w14:textId="77777777" w:rsidR="000D0F4C" w:rsidRPr="00F82B8F" w:rsidRDefault="000D0F4C" w:rsidP="004A6BEA">
            <w:pPr>
              <w:spacing w:after="200" w:line="360" w:lineRule="auto"/>
              <w:contextualSpacing/>
              <w:rPr>
                <w:rFonts w:ascii="Times New Roman" w:eastAsia="Times New Roman" w:hAnsi="Times New Roman" w:cs="Times New Roman"/>
                <w:sz w:val="20"/>
                <w:szCs w:val="20"/>
                <w:lang w:eastAsia="en-GB"/>
              </w:rPr>
            </w:pPr>
          </w:p>
          <w:p w14:paraId="5C7447DA" w14:textId="1DA447D9" w:rsidR="004A6BEA" w:rsidRPr="00F82B8F" w:rsidRDefault="004A6BEA" w:rsidP="004A6BEA">
            <w:pPr>
              <w:spacing w:after="200" w:line="360" w:lineRule="auto"/>
              <w:contextualSpacing/>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PRO</w:t>
            </w:r>
          </w:p>
        </w:tc>
        <w:tc>
          <w:tcPr>
            <w:tcW w:w="7016" w:type="dxa"/>
            <w:shd w:val="clear" w:color="auto" w:fill="auto"/>
            <w:noWrap/>
          </w:tcPr>
          <w:p w14:paraId="65C91020" w14:textId="77777777" w:rsidR="000D0F4C" w:rsidRPr="00F82B8F" w:rsidRDefault="000D0F4C" w:rsidP="004A6BEA">
            <w:pPr>
              <w:spacing w:after="200" w:line="360" w:lineRule="auto"/>
              <w:contextualSpacing/>
              <w:jc w:val="both"/>
              <w:rPr>
                <w:rFonts w:ascii="Times New Roman" w:eastAsia="Times New Roman" w:hAnsi="Times New Roman" w:cs="Times New Roman"/>
                <w:sz w:val="20"/>
                <w:szCs w:val="20"/>
                <w:lang w:eastAsia="en-GB"/>
              </w:rPr>
            </w:pPr>
          </w:p>
          <w:p w14:paraId="5DE0A34D" w14:textId="77777777" w:rsidR="000D0F4C" w:rsidRPr="00F82B8F" w:rsidRDefault="000D0F4C" w:rsidP="004A6BEA">
            <w:pPr>
              <w:spacing w:after="200" w:line="360" w:lineRule="auto"/>
              <w:contextualSpacing/>
              <w:jc w:val="both"/>
              <w:rPr>
                <w:rFonts w:ascii="Times New Roman" w:eastAsia="Times New Roman" w:hAnsi="Times New Roman" w:cs="Times New Roman"/>
                <w:sz w:val="20"/>
                <w:szCs w:val="20"/>
                <w:lang w:eastAsia="en-GB"/>
              </w:rPr>
            </w:pPr>
          </w:p>
          <w:p w14:paraId="73F55F9E" w14:textId="6D7C8AAB" w:rsidR="004A6BEA" w:rsidRPr="00F82B8F" w:rsidRDefault="004A6BEA" w:rsidP="004A6BEA">
            <w:pPr>
              <w:spacing w:after="200" w:line="360" w:lineRule="auto"/>
              <w:contextualSpacing/>
              <w:jc w:val="both"/>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Productivity score. The score represents gross domestic product based on purchasing power parity, divided by the total population.</w:t>
            </w:r>
          </w:p>
        </w:tc>
        <w:tc>
          <w:tcPr>
            <w:tcW w:w="1999" w:type="dxa"/>
            <w:shd w:val="clear" w:color="auto" w:fill="auto"/>
          </w:tcPr>
          <w:p w14:paraId="3FD5082E" w14:textId="77777777" w:rsidR="000D0F4C" w:rsidRPr="00F82B8F" w:rsidRDefault="000D0F4C" w:rsidP="004A6BEA">
            <w:pPr>
              <w:spacing w:after="200" w:line="360" w:lineRule="auto"/>
              <w:contextualSpacing/>
              <w:jc w:val="center"/>
              <w:rPr>
                <w:rFonts w:ascii="Times New Roman" w:eastAsia="Times New Roman" w:hAnsi="Times New Roman" w:cs="Times New Roman"/>
                <w:sz w:val="20"/>
                <w:szCs w:val="20"/>
                <w:lang w:eastAsia="en-GB"/>
              </w:rPr>
            </w:pPr>
          </w:p>
          <w:p w14:paraId="3A125EE6" w14:textId="77777777" w:rsidR="000D0F4C" w:rsidRPr="00F82B8F" w:rsidRDefault="000D0F4C" w:rsidP="004A6BEA">
            <w:pPr>
              <w:spacing w:after="200" w:line="360" w:lineRule="auto"/>
              <w:contextualSpacing/>
              <w:jc w:val="center"/>
              <w:rPr>
                <w:rFonts w:ascii="Times New Roman" w:eastAsia="Times New Roman" w:hAnsi="Times New Roman" w:cs="Times New Roman"/>
                <w:sz w:val="20"/>
                <w:szCs w:val="20"/>
                <w:lang w:eastAsia="en-GB"/>
              </w:rPr>
            </w:pPr>
          </w:p>
          <w:p w14:paraId="2762200B" w14:textId="6AA7952A" w:rsidR="004A6BEA" w:rsidRPr="00F82B8F" w:rsidRDefault="004A6BEA" w:rsidP="004A6BEA">
            <w:pPr>
              <w:spacing w:after="200" w:line="360" w:lineRule="auto"/>
              <w:contextualSpacing/>
              <w:jc w:val="center"/>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International Monetary Fund</w:t>
            </w:r>
            <w:r w:rsidR="00C30C8A" w:rsidRPr="00F82B8F">
              <w:rPr>
                <w:rFonts w:ascii="Times New Roman" w:eastAsia="Times New Roman" w:hAnsi="Times New Roman" w:cs="Times New Roman"/>
                <w:sz w:val="20"/>
                <w:szCs w:val="20"/>
                <w:lang w:eastAsia="en-GB"/>
              </w:rPr>
              <w:t xml:space="preserve"> and </w:t>
            </w:r>
            <w:r w:rsidR="007D55DC" w:rsidRPr="00F82B8F">
              <w:rPr>
                <w:rFonts w:ascii="Times New Roman" w:eastAsia="Times New Roman" w:hAnsi="Times New Roman" w:cs="Times New Roman"/>
                <w:sz w:val="20"/>
                <w:szCs w:val="20"/>
                <w:lang w:eastAsia="en-GB"/>
              </w:rPr>
              <w:t xml:space="preserve">the </w:t>
            </w:r>
            <w:r w:rsidR="00C30C8A" w:rsidRPr="00F82B8F">
              <w:rPr>
                <w:rFonts w:ascii="Times New Roman" w:eastAsia="Times New Roman" w:hAnsi="Times New Roman" w:cs="Times New Roman"/>
                <w:sz w:val="20"/>
                <w:szCs w:val="20"/>
                <w:lang w:eastAsia="en-GB"/>
              </w:rPr>
              <w:t>FM Global</w:t>
            </w:r>
          </w:p>
        </w:tc>
      </w:tr>
      <w:tr w:rsidR="004A6BEA" w:rsidRPr="00F82B8F" w14:paraId="7B26CBC4" w14:textId="77777777" w:rsidTr="004A6BEA">
        <w:trPr>
          <w:trHeight w:val="300"/>
        </w:trPr>
        <w:tc>
          <w:tcPr>
            <w:tcW w:w="1201" w:type="dxa"/>
            <w:shd w:val="clear" w:color="auto" w:fill="auto"/>
            <w:noWrap/>
          </w:tcPr>
          <w:p w14:paraId="51F0BDB1" w14:textId="77777777" w:rsidR="004A6BEA" w:rsidRPr="00F82B8F" w:rsidRDefault="004A6BEA" w:rsidP="004A6BEA">
            <w:pPr>
              <w:spacing w:after="200" w:line="360" w:lineRule="auto"/>
              <w:contextualSpacing/>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HEL</w:t>
            </w:r>
          </w:p>
        </w:tc>
        <w:tc>
          <w:tcPr>
            <w:tcW w:w="7016" w:type="dxa"/>
            <w:shd w:val="clear" w:color="auto" w:fill="auto"/>
            <w:noWrap/>
          </w:tcPr>
          <w:p w14:paraId="1BAA15BB" w14:textId="77777777" w:rsidR="004A6BEA" w:rsidRPr="00F82B8F" w:rsidRDefault="004A6BEA" w:rsidP="004A6BEA">
            <w:pPr>
              <w:spacing w:after="200" w:line="360" w:lineRule="auto"/>
              <w:contextualSpacing/>
              <w:jc w:val="both"/>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 xml:space="preserve">Health pillar. </w:t>
            </w:r>
            <w:r w:rsidRPr="00F82B8F">
              <w:rPr>
                <w:rFonts w:ascii="Times New Roman" w:hAnsi="Times New Roman" w:cs="Times New Roman"/>
                <w:sz w:val="20"/>
                <w:szCs w:val="20"/>
              </w:rPr>
              <w:t>The pillar measures the extent to which people are healthy and have access to the necessary services to maintain good health, including health outcomes, healthy systems, illness and risk factors, and mortality rates.</w:t>
            </w:r>
          </w:p>
        </w:tc>
        <w:tc>
          <w:tcPr>
            <w:tcW w:w="1999" w:type="dxa"/>
            <w:shd w:val="clear" w:color="auto" w:fill="auto"/>
          </w:tcPr>
          <w:p w14:paraId="67106605" w14:textId="77777777" w:rsidR="004A6BEA" w:rsidRPr="00F82B8F" w:rsidRDefault="004A6BEA" w:rsidP="004A6BEA">
            <w:pPr>
              <w:spacing w:after="200" w:line="360" w:lineRule="auto"/>
              <w:contextualSpacing/>
              <w:jc w:val="center"/>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The Legatum Institute</w:t>
            </w:r>
          </w:p>
        </w:tc>
      </w:tr>
      <w:tr w:rsidR="004A6BEA" w:rsidRPr="00F82B8F" w14:paraId="3C2D46B6" w14:textId="77777777" w:rsidTr="004A6BEA">
        <w:trPr>
          <w:trHeight w:val="300"/>
        </w:trPr>
        <w:tc>
          <w:tcPr>
            <w:tcW w:w="1201" w:type="dxa"/>
            <w:shd w:val="clear" w:color="auto" w:fill="auto"/>
            <w:noWrap/>
          </w:tcPr>
          <w:p w14:paraId="1A642B5F" w14:textId="77777777" w:rsidR="004A6BEA" w:rsidRPr="00F82B8F" w:rsidRDefault="004A6BEA" w:rsidP="004A6BEA">
            <w:pPr>
              <w:spacing w:after="200" w:line="360" w:lineRule="auto"/>
              <w:contextualSpacing/>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FID</w:t>
            </w:r>
          </w:p>
        </w:tc>
        <w:tc>
          <w:tcPr>
            <w:tcW w:w="7016" w:type="dxa"/>
            <w:shd w:val="clear" w:color="auto" w:fill="auto"/>
            <w:noWrap/>
          </w:tcPr>
          <w:p w14:paraId="0FE09715" w14:textId="6AC58BE6" w:rsidR="004A6BEA" w:rsidRPr="00F82B8F" w:rsidRDefault="004A6BEA" w:rsidP="004A6BEA">
            <w:pPr>
              <w:spacing w:after="200" w:line="360" w:lineRule="auto"/>
              <w:contextualSpacing/>
              <w:jc w:val="both"/>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 xml:space="preserve">Financial development index. </w:t>
            </w:r>
            <w:r w:rsidR="00917506" w:rsidRPr="00F82B8F">
              <w:rPr>
                <w:rFonts w:ascii="Times New Roman" w:eastAsia="Times New Roman" w:hAnsi="Times New Roman" w:cs="Times New Roman"/>
                <w:sz w:val="20"/>
                <w:szCs w:val="20"/>
                <w:lang w:eastAsia="en-GB"/>
              </w:rPr>
              <w:t>This is an aggregate measure of the development</w:t>
            </w:r>
            <w:r w:rsidRPr="00F82B8F">
              <w:rPr>
                <w:rFonts w:ascii="Times New Roman" w:eastAsia="Times New Roman" w:hAnsi="Times New Roman" w:cs="Times New Roman"/>
                <w:sz w:val="20"/>
                <w:szCs w:val="20"/>
                <w:lang w:eastAsia="en-GB"/>
              </w:rPr>
              <w:t xml:space="preserve"> of financial </w:t>
            </w:r>
            <w:r w:rsidR="00917506" w:rsidRPr="00F82B8F">
              <w:rPr>
                <w:rFonts w:ascii="Times New Roman" w:eastAsia="Times New Roman" w:hAnsi="Times New Roman" w:cs="Times New Roman"/>
                <w:sz w:val="20"/>
                <w:szCs w:val="20"/>
                <w:lang w:eastAsia="en-GB"/>
              </w:rPr>
              <w:t>markets</w:t>
            </w:r>
            <w:r w:rsidRPr="00F82B8F">
              <w:rPr>
                <w:rFonts w:ascii="Times New Roman" w:eastAsia="Times New Roman" w:hAnsi="Times New Roman" w:cs="Times New Roman"/>
                <w:sz w:val="20"/>
                <w:szCs w:val="20"/>
                <w:lang w:eastAsia="en-GB"/>
              </w:rPr>
              <w:t xml:space="preserve"> and </w:t>
            </w:r>
            <w:r w:rsidR="00917506" w:rsidRPr="00F82B8F">
              <w:rPr>
                <w:rFonts w:ascii="Times New Roman" w:eastAsia="Times New Roman" w:hAnsi="Times New Roman" w:cs="Times New Roman"/>
                <w:sz w:val="20"/>
                <w:szCs w:val="20"/>
                <w:lang w:eastAsia="en-GB"/>
              </w:rPr>
              <w:t>financial institutions of a country. It measures the relative ranking of countries</w:t>
            </w:r>
            <w:r w:rsidR="00412C46" w:rsidRPr="00F82B8F">
              <w:rPr>
                <w:rFonts w:ascii="Times New Roman" w:eastAsia="Times New Roman" w:hAnsi="Times New Roman" w:cs="Times New Roman"/>
                <w:sz w:val="20"/>
                <w:szCs w:val="20"/>
                <w:lang w:eastAsia="en-GB"/>
              </w:rPr>
              <w:t>’</w:t>
            </w:r>
            <w:r w:rsidR="00917506" w:rsidRPr="00F82B8F">
              <w:rPr>
                <w:rFonts w:ascii="Times New Roman" w:eastAsia="Times New Roman" w:hAnsi="Times New Roman" w:cs="Times New Roman"/>
                <w:sz w:val="20"/>
                <w:szCs w:val="20"/>
                <w:lang w:eastAsia="en-GB"/>
              </w:rPr>
              <w:t xml:space="preserve"> financial markets and institution</w:t>
            </w:r>
            <w:r w:rsidR="00412C46" w:rsidRPr="00F82B8F">
              <w:rPr>
                <w:rFonts w:ascii="Times New Roman" w:eastAsia="Times New Roman" w:hAnsi="Times New Roman" w:cs="Times New Roman"/>
                <w:sz w:val="20"/>
                <w:szCs w:val="20"/>
                <w:lang w:eastAsia="en-GB"/>
              </w:rPr>
              <w:t>s</w:t>
            </w:r>
            <w:r w:rsidRPr="00F82B8F">
              <w:rPr>
                <w:rFonts w:ascii="Times New Roman" w:eastAsia="Times New Roman" w:hAnsi="Times New Roman" w:cs="Times New Roman"/>
                <w:sz w:val="20"/>
                <w:szCs w:val="20"/>
                <w:lang w:eastAsia="en-GB"/>
              </w:rPr>
              <w:t xml:space="preserve"> in terms of their depth (size and liquidity), access (the ability of individuals and companies to access financial services), and efficiency (the ability of institutions to provide financial services at low cost and with sustainable revenues</w:t>
            </w:r>
            <w:r w:rsidR="00412C46" w:rsidRPr="00F82B8F">
              <w:rPr>
                <w:rFonts w:ascii="Times New Roman" w:eastAsia="Times New Roman" w:hAnsi="Times New Roman" w:cs="Times New Roman"/>
                <w:sz w:val="20"/>
                <w:szCs w:val="20"/>
                <w:lang w:eastAsia="en-GB"/>
              </w:rPr>
              <w:t>,</w:t>
            </w:r>
            <w:r w:rsidRPr="00F82B8F">
              <w:rPr>
                <w:rFonts w:ascii="Times New Roman" w:eastAsia="Times New Roman" w:hAnsi="Times New Roman" w:cs="Times New Roman"/>
                <w:sz w:val="20"/>
                <w:szCs w:val="20"/>
                <w:lang w:eastAsia="en-GB"/>
              </w:rPr>
              <w:t xml:space="preserve"> and the level of activity of the capital market</w:t>
            </w:r>
            <w:r w:rsidR="00917506" w:rsidRPr="00F82B8F">
              <w:rPr>
                <w:rFonts w:ascii="Times New Roman" w:eastAsia="Times New Roman" w:hAnsi="Times New Roman" w:cs="Times New Roman"/>
                <w:sz w:val="20"/>
                <w:szCs w:val="20"/>
                <w:lang w:eastAsia="en-GB"/>
              </w:rPr>
              <w:t>)</w:t>
            </w:r>
            <w:r w:rsidRPr="00F82B8F">
              <w:rPr>
                <w:rFonts w:ascii="Times New Roman" w:eastAsia="Times New Roman" w:hAnsi="Times New Roman" w:cs="Times New Roman"/>
                <w:sz w:val="20"/>
                <w:szCs w:val="20"/>
                <w:lang w:eastAsia="en-GB"/>
              </w:rPr>
              <w:t>.</w:t>
            </w:r>
          </w:p>
        </w:tc>
        <w:tc>
          <w:tcPr>
            <w:tcW w:w="1999" w:type="dxa"/>
            <w:shd w:val="clear" w:color="auto" w:fill="auto"/>
          </w:tcPr>
          <w:p w14:paraId="3610C39E" w14:textId="77777777" w:rsidR="004A6BEA" w:rsidRPr="00F82B8F" w:rsidRDefault="004A6BEA" w:rsidP="004A6BEA">
            <w:pPr>
              <w:spacing w:after="200" w:line="360" w:lineRule="auto"/>
              <w:contextualSpacing/>
              <w:jc w:val="center"/>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International Monetary Funds</w:t>
            </w:r>
          </w:p>
        </w:tc>
      </w:tr>
      <w:tr w:rsidR="004A6BEA" w:rsidRPr="00F82B8F" w14:paraId="7F209FA1" w14:textId="77777777" w:rsidTr="004A6BEA">
        <w:trPr>
          <w:trHeight w:val="300"/>
        </w:trPr>
        <w:tc>
          <w:tcPr>
            <w:tcW w:w="1201" w:type="dxa"/>
            <w:shd w:val="clear" w:color="auto" w:fill="auto"/>
            <w:noWrap/>
          </w:tcPr>
          <w:p w14:paraId="2FFE8471" w14:textId="77777777" w:rsidR="004A6BEA" w:rsidRPr="00F82B8F" w:rsidRDefault="004A6BEA" w:rsidP="004A6BEA">
            <w:pPr>
              <w:spacing w:after="200" w:line="360" w:lineRule="auto"/>
              <w:contextualSpacing/>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FII</w:t>
            </w:r>
          </w:p>
        </w:tc>
        <w:tc>
          <w:tcPr>
            <w:tcW w:w="7016" w:type="dxa"/>
            <w:shd w:val="clear" w:color="auto" w:fill="auto"/>
            <w:noWrap/>
          </w:tcPr>
          <w:p w14:paraId="522BB219" w14:textId="0F23D8CA" w:rsidR="004A6BEA" w:rsidRPr="00F82B8F" w:rsidRDefault="004A6BEA" w:rsidP="00412C46">
            <w:pPr>
              <w:spacing w:after="200" w:line="360" w:lineRule="auto"/>
              <w:contextualSpacing/>
              <w:jc w:val="both"/>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 xml:space="preserve">Financial institutions development index. </w:t>
            </w:r>
            <w:r w:rsidR="00412C46" w:rsidRPr="00F82B8F">
              <w:rPr>
                <w:rFonts w:ascii="Times New Roman" w:eastAsia="Times New Roman" w:hAnsi="Times New Roman" w:cs="Times New Roman"/>
                <w:sz w:val="20"/>
                <w:szCs w:val="20"/>
                <w:lang w:eastAsia="en-GB"/>
              </w:rPr>
              <w:t>This</w:t>
            </w:r>
            <w:r w:rsidRPr="00F82B8F">
              <w:rPr>
                <w:rFonts w:ascii="Times New Roman" w:eastAsia="Times New Roman" w:hAnsi="Times New Roman" w:cs="Times New Roman"/>
                <w:sz w:val="20"/>
                <w:szCs w:val="20"/>
                <w:lang w:eastAsia="en-GB"/>
              </w:rPr>
              <w:t xml:space="preserve"> is a sub-component of financial development index, which show the development of financial institutions in terms of their depth, access and efficiency. </w:t>
            </w:r>
          </w:p>
        </w:tc>
        <w:tc>
          <w:tcPr>
            <w:tcW w:w="1999" w:type="dxa"/>
            <w:shd w:val="clear" w:color="auto" w:fill="auto"/>
          </w:tcPr>
          <w:p w14:paraId="715C5B1F" w14:textId="77777777" w:rsidR="004A6BEA" w:rsidRPr="00F82B8F" w:rsidRDefault="004A6BEA" w:rsidP="004A6BEA">
            <w:pPr>
              <w:spacing w:after="200" w:line="360" w:lineRule="auto"/>
              <w:contextualSpacing/>
              <w:jc w:val="center"/>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International Monetary Funds</w:t>
            </w:r>
          </w:p>
        </w:tc>
      </w:tr>
      <w:tr w:rsidR="004A6BEA" w:rsidRPr="00F82B8F" w14:paraId="0A4CEB52" w14:textId="77777777" w:rsidTr="004A6BEA">
        <w:trPr>
          <w:trHeight w:val="300"/>
        </w:trPr>
        <w:tc>
          <w:tcPr>
            <w:tcW w:w="8217" w:type="dxa"/>
            <w:gridSpan w:val="2"/>
            <w:shd w:val="clear" w:color="auto" w:fill="auto"/>
            <w:noWrap/>
          </w:tcPr>
          <w:p w14:paraId="2198EEEF" w14:textId="77777777" w:rsidR="004A6BEA" w:rsidRPr="00F82B8F" w:rsidRDefault="004A6BEA" w:rsidP="004A6BEA">
            <w:pPr>
              <w:spacing w:after="200" w:line="360" w:lineRule="auto"/>
              <w:contextualSpacing/>
              <w:jc w:val="both"/>
              <w:rPr>
                <w:rFonts w:ascii="Times New Roman" w:eastAsia="Times New Roman" w:hAnsi="Times New Roman" w:cs="Times New Roman"/>
                <w:b/>
                <w:bCs/>
                <w:sz w:val="20"/>
                <w:szCs w:val="20"/>
                <w:lang w:eastAsia="en-GB"/>
              </w:rPr>
            </w:pPr>
            <w:r w:rsidRPr="00F82B8F">
              <w:rPr>
                <w:rFonts w:ascii="Times New Roman" w:eastAsia="Times New Roman" w:hAnsi="Times New Roman" w:cs="Times New Roman"/>
                <w:b/>
                <w:bCs/>
                <w:sz w:val="20"/>
                <w:szCs w:val="20"/>
                <w:lang w:eastAsia="en-GB"/>
              </w:rPr>
              <w:t>Macroeconomic variables</w:t>
            </w:r>
          </w:p>
        </w:tc>
        <w:tc>
          <w:tcPr>
            <w:tcW w:w="1999" w:type="dxa"/>
            <w:shd w:val="clear" w:color="auto" w:fill="auto"/>
          </w:tcPr>
          <w:p w14:paraId="0312FBA7" w14:textId="77777777" w:rsidR="004A6BEA" w:rsidRPr="00F82B8F" w:rsidRDefault="004A6BEA" w:rsidP="004A6BEA">
            <w:pPr>
              <w:spacing w:after="200" w:line="360" w:lineRule="auto"/>
              <w:contextualSpacing/>
              <w:jc w:val="center"/>
              <w:rPr>
                <w:rFonts w:ascii="Times New Roman" w:eastAsia="Times New Roman" w:hAnsi="Times New Roman" w:cs="Times New Roman"/>
                <w:b/>
                <w:bCs/>
                <w:sz w:val="20"/>
                <w:szCs w:val="20"/>
                <w:lang w:eastAsia="en-GB"/>
              </w:rPr>
            </w:pPr>
          </w:p>
        </w:tc>
      </w:tr>
      <w:tr w:rsidR="004A6BEA" w:rsidRPr="00F82B8F" w14:paraId="1AEC09DB" w14:textId="77777777" w:rsidTr="004A6BEA">
        <w:trPr>
          <w:trHeight w:val="300"/>
        </w:trPr>
        <w:tc>
          <w:tcPr>
            <w:tcW w:w="1201" w:type="dxa"/>
            <w:shd w:val="clear" w:color="auto" w:fill="auto"/>
            <w:noWrap/>
          </w:tcPr>
          <w:p w14:paraId="43EC5E5D" w14:textId="77777777" w:rsidR="004A6BEA" w:rsidRPr="00F82B8F" w:rsidRDefault="004A6BEA" w:rsidP="004A6BEA">
            <w:pPr>
              <w:spacing w:after="200" w:line="360" w:lineRule="auto"/>
              <w:contextualSpacing/>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LGD</w:t>
            </w:r>
          </w:p>
        </w:tc>
        <w:tc>
          <w:tcPr>
            <w:tcW w:w="7016" w:type="dxa"/>
            <w:shd w:val="clear" w:color="auto" w:fill="auto"/>
            <w:noWrap/>
          </w:tcPr>
          <w:p w14:paraId="5DED01BF" w14:textId="34B73E9F" w:rsidR="004A6BEA" w:rsidRPr="00F82B8F" w:rsidRDefault="004A6BEA" w:rsidP="004A6BEA">
            <w:pPr>
              <w:spacing w:after="200" w:line="360" w:lineRule="auto"/>
              <w:contextualSpacing/>
              <w:jc w:val="both"/>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Log of quarterly GDP (in billion</w:t>
            </w:r>
            <w:r w:rsidR="00412C46" w:rsidRPr="00F82B8F">
              <w:rPr>
                <w:rFonts w:ascii="Times New Roman" w:eastAsia="Times New Roman" w:hAnsi="Times New Roman" w:cs="Times New Roman"/>
                <w:sz w:val="20"/>
                <w:szCs w:val="20"/>
                <w:lang w:eastAsia="en-GB"/>
              </w:rPr>
              <w:t>s</w:t>
            </w:r>
            <w:r w:rsidRPr="00F82B8F">
              <w:rPr>
                <w:rFonts w:ascii="Times New Roman" w:eastAsia="Times New Roman" w:hAnsi="Times New Roman" w:cs="Times New Roman"/>
                <w:sz w:val="20"/>
                <w:szCs w:val="20"/>
                <w:lang w:eastAsia="en-GB"/>
              </w:rPr>
              <w:t xml:space="preserve"> </w:t>
            </w:r>
            <w:r w:rsidR="00412C46" w:rsidRPr="00F82B8F">
              <w:rPr>
                <w:rFonts w:ascii="Times New Roman" w:eastAsia="Times New Roman" w:hAnsi="Times New Roman" w:cs="Times New Roman"/>
                <w:sz w:val="20"/>
                <w:szCs w:val="20"/>
                <w:lang w:eastAsia="en-GB"/>
              </w:rPr>
              <w:t xml:space="preserve">of </w:t>
            </w:r>
            <w:r w:rsidRPr="00F82B8F">
              <w:rPr>
                <w:rFonts w:ascii="Times New Roman" w:eastAsia="Times New Roman" w:hAnsi="Times New Roman" w:cs="Times New Roman"/>
                <w:sz w:val="20"/>
                <w:szCs w:val="20"/>
                <w:lang w:eastAsia="en-GB"/>
              </w:rPr>
              <w:t>US dollar</w:t>
            </w:r>
            <w:r w:rsidR="00412C46" w:rsidRPr="00F82B8F">
              <w:rPr>
                <w:rFonts w:ascii="Times New Roman" w:eastAsia="Times New Roman" w:hAnsi="Times New Roman" w:cs="Times New Roman"/>
                <w:sz w:val="20"/>
                <w:szCs w:val="20"/>
                <w:lang w:eastAsia="en-GB"/>
              </w:rPr>
              <w:t>s</w:t>
            </w:r>
            <w:r w:rsidRPr="00F82B8F">
              <w:rPr>
                <w:rFonts w:ascii="Times New Roman" w:eastAsia="Times New Roman" w:hAnsi="Times New Roman" w:cs="Times New Roman"/>
                <w:sz w:val="20"/>
                <w:szCs w:val="20"/>
                <w:lang w:eastAsia="en-GB"/>
              </w:rPr>
              <w:t xml:space="preserve"> at current market price</w:t>
            </w:r>
            <w:r w:rsidR="00412C46" w:rsidRPr="00F82B8F">
              <w:rPr>
                <w:rFonts w:ascii="Times New Roman" w:eastAsia="Times New Roman" w:hAnsi="Times New Roman" w:cs="Times New Roman"/>
                <w:sz w:val="20"/>
                <w:szCs w:val="20"/>
                <w:lang w:eastAsia="en-GB"/>
              </w:rPr>
              <w:t>s</w:t>
            </w:r>
            <w:r w:rsidRPr="00F82B8F">
              <w:rPr>
                <w:rFonts w:ascii="Times New Roman" w:eastAsia="Times New Roman" w:hAnsi="Times New Roman" w:cs="Times New Roman"/>
                <w:sz w:val="20"/>
                <w:szCs w:val="20"/>
                <w:lang w:eastAsia="en-GB"/>
              </w:rPr>
              <w:t>)</w:t>
            </w:r>
          </w:p>
        </w:tc>
        <w:tc>
          <w:tcPr>
            <w:tcW w:w="1999" w:type="dxa"/>
            <w:shd w:val="clear" w:color="auto" w:fill="auto"/>
          </w:tcPr>
          <w:p w14:paraId="6868E37C" w14:textId="77777777" w:rsidR="004A6BEA" w:rsidRPr="00F82B8F" w:rsidRDefault="004A6BEA" w:rsidP="004A6BEA">
            <w:pPr>
              <w:spacing w:after="200" w:line="360" w:lineRule="auto"/>
              <w:contextualSpacing/>
              <w:jc w:val="center"/>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Datastream</w:t>
            </w:r>
          </w:p>
        </w:tc>
      </w:tr>
      <w:tr w:rsidR="004A6BEA" w:rsidRPr="00F82B8F" w14:paraId="67E00302" w14:textId="77777777" w:rsidTr="004A6BEA">
        <w:trPr>
          <w:trHeight w:val="300"/>
        </w:trPr>
        <w:tc>
          <w:tcPr>
            <w:tcW w:w="1201" w:type="dxa"/>
            <w:shd w:val="clear" w:color="auto" w:fill="auto"/>
            <w:noWrap/>
          </w:tcPr>
          <w:p w14:paraId="6C42C90F" w14:textId="77777777" w:rsidR="004A6BEA" w:rsidRPr="00F82B8F" w:rsidRDefault="004A6BEA" w:rsidP="004A6BEA">
            <w:pPr>
              <w:spacing w:after="200" w:line="360" w:lineRule="auto"/>
              <w:contextualSpacing/>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LOP</w:t>
            </w:r>
          </w:p>
        </w:tc>
        <w:tc>
          <w:tcPr>
            <w:tcW w:w="7016" w:type="dxa"/>
            <w:shd w:val="clear" w:color="auto" w:fill="auto"/>
            <w:noWrap/>
          </w:tcPr>
          <w:p w14:paraId="59282E9F" w14:textId="77777777" w:rsidR="004A6BEA" w:rsidRPr="00F82B8F" w:rsidRDefault="004A6BEA" w:rsidP="004A6BEA">
            <w:pPr>
              <w:spacing w:after="200" w:line="360" w:lineRule="auto"/>
              <w:contextualSpacing/>
              <w:jc w:val="both"/>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 xml:space="preserve">Log of Oil Price (Crude oil WTI in US dollar per barrel) </w:t>
            </w:r>
          </w:p>
        </w:tc>
        <w:tc>
          <w:tcPr>
            <w:tcW w:w="1999" w:type="dxa"/>
            <w:shd w:val="clear" w:color="auto" w:fill="auto"/>
          </w:tcPr>
          <w:p w14:paraId="7591726F" w14:textId="77777777" w:rsidR="004A6BEA" w:rsidRPr="00F82B8F" w:rsidRDefault="004A6BEA" w:rsidP="004A6BEA">
            <w:pPr>
              <w:spacing w:after="200" w:line="360" w:lineRule="auto"/>
              <w:contextualSpacing/>
              <w:jc w:val="center"/>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Datastream</w:t>
            </w:r>
          </w:p>
        </w:tc>
      </w:tr>
      <w:tr w:rsidR="004A6BEA" w:rsidRPr="00F82B8F" w14:paraId="45DE020D" w14:textId="77777777" w:rsidTr="004A6BEA">
        <w:trPr>
          <w:trHeight w:val="300"/>
        </w:trPr>
        <w:tc>
          <w:tcPr>
            <w:tcW w:w="1201" w:type="dxa"/>
            <w:shd w:val="clear" w:color="auto" w:fill="auto"/>
            <w:noWrap/>
          </w:tcPr>
          <w:p w14:paraId="17E05924" w14:textId="77777777" w:rsidR="004A6BEA" w:rsidRPr="00F82B8F" w:rsidRDefault="004A6BEA" w:rsidP="004A6BEA">
            <w:pPr>
              <w:spacing w:after="200" w:line="360" w:lineRule="auto"/>
              <w:contextualSpacing/>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lastRenderedPageBreak/>
              <w:t>MPR</w:t>
            </w:r>
          </w:p>
        </w:tc>
        <w:tc>
          <w:tcPr>
            <w:tcW w:w="7016" w:type="dxa"/>
            <w:shd w:val="clear" w:color="auto" w:fill="auto"/>
            <w:noWrap/>
          </w:tcPr>
          <w:p w14:paraId="14C885C2" w14:textId="77777777" w:rsidR="004A6BEA" w:rsidRPr="00F82B8F" w:rsidRDefault="004A6BEA" w:rsidP="004A6BEA">
            <w:pPr>
              <w:spacing w:after="200" w:line="360" w:lineRule="auto"/>
              <w:contextualSpacing/>
              <w:jc w:val="both"/>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Policy rate for monetary policy changes</w:t>
            </w:r>
          </w:p>
        </w:tc>
        <w:tc>
          <w:tcPr>
            <w:tcW w:w="1999" w:type="dxa"/>
            <w:shd w:val="clear" w:color="auto" w:fill="auto"/>
          </w:tcPr>
          <w:p w14:paraId="6BC0287C" w14:textId="77777777" w:rsidR="004A6BEA" w:rsidRPr="00F82B8F" w:rsidRDefault="004A6BEA" w:rsidP="004A6BEA">
            <w:pPr>
              <w:spacing w:after="200" w:line="360" w:lineRule="auto"/>
              <w:contextualSpacing/>
              <w:jc w:val="center"/>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International Monetary Fund</w:t>
            </w:r>
          </w:p>
        </w:tc>
      </w:tr>
      <w:tr w:rsidR="004A6BEA" w:rsidRPr="00F82B8F" w14:paraId="28E81466" w14:textId="77777777" w:rsidTr="004A6BEA">
        <w:trPr>
          <w:trHeight w:val="300"/>
        </w:trPr>
        <w:tc>
          <w:tcPr>
            <w:tcW w:w="8217" w:type="dxa"/>
            <w:gridSpan w:val="2"/>
            <w:shd w:val="clear" w:color="auto" w:fill="auto"/>
            <w:noWrap/>
          </w:tcPr>
          <w:p w14:paraId="710180DD" w14:textId="77777777" w:rsidR="004A6BEA" w:rsidRPr="00F82B8F" w:rsidRDefault="004A6BEA" w:rsidP="004A6BEA">
            <w:pPr>
              <w:spacing w:after="200" w:line="360" w:lineRule="auto"/>
              <w:contextualSpacing/>
              <w:jc w:val="both"/>
              <w:rPr>
                <w:rFonts w:ascii="Times New Roman" w:eastAsia="Times New Roman" w:hAnsi="Times New Roman" w:cs="Times New Roman"/>
                <w:b/>
                <w:bCs/>
                <w:sz w:val="20"/>
                <w:szCs w:val="20"/>
                <w:lang w:eastAsia="en-GB"/>
              </w:rPr>
            </w:pPr>
            <w:r w:rsidRPr="00F82B8F">
              <w:rPr>
                <w:rFonts w:ascii="Times New Roman" w:eastAsia="Times New Roman" w:hAnsi="Times New Roman" w:cs="Times New Roman"/>
                <w:b/>
                <w:bCs/>
                <w:sz w:val="20"/>
                <w:szCs w:val="20"/>
                <w:lang w:eastAsia="en-GB"/>
              </w:rPr>
              <w:t>Other variables</w:t>
            </w:r>
          </w:p>
        </w:tc>
        <w:tc>
          <w:tcPr>
            <w:tcW w:w="1999" w:type="dxa"/>
            <w:shd w:val="clear" w:color="auto" w:fill="auto"/>
          </w:tcPr>
          <w:p w14:paraId="61B99DD0" w14:textId="77777777" w:rsidR="004A6BEA" w:rsidRPr="00F82B8F" w:rsidRDefault="004A6BEA" w:rsidP="004A6BEA">
            <w:pPr>
              <w:spacing w:after="200" w:line="360" w:lineRule="auto"/>
              <w:contextualSpacing/>
              <w:jc w:val="center"/>
              <w:rPr>
                <w:rFonts w:ascii="Times New Roman" w:eastAsia="Times New Roman" w:hAnsi="Times New Roman" w:cs="Times New Roman"/>
                <w:b/>
                <w:bCs/>
                <w:sz w:val="20"/>
                <w:szCs w:val="20"/>
                <w:lang w:eastAsia="en-GB"/>
              </w:rPr>
            </w:pPr>
          </w:p>
        </w:tc>
      </w:tr>
      <w:tr w:rsidR="004A6BEA" w:rsidRPr="00F82B8F" w14:paraId="1E36CF4F" w14:textId="77777777" w:rsidTr="004A6BEA">
        <w:trPr>
          <w:trHeight w:val="300"/>
        </w:trPr>
        <w:tc>
          <w:tcPr>
            <w:tcW w:w="1201" w:type="dxa"/>
            <w:shd w:val="clear" w:color="auto" w:fill="auto"/>
            <w:noWrap/>
            <w:hideMark/>
          </w:tcPr>
          <w:p w14:paraId="6A634CBE" w14:textId="77777777" w:rsidR="004A6BEA" w:rsidRPr="00F82B8F" w:rsidRDefault="004A6BEA" w:rsidP="004A6BEA">
            <w:pPr>
              <w:spacing w:after="200" w:line="360" w:lineRule="auto"/>
              <w:contextualSpacing/>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EMG</w:t>
            </w:r>
          </w:p>
        </w:tc>
        <w:tc>
          <w:tcPr>
            <w:tcW w:w="7016" w:type="dxa"/>
            <w:shd w:val="clear" w:color="auto" w:fill="auto"/>
            <w:noWrap/>
            <w:hideMark/>
          </w:tcPr>
          <w:p w14:paraId="7E83FDFF" w14:textId="263202C2" w:rsidR="004A6BEA" w:rsidRPr="00F82B8F" w:rsidRDefault="004A6BEA" w:rsidP="00412C46">
            <w:pPr>
              <w:spacing w:after="200" w:line="360" w:lineRule="auto"/>
              <w:contextualSpacing/>
              <w:jc w:val="both"/>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Dummy for emerging markets</w:t>
            </w:r>
            <w:r w:rsidR="00412C46" w:rsidRPr="00F82B8F">
              <w:rPr>
                <w:rFonts w:ascii="Times New Roman" w:eastAsia="Times New Roman" w:hAnsi="Times New Roman" w:cs="Times New Roman"/>
                <w:sz w:val="20"/>
                <w:szCs w:val="20"/>
                <w:lang w:eastAsia="en-GB"/>
              </w:rPr>
              <w:t>. W</w:t>
            </w:r>
            <w:r w:rsidRPr="00F82B8F">
              <w:rPr>
                <w:rFonts w:ascii="Times New Roman" w:eastAsia="Times New Roman" w:hAnsi="Times New Roman" w:cs="Times New Roman"/>
                <w:sz w:val="20"/>
                <w:szCs w:val="20"/>
                <w:lang w:eastAsia="en-GB"/>
              </w:rPr>
              <w:t>e use 1 for emerging markets and 0 for developed markets.</w:t>
            </w:r>
          </w:p>
        </w:tc>
        <w:tc>
          <w:tcPr>
            <w:tcW w:w="1999" w:type="dxa"/>
            <w:shd w:val="clear" w:color="auto" w:fill="auto"/>
          </w:tcPr>
          <w:p w14:paraId="28B40BD6" w14:textId="77777777" w:rsidR="004A6BEA" w:rsidRPr="00F82B8F" w:rsidRDefault="004A6BEA" w:rsidP="004A6BEA">
            <w:pPr>
              <w:spacing w:after="200" w:line="360" w:lineRule="auto"/>
              <w:contextualSpacing/>
              <w:jc w:val="center"/>
              <w:rPr>
                <w:rFonts w:ascii="Times New Roman" w:eastAsia="Times New Roman" w:hAnsi="Times New Roman" w:cs="Times New Roman"/>
                <w:sz w:val="20"/>
                <w:szCs w:val="20"/>
                <w:lang w:eastAsia="en-GB"/>
              </w:rPr>
            </w:pPr>
          </w:p>
        </w:tc>
      </w:tr>
      <w:tr w:rsidR="004A6BEA" w:rsidRPr="00F82B8F" w14:paraId="0BF98B08" w14:textId="77777777" w:rsidTr="004A6BEA">
        <w:trPr>
          <w:trHeight w:val="300"/>
        </w:trPr>
        <w:tc>
          <w:tcPr>
            <w:tcW w:w="1201" w:type="dxa"/>
            <w:tcBorders>
              <w:bottom w:val="single" w:sz="4" w:space="0" w:color="auto"/>
            </w:tcBorders>
            <w:shd w:val="clear" w:color="auto" w:fill="auto"/>
            <w:noWrap/>
          </w:tcPr>
          <w:p w14:paraId="37BBD6E0" w14:textId="77777777" w:rsidR="004A6BEA" w:rsidRPr="00F82B8F" w:rsidRDefault="004A6BEA" w:rsidP="004A6BEA">
            <w:pPr>
              <w:spacing w:after="200" w:line="360" w:lineRule="auto"/>
              <w:contextualSpacing/>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MON</w:t>
            </w:r>
          </w:p>
        </w:tc>
        <w:tc>
          <w:tcPr>
            <w:tcW w:w="7016" w:type="dxa"/>
            <w:tcBorders>
              <w:bottom w:val="single" w:sz="4" w:space="0" w:color="auto"/>
            </w:tcBorders>
            <w:shd w:val="clear" w:color="auto" w:fill="auto"/>
            <w:noWrap/>
          </w:tcPr>
          <w:p w14:paraId="3C2F2CA9" w14:textId="77777777" w:rsidR="004A6BEA" w:rsidRPr="00F82B8F" w:rsidRDefault="004A6BEA" w:rsidP="004A6BEA">
            <w:pPr>
              <w:spacing w:after="200" w:line="360" w:lineRule="auto"/>
              <w:contextualSpacing/>
              <w:jc w:val="both"/>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Monday dummy. We use 1 for Monday and 0 for other days of the week.</w:t>
            </w:r>
          </w:p>
        </w:tc>
        <w:tc>
          <w:tcPr>
            <w:tcW w:w="1999" w:type="dxa"/>
            <w:tcBorders>
              <w:bottom w:val="single" w:sz="4" w:space="0" w:color="auto"/>
            </w:tcBorders>
            <w:shd w:val="clear" w:color="auto" w:fill="auto"/>
          </w:tcPr>
          <w:p w14:paraId="78D12EB3" w14:textId="77777777" w:rsidR="004A6BEA" w:rsidRPr="00F82B8F" w:rsidRDefault="004A6BEA" w:rsidP="004A6BEA">
            <w:pPr>
              <w:spacing w:after="200" w:line="360" w:lineRule="auto"/>
              <w:contextualSpacing/>
              <w:jc w:val="center"/>
              <w:rPr>
                <w:rFonts w:ascii="Times New Roman" w:eastAsia="Times New Roman" w:hAnsi="Times New Roman" w:cs="Times New Roman"/>
                <w:sz w:val="20"/>
                <w:szCs w:val="20"/>
                <w:lang w:eastAsia="en-GB"/>
              </w:rPr>
            </w:pPr>
          </w:p>
        </w:tc>
      </w:tr>
    </w:tbl>
    <w:p w14:paraId="44A5591F" w14:textId="7B732132" w:rsidR="00E84BE3" w:rsidRPr="00F82B8F" w:rsidRDefault="004A6BEA" w:rsidP="004A6BEA">
      <w:pPr>
        <w:jc w:val="both"/>
        <w:rPr>
          <w:rFonts w:ascii="Times New Roman" w:hAnsi="Times New Roman" w:cs="Times New Roman"/>
          <w:sz w:val="20"/>
          <w:szCs w:val="20"/>
        </w:rPr>
      </w:pPr>
      <w:r w:rsidRPr="00F82B8F">
        <w:rPr>
          <w:rFonts w:ascii="Times New Roman" w:hAnsi="Times New Roman" w:cs="Times New Roman"/>
          <w:sz w:val="20"/>
          <w:szCs w:val="20"/>
        </w:rPr>
        <w:t xml:space="preserve">Note: This table shows the variables we apply in our empirical models to investigate the connectedness between the stock market and country-level resilience. These variables are collected from various sources, which include – Thomson Reuters Datastream, World Bank, World Economic Forum, International Monetary Fund, </w:t>
      </w:r>
      <w:hyperlink r:id="rId10" w:history="1">
        <w:r w:rsidRPr="00F82B8F">
          <w:rPr>
            <w:rStyle w:val="Hyperlink"/>
            <w:rFonts w:ascii="Times New Roman" w:hAnsi="Times New Roman" w:cs="Times New Roman"/>
            <w:sz w:val="20"/>
            <w:szCs w:val="20"/>
          </w:rPr>
          <w:t>https://ourworldindata.org/</w:t>
        </w:r>
      </w:hyperlink>
      <w:r w:rsidRPr="00F82B8F">
        <w:rPr>
          <w:rFonts w:ascii="Times New Roman" w:hAnsi="Times New Roman" w:cs="Times New Roman"/>
          <w:sz w:val="20"/>
          <w:szCs w:val="20"/>
        </w:rPr>
        <w:t xml:space="preserve">., Legatum Institute, World Health Organization, The Heritage Foundation and The </w:t>
      </w:r>
      <w:r w:rsidR="00412C46" w:rsidRPr="00F82B8F">
        <w:rPr>
          <w:rFonts w:ascii="Times New Roman" w:hAnsi="Times New Roman" w:cs="Times New Roman"/>
          <w:sz w:val="20"/>
          <w:szCs w:val="20"/>
        </w:rPr>
        <w:t>W</w:t>
      </w:r>
      <w:r w:rsidRPr="00F82B8F">
        <w:rPr>
          <w:rFonts w:ascii="Times New Roman" w:hAnsi="Times New Roman" w:cs="Times New Roman"/>
          <w:sz w:val="20"/>
          <w:szCs w:val="20"/>
        </w:rPr>
        <w:t xml:space="preserve">orld </w:t>
      </w:r>
      <w:r w:rsidR="00412C46" w:rsidRPr="00F82B8F">
        <w:rPr>
          <w:rFonts w:ascii="Times New Roman" w:hAnsi="Times New Roman" w:cs="Times New Roman"/>
          <w:sz w:val="20"/>
          <w:szCs w:val="20"/>
        </w:rPr>
        <w:t>P</w:t>
      </w:r>
      <w:r w:rsidRPr="00F82B8F">
        <w:rPr>
          <w:rFonts w:ascii="Times New Roman" w:hAnsi="Times New Roman" w:cs="Times New Roman"/>
          <w:sz w:val="20"/>
          <w:szCs w:val="20"/>
        </w:rPr>
        <w:t xml:space="preserve">opulation </w:t>
      </w:r>
      <w:r w:rsidR="00412C46" w:rsidRPr="00F82B8F">
        <w:rPr>
          <w:rFonts w:ascii="Times New Roman" w:hAnsi="Times New Roman" w:cs="Times New Roman"/>
          <w:sz w:val="20"/>
          <w:szCs w:val="20"/>
        </w:rPr>
        <w:t>R</w:t>
      </w:r>
      <w:r w:rsidRPr="00F82B8F">
        <w:rPr>
          <w:rFonts w:ascii="Times New Roman" w:hAnsi="Times New Roman" w:cs="Times New Roman"/>
          <w:sz w:val="20"/>
          <w:szCs w:val="20"/>
        </w:rPr>
        <w:t>eview.</w:t>
      </w:r>
    </w:p>
    <w:p w14:paraId="0ACD75AD" w14:textId="072820BA" w:rsidR="00496A70" w:rsidRPr="008573D2" w:rsidRDefault="00496A70" w:rsidP="004A6BEA">
      <w:pPr>
        <w:jc w:val="both"/>
        <w:rPr>
          <w:rFonts w:ascii="Times New Roman" w:hAnsi="Times New Roman" w:cs="Times New Roman"/>
          <w:sz w:val="24"/>
          <w:szCs w:val="24"/>
        </w:rPr>
      </w:pPr>
    </w:p>
    <w:p w14:paraId="297C3FDC" w14:textId="4B6A623C" w:rsidR="00496A70" w:rsidRDefault="00496A70" w:rsidP="004A6BEA">
      <w:pPr>
        <w:jc w:val="both"/>
        <w:rPr>
          <w:rFonts w:ascii="Times New Roman" w:hAnsi="Times New Roman" w:cs="Times New Roman"/>
          <w:sz w:val="24"/>
          <w:szCs w:val="24"/>
        </w:rPr>
      </w:pPr>
    </w:p>
    <w:p w14:paraId="4B476965" w14:textId="0DA31A1E" w:rsidR="005A04DD" w:rsidRDefault="005A04DD" w:rsidP="004A6BEA">
      <w:pPr>
        <w:jc w:val="both"/>
        <w:rPr>
          <w:rFonts w:ascii="Times New Roman" w:hAnsi="Times New Roman" w:cs="Times New Roman"/>
          <w:sz w:val="24"/>
          <w:szCs w:val="24"/>
        </w:rPr>
      </w:pPr>
    </w:p>
    <w:p w14:paraId="452D9CE2" w14:textId="01E8557C" w:rsidR="005A04DD" w:rsidRDefault="005A04DD" w:rsidP="004A6BEA">
      <w:pPr>
        <w:jc w:val="both"/>
        <w:rPr>
          <w:rFonts w:ascii="Times New Roman" w:hAnsi="Times New Roman" w:cs="Times New Roman"/>
          <w:sz w:val="24"/>
          <w:szCs w:val="24"/>
        </w:rPr>
      </w:pPr>
    </w:p>
    <w:p w14:paraId="49241F2F" w14:textId="09CD1D34" w:rsidR="005A04DD" w:rsidRDefault="005A04DD" w:rsidP="004A6BEA">
      <w:pPr>
        <w:jc w:val="both"/>
        <w:rPr>
          <w:rFonts w:ascii="Times New Roman" w:hAnsi="Times New Roman" w:cs="Times New Roman"/>
          <w:sz w:val="24"/>
          <w:szCs w:val="24"/>
        </w:rPr>
      </w:pPr>
    </w:p>
    <w:p w14:paraId="1CE6172E" w14:textId="4213F788" w:rsidR="005A04DD" w:rsidRDefault="005A04DD" w:rsidP="004A6BEA">
      <w:pPr>
        <w:jc w:val="both"/>
        <w:rPr>
          <w:rFonts w:ascii="Times New Roman" w:hAnsi="Times New Roman" w:cs="Times New Roman"/>
          <w:sz w:val="24"/>
          <w:szCs w:val="24"/>
        </w:rPr>
      </w:pPr>
    </w:p>
    <w:p w14:paraId="130C029D" w14:textId="4ECCEB38" w:rsidR="005A04DD" w:rsidRDefault="005A04DD" w:rsidP="004A6BEA">
      <w:pPr>
        <w:jc w:val="both"/>
        <w:rPr>
          <w:rFonts w:ascii="Times New Roman" w:hAnsi="Times New Roman" w:cs="Times New Roman"/>
          <w:sz w:val="24"/>
          <w:szCs w:val="24"/>
        </w:rPr>
      </w:pPr>
    </w:p>
    <w:p w14:paraId="2668A74D" w14:textId="17E6F44A" w:rsidR="005A04DD" w:rsidRDefault="005A04DD" w:rsidP="004A6BEA">
      <w:pPr>
        <w:jc w:val="both"/>
        <w:rPr>
          <w:rFonts w:ascii="Times New Roman" w:hAnsi="Times New Roman" w:cs="Times New Roman"/>
          <w:sz w:val="24"/>
          <w:szCs w:val="24"/>
        </w:rPr>
      </w:pPr>
    </w:p>
    <w:p w14:paraId="12368105" w14:textId="500050E4" w:rsidR="005A04DD" w:rsidRDefault="005A04DD" w:rsidP="004A6BEA">
      <w:pPr>
        <w:jc w:val="both"/>
        <w:rPr>
          <w:rFonts w:ascii="Times New Roman" w:hAnsi="Times New Roman" w:cs="Times New Roman"/>
          <w:sz w:val="24"/>
          <w:szCs w:val="24"/>
        </w:rPr>
      </w:pPr>
    </w:p>
    <w:p w14:paraId="372C1DE2" w14:textId="328345E3" w:rsidR="005A04DD" w:rsidRDefault="005A04DD" w:rsidP="004A6BEA">
      <w:pPr>
        <w:jc w:val="both"/>
        <w:rPr>
          <w:rFonts w:ascii="Times New Roman" w:hAnsi="Times New Roman" w:cs="Times New Roman"/>
          <w:sz w:val="24"/>
          <w:szCs w:val="24"/>
        </w:rPr>
      </w:pPr>
    </w:p>
    <w:p w14:paraId="711CE6AF" w14:textId="7CCAC3E0" w:rsidR="005A04DD" w:rsidRDefault="005A04DD" w:rsidP="004A6BEA">
      <w:pPr>
        <w:jc w:val="both"/>
        <w:rPr>
          <w:rFonts w:ascii="Times New Roman" w:hAnsi="Times New Roman" w:cs="Times New Roman"/>
          <w:sz w:val="24"/>
          <w:szCs w:val="24"/>
        </w:rPr>
      </w:pPr>
    </w:p>
    <w:p w14:paraId="09C975C5" w14:textId="10B7B0C1" w:rsidR="005A04DD" w:rsidRDefault="005A04DD" w:rsidP="004A6BEA">
      <w:pPr>
        <w:jc w:val="both"/>
        <w:rPr>
          <w:rFonts w:ascii="Times New Roman" w:hAnsi="Times New Roman" w:cs="Times New Roman"/>
          <w:sz w:val="24"/>
          <w:szCs w:val="24"/>
        </w:rPr>
      </w:pPr>
    </w:p>
    <w:p w14:paraId="720499B4" w14:textId="35897412" w:rsidR="005A04DD" w:rsidRDefault="005A04DD" w:rsidP="004A6BEA">
      <w:pPr>
        <w:jc w:val="both"/>
        <w:rPr>
          <w:rFonts w:ascii="Times New Roman" w:hAnsi="Times New Roman" w:cs="Times New Roman"/>
          <w:sz w:val="24"/>
          <w:szCs w:val="24"/>
        </w:rPr>
      </w:pPr>
    </w:p>
    <w:p w14:paraId="75369CBE" w14:textId="4B282CCB" w:rsidR="005A04DD" w:rsidRDefault="005A04DD" w:rsidP="004A6BEA">
      <w:pPr>
        <w:jc w:val="both"/>
        <w:rPr>
          <w:rFonts w:ascii="Times New Roman" w:hAnsi="Times New Roman" w:cs="Times New Roman"/>
          <w:sz w:val="24"/>
          <w:szCs w:val="24"/>
        </w:rPr>
      </w:pPr>
    </w:p>
    <w:p w14:paraId="5F4B46AE" w14:textId="65E3605E" w:rsidR="005A04DD" w:rsidRDefault="005A04DD" w:rsidP="004A6BEA">
      <w:pPr>
        <w:jc w:val="both"/>
        <w:rPr>
          <w:rFonts w:ascii="Times New Roman" w:hAnsi="Times New Roman" w:cs="Times New Roman"/>
          <w:sz w:val="24"/>
          <w:szCs w:val="24"/>
        </w:rPr>
      </w:pPr>
    </w:p>
    <w:p w14:paraId="5EF4EA36" w14:textId="74CA0151" w:rsidR="005A04DD" w:rsidRDefault="005A04DD" w:rsidP="004A6BEA">
      <w:pPr>
        <w:jc w:val="both"/>
        <w:rPr>
          <w:rFonts w:ascii="Times New Roman" w:hAnsi="Times New Roman" w:cs="Times New Roman"/>
          <w:sz w:val="24"/>
          <w:szCs w:val="24"/>
        </w:rPr>
      </w:pPr>
    </w:p>
    <w:p w14:paraId="04A16941" w14:textId="3F4F9A96" w:rsidR="005A04DD" w:rsidRDefault="005A04DD" w:rsidP="004A6BEA">
      <w:pPr>
        <w:jc w:val="both"/>
        <w:rPr>
          <w:rFonts w:ascii="Times New Roman" w:hAnsi="Times New Roman" w:cs="Times New Roman"/>
          <w:sz w:val="24"/>
          <w:szCs w:val="24"/>
        </w:rPr>
      </w:pPr>
    </w:p>
    <w:p w14:paraId="6BEA3A44" w14:textId="13CA3160" w:rsidR="005A04DD" w:rsidRDefault="005A04DD" w:rsidP="004A6BEA">
      <w:pPr>
        <w:jc w:val="both"/>
        <w:rPr>
          <w:rFonts w:ascii="Times New Roman" w:hAnsi="Times New Roman" w:cs="Times New Roman"/>
          <w:sz w:val="24"/>
          <w:szCs w:val="24"/>
        </w:rPr>
      </w:pPr>
    </w:p>
    <w:p w14:paraId="4ED4EE4A" w14:textId="59C6727C" w:rsidR="005A04DD" w:rsidRDefault="005A04DD" w:rsidP="004A6BEA">
      <w:pPr>
        <w:jc w:val="both"/>
        <w:rPr>
          <w:rFonts w:ascii="Times New Roman" w:hAnsi="Times New Roman" w:cs="Times New Roman"/>
          <w:sz w:val="24"/>
          <w:szCs w:val="24"/>
        </w:rPr>
      </w:pPr>
    </w:p>
    <w:p w14:paraId="2D22E494" w14:textId="2EA7B9F7" w:rsidR="005A04DD" w:rsidRDefault="005A04DD" w:rsidP="004A6BEA">
      <w:pPr>
        <w:jc w:val="both"/>
        <w:rPr>
          <w:rFonts w:ascii="Times New Roman" w:hAnsi="Times New Roman" w:cs="Times New Roman"/>
          <w:sz w:val="24"/>
          <w:szCs w:val="24"/>
        </w:rPr>
      </w:pPr>
    </w:p>
    <w:p w14:paraId="7395F50C" w14:textId="5AE6AFAA" w:rsidR="005A04DD" w:rsidRDefault="005A04DD" w:rsidP="004A6BEA">
      <w:pPr>
        <w:jc w:val="both"/>
        <w:rPr>
          <w:rFonts w:ascii="Times New Roman" w:hAnsi="Times New Roman" w:cs="Times New Roman"/>
          <w:sz w:val="24"/>
          <w:szCs w:val="24"/>
        </w:rPr>
      </w:pPr>
    </w:p>
    <w:p w14:paraId="5EEDF295" w14:textId="6980388F" w:rsidR="005A04DD" w:rsidRDefault="005A04DD" w:rsidP="004A6BEA">
      <w:pPr>
        <w:jc w:val="both"/>
        <w:rPr>
          <w:rFonts w:ascii="Times New Roman" w:hAnsi="Times New Roman" w:cs="Times New Roman"/>
          <w:sz w:val="24"/>
          <w:szCs w:val="24"/>
        </w:rPr>
      </w:pPr>
    </w:p>
    <w:p w14:paraId="7706BE81" w14:textId="58C76508" w:rsidR="005A04DD" w:rsidRDefault="005A04DD" w:rsidP="004A6BEA">
      <w:pPr>
        <w:jc w:val="both"/>
        <w:rPr>
          <w:rFonts w:ascii="Times New Roman" w:hAnsi="Times New Roman" w:cs="Times New Roman"/>
          <w:sz w:val="24"/>
          <w:szCs w:val="24"/>
        </w:rPr>
      </w:pPr>
    </w:p>
    <w:p w14:paraId="747BBBA5" w14:textId="77777777" w:rsidR="005A04DD" w:rsidRPr="008573D2" w:rsidRDefault="005A04DD" w:rsidP="004A6BEA">
      <w:pPr>
        <w:jc w:val="both"/>
        <w:rPr>
          <w:rFonts w:ascii="Times New Roman" w:hAnsi="Times New Roman" w:cs="Times New Roman"/>
          <w:sz w:val="24"/>
          <w:szCs w:val="24"/>
        </w:rPr>
      </w:pPr>
    </w:p>
    <w:p w14:paraId="79E3E145" w14:textId="0EF41AD0" w:rsidR="008C4376" w:rsidRPr="008573D2" w:rsidRDefault="00DB330B" w:rsidP="00BC6448">
      <w:pPr>
        <w:jc w:val="center"/>
        <w:rPr>
          <w:rFonts w:ascii="Times New Roman" w:hAnsi="Times New Roman" w:cs="Times New Roman"/>
          <w:sz w:val="24"/>
          <w:szCs w:val="24"/>
        </w:rPr>
      </w:pPr>
      <w:r w:rsidRPr="008573D2">
        <w:rPr>
          <w:rFonts w:ascii="Times New Roman" w:hAnsi="Times New Roman" w:cs="Times New Roman"/>
          <w:b/>
          <w:bCs/>
          <w:sz w:val="24"/>
          <w:szCs w:val="24"/>
        </w:rPr>
        <w:t xml:space="preserve">Table </w:t>
      </w:r>
      <w:r w:rsidR="0063332E" w:rsidRPr="008573D2">
        <w:rPr>
          <w:rFonts w:ascii="Times New Roman" w:hAnsi="Times New Roman" w:cs="Times New Roman"/>
          <w:b/>
          <w:bCs/>
          <w:sz w:val="24"/>
          <w:szCs w:val="24"/>
        </w:rPr>
        <w:t>2</w:t>
      </w:r>
      <w:r w:rsidRPr="008573D2">
        <w:rPr>
          <w:rFonts w:ascii="Times New Roman" w:hAnsi="Times New Roman" w:cs="Times New Roman"/>
          <w:b/>
          <w:bCs/>
          <w:sz w:val="24"/>
          <w:szCs w:val="24"/>
        </w:rPr>
        <w:t xml:space="preserve">: Description of the </w:t>
      </w:r>
      <w:r w:rsidR="00AD1A21" w:rsidRPr="008573D2">
        <w:rPr>
          <w:rFonts w:ascii="Times New Roman" w:hAnsi="Times New Roman" w:cs="Times New Roman"/>
          <w:b/>
          <w:bCs/>
          <w:sz w:val="24"/>
          <w:szCs w:val="24"/>
        </w:rPr>
        <w:t>D</w:t>
      </w:r>
      <w:r w:rsidRPr="008573D2">
        <w:rPr>
          <w:rFonts w:ascii="Times New Roman" w:hAnsi="Times New Roman" w:cs="Times New Roman"/>
          <w:b/>
          <w:bCs/>
          <w:sz w:val="24"/>
          <w:szCs w:val="24"/>
        </w:rPr>
        <w:t>ata</w:t>
      </w:r>
    </w:p>
    <w:tbl>
      <w:tblPr>
        <w:tblW w:w="5000" w:type="pct"/>
        <w:tblLook w:val="04A0" w:firstRow="1" w:lastRow="0" w:firstColumn="1" w:lastColumn="0" w:noHBand="0" w:noVBand="1"/>
      </w:tblPr>
      <w:tblGrid>
        <w:gridCol w:w="2118"/>
        <w:gridCol w:w="2984"/>
        <w:gridCol w:w="1269"/>
        <w:gridCol w:w="2655"/>
      </w:tblGrid>
      <w:tr w:rsidR="00DB330B" w:rsidRPr="00F82B8F" w14:paraId="66299FD9" w14:textId="77777777" w:rsidTr="004A6BEA">
        <w:trPr>
          <w:trHeight w:val="300"/>
        </w:trPr>
        <w:tc>
          <w:tcPr>
            <w:tcW w:w="1173" w:type="pct"/>
            <w:tcBorders>
              <w:top w:val="single" w:sz="4" w:space="0" w:color="auto"/>
            </w:tcBorders>
            <w:shd w:val="clear" w:color="auto" w:fill="auto"/>
            <w:noWrap/>
            <w:vAlign w:val="bottom"/>
            <w:hideMark/>
          </w:tcPr>
          <w:p w14:paraId="6802E3A6" w14:textId="11FA64F9" w:rsidR="00DB330B" w:rsidRPr="00F82B8F" w:rsidRDefault="001664E6" w:rsidP="00DB330B">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List of the Market</w:t>
            </w:r>
          </w:p>
        </w:tc>
        <w:tc>
          <w:tcPr>
            <w:tcW w:w="1653" w:type="pct"/>
            <w:tcBorders>
              <w:top w:val="single" w:sz="4" w:space="0" w:color="auto"/>
            </w:tcBorders>
            <w:shd w:val="clear" w:color="auto" w:fill="auto"/>
            <w:noWrap/>
            <w:vAlign w:val="bottom"/>
            <w:hideMark/>
          </w:tcPr>
          <w:p w14:paraId="51E43F61" w14:textId="5B80F9DC" w:rsidR="00DB330B" w:rsidRPr="00F82B8F" w:rsidRDefault="00DB330B" w:rsidP="00DB330B">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Freq</w:t>
            </w:r>
            <w:r w:rsidR="001664E6" w:rsidRPr="00F82B8F">
              <w:rPr>
                <w:rFonts w:ascii="Times New Roman" w:eastAsia="Times New Roman" w:hAnsi="Times New Roman" w:cs="Times New Roman"/>
                <w:color w:val="000000"/>
                <w:sz w:val="20"/>
                <w:szCs w:val="20"/>
                <w:lang w:eastAsia="en-GB"/>
              </w:rPr>
              <w:t>uency of observations</w:t>
            </w:r>
          </w:p>
        </w:tc>
        <w:tc>
          <w:tcPr>
            <w:tcW w:w="703" w:type="pct"/>
            <w:tcBorders>
              <w:top w:val="single" w:sz="4" w:space="0" w:color="auto"/>
            </w:tcBorders>
            <w:shd w:val="clear" w:color="auto" w:fill="auto"/>
            <w:noWrap/>
            <w:vAlign w:val="bottom"/>
            <w:hideMark/>
          </w:tcPr>
          <w:p w14:paraId="3C60518B" w14:textId="52E3D95C" w:rsidR="00DB330B" w:rsidRPr="00F82B8F" w:rsidRDefault="00DB330B" w:rsidP="00DB330B">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Per</w:t>
            </w:r>
            <w:r w:rsidR="0014089F" w:rsidRPr="00F82B8F">
              <w:rPr>
                <w:rFonts w:ascii="Times New Roman" w:eastAsia="Times New Roman" w:hAnsi="Times New Roman" w:cs="Times New Roman"/>
                <w:color w:val="000000"/>
                <w:sz w:val="20"/>
                <w:szCs w:val="20"/>
                <w:lang w:eastAsia="en-GB"/>
              </w:rPr>
              <w:t xml:space="preserve"> </w:t>
            </w:r>
            <w:r w:rsidRPr="00F82B8F">
              <w:rPr>
                <w:rFonts w:ascii="Times New Roman" w:eastAsia="Times New Roman" w:hAnsi="Times New Roman" w:cs="Times New Roman"/>
                <w:color w:val="000000"/>
                <w:sz w:val="20"/>
                <w:szCs w:val="20"/>
                <w:lang w:eastAsia="en-GB"/>
              </w:rPr>
              <w:t>cent</w:t>
            </w:r>
          </w:p>
        </w:tc>
        <w:tc>
          <w:tcPr>
            <w:tcW w:w="1471" w:type="pct"/>
            <w:tcBorders>
              <w:top w:val="single" w:sz="4" w:space="0" w:color="auto"/>
            </w:tcBorders>
            <w:shd w:val="clear" w:color="auto" w:fill="auto"/>
            <w:noWrap/>
            <w:vAlign w:val="bottom"/>
            <w:hideMark/>
          </w:tcPr>
          <w:p w14:paraId="56250B26" w14:textId="6458F28D" w:rsidR="00DB330B" w:rsidRPr="00F82B8F" w:rsidRDefault="00DB330B" w:rsidP="00DB330B">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Cum</w:t>
            </w:r>
            <w:r w:rsidR="001664E6" w:rsidRPr="00F82B8F">
              <w:rPr>
                <w:rFonts w:ascii="Times New Roman" w:eastAsia="Times New Roman" w:hAnsi="Times New Roman" w:cs="Times New Roman"/>
                <w:color w:val="000000"/>
                <w:sz w:val="20"/>
                <w:szCs w:val="20"/>
                <w:lang w:eastAsia="en-GB"/>
              </w:rPr>
              <w:t>ulative Percentage</w:t>
            </w:r>
          </w:p>
        </w:tc>
      </w:tr>
      <w:tr w:rsidR="00DB330B" w:rsidRPr="00F82B8F" w14:paraId="1DD4726F" w14:textId="77777777" w:rsidTr="004A6BEA">
        <w:trPr>
          <w:trHeight w:val="300"/>
        </w:trPr>
        <w:tc>
          <w:tcPr>
            <w:tcW w:w="1173" w:type="pct"/>
            <w:tcBorders>
              <w:bottom w:val="single" w:sz="4" w:space="0" w:color="auto"/>
            </w:tcBorders>
            <w:shd w:val="clear" w:color="auto" w:fill="auto"/>
            <w:noWrap/>
            <w:vAlign w:val="bottom"/>
            <w:hideMark/>
          </w:tcPr>
          <w:p w14:paraId="65E62903" w14:textId="77777777" w:rsidR="00DB330B" w:rsidRPr="00F82B8F" w:rsidRDefault="00DB330B" w:rsidP="00DB330B">
            <w:pPr>
              <w:spacing w:after="0" w:line="240" w:lineRule="auto"/>
              <w:rPr>
                <w:rFonts w:ascii="Times New Roman" w:eastAsia="Times New Roman" w:hAnsi="Times New Roman" w:cs="Times New Roman"/>
                <w:color w:val="000000"/>
                <w:sz w:val="20"/>
                <w:szCs w:val="20"/>
                <w:lang w:eastAsia="en-GB"/>
              </w:rPr>
            </w:pPr>
          </w:p>
        </w:tc>
        <w:tc>
          <w:tcPr>
            <w:tcW w:w="1653" w:type="pct"/>
            <w:tcBorders>
              <w:bottom w:val="single" w:sz="4" w:space="0" w:color="auto"/>
            </w:tcBorders>
            <w:shd w:val="clear" w:color="auto" w:fill="auto"/>
            <w:noWrap/>
            <w:vAlign w:val="bottom"/>
            <w:hideMark/>
          </w:tcPr>
          <w:p w14:paraId="49C0487B" w14:textId="77777777" w:rsidR="00DB330B" w:rsidRPr="00F82B8F" w:rsidRDefault="00DB330B" w:rsidP="00DB330B">
            <w:pPr>
              <w:spacing w:after="0" w:line="240" w:lineRule="auto"/>
              <w:rPr>
                <w:rFonts w:ascii="Times New Roman" w:eastAsia="Times New Roman" w:hAnsi="Times New Roman" w:cs="Times New Roman"/>
                <w:sz w:val="20"/>
                <w:szCs w:val="20"/>
                <w:lang w:eastAsia="en-GB"/>
              </w:rPr>
            </w:pPr>
          </w:p>
        </w:tc>
        <w:tc>
          <w:tcPr>
            <w:tcW w:w="703" w:type="pct"/>
            <w:tcBorders>
              <w:bottom w:val="single" w:sz="4" w:space="0" w:color="auto"/>
            </w:tcBorders>
            <w:shd w:val="clear" w:color="auto" w:fill="auto"/>
            <w:noWrap/>
            <w:vAlign w:val="bottom"/>
            <w:hideMark/>
          </w:tcPr>
          <w:p w14:paraId="70A98234" w14:textId="77777777" w:rsidR="00DB330B" w:rsidRPr="00F82B8F" w:rsidRDefault="00DB330B" w:rsidP="00DB330B">
            <w:pPr>
              <w:spacing w:after="0" w:line="240" w:lineRule="auto"/>
              <w:rPr>
                <w:rFonts w:ascii="Times New Roman" w:eastAsia="Times New Roman" w:hAnsi="Times New Roman" w:cs="Times New Roman"/>
                <w:sz w:val="20"/>
                <w:szCs w:val="20"/>
                <w:lang w:eastAsia="en-GB"/>
              </w:rPr>
            </w:pPr>
          </w:p>
        </w:tc>
        <w:tc>
          <w:tcPr>
            <w:tcW w:w="1471" w:type="pct"/>
            <w:tcBorders>
              <w:bottom w:val="single" w:sz="4" w:space="0" w:color="auto"/>
            </w:tcBorders>
            <w:shd w:val="clear" w:color="auto" w:fill="auto"/>
            <w:noWrap/>
            <w:vAlign w:val="bottom"/>
            <w:hideMark/>
          </w:tcPr>
          <w:p w14:paraId="31F4F7D5" w14:textId="77777777" w:rsidR="00DB330B" w:rsidRPr="00F82B8F" w:rsidRDefault="00DB330B" w:rsidP="00DB330B">
            <w:pPr>
              <w:spacing w:after="0" w:line="240" w:lineRule="auto"/>
              <w:rPr>
                <w:rFonts w:ascii="Times New Roman" w:eastAsia="Times New Roman" w:hAnsi="Times New Roman" w:cs="Times New Roman"/>
                <w:sz w:val="20"/>
                <w:szCs w:val="20"/>
                <w:lang w:eastAsia="en-GB"/>
              </w:rPr>
            </w:pPr>
          </w:p>
        </w:tc>
      </w:tr>
      <w:tr w:rsidR="00DC167C" w:rsidRPr="00F82B8F" w14:paraId="4C161BF4" w14:textId="77777777" w:rsidTr="004A6BEA">
        <w:trPr>
          <w:trHeight w:val="300"/>
        </w:trPr>
        <w:tc>
          <w:tcPr>
            <w:tcW w:w="1173" w:type="pct"/>
            <w:tcBorders>
              <w:top w:val="single" w:sz="4" w:space="0" w:color="auto"/>
            </w:tcBorders>
            <w:shd w:val="clear" w:color="auto" w:fill="auto"/>
            <w:noWrap/>
            <w:vAlign w:val="bottom"/>
            <w:hideMark/>
          </w:tcPr>
          <w:p w14:paraId="7A36CDCF" w14:textId="77777777" w:rsidR="00DC167C" w:rsidRPr="00F82B8F" w:rsidRDefault="00DC167C" w:rsidP="00DC167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Australia</w:t>
            </w:r>
          </w:p>
        </w:tc>
        <w:tc>
          <w:tcPr>
            <w:tcW w:w="1653" w:type="pct"/>
            <w:tcBorders>
              <w:top w:val="single" w:sz="4" w:space="0" w:color="auto"/>
            </w:tcBorders>
            <w:shd w:val="clear" w:color="auto" w:fill="auto"/>
            <w:noWrap/>
            <w:vAlign w:val="bottom"/>
          </w:tcPr>
          <w:p w14:paraId="238274F6" w14:textId="5FBA4495"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295</w:t>
            </w:r>
          </w:p>
        </w:tc>
        <w:tc>
          <w:tcPr>
            <w:tcW w:w="703" w:type="pct"/>
            <w:tcBorders>
              <w:top w:val="single" w:sz="4" w:space="0" w:color="auto"/>
            </w:tcBorders>
            <w:shd w:val="clear" w:color="auto" w:fill="auto"/>
            <w:noWrap/>
            <w:vAlign w:val="bottom"/>
          </w:tcPr>
          <w:p w14:paraId="5ECDD775" w14:textId="07E5EDA9"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2.94</w:t>
            </w:r>
          </w:p>
        </w:tc>
        <w:tc>
          <w:tcPr>
            <w:tcW w:w="1471" w:type="pct"/>
            <w:tcBorders>
              <w:top w:val="single" w:sz="4" w:space="0" w:color="auto"/>
            </w:tcBorders>
            <w:shd w:val="clear" w:color="auto" w:fill="auto"/>
            <w:noWrap/>
            <w:vAlign w:val="bottom"/>
          </w:tcPr>
          <w:p w14:paraId="19CF9865" w14:textId="1ADB2498"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2.94</w:t>
            </w:r>
          </w:p>
        </w:tc>
      </w:tr>
      <w:tr w:rsidR="00DC167C" w:rsidRPr="00F82B8F" w14:paraId="15E8BD9A" w14:textId="77777777" w:rsidTr="004A6BEA">
        <w:trPr>
          <w:trHeight w:val="300"/>
        </w:trPr>
        <w:tc>
          <w:tcPr>
            <w:tcW w:w="1173" w:type="pct"/>
            <w:shd w:val="clear" w:color="auto" w:fill="auto"/>
            <w:noWrap/>
            <w:vAlign w:val="bottom"/>
            <w:hideMark/>
          </w:tcPr>
          <w:p w14:paraId="073B4180" w14:textId="77777777" w:rsidR="00DC167C" w:rsidRPr="00F82B8F" w:rsidRDefault="00DC167C" w:rsidP="00DC167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Austria</w:t>
            </w:r>
          </w:p>
        </w:tc>
        <w:tc>
          <w:tcPr>
            <w:tcW w:w="1653" w:type="pct"/>
            <w:shd w:val="clear" w:color="auto" w:fill="auto"/>
            <w:noWrap/>
            <w:vAlign w:val="bottom"/>
          </w:tcPr>
          <w:p w14:paraId="074C8785" w14:textId="64179789"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295</w:t>
            </w:r>
          </w:p>
        </w:tc>
        <w:tc>
          <w:tcPr>
            <w:tcW w:w="703" w:type="pct"/>
            <w:shd w:val="clear" w:color="auto" w:fill="auto"/>
            <w:noWrap/>
            <w:vAlign w:val="bottom"/>
          </w:tcPr>
          <w:p w14:paraId="1DF7BFC0" w14:textId="781D4513"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2.94</w:t>
            </w:r>
          </w:p>
        </w:tc>
        <w:tc>
          <w:tcPr>
            <w:tcW w:w="1471" w:type="pct"/>
            <w:shd w:val="clear" w:color="auto" w:fill="auto"/>
            <w:noWrap/>
            <w:vAlign w:val="bottom"/>
          </w:tcPr>
          <w:p w14:paraId="4483F8B3" w14:textId="15EFCFBC"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5.88</w:t>
            </w:r>
          </w:p>
        </w:tc>
      </w:tr>
      <w:tr w:rsidR="00DC167C" w:rsidRPr="00F82B8F" w14:paraId="5491E49A" w14:textId="77777777" w:rsidTr="004A6BEA">
        <w:trPr>
          <w:trHeight w:val="300"/>
        </w:trPr>
        <w:tc>
          <w:tcPr>
            <w:tcW w:w="1173" w:type="pct"/>
            <w:shd w:val="clear" w:color="auto" w:fill="auto"/>
            <w:noWrap/>
            <w:vAlign w:val="bottom"/>
            <w:hideMark/>
          </w:tcPr>
          <w:p w14:paraId="1CBE76DE" w14:textId="77777777" w:rsidR="00DC167C" w:rsidRPr="00F82B8F" w:rsidRDefault="00DC167C" w:rsidP="00DC167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Belgium</w:t>
            </w:r>
          </w:p>
        </w:tc>
        <w:tc>
          <w:tcPr>
            <w:tcW w:w="1653" w:type="pct"/>
            <w:shd w:val="clear" w:color="auto" w:fill="auto"/>
            <w:noWrap/>
            <w:vAlign w:val="bottom"/>
          </w:tcPr>
          <w:p w14:paraId="51E2E5C9" w14:textId="2C010D14"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295</w:t>
            </w:r>
          </w:p>
        </w:tc>
        <w:tc>
          <w:tcPr>
            <w:tcW w:w="703" w:type="pct"/>
            <w:shd w:val="clear" w:color="auto" w:fill="auto"/>
            <w:noWrap/>
            <w:vAlign w:val="bottom"/>
          </w:tcPr>
          <w:p w14:paraId="08962045" w14:textId="3F5F916E"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2.94</w:t>
            </w:r>
          </w:p>
        </w:tc>
        <w:tc>
          <w:tcPr>
            <w:tcW w:w="1471" w:type="pct"/>
            <w:shd w:val="clear" w:color="auto" w:fill="auto"/>
            <w:noWrap/>
            <w:vAlign w:val="bottom"/>
          </w:tcPr>
          <w:p w14:paraId="0260BF27" w14:textId="505B08A5"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8.82</w:t>
            </w:r>
          </w:p>
        </w:tc>
      </w:tr>
      <w:tr w:rsidR="00DC167C" w:rsidRPr="00F82B8F" w14:paraId="58670C53" w14:textId="77777777" w:rsidTr="004A6BEA">
        <w:trPr>
          <w:trHeight w:val="300"/>
        </w:trPr>
        <w:tc>
          <w:tcPr>
            <w:tcW w:w="1173" w:type="pct"/>
            <w:shd w:val="clear" w:color="auto" w:fill="auto"/>
            <w:noWrap/>
            <w:vAlign w:val="bottom"/>
            <w:hideMark/>
          </w:tcPr>
          <w:p w14:paraId="7BFBD2F1" w14:textId="77777777" w:rsidR="00DC167C" w:rsidRPr="00F82B8F" w:rsidRDefault="00DC167C" w:rsidP="00DC167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Brazil</w:t>
            </w:r>
          </w:p>
        </w:tc>
        <w:tc>
          <w:tcPr>
            <w:tcW w:w="1653" w:type="pct"/>
            <w:shd w:val="clear" w:color="auto" w:fill="auto"/>
            <w:noWrap/>
            <w:vAlign w:val="bottom"/>
          </w:tcPr>
          <w:p w14:paraId="06D86715" w14:textId="4F677A0E"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295</w:t>
            </w:r>
          </w:p>
        </w:tc>
        <w:tc>
          <w:tcPr>
            <w:tcW w:w="703" w:type="pct"/>
            <w:shd w:val="clear" w:color="auto" w:fill="auto"/>
            <w:noWrap/>
            <w:vAlign w:val="bottom"/>
          </w:tcPr>
          <w:p w14:paraId="36F74A1A" w14:textId="4FC25C4D"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2.94</w:t>
            </w:r>
          </w:p>
        </w:tc>
        <w:tc>
          <w:tcPr>
            <w:tcW w:w="1471" w:type="pct"/>
            <w:shd w:val="clear" w:color="auto" w:fill="auto"/>
            <w:noWrap/>
            <w:vAlign w:val="bottom"/>
          </w:tcPr>
          <w:p w14:paraId="47E28722" w14:textId="6E5BE16B"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11.76</w:t>
            </w:r>
          </w:p>
        </w:tc>
      </w:tr>
      <w:tr w:rsidR="00DC167C" w:rsidRPr="00F82B8F" w14:paraId="7FA32277" w14:textId="77777777" w:rsidTr="004A6BEA">
        <w:trPr>
          <w:trHeight w:val="300"/>
        </w:trPr>
        <w:tc>
          <w:tcPr>
            <w:tcW w:w="1173" w:type="pct"/>
            <w:shd w:val="clear" w:color="auto" w:fill="auto"/>
            <w:noWrap/>
            <w:vAlign w:val="bottom"/>
            <w:hideMark/>
          </w:tcPr>
          <w:p w14:paraId="0450B85A" w14:textId="77777777" w:rsidR="00DC167C" w:rsidRPr="00F82B8F" w:rsidRDefault="00DC167C" w:rsidP="00DC167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Canada</w:t>
            </w:r>
          </w:p>
        </w:tc>
        <w:tc>
          <w:tcPr>
            <w:tcW w:w="1653" w:type="pct"/>
            <w:shd w:val="clear" w:color="auto" w:fill="auto"/>
            <w:noWrap/>
            <w:vAlign w:val="bottom"/>
          </w:tcPr>
          <w:p w14:paraId="27BD1343" w14:textId="55E3B1D7"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295</w:t>
            </w:r>
          </w:p>
        </w:tc>
        <w:tc>
          <w:tcPr>
            <w:tcW w:w="703" w:type="pct"/>
            <w:shd w:val="clear" w:color="auto" w:fill="auto"/>
            <w:noWrap/>
            <w:vAlign w:val="bottom"/>
          </w:tcPr>
          <w:p w14:paraId="1B98BE85" w14:textId="1B2A7B92"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2.94</w:t>
            </w:r>
          </w:p>
        </w:tc>
        <w:tc>
          <w:tcPr>
            <w:tcW w:w="1471" w:type="pct"/>
            <w:shd w:val="clear" w:color="auto" w:fill="auto"/>
            <w:noWrap/>
            <w:vAlign w:val="bottom"/>
          </w:tcPr>
          <w:p w14:paraId="4DD1AB3D" w14:textId="47D34A2F"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14.71</w:t>
            </w:r>
          </w:p>
        </w:tc>
      </w:tr>
      <w:tr w:rsidR="00DC167C" w:rsidRPr="00F82B8F" w14:paraId="2F1F3261" w14:textId="77777777" w:rsidTr="004A6BEA">
        <w:trPr>
          <w:trHeight w:val="300"/>
        </w:trPr>
        <w:tc>
          <w:tcPr>
            <w:tcW w:w="1173" w:type="pct"/>
            <w:shd w:val="clear" w:color="auto" w:fill="auto"/>
            <w:noWrap/>
            <w:vAlign w:val="bottom"/>
            <w:hideMark/>
          </w:tcPr>
          <w:p w14:paraId="306E313B" w14:textId="77777777" w:rsidR="00DC167C" w:rsidRPr="00F82B8F" w:rsidRDefault="00DC167C" w:rsidP="00DC167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China</w:t>
            </w:r>
          </w:p>
        </w:tc>
        <w:tc>
          <w:tcPr>
            <w:tcW w:w="1653" w:type="pct"/>
            <w:shd w:val="clear" w:color="auto" w:fill="auto"/>
            <w:noWrap/>
            <w:vAlign w:val="bottom"/>
          </w:tcPr>
          <w:p w14:paraId="0E6383F8" w14:textId="0FD1C51E"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295</w:t>
            </w:r>
          </w:p>
        </w:tc>
        <w:tc>
          <w:tcPr>
            <w:tcW w:w="703" w:type="pct"/>
            <w:shd w:val="clear" w:color="auto" w:fill="auto"/>
            <w:noWrap/>
            <w:vAlign w:val="bottom"/>
          </w:tcPr>
          <w:p w14:paraId="1ACA8B46" w14:textId="7D83D3C8"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2.94</w:t>
            </w:r>
          </w:p>
        </w:tc>
        <w:tc>
          <w:tcPr>
            <w:tcW w:w="1471" w:type="pct"/>
            <w:shd w:val="clear" w:color="auto" w:fill="auto"/>
            <w:noWrap/>
            <w:vAlign w:val="bottom"/>
          </w:tcPr>
          <w:p w14:paraId="674DCF86" w14:textId="45608F39"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17.65</w:t>
            </w:r>
          </w:p>
        </w:tc>
      </w:tr>
      <w:tr w:rsidR="00DC167C" w:rsidRPr="00F82B8F" w14:paraId="09127716" w14:textId="77777777" w:rsidTr="004A6BEA">
        <w:trPr>
          <w:trHeight w:val="300"/>
        </w:trPr>
        <w:tc>
          <w:tcPr>
            <w:tcW w:w="1173" w:type="pct"/>
            <w:shd w:val="clear" w:color="auto" w:fill="auto"/>
            <w:noWrap/>
            <w:vAlign w:val="bottom"/>
            <w:hideMark/>
          </w:tcPr>
          <w:p w14:paraId="5ADC7FE3" w14:textId="77777777" w:rsidR="00DC167C" w:rsidRPr="00F82B8F" w:rsidRDefault="00DC167C" w:rsidP="00DC167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Czech</w:t>
            </w:r>
          </w:p>
        </w:tc>
        <w:tc>
          <w:tcPr>
            <w:tcW w:w="1653" w:type="pct"/>
            <w:shd w:val="clear" w:color="auto" w:fill="auto"/>
            <w:noWrap/>
            <w:vAlign w:val="bottom"/>
          </w:tcPr>
          <w:p w14:paraId="582320B3" w14:textId="24636962"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295</w:t>
            </w:r>
          </w:p>
        </w:tc>
        <w:tc>
          <w:tcPr>
            <w:tcW w:w="703" w:type="pct"/>
            <w:shd w:val="clear" w:color="auto" w:fill="auto"/>
            <w:noWrap/>
            <w:vAlign w:val="bottom"/>
          </w:tcPr>
          <w:p w14:paraId="56AA48D2" w14:textId="14CE88C1"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2.94</w:t>
            </w:r>
          </w:p>
        </w:tc>
        <w:tc>
          <w:tcPr>
            <w:tcW w:w="1471" w:type="pct"/>
            <w:shd w:val="clear" w:color="auto" w:fill="auto"/>
            <w:noWrap/>
            <w:vAlign w:val="bottom"/>
          </w:tcPr>
          <w:p w14:paraId="5DB8794D" w14:textId="526117C6"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20.59</w:t>
            </w:r>
          </w:p>
        </w:tc>
      </w:tr>
      <w:tr w:rsidR="00DC167C" w:rsidRPr="00F82B8F" w14:paraId="2B5283C6" w14:textId="77777777" w:rsidTr="004A6BEA">
        <w:trPr>
          <w:trHeight w:val="300"/>
        </w:trPr>
        <w:tc>
          <w:tcPr>
            <w:tcW w:w="1173" w:type="pct"/>
            <w:shd w:val="clear" w:color="auto" w:fill="auto"/>
            <w:noWrap/>
            <w:vAlign w:val="bottom"/>
            <w:hideMark/>
          </w:tcPr>
          <w:p w14:paraId="246F40FD" w14:textId="77777777" w:rsidR="00DC167C" w:rsidRPr="00F82B8F" w:rsidRDefault="00DC167C" w:rsidP="00DC167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Egypt</w:t>
            </w:r>
          </w:p>
        </w:tc>
        <w:tc>
          <w:tcPr>
            <w:tcW w:w="1653" w:type="pct"/>
            <w:shd w:val="clear" w:color="auto" w:fill="auto"/>
            <w:noWrap/>
            <w:vAlign w:val="bottom"/>
          </w:tcPr>
          <w:p w14:paraId="5B1CF403" w14:textId="71D9E197"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295</w:t>
            </w:r>
          </w:p>
        </w:tc>
        <w:tc>
          <w:tcPr>
            <w:tcW w:w="703" w:type="pct"/>
            <w:shd w:val="clear" w:color="auto" w:fill="auto"/>
            <w:noWrap/>
            <w:vAlign w:val="bottom"/>
          </w:tcPr>
          <w:p w14:paraId="00CA0996" w14:textId="4EB055D1"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2.94</w:t>
            </w:r>
          </w:p>
        </w:tc>
        <w:tc>
          <w:tcPr>
            <w:tcW w:w="1471" w:type="pct"/>
            <w:shd w:val="clear" w:color="auto" w:fill="auto"/>
            <w:noWrap/>
            <w:vAlign w:val="bottom"/>
          </w:tcPr>
          <w:p w14:paraId="61DE6195" w14:textId="5DD9056C"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23.53</w:t>
            </w:r>
          </w:p>
        </w:tc>
      </w:tr>
      <w:tr w:rsidR="00DC167C" w:rsidRPr="00F82B8F" w14:paraId="3E205616" w14:textId="77777777" w:rsidTr="004A6BEA">
        <w:trPr>
          <w:trHeight w:val="300"/>
        </w:trPr>
        <w:tc>
          <w:tcPr>
            <w:tcW w:w="1173" w:type="pct"/>
            <w:shd w:val="clear" w:color="auto" w:fill="auto"/>
            <w:noWrap/>
            <w:vAlign w:val="bottom"/>
            <w:hideMark/>
          </w:tcPr>
          <w:p w14:paraId="1795FE6D" w14:textId="77777777" w:rsidR="00DC167C" w:rsidRPr="00F82B8F" w:rsidRDefault="00DC167C" w:rsidP="00DC167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Finland</w:t>
            </w:r>
          </w:p>
        </w:tc>
        <w:tc>
          <w:tcPr>
            <w:tcW w:w="1653" w:type="pct"/>
            <w:shd w:val="clear" w:color="auto" w:fill="auto"/>
            <w:noWrap/>
            <w:vAlign w:val="bottom"/>
          </w:tcPr>
          <w:p w14:paraId="704E579D" w14:textId="69B1D98C"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295</w:t>
            </w:r>
          </w:p>
        </w:tc>
        <w:tc>
          <w:tcPr>
            <w:tcW w:w="703" w:type="pct"/>
            <w:shd w:val="clear" w:color="auto" w:fill="auto"/>
            <w:noWrap/>
            <w:vAlign w:val="bottom"/>
          </w:tcPr>
          <w:p w14:paraId="08840ED6" w14:textId="66F3BD7A"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2.94</w:t>
            </w:r>
          </w:p>
        </w:tc>
        <w:tc>
          <w:tcPr>
            <w:tcW w:w="1471" w:type="pct"/>
            <w:shd w:val="clear" w:color="auto" w:fill="auto"/>
            <w:noWrap/>
            <w:vAlign w:val="bottom"/>
          </w:tcPr>
          <w:p w14:paraId="4D39D154" w14:textId="2FB8E78F"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26.47</w:t>
            </w:r>
          </w:p>
        </w:tc>
      </w:tr>
      <w:tr w:rsidR="00DC167C" w:rsidRPr="00F82B8F" w14:paraId="45FBDC53" w14:textId="77777777" w:rsidTr="004A6BEA">
        <w:trPr>
          <w:trHeight w:val="300"/>
        </w:trPr>
        <w:tc>
          <w:tcPr>
            <w:tcW w:w="1173" w:type="pct"/>
            <w:shd w:val="clear" w:color="auto" w:fill="auto"/>
            <w:noWrap/>
            <w:vAlign w:val="bottom"/>
            <w:hideMark/>
          </w:tcPr>
          <w:p w14:paraId="79936A46" w14:textId="77777777" w:rsidR="00DC167C" w:rsidRPr="00F82B8F" w:rsidRDefault="00DC167C" w:rsidP="00DC167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France</w:t>
            </w:r>
          </w:p>
        </w:tc>
        <w:tc>
          <w:tcPr>
            <w:tcW w:w="1653" w:type="pct"/>
            <w:shd w:val="clear" w:color="auto" w:fill="auto"/>
            <w:noWrap/>
            <w:vAlign w:val="bottom"/>
          </w:tcPr>
          <w:p w14:paraId="2760E8EE" w14:textId="6398248D"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295</w:t>
            </w:r>
          </w:p>
        </w:tc>
        <w:tc>
          <w:tcPr>
            <w:tcW w:w="703" w:type="pct"/>
            <w:shd w:val="clear" w:color="auto" w:fill="auto"/>
            <w:noWrap/>
            <w:vAlign w:val="bottom"/>
          </w:tcPr>
          <w:p w14:paraId="4BD4C2B5" w14:textId="5EBF19A0"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2.94</w:t>
            </w:r>
          </w:p>
        </w:tc>
        <w:tc>
          <w:tcPr>
            <w:tcW w:w="1471" w:type="pct"/>
            <w:shd w:val="clear" w:color="auto" w:fill="auto"/>
            <w:noWrap/>
            <w:vAlign w:val="bottom"/>
          </w:tcPr>
          <w:p w14:paraId="3C3E8833" w14:textId="6446F83F"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29.41</w:t>
            </w:r>
          </w:p>
        </w:tc>
      </w:tr>
      <w:tr w:rsidR="00DC167C" w:rsidRPr="00F82B8F" w14:paraId="311A3C91" w14:textId="77777777" w:rsidTr="004A6BEA">
        <w:trPr>
          <w:trHeight w:val="300"/>
        </w:trPr>
        <w:tc>
          <w:tcPr>
            <w:tcW w:w="1173" w:type="pct"/>
            <w:shd w:val="clear" w:color="auto" w:fill="auto"/>
            <w:noWrap/>
            <w:vAlign w:val="bottom"/>
            <w:hideMark/>
          </w:tcPr>
          <w:p w14:paraId="6A404726" w14:textId="77777777" w:rsidR="00DC167C" w:rsidRPr="00F82B8F" w:rsidRDefault="00DC167C" w:rsidP="00DC167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Germany</w:t>
            </w:r>
          </w:p>
        </w:tc>
        <w:tc>
          <w:tcPr>
            <w:tcW w:w="1653" w:type="pct"/>
            <w:shd w:val="clear" w:color="auto" w:fill="auto"/>
            <w:noWrap/>
            <w:vAlign w:val="bottom"/>
          </w:tcPr>
          <w:p w14:paraId="3EF66554" w14:textId="11AE8306"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295</w:t>
            </w:r>
          </w:p>
        </w:tc>
        <w:tc>
          <w:tcPr>
            <w:tcW w:w="703" w:type="pct"/>
            <w:shd w:val="clear" w:color="auto" w:fill="auto"/>
            <w:noWrap/>
            <w:vAlign w:val="bottom"/>
          </w:tcPr>
          <w:p w14:paraId="0D9A3045" w14:textId="6EE53380"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2.94</w:t>
            </w:r>
          </w:p>
        </w:tc>
        <w:tc>
          <w:tcPr>
            <w:tcW w:w="1471" w:type="pct"/>
            <w:shd w:val="clear" w:color="auto" w:fill="auto"/>
            <w:noWrap/>
            <w:vAlign w:val="bottom"/>
          </w:tcPr>
          <w:p w14:paraId="6F3A77FE" w14:textId="69F5A9C9"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32.35</w:t>
            </w:r>
          </w:p>
        </w:tc>
      </w:tr>
      <w:tr w:rsidR="00DC167C" w:rsidRPr="00F82B8F" w14:paraId="218F6A92" w14:textId="77777777" w:rsidTr="004A6BEA">
        <w:trPr>
          <w:trHeight w:val="300"/>
        </w:trPr>
        <w:tc>
          <w:tcPr>
            <w:tcW w:w="1173" w:type="pct"/>
            <w:shd w:val="clear" w:color="auto" w:fill="auto"/>
            <w:noWrap/>
            <w:vAlign w:val="bottom"/>
            <w:hideMark/>
          </w:tcPr>
          <w:p w14:paraId="569252BA" w14:textId="77777777" w:rsidR="00DC167C" w:rsidRPr="00F82B8F" w:rsidRDefault="00DC167C" w:rsidP="00DC167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Greece</w:t>
            </w:r>
          </w:p>
        </w:tc>
        <w:tc>
          <w:tcPr>
            <w:tcW w:w="1653" w:type="pct"/>
            <w:shd w:val="clear" w:color="auto" w:fill="auto"/>
            <w:noWrap/>
            <w:vAlign w:val="bottom"/>
          </w:tcPr>
          <w:p w14:paraId="467C916C" w14:textId="107F80A1"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295</w:t>
            </w:r>
          </w:p>
        </w:tc>
        <w:tc>
          <w:tcPr>
            <w:tcW w:w="703" w:type="pct"/>
            <w:shd w:val="clear" w:color="auto" w:fill="auto"/>
            <w:noWrap/>
            <w:vAlign w:val="bottom"/>
          </w:tcPr>
          <w:p w14:paraId="33E3ACA2" w14:textId="06765697"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2.94</w:t>
            </w:r>
          </w:p>
        </w:tc>
        <w:tc>
          <w:tcPr>
            <w:tcW w:w="1471" w:type="pct"/>
            <w:shd w:val="clear" w:color="auto" w:fill="auto"/>
            <w:noWrap/>
            <w:vAlign w:val="bottom"/>
          </w:tcPr>
          <w:p w14:paraId="406298DF" w14:textId="04E497E1"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35.29</w:t>
            </w:r>
          </w:p>
        </w:tc>
      </w:tr>
      <w:tr w:rsidR="00DC167C" w:rsidRPr="00F82B8F" w14:paraId="0396DDA8" w14:textId="77777777" w:rsidTr="004A6BEA">
        <w:trPr>
          <w:trHeight w:val="300"/>
        </w:trPr>
        <w:tc>
          <w:tcPr>
            <w:tcW w:w="1173" w:type="pct"/>
            <w:shd w:val="clear" w:color="auto" w:fill="auto"/>
            <w:noWrap/>
            <w:vAlign w:val="bottom"/>
            <w:hideMark/>
          </w:tcPr>
          <w:p w14:paraId="15F8286D" w14:textId="77777777" w:rsidR="00DC167C" w:rsidRPr="00F82B8F" w:rsidRDefault="00DC167C" w:rsidP="00DC167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Hungary</w:t>
            </w:r>
          </w:p>
        </w:tc>
        <w:tc>
          <w:tcPr>
            <w:tcW w:w="1653" w:type="pct"/>
            <w:shd w:val="clear" w:color="auto" w:fill="auto"/>
            <w:noWrap/>
            <w:vAlign w:val="bottom"/>
          </w:tcPr>
          <w:p w14:paraId="6C3398B7" w14:textId="50A34EFB"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295</w:t>
            </w:r>
          </w:p>
        </w:tc>
        <w:tc>
          <w:tcPr>
            <w:tcW w:w="703" w:type="pct"/>
            <w:shd w:val="clear" w:color="auto" w:fill="auto"/>
            <w:noWrap/>
            <w:vAlign w:val="bottom"/>
          </w:tcPr>
          <w:p w14:paraId="12768A63" w14:textId="2419CE86"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2.94</w:t>
            </w:r>
          </w:p>
        </w:tc>
        <w:tc>
          <w:tcPr>
            <w:tcW w:w="1471" w:type="pct"/>
            <w:shd w:val="clear" w:color="auto" w:fill="auto"/>
            <w:noWrap/>
            <w:vAlign w:val="bottom"/>
          </w:tcPr>
          <w:p w14:paraId="68A7ACA3" w14:textId="0D14AE45"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38.24</w:t>
            </w:r>
          </w:p>
        </w:tc>
      </w:tr>
      <w:tr w:rsidR="00DC167C" w:rsidRPr="00F82B8F" w14:paraId="6E7F98C0" w14:textId="77777777" w:rsidTr="004A6BEA">
        <w:trPr>
          <w:trHeight w:val="300"/>
        </w:trPr>
        <w:tc>
          <w:tcPr>
            <w:tcW w:w="1173" w:type="pct"/>
            <w:shd w:val="clear" w:color="auto" w:fill="auto"/>
            <w:noWrap/>
            <w:vAlign w:val="bottom"/>
            <w:hideMark/>
          </w:tcPr>
          <w:p w14:paraId="4DC233D9" w14:textId="77777777" w:rsidR="00DC167C" w:rsidRPr="00F82B8F" w:rsidRDefault="00DC167C" w:rsidP="00DC167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India</w:t>
            </w:r>
          </w:p>
        </w:tc>
        <w:tc>
          <w:tcPr>
            <w:tcW w:w="1653" w:type="pct"/>
            <w:shd w:val="clear" w:color="auto" w:fill="auto"/>
            <w:noWrap/>
            <w:vAlign w:val="bottom"/>
          </w:tcPr>
          <w:p w14:paraId="2E4BE00E" w14:textId="6D6E3A65"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295</w:t>
            </w:r>
          </w:p>
        </w:tc>
        <w:tc>
          <w:tcPr>
            <w:tcW w:w="703" w:type="pct"/>
            <w:shd w:val="clear" w:color="auto" w:fill="auto"/>
            <w:noWrap/>
            <w:vAlign w:val="bottom"/>
          </w:tcPr>
          <w:p w14:paraId="2FDF32DB" w14:textId="38C330C6"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2.94</w:t>
            </w:r>
          </w:p>
        </w:tc>
        <w:tc>
          <w:tcPr>
            <w:tcW w:w="1471" w:type="pct"/>
            <w:shd w:val="clear" w:color="auto" w:fill="auto"/>
            <w:noWrap/>
            <w:vAlign w:val="bottom"/>
          </w:tcPr>
          <w:p w14:paraId="20AED720" w14:textId="3332EDFA"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41.18</w:t>
            </w:r>
          </w:p>
        </w:tc>
      </w:tr>
      <w:tr w:rsidR="00DC167C" w:rsidRPr="00F82B8F" w14:paraId="1F2402C3" w14:textId="77777777" w:rsidTr="004A6BEA">
        <w:trPr>
          <w:trHeight w:val="300"/>
        </w:trPr>
        <w:tc>
          <w:tcPr>
            <w:tcW w:w="1173" w:type="pct"/>
            <w:shd w:val="clear" w:color="auto" w:fill="auto"/>
            <w:noWrap/>
            <w:vAlign w:val="bottom"/>
            <w:hideMark/>
          </w:tcPr>
          <w:p w14:paraId="3013EB72" w14:textId="77777777" w:rsidR="00DC167C" w:rsidRPr="00F82B8F" w:rsidRDefault="00DC167C" w:rsidP="00DC167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Indonesia</w:t>
            </w:r>
          </w:p>
        </w:tc>
        <w:tc>
          <w:tcPr>
            <w:tcW w:w="1653" w:type="pct"/>
            <w:shd w:val="clear" w:color="auto" w:fill="auto"/>
            <w:noWrap/>
            <w:vAlign w:val="bottom"/>
          </w:tcPr>
          <w:p w14:paraId="073C4B42" w14:textId="43E065B0"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295</w:t>
            </w:r>
          </w:p>
        </w:tc>
        <w:tc>
          <w:tcPr>
            <w:tcW w:w="703" w:type="pct"/>
            <w:shd w:val="clear" w:color="auto" w:fill="auto"/>
            <w:noWrap/>
            <w:vAlign w:val="bottom"/>
          </w:tcPr>
          <w:p w14:paraId="2F1FEA76" w14:textId="12A9F0EC"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2.94</w:t>
            </w:r>
          </w:p>
        </w:tc>
        <w:tc>
          <w:tcPr>
            <w:tcW w:w="1471" w:type="pct"/>
            <w:shd w:val="clear" w:color="auto" w:fill="auto"/>
            <w:noWrap/>
            <w:vAlign w:val="bottom"/>
          </w:tcPr>
          <w:p w14:paraId="76726F48" w14:textId="1C8C5B5D"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44.12</w:t>
            </w:r>
          </w:p>
        </w:tc>
      </w:tr>
      <w:tr w:rsidR="00DC167C" w:rsidRPr="00F82B8F" w14:paraId="2213EB64" w14:textId="77777777" w:rsidTr="004A6BEA">
        <w:trPr>
          <w:trHeight w:val="300"/>
        </w:trPr>
        <w:tc>
          <w:tcPr>
            <w:tcW w:w="1173" w:type="pct"/>
            <w:shd w:val="clear" w:color="auto" w:fill="auto"/>
            <w:noWrap/>
            <w:vAlign w:val="bottom"/>
            <w:hideMark/>
          </w:tcPr>
          <w:p w14:paraId="438AB201" w14:textId="77777777" w:rsidR="00DC167C" w:rsidRPr="00F82B8F" w:rsidRDefault="00DC167C" w:rsidP="00DC167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Italy</w:t>
            </w:r>
          </w:p>
        </w:tc>
        <w:tc>
          <w:tcPr>
            <w:tcW w:w="1653" w:type="pct"/>
            <w:shd w:val="clear" w:color="auto" w:fill="auto"/>
            <w:noWrap/>
            <w:vAlign w:val="bottom"/>
          </w:tcPr>
          <w:p w14:paraId="3ADBAEEC" w14:textId="4F99B927"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295</w:t>
            </w:r>
          </w:p>
        </w:tc>
        <w:tc>
          <w:tcPr>
            <w:tcW w:w="703" w:type="pct"/>
            <w:shd w:val="clear" w:color="auto" w:fill="auto"/>
            <w:noWrap/>
            <w:vAlign w:val="bottom"/>
          </w:tcPr>
          <w:p w14:paraId="18D2766B" w14:textId="5760FA1D"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2.94</w:t>
            </w:r>
          </w:p>
        </w:tc>
        <w:tc>
          <w:tcPr>
            <w:tcW w:w="1471" w:type="pct"/>
            <w:shd w:val="clear" w:color="auto" w:fill="auto"/>
            <w:noWrap/>
            <w:vAlign w:val="bottom"/>
          </w:tcPr>
          <w:p w14:paraId="5D15A2D0" w14:textId="3E68086C"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47.06</w:t>
            </w:r>
          </w:p>
        </w:tc>
      </w:tr>
      <w:tr w:rsidR="00DC167C" w:rsidRPr="00F82B8F" w14:paraId="2F03A648" w14:textId="77777777" w:rsidTr="004A6BEA">
        <w:trPr>
          <w:trHeight w:val="300"/>
        </w:trPr>
        <w:tc>
          <w:tcPr>
            <w:tcW w:w="1173" w:type="pct"/>
            <w:shd w:val="clear" w:color="auto" w:fill="auto"/>
            <w:noWrap/>
            <w:vAlign w:val="bottom"/>
            <w:hideMark/>
          </w:tcPr>
          <w:p w14:paraId="713A2F65" w14:textId="77777777" w:rsidR="00DC167C" w:rsidRPr="00F82B8F" w:rsidRDefault="00DC167C" w:rsidP="00DC167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Japan</w:t>
            </w:r>
          </w:p>
        </w:tc>
        <w:tc>
          <w:tcPr>
            <w:tcW w:w="1653" w:type="pct"/>
            <w:shd w:val="clear" w:color="auto" w:fill="auto"/>
            <w:noWrap/>
            <w:vAlign w:val="bottom"/>
          </w:tcPr>
          <w:p w14:paraId="60392E40" w14:textId="3817E190"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295</w:t>
            </w:r>
          </w:p>
        </w:tc>
        <w:tc>
          <w:tcPr>
            <w:tcW w:w="703" w:type="pct"/>
            <w:shd w:val="clear" w:color="auto" w:fill="auto"/>
            <w:noWrap/>
            <w:vAlign w:val="bottom"/>
          </w:tcPr>
          <w:p w14:paraId="0CB03122" w14:textId="07353259"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2.94</w:t>
            </w:r>
          </w:p>
        </w:tc>
        <w:tc>
          <w:tcPr>
            <w:tcW w:w="1471" w:type="pct"/>
            <w:shd w:val="clear" w:color="auto" w:fill="auto"/>
            <w:noWrap/>
            <w:vAlign w:val="bottom"/>
          </w:tcPr>
          <w:p w14:paraId="5E599DB2" w14:textId="2882FA45"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50</w:t>
            </w:r>
            <w:r w:rsidR="006255CE" w:rsidRPr="00F82B8F">
              <w:rPr>
                <w:rFonts w:ascii="Times New Roman" w:hAnsi="Times New Roman" w:cs="Times New Roman"/>
                <w:color w:val="000000"/>
                <w:sz w:val="20"/>
                <w:szCs w:val="20"/>
              </w:rPr>
              <w:t>.00</w:t>
            </w:r>
          </w:p>
        </w:tc>
      </w:tr>
      <w:tr w:rsidR="00DC167C" w:rsidRPr="00F82B8F" w14:paraId="4527FEFD" w14:textId="77777777" w:rsidTr="004A6BEA">
        <w:trPr>
          <w:trHeight w:val="300"/>
        </w:trPr>
        <w:tc>
          <w:tcPr>
            <w:tcW w:w="1173" w:type="pct"/>
            <w:shd w:val="clear" w:color="auto" w:fill="auto"/>
            <w:noWrap/>
            <w:vAlign w:val="bottom"/>
            <w:hideMark/>
          </w:tcPr>
          <w:p w14:paraId="3A0EF239" w14:textId="77777777" w:rsidR="00DC167C" w:rsidRPr="00F82B8F" w:rsidRDefault="00DC167C" w:rsidP="00DC167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Malaysia</w:t>
            </w:r>
          </w:p>
        </w:tc>
        <w:tc>
          <w:tcPr>
            <w:tcW w:w="1653" w:type="pct"/>
            <w:shd w:val="clear" w:color="auto" w:fill="auto"/>
            <w:noWrap/>
            <w:vAlign w:val="bottom"/>
          </w:tcPr>
          <w:p w14:paraId="6A6F34EB" w14:textId="0EEFEF00"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295</w:t>
            </w:r>
          </w:p>
        </w:tc>
        <w:tc>
          <w:tcPr>
            <w:tcW w:w="703" w:type="pct"/>
            <w:shd w:val="clear" w:color="auto" w:fill="auto"/>
            <w:noWrap/>
            <w:vAlign w:val="bottom"/>
          </w:tcPr>
          <w:p w14:paraId="474E0EC3" w14:textId="25B09ED4"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2.94</w:t>
            </w:r>
          </w:p>
        </w:tc>
        <w:tc>
          <w:tcPr>
            <w:tcW w:w="1471" w:type="pct"/>
            <w:shd w:val="clear" w:color="auto" w:fill="auto"/>
            <w:noWrap/>
            <w:vAlign w:val="bottom"/>
          </w:tcPr>
          <w:p w14:paraId="18991E31" w14:textId="03C9FDF7"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52.94</w:t>
            </w:r>
          </w:p>
        </w:tc>
      </w:tr>
      <w:tr w:rsidR="00DC167C" w:rsidRPr="00F82B8F" w14:paraId="7EE24BC3" w14:textId="77777777" w:rsidTr="004A6BEA">
        <w:trPr>
          <w:trHeight w:val="300"/>
        </w:trPr>
        <w:tc>
          <w:tcPr>
            <w:tcW w:w="1173" w:type="pct"/>
            <w:shd w:val="clear" w:color="auto" w:fill="auto"/>
            <w:noWrap/>
            <w:vAlign w:val="bottom"/>
            <w:hideMark/>
          </w:tcPr>
          <w:p w14:paraId="2A6E0ACD" w14:textId="77777777" w:rsidR="00DC167C" w:rsidRPr="00F82B8F" w:rsidRDefault="00DC167C" w:rsidP="00DC167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Mexico</w:t>
            </w:r>
          </w:p>
        </w:tc>
        <w:tc>
          <w:tcPr>
            <w:tcW w:w="1653" w:type="pct"/>
            <w:shd w:val="clear" w:color="auto" w:fill="auto"/>
            <w:noWrap/>
            <w:vAlign w:val="bottom"/>
          </w:tcPr>
          <w:p w14:paraId="5AA11A9C" w14:textId="7720A320"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295</w:t>
            </w:r>
          </w:p>
        </w:tc>
        <w:tc>
          <w:tcPr>
            <w:tcW w:w="703" w:type="pct"/>
            <w:shd w:val="clear" w:color="auto" w:fill="auto"/>
            <w:noWrap/>
            <w:vAlign w:val="bottom"/>
          </w:tcPr>
          <w:p w14:paraId="7186BF17" w14:textId="3A1EFDE2"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2.94</w:t>
            </w:r>
          </w:p>
        </w:tc>
        <w:tc>
          <w:tcPr>
            <w:tcW w:w="1471" w:type="pct"/>
            <w:shd w:val="clear" w:color="auto" w:fill="auto"/>
            <w:noWrap/>
            <w:vAlign w:val="bottom"/>
          </w:tcPr>
          <w:p w14:paraId="595DCF30" w14:textId="51FE994C"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55.88</w:t>
            </w:r>
          </w:p>
        </w:tc>
      </w:tr>
      <w:tr w:rsidR="00DC167C" w:rsidRPr="00F82B8F" w14:paraId="444D6C4D" w14:textId="77777777" w:rsidTr="004A6BEA">
        <w:trPr>
          <w:trHeight w:val="300"/>
        </w:trPr>
        <w:tc>
          <w:tcPr>
            <w:tcW w:w="1173" w:type="pct"/>
            <w:shd w:val="clear" w:color="auto" w:fill="auto"/>
            <w:noWrap/>
            <w:vAlign w:val="bottom"/>
            <w:hideMark/>
          </w:tcPr>
          <w:p w14:paraId="4A816430" w14:textId="77777777" w:rsidR="00DC167C" w:rsidRPr="00F82B8F" w:rsidRDefault="00DC167C" w:rsidP="00DC167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Netherland</w:t>
            </w:r>
          </w:p>
        </w:tc>
        <w:tc>
          <w:tcPr>
            <w:tcW w:w="1653" w:type="pct"/>
            <w:shd w:val="clear" w:color="auto" w:fill="auto"/>
            <w:noWrap/>
            <w:vAlign w:val="bottom"/>
          </w:tcPr>
          <w:p w14:paraId="60ED5216" w14:textId="2F4BDC6A"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295</w:t>
            </w:r>
          </w:p>
        </w:tc>
        <w:tc>
          <w:tcPr>
            <w:tcW w:w="703" w:type="pct"/>
            <w:shd w:val="clear" w:color="auto" w:fill="auto"/>
            <w:noWrap/>
            <w:vAlign w:val="bottom"/>
          </w:tcPr>
          <w:p w14:paraId="0B730F3B" w14:textId="0C53A641"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2.94</w:t>
            </w:r>
          </w:p>
        </w:tc>
        <w:tc>
          <w:tcPr>
            <w:tcW w:w="1471" w:type="pct"/>
            <w:shd w:val="clear" w:color="auto" w:fill="auto"/>
            <w:noWrap/>
            <w:vAlign w:val="bottom"/>
          </w:tcPr>
          <w:p w14:paraId="581BF9DD" w14:textId="001DB3A1"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58.82</w:t>
            </w:r>
          </w:p>
        </w:tc>
      </w:tr>
      <w:tr w:rsidR="00DC167C" w:rsidRPr="00F82B8F" w14:paraId="248B7B9B" w14:textId="77777777" w:rsidTr="004A6BEA">
        <w:trPr>
          <w:trHeight w:val="300"/>
        </w:trPr>
        <w:tc>
          <w:tcPr>
            <w:tcW w:w="1173" w:type="pct"/>
            <w:shd w:val="clear" w:color="auto" w:fill="auto"/>
            <w:noWrap/>
            <w:vAlign w:val="bottom"/>
            <w:hideMark/>
          </w:tcPr>
          <w:p w14:paraId="694097B8" w14:textId="77777777" w:rsidR="00DC167C" w:rsidRPr="00F82B8F" w:rsidRDefault="00DC167C" w:rsidP="00DC167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Norway</w:t>
            </w:r>
          </w:p>
        </w:tc>
        <w:tc>
          <w:tcPr>
            <w:tcW w:w="1653" w:type="pct"/>
            <w:shd w:val="clear" w:color="auto" w:fill="auto"/>
            <w:noWrap/>
            <w:vAlign w:val="bottom"/>
          </w:tcPr>
          <w:p w14:paraId="6E094E33" w14:textId="0E80DAD1"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295</w:t>
            </w:r>
          </w:p>
        </w:tc>
        <w:tc>
          <w:tcPr>
            <w:tcW w:w="703" w:type="pct"/>
            <w:shd w:val="clear" w:color="auto" w:fill="auto"/>
            <w:noWrap/>
            <w:vAlign w:val="bottom"/>
          </w:tcPr>
          <w:p w14:paraId="7609EAFE" w14:textId="005747AB"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2.94</w:t>
            </w:r>
          </w:p>
        </w:tc>
        <w:tc>
          <w:tcPr>
            <w:tcW w:w="1471" w:type="pct"/>
            <w:shd w:val="clear" w:color="auto" w:fill="auto"/>
            <w:noWrap/>
            <w:vAlign w:val="bottom"/>
          </w:tcPr>
          <w:p w14:paraId="758904D6" w14:textId="2F650E65"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61.76</w:t>
            </w:r>
          </w:p>
        </w:tc>
      </w:tr>
      <w:tr w:rsidR="00DC167C" w:rsidRPr="00F82B8F" w14:paraId="24E1747A" w14:textId="77777777" w:rsidTr="004A6BEA">
        <w:trPr>
          <w:trHeight w:val="300"/>
        </w:trPr>
        <w:tc>
          <w:tcPr>
            <w:tcW w:w="1173" w:type="pct"/>
            <w:shd w:val="clear" w:color="auto" w:fill="auto"/>
            <w:noWrap/>
            <w:vAlign w:val="bottom"/>
            <w:hideMark/>
          </w:tcPr>
          <w:p w14:paraId="1611B883" w14:textId="77777777" w:rsidR="00DC167C" w:rsidRPr="00F82B8F" w:rsidRDefault="00DC167C" w:rsidP="00DC167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Philippine</w:t>
            </w:r>
          </w:p>
        </w:tc>
        <w:tc>
          <w:tcPr>
            <w:tcW w:w="1653" w:type="pct"/>
            <w:shd w:val="clear" w:color="auto" w:fill="auto"/>
            <w:noWrap/>
            <w:vAlign w:val="bottom"/>
          </w:tcPr>
          <w:p w14:paraId="40E02CD7" w14:textId="52E60939"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295</w:t>
            </w:r>
          </w:p>
        </w:tc>
        <w:tc>
          <w:tcPr>
            <w:tcW w:w="703" w:type="pct"/>
            <w:shd w:val="clear" w:color="auto" w:fill="auto"/>
            <w:noWrap/>
            <w:vAlign w:val="bottom"/>
          </w:tcPr>
          <w:p w14:paraId="7325173C" w14:textId="5DFCA383"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2.94</w:t>
            </w:r>
          </w:p>
        </w:tc>
        <w:tc>
          <w:tcPr>
            <w:tcW w:w="1471" w:type="pct"/>
            <w:shd w:val="clear" w:color="auto" w:fill="auto"/>
            <w:noWrap/>
            <w:vAlign w:val="bottom"/>
          </w:tcPr>
          <w:p w14:paraId="70F93E8C" w14:textId="4019CBFB"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64.71</w:t>
            </w:r>
          </w:p>
        </w:tc>
      </w:tr>
      <w:tr w:rsidR="00DC167C" w:rsidRPr="00F82B8F" w14:paraId="45D9F3AF" w14:textId="77777777" w:rsidTr="004A6BEA">
        <w:trPr>
          <w:trHeight w:val="300"/>
        </w:trPr>
        <w:tc>
          <w:tcPr>
            <w:tcW w:w="1173" w:type="pct"/>
            <w:shd w:val="clear" w:color="auto" w:fill="auto"/>
            <w:noWrap/>
            <w:vAlign w:val="bottom"/>
            <w:hideMark/>
          </w:tcPr>
          <w:p w14:paraId="783E2A48" w14:textId="77777777" w:rsidR="00DC167C" w:rsidRPr="00F82B8F" w:rsidRDefault="00DC167C" w:rsidP="00DC167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Poland</w:t>
            </w:r>
          </w:p>
        </w:tc>
        <w:tc>
          <w:tcPr>
            <w:tcW w:w="1653" w:type="pct"/>
            <w:shd w:val="clear" w:color="auto" w:fill="auto"/>
            <w:noWrap/>
            <w:vAlign w:val="bottom"/>
          </w:tcPr>
          <w:p w14:paraId="03E914AE" w14:textId="38B32B89"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295</w:t>
            </w:r>
          </w:p>
        </w:tc>
        <w:tc>
          <w:tcPr>
            <w:tcW w:w="703" w:type="pct"/>
            <w:shd w:val="clear" w:color="auto" w:fill="auto"/>
            <w:noWrap/>
            <w:vAlign w:val="bottom"/>
          </w:tcPr>
          <w:p w14:paraId="1FCB08E4" w14:textId="4C99E7F5"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2.94</w:t>
            </w:r>
          </w:p>
        </w:tc>
        <w:tc>
          <w:tcPr>
            <w:tcW w:w="1471" w:type="pct"/>
            <w:shd w:val="clear" w:color="auto" w:fill="auto"/>
            <w:noWrap/>
            <w:vAlign w:val="bottom"/>
          </w:tcPr>
          <w:p w14:paraId="4B20D6B6" w14:textId="47647CE4"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67.65</w:t>
            </w:r>
          </w:p>
        </w:tc>
      </w:tr>
      <w:tr w:rsidR="00DC167C" w:rsidRPr="00F82B8F" w14:paraId="1C6C27B1" w14:textId="77777777" w:rsidTr="004A6BEA">
        <w:trPr>
          <w:trHeight w:val="300"/>
        </w:trPr>
        <w:tc>
          <w:tcPr>
            <w:tcW w:w="1173" w:type="pct"/>
            <w:shd w:val="clear" w:color="auto" w:fill="auto"/>
            <w:noWrap/>
            <w:vAlign w:val="bottom"/>
            <w:hideMark/>
          </w:tcPr>
          <w:p w14:paraId="55666C2C" w14:textId="77777777" w:rsidR="00DC167C" w:rsidRPr="00F82B8F" w:rsidRDefault="00DC167C" w:rsidP="00DC167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Singapore</w:t>
            </w:r>
          </w:p>
        </w:tc>
        <w:tc>
          <w:tcPr>
            <w:tcW w:w="1653" w:type="pct"/>
            <w:shd w:val="clear" w:color="auto" w:fill="auto"/>
            <w:noWrap/>
            <w:vAlign w:val="bottom"/>
          </w:tcPr>
          <w:p w14:paraId="5550A787" w14:textId="75181D54"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295</w:t>
            </w:r>
          </w:p>
        </w:tc>
        <w:tc>
          <w:tcPr>
            <w:tcW w:w="703" w:type="pct"/>
            <w:shd w:val="clear" w:color="auto" w:fill="auto"/>
            <w:noWrap/>
            <w:vAlign w:val="bottom"/>
          </w:tcPr>
          <w:p w14:paraId="1237D431" w14:textId="392A0BF0"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2.94</w:t>
            </w:r>
          </w:p>
        </w:tc>
        <w:tc>
          <w:tcPr>
            <w:tcW w:w="1471" w:type="pct"/>
            <w:shd w:val="clear" w:color="auto" w:fill="auto"/>
            <w:noWrap/>
            <w:vAlign w:val="bottom"/>
          </w:tcPr>
          <w:p w14:paraId="02D40FBB" w14:textId="1D18C9BC"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70.59</w:t>
            </w:r>
          </w:p>
        </w:tc>
      </w:tr>
      <w:tr w:rsidR="00DC167C" w:rsidRPr="00F82B8F" w14:paraId="081C4F40" w14:textId="77777777" w:rsidTr="004A6BEA">
        <w:trPr>
          <w:trHeight w:val="300"/>
        </w:trPr>
        <w:tc>
          <w:tcPr>
            <w:tcW w:w="1173" w:type="pct"/>
            <w:shd w:val="clear" w:color="auto" w:fill="auto"/>
            <w:noWrap/>
            <w:vAlign w:val="bottom"/>
            <w:hideMark/>
          </w:tcPr>
          <w:p w14:paraId="7C3B71F7" w14:textId="77777777" w:rsidR="00DC167C" w:rsidRPr="00F82B8F" w:rsidRDefault="00DC167C" w:rsidP="00DC167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South Africa</w:t>
            </w:r>
          </w:p>
        </w:tc>
        <w:tc>
          <w:tcPr>
            <w:tcW w:w="1653" w:type="pct"/>
            <w:shd w:val="clear" w:color="auto" w:fill="auto"/>
            <w:noWrap/>
            <w:vAlign w:val="bottom"/>
          </w:tcPr>
          <w:p w14:paraId="0F8FF836" w14:textId="5AFFF914"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295</w:t>
            </w:r>
          </w:p>
        </w:tc>
        <w:tc>
          <w:tcPr>
            <w:tcW w:w="703" w:type="pct"/>
            <w:shd w:val="clear" w:color="auto" w:fill="auto"/>
            <w:noWrap/>
            <w:vAlign w:val="bottom"/>
          </w:tcPr>
          <w:p w14:paraId="2131DD40" w14:textId="29034E8E"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2.94</w:t>
            </w:r>
          </w:p>
        </w:tc>
        <w:tc>
          <w:tcPr>
            <w:tcW w:w="1471" w:type="pct"/>
            <w:shd w:val="clear" w:color="auto" w:fill="auto"/>
            <w:noWrap/>
            <w:vAlign w:val="bottom"/>
          </w:tcPr>
          <w:p w14:paraId="1101AB7B" w14:textId="7EE972B3"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73.53</w:t>
            </w:r>
          </w:p>
        </w:tc>
      </w:tr>
      <w:tr w:rsidR="00DC167C" w:rsidRPr="00F82B8F" w14:paraId="7D55865E" w14:textId="77777777" w:rsidTr="004A6BEA">
        <w:trPr>
          <w:trHeight w:val="300"/>
        </w:trPr>
        <w:tc>
          <w:tcPr>
            <w:tcW w:w="1173" w:type="pct"/>
            <w:shd w:val="clear" w:color="auto" w:fill="auto"/>
            <w:noWrap/>
            <w:vAlign w:val="bottom"/>
            <w:hideMark/>
          </w:tcPr>
          <w:p w14:paraId="4118FB41" w14:textId="77777777" w:rsidR="00DC167C" w:rsidRPr="00F82B8F" w:rsidRDefault="00DC167C" w:rsidP="00DC167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South Korea</w:t>
            </w:r>
          </w:p>
        </w:tc>
        <w:tc>
          <w:tcPr>
            <w:tcW w:w="1653" w:type="pct"/>
            <w:shd w:val="clear" w:color="auto" w:fill="auto"/>
            <w:noWrap/>
            <w:vAlign w:val="bottom"/>
          </w:tcPr>
          <w:p w14:paraId="766BBE82" w14:textId="5CE24A6A"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295</w:t>
            </w:r>
          </w:p>
        </w:tc>
        <w:tc>
          <w:tcPr>
            <w:tcW w:w="703" w:type="pct"/>
            <w:shd w:val="clear" w:color="auto" w:fill="auto"/>
            <w:noWrap/>
            <w:vAlign w:val="bottom"/>
          </w:tcPr>
          <w:p w14:paraId="1E786F86" w14:textId="704DBB6B"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2.94</w:t>
            </w:r>
          </w:p>
        </w:tc>
        <w:tc>
          <w:tcPr>
            <w:tcW w:w="1471" w:type="pct"/>
            <w:shd w:val="clear" w:color="auto" w:fill="auto"/>
            <w:noWrap/>
            <w:vAlign w:val="bottom"/>
          </w:tcPr>
          <w:p w14:paraId="0D5B298C" w14:textId="711BDBD3"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76.47</w:t>
            </w:r>
          </w:p>
        </w:tc>
      </w:tr>
      <w:tr w:rsidR="00DC167C" w:rsidRPr="00F82B8F" w14:paraId="4E6DA879" w14:textId="77777777" w:rsidTr="004A6BEA">
        <w:trPr>
          <w:trHeight w:val="300"/>
        </w:trPr>
        <w:tc>
          <w:tcPr>
            <w:tcW w:w="1173" w:type="pct"/>
            <w:shd w:val="clear" w:color="auto" w:fill="auto"/>
            <w:noWrap/>
            <w:vAlign w:val="bottom"/>
            <w:hideMark/>
          </w:tcPr>
          <w:p w14:paraId="5510D249" w14:textId="77777777" w:rsidR="00DC167C" w:rsidRPr="00F82B8F" w:rsidRDefault="00DC167C" w:rsidP="00DC167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Spain</w:t>
            </w:r>
          </w:p>
        </w:tc>
        <w:tc>
          <w:tcPr>
            <w:tcW w:w="1653" w:type="pct"/>
            <w:shd w:val="clear" w:color="auto" w:fill="auto"/>
            <w:noWrap/>
            <w:vAlign w:val="bottom"/>
          </w:tcPr>
          <w:p w14:paraId="01602A64" w14:textId="54CD137B"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295</w:t>
            </w:r>
          </w:p>
        </w:tc>
        <w:tc>
          <w:tcPr>
            <w:tcW w:w="703" w:type="pct"/>
            <w:shd w:val="clear" w:color="auto" w:fill="auto"/>
            <w:noWrap/>
            <w:vAlign w:val="bottom"/>
          </w:tcPr>
          <w:p w14:paraId="6146F912" w14:textId="5A7129D4"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2.94</w:t>
            </w:r>
          </w:p>
        </w:tc>
        <w:tc>
          <w:tcPr>
            <w:tcW w:w="1471" w:type="pct"/>
            <w:shd w:val="clear" w:color="auto" w:fill="auto"/>
            <w:noWrap/>
            <w:vAlign w:val="bottom"/>
          </w:tcPr>
          <w:p w14:paraId="7ACE10F6" w14:textId="425E832E"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79.41</w:t>
            </w:r>
          </w:p>
        </w:tc>
      </w:tr>
      <w:tr w:rsidR="00DC167C" w:rsidRPr="00F82B8F" w14:paraId="5B12CEC5" w14:textId="77777777" w:rsidTr="004A6BEA">
        <w:trPr>
          <w:trHeight w:val="300"/>
        </w:trPr>
        <w:tc>
          <w:tcPr>
            <w:tcW w:w="1173" w:type="pct"/>
            <w:shd w:val="clear" w:color="auto" w:fill="auto"/>
            <w:noWrap/>
            <w:vAlign w:val="bottom"/>
            <w:hideMark/>
          </w:tcPr>
          <w:p w14:paraId="5FE51494" w14:textId="77777777" w:rsidR="00DC167C" w:rsidRPr="00F82B8F" w:rsidRDefault="00DC167C" w:rsidP="00DC167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Sweden</w:t>
            </w:r>
          </w:p>
        </w:tc>
        <w:tc>
          <w:tcPr>
            <w:tcW w:w="1653" w:type="pct"/>
            <w:shd w:val="clear" w:color="auto" w:fill="auto"/>
            <w:noWrap/>
            <w:vAlign w:val="bottom"/>
          </w:tcPr>
          <w:p w14:paraId="72535DCF" w14:textId="3EDB5B65"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295</w:t>
            </w:r>
          </w:p>
        </w:tc>
        <w:tc>
          <w:tcPr>
            <w:tcW w:w="703" w:type="pct"/>
            <w:shd w:val="clear" w:color="auto" w:fill="auto"/>
            <w:noWrap/>
            <w:vAlign w:val="bottom"/>
          </w:tcPr>
          <w:p w14:paraId="0342CB8F" w14:textId="004E09D0"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2.94</w:t>
            </w:r>
          </w:p>
        </w:tc>
        <w:tc>
          <w:tcPr>
            <w:tcW w:w="1471" w:type="pct"/>
            <w:shd w:val="clear" w:color="auto" w:fill="auto"/>
            <w:noWrap/>
            <w:vAlign w:val="bottom"/>
          </w:tcPr>
          <w:p w14:paraId="3487DC15" w14:textId="4CDB150D"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82.35</w:t>
            </w:r>
          </w:p>
        </w:tc>
      </w:tr>
      <w:tr w:rsidR="00DC167C" w:rsidRPr="00F82B8F" w14:paraId="2686AA1B" w14:textId="77777777" w:rsidTr="004A6BEA">
        <w:trPr>
          <w:trHeight w:val="300"/>
        </w:trPr>
        <w:tc>
          <w:tcPr>
            <w:tcW w:w="1173" w:type="pct"/>
            <w:shd w:val="clear" w:color="auto" w:fill="auto"/>
            <w:noWrap/>
            <w:vAlign w:val="bottom"/>
            <w:hideMark/>
          </w:tcPr>
          <w:p w14:paraId="7B9354CC" w14:textId="77777777" w:rsidR="00DC167C" w:rsidRPr="00F82B8F" w:rsidRDefault="00DC167C" w:rsidP="00DC167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Switzerland</w:t>
            </w:r>
          </w:p>
        </w:tc>
        <w:tc>
          <w:tcPr>
            <w:tcW w:w="1653" w:type="pct"/>
            <w:shd w:val="clear" w:color="auto" w:fill="auto"/>
            <w:noWrap/>
            <w:vAlign w:val="bottom"/>
          </w:tcPr>
          <w:p w14:paraId="5E291244" w14:textId="0BC37F2D"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295</w:t>
            </w:r>
          </w:p>
        </w:tc>
        <w:tc>
          <w:tcPr>
            <w:tcW w:w="703" w:type="pct"/>
            <w:shd w:val="clear" w:color="auto" w:fill="auto"/>
            <w:noWrap/>
            <w:vAlign w:val="bottom"/>
          </w:tcPr>
          <w:p w14:paraId="68AE93CA" w14:textId="65F28EFA"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2.94</w:t>
            </w:r>
          </w:p>
        </w:tc>
        <w:tc>
          <w:tcPr>
            <w:tcW w:w="1471" w:type="pct"/>
            <w:shd w:val="clear" w:color="auto" w:fill="auto"/>
            <w:noWrap/>
            <w:vAlign w:val="bottom"/>
          </w:tcPr>
          <w:p w14:paraId="0C68AB77" w14:textId="2563FE6A"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85.29</w:t>
            </w:r>
          </w:p>
        </w:tc>
      </w:tr>
      <w:tr w:rsidR="00DC167C" w:rsidRPr="00F82B8F" w14:paraId="69FC8093" w14:textId="77777777" w:rsidTr="004A6BEA">
        <w:trPr>
          <w:trHeight w:val="300"/>
        </w:trPr>
        <w:tc>
          <w:tcPr>
            <w:tcW w:w="1173" w:type="pct"/>
            <w:shd w:val="clear" w:color="auto" w:fill="auto"/>
            <w:noWrap/>
            <w:vAlign w:val="bottom"/>
            <w:hideMark/>
          </w:tcPr>
          <w:p w14:paraId="1738984A" w14:textId="77777777" w:rsidR="00DC167C" w:rsidRPr="00F82B8F" w:rsidRDefault="00DC167C" w:rsidP="00DC167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Taiwan</w:t>
            </w:r>
          </w:p>
        </w:tc>
        <w:tc>
          <w:tcPr>
            <w:tcW w:w="1653" w:type="pct"/>
            <w:shd w:val="clear" w:color="auto" w:fill="auto"/>
            <w:noWrap/>
            <w:vAlign w:val="bottom"/>
          </w:tcPr>
          <w:p w14:paraId="7137177C" w14:textId="0823EA13"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295</w:t>
            </w:r>
          </w:p>
        </w:tc>
        <w:tc>
          <w:tcPr>
            <w:tcW w:w="703" w:type="pct"/>
            <w:shd w:val="clear" w:color="auto" w:fill="auto"/>
            <w:noWrap/>
            <w:vAlign w:val="bottom"/>
          </w:tcPr>
          <w:p w14:paraId="698CF09F" w14:textId="64D78BE7"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2.94</w:t>
            </w:r>
          </w:p>
        </w:tc>
        <w:tc>
          <w:tcPr>
            <w:tcW w:w="1471" w:type="pct"/>
            <w:shd w:val="clear" w:color="auto" w:fill="auto"/>
            <w:noWrap/>
            <w:vAlign w:val="bottom"/>
          </w:tcPr>
          <w:p w14:paraId="5EF7F846" w14:textId="3C1F152E"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88.24</w:t>
            </w:r>
          </w:p>
        </w:tc>
      </w:tr>
      <w:tr w:rsidR="00DC167C" w:rsidRPr="00F82B8F" w14:paraId="57F20345" w14:textId="77777777" w:rsidTr="004A6BEA">
        <w:trPr>
          <w:trHeight w:val="300"/>
        </w:trPr>
        <w:tc>
          <w:tcPr>
            <w:tcW w:w="1173" w:type="pct"/>
            <w:shd w:val="clear" w:color="auto" w:fill="auto"/>
            <w:noWrap/>
            <w:vAlign w:val="bottom"/>
            <w:hideMark/>
          </w:tcPr>
          <w:p w14:paraId="16DD7DDE" w14:textId="77777777" w:rsidR="00DC167C" w:rsidRPr="00F82B8F" w:rsidRDefault="00DC167C" w:rsidP="00DC167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Thailand</w:t>
            </w:r>
          </w:p>
        </w:tc>
        <w:tc>
          <w:tcPr>
            <w:tcW w:w="1653" w:type="pct"/>
            <w:shd w:val="clear" w:color="auto" w:fill="auto"/>
            <w:noWrap/>
            <w:vAlign w:val="bottom"/>
          </w:tcPr>
          <w:p w14:paraId="4A3267CB" w14:textId="0F7C4DA5"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295</w:t>
            </w:r>
          </w:p>
        </w:tc>
        <w:tc>
          <w:tcPr>
            <w:tcW w:w="703" w:type="pct"/>
            <w:shd w:val="clear" w:color="auto" w:fill="auto"/>
            <w:noWrap/>
            <w:vAlign w:val="bottom"/>
          </w:tcPr>
          <w:p w14:paraId="0AC4AECA" w14:textId="2EBB74CE"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2.94</w:t>
            </w:r>
          </w:p>
        </w:tc>
        <w:tc>
          <w:tcPr>
            <w:tcW w:w="1471" w:type="pct"/>
            <w:shd w:val="clear" w:color="auto" w:fill="auto"/>
            <w:noWrap/>
            <w:vAlign w:val="bottom"/>
          </w:tcPr>
          <w:p w14:paraId="36723F45" w14:textId="687CCFB6"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91.18</w:t>
            </w:r>
          </w:p>
        </w:tc>
      </w:tr>
      <w:tr w:rsidR="00DC167C" w:rsidRPr="00F82B8F" w14:paraId="245F2773" w14:textId="77777777" w:rsidTr="004A6BEA">
        <w:trPr>
          <w:trHeight w:val="300"/>
        </w:trPr>
        <w:tc>
          <w:tcPr>
            <w:tcW w:w="1173" w:type="pct"/>
            <w:shd w:val="clear" w:color="auto" w:fill="auto"/>
            <w:noWrap/>
            <w:vAlign w:val="bottom"/>
            <w:hideMark/>
          </w:tcPr>
          <w:p w14:paraId="7A7459A9" w14:textId="77777777" w:rsidR="00DC167C" w:rsidRPr="00F82B8F" w:rsidRDefault="00DC167C" w:rsidP="00DC167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Turkey</w:t>
            </w:r>
          </w:p>
        </w:tc>
        <w:tc>
          <w:tcPr>
            <w:tcW w:w="1653" w:type="pct"/>
            <w:shd w:val="clear" w:color="auto" w:fill="auto"/>
            <w:noWrap/>
            <w:vAlign w:val="bottom"/>
          </w:tcPr>
          <w:p w14:paraId="5CA0A24D" w14:textId="173960E5"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295</w:t>
            </w:r>
          </w:p>
        </w:tc>
        <w:tc>
          <w:tcPr>
            <w:tcW w:w="703" w:type="pct"/>
            <w:shd w:val="clear" w:color="auto" w:fill="auto"/>
            <w:noWrap/>
            <w:vAlign w:val="bottom"/>
          </w:tcPr>
          <w:p w14:paraId="197F5232" w14:textId="0F46FAA0"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2.94</w:t>
            </w:r>
          </w:p>
        </w:tc>
        <w:tc>
          <w:tcPr>
            <w:tcW w:w="1471" w:type="pct"/>
            <w:shd w:val="clear" w:color="auto" w:fill="auto"/>
            <w:noWrap/>
            <w:vAlign w:val="bottom"/>
          </w:tcPr>
          <w:p w14:paraId="4481030F" w14:textId="31097FE7"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94.12</w:t>
            </w:r>
          </w:p>
        </w:tc>
      </w:tr>
      <w:tr w:rsidR="00DC167C" w:rsidRPr="00F82B8F" w14:paraId="1C619472" w14:textId="77777777" w:rsidTr="004A6BEA">
        <w:trPr>
          <w:trHeight w:val="300"/>
        </w:trPr>
        <w:tc>
          <w:tcPr>
            <w:tcW w:w="1173" w:type="pct"/>
            <w:shd w:val="clear" w:color="auto" w:fill="auto"/>
            <w:noWrap/>
            <w:vAlign w:val="bottom"/>
            <w:hideMark/>
          </w:tcPr>
          <w:p w14:paraId="717927D0" w14:textId="77777777" w:rsidR="00DC167C" w:rsidRPr="00F82B8F" w:rsidRDefault="00DC167C" w:rsidP="00DC167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UK</w:t>
            </w:r>
          </w:p>
        </w:tc>
        <w:tc>
          <w:tcPr>
            <w:tcW w:w="1653" w:type="pct"/>
            <w:shd w:val="clear" w:color="auto" w:fill="auto"/>
            <w:noWrap/>
            <w:vAlign w:val="bottom"/>
          </w:tcPr>
          <w:p w14:paraId="4FF949E0" w14:textId="547C8819"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295</w:t>
            </w:r>
          </w:p>
        </w:tc>
        <w:tc>
          <w:tcPr>
            <w:tcW w:w="703" w:type="pct"/>
            <w:shd w:val="clear" w:color="auto" w:fill="auto"/>
            <w:noWrap/>
            <w:vAlign w:val="bottom"/>
          </w:tcPr>
          <w:p w14:paraId="29940532" w14:textId="487E165A"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2.94</w:t>
            </w:r>
          </w:p>
        </w:tc>
        <w:tc>
          <w:tcPr>
            <w:tcW w:w="1471" w:type="pct"/>
            <w:shd w:val="clear" w:color="auto" w:fill="auto"/>
            <w:noWrap/>
            <w:vAlign w:val="bottom"/>
          </w:tcPr>
          <w:p w14:paraId="2E981B71" w14:textId="282C4A6C"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97.06</w:t>
            </w:r>
          </w:p>
        </w:tc>
      </w:tr>
      <w:tr w:rsidR="00DC167C" w:rsidRPr="00F82B8F" w14:paraId="6DD8FD75" w14:textId="77777777" w:rsidTr="004A6BEA">
        <w:trPr>
          <w:trHeight w:val="300"/>
        </w:trPr>
        <w:tc>
          <w:tcPr>
            <w:tcW w:w="1173" w:type="pct"/>
            <w:shd w:val="clear" w:color="auto" w:fill="auto"/>
            <w:noWrap/>
            <w:vAlign w:val="bottom"/>
            <w:hideMark/>
          </w:tcPr>
          <w:p w14:paraId="66889D72" w14:textId="77777777" w:rsidR="00DC167C" w:rsidRPr="00F82B8F" w:rsidRDefault="00DC167C" w:rsidP="00DC167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USA</w:t>
            </w:r>
          </w:p>
        </w:tc>
        <w:tc>
          <w:tcPr>
            <w:tcW w:w="1653" w:type="pct"/>
            <w:shd w:val="clear" w:color="auto" w:fill="auto"/>
            <w:noWrap/>
            <w:vAlign w:val="bottom"/>
          </w:tcPr>
          <w:p w14:paraId="220D1BEC" w14:textId="462FCEE6"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295</w:t>
            </w:r>
          </w:p>
        </w:tc>
        <w:tc>
          <w:tcPr>
            <w:tcW w:w="703" w:type="pct"/>
            <w:shd w:val="clear" w:color="auto" w:fill="auto"/>
            <w:noWrap/>
            <w:vAlign w:val="bottom"/>
          </w:tcPr>
          <w:p w14:paraId="6BF4E9B9" w14:textId="33213A34"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2.94</w:t>
            </w:r>
          </w:p>
        </w:tc>
        <w:tc>
          <w:tcPr>
            <w:tcW w:w="1471" w:type="pct"/>
            <w:shd w:val="clear" w:color="auto" w:fill="auto"/>
            <w:noWrap/>
            <w:vAlign w:val="bottom"/>
          </w:tcPr>
          <w:p w14:paraId="2DB758DE" w14:textId="1CC29EE8"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100</w:t>
            </w:r>
          </w:p>
        </w:tc>
      </w:tr>
      <w:tr w:rsidR="00DC167C" w:rsidRPr="00F82B8F" w14:paraId="67CCDED5" w14:textId="77777777" w:rsidTr="004A6BEA">
        <w:trPr>
          <w:trHeight w:val="300"/>
        </w:trPr>
        <w:tc>
          <w:tcPr>
            <w:tcW w:w="1173" w:type="pct"/>
            <w:tcBorders>
              <w:bottom w:val="single" w:sz="4" w:space="0" w:color="auto"/>
            </w:tcBorders>
            <w:shd w:val="clear" w:color="auto" w:fill="auto"/>
            <w:noWrap/>
            <w:vAlign w:val="bottom"/>
            <w:hideMark/>
          </w:tcPr>
          <w:p w14:paraId="7E2A16DC" w14:textId="77777777" w:rsidR="00DC167C" w:rsidRPr="00F82B8F" w:rsidRDefault="00DC167C" w:rsidP="00DC167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Total</w:t>
            </w:r>
          </w:p>
        </w:tc>
        <w:tc>
          <w:tcPr>
            <w:tcW w:w="1653" w:type="pct"/>
            <w:tcBorders>
              <w:bottom w:val="single" w:sz="4" w:space="0" w:color="auto"/>
            </w:tcBorders>
            <w:shd w:val="clear" w:color="auto" w:fill="auto"/>
            <w:noWrap/>
            <w:vAlign w:val="bottom"/>
          </w:tcPr>
          <w:p w14:paraId="2FBBFC58" w14:textId="7156DEBA"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10,030</w:t>
            </w:r>
          </w:p>
        </w:tc>
        <w:tc>
          <w:tcPr>
            <w:tcW w:w="703" w:type="pct"/>
            <w:tcBorders>
              <w:bottom w:val="single" w:sz="4" w:space="0" w:color="auto"/>
            </w:tcBorders>
            <w:shd w:val="clear" w:color="auto" w:fill="auto"/>
            <w:noWrap/>
            <w:vAlign w:val="bottom"/>
          </w:tcPr>
          <w:p w14:paraId="59CC90B6" w14:textId="2CAB8B78"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100</w:t>
            </w:r>
          </w:p>
        </w:tc>
        <w:tc>
          <w:tcPr>
            <w:tcW w:w="1471" w:type="pct"/>
            <w:tcBorders>
              <w:bottom w:val="single" w:sz="4" w:space="0" w:color="auto"/>
            </w:tcBorders>
            <w:shd w:val="clear" w:color="auto" w:fill="auto"/>
            <w:noWrap/>
            <w:vAlign w:val="bottom"/>
          </w:tcPr>
          <w:p w14:paraId="17D880AB" w14:textId="77777777" w:rsidR="00DC167C" w:rsidRPr="00F82B8F" w:rsidRDefault="00DC167C" w:rsidP="00DC167C">
            <w:pPr>
              <w:spacing w:after="0" w:line="240" w:lineRule="auto"/>
              <w:jc w:val="center"/>
              <w:rPr>
                <w:rFonts w:ascii="Times New Roman" w:eastAsia="Times New Roman" w:hAnsi="Times New Roman" w:cs="Times New Roman"/>
                <w:color w:val="000000"/>
                <w:sz w:val="20"/>
                <w:szCs w:val="20"/>
                <w:lang w:eastAsia="en-GB"/>
              </w:rPr>
            </w:pPr>
          </w:p>
        </w:tc>
      </w:tr>
    </w:tbl>
    <w:p w14:paraId="045C8631" w14:textId="22EAFDAC" w:rsidR="00DB330B" w:rsidRPr="00F82B8F" w:rsidRDefault="005311B8">
      <w:pPr>
        <w:rPr>
          <w:rFonts w:ascii="Times New Roman" w:hAnsi="Times New Roman" w:cs="Times New Roman"/>
          <w:sz w:val="20"/>
          <w:szCs w:val="20"/>
        </w:rPr>
      </w:pPr>
      <w:r w:rsidRPr="00F82B8F">
        <w:rPr>
          <w:rFonts w:ascii="Times New Roman" w:hAnsi="Times New Roman" w:cs="Times New Roman"/>
          <w:sz w:val="20"/>
          <w:szCs w:val="20"/>
        </w:rPr>
        <w:t xml:space="preserve">Note: This table shows the list of countries we consider in </w:t>
      </w:r>
      <w:r w:rsidR="00862847" w:rsidRPr="00F82B8F">
        <w:rPr>
          <w:rFonts w:ascii="Times New Roman" w:hAnsi="Times New Roman" w:cs="Times New Roman"/>
          <w:sz w:val="20"/>
          <w:szCs w:val="20"/>
        </w:rPr>
        <w:t xml:space="preserve">the </w:t>
      </w:r>
      <w:r w:rsidRPr="00F82B8F">
        <w:rPr>
          <w:rFonts w:ascii="Times New Roman" w:hAnsi="Times New Roman" w:cs="Times New Roman"/>
          <w:sz w:val="20"/>
          <w:szCs w:val="20"/>
        </w:rPr>
        <w:t xml:space="preserve">study. </w:t>
      </w:r>
    </w:p>
    <w:p w14:paraId="7702447F" w14:textId="77777777" w:rsidR="00AB73DC" w:rsidRPr="008573D2" w:rsidRDefault="00AB73DC" w:rsidP="004A6BEA">
      <w:pPr>
        <w:spacing w:after="200" w:line="360" w:lineRule="auto"/>
        <w:jc w:val="both"/>
        <w:rPr>
          <w:rFonts w:ascii="Times New Roman" w:hAnsi="Times New Roman" w:cs="Times New Roman"/>
          <w:sz w:val="24"/>
          <w:szCs w:val="24"/>
        </w:rPr>
      </w:pPr>
      <w:bookmarkStart w:id="6" w:name="_Hlk50713405"/>
    </w:p>
    <w:p w14:paraId="1083E9B0" w14:textId="2FA8BC16" w:rsidR="00FB461A" w:rsidRPr="008573D2" w:rsidRDefault="00FB461A" w:rsidP="006F7F36">
      <w:pPr>
        <w:rPr>
          <w:rFonts w:ascii="Times New Roman" w:hAnsi="Times New Roman" w:cs="Times New Roman"/>
          <w:sz w:val="24"/>
          <w:szCs w:val="24"/>
        </w:rPr>
      </w:pPr>
      <w:r w:rsidRPr="008573D2">
        <w:rPr>
          <w:rFonts w:ascii="Times New Roman" w:hAnsi="Times New Roman" w:cs="Times New Roman"/>
          <w:sz w:val="24"/>
          <w:szCs w:val="24"/>
        </w:rPr>
        <w:br w:type="page"/>
      </w:r>
    </w:p>
    <w:bookmarkEnd w:id="6"/>
    <w:p w14:paraId="742EFA97" w14:textId="14758E8F" w:rsidR="00DB330B" w:rsidRPr="008573D2" w:rsidRDefault="00DB330B" w:rsidP="00C92BFD">
      <w:pPr>
        <w:jc w:val="center"/>
        <w:rPr>
          <w:rFonts w:ascii="Times New Roman" w:hAnsi="Times New Roman" w:cs="Times New Roman"/>
          <w:sz w:val="24"/>
          <w:szCs w:val="24"/>
        </w:rPr>
      </w:pPr>
      <w:r w:rsidRPr="008573D2">
        <w:rPr>
          <w:rFonts w:ascii="Times New Roman" w:hAnsi="Times New Roman" w:cs="Times New Roman"/>
          <w:b/>
          <w:bCs/>
          <w:sz w:val="24"/>
          <w:szCs w:val="24"/>
        </w:rPr>
        <w:lastRenderedPageBreak/>
        <w:t xml:space="preserve">Table </w:t>
      </w:r>
      <w:r w:rsidR="0063332E" w:rsidRPr="008573D2">
        <w:rPr>
          <w:rFonts w:ascii="Times New Roman" w:hAnsi="Times New Roman" w:cs="Times New Roman"/>
          <w:b/>
          <w:bCs/>
          <w:sz w:val="24"/>
          <w:szCs w:val="24"/>
        </w:rPr>
        <w:t>3</w:t>
      </w:r>
      <w:r w:rsidRPr="008573D2">
        <w:rPr>
          <w:rFonts w:ascii="Times New Roman" w:hAnsi="Times New Roman" w:cs="Times New Roman"/>
          <w:b/>
          <w:bCs/>
          <w:sz w:val="24"/>
          <w:szCs w:val="24"/>
        </w:rPr>
        <w:t xml:space="preserve">: Summary </w:t>
      </w:r>
      <w:r w:rsidR="00AD1A21" w:rsidRPr="008573D2">
        <w:rPr>
          <w:rFonts w:ascii="Times New Roman" w:hAnsi="Times New Roman" w:cs="Times New Roman"/>
          <w:b/>
          <w:bCs/>
          <w:sz w:val="24"/>
          <w:szCs w:val="24"/>
        </w:rPr>
        <w:t>S</w:t>
      </w:r>
      <w:r w:rsidRPr="008573D2">
        <w:rPr>
          <w:rFonts w:ascii="Times New Roman" w:hAnsi="Times New Roman" w:cs="Times New Roman"/>
          <w:b/>
          <w:bCs/>
          <w:sz w:val="24"/>
          <w:szCs w:val="24"/>
        </w:rPr>
        <w:t xml:space="preserve">tatistics and </w:t>
      </w:r>
      <w:r w:rsidR="00AD1A21" w:rsidRPr="008573D2">
        <w:rPr>
          <w:rFonts w:ascii="Times New Roman" w:hAnsi="Times New Roman" w:cs="Times New Roman"/>
          <w:b/>
          <w:bCs/>
          <w:sz w:val="24"/>
          <w:szCs w:val="24"/>
        </w:rPr>
        <w:t>C</w:t>
      </w:r>
      <w:r w:rsidRPr="008573D2">
        <w:rPr>
          <w:rFonts w:ascii="Times New Roman" w:hAnsi="Times New Roman" w:cs="Times New Roman"/>
          <w:b/>
          <w:bCs/>
          <w:sz w:val="24"/>
          <w:szCs w:val="24"/>
        </w:rPr>
        <w:t xml:space="preserve">orrelation </w:t>
      </w:r>
      <w:r w:rsidR="00AD1A21" w:rsidRPr="008573D2">
        <w:rPr>
          <w:rFonts w:ascii="Times New Roman" w:hAnsi="Times New Roman" w:cs="Times New Roman"/>
          <w:b/>
          <w:bCs/>
          <w:sz w:val="24"/>
          <w:szCs w:val="24"/>
        </w:rPr>
        <w:t>M</w:t>
      </w:r>
      <w:r w:rsidRPr="008573D2">
        <w:rPr>
          <w:rFonts w:ascii="Times New Roman" w:hAnsi="Times New Roman" w:cs="Times New Roman"/>
          <w:b/>
          <w:bCs/>
          <w:sz w:val="24"/>
          <w:szCs w:val="24"/>
        </w:rPr>
        <w:t>atrix</w:t>
      </w:r>
    </w:p>
    <w:p w14:paraId="24930105" w14:textId="7BD0207C" w:rsidR="00DB330B" w:rsidRPr="008573D2" w:rsidRDefault="00DB330B" w:rsidP="009F07AF">
      <w:pPr>
        <w:jc w:val="center"/>
        <w:rPr>
          <w:rFonts w:ascii="Times New Roman" w:hAnsi="Times New Roman" w:cs="Times New Roman"/>
          <w:sz w:val="24"/>
          <w:szCs w:val="24"/>
        </w:rPr>
      </w:pPr>
      <w:r w:rsidRPr="008573D2">
        <w:rPr>
          <w:rFonts w:ascii="Times New Roman" w:hAnsi="Times New Roman" w:cs="Times New Roman"/>
          <w:sz w:val="24"/>
          <w:szCs w:val="24"/>
        </w:rPr>
        <w:t>Panel A: Summary statistics</w:t>
      </w:r>
    </w:p>
    <w:tbl>
      <w:tblPr>
        <w:tblW w:w="8458" w:type="dxa"/>
        <w:jc w:val="center"/>
        <w:tblLook w:val="04A0" w:firstRow="1" w:lastRow="0" w:firstColumn="1" w:lastColumn="0" w:noHBand="0" w:noVBand="1"/>
      </w:tblPr>
      <w:tblGrid>
        <w:gridCol w:w="1138"/>
        <w:gridCol w:w="1220"/>
        <w:gridCol w:w="1220"/>
        <w:gridCol w:w="1220"/>
        <w:gridCol w:w="1220"/>
        <w:gridCol w:w="1220"/>
        <w:gridCol w:w="1220"/>
      </w:tblGrid>
      <w:tr w:rsidR="004910E5" w:rsidRPr="008573D2" w14:paraId="0D39499D" w14:textId="77777777" w:rsidTr="00F45BC4">
        <w:trPr>
          <w:trHeight w:val="300"/>
          <w:jc w:val="center"/>
        </w:trPr>
        <w:tc>
          <w:tcPr>
            <w:tcW w:w="1138" w:type="dxa"/>
            <w:tcBorders>
              <w:top w:val="single" w:sz="4" w:space="0" w:color="auto"/>
            </w:tcBorders>
            <w:shd w:val="clear" w:color="auto" w:fill="auto"/>
            <w:noWrap/>
            <w:hideMark/>
          </w:tcPr>
          <w:p w14:paraId="62E5DF2F" w14:textId="77777777" w:rsidR="004910E5" w:rsidRPr="00F82B8F" w:rsidRDefault="004910E5" w:rsidP="003707E4">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stats</w:t>
            </w:r>
          </w:p>
        </w:tc>
        <w:tc>
          <w:tcPr>
            <w:tcW w:w="1220" w:type="dxa"/>
            <w:tcBorders>
              <w:top w:val="single" w:sz="4" w:space="0" w:color="auto"/>
            </w:tcBorders>
            <w:shd w:val="clear" w:color="auto" w:fill="auto"/>
            <w:noWrap/>
            <w:hideMark/>
          </w:tcPr>
          <w:p w14:paraId="26771E9B" w14:textId="30730756" w:rsidR="004910E5" w:rsidRPr="00F82B8F" w:rsidRDefault="004910E5" w:rsidP="003707E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Mean</w:t>
            </w:r>
          </w:p>
        </w:tc>
        <w:tc>
          <w:tcPr>
            <w:tcW w:w="1220" w:type="dxa"/>
            <w:tcBorders>
              <w:top w:val="single" w:sz="4" w:space="0" w:color="auto"/>
            </w:tcBorders>
            <w:shd w:val="clear" w:color="auto" w:fill="auto"/>
            <w:noWrap/>
            <w:hideMark/>
          </w:tcPr>
          <w:p w14:paraId="42DDF5CD" w14:textId="71717D20" w:rsidR="004910E5" w:rsidRPr="00F82B8F" w:rsidRDefault="004910E5" w:rsidP="003707E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Standard Deviation</w:t>
            </w:r>
          </w:p>
        </w:tc>
        <w:tc>
          <w:tcPr>
            <w:tcW w:w="4880" w:type="dxa"/>
            <w:gridSpan w:val="4"/>
            <w:tcBorders>
              <w:top w:val="single" w:sz="4" w:space="0" w:color="auto"/>
            </w:tcBorders>
            <w:shd w:val="clear" w:color="auto" w:fill="auto"/>
            <w:noWrap/>
          </w:tcPr>
          <w:p w14:paraId="6E820651" w14:textId="44D724C2" w:rsidR="004910E5" w:rsidRPr="00F82B8F" w:rsidRDefault="004910E5" w:rsidP="003707E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Percentile Mean</w:t>
            </w:r>
          </w:p>
        </w:tc>
      </w:tr>
      <w:tr w:rsidR="004910E5" w:rsidRPr="008573D2" w14:paraId="409C8B83" w14:textId="77777777" w:rsidTr="00F45BC4">
        <w:trPr>
          <w:trHeight w:val="300"/>
          <w:jc w:val="center"/>
        </w:trPr>
        <w:tc>
          <w:tcPr>
            <w:tcW w:w="1138" w:type="dxa"/>
            <w:tcBorders>
              <w:bottom w:val="single" w:sz="4" w:space="0" w:color="auto"/>
            </w:tcBorders>
            <w:shd w:val="clear" w:color="auto" w:fill="auto"/>
            <w:noWrap/>
          </w:tcPr>
          <w:p w14:paraId="20DA2806" w14:textId="77777777" w:rsidR="004910E5" w:rsidRPr="00F82B8F" w:rsidRDefault="004910E5" w:rsidP="004910E5">
            <w:pPr>
              <w:spacing w:after="0" w:line="240" w:lineRule="auto"/>
              <w:rPr>
                <w:rFonts w:ascii="Times New Roman" w:eastAsia="Times New Roman" w:hAnsi="Times New Roman" w:cs="Times New Roman"/>
                <w:color w:val="000000"/>
                <w:sz w:val="20"/>
                <w:szCs w:val="20"/>
                <w:lang w:eastAsia="en-GB"/>
              </w:rPr>
            </w:pPr>
          </w:p>
        </w:tc>
        <w:tc>
          <w:tcPr>
            <w:tcW w:w="1220" w:type="dxa"/>
            <w:tcBorders>
              <w:bottom w:val="single" w:sz="4" w:space="0" w:color="auto"/>
            </w:tcBorders>
            <w:shd w:val="clear" w:color="auto" w:fill="auto"/>
            <w:noWrap/>
          </w:tcPr>
          <w:p w14:paraId="6C3E270C" w14:textId="77777777" w:rsidR="004910E5" w:rsidRPr="00F82B8F" w:rsidRDefault="004910E5" w:rsidP="003707E4">
            <w:pPr>
              <w:spacing w:after="0" w:line="240" w:lineRule="auto"/>
              <w:jc w:val="center"/>
              <w:rPr>
                <w:rFonts w:ascii="Times New Roman" w:eastAsia="Times New Roman" w:hAnsi="Times New Roman" w:cs="Times New Roman"/>
                <w:color w:val="000000"/>
                <w:sz w:val="20"/>
                <w:szCs w:val="20"/>
                <w:lang w:eastAsia="en-GB"/>
              </w:rPr>
            </w:pPr>
          </w:p>
        </w:tc>
        <w:tc>
          <w:tcPr>
            <w:tcW w:w="1220" w:type="dxa"/>
            <w:tcBorders>
              <w:bottom w:val="single" w:sz="4" w:space="0" w:color="auto"/>
            </w:tcBorders>
            <w:shd w:val="clear" w:color="auto" w:fill="auto"/>
            <w:noWrap/>
          </w:tcPr>
          <w:p w14:paraId="276CF265" w14:textId="77777777" w:rsidR="004910E5" w:rsidRPr="00F82B8F" w:rsidRDefault="004910E5" w:rsidP="003707E4">
            <w:pPr>
              <w:spacing w:after="0" w:line="240" w:lineRule="auto"/>
              <w:jc w:val="center"/>
              <w:rPr>
                <w:rFonts w:ascii="Times New Roman" w:eastAsia="Times New Roman" w:hAnsi="Times New Roman" w:cs="Times New Roman"/>
                <w:color w:val="000000"/>
                <w:sz w:val="20"/>
                <w:szCs w:val="20"/>
                <w:lang w:eastAsia="en-GB"/>
              </w:rPr>
            </w:pPr>
          </w:p>
        </w:tc>
        <w:tc>
          <w:tcPr>
            <w:tcW w:w="1220" w:type="dxa"/>
            <w:tcBorders>
              <w:bottom w:val="single" w:sz="4" w:space="0" w:color="auto"/>
            </w:tcBorders>
            <w:shd w:val="clear" w:color="auto" w:fill="auto"/>
            <w:noWrap/>
          </w:tcPr>
          <w:p w14:paraId="199BCA0F" w14:textId="206B463B" w:rsidR="004910E5" w:rsidRPr="00F82B8F" w:rsidRDefault="004910E5" w:rsidP="003707E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p25</w:t>
            </w:r>
          </w:p>
        </w:tc>
        <w:tc>
          <w:tcPr>
            <w:tcW w:w="1220" w:type="dxa"/>
            <w:tcBorders>
              <w:bottom w:val="single" w:sz="4" w:space="0" w:color="auto"/>
            </w:tcBorders>
            <w:shd w:val="clear" w:color="auto" w:fill="auto"/>
            <w:noWrap/>
          </w:tcPr>
          <w:p w14:paraId="08A3723A" w14:textId="4E721BC0" w:rsidR="004910E5" w:rsidRPr="00F82B8F" w:rsidRDefault="004910E5" w:rsidP="003707E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p50</w:t>
            </w:r>
          </w:p>
        </w:tc>
        <w:tc>
          <w:tcPr>
            <w:tcW w:w="1220" w:type="dxa"/>
            <w:tcBorders>
              <w:bottom w:val="single" w:sz="4" w:space="0" w:color="auto"/>
            </w:tcBorders>
            <w:shd w:val="clear" w:color="auto" w:fill="auto"/>
            <w:noWrap/>
          </w:tcPr>
          <w:p w14:paraId="0161C735" w14:textId="0A9F782F" w:rsidR="004910E5" w:rsidRPr="00F82B8F" w:rsidRDefault="004910E5" w:rsidP="003707E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p75</w:t>
            </w:r>
          </w:p>
        </w:tc>
        <w:tc>
          <w:tcPr>
            <w:tcW w:w="1220" w:type="dxa"/>
            <w:tcBorders>
              <w:bottom w:val="single" w:sz="4" w:space="0" w:color="auto"/>
            </w:tcBorders>
            <w:shd w:val="clear" w:color="auto" w:fill="auto"/>
            <w:noWrap/>
          </w:tcPr>
          <w:p w14:paraId="1F23EF35" w14:textId="22D257FA" w:rsidR="004910E5" w:rsidRPr="00F82B8F" w:rsidRDefault="004910E5" w:rsidP="003707E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p95</w:t>
            </w:r>
          </w:p>
        </w:tc>
      </w:tr>
      <w:tr w:rsidR="009F7458" w:rsidRPr="008573D2" w14:paraId="0AC59455" w14:textId="77777777" w:rsidTr="00F45BC4">
        <w:trPr>
          <w:trHeight w:val="300"/>
          <w:jc w:val="center"/>
        </w:trPr>
        <w:tc>
          <w:tcPr>
            <w:tcW w:w="1138" w:type="dxa"/>
            <w:tcBorders>
              <w:top w:val="single" w:sz="4" w:space="0" w:color="auto"/>
            </w:tcBorders>
            <w:shd w:val="clear" w:color="auto" w:fill="auto"/>
            <w:noWrap/>
            <w:vAlign w:val="bottom"/>
            <w:hideMark/>
          </w:tcPr>
          <w:p w14:paraId="69C9CCFF" w14:textId="497F7F0F" w:rsidR="009F7458" w:rsidRPr="00F82B8F" w:rsidRDefault="009F7458" w:rsidP="009F7458">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LDX</w:t>
            </w:r>
          </w:p>
        </w:tc>
        <w:tc>
          <w:tcPr>
            <w:tcW w:w="1220" w:type="dxa"/>
            <w:tcBorders>
              <w:top w:val="single" w:sz="4" w:space="0" w:color="auto"/>
            </w:tcBorders>
            <w:shd w:val="clear" w:color="auto" w:fill="auto"/>
            <w:noWrap/>
            <w:vAlign w:val="bottom"/>
          </w:tcPr>
          <w:p w14:paraId="52DF160C" w14:textId="556857F2"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8.5515</w:t>
            </w:r>
          </w:p>
        </w:tc>
        <w:tc>
          <w:tcPr>
            <w:tcW w:w="1220" w:type="dxa"/>
            <w:tcBorders>
              <w:top w:val="single" w:sz="4" w:space="0" w:color="auto"/>
            </w:tcBorders>
            <w:shd w:val="clear" w:color="auto" w:fill="auto"/>
            <w:noWrap/>
            <w:vAlign w:val="bottom"/>
          </w:tcPr>
          <w:p w14:paraId="535DB5BB" w14:textId="1F02C0D9"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1.3457</w:t>
            </w:r>
          </w:p>
        </w:tc>
        <w:tc>
          <w:tcPr>
            <w:tcW w:w="1220" w:type="dxa"/>
            <w:tcBorders>
              <w:top w:val="single" w:sz="4" w:space="0" w:color="auto"/>
            </w:tcBorders>
            <w:shd w:val="clear" w:color="auto" w:fill="auto"/>
            <w:noWrap/>
            <w:vAlign w:val="bottom"/>
          </w:tcPr>
          <w:p w14:paraId="4D11ABF0" w14:textId="47AD07D1"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7.3834</w:t>
            </w:r>
          </w:p>
        </w:tc>
        <w:tc>
          <w:tcPr>
            <w:tcW w:w="1220" w:type="dxa"/>
            <w:tcBorders>
              <w:top w:val="single" w:sz="4" w:space="0" w:color="auto"/>
            </w:tcBorders>
            <w:shd w:val="clear" w:color="auto" w:fill="auto"/>
            <w:noWrap/>
            <w:vAlign w:val="bottom"/>
          </w:tcPr>
          <w:p w14:paraId="39FDEA55" w14:textId="5411C59A"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8.5869</w:t>
            </w:r>
          </w:p>
        </w:tc>
        <w:tc>
          <w:tcPr>
            <w:tcW w:w="1220" w:type="dxa"/>
            <w:tcBorders>
              <w:top w:val="single" w:sz="4" w:space="0" w:color="auto"/>
            </w:tcBorders>
            <w:shd w:val="clear" w:color="auto" w:fill="auto"/>
            <w:noWrap/>
            <w:vAlign w:val="bottom"/>
          </w:tcPr>
          <w:p w14:paraId="5D13980B" w14:textId="48D67545"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9.2972</w:t>
            </w:r>
          </w:p>
        </w:tc>
        <w:tc>
          <w:tcPr>
            <w:tcW w:w="1220" w:type="dxa"/>
            <w:tcBorders>
              <w:top w:val="single" w:sz="4" w:space="0" w:color="auto"/>
            </w:tcBorders>
            <w:shd w:val="clear" w:color="auto" w:fill="auto"/>
            <w:noWrap/>
            <w:vAlign w:val="bottom"/>
          </w:tcPr>
          <w:p w14:paraId="53BCBDAE" w14:textId="665DA71D"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10.9485</w:t>
            </w:r>
          </w:p>
        </w:tc>
      </w:tr>
      <w:tr w:rsidR="009F7458" w:rsidRPr="008573D2" w14:paraId="32ABF4BD" w14:textId="77777777" w:rsidTr="00F45BC4">
        <w:trPr>
          <w:trHeight w:val="300"/>
          <w:jc w:val="center"/>
        </w:trPr>
        <w:tc>
          <w:tcPr>
            <w:tcW w:w="1138" w:type="dxa"/>
            <w:shd w:val="clear" w:color="auto" w:fill="auto"/>
            <w:noWrap/>
            <w:vAlign w:val="bottom"/>
            <w:hideMark/>
          </w:tcPr>
          <w:p w14:paraId="58D8255E" w14:textId="2F020088" w:rsidR="009F7458" w:rsidRPr="00F82B8F" w:rsidRDefault="009F7458" w:rsidP="009F7458">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 xml:space="preserve">LGX  </w:t>
            </w:r>
          </w:p>
        </w:tc>
        <w:tc>
          <w:tcPr>
            <w:tcW w:w="1220" w:type="dxa"/>
            <w:shd w:val="clear" w:color="auto" w:fill="auto"/>
            <w:noWrap/>
            <w:vAlign w:val="bottom"/>
          </w:tcPr>
          <w:p w14:paraId="661F1D30" w14:textId="31E0F594"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1.6114</w:t>
            </w:r>
          </w:p>
        </w:tc>
        <w:tc>
          <w:tcPr>
            <w:tcW w:w="1220" w:type="dxa"/>
            <w:shd w:val="clear" w:color="auto" w:fill="auto"/>
            <w:noWrap/>
            <w:vAlign w:val="bottom"/>
          </w:tcPr>
          <w:p w14:paraId="52AFB0E6" w14:textId="1E39F3C7"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0.4515</w:t>
            </w:r>
          </w:p>
        </w:tc>
        <w:tc>
          <w:tcPr>
            <w:tcW w:w="1220" w:type="dxa"/>
            <w:shd w:val="clear" w:color="auto" w:fill="auto"/>
            <w:noWrap/>
            <w:vAlign w:val="bottom"/>
          </w:tcPr>
          <w:p w14:paraId="39224810" w14:textId="3049D7EF"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1.3629</w:t>
            </w:r>
          </w:p>
        </w:tc>
        <w:tc>
          <w:tcPr>
            <w:tcW w:w="1220" w:type="dxa"/>
            <w:shd w:val="clear" w:color="auto" w:fill="auto"/>
            <w:noWrap/>
            <w:vAlign w:val="bottom"/>
          </w:tcPr>
          <w:p w14:paraId="733365DA" w14:textId="1BEDBFF9"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1.5457</w:t>
            </w:r>
          </w:p>
        </w:tc>
        <w:tc>
          <w:tcPr>
            <w:tcW w:w="1220" w:type="dxa"/>
            <w:shd w:val="clear" w:color="auto" w:fill="auto"/>
            <w:noWrap/>
            <w:vAlign w:val="bottom"/>
          </w:tcPr>
          <w:p w14:paraId="15D74672" w14:textId="0AEA6643"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1.7760</w:t>
            </w:r>
          </w:p>
        </w:tc>
        <w:tc>
          <w:tcPr>
            <w:tcW w:w="1220" w:type="dxa"/>
            <w:shd w:val="clear" w:color="auto" w:fill="auto"/>
            <w:noWrap/>
            <w:vAlign w:val="bottom"/>
          </w:tcPr>
          <w:p w14:paraId="7EB64CC4" w14:textId="5D61D1A9"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2.8221</w:t>
            </w:r>
          </w:p>
        </w:tc>
      </w:tr>
      <w:tr w:rsidR="009F7458" w:rsidRPr="008573D2" w14:paraId="46258BBE" w14:textId="77777777" w:rsidTr="00F45BC4">
        <w:trPr>
          <w:trHeight w:val="300"/>
          <w:jc w:val="center"/>
        </w:trPr>
        <w:tc>
          <w:tcPr>
            <w:tcW w:w="1138" w:type="dxa"/>
            <w:shd w:val="clear" w:color="auto" w:fill="auto"/>
            <w:noWrap/>
            <w:vAlign w:val="bottom"/>
            <w:hideMark/>
          </w:tcPr>
          <w:p w14:paraId="09D8C21E" w14:textId="7A203546" w:rsidR="009F7458" w:rsidRPr="00F82B8F" w:rsidRDefault="009F7458" w:rsidP="009F7458">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RET</w:t>
            </w:r>
          </w:p>
        </w:tc>
        <w:tc>
          <w:tcPr>
            <w:tcW w:w="1220" w:type="dxa"/>
            <w:shd w:val="clear" w:color="auto" w:fill="auto"/>
            <w:noWrap/>
            <w:vAlign w:val="bottom"/>
          </w:tcPr>
          <w:p w14:paraId="7DAF565D" w14:textId="0CB51883"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-0.0003</w:t>
            </w:r>
          </w:p>
        </w:tc>
        <w:tc>
          <w:tcPr>
            <w:tcW w:w="1220" w:type="dxa"/>
            <w:shd w:val="clear" w:color="auto" w:fill="auto"/>
            <w:noWrap/>
            <w:vAlign w:val="bottom"/>
          </w:tcPr>
          <w:p w14:paraId="4A91272B" w14:textId="1A7A2472"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0.0171</w:t>
            </w:r>
          </w:p>
        </w:tc>
        <w:tc>
          <w:tcPr>
            <w:tcW w:w="1220" w:type="dxa"/>
            <w:shd w:val="clear" w:color="auto" w:fill="auto"/>
            <w:noWrap/>
            <w:vAlign w:val="bottom"/>
          </w:tcPr>
          <w:p w14:paraId="3D98805A" w14:textId="5AD4EE7F"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-0.0056</w:t>
            </w:r>
          </w:p>
        </w:tc>
        <w:tc>
          <w:tcPr>
            <w:tcW w:w="1220" w:type="dxa"/>
            <w:shd w:val="clear" w:color="auto" w:fill="auto"/>
            <w:noWrap/>
            <w:vAlign w:val="bottom"/>
          </w:tcPr>
          <w:p w14:paraId="1E80CD78" w14:textId="35CE6A1C"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0.0001</w:t>
            </w:r>
          </w:p>
        </w:tc>
        <w:tc>
          <w:tcPr>
            <w:tcW w:w="1220" w:type="dxa"/>
            <w:shd w:val="clear" w:color="auto" w:fill="auto"/>
            <w:noWrap/>
            <w:vAlign w:val="bottom"/>
          </w:tcPr>
          <w:p w14:paraId="4E574717" w14:textId="4AC98432"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0.0068</w:t>
            </w:r>
          </w:p>
        </w:tc>
        <w:tc>
          <w:tcPr>
            <w:tcW w:w="1220" w:type="dxa"/>
            <w:shd w:val="clear" w:color="auto" w:fill="auto"/>
            <w:noWrap/>
            <w:vAlign w:val="bottom"/>
          </w:tcPr>
          <w:p w14:paraId="054F16AD" w14:textId="2FE14BB4"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0.0213</w:t>
            </w:r>
          </w:p>
        </w:tc>
      </w:tr>
      <w:tr w:rsidR="009F7458" w:rsidRPr="008573D2" w14:paraId="7CA73F30" w14:textId="77777777" w:rsidTr="00F45BC4">
        <w:trPr>
          <w:trHeight w:val="300"/>
          <w:jc w:val="center"/>
        </w:trPr>
        <w:tc>
          <w:tcPr>
            <w:tcW w:w="1138" w:type="dxa"/>
            <w:shd w:val="clear" w:color="auto" w:fill="auto"/>
            <w:noWrap/>
            <w:vAlign w:val="bottom"/>
            <w:hideMark/>
          </w:tcPr>
          <w:p w14:paraId="296EC7E6" w14:textId="220DBEE8" w:rsidR="009F7458" w:rsidRPr="00F82B8F" w:rsidRDefault="009F7458" w:rsidP="009F7458">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LVO</w:t>
            </w:r>
          </w:p>
        </w:tc>
        <w:tc>
          <w:tcPr>
            <w:tcW w:w="1220" w:type="dxa"/>
            <w:shd w:val="clear" w:color="auto" w:fill="auto"/>
            <w:noWrap/>
            <w:vAlign w:val="bottom"/>
          </w:tcPr>
          <w:p w14:paraId="491578EF" w14:textId="7122148D"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12.5034</w:t>
            </w:r>
          </w:p>
        </w:tc>
        <w:tc>
          <w:tcPr>
            <w:tcW w:w="1220" w:type="dxa"/>
            <w:shd w:val="clear" w:color="auto" w:fill="auto"/>
            <w:noWrap/>
            <w:vAlign w:val="bottom"/>
          </w:tcPr>
          <w:p w14:paraId="57CD51F3" w14:textId="437B4F19"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2.8683</w:t>
            </w:r>
          </w:p>
        </w:tc>
        <w:tc>
          <w:tcPr>
            <w:tcW w:w="1220" w:type="dxa"/>
            <w:shd w:val="clear" w:color="auto" w:fill="auto"/>
            <w:noWrap/>
            <w:vAlign w:val="bottom"/>
          </w:tcPr>
          <w:p w14:paraId="7ACDAB0B" w14:textId="6C963EE2"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10.9516</w:t>
            </w:r>
          </w:p>
        </w:tc>
        <w:tc>
          <w:tcPr>
            <w:tcW w:w="1220" w:type="dxa"/>
            <w:shd w:val="clear" w:color="auto" w:fill="auto"/>
            <w:noWrap/>
            <w:vAlign w:val="bottom"/>
          </w:tcPr>
          <w:p w14:paraId="3F27C80C" w14:textId="5AF744E8"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12.1884</w:t>
            </w:r>
          </w:p>
        </w:tc>
        <w:tc>
          <w:tcPr>
            <w:tcW w:w="1220" w:type="dxa"/>
            <w:shd w:val="clear" w:color="auto" w:fill="auto"/>
            <w:noWrap/>
            <w:vAlign w:val="bottom"/>
          </w:tcPr>
          <w:p w14:paraId="7432425B" w14:textId="5B1B6C32"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13.7328</w:t>
            </w:r>
          </w:p>
        </w:tc>
        <w:tc>
          <w:tcPr>
            <w:tcW w:w="1220" w:type="dxa"/>
            <w:shd w:val="clear" w:color="auto" w:fill="auto"/>
            <w:noWrap/>
            <w:vAlign w:val="bottom"/>
          </w:tcPr>
          <w:p w14:paraId="4728A0A2" w14:textId="461293EE"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18.9514</w:t>
            </w:r>
          </w:p>
        </w:tc>
      </w:tr>
      <w:tr w:rsidR="009F7458" w:rsidRPr="008573D2" w14:paraId="58806370" w14:textId="77777777" w:rsidTr="00F45BC4">
        <w:trPr>
          <w:trHeight w:val="300"/>
          <w:jc w:val="center"/>
        </w:trPr>
        <w:tc>
          <w:tcPr>
            <w:tcW w:w="1138" w:type="dxa"/>
            <w:shd w:val="clear" w:color="auto" w:fill="auto"/>
            <w:noWrap/>
            <w:vAlign w:val="bottom"/>
            <w:hideMark/>
          </w:tcPr>
          <w:p w14:paraId="37301A8F" w14:textId="0A8D4F5F" w:rsidR="009F7458" w:rsidRPr="00F82B8F" w:rsidRDefault="009F7458" w:rsidP="009F7458">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LVX</w:t>
            </w:r>
          </w:p>
        </w:tc>
        <w:tc>
          <w:tcPr>
            <w:tcW w:w="1220" w:type="dxa"/>
            <w:shd w:val="clear" w:color="auto" w:fill="auto"/>
            <w:noWrap/>
            <w:vAlign w:val="bottom"/>
          </w:tcPr>
          <w:p w14:paraId="4BEE42BE" w14:textId="51C1DC2A"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3.0428</w:t>
            </w:r>
          </w:p>
        </w:tc>
        <w:tc>
          <w:tcPr>
            <w:tcW w:w="1220" w:type="dxa"/>
            <w:shd w:val="clear" w:color="auto" w:fill="auto"/>
            <w:noWrap/>
            <w:vAlign w:val="bottom"/>
          </w:tcPr>
          <w:p w14:paraId="0E83569B" w14:textId="152814C5"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0.4834</w:t>
            </w:r>
          </w:p>
        </w:tc>
        <w:tc>
          <w:tcPr>
            <w:tcW w:w="1220" w:type="dxa"/>
            <w:shd w:val="clear" w:color="auto" w:fill="auto"/>
            <w:noWrap/>
            <w:vAlign w:val="bottom"/>
          </w:tcPr>
          <w:p w14:paraId="5F9E3B25" w14:textId="3DB1976B"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2.6203</w:t>
            </w:r>
          </w:p>
        </w:tc>
        <w:tc>
          <w:tcPr>
            <w:tcW w:w="1220" w:type="dxa"/>
            <w:shd w:val="clear" w:color="auto" w:fill="auto"/>
            <w:noWrap/>
            <w:vAlign w:val="bottom"/>
          </w:tcPr>
          <w:p w14:paraId="544FD52E" w14:textId="610AB325"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2.8887</w:t>
            </w:r>
          </w:p>
        </w:tc>
        <w:tc>
          <w:tcPr>
            <w:tcW w:w="1220" w:type="dxa"/>
            <w:shd w:val="clear" w:color="auto" w:fill="auto"/>
            <w:noWrap/>
            <w:vAlign w:val="bottom"/>
          </w:tcPr>
          <w:p w14:paraId="15B21E47" w14:textId="72877305"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3.3820</w:t>
            </w:r>
          </w:p>
        </w:tc>
        <w:tc>
          <w:tcPr>
            <w:tcW w:w="1220" w:type="dxa"/>
            <w:shd w:val="clear" w:color="auto" w:fill="auto"/>
            <w:noWrap/>
            <w:vAlign w:val="bottom"/>
          </w:tcPr>
          <w:p w14:paraId="6D405817" w14:textId="51548C30"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3.9975</w:t>
            </w:r>
          </w:p>
        </w:tc>
      </w:tr>
      <w:tr w:rsidR="009F7458" w:rsidRPr="008573D2" w14:paraId="5C7FBB6C" w14:textId="77777777" w:rsidTr="00F45BC4">
        <w:trPr>
          <w:trHeight w:val="300"/>
          <w:jc w:val="center"/>
        </w:trPr>
        <w:tc>
          <w:tcPr>
            <w:tcW w:w="1138" w:type="dxa"/>
            <w:shd w:val="clear" w:color="auto" w:fill="auto"/>
            <w:noWrap/>
            <w:vAlign w:val="bottom"/>
            <w:hideMark/>
          </w:tcPr>
          <w:p w14:paraId="5073ADE8" w14:textId="6E8947D1" w:rsidR="009F7458" w:rsidRPr="00F82B8F" w:rsidRDefault="009F7458" w:rsidP="009F7458">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RVX</w:t>
            </w:r>
          </w:p>
        </w:tc>
        <w:tc>
          <w:tcPr>
            <w:tcW w:w="1220" w:type="dxa"/>
            <w:shd w:val="clear" w:color="auto" w:fill="auto"/>
            <w:noWrap/>
            <w:vAlign w:val="bottom"/>
          </w:tcPr>
          <w:p w14:paraId="327A4522" w14:textId="3392F391"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0.0015</w:t>
            </w:r>
          </w:p>
        </w:tc>
        <w:tc>
          <w:tcPr>
            <w:tcW w:w="1220" w:type="dxa"/>
            <w:shd w:val="clear" w:color="auto" w:fill="auto"/>
            <w:noWrap/>
            <w:vAlign w:val="bottom"/>
          </w:tcPr>
          <w:p w14:paraId="17BAEA65" w14:textId="2796CB42"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0.0906</w:t>
            </w:r>
          </w:p>
        </w:tc>
        <w:tc>
          <w:tcPr>
            <w:tcW w:w="1220" w:type="dxa"/>
            <w:shd w:val="clear" w:color="auto" w:fill="auto"/>
            <w:noWrap/>
            <w:vAlign w:val="bottom"/>
          </w:tcPr>
          <w:p w14:paraId="78BED6C7" w14:textId="5F0064B0"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-0.0541</w:t>
            </w:r>
          </w:p>
        </w:tc>
        <w:tc>
          <w:tcPr>
            <w:tcW w:w="1220" w:type="dxa"/>
            <w:shd w:val="clear" w:color="auto" w:fill="auto"/>
            <w:noWrap/>
            <w:vAlign w:val="bottom"/>
          </w:tcPr>
          <w:p w14:paraId="4C428DAF" w14:textId="2D23993E"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-0.0071</w:t>
            </w:r>
          </w:p>
        </w:tc>
        <w:tc>
          <w:tcPr>
            <w:tcW w:w="1220" w:type="dxa"/>
            <w:shd w:val="clear" w:color="auto" w:fill="auto"/>
            <w:noWrap/>
            <w:vAlign w:val="bottom"/>
          </w:tcPr>
          <w:p w14:paraId="30425EB2" w14:textId="49BAA92D"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0.0363</w:t>
            </w:r>
          </w:p>
        </w:tc>
        <w:tc>
          <w:tcPr>
            <w:tcW w:w="1220" w:type="dxa"/>
            <w:shd w:val="clear" w:color="auto" w:fill="auto"/>
            <w:noWrap/>
            <w:vAlign w:val="bottom"/>
          </w:tcPr>
          <w:p w14:paraId="7D37B09F" w14:textId="18F91265"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0.1651</w:t>
            </w:r>
          </w:p>
        </w:tc>
      </w:tr>
      <w:tr w:rsidR="009F7458" w:rsidRPr="008573D2" w14:paraId="783C367C" w14:textId="77777777" w:rsidTr="00F45BC4">
        <w:trPr>
          <w:trHeight w:val="300"/>
          <w:jc w:val="center"/>
        </w:trPr>
        <w:tc>
          <w:tcPr>
            <w:tcW w:w="1138" w:type="dxa"/>
            <w:shd w:val="clear" w:color="auto" w:fill="auto"/>
            <w:noWrap/>
            <w:vAlign w:val="bottom"/>
            <w:hideMark/>
          </w:tcPr>
          <w:p w14:paraId="2EBA09AA" w14:textId="144E653F" w:rsidR="009F7458" w:rsidRPr="00F82B8F" w:rsidRDefault="009F7458" w:rsidP="009F7458">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RMW</w:t>
            </w:r>
          </w:p>
        </w:tc>
        <w:tc>
          <w:tcPr>
            <w:tcW w:w="1220" w:type="dxa"/>
            <w:shd w:val="clear" w:color="auto" w:fill="auto"/>
            <w:noWrap/>
            <w:vAlign w:val="bottom"/>
          </w:tcPr>
          <w:p w14:paraId="64A85ED3" w14:textId="26436783"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0.0003</w:t>
            </w:r>
          </w:p>
        </w:tc>
        <w:tc>
          <w:tcPr>
            <w:tcW w:w="1220" w:type="dxa"/>
            <w:shd w:val="clear" w:color="auto" w:fill="auto"/>
            <w:noWrap/>
            <w:vAlign w:val="bottom"/>
          </w:tcPr>
          <w:p w14:paraId="2A4ABF76" w14:textId="02E6D6A0"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0.0168</w:t>
            </w:r>
          </w:p>
        </w:tc>
        <w:tc>
          <w:tcPr>
            <w:tcW w:w="1220" w:type="dxa"/>
            <w:shd w:val="clear" w:color="auto" w:fill="auto"/>
            <w:noWrap/>
            <w:vAlign w:val="bottom"/>
          </w:tcPr>
          <w:p w14:paraId="109FE08C" w14:textId="6CC456EB"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-0.0037</w:t>
            </w:r>
          </w:p>
        </w:tc>
        <w:tc>
          <w:tcPr>
            <w:tcW w:w="1220" w:type="dxa"/>
            <w:shd w:val="clear" w:color="auto" w:fill="auto"/>
            <w:noWrap/>
            <w:vAlign w:val="bottom"/>
          </w:tcPr>
          <w:p w14:paraId="607603B2" w14:textId="43476850"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0.0009</w:t>
            </w:r>
          </w:p>
        </w:tc>
        <w:tc>
          <w:tcPr>
            <w:tcW w:w="1220" w:type="dxa"/>
            <w:shd w:val="clear" w:color="auto" w:fill="auto"/>
            <w:noWrap/>
            <w:vAlign w:val="bottom"/>
          </w:tcPr>
          <w:p w14:paraId="2A789D48" w14:textId="2579A80B"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0.0061</w:t>
            </w:r>
          </w:p>
        </w:tc>
        <w:tc>
          <w:tcPr>
            <w:tcW w:w="1220" w:type="dxa"/>
            <w:shd w:val="clear" w:color="auto" w:fill="auto"/>
            <w:noWrap/>
            <w:vAlign w:val="bottom"/>
          </w:tcPr>
          <w:p w14:paraId="70368FEC" w14:textId="473085D0"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0.0232</w:t>
            </w:r>
          </w:p>
        </w:tc>
      </w:tr>
      <w:tr w:rsidR="009F7458" w:rsidRPr="008573D2" w14:paraId="5BA4DEA3" w14:textId="77777777" w:rsidTr="00F45BC4">
        <w:trPr>
          <w:trHeight w:val="300"/>
          <w:jc w:val="center"/>
        </w:trPr>
        <w:tc>
          <w:tcPr>
            <w:tcW w:w="1138" w:type="dxa"/>
            <w:shd w:val="clear" w:color="auto" w:fill="auto"/>
            <w:noWrap/>
            <w:vAlign w:val="bottom"/>
            <w:hideMark/>
          </w:tcPr>
          <w:p w14:paraId="390326A9" w14:textId="0820C991" w:rsidR="009F7458" w:rsidRPr="00F82B8F" w:rsidRDefault="009F7458" w:rsidP="009F7458">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RME</w:t>
            </w:r>
          </w:p>
        </w:tc>
        <w:tc>
          <w:tcPr>
            <w:tcW w:w="1220" w:type="dxa"/>
            <w:shd w:val="clear" w:color="auto" w:fill="auto"/>
            <w:noWrap/>
            <w:vAlign w:val="bottom"/>
          </w:tcPr>
          <w:p w14:paraId="14BB6C5E" w14:textId="2B8A51E8"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0.0001</w:t>
            </w:r>
          </w:p>
        </w:tc>
        <w:tc>
          <w:tcPr>
            <w:tcW w:w="1220" w:type="dxa"/>
            <w:shd w:val="clear" w:color="auto" w:fill="auto"/>
            <w:noWrap/>
            <w:vAlign w:val="bottom"/>
          </w:tcPr>
          <w:p w14:paraId="753903AC" w14:textId="747506D9"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0.0139</w:t>
            </w:r>
          </w:p>
        </w:tc>
        <w:tc>
          <w:tcPr>
            <w:tcW w:w="1220" w:type="dxa"/>
            <w:shd w:val="clear" w:color="auto" w:fill="auto"/>
            <w:noWrap/>
            <w:vAlign w:val="bottom"/>
          </w:tcPr>
          <w:p w14:paraId="274EE029" w14:textId="48949D4E"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-0.0049</w:t>
            </w:r>
          </w:p>
        </w:tc>
        <w:tc>
          <w:tcPr>
            <w:tcW w:w="1220" w:type="dxa"/>
            <w:shd w:val="clear" w:color="auto" w:fill="auto"/>
            <w:noWrap/>
            <w:vAlign w:val="bottom"/>
          </w:tcPr>
          <w:p w14:paraId="17FA5658" w14:textId="08639786"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0.0006</w:t>
            </w:r>
          </w:p>
        </w:tc>
        <w:tc>
          <w:tcPr>
            <w:tcW w:w="1220" w:type="dxa"/>
            <w:shd w:val="clear" w:color="auto" w:fill="auto"/>
            <w:noWrap/>
            <w:vAlign w:val="bottom"/>
          </w:tcPr>
          <w:p w14:paraId="79CF3273" w14:textId="6FB8AF84"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0.0062</w:t>
            </w:r>
          </w:p>
        </w:tc>
        <w:tc>
          <w:tcPr>
            <w:tcW w:w="1220" w:type="dxa"/>
            <w:shd w:val="clear" w:color="auto" w:fill="auto"/>
            <w:noWrap/>
            <w:vAlign w:val="bottom"/>
          </w:tcPr>
          <w:p w14:paraId="1CCF66BB" w14:textId="1B3251DE"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0.0184</w:t>
            </w:r>
          </w:p>
        </w:tc>
      </w:tr>
      <w:tr w:rsidR="009F7458" w:rsidRPr="008573D2" w14:paraId="591188DE" w14:textId="77777777" w:rsidTr="00F45BC4">
        <w:trPr>
          <w:trHeight w:val="300"/>
          <w:jc w:val="center"/>
        </w:trPr>
        <w:tc>
          <w:tcPr>
            <w:tcW w:w="1138" w:type="dxa"/>
            <w:shd w:val="clear" w:color="auto" w:fill="auto"/>
            <w:noWrap/>
            <w:vAlign w:val="bottom"/>
            <w:hideMark/>
          </w:tcPr>
          <w:p w14:paraId="6C356BFE" w14:textId="77777777" w:rsidR="009F7458" w:rsidRPr="00F82B8F" w:rsidRDefault="009F7458" w:rsidP="009F7458">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MPR</w:t>
            </w:r>
          </w:p>
        </w:tc>
        <w:tc>
          <w:tcPr>
            <w:tcW w:w="1220" w:type="dxa"/>
            <w:shd w:val="clear" w:color="auto" w:fill="auto"/>
            <w:noWrap/>
            <w:vAlign w:val="bottom"/>
          </w:tcPr>
          <w:p w14:paraId="587CCDE8" w14:textId="747B6F50"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2.2344</w:t>
            </w:r>
          </w:p>
        </w:tc>
        <w:tc>
          <w:tcPr>
            <w:tcW w:w="1220" w:type="dxa"/>
            <w:shd w:val="clear" w:color="auto" w:fill="auto"/>
            <w:noWrap/>
            <w:vAlign w:val="bottom"/>
          </w:tcPr>
          <w:p w14:paraId="46F42701" w14:textId="3E6A3CB5"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3.3537</w:t>
            </w:r>
          </w:p>
        </w:tc>
        <w:tc>
          <w:tcPr>
            <w:tcW w:w="1220" w:type="dxa"/>
            <w:shd w:val="clear" w:color="auto" w:fill="auto"/>
            <w:noWrap/>
            <w:vAlign w:val="bottom"/>
          </w:tcPr>
          <w:p w14:paraId="1F893685" w14:textId="0CA7D448"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0.0000</w:t>
            </w:r>
          </w:p>
        </w:tc>
        <w:tc>
          <w:tcPr>
            <w:tcW w:w="1220" w:type="dxa"/>
            <w:shd w:val="clear" w:color="auto" w:fill="auto"/>
            <w:noWrap/>
            <w:vAlign w:val="bottom"/>
          </w:tcPr>
          <w:p w14:paraId="6DFD4808" w14:textId="1D87908C"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0.9000</w:t>
            </w:r>
          </w:p>
        </w:tc>
        <w:tc>
          <w:tcPr>
            <w:tcW w:w="1220" w:type="dxa"/>
            <w:shd w:val="clear" w:color="auto" w:fill="auto"/>
            <w:noWrap/>
            <w:vAlign w:val="bottom"/>
          </w:tcPr>
          <w:p w14:paraId="28C15232" w14:textId="74C0FBC9"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3.7500</w:t>
            </w:r>
          </w:p>
        </w:tc>
        <w:tc>
          <w:tcPr>
            <w:tcW w:w="1220" w:type="dxa"/>
            <w:shd w:val="clear" w:color="auto" w:fill="auto"/>
            <w:noWrap/>
            <w:vAlign w:val="bottom"/>
          </w:tcPr>
          <w:p w14:paraId="1B7B023C" w14:textId="2A883F50"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9.2500</w:t>
            </w:r>
          </w:p>
        </w:tc>
      </w:tr>
      <w:tr w:rsidR="009F7458" w:rsidRPr="008573D2" w14:paraId="2DFFD730" w14:textId="77777777" w:rsidTr="00F45BC4">
        <w:trPr>
          <w:trHeight w:val="300"/>
          <w:jc w:val="center"/>
        </w:trPr>
        <w:tc>
          <w:tcPr>
            <w:tcW w:w="1138" w:type="dxa"/>
            <w:shd w:val="clear" w:color="auto" w:fill="auto"/>
            <w:noWrap/>
            <w:vAlign w:val="bottom"/>
            <w:hideMark/>
          </w:tcPr>
          <w:p w14:paraId="72A09BC6" w14:textId="77777777" w:rsidR="009F7458" w:rsidRPr="00F82B8F" w:rsidRDefault="009F7458" w:rsidP="009F7458">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LOP</w:t>
            </w:r>
          </w:p>
        </w:tc>
        <w:tc>
          <w:tcPr>
            <w:tcW w:w="1220" w:type="dxa"/>
            <w:shd w:val="clear" w:color="auto" w:fill="auto"/>
            <w:noWrap/>
            <w:vAlign w:val="bottom"/>
          </w:tcPr>
          <w:p w14:paraId="1684ECF9" w14:textId="47F1AC1D"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3.7817</w:t>
            </w:r>
          </w:p>
        </w:tc>
        <w:tc>
          <w:tcPr>
            <w:tcW w:w="1220" w:type="dxa"/>
            <w:shd w:val="clear" w:color="auto" w:fill="auto"/>
            <w:noWrap/>
            <w:vAlign w:val="bottom"/>
          </w:tcPr>
          <w:p w14:paraId="0483D19F" w14:textId="1D64BC63"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0.3724</w:t>
            </w:r>
          </w:p>
        </w:tc>
        <w:tc>
          <w:tcPr>
            <w:tcW w:w="1220" w:type="dxa"/>
            <w:shd w:val="clear" w:color="auto" w:fill="auto"/>
            <w:noWrap/>
            <w:vAlign w:val="bottom"/>
          </w:tcPr>
          <w:p w14:paraId="500D66F9" w14:textId="3C9BF25D"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3.6595</w:t>
            </w:r>
          </w:p>
        </w:tc>
        <w:tc>
          <w:tcPr>
            <w:tcW w:w="1220" w:type="dxa"/>
            <w:shd w:val="clear" w:color="auto" w:fill="auto"/>
            <w:noWrap/>
            <w:vAlign w:val="bottom"/>
          </w:tcPr>
          <w:p w14:paraId="2D3450B9" w14:textId="45ADAFCE"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3.9691</w:t>
            </w:r>
          </w:p>
        </w:tc>
        <w:tc>
          <w:tcPr>
            <w:tcW w:w="1220" w:type="dxa"/>
            <w:shd w:val="clear" w:color="auto" w:fill="auto"/>
            <w:noWrap/>
            <w:vAlign w:val="bottom"/>
          </w:tcPr>
          <w:p w14:paraId="4B09A31F" w14:textId="333E3965"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4.0367</w:t>
            </w:r>
          </w:p>
        </w:tc>
        <w:tc>
          <w:tcPr>
            <w:tcW w:w="1220" w:type="dxa"/>
            <w:shd w:val="clear" w:color="auto" w:fill="auto"/>
            <w:noWrap/>
            <w:vAlign w:val="bottom"/>
          </w:tcPr>
          <w:p w14:paraId="4BC3B4E7" w14:textId="752C9D12"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4.1097</w:t>
            </w:r>
          </w:p>
        </w:tc>
      </w:tr>
      <w:tr w:rsidR="009F7458" w:rsidRPr="008573D2" w14:paraId="53AEE7D7" w14:textId="77777777" w:rsidTr="00F45BC4">
        <w:trPr>
          <w:trHeight w:val="300"/>
          <w:jc w:val="center"/>
        </w:trPr>
        <w:tc>
          <w:tcPr>
            <w:tcW w:w="1138" w:type="dxa"/>
            <w:shd w:val="clear" w:color="auto" w:fill="auto"/>
            <w:noWrap/>
            <w:vAlign w:val="bottom"/>
            <w:hideMark/>
          </w:tcPr>
          <w:p w14:paraId="4AEF1B09" w14:textId="77777777" w:rsidR="009F7458" w:rsidRPr="00F82B8F" w:rsidRDefault="009F7458" w:rsidP="009F7458">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LGD</w:t>
            </w:r>
          </w:p>
        </w:tc>
        <w:tc>
          <w:tcPr>
            <w:tcW w:w="1220" w:type="dxa"/>
            <w:shd w:val="clear" w:color="auto" w:fill="auto"/>
            <w:noWrap/>
            <w:vAlign w:val="bottom"/>
          </w:tcPr>
          <w:p w14:paraId="51ED16DD" w14:textId="4B92C362"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5.5954</w:t>
            </w:r>
          </w:p>
        </w:tc>
        <w:tc>
          <w:tcPr>
            <w:tcW w:w="1220" w:type="dxa"/>
            <w:shd w:val="clear" w:color="auto" w:fill="auto"/>
            <w:noWrap/>
            <w:vAlign w:val="bottom"/>
          </w:tcPr>
          <w:p w14:paraId="0F92FA06" w14:textId="585E6C94"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1.4127</w:t>
            </w:r>
          </w:p>
        </w:tc>
        <w:tc>
          <w:tcPr>
            <w:tcW w:w="1220" w:type="dxa"/>
            <w:shd w:val="clear" w:color="auto" w:fill="auto"/>
            <w:noWrap/>
            <w:vAlign w:val="bottom"/>
          </w:tcPr>
          <w:p w14:paraId="148E7493" w14:textId="39784BC6"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4.5333</w:t>
            </w:r>
          </w:p>
        </w:tc>
        <w:tc>
          <w:tcPr>
            <w:tcW w:w="1220" w:type="dxa"/>
            <w:shd w:val="clear" w:color="auto" w:fill="auto"/>
            <w:noWrap/>
            <w:vAlign w:val="bottom"/>
          </w:tcPr>
          <w:p w14:paraId="381AEE50" w14:textId="56FFB4E2"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5.1880</w:t>
            </w:r>
          </w:p>
        </w:tc>
        <w:tc>
          <w:tcPr>
            <w:tcW w:w="1220" w:type="dxa"/>
            <w:shd w:val="clear" w:color="auto" w:fill="auto"/>
            <w:noWrap/>
            <w:vAlign w:val="bottom"/>
          </w:tcPr>
          <w:p w14:paraId="7C3554C4" w14:textId="2ACB26A8"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6.3749</w:t>
            </w:r>
          </w:p>
        </w:tc>
        <w:tc>
          <w:tcPr>
            <w:tcW w:w="1220" w:type="dxa"/>
            <w:shd w:val="clear" w:color="auto" w:fill="auto"/>
            <w:noWrap/>
            <w:vAlign w:val="bottom"/>
          </w:tcPr>
          <w:p w14:paraId="2501DE03" w14:textId="4E96CBBA"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8.4725</w:t>
            </w:r>
          </w:p>
        </w:tc>
      </w:tr>
      <w:tr w:rsidR="009F7458" w:rsidRPr="008573D2" w14:paraId="73796819" w14:textId="77777777" w:rsidTr="00F45BC4">
        <w:trPr>
          <w:trHeight w:val="300"/>
          <w:jc w:val="center"/>
        </w:trPr>
        <w:tc>
          <w:tcPr>
            <w:tcW w:w="1138" w:type="dxa"/>
            <w:shd w:val="clear" w:color="auto" w:fill="auto"/>
            <w:noWrap/>
            <w:vAlign w:val="bottom"/>
          </w:tcPr>
          <w:p w14:paraId="111C2927" w14:textId="77777777" w:rsidR="009F7458" w:rsidRPr="00F82B8F" w:rsidRDefault="009F7458" w:rsidP="009F7458">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RES</w:t>
            </w:r>
          </w:p>
        </w:tc>
        <w:tc>
          <w:tcPr>
            <w:tcW w:w="1220" w:type="dxa"/>
            <w:shd w:val="clear" w:color="auto" w:fill="auto"/>
            <w:noWrap/>
            <w:vAlign w:val="bottom"/>
          </w:tcPr>
          <w:p w14:paraId="00637F69" w14:textId="0A129077"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4.2159</w:t>
            </w:r>
          </w:p>
        </w:tc>
        <w:tc>
          <w:tcPr>
            <w:tcW w:w="1220" w:type="dxa"/>
            <w:shd w:val="clear" w:color="auto" w:fill="auto"/>
            <w:noWrap/>
            <w:vAlign w:val="bottom"/>
          </w:tcPr>
          <w:p w14:paraId="041B8224" w14:textId="053CDC4F"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0.3383</w:t>
            </w:r>
          </w:p>
        </w:tc>
        <w:tc>
          <w:tcPr>
            <w:tcW w:w="1220" w:type="dxa"/>
            <w:shd w:val="clear" w:color="auto" w:fill="auto"/>
            <w:noWrap/>
            <w:vAlign w:val="bottom"/>
          </w:tcPr>
          <w:p w14:paraId="2E5C4BE3" w14:textId="0ADC6339"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3.8895</w:t>
            </w:r>
          </w:p>
        </w:tc>
        <w:tc>
          <w:tcPr>
            <w:tcW w:w="1220" w:type="dxa"/>
            <w:shd w:val="clear" w:color="auto" w:fill="auto"/>
            <w:noWrap/>
            <w:vAlign w:val="bottom"/>
          </w:tcPr>
          <w:p w14:paraId="25D81D24" w14:textId="43D72EBD"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4.3838</w:t>
            </w:r>
          </w:p>
        </w:tc>
        <w:tc>
          <w:tcPr>
            <w:tcW w:w="1220" w:type="dxa"/>
            <w:shd w:val="clear" w:color="auto" w:fill="auto"/>
            <w:noWrap/>
            <w:vAlign w:val="bottom"/>
          </w:tcPr>
          <w:p w14:paraId="6EE2C149" w14:textId="3128E8DF"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4.5017</w:t>
            </w:r>
          </w:p>
        </w:tc>
        <w:tc>
          <w:tcPr>
            <w:tcW w:w="1220" w:type="dxa"/>
            <w:shd w:val="clear" w:color="auto" w:fill="auto"/>
            <w:noWrap/>
            <w:vAlign w:val="bottom"/>
          </w:tcPr>
          <w:p w14:paraId="0C1DEF7E" w14:textId="097A6F2F"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4.5750</w:t>
            </w:r>
          </w:p>
        </w:tc>
      </w:tr>
      <w:tr w:rsidR="009F7458" w:rsidRPr="008573D2" w14:paraId="2C0538AD" w14:textId="77777777" w:rsidTr="00F45BC4">
        <w:trPr>
          <w:trHeight w:val="300"/>
          <w:jc w:val="center"/>
        </w:trPr>
        <w:tc>
          <w:tcPr>
            <w:tcW w:w="1138" w:type="dxa"/>
            <w:shd w:val="clear" w:color="auto" w:fill="auto"/>
            <w:noWrap/>
            <w:vAlign w:val="bottom"/>
          </w:tcPr>
          <w:p w14:paraId="576C4A14" w14:textId="7803F270" w:rsidR="009F7458" w:rsidRPr="00F82B8F" w:rsidRDefault="009F7458" w:rsidP="009F7458">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CPS</w:t>
            </w:r>
          </w:p>
        </w:tc>
        <w:tc>
          <w:tcPr>
            <w:tcW w:w="1220" w:type="dxa"/>
            <w:shd w:val="clear" w:color="auto" w:fill="auto"/>
            <w:noWrap/>
            <w:vAlign w:val="bottom"/>
          </w:tcPr>
          <w:p w14:paraId="7062BCD3" w14:textId="39080C15"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4.2256</w:t>
            </w:r>
          </w:p>
        </w:tc>
        <w:tc>
          <w:tcPr>
            <w:tcW w:w="1220" w:type="dxa"/>
            <w:shd w:val="clear" w:color="auto" w:fill="auto"/>
            <w:noWrap/>
            <w:vAlign w:val="bottom"/>
          </w:tcPr>
          <w:p w14:paraId="16F2E982" w14:textId="04C44957"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0.1370</w:t>
            </w:r>
          </w:p>
        </w:tc>
        <w:tc>
          <w:tcPr>
            <w:tcW w:w="1220" w:type="dxa"/>
            <w:shd w:val="clear" w:color="auto" w:fill="auto"/>
            <w:noWrap/>
            <w:vAlign w:val="bottom"/>
          </w:tcPr>
          <w:p w14:paraId="7FF4E7A1" w14:textId="793E3B8F"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4.1558</w:t>
            </w:r>
          </w:p>
        </w:tc>
        <w:tc>
          <w:tcPr>
            <w:tcW w:w="1220" w:type="dxa"/>
            <w:shd w:val="clear" w:color="auto" w:fill="auto"/>
            <w:noWrap/>
            <w:vAlign w:val="bottom"/>
          </w:tcPr>
          <w:p w14:paraId="71670FA9" w14:textId="637FDC8D"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4.2503</w:t>
            </w:r>
          </w:p>
        </w:tc>
        <w:tc>
          <w:tcPr>
            <w:tcW w:w="1220" w:type="dxa"/>
            <w:shd w:val="clear" w:color="auto" w:fill="auto"/>
            <w:noWrap/>
            <w:vAlign w:val="bottom"/>
          </w:tcPr>
          <w:p w14:paraId="19D0B01F" w14:textId="3B3CF3F3"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4.3202</w:t>
            </w:r>
          </w:p>
        </w:tc>
        <w:tc>
          <w:tcPr>
            <w:tcW w:w="1220" w:type="dxa"/>
            <w:shd w:val="clear" w:color="auto" w:fill="auto"/>
            <w:noWrap/>
            <w:vAlign w:val="bottom"/>
          </w:tcPr>
          <w:p w14:paraId="76015420" w14:textId="2C678C3E"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4.4055</w:t>
            </w:r>
          </w:p>
        </w:tc>
      </w:tr>
      <w:tr w:rsidR="009F7458" w:rsidRPr="008573D2" w14:paraId="5B8B9ADC" w14:textId="77777777" w:rsidTr="00F45BC4">
        <w:trPr>
          <w:trHeight w:val="300"/>
          <w:jc w:val="center"/>
        </w:trPr>
        <w:tc>
          <w:tcPr>
            <w:tcW w:w="1138" w:type="dxa"/>
            <w:shd w:val="clear" w:color="auto" w:fill="auto"/>
            <w:noWrap/>
            <w:vAlign w:val="bottom"/>
          </w:tcPr>
          <w:p w14:paraId="0CD1AEE2" w14:textId="7E27242A" w:rsidR="009F7458" w:rsidRPr="00F82B8F" w:rsidRDefault="009F7458" w:rsidP="009F7458">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COG</w:t>
            </w:r>
          </w:p>
        </w:tc>
        <w:tc>
          <w:tcPr>
            <w:tcW w:w="1220" w:type="dxa"/>
            <w:shd w:val="clear" w:color="auto" w:fill="auto"/>
            <w:noWrap/>
            <w:vAlign w:val="bottom"/>
          </w:tcPr>
          <w:p w14:paraId="632ED1D7" w14:textId="1B7BEDA2"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4.2810</w:t>
            </w:r>
          </w:p>
        </w:tc>
        <w:tc>
          <w:tcPr>
            <w:tcW w:w="1220" w:type="dxa"/>
            <w:shd w:val="clear" w:color="auto" w:fill="auto"/>
            <w:noWrap/>
            <w:vAlign w:val="bottom"/>
          </w:tcPr>
          <w:p w14:paraId="163518B9" w14:textId="7C5821C9"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0.1904</w:t>
            </w:r>
          </w:p>
        </w:tc>
        <w:tc>
          <w:tcPr>
            <w:tcW w:w="1220" w:type="dxa"/>
            <w:shd w:val="clear" w:color="auto" w:fill="auto"/>
            <w:noWrap/>
            <w:vAlign w:val="bottom"/>
          </w:tcPr>
          <w:p w14:paraId="0E022F1A" w14:textId="5C15163A"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4.1748</w:t>
            </w:r>
          </w:p>
        </w:tc>
        <w:tc>
          <w:tcPr>
            <w:tcW w:w="1220" w:type="dxa"/>
            <w:shd w:val="clear" w:color="auto" w:fill="auto"/>
            <w:noWrap/>
            <w:vAlign w:val="bottom"/>
          </w:tcPr>
          <w:p w14:paraId="04D5AD46" w14:textId="300292CD"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4.3192</w:t>
            </w:r>
          </w:p>
        </w:tc>
        <w:tc>
          <w:tcPr>
            <w:tcW w:w="1220" w:type="dxa"/>
            <w:shd w:val="clear" w:color="auto" w:fill="auto"/>
            <w:noWrap/>
            <w:vAlign w:val="bottom"/>
          </w:tcPr>
          <w:p w14:paraId="14650C15" w14:textId="6DC6933E"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4.4142</w:t>
            </w:r>
          </w:p>
        </w:tc>
        <w:tc>
          <w:tcPr>
            <w:tcW w:w="1220" w:type="dxa"/>
            <w:shd w:val="clear" w:color="auto" w:fill="auto"/>
            <w:noWrap/>
            <w:vAlign w:val="bottom"/>
          </w:tcPr>
          <w:p w14:paraId="038D3735" w14:textId="760BAA61"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4.5801</w:t>
            </w:r>
          </w:p>
        </w:tc>
      </w:tr>
      <w:tr w:rsidR="009F7458" w:rsidRPr="008573D2" w14:paraId="0541131F" w14:textId="77777777" w:rsidTr="00F45BC4">
        <w:trPr>
          <w:trHeight w:val="300"/>
          <w:jc w:val="center"/>
        </w:trPr>
        <w:tc>
          <w:tcPr>
            <w:tcW w:w="1138" w:type="dxa"/>
            <w:shd w:val="clear" w:color="auto" w:fill="auto"/>
            <w:noWrap/>
            <w:vAlign w:val="bottom"/>
          </w:tcPr>
          <w:p w14:paraId="4D0CA82C" w14:textId="73D21362" w:rsidR="009F7458" w:rsidRPr="00F82B8F" w:rsidRDefault="009F7458" w:rsidP="009F7458">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OIN</w:t>
            </w:r>
          </w:p>
        </w:tc>
        <w:tc>
          <w:tcPr>
            <w:tcW w:w="1220" w:type="dxa"/>
            <w:shd w:val="clear" w:color="auto" w:fill="auto"/>
            <w:noWrap/>
            <w:vAlign w:val="bottom"/>
          </w:tcPr>
          <w:p w14:paraId="799C7014" w14:textId="38944AFE"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4.2801</w:t>
            </w:r>
          </w:p>
        </w:tc>
        <w:tc>
          <w:tcPr>
            <w:tcW w:w="1220" w:type="dxa"/>
            <w:shd w:val="clear" w:color="auto" w:fill="auto"/>
            <w:noWrap/>
            <w:vAlign w:val="bottom"/>
          </w:tcPr>
          <w:p w14:paraId="0184B624" w14:textId="2C0DC093"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0.1511</w:t>
            </w:r>
          </w:p>
        </w:tc>
        <w:tc>
          <w:tcPr>
            <w:tcW w:w="1220" w:type="dxa"/>
            <w:shd w:val="clear" w:color="auto" w:fill="auto"/>
            <w:noWrap/>
            <w:vAlign w:val="bottom"/>
          </w:tcPr>
          <w:p w14:paraId="5B4C34C1" w14:textId="26A19A20"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4.1860</w:t>
            </w:r>
          </w:p>
        </w:tc>
        <w:tc>
          <w:tcPr>
            <w:tcW w:w="1220" w:type="dxa"/>
            <w:shd w:val="clear" w:color="auto" w:fill="auto"/>
            <w:noWrap/>
            <w:vAlign w:val="bottom"/>
          </w:tcPr>
          <w:p w14:paraId="1590BA5E" w14:textId="20A2857C"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4.3122</w:t>
            </w:r>
          </w:p>
        </w:tc>
        <w:tc>
          <w:tcPr>
            <w:tcW w:w="1220" w:type="dxa"/>
            <w:shd w:val="clear" w:color="auto" w:fill="auto"/>
            <w:noWrap/>
            <w:vAlign w:val="bottom"/>
          </w:tcPr>
          <w:p w14:paraId="6C4A5674" w14:textId="15E7A0F2"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4.3959</w:t>
            </w:r>
          </w:p>
        </w:tc>
        <w:tc>
          <w:tcPr>
            <w:tcW w:w="1220" w:type="dxa"/>
            <w:shd w:val="clear" w:color="auto" w:fill="auto"/>
            <w:noWrap/>
            <w:vAlign w:val="bottom"/>
          </w:tcPr>
          <w:p w14:paraId="7AE383B8" w14:textId="72160E8C"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4.4443</w:t>
            </w:r>
          </w:p>
        </w:tc>
      </w:tr>
      <w:tr w:rsidR="009F7458" w:rsidRPr="008573D2" w14:paraId="2D1DA4AC" w14:textId="77777777" w:rsidTr="00F45BC4">
        <w:trPr>
          <w:trHeight w:val="300"/>
          <w:jc w:val="center"/>
        </w:trPr>
        <w:tc>
          <w:tcPr>
            <w:tcW w:w="1138" w:type="dxa"/>
            <w:shd w:val="clear" w:color="auto" w:fill="auto"/>
            <w:noWrap/>
            <w:vAlign w:val="bottom"/>
          </w:tcPr>
          <w:p w14:paraId="75B154C1" w14:textId="66DB8673" w:rsidR="009F7458" w:rsidRPr="00F82B8F" w:rsidRDefault="009F7458" w:rsidP="009F7458">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INQ</w:t>
            </w:r>
          </w:p>
        </w:tc>
        <w:tc>
          <w:tcPr>
            <w:tcW w:w="1220" w:type="dxa"/>
            <w:shd w:val="clear" w:color="auto" w:fill="auto"/>
            <w:noWrap/>
            <w:vAlign w:val="bottom"/>
          </w:tcPr>
          <w:p w14:paraId="2F0D78DC" w14:textId="5338F842"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4.3326</w:t>
            </w:r>
          </w:p>
        </w:tc>
        <w:tc>
          <w:tcPr>
            <w:tcW w:w="1220" w:type="dxa"/>
            <w:shd w:val="clear" w:color="auto" w:fill="auto"/>
            <w:noWrap/>
            <w:vAlign w:val="bottom"/>
          </w:tcPr>
          <w:p w14:paraId="32E2566E" w14:textId="4B98EF4A"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0.1893</w:t>
            </w:r>
          </w:p>
        </w:tc>
        <w:tc>
          <w:tcPr>
            <w:tcW w:w="1220" w:type="dxa"/>
            <w:shd w:val="clear" w:color="auto" w:fill="auto"/>
            <w:noWrap/>
            <w:vAlign w:val="bottom"/>
          </w:tcPr>
          <w:p w14:paraId="301A90E1" w14:textId="4520D8A0"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4.1904</w:t>
            </w:r>
          </w:p>
        </w:tc>
        <w:tc>
          <w:tcPr>
            <w:tcW w:w="1220" w:type="dxa"/>
            <w:shd w:val="clear" w:color="auto" w:fill="auto"/>
            <w:noWrap/>
            <w:vAlign w:val="bottom"/>
          </w:tcPr>
          <w:p w14:paraId="0634D631" w14:textId="18235DCD"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4.3668</w:t>
            </w:r>
          </w:p>
        </w:tc>
        <w:tc>
          <w:tcPr>
            <w:tcW w:w="1220" w:type="dxa"/>
            <w:shd w:val="clear" w:color="auto" w:fill="auto"/>
            <w:noWrap/>
            <w:vAlign w:val="bottom"/>
          </w:tcPr>
          <w:p w14:paraId="3409D019" w14:textId="1FD235A0"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4.5019</w:t>
            </w:r>
          </w:p>
        </w:tc>
        <w:tc>
          <w:tcPr>
            <w:tcW w:w="1220" w:type="dxa"/>
            <w:shd w:val="clear" w:color="auto" w:fill="auto"/>
            <w:noWrap/>
            <w:vAlign w:val="bottom"/>
          </w:tcPr>
          <w:p w14:paraId="77810EB1" w14:textId="5E5FFEC9"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4.5689</w:t>
            </w:r>
          </w:p>
        </w:tc>
      </w:tr>
      <w:tr w:rsidR="009F7458" w:rsidRPr="008573D2" w14:paraId="2D3B2BDC" w14:textId="77777777" w:rsidTr="00F45BC4">
        <w:trPr>
          <w:trHeight w:val="300"/>
          <w:jc w:val="center"/>
        </w:trPr>
        <w:tc>
          <w:tcPr>
            <w:tcW w:w="1138" w:type="dxa"/>
            <w:shd w:val="clear" w:color="auto" w:fill="auto"/>
            <w:noWrap/>
            <w:vAlign w:val="bottom"/>
          </w:tcPr>
          <w:p w14:paraId="311DE185" w14:textId="315F88BF" w:rsidR="009F7458" w:rsidRPr="00F82B8F" w:rsidRDefault="009F7458" w:rsidP="009F7458">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PRO</w:t>
            </w:r>
          </w:p>
        </w:tc>
        <w:tc>
          <w:tcPr>
            <w:tcW w:w="1220" w:type="dxa"/>
            <w:shd w:val="clear" w:color="auto" w:fill="auto"/>
            <w:noWrap/>
            <w:vAlign w:val="bottom"/>
          </w:tcPr>
          <w:p w14:paraId="6261677B" w14:textId="23BE3FAF"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3.2303</w:t>
            </w:r>
          </w:p>
        </w:tc>
        <w:tc>
          <w:tcPr>
            <w:tcW w:w="1220" w:type="dxa"/>
            <w:shd w:val="clear" w:color="auto" w:fill="auto"/>
            <w:noWrap/>
            <w:vAlign w:val="bottom"/>
          </w:tcPr>
          <w:p w14:paraId="4DCBD46A" w14:textId="549DEE2C"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0.6428</w:t>
            </w:r>
          </w:p>
        </w:tc>
        <w:tc>
          <w:tcPr>
            <w:tcW w:w="1220" w:type="dxa"/>
            <w:shd w:val="clear" w:color="auto" w:fill="auto"/>
            <w:noWrap/>
            <w:vAlign w:val="bottom"/>
          </w:tcPr>
          <w:p w14:paraId="1FA0D494" w14:textId="49C6E068"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2.7262</w:t>
            </w:r>
          </w:p>
        </w:tc>
        <w:tc>
          <w:tcPr>
            <w:tcW w:w="1220" w:type="dxa"/>
            <w:shd w:val="clear" w:color="auto" w:fill="auto"/>
            <w:noWrap/>
            <w:vAlign w:val="bottom"/>
          </w:tcPr>
          <w:p w14:paraId="78080515" w14:textId="6D9BC820"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3.4398</w:t>
            </w:r>
          </w:p>
        </w:tc>
        <w:tc>
          <w:tcPr>
            <w:tcW w:w="1220" w:type="dxa"/>
            <w:shd w:val="clear" w:color="auto" w:fill="auto"/>
            <w:noWrap/>
            <w:vAlign w:val="bottom"/>
          </w:tcPr>
          <w:p w14:paraId="66B7F63B" w14:textId="0C59655F"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3.6937</w:t>
            </w:r>
          </w:p>
        </w:tc>
        <w:tc>
          <w:tcPr>
            <w:tcW w:w="1220" w:type="dxa"/>
            <w:shd w:val="clear" w:color="auto" w:fill="auto"/>
            <w:noWrap/>
            <w:vAlign w:val="bottom"/>
          </w:tcPr>
          <w:p w14:paraId="3A6E1C29" w14:textId="5C9296CC"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4.0508</w:t>
            </w:r>
          </w:p>
        </w:tc>
      </w:tr>
      <w:tr w:rsidR="009F7458" w:rsidRPr="008573D2" w14:paraId="248D382C" w14:textId="77777777" w:rsidTr="00F45BC4">
        <w:trPr>
          <w:trHeight w:val="300"/>
          <w:jc w:val="center"/>
        </w:trPr>
        <w:tc>
          <w:tcPr>
            <w:tcW w:w="1138" w:type="dxa"/>
            <w:shd w:val="clear" w:color="auto" w:fill="auto"/>
            <w:noWrap/>
            <w:vAlign w:val="bottom"/>
          </w:tcPr>
          <w:p w14:paraId="591CBBA0" w14:textId="27580A6C" w:rsidR="009F7458" w:rsidRPr="00F82B8F" w:rsidRDefault="009F7458" w:rsidP="009F7458">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HEL</w:t>
            </w:r>
          </w:p>
        </w:tc>
        <w:tc>
          <w:tcPr>
            <w:tcW w:w="1220" w:type="dxa"/>
            <w:shd w:val="clear" w:color="auto" w:fill="auto"/>
            <w:noWrap/>
            <w:vAlign w:val="bottom"/>
          </w:tcPr>
          <w:p w14:paraId="3E56CD9B" w14:textId="7EAFED2B"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4.3570</w:t>
            </w:r>
          </w:p>
        </w:tc>
        <w:tc>
          <w:tcPr>
            <w:tcW w:w="1220" w:type="dxa"/>
            <w:shd w:val="clear" w:color="auto" w:fill="auto"/>
            <w:noWrap/>
            <w:vAlign w:val="bottom"/>
          </w:tcPr>
          <w:p w14:paraId="231A7D0A" w14:textId="3E2A7B63"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0.0848</w:t>
            </w:r>
          </w:p>
        </w:tc>
        <w:tc>
          <w:tcPr>
            <w:tcW w:w="1220" w:type="dxa"/>
            <w:shd w:val="clear" w:color="auto" w:fill="auto"/>
            <w:noWrap/>
            <w:vAlign w:val="bottom"/>
          </w:tcPr>
          <w:p w14:paraId="4A3BB848" w14:textId="7ECC6D09"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4.3232</w:t>
            </w:r>
          </w:p>
        </w:tc>
        <w:tc>
          <w:tcPr>
            <w:tcW w:w="1220" w:type="dxa"/>
            <w:shd w:val="clear" w:color="auto" w:fill="auto"/>
            <w:noWrap/>
            <w:vAlign w:val="bottom"/>
          </w:tcPr>
          <w:p w14:paraId="70197F37" w14:textId="037FFDF1"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4.3830</w:t>
            </w:r>
          </w:p>
        </w:tc>
        <w:tc>
          <w:tcPr>
            <w:tcW w:w="1220" w:type="dxa"/>
            <w:shd w:val="clear" w:color="auto" w:fill="auto"/>
            <w:noWrap/>
            <w:vAlign w:val="bottom"/>
          </w:tcPr>
          <w:p w14:paraId="1D3251C0" w14:textId="603DA9D7"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4.4076</w:t>
            </w:r>
          </w:p>
        </w:tc>
        <w:tc>
          <w:tcPr>
            <w:tcW w:w="1220" w:type="dxa"/>
            <w:shd w:val="clear" w:color="auto" w:fill="auto"/>
            <w:noWrap/>
            <w:vAlign w:val="bottom"/>
          </w:tcPr>
          <w:p w14:paraId="2E76F477" w14:textId="38A98C26"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4.4597</w:t>
            </w:r>
          </w:p>
        </w:tc>
      </w:tr>
      <w:tr w:rsidR="009F7458" w:rsidRPr="008573D2" w14:paraId="5325DD19" w14:textId="77777777" w:rsidTr="00F45BC4">
        <w:trPr>
          <w:trHeight w:val="300"/>
          <w:jc w:val="center"/>
        </w:trPr>
        <w:tc>
          <w:tcPr>
            <w:tcW w:w="1138" w:type="dxa"/>
            <w:shd w:val="clear" w:color="auto" w:fill="auto"/>
            <w:noWrap/>
            <w:vAlign w:val="bottom"/>
          </w:tcPr>
          <w:p w14:paraId="0E04B125" w14:textId="555D81CF" w:rsidR="009F7458" w:rsidRPr="00F82B8F" w:rsidRDefault="009F7458" w:rsidP="009F7458">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FID</w:t>
            </w:r>
          </w:p>
        </w:tc>
        <w:tc>
          <w:tcPr>
            <w:tcW w:w="1220" w:type="dxa"/>
            <w:shd w:val="clear" w:color="auto" w:fill="auto"/>
            <w:noWrap/>
            <w:vAlign w:val="bottom"/>
          </w:tcPr>
          <w:p w14:paraId="650C8971" w14:textId="5B726EFC"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0.6490</w:t>
            </w:r>
          </w:p>
        </w:tc>
        <w:tc>
          <w:tcPr>
            <w:tcW w:w="1220" w:type="dxa"/>
            <w:shd w:val="clear" w:color="auto" w:fill="auto"/>
            <w:noWrap/>
            <w:vAlign w:val="bottom"/>
          </w:tcPr>
          <w:p w14:paraId="2D01AC50" w14:textId="5018A9F0"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0.1771</w:t>
            </w:r>
          </w:p>
        </w:tc>
        <w:tc>
          <w:tcPr>
            <w:tcW w:w="1220" w:type="dxa"/>
            <w:shd w:val="clear" w:color="auto" w:fill="auto"/>
            <w:noWrap/>
            <w:vAlign w:val="bottom"/>
          </w:tcPr>
          <w:p w14:paraId="343C40FF" w14:textId="5D3C47B5"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0.5160</w:t>
            </w:r>
          </w:p>
        </w:tc>
        <w:tc>
          <w:tcPr>
            <w:tcW w:w="1220" w:type="dxa"/>
            <w:shd w:val="clear" w:color="auto" w:fill="auto"/>
            <w:noWrap/>
            <w:vAlign w:val="bottom"/>
          </w:tcPr>
          <w:p w14:paraId="06963881" w14:textId="6C97DDB1"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0.6727</w:t>
            </w:r>
          </w:p>
        </w:tc>
        <w:tc>
          <w:tcPr>
            <w:tcW w:w="1220" w:type="dxa"/>
            <w:shd w:val="clear" w:color="auto" w:fill="auto"/>
            <w:noWrap/>
            <w:vAlign w:val="bottom"/>
          </w:tcPr>
          <w:p w14:paraId="4C025360" w14:textId="1920C192"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0.7912</w:t>
            </w:r>
          </w:p>
        </w:tc>
        <w:tc>
          <w:tcPr>
            <w:tcW w:w="1220" w:type="dxa"/>
            <w:shd w:val="clear" w:color="auto" w:fill="auto"/>
            <w:noWrap/>
            <w:vAlign w:val="bottom"/>
          </w:tcPr>
          <w:p w14:paraId="104571A7" w14:textId="18AEB1AB"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0.8768</w:t>
            </w:r>
          </w:p>
        </w:tc>
      </w:tr>
      <w:tr w:rsidR="009F7458" w:rsidRPr="008573D2" w14:paraId="702B3190" w14:textId="77777777" w:rsidTr="00F45BC4">
        <w:trPr>
          <w:trHeight w:val="300"/>
          <w:jc w:val="center"/>
        </w:trPr>
        <w:tc>
          <w:tcPr>
            <w:tcW w:w="1138" w:type="dxa"/>
            <w:tcBorders>
              <w:bottom w:val="single" w:sz="4" w:space="0" w:color="auto"/>
            </w:tcBorders>
            <w:shd w:val="clear" w:color="auto" w:fill="auto"/>
            <w:noWrap/>
            <w:vAlign w:val="bottom"/>
          </w:tcPr>
          <w:p w14:paraId="42D0C345" w14:textId="5756A1E9" w:rsidR="009F7458" w:rsidRPr="00F82B8F" w:rsidRDefault="009F7458" w:rsidP="009F7458">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FII</w:t>
            </w:r>
          </w:p>
        </w:tc>
        <w:tc>
          <w:tcPr>
            <w:tcW w:w="1220" w:type="dxa"/>
            <w:tcBorders>
              <w:bottom w:val="single" w:sz="4" w:space="0" w:color="auto"/>
            </w:tcBorders>
            <w:shd w:val="clear" w:color="auto" w:fill="auto"/>
            <w:noWrap/>
            <w:vAlign w:val="bottom"/>
          </w:tcPr>
          <w:p w14:paraId="5DE01158" w14:textId="00E2A65F"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0.6838</w:t>
            </w:r>
          </w:p>
        </w:tc>
        <w:tc>
          <w:tcPr>
            <w:tcW w:w="1220" w:type="dxa"/>
            <w:tcBorders>
              <w:bottom w:val="single" w:sz="4" w:space="0" w:color="auto"/>
            </w:tcBorders>
            <w:shd w:val="clear" w:color="auto" w:fill="auto"/>
            <w:noWrap/>
            <w:vAlign w:val="bottom"/>
          </w:tcPr>
          <w:p w14:paraId="780650A8" w14:textId="1215354D"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0.1731</w:t>
            </w:r>
          </w:p>
        </w:tc>
        <w:tc>
          <w:tcPr>
            <w:tcW w:w="1220" w:type="dxa"/>
            <w:tcBorders>
              <w:bottom w:val="single" w:sz="4" w:space="0" w:color="auto"/>
            </w:tcBorders>
            <w:shd w:val="clear" w:color="auto" w:fill="auto"/>
            <w:noWrap/>
            <w:vAlign w:val="bottom"/>
          </w:tcPr>
          <w:p w14:paraId="25512841" w14:textId="52AA7396"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0.5651</w:t>
            </w:r>
          </w:p>
        </w:tc>
        <w:tc>
          <w:tcPr>
            <w:tcW w:w="1220" w:type="dxa"/>
            <w:tcBorders>
              <w:bottom w:val="single" w:sz="4" w:space="0" w:color="auto"/>
            </w:tcBorders>
            <w:shd w:val="clear" w:color="auto" w:fill="auto"/>
            <w:noWrap/>
            <w:vAlign w:val="bottom"/>
          </w:tcPr>
          <w:p w14:paraId="35821CC1" w14:textId="702111B3"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0.7013</w:t>
            </w:r>
          </w:p>
        </w:tc>
        <w:tc>
          <w:tcPr>
            <w:tcW w:w="1220" w:type="dxa"/>
            <w:tcBorders>
              <w:bottom w:val="single" w:sz="4" w:space="0" w:color="auto"/>
            </w:tcBorders>
            <w:shd w:val="clear" w:color="auto" w:fill="auto"/>
            <w:noWrap/>
            <w:vAlign w:val="bottom"/>
          </w:tcPr>
          <w:p w14:paraId="5B95FB78" w14:textId="3FB0FE35"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0.8390</w:t>
            </w:r>
          </w:p>
        </w:tc>
        <w:tc>
          <w:tcPr>
            <w:tcW w:w="1220" w:type="dxa"/>
            <w:tcBorders>
              <w:bottom w:val="single" w:sz="4" w:space="0" w:color="auto"/>
            </w:tcBorders>
            <w:shd w:val="clear" w:color="auto" w:fill="auto"/>
            <w:noWrap/>
            <w:vAlign w:val="bottom"/>
          </w:tcPr>
          <w:p w14:paraId="23DCFEE4" w14:textId="04150C9A" w:rsidR="009F7458" w:rsidRPr="00F82B8F" w:rsidRDefault="009F7458" w:rsidP="009F7458">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0.9400</w:t>
            </w:r>
          </w:p>
        </w:tc>
      </w:tr>
    </w:tbl>
    <w:p w14:paraId="3532D093" w14:textId="77777777" w:rsidR="009F7458" w:rsidRPr="008573D2" w:rsidRDefault="009F7458">
      <w:pPr>
        <w:rPr>
          <w:rFonts w:ascii="Times New Roman" w:hAnsi="Times New Roman" w:cs="Times New Roman"/>
          <w:sz w:val="24"/>
          <w:szCs w:val="24"/>
        </w:rPr>
      </w:pPr>
    </w:p>
    <w:p w14:paraId="7D5B767A" w14:textId="77777777" w:rsidR="005526F3" w:rsidRPr="008573D2" w:rsidRDefault="005526F3">
      <w:pPr>
        <w:rPr>
          <w:rFonts w:ascii="Times New Roman" w:hAnsi="Times New Roman" w:cs="Times New Roman"/>
          <w:sz w:val="24"/>
          <w:szCs w:val="24"/>
        </w:rPr>
      </w:pPr>
      <w:r w:rsidRPr="008573D2">
        <w:rPr>
          <w:rFonts w:ascii="Times New Roman" w:hAnsi="Times New Roman" w:cs="Times New Roman"/>
          <w:sz w:val="24"/>
          <w:szCs w:val="24"/>
        </w:rPr>
        <w:br w:type="page"/>
      </w:r>
    </w:p>
    <w:p w14:paraId="72B3FCE5" w14:textId="77777777" w:rsidR="005526F3" w:rsidRPr="008573D2" w:rsidRDefault="005526F3" w:rsidP="009F07AF">
      <w:pPr>
        <w:jc w:val="center"/>
        <w:rPr>
          <w:rFonts w:ascii="Times New Roman" w:hAnsi="Times New Roman" w:cs="Times New Roman"/>
          <w:sz w:val="24"/>
          <w:szCs w:val="24"/>
        </w:rPr>
        <w:sectPr w:rsidR="005526F3" w:rsidRPr="008573D2">
          <w:footerReference w:type="even" r:id="rId11"/>
          <w:footerReference w:type="default" r:id="rId12"/>
          <w:pgSz w:w="11906" w:h="16838"/>
          <w:pgMar w:top="1440" w:right="1440" w:bottom="1440" w:left="1440" w:header="708" w:footer="708" w:gutter="0"/>
          <w:cols w:space="708"/>
          <w:docGrid w:linePitch="360"/>
        </w:sectPr>
      </w:pPr>
    </w:p>
    <w:p w14:paraId="7C47F326" w14:textId="77777777" w:rsidR="00AB28EB" w:rsidRPr="008573D2" w:rsidRDefault="00AB28EB" w:rsidP="00AB28EB">
      <w:pPr>
        <w:jc w:val="center"/>
        <w:rPr>
          <w:rFonts w:ascii="Times New Roman" w:hAnsi="Times New Roman" w:cs="Times New Roman"/>
          <w:b/>
          <w:bCs/>
          <w:sz w:val="24"/>
          <w:szCs w:val="24"/>
        </w:rPr>
      </w:pPr>
    </w:p>
    <w:p w14:paraId="2F94C3C4" w14:textId="601CE78C" w:rsidR="00AB28EB" w:rsidRPr="008573D2" w:rsidRDefault="00AB28EB" w:rsidP="00AB28EB">
      <w:pPr>
        <w:jc w:val="center"/>
        <w:rPr>
          <w:rFonts w:ascii="Times New Roman" w:hAnsi="Times New Roman" w:cs="Times New Roman"/>
          <w:sz w:val="24"/>
          <w:szCs w:val="24"/>
        </w:rPr>
      </w:pPr>
      <w:r w:rsidRPr="008573D2">
        <w:rPr>
          <w:rFonts w:ascii="Times New Roman" w:hAnsi="Times New Roman" w:cs="Times New Roman"/>
          <w:b/>
          <w:bCs/>
          <w:sz w:val="24"/>
          <w:szCs w:val="24"/>
        </w:rPr>
        <w:t xml:space="preserve">Table 3: Summary </w:t>
      </w:r>
      <w:r w:rsidR="00AD1A21" w:rsidRPr="008573D2">
        <w:rPr>
          <w:rFonts w:ascii="Times New Roman" w:hAnsi="Times New Roman" w:cs="Times New Roman"/>
          <w:b/>
          <w:bCs/>
          <w:sz w:val="24"/>
          <w:szCs w:val="24"/>
        </w:rPr>
        <w:t>S</w:t>
      </w:r>
      <w:r w:rsidRPr="008573D2">
        <w:rPr>
          <w:rFonts w:ascii="Times New Roman" w:hAnsi="Times New Roman" w:cs="Times New Roman"/>
          <w:b/>
          <w:bCs/>
          <w:sz w:val="24"/>
          <w:szCs w:val="24"/>
        </w:rPr>
        <w:t xml:space="preserve">tatistics and </w:t>
      </w:r>
      <w:r w:rsidR="00AD1A21" w:rsidRPr="008573D2">
        <w:rPr>
          <w:rFonts w:ascii="Times New Roman" w:hAnsi="Times New Roman" w:cs="Times New Roman"/>
          <w:b/>
          <w:bCs/>
          <w:sz w:val="24"/>
          <w:szCs w:val="24"/>
        </w:rPr>
        <w:t>C</w:t>
      </w:r>
      <w:r w:rsidRPr="008573D2">
        <w:rPr>
          <w:rFonts w:ascii="Times New Roman" w:hAnsi="Times New Roman" w:cs="Times New Roman"/>
          <w:b/>
          <w:bCs/>
          <w:sz w:val="24"/>
          <w:szCs w:val="24"/>
        </w:rPr>
        <w:t xml:space="preserve">orrelation </w:t>
      </w:r>
      <w:r w:rsidR="00AD1A21" w:rsidRPr="008573D2">
        <w:rPr>
          <w:rFonts w:ascii="Times New Roman" w:hAnsi="Times New Roman" w:cs="Times New Roman"/>
          <w:b/>
          <w:bCs/>
          <w:sz w:val="24"/>
          <w:szCs w:val="24"/>
        </w:rPr>
        <w:t>M</w:t>
      </w:r>
      <w:r w:rsidRPr="008573D2">
        <w:rPr>
          <w:rFonts w:ascii="Times New Roman" w:hAnsi="Times New Roman" w:cs="Times New Roman"/>
          <w:b/>
          <w:bCs/>
          <w:sz w:val="24"/>
          <w:szCs w:val="24"/>
        </w:rPr>
        <w:t>atrix</w:t>
      </w:r>
    </w:p>
    <w:p w14:paraId="7263A14F" w14:textId="52480280" w:rsidR="00DB330B" w:rsidRPr="008573D2" w:rsidRDefault="00DB330B" w:rsidP="009F07AF">
      <w:pPr>
        <w:jc w:val="center"/>
        <w:rPr>
          <w:rFonts w:ascii="Times New Roman" w:hAnsi="Times New Roman" w:cs="Times New Roman"/>
          <w:sz w:val="24"/>
          <w:szCs w:val="24"/>
        </w:rPr>
      </w:pPr>
      <w:r w:rsidRPr="008573D2">
        <w:rPr>
          <w:rFonts w:ascii="Times New Roman" w:hAnsi="Times New Roman" w:cs="Times New Roman"/>
          <w:sz w:val="24"/>
          <w:szCs w:val="24"/>
        </w:rPr>
        <w:t xml:space="preserve">Panel </w:t>
      </w:r>
      <w:r w:rsidR="00272FE2" w:rsidRPr="008573D2">
        <w:rPr>
          <w:rFonts w:ascii="Times New Roman" w:hAnsi="Times New Roman" w:cs="Times New Roman"/>
          <w:sz w:val="24"/>
          <w:szCs w:val="24"/>
        </w:rPr>
        <w:t>B</w:t>
      </w:r>
      <w:r w:rsidRPr="008573D2">
        <w:rPr>
          <w:rFonts w:ascii="Times New Roman" w:hAnsi="Times New Roman" w:cs="Times New Roman"/>
          <w:sz w:val="24"/>
          <w:szCs w:val="24"/>
        </w:rPr>
        <w:t>: Correlation Matrix</w:t>
      </w:r>
    </w:p>
    <w:tbl>
      <w:tblPr>
        <w:tblW w:w="4797" w:type="pct"/>
        <w:jc w:val="center"/>
        <w:tblLook w:val="04A0" w:firstRow="1" w:lastRow="0" w:firstColumn="1" w:lastColumn="0" w:noHBand="0" w:noVBand="1"/>
      </w:tblPr>
      <w:tblGrid>
        <w:gridCol w:w="1258"/>
        <w:gridCol w:w="1069"/>
        <w:gridCol w:w="1069"/>
        <w:gridCol w:w="908"/>
        <w:gridCol w:w="932"/>
        <w:gridCol w:w="908"/>
        <w:gridCol w:w="935"/>
        <w:gridCol w:w="943"/>
        <w:gridCol w:w="937"/>
        <w:gridCol w:w="953"/>
        <w:gridCol w:w="908"/>
        <w:gridCol w:w="908"/>
        <w:gridCol w:w="833"/>
        <w:gridCol w:w="830"/>
      </w:tblGrid>
      <w:tr w:rsidR="00F45BC4" w:rsidRPr="00F82B8F" w14:paraId="100E396A" w14:textId="77777777" w:rsidTr="00F45BC4">
        <w:trPr>
          <w:trHeight w:val="300"/>
          <w:jc w:val="center"/>
        </w:trPr>
        <w:tc>
          <w:tcPr>
            <w:tcW w:w="470" w:type="pct"/>
            <w:tcBorders>
              <w:top w:val="single" w:sz="4" w:space="0" w:color="auto"/>
            </w:tcBorders>
            <w:shd w:val="clear" w:color="auto" w:fill="auto"/>
            <w:noWrap/>
            <w:hideMark/>
          </w:tcPr>
          <w:p w14:paraId="6409F38D" w14:textId="77777777" w:rsidR="00F45BC4" w:rsidRPr="00F82B8F" w:rsidRDefault="00F45BC4" w:rsidP="00F45BC4">
            <w:pPr>
              <w:spacing w:after="0" w:line="240" w:lineRule="auto"/>
              <w:rPr>
                <w:rFonts w:ascii="Times New Roman" w:eastAsia="Times New Roman" w:hAnsi="Times New Roman" w:cs="Times New Roman"/>
                <w:sz w:val="20"/>
                <w:szCs w:val="20"/>
                <w:lang w:eastAsia="en-GB"/>
              </w:rPr>
            </w:pPr>
          </w:p>
        </w:tc>
        <w:tc>
          <w:tcPr>
            <w:tcW w:w="399" w:type="pct"/>
            <w:tcBorders>
              <w:top w:val="single" w:sz="4" w:space="0" w:color="auto"/>
            </w:tcBorders>
            <w:shd w:val="clear" w:color="auto" w:fill="auto"/>
          </w:tcPr>
          <w:p w14:paraId="6CD1643A"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CTC</w:t>
            </w:r>
          </w:p>
        </w:tc>
        <w:tc>
          <w:tcPr>
            <w:tcW w:w="399" w:type="pct"/>
            <w:tcBorders>
              <w:top w:val="single" w:sz="4" w:space="0" w:color="auto"/>
            </w:tcBorders>
            <w:shd w:val="clear" w:color="auto" w:fill="auto"/>
          </w:tcPr>
          <w:p w14:paraId="37FEF683"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CSC</w:t>
            </w:r>
          </w:p>
        </w:tc>
        <w:tc>
          <w:tcPr>
            <w:tcW w:w="339" w:type="pct"/>
            <w:tcBorders>
              <w:top w:val="single" w:sz="4" w:space="0" w:color="auto"/>
            </w:tcBorders>
            <w:shd w:val="clear" w:color="auto" w:fill="auto"/>
            <w:noWrap/>
          </w:tcPr>
          <w:p w14:paraId="4B43D9BA"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CTD</w:t>
            </w:r>
          </w:p>
        </w:tc>
        <w:tc>
          <w:tcPr>
            <w:tcW w:w="348" w:type="pct"/>
            <w:tcBorders>
              <w:top w:val="single" w:sz="4" w:space="0" w:color="auto"/>
            </w:tcBorders>
            <w:shd w:val="clear" w:color="auto" w:fill="auto"/>
            <w:noWrap/>
          </w:tcPr>
          <w:p w14:paraId="0504A21F"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CSD</w:t>
            </w:r>
          </w:p>
        </w:tc>
        <w:tc>
          <w:tcPr>
            <w:tcW w:w="339" w:type="pct"/>
            <w:tcBorders>
              <w:top w:val="single" w:sz="4" w:space="0" w:color="auto"/>
            </w:tcBorders>
            <w:shd w:val="clear" w:color="auto" w:fill="auto"/>
            <w:noWrap/>
          </w:tcPr>
          <w:p w14:paraId="1DCC21CE"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RET</w:t>
            </w:r>
          </w:p>
        </w:tc>
        <w:tc>
          <w:tcPr>
            <w:tcW w:w="349" w:type="pct"/>
            <w:tcBorders>
              <w:top w:val="single" w:sz="4" w:space="0" w:color="auto"/>
            </w:tcBorders>
            <w:shd w:val="clear" w:color="auto" w:fill="auto"/>
          </w:tcPr>
          <w:p w14:paraId="3B39AB8F"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LVO</w:t>
            </w:r>
          </w:p>
        </w:tc>
        <w:tc>
          <w:tcPr>
            <w:tcW w:w="352" w:type="pct"/>
            <w:tcBorders>
              <w:top w:val="single" w:sz="4" w:space="0" w:color="auto"/>
            </w:tcBorders>
            <w:shd w:val="clear" w:color="auto" w:fill="auto"/>
            <w:noWrap/>
          </w:tcPr>
          <w:p w14:paraId="2E7770FB"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LVX</w:t>
            </w:r>
          </w:p>
        </w:tc>
        <w:tc>
          <w:tcPr>
            <w:tcW w:w="350" w:type="pct"/>
            <w:tcBorders>
              <w:top w:val="single" w:sz="4" w:space="0" w:color="auto"/>
            </w:tcBorders>
            <w:shd w:val="clear" w:color="auto" w:fill="auto"/>
            <w:noWrap/>
          </w:tcPr>
          <w:p w14:paraId="37361378"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RMW</w:t>
            </w:r>
          </w:p>
        </w:tc>
        <w:tc>
          <w:tcPr>
            <w:tcW w:w="356" w:type="pct"/>
            <w:tcBorders>
              <w:top w:val="single" w:sz="4" w:space="0" w:color="auto"/>
            </w:tcBorders>
            <w:shd w:val="clear" w:color="auto" w:fill="auto"/>
            <w:noWrap/>
          </w:tcPr>
          <w:p w14:paraId="3095A49B"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RME</w:t>
            </w:r>
          </w:p>
        </w:tc>
        <w:tc>
          <w:tcPr>
            <w:tcW w:w="339" w:type="pct"/>
            <w:tcBorders>
              <w:top w:val="single" w:sz="4" w:space="0" w:color="auto"/>
            </w:tcBorders>
            <w:shd w:val="clear" w:color="auto" w:fill="auto"/>
            <w:noWrap/>
          </w:tcPr>
          <w:p w14:paraId="77D8A91E"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RES</w:t>
            </w:r>
          </w:p>
        </w:tc>
        <w:tc>
          <w:tcPr>
            <w:tcW w:w="339" w:type="pct"/>
            <w:tcBorders>
              <w:top w:val="single" w:sz="4" w:space="0" w:color="auto"/>
            </w:tcBorders>
            <w:shd w:val="clear" w:color="auto" w:fill="auto"/>
            <w:noWrap/>
          </w:tcPr>
          <w:p w14:paraId="4DDCE9CB"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MPR</w:t>
            </w:r>
          </w:p>
        </w:tc>
        <w:tc>
          <w:tcPr>
            <w:tcW w:w="311" w:type="pct"/>
            <w:tcBorders>
              <w:top w:val="single" w:sz="4" w:space="0" w:color="auto"/>
            </w:tcBorders>
            <w:shd w:val="clear" w:color="auto" w:fill="auto"/>
            <w:noWrap/>
          </w:tcPr>
          <w:p w14:paraId="2F02015D"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LOP</w:t>
            </w:r>
          </w:p>
        </w:tc>
        <w:tc>
          <w:tcPr>
            <w:tcW w:w="310" w:type="pct"/>
            <w:tcBorders>
              <w:top w:val="single" w:sz="4" w:space="0" w:color="auto"/>
            </w:tcBorders>
            <w:shd w:val="clear" w:color="auto" w:fill="auto"/>
            <w:noWrap/>
          </w:tcPr>
          <w:p w14:paraId="7AFB26D8"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LGD</w:t>
            </w:r>
          </w:p>
        </w:tc>
      </w:tr>
      <w:tr w:rsidR="00F45BC4" w:rsidRPr="00F82B8F" w14:paraId="529FBC85" w14:textId="77777777" w:rsidTr="00F45BC4">
        <w:trPr>
          <w:trHeight w:val="300"/>
          <w:jc w:val="center"/>
        </w:trPr>
        <w:tc>
          <w:tcPr>
            <w:tcW w:w="470" w:type="pct"/>
            <w:tcBorders>
              <w:bottom w:val="single" w:sz="4" w:space="0" w:color="auto"/>
            </w:tcBorders>
            <w:shd w:val="clear" w:color="auto" w:fill="auto"/>
            <w:noWrap/>
            <w:vAlign w:val="bottom"/>
            <w:hideMark/>
          </w:tcPr>
          <w:p w14:paraId="0CBD3E40" w14:textId="77777777" w:rsidR="00F45BC4" w:rsidRPr="00F82B8F" w:rsidRDefault="00F45BC4" w:rsidP="00F45BC4">
            <w:pPr>
              <w:spacing w:after="0" w:line="240" w:lineRule="auto"/>
              <w:rPr>
                <w:rFonts w:ascii="Times New Roman" w:eastAsia="Times New Roman" w:hAnsi="Times New Roman" w:cs="Times New Roman"/>
                <w:color w:val="000000"/>
                <w:sz w:val="20"/>
                <w:szCs w:val="20"/>
                <w:lang w:eastAsia="en-GB"/>
              </w:rPr>
            </w:pPr>
          </w:p>
        </w:tc>
        <w:tc>
          <w:tcPr>
            <w:tcW w:w="399" w:type="pct"/>
            <w:tcBorders>
              <w:bottom w:val="single" w:sz="4" w:space="0" w:color="auto"/>
            </w:tcBorders>
            <w:shd w:val="clear" w:color="auto" w:fill="auto"/>
          </w:tcPr>
          <w:p w14:paraId="5309CD34"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99" w:type="pct"/>
            <w:tcBorders>
              <w:bottom w:val="single" w:sz="4" w:space="0" w:color="auto"/>
            </w:tcBorders>
            <w:shd w:val="clear" w:color="auto" w:fill="auto"/>
          </w:tcPr>
          <w:p w14:paraId="3A122752"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39" w:type="pct"/>
            <w:tcBorders>
              <w:bottom w:val="single" w:sz="4" w:space="0" w:color="auto"/>
            </w:tcBorders>
            <w:shd w:val="clear" w:color="auto" w:fill="auto"/>
            <w:noWrap/>
            <w:vAlign w:val="bottom"/>
            <w:hideMark/>
          </w:tcPr>
          <w:p w14:paraId="657B500D"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48" w:type="pct"/>
            <w:tcBorders>
              <w:bottom w:val="single" w:sz="4" w:space="0" w:color="auto"/>
            </w:tcBorders>
            <w:shd w:val="clear" w:color="auto" w:fill="auto"/>
            <w:noWrap/>
            <w:vAlign w:val="bottom"/>
            <w:hideMark/>
          </w:tcPr>
          <w:p w14:paraId="46BAE5B4"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39" w:type="pct"/>
            <w:tcBorders>
              <w:bottom w:val="single" w:sz="4" w:space="0" w:color="auto"/>
            </w:tcBorders>
            <w:shd w:val="clear" w:color="auto" w:fill="auto"/>
            <w:noWrap/>
            <w:vAlign w:val="bottom"/>
            <w:hideMark/>
          </w:tcPr>
          <w:p w14:paraId="0B0B0236"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49" w:type="pct"/>
            <w:tcBorders>
              <w:bottom w:val="single" w:sz="4" w:space="0" w:color="auto"/>
            </w:tcBorders>
            <w:shd w:val="clear" w:color="auto" w:fill="auto"/>
          </w:tcPr>
          <w:p w14:paraId="40608099"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52" w:type="pct"/>
            <w:tcBorders>
              <w:bottom w:val="single" w:sz="4" w:space="0" w:color="auto"/>
            </w:tcBorders>
            <w:shd w:val="clear" w:color="auto" w:fill="auto"/>
            <w:noWrap/>
            <w:vAlign w:val="bottom"/>
            <w:hideMark/>
          </w:tcPr>
          <w:p w14:paraId="51324326"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50" w:type="pct"/>
            <w:tcBorders>
              <w:bottom w:val="single" w:sz="4" w:space="0" w:color="auto"/>
            </w:tcBorders>
            <w:shd w:val="clear" w:color="auto" w:fill="auto"/>
            <w:noWrap/>
            <w:vAlign w:val="bottom"/>
            <w:hideMark/>
          </w:tcPr>
          <w:p w14:paraId="1046F348"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56" w:type="pct"/>
            <w:tcBorders>
              <w:bottom w:val="single" w:sz="4" w:space="0" w:color="auto"/>
            </w:tcBorders>
            <w:shd w:val="clear" w:color="auto" w:fill="auto"/>
            <w:noWrap/>
            <w:vAlign w:val="bottom"/>
            <w:hideMark/>
          </w:tcPr>
          <w:p w14:paraId="0CEFC8E8"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39" w:type="pct"/>
            <w:tcBorders>
              <w:bottom w:val="single" w:sz="4" w:space="0" w:color="auto"/>
            </w:tcBorders>
            <w:shd w:val="clear" w:color="auto" w:fill="auto"/>
            <w:noWrap/>
            <w:vAlign w:val="bottom"/>
            <w:hideMark/>
          </w:tcPr>
          <w:p w14:paraId="65FB2526"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39" w:type="pct"/>
            <w:tcBorders>
              <w:bottom w:val="single" w:sz="4" w:space="0" w:color="auto"/>
            </w:tcBorders>
            <w:shd w:val="clear" w:color="auto" w:fill="auto"/>
            <w:noWrap/>
            <w:vAlign w:val="bottom"/>
            <w:hideMark/>
          </w:tcPr>
          <w:p w14:paraId="6ECD1DD6"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11" w:type="pct"/>
            <w:tcBorders>
              <w:bottom w:val="single" w:sz="4" w:space="0" w:color="auto"/>
            </w:tcBorders>
            <w:shd w:val="clear" w:color="auto" w:fill="auto"/>
            <w:noWrap/>
            <w:vAlign w:val="bottom"/>
            <w:hideMark/>
          </w:tcPr>
          <w:p w14:paraId="4DFE7E52"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10" w:type="pct"/>
            <w:tcBorders>
              <w:bottom w:val="single" w:sz="4" w:space="0" w:color="auto"/>
            </w:tcBorders>
            <w:shd w:val="clear" w:color="auto" w:fill="auto"/>
            <w:noWrap/>
            <w:vAlign w:val="bottom"/>
            <w:hideMark/>
          </w:tcPr>
          <w:p w14:paraId="3740F910"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r>
      <w:tr w:rsidR="00F45BC4" w:rsidRPr="00F82B8F" w14:paraId="73FFAE6C" w14:textId="77777777" w:rsidTr="00F45BC4">
        <w:trPr>
          <w:trHeight w:val="300"/>
          <w:jc w:val="center"/>
        </w:trPr>
        <w:tc>
          <w:tcPr>
            <w:tcW w:w="470" w:type="pct"/>
            <w:tcBorders>
              <w:top w:val="single" w:sz="4" w:space="0" w:color="auto"/>
            </w:tcBorders>
            <w:shd w:val="clear" w:color="auto" w:fill="auto"/>
            <w:noWrap/>
            <w:vAlign w:val="bottom"/>
          </w:tcPr>
          <w:p w14:paraId="55100EC2" w14:textId="77777777" w:rsidR="00F45BC4" w:rsidRPr="00F82B8F" w:rsidRDefault="00F45BC4" w:rsidP="00F45BC4">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CTC</w:t>
            </w:r>
          </w:p>
        </w:tc>
        <w:tc>
          <w:tcPr>
            <w:tcW w:w="399" w:type="pct"/>
            <w:tcBorders>
              <w:top w:val="nil"/>
              <w:left w:val="nil"/>
              <w:bottom w:val="nil"/>
              <w:right w:val="nil"/>
            </w:tcBorders>
            <w:shd w:val="clear" w:color="auto" w:fill="auto"/>
            <w:vAlign w:val="bottom"/>
          </w:tcPr>
          <w:p w14:paraId="64131D83"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color w:val="000000"/>
                <w:sz w:val="20"/>
                <w:szCs w:val="20"/>
              </w:rPr>
              <w:t>1.0000</w:t>
            </w:r>
          </w:p>
        </w:tc>
        <w:tc>
          <w:tcPr>
            <w:tcW w:w="399" w:type="pct"/>
            <w:tcBorders>
              <w:top w:val="nil"/>
              <w:left w:val="nil"/>
              <w:bottom w:val="nil"/>
              <w:right w:val="nil"/>
            </w:tcBorders>
            <w:shd w:val="clear" w:color="auto" w:fill="auto"/>
            <w:vAlign w:val="bottom"/>
          </w:tcPr>
          <w:p w14:paraId="4C602027"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39" w:type="pct"/>
            <w:tcBorders>
              <w:top w:val="nil"/>
              <w:left w:val="nil"/>
              <w:bottom w:val="nil"/>
              <w:right w:val="nil"/>
            </w:tcBorders>
            <w:shd w:val="clear" w:color="auto" w:fill="auto"/>
            <w:noWrap/>
            <w:vAlign w:val="bottom"/>
          </w:tcPr>
          <w:p w14:paraId="1EBE51C9"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48" w:type="pct"/>
            <w:tcBorders>
              <w:top w:val="nil"/>
              <w:left w:val="nil"/>
              <w:bottom w:val="nil"/>
              <w:right w:val="nil"/>
            </w:tcBorders>
            <w:shd w:val="clear" w:color="auto" w:fill="auto"/>
            <w:noWrap/>
            <w:vAlign w:val="bottom"/>
          </w:tcPr>
          <w:p w14:paraId="065448CA"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39" w:type="pct"/>
            <w:tcBorders>
              <w:top w:val="nil"/>
              <w:left w:val="nil"/>
              <w:bottom w:val="nil"/>
              <w:right w:val="nil"/>
            </w:tcBorders>
            <w:shd w:val="clear" w:color="auto" w:fill="auto"/>
            <w:noWrap/>
            <w:vAlign w:val="bottom"/>
          </w:tcPr>
          <w:p w14:paraId="6A792CC5"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49" w:type="pct"/>
            <w:tcBorders>
              <w:top w:val="nil"/>
              <w:left w:val="nil"/>
              <w:bottom w:val="nil"/>
              <w:right w:val="nil"/>
            </w:tcBorders>
            <w:shd w:val="clear" w:color="auto" w:fill="auto"/>
            <w:vAlign w:val="bottom"/>
          </w:tcPr>
          <w:p w14:paraId="45B77508"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52" w:type="pct"/>
            <w:tcBorders>
              <w:top w:val="nil"/>
              <w:left w:val="nil"/>
              <w:bottom w:val="nil"/>
              <w:right w:val="nil"/>
            </w:tcBorders>
            <w:shd w:val="clear" w:color="auto" w:fill="auto"/>
            <w:noWrap/>
            <w:vAlign w:val="bottom"/>
          </w:tcPr>
          <w:p w14:paraId="2A118A3A"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50" w:type="pct"/>
            <w:tcBorders>
              <w:top w:val="nil"/>
              <w:left w:val="nil"/>
              <w:bottom w:val="nil"/>
              <w:right w:val="nil"/>
            </w:tcBorders>
            <w:shd w:val="clear" w:color="auto" w:fill="auto"/>
            <w:noWrap/>
            <w:vAlign w:val="bottom"/>
          </w:tcPr>
          <w:p w14:paraId="7DF09022"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56" w:type="pct"/>
            <w:tcBorders>
              <w:top w:val="nil"/>
              <w:left w:val="nil"/>
              <w:bottom w:val="nil"/>
              <w:right w:val="nil"/>
            </w:tcBorders>
            <w:shd w:val="clear" w:color="auto" w:fill="auto"/>
            <w:noWrap/>
            <w:vAlign w:val="bottom"/>
          </w:tcPr>
          <w:p w14:paraId="10D669FB"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39" w:type="pct"/>
            <w:tcBorders>
              <w:top w:val="nil"/>
              <w:left w:val="nil"/>
              <w:bottom w:val="nil"/>
              <w:right w:val="nil"/>
            </w:tcBorders>
            <w:shd w:val="clear" w:color="auto" w:fill="auto"/>
            <w:noWrap/>
            <w:vAlign w:val="bottom"/>
          </w:tcPr>
          <w:p w14:paraId="0CAC7EF4"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39" w:type="pct"/>
            <w:tcBorders>
              <w:top w:val="nil"/>
              <w:left w:val="nil"/>
              <w:bottom w:val="nil"/>
              <w:right w:val="nil"/>
            </w:tcBorders>
            <w:shd w:val="clear" w:color="auto" w:fill="auto"/>
            <w:noWrap/>
            <w:vAlign w:val="bottom"/>
          </w:tcPr>
          <w:p w14:paraId="508F1607"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11" w:type="pct"/>
            <w:tcBorders>
              <w:top w:val="nil"/>
              <w:left w:val="nil"/>
              <w:bottom w:val="nil"/>
              <w:right w:val="nil"/>
            </w:tcBorders>
            <w:shd w:val="clear" w:color="auto" w:fill="auto"/>
            <w:noWrap/>
            <w:vAlign w:val="bottom"/>
          </w:tcPr>
          <w:p w14:paraId="1C4CFE03"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10" w:type="pct"/>
            <w:tcBorders>
              <w:top w:val="nil"/>
              <w:left w:val="nil"/>
              <w:bottom w:val="nil"/>
              <w:right w:val="nil"/>
            </w:tcBorders>
            <w:shd w:val="clear" w:color="auto" w:fill="auto"/>
            <w:noWrap/>
            <w:vAlign w:val="bottom"/>
          </w:tcPr>
          <w:p w14:paraId="50B9690B"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r>
      <w:tr w:rsidR="00F45BC4" w:rsidRPr="00F82B8F" w14:paraId="2A9E7324" w14:textId="77777777" w:rsidTr="00F45BC4">
        <w:trPr>
          <w:trHeight w:val="300"/>
          <w:jc w:val="center"/>
        </w:trPr>
        <w:tc>
          <w:tcPr>
            <w:tcW w:w="470" w:type="pct"/>
            <w:shd w:val="clear" w:color="auto" w:fill="auto"/>
            <w:noWrap/>
            <w:vAlign w:val="bottom"/>
          </w:tcPr>
          <w:p w14:paraId="32D366DD" w14:textId="77777777" w:rsidR="00F45BC4" w:rsidRPr="00F82B8F" w:rsidRDefault="00F45BC4" w:rsidP="00F45BC4">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CSC</w:t>
            </w:r>
          </w:p>
        </w:tc>
        <w:tc>
          <w:tcPr>
            <w:tcW w:w="399" w:type="pct"/>
            <w:tcBorders>
              <w:top w:val="nil"/>
              <w:left w:val="nil"/>
              <w:bottom w:val="nil"/>
              <w:right w:val="nil"/>
            </w:tcBorders>
            <w:shd w:val="clear" w:color="auto" w:fill="auto"/>
            <w:vAlign w:val="bottom"/>
          </w:tcPr>
          <w:p w14:paraId="731DE90D"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color w:val="000000"/>
                <w:sz w:val="20"/>
                <w:szCs w:val="20"/>
              </w:rPr>
              <w:t>0.3802</w:t>
            </w:r>
          </w:p>
        </w:tc>
        <w:tc>
          <w:tcPr>
            <w:tcW w:w="399" w:type="pct"/>
            <w:tcBorders>
              <w:top w:val="nil"/>
              <w:left w:val="nil"/>
              <w:bottom w:val="nil"/>
              <w:right w:val="nil"/>
            </w:tcBorders>
            <w:shd w:val="clear" w:color="auto" w:fill="auto"/>
            <w:vAlign w:val="bottom"/>
          </w:tcPr>
          <w:p w14:paraId="5D827D79"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color w:val="000000"/>
                <w:sz w:val="20"/>
                <w:szCs w:val="20"/>
              </w:rPr>
              <w:t>1.0000</w:t>
            </w:r>
          </w:p>
        </w:tc>
        <w:tc>
          <w:tcPr>
            <w:tcW w:w="339" w:type="pct"/>
            <w:tcBorders>
              <w:top w:val="nil"/>
              <w:left w:val="nil"/>
              <w:bottom w:val="nil"/>
              <w:right w:val="nil"/>
            </w:tcBorders>
            <w:shd w:val="clear" w:color="auto" w:fill="auto"/>
            <w:noWrap/>
            <w:vAlign w:val="bottom"/>
          </w:tcPr>
          <w:p w14:paraId="72147E92"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48" w:type="pct"/>
            <w:tcBorders>
              <w:top w:val="nil"/>
              <w:left w:val="nil"/>
              <w:bottom w:val="nil"/>
              <w:right w:val="nil"/>
            </w:tcBorders>
            <w:shd w:val="clear" w:color="auto" w:fill="auto"/>
            <w:noWrap/>
            <w:vAlign w:val="bottom"/>
          </w:tcPr>
          <w:p w14:paraId="17488B4C"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39" w:type="pct"/>
            <w:tcBorders>
              <w:top w:val="nil"/>
              <w:left w:val="nil"/>
              <w:bottom w:val="nil"/>
              <w:right w:val="nil"/>
            </w:tcBorders>
            <w:shd w:val="clear" w:color="auto" w:fill="auto"/>
            <w:noWrap/>
            <w:vAlign w:val="bottom"/>
          </w:tcPr>
          <w:p w14:paraId="55149795"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49" w:type="pct"/>
            <w:tcBorders>
              <w:top w:val="nil"/>
              <w:left w:val="nil"/>
              <w:bottom w:val="nil"/>
              <w:right w:val="nil"/>
            </w:tcBorders>
            <w:shd w:val="clear" w:color="auto" w:fill="auto"/>
            <w:vAlign w:val="bottom"/>
          </w:tcPr>
          <w:p w14:paraId="12081915"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52" w:type="pct"/>
            <w:tcBorders>
              <w:top w:val="nil"/>
              <w:left w:val="nil"/>
              <w:bottom w:val="nil"/>
              <w:right w:val="nil"/>
            </w:tcBorders>
            <w:shd w:val="clear" w:color="auto" w:fill="auto"/>
            <w:noWrap/>
            <w:vAlign w:val="bottom"/>
          </w:tcPr>
          <w:p w14:paraId="5BB6E7F6"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50" w:type="pct"/>
            <w:tcBorders>
              <w:top w:val="nil"/>
              <w:left w:val="nil"/>
              <w:bottom w:val="nil"/>
              <w:right w:val="nil"/>
            </w:tcBorders>
            <w:shd w:val="clear" w:color="auto" w:fill="auto"/>
            <w:noWrap/>
            <w:vAlign w:val="bottom"/>
          </w:tcPr>
          <w:p w14:paraId="12ED9E17"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56" w:type="pct"/>
            <w:tcBorders>
              <w:top w:val="nil"/>
              <w:left w:val="nil"/>
              <w:bottom w:val="nil"/>
              <w:right w:val="nil"/>
            </w:tcBorders>
            <w:shd w:val="clear" w:color="auto" w:fill="auto"/>
            <w:noWrap/>
            <w:vAlign w:val="bottom"/>
          </w:tcPr>
          <w:p w14:paraId="40D6840A"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39" w:type="pct"/>
            <w:tcBorders>
              <w:top w:val="nil"/>
              <w:left w:val="nil"/>
              <w:bottom w:val="nil"/>
              <w:right w:val="nil"/>
            </w:tcBorders>
            <w:shd w:val="clear" w:color="auto" w:fill="auto"/>
            <w:noWrap/>
            <w:vAlign w:val="bottom"/>
          </w:tcPr>
          <w:p w14:paraId="00944981"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39" w:type="pct"/>
            <w:tcBorders>
              <w:top w:val="nil"/>
              <w:left w:val="nil"/>
              <w:bottom w:val="nil"/>
              <w:right w:val="nil"/>
            </w:tcBorders>
            <w:shd w:val="clear" w:color="auto" w:fill="auto"/>
            <w:noWrap/>
            <w:vAlign w:val="bottom"/>
          </w:tcPr>
          <w:p w14:paraId="53D4937B"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11" w:type="pct"/>
            <w:tcBorders>
              <w:top w:val="nil"/>
              <w:left w:val="nil"/>
              <w:bottom w:val="nil"/>
              <w:right w:val="nil"/>
            </w:tcBorders>
            <w:shd w:val="clear" w:color="auto" w:fill="auto"/>
            <w:noWrap/>
            <w:vAlign w:val="bottom"/>
          </w:tcPr>
          <w:p w14:paraId="1D2AC9AD"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10" w:type="pct"/>
            <w:tcBorders>
              <w:top w:val="nil"/>
              <w:left w:val="nil"/>
              <w:bottom w:val="nil"/>
              <w:right w:val="nil"/>
            </w:tcBorders>
            <w:shd w:val="clear" w:color="auto" w:fill="auto"/>
            <w:noWrap/>
            <w:vAlign w:val="bottom"/>
          </w:tcPr>
          <w:p w14:paraId="0D87B7AF"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r>
      <w:tr w:rsidR="00F45BC4" w:rsidRPr="00F82B8F" w14:paraId="1ABC6898" w14:textId="77777777" w:rsidTr="00F45BC4">
        <w:trPr>
          <w:trHeight w:val="300"/>
          <w:jc w:val="center"/>
        </w:trPr>
        <w:tc>
          <w:tcPr>
            <w:tcW w:w="470" w:type="pct"/>
            <w:shd w:val="clear" w:color="auto" w:fill="auto"/>
            <w:noWrap/>
            <w:vAlign w:val="bottom"/>
            <w:hideMark/>
          </w:tcPr>
          <w:p w14:paraId="1BB3F942" w14:textId="77777777" w:rsidR="00F45BC4" w:rsidRPr="00F82B8F" w:rsidRDefault="00F45BC4" w:rsidP="00F45BC4">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CTD</w:t>
            </w:r>
          </w:p>
        </w:tc>
        <w:tc>
          <w:tcPr>
            <w:tcW w:w="399" w:type="pct"/>
            <w:tcBorders>
              <w:top w:val="nil"/>
              <w:left w:val="nil"/>
              <w:bottom w:val="nil"/>
              <w:right w:val="nil"/>
            </w:tcBorders>
            <w:shd w:val="clear" w:color="auto" w:fill="auto"/>
            <w:vAlign w:val="bottom"/>
          </w:tcPr>
          <w:p w14:paraId="626E0FE6" w14:textId="77777777" w:rsidR="00F45BC4" w:rsidRPr="00F82B8F" w:rsidRDefault="00F45BC4" w:rsidP="00F45BC4">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0.0898</w:t>
            </w:r>
          </w:p>
        </w:tc>
        <w:tc>
          <w:tcPr>
            <w:tcW w:w="399" w:type="pct"/>
            <w:tcBorders>
              <w:top w:val="nil"/>
              <w:left w:val="nil"/>
              <w:bottom w:val="nil"/>
              <w:right w:val="nil"/>
            </w:tcBorders>
            <w:shd w:val="clear" w:color="auto" w:fill="auto"/>
            <w:vAlign w:val="bottom"/>
          </w:tcPr>
          <w:p w14:paraId="3364C9DD" w14:textId="77777777" w:rsidR="00F45BC4" w:rsidRPr="00F82B8F" w:rsidRDefault="00F45BC4" w:rsidP="00F45BC4">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0.1471</w:t>
            </w:r>
          </w:p>
        </w:tc>
        <w:tc>
          <w:tcPr>
            <w:tcW w:w="339" w:type="pct"/>
            <w:tcBorders>
              <w:top w:val="nil"/>
              <w:left w:val="nil"/>
              <w:bottom w:val="nil"/>
              <w:right w:val="nil"/>
            </w:tcBorders>
            <w:shd w:val="clear" w:color="auto" w:fill="auto"/>
            <w:noWrap/>
            <w:vAlign w:val="bottom"/>
          </w:tcPr>
          <w:p w14:paraId="3CA0FEEC"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1.0000</w:t>
            </w:r>
          </w:p>
        </w:tc>
        <w:tc>
          <w:tcPr>
            <w:tcW w:w="348" w:type="pct"/>
            <w:tcBorders>
              <w:top w:val="nil"/>
              <w:left w:val="nil"/>
              <w:bottom w:val="nil"/>
              <w:right w:val="nil"/>
            </w:tcBorders>
            <w:shd w:val="clear" w:color="auto" w:fill="auto"/>
            <w:noWrap/>
            <w:vAlign w:val="bottom"/>
          </w:tcPr>
          <w:p w14:paraId="07608332"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p>
        </w:tc>
        <w:tc>
          <w:tcPr>
            <w:tcW w:w="339" w:type="pct"/>
            <w:tcBorders>
              <w:top w:val="nil"/>
              <w:left w:val="nil"/>
              <w:bottom w:val="nil"/>
              <w:right w:val="nil"/>
            </w:tcBorders>
            <w:shd w:val="clear" w:color="auto" w:fill="auto"/>
            <w:noWrap/>
            <w:vAlign w:val="bottom"/>
          </w:tcPr>
          <w:p w14:paraId="1C95D861"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49" w:type="pct"/>
            <w:tcBorders>
              <w:top w:val="nil"/>
              <w:left w:val="nil"/>
              <w:bottom w:val="nil"/>
              <w:right w:val="nil"/>
            </w:tcBorders>
            <w:shd w:val="clear" w:color="auto" w:fill="auto"/>
            <w:vAlign w:val="bottom"/>
          </w:tcPr>
          <w:p w14:paraId="3B9AB218"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52" w:type="pct"/>
            <w:tcBorders>
              <w:top w:val="nil"/>
              <w:left w:val="nil"/>
              <w:bottom w:val="nil"/>
              <w:right w:val="nil"/>
            </w:tcBorders>
            <w:shd w:val="clear" w:color="auto" w:fill="auto"/>
            <w:noWrap/>
            <w:vAlign w:val="bottom"/>
          </w:tcPr>
          <w:p w14:paraId="38AF06AE"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50" w:type="pct"/>
            <w:tcBorders>
              <w:top w:val="nil"/>
              <w:left w:val="nil"/>
              <w:bottom w:val="nil"/>
              <w:right w:val="nil"/>
            </w:tcBorders>
            <w:shd w:val="clear" w:color="auto" w:fill="auto"/>
            <w:noWrap/>
            <w:vAlign w:val="bottom"/>
          </w:tcPr>
          <w:p w14:paraId="2DA01163"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56" w:type="pct"/>
            <w:tcBorders>
              <w:top w:val="nil"/>
              <w:left w:val="nil"/>
              <w:bottom w:val="nil"/>
              <w:right w:val="nil"/>
            </w:tcBorders>
            <w:shd w:val="clear" w:color="auto" w:fill="auto"/>
            <w:noWrap/>
            <w:vAlign w:val="bottom"/>
          </w:tcPr>
          <w:p w14:paraId="70C7C413"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39" w:type="pct"/>
            <w:tcBorders>
              <w:top w:val="nil"/>
              <w:left w:val="nil"/>
              <w:bottom w:val="nil"/>
              <w:right w:val="nil"/>
            </w:tcBorders>
            <w:shd w:val="clear" w:color="auto" w:fill="auto"/>
            <w:noWrap/>
            <w:vAlign w:val="bottom"/>
          </w:tcPr>
          <w:p w14:paraId="3ABA0730"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39" w:type="pct"/>
            <w:tcBorders>
              <w:top w:val="nil"/>
              <w:left w:val="nil"/>
              <w:bottom w:val="nil"/>
              <w:right w:val="nil"/>
            </w:tcBorders>
            <w:shd w:val="clear" w:color="auto" w:fill="auto"/>
            <w:noWrap/>
            <w:vAlign w:val="bottom"/>
          </w:tcPr>
          <w:p w14:paraId="0DB280B3"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11" w:type="pct"/>
            <w:tcBorders>
              <w:top w:val="nil"/>
              <w:left w:val="nil"/>
              <w:bottom w:val="nil"/>
              <w:right w:val="nil"/>
            </w:tcBorders>
            <w:shd w:val="clear" w:color="auto" w:fill="auto"/>
            <w:noWrap/>
            <w:vAlign w:val="bottom"/>
          </w:tcPr>
          <w:p w14:paraId="140018B7"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10" w:type="pct"/>
            <w:tcBorders>
              <w:top w:val="nil"/>
              <w:left w:val="nil"/>
              <w:bottom w:val="nil"/>
              <w:right w:val="nil"/>
            </w:tcBorders>
            <w:shd w:val="clear" w:color="auto" w:fill="auto"/>
            <w:noWrap/>
            <w:vAlign w:val="bottom"/>
          </w:tcPr>
          <w:p w14:paraId="62C0D51B"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r>
      <w:tr w:rsidR="00F45BC4" w:rsidRPr="00F82B8F" w14:paraId="524F3E9C" w14:textId="77777777" w:rsidTr="00F45BC4">
        <w:trPr>
          <w:trHeight w:val="300"/>
          <w:jc w:val="center"/>
        </w:trPr>
        <w:tc>
          <w:tcPr>
            <w:tcW w:w="470" w:type="pct"/>
            <w:shd w:val="clear" w:color="auto" w:fill="auto"/>
            <w:noWrap/>
            <w:vAlign w:val="bottom"/>
            <w:hideMark/>
          </w:tcPr>
          <w:p w14:paraId="49054564" w14:textId="77777777" w:rsidR="00F45BC4" w:rsidRPr="00F82B8F" w:rsidRDefault="00F45BC4" w:rsidP="00F45BC4">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CSD</w:t>
            </w:r>
          </w:p>
        </w:tc>
        <w:tc>
          <w:tcPr>
            <w:tcW w:w="399" w:type="pct"/>
            <w:tcBorders>
              <w:top w:val="nil"/>
              <w:left w:val="nil"/>
              <w:bottom w:val="nil"/>
              <w:right w:val="nil"/>
            </w:tcBorders>
            <w:shd w:val="clear" w:color="auto" w:fill="auto"/>
            <w:vAlign w:val="bottom"/>
          </w:tcPr>
          <w:p w14:paraId="6A43F3AE" w14:textId="77777777" w:rsidR="00F45BC4" w:rsidRPr="00F82B8F" w:rsidRDefault="00F45BC4" w:rsidP="00F45BC4">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0.0506</w:t>
            </w:r>
          </w:p>
        </w:tc>
        <w:tc>
          <w:tcPr>
            <w:tcW w:w="399" w:type="pct"/>
            <w:tcBorders>
              <w:top w:val="nil"/>
              <w:left w:val="nil"/>
              <w:bottom w:val="nil"/>
              <w:right w:val="nil"/>
            </w:tcBorders>
            <w:shd w:val="clear" w:color="auto" w:fill="auto"/>
            <w:vAlign w:val="bottom"/>
          </w:tcPr>
          <w:p w14:paraId="4BE838B2" w14:textId="77777777" w:rsidR="00F45BC4" w:rsidRPr="00F82B8F" w:rsidRDefault="00F45BC4" w:rsidP="00F45BC4">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0.1363</w:t>
            </w:r>
          </w:p>
        </w:tc>
        <w:tc>
          <w:tcPr>
            <w:tcW w:w="339" w:type="pct"/>
            <w:tcBorders>
              <w:top w:val="nil"/>
              <w:left w:val="nil"/>
              <w:bottom w:val="nil"/>
              <w:right w:val="nil"/>
            </w:tcBorders>
            <w:shd w:val="clear" w:color="auto" w:fill="auto"/>
            <w:noWrap/>
            <w:vAlign w:val="bottom"/>
          </w:tcPr>
          <w:p w14:paraId="26D3E061"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0.8182</w:t>
            </w:r>
          </w:p>
        </w:tc>
        <w:tc>
          <w:tcPr>
            <w:tcW w:w="348" w:type="pct"/>
            <w:tcBorders>
              <w:top w:val="nil"/>
              <w:left w:val="nil"/>
              <w:bottom w:val="nil"/>
              <w:right w:val="nil"/>
            </w:tcBorders>
            <w:shd w:val="clear" w:color="auto" w:fill="auto"/>
            <w:noWrap/>
            <w:vAlign w:val="bottom"/>
          </w:tcPr>
          <w:p w14:paraId="2953A94E"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1.0000</w:t>
            </w:r>
          </w:p>
        </w:tc>
        <w:tc>
          <w:tcPr>
            <w:tcW w:w="339" w:type="pct"/>
            <w:tcBorders>
              <w:top w:val="nil"/>
              <w:left w:val="nil"/>
              <w:bottom w:val="nil"/>
              <w:right w:val="nil"/>
            </w:tcBorders>
            <w:shd w:val="clear" w:color="auto" w:fill="auto"/>
            <w:noWrap/>
            <w:vAlign w:val="bottom"/>
          </w:tcPr>
          <w:p w14:paraId="0992D46E"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p>
        </w:tc>
        <w:tc>
          <w:tcPr>
            <w:tcW w:w="349" w:type="pct"/>
            <w:tcBorders>
              <w:top w:val="nil"/>
              <w:left w:val="nil"/>
              <w:bottom w:val="nil"/>
              <w:right w:val="nil"/>
            </w:tcBorders>
            <w:shd w:val="clear" w:color="auto" w:fill="auto"/>
            <w:vAlign w:val="bottom"/>
          </w:tcPr>
          <w:p w14:paraId="60EC3130"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52" w:type="pct"/>
            <w:tcBorders>
              <w:top w:val="nil"/>
              <w:left w:val="nil"/>
              <w:bottom w:val="nil"/>
              <w:right w:val="nil"/>
            </w:tcBorders>
            <w:shd w:val="clear" w:color="auto" w:fill="auto"/>
            <w:noWrap/>
            <w:vAlign w:val="bottom"/>
          </w:tcPr>
          <w:p w14:paraId="6027E53D"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50" w:type="pct"/>
            <w:tcBorders>
              <w:top w:val="nil"/>
              <w:left w:val="nil"/>
              <w:bottom w:val="nil"/>
              <w:right w:val="nil"/>
            </w:tcBorders>
            <w:shd w:val="clear" w:color="auto" w:fill="auto"/>
            <w:noWrap/>
            <w:vAlign w:val="bottom"/>
          </w:tcPr>
          <w:p w14:paraId="75923717"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56" w:type="pct"/>
            <w:tcBorders>
              <w:top w:val="nil"/>
              <w:left w:val="nil"/>
              <w:bottom w:val="nil"/>
              <w:right w:val="nil"/>
            </w:tcBorders>
            <w:shd w:val="clear" w:color="auto" w:fill="auto"/>
            <w:noWrap/>
            <w:vAlign w:val="bottom"/>
          </w:tcPr>
          <w:p w14:paraId="055856B5"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39" w:type="pct"/>
            <w:tcBorders>
              <w:top w:val="nil"/>
              <w:left w:val="nil"/>
              <w:bottom w:val="nil"/>
              <w:right w:val="nil"/>
            </w:tcBorders>
            <w:shd w:val="clear" w:color="auto" w:fill="auto"/>
            <w:noWrap/>
            <w:vAlign w:val="bottom"/>
          </w:tcPr>
          <w:p w14:paraId="29032038"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39" w:type="pct"/>
            <w:tcBorders>
              <w:top w:val="nil"/>
              <w:left w:val="nil"/>
              <w:bottom w:val="nil"/>
              <w:right w:val="nil"/>
            </w:tcBorders>
            <w:shd w:val="clear" w:color="auto" w:fill="auto"/>
            <w:noWrap/>
            <w:vAlign w:val="bottom"/>
          </w:tcPr>
          <w:p w14:paraId="77F7BC3D"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11" w:type="pct"/>
            <w:tcBorders>
              <w:top w:val="nil"/>
              <w:left w:val="nil"/>
              <w:bottom w:val="nil"/>
              <w:right w:val="nil"/>
            </w:tcBorders>
            <w:shd w:val="clear" w:color="auto" w:fill="auto"/>
            <w:noWrap/>
            <w:vAlign w:val="bottom"/>
          </w:tcPr>
          <w:p w14:paraId="75FD5D54"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10" w:type="pct"/>
            <w:tcBorders>
              <w:top w:val="nil"/>
              <w:left w:val="nil"/>
              <w:bottom w:val="nil"/>
              <w:right w:val="nil"/>
            </w:tcBorders>
            <w:shd w:val="clear" w:color="auto" w:fill="auto"/>
            <w:noWrap/>
            <w:vAlign w:val="bottom"/>
          </w:tcPr>
          <w:p w14:paraId="13F25262"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r>
      <w:tr w:rsidR="00F45BC4" w:rsidRPr="00F82B8F" w14:paraId="12F678B0" w14:textId="77777777" w:rsidTr="00F45BC4">
        <w:trPr>
          <w:trHeight w:val="300"/>
          <w:jc w:val="center"/>
        </w:trPr>
        <w:tc>
          <w:tcPr>
            <w:tcW w:w="470" w:type="pct"/>
            <w:shd w:val="clear" w:color="auto" w:fill="auto"/>
            <w:noWrap/>
            <w:vAlign w:val="bottom"/>
            <w:hideMark/>
          </w:tcPr>
          <w:p w14:paraId="4521CBAD" w14:textId="77777777" w:rsidR="00F45BC4" w:rsidRPr="00F82B8F" w:rsidRDefault="00F45BC4" w:rsidP="00F45BC4">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RET</w:t>
            </w:r>
          </w:p>
        </w:tc>
        <w:tc>
          <w:tcPr>
            <w:tcW w:w="399" w:type="pct"/>
            <w:tcBorders>
              <w:top w:val="nil"/>
              <w:left w:val="nil"/>
              <w:bottom w:val="nil"/>
              <w:right w:val="nil"/>
            </w:tcBorders>
            <w:shd w:val="clear" w:color="auto" w:fill="auto"/>
            <w:vAlign w:val="bottom"/>
          </w:tcPr>
          <w:p w14:paraId="3C8F7FFE" w14:textId="77777777" w:rsidR="00F45BC4" w:rsidRPr="00F82B8F" w:rsidRDefault="00F45BC4" w:rsidP="00F45BC4">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-0.0418</w:t>
            </w:r>
          </w:p>
        </w:tc>
        <w:tc>
          <w:tcPr>
            <w:tcW w:w="399" w:type="pct"/>
            <w:tcBorders>
              <w:top w:val="nil"/>
              <w:left w:val="nil"/>
              <w:bottom w:val="nil"/>
              <w:right w:val="nil"/>
            </w:tcBorders>
            <w:shd w:val="clear" w:color="auto" w:fill="auto"/>
            <w:vAlign w:val="bottom"/>
          </w:tcPr>
          <w:p w14:paraId="682E0C70" w14:textId="77777777" w:rsidR="00F45BC4" w:rsidRPr="00F82B8F" w:rsidRDefault="00F45BC4" w:rsidP="00F45BC4">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-0.0750</w:t>
            </w:r>
          </w:p>
        </w:tc>
        <w:tc>
          <w:tcPr>
            <w:tcW w:w="339" w:type="pct"/>
            <w:tcBorders>
              <w:top w:val="nil"/>
              <w:left w:val="nil"/>
              <w:bottom w:val="nil"/>
              <w:right w:val="nil"/>
            </w:tcBorders>
            <w:shd w:val="clear" w:color="auto" w:fill="auto"/>
            <w:noWrap/>
            <w:vAlign w:val="bottom"/>
          </w:tcPr>
          <w:p w14:paraId="49A0045F"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-0.1182</w:t>
            </w:r>
          </w:p>
        </w:tc>
        <w:tc>
          <w:tcPr>
            <w:tcW w:w="348" w:type="pct"/>
            <w:tcBorders>
              <w:top w:val="nil"/>
              <w:left w:val="nil"/>
              <w:bottom w:val="nil"/>
              <w:right w:val="nil"/>
            </w:tcBorders>
            <w:shd w:val="clear" w:color="auto" w:fill="auto"/>
            <w:noWrap/>
            <w:vAlign w:val="bottom"/>
          </w:tcPr>
          <w:p w14:paraId="1AD488A1"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-0.0669</w:t>
            </w:r>
          </w:p>
        </w:tc>
        <w:tc>
          <w:tcPr>
            <w:tcW w:w="339" w:type="pct"/>
            <w:tcBorders>
              <w:top w:val="nil"/>
              <w:left w:val="nil"/>
              <w:bottom w:val="nil"/>
              <w:right w:val="nil"/>
            </w:tcBorders>
            <w:shd w:val="clear" w:color="auto" w:fill="auto"/>
            <w:noWrap/>
            <w:vAlign w:val="bottom"/>
          </w:tcPr>
          <w:p w14:paraId="668A5357"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1.0000</w:t>
            </w:r>
          </w:p>
        </w:tc>
        <w:tc>
          <w:tcPr>
            <w:tcW w:w="349" w:type="pct"/>
            <w:tcBorders>
              <w:top w:val="nil"/>
              <w:left w:val="nil"/>
              <w:bottom w:val="nil"/>
              <w:right w:val="nil"/>
            </w:tcBorders>
            <w:shd w:val="clear" w:color="auto" w:fill="auto"/>
            <w:vAlign w:val="bottom"/>
          </w:tcPr>
          <w:p w14:paraId="63AC1C0D"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52" w:type="pct"/>
            <w:tcBorders>
              <w:top w:val="nil"/>
              <w:left w:val="nil"/>
              <w:bottom w:val="nil"/>
              <w:right w:val="nil"/>
            </w:tcBorders>
            <w:shd w:val="clear" w:color="auto" w:fill="auto"/>
            <w:noWrap/>
            <w:vAlign w:val="bottom"/>
          </w:tcPr>
          <w:p w14:paraId="5CBD0AB1"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50" w:type="pct"/>
            <w:tcBorders>
              <w:top w:val="nil"/>
              <w:left w:val="nil"/>
              <w:bottom w:val="nil"/>
              <w:right w:val="nil"/>
            </w:tcBorders>
            <w:shd w:val="clear" w:color="auto" w:fill="auto"/>
            <w:noWrap/>
            <w:vAlign w:val="bottom"/>
          </w:tcPr>
          <w:p w14:paraId="5B501EB0"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56" w:type="pct"/>
            <w:tcBorders>
              <w:top w:val="nil"/>
              <w:left w:val="nil"/>
              <w:bottom w:val="nil"/>
              <w:right w:val="nil"/>
            </w:tcBorders>
            <w:shd w:val="clear" w:color="auto" w:fill="auto"/>
            <w:noWrap/>
            <w:vAlign w:val="bottom"/>
          </w:tcPr>
          <w:p w14:paraId="2BB61F7A"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39" w:type="pct"/>
            <w:tcBorders>
              <w:top w:val="nil"/>
              <w:left w:val="nil"/>
              <w:bottom w:val="nil"/>
              <w:right w:val="nil"/>
            </w:tcBorders>
            <w:shd w:val="clear" w:color="auto" w:fill="auto"/>
            <w:noWrap/>
            <w:vAlign w:val="bottom"/>
          </w:tcPr>
          <w:p w14:paraId="04E2677C"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39" w:type="pct"/>
            <w:tcBorders>
              <w:top w:val="nil"/>
              <w:left w:val="nil"/>
              <w:bottom w:val="nil"/>
              <w:right w:val="nil"/>
            </w:tcBorders>
            <w:shd w:val="clear" w:color="auto" w:fill="auto"/>
            <w:noWrap/>
            <w:vAlign w:val="bottom"/>
          </w:tcPr>
          <w:p w14:paraId="7CA8C38E"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11" w:type="pct"/>
            <w:tcBorders>
              <w:top w:val="nil"/>
              <w:left w:val="nil"/>
              <w:bottom w:val="nil"/>
              <w:right w:val="nil"/>
            </w:tcBorders>
            <w:shd w:val="clear" w:color="auto" w:fill="auto"/>
            <w:noWrap/>
            <w:vAlign w:val="bottom"/>
          </w:tcPr>
          <w:p w14:paraId="716311AC"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10" w:type="pct"/>
            <w:tcBorders>
              <w:top w:val="nil"/>
              <w:left w:val="nil"/>
              <w:bottom w:val="nil"/>
              <w:right w:val="nil"/>
            </w:tcBorders>
            <w:shd w:val="clear" w:color="auto" w:fill="auto"/>
            <w:noWrap/>
            <w:vAlign w:val="bottom"/>
          </w:tcPr>
          <w:p w14:paraId="00A9F3B1"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r>
      <w:tr w:rsidR="00F45BC4" w:rsidRPr="00F82B8F" w14:paraId="3A452ECE" w14:textId="77777777" w:rsidTr="00F45BC4">
        <w:trPr>
          <w:trHeight w:val="300"/>
          <w:jc w:val="center"/>
        </w:trPr>
        <w:tc>
          <w:tcPr>
            <w:tcW w:w="470" w:type="pct"/>
            <w:shd w:val="clear" w:color="auto" w:fill="auto"/>
            <w:noWrap/>
            <w:vAlign w:val="bottom"/>
          </w:tcPr>
          <w:p w14:paraId="1480B1F0" w14:textId="77777777" w:rsidR="00F45BC4" w:rsidRPr="00F82B8F" w:rsidRDefault="00F45BC4" w:rsidP="00F45BC4">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LVO</w:t>
            </w:r>
          </w:p>
        </w:tc>
        <w:tc>
          <w:tcPr>
            <w:tcW w:w="399" w:type="pct"/>
            <w:tcBorders>
              <w:top w:val="nil"/>
              <w:left w:val="nil"/>
              <w:bottom w:val="nil"/>
              <w:right w:val="nil"/>
            </w:tcBorders>
            <w:shd w:val="clear" w:color="auto" w:fill="auto"/>
            <w:vAlign w:val="bottom"/>
          </w:tcPr>
          <w:p w14:paraId="2836F36E" w14:textId="77777777" w:rsidR="00F45BC4" w:rsidRPr="00F82B8F" w:rsidRDefault="00F45BC4" w:rsidP="00F45BC4">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-0.0114</w:t>
            </w:r>
          </w:p>
        </w:tc>
        <w:tc>
          <w:tcPr>
            <w:tcW w:w="399" w:type="pct"/>
            <w:tcBorders>
              <w:top w:val="nil"/>
              <w:left w:val="nil"/>
              <w:bottom w:val="nil"/>
              <w:right w:val="nil"/>
            </w:tcBorders>
            <w:shd w:val="clear" w:color="auto" w:fill="auto"/>
            <w:vAlign w:val="bottom"/>
          </w:tcPr>
          <w:p w14:paraId="5F259DBC" w14:textId="77777777" w:rsidR="00F45BC4" w:rsidRPr="00F82B8F" w:rsidRDefault="00F45BC4" w:rsidP="00F45BC4">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0.0056</w:t>
            </w:r>
          </w:p>
        </w:tc>
        <w:tc>
          <w:tcPr>
            <w:tcW w:w="339" w:type="pct"/>
            <w:tcBorders>
              <w:top w:val="nil"/>
              <w:left w:val="nil"/>
              <w:bottom w:val="nil"/>
              <w:right w:val="nil"/>
            </w:tcBorders>
            <w:shd w:val="clear" w:color="auto" w:fill="auto"/>
            <w:noWrap/>
            <w:vAlign w:val="bottom"/>
          </w:tcPr>
          <w:p w14:paraId="41212487" w14:textId="77777777" w:rsidR="00F45BC4" w:rsidRPr="00F82B8F" w:rsidRDefault="00F45BC4" w:rsidP="00F45BC4">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0.0212</w:t>
            </w:r>
          </w:p>
        </w:tc>
        <w:tc>
          <w:tcPr>
            <w:tcW w:w="348" w:type="pct"/>
            <w:tcBorders>
              <w:top w:val="nil"/>
              <w:left w:val="nil"/>
              <w:bottom w:val="nil"/>
              <w:right w:val="nil"/>
            </w:tcBorders>
            <w:shd w:val="clear" w:color="auto" w:fill="auto"/>
            <w:noWrap/>
            <w:vAlign w:val="bottom"/>
          </w:tcPr>
          <w:p w14:paraId="2F832E81" w14:textId="77777777" w:rsidR="00F45BC4" w:rsidRPr="00F82B8F" w:rsidRDefault="00F45BC4" w:rsidP="00F45BC4">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0.0284</w:t>
            </w:r>
          </w:p>
        </w:tc>
        <w:tc>
          <w:tcPr>
            <w:tcW w:w="339" w:type="pct"/>
            <w:tcBorders>
              <w:top w:val="nil"/>
              <w:left w:val="nil"/>
              <w:bottom w:val="nil"/>
              <w:right w:val="nil"/>
            </w:tcBorders>
            <w:shd w:val="clear" w:color="auto" w:fill="auto"/>
            <w:noWrap/>
            <w:vAlign w:val="bottom"/>
          </w:tcPr>
          <w:p w14:paraId="569BCE13" w14:textId="77777777" w:rsidR="00F45BC4" w:rsidRPr="00F82B8F" w:rsidRDefault="00F45BC4" w:rsidP="00F45BC4">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-0.0065</w:t>
            </w:r>
          </w:p>
        </w:tc>
        <w:tc>
          <w:tcPr>
            <w:tcW w:w="349" w:type="pct"/>
            <w:tcBorders>
              <w:top w:val="nil"/>
              <w:left w:val="nil"/>
              <w:bottom w:val="nil"/>
              <w:right w:val="nil"/>
            </w:tcBorders>
            <w:shd w:val="clear" w:color="auto" w:fill="auto"/>
            <w:vAlign w:val="bottom"/>
          </w:tcPr>
          <w:p w14:paraId="323D861F"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color w:val="000000"/>
                <w:sz w:val="20"/>
                <w:szCs w:val="20"/>
              </w:rPr>
              <w:t>1.0000</w:t>
            </w:r>
          </w:p>
        </w:tc>
        <w:tc>
          <w:tcPr>
            <w:tcW w:w="352" w:type="pct"/>
            <w:tcBorders>
              <w:top w:val="nil"/>
              <w:left w:val="nil"/>
              <w:bottom w:val="nil"/>
              <w:right w:val="nil"/>
            </w:tcBorders>
            <w:shd w:val="clear" w:color="auto" w:fill="auto"/>
            <w:noWrap/>
            <w:vAlign w:val="bottom"/>
          </w:tcPr>
          <w:p w14:paraId="7D4F1738"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50" w:type="pct"/>
            <w:tcBorders>
              <w:top w:val="nil"/>
              <w:left w:val="nil"/>
              <w:bottom w:val="nil"/>
              <w:right w:val="nil"/>
            </w:tcBorders>
            <w:shd w:val="clear" w:color="auto" w:fill="auto"/>
            <w:noWrap/>
            <w:vAlign w:val="bottom"/>
          </w:tcPr>
          <w:p w14:paraId="5E3AB5E1"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56" w:type="pct"/>
            <w:tcBorders>
              <w:top w:val="nil"/>
              <w:left w:val="nil"/>
              <w:bottom w:val="nil"/>
              <w:right w:val="nil"/>
            </w:tcBorders>
            <w:shd w:val="clear" w:color="auto" w:fill="auto"/>
            <w:noWrap/>
            <w:vAlign w:val="bottom"/>
          </w:tcPr>
          <w:p w14:paraId="0D60605E"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39" w:type="pct"/>
            <w:tcBorders>
              <w:top w:val="nil"/>
              <w:left w:val="nil"/>
              <w:bottom w:val="nil"/>
              <w:right w:val="nil"/>
            </w:tcBorders>
            <w:shd w:val="clear" w:color="auto" w:fill="auto"/>
            <w:noWrap/>
            <w:vAlign w:val="bottom"/>
          </w:tcPr>
          <w:p w14:paraId="455DB1A4"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39" w:type="pct"/>
            <w:tcBorders>
              <w:top w:val="nil"/>
              <w:left w:val="nil"/>
              <w:bottom w:val="nil"/>
              <w:right w:val="nil"/>
            </w:tcBorders>
            <w:shd w:val="clear" w:color="auto" w:fill="auto"/>
            <w:noWrap/>
            <w:vAlign w:val="bottom"/>
          </w:tcPr>
          <w:p w14:paraId="3674C2F6"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11" w:type="pct"/>
            <w:tcBorders>
              <w:top w:val="nil"/>
              <w:left w:val="nil"/>
              <w:bottom w:val="nil"/>
              <w:right w:val="nil"/>
            </w:tcBorders>
            <w:shd w:val="clear" w:color="auto" w:fill="auto"/>
            <w:noWrap/>
            <w:vAlign w:val="bottom"/>
          </w:tcPr>
          <w:p w14:paraId="38681DCD"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10" w:type="pct"/>
            <w:tcBorders>
              <w:top w:val="nil"/>
              <w:left w:val="nil"/>
              <w:bottom w:val="nil"/>
              <w:right w:val="nil"/>
            </w:tcBorders>
            <w:shd w:val="clear" w:color="auto" w:fill="auto"/>
            <w:noWrap/>
            <w:vAlign w:val="bottom"/>
          </w:tcPr>
          <w:p w14:paraId="0D4C116D"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r>
      <w:tr w:rsidR="00F45BC4" w:rsidRPr="00F82B8F" w14:paraId="63A3A8A9" w14:textId="77777777" w:rsidTr="00F45BC4">
        <w:trPr>
          <w:trHeight w:val="300"/>
          <w:jc w:val="center"/>
        </w:trPr>
        <w:tc>
          <w:tcPr>
            <w:tcW w:w="470" w:type="pct"/>
            <w:shd w:val="clear" w:color="auto" w:fill="auto"/>
            <w:noWrap/>
            <w:vAlign w:val="bottom"/>
            <w:hideMark/>
          </w:tcPr>
          <w:p w14:paraId="0B21751F" w14:textId="77777777" w:rsidR="00F45BC4" w:rsidRPr="00F82B8F" w:rsidRDefault="00F45BC4" w:rsidP="00F45BC4">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LVX</w:t>
            </w:r>
          </w:p>
        </w:tc>
        <w:tc>
          <w:tcPr>
            <w:tcW w:w="399" w:type="pct"/>
            <w:tcBorders>
              <w:top w:val="nil"/>
              <w:left w:val="nil"/>
              <w:bottom w:val="nil"/>
              <w:right w:val="nil"/>
            </w:tcBorders>
            <w:shd w:val="clear" w:color="auto" w:fill="auto"/>
            <w:vAlign w:val="bottom"/>
          </w:tcPr>
          <w:p w14:paraId="1D96E966" w14:textId="77777777" w:rsidR="00F45BC4" w:rsidRPr="00F82B8F" w:rsidRDefault="00F45BC4" w:rsidP="00F45BC4">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-0.0046</w:t>
            </w:r>
          </w:p>
        </w:tc>
        <w:tc>
          <w:tcPr>
            <w:tcW w:w="399" w:type="pct"/>
            <w:tcBorders>
              <w:top w:val="nil"/>
              <w:left w:val="nil"/>
              <w:bottom w:val="nil"/>
              <w:right w:val="nil"/>
            </w:tcBorders>
            <w:shd w:val="clear" w:color="auto" w:fill="auto"/>
            <w:vAlign w:val="bottom"/>
          </w:tcPr>
          <w:p w14:paraId="4184BE4E" w14:textId="77777777" w:rsidR="00F45BC4" w:rsidRPr="00F82B8F" w:rsidRDefault="00F45BC4" w:rsidP="00F45BC4">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0.1012</w:t>
            </w:r>
          </w:p>
        </w:tc>
        <w:tc>
          <w:tcPr>
            <w:tcW w:w="339" w:type="pct"/>
            <w:tcBorders>
              <w:top w:val="nil"/>
              <w:left w:val="nil"/>
              <w:bottom w:val="nil"/>
              <w:right w:val="nil"/>
            </w:tcBorders>
            <w:shd w:val="clear" w:color="auto" w:fill="auto"/>
            <w:noWrap/>
            <w:vAlign w:val="bottom"/>
          </w:tcPr>
          <w:p w14:paraId="1C857E6B"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0.1529</w:t>
            </w:r>
          </w:p>
        </w:tc>
        <w:tc>
          <w:tcPr>
            <w:tcW w:w="348" w:type="pct"/>
            <w:tcBorders>
              <w:top w:val="nil"/>
              <w:left w:val="nil"/>
              <w:bottom w:val="nil"/>
              <w:right w:val="nil"/>
            </w:tcBorders>
            <w:shd w:val="clear" w:color="auto" w:fill="auto"/>
            <w:noWrap/>
            <w:vAlign w:val="bottom"/>
          </w:tcPr>
          <w:p w14:paraId="484F9EAB"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0.2014</w:t>
            </w:r>
          </w:p>
        </w:tc>
        <w:tc>
          <w:tcPr>
            <w:tcW w:w="339" w:type="pct"/>
            <w:tcBorders>
              <w:top w:val="nil"/>
              <w:left w:val="nil"/>
              <w:bottom w:val="nil"/>
              <w:right w:val="nil"/>
            </w:tcBorders>
            <w:shd w:val="clear" w:color="auto" w:fill="auto"/>
            <w:noWrap/>
            <w:vAlign w:val="bottom"/>
          </w:tcPr>
          <w:p w14:paraId="3186F11F"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-0.1144</w:t>
            </w:r>
          </w:p>
        </w:tc>
        <w:tc>
          <w:tcPr>
            <w:tcW w:w="349" w:type="pct"/>
            <w:tcBorders>
              <w:top w:val="nil"/>
              <w:left w:val="nil"/>
              <w:bottom w:val="nil"/>
              <w:right w:val="nil"/>
            </w:tcBorders>
            <w:shd w:val="clear" w:color="auto" w:fill="auto"/>
            <w:vAlign w:val="bottom"/>
          </w:tcPr>
          <w:p w14:paraId="20DCF46D" w14:textId="77777777" w:rsidR="00F45BC4" w:rsidRPr="00F82B8F" w:rsidRDefault="00F45BC4" w:rsidP="00F45BC4">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0.0762</w:t>
            </w:r>
          </w:p>
        </w:tc>
        <w:tc>
          <w:tcPr>
            <w:tcW w:w="352" w:type="pct"/>
            <w:tcBorders>
              <w:top w:val="nil"/>
              <w:left w:val="nil"/>
              <w:bottom w:val="nil"/>
              <w:right w:val="nil"/>
            </w:tcBorders>
            <w:shd w:val="clear" w:color="auto" w:fill="auto"/>
            <w:noWrap/>
            <w:vAlign w:val="bottom"/>
          </w:tcPr>
          <w:p w14:paraId="5799BBFC"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1.0000</w:t>
            </w:r>
          </w:p>
        </w:tc>
        <w:tc>
          <w:tcPr>
            <w:tcW w:w="350" w:type="pct"/>
            <w:tcBorders>
              <w:top w:val="nil"/>
              <w:left w:val="nil"/>
              <w:bottom w:val="nil"/>
              <w:right w:val="nil"/>
            </w:tcBorders>
            <w:shd w:val="clear" w:color="auto" w:fill="auto"/>
            <w:noWrap/>
            <w:vAlign w:val="bottom"/>
          </w:tcPr>
          <w:p w14:paraId="3FCD89D7"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p>
        </w:tc>
        <w:tc>
          <w:tcPr>
            <w:tcW w:w="356" w:type="pct"/>
            <w:tcBorders>
              <w:top w:val="nil"/>
              <w:left w:val="nil"/>
              <w:bottom w:val="nil"/>
              <w:right w:val="nil"/>
            </w:tcBorders>
            <w:shd w:val="clear" w:color="auto" w:fill="auto"/>
            <w:noWrap/>
            <w:vAlign w:val="bottom"/>
          </w:tcPr>
          <w:p w14:paraId="4B2DC809"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39" w:type="pct"/>
            <w:tcBorders>
              <w:top w:val="nil"/>
              <w:left w:val="nil"/>
              <w:bottom w:val="nil"/>
              <w:right w:val="nil"/>
            </w:tcBorders>
            <w:shd w:val="clear" w:color="auto" w:fill="auto"/>
            <w:noWrap/>
            <w:vAlign w:val="bottom"/>
          </w:tcPr>
          <w:p w14:paraId="365FCD53"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39" w:type="pct"/>
            <w:tcBorders>
              <w:top w:val="nil"/>
              <w:left w:val="nil"/>
              <w:bottom w:val="nil"/>
              <w:right w:val="nil"/>
            </w:tcBorders>
            <w:shd w:val="clear" w:color="auto" w:fill="auto"/>
            <w:noWrap/>
            <w:vAlign w:val="bottom"/>
          </w:tcPr>
          <w:p w14:paraId="1454AAA5"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11" w:type="pct"/>
            <w:tcBorders>
              <w:top w:val="nil"/>
              <w:left w:val="nil"/>
              <w:bottom w:val="nil"/>
              <w:right w:val="nil"/>
            </w:tcBorders>
            <w:shd w:val="clear" w:color="auto" w:fill="auto"/>
            <w:noWrap/>
            <w:vAlign w:val="bottom"/>
          </w:tcPr>
          <w:p w14:paraId="0F2325FB"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10" w:type="pct"/>
            <w:tcBorders>
              <w:top w:val="nil"/>
              <w:left w:val="nil"/>
              <w:bottom w:val="nil"/>
              <w:right w:val="nil"/>
            </w:tcBorders>
            <w:shd w:val="clear" w:color="auto" w:fill="auto"/>
            <w:noWrap/>
            <w:vAlign w:val="bottom"/>
          </w:tcPr>
          <w:p w14:paraId="5274BDD6"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r>
      <w:tr w:rsidR="00F45BC4" w:rsidRPr="00F82B8F" w14:paraId="39EB16BC" w14:textId="77777777" w:rsidTr="00F45BC4">
        <w:trPr>
          <w:trHeight w:val="300"/>
          <w:jc w:val="center"/>
        </w:trPr>
        <w:tc>
          <w:tcPr>
            <w:tcW w:w="470" w:type="pct"/>
            <w:shd w:val="clear" w:color="auto" w:fill="auto"/>
            <w:noWrap/>
            <w:vAlign w:val="bottom"/>
            <w:hideMark/>
          </w:tcPr>
          <w:p w14:paraId="188A4725" w14:textId="77777777" w:rsidR="00F45BC4" w:rsidRPr="00F82B8F" w:rsidRDefault="00F45BC4" w:rsidP="00F45BC4">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RMW</w:t>
            </w:r>
          </w:p>
        </w:tc>
        <w:tc>
          <w:tcPr>
            <w:tcW w:w="399" w:type="pct"/>
            <w:tcBorders>
              <w:top w:val="nil"/>
              <w:left w:val="nil"/>
              <w:bottom w:val="nil"/>
              <w:right w:val="nil"/>
            </w:tcBorders>
            <w:shd w:val="clear" w:color="auto" w:fill="auto"/>
            <w:vAlign w:val="bottom"/>
          </w:tcPr>
          <w:p w14:paraId="0BD81190" w14:textId="77777777" w:rsidR="00F45BC4" w:rsidRPr="00F82B8F" w:rsidRDefault="00F45BC4" w:rsidP="00F45BC4">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-0.0211</w:t>
            </w:r>
          </w:p>
        </w:tc>
        <w:tc>
          <w:tcPr>
            <w:tcW w:w="399" w:type="pct"/>
            <w:tcBorders>
              <w:top w:val="nil"/>
              <w:left w:val="nil"/>
              <w:bottom w:val="nil"/>
              <w:right w:val="nil"/>
            </w:tcBorders>
            <w:shd w:val="clear" w:color="auto" w:fill="auto"/>
            <w:vAlign w:val="bottom"/>
          </w:tcPr>
          <w:p w14:paraId="7B2680D9" w14:textId="77777777" w:rsidR="00F45BC4" w:rsidRPr="00F82B8F" w:rsidRDefault="00F45BC4" w:rsidP="00F45BC4">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-0.0545</w:t>
            </w:r>
          </w:p>
        </w:tc>
        <w:tc>
          <w:tcPr>
            <w:tcW w:w="339" w:type="pct"/>
            <w:tcBorders>
              <w:top w:val="nil"/>
              <w:left w:val="nil"/>
              <w:bottom w:val="nil"/>
              <w:right w:val="nil"/>
            </w:tcBorders>
            <w:shd w:val="clear" w:color="auto" w:fill="auto"/>
            <w:noWrap/>
            <w:vAlign w:val="bottom"/>
          </w:tcPr>
          <w:p w14:paraId="0F2A063D"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-0.0873</w:t>
            </w:r>
          </w:p>
        </w:tc>
        <w:tc>
          <w:tcPr>
            <w:tcW w:w="348" w:type="pct"/>
            <w:tcBorders>
              <w:top w:val="nil"/>
              <w:left w:val="nil"/>
              <w:bottom w:val="nil"/>
              <w:right w:val="nil"/>
            </w:tcBorders>
            <w:shd w:val="clear" w:color="auto" w:fill="auto"/>
            <w:noWrap/>
            <w:vAlign w:val="bottom"/>
          </w:tcPr>
          <w:p w14:paraId="5A3DF9F2"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-0.0479</w:t>
            </w:r>
          </w:p>
        </w:tc>
        <w:tc>
          <w:tcPr>
            <w:tcW w:w="339" w:type="pct"/>
            <w:tcBorders>
              <w:top w:val="nil"/>
              <w:left w:val="nil"/>
              <w:bottom w:val="nil"/>
              <w:right w:val="nil"/>
            </w:tcBorders>
            <w:shd w:val="clear" w:color="auto" w:fill="auto"/>
            <w:noWrap/>
            <w:vAlign w:val="bottom"/>
          </w:tcPr>
          <w:p w14:paraId="16AAA410"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0.6424</w:t>
            </w:r>
          </w:p>
        </w:tc>
        <w:tc>
          <w:tcPr>
            <w:tcW w:w="349" w:type="pct"/>
            <w:tcBorders>
              <w:top w:val="nil"/>
              <w:left w:val="nil"/>
              <w:bottom w:val="nil"/>
              <w:right w:val="nil"/>
            </w:tcBorders>
            <w:shd w:val="clear" w:color="auto" w:fill="auto"/>
            <w:vAlign w:val="bottom"/>
          </w:tcPr>
          <w:p w14:paraId="2B64C9EA" w14:textId="77777777" w:rsidR="00F45BC4" w:rsidRPr="00F82B8F" w:rsidRDefault="00F45BC4" w:rsidP="00F45BC4">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-0.0098</w:t>
            </w:r>
          </w:p>
        </w:tc>
        <w:tc>
          <w:tcPr>
            <w:tcW w:w="352" w:type="pct"/>
            <w:tcBorders>
              <w:top w:val="nil"/>
              <w:left w:val="nil"/>
              <w:bottom w:val="nil"/>
              <w:right w:val="nil"/>
            </w:tcBorders>
            <w:shd w:val="clear" w:color="auto" w:fill="auto"/>
            <w:noWrap/>
            <w:vAlign w:val="bottom"/>
          </w:tcPr>
          <w:p w14:paraId="54A2D027"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-0.1197</w:t>
            </w:r>
          </w:p>
        </w:tc>
        <w:tc>
          <w:tcPr>
            <w:tcW w:w="350" w:type="pct"/>
            <w:tcBorders>
              <w:top w:val="nil"/>
              <w:left w:val="nil"/>
              <w:bottom w:val="nil"/>
              <w:right w:val="nil"/>
            </w:tcBorders>
            <w:shd w:val="clear" w:color="auto" w:fill="auto"/>
            <w:noWrap/>
            <w:vAlign w:val="bottom"/>
          </w:tcPr>
          <w:p w14:paraId="05184036"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1.0000</w:t>
            </w:r>
          </w:p>
        </w:tc>
        <w:tc>
          <w:tcPr>
            <w:tcW w:w="356" w:type="pct"/>
            <w:tcBorders>
              <w:top w:val="nil"/>
              <w:left w:val="nil"/>
              <w:bottom w:val="nil"/>
              <w:right w:val="nil"/>
            </w:tcBorders>
            <w:shd w:val="clear" w:color="auto" w:fill="auto"/>
            <w:noWrap/>
            <w:vAlign w:val="bottom"/>
          </w:tcPr>
          <w:p w14:paraId="0E641B81"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p>
        </w:tc>
        <w:tc>
          <w:tcPr>
            <w:tcW w:w="339" w:type="pct"/>
            <w:tcBorders>
              <w:top w:val="nil"/>
              <w:left w:val="nil"/>
              <w:bottom w:val="nil"/>
              <w:right w:val="nil"/>
            </w:tcBorders>
            <w:shd w:val="clear" w:color="auto" w:fill="auto"/>
            <w:noWrap/>
            <w:vAlign w:val="bottom"/>
          </w:tcPr>
          <w:p w14:paraId="317FED12"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39" w:type="pct"/>
            <w:tcBorders>
              <w:top w:val="nil"/>
              <w:left w:val="nil"/>
              <w:bottom w:val="nil"/>
              <w:right w:val="nil"/>
            </w:tcBorders>
            <w:shd w:val="clear" w:color="auto" w:fill="auto"/>
            <w:noWrap/>
            <w:vAlign w:val="bottom"/>
          </w:tcPr>
          <w:p w14:paraId="13B690C7"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11" w:type="pct"/>
            <w:tcBorders>
              <w:top w:val="nil"/>
              <w:left w:val="nil"/>
              <w:bottom w:val="nil"/>
              <w:right w:val="nil"/>
            </w:tcBorders>
            <w:shd w:val="clear" w:color="auto" w:fill="auto"/>
            <w:noWrap/>
            <w:vAlign w:val="bottom"/>
          </w:tcPr>
          <w:p w14:paraId="5DDCCF79"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10" w:type="pct"/>
            <w:tcBorders>
              <w:top w:val="nil"/>
              <w:left w:val="nil"/>
              <w:bottom w:val="nil"/>
              <w:right w:val="nil"/>
            </w:tcBorders>
            <w:shd w:val="clear" w:color="auto" w:fill="auto"/>
            <w:noWrap/>
            <w:vAlign w:val="bottom"/>
          </w:tcPr>
          <w:p w14:paraId="7B104319"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r>
      <w:tr w:rsidR="00F45BC4" w:rsidRPr="00F82B8F" w14:paraId="5D6015B6" w14:textId="77777777" w:rsidTr="00F45BC4">
        <w:trPr>
          <w:trHeight w:val="300"/>
          <w:jc w:val="center"/>
        </w:trPr>
        <w:tc>
          <w:tcPr>
            <w:tcW w:w="470" w:type="pct"/>
            <w:shd w:val="clear" w:color="auto" w:fill="auto"/>
            <w:noWrap/>
            <w:vAlign w:val="bottom"/>
            <w:hideMark/>
          </w:tcPr>
          <w:p w14:paraId="0AD3FF7E" w14:textId="77777777" w:rsidR="00F45BC4" w:rsidRPr="00F82B8F" w:rsidRDefault="00F45BC4" w:rsidP="00F45BC4">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RME</w:t>
            </w:r>
          </w:p>
        </w:tc>
        <w:tc>
          <w:tcPr>
            <w:tcW w:w="399" w:type="pct"/>
            <w:tcBorders>
              <w:top w:val="nil"/>
              <w:left w:val="nil"/>
              <w:bottom w:val="nil"/>
              <w:right w:val="nil"/>
            </w:tcBorders>
            <w:shd w:val="clear" w:color="auto" w:fill="auto"/>
            <w:vAlign w:val="bottom"/>
          </w:tcPr>
          <w:p w14:paraId="01FD4C69" w14:textId="77777777" w:rsidR="00F45BC4" w:rsidRPr="00F82B8F" w:rsidRDefault="00F45BC4" w:rsidP="00F45BC4">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-0.0834</w:t>
            </w:r>
          </w:p>
        </w:tc>
        <w:tc>
          <w:tcPr>
            <w:tcW w:w="399" w:type="pct"/>
            <w:tcBorders>
              <w:top w:val="nil"/>
              <w:left w:val="nil"/>
              <w:bottom w:val="nil"/>
              <w:right w:val="nil"/>
            </w:tcBorders>
            <w:shd w:val="clear" w:color="auto" w:fill="auto"/>
            <w:vAlign w:val="bottom"/>
          </w:tcPr>
          <w:p w14:paraId="6D68FE21" w14:textId="77777777" w:rsidR="00F45BC4" w:rsidRPr="00F82B8F" w:rsidRDefault="00F45BC4" w:rsidP="00F45BC4">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-0.1293</w:t>
            </w:r>
          </w:p>
        </w:tc>
        <w:tc>
          <w:tcPr>
            <w:tcW w:w="339" w:type="pct"/>
            <w:tcBorders>
              <w:top w:val="nil"/>
              <w:left w:val="nil"/>
              <w:bottom w:val="nil"/>
              <w:right w:val="nil"/>
            </w:tcBorders>
            <w:shd w:val="clear" w:color="auto" w:fill="auto"/>
            <w:noWrap/>
            <w:vAlign w:val="bottom"/>
          </w:tcPr>
          <w:p w14:paraId="6FEA3BB6"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-0.1222</w:t>
            </w:r>
          </w:p>
        </w:tc>
        <w:tc>
          <w:tcPr>
            <w:tcW w:w="348" w:type="pct"/>
            <w:tcBorders>
              <w:top w:val="nil"/>
              <w:left w:val="nil"/>
              <w:bottom w:val="nil"/>
              <w:right w:val="nil"/>
            </w:tcBorders>
            <w:shd w:val="clear" w:color="auto" w:fill="auto"/>
            <w:noWrap/>
            <w:vAlign w:val="bottom"/>
          </w:tcPr>
          <w:p w14:paraId="0801B27A"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-0.0866</w:t>
            </w:r>
          </w:p>
        </w:tc>
        <w:tc>
          <w:tcPr>
            <w:tcW w:w="339" w:type="pct"/>
            <w:tcBorders>
              <w:top w:val="nil"/>
              <w:left w:val="nil"/>
              <w:bottom w:val="nil"/>
              <w:right w:val="nil"/>
            </w:tcBorders>
            <w:shd w:val="clear" w:color="auto" w:fill="auto"/>
            <w:noWrap/>
            <w:vAlign w:val="bottom"/>
          </w:tcPr>
          <w:p w14:paraId="4428A173"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0.6545</w:t>
            </w:r>
          </w:p>
        </w:tc>
        <w:tc>
          <w:tcPr>
            <w:tcW w:w="349" w:type="pct"/>
            <w:tcBorders>
              <w:top w:val="nil"/>
              <w:left w:val="nil"/>
              <w:bottom w:val="nil"/>
              <w:right w:val="nil"/>
            </w:tcBorders>
            <w:shd w:val="clear" w:color="auto" w:fill="auto"/>
            <w:vAlign w:val="bottom"/>
          </w:tcPr>
          <w:p w14:paraId="65C69C48" w14:textId="77777777" w:rsidR="00F45BC4" w:rsidRPr="00F82B8F" w:rsidRDefault="00F45BC4" w:rsidP="00F45BC4">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-0.0062</w:t>
            </w:r>
          </w:p>
        </w:tc>
        <w:tc>
          <w:tcPr>
            <w:tcW w:w="352" w:type="pct"/>
            <w:tcBorders>
              <w:top w:val="nil"/>
              <w:left w:val="nil"/>
              <w:bottom w:val="nil"/>
              <w:right w:val="nil"/>
            </w:tcBorders>
            <w:shd w:val="clear" w:color="auto" w:fill="auto"/>
            <w:noWrap/>
            <w:vAlign w:val="bottom"/>
          </w:tcPr>
          <w:p w14:paraId="0F665864"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-0.1236</w:t>
            </w:r>
          </w:p>
        </w:tc>
        <w:tc>
          <w:tcPr>
            <w:tcW w:w="350" w:type="pct"/>
            <w:tcBorders>
              <w:top w:val="nil"/>
              <w:left w:val="nil"/>
              <w:bottom w:val="nil"/>
              <w:right w:val="nil"/>
            </w:tcBorders>
            <w:shd w:val="clear" w:color="auto" w:fill="auto"/>
            <w:noWrap/>
            <w:vAlign w:val="bottom"/>
          </w:tcPr>
          <w:p w14:paraId="6459ACD2"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0.6999</w:t>
            </w:r>
          </w:p>
        </w:tc>
        <w:tc>
          <w:tcPr>
            <w:tcW w:w="356" w:type="pct"/>
            <w:tcBorders>
              <w:top w:val="nil"/>
              <w:left w:val="nil"/>
              <w:bottom w:val="nil"/>
              <w:right w:val="nil"/>
            </w:tcBorders>
            <w:shd w:val="clear" w:color="auto" w:fill="auto"/>
            <w:noWrap/>
            <w:vAlign w:val="bottom"/>
          </w:tcPr>
          <w:p w14:paraId="5F47F2D7"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1.0000</w:t>
            </w:r>
          </w:p>
        </w:tc>
        <w:tc>
          <w:tcPr>
            <w:tcW w:w="339" w:type="pct"/>
            <w:tcBorders>
              <w:top w:val="nil"/>
              <w:left w:val="nil"/>
              <w:bottom w:val="nil"/>
              <w:right w:val="nil"/>
            </w:tcBorders>
            <w:shd w:val="clear" w:color="auto" w:fill="auto"/>
            <w:noWrap/>
            <w:vAlign w:val="bottom"/>
          </w:tcPr>
          <w:p w14:paraId="663C1A4A"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p>
        </w:tc>
        <w:tc>
          <w:tcPr>
            <w:tcW w:w="339" w:type="pct"/>
            <w:tcBorders>
              <w:top w:val="nil"/>
              <w:left w:val="nil"/>
              <w:bottom w:val="nil"/>
              <w:right w:val="nil"/>
            </w:tcBorders>
            <w:shd w:val="clear" w:color="auto" w:fill="auto"/>
            <w:noWrap/>
            <w:vAlign w:val="bottom"/>
          </w:tcPr>
          <w:p w14:paraId="2AC97036"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11" w:type="pct"/>
            <w:tcBorders>
              <w:top w:val="nil"/>
              <w:left w:val="nil"/>
              <w:bottom w:val="nil"/>
              <w:right w:val="nil"/>
            </w:tcBorders>
            <w:shd w:val="clear" w:color="auto" w:fill="auto"/>
            <w:noWrap/>
            <w:vAlign w:val="bottom"/>
          </w:tcPr>
          <w:p w14:paraId="0CE28D9B"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10" w:type="pct"/>
            <w:tcBorders>
              <w:top w:val="nil"/>
              <w:left w:val="nil"/>
              <w:bottom w:val="nil"/>
              <w:right w:val="nil"/>
            </w:tcBorders>
            <w:shd w:val="clear" w:color="auto" w:fill="auto"/>
            <w:noWrap/>
            <w:vAlign w:val="bottom"/>
          </w:tcPr>
          <w:p w14:paraId="6A5F1972"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r>
      <w:tr w:rsidR="00F45BC4" w:rsidRPr="00F82B8F" w14:paraId="043381FB" w14:textId="77777777" w:rsidTr="00F45BC4">
        <w:trPr>
          <w:trHeight w:val="300"/>
          <w:jc w:val="center"/>
        </w:trPr>
        <w:tc>
          <w:tcPr>
            <w:tcW w:w="470" w:type="pct"/>
            <w:shd w:val="clear" w:color="auto" w:fill="auto"/>
            <w:noWrap/>
            <w:vAlign w:val="bottom"/>
            <w:hideMark/>
          </w:tcPr>
          <w:p w14:paraId="4A2DC527" w14:textId="77777777" w:rsidR="00F45BC4" w:rsidRPr="00F82B8F" w:rsidRDefault="00F45BC4" w:rsidP="00F45BC4">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RES</w:t>
            </w:r>
          </w:p>
        </w:tc>
        <w:tc>
          <w:tcPr>
            <w:tcW w:w="399" w:type="pct"/>
            <w:tcBorders>
              <w:top w:val="nil"/>
              <w:left w:val="nil"/>
              <w:bottom w:val="nil"/>
              <w:right w:val="nil"/>
            </w:tcBorders>
            <w:shd w:val="clear" w:color="auto" w:fill="auto"/>
            <w:vAlign w:val="bottom"/>
          </w:tcPr>
          <w:p w14:paraId="58F1416F" w14:textId="77777777" w:rsidR="00F45BC4" w:rsidRPr="00F82B8F" w:rsidRDefault="00F45BC4" w:rsidP="00F45BC4">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-0.0001</w:t>
            </w:r>
          </w:p>
        </w:tc>
        <w:tc>
          <w:tcPr>
            <w:tcW w:w="399" w:type="pct"/>
            <w:tcBorders>
              <w:top w:val="nil"/>
              <w:left w:val="nil"/>
              <w:bottom w:val="nil"/>
              <w:right w:val="nil"/>
            </w:tcBorders>
            <w:shd w:val="clear" w:color="auto" w:fill="auto"/>
            <w:vAlign w:val="bottom"/>
          </w:tcPr>
          <w:p w14:paraId="3A68181D" w14:textId="77777777" w:rsidR="00F45BC4" w:rsidRPr="00F82B8F" w:rsidRDefault="00F45BC4" w:rsidP="00F45BC4">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0.0004</w:t>
            </w:r>
          </w:p>
        </w:tc>
        <w:tc>
          <w:tcPr>
            <w:tcW w:w="339" w:type="pct"/>
            <w:tcBorders>
              <w:top w:val="nil"/>
              <w:left w:val="nil"/>
              <w:bottom w:val="nil"/>
              <w:right w:val="nil"/>
            </w:tcBorders>
            <w:shd w:val="clear" w:color="auto" w:fill="auto"/>
            <w:noWrap/>
            <w:vAlign w:val="bottom"/>
          </w:tcPr>
          <w:p w14:paraId="4671F3BD"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0.0052</w:t>
            </w:r>
          </w:p>
        </w:tc>
        <w:tc>
          <w:tcPr>
            <w:tcW w:w="348" w:type="pct"/>
            <w:tcBorders>
              <w:top w:val="nil"/>
              <w:left w:val="nil"/>
              <w:bottom w:val="nil"/>
              <w:right w:val="nil"/>
            </w:tcBorders>
            <w:shd w:val="clear" w:color="auto" w:fill="auto"/>
            <w:noWrap/>
            <w:vAlign w:val="bottom"/>
          </w:tcPr>
          <w:p w14:paraId="1CA08662"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0.0031</w:t>
            </w:r>
          </w:p>
        </w:tc>
        <w:tc>
          <w:tcPr>
            <w:tcW w:w="339" w:type="pct"/>
            <w:tcBorders>
              <w:top w:val="nil"/>
              <w:left w:val="nil"/>
              <w:bottom w:val="nil"/>
              <w:right w:val="nil"/>
            </w:tcBorders>
            <w:shd w:val="clear" w:color="auto" w:fill="auto"/>
            <w:noWrap/>
            <w:vAlign w:val="bottom"/>
          </w:tcPr>
          <w:p w14:paraId="55502695"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0.0039</w:t>
            </w:r>
          </w:p>
        </w:tc>
        <w:tc>
          <w:tcPr>
            <w:tcW w:w="349" w:type="pct"/>
            <w:tcBorders>
              <w:top w:val="nil"/>
              <w:left w:val="nil"/>
              <w:bottom w:val="nil"/>
              <w:right w:val="nil"/>
            </w:tcBorders>
            <w:shd w:val="clear" w:color="auto" w:fill="auto"/>
            <w:vAlign w:val="bottom"/>
          </w:tcPr>
          <w:p w14:paraId="7EE4F8D1" w14:textId="77777777" w:rsidR="00F45BC4" w:rsidRPr="00F82B8F" w:rsidRDefault="00F45BC4" w:rsidP="00F45BC4">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-0.4801</w:t>
            </w:r>
          </w:p>
        </w:tc>
        <w:tc>
          <w:tcPr>
            <w:tcW w:w="352" w:type="pct"/>
            <w:tcBorders>
              <w:top w:val="nil"/>
              <w:left w:val="nil"/>
              <w:bottom w:val="nil"/>
              <w:right w:val="nil"/>
            </w:tcBorders>
            <w:shd w:val="clear" w:color="auto" w:fill="auto"/>
            <w:noWrap/>
            <w:vAlign w:val="bottom"/>
          </w:tcPr>
          <w:p w14:paraId="312A7033"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0.0050</w:t>
            </w:r>
          </w:p>
        </w:tc>
        <w:tc>
          <w:tcPr>
            <w:tcW w:w="350" w:type="pct"/>
            <w:tcBorders>
              <w:top w:val="nil"/>
              <w:left w:val="nil"/>
              <w:bottom w:val="nil"/>
              <w:right w:val="nil"/>
            </w:tcBorders>
            <w:shd w:val="clear" w:color="auto" w:fill="auto"/>
            <w:noWrap/>
            <w:vAlign w:val="bottom"/>
          </w:tcPr>
          <w:p w14:paraId="441F1B2F"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-0.0030</w:t>
            </w:r>
          </w:p>
        </w:tc>
        <w:tc>
          <w:tcPr>
            <w:tcW w:w="356" w:type="pct"/>
            <w:tcBorders>
              <w:top w:val="nil"/>
              <w:left w:val="nil"/>
              <w:bottom w:val="nil"/>
              <w:right w:val="nil"/>
            </w:tcBorders>
            <w:shd w:val="clear" w:color="auto" w:fill="auto"/>
            <w:noWrap/>
            <w:vAlign w:val="bottom"/>
          </w:tcPr>
          <w:p w14:paraId="7862BEED"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-0.0025</w:t>
            </w:r>
          </w:p>
        </w:tc>
        <w:tc>
          <w:tcPr>
            <w:tcW w:w="339" w:type="pct"/>
            <w:tcBorders>
              <w:top w:val="nil"/>
              <w:left w:val="nil"/>
              <w:bottom w:val="nil"/>
              <w:right w:val="nil"/>
            </w:tcBorders>
            <w:shd w:val="clear" w:color="auto" w:fill="auto"/>
            <w:noWrap/>
            <w:vAlign w:val="bottom"/>
          </w:tcPr>
          <w:p w14:paraId="7F4376AA"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1.0000</w:t>
            </w:r>
          </w:p>
        </w:tc>
        <w:tc>
          <w:tcPr>
            <w:tcW w:w="339" w:type="pct"/>
            <w:tcBorders>
              <w:top w:val="nil"/>
              <w:left w:val="nil"/>
              <w:bottom w:val="nil"/>
              <w:right w:val="nil"/>
            </w:tcBorders>
            <w:shd w:val="clear" w:color="auto" w:fill="auto"/>
            <w:noWrap/>
            <w:vAlign w:val="bottom"/>
          </w:tcPr>
          <w:p w14:paraId="5A2C5F9A"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11" w:type="pct"/>
            <w:tcBorders>
              <w:top w:val="nil"/>
              <w:left w:val="nil"/>
              <w:bottom w:val="nil"/>
              <w:right w:val="nil"/>
            </w:tcBorders>
            <w:shd w:val="clear" w:color="auto" w:fill="auto"/>
            <w:noWrap/>
            <w:vAlign w:val="bottom"/>
          </w:tcPr>
          <w:p w14:paraId="735C7CEB"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c>
          <w:tcPr>
            <w:tcW w:w="310" w:type="pct"/>
            <w:tcBorders>
              <w:top w:val="nil"/>
              <w:left w:val="nil"/>
              <w:bottom w:val="nil"/>
              <w:right w:val="nil"/>
            </w:tcBorders>
            <w:shd w:val="clear" w:color="auto" w:fill="auto"/>
            <w:noWrap/>
            <w:vAlign w:val="bottom"/>
          </w:tcPr>
          <w:p w14:paraId="3E314BBE"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r>
      <w:tr w:rsidR="00F45BC4" w:rsidRPr="00F82B8F" w14:paraId="4D2B43CC" w14:textId="77777777" w:rsidTr="00F45BC4">
        <w:trPr>
          <w:trHeight w:val="300"/>
          <w:jc w:val="center"/>
        </w:trPr>
        <w:tc>
          <w:tcPr>
            <w:tcW w:w="470" w:type="pct"/>
            <w:shd w:val="clear" w:color="auto" w:fill="auto"/>
            <w:noWrap/>
            <w:vAlign w:val="bottom"/>
            <w:hideMark/>
          </w:tcPr>
          <w:p w14:paraId="470E3860" w14:textId="77777777" w:rsidR="00F45BC4" w:rsidRPr="00F82B8F" w:rsidRDefault="00F45BC4" w:rsidP="00F45BC4">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MPR</w:t>
            </w:r>
          </w:p>
        </w:tc>
        <w:tc>
          <w:tcPr>
            <w:tcW w:w="399" w:type="pct"/>
            <w:tcBorders>
              <w:top w:val="nil"/>
              <w:left w:val="nil"/>
              <w:bottom w:val="nil"/>
              <w:right w:val="nil"/>
            </w:tcBorders>
            <w:shd w:val="clear" w:color="auto" w:fill="auto"/>
            <w:vAlign w:val="bottom"/>
          </w:tcPr>
          <w:p w14:paraId="07958B94" w14:textId="77777777" w:rsidR="00F45BC4" w:rsidRPr="00F82B8F" w:rsidRDefault="00F45BC4" w:rsidP="00F45BC4">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-0.0020</w:t>
            </w:r>
          </w:p>
        </w:tc>
        <w:tc>
          <w:tcPr>
            <w:tcW w:w="399" w:type="pct"/>
            <w:tcBorders>
              <w:top w:val="nil"/>
              <w:left w:val="nil"/>
              <w:bottom w:val="nil"/>
              <w:right w:val="nil"/>
            </w:tcBorders>
            <w:shd w:val="clear" w:color="auto" w:fill="auto"/>
            <w:vAlign w:val="bottom"/>
          </w:tcPr>
          <w:p w14:paraId="0F1851EF" w14:textId="77777777" w:rsidR="00F45BC4" w:rsidRPr="00F82B8F" w:rsidRDefault="00F45BC4" w:rsidP="00F45BC4">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-0.0055</w:t>
            </w:r>
          </w:p>
        </w:tc>
        <w:tc>
          <w:tcPr>
            <w:tcW w:w="339" w:type="pct"/>
            <w:tcBorders>
              <w:top w:val="nil"/>
              <w:left w:val="nil"/>
              <w:bottom w:val="nil"/>
              <w:right w:val="nil"/>
            </w:tcBorders>
            <w:shd w:val="clear" w:color="auto" w:fill="auto"/>
            <w:noWrap/>
            <w:vAlign w:val="bottom"/>
          </w:tcPr>
          <w:p w14:paraId="330BF4E6"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-0.0064</w:t>
            </w:r>
          </w:p>
        </w:tc>
        <w:tc>
          <w:tcPr>
            <w:tcW w:w="348" w:type="pct"/>
            <w:tcBorders>
              <w:top w:val="nil"/>
              <w:left w:val="nil"/>
              <w:bottom w:val="nil"/>
              <w:right w:val="nil"/>
            </w:tcBorders>
            <w:shd w:val="clear" w:color="auto" w:fill="auto"/>
            <w:noWrap/>
            <w:vAlign w:val="bottom"/>
          </w:tcPr>
          <w:p w14:paraId="6CBEE26F"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-0.0072</w:t>
            </w:r>
          </w:p>
        </w:tc>
        <w:tc>
          <w:tcPr>
            <w:tcW w:w="339" w:type="pct"/>
            <w:tcBorders>
              <w:top w:val="nil"/>
              <w:left w:val="nil"/>
              <w:bottom w:val="nil"/>
              <w:right w:val="nil"/>
            </w:tcBorders>
            <w:shd w:val="clear" w:color="auto" w:fill="auto"/>
            <w:noWrap/>
            <w:vAlign w:val="bottom"/>
          </w:tcPr>
          <w:p w14:paraId="7201B614"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-0.0057</w:t>
            </w:r>
          </w:p>
        </w:tc>
        <w:tc>
          <w:tcPr>
            <w:tcW w:w="349" w:type="pct"/>
            <w:tcBorders>
              <w:top w:val="nil"/>
              <w:left w:val="nil"/>
              <w:bottom w:val="nil"/>
              <w:right w:val="nil"/>
            </w:tcBorders>
            <w:shd w:val="clear" w:color="auto" w:fill="auto"/>
            <w:vAlign w:val="bottom"/>
          </w:tcPr>
          <w:p w14:paraId="46B323E9" w14:textId="77777777" w:rsidR="00F45BC4" w:rsidRPr="00F82B8F" w:rsidRDefault="00F45BC4" w:rsidP="00F45BC4">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0.3190</w:t>
            </w:r>
          </w:p>
        </w:tc>
        <w:tc>
          <w:tcPr>
            <w:tcW w:w="352" w:type="pct"/>
            <w:tcBorders>
              <w:top w:val="nil"/>
              <w:left w:val="nil"/>
              <w:bottom w:val="nil"/>
              <w:right w:val="nil"/>
            </w:tcBorders>
            <w:shd w:val="clear" w:color="auto" w:fill="auto"/>
            <w:noWrap/>
            <w:vAlign w:val="bottom"/>
          </w:tcPr>
          <w:p w14:paraId="61758B37"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-0.0865</w:t>
            </w:r>
          </w:p>
        </w:tc>
        <w:tc>
          <w:tcPr>
            <w:tcW w:w="350" w:type="pct"/>
            <w:tcBorders>
              <w:top w:val="nil"/>
              <w:left w:val="nil"/>
              <w:bottom w:val="nil"/>
              <w:right w:val="nil"/>
            </w:tcBorders>
            <w:shd w:val="clear" w:color="auto" w:fill="auto"/>
            <w:noWrap/>
            <w:vAlign w:val="bottom"/>
          </w:tcPr>
          <w:p w14:paraId="756ABA8F"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-0.0057</w:t>
            </w:r>
          </w:p>
        </w:tc>
        <w:tc>
          <w:tcPr>
            <w:tcW w:w="356" w:type="pct"/>
            <w:tcBorders>
              <w:top w:val="nil"/>
              <w:left w:val="nil"/>
              <w:bottom w:val="nil"/>
              <w:right w:val="nil"/>
            </w:tcBorders>
            <w:shd w:val="clear" w:color="auto" w:fill="auto"/>
            <w:noWrap/>
            <w:vAlign w:val="bottom"/>
          </w:tcPr>
          <w:p w14:paraId="1A83EA46"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-0.0107</w:t>
            </w:r>
          </w:p>
        </w:tc>
        <w:tc>
          <w:tcPr>
            <w:tcW w:w="339" w:type="pct"/>
            <w:tcBorders>
              <w:top w:val="nil"/>
              <w:left w:val="nil"/>
              <w:bottom w:val="nil"/>
              <w:right w:val="nil"/>
            </w:tcBorders>
            <w:shd w:val="clear" w:color="auto" w:fill="auto"/>
            <w:noWrap/>
            <w:vAlign w:val="bottom"/>
          </w:tcPr>
          <w:p w14:paraId="51BF4FAD"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-0.6763</w:t>
            </w:r>
          </w:p>
        </w:tc>
        <w:tc>
          <w:tcPr>
            <w:tcW w:w="339" w:type="pct"/>
            <w:tcBorders>
              <w:top w:val="nil"/>
              <w:left w:val="nil"/>
              <w:bottom w:val="nil"/>
              <w:right w:val="nil"/>
            </w:tcBorders>
            <w:shd w:val="clear" w:color="auto" w:fill="auto"/>
            <w:noWrap/>
            <w:vAlign w:val="bottom"/>
          </w:tcPr>
          <w:p w14:paraId="33608E4B"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1.0000</w:t>
            </w:r>
          </w:p>
        </w:tc>
        <w:tc>
          <w:tcPr>
            <w:tcW w:w="311" w:type="pct"/>
            <w:tcBorders>
              <w:top w:val="nil"/>
              <w:left w:val="nil"/>
              <w:bottom w:val="nil"/>
              <w:right w:val="nil"/>
            </w:tcBorders>
            <w:shd w:val="clear" w:color="auto" w:fill="auto"/>
            <w:noWrap/>
            <w:vAlign w:val="bottom"/>
          </w:tcPr>
          <w:p w14:paraId="1A3FA30C"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p>
        </w:tc>
        <w:tc>
          <w:tcPr>
            <w:tcW w:w="310" w:type="pct"/>
            <w:tcBorders>
              <w:top w:val="nil"/>
              <w:left w:val="nil"/>
              <w:bottom w:val="nil"/>
              <w:right w:val="nil"/>
            </w:tcBorders>
            <w:shd w:val="clear" w:color="auto" w:fill="auto"/>
            <w:noWrap/>
            <w:vAlign w:val="bottom"/>
          </w:tcPr>
          <w:p w14:paraId="165EC7FF" w14:textId="77777777" w:rsidR="00F45BC4" w:rsidRPr="00F82B8F" w:rsidRDefault="00F45BC4" w:rsidP="00F45BC4">
            <w:pPr>
              <w:spacing w:after="0" w:line="240" w:lineRule="auto"/>
              <w:jc w:val="center"/>
              <w:rPr>
                <w:rFonts w:ascii="Times New Roman" w:eastAsia="Times New Roman" w:hAnsi="Times New Roman" w:cs="Times New Roman"/>
                <w:sz w:val="20"/>
                <w:szCs w:val="20"/>
                <w:lang w:eastAsia="en-GB"/>
              </w:rPr>
            </w:pPr>
          </w:p>
        </w:tc>
      </w:tr>
      <w:tr w:rsidR="00F45BC4" w:rsidRPr="00F82B8F" w14:paraId="30586DC0" w14:textId="77777777" w:rsidTr="00F45BC4">
        <w:trPr>
          <w:trHeight w:val="300"/>
          <w:jc w:val="center"/>
        </w:trPr>
        <w:tc>
          <w:tcPr>
            <w:tcW w:w="470" w:type="pct"/>
            <w:shd w:val="clear" w:color="auto" w:fill="auto"/>
            <w:noWrap/>
            <w:vAlign w:val="bottom"/>
            <w:hideMark/>
          </w:tcPr>
          <w:p w14:paraId="0FD4D1DD" w14:textId="77777777" w:rsidR="00F45BC4" w:rsidRPr="00F82B8F" w:rsidRDefault="00F45BC4" w:rsidP="00F45BC4">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LOP</w:t>
            </w:r>
          </w:p>
        </w:tc>
        <w:tc>
          <w:tcPr>
            <w:tcW w:w="399" w:type="pct"/>
            <w:tcBorders>
              <w:top w:val="nil"/>
              <w:left w:val="nil"/>
              <w:right w:val="nil"/>
            </w:tcBorders>
            <w:shd w:val="clear" w:color="auto" w:fill="auto"/>
            <w:vAlign w:val="bottom"/>
          </w:tcPr>
          <w:p w14:paraId="7283BC36" w14:textId="77777777" w:rsidR="00F45BC4" w:rsidRPr="00F82B8F" w:rsidRDefault="00F45BC4" w:rsidP="00F45BC4">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0.0058</w:t>
            </w:r>
          </w:p>
        </w:tc>
        <w:tc>
          <w:tcPr>
            <w:tcW w:w="399" w:type="pct"/>
            <w:tcBorders>
              <w:top w:val="nil"/>
              <w:left w:val="nil"/>
              <w:right w:val="nil"/>
            </w:tcBorders>
            <w:shd w:val="clear" w:color="auto" w:fill="auto"/>
            <w:vAlign w:val="bottom"/>
          </w:tcPr>
          <w:p w14:paraId="42D854E9" w14:textId="77777777" w:rsidR="00F45BC4" w:rsidRPr="00F82B8F" w:rsidRDefault="00F45BC4" w:rsidP="00F45BC4">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-0.1085</w:t>
            </w:r>
          </w:p>
        </w:tc>
        <w:tc>
          <w:tcPr>
            <w:tcW w:w="339" w:type="pct"/>
            <w:tcBorders>
              <w:top w:val="nil"/>
              <w:left w:val="nil"/>
              <w:right w:val="nil"/>
            </w:tcBorders>
            <w:shd w:val="clear" w:color="auto" w:fill="auto"/>
            <w:noWrap/>
            <w:vAlign w:val="bottom"/>
          </w:tcPr>
          <w:p w14:paraId="003E3AB3"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-0.0861</w:t>
            </w:r>
          </w:p>
        </w:tc>
        <w:tc>
          <w:tcPr>
            <w:tcW w:w="348" w:type="pct"/>
            <w:tcBorders>
              <w:top w:val="nil"/>
              <w:left w:val="nil"/>
              <w:right w:val="nil"/>
            </w:tcBorders>
            <w:shd w:val="clear" w:color="auto" w:fill="auto"/>
            <w:noWrap/>
            <w:vAlign w:val="bottom"/>
          </w:tcPr>
          <w:p w14:paraId="6E5EA683"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-0.1702</w:t>
            </w:r>
          </w:p>
        </w:tc>
        <w:tc>
          <w:tcPr>
            <w:tcW w:w="339" w:type="pct"/>
            <w:tcBorders>
              <w:top w:val="nil"/>
              <w:left w:val="nil"/>
              <w:right w:val="nil"/>
            </w:tcBorders>
            <w:shd w:val="clear" w:color="auto" w:fill="auto"/>
            <w:noWrap/>
            <w:vAlign w:val="bottom"/>
          </w:tcPr>
          <w:p w14:paraId="4026E65A"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-0.0089</w:t>
            </w:r>
          </w:p>
        </w:tc>
        <w:tc>
          <w:tcPr>
            <w:tcW w:w="349" w:type="pct"/>
            <w:tcBorders>
              <w:top w:val="nil"/>
              <w:left w:val="nil"/>
              <w:right w:val="nil"/>
            </w:tcBorders>
            <w:shd w:val="clear" w:color="auto" w:fill="auto"/>
            <w:vAlign w:val="bottom"/>
          </w:tcPr>
          <w:p w14:paraId="2F5FEF2D" w14:textId="77777777" w:rsidR="00F45BC4" w:rsidRPr="00F82B8F" w:rsidRDefault="00F45BC4" w:rsidP="00F45BC4">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-0.0601</w:t>
            </w:r>
          </w:p>
        </w:tc>
        <w:tc>
          <w:tcPr>
            <w:tcW w:w="352" w:type="pct"/>
            <w:tcBorders>
              <w:top w:val="nil"/>
              <w:left w:val="nil"/>
              <w:right w:val="nil"/>
            </w:tcBorders>
            <w:shd w:val="clear" w:color="auto" w:fill="auto"/>
            <w:noWrap/>
            <w:vAlign w:val="bottom"/>
          </w:tcPr>
          <w:p w14:paraId="0E675B15"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-0.8343</w:t>
            </w:r>
          </w:p>
        </w:tc>
        <w:tc>
          <w:tcPr>
            <w:tcW w:w="350" w:type="pct"/>
            <w:tcBorders>
              <w:top w:val="nil"/>
              <w:left w:val="nil"/>
              <w:right w:val="nil"/>
            </w:tcBorders>
            <w:shd w:val="clear" w:color="auto" w:fill="auto"/>
            <w:noWrap/>
            <w:vAlign w:val="bottom"/>
          </w:tcPr>
          <w:p w14:paraId="2E1DDDEA"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-0.0258</w:t>
            </w:r>
          </w:p>
        </w:tc>
        <w:tc>
          <w:tcPr>
            <w:tcW w:w="356" w:type="pct"/>
            <w:tcBorders>
              <w:top w:val="nil"/>
              <w:left w:val="nil"/>
              <w:right w:val="nil"/>
            </w:tcBorders>
            <w:shd w:val="clear" w:color="auto" w:fill="auto"/>
            <w:noWrap/>
            <w:vAlign w:val="bottom"/>
          </w:tcPr>
          <w:p w14:paraId="4AD73712"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-0.0056</w:t>
            </w:r>
          </w:p>
        </w:tc>
        <w:tc>
          <w:tcPr>
            <w:tcW w:w="339" w:type="pct"/>
            <w:tcBorders>
              <w:top w:val="nil"/>
              <w:left w:val="nil"/>
              <w:right w:val="nil"/>
            </w:tcBorders>
            <w:shd w:val="clear" w:color="auto" w:fill="auto"/>
            <w:noWrap/>
            <w:vAlign w:val="bottom"/>
          </w:tcPr>
          <w:p w14:paraId="3D6877F1"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-0.0009</w:t>
            </w:r>
          </w:p>
        </w:tc>
        <w:tc>
          <w:tcPr>
            <w:tcW w:w="339" w:type="pct"/>
            <w:tcBorders>
              <w:top w:val="nil"/>
              <w:left w:val="nil"/>
              <w:right w:val="nil"/>
            </w:tcBorders>
            <w:shd w:val="clear" w:color="auto" w:fill="auto"/>
            <w:noWrap/>
            <w:vAlign w:val="bottom"/>
          </w:tcPr>
          <w:p w14:paraId="6BCE408D"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0.0861</w:t>
            </w:r>
          </w:p>
        </w:tc>
        <w:tc>
          <w:tcPr>
            <w:tcW w:w="311" w:type="pct"/>
            <w:tcBorders>
              <w:top w:val="nil"/>
              <w:left w:val="nil"/>
              <w:right w:val="nil"/>
            </w:tcBorders>
            <w:shd w:val="clear" w:color="auto" w:fill="auto"/>
            <w:noWrap/>
            <w:vAlign w:val="bottom"/>
          </w:tcPr>
          <w:p w14:paraId="628F3F8E"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1.0000</w:t>
            </w:r>
          </w:p>
        </w:tc>
        <w:tc>
          <w:tcPr>
            <w:tcW w:w="310" w:type="pct"/>
            <w:tcBorders>
              <w:top w:val="nil"/>
              <w:left w:val="nil"/>
              <w:right w:val="nil"/>
            </w:tcBorders>
            <w:shd w:val="clear" w:color="auto" w:fill="auto"/>
            <w:noWrap/>
            <w:vAlign w:val="bottom"/>
          </w:tcPr>
          <w:p w14:paraId="2C861ECD"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p>
        </w:tc>
      </w:tr>
      <w:tr w:rsidR="00F45BC4" w:rsidRPr="00F82B8F" w14:paraId="518F077A" w14:textId="77777777" w:rsidTr="00F45BC4">
        <w:trPr>
          <w:trHeight w:val="300"/>
          <w:jc w:val="center"/>
        </w:trPr>
        <w:tc>
          <w:tcPr>
            <w:tcW w:w="470" w:type="pct"/>
            <w:tcBorders>
              <w:bottom w:val="single" w:sz="4" w:space="0" w:color="auto"/>
            </w:tcBorders>
            <w:shd w:val="clear" w:color="auto" w:fill="auto"/>
            <w:noWrap/>
            <w:vAlign w:val="bottom"/>
            <w:hideMark/>
          </w:tcPr>
          <w:p w14:paraId="4B7718F8" w14:textId="77777777" w:rsidR="00F45BC4" w:rsidRPr="00F82B8F" w:rsidRDefault="00F45BC4" w:rsidP="00F45BC4">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LGD</w:t>
            </w:r>
          </w:p>
        </w:tc>
        <w:tc>
          <w:tcPr>
            <w:tcW w:w="399" w:type="pct"/>
            <w:tcBorders>
              <w:top w:val="nil"/>
              <w:left w:val="nil"/>
              <w:bottom w:val="single" w:sz="4" w:space="0" w:color="auto"/>
              <w:right w:val="nil"/>
            </w:tcBorders>
            <w:shd w:val="clear" w:color="auto" w:fill="auto"/>
            <w:vAlign w:val="bottom"/>
          </w:tcPr>
          <w:p w14:paraId="3305C11B" w14:textId="77777777" w:rsidR="00F45BC4" w:rsidRPr="00F82B8F" w:rsidRDefault="00F45BC4" w:rsidP="00F45BC4">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-0.0023</w:t>
            </w:r>
          </w:p>
        </w:tc>
        <w:tc>
          <w:tcPr>
            <w:tcW w:w="399" w:type="pct"/>
            <w:tcBorders>
              <w:top w:val="nil"/>
              <w:left w:val="nil"/>
              <w:bottom w:val="single" w:sz="4" w:space="0" w:color="auto"/>
              <w:right w:val="nil"/>
            </w:tcBorders>
            <w:shd w:val="clear" w:color="auto" w:fill="auto"/>
            <w:vAlign w:val="bottom"/>
          </w:tcPr>
          <w:p w14:paraId="7ECDE892" w14:textId="77777777" w:rsidR="00F45BC4" w:rsidRPr="00F82B8F" w:rsidRDefault="00F45BC4" w:rsidP="00F45BC4">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-0.0090</w:t>
            </w:r>
          </w:p>
        </w:tc>
        <w:tc>
          <w:tcPr>
            <w:tcW w:w="339" w:type="pct"/>
            <w:tcBorders>
              <w:top w:val="nil"/>
              <w:left w:val="nil"/>
              <w:bottom w:val="single" w:sz="4" w:space="0" w:color="auto"/>
              <w:right w:val="nil"/>
            </w:tcBorders>
            <w:shd w:val="clear" w:color="auto" w:fill="auto"/>
            <w:noWrap/>
            <w:vAlign w:val="bottom"/>
          </w:tcPr>
          <w:p w14:paraId="3C6018FC"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0.0078</w:t>
            </w:r>
          </w:p>
        </w:tc>
        <w:tc>
          <w:tcPr>
            <w:tcW w:w="348" w:type="pct"/>
            <w:tcBorders>
              <w:top w:val="nil"/>
              <w:left w:val="nil"/>
              <w:bottom w:val="single" w:sz="4" w:space="0" w:color="auto"/>
              <w:right w:val="nil"/>
            </w:tcBorders>
            <w:shd w:val="clear" w:color="auto" w:fill="auto"/>
            <w:noWrap/>
            <w:vAlign w:val="bottom"/>
          </w:tcPr>
          <w:p w14:paraId="4DAB3D69"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0.0133</w:t>
            </w:r>
          </w:p>
        </w:tc>
        <w:tc>
          <w:tcPr>
            <w:tcW w:w="339" w:type="pct"/>
            <w:tcBorders>
              <w:top w:val="nil"/>
              <w:left w:val="nil"/>
              <w:bottom w:val="single" w:sz="4" w:space="0" w:color="auto"/>
              <w:right w:val="nil"/>
            </w:tcBorders>
            <w:shd w:val="clear" w:color="auto" w:fill="auto"/>
            <w:noWrap/>
            <w:vAlign w:val="bottom"/>
          </w:tcPr>
          <w:p w14:paraId="3D5FB205"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0.0105</w:t>
            </w:r>
          </w:p>
        </w:tc>
        <w:tc>
          <w:tcPr>
            <w:tcW w:w="349" w:type="pct"/>
            <w:tcBorders>
              <w:top w:val="nil"/>
              <w:left w:val="nil"/>
              <w:bottom w:val="single" w:sz="4" w:space="0" w:color="auto"/>
              <w:right w:val="nil"/>
            </w:tcBorders>
            <w:shd w:val="clear" w:color="auto" w:fill="auto"/>
            <w:vAlign w:val="bottom"/>
          </w:tcPr>
          <w:p w14:paraId="1B3D5198" w14:textId="77777777" w:rsidR="00F45BC4" w:rsidRPr="00F82B8F" w:rsidRDefault="00F45BC4" w:rsidP="00F45BC4">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0.4870</w:t>
            </w:r>
          </w:p>
        </w:tc>
        <w:tc>
          <w:tcPr>
            <w:tcW w:w="352" w:type="pct"/>
            <w:tcBorders>
              <w:top w:val="nil"/>
              <w:left w:val="nil"/>
              <w:bottom w:val="single" w:sz="4" w:space="0" w:color="auto"/>
              <w:right w:val="nil"/>
            </w:tcBorders>
            <w:shd w:val="clear" w:color="auto" w:fill="auto"/>
            <w:noWrap/>
            <w:vAlign w:val="bottom"/>
          </w:tcPr>
          <w:p w14:paraId="1A6FFDA7"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-0.0362</w:t>
            </w:r>
          </w:p>
        </w:tc>
        <w:tc>
          <w:tcPr>
            <w:tcW w:w="350" w:type="pct"/>
            <w:tcBorders>
              <w:top w:val="nil"/>
              <w:left w:val="nil"/>
              <w:bottom w:val="single" w:sz="4" w:space="0" w:color="auto"/>
              <w:right w:val="nil"/>
            </w:tcBorders>
            <w:shd w:val="clear" w:color="auto" w:fill="auto"/>
            <w:noWrap/>
            <w:vAlign w:val="bottom"/>
          </w:tcPr>
          <w:p w14:paraId="5562A371"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-0.0018</w:t>
            </w:r>
          </w:p>
        </w:tc>
        <w:tc>
          <w:tcPr>
            <w:tcW w:w="356" w:type="pct"/>
            <w:tcBorders>
              <w:top w:val="nil"/>
              <w:left w:val="nil"/>
              <w:bottom w:val="single" w:sz="4" w:space="0" w:color="auto"/>
              <w:right w:val="nil"/>
            </w:tcBorders>
            <w:shd w:val="clear" w:color="auto" w:fill="auto"/>
            <w:noWrap/>
            <w:vAlign w:val="bottom"/>
          </w:tcPr>
          <w:p w14:paraId="44251399"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-0.0016</w:t>
            </w:r>
          </w:p>
        </w:tc>
        <w:tc>
          <w:tcPr>
            <w:tcW w:w="339" w:type="pct"/>
            <w:tcBorders>
              <w:top w:val="nil"/>
              <w:left w:val="nil"/>
              <w:bottom w:val="single" w:sz="4" w:space="0" w:color="auto"/>
              <w:right w:val="nil"/>
            </w:tcBorders>
            <w:shd w:val="clear" w:color="auto" w:fill="auto"/>
            <w:noWrap/>
            <w:vAlign w:val="bottom"/>
          </w:tcPr>
          <w:p w14:paraId="5D6D9D7C"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0.0977</w:t>
            </w:r>
          </w:p>
        </w:tc>
        <w:tc>
          <w:tcPr>
            <w:tcW w:w="339" w:type="pct"/>
            <w:tcBorders>
              <w:top w:val="nil"/>
              <w:left w:val="nil"/>
              <w:bottom w:val="single" w:sz="4" w:space="0" w:color="auto"/>
              <w:right w:val="nil"/>
            </w:tcBorders>
            <w:shd w:val="clear" w:color="auto" w:fill="auto"/>
            <w:noWrap/>
            <w:vAlign w:val="bottom"/>
          </w:tcPr>
          <w:p w14:paraId="513F9422"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-0.0204</w:t>
            </w:r>
          </w:p>
        </w:tc>
        <w:tc>
          <w:tcPr>
            <w:tcW w:w="311" w:type="pct"/>
            <w:tcBorders>
              <w:top w:val="nil"/>
              <w:left w:val="nil"/>
              <w:bottom w:val="single" w:sz="4" w:space="0" w:color="auto"/>
              <w:right w:val="nil"/>
            </w:tcBorders>
            <w:shd w:val="clear" w:color="auto" w:fill="auto"/>
            <w:noWrap/>
            <w:vAlign w:val="bottom"/>
          </w:tcPr>
          <w:p w14:paraId="0F22C062"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0.0390</w:t>
            </w:r>
          </w:p>
        </w:tc>
        <w:tc>
          <w:tcPr>
            <w:tcW w:w="310" w:type="pct"/>
            <w:tcBorders>
              <w:top w:val="nil"/>
              <w:left w:val="nil"/>
              <w:bottom w:val="single" w:sz="4" w:space="0" w:color="auto"/>
              <w:right w:val="nil"/>
            </w:tcBorders>
            <w:shd w:val="clear" w:color="auto" w:fill="auto"/>
            <w:noWrap/>
            <w:vAlign w:val="bottom"/>
          </w:tcPr>
          <w:p w14:paraId="433B35E2"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1.0000</w:t>
            </w:r>
          </w:p>
        </w:tc>
      </w:tr>
    </w:tbl>
    <w:p w14:paraId="64F33ED4" w14:textId="69AE4BD5" w:rsidR="00730C01" w:rsidRPr="008573D2" w:rsidRDefault="00730C01">
      <w:pPr>
        <w:rPr>
          <w:rFonts w:ascii="Times New Roman" w:hAnsi="Times New Roman" w:cs="Times New Roman"/>
          <w:sz w:val="24"/>
          <w:szCs w:val="24"/>
        </w:rPr>
      </w:pPr>
    </w:p>
    <w:p w14:paraId="16B9F8D4" w14:textId="77777777" w:rsidR="005526F3" w:rsidRPr="008573D2" w:rsidRDefault="005526F3">
      <w:pPr>
        <w:rPr>
          <w:rFonts w:ascii="Times New Roman" w:hAnsi="Times New Roman" w:cs="Times New Roman"/>
          <w:sz w:val="24"/>
          <w:szCs w:val="24"/>
        </w:rPr>
      </w:pPr>
      <w:r w:rsidRPr="008573D2">
        <w:rPr>
          <w:rFonts w:ascii="Times New Roman" w:hAnsi="Times New Roman" w:cs="Times New Roman"/>
          <w:sz w:val="24"/>
          <w:szCs w:val="24"/>
        </w:rPr>
        <w:br w:type="page"/>
      </w:r>
    </w:p>
    <w:p w14:paraId="75F43A55" w14:textId="77777777" w:rsidR="005526F3" w:rsidRPr="008573D2" w:rsidRDefault="005526F3" w:rsidP="005526F3">
      <w:pPr>
        <w:jc w:val="center"/>
        <w:rPr>
          <w:rFonts w:ascii="Times New Roman" w:hAnsi="Times New Roman" w:cs="Times New Roman"/>
          <w:sz w:val="24"/>
          <w:szCs w:val="24"/>
        </w:rPr>
        <w:sectPr w:rsidR="005526F3" w:rsidRPr="008573D2" w:rsidSect="005526F3">
          <w:pgSz w:w="16838" w:h="11906" w:orient="landscape"/>
          <w:pgMar w:top="1440" w:right="1440" w:bottom="1440" w:left="1440" w:header="708" w:footer="708" w:gutter="0"/>
          <w:cols w:space="708"/>
          <w:docGrid w:linePitch="360"/>
        </w:sectPr>
      </w:pPr>
    </w:p>
    <w:p w14:paraId="1D03B57F" w14:textId="667333D9" w:rsidR="00AB28EB" w:rsidRPr="008573D2" w:rsidRDefault="00AB28EB" w:rsidP="00AB28EB">
      <w:pPr>
        <w:jc w:val="center"/>
        <w:rPr>
          <w:rFonts w:ascii="Times New Roman" w:hAnsi="Times New Roman" w:cs="Times New Roman"/>
          <w:sz w:val="24"/>
          <w:szCs w:val="24"/>
        </w:rPr>
      </w:pPr>
      <w:r w:rsidRPr="008573D2">
        <w:rPr>
          <w:rFonts w:ascii="Times New Roman" w:hAnsi="Times New Roman" w:cs="Times New Roman"/>
          <w:b/>
          <w:bCs/>
          <w:sz w:val="24"/>
          <w:szCs w:val="24"/>
        </w:rPr>
        <w:lastRenderedPageBreak/>
        <w:t xml:space="preserve">Table 3: Summary </w:t>
      </w:r>
      <w:r w:rsidR="00AD1A21" w:rsidRPr="008573D2">
        <w:rPr>
          <w:rFonts w:ascii="Times New Roman" w:hAnsi="Times New Roman" w:cs="Times New Roman"/>
          <w:b/>
          <w:bCs/>
          <w:sz w:val="24"/>
          <w:szCs w:val="24"/>
        </w:rPr>
        <w:t>S</w:t>
      </w:r>
      <w:r w:rsidRPr="008573D2">
        <w:rPr>
          <w:rFonts w:ascii="Times New Roman" w:hAnsi="Times New Roman" w:cs="Times New Roman"/>
          <w:b/>
          <w:bCs/>
          <w:sz w:val="24"/>
          <w:szCs w:val="24"/>
        </w:rPr>
        <w:t xml:space="preserve">tatistics and </w:t>
      </w:r>
      <w:r w:rsidR="00AD1A21" w:rsidRPr="008573D2">
        <w:rPr>
          <w:rFonts w:ascii="Times New Roman" w:hAnsi="Times New Roman" w:cs="Times New Roman"/>
          <w:b/>
          <w:bCs/>
          <w:sz w:val="24"/>
          <w:szCs w:val="24"/>
        </w:rPr>
        <w:t>C</w:t>
      </w:r>
      <w:r w:rsidRPr="008573D2">
        <w:rPr>
          <w:rFonts w:ascii="Times New Roman" w:hAnsi="Times New Roman" w:cs="Times New Roman"/>
          <w:b/>
          <w:bCs/>
          <w:sz w:val="24"/>
          <w:szCs w:val="24"/>
        </w:rPr>
        <w:t xml:space="preserve">orrelation </w:t>
      </w:r>
      <w:r w:rsidR="00AD1A21" w:rsidRPr="008573D2">
        <w:rPr>
          <w:rFonts w:ascii="Times New Roman" w:hAnsi="Times New Roman" w:cs="Times New Roman"/>
          <w:b/>
          <w:bCs/>
          <w:sz w:val="24"/>
          <w:szCs w:val="24"/>
        </w:rPr>
        <w:t>M</w:t>
      </w:r>
      <w:r w:rsidRPr="008573D2">
        <w:rPr>
          <w:rFonts w:ascii="Times New Roman" w:hAnsi="Times New Roman" w:cs="Times New Roman"/>
          <w:b/>
          <w:bCs/>
          <w:sz w:val="24"/>
          <w:szCs w:val="24"/>
        </w:rPr>
        <w:t>atrix</w:t>
      </w:r>
    </w:p>
    <w:p w14:paraId="01AEBB79" w14:textId="3684BAEC" w:rsidR="005526F3" w:rsidRPr="008573D2" w:rsidRDefault="005526F3" w:rsidP="005526F3">
      <w:pPr>
        <w:jc w:val="center"/>
        <w:rPr>
          <w:rFonts w:ascii="Times New Roman" w:hAnsi="Times New Roman" w:cs="Times New Roman"/>
          <w:sz w:val="24"/>
          <w:szCs w:val="24"/>
        </w:rPr>
      </w:pPr>
      <w:r w:rsidRPr="008573D2">
        <w:rPr>
          <w:rFonts w:ascii="Times New Roman" w:hAnsi="Times New Roman" w:cs="Times New Roman"/>
          <w:sz w:val="24"/>
          <w:szCs w:val="24"/>
        </w:rPr>
        <w:t xml:space="preserve">Panel </w:t>
      </w:r>
      <w:r w:rsidR="00FF292B" w:rsidRPr="008573D2">
        <w:rPr>
          <w:rFonts w:ascii="Times New Roman" w:hAnsi="Times New Roman" w:cs="Times New Roman"/>
          <w:sz w:val="24"/>
          <w:szCs w:val="24"/>
        </w:rPr>
        <w:t>C</w:t>
      </w:r>
      <w:r w:rsidRPr="008573D2">
        <w:rPr>
          <w:rFonts w:ascii="Times New Roman" w:hAnsi="Times New Roman" w:cs="Times New Roman"/>
          <w:sz w:val="24"/>
          <w:szCs w:val="24"/>
        </w:rPr>
        <w:t>: Developed versus Emerging Markets</w:t>
      </w:r>
    </w:p>
    <w:tbl>
      <w:tblPr>
        <w:tblW w:w="5133" w:type="pct"/>
        <w:tblLook w:val="04A0" w:firstRow="1" w:lastRow="0" w:firstColumn="1" w:lastColumn="0" w:noHBand="0" w:noVBand="1"/>
      </w:tblPr>
      <w:tblGrid>
        <w:gridCol w:w="1075"/>
        <w:gridCol w:w="832"/>
        <w:gridCol w:w="832"/>
        <w:gridCol w:w="832"/>
        <w:gridCol w:w="969"/>
        <w:gridCol w:w="1377"/>
        <w:gridCol w:w="1603"/>
        <w:gridCol w:w="1746"/>
      </w:tblGrid>
      <w:tr w:rsidR="005526F3" w:rsidRPr="00F82B8F" w14:paraId="19AF1634" w14:textId="77777777" w:rsidTr="004F7B83">
        <w:trPr>
          <w:trHeight w:val="300"/>
        </w:trPr>
        <w:tc>
          <w:tcPr>
            <w:tcW w:w="580" w:type="pct"/>
            <w:tcBorders>
              <w:top w:val="single" w:sz="4" w:space="0" w:color="auto"/>
            </w:tcBorders>
            <w:shd w:val="clear" w:color="auto" w:fill="auto"/>
            <w:noWrap/>
            <w:hideMark/>
          </w:tcPr>
          <w:p w14:paraId="275AB932"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Variables</w:t>
            </w:r>
          </w:p>
        </w:tc>
        <w:tc>
          <w:tcPr>
            <w:tcW w:w="898" w:type="pct"/>
            <w:gridSpan w:val="2"/>
            <w:tcBorders>
              <w:top w:val="single" w:sz="4" w:space="0" w:color="auto"/>
            </w:tcBorders>
            <w:shd w:val="clear" w:color="auto" w:fill="auto"/>
          </w:tcPr>
          <w:p w14:paraId="5E7F7B65"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Developed Markets</w:t>
            </w:r>
          </w:p>
        </w:tc>
        <w:tc>
          <w:tcPr>
            <w:tcW w:w="972" w:type="pct"/>
            <w:gridSpan w:val="2"/>
            <w:tcBorders>
              <w:top w:val="single" w:sz="4" w:space="0" w:color="auto"/>
            </w:tcBorders>
            <w:shd w:val="clear" w:color="auto" w:fill="auto"/>
            <w:noWrap/>
          </w:tcPr>
          <w:p w14:paraId="5BADC66E"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Emerging</w:t>
            </w:r>
          </w:p>
          <w:p w14:paraId="34A243A7"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Markets</w:t>
            </w:r>
          </w:p>
        </w:tc>
        <w:tc>
          <w:tcPr>
            <w:tcW w:w="1608" w:type="pct"/>
            <w:gridSpan w:val="2"/>
            <w:tcBorders>
              <w:top w:val="single" w:sz="4" w:space="0" w:color="auto"/>
            </w:tcBorders>
          </w:tcPr>
          <w:p w14:paraId="500A2167"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Comparison Tests</w:t>
            </w:r>
          </w:p>
        </w:tc>
        <w:tc>
          <w:tcPr>
            <w:tcW w:w="942" w:type="pct"/>
            <w:tcBorders>
              <w:top w:val="single" w:sz="4" w:space="0" w:color="auto"/>
            </w:tcBorders>
            <w:shd w:val="clear" w:color="auto" w:fill="auto"/>
            <w:noWrap/>
            <w:hideMark/>
          </w:tcPr>
          <w:p w14:paraId="2FB04E0D"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Rank-Sum Tests</w:t>
            </w:r>
          </w:p>
        </w:tc>
      </w:tr>
      <w:tr w:rsidR="005526F3" w:rsidRPr="00F82B8F" w14:paraId="10ACEAB3" w14:textId="77777777" w:rsidTr="004F7B83">
        <w:trPr>
          <w:trHeight w:val="300"/>
        </w:trPr>
        <w:tc>
          <w:tcPr>
            <w:tcW w:w="580" w:type="pct"/>
            <w:tcBorders>
              <w:bottom w:val="single" w:sz="4" w:space="0" w:color="auto"/>
            </w:tcBorders>
            <w:shd w:val="clear" w:color="auto" w:fill="auto"/>
            <w:noWrap/>
            <w:vAlign w:val="bottom"/>
          </w:tcPr>
          <w:p w14:paraId="6CF37552"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p>
        </w:tc>
        <w:tc>
          <w:tcPr>
            <w:tcW w:w="449" w:type="pct"/>
            <w:tcBorders>
              <w:bottom w:val="single" w:sz="4" w:space="0" w:color="auto"/>
            </w:tcBorders>
            <w:shd w:val="clear" w:color="auto" w:fill="auto"/>
          </w:tcPr>
          <w:p w14:paraId="52E8BFFA"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Mean</w:t>
            </w:r>
          </w:p>
        </w:tc>
        <w:tc>
          <w:tcPr>
            <w:tcW w:w="449" w:type="pct"/>
            <w:tcBorders>
              <w:bottom w:val="single" w:sz="4" w:space="0" w:color="auto"/>
            </w:tcBorders>
            <w:shd w:val="clear" w:color="auto" w:fill="auto"/>
          </w:tcPr>
          <w:p w14:paraId="4619B6F5"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SD</w:t>
            </w:r>
          </w:p>
        </w:tc>
        <w:tc>
          <w:tcPr>
            <w:tcW w:w="449" w:type="pct"/>
            <w:tcBorders>
              <w:bottom w:val="single" w:sz="4" w:space="0" w:color="auto"/>
            </w:tcBorders>
            <w:shd w:val="clear" w:color="auto" w:fill="auto"/>
            <w:noWrap/>
          </w:tcPr>
          <w:p w14:paraId="638CA660"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Mean</w:t>
            </w:r>
          </w:p>
        </w:tc>
        <w:tc>
          <w:tcPr>
            <w:tcW w:w="523" w:type="pct"/>
            <w:tcBorders>
              <w:bottom w:val="single" w:sz="4" w:space="0" w:color="auto"/>
            </w:tcBorders>
            <w:shd w:val="clear" w:color="auto" w:fill="auto"/>
            <w:noWrap/>
          </w:tcPr>
          <w:p w14:paraId="25D794C2"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SD</w:t>
            </w:r>
          </w:p>
        </w:tc>
        <w:tc>
          <w:tcPr>
            <w:tcW w:w="743" w:type="pct"/>
            <w:tcBorders>
              <w:bottom w:val="single" w:sz="4" w:space="0" w:color="auto"/>
            </w:tcBorders>
          </w:tcPr>
          <w:p w14:paraId="5A728ED2"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Mean</w:t>
            </w:r>
          </w:p>
        </w:tc>
        <w:tc>
          <w:tcPr>
            <w:tcW w:w="862" w:type="pct"/>
            <w:tcBorders>
              <w:bottom w:val="single" w:sz="4" w:space="0" w:color="auto"/>
            </w:tcBorders>
          </w:tcPr>
          <w:p w14:paraId="77DDFEE7"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Variance</w:t>
            </w:r>
          </w:p>
        </w:tc>
        <w:tc>
          <w:tcPr>
            <w:tcW w:w="942" w:type="pct"/>
            <w:tcBorders>
              <w:bottom w:val="single" w:sz="4" w:space="0" w:color="auto"/>
            </w:tcBorders>
            <w:shd w:val="clear" w:color="auto" w:fill="auto"/>
            <w:noWrap/>
          </w:tcPr>
          <w:p w14:paraId="1A88E459"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p>
        </w:tc>
      </w:tr>
      <w:tr w:rsidR="005526F3" w:rsidRPr="00F82B8F" w14:paraId="0EACC3E5" w14:textId="77777777" w:rsidTr="004F7B83">
        <w:trPr>
          <w:trHeight w:val="300"/>
        </w:trPr>
        <w:tc>
          <w:tcPr>
            <w:tcW w:w="580" w:type="pct"/>
            <w:tcBorders>
              <w:top w:val="single" w:sz="4" w:space="0" w:color="auto"/>
            </w:tcBorders>
            <w:shd w:val="clear" w:color="auto" w:fill="auto"/>
            <w:noWrap/>
            <w:vAlign w:val="bottom"/>
            <w:hideMark/>
          </w:tcPr>
          <w:p w14:paraId="54B489A0" w14:textId="77777777" w:rsidR="005526F3" w:rsidRPr="00F82B8F" w:rsidRDefault="005526F3" w:rsidP="004F7B83">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RES</w:t>
            </w:r>
          </w:p>
        </w:tc>
        <w:tc>
          <w:tcPr>
            <w:tcW w:w="449" w:type="pct"/>
            <w:tcBorders>
              <w:top w:val="single" w:sz="4" w:space="0" w:color="auto"/>
            </w:tcBorders>
            <w:shd w:val="clear" w:color="auto" w:fill="auto"/>
            <w:vAlign w:val="center"/>
          </w:tcPr>
          <w:p w14:paraId="2D10AC99"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4.4927</w:t>
            </w:r>
          </w:p>
        </w:tc>
        <w:tc>
          <w:tcPr>
            <w:tcW w:w="449" w:type="pct"/>
            <w:tcBorders>
              <w:top w:val="single" w:sz="4" w:space="0" w:color="auto"/>
            </w:tcBorders>
            <w:shd w:val="clear" w:color="auto" w:fill="auto"/>
            <w:vAlign w:val="center"/>
          </w:tcPr>
          <w:p w14:paraId="73BA2B84"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0.0772</w:t>
            </w:r>
          </w:p>
        </w:tc>
        <w:tc>
          <w:tcPr>
            <w:tcW w:w="449" w:type="pct"/>
            <w:tcBorders>
              <w:top w:val="single" w:sz="4" w:space="0" w:color="auto"/>
            </w:tcBorders>
            <w:shd w:val="clear" w:color="auto" w:fill="auto"/>
            <w:noWrap/>
            <w:vAlign w:val="center"/>
            <w:hideMark/>
          </w:tcPr>
          <w:p w14:paraId="48246129"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3.9391</w:t>
            </w:r>
          </w:p>
        </w:tc>
        <w:tc>
          <w:tcPr>
            <w:tcW w:w="523" w:type="pct"/>
            <w:tcBorders>
              <w:top w:val="single" w:sz="4" w:space="0" w:color="auto"/>
            </w:tcBorders>
            <w:shd w:val="clear" w:color="auto" w:fill="auto"/>
            <w:noWrap/>
            <w:vAlign w:val="center"/>
            <w:hideMark/>
          </w:tcPr>
          <w:p w14:paraId="36B045A0"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0.2640</w:t>
            </w:r>
          </w:p>
        </w:tc>
        <w:tc>
          <w:tcPr>
            <w:tcW w:w="743" w:type="pct"/>
            <w:tcBorders>
              <w:top w:val="single" w:sz="4" w:space="0" w:color="auto"/>
            </w:tcBorders>
            <w:vAlign w:val="center"/>
          </w:tcPr>
          <w:p w14:paraId="236BDBE6"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-142.51***</w:t>
            </w:r>
          </w:p>
        </w:tc>
        <w:tc>
          <w:tcPr>
            <w:tcW w:w="862" w:type="pct"/>
            <w:tcBorders>
              <w:top w:val="single" w:sz="4" w:space="0" w:color="auto"/>
            </w:tcBorders>
          </w:tcPr>
          <w:p w14:paraId="7BDFD90C"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6609.35***</w:t>
            </w:r>
          </w:p>
        </w:tc>
        <w:tc>
          <w:tcPr>
            <w:tcW w:w="942" w:type="pct"/>
            <w:tcBorders>
              <w:top w:val="single" w:sz="4" w:space="0" w:color="auto"/>
            </w:tcBorders>
            <w:shd w:val="clear" w:color="auto" w:fill="auto"/>
            <w:noWrap/>
            <w:vAlign w:val="center"/>
            <w:hideMark/>
          </w:tcPr>
          <w:p w14:paraId="5596A109"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83.16***</w:t>
            </w:r>
          </w:p>
        </w:tc>
      </w:tr>
      <w:tr w:rsidR="005526F3" w:rsidRPr="00F82B8F" w14:paraId="30C21624" w14:textId="77777777" w:rsidTr="004F7B83">
        <w:trPr>
          <w:trHeight w:val="300"/>
        </w:trPr>
        <w:tc>
          <w:tcPr>
            <w:tcW w:w="580" w:type="pct"/>
            <w:shd w:val="clear" w:color="auto" w:fill="auto"/>
            <w:noWrap/>
            <w:vAlign w:val="bottom"/>
            <w:hideMark/>
          </w:tcPr>
          <w:p w14:paraId="14E3D1B4" w14:textId="77777777" w:rsidR="005526F3" w:rsidRPr="00F82B8F" w:rsidRDefault="005526F3" w:rsidP="004F7B83">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CPS</w:t>
            </w:r>
          </w:p>
        </w:tc>
        <w:tc>
          <w:tcPr>
            <w:tcW w:w="449" w:type="pct"/>
            <w:shd w:val="clear" w:color="auto" w:fill="auto"/>
            <w:vAlign w:val="center"/>
          </w:tcPr>
          <w:p w14:paraId="02F0B1FF"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4.3032</w:t>
            </w:r>
          </w:p>
        </w:tc>
        <w:tc>
          <w:tcPr>
            <w:tcW w:w="449" w:type="pct"/>
            <w:shd w:val="clear" w:color="auto" w:fill="auto"/>
            <w:vAlign w:val="center"/>
          </w:tcPr>
          <w:p w14:paraId="66E941AD"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0.0910</w:t>
            </w:r>
          </w:p>
        </w:tc>
        <w:tc>
          <w:tcPr>
            <w:tcW w:w="449" w:type="pct"/>
            <w:shd w:val="clear" w:color="auto" w:fill="auto"/>
            <w:noWrap/>
            <w:vAlign w:val="center"/>
            <w:hideMark/>
          </w:tcPr>
          <w:p w14:paraId="1D8972FA"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4.1481</w:t>
            </w:r>
          </w:p>
        </w:tc>
        <w:tc>
          <w:tcPr>
            <w:tcW w:w="523" w:type="pct"/>
            <w:shd w:val="clear" w:color="auto" w:fill="auto"/>
            <w:noWrap/>
            <w:vAlign w:val="center"/>
            <w:hideMark/>
          </w:tcPr>
          <w:p w14:paraId="3D0CA53B"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0.1313</w:t>
            </w:r>
          </w:p>
        </w:tc>
        <w:tc>
          <w:tcPr>
            <w:tcW w:w="743" w:type="pct"/>
            <w:vAlign w:val="center"/>
          </w:tcPr>
          <w:p w14:paraId="292B9C0E"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-68.77***</w:t>
            </w:r>
          </w:p>
        </w:tc>
        <w:tc>
          <w:tcPr>
            <w:tcW w:w="862" w:type="pct"/>
          </w:tcPr>
          <w:p w14:paraId="090E93D7"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655.77***</w:t>
            </w:r>
          </w:p>
        </w:tc>
        <w:tc>
          <w:tcPr>
            <w:tcW w:w="942" w:type="pct"/>
            <w:shd w:val="clear" w:color="auto" w:fill="auto"/>
            <w:noWrap/>
            <w:vAlign w:val="center"/>
            <w:hideMark/>
          </w:tcPr>
          <w:p w14:paraId="0F4A4EEA"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55.25***</w:t>
            </w:r>
          </w:p>
        </w:tc>
      </w:tr>
      <w:tr w:rsidR="005526F3" w:rsidRPr="00F82B8F" w14:paraId="39268FA6" w14:textId="77777777" w:rsidTr="004F7B83">
        <w:trPr>
          <w:trHeight w:val="300"/>
        </w:trPr>
        <w:tc>
          <w:tcPr>
            <w:tcW w:w="580" w:type="pct"/>
            <w:shd w:val="clear" w:color="auto" w:fill="auto"/>
            <w:noWrap/>
            <w:vAlign w:val="bottom"/>
            <w:hideMark/>
          </w:tcPr>
          <w:p w14:paraId="20D82039" w14:textId="77777777" w:rsidR="005526F3" w:rsidRPr="00F82B8F" w:rsidRDefault="005526F3" w:rsidP="004F7B83">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COG</w:t>
            </w:r>
          </w:p>
        </w:tc>
        <w:tc>
          <w:tcPr>
            <w:tcW w:w="449" w:type="pct"/>
            <w:shd w:val="clear" w:color="auto" w:fill="auto"/>
            <w:vAlign w:val="center"/>
          </w:tcPr>
          <w:p w14:paraId="1E58E694"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4.3653</w:t>
            </w:r>
          </w:p>
        </w:tc>
        <w:tc>
          <w:tcPr>
            <w:tcW w:w="449" w:type="pct"/>
            <w:shd w:val="clear" w:color="auto" w:fill="auto"/>
            <w:vAlign w:val="center"/>
          </w:tcPr>
          <w:p w14:paraId="53927443"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0.1354</w:t>
            </w:r>
          </w:p>
        </w:tc>
        <w:tc>
          <w:tcPr>
            <w:tcW w:w="449" w:type="pct"/>
            <w:shd w:val="clear" w:color="auto" w:fill="auto"/>
            <w:noWrap/>
            <w:vAlign w:val="center"/>
            <w:hideMark/>
          </w:tcPr>
          <w:p w14:paraId="34830688"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4.1967</w:t>
            </w:r>
          </w:p>
        </w:tc>
        <w:tc>
          <w:tcPr>
            <w:tcW w:w="523" w:type="pct"/>
            <w:shd w:val="clear" w:color="auto" w:fill="auto"/>
            <w:noWrap/>
            <w:vAlign w:val="center"/>
            <w:hideMark/>
          </w:tcPr>
          <w:p w14:paraId="219E613B"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0.1999</w:t>
            </w:r>
          </w:p>
        </w:tc>
        <w:tc>
          <w:tcPr>
            <w:tcW w:w="743" w:type="pct"/>
            <w:vAlign w:val="center"/>
          </w:tcPr>
          <w:p w14:paraId="5404D565"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-49.77***</w:t>
            </w:r>
          </w:p>
        </w:tc>
        <w:tc>
          <w:tcPr>
            <w:tcW w:w="862" w:type="pct"/>
          </w:tcPr>
          <w:p w14:paraId="587B7009"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684.64***</w:t>
            </w:r>
          </w:p>
        </w:tc>
        <w:tc>
          <w:tcPr>
            <w:tcW w:w="942" w:type="pct"/>
            <w:shd w:val="clear" w:color="auto" w:fill="auto"/>
            <w:noWrap/>
            <w:vAlign w:val="center"/>
            <w:hideMark/>
          </w:tcPr>
          <w:p w14:paraId="1285FC23"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42.33***</w:t>
            </w:r>
          </w:p>
        </w:tc>
      </w:tr>
      <w:tr w:rsidR="005526F3" w:rsidRPr="00F82B8F" w14:paraId="0DBF2560" w14:textId="77777777" w:rsidTr="004F7B83">
        <w:trPr>
          <w:trHeight w:val="300"/>
        </w:trPr>
        <w:tc>
          <w:tcPr>
            <w:tcW w:w="580" w:type="pct"/>
            <w:shd w:val="clear" w:color="auto" w:fill="auto"/>
            <w:noWrap/>
            <w:vAlign w:val="bottom"/>
          </w:tcPr>
          <w:p w14:paraId="1761B158" w14:textId="77777777" w:rsidR="005526F3" w:rsidRPr="00F82B8F" w:rsidRDefault="005526F3" w:rsidP="004F7B83">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MPR</w:t>
            </w:r>
          </w:p>
        </w:tc>
        <w:tc>
          <w:tcPr>
            <w:tcW w:w="449" w:type="pct"/>
            <w:shd w:val="clear" w:color="auto" w:fill="auto"/>
            <w:vAlign w:val="center"/>
          </w:tcPr>
          <w:p w14:paraId="19DD2EE0"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0.3263</w:t>
            </w:r>
          </w:p>
        </w:tc>
        <w:tc>
          <w:tcPr>
            <w:tcW w:w="449" w:type="pct"/>
            <w:shd w:val="clear" w:color="auto" w:fill="auto"/>
            <w:vAlign w:val="center"/>
          </w:tcPr>
          <w:p w14:paraId="555BF9CD"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0.7379</w:t>
            </w:r>
          </w:p>
        </w:tc>
        <w:tc>
          <w:tcPr>
            <w:tcW w:w="449" w:type="pct"/>
            <w:shd w:val="clear" w:color="auto" w:fill="auto"/>
            <w:noWrap/>
            <w:vAlign w:val="center"/>
          </w:tcPr>
          <w:p w14:paraId="448B10AE"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4.1424</w:t>
            </w:r>
          </w:p>
        </w:tc>
        <w:tc>
          <w:tcPr>
            <w:tcW w:w="523" w:type="pct"/>
            <w:shd w:val="clear" w:color="auto" w:fill="auto"/>
            <w:noWrap/>
            <w:vAlign w:val="center"/>
          </w:tcPr>
          <w:p w14:paraId="260BA992"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3.8302</w:t>
            </w:r>
          </w:p>
        </w:tc>
        <w:tc>
          <w:tcPr>
            <w:tcW w:w="743" w:type="pct"/>
            <w:vAlign w:val="center"/>
          </w:tcPr>
          <w:p w14:paraId="28750F05"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69.28***</w:t>
            </w:r>
          </w:p>
        </w:tc>
        <w:tc>
          <w:tcPr>
            <w:tcW w:w="862" w:type="pct"/>
          </w:tcPr>
          <w:p w14:paraId="2DCE0983"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3529.95***</w:t>
            </w:r>
          </w:p>
        </w:tc>
        <w:tc>
          <w:tcPr>
            <w:tcW w:w="942" w:type="pct"/>
            <w:shd w:val="clear" w:color="auto" w:fill="auto"/>
            <w:noWrap/>
            <w:vAlign w:val="center"/>
          </w:tcPr>
          <w:p w14:paraId="544FA022"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-72.05***</w:t>
            </w:r>
          </w:p>
        </w:tc>
      </w:tr>
      <w:tr w:rsidR="005526F3" w:rsidRPr="00F82B8F" w14:paraId="52FAA2BC" w14:textId="77777777" w:rsidTr="004F7B83">
        <w:trPr>
          <w:trHeight w:val="300"/>
        </w:trPr>
        <w:tc>
          <w:tcPr>
            <w:tcW w:w="580" w:type="pct"/>
            <w:shd w:val="clear" w:color="auto" w:fill="auto"/>
            <w:noWrap/>
            <w:vAlign w:val="bottom"/>
          </w:tcPr>
          <w:p w14:paraId="7909925D" w14:textId="77777777" w:rsidR="005526F3" w:rsidRPr="00F82B8F" w:rsidRDefault="005526F3" w:rsidP="004F7B83">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LGD</w:t>
            </w:r>
          </w:p>
        </w:tc>
        <w:tc>
          <w:tcPr>
            <w:tcW w:w="449" w:type="pct"/>
            <w:shd w:val="clear" w:color="auto" w:fill="auto"/>
            <w:vAlign w:val="center"/>
          </w:tcPr>
          <w:p w14:paraId="7F40E65A"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5.9798</w:t>
            </w:r>
          </w:p>
        </w:tc>
        <w:tc>
          <w:tcPr>
            <w:tcW w:w="449" w:type="pct"/>
            <w:shd w:val="clear" w:color="auto" w:fill="auto"/>
            <w:vAlign w:val="center"/>
          </w:tcPr>
          <w:p w14:paraId="77D2128A"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1.5022</w:t>
            </w:r>
          </w:p>
        </w:tc>
        <w:tc>
          <w:tcPr>
            <w:tcW w:w="449" w:type="pct"/>
            <w:shd w:val="clear" w:color="auto" w:fill="auto"/>
            <w:noWrap/>
            <w:vAlign w:val="center"/>
          </w:tcPr>
          <w:p w14:paraId="511E1E1C"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5.2110</w:t>
            </w:r>
          </w:p>
        </w:tc>
        <w:tc>
          <w:tcPr>
            <w:tcW w:w="523" w:type="pct"/>
            <w:shd w:val="clear" w:color="auto" w:fill="auto"/>
            <w:noWrap/>
            <w:vAlign w:val="center"/>
          </w:tcPr>
          <w:p w14:paraId="0B75FA42"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1.1910</w:t>
            </w:r>
          </w:p>
        </w:tc>
        <w:tc>
          <w:tcPr>
            <w:tcW w:w="743" w:type="pct"/>
            <w:vAlign w:val="center"/>
          </w:tcPr>
          <w:p w14:paraId="480E6089"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-28.32***</w:t>
            </w:r>
          </w:p>
        </w:tc>
        <w:tc>
          <w:tcPr>
            <w:tcW w:w="862" w:type="pct"/>
          </w:tcPr>
          <w:p w14:paraId="6A9A4833"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166.35***</w:t>
            </w:r>
          </w:p>
        </w:tc>
        <w:tc>
          <w:tcPr>
            <w:tcW w:w="942" w:type="pct"/>
            <w:shd w:val="clear" w:color="auto" w:fill="auto"/>
            <w:noWrap/>
            <w:vAlign w:val="center"/>
          </w:tcPr>
          <w:p w14:paraId="3BD0C3F7"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26.85***</w:t>
            </w:r>
          </w:p>
        </w:tc>
      </w:tr>
      <w:tr w:rsidR="005526F3" w:rsidRPr="00F82B8F" w14:paraId="718385B5" w14:textId="77777777" w:rsidTr="004F7B83">
        <w:trPr>
          <w:trHeight w:val="300"/>
        </w:trPr>
        <w:tc>
          <w:tcPr>
            <w:tcW w:w="580" w:type="pct"/>
            <w:shd w:val="clear" w:color="auto" w:fill="auto"/>
            <w:noWrap/>
            <w:vAlign w:val="bottom"/>
            <w:hideMark/>
          </w:tcPr>
          <w:p w14:paraId="7441F57D" w14:textId="77777777" w:rsidR="005526F3" w:rsidRPr="00F82B8F" w:rsidRDefault="005526F3" w:rsidP="004F7B83">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OIN</w:t>
            </w:r>
          </w:p>
        </w:tc>
        <w:tc>
          <w:tcPr>
            <w:tcW w:w="449" w:type="pct"/>
            <w:shd w:val="clear" w:color="auto" w:fill="auto"/>
            <w:vAlign w:val="center"/>
          </w:tcPr>
          <w:p w14:paraId="2173AB88"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4.2625</w:t>
            </w:r>
          </w:p>
        </w:tc>
        <w:tc>
          <w:tcPr>
            <w:tcW w:w="449" w:type="pct"/>
            <w:shd w:val="clear" w:color="auto" w:fill="auto"/>
            <w:vAlign w:val="center"/>
          </w:tcPr>
          <w:p w14:paraId="6D884244"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0.1642</w:t>
            </w:r>
          </w:p>
        </w:tc>
        <w:tc>
          <w:tcPr>
            <w:tcW w:w="449" w:type="pct"/>
            <w:shd w:val="clear" w:color="auto" w:fill="auto"/>
            <w:noWrap/>
            <w:vAlign w:val="center"/>
            <w:hideMark/>
          </w:tcPr>
          <w:p w14:paraId="1F631DF2"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4.2967</w:t>
            </w:r>
          </w:p>
        </w:tc>
        <w:tc>
          <w:tcPr>
            <w:tcW w:w="523" w:type="pct"/>
            <w:shd w:val="clear" w:color="auto" w:fill="auto"/>
            <w:noWrap/>
            <w:vAlign w:val="center"/>
            <w:hideMark/>
          </w:tcPr>
          <w:p w14:paraId="38808E7A"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0.1355</w:t>
            </w:r>
          </w:p>
        </w:tc>
        <w:tc>
          <w:tcPr>
            <w:tcW w:w="743" w:type="pct"/>
            <w:vAlign w:val="center"/>
          </w:tcPr>
          <w:p w14:paraId="36E6B5B0"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11.21***</w:t>
            </w:r>
          </w:p>
        </w:tc>
        <w:tc>
          <w:tcPr>
            <w:tcW w:w="862" w:type="pct"/>
          </w:tcPr>
          <w:p w14:paraId="4BD4F2D5"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219.94***</w:t>
            </w:r>
          </w:p>
        </w:tc>
        <w:tc>
          <w:tcPr>
            <w:tcW w:w="942" w:type="pct"/>
            <w:shd w:val="clear" w:color="auto" w:fill="auto"/>
            <w:noWrap/>
            <w:vAlign w:val="center"/>
            <w:hideMark/>
          </w:tcPr>
          <w:p w14:paraId="4374C3AC"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-16.51***</w:t>
            </w:r>
          </w:p>
        </w:tc>
      </w:tr>
      <w:tr w:rsidR="005526F3" w:rsidRPr="00F82B8F" w14:paraId="47BA9BFE" w14:textId="77777777" w:rsidTr="004F7B83">
        <w:trPr>
          <w:trHeight w:val="300"/>
        </w:trPr>
        <w:tc>
          <w:tcPr>
            <w:tcW w:w="580" w:type="pct"/>
            <w:shd w:val="clear" w:color="auto" w:fill="auto"/>
            <w:noWrap/>
            <w:vAlign w:val="bottom"/>
            <w:hideMark/>
          </w:tcPr>
          <w:p w14:paraId="5DAD63FE" w14:textId="77777777" w:rsidR="005526F3" w:rsidRPr="00F82B8F" w:rsidRDefault="005526F3" w:rsidP="004F7B83">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INQ</w:t>
            </w:r>
          </w:p>
        </w:tc>
        <w:tc>
          <w:tcPr>
            <w:tcW w:w="449" w:type="pct"/>
            <w:shd w:val="clear" w:color="auto" w:fill="auto"/>
            <w:vAlign w:val="center"/>
          </w:tcPr>
          <w:p w14:paraId="5FE1EF33"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4.4611</w:t>
            </w:r>
          </w:p>
        </w:tc>
        <w:tc>
          <w:tcPr>
            <w:tcW w:w="449" w:type="pct"/>
            <w:shd w:val="clear" w:color="auto" w:fill="auto"/>
            <w:vAlign w:val="center"/>
          </w:tcPr>
          <w:p w14:paraId="79A24EE4"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0.0985</w:t>
            </w:r>
          </w:p>
        </w:tc>
        <w:tc>
          <w:tcPr>
            <w:tcW w:w="449" w:type="pct"/>
            <w:shd w:val="clear" w:color="auto" w:fill="auto"/>
            <w:noWrap/>
            <w:vAlign w:val="center"/>
            <w:hideMark/>
          </w:tcPr>
          <w:p w14:paraId="62B97916"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4.2040</w:t>
            </w:r>
          </w:p>
        </w:tc>
        <w:tc>
          <w:tcPr>
            <w:tcW w:w="523" w:type="pct"/>
            <w:shd w:val="clear" w:color="auto" w:fill="auto"/>
            <w:noWrap/>
            <w:vAlign w:val="center"/>
            <w:hideMark/>
          </w:tcPr>
          <w:p w14:paraId="00672F5E"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0.1701</w:t>
            </w:r>
          </w:p>
        </w:tc>
        <w:tc>
          <w:tcPr>
            <w:tcW w:w="743" w:type="pct"/>
            <w:vAlign w:val="center"/>
          </w:tcPr>
          <w:p w14:paraId="1190CB9E"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-95.98***</w:t>
            </w:r>
          </w:p>
        </w:tc>
        <w:tc>
          <w:tcPr>
            <w:tcW w:w="862" w:type="pct"/>
          </w:tcPr>
          <w:p w14:paraId="7AE03527"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533.36***</w:t>
            </w:r>
          </w:p>
        </w:tc>
        <w:tc>
          <w:tcPr>
            <w:tcW w:w="942" w:type="pct"/>
            <w:shd w:val="clear" w:color="auto" w:fill="auto"/>
            <w:noWrap/>
            <w:vAlign w:val="center"/>
            <w:hideMark/>
          </w:tcPr>
          <w:p w14:paraId="06640FB1"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68.75***</w:t>
            </w:r>
          </w:p>
        </w:tc>
      </w:tr>
      <w:tr w:rsidR="005526F3" w:rsidRPr="00F82B8F" w14:paraId="5E857A5F" w14:textId="77777777" w:rsidTr="004F7B83">
        <w:trPr>
          <w:trHeight w:val="300"/>
        </w:trPr>
        <w:tc>
          <w:tcPr>
            <w:tcW w:w="580" w:type="pct"/>
            <w:shd w:val="clear" w:color="auto" w:fill="auto"/>
            <w:noWrap/>
            <w:vAlign w:val="bottom"/>
            <w:hideMark/>
          </w:tcPr>
          <w:p w14:paraId="5CFF3CEF" w14:textId="77777777" w:rsidR="005526F3" w:rsidRPr="00F82B8F" w:rsidRDefault="005526F3" w:rsidP="004F7B83">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PRO</w:t>
            </w:r>
          </w:p>
        </w:tc>
        <w:tc>
          <w:tcPr>
            <w:tcW w:w="449" w:type="pct"/>
            <w:shd w:val="clear" w:color="auto" w:fill="auto"/>
            <w:vAlign w:val="center"/>
          </w:tcPr>
          <w:p w14:paraId="46D1789C"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3.7074</w:t>
            </w:r>
          </w:p>
        </w:tc>
        <w:tc>
          <w:tcPr>
            <w:tcW w:w="449" w:type="pct"/>
            <w:shd w:val="clear" w:color="auto" w:fill="auto"/>
            <w:vAlign w:val="center"/>
          </w:tcPr>
          <w:p w14:paraId="6D0CE611"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0.2261</w:t>
            </w:r>
          </w:p>
        </w:tc>
        <w:tc>
          <w:tcPr>
            <w:tcW w:w="449" w:type="pct"/>
            <w:shd w:val="clear" w:color="auto" w:fill="auto"/>
            <w:noWrap/>
            <w:vAlign w:val="center"/>
            <w:hideMark/>
          </w:tcPr>
          <w:p w14:paraId="22E2FB82"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2.7531</w:t>
            </w:r>
          </w:p>
        </w:tc>
        <w:tc>
          <w:tcPr>
            <w:tcW w:w="523" w:type="pct"/>
            <w:shd w:val="clear" w:color="auto" w:fill="auto"/>
            <w:noWrap/>
            <w:vAlign w:val="center"/>
            <w:hideMark/>
          </w:tcPr>
          <w:p w14:paraId="78D78244"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0.5657</w:t>
            </w:r>
          </w:p>
        </w:tc>
        <w:tc>
          <w:tcPr>
            <w:tcW w:w="743" w:type="pct"/>
            <w:vAlign w:val="center"/>
          </w:tcPr>
          <w:p w14:paraId="7EAD54F3"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-110.93***</w:t>
            </w:r>
          </w:p>
        </w:tc>
        <w:tc>
          <w:tcPr>
            <w:tcW w:w="862" w:type="pct"/>
          </w:tcPr>
          <w:p w14:paraId="5AA0DDFE"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4695.07***</w:t>
            </w:r>
          </w:p>
        </w:tc>
        <w:tc>
          <w:tcPr>
            <w:tcW w:w="942" w:type="pct"/>
            <w:shd w:val="clear" w:color="auto" w:fill="auto"/>
            <w:noWrap/>
            <w:vAlign w:val="center"/>
            <w:hideMark/>
          </w:tcPr>
          <w:p w14:paraId="687152E1"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78.36***</w:t>
            </w:r>
          </w:p>
        </w:tc>
      </w:tr>
      <w:tr w:rsidR="005526F3" w:rsidRPr="00F82B8F" w14:paraId="27D93356" w14:textId="77777777" w:rsidTr="004F7B83">
        <w:trPr>
          <w:trHeight w:val="300"/>
        </w:trPr>
        <w:tc>
          <w:tcPr>
            <w:tcW w:w="580" w:type="pct"/>
            <w:shd w:val="clear" w:color="auto" w:fill="auto"/>
            <w:noWrap/>
            <w:vAlign w:val="bottom"/>
            <w:hideMark/>
          </w:tcPr>
          <w:p w14:paraId="41B47949" w14:textId="77777777" w:rsidR="005526F3" w:rsidRPr="00F82B8F" w:rsidRDefault="005526F3" w:rsidP="004F7B83">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HEL</w:t>
            </w:r>
          </w:p>
        </w:tc>
        <w:tc>
          <w:tcPr>
            <w:tcW w:w="449" w:type="pct"/>
            <w:shd w:val="clear" w:color="auto" w:fill="auto"/>
            <w:vAlign w:val="center"/>
          </w:tcPr>
          <w:p w14:paraId="439DB924"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4.4061</w:t>
            </w:r>
          </w:p>
        </w:tc>
        <w:tc>
          <w:tcPr>
            <w:tcW w:w="449" w:type="pct"/>
            <w:shd w:val="clear" w:color="auto" w:fill="auto"/>
            <w:vAlign w:val="center"/>
          </w:tcPr>
          <w:p w14:paraId="14D468D5"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0.0314</w:t>
            </w:r>
          </w:p>
        </w:tc>
        <w:tc>
          <w:tcPr>
            <w:tcW w:w="449" w:type="pct"/>
            <w:shd w:val="clear" w:color="auto" w:fill="auto"/>
            <w:noWrap/>
            <w:vAlign w:val="center"/>
            <w:hideMark/>
          </w:tcPr>
          <w:p w14:paraId="33C6632F"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4.3079</w:t>
            </w:r>
          </w:p>
        </w:tc>
        <w:tc>
          <w:tcPr>
            <w:tcW w:w="523" w:type="pct"/>
            <w:shd w:val="clear" w:color="auto" w:fill="auto"/>
            <w:noWrap/>
            <w:vAlign w:val="center"/>
            <w:hideMark/>
          </w:tcPr>
          <w:p w14:paraId="5CD7D791"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0.0926</w:t>
            </w:r>
          </w:p>
        </w:tc>
        <w:tc>
          <w:tcPr>
            <w:tcW w:w="743" w:type="pct"/>
            <w:vAlign w:val="center"/>
          </w:tcPr>
          <w:p w14:paraId="5F75B92E"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-71.14***</w:t>
            </w:r>
          </w:p>
        </w:tc>
        <w:tc>
          <w:tcPr>
            <w:tcW w:w="862" w:type="pct"/>
          </w:tcPr>
          <w:p w14:paraId="424DFBF1"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3955.90***</w:t>
            </w:r>
          </w:p>
        </w:tc>
        <w:tc>
          <w:tcPr>
            <w:tcW w:w="942" w:type="pct"/>
            <w:shd w:val="clear" w:color="auto" w:fill="auto"/>
            <w:noWrap/>
            <w:vAlign w:val="center"/>
            <w:hideMark/>
          </w:tcPr>
          <w:p w14:paraId="44C72B69"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69.66***</w:t>
            </w:r>
          </w:p>
        </w:tc>
      </w:tr>
      <w:tr w:rsidR="005526F3" w:rsidRPr="00F82B8F" w14:paraId="2AE3F554" w14:textId="77777777" w:rsidTr="004F7B83">
        <w:trPr>
          <w:trHeight w:val="300"/>
        </w:trPr>
        <w:tc>
          <w:tcPr>
            <w:tcW w:w="580" w:type="pct"/>
            <w:shd w:val="clear" w:color="auto" w:fill="auto"/>
            <w:noWrap/>
            <w:vAlign w:val="bottom"/>
            <w:hideMark/>
          </w:tcPr>
          <w:p w14:paraId="52933C10" w14:textId="77777777" w:rsidR="005526F3" w:rsidRPr="00F82B8F" w:rsidRDefault="005526F3" w:rsidP="004F7B83">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FID</w:t>
            </w:r>
          </w:p>
        </w:tc>
        <w:tc>
          <w:tcPr>
            <w:tcW w:w="449" w:type="pct"/>
            <w:shd w:val="clear" w:color="auto" w:fill="auto"/>
            <w:vAlign w:val="center"/>
          </w:tcPr>
          <w:p w14:paraId="75741923"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0.7696</w:t>
            </w:r>
          </w:p>
        </w:tc>
        <w:tc>
          <w:tcPr>
            <w:tcW w:w="449" w:type="pct"/>
            <w:shd w:val="clear" w:color="auto" w:fill="auto"/>
            <w:vAlign w:val="center"/>
          </w:tcPr>
          <w:p w14:paraId="01F54011"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0.1011</w:t>
            </w:r>
          </w:p>
        </w:tc>
        <w:tc>
          <w:tcPr>
            <w:tcW w:w="449" w:type="pct"/>
            <w:shd w:val="clear" w:color="auto" w:fill="auto"/>
            <w:noWrap/>
            <w:vAlign w:val="center"/>
            <w:hideMark/>
          </w:tcPr>
          <w:p w14:paraId="38A77277"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0.5210</w:t>
            </w:r>
          </w:p>
        </w:tc>
        <w:tc>
          <w:tcPr>
            <w:tcW w:w="523" w:type="pct"/>
            <w:shd w:val="clear" w:color="auto" w:fill="auto"/>
            <w:noWrap/>
            <w:vAlign w:val="center"/>
            <w:hideMark/>
          </w:tcPr>
          <w:p w14:paraId="0ADF121B"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0.1482</w:t>
            </w:r>
          </w:p>
        </w:tc>
        <w:tc>
          <w:tcPr>
            <w:tcW w:w="743" w:type="pct"/>
            <w:vAlign w:val="center"/>
          </w:tcPr>
          <w:p w14:paraId="2AC65C3E"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-97.16***</w:t>
            </w:r>
          </w:p>
        </w:tc>
        <w:tc>
          <w:tcPr>
            <w:tcW w:w="862" w:type="pct"/>
          </w:tcPr>
          <w:p w14:paraId="16CD867A"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717.98***</w:t>
            </w:r>
          </w:p>
        </w:tc>
        <w:tc>
          <w:tcPr>
            <w:tcW w:w="942" w:type="pct"/>
            <w:shd w:val="clear" w:color="auto" w:fill="auto"/>
            <w:noWrap/>
            <w:vAlign w:val="center"/>
            <w:hideMark/>
          </w:tcPr>
          <w:p w14:paraId="65ACA287"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69.11***</w:t>
            </w:r>
          </w:p>
        </w:tc>
      </w:tr>
      <w:tr w:rsidR="005526F3" w:rsidRPr="00F82B8F" w14:paraId="51195FBA" w14:textId="77777777" w:rsidTr="004F7B83">
        <w:trPr>
          <w:trHeight w:val="300"/>
        </w:trPr>
        <w:tc>
          <w:tcPr>
            <w:tcW w:w="580" w:type="pct"/>
            <w:tcBorders>
              <w:bottom w:val="single" w:sz="4" w:space="0" w:color="auto"/>
            </w:tcBorders>
            <w:shd w:val="clear" w:color="auto" w:fill="auto"/>
            <w:noWrap/>
            <w:vAlign w:val="bottom"/>
            <w:hideMark/>
          </w:tcPr>
          <w:p w14:paraId="06475AA8" w14:textId="77777777" w:rsidR="005526F3" w:rsidRPr="00F82B8F" w:rsidRDefault="005526F3" w:rsidP="004F7B83">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FII</w:t>
            </w:r>
          </w:p>
        </w:tc>
        <w:tc>
          <w:tcPr>
            <w:tcW w:w="449" w:type="pct"/>
            <w:tcBorders>
              <w:bottom w:val="single" w:sz="4" w:space="0" w:color="auto"/>
            </w:tcBorders>
            <w:shd w:val="clear" w:color="auto" w:fill="auto"/>
            <w:vAlign w:val="center"/>
          </w:tcPr>
          <w:p w14:paraId="7A6D88EA"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0.7982</w:t>
            </w:r>
          </w:p>
        </w:tc>
        <w:tc>
          <w:tcPr>
            <w:tcW w:w="449" w:type="pct"/>
            <w:tcBorders>
              <w:bottom w:val="single" w:sz="4" w:space="0" w:color="auto"/>
            </w:tcBorders>
            <w:shd w:val="clear" w:color="auto" w:fill="auto"/>
            <w:vAlign w:val="center"/>
          </w:tcPr>
          <w:p w14:paraId="572A6773"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0.1112</w:t>
            </w:r>
          </w:p>
        </w:tc>
        <w:tc>
          <w:tcPr>
            <w:tcW w:w="449" w:type="pct"/>
            <w:tcBorders>
              <w:bottom w:val="single" w:sz="4" w:space="0" w:color="auto"/>
            </w:tcBorders>
            <w:shd w:val="clear" w:color="auto" w:fill="auto"/>
            <w:noWrap/>
            <w:vAlign w:val="center"/>
            <w:hideMark/>
          </w:tcPr>
          <w:p w14:paraId="10CF9D18"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0.5623</w:t>
            </w:r>
          </w:p>
        </w:tc>
        <w:tc>
          <w:tcPr>
            <w:tcW w:w="523" w:type="pct"/>
            <w:tcBorders>
              <w:bottom w:val="single" w:sz="4" w:space="0" w:color="auto"/>
            </w:tcBorders>
            <w:shd w:val="clear" w:color="auto" w:fill="auto"/>
            <w:noWrap/>
            <w:vAlign w:val="center"/>
            <w:hideMark/>
          </w:tcPr>
          <w:p w14:paraId="07CA4DEE"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0.1414</w:t>
            </w:r>
          </w:p>
        </w:tc>
        <w:tc>
          <w:tcPr>
            <w:tcW w:w="743" w:type="pct"/>
            <w:tcBorders>
              <w:bottom w:val="single" w:sz="4" w:space="0" w:color="auto"/>
            </w:tcBorders>
            <w:vAlign w:val="center"/>
          </w:tcPr>
          <w:p w14:paraId="771C5D61"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-91.75***</w:t>
            </w:r>
          </w:p>
        </w:tc>
        <w:tc>
          <w:tcPr>
            <w:tcW w:w="862" w:type="pct"/>
            <w:tcBorders>
              <w:bottom w:val="single" w:sz="4" w:space="0" w:color="auto"/>
            </w:tcBorders>
          </w:tcPr>
          <w:p w14:paraId="16373BBD"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193.18***</w:t>
            </w:r>
          </w:p>
        </w:tc>
        <w:tc>
          <w:tcPr>
            <w:tcW w:w="942" w:type="pct"/>
            <w:tcBorders>
              <w:bottom w:val="single" w:sz="4" w:space="0" w:color="auto"/>
            </w:tcBorders>
            <w:shd w:val="clear" w:color="auto" w:fill="auto"/>
            <w:noWrap/>
            <w:vAlign w:val="center"/>
            <w:hideMark/>
          </w:tcPr>
          <w:p w14:paraId="5FFB91E8" w14:textId="77777777" w:rsidR="005526F3" w:rsidRPr="00F82B8F" w:rsidRDefault="005526F3" w:rsidP="004F7B83">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67.85***</w:t>
            </w:r>
          </w:p>
        </w:tc>
      </w:tr>
    </w:tbl>
    <w:p w14:paraId="0A06715F" w14:textId="4F2FA73A" w:rsidR="00FF292B" w:rsidRPr="00F82B8F" w:rsidRDefault="00C02803" w:rsidP="00FF292B">
      <w:pPr>
        <w:tabs>
          <w:tab w:val="left" w:pos="1620"/>
        </w:tabs>
        <w:jc w:val="both"/>
        <w:rPr>
          <w:rFonts w:ascii="Times New Roman" w:hAnsi="Times New Roman" w:cs="Times New Roman"/>
          <w:sz w:val="20"/>
          <w:szCs w:val="20"/>
        </w:rPr>
      </w:pPr>
      <w:r w:rsidRPr="00F82B8F">
        <w:rPr>
          <w:rFonts w:ascii="Times New Roman" w:hAnsi="Times New Roman" w:cs="Times New Roman"/>
          <w:sz w:val="20"/>
          <w:szCs w:val="20"/>
        </w:rPr>
        <w:t xml:space="preserve">Note: In this table, </w:t>
      </w:r>
      <w:bookmarkStart w:id="7" w:name="_Hlk50714189"/>
      <w:r w:rsidRPr="00F82B8F">
        <w:rPr>
          <w:rFonts w:ascii="Times New Roman" w:hAnsi="Times New Roman" w:cs="Times New Roman"/>
          <w:sz w:val="20"/>
          <w:szCs w:val="20"/>
        </w:rPr>
        <w:t>we show the statistical difference in the macroeconomic characteristics between developed and emerging markets within our sample countries.</w:t>
      </w:r>
      <w:r w:rsidR="004902FE" w:rsidRPr="00F82B8F">
        <w:rPr>
          <w:rFonts w:ascii="Times New Roman" w:hAnsi="Times New Roman" w:cs="Times New Roman"/>
          <w:sz w:val="20"/>
          <w:szCs w:val="20"/>
        </w:rPr>
        <w:t xml:space="preserve"> We use </w:t>
      </w:r>
      <w:proofErr w:type="gramStart"/>
      <w:r w:rsidR="004902FE" w:rsidRPr="00F82B8F">
        <w:rPr>
          <w:rFonts w:ascii="Times New Roman" w:hAnsi="Times New Roman" w:cs="Times New Roman"/>
          <w:sz w:val="20"/>
          <w:szCs w:val="20"/>
        </w:rPr>
        <w:t>the  International</w:t>
      </w:r>
      <w:proofErr w:type="gramEnd"/>
      <w:r w:rsidR="004902FE" w:rsidRPr="00F82B8F">
        <w:rPr>
          <w:rFonts w:ascii="Times New Roman" w:hAnsi="Times New Roman" w:cs="Times New Roman"/>
          <w:sz w:val="20"/>
          <w:szCs w:val="20"/>
        </w:rPr>
        <w:t xml:space="preserve"> Monetary Fund</w:t>
      </w:r>
      <w:r w:rsidR="00F91E82" w:rsidRPr="00F82B8F">
        <w:rPr>
          <w:rFonts w:ascii="Times New Roman" w:hAnsi="Times New Roman" w:cs="Times New Roman"/>
          <w:sz w:val="20"/>
          <w:szCs w:val="20"/>
        </w:rPr>
        <w:t>’</w:t>
      </w:r>
      <w:r w:rsidR="004902FE" w:rsidRPr="00F82B8F">
        <w:rPr>
          <w:rFonts w:ascii="Times New Roman" w:hAnsi="Times New Roman" w:cs="Times New Roman"/>
          <w:sz w:val="20"/>
          <w:szCs w:val="20"/>
        </w:rPr>
        <w:t xml:space="preserve">s  </w:t>
      </w:r>
      <w:r w:rsidR="00F91E82" w:rsidRPr="00F82B8F">
        <w:rPr>
          <w:rFonts w:ascii="Times New Roman" w:hAnsi="Times New Roman" w:cs="Times New Roman"/>
          <w:sz w:val="20"/>
          <w:szCs w:val="20"/>
        </w:rPr>
        <w:t xml:space="preserve">definitions </w:t>
      </w:r>
      <w:r w:rsidR="004902FE" w:rsidRPr="00F82B8F">
        <w:rPr>
          <w:rFonts w:ascii="Times New Roman" w:hAnsi="Times New Roman" w:cs="Times New Roman"/>
          <w:sz w:val="20"/>
          <w:szCs w:val="20"/>
        </w:rPr>
        <w:t>to separate emerging markets from developed markets.</w:t>
      </w:r>
      <w:r w:rsidRPr="00F82B8F">
        <w:rPr>
          <w:rFonts w:ascii="Times New Roman" w:hAnsi="Times New Roman" w:cs="Times New Roman"/>
          <w:sz w:val="20"/>
          <w:szCs w:val="20"/>
        </w:rPr>
        <w:t xml:space="preserve"> </w:t>
      </w:r>
      <w:r w:rsidR="00FF292B" w:rsidRPr="00F82B8F">
        <w:rPr>
          <w:rFonts w:ascii="Times New Roman" w:hAnsi="Times New Roman" w:cs="Times New Roman"/>
          <w:sz w:val="20"/>
          <w:szCs w:val="20"/>
        </w:rPr>
        <w:t xml:space="preserve">We use </w:t>
      </w:r>
      <w:r w:rsidR="00F91E82" w:rsidRPr="00F82B8F">
        <w:rPr>
          <w:rFonts w:ascii="Times New Roman" w:hAnsi="Times New Roman" w:cs="Times New Roman"/>
          <w:sz w:val="20"/>
          <w:szCs w:val="20"/>
        </w:rPr>
        <w:t xml:space="preserve">a </w:t>
      </w:r>
      <w:r w:rsidR="00FF292B" w:rsidRPr="00F82B8F">
        <w:rPr>
          <w:rFonts w:ascii="Times New Roman" w:hAnsi="Times New Roman" w:cs="Times New Roman"/>
          <w:sz w:val="20"/>
          <w:szCs w:val="20"/>
        </w:rPr>
        <w:t xml:space="preserve">pairwise T-test, Levene’s (1960) robust F-test and </w:t>
      </w:r>
      <w:r w:rsidR="00F91E82" w:rsidRPr="00F82B8F">
        <w:rPr>
          <w:rFonts w:ascii="Times New Roman" w:hAnsi="Times New Roman" w:cs="Times New Roman"/>
          <w:sz w:val="20"/>
          <w:szCs w:val="20"/>
        </w:rPr>
        <w:t xml:space="preserve">the </w:t>
      </w:r>
      <w:r w:rsidR="00FF292B" w:rsidRPr="00F82B8F">
        <w:rPr>
          <w:rFonts w:ascii="Times New Roman" w:hAnsi="Times New Roman" w:cs="Times New Roman"/>
          <w:sz w:val="20"/>
          <w:szCs w:val="20"/>
        </w:rPr>
        <w:t>Wilcoxon rank-sun (Mann-Whitney) test to compare the mean, variance and median differences between the developed and emerging market groups.</w:t>
      </w:r>
    </w:p>
    <w:bookmarkEnd w:id="7"/>
    <w:p w14:paraId="35C0AB25" w14:textId="2791C83E" w:rsidR="00272FE2" w:rsidRPr="00F82B8F" w:rsidRDefault="00FF292B" w:rsidP="00272FE2">
      <w:pPr>
        <w:tabs>
          <w:tab w:val="left" w:pos="1620"/>
        </w:tabs>
        <w:jc w:val="both"/>
        <w:rPr>
          <w:rFonts w:ascii="Times New Roman" w:hAnsi="Times New Roman" w:cs="Times New Roman"/>
          <w:sz w:val="20"/>
          <w:szCs w:val="20"/>
        </w:rPr>
      </w:pPr>
      <w:r w:rsidRPr="00F82B8F">
        <w:rPr>
          <w:rFonts w:ascii="Times New Roman" w:hAnsi="Times New Roman" w:cs="Times New Roman"/>
          <w:sz w:val="20"/>
          <w:szCs w:val="20"/>
        </w:rPr>
        <w:t>***, ** and * indicates statistical significance at the 1%, 5% and 10% level</w:t>
      </w:r>
      <w:r w:rsidR="00F91E82" w:rsidRPr="00F82B8F">
        <w:rPr>
          <w:rFonts w:ascii="Times New Roman" w:hAnsi="Times New Roman" w:cs="Times New Roman"/>
          <w:sz w:val="20"/>
          <w:szCs w:val="20"/>
        </w:rPr>
        <w:t>s</w:t>
      </w:r>
      <w:r w:rsidR="007578A7" w:rsidRPr="00F82B8F">
        <w:rPr>
          <w:rFonts w:ascii="Times New Roman" w:hAnsi="Times New Roman" w:cs="Times New Roman"/>
          <w:sz w:val="20"/>
          <w:szCs w:val="20"/>
        </w:rPr>
        <w:t>,</w:t>
      </w:r>
      <w:r w:rsidRPr="00F82B8F">
        <w:rPr>
          <w:rFonts w:ascii="Times New Roman" w:hAnsi="Times New Roman" w:cs="Times New Roman"/>
          <w:sz w:val="20"/>
          <w:szCs w:val="20"/>
        </w:rPr>
        <w:t xml:space="preserve"> respectively.</w:t>
      </w:r>
    </w:p>
    <w:p w14:paraId="2456B809" w14:textId="77777777" w:rsidR="006D3BFE" w:rsidRPr="008573D2" w:rsidRDefault="006D3BFE" w:rsidP="006D3BFE">
      <w:pPr>
        <w:pStyle w:val="Heading2"/>
        <w:spacing w:before="0" w:after="200"/>
        <w:rPr>
          <w:rFonts w:ascii="Times New Roman" w:hAnsi="Times New Roman" w:cs="Times New Roman"/>
          <w:b/>
          <w:bCs/>
          <w:color w:val="auto"/>
          <w:sz w:val="24"/>
          <w:szCs w:val="24"/>
        </w:rPr>
      </w:pPr>
    </w:p>
    <w:p w14:paraId="4F1B5112" w14:textId="280932B4" w:rsidR="00A0019D" w:rsidRPr="008573D2" w:rsidRDefault="00A0019D" w:rsidP="00A0019D">
      <w:pPr>
        <w:spacing w:after="200" w:line="360" w:lineRule="auto"/>
        <w:jc w:val="both"/>
        <w:rPr>
          <w:rFonts w:ascii="Times New Roman" w:eastAsia="Times New Roman" w:hAnsi="Times New Roman" w:cs="Times New Roman"/>
          <w:sz w:val="24"/>
          <w:szCs w:val="24"/>
          <w:lang w:eastAsia="en-GB"/>
        </w:rPr>
      </w:pPr>
    </w:p>
    <w:p w14:paraId="4F54D22D" w14:textId="040FE975" w:rsidR="002C7D77" w:rsidRPr="008573D2" w:rsidRDefault="002C7D77" w:rsidP="00A0019D">
      <w:pPr>
        <w:spacing w:after="200" w:line="360" w:lineRule="auto"/>
        <w:jc w:val="both"/>
        <w:rPr>
          <w:rFonts w:ascii="Times New Roman" w:eastAsia="Times New Roman" w:hAnsi="Times New Roman" w:cs="Times New Roman"/>
          <w:sz w:val="24"/>
          <w:szCs w:val="24"/>
          <w:lang w:eastAsia="en-GB"/>
        </w:rPr>
      </w:pPr>
    </w:p>
    <w:p w14:paraId="1FDF2857" w14:textId="772A1B17" w:rsidR="00A0019D" w:rsidRPr="008573D2" w:rsidRDefault="00A0019D">
      <w:pPr>
        <w:rPr>
          <w:rFonts w:ascii="Times New Roman" w:hAnsi="Times New Roman" w:cs="Times New Roman"/>
          <w:sz w:val="24"/>
          <w:szCs w:val="24"/>
        </w:rPr>
      </w:pPr>
      <w:r w:rsidRPr="008573D2">
        <w:rPr>
          <w:rFonts w:ascii="Times New Roman" w:hAnsi="Times New Roman" w:cs="Times New Roman"/>
          <w:sz w:val="24"/>
          <w:szCs w:val="24"/>
        </w:rPr>
        <w:br w:type="page"/>
      </w:r>
    </w:p>
    <w:p w14:paraId="0F040B0F" w14:textId="44AF1B1E" w:rsidR="00DB330B" w:rsidRPr="008573D2" w:rsidRDefault="00DB330B" w:rsidP="00E6145B">
      <w:pPr>
        <w:jc w:val="center"/>
        <w:rPr>
          <w:rFonts w:ascii="Times New Roman" w:hAnsi="Times New Roman" w:cs="Times New Roman"/>
          <w:b/>
          <w:bCs/>
          <w:sz w:val="24"/>
          <w:szCs w:val="24"/>
        </w:rPr>
      </w:pPr>
      <w:r w:rsidRPr="008573D2">
        <w:rPr>
          <w:rFonts w:ascii="Times New Roman" w:hAnsi="Times New Roman" w:cs="Times New Roman"/>
          <w:b/>
          <w:bCs/>
          <w:sz w:val="24"/>
          <w:szCs w:val="24"/>
        </w:rPr>
        <w:lastRenderedPageBreak/>
        <w:t xml:space="preserve">Table </w:t>
      </w:r>
      <w:r w:rsidR="006B75F4" w:rsidRPr="008573D2">
        <w:rPr>
          <w:rFonts w:ascii="Times New Roman" w:hAnsi="Times New Roman" w:cs="Times New Roman"/>
          <w:b/>
          <w:bCs/>
          <w:sz w:val="24"/>
          <w:szCs w:val="24"/>
        </w:rPr>
        <w:t>4</w:t>
      </w:r>
      <w:r w:rsidRPr="008573D2">
        <w:rPr>
          <w:rFonts w:ascii="Times New Roman" w:hAnsi="Times New Roman" w:cs="Times New Roman"/>
          <w:b/>
          <w:bCs/>
          <w:sz w:val="24"/>
          <w:szCs w:val="24"/>
        </w:rPr>
        <w:t xml:space="preserve">: </w:t>
      </w:r>
      <w:r w:rsidR="00045EA9" w:rsidRPr="008573D2">
        <w:rPr>
          <w:rFonts w:ascii="Times New Roman" w:hAnsi="Times New Roman" w:cs="Times New Roman"/>
          <w:b/>
          <w:bCs/>
          <w:sz w:val="24"/>
          <w:szCs w:val="24"/>
        </w:rPr>
        <w:t>Basic</w:t>
      </w:r>
      <w:r w:rsidRPr="008573D2">
        <w:rPr>
          <w:rFonts w:ascii="Times New Roman" w:hAnsi="Times New Roman" w:cs="Times New Roman"/>
          <w:b/>
          <w:bCs/>
          <w:sz w:val="24"/>
          <w:szCs w:val="24"/>
        </w:rPr>
        <w:t xml:space="preserve"> </w:t>
      </w:r>
      <w:r w:rsidR="00AD1A21" w:rsidRPr="008573D2">
        <w:rPr>
          <w:rFonts w:ascii="Times New Roman" w:hAnsi="Times New Roman" w:cs="Times New Roman"/>
          <w:b/>
          <w:bCs/>
          <w:sz w:val="24"/>
          <w:szCs w:val="24"/>
        </w:rPr>
        <w:t>V</w:t>
      </w:r>
      <w:r w:rsidR="00E4656A" w:rsidRPr="008573D2">
        <w:rPr>
          <w:rFonts w:ascii="Times New Roman" w:hAnsi="Times New Roman" w:cs="Times New Roman"/>
          <w:b/>
          <w:bCs/>
          <w:sz w:val="24"/>
          <w:szCs w:val="24"/>
        </w:rPr>
        <w:t xml:space="preserve">olatility </w:t>
      </w:r>
      <w:r w:rsidR="00AD1A21" w:rsidRPr="008573D2">
        <w:rPr>
          <w:rFonts w:ascii="Times New Roman" w:hAnsi="Times New Roman" w:cs="Times New Roman"/>
          <w:b/>
          <w:bCs/>
          <w:sz w:val="24"/>
          <w:szCs w:val="24"/>
        </w:rPr>
        <w:t>M</w:t>
      </w:r>
      <w:r w:rsidRPr="008573D2">
        <w:rPr>
          <w:rFonts w:ascii="Times New Roman" w:hAnsi="Times New Roman" w:cs="Times New Roman"/>
          <w:b/>
          <w:bCs/>
          <w:sz w:val="24"/>
          <w:szCs w:val="24"/>
        </w:rPr>
        <w:t>odel</w:t>
      </w:r>
    </w:p>
    <w:tbl>
      <w:tblPr>
        <w:tblW w:w="5000" w:type="pct"/>
        <w:jc w:val="center"/>
        <w:tblLayout w:type="fixed"/>
        <w:tblLook w:val="04A0" w:firstRow="1" w:lastRow="0" w:firstColumn="1" w:lastColumn="0" w:noHBand="0" w:noVBand="1"/>
      </w:tblPr>
      <w:tblGrid>
        <w:gridCol w:w="2573"/>
        <w:gridCol w:w="1507"/>
        <w:gridCol w:w="2300"/>
        <w:gridCol w:w="2646"/>
      </w:tblGrid>
      <w:tr w:rsidR="00F75EF5" w:rsidRPr="00F82B8F" w14:paraId="450A4F68" w14:textId="0C83F931" w:rsidTr="00F75EF5">
        <w:trPr>
          <w:trHeight w:val="300"/>
          <w:jc w:val="center"/>
        </w:trPr>
        <w:tc>
          <w:tcPr>
            <w:tcW w:w="1425" w:type="pct"/>
            <w:tcBorders>
              <w:top w:val="single" w:sz="4" w:space="0" w:color="auto"/>
            </w:tcBorders>
            <w:shd w:val="clear" w:color="auto" w:fill="auto"/>
            <w:noWrap/>
            <w:vAlign w:val="bottom"/>
            <w:hideMark/>
          </w:tcPr>
          <w:p w14:paraId="48C79673" w14:textId="77777777" w:rsidR="00F75EF5" w:rsidRPr="00F82B8F" w:rsidRDefault="00F75EF5" w:rsidP="00F45BC4">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 </w:t>
            </w:r>
          </w:p>
        </w:tc>
        <w:tc>
          <w:tcPr>
            <w:tcW w:w="835" w:type="pct"/>
            <w:tcBorders>
              <w:top w:val="single" w:sz="4" w:space="0" w:color="auto"/>
            </w:tcBorders>
            <w:shd w:val="clear" w:color="auto" w:fill="auto"/>
            <w:noWrap/>
            <w:vAlign w:val="bottom"/>
            <w:hideMark/>
          </w:tcPr>
          <w:p w14:paraId="2BE3A30E" w14:textId="77777777" w:rsidR="00F75EF5" w:rsidRPr="00F82B8F" w:rsidRDefault="00F75EF5"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(1)</w:t>
            </w:r>
          </w:p>
        </w:tc>
        <w:tc>
          <w:tcPr>
            <w:tcW w:w="1274" w:type="pct"/>
            <w:tcBorders>
              <w:top w:val="single" w:sz="4" w:space="0" w:color="auto"/>
            </w:tcBorders>
            <w:shd w:val="clear" w:color="auto" w:fill="auto"/>
            <w:noWrap/>
            <w:vAlign w:val="bottom"/>
            <w:hideMark/>
          </w:tcPr>
          <w:p w14:paraId="56F30B6E" w14:textId="77777777" w:rsidR="00F75EF5" w:rsidRPr="00F82B8F" w:rsidRDefault="00F75EF5"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(2)</w:t>
            </w:r>
          </w:p>
        </w:tc>
        <w:tc>
          <w:tcPr>
            <w:tcW w:w="1466" w:type="pct"/>
            <w:tcBorders>
              <w:top w:val="single" w:sz="4" w:space="0" w:color="auto"/>
            </w:tcBorders>
          </w:tcPr>
          <w:p w14:paraId="3DFB8140" w14:textId="02CBFB1A" w:rsidR="00F75EF5" w:rsidRPr="00F82B8F" w:rsidRDefault="00F75EF5"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w:t>
            </w:r>
          </w:p>
        </w:tc>
      </w:tr>
      <w:tr w:rsidR="00F75EF5" w:rsidRPr="00F82B8F" w14:paraId="00C5727F" w14:textId="749A53C8" w:rsidTr="00F75EF5">
        <w:trPr>
          <w:trHeight w:val="300"/>
          <w:jc w:val="center"/>
        </w:trPr>
        <w:tc>
          <w:tcPr>
            <w:tcW w:w="1425" w:type="pct"/>
            <w:tcBorders>
              <w:bottom w:val="single" w:sz="4" w:space="0" w:color="auto"/>
            </w:tcBorders>
            <w:shd w:val="clear" w:color="auto" w:fill="auto"/>
            <w:noWrap/>
            <w:vAlign w:val="bottom"/>
            <w:hideMark/>
          </w:tcPr>
          <w:p w14:paraId="37951775" w14:textId="77777777" w:rsidR="00F75EF5" w:rsidRPr="00F82B8F" w:rsidRDefault="00F75EF5" w:rsidP="00F45BC4">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Variables</w:t>
            </w:r>
          </w:p>
        </w:tc>
        <w:tc>
          <w:tcPr>
            <w:tcW w:w="835" w:type="pct"/>
            <w:tcBorders>
              <w:bottom w:val="single" w:sz="4" w:space="0" w:color="auto"/>
            </w:tcBorders>
            <w:shd w:val="clear" w:color="auto" w:fill="auto"/>
            <w:noWrap/>
            <w:vAlign w:val="bottom"/>
            <w:hideMark/>
          </w:tcPr>
          <w:p w14:paraId="6DB1B2B3" w14:textId="77777777" w:rsidR="00F75EF5" w:rsidRPr="00F82B8F" w:rsidRDefault="00F75EF5"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RET</w:t>
            </w:r>
          </w:p>
        </w:tc>
        <w:tc>
          <w:tcPr>
            <w:tcW w:w="1274" w:type="pct"/>
            <w:tcBorders>
              <w:bottom w:val="single" w:sz="4" w:space="0" w:color="auto"/>
            </w:tcBorders>
            <w:shd w:val="clear" w:color="auto" w:fill="auto"/>
            <w:noWrap/>
            <w:vAlign w:val="bottom"/>
            <w:hideMark/>
          </w:tcPr>
          <w:p w14:paraId="55217D01" w14:textId="77777777" w:rsidR="00F75EF5" w:rsidRPr="00F82B8F" w:rsidRDefault="00F75EF5"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Conditional Variance Process</w:t>
            </w:r>
          </w:p>
        </w:tc>
        <w:tc>
          <w:tcPr>
            <w:tcW w:w="1466" w:type="pct"/>
            <w:tcBorders>
              <w:bottom w:val="single" w:sz="4" w:space="0" w:color="auto"/>
            </w:tcBorders>
          </w:tcPr>
          <w:p w14:paraId="5F8D1032" w14:textId="7738E61D" w:rsidR="00F75EF5" w:rsidRPr="00F82B8F" w:rsidRDefault="00F75EF5"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Conditional Variance Process</w:t>
            </w:r>
          </w:p>
        </w:tc>
      </w:tr>
      <w:tr w:rsidR="00F75EF5" w:rsidRPr="00F82B8F" w14:paraId="06F4AC0F" w14:textId="41B347C6" w:rsidTr="00F75EF5">
        <w:trPr>
          <w:trHeight w:val="300"/>
          <w:jc w:val="center"/>
        </w:trPr>
        <w:tc>
          <w:tcPr>
            <w:tcW w:w="1425" w:type="pct"/>
            <w:tcBorders>
              <w:top w:val="single" w:sz="4" w:space="0" w:color="auto"/>
            </w:tcBorders>
            <w:shd w:val="clear" w:color="auto" w:fill="auto"/>
            <w:noWrap/>
            <w:vAlign w:val="bottom"/>
            <w:hideMark/>
          </w:tcPr>
          <w:p w14:paraId="31C63187" w14:textId="77777777" w:rsidR="00F75EF5" w:rsidRPr="00F82B8F" w:rsidRDefault="00F75EF5" w:rsidP="00F45BC4">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 </w:t>
            </w:r>
          </w:p>
        </w:tc>
        <w:tc>
          <w:tcPr>
            <w:tcW w:w="835" w:type="pct"/>
            <w:tcBorders>
              <w:top w:val="single" w:sz="4" w:space="0" w:color="auto"/>
            </w:tcBorders>
            <w:shd w:val="clear" w:color="auto" w:fill="auto"/>
            <w:noWrap/>
            <w:vAlign w:val="bottom"/>
            <w:hideMark/>
          </w:tcPr>
          <w:p w14:paraId="1B66D526" w14:textId="77777777" w:rsidR="00F75EF5" w:rsidRPr="00F82B8F" w:rsidRDefault="00F75EF5" w:rsidP="00F45BC4">
            <w:pPr>
              <w:spacing w:after="0" w:line="240" w:lineRule="auto"/>
              <w:jc w:val="center"/>
              <w:rPr>
                <w:rFonts w:ascii="Times New Roman" w:eastAsia="Times New Roman" w:hAnsi="Times New Roman" w:cs="Times New Roman"/>
                <w:color w:val="000000"/>
                <w:sz w:val="20"/>
                <w:szCs w:val="20"/>
                <w:lang w:eastAsia="en-GB"/>
              </w:rPr>
            </w:pPr>
          </w:p>
        </w:tc>
        <w:tc>
          <w:tcPr>
            <w:tcW w:w="1274" w:type="pct"/>
            <w:tcBorders>
              <w:top w:val="single" w:sz="4" w:space="0" w:color="auto"/>
            </w:tcBorders>
            <w:shd w:val="clear" w:color="auto" w:fill="auto"/>
            <w:noWrap/>
            <w:vAlign w:val="bottom"/>
            <w:hideMark/>
          </w:tcPr>
          <w:p w14:paraId="530BCE42" w14:textId="77777777" w:rsidR="00F75EF5" w:rsidRPr="00F82B8F" w:rsidRDefault="00F75EF5" w:rsidP="00F45BC4">
            <w:pPr>
              <w:spacing w:after="0" w:line="240" w:lineRule="auto"/>
              <w:jc w:val="center"/>
              <w:rPr>
                <w:rFonts w:ascii="Times New Roman" w:eastAsia="Times New Roman" w:hAnsi="Times New Roman" w:cs="Times New Roman"/>
                <w:color w:val="000000"/>
                <w:sz w:val="20"/>
                <w:szCs w:val="20"/>
                <w:lang w:eastAsia="en-GB"/>
              </w:rPr>
            </w:pPr>
          </w:p>
        </w:tc>
        <w:tc>
          <w:tcPr>
            <w:tcW w:w="1466" w:type="pct"/>
            <w:tcBorders>
              <w:top w:val="single" w:sz="4" w:space="0" w:color="auto"/>
            </w:tcBorders>
          </w:tcPr>
          <w:p w14:paraId="15D54934" w14:textId="77777777" w:rsidR="00F75EF5" w:rsidRPr="00F82B8F" w:rsidRDefault="00F75EF5" w:rsidP="00F45BC4">
            <w:pPr>
              <w:spacing w:after="0" w:line="240" w:lineRule="auto"/>
              <w:jc w:val="center"/>
              <w:rPr>
                <w:rFonts w:ascii="Times New Roman" w:eastAsia="Times New Roman" w:hAnsi="Times New Roman" w:cs="Times New Roman"/>
                <w:color w:val="000000"/>
                <w:sz w:val="20"/>
                <w:szCs w:val="20"/>
                <w:lang w:eastAsia="en-GB"/>
              </w:rPr>
            </w:pPr>
          </w:p>
        </w:tc>
      </w:tr>
      <w:tr w:rsidR="00F75EF5" w:rsidRPr="00F82B8F" w14:paraId="5203432B" w14:textId="3266144D" w:rsidTr="00F75EF5">
        <w:trPr>
          <w:trHeight w:val="300"/>
          <w:jc w:val="center"/>
        </w:trPr>
        <w:tc>
          <w:tcPr>
            <w:tcW w:w="1425" w:type="pct"/>
            <w:shd w:val="clear" w:color="auto" w:fill="auto"/>
            <w:noWrap/>
            <w:vAlign w:val="bottom"/>
            <w:hideMark/>
          </w:tcPr>
          <w:p w14:paraId="737970CC" w14:textId="77777777" w:rsidR="00F75EF5" w:rsidRPr="00F82B8F" w:rsidRDefault="00F75EF5" w:rsidP="00F45BC4">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RET</w:t>
            </w:r>
            <w:r w:rsidRPr="00F82B8F">
              <w:rPr>
                <w:rFonts w:ascii="Times New Roman" w:eastAsia="Times New Roman" w:hAnsi="Times New Roman" w:cs="Times New Roman"/>
                <w:color w:val="000000"/>
                <w:sz w:val="20"/>
                <w:szCs w:val="20"/>
                <w:vertAlign w:val="subscript"/>
                <w:lang w:eastAsia="en-GB"/>
              </w:rPr>
              <w:t>t-1</w:t>
            </w:r>
          </w:p>
        </w:tc>
        <w:tc>
          <w:tcPr>
            <w:tcW w:w="835" w:type="pct"/>
            <w:shd w:val="clear" w:color="auto" w:fill="auto"/>
            <w:noWrap/>
            <w:vAlign w:val="bottom"/>
          </w:tcPr>
          <w:p w14:paraId="14E9288A" w14:textId="77777777" w:rsidR="00F75EF5" w:rsidRPr="00F82B8F" w:rsidRDefault="00F75EF5"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0.0003</w:t>
            </w:r>
          </w:p>
        </w:tc>
        <w:tc>
          <w:tcPr>
            <w:tcW w:w="1274" w:type="pct"/>
            <w:shd w:val="clear" w:color="auto" w:fill="auto"/>
            <w:noWrap/>
            <w:vAlign w:val="bottom"/>
            <w:hideMark/>
          </w:tcPr>
          <w:p w14:paraId="4FC4F54C" w14:textId="77777777" w:rsidR="00F75EF5" w:rsidRPr="00F82B8F" w:rsidRDefault="00F75EF5" w:rsidP="00F45BC4">
            <w:pPr>
              <w:spacing w:after="0" w:line="240" w:lineRule="auto"/>
              <w:jc w:val="center"/>
              <w:rPr>
                <w:rFonts w:ascii="Times New Roman" w:eastAsia="Times New Roman" w:hAnsi="Times New Roman" w:cs="Times New Roman"/>
                <w:color w:val="000000"/>
                <w:sz w:val="20"/>
                <w:szCs w:val="20"/>
                <w:lang w:eastAsia="en-GB"/>
              </w:rPr>
            </w:pPr>
          </w:p>
        </w:tc>
        <w:tc>
          <w:tcPr>
            <w:tcW w:w="1466" w:type="pct"/>
          </w:tcPr>
          <w:p w14:paraId="1125A199" w14:textId="77777777" w:rsidR="00F75EF5" w:rsidRPr="00F82B8F" w:rsidRDefault="00F75EF5" w:rsidP="00F45BC4">
            <w:pPr>
              <w:spacing w:after="0" w:line="240" w:lineRule="auto"/>
              <w:jc w:val="center"/>
              <w:rPr>
                <w:rFonts w:ascii="Times New Roman" w:eastAsia="Times New Roman" w:hAnsi="Times New Roman" w:cs="Times New Roman"/>
                <w:color w:val="000000"/>
                <w:sz w:val="20"/>
                <w:szCs w:val="20"/>
                <w:lang w:eastAsia="en-GB"/>
              </w:rPr>
            </w:pPr>
          </w:p>
        </w:tc>
      </w:tr>
      <w:tr w:rsidR="00F75EF5" w:rsidRPr="00F82B8F" w14:paraId="548F8FD5" w14:textId="6BB512F7" w:rsidTr="00F75EF5">
        <w:trPr>
          <w:trHeight w:val="300"/>
          <w:jc w:val="center"/>
        </w:trPr>
        <w:tc>
          <w:tcPr>
            <w:tcW w:w="1425" w:type="pct"/>
            <w:shd w:val="clear" w:color="auto" w:fill="auto"/>
            <w:noWrap/>
            <w:vAlign w:val="bottom"/>
            <w:hideMark/>
          </w:tcPr>
          <w:p w14:paraId="6234AB4D" w14:textId="77777777" w:rsidR="00F75EF5" w:rsidRPr="00F82B8F" w:rsidRDefault="00F75EF5" w:rsidP="00F45BC4">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 </w:t>
            </w:r>
          </w:p>
        </w:tc>
        <w:tc>
          <w:tcPr>
            <w:tcW w:w="835" w:type="pct"/>
            <w:shd w:val="clear" w:color="auto" w:fill="auto"/>
            <w:noWrap/>
            <w:vAlign w:val="bottom"/>
          </w:tcPr>
          <w:p w14:paraId="199C8B48" w14:textId="77777777" w:rsidR="00F75EF5" w:rsidRPr="00F82B8F" w:rsidRDefault="00F75EF5"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(0.0251)</w:t>
            </w:r>
          </w:p>
        </w:tc>
        <w:tc>
          <w:tcPr>
            <w:tcW w:w="1274" w:type="pct"/>
            <w:shd w:val="clear" w:color="auto" w:fill="auto"/>
            <w:noWrap/>
            <w:vAlign w:val="bottom"/>
            <w:hideMark/>
          </w:tcPr>
          <w:p w14:paraId="2598089F" w14:textId="77777777" w:rsidR="00F75EF5" w:rsidRPr="00F82B8F" w:rsidRDefault="00F75EF5" w:rsidP="00F45BC4">
            <w:pPr>
              <w:spacing w:after="0" w:line="240" w:lineRule="auto"/>
              <w:jc w:val="center"/>
              <w:rPr>
                <w:rFonts w:ascii="Times New Roman" w:eastAsia="Times New Roman" w:hAnsi="Times New Roman" w:cs="Times New Roman"/>
                <w:color w:val="000000"/>
                <w:sz w:val="20"/>
                <w:szCs w:val="20"/>
                <w:lang w:eastAsia="en-GB"/>
              </w:rPr>
            </w:pPr>
          </w:p>
        </w:tc>
        <w:tc>
          <w:tcPr>
            <w:tcW w:w="1466" w:type="pct"/>
          </w:tcPr>
          <w:p w14:paraId="1CA58A44" w14:textId="77777777" w:rsidR="00F75EF5" w:rsidRPr="00F82B8F" w:rsidRDefault="00F75EF5" w:rsidP="00F45BC4">
            <w:pPr>
              <w:spacing w:after="0" w:line="240" w:lineRule="auto"/>
              <w:jc w:val="center"/>
              <w:rPr>
                <w:rFonts w:ascii="Times New Roman" w:eastAsia="Times New Roman" w:hAnsi="Times New Roman" w:cs="Times New Roman"/>
                <w:color w:val="000000"/>
                <w:sz w:val="20"/>
                <w:szCs w:val="20"/>
                <w:lang w:eastAsia="en-GB"/>
              </w:rPr>
            </w:pPr>
          </w:p>
        </w:tc>
      </w:tr>
      <w:tr w:rsidR="00F75EF5" w:rsidRPr="00F82B8F" w14:paraId="609DA003" w14:textId="15B601FC" w:rsidTr="00F75EF5">
        <w:trPr>
          <w:trHeight w:val="300"/>
          <w:jc w:val="center"/>
        </w:trPr>
        <w:tc>
          <w:tcPr>
            <w:tcW w:w="1425" w:type="pct"/>
            <w:shd w:val="clear" w:color="auto" w:fill="auto"/>
            <w:noWrap/>
            <w:vAlign w:val="bottom"/>
            <w:hideMark/>
          </w:tcPr>
          <w:p w14:paraId="228DB094" w14:textId="77777777" w:rsidR="00F75EF5" w:rsidRPr="00F82B8F" w:rsidRDefault="00F75EF5" w:rsidP="00F45BC4">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RVX</w:t>
            </w:r>
          </w:p>
        </w:tc>
        <w:tc>
          <w:tcPr>
            <w:tcW w:w="835" w:type="pct"/>
            <w:shd w:val="clear" w:color="auto" w:fill="auto"/>
            <w:noWrap/>
            <w:vAlign w:val="bottom"/>
          </w:tcPr>
          <w:p w14:paraId="30BBDB35" w14:textId="77777777" w:rsidR="00F75EF5" w:rsidRPr="00F82B8F" w:rsidRDefault="00F75EF5"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-0.0643***</w:t>
            </w:r>
          </w:p>
        </w:tc>
        <w:tc>
          <w:tcPr>
            <w:tcW w:w="1274" w:type="pct"/>
            <w:shd w:val="clear" w:color="auto" w:fill="auto"/>
            <w:noWrap/>
            <w:vAlign w:val="bottom"/>
            <w:hideMark/>
          </w:tcPr>
          <w:p w14:paraId="31D557FF" w14:textId="77777777" w:rsidR="00F75EF5" w:rsidRPr="00F82B8F" w:rsidRDefault="00F75EF5" w:rsidP="00F45BC4">
            <w:pPr>
              <w:spacing w:after="0" w:line="240" w:lineRule="auto"/>
              <w:jc w:val="center"/>
              <w:rPr>
                <w:rFonts w:ascii="Times New Roman" w:eastAsia="Times New Roman" w:hAnsi="Times New Roman" w:cs="Times New Roman"/>
                <w:color w:val="000000"/>
                <w:sz w:val="20"/>
                <w:szCs w:val="20"/>
                <w:lang w:eastAsia="en-GB"/>
              </w:rPr>
            </w:pPr>
          </w:p>
        </w:tc>
        <w:tc>
          <w:tcPr>
            <w:tcW w:w="1466" w:type="pct"/>
          </w:tcPr>
          <w:p w14:paraId="0276EBA1" w14:textId="77777777" w:rsidR="00F75EF5" w:rsidRPr="00F82B8F" w:rsidRDefault="00F75EF5" w:rsidP="00F45BC4">
            <w:pPr>
              <w:spacing w:after="0" w:line="240" w:lineRule="auto"/>
              <w:jc w:val="center"/>
              <w:rPr>
                <w:rFonts w:ascii="Times New Roman" w:eastAsia="Times New Roman" w:hAnsi="Times New Roman" w:cs="Times New Roman"/>
                <w:color w:val="000000"/>
                <w:sz w:val="20"/>
                <w:szCs w:val="20"/>
                <w:lang w:eastAsia="en-GB"/>
              </w:rPr>
            </w:pPr>
          </w:p>
        </w:tc>
      </w:tr>
      <w:tr w:rsidR="00F75EF5" w:rsidRPr="00F82B8F" w14:paraId="172AABD9" w14:textId="273A331E" w:rsidTr="00F75EF5">
        <w:trPr>
          <w:trHeight w:val="300"/>
          <w:jc w:val="center"/>
        </w:trPr>
        <w:tc>
          <w:tcPr>
            <w:tcW w:w="1425" w:type="pct"/>
            <w:shd w:val="clear" w:color="auto" w:fill="auto"/>
            <w:noWrap/>
            <w:vAlign w:val="bottom"/>
            <w:hideMark/>
          </w:tcPr>
          <w:p w14:paraId="1A106CC8" w14:textId="77777777" w:rsidR="00F75EF5" w:rsidRPr="00F82B8F" w:rsidRDefault="00F75EF5" w:rsidP="00F45BC4">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 </w:t>
            </w:r>
          </w:p>
        </w:tc>
        <w:tc>
          <w:tcPr>
            <w:tcW w:w="835" w:type="pct"/>
            <w:shd w:val="clear" w:color="auto" w:fill="auto"/>
            <w:noWrap/>
            <w:vAlign w:val="bottom"/>
          </w:tcPr>
          <w:p w14:paraId="0329F865" w14:textId="77777777" w:rsidR="00F75EF5" w:rsidRPr="00F82B8F" w:rsidRDefault="00F75EF5"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(0.0065)</w:t>
            </w:r>
          </w:p>
        </w:tc>
        <w:tc>
          <w:tcPr>
            <w:tcW w:w="1274" w:type="pct"/>
            <w:shd w:val="clear" w:color="auto" w:fill="auto"/>
            <w:noWrap/>
            <w:vAlign w:val="bottom"/>
            <w:hideMark/>
          </w:tcPr>
          <w:p w14:paraId="7C2AF5F5" w14:textId="77777777" w:rsidR="00F75EF5" w:rsidRPr="00F82B8F" w:rsidRDefault="00F75EF5" w:rsidP="00F45BC4">
            <w:pPr>
              <w:spacing w:after="0" w:line="240" w:lineRule="auto"/>
              <w:jc w:val="center"/>
              <w:rPr>
                <w:rFonts w:ascii="Times New Roman" w:eastAsia="Times New Roman" w:hAnsi="Times New Roman" w:cs="Times New Roman"/>
                <w:color w:val="000000"/>
                <w:sz w:val="20"/>
                <w:szCs w:val="20"/>
                <w:lang w:eastAsia="en-GB"/>
              </w:rPr>
            </w:pPr>
          </w:p>
        </w:tc>
        <w:tc>
          <w:tcPr>
            <w:tcW w:w="1466" w:type="pct"/>
          </w:tcPr>
          <w:p w14:paraId="7EC7BF24" w14:textId="77777777" w:rsidR="00F75EF5" w:rsidRPr="00F82B8F" w:rsidRDefault="00F75EF5" w:rsidP="00F45BC4">
            <w:pPr>
              <w:spacing w:after="0" w:line="240" w:lineRule="auto"/>
              <w:jc w:val="center"/>
              <w:rPr>
                <w:rFonts w:ascii="Times New Roman" w:eastAsia="Times New Roman" w:hAnsi="Times New Roman" w:cs="Times New Roman"/>
                <w:color w:val="000000"/>
                <w:sz w:val="20"/>
                <w:szCs w:val="20"/>
                <w:lang w:eastAsia="en-GB"/>
              </w:rPr>
            </w:pPr>
          </w:p>
        </w:tc>
      </w:tr>
      <w:tr w:rsidR="00F75EF5" w:rsidRPr="00F82B8F" w14:paraId="0597B39D" w14:textId="4FFCD697" w:rsidTr="00F75EF5">
        <w:trPr>
          <w:trHeight w:val="300"/>
          <w:jc w:val="center"/>
        </w:trPr>
        <w:tc>
          <w:tcPr>
            <w:tcW w:w="1425" w:type="pct"/>
            <w:shd w:val="clear" w:color="auto" w:fill="auto"/>
            <w:noWrap/>
            <w:vAlign w:val="bottom"/>
            <w:hideMark/>
          </w:tcPr>
          <w:p w14:paraId="5B0F6757" w14:textId="2B98E71B" w:rsidR="00F75EF5" w:rsidRPr="00F82B8F" w:rsidRDefault="00F75EF5" w:rsidP="00F45BC4">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LVO</w:t>
            </w:r>
          </w:p>
        </w:tc>
        <w:tc>
          <w:tcPr>
            <w:tcW w:w="835" w:type="pct"/>
            <w:shd w:val="clear" w:color="auto" w:fill="auto"/>
            <w:noWrap/>
            <w:vAlign w:val="bottom"/>
          </w:tcPr>
          <w:p w14:paraId="78FC67B1" w14:textId="77777777" w:rsidR="00F75EF5" w:rsidRPr="00F82B8F" w:rsidRDefault="00F75EF5"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0.0003</w:t>
            </w:r>
          </w:p>
        </w:tc>
        <w:tc>
          <w:tcPr>
            <w:tcW w:w="1274" w:type="pct"/>
            <w:shd w:val="clear" w:color="auto" w:fill="auto"/>
            <w:noWrap/>
            <w:vAlign w:val="bottom"/>
            <w:hideMark/>
          </w:tcPr>
          <w:p w14:paraId="0622F182" w14:textId="77777777" w:rsidR="00F75EF5" w:rsidRPr="00F82B8F" w:rsidRDefault="00F75EF5" w:rsidP="00F45BC4">
            <w:pPr>
              <w:spacing w:after="0" w:line="240" w:lineRule="auto"/>
              <w:jc w:val="center"/>
              <w:rPr>
                <w:rFonts w:ascii="Times New Roman" w:eastAsia="Times New Roman" w:hAnsi="Times New Roman" w:cs="Times New Roman"/>
                <w:color w:val="000000"/>
                <w:sz w:val="20"/>
                <w:szCs w:val="20"/>
                <w:lang w:eastAsia="en-GB"/>
              </w:rPr>
            </w:pPr>
          </w:p>
        </w:tc>
        <w:tc>
          <w:tcPr>
            <w:tcW w:w="1466" w:type="pct"/>
          </w:tcPr>
          <w:p w14:paraId="31C14B47" w14:textId="77777777" w:rsidR="00F75EF5" w:rsidRPr="00F82B8F" w:rsidRDefault="00F75EF5" w:rsidP="00F45BC4">
            <w:pPr>
              <w:spacing w:after="0" w:line="240" w:lineRule="auto"/>
              <w:jc w:val="center"/>
              <w:rPr>
                <w:rFonts w:ascii="Times New Roman" w:eastAsia="Times New Roman" w:hAnsi="Times New Roman" w:cs="Times New Roman"/>
                <w:color w:val="000000"/>
                <w:sz w:val="20"/>
                <w:szCs w:val="20"/>
                <w:lang w:eastAsia="en-GB"/>
              </w:rPr>
            </w:pPr>
          </w:p>
        </w:tc>
      </w:tr>
      <w:tr w:rsidR="00F75EF5" w:rsidRPr="00F82B8F" w14:paraId="225F1CCD" w14:textId="5F71B643" w:rsidTr="00F75EF5">
        <w:trPr>
          <w:trHeight w:val="300"/>
          <w:jc w:val="center"/>
        </w:trPr>
        <w:tc>
          <w:tcPr>
            <w:tcW w:w="1425" w:type="pct"/>
            <w:shd w:val="clear" w:color="auto" w:fill="auto"/>
            <w:noWrap/>
            <w:vAlign w:val="bottom"/>
            <w:hideMark/>
          </w:tcPr>
          <w:p w14:paraId="27D24808" w14:textId="77777777" w:rsidR="00F75EF5" w:rsidRPr="00F82B8F" w:rsidRDefault="00F75EF5" w:rsidP="00F45BC4">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 </w:t>
            </w:r>
          </w:p>
        </w:tc>
        <w:tc>
          <w:tcPr>
            <w:tcW w:w="835" w:type="pct"/>
            <w:shd w:val="clear" w:color="auto" w:fill="auto"/>
            <w:noWrap/>
            <w:vAlign w:val="bottom"/>
          </w:tcPr>
          <w:p w14:paraId="49222503" w14:textId="77777777" w:rsidR="00F75EF5" w:rsidRPr="00F82B8F" w:rsidRDefault="00F75EF5"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(0.0005)</w:t>
            </w:r>
          </w:p>
        </w:tc>
        <w:tc>
          <w:tcPr>
            <w:tcW w:w="1274" w:type="pct"/>
            <w:shd w:val="clear" w:color="auto" w:fill="auto"/>
            <w:noWrap/>
            <w:vAlign w:val="bottom"/>
            <w:hideMark/>
          </w:tcPr>
          <w:p w14:paraId="3DF2B038" w14:textId="77777777" w:rsidR="00F75EF5" w:rsidRPr="00F82B8F" w:rsidRDefault="00F75EF5" w:rsidP="00F45BC4">
            <w:pPr>
              <w:spacing w:after="0" w:line="240" w:lineRule="auto"/>
              <w:jc w:val="center"/>
              <w:rPr>
                <w:rFonts w:ascii="Times New Roman" w:eastAsia="Times New Roman" w:hAnsi="Times New Roman" w:cs="Times New Roman"/>
                <w:color w:val="000000"/>
                <w:sz w:val="20"/>
                <w:szCs w:val="20"/>
                <w:lang w:eastAsia="en-GB"/>
              </w:rPr>
            </w:pPr>
          </w:p>
        </w:tc>
        <w:tc>
          <w:tcPr>
            <w:tcW w:w="1466" w:type="pct"/>
          </w:tcPr>
          <w:p w14:paraId="286A0F85" w14:textId="77777777" w:rsidR="00F75EF5" w:rsidRPr="00F82B8F" w:rsidRDefault="00F75EF5" w:rsidP="00F45BC4">
            <w:pPr>
              <w:spacing w:after="0" w:line="240" w:lineRule="auto"/>
              <w:jc w:val="center"/>
              <w:rPr>
                <w:rFonts w:ascii="Times New Roman" w:eastAsia="Times New Roman" w:hAnsi="Times New Roman" w:cs="Times New Roman"/>
                <w:color w:val="000000"/>
                <w:sz w:val="20"/>
                <w:szCs w:val="20"/>
                <w:lang w:eastAsia="en-GB"/>
              </w:rPr>
            </w:pPr>
          </w:p>
        </w:tc>
      </w:tr>
      <w:tr w:rsidR="00F75EF5" w:rsidRPr="00F82B8F" w14:paraId="3F3ABE76" w14:textId="07E2195E" w:rsidTr="00F75EF5">
        <w:trPr>
          <w:trHeight w:val="300"/>
          <w:jc w:val="center"/>
        </w:trPr>
        <w:tc>
          <w:tcPr>
            <w:tcW w:w="1425" w:type="pct"/>
            <w:shd w:val="clear" w:color="auto" w:fill="auto"/>
            <w:noWrap/>
            <w:vAlign w:val="bottom"/>
            <w:hideMark/>
          </w:tcPr>
          <w:p w14:paraId="35E0B0C0" w14:textId="23E6BCF2" w:rsidR="00F75EF5" w:rsidRPr="00F82B8F" w:rsidRDefault="00F75EF5" w:rsidP="00F45BC4">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LOP</w:t>
            </w:r>
          </w:p>
        </w:tc>
        <w:tc>
          <w:tcPr>
            <w:tcW w:w="835" w:type="pct"/>
            <w:shd w:val="clear" w:color="auto" w:fill="auto"/>
            <w:noWrap/>
            <w:vAlign w:val="bottom"/>
          </w:tcPr>
          <w:p w14:paraId="07E98C25" w14:textId="77777777" w:rsidR="00F75EF5" w:rsidRPr="00F82B8F" w:rsidRDefault="00F75EF5"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0.0469***</w:t>
            </w:r>
          </w:p>
        </w:tc>
        <w:tc>
          <w:tcPr>
            <w:tcW w:w="1274" w:type="pct"/>
            <w:shd w:val="clear" w:color="auto" w:fill="auto"/>
            <w:noWrap/>
            <w:vAlign w:val="bottom"/>
            <w:hideMark/>
          </w:tcPr>
          <w:p w14:paraId="25B22B7A" w14:textId="77777777" w:rsidR="00F75EF5" w:rsidRPr="00F82B8F" w:rsidRDefault="00F75EF5" w:rsidP="00F45BC4">
            <w:pPr>
              <w:spacing w:after="0" w:line="240" w:lineRule="auto"/>
              <w:jc w:val="center"/>
              <w:rPr>
                <w:rFonts w:ascii="Times New Roman" w:eastAsia="Times New Roman" w:hAnsi="Times New Roman" w:cs="Times New Roman"/>
                <w:color w:val="000000"/>
                <w:sz w:val="20"/>
                <w:szCs w:val="20"/>
                <w:lang w:eastAsia="en-GB"/>
              </w:rPr>
            </w:pPr>
          </w:p>
        </w:tc>
        <w:tc>
          <w:tcPr>
            <w:tcW w:w="1466" w:type="pct"/>
          </w:tcPr>
          <w:p w14:paraId="07F3D988" w14:textId="77777777" w:rsidR="00F75EF5" w:rsidRPr="00F82B8F" w:rsidRDefault="00F75EF5" w:rsidP="00F45BC4">
            <w:pPr>
              <w:spacing w:after="0" w:line="240" w:lineRule="auto"/>
              <w:jc w:val="center"/>
              <w:rPr>
                <w:rFonts w:ascii="Times New Roman" w:eastAsia="Times New Roman" w:hAnsi="Times New Roman" w:cs="Times New Roman"/>
                <w:color w:val="000000"/>
                <w:sz w:val="20"/>
                <w:szCs w:val="20"/>
                <w:lang w:eastAsia="en-GB"/>
              </w:rPr>
            </w:pPr>
          </w:p>
        </w:tc>
      </w:tr>
      <w:tr w:rsidR="00F75EF5" w:rsidRPr="00F82B8F" w14:paraId="060536E4" w14:textId="30ECFA98" w:rsidTr="00F75EF5">
        <w:trPr>
          <w:trHeight w:val="300"/>
          <w:jc w:val="center"/>
        </w:trPr>
        <w:tc>
          <w:tcPr>
            <w:tcW w:w="1425" w:type="pct"/>
            <w:shd w:val="clear" w:color="auto" w:fill="auto"/>
            <w:noWrap/>
            <w:vAlign w:val="bottom"/>
            <w:hideMark/>
          </w:tcPr>
          <w:p w14:paraId="4BA99839" w14:textId="77777777" w:rsidR="00F75EF5" w:rsidRPr="00F82B8F" w:rsidRDefault="00F75EF5" w:rsidP="00F45BC4">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 </w:t>
            </w:r>
          </w:p>
        </w:tc>
        <w:tc>
          <w:tcPr>
            <w:tcW w:w="835" w:type="pct"/>
            <w:shd w:val="clear" w:color="auto" w:fill="auto"/>
            <w:noWrap/>
            <w:vAlign w:val="bottom"/>
          </w:tcPr>
          <w:p w14:paraId="44419700" w14:textId="77777777" w:rsidR="00F75EF5" w:rsidRPr="00F82B8F" w:rsidRDefault="00F75EF5"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(0.0046)</w:t>
            </w:r>
          </w:p>
        </w:tc>
        <w:tc>
          <w:tcPr>
            <w:tcW w:w="1274" w:type="pct"/>
            <w:shd w:val="clear" w:color="auto" w:fill="auto"/>
            <w:noWrap/>
            <w:vAlign w:val="bottom"/>
            <w:hideMark/>
          </w:tcPr>
          <w:p w14:paraId="234AC21A" w14:textId="77777777" w:rsidR="00F75EF5" w:rsidRPr="00F82B8F" w:rsidRDefault="00F75EF5" w:rsidP="00F45BC4">
            <w:pPr>
              <w:spacing w:after="0" w:line="240" w:lineRule="auto"/>
              <w:jc w:val="center"/>
              <w:rPr>
                <w:rFonts w:ascii="Times New Roman" w:eastAsia="Times New Roman" w:hAnsi="Times New Roman" w:cs="Times New Roman"/>
                <w:color w:val="000000"/>
                <w:sz w:val="20"/>
                <w:szCs w:val="20"/>
                <w:lang w:eastAsia="en-GB"/>
              </w:rPr>
            </w:pPr>
          </w:p>
        </w:tc>
        <w:tc>
          <w:tcPr>
            <w:tcW w:w="1466" w:type="pct"/>
          </w:tcPr>
          <w:p w14:paraId="0E5657F0" w14:textId="77777777" w:rsidR="00F75EF5" w:rsidRPr="00F82B8F" w:rsidRDefault="00F75EF5" w:rsidP="00F45BC4">
            <w:pPr>
              <w:spacing w:after="0" w:line="240" w:lineRule="auto"/>
              <w:jc w:val="center"/>
              <w:rPr>
                <w:rFonts w:ascii="Times New Roman" w:eastAsia="Times New Roman" w:hAnsi="Times New Roman" w:cs="Times New Roman"/>
                <w:color w:val="000000"/>
                <w:sz w:val="20"/>
                <w:szCs w:val="20"/>
                <w:lang w:eastAsia="en-GB"/>
              </w:rPr>
            </w:pPr>
          </w:p>
        </w:tc>
      </w:tr>
      <w:tr w:rsidR="00F75EF5" w:rsidRPr="00F82B8F" w14:paraId="7629867C" w14:textId="217846F0" w:rsidTr="00F75EF5">
        <w:trPr>
          <w:trHeight w:val="300"/>
          <w:jc w:val="center"/>
        </w:trPr>
        <w:tc>
          <w:tcPr>
            <w:tcW w:w="1425" w:type="pct"/>
            <w:shd w:val="clear" w:color="auto" w:fill="auto"/>
            <w:noWrap/>
            <w:vAlign w:val="bottom"/>
            <w:hideMark/>
          </w:tcPr>
          <w:p w14:paraId="11177B55" w14:textId="77777777" w:rsidR="00F75EF5" w:rsidRPr="00F82B8F" w:rsidRDefault="00F75EF5" w:rsidP="00F45BC4">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LGD</w:t>
            </w:r>
          </w:p>
        </w:tc>
        <w:tc>
          <w:tcPr>
            <w:tcW w:w="835" w:type="pct"/>
            <w:shd w:val="clear" w:color="auto" w:fill="auto"/>
            <w:noWrap/>
            <w:vAlign w:val="bottom"/>
          </w:tcPr>
          <w:p w14:paraId="4CE32FB0" w14:textId="77777777" w:rsidR="00F75EF5" w:rsidRPr="00F82B8F" w:rsidRDefault="00F75EF5"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0.0001</w:t>
            </w:r>
          </w:p>
        </w:tc>
        <w:tc>
          <w:tcPr>
            <w:tcW w:w="1274" w:type="pct"/>
            <w:shd w:val="clear" w:color="auto" w:fill="auto"/>
            <w:noWrap/>
            <w:vAlign w:val="bottom"/>
            <w:hideMark/>
          </w:tcPr>
          <w:p w14:paraId="42A95B8A" w14:textId="77777777" w:rsidR="00F75EF5" w:rsidRPr="00F82B8F" w:rsidRDefault="00F75EF5" w:rsidP="00F45BC4">
            <w:pPr>
              <w:spacing w:after="0" w:line="240" w:lineRule="auto"/>
              <w:jc w:val="center"/>
              <w:rPr>
                <w:rFonts w:ascii="Times New Roman" w:eastAsia="Times New Roman" w:hAnsi="Times New Roman" w:cs="Times New Roman"/>
                <w:color w:val="000000"/>
                <w:sz w:val="20"/>
                <w:szCs w:val="20"/>
                <w:lang w:eastAsia="en-GB"/>
              </w:rPr>
            </w:pPr>
          </w:p>
        </w:tc>
        <w:tc>
          <w:tcPr>
            <w:tcW w:w="1466" w:type="pct"/>
          </w:tcPr>
          <w:p w14:paraId="1E463A3C" w14:textId="77777777" w:rsidR="00F75EF5" w:rsidRPr="00F82B8F" w:rsidRDefault="00F75EF5" w:rsidP="00F45BC4">
            <w:pPr>
              <w:spacing w:after="0" w:line="240" w:lineRule="auto"/>
              <w:jc w:val="center"/>
              <w:rPr>
                <w:rFonts w:ascii="Times New Roman" w:eastAsia="Times New Roman" w:hAnsi="Times New Roman" w:cs="Times New Roman"/>
                <w:color w:val="000000"/>
                <w:sz w:val="20"/>
                <w:szCs w:val="20"/>
                <w:lang w:eastAsia="en-GB"/>
              </w:rPr>
            </w:pPr>
          </w:p>
        </w:tc>
      </w:tr>
      <w:tr w:rsidR="00F75EF5" w:rsidRPr="00F82B8F" w14:paraId="31FA7D96" w14:textId="0734C97F" w:rsidTr="00F75EF5">
        <w:trPr>
          <w:trHeight w:val="300"/>
          <w:jc w:val="center"/>
        </w:trPr>
        <w:tc>
          <w:tcPr>
            <w:tcW w:w="1425" w:type="pct"/>
            <w:shd w:val="clear" w:color="auto" w:fill="auto"/>
            <w:noWrap/>
            <w:vAlign w:val="bottom"/>
            <w:hideMark/>
          </w:tcPr>
          <w:p w14:paraId="32193C95" w14:textId="77777777" w:rsidR="00F75EF5" w:rsidRPr="00F82B8F" w:rsidRDefault="00F75EF5" w:rsidP="00F45BC4">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 </w:t>
            </w:r>
          </w:p>
        </w:tc>
        <w:tc>
          <w:tcPr>
            <w:tcW w:w="835" w:type="pct"/>
            <w:shd w:val="clear" w:color="auto" w:fill="auto"/>
            <w:noWrap/>
            <w:vAlign w:val="bottom"/>
          </w:tcPr>
          <w:p w14:paraId="0D35EB96" w14:textId="77777777" w:rsidR="00F75EF5" w:rsidRPr="00F82B8F" w:rsidRDefault="00F75EF5"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(0.0003)</w:t>
            </w:r>
          </w:p>
        </w:tc>
        <w:tc>
          <w:tcPr>
            <w:tcW w:w="1274" w:type="pct"/>
            <w:shd w:val="clear" w:color="auto" w:fill="auto"/>
            <w:noWrap/>
            <w:vAlign w:val="bottom"/>
            <w:hideMark/>
          </w:tcPr>
          <w:p w14:paraId="689B8998" w14:textId="77777777" w:rsidR="00F75EF5" w:rsidRPr="00F82B8F" w:rsidRDefault="00F75EF5" w:rsidP="00F45BC4">
            <w:pPr>
              <w:spacing w:after="0" w:line="240" w:lineRule="auto"/>
              <w:jc w:val="center"/>
              <w:rPr>
                <w:rFonts w:ascii="Times New Roman" w:eastAsia="Times New Roman" w:hAnsi="Times New Roman" w:cs="Times New Roman"/>
                <w:color w:val="000000"/>
                <w:sz w:val="20"/>
                <w:szCs w:val="20"/>
                <w:lang w:eastAsia="en-GB"/>
              </w:rPr>
            </w:pPr>
          </w:p>
        </w:tc>
        <w:tc>
          <w:tcPr>
            <w:tcW w:w="1466" w:type="pct"/>
          </w:tcPr>
          <w:p w14:paraId="0F22BB5F" w14:textId="77777777" w:rsidR="00F75EF5" w:rsidRPr="00F82B8F" w:rsidRDefault="00F75EF5" w:rsidP="00F45BC4">
            <w:pPr>
              <w:spacing w:after="0" w:line="240" w:lineRule="auto"/>
              <w:jc w:val="center"/>
              <w:rPr>
                <w:rFonts w:ascii="Times New Roman" w:eastAsia="Times New Roman" w:hAnsi="Times New Roman" w:cs="Times New Roman"/>
                <w:color w:val="000000"/>
                <w:sz w:val="20"/>
                <w:szCs w:val="20"/>
                <w:lang w:eastAsia="en-GB"/>
              </w:rPr>
            </w:pPr>
          </w:p>
        </w:tc>
      </w:tr>
      <w:tr w:rsidR="00A2306C" w:rsidRPr="00F82B8F" w14:paraId="7F7CB3AD" w14:textId="427AE1C3" w:rsidTr="00F85E6B">
        <w:trPr>
          <w:trHeight w:val="300"/>
          <w:jc w:val="center"/>
        </w:trPr>
        <w:tc>
          <w:tcPr>
            <w:tcW w:w="1425" w:type="pct"/>
            <w:shd w:val="clear" w:color="auto" w:fill="auto"/>
            <w:noWrap/>
            <w:vAlign w:val="bottom"/>
            <w:hideMark/>
          </w:tcPr>
          <w:p w14:paraId="71B0B683" w14:textId="7BEB0225" w:rsidR="00A2306C" w:rsidRPr="00F82B8F" w:rsidRDefault="00A2306C" w:rsidP="00A2306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CTC</w:t>
            </w:r>
          </w:p>
        </w:tc>
        <w:tc>
          <w:tcPr>
            <w:tcW w:w="835" w:type="pct"/>
            <w:shd w:val="clear" w:color="auto" w:fill="auto"/>
            <w:noWrap/>
            <w:vAlign w:val="bottom"/>
          </w:tcPr>
          <w:p w14:paraId="2356A352"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-0.0017***</w:t>
            </w:r>
          </w:p>
        </w:tc>
        <w:tc>
          <w:tcPr>
            <w:tcW w:w="1274" w:type="pct"/>
            <w:shd w:val="clear" w:color="auto" w:fill="auto"/>
            <w:noWrap/>
            <w:vAlign w:val="bottom"/>
          </w:tcPr>
          <w:p w14:paraId="4DC451A3"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4.3095</w:t>
            </w:r>
            <w:r w:rsidRPr="00F82B8F">
              <w:rPr>
                <w:rFonts w:ascii="Times New Roman" w:hAnsi="Times New Roman" w:cs="Times New Roman"/>
                <w:color w:val="000000"/>
                <w:sz w:val="20"/>
                <w:szCs w:val="20"/>
              </w:rPr>
              <w:t>***</w:t>
            </w:r>
          </w:p>
        </w:tc>
        <w:tc>
          <w:tcPr>
            <w:tcW w:w="1466" w:type="pct"/>
            <w:vAlign w:val="bottom"/>
          </w:tcPr>
          <w:p w14:paraId="7F33BCCB" w14:textId="30510F31"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2.2169</w:t>
            </w:r>
          </w:p>
        </w:tc>
      </w:tr>
      <w:tr w:rsidR="00A2306C" w:rsidRPr="00F82B8F" w14:paraId="077A051F" w14:textId="7EDEB878" w:rsidTr="00F85E6B">
        <w:trPr>
          <w:trHeight w:val="300"/>
          <w:jc w:val="center"/>
        </w:trPr>
        <w:tc>
          <w:tcPr>
            <w:tcW w:w="1425" w:type="pct"/>
            <w:shd w:val="clear" w:color="auto" w:fill="auto"/>
            <w:noWrap/>
            <w:vAlign w:val="bottom"/>
            <w:hideMark/>
          </w:tcPr>
          <w:p w14:paraId="6E05EF67" w14:textId="77777777" w:rsidR="00A2306C" w:rsidRPr="00F82B8F" w:rsidRDefault="00A2306C" w:rsidP="00A2306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 </w:t>
            </w:r>
          </w:p>
        </w:tc>
        <w:tc>
          <w:tcPr>
            <w:tcW w:w="835" w:type="pct"/>
            <w:shd w:val="clear" w:color="auto" w:fill="auto"/>
            <w:noWrap/>
            <w:vAlign w:val="bottom"/>
          </w:tcPr>
          <w:p w14:paraId="74BE307C"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(0.0003)</w:t>
            </w:r>
          </w:p>
        </w:tc>
        <w:tc>
          <w:tcPr>
            <w:tcW w:w="1274" w:type="pct"/>
            <w:shd w:val="clear" w:color="auto" w:fill="auto"/>
            <w:noWrap/>
            <w:vAlign w:val="bottom"/>
          </w:tcPr>
          <w:p w14:paraId="3F56FECE"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(0.5176)</w:t>
            </w:r>
          </w:p>
        </w:tc>
        <w:tc>
          <w:tcPr>
            <w:tcW w:w="1466" w:type="pct"/>
            <w:vAlign w:val="bottom"/>
          </w:tcPr>
          <w:p w14:paraId="4157D632" w14:textId="30C0A76A"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(6.1079)</w:t>
            </w:r>
          </w:p>
        </w:tc>
      </w:tr>
      <w:tr w:rsidR="00A2306C" w:rsidRPr="00F82B8F" w14:paraId="6E900E8A" w14:textId="61C106B7" w:rsidTr="00F85E6B">
        <w:trPr>
          <w:trHeight w:val="300"/>
          <w:jc w:val="center"/>
        </w:trPr>
        <w:tc>
          <w:tcPr>
            <w:tcW w:w="1425" w:type="pct"/>
            <w:shd w:val="clear" w:color="auto" w:fill="auto"/>
            <w:noWrap/>
            <w:vAlign w:val="bottom"/>
            <w:hideMark/>
          </w:tcPr>
          <w:p w14:paraId="6F233965" w14:textId="01BE45B9" w:rsidR="00A2306C" w:rsidRPr="00F82B8F" w:rsidRDefault="00A2306C" w:rsidP="00A2306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CTD</w:t>
            </w:r>
          </w:p>
        </w:tc>
        <w:tc>
          <w:tcPr>
            <w:tcW w:w="835" w:type="pct"/>
            <w:shd w:val="clear" w:color="auto" w:fill="auto"/>
            <w:noWrap/>
            <w:vAlign w:val="bottom"/>
          </w:tcPr>
          <w:p w14:paraId="355DCE4E"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-0.0079***</w:t>
            </w:r>
          </w:p>
        </w:tc>
        <w:tc>
          <w:tcPr>
            <w:tcW w:w="1274" w:type="pct"/>
            <w:shd w:val="clear" w:color="auto" w:fill="auto"/>
            <w:noWrap/>
            <w:vAlign w:val="bottom"/>
          </w:tcPr>
          <w:p w14:paraId="6AC04E7D"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2.7830</w:t>
            </w:r>
            <w:r w:rsidRPr="00F82B8F">
              <w:rPr>
                <w:rFonts w:ascii="Times New Roman" w:hAnsi="Times New Roman" w:cs="Times New Roman"/>
                <w:color w:val="000000"/>
                <w:sz w:val="20"/>
                <w:szCs w:val="20"/>
              </w:rPr>
              <w:t>***</w:t>
            </w:r>
          </w:p>
        </w:tc>
        <w:tc>
          <w:tcPr>
            <w:tcW w:w="1466" w:type="pct"/>
            <w:vAlign w:val="bottom"/>
          </w:tcPr>
          <w:p w14:paraId="452B906B" w14:textId="69E35476"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-5.9128</w:t>
            </w:r>
          </w:p>
        </w:tc>
      </w:tr>
      <w:tr w:rsidR="00A2306C" w:rsidRPr="00F82B8F" w14:paraId="73ACC6A2" w14:textId="33502EF7" w:rsidTr="00F85E6B">
        <w:trPr>
          <w:trHeight w:val="300"/>
          <w:jc w:val="center"/>
        </w:trPr>
        <w:tc>
          <w:tcPr>
            <w:tcW w:w="1425" w:type="pct"/>
            <w:shd w:val="clear" w:color="auto" w:fill="auto"/>
            <w:noWrap/>
            <w:vAlign w:val="bottom"/>
            <w:hideMark/>
          </w:tcPr>
          <w:p w14:paraId="278AAB03" w14:textId="77777777" w:rsidR="00A2306C" w:rsidRPr="00F82B8F" w:rsidRDefault="00A2306C" w:rsidP="00A2306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 </w:t>
            </w:r>
          </w:p>
        </w:tc>
        <w:tc>
          <w:tcPr>
            <w:tcW w:w="835" w:type="pct"/>
            <w:shd w:val="clear" w:color="auto" w:fill="auto"/>
            <w:noWrap/>
            <w:vAlign w:val="bottom"/>
          </w:tcPr>
          <w:p w14:paraId="0DCF54B4"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(0.0008)</w:t>
            </w:r>
          </w:p>
        </w:tc>
        <w:tc>
          <w:tcPr>
            <w:tcW w:w="1274" w:type="pct"/>
            <w:shd w:val="clear" w:color="auto" w:fill="auto"/>
            <w:noWrap/>
            <w:vAlign w:val="bottom"/>
          </w:tcPr>
          <w:p w14:paraId="65F14339"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(0.3749)</w:t>
            </w:r>
          </w:p>
        </w:tc>
        <w:tc>
          <w:tcPr>
            <w:tcW w:w="1466" w:type="pct"/>
            <w:vAlign w:val="bottom"/>
          </w:tcPr>
          <w:p w14:paraId="26268842" w14:textId="512C3398"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(4.7610)</w:t>
            </w:r>
          </w:p>
        </w:tc>
      </w:tr>
      <w:tr w:rsidR="00A2306C" w:rsidRPr="00F82B8F" w14:paraId="18D81664" w14:textId="2F460D3E" w:rsidTr="00F85E6B">
        <w:trPr>
          <w:trHeight w:val="300"/>
          <w:jc w:val="center"/>
        </w:trPr>
        <w:tc>
          <w:tcPr>
            <w:tcW w:w="1425" w:type="pct"/>
            <w:shd w:val="clear" w:color="auto" w:fill="auto"/>
            <w:noWrap/>
            <w:vAlign w:val="bottom"/>
          </w:tcPr>
          <w:p w14:paraId="464D2864" w14:textId="7B857C7B" w:rsidR="00A2306C" w:rsidRPr="00F82B8F" w:rsidRDefault="00A2306C" w:rsidP="00A2306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CSC</w:t>
            </w:r>
          </w:p>
        </w:tc>
        <w:tc>
          <w:tcPr>
            <w:tcW w:w="835" w:type="pct"/>
            <w:shd w:val="clear" w:color="auto" w:fill="auto"/>
            <w:noWrap/>
            <w:vAlign w:val="bottom"/>
          </w:tcPr>
          <w:p w14:paraId="191361C4" w14:textId="77777777" w:rsidR="00A2306C" w:rsidRPr="00F82B8F" w:rsidRDefault="00A2306C" w:rsidP="00A2306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0.0003</w:t>
            </w:r>
          </w:p>
        </w:tc>
        <w:tc>
          <w:tcPr>
            <w:tcW w:w="1274" w:type="pct"/>
            <w:shd w:val="clear" w:color="auto" w:fill="auto"/>
            <w:noWrap/>
            <w:vAlign w:val="bottom"/>
          </w:tcPr>
          <w:p w14:paraId="179A6317" w14:textId="77777777" w:rsidR="00A2306C" w:rsidRPr="00F82B8F" w:rsidRDefault="00A2306C" w:rsidP="00A2306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0.0561*</w:t>
            </w:r>
          </w:p>
        </w:tc>
        <w:tc>
          <w:tcPr>
            <w:tcW w:w="1466" w:type="pct"/>
            <w:vAlign w:val="bottom"/>
          </w:tcPr>
          <w:p w14:paraId="2D76BF05" w14:textId="27C42A4F" w:rsidR="00A2306C" w:rsidRPr="00F82B8F" w:rsidRDefault="00A2306C" w:rsidP="00A2306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1.1170**</w:t>
            </w:r>
          </w:p>
        </w:tc>
      </w:tr>
      <w:tr w:rsidR="00A2306C" w:rsidRPr="00F82B8F" w14:paraId="1F7531DC" w14:textId="3F8ADED6" w:rsidTr="00F85E6B">
        <w:trPr>
          <w:trHeight w:val="300"/>
          <w:jc w:val="center"/>
        </w:trPr>
        <w:tc>
          <w:tcPr>
            <w:tcW w:w="1425" w:type="pct"/>
            <w:shd w:val="clear" w:color="auto" w:fill="auto"/>
            <w:noWrap/>
            <w:vAlign w:val="bottom"/>
          </w:tcPr>
          <w:p w14:paraId="34DFB42C" w14:textId="77777777" w:rsidR="00A2306C" w:rsidRPr="00F82B8F" w:rsidRDefault="00A2306C" w:rsidP="00A2306C">
            <w:pPr>
              <w:spacing w:after="0" w:line="240" w:lineRule="auto"/>
              <w:rPr>
                <w:rFonts w:ascii="Times New Roman" w:eastAsia="Times New Roman" w:hAnsi="Times New Roman" w:cs="Times New Roman"/>
                <w:color w:val="000000"/>
                <w:sz w:val="20"/>
                <w:szCs w:val="20"/>
                <w:lang w:eastAsia="en-GB"/>
              </w:rPr>
            </w:pPr>
          </w:p>
        </w:tc>
        <w:tc>
          <w:tcPr>
            <w:tcW w:w="835" w:type="pct"/>
            <w:shd w:val="clear" w:color="auto" w:fill="auto"/>
            <w:noWrap/>
            <w:vAlign w:val="bottom"/>
          </w:tcPr>
          <w:p w14:paraId="050FDE85" w14:textId="77777777" w:rsidR="00A2306C" w:rsidRPr="00F82B8F" w:rsidRDefault="00A2306C" w:rsidP="00A2306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(0.0019)</w:t>
            </w:r>
          </w:p>
        </w:tc>
        <w:tc>
          <w:tcPr>
            <w:tcW w:w="1274" w:type="pct"/>
            <w:shd w:val="clear" w:color="auto" w:fill="auto"/>
            <w:noWrap/>
            <w:vAlign w:val="bottom"/>
          </w:tcPr>
          <w:p w14:paraId="4CD84252" w14:textId="77777777" w:rsidR="00A2306C" w:rsidRPr="00F82B8F" w:rsidRDefault="00A2306C" w:rsidP="00A2306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(0.0314)</w:t>
            </w:r>
          </w:p>
        </w:tc>
        <w:tc>
          <w:tcPr>
            <w:tcW w:w="1466" w:type="pct"/>
            <w:vAlign w:val="bottom"/>
          </w:tcPr>
          <w:p w14:paraId="4D937E2D" w14:textId="2B97D53E" w:rsidR="00A2306C" w:rsidRPr="00F82B8F" w:rsidRDefault="00A2306C" w:rsidP="00A2306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(0.5408)</w:t>
            </w:r>
          </w:p>
        </w:tc>
      </w:tr>
      <w:tr w:rsidR="00A2306C" w:rsidRPr="00F82B8F" w14:paraId="08234BA4" w14:textId="2E5C544C" w:rsidTr="00F85E6B">
        <w:trPr>
          <w:trHeight w:val="300"/>
          <w:jc w:val="center"/>
        </w:trPr>
        <w:tc>
          <w:tcPr>
            <w:tcW w:w="1425" w:type="pct"/>
            <w:shd w:val="clear" w:color="auto" w:fill="auto"/>
            <w:noWrap/>
            <w:vAlign w:val="bottom"/>
          </w:tcPr>
          <w:p w14:paraId="6E06983D" w14:textId="4B057651" w:rsidR="00A2306C" w:rsidRPr="00F82B8F" w:rsidRDefault="00A2306C" w:rsidP="00A2306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CSD</w:t>
            </w:r>
          </w:p>
        </w:tc>
        <w:tc>
          <w:tcPr>
            <w:tcW w:w="835" w:type="pct"/>
            <w:shd w:val="clear" w:color="auto" w:fill="auto"/>
            <w:noWrap/>
            <w:vAlign w:val="bottom"/>
          </w:tcPr>
          <w:p w14:paraId="0E0B5BC4" w14:textId="77777777" w:rsidR="00A2306C" w:rsidRPr="00F82B8F" w:rsidRDefault="00A2306C" w:rsidP="00A2306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-0.0051*</w:t>
            </w:r>
          </w:p>
        </w:tc>
        <w:tc>
          <w:tcPr>
            <w:tcW w:w="1274" w:type="pct"/>
            <w:shd w:val="clear" w:color="auto" w:fill="auto"/>
            <w:noWrap/>
            <w:vAlign w:val="bottom"/>
          </w:tcPr>
          <w:p w14:paraId="64CC2E91" w14:textId="77777777" w:rsidR="00A2306C" w:rsidRPr="00F82B8F" w:rsidRDefault="00A2306C" w:rsidP="00A2306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0.2407***</w:t>
            </w:r>
          </w:p>
        </w:tc>
        <w:tc>
          <w:tcPr>
            <w:tcW w:w="1466" w:type="pct"/>
            <w:vAlign w:val="bottom"/>
          </w:tcPr>
          <w:p w14:paraId="271ABA2F" w14:textId="7ADC7C5E" w:rsidR="00A2306C" w:rsidRPr="00F82B8F" w:rsidRDefault="00A2306C" w:rsidP="00A2306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1.5135**</w:t>
            </w:r>
          </w:p>
        </w:tc>
      </w:tr>
      <w:tr w:rsidR="00A2306C" w:rsidRPr="00F82B8F" w14:paraId="4E0BDEFF" w14:textId="476556FE" w:rsidTr="00F85E6B">
        <w:trPr>
          <w:trHeight w:val="300"/>
          <w:jc w:val="center"/>
        </w:trPr>
        <w:tc>
          <w:tcPr>
            <w:tcW w:w="1425" w:type="pct"/>
            <w:shd w:val="clear" w:color="auto" w:fill="auto"/>
            <w:noWrap/>
            <w:vAlign w:val="bottom"/>
          </w:tcPr>
          <w:p w14:paraId="4D1999AF" w14:textId="77777777" w:rsidR="00A2306C" w:rsidRPr="00F82B8F" w:rsidRDefault="00A2306C" w:rsidP="00A2306C">
            <w:pPr>
              <w:spacing w:after="0" w:line="240" w:lineRule="auto"/>
              <w:rPr>
                <w:rFonts w:ascii="Times New Roman" w:eastAsia="Times New Roman" w:hAnsi="Times New Roman" w:cs="Times New Roman"/>
                <w:color w:val="000000"/>
                <w:sz w:val="20"/>
                <w:szCs w:val="20"/>
                <w:lang w:eastAsia="en-GB"/>
              </w:rPr>
            </w:pPr>
          </w:p>
        </w:tc>
        <w:tc>
          <w:tcPr>
            <w:tcW w:w="835" w:type="pct"/>
            <w:shd w:val="clear" w:color="auto" w:fill="auto"/>
            <w:noWrap/>
            <w:vAlign w:val="bottom"/>
          </w:tcPr>
          <w:p w14:paraId="6A29B6DF" w14:textId="77777777" w:rsidR="00A2306C" w:rsidRPr="00F82B8F" w:rsidRDefault="00A2306C" w:rsidP="00A2306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(0.0029)</w:t>
            </w:r>
          </w:p>
        </w:tc>
        <w:tc>
          <w:tcPr>
            <w:tcW w:w="1274" w:type="pct"/>
            <w:shd w:val="clear" w:color="auto" w:fill="auto"/>
            <w:noWrap/>
            <w:vAlign w:val="bottom"/>
          </w:tcPr>
          <w:p w14:paraId="5D598338" w14:textId="77777777" w:rsidR="00A2306C" w:rsidRPr="00F82B8F" w:rsidRDefault="00A2306C" w:rsidP="00A2306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(0.0395)</w:t>
            </w:r>
          </w:p>
        </w:tc>
        <w:tc>
          <w:tcPr>
            <w:tcW w:w="1466" w:type="pct"/>
            <w:vAlign w:val="bottom"/>
          </w:tcPr>
          <w:p w14:paraId="15C737C6" w14:textId="779C21F9" w:rsidR="00A2306C" w:rsidRPr="00F82B8F" w:rsidRDefault="00A2306C" w:rsidP="00A2306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(0.6985)</w:t>
            </w:r>
          </w:p>
        </w:tc>
      </w:tr>
      <w:tr w:rsidR="00A2306C" w:rsidRPr="00F82B8F" w14:paraId="348EFD44" w14:textId="77777777" w:rsidTr="00F85E6B">
        <w:trPr>
          <w:trHeight w:val="300"/>
          <w:jc w:val="center"/>
        </w:trPr>
        <w:tc>
          <w:tcPr>
            <w:tcW w:w="1425" w:type="pct"/>
            <w:shd w:val="clear" w:color="auto" w:fill="auto"/>
            <w:noWrap/>
            <w:vAlign w:val="bottom"/>
          </w:tcPr>
          <w:p w14:paraId="4D9EA49B" w14:textId="7EF9C6F8" w:rsidR="00A2306C" w:rsidRPr="00F82B8F" w:rsidRDefault="00A2306C" w:rsidP="00A2306C">
            <w:pPr>
              <w:spacing w:after="0" w:line="240" w:lineRule="auto"/>
              <w:rPr>
                <w:rFonts w:ascii="Times New Roman" w:eastAsia="Calibri"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RES</w:t>
            </w:r>
          </w:p>
        </w:tc>
        <w:tc>
          <w:tcPr>
            <w:tcW w:w="835" w:type="pct"/>
            <w:shd w:val="clear" w:color="auto" w:fill="auto"/>
            <w:noWrap/>
            <w:vAlign w:val="bottom"/>
          </w:tcPr>
          <w:p w14:paraId="5A1DAB71"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p>
        </w:tc>
        <w:tc>
          <w:tcPr>
            <w:tcW w:w="1274" w:type="pct"/>
            <w:shd w:val="clear" w:color="auto" w:fill="auto"/>
            <w:noWrap/>
            <w:vAlign w:val="bottom"/>
          </w:tcPr>
          <w:p w14:paraId="3F4705C9" w14:textId="76835B84" w:rsidR="00A2306C" w:rsidRPr="00F82B8F" w:rsidRDefault="00A2306C" w:rsidP="00A2306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w:t>
            </w:r>
          </w:p>
        </w:tc>
        <w:tc>
          <w:tcPr>
            <w:tcW w:w="1466" w:type="pct"/>
            <w:vAlign w:val="bottom"/>
          </w:tcPr>
          <w:p w14:paraId="22B5D3E7" w14:textId="3BD0492A" w:rsidR="00A2306C" w:rsidRPr="00F82B8F" w:rsidRDefault="00A2306C" w:rsidP="00A2306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-0.2890***</w:t>
            </w:r>
          </w:p>
        </w:tc>
      </w:tr>
      <w:tr w:rsidR="00A2306C" w:rsidRPr="00F82B8F" w14:paraId="3C4EC714" w14:textId="77777777" w:rsidTr="00F85E6B">
        <w:trPr>
          <w:trHeight w:val="300"/>
          <w:jc w:val="center"/>
        </w:trPr>
        <w:tc>
          <w:tcPr>
            <w:tcW w:w="1425" w:type="pct"/>
            <w:shd w:val="clear" w:color="auto" w:fill="auto"/>
            <w:noWrap/>
            <w:vAlign w:val="bottom"/>
          </w:tcPr>
          <w:p w14:paraId="6C96E3F4" w14:textId="77777777" w:rsidR="00A2306C" w:rsidRPr="00F82B8F" w:rsidRDefault="00A2306C" w:rsidP="00A2306C">
            <w:pPr>
              <w:spacing w:after="0" w:line="240" w:lineRule="auto"/>
              <w:rPr>
                <w:rFonts w:ascii="Times New Roman" w:eastAsia="Calibri" w:hAnsi="Times New Roman" w:cs="Times New Roman"/>
                <w:color w:val="000000"/>
                <w:sz w:val="20"/>
                <w:szCs w:val="20"/>
                <w:lang w:eastAsia="en-GB"/>
              </w:rPr>
            </w:pPr>
          </w:p>
        </w:tc>
        <w:tc>
          <w:tcPr>
            <w:tcW w:w="835" w:type="pct"/>
            <w:shd w:val="clear" w:color="auto" w:fill="auto"/>
            <w:noWrap/>
            <w:vAlign w:val="bottom"/>
          </w:tcPr>
          <w:p w14:paraId="73B40811"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p>
        </w:tc>
        <w:tc>
          <w:tcPr>
            <w:tcW w:w="1274" w:type="pct"/>
            <w:shd w:val="clear" w:color="auto" w:fill="auto"/>
            <w:noWrap/>
            <w:vAlign w:val="bottom"/>
          </w:tcPr>
          <w:p w14:paraId="5CA65AE7" w14:textId="77777777" w:rsidR="00A2306C" w:rsidRPr="00F82B8F" w:rsidRDefault="00A2306C" w:rsidP="00A2306C">
            <w:pPr>
              <w:spacing w:after="0" w:line="240" w:lineRule="auto"/>
              <w:jc w:val="center"/>
              <w:rPr>
                <w:rFonts w:ascii="Times New Roman" w:hAnsi="Times New Roman" w:cs="Times New Roman"/>
                <w:color w:val="000000"/>
                <w:sz w:val="20"/>
                <w:szCs w:val="20"/>
              </w:rPr>
            </w:pPr>
          </w:p>
        </w:tc>
        <w:tc>
          <w:tcPr>
            <w:tcW w:w="1466" w:type="pct"/>
            <w:vAlign w:val="bottom"/>
          </w:tcPr>
          <w:p w14:paraId="74FA2AF4" w14:textId="4093A5E7" w:rsidR="00A2306C" w:rsidRPr="00F82B8F" w:rsidRDefault="00A2306C" w:rsidP="00A2306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(0.0469)</w:t>
            </w:r>
          </w:p>
        </w:tc>
      </w:tr>
      <w:tr w:rsidR="00A2306C" w:rsidRPr="00F82B8F" w14:paraId="46C0DDC9" w14:textId="77777777" w:rsidTr="00F85E6B">
        <w:trPr>
          <w:trHeight w:val="300"/>
          <w:jc w:val="center"/>
        </w:trPr>
        <w:tc>
          <w:tcPr>
            <w:tcW w:w="1425" w:type="pct"/>
            <w:shd w:val="clear" w:color="auto" w:fill="auto"/>
            <w:noWrap/>
            <w:vAlign w:val="bottom"/>
          </w:tcPr>
          <w:p w14:paraId="24F962E0" w14:textId="4F531D2B" w:rsidR="00A2306C" w:rsidRPr="00F82B8F" w:rsidRDefault="00A2306C" w:rsidP="00A2306C">
            <w:pPr>
              <w:spacing w:after="0" w:line="240" w:lineRule="auto"/>
              <w:rPr>
                <w:rFonts w:ascii="Times New Roman" w:eastAsia="Calibri"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RES*CTC</w:t>
            </w:r>
          </w:p>
        </w:tc>
        <w:tc>
          <w:tcPr>
            <w:tcW w:w="835" w:type="pct"/>
            <w:shd w:val="clear" w:color="auto" w:fill="auto"/>
            <w:noWrap/>
            <w:vAlign w:val="bottom"/>
          </w:tcPr>
          <w:p w14:paraId="0E52E7B2"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p>
        </w:tc>
        <w:tc>
          <w:tcPr>
            <w:tcW w:w="1274" w:type="pct"/>
            <w:shd w:val="clear" w:color="auto" w:fill="auto"/>
            <w:noWrap/>
            <w:vAlign w:val="bottom"/>
          </w:tcPr>
          <w:p w14:paraId="1D8F539C" w14:textId="285ABCC8" w:rsidR="00A2306C" w:rsidRPr="00F82B8F" w:rsidRDefault="00A2306C" w:rsidP="00A2306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w:t>
            </w:r>
          </w:p>
        </w:tc>
        <w:tc>
          <w:tcPr>
            <w:tcW w:w="1466" w:type="pct"/>
            <w:vAlign w:val="bottom"/>
          </w:tcPr>
          <w:p w14:paraId="1E874723" w14:textId="1EFC74EA" w:rsidR="00A2306C" w:rsidRPr="00F82B8F" w:rsidRDefault="00A2306C" w:rsidP="00A2306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0.4601</w:t>
            </w:r>
          </w:p>
        </w:tc>
      </w:tr>
      <w:tr w:rsidR="00A2306C" w:rsidRPr="00F82B8F" w14:paraId="76CCC7AB" w14:textId="77777777" w:rsidTr="00F85E6B">
        <w:trPr>
          <w:trHeight w:val="300"/>
          <w:jc w:val="center"/>
        </w:trPr>
        <w:tc>
          <w:tcPr>
            <w:tcW w:w="1425" w:type="pct"/>
            <w:shd w:val="clear" w:color="auto" w:fill="auto"/>
            <w:noWrap/>
            <w:vAlign w:val="bottom"/>
          </w:tcPr>
          <w:p w14:paraId="70093A37" w14:textId="77777777" w:rsidR="00A2306C" w:rsidRPr="00F82B8F" w:rsidRDefault="00A2306C" w:rsidP="00A2306C">
            <w:pPr>
              <w:spacing w:after="0" w:line="240" w:lineRule="auto"/>
              <w:rPr>
                <w:rFonts w:ascii="Times New Roman" w:eastAsia="Calibri" w:hAnsi="Times New Roman" w:cs="Times New Roman"/>
                <w:color w:val="000000"/>
                <w:sz w:val="20"/>
                <w:szCs w:val="20"/>
                <w:lang w:eastAsia="en-GB"/>
              </w:rPr>
            </w:pPr>
          </w:p>
        </w:tc>
        <w:tc>
          <w:tcPr>
            <w:tcW w:w="835" w:type="pct"/>
            <w:shd w:val="clear" w:color="auto" w:fill="auto"/>
            <w:noWrap/>
            <w:vAlign w:val="bottom"/>
          </w:tcPr>
          <w:p w14:paraId="2D0B33C9"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p>
        </w:tc>
        <w:tc>
          <w:tcPr>
            <w:tcW w:w="1274" w:type="pct"/>
            <w:shd w:val="clear" w:color="auto" w:fill="auto"/>
            <w:noWrap/>
            <w:vAlign w:val="bottom"/>
          </w:tcPr>
          <w:p w14:paraId="21CE7DC3" w14:textId="77777777" w:rsidR="00A2306C" w:rsidRPr="00F82B8F" w:rsidRDefault="00A2306C" w:rsidP="00A2306C">
            <w:pPr>
              <w:spacing w:after="0" w:line="240" w:lineRule="auto"/>
              <w:jc w:val="center"/>
              <w:rPr>
                <w:rFonts w:ascii="Times New Roman" w:hAnsi="Times New Roman" w:cs="Times New Roman"/>
                <w:color w:val="000000"/>
                <w:sz w:val="20"/>
                <w:szCs w:val="20"/>
              </w:rPr>
            </w:pPr>
          </w:p>
        </w:tc>
        <w:tc>
          <w:tcPr>
            <w:tcW w:w="1466" w:type="pct"/>
            <w:vAlign w:val="bottom"/>
          </w:tcPr>
          <w:p w14:paraId="09BB7038" w14:textId="561DF046" w:rsidR="00A2306C" w:rsidRPr="00F82B8F" w:rsidRDefault="00A2306C" w:rsidP="00A2306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(1.4461)</w:t>
            </w:r>
          </w:p>
        </w:tc>
      </w:tr>
      <w:tr w:rsidR="00A2306C" w:rsidRPr="00F82B8F" w14:paraId="549226FD" w14:textId="77777777" w:rsidTr="00F85E6B">
        <w:trPr>
          <w:trHeight w:val="300"/>
          <w:jc w:val="center"/>
        </w:trPr>
        <w:tc>
          <w:tcPr>
            <w:tcW w:w="1425" w:type="pct"/>
            <w:shd w:val="clear" w:color="auto" w:fill="auto"/>
            <w:noWrap/>
            <w:vAlign w:val="bottom"/>
          </w:tcPr>
          <w:p w14:paraId="2AF79C8E" w14:textId="4292DBF4" w:rsidR="00A2306C" w:rsidRPr="00F82B8F" w:rsidRDefault="00A2306C" w:rsidP="00A2306C">
            <w:pPr>
              <w:spacing w:after="0" w:line="240" w:lineRule="auto"/>
              <w:rPr>
                <w:rFonts w:ascii="Times New Roman" w:eastAsia="Calibri"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RES*CTD</w:t>
            </w:r>
          </w:p>
        </w:tc>
        <w:tc>
          <w:tcPr>
            <w:tcW w:w="835" w:type="pct"/>
            <w:shd w:val="clear" w:color="auto" w:fill="auto"/>
            <w:noWrap/>
            <w:vAlign w:val="bottom"/>
          </w:tcPr>
          <w:p w14:paraId="783DAFFA"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p>
        </w:tc>
        <w:tc>
          <w:tcPr>
            <w:tcW w:w="1274" w:type="pct"/>
            <w:shd w:val="clear" w:color="auto" w:fill="auto"/>
            <w:noWrap/>
            <w:vAlign w:val="bottom"/>
          </w:tcPr>
          <w:p w14:paraId="7194F318" w14:textId="3C0918CD" w:rsidR="00A2306C" w:rsidRPr="00F82B8F" w:rsidRDefault="00A2306C" w:rsidP="00A2306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w:t>
            </w:r>
          </w:p>
        </w:tc>
        <w:tc>
          <w:tcPr>
            <w:tcW w:w="1466" w:type="pct"/>
            <w:vAlign w:val="bottom"/>
          </w:tcPr>
          <w:p w14:paraId="7A3EC17F" w14:textId="5597A145" w:rsidR="00A2306C" w:rsidRPr="00F82B8F" w:rsidRDefault="00A2306C" w:rsidP="00A2306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2.2313**</w:t>
            </w:r>
          </w:p>
        </w:tc>
      </w:tr>
      <w:tr w:rsidR="00A2306C" w:rsidRPr="00F82B8F" w14:paraId="33A101DC" w14:textId="77777777" w:rsidTr="00F85E6B">
        <w:trPr>
          <w:trHeight w:val="300"/>
          <w:jc w:val="center"/>
        </w:trPr>
        <w:tc>
          <w:tcPr>
            <w:tcW w:w="1425" w:type="pct"/>
            <w:shd w:val="clear" w:color="auto" w:fill="auto"/>
            <w:noWrap/>
            <w:vAlign w:val="bottom"/>
          </w:tcPr>
          <w:p w14:paraId="05EE8983" w14:textId="77777777" w:rsidR="00A2306C" w:rsidRPr="00F82B8F" w:rsidRDefault="00A2306C" w:rsidP="00A2306C">
            <w:pPr>
              <w:spacing w:after="0" w:line="240" w:lineRule="auto"/>
              <w:rPr>
                <w:rFonts w:ascii="Times New Roman" w:eastAsia="Calibri" w:hAnsi="Times New Roman" w:cs="Times New Roman"/>
                <w:color w:val="000000"/>
                <w:sz w:val="20"/>
                <w:szCs w:val="20"/>
                <w:lang w:eastAsia="en-GB"/>
              </w:rPr>
            </w:pPr>
          </w:p>
        </w:tc>
        <w:tc>
          <w:tcPr>
            <w:tcW w:w="835" w:type="pct"/>
            <w:shd w:val="clear" w:color="auto" w:fill="auto"/>
            <w:noWrap/>
            <w:vAlign w:val="bottom"/>
          </w:tcPr>
          <w:p w14:paraId="2B1E12A6"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p>
        </w:tc>
        <w:tc>
          <w:tcPr>
            <w:tcW w:w="1274" w:type="pct"/>
            <w:shd w:val="clear" w:color="auto" w:fill="auto"/>
            <w:noWrap/>
            <w:vAlign w:val="bottom"/>
          </w:tcPr>
          <w:p w14:paraId="3BBE3CA7" w14:textId="77777777" w:rsidR="00A2306C" w:rsidRPr="00F82B8F" w:rsidRDefault="00A2306C" w:rsidP="00A2306C">
            <w:pPr>
              <w:spacing w:after="0" w:line="240" w:lineRule="auto"/>
              <w:jc w:val="center"/>
              <w:rPr>
                <w:rFonts w:ascii="Times New Roman" w:hAnsi="Times New Roman" w:cs="Times New Roman"/>
                <w:color w:val="000000"/>
                <w:sz w:val="20"/>
                <w:szCs w:val="20"/>
              </w:rPr>
            </w:pPr>
          </w:p>
        </w:tc>
        <w:tc>
          <w:tcPr>
            <w:tcW w:w="1466" w:type="pct"/>
            <w:vAlign w:val="bottom"/>
          </w:tcPr>
          <w:p w14:paraId="0C299E0D" w14:textId="3512A6DD" w:rsidR="00A2306C" w:rsidRPr="00F82B8F" w:rsidRDefault="00A2306C" w:rsidP="00A2306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(1.1241)</w:t>
            </w:r>
          </w:p>
        </w:tc>
      </w:tr>
      <w:tr w:rsidR="00A2306C" w:rsidRPr="00F82B8F" w14:paraId="7C7B755C" w14:textId="77777777" w:rsidTr="00F85E6B">
        <w:trPr>
          <w:trHeight w:val="300"/>
          <w:jc w:val="center"/>
        </w:trPr>
        <w:tc>
          <w:tcPr>
            <w:tcW w:w="1425" w:type="pct"/>
            <w:shd w:val="clear" w:color="auto" w:fill="auto"/>
            <w:noWrap/>
            <w:vAlign w:val="bottom"/>
          </w:tcPr>
          <w:p w14:paraId="3C5C264C" w14:textId="170CF79C" w:rsidR="00A2306C" w:rsidRPr="00F82B8F" w:rsidRDefault="00A2306C" w:rsidP="00A2306C">
            <w:pPr>
              <w:spacing w:after="0" w:line="240" w:lineRule="auto"/>
              <w:rPr>
                <w:rFonts w:ascii="Times New Roman" w:eastAsia="Calibri"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RES*CSC</w:t>
            </w:r>
          </w:p>
        </w:tc>
        <w:tc>
          <w:tcPr>
            <w:tcW w:w="835" w:type="pct"/>
            <w:shd w:val="clear" w:color="auto" w:fill="auto"/>
            <w:noWrap/>
            <w:vAlign w:val="bottom"/>
          </w:tcPr>
          <w:p w14:paraId="36360E99"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p>
        </w:tc>
        <w:tc>
          <w:tcPr>
            <w:tcW w:w="1274" w:type="pct"/>
            <w:shd w:val="clear" w:color="auto" w:fill="auto"/>
            <w:noWrap/>
            <w:vAlign w:val="bottom"/>
          </w:tcPr>
          <w:p w14:paraId="52DAC704" w14:textId="440949A3" w:rsidR="00A2306C" w:rsidRPr="00F82B8F" w:rsidRDefault="00A2306C" w:rsidP="00A2306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w:t>
            </w:r>
          </w:p>
        </w:tc>
        <w:tc>
          <w:tcPr>
            <w:tcW w:w="1466" w:type="pct"/>
            <w:vAlign w:val="bottom"/>
          </w:tcPr>
          <w:p w14:paraId="2E11D093" w14:textId="27983B1D" w:rsidR="00A2306C" w:rsidRPr="00F82B8F" w:rsidRDefault="00A2306C" w:rsidP="00A2306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-0.2414*</w:t>
            </w:r>
          </w:p>
        </w:tc>
      </w:tr>
      <w:tr w:rsidR="00A2306C" w:rsidRPr="00F82B8F" w14:paraId="0A360377" w14:textId="77777777" w:rsidTr="00F85E6B">
        <w:trPr>
          <w:trHeight w:val="300"/>
          <w:jc w:val="center"/>
        </w:trPr>
        <w:tc>
          <w:tcPr>
            <w:tcW w:w="1425" w:type="pct"/>
            <w:shd w:val="clear" w:color="auto" w:fill="auto"/>
            <w:noWrap/>
            <w:vAlign w:val="bottom"/>
          </w:tcPr>
          <w:p w14:paraId="27524216" w14:textId="77777777" w:rsidR="00A2306C" w:rsidRPr="00F82B8F" w:rsidRDefault="00A2306C" w:rsidP="00A2306C">
            <w:pPr>
              <w:spacing w:after="0" w:line="240" w:lineRule="auto"/>
              <w:rPr>
                <w:rFonts w:ascii="Times New Roman" w:eastAsia="Calibri" w:hAnsi="Times New Roman" w:cs="Times New Roman"/>
                <w:color w:val="000000"/>
                <w:sz w:val="20"/>
                <w:szCs w:val="20"/>
                <w:lang w:eastAsia="en-GB"/>
              </w:rPr>
            </w:pPr>
          </w:p>
        </w:tc>
        <w:tc>
          <w:tcPr>
            <w:tcW w:w="835" w:type="pct"/>
            <w:shd w:val="clear" w:color="auto" w:fill="auto"/>
            <w:noWrap/>
            <w:vAlign w:val="bottom"/>
          </w:tcPr>
          <w:p w14:paraId="19BDFC9E"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p>
        </w:tc>
        <w:tc>
          <w:tcPr>
            <w:tcW w:w="1274" w:type="pct"/>
            <w:shd w:val="clear" w:color="auto" w:fill="auto"/>
            <w:noWrap/>
            <w:vAlign w:val="bottom"/>
          </w:tcPr>
          <w:p w14:paraId="2890FCD6" w14:textId="77777777" w:rsidR="00A2306C" w:rsidRPr="00F82B8F" w:rsidRDefault="00A2306C" w:rsidP="00A2306C">
            <w:pPr>
              <w:spacing w:after="0" w:line="240" w:lineRule="auto"/>
              <w:jc w:val="center"/>
              <w:rPr>
                <w:rFonts w:ascii="Times New Roman" w:hAnsi="Times New Roman" w:cs="Times New Roman"/>
                <w:color w:val="000000"/>
                <w:sz w:val="20"/>
                <w:szCs w:val="20"/>
              </w:rPr>
            </w:pPr>
          </w:p>
        </w:tc>
        <w:tc>
          <w:tcPr>
            <w:tcW w:w="1466" w:type="pct"/>
            <w:vAlign w:val="bottom"/>
          </w:tcPr>
          <w:p w14:paraId="5D406380" w14:textId="16207E50" w:rsidR="00A2306C" w:rsidRPr="00F82B8F" w:rsidRDefault="00A2306C" w:rsidP="00A2306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(0.1237)</w:t>
            </w:r>
          </w:p>
        </w:tc>
      </w:tr>
      <w:tr w:rsidR="00A2306C" w:rsidRPr="00F82B8F" w14:paraId="1FCEC606" w14:textId="77777777" w:rsidTr="00F85E6B">
        <w:trPr>
          <w:trHeight w:val="300"/>
          <w:jc w:val="center"/>
        </w:trPr>
        <w:tc>
          <w:tcPr>
            <w:tcW w:w="1425" w:type="pct"/>
            <w:shd w:val="clear" w:color="auto" w:fill="auto"/>
            <w:noWrap/>
            <w:vAlign w:val="bottom"/>
          </w:tcPr>
          <w:p w14:paraId="1AF953BA" w14:textId="6783D896" w:rsidR="00A2306C" w:rsidRPr="00F82B8F" w:rsidRDefault="00A2306C" w:rsidP="00A2306C">
            <w:pPr>
              <w:spacing w:after="0" w:line="240" w:lineRule="auto"/>
              <w:rPr>
                <w:rFonts w:ascii="Times New Roman" w:eastAsia="Calibri"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RES*CSD</w:t>
            </w:r>
          </w:p>
        </w:tc>
        <w:tc>
          <w:tcPr>
            <w:tcW w:w="835" w:type="pct"/>
            <w:shd w:val="clear" w:color="auto" w:fill="auto"/>
            <w:noWrap/>
            <w:vAlign w:val="bottom"/>
          </w:tcPr>
          <w:p w14:paraId="6A0DD4B8"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p>
        </w:tc>
        <w:tc>
          <w:tcPr>
            <w:tcW w:w="1274" w:type="pct"/>
            <w:shd w:val="clear" w:color="auto" w:fill="auto"/>
            <w:noWrap/>
            <w:vAlign w:val="bottom"/>
          </w:tcPr>
          <w:p w14:paraId="2FA681FE" w14:textId="335AD1E6" w:rsidR="00A2306C" w:rsidRPr="00F82B8F" w:rsidRDefault="00A2306C" w:rsidP="00A2306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w:t>
            </w:r>
          </w:p>
        </w:tc>
        <w:tc>
          <w:tcPr>
            <w:tcW w:w="1466" w:type="pct"/>
            <w:vAlign w:val="bottom"/>
          </w:tcPr>
          <w:p w14:paraId="21D5BD60" w14:textId="779A6E11" w:rsidR="00A2306C" w:rsidRPr="00F82B8F" w:rsidRDefault="00A2306C" w:rsidP="00A2306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-0.2904*</w:t>
            </w:r>
          </w:p>
        </w:tc>
      </w:tr>
      <w:tr w:rsidR="00A2306C" w:rsidRPr="00F82B8F" w14:paraId="6FDE105A" w14:textId="77777777" w:rsidTr="00BD5637">
        <w:trPr>
          <w:trHeight w:val="300"/>
          <w:jc w:val="center"/>
        </w:trPr>
        <w:tc>
          <w:tcPr>
            <w:tcW w:w="1425" w:type="pct"/>
            <w:shd w:val="clear" w:color="auto" w:fill="auto"/>
            <w:noWrap/>
            <w:vAlign w:val="bottom"/>
          </w:tcPr>
          <w:p w14:paraId="06F763B4" w14:textId="77777777" w:rsidR="00A2306C" w:rsidRPr="00F82B8F" w:rsidRDefault="00A2306C" w:rsidP="00A2306C">
            <w:pPr>
              <w:spacing w:after="0" w:line="240" w:lineRule="auto"/>
              <w:rPr>
                <w:rFonts w:ascii="Times New Roman" w:eastAsia="Calibri" w:hAnsi="Times New Roman" w:cs="Times New Roman"/>
                <w:color w:val="000000"/>
                <w:sz w:val="20"/>
                <w:szCs w:val="20"/>
                <w:lang w:eastAsia="en-GB"/>
              </w:rPr>
            </w:pPr>
          </w:p>
        </w:tc>
        <w:tc>
          <w:tcPr>
            <w:tcW w:w="835" w:type="pct"/>
            <w:shd w:val="clear" w:color="auto" w:fill="auto"/>
            <w:noWrap/>
            <w:vAlign w:val="bottom"/>
          </w:tcPr>
          <w:p w14:paraId="5BB8A464"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p>
        </w:tc>
        <w:tc>
          <w:tcPr>
            <w:tcW w:w="1274" w:type="pct"/>
            <w:shd w:val="clear" w:color="auto" w:fill="auto"/>
            <w:noWrap/>
            <w:vAlign w:val="bottom"/>
          </w:tcPr>
          <w:p w14:paraId="55876C6A" w14:textId="77777777" w:rsidR="00A2306C" w:rsidRPr="00F82B8F" w:rsidRDefault="00A2306C" w:rsidP="00A2306C">
            <w:pPr>
              <w:spacing w:after="0" w:line="240" w:lineRule="auto"/>
              <w:jc w:val="center"/>
              <w:rPr>
                <w:rFonts w:ascii="Times New Roman" w:hAnsi="Times New Roman" w:cs="Times New Roman"/>
                <w:color w:val="000000"/>
                <w:sz w:val="20"/>
                <w:szCs w:val="20"/>
              </w:rPr>
            </w:pPr>
          </w:p>
        </w:tc>
        <w:tc>
          <w:tcPr>
            <w:tcW w:w="1466" w:type="pct"/>
            <w:vAlign w:val="bottom"/>
          </w:tcPr>
          <w:p w14:paraId="4757016A" w14:textId="0DEC69C0" w:rsidR="00A2306C" w:rsidRPr="00F82B8F" w:rsidRDefault="00A2306C" w:rsidP="00A2306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(0.1593)</w:t>
            </w:r>
          </w:p>
        </w:tc>
      </w:tr>
      <w:tr w:rsidR="00A2306C" w:rsidRPr="00F82B8F" w14:paraId="2A1E69F0" w14:textId="0466E33F" w:rsidTr="00F85E6B">
        <w:trPr>
          <w:trHeight w:val="300"/>
          <w:jc w:val="center"/>
        </w:trPr>
        <w:tc>
          <w:tcPr>
            <w:tcW w:w="1425" w:type="pct"/>
            <w:shd w:val="clear" w:color="auto" w:fill="auto"/>
            <w:noWrap/>
            <w:vAlign w:val="bottom"/>
            <w:hideMark/>
          </w:tcPr>
          <w:p w14:paraId="2D37F70E" w14:textId="77777777" w:rsidR="00A2306C" w:rsidRPr="00F82B8F" w:rsidRDefault="00A2306C" w:rsidP="00A2306C">
            <w:pPr>
              <w:spacing w:after="0" w:line="240" w:lineRule="auto"/>
              <w:rPr>
                <w:rFonts w:ascii="Times New Roman" w:eastAsia="Times New Roman" w:hAnsi="Times New Roman" w:cs="Times New Roman"/>
                <w:color w:val="000000"/>
                <w:sz w:val="20"/>
                <w:szCs w:val="20"/>
                <w:lang w:eastAsia="en-GB"/>
              </w:rPr>
            </w:pPr>
            <m:oMathPara>
              <m:oMathParaPr>
                <m:jc m:val="left"/>
              </m:oMathParaPr>
              <m:oMath>
                <m:r>
                  <w:rPr>
                    <w:rFonts w:ascii="Cambria Math" w:eastAsia="Times New Roman" w:hAnsi="Cambria Math" w:cs="Times New Roman"/>
                    <w:color w:val="000000"/>
                    <w:sz w:val="20"/>
                    <w:szCs w:val="20"/>
                    <w:lang w:eastAsia="en-GB"/>
                  </w:rPr>
                  <m:t>α</m:t>
                </m:r>
              </m:oMath>
            </m:oMathPara>
          </w:p>
        </w:tc>
        <w:tc>
          <w:tcPr>
            <w:tcW w:w="835" w:type="pct"/>
            <w:shd w:val="clear" w:color="auto" w:fill="auto"/>
            <w:noWrap/>
            <w:vAlign w:val="bottom"/>
          </w:tcPr>
          <w:p w14:paraId="570DA3A9"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p>
        </w:tc>
        <w:tc>
          <w:tcPr>
            <w:tcW w:w="1274" w:type="pct"/>
            <w:shd w:val="clear" w:color="auto" w:fill="auto"/>
            <w:noWrap/>
            <w:vAlign w:val="bottom"/>
          </w:tcPr>
          <w:p w14:paraId="414C607D"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0.0077</w:t>
            </w:r>
          </w:p>
        </w:tc>
        <w:tc>
          <w:tcPr>
            <w:tcW w:w="1466" w:type="pct"/>
            <w:vAlign w:val="bottom"/>
          </w:tcPr>
          <w:p w14:paraId="7A28AD1E" w14:textId="60F2BCF5" w:rsidR="00A2306C" w:rsidRPr="00F82B8F" w:rsidRDefault="00A2306C" w:rsidP="00A2306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0.0008</w:t>
            </w:r>
          </w:p>
        </w:tc>
      </w:tr>
      <w:tr w:rsidR="00A2306C" w:rsidRPr="00F82B8F" w14:paraId="23857EF9" w14:textId="058651D0" w:rsidTr="00F85E6B">
        <w:trPr>
          <w:trHeight w:val="300"/>
          <w:jc w:val="center"/>
        </w:trPr>
        <w:tc>
          <w:tcPr>
            <w:tcW w:w="1425" w:type="pct"/>
            <w:shd w:val="clear" w:color="auto" w:fill="auto"/>
            <w:noWrap/>
            <w:vAlign w:val="bottom"/>
            <w:hideMark/>
          </w:tcPr>
          <w:p w14:paraId="6BD2DD73" w14:textId="77777777" w:rsidR="00A2306C" w:rsidRPr="00F82B8F" w:rsidRDefault="00A2306C" w:rsidP="00A2306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 </w:t>
            </w:r>
          </w:p>
        </w:tc>
        <w:tc>
          <w:tcPr>
            <w:tcW w:w="835" w:type="pct"/>
            <w:shd w:val="clear" w:color="auto" w:fill="auto"/>
            <w:noWrap/>
            <w:vAlign w:val="bottom"/>
          </w:tcPr>
          <w:p w14:paraId="138666A3"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p>
        </w:tc>
        <w:tc>
          <w:tcPr>
            <w:tcW w:w="1274" w:type="pct"/>
            <w:shd w:val="clear" w:color="auto" w:fill="auto"/>
            <w:noWrap/>
            <w:vAlign w:val="bottom"/>
          </w:tcPr>
          <w:p w14:paraId="261C3762"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(0.0145)</w:t>
            </w:r>
          </w:p>
        </w:tc>
        <w:tc>
          <w:tcPr>
            <w:tcW w:w="1466" w:type="pct"/>
            <w:vAlign w:val="bottom"/>
          </w:tcPr>
          <w:p w14:paraId="0CFD3A0F" w14:textId="5B47E3E3" w:rsidR="00A2306C" w:rsidRPr="00F82B8F" w:rsidRDefault="00A2306C" w:rsidP="00A2306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(0.0139)</w:t>
            </w:r>
          </w:p>
        </w:tc>
      </w:tr>
      <w:tr w:rsidR="00A2306C" w:rsidRPr="00F82B8F" w14:paraId="53617C04" w14:textId="69A90C57" w:rsidTr="00F85E6B">
        <w:trPr>
          <w:trHeight w:val="300"/>
          <w:jc w:val="center"/>
        </w:trPr>
        <w:tc>
          <w:tcPr>
            <w:tcW w:w="1425" w:type="pct"/>
            <w:shd w:val="clear" w:color="auto" w:fill="auto"/>
            <w:noWrap/>
            <w:vAlign w:val="bottom"/>
            <w:hideMark/>
          </w:tcPr>
          <w:p w14:paraId="5364DE2A" w14:textId="77777777" w:rsidR="00A2306C" w:rsidRPr="00F82B8F" w:rsidRDefault="00A2306C" w:rsidP="00A2306C">
            <w:pPr>
              <w:spacing w:after="0" w:line="240" w:lineRule="auto"/>
              <w:rPr>
                <w:rFonts w:ascii="Times New Roman" w:eastAsia="Times New Roman" w:hAnsi="Times New Roman" w:cs="Times New Roman"/>
                <w:color w:val="000000"/>
                <w:sz w:val="20"/>
                <w:szCs w:val="20"/>
                <w:lang w:eastAsia="en-GB"/>
              </w:rPr>
            </w:pPr>
            <m:oMathPara>
              <m:oMathParaPr>
                <m:jc m:val="left"/>
              </m:oMathParaPr>
              <m:oMath>
                <m:r>
                  <w:rPr>
                    <w:rFonts w:ascii="Cambria Math" w:eastAsia="Times New Roman" w:hAnsi="Cambria Math" w:cs="Times New Roman"/>
                    <w:color w:val="000000"/>
                    <w:sz w:val="20"/>
                    <w:szCs w:val="20"/>
                    <w:lang w:eastAsia="en-GB"/>
                  </w:rPr>
                  <m:t>γ</m:t>
                </m:r>
              </m:oMath>
            </m:oMathPara>
          </w:p>
        </w:tc>
        <w:tc>
          <w:tcPr>
            <w:tcW w:w="835" w:type="pct"/>
            <w:shd w:val="clear" w:color="auto" w:fill="auto"/>
            <w:noWrap/>
            <w:vAlign w:val="bottom"/>
          </w:tcPr>
          <w:p w14:paraId="5FABC494"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p>
        </w:tc>
        <w:tc>
          <w:tcPr>
            <w:tcW w:w="1274" w:type="pct"/>
            <w:shd w:val="clear" w:color="auto" w:fill="auto"/>
            <w:noWrap/>
            <w:vAlign w:val="bottom"/>
          </w:tcPr>
          <w:p w14:paraId="5BA13B01"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0.4928***</w:t>
            </w:r>
          </w:p>
        </w:tc>
        <w:tc>
          <w:tcPr>
            <w:tcW w:w="1466" w:type="pct"/>
            <w:vAlign w:val="bottom"/>
          </w:tcPr>
          <w:p w14:paraId="154B5CF8" w14:textId="6FFE4FFB" w:rsidR="00A2306C" w:rsidRPr="00F82B8F" w:rsidRDefault="00A2306C" w:rsidP="00A2306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0.4702***</w:t>
            </w:r>
          </w:p>
        </w:tc>
      </w:tr>
      <w:tr w:rsidR="00A2306C" w:rsidRPr="00F82B8F" w14:paraId="348DE040" w14:textId="073A5723" w:rsidTr="00F85E6B">
        <w:trPr>
          <w:trHeight w:val="300"/>
          <w:jc w:val="center"/>
        </w:trPr>
        <w:tc>
          <w:tcPr>
            <w:tcW w:w="1425" w:type="pct"/>
            <w:shd w:val="clear" w:color="auto" w:fill="auto"/>
            <w:noWrap/>
            <w:vAlign w:val="bottom"/>
            <w:hideMark/>
          </w:tcPr>
          <w:p w14:paraId="5DDF7972" w14:textId="77777777" w:rsidR="00A2306C" w:rsidRPr="00F82B8F" w:rsidRDefault="00A2306C" w:rsidP="00A2306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 </w:t>
            </w:r>
          </w:p>
        </w:tc>
        <w:tc>
          <w:tcPr>
            <w:tcW w:w="835" w:type="pct"/>
            <w:shd w:val="clear" w:color="auto" w:fill="auto"/>
            <w:noWrap/>
            <w:vAlign w:val="bottom"/>
          </w:tcPr>
          <w:p w14:paraId="6142FC01"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p>
        </w:tc>
        <w:tc>
          <w:tcPr>
            <w:tcW w:w="1274" w:type="pct"/>
            <w:shd w:val="clear" w:color="auto" w:fill="auto"/>
            <w:noWrap/>
            <w:vAlign w:val="bottom"/>
          </w:tcPr>
          <w:p w14:paraId="61CA9A49"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(0.0208)</w:t>
            </w:r>
          </w:p>
        </w:tc>
        <w:tc>
          <w:tcPr>
            <w:tcW w:w="1466" w:type="pct"/>
            <w:vAlign w:val="bottom"/>
          </w:tcPr>
          <w:p w14:paraId="642D804D" w14:textId="0A4F4C32" w:rsidR="00A2306C" w:rsidRPr="00F82B8F" w:rsidRDefault="00A2306C" w:rsidP="00A2306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(0.0213)</w:t>
            </w:r>
          </w:p>
        </w:tc>
      </w:tr>
      <w:tr w:rsidR="00A2306C" w:rsidRPr="00F82B8F" w14:paraId="4F47138E" w14:textId="409FF8B8" w:rsidTr="00F85E6B">
        <w:trPr>
          <w:trHeight w:val="300"/>
          <w:jc w:val="center"/>
        </w:trPr>
        <w:tc>
          <w:tcPr>
            <w:tcW w:w="1425" w:type="pct"/>
            <w:shd w:val="clear" w:color="auto" w:fill="auto"/>
            <w:noWrap/>
            <w:vAlign w:val="bottom"/>
            <w:hideMark/>
          </w:tcPr>
          <w:p w14:paraId="41E0C926" w14:textId="77777777" w:rsidR="00A2306C" w:rsidRPr="00F82B8F" w:rsidRDefault="00A2306C" w:rsidP="00A2306C">
            <w:pPr>
              <w:spacing w:after="0" w:line="240" w:lineRule="auto"/>
              <w:rPr>
                <w:rFonts w:ascii="Times New Roman" w:eastAsia="Times New Roman" w:hAnsi="Times New Roman" w:cs="Times New Roman"/>
                <w:color w:val="000000"/>
                <w:sz w:val="20"/>
                <w:szCs w:val="20"/>
                <w:lang w:eastAsia="en-GB"/>
              </w:rPr>
            </w:pPr>
            <m:oMathPara>
              <m:oMathParaPr>
                <m:jc m:val="left"/>
              </m:oMathParaPr>
              <m:oMath>
                <m:r>
                  <w:rPr>
                    <w:rFonts w:ascii="Cambria Math" w:eastAsia="Times New Roman" w:hAnsi="Cambria Math" w:cs="Times New Roman"/>
                    <w:color w:val="000000"/>
                    <w:sz w:val="20"/>
                    <w:szCs w:val="20"/>
                    <w:lang w:eastAsia="en-GB"/>
                  </w:rPr>
                  <m:t>δ</m:t>
                </m:r>
              </m:oMath>
            </m:oMathPara>
          </w:p>
        </w:tc>
        <w:tc>
          <w:tcPr>
            <w:tcW w:w="835" w:type="pct"/>
            <w:shd w:val="clear" w:color="auto" w:fill="auto"/>
            <w:noWrap/>
            <w:vAlign w:val="bottom"/>
          </w:tcPr>
          <w:p w14:paraId="67917EBC"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p>
        </w:tc>
        <w:tc>
          <w:tcPr>
            <w:tcW w:w="1274" w:type="pct"/>
            <w:shd w:val="clear" w:color="auto" w:fill="auto"/>
            <w:noWrap/>
            <w:vAlign w:val="bottom"/>
          </w:tcPr>
          <w:p w14:paraId="53B7DA85"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0.3987***</w:t>
            </w:r>
          </w:p>
        </w:tc>
        <w:tc>
          <w:tcPr>
            <w:tcW w:w="1466" w:type="pct"/>
            <w:vAlign w:val="bottom"/>
          </w:tcPr>
          <w:p w14:paraId="54157027" w14:textId="1F2ABEF5" w:rsidR="00A2306C" w:rsidRPr="00F82B8F" w:rsidRDefault="00A2306C" w:rsidP="00A2306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0.3325***</w:t>
            </w:r>
          </w:p>
        </w:tc>
      </w:tr>
      <w:tr w:rsidR="00A2306C" w:rsidRPr="00F82B8F" w14:paraId="47E9D385" w14:textId="557C62AE" w:rsidTr="00F85E6B">
        <w:trPr>
          <w:trHeight w:val="300"/>
          <w:jc w:val="center"/>
        </w:trPr>
        <w:tc>
          <w:tcPr>
            <w:tcW w:w="1425" w:type="pct"/>
            <w:shd w:val="clear" w:color="auto" w:fill="auto"/>
            <w:noWrap/>
            <w:vAlign w:val="bottom"/>
            <w:hideMark/>
          </w:tcPr>
          <w:p w14:paraId="74C6165C" w14:textId="77777777" w:rsidR="00A2306C" w:rsidRPr="00F82B8F" w:rsidRDefault="00A2306C" w:rsidP="00A2306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 </w:t>
            </w:r>
          </w:p>
        </w:tc>
        <w:tc>
          <w:tcPr>
            <w:tcW w:w="835" w:type="pct"/>
            <w:shd w:val="clear" w:color="auto" w:fill="auto"/>
            <w:noWrap/>
            <w:vAlign w:val="bottom"/>
          </w:tcPr>
          <w:p w14:paraId="6E54B736"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p>
        </w:tc>
        <w:tc>
          <w:tcPr>
            <w:tcW w:w="1274" w:type="pct"/>
            <w:shd w:val="clear" w:color="auto" w:fill="auto"/>
            <w:noWrap/>
            <w:vAlign w:val="bottom"/>
          </w:tcPr>
          <w:p w14:paraId="4305931F"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(0.0397)</w:t>
            </w:r>
          </w:p>
        </w:tc>
        <w:tc>
          <w:tcPr>
            <w:tcW w:w="1466" w:type="pct"/>
            <w:vAlign w:val="bottom"/>
          </w:tcPr>
          <w:p w14:paraId="1FE2973D" w14:textId="45EC7799" w:rsidR="00A2306C" w:rsidRPr="00F82B8F" w:rsidRDefault="00A2306C" w:rsidP="00A2306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(0.0385)</w:t>
            </w:r>
          </w:p>
        </w:tc>
      </w:tr>
      <w:tr w:rsidR="00A2306C" w:rsidRPr="00F82B8F" w14:paraId="464FDC49" w14:textId="52D0B376" w:rsidTr="00F85E6B">
        <w:trPr>
          <w:trHeight w:val="300"/>
          <w:jc w:val="center"/>
        </w:trPr>
        <w:tc>
          <w:tcPr>
            <w:tcW w:w="1425" w:type="pct"/>
            <w:shd w:val="clear" w:color="auto" w:fill="auto"/>
            <w:noWrap/>
            <w:vAlign w:val="bottom"/>
            <w:hideMark/>
          </w:tcPr>
          <w:p w14:paraId="70646530" w14:textId="77777777" w:rsidR="00A2306C" w:rsidRPr="00F82B8F" w:rsidRDefault="00984A85" w:rsidP="00A2306C">
            <w:pPr>
              <w:spacing w:after="0" w:line="240" w:lineRule="auto"/>
              <w:rPr>
                <w:rFonts w:ascii="Times New Roman" w:eastAsia="Times New Roman" w:hAnsi="Times New Roman" w:cs="Times New Roman"/>
                <w:color w:val="000000"/>
                <w:sz w:val="20"/>
                <w:szCs w:val="20"/>
                <w:lang w:eastAsia="en-GB"/>
              </w:rPr>
            </w:pPr>
            <m:oMathPara>
              <m:oMathParaPr>
                <m:jc m:val="left"/>
              </m:oMathParaPr>
              <m:oMath>
                <m:sSub>
                  <m:sSubPr>
                    <m:ctrlPr>
                      <w:rPr>
                        <w:rFonts w:ascii="Cambria Math" w:eastAsia="Times New Roman" w:hAnsi="Cambria Math" w:cs="Times New Roman"/>
                        <w:i/>
                        <w:color w:val="000000"/>
                        <w:sz w:val="20"/>
                        <w:szCs w:val="20"/>
                        <w:lang w:eastAsia="en-GB"/>
                      </w:rPr>
                    </m:ctrlPr>
                  </m:sSubPr>
                  <m:e>
                    <m:r>
                      <w:rPr>
                        <w:rFonts w:ascii="Cambria Math" w:eastAsia="Times New Roman" w:hAnsi="Cambria Math" w:cs="Times New Roman"/>
                        <w:color w:val="000000"/>
                        <w:sz w:val="20"/>
                        <w:szCs w:val="20"/>
                        <w:lang w:eastAsia="en-GB"/>
                      </w:rPr>
                      <m:t>λ</m:t>
                    </m:r>
                  </m:e>
                  <m:sub>
                    <m:r>
                      <w:rPr>
                        <w:rFonts w:ascii="Cambria Math" w:eastAsia="Times New Roman" w:hAnsi="Cambria Math" w:cs="Times New Roman"/>
                        <w:color w:val="000000"/>
                        <w:sz w:val="20"/>
                        <w:szCs w:val="20"/>
                        <w:lang w:eastAsia="en-GB"/>
                      </w:rPr>
                      <m:t>0</m:t>
                    </m:r>
                  </m:sub>
                </m:sSub>
              </m:oMath>
            </m:oMathPara>
          </w:p>
        </w:tc>
        <w:tc>
          <w:tcPr>
            <w:tcW w:w="835" w:type="pct"/>
            <w:shd w:val="clear" w:color="auto" w:fill="auto"/>
            <w:noWrap/>
            <w:vAlign w:val="bottom"/>
          </w:tcPr>
          <w:p w14:paraId="568AD467"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p>
        </w:tc>
        <w:tc>
          <w:tcPr>
            <w:tcW w:w="1274" w:type="pct"/>
            <w:shd w:val="clear" w:color="auto" w:fill="auto"/>
            <w:noWrap/>
            <w:vAlign w:val="bottom"/>
          </w:tcPr>
          <w:p w14:paraId="270357E6"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-5.3731***</w:t>
            </w:r>
          </w:p>
        </w:tc>
        <w:tc>
          <w:tcPr>
            <w:tcW w:w="1466" w:type="pct"/>
            <w:vAlign w:val="bottom"/>
          </w:tcPr>
          <w:p w14:paraId="2B818777" w14:textId="1BB50412" w:rsidR="00A2306C" w:rsidRPr="00F82B8F" w:rsidRDefault="00A2306C" w:rsidP="00A2306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-4.7474***</w:t>
            </w:r>
          </w:p>
        </w:tc>
      </w:tr>
      <w:tr w:rsidR="00A2306C" w:rsidRPr="00F82B8F" w14:paraId="55BC1B49" w14:textId="2336B2A7" w:rsidTr="00F85E6B">
        <w:trPr>
          <w:trHeight w:val="300"/>
          <w:jc w:val="center"/>
        </w:trPr>
        <w:tc>
          <w:tcPr>
            <w:tcW w:w="1425" w:type="pct"/>
            <w:shd w:val="clear" w:color="auto" w:fill="auto"/>
            <w:noWrap/>
            <w:vAlign w:val="bottom"/>
            <w:hideMark/>
          </w:tcPr>
          <w:p w14:paraId="00C2AC2C" w14:textId="77777777" w:rsidR="00A2306C" w:rsidRPr="00F82B8F" w:rsidRDefault="00A2306C" w:rsidP="00A2306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 </w:t>
            </w:r>
          </w:p>
        </w:tc>
        <w:tc>
          <w:tcPr>
            <w:tcW w:w="835" w:type="pct"/>
            <w:shd w:val="clear" w:color="auto" w:fill="auto"/>
            <w:noWrap/>
            <w:vAlign w:val="bottom"/>
          </w:tcPr>
          <w:p w14:paraId="4753CAAF"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p>
        </w:tc>
        <w:tc>
          <w:tcPr>
            <w:tcW w:w="1274" w:type="pct"/>
            <w:shd w:val="clear" w:color="auto" w:fill="auto"/>
            <w:noWrap/>
            <w:vAlign w:val="bottom"/>
          </w:tcPr>
          <w:p w14:paraId="749365FA"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(0.3449)</w:t>
            </w:r>
          </w:p>
        </w:tc>
        <w:tc>
          <w:tcPr>
            <w:tcW w:w="1466" w:type="pct"/>
            <w:vAlign w:val="bottom"/>
          </w:tcPr>
          <w:p w14:paraId="04708305" w14:textId="0A69F811" w:rsidR="00A2306C" w:rsidRPr="00F82B8F" w:rsidRDefault="00A2306C" w:rsidP="00A2306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(0.3695)</w:t>
            </w:r>
          </w:p>
        </w:tc>
      </w:tr>
      <w:tr w:rsidR="00A2306C" w:rsidRPr="00F82B8F" w14:paraId="16BDD3D6" w14:textId="6B5EFBD4" w:rsidTr="00F75EF5">
        <w:trPr>
          <w:trHeight w:val="300"/>
          <w:jc w:val="center"/>
        </w:trPr>
        <w:tc>
          <w:tcPr>
            <w:tcW w:w="1425" w:type="pct"/>
            <w:shd w:val="clear" w:color="auto" w:fill="auto"/>
            <w:noWrap/>
            <w:vAlign w:val="bottom"/>
          </w:tcPr>
          <w:p w14:paraId="2C6F95EA" w14:textId="77777777" w:rsidR="00A2306C" w:rsidRPr="00F82B8F" w:rsidRDefault="00A2306C" w:rsidP="00A2306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 xml:space="preserve">p-value for equality </w:t>
            </w:r>
          </w:p>
          <w:p w14:paraId="4FD6F60B" w14:textId="0D9C23F8" w:rsidR="00A2306C" w:rsidRPr="00F82B8F" w:rsidRDefault="00A2306C" w:rsidP="00A2306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of CTC and CTD</w:t>
            </w:r>
          </w:p>
        </w:tc>
        <w:tc>
          <w:tcPr>
            <w:tcW w:w="835" w:type="pct"/>
            <w:shd w:val="clear" w:color="auto" w:fill="auto"/>
            <w:noWrap/>
            <w:vAlign w:val="bottom"/>
          </w:tcPr>
          <w:p w14:paraId="04A9DB24" w14:textId="77777777" w:rsidR="00A2306C" w:rsidRPr="00F82B8F" w:rsidRDefault="00A2306C" w:rsidP="00A2306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0.016</w:t>
            </w:r>
          </w:p>
        </w:tc>
        <w:tc>
          <w:tcPr>
            <w:tcW w:w="1274" w:type="pct"/>
            <w:shd w:val="clear" w:color="auto" w:fill="auto"/>
            <w:noWrap/>
            <w:vAlign w:val="bottom"/>
          </w:tcPr>
          <w:p w14:paraId="0348B113" w14:textId="77777777" w:rsidR="00A2306C" w:rsidRPr="00F82B8F" w:rsidRDefault="00A2306C" w:rsidP="00A2306C">
            <w:pPr>
              <w:spacing w:after="0" w:line="240" w:lineRule="auto"/>
              <w:jc w:val="center"/>
              <w:rPr>
                <w:rFonts w:ascii="Times New Roman" w:hAnsi="Times New Roman" w:cs="Times New Roman"/>
                <w:sz w:val="20"/>
                <w:szCs w:val="20"/>
              </w:rPr>
            </w:pPr>
            <w:r w:rsidRPr="00F82B8F">
              <w:rPr>
                <w:rFonts w:ascii="Times New Roman" w:hAnsi="Times New Roman" w:cs="Times New Roman"/>
                <w:sz w:val="20"/>
                <w:szCs w:val="20"/>
              </w:rPr>
              <w:t>0.000</w:t>
            </w:r>
          </w:p>
        </w:tc>
        <w:tc>
          <w:tcPr>
            <w:tcW w:w="1466" w:type="pct"/>
          </w:tcPr>
          <w:p w14:paraId="35EFE9E1" w14:textId="48673EFD" w:rsidR="00A2306C" w:rsidRPr="00F82B8F" w:rsidRDefault="00A2306C" w:rsidP="00A2306C">
            <w:pPr>
              <w:spacing w:after="0" w:line="240" w:lineRule="auto"/>
              <w:jc w:val="center"/>
              <w:rPr>
                <w:rFonts w:ascii="Times New Roman" w:hAnsi="Times New Roman" w:cs="Times New Roman"/>
                <w:sz w:val="20"/>
                <w:szCs w:val="20"/>
              </w:rPr>
            </w:pPr>
          </w:p>
        </w:tc>
      </w:tr>
      <w:tr w:rsidR="00A2306C" w:rsidRPr="00F82B8F" w14:paraId="3EA446FA" w14:textId="4FEC2BF0" w:rsidTr="00F75EF5">
        <w:trPr>
          <w:trHeight w:val="300"/>
          <w:jc w:val="center"/>
        </w:trPr>
        <w:tc>
          <w:tcPr>
            <w:tcW w:w="1425" w:type="pct"/>
            <w:shd w:val="clear" w:color="auto" w:fill="auto"/>
            <w:noWrap/>
            <w:vAlign w:val="bottom"/>
          </w:tcPr>
          <w:p w14:paraId="0B74797C" w14:textId="77777777" w:rsidR="00A2306C" w:rsidRPr="00F82B8F" w:rsidRDefault="00A2306C" w:rsidP="00A2306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 xml:space="preserve">p-value for equality </w:t>
            </w:r>
          </w:p>
          <w:p w14:paraId="0E655222" w14:textId="763A2E2C" w:rsidR="00A2306C" w:rsidRPr="00F82B8F" w:rsidRDefault="00A2306C" w:rsidP="00A2306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of CTC and CTD</w:t>
            </w:r>
          </w:p>
        </w:tc>
        <w:tc>
          <w:tcPr>
            <w:tcW w:w="835" w:type="pct"/>
            <w:shd w:val="clear" w:color="auto" w:fill="auto"/>
            <w:noWrap/>
            <w:vAlign w:val="bottom"/>
          </w:tcPr>
          <w:p w14:paraId="600C8BC9" w14:textId="77777777" w:rsidR="00A2306C" w:rsidRPr="00F82B8F" w:rsidRDefault="00A2306C" w:rsidP="00A2306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0.015</w:t>
            </w:r>
          </w:p>
        </w:tc>
        <w:tc>
          <w:tcPr>
            <w:tcW w:w="1274" w:type="pct"/>
            <w:shd w:val="clear" w:color="auto" w:fill="auto"/>
            <w:noWrap/>
            <w:vAlign w:val="bottom"/>
          </w:tcPr>
          <w:p w14:paraId="5C5B8904" w14:textId="77777777" w:rsidR="00A2306C" w:rsidRPr="00F82B8F" w:rsidRDefault="00A2306C" w:rsidP="00A2306C">
            <w:pPr>
              <w:spacing w:after="0" w:line="240" w:lineRule="auto"/>
              <w:jc w:val="center"/>
              <w:rPr>
                <w:rFonts w:ascii="Times New Roman" w:hAnsi="Times New Roman" w:cs="Times New Roman"/>
                <w:sz w:val="20"/>
                <w:szCs w:val="20"/>
              </w:rPr>
            </w:pPr>
            <w:r w:rsidRPr="00F82B8F">
              <w:rPr>
                <w:rFonts w:ascii="Times New Roman" w:hAnsi="Times New Roman" w:cs="Times New Roman"/>
                <w:sz w:val="20"/>
                <w:szCs w:val="20"/>
              </w:rPr>
              <w:t>0.000</w:t>
            </w:r>
          </w:p>
        </w:tc>
        <w:tc>
          <w:tcPr>
            <w:tcW w:w="1466" w:type="pct"/>
          </w:tcPr>
          <w:p w14:paraId="325E6FCE" w14:textId="77777777" w:rsidR="00A2306C" w:rsidRPr="00F82B8F" w:rsidRDefault="00A2306C" w:rsidP="00A2306C">
            <w:pPr>
              <w:spacing w:after="0" w:line="240" w:lineRule="auto"/>
              <w:jc w:val="center"/>
              <w:rPr>
                <w:rFonts w:ascii="Times New Roman" w:hAnsi="Times New Roman" w:cs="Times New Roman"/>
                <w:sz w:val="20"/>
                <w:szCs w:val="20"/>
              </w:rPr>
            </w:pPr>
          </w:p>
        </w:tc>
      </w:tr>
      <w:tr w:rsidR="00A2306C" w:rsidRPr="00F82B8F" w14:paraId="21115541" w14:textId="6BF3EE9A" w:rsidTr="00F75EF5">
        <w:trPr>
          <w:trHeight w:val="300"/>
          <w:jc w:val="center"/>
        </w:trPr>
        <w:tc>
          <w:tcPr>
            <w:tcW w:w="1425" w:type="pct"/>
            <w:shd w:val="clear" w:color="auto" w:fill="auto"/>
            <w:noWrap/>
            <w:vAlign w:val="bottom"/>
          </w:tcPr>
          <w:p w14:paraId="3F43CD92" w14:textId="77777777" w:rsidR="00A2306C" w:rsidRPr="00F82B8F" w:rsidRDefault="00A2306C" w:rsidP="00A2306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Observation</w:t>
            </w:r>
          </w:p>
        </w:tc>
        <w:tc>
          <w:tcPr>
            <w:tcW w:w="835" w:type="pct"/>
            <w:shd w:val="clear" w:color="auto" w:fill="auto"/>
            <w:noWrap/>
            <w:vAlign w:val="bottom"/>
          </w:tcPr>
          <w:p w14:paraId="27323155"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9,848</w:t>
            </w:r>
          </w:p>
        </w:tc>
        <w:tc>
          <w:tcPr>
            <w:tcW w:w="1274" w:type="pct"/>
            <w:shd w:val="clear" w:color="auto" w:fill="auto"/>
            <w:noWrap/>
            <w:vAlign w:val="bottom"/>
          </w:tcPr>
          <w:p w14:paraId="4B9B54CF" w14:textId="77777777" w:rsidR="00A2306C" w:rsidRPr="00F82B8F" w:rsidRDefault="00A2306C" w:rsidP="00A2306C">
            <w:pPr>
              <w:spacing w:after="0" w:line="240" w:lineRule="auto"/>
              <w:jc w:val="center"/>
              <w:rPr>
                <w:rFonts w:ascii="Times New Roman" w:hAnsi="Times New Roman" w:cs="Times New Roman"/>
                <w:sz w:val="20"/>
                <w:szCs w:val="20"/>
              </w:rPr>
            </w:pPr>
            <w:r w:rsidRPr="00F82B8F">
              <w:rPr>
                <w:rFonts w:ascii="Times New Roman" w:hAnsi="Times New Roman" w:cs="Times New Roman"/>
                <w:sz w:val="20"/>
                <w:szCs w:val="20"/>
              </w:rPr>
              <w:t>5,989</w:t>
            </w:r>
          </w:p>
        </w:tc>
        <w:tc>
          <w:tcPr>
            <w:tcW w:w="1466" w:type="pct"/>
          </w:tcPr>
          <w:p w14:paraId="08156FB4" w14:textId="02BEE730" w:rsidR="00A2306C" w:rsidRPr="00F82B8F" w:rsidRDefault="00A2306C" w:rsidP="00A2306C">
            <w:pPr>
              <w:spacing w:after="0" w:line="240" w:lineRule="auto"/>
              <w:jc w:val="center"/>
              <w:rPr>
                <w:rFonts w:ascii="Times New Roman" w:hAnsi="Times New Roman" w:cs="Times New Roman"/>
                <w:sz w:val="20"/>
                <w:szCs w:val="20"/>
              </w:rPr>
            </w:pPr>
            <w:r w:rsidRPr="00F82B8F">
              <w:rPr>
                <w:rFonts w:ascii="Times New Roman" w:hAnsi="Times New Roman" w:cs="Times New Roman"/>
                <w:sz w:val="20"/>
                <w:szCs w:val="20"/>
              </w:rPr>
              <w:t>5,989</w:t>
            </w:r>
          </w:p>
        </w:tc>
      </w:tr>
      <w:tr w:rsidR="00A2306C" w:rsidRPr="00F82B8F" w14:paraId="310463F8" w14:textId="396AF347" w:rsidTr="00F75EF5">
        <w:trPr>
          <w:trHeight w:val="300"/>
          <w:jc w:val="center"/>
        </w:trPr>
        <w:tc>
          <w:tcPr>
            <w:tcW w:w="1425" w:type="pct"/>
            <w:shd w:val="clear" w:color="auto" w:fill="auto"/>
            <w:noWrap/>
            <w:vAlign w:val="bottom"/>
          </w:tcPr>
          <w:p w14:paraId="3100601A" w14:textId="77777777" w:rsidR="00A2306C" w:rsidRPr="00F82B8F" w:rsidRDefault="00A2306C" w:rsidP="00A2306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R</w:t>
            </w:r>
            <w:r w:rsidRPr="00F82B8F">
              <w:rPr>
                <w:rFonts w:ascii="Times New Roman" w:eastAsia="Times New Roman" w:hAnsi="Times New Roman" w:cs="Times New Roman"/>
                <w:color w:val="000000"/>
                <w:sz w:val="20"/>
                <w:szCs w:val="20"/>
                <w:vertAlign w:val="superscript"/>
                <w:lang w:eastAsia="en-GB"/>
              </w:rPr>
              <w:t>2</w:t>
            </w:r>
          </w:p>
        </w:tc>
        <w:tc>
          <w:tcPr>
            <w:tcW w:w="835" w:type="pct"/>
            <w:shd w:val="clear" w:color="auto" w:fill="auto"/>
            <w:noWrap/>
            <w:vAlign w:val="bottom"/>
          </w:tcPr>
          <w:p w14:paraId="767395D7"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0.1844</w:t>
            </w:r>
          </w:p>
        </w:tc>
        <w:tc>
          <w:tcPr>
            <w:tcW w:w="1274" w:type="pct"/>
            <w:shd w:val="clear" w:color="auto" w:fill="auto"/>
            <w:noWrap/>
            <w:vAlign w:val="bottom"/>
          </w:tcPr>
          <w:p w14:paraId="4B48557C"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p>
        </w:tc>
        <w:tc>
          <w:tcPr>
            <w:tcW w:w="1466" w:type="pct"/>
          </w:tcPr>
          <w:p w14:paraId="5703CF0C"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p>
        </w:tc>
      </w:tr>
      <w:tr w:rsidR="00A2306C" w:rsidRPr="00F82B8F" w14:paraId="073F52EB" w14:textId="482ADA8C" w:rsidTr="00F75EF5">
        <w:trPr>
          <w:trHeight w:val="300"/>
          <w:jc w:val="center"/>
        </w:trPr>
        <w:tc>
          <w:tcPr>
            <w:tcW w:w="1425" w:type="pct"/>
            <w:shd w:val="clear" w:color="auto" w:fill="auto"/>
            <w:noWrap/>
            <w:vAlign w:val="bottom"/>
          </w:tcPr>
          <w:p w14:paraId="107BE67B" w14:textId="77777777" w:rsidR="00A2306C" w:rsidRPr="00F82B8F" w:rsidRDefault="00A2306C" w:rsidP="00A2306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lastRenderedPageBreak/>
              <w:t>No. of countries</w:t>
            </w:r>
          </w:p>
        </w:tc>
        <w:tc>
          <w:tcPr>
            <w:tcW w:w="835" w:type="pct"/>
            <w:shd w:val="clear" w:color="auto" w:fill="auto"/>
            <w:noWrap/>
            <w:vAlign w:val="bottom"/>
          </w:tcPr>
          <w:p w14:paraId="7C45B7CC"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34</w:t>
            </w:r>
          </w:p>
        </w:tc>
        <w:tc>
          <w:tcPr>
            <w:tcW w:w="1274" w:type="pct"/>
            <w:shd w:val="clear" w:color="auto" w:fill="auto"/>
            <w:noWrap/>
            <w:vAlign w:val="bottom"/>
          </w:tcPr>
          <w:p w14:paraId="19A91961"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 </w:t>
            </w:r>
          </w:p>
        </w:tc>
        <w:tc>
          <w:tcPr>
            <w:tcW w:w="1466" w:type="pct"/>
          </w:tcPr>
          <w:p w14:paraId="2F0F08DF" w14:textId="77777777" w:rsidR="00A2306C" w:rsidRPr="00F82B8F" w:rsidRDefault="00A2306C" w:rsidP="00A2306C">
            <w:pPr>
              <w:spacing w:after="0" w:line="240" w:lineRule="auto"/>
              <w:jc w:val="center"/>
              <w:rPr>
                <w:rFonts w:ascii="Times New Roman" w:hAnsi="Times New Roman" w:cs="Times New Roman"/>
                <w:color w:val="000000"/>
                <w:sz w:val="20"/>
                <w:szCs w:val="20"/>
              </w:rPr>
            </w:pPr>
          </w:p>
        </w:tc>
      </w:tr>
      <w:tr w:rsidR="00A2306C" w:rsidRPr="00F82B8F" w14:paraId="29541C01" w14:textId="6ED42EF2" w:rsidTr="00F75EF5">
        <w:trPr>
          <w:trHeight w:val="300"/>
          <w:jc w:val="center"/>
        </w:trPr>
        <w:tc>
          <w:tcPr>
            <w:tcW w:w="1425" w:type="pct"/>
            <w:shd w:val="clear" w:color="auto" w:fill="auto"/>
            <w:noWrap/>
            <w:vAlign w:val="bottom"/>
          </w:tcPr>
          <w:p w14:paraId="235CA916" w14:textId="77777777" w:rsidR="00A2306C" w:rsidRPr="00F82B8F" w:rsidRDefault="00A2306C" w:rsidP="00A2306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Time FE</w:t>
            </w:r>
          </w:p>
        </w:tc>
        <w:tc>
          <w:tcPr>
            <w:tcW w:w="835" w:type="pct"/>
            <w:shd w:val="clear" w:color="auto" w:fill="auto"/>
            <w:noWrap/>
            <w:vAlign w:val="bottom"/>
          </w:tcPr>
          <w:p w14:paraId="34CF6ECF"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Yes</w:t>
            </w:r>
          </w:p>
        </w:tc>
        <w:tc>
          <w:tcPr>
            <w:tcW w:w="1274" w:type="pct"/>
            <w:shd w:val="clear" w:color="auto" w:fill="auto"/>
            <w:noWrap/>
            <w:vAlign w:val="bottom"/>
          </w:tcPr>
          <w:p w14:paraId="14DACF6C"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No</w:t>
            </w:r>
          </w:p>
        </w:tc>
        <w:tc>
          <w:tcPr>
            <w:tcW w:w="1466" w:type="pct"/>
          </w:tcPr>
          <w:p w14:paraId="5D19F53F" w14:textId="73C9DB85"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No</w:t>
            </w:r>
          </w:p>
        </w:tc>
      </w:tr>
      <w:tr w:rsidR="00A2306C" w:rsidRPr="00F82B8F" w14:paraId="013CED49" w14:textId="47E24B20" w:rsidTr="00F75EF5">
        <w:trPr>
          <w:trHeight w:val="300"/>
          <w:jc w:val="center"/>
        </w:trPr>
        <w:tc>
          <w:tcPr>
            <w:tcW w:w="1425" w:type="pct"/>
            <w:tcBorders>
              <w:bottom w:val="single" w:sz="4" w:space="0" w:color="auto"/>
            </w:tcBorders>
            <w:shd w:val="clear" w:color="auto" w:fill="auto"/>
            <w:noWrap/>
            <w:vAlign w:val="bottom"/>
          </w:tcPr>
          <w:p w14:paraId="1AC32DEE" w14:textId="77777777" w:rsidR="00A2306C" w:rsidRPr="00F82B8F" w:rsidRDefault="00A2306C" w:rsidP="00A2306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Country FE</w:t>
            </w:r>
          </w:p>
        </w:tc>
        <w:tc>
          <w:tcPr>
            <w:tcW w:w="835" w:type="pct"/>
            <w:tcBorders>
              <w:bottom w:val="single" w:sz="4" w:space="0" w:color="auto"/>
            </w:tcBorders>
            <w:shd w:val="clear" w:color="auto" w:fill="auto"/>
            <w:noWrap/>
            <w:vAlign w:val="bottom"/>
          </w:tcPr>
          <w:p w14:paraId="4CC5B596"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Yes</w:t>
            </w:r>
          </w:p>
        </w:tc>
        <w:tc>
          <w:tcPr>
            <w:tcW w:w="1274" w:type="pct"/>
            <w:tcBorders>
              <w:bottom w:val="single" w:sz="4" w:space="0" w:color="auto"/>
            </w:tcBorders>
            <w:shd w:val="clear" w:color="auto" w:fill="auto"/>
            <w:noWrap/>
            <w:vAlign w:val="bottom"/>
          </w:tcPr>
          <w:p w14:paraId="57D42930" w14:textId="77777777"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No</w:t>
            </w:r>
          </w:p>
        </w:tc>
        <w:tc>
          <w:tcPr>
            <w:tcW w:w="1466" w:type="pct"/>
            <w:tcBorders>
              <w:bottom w:val="single" w:sz="4" w:space="0" w:color="auto"/>
            </w:tcBorders>
          </w:tcPr>
          <w:p w14:paraId="4F68F147" w14:textId="2D15FA65" w:rsidR="00A2306C" w:rsidRPr="00F82B8F" w:rsidRDefault="00A2306C" w:rsidP="00A2306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No</w:t>
            </w:r>
          </w:p>
        </w:tc>
      </w:tr>
    </w:tbl>
    <w:p w14:paraId="148CE85A" w14:textId="68C33627" w:rsidR="0089762C" w:rsidRPr="00F82B8F" w:rsidRDefault="00E6145B" w:rsidP="00F85E6B">
      <w:pPr>
        <w:jc w:val="both"/>
        <w:rPr>
          <w:rFonts w:ascii="Times New Roman" w:hAnsi="Times New Roman" w:cs="Times New Roman"/>
          <w:sz w:val="20"/>
          <w:szCs w:val="20"/>
        </w:rPr>
      </w:pPr>
      <w:r w:rsidRPr="00F82B8F">
        <w:rPr>
          <w:rFonts w:ascii="Times New Roman" w:eastAsia="Times New Roman" w:hAnsi="Times New Roman" w:cs="Times New Roman"/>
          <w:color w:val="000000"/>
          <w:sz w:val="20"/>
          <w:szCs w:val="20"/>
          <w:lang w:eastAsia="en-GB"/>
        </w:rPr>
        <w:t xml:space="preserve">Note: </w:t>
      </w:r>
      <w:r w:rsidR="00074B2C" w:rsidRPr="00F82B8F">
        <w:rPr>
          <w:rFonts w:ascii="Times New Roman" w:eastAsia="Times New Roman" w:hAnsi="Times New Roman" w:cs="Times New Roman"/>
          <w:color w:val="000000"/>
          <w:sz w:val="20"/>
          <w:szCs w:val="20"/>
          <w:lang w:eastAsia="en-GB"/>
        </w:rPr>
        <w:t>This table</w:t>
      </w:r>
      <w:r w:rsidRPr="00F82B8F">
        <w:rPr>
          <w:rFonts w:ascii="Times New Roman" w:eastAsia="Times New Roman" w:hAnsi="Times New Roman" w:cs="Times New Roman"/>
          <w:color w:val="000000"/>
          <w:sz w:val="20"/>
          <w:szCs w:val="20"/>
          <w:lang w:eastAsia="en-GB"/>
        </w:rPr>
        <w:t xml:space="preserve"> show</w:t>
      </w:r>
      <w:r w:rsidR="00074B2C" w:rsidRPr="00F82B8F">
        <w:rPr>
          <w:rFonts w:ascii="Times New Roman" w:eastAsia="Times New Roman" w:hAnsi="Times New Roman" w:cs="Times New Roman"/>
          <w:color w:val="000000"/>
          <w:sz w:val="20"/>
          <w:szCs w:val="20"/>
          <w:lang w:eastAsia="en-GB"/>
        </w:rPr>
        <w:t>s</w:t>
      </w:r>
      <w:r w:rsidRPr="00F82B8F">
        <w:rPr>
          <w:rFonts w:ascii="Times New Roman" w:eastAsia="Times New Roman" w:hAnsi="Times New Roman" w:cs="Times New Roman"/>
          <w:color w:val="000000"/>
          <w:sz w:val="20"/>
          <w:szCs w:val="20"/>
          <w:lang w:eastAsia="en-GB"/>
        </w:rPr>
        <w:t xml:space="preserve"> the results of our </w:t>
      </w:r>
      <w:r w:rsidR="00074B2C" w:rsidRPr="00F82B8F">
        <w:rPr>
          <w:rFonts w:ascii="Times New Roman" w:eastAsia="Times New Roman" w:hAnsi="Times New Roman" w:cs="Times New Roman"/>
          <w:color w:val="000000"/>
          <w:sz w:val="20"/>
          <w:szCs w:val="20"/>
          <w:lang w:eastAsia="en-GB"/>
        </w:rPr>
        <w:t>conditional mean</w:t>
      </w:r>
      <w:r w:rsidRPr="00F82B8F">
        <w:rPr>
          <w:rFonts w:ascii="Times New Roman" w:eastAsia="Times New Roman" w:hAnsi="Times New Roman" w:cs="Times New Roman"/>
          <w:color w:val="000000"/>
          <w:sz w:val="20"/>
          <w:szCs w:val="20"/>
          <w:lang w:eastAsia="en-GB"/>
        </w:rPr>
        <w:t xml:space="preserve"> </w:t>
      </w:r>
      <w:r w:rsidR="00074B2C" w:rsidRPr="00F82B8F">
        <w:rPr>
          <w:rFonts w:ascii="Times New Roman" w:eastAsia="Times New Roman" w:hAnsi="Times New Roman" w:cs="Times New Roman"/>
          <w:color w:val="000000"/>
          <w:sz w:val="20"/>
          <w:szCs w:val="20"/>
          <w:lang w:eastAsia="en-GB"/>
        </w:rPr>
        <w:t xml:space="preserve">equation (1) </w:t>
      </w:r>
      <w:r w:rsidRPr="00F82B8F">
        <w:rPr>
          <w:rFonts w:ascii="Times New Roman" w:eastAsia="Times New Roman" w:hAnsi="Times New Roman" w:cs="Times New Roman"/>
          <w:color w:val="000000"/>
          <w:sz w:val="20"/>
          <w:szCs w:val="20"/>
          <w:lang w:eastAsia="en-GB"/>
        </w:rPr>
        <w:t xml:space="preserve">using a dynamic panel </w:t>
      </w:r>
      <w:r w:rsidR="00074B2C" w:rsidRPr="00F82B8F">
        <w:rPr>
          <w:rFonts w:ascii="Times New Roman" w:eastAsia="Times New Roman" w:hAnsi="Times New Roman" w:cs="Times New Roman"/>
          <w:color w:val="000000"/>
          <w:sz w:val="20"/>
          <w:szCs w:val="20"/>
          <w:lang w:eastAsia="en-GB"/>
        </w:rPr>
        <w:t xml:space="preserve">model with </w:t>
      </w:r>
      <w:r w:rsidRPr="00F82B8F">
        <w:rPr>
          <w:rFonts w:ascii="Times New Roman" w:eastAsia="Times New Roman" w:hAnsi="Times New Roman" w:cs="Times New Roman"/>
          <w:color w:val="000000"/>
          <w:sz w:val="20"/>
          <w:szCs w:val="20"/>
          <w:lang w:eastAsia="en-GB"/>
        </w:rPr>
        <w:t>fixed</w:t>
      </w:r>
      <w:r w:rsidR="00074B2C" w:rsidRPr="00F82B8F">
        <w:rPr>
          <w:rFonts w:ascii="Times New Roman" w:eastAsia="Times New Roman" w:hAnsi="Times New Roman" w:cs="Times New Roman"/>
          <w:color w:val="000000"/>
          <w:sz w:val="20"/>
          <w:szCs w:val="20"/>
          <w:lang w:eastAsia="en-GB"/>
        </w:rPr>
        <w:t xml:space="preserve"> effects</w:t>
      </w:r>
      <w:r w:rsidRPr="00F82B8F">
        <w:rPr>
          <w:rFonts w:ascii="Times New Roman" w:eastAsia="Times New Roman" w:hAnsi="Times New Roman" w:cs="Times New Roman"/>
          <w:color w:val="000000"/>
          <w:sz w:val="20"/>
          <w:szCs w:val="20"/>
          <w:lang w:eastAsia="en-GB"/>
        </w:rPr>
        <w:t xml:space="preserve"> </w:t>
      </w:r>
      <w:r w:rsidR="00074B2C" w:rsidRPr="00F82B8F">
        <w:rPr>
          <w:rFonts w:ascii="Times New Roman" w:eastAsia="Times New Roman" w:hAnsi="Times New Roman" w:cs="Times New Roman"/>
          <w:color w:val="000000"/>
          <w:sz w:val="20"/>
          <w:szCs w:val="20"/>
          <w:lang w:eastAsia="en-GB"/>
        </w:rPr>
        <w:t>in column one. We capture t</w:t>
      </w:r>
      <w:r w:rsidRPr="00F82B8F">
        <w:rPr>
          <w:rFonts w:ascii="Times New Roman" w:eastAsia="Times New Roman" w:hAnsi="Times New Roman" w:cs="Times New Roman"/>
          <w:color w:val="000000"/>
          <w:sz w:val="20"/>
          <w:szCs w:val="20"/>
          <w:lang w:eastAsia="en-GB"/>
        </w:rPr>
        <w:t>he conditional variance process</w:t>
      </w:r>
      <w:r w:rsidR="00074B2C" w:rsidRPr="00F82B8F">
        <w:rPr>
          <w:rFonts w:ascii="Times New Roman" w:eastAsia="Times New Roman" w:hAnsi="Times New Roman" w:cs="Times New Roman"/>
          <w:color w:val="000000"/>
          <w:sz w:val="20"/>
          <w:szCs w:val="20"/>
          <w:lang w:eastAsia="en-GB"/>
        </w:rPr>
        <w:t xml:space="preserve"> from equation (1)</w:t>
      </w:r>
      <w:r w:rsidRPr="00F82B8F">
        <w:rPr>
          <w:rFonts w:ascii="Times New Roman" w:eastAsia="Times New Roman" w:hAnsi="Times New Roman" w:cs="Times New Roman"/>
          <w:color w:val="000000"/>
          <w:sz w:val="20"/>
          <w:szCs w:val="20"/>
          <w:lang w:eastAsia="en-GB"/>
        </w:rPr>
        <w:t xml:space="preserve"> </w:t>
      </w:r>
      <w:r w:rsidR="00074B2C" w:rsidRPr="00F82B8F">
        <w:rPr>
          <w:rFonts w:ascii="Times New Roman" w:eastAsia="Times New Roman" w:hAnsi="Times New Roman" w:cs="Times New Roman"/>
          <w:color w:val="000000"/>
          <w:sz w:val="20"/>
          <w:szCs w:val="20"/>
          <w:lang w:eastAsia="en-GB"/>
        </w:rPr>
        <w:t xml:space="preserve">using EGARCH (1,1) </w:t>
      </w:r>
      <w:r w:rsidRPr="00F82B8F">
        <w:rPr>
          <w:rFonts w:ascii="Times New Roman" w:eastAsia="Times New Roman" w:hAnsi="Times New Roman" w:cs="Times New Roman"/>
          <w:color w:val="000000"/>
          <w:sz w:val="20"/>
          <w:szCs w:val="20"/>
          <w:lang w:eastAsia="en-GB"/>
        </w:rPr>
        <w:t xml:space="preserve">in column </w:t>
      </w:r>
      <w:r w:rsidR="00074B2C" w:rsidRPr="00F82B8F">
        <w:rPr>
          <w:rFonts w:ascii="Times New Roman" w:eastAsia="Times New Roman" w:hAnsi="Times New Roman" w:cs="Times New Roman"/>
          <w:color w:val="000000"/>
          <w:sz w:val="20"/>
          <w:szCs w:val="20"/>
          <w:lang w:eastAsia="en-GB"/>
        </w:rPr>
        <w:t>two</w:t>
      </w:r>
      <w:r w:rsidRPr="00F82B8F">
        <w:rPr>
          <w:rFonts w:ascii="Times New Roman" w:eastAsia="Times New Roman" w:hAnsi="Times New Roman" w:cs="Times New Roman"/>
          <w:color w:val="000000"/>
          <w:sz w:val="20"/>
          <w:szCs w:val="20"/>
          <w:lang w:eastAsia="en-GB"/>
        </w:rPr>
        <w:t>. Therefore, column</w:t>
      </w:r>
      <w:r w:rsidR="008E3E71" w:rsidRPr="00F82B8F">
        <w:rPr>
          <w:rFonts w:ascii="Times New Roman" w:eastAsia="Times New Roman" w:hAnsi="Times New Roman" w:cs="Times New Roman"/>
          <w:color w:val="000000"/>
          <w:sz w:val="20"/>
          <w:szCs w:val="20"/>
          <w:lang w:eastAsia="en-GB"/>
        </w:rPr>
        <w:t>s</w:t>
      </w:r>
      <w:r w:rsidRPr="00F82B8F">
        <w:rPr>
          <w:rFonts w:ascii="Times New Roman" w:eastAsia="Times New Roman" w:hAnsi="Times New Roman" w:cs="Times New Roman"/>
          <w:color w:val="000000"/>
          <w:sz w:val="20"/>
          <w:szCs w:val="20"/>
          <w:lang w:eastAsia="en-GB"/>
        </w:rPr>
        <w:t xml:space="preserve"> </w:t>
      </w:r>
      <w:r w:rsidR="00074B2C" w:rsidRPr="00F82B8F">
        <w:rPr>
          <w:rFonts w:ascii="Times New Roman" w:eastAsia="Times New Roman" w:hAnsi="Times New Roman" w:cs="Times New Roman"/>
          <w:color w:val="000000"/>
          <w:sz w:val="20"/>
          <w:szCs w:val="20"/>
          <w:lang w:eastAsia="en-GB"/>
        </w:rPr>
        <w:t xml:space="preserve">(1) and </w:t>
      </w:r>
      <w:r w:rsidRPr="00F82B8F">
        <w:rPr>
          <w:rFonts w:ascii="Times New Roman" w:eastAsia="Times New Roman" w:hAnsi="Times New Roman" w:cs="Times New Roman"/>
          <w:color w:val="000000"/>
          <w:sz w:val="20"/>
          <w:szCs w:val="20"/>
          <w:lang w:eastAsia="en-GB"/>
        </w:rPr>
        <w:t xml:space="preserve">(2) </w:t>
      </w:r>
      <w:r w:rsidR="00074B2C" w:rsidRPr="00F82B8F">
        <w:rPr>
          <w:rFonts w:ascii="Times New Roman" w:eastAsia="Times New Roman" w:hAnsi="Times New Roman" w:cs="Times New Roman"/>
          <w:color w:val="000000"/>
          <w:sz w:val="20"/>
          <w:szCs w:val="20"/>
          <w:lang w:eastAsia="en-GB"/>
        </w:rPr>
        <w:t>are</w:t>
      </w:r>
      <w:r w:rsidRPr="00F82B8F">
        <w:rPr>
          <w:rFonts w:ascii="Times New Roman" w:eastAsia="Times New Roman" w:hAnsi="Times New Roman" w:cs="Times New Roman"/>
          <w:color w:val="000000"/>
          <w:sz w:val="20"/>
          <w:szCs w:val="20"/>
          <w:lang w:eastAsia="en-GB"/>
        </w:rPr>
        <w:t xml:space="preserve"> refer</w:t>
      </w:r>
      <w:r w:rsidR="007D55DC" w:rsidRPr="00F82B8F">
        <w:rPr>
          <w:rFonts w:ascii="Times New Roman" w:eastAsia="Times New Roman" w:hAnsi="Times New Roman" w:cs="Times New Roman"/>
          <w:color w:val="000000"/>
          <w:sz w:val="20"/>
          <w:szCs w:val="20"/>
          <w:lang w:eastAsia="en-GB"/>
        </w:rPr>
        <w:t>red to</w:t>
      </w:r>
      <w:r w:rsidRPr="00F82B8F">
        <w:rPr>
          <w:rFonts w:ascii="Times New Roman" w:eastAsia="Times New Roman" w:hAnsi="Times New Roman" w:cs="Times New Roman"/>
          <w:color w:val="000000"/>
          <w:sz w:val="20"/>
          <w:szCs w:val="20"/>
          <w:lang w:eastAsia="en-GB"/>
        </w:rPr>
        <w:t xml:space="preserve"> as our basic </w:t>
      </w:r>
      <w:r w:rsidR="00074B2C" w:rsidRPr="00F82B8F">
        <w:rPr>
          <w:rFonts w:ascii="Times New Roman" w:eastAsia="Times New Roman" w:hAnsi="Times New Roman" w:cs="Times New Roman"/>
          <w:color w:val="000000"/>
          <w:sz w:val="20"/>
          <w:szCs w:val="20"/>
          <w:lang w:eastAsia="en-GB"/>
        </w:rPr>
        <w:t xml:space="preserve">return and </w:t>
      </w:r>
      <w:r w:rsidRPr="00F82B8F">
        <w:rPr>
          <w:rFonts w:ascii="Times New Roman" w:eastAsia="Times New Roman" w:hAnsi="Times New Roman" w:cs="Times New Roman"/>
          <w:color w:val="000000"/>
          <w:sz w:val="20"/>
          <w:szCs w:val="20"/>
          <w:lang w:eastAsia="en-GB"/>
        </w:rPr>
        <w:t>volatility model</w:t>
      </w:r>
      <w:r w:rsidR="00074B2C" w:rsidRPr="00F82B8F">
        <w:rPr>
          <w:rFonts w:ascii="Times New Roman" w:eastAsia="Times New Roman" w:hAnsi="Times New Roman" w:cs="Times New Roman"/>
          <w:color w:val="000000"/>
          <w:sz w:val="20"/>
          <w:szCs w:val="20"/>
          <w:lang w:eastAsia="en-GB"/>
        </w:rPr>
        <w:t>, respectively</w:t>
      </w:r>
      <w:r w:rsidRPr="00F82B8F">
        <w:rPr>
          <w:rFonts w:ascii="Times New Roman" w:eastAsia="Times New Roman" w:hAnsi="Times New Roman" w:cs="Times New Roman"/>
          <w:color w:val="000000"/>
          <w:sz w:val="20"/>
          <w:szCs w:val="20"/>
          <w:lang w:eastAsia="en-GB"/>
        </w:rPr>
        <w:t xml:space="preserve">. Our remaining analysis </w:t>
      </w:r>
      <w:r w:rsidR="007D55DC" w:rsidRPr="00F82B8F">
        <w:rPr>
          <w:rFonts w:ascii="Times New Roman" w:eastAsia="Times New Roman" w:hAnsi="Times New Roman" w:cs="Times New Roman"/>
          <w:color w:val="000000"/>
          <w:sz w:val="20"/>
          <w:szCs w:val="20"/>
          <w:lang w:eastAsia="en-GB"/>
        </w:rPr>
        <w:t>is</w:t>
      </w:r>
      <w:r w:rsidRPr="00F82B8F">
        <w:rPr>
          <w:rFonts w:ascii="Times New Roman" w:eastAsia="Times New Roman" w:hAnsi="Times New Roman" w:cs="Times New Roman"/>
          <w:color w:val="000000"/>
          <w:sz w:val="20"/>
          <w:szCs w:val="20"/>
          <w:lang w:eastAsia="en-GB"/>
        </w:rPr>
        <w:t xml:space="preserve"> based on the conditional variance process reported in column (2) of this table.</w:t>
      </w:r>
      <w:r w:rsidR="00074B2C" w:rsidRPr="00F82B8F">
        <w:rPr>
          <w:rFonts w:ascii="Times New Roman" w:eastAsia="Times New Roman" w:hAnsi="Times New Roman" w:cs="Times New Roman"/>
          <w:color w:val="000000"/>
          <w:sz w:val="20"/>
          <w:szCs w:val="20"/>
          <w:lang w:eastAsia="en-GB"/>
        </w:rPr>
        <w:t xml:space="preserve"> </w:t>
      </w:r>
      <w:r w:rsidR="006227DC" w:rsidRPr="00F82B8F">
        <w:rPr>
          <w:rFonts w:ascii="Times New Roman" w:eastAsia="Times New Roman" w:hAnsi="Times New Roman" w:cs="Times New Roman"/>
          <w:color w:val="000000"/>
          <w:sz w:val="20"/>
          <w:szCs w:val="20"/>
          <w:lang w:eastAsia="en-GB"/>
        </w:rPr>
        <w:t>Column</w:t>
      </w:r>
      <w:r w:rsidR="00E01618" w:rsidRPr="00F82B8F">
        <w:rPr>
          <w:rFonts w:ascii="Times New Roman" w:eastAsia="Times New Roman" w:hAnsi="Times New Roman" w:cs="Times New Roman"/>
          <w:color w:val="000000"/>
          <w:sz w:val="20"/>
          <w:szCs w:val="20"/>
          <w:lang w:eastAsia="en-GB"/>
        </w:rPr>
        <w:t xml:space="preserve"> (3) </w:t>
      </w:r>
      <w:r w:rsidR="00E01618" w:rsidRPr="00F82B8F">
        <w:rPr>
          <w:rFonts w:ascii="Times New Roman" w:hAnsi="Times New Roman" w:cs="Times New Roman"/>
          <w:sz w:val="20"/>
          <w:szCs w:val="20"/>
        </w:rPr>
        <w:t xml:space="preserve">reports the results related to the impact of country-level resilience (RES) and its interaction with </w:t>
      </w:r>
      <w:r w:rsidR="00964C2B" w:rsidRPr="00F82B8F">
        <w:rPr>
          <w:rFonts w:ascii="Times New Roman" w:hAnsi="Times New Roman" w:cs="Times New Roman"/>
          <w:sz w:val="20"/>
          <w:szCs w:val="20"/>
        </w:rPr>
        <w:t>COVID-19</w:t>
      </w:r>
      <w:r w:rsidR="00E01618" w:rsidRPr="00F82B8F">
        <w:rPr>
          <w:rFonts w:ascii="Times New Roman" w:hAnsi="Times New Roman" w:cs="Times New Roman"/>
          <w:sz w:val="20"/>
          <w:szCs w:val="20"/>
        </w:rPr>
        <w:t xml:space="preserve"> cases and deaths on volatility (equation (7)).</w:t>
      </w:r>
    </w:p>
    <w:p w14:paraId="08FC53D0" w14:textId="1EBBB36A" w:rsidR="00EE18D8" w:rsidRPr="008573D2" w:rsidRDefault="00EE18D8" w:rsidP="00F85E6B">
      <w:pPr>
        <w:jc w:val="both"/>
        <w:rPr>
          <w:rFonts w:ascii="Times New Roman" w:hAnsi="Times New Roman" w:cs="Times New Roman"/>
          <w:sz w:val="24"/>
          <w:szCs w:val="24"/>
        </w:rPr>
      </w:pPr>
      <w:r w:rsidRPr="00F82B8F">
        <w:rPr>
          <w:rFonts w:ascii="Times New Roman" w:hAnsi="Times New Roman" w:cs="Times New Roman"/>
          <w:sz w:val="20"/>
          <w:szCs w:val="20"/>
        </w:rPr>
        <w:t>***, ** and * indicates statistical significance at the 1%, 5% and 10% level</w:t>
      </w:r>
      <w:r w:rsidR="008E3E71" w:rsidRPr="00F82B8F">
        <w:rPr>
          <w:rFonts w:ascii="Times New Roman" w:hAnsi="Times New Roman" w:cs="Times New Roman"/>
          <w:sz w:val="20"/>
          <w:szCs w:val="20"/>
        </w:rPr>
        <w:t>s</w:t>
      </w:r>
      <w:r w:rsidR="007578A7" w:rsidRPr="00F82B8F">
        <w:rPr>
          <w:rFonts w:ascii="Times New Roman" w:hAnsi="Times New Roman" w:cs="Times New Roman"/>
          <w:sz w:val="20"/>
          <w:szCs w:val="20"/>
        </w:rPr>
        <w:t>,</w:t>
      </w:r>
      <w:r w:rsidRPr="00F82B8F">
        <w:rPr>
          <w:rFonts w:ascii="Times New Roman" w:hAnsi="Times New Roman" w:cs="Times New Roman"/>
          <w:sz w:val="20"/>
          <w:szCs w:val="20"/>
        </w:rPr>
        <w:t xml:space="preserve"> respectively.</w:t>
      </w:r>
    </w:p>
    <w:p w14:paraId="66F062DE" w14:textId="77777777" w:rsidR="00E35C94" w:rsidRPr="008573D2" w:rsidRDefault="00E35C94" w:rsidP="00E35C94">
      <w:pPr>
        <w:pStyle w:val="Heading2"/>
        <w:spacing w:before="0" w:after="200"/>
        <w:rPr>
          <w:rFonts w:ascii="Times New Roman" w:hAnsi="Times New Roman" w:cs="Times New Roman"/>
          <w:b/>
          <w:bCs/>
          <w:color w:val="auto"/>
          <w:sz w:val="24"/>
          <w:szCs w:val="24"/>
        </w:rPr>
      </w:pPr>
    </w:p>
    <w:p w14:paraId="73865AB8" w14:textId="1B7D1DD9" w:rsidR="002C7D77" w:rsidRPr="008573D2" w:rsidRDefault="002C7D77" w:rsidP="002C7D77">
      <w:pPr>
        <w:spacing w:after="200" w:line="360" w:lineRule="auto"/>
        <w:jc w:val="center"/>
        <w:rPr>
          <w:rFonts w:ascii="Times New Roman" w:eastAsia="Times New Roman" w:hAnsi="Times New Roman" w:cs="Times New Roman"/>
          <w:b/>
          <w:bCs/>
          <w:sz w:val="24"/>
          <w:szCs w:val="24"/>
          <w:lang w:eastAsia="en-GB"/>
        </w:rPr>
      </w:pPr>
    </w:p>
    <w:p w14:paraId="4A3F03DC" w14:textId="49D32F74" w:rsidR="00DB330B" w:rsidRPr="008573D2" w:rsidRDefault="00DB330B" w:rsidP="002C7D77">
      <w:pPr>
        <w:spacing w:after="200" w:line="360" w:lineRule="auto"/>
        <w:jc w:val="center"/>
        <w:rPr>
          <w:rFonts w:ascii="Times New Roman" w:hAnsi="Times New Roman" w:cs="Times New Roman"/>
          <w:b/>
          <w:bCs/>
          <w:sz w:val="24"/>
          <w:szCs w:val="24"/>
        </w:rPr>
        <w:sectPr w:rsidR="00DB330B" w:rsidRPr="008573D2" w:rsidSect="005526F3">
          <w:pgSz w:w="11906" w:h="16838"/>
          <w:pgMar w:top="1440" w:right="1440" w:bottom="1440" w:left="1440" w:header="709" w:footer="709" w:gutter="0"/>
          <w:cols w:space="708"/>
          <w:docGrid w:linePitch="360"/>
        </w:sectPr>
      </w:pPr>
    </w:p>
    <w:p w14:paraId="2BFDFF33" w14:textId="31E753ED" w:rsidR="00DB330B" w:rsidRPr="008573D2" w:rsidRDefault="00DB330B" w:rsidP="00057DB3">
      <w:pPr>
        <w:jc w:val="center"/>
        <w:rPr>
          <w:rFonts w:ascii="Times New Roman" w:hAnsi="Times New Roman" w:cs="Times New Roman"/>
          <w:b/>
          <w:bCs/>
          <w:sz w:val="24"/>
          <w:szCs w:val="24"/>
        </w:rPr>
      </w:pPr>
      <w:r w:rsidRPr="008573D2">
        <w:rPr>
          <w:rFonts w:ascii="Times New Roman" w:hAnsi="Times New Roman" w:cs="Times New Roman"/>
          <w:b/>
          <w:bCs/>
          <w:sz w:val="24"/>
          <w:szCs w:val="24"/>
        </w:rPr>
        <w:lastRenderedPageBreak/>
        <w:t xml:space="preserve">Table </w:t>
      </w:r>
      <w:r w:rsidR="006B75F4" w:rsidRPr="008573D2">
        <w:rPr>
          <w:rFonts w:ascii="Times New Roman" w:hAnsi="Times New Roman" w:cs="Times New Roman"/>
          <w:b/>
          <w:bCs/>
          <w:sz w:val="24"/>
          <w:szCs w:val="24"/>
        </w:rPr>
        <w:t>5</w:t>
      </w:r>
      <w:r w:rsidRPr="008573D2">
        <w:rPr>
          <w:rFonts w:ascii="Times New Roman" w:hAnsi="Times New Roman" w:cs="Times New Roman"/>
          <w:b/>
          <w:bCs/>
          <w:sz w:val="24"/>
          <w:szCs w:val="24"/>
        </w:rPr>
        <w:t xml:space="preserve">: </w:t>
      </w:r>
      <w:r w:rsidR="00F378C2" w:rsidRPr="008573D2">
        <w:rPr>
          <w:rFonts w:ascii="Times New Roman" w:hAnsi="Times New Roman" w:cs="Times New Roman"/>
          <w:b/>
          <w:bCs/>
          <w:sz w:val="24"/>
          <w:szCs w:val="24"/>
        </w:rPr>
        <w:t xml:space="preserve">Impact of </w:t>
      </w:r>
      <w:r w:rsidRPr="008573D2">
        <w:rPr>
          <w:rFonts w:ascii="Times New Roman" w:hAnsi="Times New Roman" w:cs="Times New Roman"/>
          <w:b/>
          <w:bCs/>
          <w:sz w:val="24"/>
          <w:szCs w:val="24"/>
        </w:rPr>
        <w:t>Resilience</w:t>
      </w:r>
      <w:r w:rsidR="00F378C2" w:rsidRPr="008573D2">
        <w:rPr>
          <w:rFonts w:ascii="Times New Roman" w:hAnsi="Times New Roman" w:cs="Times New Roman"/>
          <w:b/>
          <w:bCs/>
          <w:sz w:val="24"/>
          <w:szCs w:val="24"/>
        </w:rPr>
        <w:t xml:space="preserve"> Score</w:t>
      </w:r>
    </w:p>
    <w:tbl>
      <w:tblPr>
        <w:tblW w:w="14401" w:type="dxa"/>
        <w:tblLook w:val="04A0" w:firstRow="1" w:lastRow="0" w:firstColumn="1" w:lastColumn="0" w:noHBand="0" w:noVBand="1"/>
      </w:tblPr>
      <w:tblGrid>
        <w:gridCol w:w="642"/>
        <w:gridCol w:w="1137"/>
        <w:gridCol w:w="1136"/>
        <w:gridCol w:w="1136"/>
        <w:gridCol w:w="1136"/>
        <w:gridCol w:w="1136"/>
        <w:gridCol w:w="1136"/>
        <w:gridCol w:w="1136"/>
        <w:gridCol w:w="1136"/>
        <w:gridCol w:w="1136"/>
        <w:gridCol w:w="1136"/>
        <w:gridCol w:w="1136"/>
        <w:gridCol w:w="1262"/>
      </w:tblGrid>
      <w:tr w:rsidR="00F45BC4" w:rsidRPr="00F82B8F" w14:paraId="7EFB0304" w14:textId="77777777" w:rsidTr="00917506">
        <w:trPr>
          <w:trHeight w:val="300"/>
        </w:trPr>
        <w:tc>
          <w:tcPr>
            <w:tcW w:w="0" w:type="auto"/>
            <w:tcBorders>
              <w:top w:val="single" w:sz="4" w:space="0" w:color="auto"/>
            </w:tcBorders>
            <w:shd w:val="clear" w:color="auto" w:fill="auto"/>
            <w:noWrap/>
            <w:hideMark/>
          </w:tcPr>
          <w:p w14:paraId="5A15A578" w14:textId="77777777" w:rsidR="00F45BC4" w:rsidRPr="00F82B8F" w:rsidRDefault="00F45BC4" w:rsidP="00F45BC4">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 </w:t>
            </w:r>
          </w:p>
        </w:tc>
        <w:tc>
          <w:tcPr>
            <w:tcW w:w="0" w:type="auto"/>
            <w:tcBorders>
              <w:top w:val="single" w:sz="4" w:space="0" w:color="auto"/>
            </w:tcBorders>
            <w:shd w:val="clear" w:color="auto" w:fill="auto"/>
            <w:noWrap/>
            <w:hideMark/>
          </w:tcPr>
          <w:p w14:paraId="0B79CAEF"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(1)</w:t>
            </w:r>
          </w:p>
        </w:tc>
        <w:tc>
          <w:tcPr>
            <w:tcW w:w="0" w:type="auto"/>
            <w:tcBorders>
              <w:top w:val="single" w:sz="4" w:space="0" w:color="auto"/>
            </w:tcBorders>
            <w:shd w:val="clear" w:color="auto" w:fill="auto"/>
            <w:noWrap/>
            <w:hideMark/>
          </w:tcPr>
          <w:p w14:paraId="5A6ADA3C"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(2)</w:t>
            </w:r>
          </w:p>
        </w:tc>
        <w:tc>
          <w:tcPr>
            <w:tcW w:w="0" w:type="auto"/>
            <w:tcBorders>
              <w:top w:val="single" w:sz="4" w:space="0" w:color="auto"/>
            </w:tcBorders>
            <w:shd w:val="clear" w:color="auto" w:fill="auto"/>
            <w:noWrap/>
            <w:hideMark/>
          </w:tcPr>
          <w:p w14:paraId="50431E77"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w:t>
            </w:r>
          </w:p>
        </w:tc>
        <w:tc>
          <w:tcPr>
            <w:tcW w:w="0" w:type="auto"/>
            <w:tcBorders>
              <w:top w:val="single" w:sz="4" w:space="0" w:color="auto"/>
            </w:tcBorders>
            <w:shd w:val="clear" w:color="auto" w:fill="auto"/>
            <w:noWrap/>
            <w:hideMark/>
          </w:tcPr>
          <w:p w14:paraId="39F49FEF"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w:t>
            </w:r>
          </w:p>
        </w:tc>
        <w:tc>
          <w:tcPr>
            <w:tcW w:w="0" w:type="auto"/>
            <w:tcBorders>
              <w:top w:val="single" w:sz="4" w:space="0" w:color="auto"/>
            </w:tcBorders>
            <w:shd w:val="clear" w:color="auto" w:fill="auto"/>
            <w:noWrap/>
            <w:hideMark/>
          </w:tcPr>
          <w:p w14:paraId="78A87275"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(5)</w:t>
            </w:r>
          </w:p>
        </w:tc>
        <w:tc>
          <w:tcPr>
            <w:tcW w:w="0" w:type="auto"/>
            <w:tcBorders>
              <w:top w:val="single" w:sz="4" w:space="0" w:color="auto"/>
            </w:tcBorders>
            <w:shd w:val="clear" w:color="auto" w:fill="auto"/>
            <w:noWrap/>
            <w:hideMark/>
          </w:tcPr>
          <w:p w14:paraId="713BDC26"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(6)</w:t>
            </w:r>
          </w:p>
        </w:tc>
        <w:tc>
          <w:tcPr>
            <w:tcW w:w="0" w:type="auto"/>
            <w:tcBorders>
              <w:top w:val="single" w:sz="4" w:space="0" w:color="auto"/>
            </w:tcBorders>
            <w:shd w:val="clear" w:color="auto" w:fill="auto"/>
            <w:noWrap/>
            <w:hideMark/>
          </w:tcPr>
          <w:p w14:paraId="2079A281"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(7)</w:t>
            </w:r>
          </w:p>
        </w:tc>
        <w:tc>
          <w:tcPr>
            <w:tcW w:w="0" w:type="auto"/>
            <w:tcBorders>
              <w:top w:val="single" w:sz="4" w:space="0" w:color="auto"/>
            </w:tcBorders>
            <w:shd w:val="clear" w:color="auto" w:fill="auto"/>
            <w:noWrap/>
            <w:hideMark/>
          </w:tcPr>
          <w:p w14:paraId="755BFCB6"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(8)</w:t>
            </w:r>
          </w:p>
        </w:tc>
        <w:tc>
          <w:tcPr>
            <w:tcW w:w="0" w:type="auto"/>
            <w:tcBorders>
              <w:top w:val="single" w:sz="4" w:space="0" w:color="auto"/>
            </w:tcBorders>
            <w:shd w:val="clear" w:color="auto" w:fill="auto"/>
            <w:noWrap/>
            <w:hideMark/>
          </w:tcPr>
          <w:p w14:paraId="64FAC7C1"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(9)</w:t>
            </w:r>
          </w:p>
        </w:tc>
        <w:tc>
          <w:tcPr>
            <w:tcW w:w="0" w:type="auto"/>
            <w:tcBorders>
              <w:top w:val="single" w:sz="4" w:space="0" w:color="auto"/>
            </w:tcBorders>
            <w:shd w:val="clear" w:color="auto" w:fill="auto"/>
          </w:tcPr>
          <w:p w14:paraId="03CE17DA"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(10)</w:t>
            </w:r>
          </w:p>
        </w:tc>
        <w:tc>
          <w:tcPr>
            <w:tcW w:w="0" w:type="auto"/>
            <w:tcBorders>
              <w:top w:val="single" w:sz="4" w:space="0" w:color="auto"/>
            </w:tcBorders>
            <w:shd w:val="clear" w:color="auto" w:fill="auto"/>
          </w:tcPr>
          <w:p w14:paraId="1475A66B" w14:textId="77777777" w:rsidR="00F45BC4" w:rsidRPr="00F82B8F" w:rsidRDefault="00F45BC4" w:rsidP="00F45BC4">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(11)</w:t>
            </w:r>
          </w:p>
        </w:tc>
        <w:tc>
          <w:tcPr>
            <w:tcW w:w="1262" w:type="dxa"/>
            <w:tcBorders>
              <w:top w:val="single" w:sz="4" w:space="0" w:color="auto"/>
            </w:tcBorders>
          </w:tcPr>
          <w:p w14:paraId="007E0E66" w14:textId="77777777" w:rsidR="00F45BC4" w:rsidRPr="00F82B8F" w:rsidRDefault="00F45BC4" w:rsidP="0082004F">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(12)</w:t>
            </w:r>
          </w:p>
        </w:tc>
      </w:tr>
      <w:tr w:rsidR="00F45BC4" w:rsidRPr="00F82B8F" w14:paraId="74AF8A4F" w14:textId="77777777" w:rsidTr="00917506">
        <w:trPr>
          <w:trHeight w:val="300"/>
        </w:trPr>
        <w:tc>
          <w:tcPr>
            <w:tcW w:w="0" w:type="auto"/>
            <w:tcBorders>
              <w:bottom w:val="single" w:sz="4" w:space="0" w:color="auto"/>
            </w:tcBorders>
            <w:shd w:val="clear" w:color="auto" w:fill="auto"/>
            <w:noWrap/>
            <w:vAlign w:val="bottom"/>
            <w:hideMark/>
          </w:tcPr>
          <w:p w14:paraId="7EAFB7D9" w14:textId="77777777" w:rsidR="00F45BC4" w:rsidRPr="00F82B8F" w:rsidRDefault="00F45BC4" w:rsidP="00F45BC4">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Var.</w:t>
            </w:r>
          </w:p>
        </w:tc>
        <w:tc>
          <w:tcPr>
            <w:tcW w:w="13703" w:type="dxa"/>
            <w:gridSpan w:val="12"/>
            <w:tcBorders>
              <w:bottom w:val="single" w:sz="4" w:space="0" w:color="auto"/>
            </w:tcBorders>
            <w:shd w:val="clear" w:color="auto" w:fill="auto"/>
            <w:noWrap/>
            <w:vAlign w:val="bottom"/>
          </w:tcPr>
          <w:p w14:paraId="362CEDE7" w14:textId="77777777" w:rsidR="00F45BC4" w:rsidRPr="00F82B8F" w:rsidRDefault="00F45BC4" w:rsidP="0082004F">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Conditional Variance Process</w:t>
            </w:r>
          </w:p>
        </w:tc>
      </w:tr>
      <w:tr w:rsidR="00F45BC4" w:rsidRPr="00F82B8F" w14:paraId="6C0195CC" w14:textId="77777777" w:rsidTr="00917506">
        <w:trPr>
          <w:trHeight w:val="300"/>
        </w:trPr>
        <w:tc>
          <w:tcPr>
            <w:tcW w:w="0" w:type="auto"/>
            <w:tcBorders>
              <w:top w:val="single" w:sz="4" w:space="0" w:color="auto"/>
            </w:tcBorders>
            <w:shd w:val="clear" w:color="auto" w:fill="auto"/>
            <w:noWrap/>
            <w:vAlign w:val="bottom"/>
          </w:tcPr>
          <w:p w14:paraId="0D59FF46" w14:textId="77777777" w:rsidR="00F45BC4" w:rsidRPr="00F82B8F" w:rsidRDefault="00F45BC4" w:rsidP="00F45BC4">
            <w:pPr>
              <w:spacing w:after="0" w:line="240" w:lineRule="auto"/>
              <w:rPr>
                <w:rFonts w:ascii="Times New Roman" w:eastAsia="Times New Roman" w:hAnsi="Times New Roman" w:cs="Times New Roman"/>
                <w:color w:val="000000"/>
                <w:sz w:val="20"/>
                <w:szCs w:val="20"/>
                <w:lang w:eastAsia="en-GB"/>
              </w:rPr>
            </w:pPr>
          </w:p>
        </w:tc>
        <w:tc>
          <w:tcPr>
            <w:tcW w:w="0" w:type="auto"/>
            <w:tcBorders>
              <w:top w:val="single" w:sz="4" w:space="0" w:color="auto"/>
            </w:tcBorders>
            <w:shd w:val="clear" w:color="auto" w:fill="auto"/>
            <w:noWrap/>
            <w:vAlign w:val="bottom"/>
          </w:tcPr>
          <w:p w14:paraId="50A2DC99" w14:textId="77777777" w:rsidR="00F45BC4" w:rsidRPr="00F82B8F" w:rsidRDefault="00F45BC4" w:rsidP="00F45BC4">
            <w:pPr>
              <w:spacing w:after="0" w:line="240" w:lineRule="auto"/>
              <w:jc w:val="center"/>
              <w:rPr>
                <w:rFonts w:ascii="Times New Roman" w:hAnsi="Times New Roman" w:cs="Times New Roman"/>
                <w:color w:val="000000"/>
                <w:sz w:val="20"/>
                <w:szCs w:val="20"/>
              </w:rPr>
            </w:pPr>
          </w:p>
        </w:tc>
        <w:tc>
          <w:tcPr>
            <w:tcW w:w="0" w:type="auto"/>
            <w:tcBorders>
              <w:top w:val="single" w:sz="4" w:space="0" w:color="auto"/>
            </w:tcBorders>
            <w:shd w:val="clear" w:color="auto" w:fill="auto"/>
            <w:noWrap/>
            <w:vAlign w:val="bottom"/>
          </w:tcPr>
          <w:p w14:paraId="12F5ADF4" w14:textId="77777777" w:rsidR="00F45BC4" w:rsidRPr="00F82B8F" w:rsidRDefault="00F45BC4" w:rsidP="00F45BC4">
            <w:pPr>
              <w:spacing w:after="0" w:line="240" w:lineRule="auto"/>
              <w:jc w:val="center"/>
              <w:rPr>
                <w:rFonts w:ascii="Times New Roman" w:hAnsi="Times New Roman" w:cs="Times New Roman"/>
                <w:color w:val="000000"/>
                <w:sz w:val="20"/>
                <w:szCs w:val="20"/>
              </w:rPr>
            </w:pPr>
          </w:p>
        </w:tc>
        <w:tc>
          <w:tcPr>
            <w:tcW w:w="0" w:type="auto"/>
            <w:tcBorders>
              <w:top w:val="single" w:sz="4" w:space="0" w:color="auto"/>
            </w:tcBorders>
            <w:shd w:val="clear" w:color="auto" w:fill="auto"/>
            <w:noWrap/>
            <w:vAlign w:val="bottom"/>
          </w:tcPr>
          <w:p w14:paraId="761F3158" w14:textId="77777777" w:rsidR="00F45BC4" w:rsidRPr="00F82B8F" w:rsidRDefault="00F45BC4" w:rsidP="00F45BC4">
            <w:pPr>
              <w:spacing w:after="0" w:line="240" w:lineRule="auto"/>
              <w:jc w:val="center"/>
              <w:rPr>
                <w:rFonts w:ascii="Times New Roman" w:hAnsi="Times New Roman" w:cs="Times New Roman"/>
                <w:color w:val="000000"/>
                <w:sz w:val="20"/>
                <w:szCs w:val="20"/>
              </w:rPr>
            </w:pPr>
          </w:p>
        </w:tc>
        <w:tc>
          <w:tcPr>
            <w:tcW w:w="0" w:type="auto"/>
            <w:tcBorders>
              <w:top w:val="single" w:sz="4" w:space="0" w:color="auto"/>
            </w:tcBorders>
            <w:shd w:val="clear" w:color="auto" w:fill="auto"/>
            <w:noWrap/>
            <w:vAlign w:val="bottom"/>
          </w:tcPr>
          <w:p w14:paraId="25B4F6A7" w14:textId="77777777" w:rsidR="00F45BC4" w:rsidRPr="00F82B8F" w:rsidRDefault="00F45BC4" w:rsidP="00F45BC4">
            <w:pPr>
              <w:spacing w:after="0" w:line="240" w:lineRule="auto"/>
              <w:jc w:val="center"/>
              <w:rPr>
                <w:rFonts w:ascii="Times New Roman" w:hAnsi="Times New Roman" w:cs="Times New Roman"/>
                <w:color w:val="000000"/>
                <w:sz w:val="20"/>
                <w:szCs w:val="20"/>
              </w:rPr>
            </w:pPr>
          </w:p>
        </w:tc>
        <w:tc>
          <w:tcPr>
            <w:tcW w:w="0" w:type="auto"/>
            <w:tcBorders>
              <w:top w:val="single" w:sz="4" w:space="0" w:color="auto"/>
            </w:tcBorders>
            <w:shd w:val="clear" w:color="auto" w:fill="auto"/>
            <w:noWrap/>
            <w:vAlign w:val="bottom"/>
          </w:tcPr>
          <w:p w14:paraId="2A673DE9" w14:textId="77777777" w:rsidR="00F45BC4" w:rsidRPr="00F82B8F" w:rsidRDefault="00F45BC4" w:rsidP="00F45BC4">
            <w:pPr>
              <w:spacing w:after="0" w:line="240" w:lineRule="auto"/>
              <w:jc w:val="center"/>
              <w:rPr>
                <w:rFonts w:ascii="Times New Roman" w:hAnsi="Times New Roman" w:cs="Times New Roman"/>
                <w:color w:val="000000"/>
                <w:sz w:val="20"/>
                <w:szCs w:val="20"/>
              </w:rPr>
            </w:pPr>
          </w:p>
        </w:tc>
        <w:tc>
          <w:tcPr>
            <w:tcW w:w="0" w:type="auto"/>
            <w:tcBorders>
              <w:top w:val="single" w:sz="4" w:space="0" w:color="auto"/>
            </w:tcBorders>
            <w:shd w:val="clear" w:color="auto" w:fill="auto"/>
            <w:noWrap/>
            <w:vAlign w:val="bottom"/>
          </w:tcPr>
          <w:p w14:paraId="55BED3EF" w14:textId="77777777" w:rsidR="00F45BC4" w:rsidRPr="00F82B8F" w:rsidRDefault="00F45BC4" w:rsidP="00F45BC4">
            <w:pPr>
              <w:spacing w:after="0" w:line="240" w:lineRule="auto"/>
              <w:jc w:val="center"/>
              <w:rPr>
                <w:rFonts w:ascii="Times New Roman" w:hAnsi="Times New Roman" w:cs="Times New Roman"/>
                <w:color w:val="000000"/>
                <w:sz w:val="20"/>
                <w:szCs w:val="20"/>
              </w:rPr>
            </w:pPr>
          </w:p>
        </w:tc>
        <w:tc>
          <w:tcPr>
            <w:tcW w:w="0" w:type="auto"/>
            <w:tcBorders>
              <w:top w:val="single" w:sz="4" w:space="0" w:color="auto"/>
            </w:tcBorders>
            <w:shd w:val="clear" w:color="auto" w:fill="auto"/>
            <w:noWrap/>
            <w:vAlign w:val="bottom"/>
          </w:tcPr>
          <w:p w14:paraId="14D54BD2" w14:textId="77777777" w:rsidR="00F45BC4" w:rsidRPr="00F82B8F" w:rsidRDefault="00F45BC4" w:rsidP="00F45BC4">
            <w:pPr>
              <w:spacing w:after="0" w:line="240" w:lineRule="auto"/>
              <w:jc w:val="center"/>
              <w:rPr>
                <w:rFonts w:ascii="Times New Roman" w:hAnsi="Times New Roman" w:cs="Times New Roman"/>
                <w:color w:val="000000"/>
                <w:sz w:val="20"/>
                <w:szCs w:val="20"/>
              </w:rPr>
            </w:pPr>
          </w:p>
        </w:tc>
        <w:tc>
          <w:tcPr>
            <w:tcW w:w="0" w:type="auto"/>
            <w:tcBorders>
              <w:top w:val="single" w:sz="4" w:space="0" w:color="auto"/>
            </w:tcBorders>
            <w:shd w:val="clear" w:color="auto" w:fill="auto"/>
            <w:noWrap/>
            <w:vAlign w:val="bottom"/>
          </w:tcPr>
          <w:p w14:paraId="55CA8284" w14:textId="77777777" w:rsidR="00F45BC4" w:rsidRPr="00F82B8F" w:rsidRDefault="00F45BC4" w:rsidP="00F45BC4">
            <w:pPr>
              <w:spacing w:after="0" w:line="240" w:lineRule="auto"/>
              <w:jc w:val="center"/>
              <w:rPr>
                <w:rFonts w:ascii="Times New Roman" w:hAnsi="Times New Roman" w:cs="Times New Roman"/>
                <w:color w:val="000000"/>
                <w:sz w:val="20"/>
                <w:szCs w:val="20"/>
              </w:rPr>
            </w:pPr>
          </w:p>
        </w:tc>
        <w:tc>
          <w:tcPr>
            <w:tcW w:w="0" w:type="auto"/>
            <w:tcBorders>
              <w:top w:val="single" w:sz="4" w:space="0" w:color="auto"/>
            </w:tcBorders>
            <w:shd w:val="clear" w:color="auto" w:fill="auto"/>
            <w:noWrap/>
            <w:vAlign w:val="bottom"/>
          </w:tcPr>
          <w:p w14:paraId="54FDE9E1" w14:textId="77777777" w:rsidR="00F45BC4" w:rsidRPr="00F82B8F" w:rsidRDefault="00F45BC4" w:rsidP="00F45BC4">
            <w:pPr>
              <w:spacing w:after="0" w:line="240" w:lineRule="auto"/>
              <w:jc w:val="center"/>
              <w:rPr>
                <w:rFonts w:ascii="Times New Roman" w:hAnsi="Times New Roman" w:cs="Times New Roman"/>
                <w:color w:val="000000"/>
                <w:sz w:val="20"/>
                <w:szCs w:val="20"/>
              </w:rPr>
            </w:pPr>
          </w:p>
        </w:tc>
        <w:tc>
          <w:tcPr>
            <w:tcW w:w="0" w:type="auto"/>
            <w:tcBorders>
              <w:top w:val="single" w:sz="4" w:space="0" w:color="auto"/>
            </w:tcBorders>
            <w:shd w:val="clear" w:color="auto" w:fill="auto"/>
            <w:vAlign w:val="bottom"/>
          </w:tcPr>
          <w:p w14:paraId="2C02341B" w14:textId="77777777" w:rsidR="00F45BC4" w:rsidRPr="00F82B8F" w:rsidRDefault="00F45BC4" w:rsidP="00F45BC4">
            <w:pPr>
              <w:spacing w:after="0" w:line="240" w:lineRule="auto"/>
              <w:jc w:val="center"/>
              <w:rPr>
                <w:rFonts w:ascii="Times New Roman" w:hAnsi="Times New Roman" w:cs="Times New Roman"/>
                <w:color w:val="000000"/>
                <w:sz w:val="20"/>
                <w:szCs w:val="20"/>
              </w:rPr>
            </w:pPr>
          </w:p>
        </w:tc>
        <w:tc>
          <w:tcPr>
            <w:tcW w:w="0" w:type="auto"/>
            <w:tcBorders>
              <w:top w:val="single" w:sz="4" w:space="0" w:color="auto"/>
            </w:tcBorders>
            <w:shd w:val="clear" w:color="auto" w:fill="auto"/>
            <w:vAlign w:val="bottom"/>
          </w:tcPr>
          <w:p w14:paraId="6B95C1B4" w14:textId="77777777" w:rsidR="00F45BC4" w:rsidRPr="00F82B8F" w:rsidRDefault="00F45BC4" w:rsidP="00F45BC4">
            <w:pPr>
              <w:spacing w:after="0" w:line="240" w:lineRule="auto"/>
              <w:jc w:val="center"/>
              <w:rPr>
                <w:rFonts w:ascii="Times New Roman" w:hAnsi="Times New Roman" w:cs="Times New Roman"/>
                <w:color w:val="000000"/>
                <w:sz w:val="20"/>
                <w:szCs w:val="20"/>
              </w:rPr>
            </w:pPr>
          </w:p>
        </w:tc>
        <w:tc>
          <w:tcPr>
            <w:tcW w:w="1262" w:type="dxa"/>
            <w:tcBorders>
              <w:top w:val="single" w:sz="4" w:space="0" w:color="auto"/>
            </w:tcBorders>
            <w:shd w:val="clear" w:color="auto" w:fill="auto"/>
            <w:vAlign w:val="bottom"/>
          </w:tcPr>
          <w:p w14:paraId="6B3504AF" w14:textId="77777777" w:rsidR="00F45BC4" w:rsidRPr="00F82B8F" w:rsidRDefault="00F45BC4" w:rsidP="0082004F">
            <w:pPr>
              <w:spacing w:after="0" w:line="240" w:lineRule="auto"/>
              <w:jc w:val="center"/>
              <w:rPr>
                <w:rFonts w:ascii="Times New Roman" w:hAnsi="Times New Roman" w:cs="Times New Roman"/>
                <w:color w:val="000000"/>
                <w:sz w:val="20"/>
                <w:szCs w:val="20"/>
              </w:rPr>
            </w:pPr>
          </w:p>
        </w:tc>
      </w:tr>
      <w:tr w:rsidR="00917506" w:rsidRPr="00F82B8F" w14:paraId="61AC50F9" w14:textId="77777777" w:rsidTr="00917506">
        <w:trPr>
          <w:trHeight w:val="300"/>
        </w:trPr>
        <w:tc>
          <w:tcPr>
            <w:tcW w:w="0" w:type="auto"/>
            <w:shd w:val="clear" w:color="auto" w:fill="auto"/>
            <w:noWrap/>
            <w:vAlign w:val="bottom"/>
          </w:tcPr>
          <w:p w14:paraId="13DCA66D" w14:textId="082AA160" w:rsidR="00917506" w:rsidRPr="00F82B8F" w:rsidRDefault="00917506" w:rsidP="00917506">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CTC</w:t>
            </w:r>
          </w:p>
        </w:tc>
        <w:tc>
          <w:tcPr>
            <w:tcW w:w="0" w:type="auto"/>
            <w:shd w:val="clear" w:color="auto" w:fill="auto"/>
            <w:noWrap/>
            <w:vAlign w:val="bottom"/>
          </w:tcPr>
          <w:p w14:paraId="12E96C0E"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4.3020***</w:t>
            </w:r>
          </w:p>
        </w:tc>
        <w:tc>
          <w:tcPr>
            <w:tcW w:w="0" w:type="auto"/>
            <w:shd w:val="clear" w:color="auto" w:fill="auto"/>
            <w:noWrap/>
            <w:vAlign w:val="bottom"/>
          </w:tcPr>
          <w:p w14:paraId="1FE3215D"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4.0567***</w:t>
            </w:r>
          </w:p>
        </w:tc>
        <w:tc>
          <w:tcPr>
            <w:tcW w:w="0" w:type="auto"/>
            <w:shd w:val="clear" w:color="auto" w:fill="auto"/>
            <w:noWrap/>
            <w:vAlign w:val="bottom"/>
          </w:tcPr>
          <w:p w14:paraId="6783C32D"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4.1910***</w:t>
            </w:r>
          </w:p>
        </w:tc>
        <w:tc>
          <w:tcPr>
            <w:tcW w:w="0" w:type="auto"/>
            <w:shd w:val="clear" w:color="auto" w:fill="auto"/>
            <w:noWrap/>
            <w:vAlign w:val="bottom"/>
          </w:tcPr>
          <w:p w14:paraId="44E37FBF"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4.3933***</w:t>
            </w:r>
          </w:p>
        </w:tc>
        <w:tc>
          <w:tcPr>
            <w:tcW w:w="0" w:type="auto"/>
            <w:shd w:val="clear" w:color="auto" w:fill="auto"/>
            <w:noWrap/>
            <w:vAlign w:val="bottom"/>
          </w:tcPr>
          <w:p w14:paraId="66A89987"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4.3159***</w:t>
            </w:r>
          </w:p>
        </w:tc>
        <w:tc>
          <w:tcPr>
            <w:tcW w:w="0" w:type="auto"/>
            <w:shd w:val="clear" w:color="auto" w:fill="auto"/>
            <w:noWrap/>
            <w:vAlign w:val="bottom"/>
          </w:tcPr>
          <w:p w14:paraId="6D16B365"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4.3071***</w:t>
            </w:r>
          </w:p>
        </w:tc>
        <w:tc>
          <w:tcPr>
            <w:tcW w:w="0" w:type="auto"/>
            <w:shd w:val="clear" w:color="auto" w:fill="auto"/>
            <w:noWrap/>
            <w:vAlign w:val="bottom"/>
          </w:tcPr>
          <w:p w14:paraId="1AED245A"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4.4816***</w:t>
            </w:r>
          </w:p>
        </w:tc>
        <w:tc>
          <w:tcPr>
            <w:tcW w:w="0" w:type="auto"/>
            <w:shd w:val="clear" w:color="auto" w:fill="auto"/>
            <w:noWrap/>
            <w:vAlign w:val="bottom"/>
          </w:tcPr>
          <w:p w14:paraId="16985183"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4.2993***</w:t>
            </w:r>
          </w:p>
        </w:tc>
        <w:tc>
          <w:tcPr>
            <w:tcW w:w="0" w:type="auto"/>
            <w:shd w:val="clear" w:color="auto" w:fill="auto"/>
            <w:noWrap/>
            <w:vAlign w:val="bottom"/>
          </w:tcPr>
          <w:p w14:paraId="6C7BC6A2"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4.2842***</w:t>
            </w:r>
          </w:p>
        </w:tc>
        <w:tc>
          <w:tcPr>
            <w:tcW w:w="0" w:type="auto"/>
            <w:shd w:val="clear" w:color="auto" w:fill="auto"/>
            <w:vAlign w:val="bottom"/>
          </w:tcPr>
          <w:p w14:paraId="63802FF5"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4.1902***</w:t>
            </w:r>
          </w:p>
        </w:tc>
        <w:tc>
          <w:tcPr>
            <w:tcW w:w="0" w:type="auto"/>
            <w:shd w:val="clear" w:color="auto" w:fill="auto"/>
            <w:vAlign w:val="bottom"/>
          </w:tcPr>
          <w:p w14:paraId="47BCB4A0"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4.2002***</w:t>
            </w:r>
          </w:p>
        </w:tc>
        <w:tc>
          <w:tcPr>
            <w:tcW w:w="1262" w:type="dxa"/>
            <w:tcBorders>
              <w:top w:val="nil"/>
              <w:left w:val="nil"/>
              <w:bottom w:val="nil"/>
              <w:right w:val="nil"/>
            </w:tcBorders>
            <w:shd w:val="clear" w:color="auto" w:fill="auto"/>
            <w:vAlign w:val="bottom"/>
          </w:tcPr>
          <w:p w14:paraId="2D6A4A2C" w14:textId="2C654D24" w:rsidR="00917506" w:rsidRPr="00F82B8F" w:rsidRDefault="00917506" w:rsidP="0082004F">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3.9934***</w:t>
            </w:r>
          </w:p>
        </w:tc>
      </w:tr>
      <w:tr w:rsidR="00917506" w:rsidRPr="00F82B8F" w14:paraId="15A63EFB" w14:textId="77777777" w:rsidTr="00917506">
        <w:trPr>
          <w:trHeight w:val="300"/>
        </w:trPr>
        <w:tc>
          <w:tcPr>
            <w:tcW w:w="0" w:type="auto"/>
            <w:shd w:val="clear" w:color="auto" w:fill="auto"/>
            <w:noWrap/>
            <w:vAlign w:val="bottom"/>
          </w:tcPr>
          <w:p w14:paraId="2AAB5C3D" w14:textId="77777777" w:rsidR="00917506" w:rsidRPr="00F82B8F" w:rsidRDefault="00917506" w:rsidP="00917506">
            <w:pPr>
              <w:spacing w:after="0" w:line="240" w:lineRule="auto"/>
              <w:rPr>
                <w:rFonts w:ascii="Times New Roman" w:eastAsia="Times New Roman" w:hAnsi="Times New Roman" w:cs="Times New Roman"/>
                <w:color w:val="000000"/>
                <w:sz w:val="20"/>
                <w:szCs w:val="20"/>
                <w:lang w:eastAsia="en-GB"/>
              </w:rPr>
            </w:pPr>
          </w:p>
        </w:tc>
        <w:tc>
          <w:tcPr>
            <w:tcW w:w="0" w:type="auto"/>
            <w:shd w:val="clear" w:color="auto" w:fill="auto"/>
            <w:noWrap/>
            <w:vAlign w:val="bottom"/>
          </w:tcPr>
          <w:p w14:paraId="0AFE6CB3"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(0.5228)</w:t>
            </w:r>
          </w:p>
        </w:tc>
        <w:tc>
          <w:tcPr>
            <w:tcW w:w="0" w:type="auto"/>
            <w:shd w:val="clear" w:color="auto" w:fill="auto"/>
            <w:noWrap/>
            <w:vAlign w:val="bottom"/>
          </w:tcPr>
          <w:p w14:paraId="5D9CCF04"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(0.5319)</w:t>
            </w:r>
          </w:p>
        </w:tc>
        <w:tc>
          <w:tcPr>
            <w:tcW w:w="0" w:type="auto"/>
            <w:shd w:val="clear" w:color="auto" w:fill="auto"/>
            <w:noWrap/>
            <w:vAlign w:val="bottom"/>
          </w:tcPr>
          <w:p w14:paraId="63BEAAF0"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(0.5231)</w:t>
            </w:r>
          </w:p>
        </w:tc>
        <w:tc>
          <w:tcPr>
            <w:tcW w:w="0" w:type="auto"/>
            <w:shd w:val="clear" w:color="auto" w:fill="auto"/>
            <w:noWrap/>
            <w:vAlign w:val="bottom"/>
          </w:tcPr>
          <w:p w14:paraId="24B094E7"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(0.5176)</w:t>
            </w:r>
          </w:p>
        </w:tc>
        <w:tc>
          <w:tcPr>
            <w:tcW w:w="0" w:type="auto"/>
            <w:shd w:val="clear" w:color="auto" w:fill="auto"/>
            <w:noWrap/>
            <w:vAlign w:val="bottom"/>
          </w:tcPr>
          <w:p w14:paraId="254D21FC"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(0.5175)</w:t>
            </w:r>
          </w:p>
        </w:tc>
        <w:tc>
          <w:tcPr>
            <w:tcW w:w="0" w:type="auto"/>
            <w:shd w:val="clear" w:color="auto" w:fill="auto"/>
            <w:noWrap/>
            <w:vAlign w:val="bottom"/>
          </w:tcPr>
          <w:p w14:paraId="1B1D7FA4"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(0.5226)</w:t>
            </w:r>
          </w:p>
        </w:tc>
        <w:tc>
          <w:tcPr>
            <w:tcW w:w="0" w:type="auto"/>
            <w:shd w:val="clear" w:color="auto" w:fill="auto"/>
            <w:noWrap/>
            <w:vAlign w:val="bottom"/>
          </w:tcPr>
          <w:p w14:paraId="55B667CE"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(0.5212)</w:t>
            </w:r>
          </w:p>
        </w:tc>
        <w:tc>
          <w:tcPr>
            <w:tcW w:w="0" w:type="auto"/>
            <w:shd w:val="clear" w:color="auto" w:fill="auto"/>
            <w:noWrap/>
            <w:vAlign w:val="bottom"/>
          </w:tcPr>
          <w:p w14:paraId="51B930A3"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(0.5232)</w:t>
            </w:r>
          </w:p>
        </w:tc>
        <w:tc>
          <w:tcPr>
            <w:tcW w:w="0" w:type="auto"/>
            <w:shd w:val="clear" w:color="auto" w:fill="auto"/>
            <w:noWrap/>
            <w:vAlign w:val="bottom"/>
          </w:tcPr>
          <w:p w14:paraId="488BBF25"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(0.5196)</w:t>
            </w:r>
          </w:p>
        </w:tc>
        <w:tc>
          <w:tcPr>
            <w:tcW w:w="0" w:type="auto"/>
            <w:shd w:val="clear" w:color="auto" w:fill="auto"/>
            <w:vAlign w:val="bottom"/>
          </w:tcPr>
          <w:p w14:paraId="3430D7CB"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(0.5259)</w:t>
            </w:r>
          </w:p>
        </w:tc>
        <w:tc>
          <w:tcPr>
            <w:tcW w:w="0" w:type="auto"/>
            <w:shd w:val="clear" w:color="auto" w:fill="auto"/>
            <w:vAlign w:val="bottom"/>
          </w:tcPr>
          <w:p w14:paraId="50D3490F"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(0.5261)</w:t>
            </w:r>
          </w:p>
        </w:tc>
        <w:tc>
          <w:tcPr>
            <w:tcW w:w="1262" w:type="dxa"/>
            <w:tcBorders>
              <w:top w:val="nil"/>
              <w:left w:val="nil"/>
              <w:bottom w:val="nil"/>
              <w:right w:val="nil"/>
            </w:tcBorders>
            <w:shd w:val="clear" w:color="auto" w:fill="auto"/>
            <w:vAlign w:val="bottom"/>
          </w:tcPr>
          <w:p w14:paraId="54A694C5" w14:textId="454D2782" w:rsidR="00917506" w:rsidRPr="00F82B8F" w:rsidRDefault="00917506" w:rsidP="0082004F">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(0.5478)</w:t>
            </w:r>
          </w:p>
        </w:tc>
      </w:tr>
      <w:tr w:rsidR="00917506" w:rsidRPr="00F82B8F" w14:paraId="53B4B5E1" w14:textId="77777777" w:rsidTr="00917506">
        <w:trPr>
          <w:trHeight w:val="300"/>
        </w:trPr>
        <w:tc>
          <w:tcPr>
            <w:tcW w:w="0" w:type="auto"/>
            <w:shd w:val="clear" w:color="auto" w:fill="auto"/>
            <w:noWrap/>
            <w:vAlign w:val="bottom"/>
          </w:tcPr>
          <w:p w14:paraId="25CAEEDD" w14:textId="667D95D2" w:rsidR="00917506" w:rsidRPr="00F82B8F" w:rsidRDefault="00917506" w:rsidP="00917506">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CTD</w:t>
            </w:r>
          </w:p>
        </w:tc>
        <w:tc>
          <w:tcPr>
            <w:tcW w:w="0" w:type="auto"/>
            <w:shd w:val="clear" w:color="auto" w:fill="auto"/>
            <w:noWrap/>
            <w:vAlign w:val="bottom"/>
          </w:tcPr>
          <w:p w14:paraId="753A594B"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2.7650***</w:t>
            </w:r>
          </w:p>
        </w:tc>
        <w:tc>
          <w:tcPr>
            <w:tcW w:w="0" w:type="auto"/>
            <w:shd w:val="clear" w:color="auto" w:fill="auto"/>
            <w:noWrap/>
            <w:vAlign w:val="bottom"/>
          </w:tcPr>
          <w:p w14:paraId="5A807740"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3.8377***</w:t>
            </w:r>
          </w:p>
        </w:tc>
        <w:tc>
          <w:tcPr>
            <w:tcW w:w="0" w:type="auto"/>
            <w:shd w:val="clear" w:color="auto" w:fill="auto"/>
            <w:noWrap/>
            <w:vAlign w:val="bottom"/>
          </w:tcPr>
          <w:p w14:paraId="0D6BA666"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3.2195***</w:t>
            </w:r>
          </w:p>
        </w:tc>
        <w:tc>
          <w:tcPr>
            <w:tcW w:w="0" w:type="auto"/>
            <w:shd w:val="clear" w:color="auto" w:fill="auto"/>
            <w:noWrap/>
            <w:vAlign w:val="bottom"/>
          </w:tcPr>
          <w:p w14:paraId="75DB49DA"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2.5552***</w:t>
            </w:r>
          </w:p>
        </w:tc>
        <w:tc>
          <w:tcPr>
            <w:tcW w:w="0" w:type="auto"/>
            <w:shd w:val="clear" w:color="auto" w:fill="auto"/>
            <w:noWrap/>
            <w:vAlign w:val="bottom"/>
          </w:tcPr>
          <w:p w14:paraId="78AD363D"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2.6472***</w:t>
            </w:r>
          </w:p>
        </w:tc>
        <w:tc>
          <w:tcPr>
            <w:tcW w:w="0" w:type="auto"/>
            <w:shd w:val="clear" w:color="auto" w:fill="auto"/>
            <w:noWrap/>
            <w:vAlign w:val="bottom"/>
          </w:tcPr>
          <w:p w14:paraId="2806C0B7"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2.7916***</w:t>
            </w:r>
          </w:p>
        </w:tc>
        <w:tc>
          <w:tcPr>
            <w:tcW w:w="0" w:type="auto"/>
            <w:shd w:val="clear" w:color="auto" w:fill="auto"/>
            <w:noWrap/>
            <w:vAlign w:val="bottom"/>
          </w:tcPr>
          <w:p w14:paraId="261BFE61"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2.0794***</w:t>
            </w:r>
          </w:p>
        </w:tc>
        <w:tc>
          <w:tcPr>
            <w:tcW w:w="0" w:type="auto"/>
            <w:shd w:val="clear" w:color="auto" w:fill="auto"/>
            <w:noWrap/>
            <w:vAlign w:val="bottom"/>
          </w:tcPr>
          <w:p w14:paraId="1AFA972C"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2.9027***</w:t>
            </w:r>
          </w:p>
        </w:tc>
        <w:tc>
          <w:tcPr>
            <w:tcW w:w="0" w:type="auto"/>
            <w:shd w:val="clear" w:color="auto" w:fill="auto"/>
            <w:noWrap/>
            <w:vAlign w:val="bottom"/>
          </w:tcPr>
          <w:p w14:paraId="1A8634D9"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2.7392***</w:t>
            </w:r>
          </w:p>
        </w:tc>
        <w:tc>
          <w:tcPr>
            <w:tcW w:w="0" w:type="auto"/>
            <w:shd w:val="clear" w:color="auto" w:fill="auto"/>
            <w:vAlign w:val="bottom"/>
          </w:tcPr>
          <w:p w14:paraId="29A635B6"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2.4677***</w:t>
            </w:r>
          </w:p>
        </w:tc>
        <w:tc>
          <w:tcPr>
            <w:tcW w:w="0" w:type="auto"/>
            <w:shd w:val="clear" w:color="auto" w:fill="auto"/>
            <w:vAlign w:val="bottom"/>
          </w:tcPr>
          <w:p w14:paraId="68674887"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2.4600***</w:t>
            </w:r>
          </w:p>
        </w:tc>
        <w:tc>
          <w:tcPr>
            <w:tcW w:w="1262" w:type="dxa"/>
            <w:tcBorders>
              <w:top w:val="nil"/>
              <w:left w:val="nil"/>
              <w:bottom w:val="nil"/>
              <w:right w:val="nil"/>
            </w:tcBorders>
            <w:shd w:val="clear" w:color="auto" w:fill="auto"/>
            <w:vAlign w:val="bottom"/>
          </w:tcPr>
          <w:p w14:paraId="5D5652D6" w14:textId="3BF1805E" w:rsidR="00917506" w:rsidRPr="00F82B8F" w:rsidRDefault="00917506" w:rsidP="0082004F">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3.4363***</w:t>
            </w:r>
          </w:p>
        </w:tc>
      </w:tr>
      <w:tr w:rsidR="00917506" w:rsidRPr="00F82B8F" w14:paraId="593FEEE9" w14:textId="77777777" w:rsidTr="00917506">
        <w:trPr>
          <w:trHeight w:val="300"/>
        </w:trPr>
        <w:tc>
          <w:tcPr>
            <w:tcW w:w="0" w:type="auto"/>
            <w:shd w:val="clear" w:color="auto" w:fill="auto"/>
            <w:noWrap/>
            <w:vAlign w:val="bottom"/>
          </w:tcPr>
          <w:p w14:paraId="56B26648" w14:textId="77777777" w:rsidR="00917506" w:rsidRPr="00F82B8F" w:rsidRDefault="00917506" w:rsidP="00917506">
            <w:pPr>
              <w:spacing w:after="0" w:line="240" w:lineRule="auto"/>
              <w:rPr>
                <w:rFonts w:ascii="Times New Roman" w:eastAsia="Times New Roman" w:hAnsi="Times New Roman" w:cs="Times New Roman"/>
                <w:color w:val="000000"/>
                <w:sz w:val="20"/>
                <w:szCs w:val="20"/>
                <w:lang w:eastAsia="en-GB"/>
              </w:rPr>
            </w:pPr>
          </w:p>
        </w:tc>
        <w:tc>
          <w:tcPr>
            <w:tcW w:w="0" w:type="auto"/>
            <w:shd w:val="clear" w:color="auto" w:fill="auto"/>
            <w:noWrap/>
            <w:vAlign w:val="bottom"/>
          </w:tcPr>
          <w:p w14:paraId="150AC76D"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(0.3753)</w:t>
            </w:r>
          </w:p>
        </w:tc>
        <w:tc>
          <w:tcPr>
            <w:tcW w:w="0" w:type="auto"/>
            <w:shd w:val="clear" w:color="auto" w:fill="auto"/>
            <w:noWrap/>
            <w:vAlign w:val="bottom"/>
          </w:tcPr>
          <w:p w14:paraId="59917052"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(0.3772)</w:t>
            </w:r>
          </w:p>
        </w:tc>
        <w:tc>
          <w:tcPr>
            <w:tcW w:w="0" w:type="auto"/>
            <w:shd w:val="clear" w:color="auto" w:fill="auto"/>
            <w:noWrap/>
            <w:vAlign w:val="bottom"/>
          </w:tcPr>
          <w:p w14:paraId="3B8EDDD2"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(0.3754)</w:t>
            </w:r>
          </w:p>
        </w:tc>
        <w:tc>
          <w:tcPr>
            <w:tcW w:w="0" w:type="auto"/>
            <w:shd w:val="clear" w:color="auto" w:fill="auto"/>
            <w:noWrap/>
            <w:vAlign w:val="bottom"/>
          </w:tcPr>
          <w:p w14:paraId="72E08792"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(0.3744)</w:t>
            </w:r>
          </w:p>
        </w:tc>
        <w:tc>
          <w:tcPr>
            <w:tcW w:w="0" w:type="auto"/>
            <w:shd w:val="clear" w:color="auto" w:fill="auto"/>
            <w:noWrap/>
            <w:vAlign w:val="bottom"/>
          </w:tcPr>
          <w:p w14:paraId="2ABDD46A"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(0.3749)</w:t>
            </w:r>
          </w:p>
        </w:tc>
        <w:tc>
          <w:tcPr>
            <w:tcW w:w="0" w:type="auto"/>
            <w:shd w:val="clear" w:color="auto" w:fill="auto"/>
            <w:noWrap/>
            <w:vAlign w:val="bottom"/>
          </w:tcPr>
          <w:p w14:paraId="4F8AC165"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(0.3754)</w:t>
            </w:r>
          </w:p>
        </w:tc>
        <w:tc>
          <w:tcPr>
            <w:tcW w:w="0" w:type="auto"/>
            <w:shd w:val="clear" w:color="auto" w:fill="auto"/>
            <w:noWrap/>
            <w:vAlign w:val="bottom"/>
          </w:tcPr>
          <w:p w14:paraId="192A2632"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(0.3794)</w:t>
            </w:r>
          </w:p>
        </w:tc>
        <w:tc>
          <w:tcPr>
            <w:tcW w:w="0" w:type="auto"/>
            <w:shd w:val="clear" w:color="auto" w:fill="auto"/>
            <w:noWrap/>
            <w:vAlign w:val="bottom"/>
          </w:tcPr>
          <w:p w14:paraId="0108123A"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(0.3755)</w:t>
            </w:r>
          </w:p>
        </w:tc>
        <w:tc>
          <w:tcPr>
            <w:tcW w:w="0" w:type="auto"/>
            <w:shd w:val="clear" w:color="auto" w:fill="auto"/>
            <w:noWrap/>
            <w:vAlign w:val="bottom"/>
          </w:tcPr>
          <w:p w14:paraId="2DAFE82E"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(0.3751)</w:t>
            </w:r>
          </w:p>
        </w:tc>
        <w:tc>
          <w:tcPr>
            <w:tcW w:w="0" w:type="auto"/>
            <w:shd w:val="clear" w:color="auto" w:fill="auto"/>
            <w:vAlign w:val="bottom"/>
          </w:tcPr>
          <w:p w14:paraId="506AED86"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(0.3801)</w:t>
            </w:r>
          </w:p>
        </w:tc>
        <w:tc>
          <w:tcPr>
            <w:tcW w:w="0" w:type="auto"/>
            <w:shd w:val="clear" w:color="auto" w:fill="auto"/>
            <w:vAlign w:val="bottom"/>
          </w:tcPr>
          <w:p w14:paraId="31271798" w14:textId="77777777" w:rsidR="00917506" w:rsidRPr="00F82B8F" w:rsidRDefault="00917506" w:rsidP="00917506">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color w:val="000000"/>
                <w:sz w:val="20"/>
                <w:szCs w:val="20"/>
              </w:rPr>
              <w:t>(0.3800)</w:t>
            </w:r>
          </w:p>
        </w:tc>
        <w:tc>
          <w:tcPr>
            <w:tcW w:w="1262" w:type="dxa"/>
            <w:tcBorders>
              <w:top w:val="nil"/>
              <w:left w:val="nil"/>
              <w:bottom w:val="nil"/>
              <w:right w:val="nil"/>
            </w:tcBorders>
            <w:shd w:val="clear" w:color="auto" w:fill="auto"/>
            <w:vAlign w:val="bottom"/>
          </w:tcPr>
          <w:p w14:paraId="43C0DF36" w14:textId="3AD65D55" w:rsidR="00917506" w:rsidRPr="00F82B8F" w:rsidRDefault="00917506" w:rsidP="0082004F">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(0.3896)</w:t>
            </w:r>
          </w:p>
        </w:tc>
      </w:tr>
      <w:tr w:rsidR="00917506" w:rsidRPr="00F82B8F" w14:paraId="178E3BC4" w14:textId="77777777" w:rsidTr="00917506">
        <w:trPr>
          <w:trHeight w:val="300"/>
        </w:trPr>
        <w:tc>
          <w:tcPr>
            <w:tcW w:w="0" w:type="auto"/>
            <w:shd w:val="clear" w:color="auto" w:fill="auto"/>
            <w:noWrap/>
            <w:vAlign w:val="bottom"/>
          </w:tcPr>
          <w:p w14:paraId="04BD47C0" w14:textId="7AE99119" w:rsidR="00917506" w:rsidRPr="00F82B8F" w:rsidRDefault="00917506" w:rsidP="00917506">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CSC</w:t>
            </w:r>
          </w:p>
        </w:tc>
        <w:tc>
          <w:tcPr>
            <w:tcW w:w="0" w:type="auto"/>
            <w:shd w:val="clear" w:color="auto" w:fill="auto"/>
            <w:noWrap/>
            <w:vAlign w:val="bottom"/>
          </w:tcPr>
          <w:p w14:paraId="6C7641D3"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0.0565*</w:t>
            </w:r>
          </w:p>
        </w:tc>
        <w:tc>
          <w:tcPr>
            <w:tcW w:w="0" w:type="auto"/>
            <w:shd w:val="clear" w:color="auto" w:fill="auto"/>
            <w:noWrap/>
            <w:vAlign w:val="bottom"/>
          </w:tcPr>
          <w:p w14:paraId="0FC83AE2"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0.0745**</w:t>
            </w:r>
          </w:p>
        </w:tc>
        <w:tc>
          <w:tcPr>
            <w:tcW w:w="0" w:type="auto"/>
            <w:shd w:val="clear" w:color="auto" w:fill="auto"/>
            <w:noWrap/>
            <w:vAlign w:val="bottom"/>
          </w:tcPr>
          <w:p w14:paraId="0F87B411"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color w:val="000000"/>
                <w:sz w:val="20"/>
                <w:szCs w:val="20"/>
              </w:rPr>
              <w:t>0.0790**</w:t>
            </w:r>
          </w:p>
        </w:tc>
        <w:tc>
          <w:tcPr>
            <w:tcW w:w="0" w:type="auto"/>
            <w:shd w:val="clear" w:color="auto" w:fill="auto"/>
            <w:noWrap/>
            <w:vAlign w:val="bottom"/>
          </w:tcPr>
          <w:p w14:paraId="641399FC"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color w:val="000000"/>
                <w:sz w:val="20"/>
                <w:szCs w:val="20"/>
              </w:rPr>
              <w:t>0.0548*</w:t>
            </w:r>
          </w:p>
        </w:tc>
        <w:tc>
          <w:tcPr>
            <w:tcW w:w="0" w:type="auto"/>
            <w:shd w:val="clear" w:color="auto" w:fill="auto"/>
            <w:noWrap/>
            <w:vAlign w:val="bottom"/>
          </w:tcPr>
          <w:p w14:paraId="5F074005"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color w:val="000000"/>
                <w:sz w:val="20"/>
                <w:szCs w:val="20"/>
              </w:rPr>
              <w:t>0.0517</w:t>
            </w:r>
          </w:p>
        </w:tc>
        <w:tc>
          <w:tcPr>
            <w:tcW w:w="0" w:type="auto"/>
            <w:shd w:val="clear" w:color="auto" w:fill="auto"/>
            <w:noWrap/>
            <w:vAlign w:val="bottom"/>
          </w:tcPr>
          <w:p w14:paraId="342FFA1A"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color w:val="000000"/>
                <w:sz w:val="20"/>
                <w:szCs w:val="20"/>
              </w:rPr>
              <w:t>0.0479</w:t>
            </w:r>
          </w:p>
        </w:tc>
        <w:tc>
          <w:tcPr>
            <w:tcW w:w="0" w:type="auto"/>
            <w:shd w:val="clear" w:color="auto" w:fill="auto"/>
            <w:noWrap/>
            <w:vAlign w:val="bottom"/>
          </w:tcPr>
          <w:p w14:paraId="2F9A7BB5"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color w:val="000000"/>
                <w:sz w:val="20"/>
                <w:szCs w:val="20"/>
              </w:rPr>
              <w:t>0.0530</w:t>
            </w:r>
          </w:p>
        </w:tc>
        <w:tc>
          <w:tcPr>
            <w:tcW w:w="0" w:type="auto"/>
            <w:shd w:val="clear" w:color="auto" w:fill="auto"/>
            <w:noWrap/>
            <w:vAlign w:val="bottom"/>
          </w:tcPr>
          <w:p w14:paraId="54889470"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color w:val="000000"/>
                <w:sz w:val="20"/>
                <w:szCs w:val="20"/>
              </w:rPr>
              <w:t>0.0455</w:t>
            </w:r>
          </w:p>
        </w:tc>
        <w:tc>
          <w:tcPr>
            <w:tcW w:w="0" w:type="auto"/>
            <w:shd w:val="clear" w:color="auto" w:fill="auto"/>
            <w:noWrap/>
            <w:vAlign w:val="bottom"/>
          </w:tcPr>
          <w:p w14:paraId="16B363AF"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color w:val="000000"/>
                <w:sz w:val="20"/>
                <w:szCs w:val="20"/>
              </w:rPr>
              <w:t>0.0412</w:t>
            </w:r>
          </w:p>
        </w:tc>
        <w:tc>
          <w:tcPr>
            <w:tcW w:w="0" w:type="auto"/>
            <w:shd w:val="clear" w:color="auto" w:fill="auto"/>
            <w:vAlign w:val="bottom"/>
          </w:tcPr>
          <w:p w14:paraId="7B03DFA0"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color w:val="000000"/>
                <w:sz w:val="20"/>
                <w:szCs w:val="20"/>
              </w:rPr>
              <w:t>0.0503</w:t>
            </w:r>
          </w:p>
        </w:tc>
        <w:tc>
          <w:tcPr>
            <w:tcW w:w="0" w:type="auto"/>
            <w:shd w:val="clear" w:color="auto" w:fill="auto"/>
            <w:vAlign w:val="bottom"/>
          </w:tcPr>
          <w:p w14:paraId="5EA70006"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color w:val="000000"/>
                <w:sz w:val="20"/>
                <w:szCs w:val="20"/>
              </w:rPr>
              <w:t>0.0503</w:t>
            </w:r>
          </w:p>
        </w:tc>
        <w:tc>
          <w:tcPr>
            <w:tcW w:w="1262" w:type="dxa"/>
            <w:tcBorders>
              <w:top w:val="nil"/>
              <w:left w:val="nil"/>
              <w:bottom w:val="nil"/>
              <w:right w:val="nil"/>
            </w:tcBorders>
            <w:shd w:val="clear" w:color="auto" w:fill="auto"/>
            <w:vAlign w:val="bottom"/>
          </w:tcPr>
          <w:p w14:paraId="47B8CC9B" w14:textId="4CC74EC9" w:rsidR="00917506" w:rsidRPr="00F82B8F" w:rsidRDefault="00917506" w:rsidP="0082004F">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0.0608</w:t>
            </w:r>
          </w:p>
        </w:tc>
      </w:tr>
      <w:tr w:rsidR="00917506" w:rsidRPr="00F82B8F" w14:paraId="42E7FDA8" w14:textId="77777777" w:rsidTr="00917506">
        <w:trPr>
          <w:trHeight w:val="300"/>
        </w:trPr>
        <w:tc>
          <w:tcPr>
            <w:tcW w:w="0" w:type="auto"/>
            <w:shd w:val="clear" w:color="auto" w:fill="auto"/>
            <w:noWrap/>
            <w:vAlign w:val="bottom"/>
          </w:tcPr>
          <w:p w14:paraId="46977F6E"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3D0085C3"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(0.0308)</w:t>
            </w:r>
          </w:p>
        </w:tc>
        <w:tc>
          <w:tcPr>
            <w:tcW w:w="0" w:type="auto"/>
            <w:shd w:val="clear" w:color="auto" w:fill="auto"/>
            <w:noWrap/>
            <w:vAlign w:val="bottom"/>
          </w:tcPr>
          <w:p w14:paraId="58186BC5"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(0.0331)</w:t>
            </w:r>
          </w:p>
        </w:tc>
        <w:tc>
          <w:tcPr>
            <w:tcW w:w="0" w:type="auto"/>
            <w:shd w:val="clear" w:color="auto" w:fill="auto"/>
            <w:noWrap/>
            <w:vAlign w:val="bottom"/>
          </w:tcPr>
          <w:p w14:paraId="3BEB4DEB"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color w:val="000000"/>
                <w:sz w:val="20"/>
                <w:szCs w:val="20"/>
              </w:rPr>
              <w:t>(0.0312)</w:t>
            </w:r>
          </w:p>
        </w:tc>
        <w:tc>
          <w:tcPr>
            <w:tcW w:w="0" w:type="auto"/>
            <w:shd w:val="clear" w:color="auto" w:fill="auto"/>
            <w:noWrap/>
            <w:vAlign w:val="bottom"/>
          </w:tcPr>
          <w:p w14:paraId="4D18F2AF"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color w:val="000000"/>
                <w:sz w:val="20"/>
                <w:szCs w:val="20"/>
              </w:rPr>
              <w:t>(0.0311)</w:t>
            </w:r>
          </w:p>
        </w:tc>
        <w:tc>
          <w:tcPr>
            <w:tcW w:w="0" w:type="auto"/>
            <w:shd w:val="clear" w:color="auto" w:fill="auto"/>
            <w:noWrap/>
            <w:vAlign w:val="bottom"/>
          </w:tcPr>
          <w:p w14:paraId="5122F3E6"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color w:val="000000"/>
                <w:sz w:val="20"/>
                <w:szCs w:val="20"/>
              </w:rPr>
              <w:t>(0.0317)</w:t>
            </w:r>
          </w:p>
        </w:tc>
        <w:tc>
          <w:tcPr>
            <w:tcW w:w="0" w:type="auto"/>
            <w:shd w:val="clear" w:color="auto" w:fill="auto"/>
            <w:noWrap/>
            <w:vAlign w:val="bottom"/>
          </w:tcPr>
          <w:p w14:paraId="44F38D9B"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color w:val="000000"/>
                <w:sz w:val="20"/>
                <w:szCs w:val="20"/>
              </w:rPr>
              <w:t>(0.0312)</w:t>
            </w:r>
          </w:p>
        </w:tc>
        <w:tc>
          <w:tcPr>
            <w:tcW w:w="0" w:type="auto"/>
            <w:shd w:val="clear" w:color="auto" w:fill="auto"/>
            <w:noWrap/>
            <w:vAlign w:val="bottom"/>
          </w:tcPr>
          <w:p w14:paraId="4E8C3EFC"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color w:val="000000"/>
                <w:sz w:val="20"/>
                <w:szCs w:val="20"/>
              </w:rPr>
              <w:t>(0.0327)</w:t>
            </w:r>
          </w:p>
        </w:tc>
        <w:tc>
          <w:tcPr>
            <w:tcW w:w="0" w:type="auto"/>
            <w:shd w:val="clear" w:color="auto" w:fill="auto"/>
            <w:noWrap/>
            <w:vAlign w:val="bottom"/>
          </w:tcPr>
          <w:p w14:paraId="755934EB"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color w:val="000000"/>
                <w:sz w:val="20"/>
                <w:szCs w:val="20"/>
              </w:rPr>
              <w:t>(0.0317)</w:t>
            </w:r>
          </w:p>
        </w:tc>
        <w:tc>
          <w:tcPr>
            <w:tcW w:w="0" w:type="auto"/>
            <w:shd w:val="clear" w:color="auto" w:fill="auto"/>
            <w:noWrap/>
            <w:vAlign w:val="bottom"/>
          </w:tcPr>
          <w:p w14:paraId="7A50005F"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color w:val="000000"/>
                <w:sz w:val="20"/>
                <w:szCs w:val="20"/>
              </w:rPr>
              <w:t>(0.0317)</w:t>
            </w:r>
          </w:p>
        </w:tc>
        <w:tc>
          <w:tcPr>
            <w:tcW w:w="0" w:type="auto"/>
            <w:shd w:val="clear" w:color="auto" w:fill="auto"/>
            <w:vAlign w:val="bottom"/>
          </w:tcPr>
          <w:p w14:paraId="6A2B3704"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color w:val="000000"/>
                <w:sz w:val="20"/>
                <w:szCs w:val="20"/>
              </w:rPr>
              <w:t>(0.0316)</w:t>
            </w:r>
          </w:p>
        </w:tc>
        <w:tc>
          <w:tcPr>
            <w:tcW w:w="0" w:type="auto"/>
            <w:shd w:val="clear" w:color="auto" w:fill="auto"/>
            <w:vAlign w:val="bottom"/>
          </w:tcPr>
          <w:p w14:paraId="16EA940F"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color w:val="000000"/>
                <w:sz w:val="20"/>
                <w:szCs w:val="20"/>
              </w:rPr>
              <w:t>(0.0314)</w:t>
            </w:r>
          </w:p>
        </w:tc>
        <w:tc>
          <w:tcPr>
            <w:tcW w:w="1262" w:type="dxa"/>
            <w:tcBorders>
              <w:top w:val="nil"/>
              <w:left w:val="nil"/>
              <w:bottom w:val="nil"/>
              <w:right w:val="nil"/>
            </w:tcBorders>
            <w:shd w:val="clear" w:color="auto" w:fill="auto"/>
            <w:vAlign w:val="bottom"/>
          </w:tcPr>
          <w:p w14:paraId="403EC3BD" w14:textId="152644BF" w:rsidR="00917506" w:rsidRPr="00F82B8F" w:rsidRDefault="00917506" w:rsidP="0082004F">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(0.0376)</w:t>
            </w:r>
          </w:p>
        </w:tc>
      </w:tr>
      <w:tr w:rsidR="00917506" w:rsidRPr="00F82B8F" w14:paraId="51F0DF19" w14:textId="77777777" w:rsidTr="00917506">
        <w:trPr>
          <w:trHeight w:val="300"/>
        </w:trPr>
        <w:tc>
          <w:tcPr>
            <w:tcW w:w="0" w:type="auto"/>
            <w:shd w:val="clear" w:color="auto" w:fill="auto"/>
            <w:noWrap/>
            <w:vAlign w:val="bottom"/>
          </w:tcPr>
          <w:p w14:paraId="58FAE142" w14:textId="6D7056ED" w:rsidR="00917506" w:rsidRPr="00F82B8F" w:rsidRDefault="00917506" w:rsidP="00917506">
            <w:pPr>
              <w:spacing w:after="0" w:line="240" w:lineRule="auto"/>
              <w:rPr>
                <w:rFonts w:ascii="Times New Roman" w:eastAsia="Times New Roman" w:hAnsi="Times New Roman" w:cs="Times New Roman"/>
                <w:sz w:val="20"/>
                <w:szCs w:val="20"/>
                <w:lang w:eastAsia="en-GB"/>
              </w:rPr>
            </w:pPr>
            <w:r w:rsidRPr="00F82B8F">
              <w:rPr>
                <w:rFonts w:ascii="Times New Roman" w:eastAsia="Times New Roman" w:hAnsi="Times New Roman" w:cs="Times New Roman"/>
                <w:color w:val="000000"/>
                <w:sz w:val="20"/>
                <w:szCs w:val="20"/>
                <w:lang w:eastAsia="en-GB"/>
              </w:rPr>
              <w:t>CSD</w:t>
            </w:r>
          </w:p>
        </w:tc>
        <w:tc>
          <w:tcPr>
            <w:tcW w:w="0" w:type="auto"/>
            <w:shd w:val="clear" w:color="auto" w:fill="auto"/>
            <w:noWrap/>
            <w:vAlign w:val="bottom"/>
          </w:tcPr>
          <w:p w14:paraId="2BA088E7"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0.2395***</w:t>
            </w:r>
          </w:p>
        </w:tc>
        <w:tc>
          <w:tcPr>
            <w:tcW w:w="0" w:type="auto"/>
            <w:shd w:val="clear" w:color="auto" w:fill="auto"/>
            <w:noWrap/>
            <w:vAlign w:val="bottom"/>
          </w:tcPr>
          <w:p w14:paraId="48B0DD49"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0.1995***</w:t>
            </w:r>
          </w:p>
        </w:tc>
        <w:tc>
          <w:tcPr>
            <w:tcW w:w="0" w:type="auto"/>
            <w:shd w:val="clear" w:color="auto" w:fill="auto"/>
            <w:noWrap/>
            <w:vAlign w:val="bottom"/>
          </w:tcPr>
          <w:p w14:paraId="44260B6B"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color w:val="000000"/>
                <w:sz w:val="20"/>
                <w:szCs w:val="20"/>
              </w:rPr>
              <w:t>0.2002***</w:t>
            </w:r>
          </w:p>
        </w:tc>
        <w:tc>
          <w:tcPr>
            <w:tcW w:w="0" w:type="auto"/>
            <w:shd w:val="clear" w:color="auto" w:fill="auto"/>
            <w:noWrap/>
            <w:vAlign w:val="bottom"/>
          </w:tcPr>
          <w:p w14:paraId="0290CFCE"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color w:val="000000"/>
                <w:sz w:val="20"/>
                <w:szCs w:val="20"/>
              </w:rPr>
              <w:t>0.2445***</w:t>
            </w:r>
          </w:p>
        </w:tc>
        <w:tc>
          <w:tcPr>
            <w:tcW w:w="0" w:type="auto"/>
            <w:shd w:val="clear" w:color="auto" w:fill="auto"/>
            <w:noWrap/>
            <w:vAlign w:val="bottom"/>
          </w:tcPr>
          <w:p w14:paraId="0880D3B4"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color w:val="000000"/>
                <w:sz w:val="20"/>
                <w:szCs w:val="20"/>
              </w:rPr>
              <w:t>0.2479***</w:t>
            </w:r>
          </w:p>
        </w:tc>
        <w:tc>
          <w:tcPr>
            <w:tcW w:w="0" w:type="auto"/>
            <w:shd w:val="clear" w:color="auto" w:fill="auto"/>
            <w:noWrap/>
            <w:vAlign w:val="bottom"/>
          </w:tcPr>
          <w:p w14:paraId="514646E8"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color w:val="000000"/>
                <w:sz w:val="20"/>
                <w:szCs w:val="20"/>
              </w:rPr>
              <w:t>0.2496***</w:t>
            </w:r>
          </w:p>
        </w:tc>
        <w:tc>
          <w:tcPr>
            <w:tcW w:w="0" w:type="auto"/>
            <w:shd w:val="clear" w:color="auto" w:fill="auto"/>
            <w:noWrap/>
            <w:vAlign w:val="bottom"/>
          </w:tcPr>
          <w:p w14:paraId="101B0AB1"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color w:val="000000"/>
                <w:sz w:val="20"/>
                <w:szCs w:val="20"/>
              </w:rPr>
              <w:t>0.2462***</w:t>
            </w:r>
          </w:p>
        </w:tc>
        <w:tc>
          <w:tcPr>
            <w:tcW w:w="0" w:type="auto"/>
            <w:shd w:val="clear" w:color="auto" w:fill="auto"/>
            <w:noWrap/>
            <w:vAlign w:val="bottom"/>
          </w:tcPr>
          <w:p w14:paraId="7875D960"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color w:val="000000"/>
                <w:sz w:val="20"/>
                <w:szCs w:val="20"/>
              </w:rPr>
              <w:t>0.2567***</w:t>
            </w:r>
          </w:p>
        </w:tc>
        <w:tc>
          <w:tcPr>
            <w:tcW w:w="0" w:type="auto"/>
            <w:shd w:val="clear" w:color="auto" w:fill="auto"/>
            <w:noWrap/>
            <w:vAlign w:val="bottom"/>
          </w:tcPr>
          <w:p w14:paraId="5C21371A"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color w:val="000000"/>
                <w:sz w:val="20"/>
                <w:szCs w:val="20"/>
              </w:rPr>
              <w:t>0.2614***</w:t>
            </w:r>
          </w:p>
        </w:tc>
        <w:tc>
          <w:tcPr>
            <w:tcW w:w="0" w:type="auto"/>
            <w:shd w:val="clear" w:color="auto" w:fill="auto"/>
            <w:vAlign w:val="bottom"/>
          </w:tcPr>
          <w:p w14:paraId="014BCAC6"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color w:val="000000"/>
                <w:sz w:val="20"/>
                <w:szCs w:val="20"/>
              </w:rPr>
              <w:t>0.2510***</w:t>
            </w:r>
          </w:p>
        </w:tc>
        <w:tc>
          <w:tcPr>
            <w:tcW w:w="0" w:type="auto"/>
            <w:shd w:val="clear" w:color="auto" w:fill="auto"/>
            <w:vAlign w:val="bottom"/>
          </w:tcPr>
          <w:p w14:paraId="53AEB7BD"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color w:val="000000"/>
                <w:sz w:val="20"/>
                <w:szCs w:val="20"/>
              </w:rPr>
              <w:t>0.2508***</w:t>
            </w:r>
          </w:p>
        </w:tc>
        <w:tc>
          <w:tcPr>
            <w:tcW w:w="1262" w:type="dxa"/>
            <w:tcBorders>
              <w:top w:val="nil"/>
              <w:left w:val="nil"/>
              <w:bottom w:val="nil"/>
              <w:right w:val="nil"/>
            </w:tcBorders>
            <w:shd w:val="clear" w:color="auto" w:fill="auto"/>
            <w:vAlign w:val="bottom"/>
          </w:tcPr>
          <w:p w14:paraId="70CBB522" w14:textId="7828110D" w:rsidR="00917506" w:rsidRPr="00F82B8F" w:rsidRDefault="00917506" w:rsidP="0082004F">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0.2152***</w:t>
            </w:r>
          </w:p>
        </w:tc>
      </w:tr>
      <w:tr w:rsidR="00917506" w:rsidRPr="00F82B8F" w14:paraId="3133DFEC" w14:textId="77777777" w:rsidTr="00917506">
        <w:trPr>
          <w:trHeight w:val="300"/>
        </w:trPr>
        <w:tc>
          <w:tcPr>
            <w:tcW w:w="0" w:type="auto"/>
            <w:shd w:val="clear" w:color="auto" w:fill="auto"/>
            <w:noWrap/>
            <w:vAlign w:val="bottom"/>
          </w:tcPr>
          <w:p w14:paraId="20ABA4C4"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73DCAF25"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(0.0388)</w:t>
            </w:r>
          </w:p>
        </w:tc>
        <w:tc>
          <w:tcPr>
            <w:tcW w:w="0" w:type="auto"/>
            <w:shd w:val="clear" w:color="auto" w:fill="auto"/>
            <w:noWrap/>
            <w:vAlign w:val="bottom"/>
          </w:tcPr>
          <w:p w14:paraId="74380444"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(0.0417)</w:t>
            </w:r>
          </w:p>
        </w:tc>
        <w:tc>
          <w:tcPr>
            <w:tcW w:w="0" w:type="auto"/>
            <w:shd w:val="clear" w:color="auto" w:fill="auto"/>
            <w:noWrap/>
            <w:vAlign w:val="bottom"/>
          </w:tcPr>
          <w:p w14:paraId="24089F37"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color w:val="000000"/>
                <w:sz w:val="20"/>
                <w:szCs w:val="20"/>
              </w:rPr>
              <w:t>(0.0393)</w:t>
            </w:r>
          </w:p>
        </w:tc>
        <w:tc>
          <w:tcPr>
            <w:tcW w:w="0" w:type="auto"/>
            <w:shd w:val="clear" w:color="auto" w:fill="auto"/>
            <w:noWrap/>
            <w:vAlign w:val="bottom"/>
          </w:tcPr>
          <w:p w14:paraId="79D0B3DB"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color w:val="000000"/>
                <w:sz w:val="20"/>
                <w:szCs w:val="20"/>
              </w:rPr>
              <w:t>(0.0392)</w:t>
            </w:r>
          </w:p>
        </w:tc>
        <w:tc>
          <w:tcPr>
            <w:tcW w:w="0" w:type="auto"/>
            <w:shd w:val="clear" w:color="auto" w:fill="auto"/>
            <w:noWrap/>
            <w:vAlign w:val="bottom"/>
          </w:tcPr>
          <w:p w14:paraId="5690BF36"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color w:val="000000"/>
                <w:sz w:val="20"/>
                <w:szCs w:val="20"/>
              </w:rPr>
              <w:t>(0.0400)</w:t>
            </w:r>
          </w:p>
        </w:tc>
        <w:tc>
          <w:tcPr>
            <w:tcW w:w="0" w:type="auto"/>
            <w:shd w:val="clear" w:color="auto" w:fill="auto"/>
            <w:noWrap/>
            <w:vAlign w:val="bottom"/>
          </w:tcPr>
          <w:p w14:paraId="0A044EC4"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color w:val="000000"/>
                <w:sz w:val="20"/>
                <w:szCs w:val="20"/>
              </w:rPr>
              <w:t>(0.0393)</w:t>
            </w:r>
          </w:p>
        </w:tc>
        <w:tc>
          <w:tcPr>
            <w:tcW w:w="0" w:type="auto"/>
            <w:shd w:val="clear" w:color="auto" w:fill="auto"/>
            <w:noWrap/>
            <w:vAlign w:val="bottom"/>
          </w:tcPr>
          <w:p w14:paraId="624E6801"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color w:val="000000"/>
                <w:sz w:val="20"/>
                <w:szCs w:val="20"/>
              </w:rPr>
              <w:t>(0.0405)</w:t>
            </w:r>
          </w:p>
        </w:tc>
        <w:tc>
          <w:tcPr>
            <w:tcW w:w="0" w:type="auto"/>
            <w:shd w:val="clear" w:color="auto" w:fill="auto"/>
            <w:noWrap/>
            <w:vAlign w:val="bottom"/>
          </w:tcPr>
          <w:p w14:paraId="74F8CE0B"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color w:val="000000"/>
                <w:sz w:val="20"/>
                <w:szCs w:val="20"/>
              </w:rPr>
              <w:t>(0.0400)</w:t>
            </w:r>
          </w:p>
        </w:tc>
        <w:tc>
          <w:tcPr>
            <w:tcW w:w="0" w:type="auto"/>
            <w:shd w:val="clear" w:color="auto" w:fill="auto"/>
            <w:noWrap/>
            <w:vAlign w:val="bottom"/>
          </w:tcPr>
          <w:p w14:paraId="08057A7B"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color w:val="000000"/>
                <w:sz w:val="20"/>
                <w:szCs w:val="20"/>
              </w:rPr>
              <w:t>(0.0400)</w:t>
            </w:r>
          </w:p>
        </w:tc>
        <w:tc>
          <w:tcPr>
            <w:tcW w:w="0" w:type="auto"/>
            <w:shd w:val="clear" w:color="auto" w:fill="auto"/>
            <w:vAlign w:val="bottom"/>
          </w:tcPr>
          <w:p w14:paraId="5538652C"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color w:val="000000"/>
                <w:sz w:val="20"/>
                <w:szCs w:val="20"/>
              </w:rPr>
              <w:t>(0.0399)</w:t>
            </w:r>
          </w:p>
        </w:tc>
        <w:tc>
          <w:tcPr>
            <w:tcW w:w="0" w:type="auto"/>
            <w:shd w:val="clear" w:color="auto" w:fill="auto"/>
            <w:vAlign w:val="bottom"/>
          </w:tcPr>
          <w:p w14:paraId="6F8E346E"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color w:val="000000"/>
                <w:sz w:val="20"/>
                <w:szCs w:val="20"/>
              </w:rPr>
              <w:t>(0.0396)</w:t>
            </w:r>
          </w:p>
        </w:tc>
        <w:tc>
          <w:tcPr>
            <w:tcW w:w="1262" w:type="dxa"/>
            <w:tcBorders>
              <w:top w:val="nil"/>
              <w:left w:val="nil"/>
              <w:bottom w:val="nil"/>
              <w:right w:val="nil"/>
            </w:tcBorders>
            <w:shd w:val="clear" w:color="auto" w:fill="auto"/>
            <w:vAlign w:val="bottom"/>
          </w:tcPr>
          <w:p w14:paraId="3D7E4BEF" w14:textId="34230C5F" w:rsidR="00917506" w:rsidRPr="00F82B8F" w:rsidRDefault="00917506" w:rsidP="0082004F">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(0.0466)</w:t>
            </w:r>
          </w:p>
        </w:tc>
      </w:tr>
      <w:tr w:rsidR="00917506" w:rsidRPr="00F82B8F" w14:paraId="5BDE857B" w14:textId="77777777" w:rsidTr="00917506">
        <w:trPr>
          <w:trHeight w:val="300"/>
        </w:trPr>
        <w:tc>
          <w:tcPr>
            <w:tcW w:w="0" w:type="auto"/>
            <w:shd w:val="clear" w:color="auto" w:fill="auto"/>
            <w:noWrap/>
            <w:vAlign w:val="bottom"/>
          </w:tcPr>
          <w:p w14:paraId="2E22413E" w14:textId="77777777" w:rsidR="00917506" w:rsidRPr="00F82B8F" w:rsidRDefault="00917506" w:rsidP="00917506">
            <w:pPr>
              <w:spacing w:after="0" w:line="240" w:lineRule="auto"/>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RES</w:t>
            </w:r>
          </w:p>
        </w:tc>
        <w:tc>
          <w:tcPr>
            <w:tcW w:w="0" w:type="auto"/>
            <w:shd w:val="clear" w:color="auto" w:fill="auto"/>
            <w:noWrap/>
            <w:vAlign w:val="bottom"/>
          </w:tcPr>
          <w:p w14:paraId="732DBF90"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-0.2068***</w:t>
            </w:r>
          </w:p>
        </w:tc>
        <w:tc>
          <w:tcPr>
            <w:tcW w:w="0" w:type="auto"/>
            <w:shd w:val="clear" w:color="auto" w:fill="auto"/>
            <w:noWrap/>
            <w:vAlign w:val="bottom"/>
          </w:tcPr>
          <w:p w14:paraId="3D1AE190"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0" w:type="auto"/>
            <w:shd w:val="clear" w:color="auto" w:fill="auto"/>
            <w:noWrap/>
            <w:vAlign w:val="bottom"/>
          </w:tcPr>
          <w:p w14:paraId="4B4C1AAB"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41A7E54B"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6114398C"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5FF09EC0"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2D07255C"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06310CB2"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22C0CD13"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vAlign w:val="bottom"/>
          </w:tcPr>
          <w:p w14:paraId="59882585"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vAlign w:val="bottom"/>
          </w:tcPr>
          <w:p w14:paraId="5714546E"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1262" w:type="dxa"/>
            <w:shd w:val="clear" w:color="auto" w:fill="auto"/>
            <w:vAlign w:val="bottom"/>
          </w:tcPr>
          <w:p w14:paraId="41F7D621" w14:textId="77777777" w:rsidR="00917506" w:rsidRPr="00F82B8F" w:rsidRDefault="00917506" w:rsidP="0082004F">
            <w:pPr>
              <w:spacing w:after="0" w:line="240" w:lineRule="auto"/>
              <w:jc w:val="center"/>
              <w:rPr>
                <w:rFonts w:ascii="Times New Roman" w:eastAsia="Times New Roman" w:hAnsi="Times New Roman" w:cs="Times New Roman"/>
                <w:sz w:val="20"/>
                <w:szCs w:val="20"/>
                <w:lang w:eastAsia="en-GB"/>
              </w:rPr>
            </w:pPr>
          </w:p>
        </w:tc>
      </w:tr>
      <w:tr w:rsidR="00917506" w:rsidRPr="00F82B8F" w14:paraId="2CD1F644" w14:textId="77777777" w:rsidTr="00917506">
        <w:trPr>
          <w:trHeight w:val="300"/>
        </w:trPr>
        <w:tc>
          <w:tcPr>
            <w:tcW w:w="0" w:type="auto"/>
            <w:shd w:val="clear" w:color="auto" w:fill="auto"/>
            <w:noWrap/>
            <w:vAlign w:val="bottom"/>
          </w:tcPr>
          <w:p w14:paraId="02B3A331"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40884AAB"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(0.0233)</w:t>
            </w:r>
          </w:p>
        </w:tc>
        <w:tc>
          <w:tcPr>
            <w:tcW w:w="0" w:type="auto"/>
            <w:shd w:val="clear" w:color="auto" w:fill="auto"/>
            <w:noWrap/>
            <w:vAlign w:val="bottom"/>
          </w:tcPr>
          <w:p w14:paraId="47A560FC"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0" w:type="auto"/>
            <w:shd w:val="clear" w:color="auto" w:fill="auto"/>
            <w:noWrap/>
            <w:vAlign w:val="bottom"/>
          </w:tcPr>
          <w:p w14:paraId="2E866C61"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75F88DFE"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5B6C316C"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60B0E8A7"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7DDA487F"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3A1C3DAD"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6876F455"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vAlign w:val="bottom"/>
          </w:tcPr>
          <w:p w14:paraId="36883C98"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vAlign w:val="bottom"/>
          </w:tcPr>
          <w:p w14:paraId="23895349"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1262" w:type="dxa"/>
            <w:shd w:val="clear" w:color="auto" w:fill="auto"/>
            <w:vAlign w:val="bottom"/>
          </w:tcPr>
          <w:p w14:paraId="664CD69B" w14:textId="77777777" w:rsidR="00917506" w:rsidRPr="00F82B8F" w:rsidRDefault="00917506" w:rsidP="0082004F">
            <w:pPr>
              <w:spacing w:after="0" w:line="240" w:lineRule="auto"/>
              <w:jc w:val="center"/>
              <w:rPr>
                <w:rFonts w:ascii="Times New Roman" w:eastAsia="Times New Roman" w:hAnsi="Times New Roman" w:cs="Times New Roman"/>
                <w:sz w:val="20"/>
                <w:szCs w:val="20"/>
                <w:lang w:eastAsia="en-GB"/>
              </w:rPr>
            </w:pPr>
          </w:p>
        </w:tc>
      </w:tr>
      <w:tr w:rsidR="00917506" w:rsidRPr="00F82B8F" w14:paraId="6A46F3FB" w14:textId="77777777" w:rsidTr="00917506">
        <w:trPr>
          <w:trHeight w:val="300"/>
        </w:trPr>
        <w:tc>
          <w:tcPr>
            <w:tcW w:w="0" w:type="auto"/>
            <w:shd w:val="clear" w:color="auto" w:fill="auto"/>
            <w:noWrap/>
            <w:vAlign w:val="bottom"/>
            <w:hideMark/>
          </w:tcPr>
          <w:p w14:paraId="0DE14F25" w14:textId="77777777" w:rsidR="00917506" w:rsidRPr="00F82B8F" w:rsidRDefault="00917506" w:rsidP="00917506">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CPS</w:t>
            </w:r>
          </w:p>
        </w:tc>
        <w:tc>
          <w:tcPr>
            <w:tcW w:w="0" w:type="auto"/>
            <w:shd w:val="clear" w:color="auto" w:fill="auto"/>
            <w:noWrap/>
            <w:vAlign w:val="bottom"/>
          </w:tcPr>
          <w:p w14:paraId="17A5FA03"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0" w:type="auto"/>
            <w:shd w:val="clear" w:color="auto" w:fill="auto"/>
            <w:noWrap/>
            <w:vAlign w:val="bottom"/>
          </w:tcPr>
          <w:p w14:paraId="55750813"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-0.8825***</w:t>
            </w:r>
          </w:p>
        </w:tc>
        <w:tc>
          <w:tcPr>
            <w:tcW w:w="0" w:type="auto"/>
            <w:shd w:val="clear" w:color="auto" w:fill="auto"/>
            <w:noWrap/>
            <w:vAlign w:val="bottom"/>
          </w:tcPr>
          <w:p w14:paraId="05C3A995"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0" w:type="auto"/>
            <w:shd w:val="clear" w:color="auto" w:fill="auto"/>
            <w:noWrap/>
            <w:vAlign w:val="bottom"/>
          </w:tcPr>
          <w:p w14:paraId="3E4D6317"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39DF3868"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4383B975"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2F6EA8E1"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43517E61"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286A2362"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vAlign w:val="bottom"/>
          </w:tcPr>
          <w:p w14:paraId="0ADC3FC5"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vAlign w:val="bottom"/>
          </w:tcPr>
          <w:p w14:paraId="3E8721E3"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1262" w:type="dxa"/>
            <w:tcBorders>
              <w:top w:val="nil"/>
              <w:left w:val="nil"/>
              <w:bottom w:val="nil"/>
              <w:right w:val="nil"/>
            </w:tcBorders>
            <w:shd w:val="clear" w:color="auto" w:fill="auto"/>
            <w:vAlign w:val="bottom"/>
          </w:tcPr>
          <w:p w14:paraId="612BD994" w14:textId="3F9E5AAC" w:rsidR="00917506" w:rsidRPr="00F82B8F" w:rsidRDefault="00917506" w:rsidP="0082004F">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-0.8868***</w:t>
            </w:r>
          </w:p>
        </w:tc>
      </w:tr>
      <w:tr w:rsidR="00917506" w:rsidRPr="00F82B8F" w14:paraId="40FD2719" w14:textId="77777777" w:rsidTr="00917506">
        <w:trPr>
          <w:trHeight w:val="300"/>
        </w:trPr>
        <w:tc>
          <w:tcPr>
            <w:tcW w:w="0" w:type="auto"/>
            <w:shd w:val="clear" w:color="auto" w:fill="auto"/>
            <w:noWrap/>
            <w:vAlign w:val="bottom"/>
            <w:hideMark/>
          </w:tcPr>
          <w:p w14:paraId="3F0ACFA2"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1CCC3F76"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62AB61E4"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(0.0783)</w:t>
            </w:r>
          </w:p>
        </w:tc>
        <w:tc>
          <w:tcPr>
            <w:tcW w:w="0" w:type="auto"/>
            <w:shd w:val="clear" w:color="auto" w:fill="auto"/>
            <w:noWrap/>
            <w:vAlign w:val="bottom"/>
          </w:tcPr>
          <w:p w14:paraId="63D7415E"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0" w:type="auto"/>
            <w:shd w:val="clear" w:color="auto" w:fill="auto"/>
            <w:noWrap/>
            <w:vAlign w:val="bottom"/>
          </w:tcPr>
          <w:p w14:paraId="53F38F4F"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41CDB393"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0B6EDB22"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36D95AD4"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4B7E48B0"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46B76154"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vAlign w:val="bottom"/>
          </w:tcPr>
          <w:p w14:paraId="041DA1BF"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vAlign w:val="bottom"/>
          </w:tcPr>
          <w:p w14:paraId="7FD2C1C6"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1262" w:type="dxa"/>
            <w:tcBorders>
              <w:top w:val="nil"/>
              <w:left w:val="nil"/>
              <w:bottom w:val="nil"/>
              <w:right w:val="nil"/>
            </w:tcBorders>
            <w:shd w:val="clear" w:color="auto" w:fill="auto"/>
            <w:vAlign w:val="bottom"/>
          </w:tcPr>
          <w:p w14:paraId="5360BB45" w14:textId="3909613C" w:rsidR="00917506" w:rsidRPr="00F82B8F" w:rsidRDefault="00917506" w:rsidP="0082004F">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(0.1128)</w:t>
            </w:r>
          </w:p>
        </w:tc>
      </w:tr>
      <w:tr w:rsidR="00917506" w:rsidRPr="00F82B8F" w14:paraId="11824392" w14:textId="77777777" w:rsidTr="00917506">
        <w:trPr>
          <w:trHeight w:val="300"/>
        </w:trPr>
        <w:tc>
          <w:tcPr>
            <w:tcW w:w="0" w:type="auto"/>
            <w:shd w:val="clear" w:color="auto" w:fill="auto"/>
            <w:noWrap/>
            <w:vAlign w:val="bottom"/>
            <w:hideMark/>
          </w:tcPr>
          <w:p w14:paraId="4AD1CC8A" w14:textId="77777777" w:rsidR="00917506" w:rsidRPr="00F82B8F" w:rsidRDefault="00917506" w:rsidP="00917506">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COG</w:t>
            </w:r>
          </w:p>
        </w:tc>
        <w:tc>
          <w:tcPr>
            <w:tcW w:w="0" w:type="auto"/>
            <w:shd w:val="clear" w:color="auto" w:fill="auto"/>
            <w:noWrap/>
            <w:vAlign w:val="bottom"/>
          </w:tcPr>
          <w:p w14:paraId="6DA09788"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0" w:type="auto"/>
            <w:shd w:val="clear" w:color="auto" w:fill="auto"/>
            <w:noWrap/>
            <w:vAlign w:val="bottom"/>
          </w:tcPr>
          <w:p w14:paraId="44E22E99"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34227687"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-0.4614***</w:t>
            </w:r>
          </w:p>
        </w:tc>
        <w:tc>
          <w:tcPr>
            <w:tcW w:w="0" w:type="auto"/>
            <w:shd w:val="clear" w:color="auto" w:fill="auto"/>
            <w:noWrap/>
            <w:vAlign w:val="bottom"/>
          </w:tcPr>
          <w:p w14:paraId="2929F5CE"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0" w:type="auto"/>
            <w:shd w:val="clear" w:color="auto" w:fill="auto"/>
            <w:noWrap/>
            <w:vAlign w:val="bottom"/>
          </w:tcPr>
          <w:p w14:paraId="49C7B4BB"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0D6D3C0F"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32A5C1EC"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1C0D5699"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46BFF995"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vAlign w:val="bottom"/>
          </w:tcPr>
          <w:p w14:paraId="4DD6A657"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vAlign w:val="bottom"/>
          </w:tcPr>
          <w:p w14:paraId="3EB82FF2"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1262" w:type="dxa"/>
            <w:tcBorders>
              <w:top w:val="nil"/>
              <w:left w:val="nil"/>
              <w:bottom w:val="nil"/>
              <w:right w:val="nil"/>
            </w:tcBorders>
            <w:shd w:val="clear" w:color="auto" w:fill="auto"/>
            <w:vAlign w:val="bottom"/>
          </w:tcPr>
          <w:p w14:paraId="3B1436AC" w14:textId="37E41217" w:rsidR="00917506" w:rsidRPr="00F82B8F" w:rsidRDefault="00917506" w:rsidP="0082004F">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-0.2955***</w:t>
            </w:r>
          </w:p>
        </w:tc>
      </w:tr>
      <w:tr w:rsidR="00917506" w:rsidRPr="00F82B8F" w14:paraId="2728B94B" w14:textId="77777777" w:rsidTr="00917506">
        <w:trPr>
          <w:trHeight w:val="300"/>
        </w:trPr>
        <w:tc>
          <w:tcPr>
            <w:tcW w:w="0" w:type="auto"/>
            <w:shd w:val="clear" w:color="auto" w:fill="auto"/>
            <w:noWrap/>
            <w:vAlign w:val="bottom"/>
            <w:hideMark/>
          </w:tcPr>
          <w:p w14:paraId="4D66FEC5"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0348B764"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17B0396B"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5E97794A"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(0.0471)</w:t>
            </w:r>
          </w:p>
        </w:tc>
        <w:tc>
          <w:tcPr>
            <w:tcW w:w="0" w:type="auto"/>
            <w:shd w:val="clear" w:color="auto" w:fill="auto"/>
            <w:noWrap/>
            <w:vAlign w:val="bottom"/>
          </w:tcPr>
          <w:p w14:paraId="7414FE4C"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0" w:type="auto"/>
            <w:shd w:val="clear" w:color="auto" w:fill="auto"/>
            <w:noWrap/>
            <w:vAlign w:val="bottom"/>
          </w:tcPr>
          <w:p w14:paraId="646C9175"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34152C6B"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2B55C277"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14120E8C"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13C4D6FF"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vAlign w:val="bottom"/>
          </w:tcPr>
          <w:p w14:paraId="0178A8B7"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vAlign w:val="bottom"/>
          </w:tcPr>
          <w:p w14:paraId="0CED312D"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1262" w:type="dxa"/>
            <w:tcBorders>
              <w:top w:val="nil"/>
              <w:left w:val="nil"/>
              <w:bottom w:val="nil"/>
              <w:right w:val="nil"/>
            </w:tcBorders>
            <w:shd w:val="clear" w:color="auto" w:fill="auto"/>
            <w:vAlign w:val="bottom"/>
          </w:tcPr>
          <w:p w14:paraId="028443C6" w14:textId="4396C749" w:rsidR="00917506" w:rsidRPr="00F82B8F" w:rsidRDefault="00917506" w:rsidP="0082004F">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(0.0686)</w:t>
            </w:r>
          </w:p>
        </w:tc>
      </w:tr>
      <w:tr w:rsidR="00917506" w:rsidRPr="00F82B8F" w14:paraId="3DD92A67" w14:textId="77777777" w:rsidTr="00917506">
        <w:trPr>
          <w:trHeight w:val="300"/>
        </w:trPr>
        <w:tc>
          <w:tcPr>
            <w:tcW w:w="0" w:type="auto"/>
            <w:shd w:val="clear" w:color="auto" w:fill="auto"/>
            <w:noWrap/>
            <w:vAlign w:val="bottom"/>
            <w:hideMark/>
          </w:tcPr>
          <w:p w14:paraId="6059307A" w14:textId="77777777" w:rsidR="00917506" w:rsidRPr="00F82B8F" w:rsidRDefault="00917506" w:rsidP="00917506">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MPR</w:t>
            </w:r>
          </w:p>
        </w:tc>
        <w:tc>
          <w:tcPr>
            <w:tcW w:w="0" w:type="auto"/>
            <w:shd w:val="clear" w:color="auto" w:fill="auto"/>
            <w:noWrap/>
            <w:vAlign w:val="bottom"/>
          </w:tcPr>
          <w:p w14:paraId="58A59053"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0" w:type="auto"/>
            <w:shd w:val="clear" w:color="auto" w:fill="auto"/>
            <w:noWrap/>
            <w:vAlign w:val="bottom"/>
          </w:tcPr>
          <w:p w14:paraId="629E93C5"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7897E1AD"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75B9A660"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0.0104***</w:t>
            </w:r>
          </w:p>
        </w:tc>
        <w:tc>
          <w:tcPr>
            <w:tcW w:w="0" w:type="auto"/>
            <w:shd w:val="clear" w:color="auto" w:fill="auto"/>
            <w:noWrap/>
            <w:vAlign w:val="bottom"/>
          </w:tcPr>
          <w:p w14:paraId="6E30ACE1"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0" w:type="auto"/>
            <w:shd w:val="clear" w:color="auto" w:fill="auto"/>
            <w:noWrap/>
            <w:vAlign w:val="bottom"/>
          </w:tcPr>
          <w:p w14:paraId="5C652541"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2F530FA6"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208C0F66"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38378975"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vAlign w:val="bottom"/>
          </w:tcPr>
          <w:p w14:paraId="45A11955"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vAlign w:val="bottom"/>
          </w:tcPr>
          <w:p w14:paraId="5055A4D3"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1262" w:type="dxa"/>
            <w:tcBorders>
              <w:top w:val="nil"/>
              <w:left w:val="nil"/>
              <w:bottom w:val="nil"/>
              <w:right w:val="nil"/>
            </w:tcBorders>
            <w:shd w:val="clear" w:color="auto" w:fill="auto"/>
            <w:vAlign w:val="bottom"/>
          </w:tcPr>
          <w:p w14:paraId="00A10F6B" w14:textId="0A680793" w:rsidR="00917506" w:rsidRPr="00F82B8F" w:rsidRDefault="00917506" w:rsidP="0082004F">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-0.0029</w:t>
            </w:r>
          </w:p>
        </w:tc>
      </w:tr>
      <w:tr w:rsidR="00917506" w:rsidRPr="00F82B8F" w14:paraId="0EA24369" w14:textId="77777777" w:rsidTr="00917506">
        <w:trPr>
          <w:trHeight w:val="300"/>
        </w:trPr>
        <w:tc>
          <w:tcPr>
            <w:tcW w:w="0" w:type="auto"/>
            <w:shd w:val="clear" w:color="auto" w:fill="auto"/>
            <w:noWrap/>
            <w:vAlign w:val="bottom"/>
            <w:hideMark/>
          </w:tcPr>
          <w:p w14:paraId="4F3C838A"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5F8F2D6E"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12CECF2C"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22EE8847"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33EED599"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(0.0025)</w:t>
            </w:r>
          </w:p>
        </w:tc>
        <w:tc>
          <w:tcPr>
            <w:tcW w:w="0" w:type="auto"/>
            <w:shd w:val="clear" w:color="auto" w:fill="auto"/>
            <w:noWrap/>
            <w:vAlign w:val="bottom"/>
          </w:tcPr>
          <w:p w14:paraId="6C852532"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0" w:type="auto"/>
            <w:shd w:val="clear" w:color="auto" w:fill="auto"/>
            <w:noWrap/>
            <w:vAlign w:val="bottom"/>
          </w:tcPr>
          <w:p w14:paraId="4AF0EE78"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17F93C73"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4F90CCDC"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010FFFE6"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vAlign w:val="bottom"/>
          </w:tcPr>
          <w:p w14:paraId="5DD8C437"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vAlign w:val="bottom"/>
          </w:tcPr>
          <w:p w14:paraId="5FEC4B85"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1262" w:type="dxa"/>
            <w:tcBorders>
              <w:top w:val="nil"/>
              <w:left w:val="nil"/>
              <w:bottom w:val="nil"/>
              <w:right w:val="nil"/>
            </w:tcBorders>
            <w:shd w:val="clear" w:color="auto" w:fill="auto"/>
            <w:vAlign w:val="bottom"/>
          </w:tcPr>
          <w:p w14:paraId="071A14F2" w14:textId="53F753E4" w:rsidR="00917506" w:rsidRPr="00F82B8F" w:rsidRDefault="00917506" w:rsidP="0082004F">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(0.0040)</w:t>
            </w:r>
          </w:p>
        </w:tc>
      </w:tr>
      <w:tr w:rsidR="00917506" w:rsidRPr="00F82B8F" w14:paraId="5569D76E" w14:textId="77777777" w:rsidTr="00917506">
        <w:trPr>
          <w:trHeight w:val="300"/>
        </w:trPr>
        <w:tc>
          <w:tcPr>
            <w:tcW w:w="0" w:type="auto"/>
            <w:shd w:val="clear" w:color="auto" w:fill="auto"/>
            <w:noWrap/>
            <w:vAlign w:val="bottom"/>
            <w:hideMark/>
          </w:tcPr>
          <w:p w14:paraId="0200CF2B" w14:textId="77777777" w:rsidR="00917506" w:rsidRPr="00F82B8F" w:rsidRDefault="00917506" w:rsidP="00917506">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LGD</w:t>
            </w:r>
          </w:p>
        </w:tc>
        <w:tc>
          <w:tcPr>
            <w:tcW w:w="0" w:type="auto"/>
            <w:shd w:val="clear" w:color="auto" w:fill="auto"/>
            <w:noWrap/>
            <w:vAlign w:val="bottom"/>
          </w:tcPr>
          <w:p w14:paraId="741844B0"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0" w:type="auto"/>
            <w:shd w:val="clear" w:color="auto" w:fill="auto"/>
            <w:noWrap/>
            <w:vAlign w:val="bottom"/>
          </w:tcPr>
          <w:p w14:paraId="62100A40"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1C6622D4"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1552CFDF"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24FD61F9"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-0.0085</w:t>
            </w:r>
          </w:p>
        </w:tc>
        <w:tc>
          <w:tcPr>
            <w:tcW w:w="0" w:type="auto"/>
            <w:shd w:val="clear" w:color="auto" w:fill="auto"/>
            <w:noWrap/>
            <w:vAlign w:val="bottom"/>
          </w:tcPr>
          <w:p w14:paraId="27A45DA2"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0" w:type="auto"/>
            <w:shd w:val="clear" w:color="auto" w:fill="auto"/>
            <w:noWrap/>
            <w:vAlign w:val="bottom"/>
          </w:tcPr>
          <w:p w14:paraId="67A8D0F6"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526567A6"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174635EE"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vAlign w:val="bottom"/>
          </w:tcPr>
          <w:p w14:paraId="7B8FB124"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vAlign w:val="bottom"/>
          </w:tcPr>
          <w:p w14:paraId="528BAF6F"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1262" w:type="dxa"/>
            <w:tcBorders>
              <w:top w:val="nil"/>
              <w:left w:val="nil"/>
              <w:bottom w:val="nil"/>
              <w:right w:val="nil"/>
            </w:tcBorders>
            <w:shd w:val="clear" w:color="auto" w:fill="auto"/>
            <w:vAlign w:val="bottom"/>
          </w:tcPr>
          <w:p w14:paraId="53D60AD1" w14:textId="525A223A" w:rsidR="00917506" w:rsidRPr="00F82B8F" w:rsidRDefault="00917506" w:rsidP="0082004F">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-0.0170</w:t>
            </w:r>
          </w:p>
        </w:tc>
      </w:tr>
      <w:tr w:rsidR="00917506" w:rsidRPr="00F82B8F" w14:paraId="20B8E80D" w14:textId="77777777" w:rsidTr="00917506">
        <w:trPr>
          <w:trHeight w:val="300"/>
        </w:trPr>
        <w:tc>
          <w:tcPr>
            <w:tcW w:w="0" w:type="auto"/>
            <w:shd w:val="clear" w:color="auto" w:fill="auto"/>
            <w:noWrap/>
            <w:vAlign w:val="bottom"/>
            <w:hideMark/>
          </w:tcPr>
          <w:p w14:paraId="587A7931"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6D882BA8"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1BFFCA96"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3F0BAE64"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3E2DFA42"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04E69E35"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(0.0066)</w:t>
            </w:r>
          </w:p>
        </w:tc>
        <w:tc>
          <w:tcPr>
            <w:tcW w:w="0" w:type="auto"/>
            <w:shd w:val="clear" w:color="auto" w:fill="auto"/>
            <w:noWrap/>
            <w:vAlign w:val="bottom"/>
          </w:tcPr>
          <w:p w14:paraId="1E4FFDC5"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0" w:type="auto"/>
            <w:shd w:val="clear" w:color="auto" w:fill="auto"/>
            <w:noWrap/>
            <w:vAlign w:val="bottom"/>
          </w:tcPr>
          <w:p w14:paraId="7DC72FFA"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5D88799D"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57AE562C"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vAlign w:val="bottom"/>
          </w:tcPr>
          <w:p w14:paraId="562CC387"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vAlign w:val="bottom"/>
          </w:tcPr>
          <w:p w14:paraId="0E560151"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1262" w:type="dxa"/>
            <w:tcBorders>
              <w:top w:val="nil"/>
              <w:left w:val="nil"/>
              <w:bottom w:val="nil"/>
              <w:right w:val="nil"/>
            </w:tcBorders>
            <w:shd w:val="clear" w:color="auto" w:fill="auto"/>
            <w:vAlign w:val="bottom"/>
          </w:tcPr>
          <w:p w14:paraId="147D29CA" w14:textId="66DFE116" w:rsidR="00917506" w:rsidRPr="00F82B8F" w:rsidRDefault="00917506" w:rsidP="0082004F">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(0.0104)</w:t>
            </w:r>
          </w:p>
        </w:tc>
      </w:tr>
      <w:tr w:rsidR="00917506" w:rsidRPr="00F82B8F" w14:paraId="1780B561" w14:textId="77777777" w:rsidTr="00917506">
        <w:trPr>
          <w:trHeight w:val="300"/>
        </w:trPr>
        <w:tc>
          <w:tcPr>
            <w:tcW w:w="0" w:type="auto"/>
            <w:shd w:val="clear" w:color="auto" w:fill="auto"/>
            <w:noWrap/>
            <w:vAlign w:val="bottom"/>
            <w:hideMark/>
          </w:tcPr>
          <w:p w14:paraId="70AB0101" w14:textId="77777777" w:rsidR="00917506" w:rsidRPr="00F82B8F" w:rsidRDefault="00917506" w:rsidP="00917506">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PRO</w:t>
            </w:r>
          </w:p>
        </w:tc>
        <w:tc>
          <w:tcPr>
            <w:tcW w:w="0" w:type="auto"/>
            <w:shd w:val="clear" w:color="auto" w:fill="auto"/>
            <w:noWrap/>
            <w:vAlign w:val="bottom"/>
          </w:tcPr>
          <w:p w14:paraId="6B526BBC"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0" w:type="auto"/>
            <w:shd w:val="clear" w:color="auto" w:fill="auto"/>
            <w:noWrap/>
            <w:vAlign w:val="bottom"/>
          </w:tcPr>
          <w:p w14:paraId="53FC0C8C"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077A3D71"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7793BEB6"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7A0841D4"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29D249A5"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-0.1247***</w:t>
            </w:r>
          </w:p>
        </w:tc>
        <w:tc>
          <w:tcPr>
            <w:tcW w:w="0" w:type="auto"/>
            <w:shd w:val="clear" w:color="auto" w:fill="auto"/>
            <w:noWrap/>
            <w:vAlign w:val="bottom"/>
          </w:tcPr>
          <w:p w14:paraId="035FFA83"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0" w:type="auto"/>
            <w:shd w:val="clear" w:color="auto" w:fill="auto"/>
            <w:noWrap/>
            <w:vAlign w:val="bottom"/>
          </w:tcPr>
          <w:p w14:paraId="141A3694"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4CAC8E14"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vAlign w:val="bottom"/>
          </w:tcPr>
          <w:p w14:paraId="12D36598"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vAlign w:val="bottom"/>
          </w:tcPr>
          <w:p w14:paraId="52ED20E7"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1262" w:type="dxa"/>
            <w:tcBorders>
              <w:top w:val="nil"/>
              <w:left w:val="nil"/>
              <w:bottom w:val="nil"/>
              <w:right w:val="nil"/>
            </w:tcBorders>
            <w:shd w:val="clear" w:color="auto" w:fill="auto"/>
            <w:vAlign w:val="bottom"/>
          </w:tcPr>
          <w:p w14:paraId="6E142FF5" w14:textId="35CAF6EA" w:rsidR="00917506" w:rsidRPr="00F82B8F" w:rsidRDefault="00917506" w:rsidP="0082004F">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0.0238</w:t>
            </w:r>
          </w:p>
        </w:tc>
      </w:tr>
      <w:tr w:rsidR="00917506" w:rsidRPr="00F82B8F" w14:paraId="6722704F" w14:textId="77777777" w:rsidTr="00917506">
        <w:trPr>
          <w:trHeight w:val="300"/>
        </w:trPr>
        <w:tc>
          <w:tcPr>
            <w:tcW w:w="0" w:type="auto"/>
            <w:shd w:val="clear" w:color="auto" w:fill="auto"/>
            <w:noWrap/>
            <w:vAlign w:val="bottom"/>
            <w:hideMark/>
          </w:tcPr>
          <w:p w14:paraId="3FBB08F4"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055353C2"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68C0E828"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4B972697"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00B04374"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05186F65"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1576164A"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(0.0132)</w:t>
            </w:r>
          </w:p>
        </w:tc>
        <w:tc>
          <w:tcPr>
            <w:tcW w:w="0" w:type="auto"/>
            <w:shd w:val="clear" w:color="auto" w:fill="auto"/>
            <w:noWrap/>
            <w:vAlign w:val="bottom"/>
          </w:tcPr>
          <w:p w14:paraId="6E41D461"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0" w:type="auto"/>
            <w:shd w:val="clear" w:color="auto" w:fill="auto"/>
            <w:noWrap/>
            <w:vAlign w:val="bottom"/>
          </w:tcPr>
          <w:p w14:paraId="6E7D7059"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5D4BF3F3"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vAlign w:val="bottom"/>
          </w:tcPr>
          <w:p w14:paraId="45DAA797"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vAlign w:val="bottom"/>
          </w:tcPr>
          <w:p w14:paraId="705C1E6C"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1262" w:type="dxa"/>
            <w:tcBorders>
              <w:top w:val="nil"/>
              <w:left w:val="nil"/>
              <w:bottom w:val="nil"/>
              <w:right w:val="nil"/>
            </w:tcBorders>
            <w:shd w:val="clear" w:color="auto" w:fill="auto"/>
            <w:vAlign w:val="bottom"/>
          </w:tcPr>
          <w:p w14:paraId="19081BE2" w14:textId="466F3464" w:rsidR="00917506" w:rsidRPr="00F82B8F" w:rsidRDefault="00917506" w:rsidP="0082004F">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(0.0438)</w:t>
            </w:r>
          </w:p>
        </w:tc>
      </w:tr>
      <w:tr w:rsidR="00917506" w:rsidRPr="00F82B8F" w14:paraId="1491D24B" w14:textId="77777777" w:rsidTr="00917506">
        <w:trPr>
          <w:trHeight w:val="300"/>
        </w:trPr>
        <w:tc>
          <w:tcPr>
            <w:tcW w:w="0" w:type="auto"/>
            <w:shd w:val="clear" w:color="auto" w:fill="auto"/>
            <w:noWrap/>
            <w:vAlign w:val="bottom"/>
            <w:hideMark/>
          </w:tcPr>
          <w:p w14:paraId="2F3B8448" w14:textId="77777777" w:rsidR="00917506" w:rsidRPr="00F82B8F" w:rsidRDefault="00917506" w:rsidP="00917506">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OIN</w:t>
            </w:r>
          </w:p>
        </w:tc>
        <w:tc>
          <w:tcPr>
            <w:tcW w:w="0" w:type="auto"/>
            <w:shd w:val="clear" w:color="auto" w:fill="auto"/>
            <w:noWrap/>
            <w:vAlign w:val="bottom"/>
          </w:tcPr>
          <w:p w14:paraId="194E821E"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0" w:type="auto"/>
            <w:shd w:val="clear" w:color="auto" w:fill="auto"/>
            <w:noWrap/>
            <w:vAlign w:val="bottom"/>
          </w:tcPr>
          <w:p w14:paraId="73E28912"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54B15F04"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3396F073"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40933701"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6AB20949"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4B1B3340"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0.1426**</w:t>
            </w:r>
          </w:p>
        </w:tc>
        <w:tc>
          <w:tcPr>
            <w:tcW w:w="0" w:type="auto"/>
            <w:shd w:val="clear" w:color="auto" w:fill="auto"/>
            <w:noWrap/>
            <w:vAlign w:val="bottom"/>
          </w:tcPr>
          <w:p w14:paraId="6D89F025"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0" w:type="auto"/>
            <w:shd w:val="clear" w:color="auto" w:fill="auto"/>
            <w:noWrap/>
            <w:vAlign w:val="bottom"/>
          </w:tcPr>
          <w:p w14:paraId="5FCEA9BC"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vAlign w:val="bottom"/>
          </w:tcPr>
          <w:p w14:paraId="16527986"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vAlign w:val="bottom"/>
          </w:tcPr>
          <w:p w14:paraId="750CD68E"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1262" w:type="dxa"/>
            <w:tcBorders>
              <w:top w:val="nil"/>
              <w:left w:val="nil"/>
              <w:bottom w:val="nil"/>
              <w:right w:val="nil"/>
            </w:tcBorders>
            <w:shd w:val="clear" w:color="auto" w:fill="auto"/>
            <w:vAlign w:val="bottom"/>
          </w:tcPr>
          <w:p w14:paraId="088FED5E" w14:textId="3339C1D0" w:rsidR="00917506" w:rsidRPr="00F82B8F" w:rsidRDefault="00917506" w:rsidP="0082004F">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0.0871</w:t>
            </w:r>
          </w:p>
        </w:tc>
      </w:tr>
      <w:tr w:rsidR="00917506" w:rsidRPr="00F82B8F" w14:paraId="1620BFCE" w14:textId="77777777" w:rsidTr="00917506">
        <w:trPr>
          <w:trHeight w:val="300"/>
        </w:trPr>
        <w:tc>
          <w:tcPr>
            <w:tcW w:w="0" w:type="auto"/>
            <w:shd w:val="clear" w:color="auto" w:fill="auto"/>
            <w:noWrap/>
            <w:vAlign w:val="bottom"/>
            <w:hideMark/>
          </w:tcPr>
          <w:p w14:paraId="393D41FE"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7E197055"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30F75C86"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1CA54D09"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0C890945"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00355BFC"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1A1683B4"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6CC749DC"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(0.0566)</w:t>
            </w:r>
          </w:p>
        </w:tc>
        <w:tc>
          <w:tcPr>
            <w:tcW w:w="0" w:type="auto"/>
            <w:shd w:val="clear" w:color="auto" w:fill="auto"/>
            <w:noWrap/>
            <w:vAlign w:val="bottom"/>
          </w:tcPr>
          <w:p w14:paraId="34697158"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0" w:type="auto"/>
            <w:shd w:val="clear" w:color="auto" w:fill="auto"/>
            <w:noWrap/>
            <w:vAlign w:val="bottom"/>
          </w:tcPr>
          <w:p w14:paraId="4C2E02BA"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vAlign w:val="bottom"/>
          </w:tcPr>
          <w:p w14:paraId="1C2B7788"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vAlign w:val="bottom"/>
          </w:tcPr>
          <w:p w14:paraId="4A956DB4"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1262" w:type="dxa"/>
            <w:tcBorders>
              <w:top w:val="nil"/>
              <w:left w:val="nil"/>
              <w:bottom w:val="nil"/>
              <w:right w:val="nil"/>
            </w:tcBorders>
            <w:shd w:val="clear" w:color="auto" w:fill="auto"/>
            <w:vAlign w:val="bottom"/>
          </w:tcPr>
          <w:p w14:paraId="619E6F4D" w14:textId="49CD081A" w:rsidR="00917506" w:rsidRPr="00F82B8F" w:rsidRDefault="00917506" w:rsidP="0082004F">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(0.0696)</w:t>
            </w:r>
          </w:p>
        </w:tc>
      </w:tr>
      <w:tr w:rsidR="00917506" w:rsidRPr="00F82B8F" w14:paraId="296384C3" w14:textId="77777777" w:rsidTr="00917506">
        <w:trPr>
          <w:trHeight w:val="300"/>
        </w:trPr>
        <w:tc>
          <w:tcPr>
            <w:tcW w:w="0" w:type="auto"/>
            <w:shd w:val="clear" w:color="auto" w:fill="auto"/>
            <w:noWrap/>
            <w:vAlign w:val="bottom"/>
            <w:hideMark/>
          </w:tcPr>
          <w:p w14:paraId="016B0BB8" w14:textId="77777777" w:rsidR="00917506" w:rsidRPr="00F82B8F" w:rsidRDefault="00917506" w:rsidP="00917506">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INQ</w:t>
            </w:r>
          </w:p>
        </w:tc>
        <w:tc>
          <w:tcPr>
            <w:tcW w:w="0" w:type="auto"/>
            <w:shd w:val="clear" w:color="auto" w:fill="auto"/>
            <w:noWrap/>
            <w:vAlign w:val="bottom"/>
          </w:tcPr>
          <w:p w14:paraId="02AD4912"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0" w:type="auto"/>
            <w:shd w:val="clear" w:color="auto" w:fill="auto"/>
            <w:noWrap/>
            <w:vAlign w:val="bottom"/>
          </w:tcPr>
          <w:p w14:paraId="4CD8E5FF"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37FC3E4A"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62EE7585"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711F6AF2"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5D56BAE0"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634C120B"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785D14B2"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-0.0045***</w:t>
            </w:r>
          </w:p>
        </w:tc>
        <w:tc>
          <w:tcPr>
            <w:tcW w:w="0" w:type="auto"/>
            <w:shd w:val="clear" w:color="auto" w:fill="auto"/>
            <w:noWrap/>
            <w:vAlign w:val="bottom"/>
          </w:tcPr>
          <w:p w14:paraId="25EFF5AA"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0" w:type="auto"/>
            <w:shd w:val="clear" w:color="auto" w:fill="auto"/>
            <w:vAlign w:val="bottom"/>
          </w:tcPr>
          <w:p w14:paraId="01B03E1F"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0" w:type="auto"/>
            <w:shd w:val="clear" w:color="auto" w:fill="auto"/>
            <w:vAlign w:val="bottom"/>
          </w:tcPr>
          <w:p w14:paraId="614BEA0D"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1262" w:type="dxa"/>
            <w:tcBorders>
              <w:top w:val="nil"/>
              <w:left w:val="nil"/>
              <w:bottom w:val="nil"/>
              <w:right w:val="nil"/>
            </w:tcBorders>
            <w:shd w:val="clear" w:color="auto" w:fill="auto"/>
            <w:vAlign w:val="bottom"/>
          </w:tcPr>
          <w:p w14:paraId="385ED6CF" w14:textId="59BCA87B" w:rsidR="00917506" w:rsidRPr="00F82B8F" w:rsidRDefault="00917506" w:rsidP="0082004F">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-0.0012</w:t>
            </w:r>
          </w:p>
        </w:tc>
      </w:tr>
      <w:tr w:rsidR="00917506" w:rsidRPr="00F82B8F" w14:paraId="5C7B9CE4" w14:textId="77777777" w:rsidTr="00917506">
        <w:trPr>
          <w:trHeight w:val="300"/>
        </w:trPr>
        <w:tc>
          <w:tcPr>
            <w:tcW w:w="0" w:type="auto"/>
            <w:shd w:val="clear" w:color="auto" w:fill="auto"/>
            <w:noWrap/>
            <w:vAlign w:val="bottom"/>
            <w:hideMark/>
          </w:tcPr>
          <w:p w14:paraId="69E90434"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2B533727"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32779B1A"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3185F64F"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7B470193"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6E144C2D"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1BBB4A38"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7B1B0129"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56087249"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(0.0005)</w:t>
            </w:r>
          </w:p>
        </w:tc>
        <w:tc>
          <w:tcPr>
            <w:tcW w:w="0" w:type="auto"/>
            <w:shd w:val="clear" w:color="auto" w:fill="auto"/>
            <w:noWrap/>
            <w:vAlign w:val="bottom"/>
          </w:tcPr>
          <w:p w14:paraId="1D15460B"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0" w:type="auto"/>
            <w:shd w:val="clear" w:color="auto" w:fill="auto"/>
            <w:vAlign w:val="bottom"/>
          </w:tcPr>
          <w:p w14:paraId="542CE092"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0" w:type="auto"/>
            <w:shd w:val="clear" w:color="auto" w:fill="auto"/>
            <w:vAlign w:val="bottom"/>
          </w:tcPr>
          <w:p w14:paraId="58B0334E"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1262" w:type="dxa"/>
            <w:tcBorders>
              <w:top w:val="nil"/>
              <w:left w:val="nil"/>
              <w:bottom w:val="nil"/>
              <w:right w:val="nil"/>
            </w:tcBorders>
            <w:shd w:val="clear" w:color="auto" w:fill="auto"/>
            <w:vAlign w:val="bottom"/>
          </w:tcPr>
          <w:p w14:paraId="7AAD113F" w14:textId="35986B20" w:rsidR="00917506" w:rsidRPr="00F82B8F" w:rsidRDefault="00917506" w:rsidP="0082004F">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(0.0017)</w:t>
            </w:r>
          </w:p>
        </w:tc>
      </w:tr>
      <w:tr w:rsidR="00917506" w:rsidRPr="00F82B8F" w14:paraId="68BE0FE4" w14:textId="77777777" w:rsidTr="00917506">
        <w:trPr>
          <w:trHeight w:val="300"/>
        </w:trPr>
        <w:tc>
          <w:tcPr>
            <w:tcW w:w="0" w:type="auto"/>
            <w:shd w:val="clear" w:color="auto" w:fill="auto"/>
            <w:noWrap/>
            <w:vAlign w:val="bottom"/>
            <w:hideMark/>
          </w:tcPr>
          <w:p w14:paraId="0D3EAC2D" w14:textId="77777777" w:rsidR="00917506" w:rsidRPr="00F82B8F" w:rsidRDefault="00917506" w:rsidP="00917506">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HEL</w:t>
            </w:r>
          </w:p>
        </w:tc>
        <w:tc>
          <w:tcPr>
            <w:tcW w:w="0" w:type="auto"/>
            <w:shd w:val="clear" w:color="auto" w:fill="auto"/>
            <w:noWrap/>
            <w:vAlign w:val="bottom"/>
          </w:tcPr>
          <w:p w14:paraId="385FE98E"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0" w:type="auto"/>
            <w:shd w:val="clear" w:color="auto" w:fill="auto"/>
            <w:noWrap/>
            <w:vAlign w:val="bottom"/>
          </w:tcPr>
          <w:p w14:paraId="528FB0B2"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6D7A7AC6"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0EC4DD2B"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31656901"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1A7A0F8D"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57B352F0"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15819C4E"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28560B05"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-0.6739***</w:t>
            </w:r>
          </w:p>
        </w:tc>
        <w:tc>
          <w:tcPr>
            <w:tcW w:w="0" w:type="auto"/>
            <w:shd w:val="clear" w:color="auto" w:fill="auto"/>
            <w:vAlign w:val="bottom"/>
          </w:tcPr>
          <w:p w14:paraId="07F17884"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0" w:type="auto"/>
            <w:shd w:val="clear" w:color="auto" w:fill="auto"/>
            <w:vAlign w:val="bottom"/>
          </w:tcPr>
          <w:p w14:paraId="55A90E2F"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1262" w:type="dxa"/>
            <w:tcBorders>
              <w:top w:val="nil"/>
              <w:left w:val="nil"/>
              <w:bottom w:val="nil"/>
              <w:right w:val="nil"/>
            </w:tcBorders>
            <w:shd w:val="clear" w:color="auto" w:fill="auto"/>
            <w:vAlign w:val="bottom"/>
          </w:tcPr>
          <w:p w14:paraId="5191FDAF" w14:textId="33526871" w:rsidR="00917506" w:rsidRPr="00F82B8F" w:rsidRDefault="00917506" w:rsidP="0082004F">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-0.2958</w:t>
            </w:r>
          </w:p>
        </w:tc>
      </w:tr>
      <w:tr w:rsidR="00917506" w:rsidRPr="00F82B8F" w14:paraId="07915158" w14:textId="77777777" w:rsidTr="00917506">
        <w:trPr>
          <w:trHeight w:val="300"/>
        </w:trPr>
        <w:tc>
          <w:tcPr>
            <w:tcW w:w="0" w:type="auto"/>
            <w:shd w:val="clear" w:color="auto" w:fill="auto"/>
            <w:noWrap/>
            <w:vAlign w:val="bottom"/>
            <w:hideMark/>
          </w:tcPr>
          <w:p w14:paraId="5E749E8E"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0" w:type="auto"/>
            <w:shd w:val="clear" w:color="auto" w:fill="auto"/>
            <w:noWrap/>
            <w:vAlign w:val="bottom"/>
          </w:tcPr>
          <w:p w14:paraId="3AF389AC"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2BF56E64"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0198C32E"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5C846ED0"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5F9BF6C1"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7D564392"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716B22BC"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36207950"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16DAC503"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(0.0979)</w:t>
            </w:r>
          </w:p>
        </w:tc>
        <w:tc>
          <w:tcPr>
            <w:tcW w:w="0" w:type="auto"/>
            <w:shd w:val="clear" w:color="auto" w:fill="auto"/>
            <w:vAlign w:val="bottom"/>
          </w:tcPr>
          <w:p w14:paraId="61C4BA7C"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0" w:type="auto"/>
            <w:shd w:val="clear" w:color="auto" w:fill="auto"/>
            <w:vAlign w:val="bottom"/>
          </w:tcPr>
          <w:p w14:paraId="5333224E"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1262" w:type="dxa"/>
            <w:tcBorders>
              <w:top w:val="nil"/>
              <w:left w:val="nil"/>
              <w:bottom w:val="nil"/>
              <w:right w:val="nil"/>
            </w:tcBorders>
            <w:shd w:val="clear" w:color="auto" w:fill="auto"/>
            <w:vAlign w:val="bottom"/>
          </w:tcPr>
          <w:p w14:paraId="6BB7DC74" w14:textId="7B7D8B44" w:rsidR="00917506" w:rsidRPr="00F82B8F" w:rsidRDefault="00917506" w:rsidP="0082004F">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(0.2202)</w:t>
            </w:r>
          </w:p>
        </w:tc>
      </w:tr>
      <w:tr w:rsidR="00917506" w:rsidRPr="00F82B8F" w14:paraId="5ADAC84A" w14:textId="77777777" w:rsidTr="00917506">
        <w:trPr>
          <w:trHeight w:val="300"/>
        </w:trPr>
        <w:tc>
          <w:tcPr>
            <w:tcW w:w="0" w:type="auto"/>
            <w:shd w:val="clear" w:color="auto" w:fill="auto"/>
            <w:noWrap/>
            <w:vAlign w:val="bottom"/>
          </w:tcPr>
          <w:p w14:paraId="6CEA528A" w14:textId="77777777" w:rsidR="00917506" w:rsidRPr="00F82B8F" w:rsidRDefault="00917506" w:rsidP="00917506">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FDI</w:t>
            </w:r>
          </w:p>
        </w:tc>
        <w:tc>
          <w:tcPr>
            <w:tcW w:w="0" w:type="auto"/>
            <w:shd w:val="clear" w:color="auto" w:fill="auto"/>
            <w:noWrap/>
            <w:vAlign w:val="bottom"/>
          </w:tcPr>
          <w:p w14:paraId="746D7376"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25F37579"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07EE6353"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5F651BC0"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44E68238"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5A1E86A5"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60203BC9"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4FA271AC"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25EFC3A7"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0" w:type="auto"/>
            <w:shd w:val="clear" w:color="auto" w:fill="auto"/>
            <w:vAlign w:val="bottom"/>
          </w:tcPr>
          <w:p w14:paraId="7A31B448"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-0.1704***</w:t>
            </w:r>
          </w:p>
        </w:tc>
        <w:tc>
          <w:tcPr>
            <w:tcW w:w="0" w:type="auto"/>
            <w:shd w:val="clear" w:color="auto" w:fill="auto"/>
            <w:vAlign w:val="bottom"/>
          </w:tcPr>
          <w:p w14:paraId="5FDE2D75"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1262" w:type="dxa"/>
            <w:tcBorders>
              <w:top w:val="nil"/>
              <w:left w:val="nil"/>
              <w:bottom w:val="nil"/>
              <w:right w:val="nil"/>
            </w:tcBorders>
            <w:shd w:val="clear" w:color="auto" w:fill="auto"/>
            <w:vAlign w:val="bottom"/>
          </w:tcPr>
          <w:p w14:paraId="6982D2B8" w14:textId="1A54B634" w:rsidR="00917506" w:rsidRPr="00F82B8F" w:rsidRDefault="00917506" w:rsidP="0082004F">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0.5320***</w:t>
            </w:r>
          </w:p>
        </w:tc>
      </w:tr>
      <w:tr w:rsidR="00917506" w:rsidRPr="00F82B8F" w14:paraId="04569399" w14:textId="77777777" w:rsidTr="00917506">
        <w:trPr>
          <w:trHeight w:val="300"/>
        </w:trPr>
        <w:tc>
          <w:tcPr>
            <w:tcW w:w="0" w:type="auto"/>
            <w:shd w:val="clear" w:color="auto" w:fill="auto"/>
            <w:noWrap/>
            <w:vAlign w:val="bottom"/>
          </w:tcPr>
          <w:p w14:paraId="1642AADB" w14:textId="77777777" w:rsidR="00917506" w:rsidRPr="00F82B8F" w:rsidRDefault="00917506" w:rsidP="00917506">
            <w:pPr>
              <w:spacing w:after="0" w:line="240" w:lineRule="auto"/>
              <w:rPr>
                <w:rFonts w:ascii="Times New Roman" w:eastAsia="Times New Roman" w:hAnsi="Times New Roman" w:cs="Times New Roman"/>
                <w:color w:val="000000"/>
                <w:sz w:val="20"/>
                <w:szCs w:val="20"/>
                <w:lang w:eastAsia="en-GB"/>
              </w:rPr>
            </w:pPr>
          </w:p>
        </w:tc>
        <w:tc>
          <w:tcPr>
            <w:tcW w:w="0" w:type="auto"/>
            <w:shd w:val="clear" w:color="auto" w:fill="auto"/>
            <w:noWrap/>
            <w:vAlign w:val="bottom"/>
          </w:tcPr>
          <w:p w14:paraId="16A16396"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487624AB"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77699048"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27D10408"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189473B6"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1227C790"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1B1FACDE"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2937740D"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4F6BE16D"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0" w:type="auto"/>
            <w:shd w:val="clear" w:color="auto" w:fill="auto"/>
            <w:vAlign w:val="bottom"/>
          </w:tcPr>
          <w:p w14:paraId="78B3F01B"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(0.0459)</w:t>
            </w:r>
          </w:p>
        </w:tc>
        <w:tc>
          <w:tcPr>
            <w:tcW w:w="0" w:type="auto"/>
            <w:shd w:val="clear" w:color="auto" w:fill="auto"/>
            <w:vAlign w:val="bottom"/>
          </w:tcPr>
          <w:p w14:paraId="2A0F3006"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1262" w:type="dxa"/>
            <w:tcBorders>
              <w:top w:val="nil"/>
              <w:left w:val="nil"/>
              <w:bottom w:val="nil"/>
              <w:right w:val="nil"/>
            </w:tcBorders>
            <w:shd w:val="clear" w:color="auto" w:fill="auto"/>
            <w:vAlign w:val="bottom"/>
          </w:tcPr>
          <w:p w14:paraId="23B22588" w14:textId="3EDE9E2A" w:rsidR="00917506" w:rsidRPr="00F82B8F" w:rsidRDefault="00917506" w:rsidP="0082004F">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(0.0979)</w:t>
            </w:r>
          </w:p>
        </w:tc>
      </w:tr>
      <w:tr w:rsidR="00917506" w:rsidRPr="00F82B8F" w14:paraId="5B5CDA59" w14:textId="77777777" w:rsidTr="00917506">
        <w:trPr>
          <w:trHeight w:val="300"/>
        </w:trPr>
        <w:tc>
          <w:tcPr>
            <w:tcW w:w="0" w:type="auto"/>
            <w:shd w:val="clear" w:color="auto" w:fill="auto"/>
            <w:noWrap/>
            <w:vAlign w:val="bottom"/>
          </w:tcPr>
          <w:p w14:paraId="0869091C" w14:textId="77777777" w:rsidR="00917506" w:rsidRPr="00F82B8F" w:rsidRDefault="00917506" w:rsidP="00917506">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FII</w:t>
            </w:r>
          </w:p>
        </w:tc>
        <w:tc>
          <w:tcPr>
            <w:tcW w:w="0" w:type="auto"/>
            <w:shd w:val="clear" w:color="auto" w:fill="auto"/>
            <w:noWrap/>
            <w:vAlign w:val="bottom"/>
          </w:tcPr>
          <w:p w14:paraId="408F3750"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5149BE1F"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150F7EBC"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0E7DB31D"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074D1796"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338E83E0"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7D65EC8E"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4A310F07"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571A5ABB"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0" w:type="auto"/>
            <w:shd w:val="clear" w:color="auto" w:fill="auto"/>
            <w:vAlign w:val="bottom"/>
          </w:tcPr>
          <w:p w14:paraId="291793F2"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0" w:type="auto"/>
            <w:shd w:val="clear" w:color="auto" w:fill="auto"/>
            <w:vAlign w:val="bottom"/>
          </w:tcPr>
          <w:p w14:paraId="089386DB"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-0.1860***</w:t>
            </w:r>
          </w:p>
        </w:tc>
        <w:tc>
          <w:tcPr>
            <w:tcW w:w="1262" w:type="dxa"/>
            <w:shd w:val="clear" w:color="auto" w:fill="auto"/>
            <w:vAlign w:val="bottom"/>
          </w:tcPr>
          <w:p w14:paraId="1EA92E2B" w14:textId="4037A290" w:rsidR="00917506" w:rsidRPr="00F82B8F" w:rsidRDefault="00917506" w:rsidP="0082004F">
            <w:pPr>
              <w:spacing w:after="0" w:line="240" w:lineRule="auto"/>
              <w:jc w:val="center"/>
              <w:rPr>
                <w:rFonts w:ascii="Times New Roman" w:eastAsia="Times New Roman" w:hAnsi="Times New Roman" w:cs="Times New Roman"/>
                <w:color w:val="000000"/>
                <w:sz w:val="20"/>
                <w:szCs w:val="20"/>
                <w:lang w:eastAsia="en-GB"/>
              </w:rPr>
            </w:pPr>
          </w:p>
        </w:tc>
      </w:tr>
      <w:tr w:rsidR="00917506" w:rsidRPr="00F82B8F" w14:paraId="1288AFD7" w14:textId="77777777" w:rsidTr="00917506">
        <w:trPr>
          <w:trHeight w:val="300"/>
        </w:trPr>
        <w:tc>
          <w:tcPr>
            <w:tcW w:w="0" w:type="auto"/>
            <w:shd w:val="clear" w:color="auto" w:fill="auto"/>
            <w:noWrap/>
            <w:vAlign w:val="bottom"/>
          </w:tcPr>
          <w:p w14:paraId="1431610D"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0" w:type="auto"/>
            <w:shd w:val="clear" w:color="auto" w:fill="auto"/>
            <w:noWrap/>
            <w:vAlign w:val="bottom"/>
          </w:tcPr>
          <w:p w14:paraId="4564E599"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4AC8E90F"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18A1D36C"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13388A16"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7B163C24"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1F0E1C3A"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7B5DAD51"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53CEEADF"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44153CF6"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0" w:type="auto"/>
            <w:shd w:val="clear" w:color="auto" w:fill="auto"/>
            <w:vAlign w:val="bottom"/>
          </w:tcPr>
          <w:p w14:paraId="7DD07BEF"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0" w:type="auto"/>
            <w:shd w:val="clear" w:color="auto" w:fill="auto"/>
            <w:vAlign w:val="bottom"/>
          </w:tcPr>
          <w:p w14:paraId="422F8678"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(0.0452)</w:t>
            </w:r>
          </w:p>
        </w:tc>
        <w:tc>
          <w:tcPr>
            <w:tcW w:w="1262" w:type="dxa"/>
            <w:shd w:val="clear" w:color="auto" w:fill="auto"/>
            <w:vAlign w:val="bottom"/>
          </w:tcPr>
          <w:p w14:paraId="3446932B" w14:textId="31645351" w:rsidR="00917506" w:rsidRPr="00F82B8F" w:rsidRDefault="00917506" w:rsidP="0082004F">
            <w:pPr>
              <w:spacing w:after="0" w:line="240" w:lineRule="auto"/>
              <w:jc w:val="center"/>
              <w:rPr>
                <w:rFonts w:ascii="Times New Roman" w:eastAsia="Times New Roman" w:hAnsi="Times New Roman" w:cs="Times New Roman"/>
                <w:color w:val="000000"/>
                <w:sz w:val="20"/>
                <w:szCs w:val="20"/>
                <w:lang w:eastAsia="en-GB"/>
              </w:rPr>
            </w:pPr>
          </w:p>
        </w:tc>
      </w:tr>
      <w:tr w:rsidR="00917506" w:rsidRPr="00F82B8F" w14:paraId="35A22578" w14:textId="77777777" w:rsidTr="00917506">
        <w:trPr>
          <w:trHeight w:val="300"/>
        </w:trPr>
        <w:tc>
          <w:tcPr>
            <w:tcW w:w="0" w:type="auto"/>
            <w:shd w:val="clear" w:color="auto" w:fill="auto"/>
            <w:noWrap/>
            <w:vAlign w:val="bottom"/>
            <w:hideMark/>
          </w:tcPr>
          <w:p w14:paraId="20CE8F11" w14:textId="77777777" w:rsidR="00917506" w:rsidRPr="00F82B8F" w:rsidRDefault="00917506" w:rsidP="00917506">
            <w:pPr>
              <w:spacing w:after="0" w:line="240" w:lineRule="auto"/>
              <w:rPr>
                <w:rFonts w:ascii="Times New Roman" w:eastAsia="Times New Roman" w:hAnsi="Times New Roman" w:cs="Times New Roman"/>
                <w:color w:val="000000"/>
                <w:sz w:val="20"/>
                <w:szCs w:val="20"/>
                <w:lang w:eastAsia="en-GB"/>
              </w:rPr>
            </w:pPr>
            <m:oMathPara>
              <m:oMathParaPr>
                <m:jc m:val="left"/>
              </m:oMathParaPr>
              <m:oMath>
                <m:r>
                  <w:rPr>
                    <w:rFonts w:ascii="Cambria Math" w:eastAsia="Times New Roman" w:hAnsi="Cambria Math" w:cs="Times New Roman"/>
                    <w:color w:val="000000"/>
                    <w:sz w:val="20"/>
                    <w:szCs w:val="20"/>
                    <w:lang w:eastAsia="en-GB"/>
                  </w:rPr>
                  <m:t>α</m:t>
                </m:r>
              </m:oMath>
            </m:oMathPara>
          </w:p>
        </w:tc>
        <w:tc>
          <w:tcPr>
            <w:tcW w:w="0" w:type="auto"/>
            <w:shd w:val="clear" w:color="auto" w:fill="auto"/>
            <w:noWrap/>
            <w:vAlign w:val="bottom"/>
          </w:tcPr>
          <w:p w14:paraId="2F534F5A"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-0.0016</w:t>
            </w:r>
          </w:p>
        </w:tc>
        <w:tc>
          <w:tcPr>
            <w:tcW w:w="0" w:type="auto"/>
            <w:shd w:val="clear" w:color="auto" w:fill="auto"/>
            <w:noWrap/>
            <w:vAlign w:val="bottom"/>
          </w:tcPr>
          <w:p w14:paraId="2A17F0CF"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-0.0115</w:t>
            </w:r>
          </w:p>
        </w:tc>
        <w:tc>
          <w:tcPr>
            <w:tcW w:w="0" w:type="auto"/>
            <w:shd w:val="clear" w:color="auto" w:fill="auto"/>
            <w:noWrap/>
            <w:vAlign w:val="bottom"/>
          </w:tcPr>
          <w:p w14:paraId="737E091E"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-0.0135</w:t>
            </w:r>
          </w:p>
        </w:tc>
        <w:tc>
          <w:tcPr>
            <w:tcW w:w="0" w:type="auto"/>
            <w:shd w:val="clear" w:color="auto" w:fill="auto"/>
            <w:noWrap/>
            <w:vAlign w:val="bottom"/>
          </w:tcPr>
          <w:p w14:paraId="4530AE85"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-0.0001</w:t>
            </w:r>
          </w:p>
        </w:tc>
        <w:tc>
          <w:tcPr>
            <w:tcW w:w="0" w:type="auto"/>
            <w:shd w:val="clear" w:color="auto" w:fill="auto"/>
            <w:noWrap/>
            <w:vAlign w:val="bottom"/>
          </w:tcPr>
          <w:p w14:paraId="77A4106F"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0.0003</w:t>
            </w:r>
          </w:p>
        </w:tc>
        <w:tc>
          <w:tcPr>
            <w:tcW w:w="0" w:type="auto"/>
            <w:shd w:val="clear" w:color="auto" w:fill="auto"/>
            <w:noWrap/>
            <w:vAlign w:val="bottom"/>
          </w:tcPr>
          <w:p w14:paraId="6C1776A5"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-0.0034</w:t>
            </w:r>
          </w:p>
        </w:tc>
        <w:tc>
          <w:tcPr>
            <w:tcW w:w="0" w:type="auto"/>
            <w:shd w:val="clear" w:color="auto" w:fill="auto"/>
            <w:noWrap/>
            <w:vAlign w:val="bottom"/>
          </w:tcPr>
          <w:p w14:paraId="5B2F8FC0"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0.0108</w:t>
            </w:r>
          </w:p>
        </w:tc>
        <w:tc>
          <w:tcPr>
            <w:tcW w:w="0" w:type="auto"/>
            <w:shd w:val="clear" w:color="auto" w:fill="auto"/>
            <w:noWrap/>
            <w:vAlign w:val="bottom"/>
          </w:tcPr>
          <w:p w14:paraId="4AAAA3AC"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-0.0020</w:t>
            </w:r>
          </w:p>
        </w:tc>
        <w:tc>
          <w:tcPr>
            <w:tcW w:w="0" w:type="auto"/>
            <w:shd w:val="clear" w:color="auto" w:fill="auto"/>
            <w:noWrap/>
            <w:vAlign w:val="bottom"/>
          </w:tcPr>
          <w:p w14:paraId="0F55DF0B"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-0.0015</w:t>
            </w:r>
          </w:p>
        </w:tc>
        <w:tc>
          <w:tcPr>
            <w:tcW w:w="0" w:type="auto"/>
            <w:shd w:val="clear" w:color="auto" w:fill="auto"/>
            <w:vAlign w:val="bottom"/>
          </w:tcPr>
          <w:p w14:paraId="6C5A6F80"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0.0094</w:t>
            </w:r>
          </w:p>
        </w:tc>
        <w:tc>
          <w:tcPr>
            <w:tcW w:w="0" w:type="auto"/>
            <w:shd w:val="clear" w:color="auto" w:fill="auto"/>
            <w:vAlign w:val="bottom"/>
          </w:tcPr>
          <w:p w14:paraId="64747EC7"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0.0090</w:t>
            </w:r>
          </w:p>
        </w:tc>
        <w:tc>
          <w:tcPr>
            <w:tcW w:w="1262" w:type="dxa"/>
            <w:tcBorders>
              <w:top w:val="nil"/>
              <w:left w:val="nil"/>
              <w:bottom w:val="nil"/>
              <w:right w:val="nil"/>
            </w:tcBorders>
            <w:shd w:val="clear" w:color="auto" w:fill="auto"/>
            <w:vAlign w:val="bottom"/>
          </w:tcPr>
          <w:p w14:paraId="64308D1B" w14:textId="7D6690B7" w:rsidR="00917506" w:rsidRPr="00F82B8F" w:rsidRDefault="00917506" w:rsidP="0082004F">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0.0033</w:t>
            </w:r>
          </w:p>
        </w:tc>
      </w:tr>
      <w:tr w:rsidR="00917506" w:rsidRPr="00F82B8F" w14:paraId="566F08F2" w14:textId="77777777" w:rsidTr="00917506">
        <w:trPr>
          <w:trHeight w:val="300"/>
        </w:trPr>
        <w:tc>
          <w:tcPr>
            <w:tcW w:w="0" w:type="auto"/>
            <w:shd w:val="clear" w:color="auto" w:fill="auto"/>
            <w:noWrap/>
            <w:vAlign w:val="bottom"/>
            <w:hideMark/>
          </w:tcPr>
          <w:p w14:paraId="28842C36" w14:textId="77777777" w:rsidR="00917506" w:rsidRPr="00F82B8F" w:rsidRDefault="00917506" w:rsidP="00917506">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 </w:t>
            </w:r>
          </w:p>
        </w:tc>
        <w:tc>
          <w:tcPr>
            <w:tcW w:w="0" w:type="auto"/>
            <w:shd w:val="clear" w:color="auto" w:fill="auto"/>
            <w:noWrap/>
            <w:vAlign w:val="bottom"/>
          </w:tcPr>
          <w:p w14:paraId="71A0CF42"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(0.0137)</w:t>
            </w:r>
          </w:p>
        </w:tc>
        <w:tc>
          <w:tcPr>
            <w:tcW w:w="0" w:type="auto"/>
            <w:shd w:val="clear" w:color="auto" w:fill="auto"/>
            <w:noWrap/>
            <w:vAlign w:val="bottom"/>
          </w:tcPr>
          <w:p w14:paraId="413C074B"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(0.0144)</w:t>
            </w:r>
          </w:p>
        </w:tc>
        <w:tc>
          <w:tcPr>
            <w:tcW w:w="0" w:type="auto"/>
            <w:shd w:val="clear" w:color="auto" w:fill="auto"/>
            <w:noWrap/>
            <w:vAlign w:val="bottom"/>
          </w:tcPr>
          <w:p w14:paraId="36F0ACE0"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(0.0149)</w:t>
            </w:r>
          </w:p>
        </w:tc>
        <w:tc>
          <w:tcPr>
            <w:tcW w:w="0" w:type="auto"/>
            <w:shd w:val="clear" w:color="auto" w:fill="auto"/>
            <w:noWrap/>
            <w:vAlign w:val="bottom"/>
          </w:tcPr>
          <w:p w14:paraId="4A24E50A"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(0.0135)</w:t>
            </w:r>
          </w:p>
        </w:tc>
        <w:tc>
          <w:tcPr>
            <w:tcW w:w="0" w:type="auto"/>
            <w:shd w:val="clear" w:color="auto" w:fill="auto"/>
            <w:noWrap/>
            <w:vAlign w:val="bottom"/>
          </w:tcPr>
          <w:p w14:paraId="04739E68"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(0.0135)</w:t>
            </w:r>
          </w:p>
        </w:tc>
        <w:tc>
          <w:tcPr>
            <w:tcW w:w="0" w:type="auto"/>
            <w:shd w:val="clear" w:color="auto" w:fill="auto"/>
            <w:noWrap/>
            <w:vAlign w:val="bottom"/>
          </w:tcPr>
          <w:p w14:paraId="6290B33A"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(0.0137)</w:t>
            </w:r>
          </w:p>
        </w:tc>
        <w:tc>
          <w:tcPr>
            <w:tcW w:w="0" w:type="auto"/>
            <w:shd w:val="clear" w:color="auto" w:fill="auto"/>
            <w:noWrap/>
            <w:vAlign w:val="bottom"/>
          </w:tcPr>
          <w:p w14:paraId="6438A1CB"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(0.0142)</w:t>
            </w:r>
          </w:p>
        </w:tc>
        <w:tc>
          <w:tcPr>
            <w:tcW w:w="0" w:type="auto"/>
            <w:shd w:val="clear" w:color="auto" w:fill="auto"/>
            <w:noWrap/>
            <w:vAlign w:val="bottom"/>
          </w:tcPr>
          <w:p w14:paraId="6BA3CDE6"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(0.0136)</w:t>
            </w:r>
          </w:p>
        </w:tc>
        <w:tc>
          <w:tcPr>
            <w:tcW w:w="0" w:type="auto"/>
            <w:shd w:val="clear" w:color="auto" w:fill="auto"/>
            <w:noWrap/>
            <w:vAlign w:val="bottom"/>
          </w:tcPr>
          <w:p w14:paraId="061ED2A4"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(0.0136)</w:t>
            </w:r>
          </w:p>
        </w:tc>
        <w:tc>
          <w:tcPr>
            <w:tcW w:w="0" w:type="auto"/>
            <w:shd w:val="clear" w:color="auto" w:fill="auto"/>
            <w:vAlign w:val="bottom"/>
          </w:tcPr>
          <w:p w14:paraId="67838836"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(0.0137)</w:t>
            </w:r>
          </w:p>
        </w:tc>
        <w:tc>
          <w:tcPr>
            <w:tcW w:w="0" w:type="auto"/>
            <w:shd w:val="clear" w:color="auto" w:fill="auto"/>
            <w:vAlign w:val="bottom"/>
          </w:tcPr>
          <w:p w14:paraId="3C0D6705"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(0.0138)</w:t>
            </w:r>
          </w:p>
        </w:tc>
        <w:tc>
          <w:tcPr>
            <w:tcW w:w="1262" w:type="dxa"/>
            <w:tcBorders>
              <w:top w:val="nil"/>
              <w:left w:val="nil"/>
              <w:bottom w:val="nil"/>
              <w:right w:val="nil"/>
            </w:tcBorders>
            <w:shd w:val="clear" w:color="auto" w:fill="auto"/>
            <w:vAlign w:val="bottom"/>
          </w:tcPr>
          <w:p w14:paraId="6935F7C4" w14:textId="62CAA60D" w:rsidR="00917506" w:rsidRPr="00F82B8F" w:rsidRDefault="00917506" w:rsidP="0082004F">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(0.0166)</w:t>
            </w:r>
          </w:p>
        </w:tc>
      </w:tr>
      <w:tr w:rsidR="00917506" w:rsidRPr="00F82B8F" w14:paraId="3D207659" w14:textId="77777777" w:rsidTr="00917506">
        <w:trPr>
          <w:trHeight w:val="300"/>
        </w:trPr>
        <w:tc>
          <w:tcPr>
            <w:tcW w:w="0" w:type="auto"/>
            <w:shd w:val="clear" w:color="auto" w:fill="auto"/>
            <w:noWrap/>
            <w:vAlign w:val="bottom"/>
            <w:hideMark/>
          </w:tcPr>
          <w:p w14:paraId="7CB71795" w14:textId="77777777" w:rsidR="00917506" w:rsidRPr="00F82B8F" w:rsidRDefault="00917506" w:rsidP="00917506">
            <w:pPr>
              <w:spacing w:after="0" w:line="240" w:lineRule="auto"/>
              <w:rPr>
                <w:rFonts w:ascii="Times New Roman" w:eastAsia="Times New Roman" w:hAnsi="Times New Roman" w:cs="Times New Roman"/>
                <w:color w:val="000000"/>
                <w:sz w:val="20"/>
                <w:szCs w:val="20"/>
                <w:lang w:eastAsia="en-GB"/>
              </w:rPr>
            </w:pPr>
            <m:oMathPara>
              <m:oMathParaPr>
                <m:jc m:val="left"/>
              </m:oMathParaPr>
              <m:oMath>
                <m:r>
                  <w:rPr>
                    <w:rFonts w:ascii="Cambria Math" w:eastAsia="Times New Roman" w:hAnsi="Cambria Math" w:cs="Times New Roman"/>
                    <w:color w:val="000000"/>
                    <w:sz w:val="20"/>
                    <w:szCs w:val="20"/>
                    <w:lang w:eastAsia="en-GB"/>
                  </w:rPr>
                  <m:t>γ</m:t>
                </m:r>
              </m:oMath>
            </m:oMathPara>
          </w:p>
        </w:tc>
        <w:tc>
          <w:tcPr>
            <w:tcW w:w="0" w:type="auto"/>
            <w:shd w:val="clear" w:color="auto" w:fill="auto"/>
            <w:noWrap/>
            <w:vAlign w:val="bottom"/>
          </w:tcPr>
          <w:p w14:paraId="1710B002"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0.4820***</w:t>
            </w:r>
          </w:p>
        </w:tc>
        <w:tc>
          <w:tcPr>
            <w:tcW w:w="0" w:type="auto"/>
            <w:shd w:val="clear" w:color="auto" w:fill="auto"/>
            <w:noWrap/>
            <w:vAlign w:val="bottom"/>
          </w:tcPr>
          <w:p w14:paraId="763D0062"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0.4527***</w:t>
            </w:r>
          </w:p>
        </w:tc>
        <w:tc>
          <w:tcPr>
            <w:tcW w:w="0" w:type="auto"/>
            <w:shd w:val="clear" w:color="auto" w:fill="auto"/>
            <w:noWrap/>
            <w:vAlign w:val="bottom"/>
          </w:tcPr>
          <w:p w14:paraId="1D44B0A1"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0.4654***</w:t>
            </w:r>
          </w:p>
        </w:tc>
        <w:tc>
          <w:tcPr>
            <w:tcW w:w="0" w:type="auto"/>
            <w:shd w:val="clear" w:color="auto" w:fill="auto"/>
            <w:noWrap/>
            <w:vAlign w:val="bottom"/>
          </w:tcPr>
          <w:p w14:paraId="6F38E23C"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0.4896***</w:t>
            </w:r>
          </w:p>
        </w:tc>
        <w:tc>
          <w:tcPr>
            <w:tcW w:w="0" w:type="auto"/>
            <w:shd w:val="clear" w:color="auto" w:fill="auto"/>
            <w:noWrap/>
            <w:vAlign w:val="bottom"/>
          </w:tcPr>
          <w:p w14:paraId="744BF827"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0.4912***</w:t>
            </w:r>
          </w:p>
        </w:tc>
        <w:tc>
          <w:tcPr>
            <w:tcW w:w="0" w:type="auto"/>
            <w:shd w:val="clear" w:color="auto" w:fill="auto"/>
            <w:noWrap/>
            <w:vAlign w:val="bottom"/>
          </w:tcPr>
          <w:p w14:paraId="217BE0CA"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0.4778***</w:t>
            </w:r>
          </w:p>
        </w:tc>
        <w:tc>
          <w:tcPr>
            <w:tcW w:w="0" w:type="auto"/>
            <w:shd w:val="clear" w:color="auto" w:fill="auto"/>
            <w:noWrap/>
            <w:vAlign w:val="bottom"/>
          </w:tcPr>
          <w:p w14:paraId="286B5929"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0.5101***</w:t>
            </w:r>
          </w:p>
        </w:tc>
        <w:tc>
          <w:tcPr>
            <w:tcW w:w="0" w:type="auto"/>
            <w:shd w:val="clear" w:color="auto" w:fill="auto"/>
            <w:noWrap/>
            <w:vAlign w:val="bottom"/>
          </w:tcPr>
          <w:p w14:paraId="39484114"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0.4770***</w:t>
            </w:r>
          </w:p>
        </w:tc>
        <w:tc>
          <w:tcPr>
            <w:tcW w:w="0" w:type="auto"/>
            <w:shd w:val="clear" w:color="auto" w:fill="auto"/>
            <w:noWrap/>
            <w:vAlign w:val="bottom"/>
          </w:tcPr>
          <w:p w14:paraId="23F5652C"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0.4845***</w:t>
            </w:r>
          </w:p>
        </w:tc>
        <w:tc>
          <w:tcPr>
            <w:tcW w:w="0" w:type="auto"/>
            <w:shd w:val="clear" w:color="auto" w:fill="auto"/>
            <w:vAlign w:val="bottom"/>
          </w:tcPr>
          <w:p w14:paraId="183718B6"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0.4966***</w:t>
            </w:r>
          </w:p>
        </w:tc>
        <w:tc>
          <w:tcPr>
            <w:tcW w:w="0" w:type="auto"/>
            <w:shd w:val="clear" w:color="auto" w:fill="auto"/>
            <w:vAlign w:val="bottom"/>
          </w:tcPr>
          <w:p w14:paraId="14BBBBC9"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0.4951***</w:t>
            </w:r>
          </w:p>
        </w:tc>
        <w:tc>
          <w:tcPr>
            <w:tcW w:w="1262" w:type="dxa"/>
            <w:tcBorders>
              <w:top w:val="nil"/>
              <w:left w:val="nil"/>
              <w:bottom w:val="nil"/>
              <w:right w:val="nil"/>
            </w:tcBorders>
            <w:shd w:val="clear" w:color="auto" w:fill="auto"/>
            <w:vAlign w:val="bottom"/>
          </w:tcPr>
          <w:p w14:paraId="011FD44E" w14:textId="13513E61" w:rsidR="00917506" w:rsidRPr="00F82B8F" w:rsidRDefault="00917506" w:rsidP="0082004F">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0.4750***</w:t>
            </w:r>
          </w:p>
        </w:tc>
      </w:tr>
      <w:tr w:rsidR="00917506" w:rsidRPr="00F82B8F" w14:paraId="051B010D" w14:textId="77777777" w:rsidTr="00917506">
        <w:trPr>
          <w:trHeight w:val="300"/>
        </w:trPr>
        <w:tc>
          <w:tcPr>
            <w:tcW w:w="0" w:type="auto"/>
            <w:shd w:val="clear" w:color="auto" w:fill="auto"/>
            <w:noWrap/>
            <w:vAlign w:val="bottom"/>
            <w:hideMark/>
          </w:tcPr>
          <w:p w14:paraId="21690F26" w14:textId="77777777" w:rsidR="00917506" w:rsidRPr="00F82B8F" w:rsidRDefault="00917506" w:rsidP="00917506">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 </w:t>
            </w:r>
          </w:p>
        </w:tc>
        <w:tc>
          <w:tcPr>
            <w:tcW w:w="0" w:type="auto"/>
            <w:shd w:val="clear" w:color="auto" w:fill="auto"/>
            <w:noWrap/>
            <w:vAlign w:val="bottom"/>
          </w:tcPr>
          <w:p w14:paraId="5676E970"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(0.0210)</w:t>
            </w:r>
          </w:p>
        </w:tc>
        <w:tc>
          <w:tcPr>
            <w:tcW w:w="0" w:type="auto"/>
            <w:shd w:val="clear" w:color="auto" w:fill="auto"/>
            <w:noWrap/>
            <w:vAlign w:val="bottom"/>
          </w:tcPr>
          <w:p w14:paraId="2AE65637"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(0.0219)</w:t>
            </w:r>
          </w:p>
        </w:tc>
        <w:tc>
          <w:tcPr>
            <w:tcW w:w="0" w:type="auto"/>
            <w:shd w:val="clear" w:color="auto" w:fill="auto"/>
            <w:noWrap/>
            <w:vAlign w:val="bottom"/>
          </w:tcPr>
          <w:p w14:paraId="61863E5D"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(0.0219)</w:t>
            </w:r>
          </w:p>
        </w:tc>
        <w:tc>
          <w:tcPr>
            <w:tcW w:w="0" w:type="auto"/>
            <w:shd w:val="clear" w:color="auto" w:fill="auto"/>
            <w:noWrap/>
            <w:vAlign w:val="bottom"/>
          </w:tcPr>
          <w:p w14:paraId="76137370"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(0.0208)</w:t>
            </w:r>
          </w:p>
        </w:tc>
        <w:tc>
          <w:tcPr>
            <w:tcW w:w="0" w:type="auto"/>
            <w:shd w:val="clear" w:color="auto" w:fill="auto"/>
            <w:noWrap/>
            <w:vAlign w:val="bottom"/>
          </w:tcPr>
          <w:p w14:paraId="634080FA"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(0.0207)</w:t>
            </w:r>
          </w:p>
        </w:tc>
        <w:tc>
          <w:tcPr>
            <w:tcW w:w="0" w:type="auto"/>
            <w:shd w:val="clear" w:color="auto" w:fill="auto"/>
            <w:noWrap/>
            <w:vAlign w:val="bottom"/>
          </w:tcPr>
          <w:p w14:paraId="3CA0E93D"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(0.0211)</w:t>
            </w:r>
          </w:p>
        </w:tc>
        <w:tc>
          <w:tcPr>
            <w:tcW w:w="0" w:type="auto"/>
            <w:shd w:val="clear" w:color="auto" w:fill="auto"/>
            <w:noWrap/>
            <w:vAlign w:val="bottom"/>
          </w:tcPr>
          <w:p w14:paraId="04208AA7"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(0.0211)</w:t>
            </w:r>
          </w:p>
        </w:tc>
        <w:tc>
          <w:tcPr>
            <w:tcW w:w="0" w:type="auto"/>
            <w:shd w:val="clear" w:color="auto" w:fill="auto"/>
            <w:noWrap/>
            <w:vAlign w:val="bottom"/>
          </w:tcPr>
          <w:p w14:paraId="6F73D2B3"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(0.0211)</w:t>
            </w:r>
          </w:p>
        </w:tc>
        <w:tc>
          <w:tcPr>
            <w:tcW w:w="0" w:type="auto"/>
            <w:shd w:val="clear" w:color="auto" w:fill="auto"/>
            <w:noWrap/>
            <w:vAlign w:val="bottom"/>
          </w:tcPr>
          <w:p w14:paraId="49671968"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(0.0209)</w:t>
            </w:r>
          </w:p>
        </w:tc>
        <w:tc>
          <w:tcPr>
            <w:tcW w:w="0" w:type="auto"/>
            <w:shd w:val="clear" w:color="auto" w:fill="auto"/>
            <w:vAlign w:val="bottom"/>
          </w:tcPr>
          <w:p w14:paraId="134698B4"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(0.0210)</w:t>
            </w:r>
          </w:p>
        </w:tc>
        <w:tc>
          <w:tcPr>
            <w:tcW w:w="0" w:type="auto"/>
            <w:shd w:val="clear" w:color="auto" w:fill="auto"/>
            <w:vAlign w:val="bottom"/>
          </w:tcPr>
          <w:p w14:paraId="165CF6C7"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(0.0211)</w:t>
            </w:r>
          </w:p>
        </w:tc>
        <w:tc>
          <w:tcPr>
            <w:tcW w:w="1262" w:type="dxa"/>
            <w:tcBorders>
              <w:top w:val="nil"/>
              <w:left w:val="nil"/>
              <w:bottom w:val="nil"/>
              <w:right w:val="nil"/>
            </w:tcBorders>
            <w:shd w:val="clear" w:color="auto" w:fill="auto"/>
            <w:vAlign w:val="bottom"/>
          </w:tcPr>
          <w:p w14:paraId="0773EB6A" w14:textId="2ED2DA2B" w:rsidR="00917506" w:rsidRPr="00F82B8F" w:rsidRDefault="00917506" w:rsidP="0082004F">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(0.0240)</w:t>
            </w:r>
          </w:p>
        </w:tc>
      </w:tr>
      <w:tr w:rsidR="00917506" w:rsidRPr="00F82B8F" w14:paraId="6EF16FED" w14:textId="77777777" w:rsidTr="00917506">
        <w:trPr>
          <w:trHeight w:val="300"/>
        </w:trPr>
        <w:tc>
          <w:tcPr>
            <w:tcW w:w="0" w:type="auto"/>
            <w:shd w:val="clear" w:color="auto" w:fill="auto"/>
            <w:noWrap/>
            <w:vAlign w:val="bottom"/>
            <w:hideMark/>
          </w:tcPr>
          <w:p w14:paraId="78040465" w14:textId="77777777" w:rsidR="00917506" w:rsidRPr="00F82B8F" w:rsidRDefault="00917506" w:rsidP="00917506">
            <w:pPr>
              <w:spacing w:after="0" w:line="240" w:lineRule="auto"/>
              <w:rPr>
                <w:rFonts w:ascii="Times New Roman" w:eastAsia="Times New Roman" w:hAnsi="Times New Roman" w:cs="Times New Roman"/>
                <w:color w:val="000000"/>
                <w:sz w:val="20"/>
                <w:szCs w:val="20"/>
                <w:lang w:eastAsia="en-GB"/>
              </w:rPr>
            </w:pPr>
            <m:oMathPara>
              <m:oMathParaPr>
                <m:jc m:val="left"/>
              </m:oMathParaPr>
              <m:oMath>
                <m:r>
                  <w:rPr>
                    <w:rFonts w:ascii="Cambria Math" w:eastAsia="Times New Roman" w:hAnsi="Cambria Math" w:cs="Times New Roman"/>
                    <w:color w:val="000000"/>
                    <w:sz w:val="20"/>
                    <w:szCs w:val="20"/>
                    <w:lang w:eastAsia="en-GB"/>
                  </w:rPr>
                  <m:t>δ</m:t>
                </m:r>
              </m:oMath>
            </m:oMathPara>
          </w:p>
        </w:tc>
        <w:tc>
          <w:tcPr>
            <w:tcW w:w="0" w:type="auto"/>
            <w:shd w:val="clear" w:color="auto" w:fill="auto"/>
            <w:noWrap/>
            <w:vAlign w:val="bottom"/>
          </w:tcPr>
          <w:p w14:paraId="4D298B21"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0.4031***</w:t>
            </w:r>
          </w:p>
        </w:tc>
        <w:tc>
          <w:tcPr>
            <w:tcW w:w="0" w:type="auto"/>
            <w:shd w:val="clear" w:color="auto" w:fill="auto"/>
            <w:noWrap/>
            <w:vAlign w:val="bottom"/>
          </w:tcPr>
          <w:p w14:paraId="4DCB5551"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0.3169***</w:t>
            </w:r>
          </w:p>
        </w:tc>
        <w:tc>
          <w:tcPr>
            <w:tcW w:w="0" w:type="auto"/>
            <w:shd w:val="clear" w:color="auto" w:fill="auto"/>
            <w:noWrap/>
            <w:vAlign w:val="bottom"/>
          </w:tcPr>
          <w:p w14:paraId="0C94E696"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0.3671***</w:t>
            </w:r>
          </w:p>
        </w:tc>
        <w:tc>
          <w:tcPr>
            <w:tcW w:w="0" w:type="auto"/>
            <w:shd w:val="clear" w:color="auto" w:fill="auto"/>
            <w:noWrap/>
            <w:vAlign w:val="bottom"/>
          </w:tcPr>
          <w:p w14:paraId="475EBA05"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0.4232***</w:t>
            </w:r>
          </w:p>
        </w:tc>
        <w:tc>
          <w:tcPr>
            <w:tcW w:w="0" w:type="auto"/>
            <w:shd w:val="clear" w:color="auto" w:fill="auto"/>
            <w:noWrap/>
            <w:vAlign w:val="bottom"/>
          </w:tcPr>
          <w:p w14:paraId="18132E21"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0.4075***</w:t>
            </w:r>
          </w:p>
        </w:tc>
        <w:tc>
          <w:tcPr>
            <w:tcW w:w="0" w:type="auto"/>
            <w:shd w:val="clear" w:color="auto" w:fill="auto"/>
            <w:noWrap/>
            <w:vAlign w:val="bottom"/>
          </w:tcPr>
          <w:p w14:paraId="32DD7970"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0.3963***</w:t>
            </w:r>
          </w:p>
        </w:tc>
        <w:tc>
          <w:tcPr>
            <w:tcW w:w="0" w:type="auto"/>
            <w:shd w:val="clear" w:color="auto" w:fill="auto"/>
            <w:noWrap/>
            <w:vAlign w:val="bottom"/>
          </w:tcPr>
          <w:p w14:paraId="7588822B"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0.4570***</w:t>
            </w:r>
          </w:p>
        </w:tc>
        <w:tc>
          <w:tcPr>
            <w:tcW w:w="0" w:type="auto"/>
            <w:shd w:val="clear" w:color="auto" w:fill="auto"/>
            <w:noWrap/>
            <w:vAlign w:val="bottom"/>
          </w:tcPr>
          <w:p w14:paraId="10F6AC93"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0.3832***</w:t>
            </w:r>
          </w:p>
        </w:tc>
        <w:tc>
          <w:tcPr>
            <w:tcW w:w="0" w:type="auto"/>
            <w:shd w:val="clear" w:color="auto" w:fill="auto"/>
            <w:noWrap/>
            <w:vAlign w:val="bottom"/>
          </w:tcPr>
          <w:p w14:paraId="62474E1B"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0.4019***</w:t>
            </w:r>
          </w:p>
        </w:tc>
        <w:tc>
          <w:tcPr>
            <w:tcW w:w="0" w:type="auto"/>
            <w:shd w:val="clear" w:color="auto" w:fill="auto"/>
            <w:vAlign w:val="bottom"/>
          </w:tcPr>
          <w:p w14:paraId="648C3F51"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0.4382***</w:t>
            </w:r>
          </w:p>
        </w:tc>
        <w:tc>
          <w:tcPr>
            <w:tcW w:w="0" w:type="auto"/>
            <w:shd w:val="clear" w:color="auto" w:fill="auto"/>
            <w:vAlign w:val="bottom"/>
          </w:tcPr>
          <w:p w14:paraId="7365FAA3"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0.4397***</w:t>
            </w:r>
          </w:p>
        </w:tc>
        <w:tc>
          <w:tcPr>
            <w:tcW w:w="1262" w:type="dxa"/>
            <w:tcBorders>
              <w:top w:val="nil"/>
              <w:left w:val="nil"/>
              <w:bottom w:val="nil"/>
              <w:right w:val="nil"/>
            </w:tcBorders>
            <w:shd w:val="clear" w:color="auto" w:fill="auto"/>
            <w:vAlign w:val="bottom"/>
          </w:tcPr>
          <w:p w14:paraId="2A4D34DB" w14:textId="6A086FAC" w:rsidR="00917506" w:rsidRPr="00F82B8F" w:rsidRDefault="00917506" w:rsidP="0082004F">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0.3449***</w:t>
            </w:r>
          </w:p>
        </w:tc>
      </w:tr>
      <w:tr w:rsidR="00917506" w:rsidRPr="00F82B8F" w14:paraId="49617733" w14:textId="77777777" w:rsidTr="00917506">
        <w:trPr>
          <w:trHeight w:val="300"/>
        </w:trPr>
        <w:tc>
          <w:tcPr>
            <w:tcW w:w="0" w:type="auto"/>
            <w:shd w:val="clear" w:color="auto" w:fill="auto"/>
            <w:noWrap/>
            <w:vAlign w:val="bottom"/>
            <w:hideMark/>
          </w:tcPr>
          <w:p w14:paraId="3F5FC40B" w14:textId="77777777" w:rsidR="00917506" w:rsidRPr="00F82B8F" w:rsidRDefault="00917506" w:rsidP="00917506">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 </w:t>
            </w:r>
          </w:p>
        </w:tc>
        <w:tc>
          <w:tcPr>
            <w:tcW w:w="0" w:type="auto"/>
            <w:shd w:val="clear" w:color="auto" w:fill="auto"/>
            <w:noWrap/>
            <w:vAlign w:val="bottom"/>
          </w:tcPr>
          <w:p w14:paraId="57F0B808"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(0.0408)</w:t>
            </w:r>
          </w:p>
        </w:tc>
        <w:tc>
          <w:tcPr>
            <w:tcW w:w="0" w:type="auto"/>
            <w:shd w:val="clear" w:color="auto" w:fill="auto"/>
            <w:noWrap/>
            <w:vAlign w:val="bottom"/>
          </w:tcPr>
          <w:p w14:paraId="48D0E32C"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(0.0387)</w:t>
            </w:r>
          </w:p>
        </w:tc>
        <w:tc>
          <w:tcPr>
            <w:tcW w:w="0" w:type="auto"/>
            <w:shd w:val="clear" w:color="auto" w:fill="auto"/>
            <w:noWrap/>
            <w:vAlign w:val="bottom"/>
          </w:tcPr>
          <w:p w14:paraId="10A7E7C7"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(0.0389)</w:t>
            </w:r>
          </w:p>
        </w:tc>
        <w:tc>
          <w:tcPr>
            <w:tcW w:w="0" w:type="auto"/>
            <w:shd w:val="clear" w:color="auto" w:fill="auto"/>
            <w:noWrap/>
            <w:vAlign w:val="bottom"/>
          </w:tcPr>
          <w:p w14:paraId="14737A23"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(0.0418)</w:t>
            </w:r>
          </w:p>
        </w:tc>
        <w:tc>
          <w:tcPr>
            <w:tcW w:w="0" w:type="auto"/>
            <w:shd w:val="clear" w:color="auto" w:fill="auto"/>
            <w:noWrap/>
            <w:vAlign w:val="bottom"/>
          </w:tcPr>
          <w:p w14:paraId="2D215713"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(0.0402)</w:t>
            </w:r>
          </w:p>
        </w:tc>
        <w:tc>
          <w:tcPr>
            <w:tcW w:w="0" w:type="auto"/>
            <w:shd w:val="clear" w:color="auto" w:fill="auto"/>
            <w:noWrap/>
            <w:vAlign w:val="bottom"/>
          </w:tcPr>
          <w:p w14:paraId="73163CE1"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(0.0411)</w:t>
            </w:r>
          </w:p>
        </w:tc>
        <w:tc>
          <w:tcPr>
            <w:tcW w:w="0" w:type="auto"/>
            <w:shd w:val="clear" w:color="auto" w:fill="auto"/>
            <w:noWrap/>
            <w:vAlign w:val="bottom"/>
          </w:tcPr>
          <w:p w14:paraId="372A80CB"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(0.0426)</w:t>
            </w:r>
          </w:p>
        </w:tc>
        <w:tc>
          <w:tcPr>
            <w:tcW w:w="0" w:type="auto"/>
            <w:shd w:val="clear" w:color="auto" w:fill="auto"/>
            <w:noWrap/>
            <w:vAlign w:val="bottom"/>
          </w:tcPr>
          <w:p w14:paraId="749BCBBA"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(0.0402)</w:t>
            </w:r>
          </w:p>
        </w:tc>
        <w:tc>
          <w:tcPr>
            <w:tcW w:w="0" w:type="auto"/>
            <w:shd w:val="clear" w:color="auto" w:fill="auto"/>
            <w:noWrap/>
            <w:vAlign w:val="bottom"/>
          </w:tcPr>
          <w:p w14:paraId="17E39290"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(0.0410)</w:t>
            </w:r>
          </w:p>
        </w:tc>
        <w:tc>
          <w:tcPr>
            <w:tcW w:w="0" w:type="auto"/>
            <w:shd w:val="clear" w:color="auto" w:fill="auto"/>
            <w:vAlign w:val="bottom"/>
          </w:tcPr>
          <w:p w14:paraId="107A58AF"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(0.0425)</w:t>
            </w:r>
          </w:p>
        </w:tc>
        <w:tc>
          <w:tcPr>
            <w:tcW w:w="0" w:type="auto"/>
            <w:shd w:val="clear" w:color="auto" w:fill="auto"/>
            <w:vAlign w:val="bottom"/>
          </w:tcPr>
          <w:p w14:paraId="40A8F828"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(0.0427)</w:t>
            </w:r>
          </w:p>
        </w:tc>
        <w:tc>
          <w:tcPr>
            <w:tcW w:w="1262" w:type="dxa"/>
            <w:tcBorders>
              <w:top w:val="nil"/>
              <w:left w:val="nil"/>
              <w:bottom w:val="nil"/>
              <w:right w:val="nil"/>
            </w:tcBorders>
            <w:shd w:val="clear" w:color="auto" w:fill="auto"/>
            <w:vAlign w:val="bottom"/>
          </w:tcPr>
          <w:p w14:paraId="2D44F46B" w14:textId="60B10155" w:rsidR="00917506" w:rsidRPr="00F82B8F" w:rsidRDefault="00917506" w:rsidP="0082004F">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(0.0404)</w:t>
            </w:r>
          </w:p>
        </w:tc>
      </w:tr>
      <w:tr w:rsidR="00917506" w:rsidRPr="00F82B8F" w14:paraId="6B8B118E" w14:textId="77777777" w:rsidTr="00917506">
        <w:trPr>
          <w:trHeight w:val="300"/>
        </w:trPr>
        <w:tc>
          <w:tcPr>
            <w:tcW w:w="0" w:type="auto"/>
            <w:shd w:val="clear" w:color="auto" w:fill="auto"/>
            <w:noWrap/>
            <w:vAlign w:val="bottom"/>
            <w:hideMark/>
          </w:tcPr>
          <w:p w14:paraId="3B26C08F" w14:textId="77777777" w:rsidR="00917506" w:rsidRPr="00F82B8F" w:rsidRDefault="00984A85" w:rsidP="00917506">
            <w:pPr>
              <w:spacing w:after="0" w:line="240" w:lineRule="auto"/>
              <w:rPr>
                <w:rFonts w:ascii="Times New Roman" w:eastAsia="Times New Roman" w:hAnsi="Times New Roman" w:cs="Times New Roman"/>
                <w:color w:val="000000"/>
                <w:sz w:val="20"/>
                <w:szCs w:val="20"/>
                <w:lang w:eastAsia="en-GB"/>
              </w:rPr>
            </w:pPr>
            <m:oMathPara>
              <m:oMathParaPr>
                <m:jc m:val="left"/>
              </m:oMathParaPr>
              <m:oMath>
                <m:sSub>
                  <m:sSubPr>
                    <m:ctrlPr>
                      <w:rPr>
                        <w:rFonts w:ascii="Cambria Math" w:eastAsia="Times New Roman" w:hAnsi="Cambria Math" w:cs="Times New Roman"/>
                        <w:i/>
                        <w:color w:val="000000"/>
                        <w:sz w:val="20"/>
                        <w:szCs w:val="20"/>
                        <w:lang w:eastAsia="en-GB"/>
                      </w:rPr>
                    </m:ctrlPr>
                  </m:sSubPr>
                  <m:e>
                    <m:r>
                      <w:rPr>
                        <w:rFonts w:ascii="Cambria Math" w:eastAsia="Times New Roman" w:hAnsi="Cambria Math" w:cs="Times New Roman"/>
                        <w:color w:val="000000"/>
                        <w:sz w:val="20"/>
                        <w:szCs w:val="20"/>
                        <w:lang w:eastAsia="en-GB"/>
                      </w:rPr>
                      <m:t>λ</m:t>
                    </m:r>
                  </m:e>
                  <m:sub>
                    <m:r>
                      <w:rPr>
                        <w:rFonts w:ascii="Cambria Math" w:eastAsia="Times New Roman" w:hAnsi="Cambria Math" w:cs="Times New Roman"/>
                        <w:color w:val="000000"/>
                        <w:sz w:val="20"/>
                        <w:szCs w:val="20"/>
                        <w:lang w:eastAsia="en-GB"/>
                      </w:rPr>
                      <m:t>0</m:t>
                    </m:r>
                  </m:sub>
                </m:sSub>
              </m:oMath>
            </m:oMathPara>
          </w:p>
        </w:tc>
        <w:tc>
          <w:tcPr>
            <w:tcW w:w="0" w:type="auto"/>
            <w:shd w:val="clear" w:color="auto" w:fill="auto"/>
            <w:noWrap/>
            <w:vAlign w:val="bottom"/>
          </w:tcPr>
          <w:p w14:paraId="58B61067"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-4.4659***</w:t>
            </w:r>
          </w:p>
        </w:tc>
        <w:tc>
          <w:tcPr>
            <w:tcW w:w="0" w:type="auto"/>
            <w:shd w:val="clear" w:color="auto" w:fill="auto"/>
            <w:noWrap/>
            <w:vAlign w:val="bottom"/>
          </w:tcPr>
          <w:p w14:paraId="5BA0332E"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-2.3794***</w:t>
            </w:r>
          </w:p>
        </w:tc>
        <w:tc>
          <w:tcPr>
            <w:tcW w:w="0" w:type="auto"/>
            <w:shd w:val="clear" w:color="auto" w:fill="auto"/>
            <w:noWrap/>
            <w:vAlign w:val="bottom"/>
          </w:tcPr>
          <w:p w14:paraId="2BD85DE7"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-3.6847***</w:t>
            </w:r>
          </w:p>
        </w:tc>
        <w:tc>
          <w:tcPr>
            <w:tcW w:w="0" w:type="auto"/>
            <w:shd w:val="clear" w:color="auto" w:fill="auto"/>
            <w:noWrap/>
            <w:vAlign w:val="bottom"/>
          </w:tcPr>
          <w:p w14:paraId="269739DE"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-5.1830***</w:t>
            </w:r>
          </w:p>
        </w:tc>
        <w:tc>
          <w:tcPr>
            <w:tcW w:w="0" w:type="auto"/>
            <w:shd w:val="clear" w:color="auto" w:fill="auto"/>
            <w:noWrap/>
            <w:vAlign w:val="bottom"/>
          </w:tcPr>
          <w:p w14:paraId="1293B00D"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-5.2460***</w:t>
            </w:r>
          </w:p>
        </w:tc>
        <w:tc>
          <w:tcPr>
            <w:tcW w:w="0" w:type="auto"/>
            <w:shd w:val="clear" w:color="auto" w:fill="auto"/>
            <w:noWrap/>
            <w:vAlign w:val="bottom"/>
          </w:tcPr>
          <w:p w14:paraId="46D59141"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-4.9949***</w:t>
            </w:r>
          </w:p>
        </w:tc>
        <w:tc>
          <w:tcPr>
            <w:tcW w:w="0" w:type="auto"/>
            <w:shd w:val="clear" w:color="auto" w:fill="auto"/>
            <w:noWrap/>
            <w:vAlign w:val="bottom"/>
          </w:tcPr>
          <w:p w14:paraId="0A323CBD"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-5.4617***</w:t>
            </w:r>
          </w:p>
        </w:tc>
        <w:tc>
          <w:tcPr>
            <w:tcW w:w="0" w:type="auto"/>
            <w:shd w:val="clear" w:color="auto" w:fill="auto"/>
            <w:noWrap/>
            <w:vAlign w:val="bottom"/>
          </w:tcPr>
          <w:p w14:paraId="4450D522"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-5.1604***</w:t>
            </w:r>
          </w:p>
        </w:tc>
        <w:tc>
          <w:tcPr>
            <w:tcW w:w="0" w:type="auto"/>
            <w:shd w:val="clear" w:color="auto" w:fill="auto"/>
            <w:noWrap/>
            <w:vAlign w:val="bottom"/>
          </w:tcPr>
          <w:p w14:paraId="6C0D5536"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-2.4101***</w:t>
            </w:r>
          </w:p>
        </w:tc>
        <w:tc>
          <w:tcPr>
            <w:tcW w:w="0" w:type="auto"/>
            <w:shd w:val="clear" w:color="auto" w:fill="auto"/>
            <w:vAlign w:val="bottom"/>
          </w:tcPr>
          <w:p w14:paraId="568AECFB"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-4.9047***</w:t>
            </w:r>
          </w:p>
        </w:tc>
        <w:tc>
          <w:tcPr>
            <w:tcW w:w="0" w:type="auto"/>
            <w:shd w:val="clear" w:color="auto" w:fill="auto"/>
            <w:vAlign w:val="bottom"/>
          </w:tcPr>
          <w:p w14:paraId="2AB23679"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-4.8761***</w:t>
            </w:r>
          </w:p>
        </w:tc>
        <w:tc>
          <w:tcPr>
            <w:tcW w:w="1262" w:type="dxa"/>
            <w:tcBorders>
              <w:top w:val="nil"/>
              <w:left w:val="nil"/>
              <w:bottom w:val="nil"/>
              <w:right w:val="nil"/>
            </w:tcBorders>
            <w:shd w:val="clear" w:color="auto" w:fill="auto"/>
            <w:vAlign w:val="bottom"/>
          </w:tcPr>
          <w:p w14:paraId="11E078E8" w14:textId="018D10A5" w:rsidR="00917506" w:rsidRPr="00F82B8F" w:rsidRDefault="00917506" w:rsidP="0082004F">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-0.1527</w:t>
            </w:r>
          </w:p>
        </w:tc>
      </w:tr>
      <w:tr w:rsidR="00917506" w:rsidRPr="00F82B8F" w14:paraId="0BFF7C08" w14:textId="77777777" w:rsidTr="00917506">
        <w:trPr>
          <w:trHeight w:val="300"/>
        </w:trPr>
        <w:tc>
          <w:tcPr>
            <w:tcW w:w="0" w:type="auto"/>
            <w:shd w:val="clear" w:color="auto" w:fill="auto"/>
            <w:noWrap/>
            <w:vAlign w:val="bottom"/>
            <w:hideMark/>
          </w:tcPr>
          <w:p w14:paraId="512D540B"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0" w:type="auto"/>
            <w:shd w:val="clear" w:color="auto" w:fill="auto"/>
            <w:noWrap/>
            <w:vAlign w:val="bottom"/>
          </w:tcPr>
          <w:p w14:paraId="52FE13B8"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(0.3462)</w:t>
            </w:r>
          </w:p>
        </w:tc>
        <w:tc>
          <w:tcPr>
            <w:tcW w:w="0" w:type="auto"/>
            <w:shd w:val="clear" w:color="auto" w:fill="auto"/>
            <w:noWrap/>
            <w:vAlign w:val="bottom"/>
          </w:tcPr>
          <w:p w14:paraId="78475EFE"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(0.4036)</w:t>
            </w:r>
          </w:p>
        </w:tc>
        <w:tc>
          <w:tcPr>
            <w:tcW w:w="0" w:type="auto"/>
            <w:shd w:val="clear" w:color="auto" w:fill="auto"/>
            <w:noWrap/>
            <w:vAlign w:val="bottom"/>
          </w:tcPr>
          <w:p w14:paraId="65143EB7"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(0.3434)</w:t>
            </w:r>
          </w:p>
        </w:tc>
        <w:tc>
          <w:tcPr>
            <w:tcW w:w="0" w:type="auto"/>
            <w:shd w:val="clear" w:color="auto" w:fill="auto"/>
            <w:noWrap/>
            <w:vAlign w:val="bottom"/>
          </w:tcPr>
          <w:p w14:paraId="54B6E9D7"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(0.3621)</w:t>
            </w:r>
          </w:p>
        </w:tc>
        <w:tc>
          <w:tcPr>
            <w:tcW w:w="0" w:type="auto"/>
            <w:shd w:val="clear" w:color="auto" w:fill="auto"/>
            <w:noWrap/>
            <w:vAlign w:val="bottom"/>
          </w:tcPr>
          <w:p w14:paraId="0835C483"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(0.3472)</w:t>
            </w:r>
          </w:p>
        </w:tc>
        <w:tc>
          <w:tcPr>
            <w:tcW w:w="0" w:type="auto"/>
            <w:shd w:val="clear" w:color="auto" w:fill="auto"/>
            <w:noWrap/>
            <w:vAlign w:val="bottom"/>
          </w:tcPr>
          <w:p w14:paraId="11C07C2E"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(0.3496)</w:t>
            </w:r>
          </w:p>
        </w:tc>
        <w:tc>
          <w:tcPr>
            <w:tcW w:w="0" w:type="auto"/>
            <w:shd w:val="clear" w:color="auto" w:fill="auto"/>
            <w:noWrap/>
            <w:vAlign w:val="bottom"/>
          </w:tcPr>
          <w:p w14:paraId="2068B918"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(0.4403)</w:t>
            </w:r>
          </w:p>
        </w:tc>
        <w:tc>
          <w:tcPr>
            <w:tcW w:w="0" w:type="auto"/>
            <w:shd w:val="clear" w:color="auto" w:fill="auto"/>
            <w:noWrap/>
            <w:vAlign w:val="bottom"/>
          </w:tcPr>
          <w:p w14:paraId="6C919306"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(0.3434)</w:t>
            </w:r>
          </w:p>
        </w:tc>
        <w:tc>
          <w:tcPr>
            <w:tcW w:w="0" w:type="auto"/>
            <w:shd w:val="clear" w:color="auto" w:fill="auto"/>
            <w:noWrap/>
            <w:vAlign w:val="bottom"/>
          </w:tcPr>
          <w:p w14:paraId="27C24E0F"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(0.5156)</w:t>
            </w:r>
          </w:p>
        </w:tc>
        <w:tc>
          <w:tcPr>
            <w:tcW w:w="0" w:type="auto"/>
            <w:shd w:val="clear" w:color="auto" w:fill="auto"/>
            <w:vAlign w:val="bottom"/>
          </w:tcPr>
          <w:p w14:paraId="6439591C"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(0.3681)</w:t>
            </w:r>
          </w:p>
        </w:tc>
        <w:tc>
          <w:tcPr>
            <w:tcW w:w="0" w:type="auto"/>
            <w:shd w:val="clear" w:color="auto" w:fill="auto"/>
            <w:vAlign w:val="bottom"/>
          </w:tcPr>
          <w:p w14:paraId="071C61D7"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(0.3701)</w:t>
            </w:r>
          </w:p>
        </w:tc>
        <w:tc>
          <w:tcPr>
            <w:tcW w:w="1262" w:type="dxa"/>
            <w:tcBorders>
              <w:top w:val="nil"/>
              <w:left w:val="nil"/>
              <w:bottom w:val="nil"/>
              <w:right w:val="nil"/>
            </w:tcBorders>
            <w:shd w:val="clear" w:color="auto" w:fill="auto"/>
            <w:vAlign w:val="bottom"/>
          </w:tcPr>
          <w:p w14:paraId="66E22056" w14:textId="1BC43999" w:rsidR="00917506" w:rsidRPr="00F82B8F" w:rsidRDefault="00917506" w:rsidP="0082004F">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(1.0911)</w:t>
            </w:r>
          </w:p>
        </w:tc>
      </w:tr>
      <w:tr w:rsidR="00917506" w:rsidRPr="00F82B8F" w14:paraId="4E527194" w14:textId="77777777" w:rsidTr="00917506">
        <w:trPr>
          <w:trHeight w:val="300"/>
        </w:trPr>
        <w:tc>
          <w:tcPr>
            <w:tcW w:w="0" w:type="auto"/>
            <w:shd w:val="clear" w:color="auto" w:fill="auto"/>
            <w:noWrap/>
            <w:vAlign w:val="bottom"/>
            <w:hideMark/>
          </w:tcPr>
          <w:p w14:paraId="6345EAE3"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p>
        </w:tc>
        <w:tc>
          <w:tcPr>
            <w:tcW w:w="0" w:type="auto"/>
            <w:shd w:val="clear" w:color="auto" w:fill="auto"/>
            <w:noWrap/>
            <w:vAlign w:val="bottom"/>
          </w:tcPr>
          <w:p w14:paraId="0C50F836"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194ED8C1"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00DE333E"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67607DCE"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7BC72F16"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23664FD6"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27118D80"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676E2949"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noWrap/>
            <w:vAlign w:val="bottom"/>
          </w:tcPr>
          <w:p w14:paraId="0832C1CB"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vAlign w:val="bottom"/>
          </w:tcPr>
          <w:p w14:paraId="1E414E48"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0" w:type="auto"/>
            <w:shd w:val="clear" w:color="auto" w:fill="auto"/>
            <w:vAlign w:val="bottom"/>
          </w:tcPr>
          <w:p w14:paraId="4A64E936" w14:textId="77777777" w:rsidR="00917506" w:rsidRPr="00F82B8F" w:rsidRDefault="00917506" w:rsidP="00917506">
            <w:pPr>
              <w:spacing w:after="0" w:line="240" w:lineRule="auto"/>
              <w:jc w:val="center"/>
              <w:rPr>
                <w:rFonts w:ascii="Times New Roman" w:eastAsia="Times New Roman" w:hAnsi="Times New Roman" w:cs="Times New Roman"/>
                <w:sz w:val="20"/>
                <w:szCs w:val="20"/>
                <w:lang w:eastAsia="en-GB"/>
              </w:rPr>
            </w:pPr>
          </w:p>
        </w:tc>
        <w:tc>
          <w:tcPr>
            <w:tcW w:w="1262" w:type="dxa"/>
            <w:shd w:val="clear" w:color="auto" w:fill="auto"/>
            <w:vAlign w:val="bottom"/>
          </w:tcPr>
          <w:p w14:paraId="1C539A48" w14:textId="77777777" w:rsidR="00917506" w:rsidRPr="00F82B8F" w:rsidRDefault="00917506" w:rsidP="0082004F">
            <w:pPr>
              <w:spacing w:after="0" w:line="240" w:lineRule="auto"/>
              <w:jc w:val="center"/>
              <w:rPr>
                <w:rFonts w:ascii="Times New Roman" w:eastAsia="Times New Roman" w:hAnsi="Times New Roman" w:cs="Times New Roman"/>
                <w:sz w:val="20"/>
                <w:szCs w:val="20"/>
                <w:lang w:eastAsia="en-GB"/>
              </w:rPr>
            </w:pPr>
          </w:p>
        </w:tc>
      </w:tr>
      <w:tr w:rsidR="00917506" w:rsidRPr="00F82B8F" w14:paraId="2B5F1F19" w14:textId="77777777" w:rsidTr="00917506">
        <w:trPr>
          <w:trHeight w:val="300"/>
        </w:trPr>
        <w:tc>
          <w:tcPr>
            <w:tcW w:w="0" w:type="auto"/>
            <w:tcBorders>
              <w:bottom w:val="single" w:sz="4" w:space="0" w:color="auto"/>
            </w:tcBorders>
            <w:shd w:val="clear" w:color="auto" w:fill="auto"/>
            <w:noWrap/>
            <w:vAlign w:val="bottom"/>
            <w:hideMark/>
          </w:tcPr>
          <w:p w14:paraId="4BDC2829" w14:textId="77777777" w:rsidR="00917506" w:rsidRPr="00F82B8F" w:rsidRDefault="00917506" w:rsidP="00917506">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Obs.</w:t>
            </w:r>
          </w:p>
        </w:tc>
        <w:tc>
          <w:tcPr>
            <w:tcW w:w="0" w:type="auto"/>
            <w:tcBorders>
              <w:bottom w:val="single" w:sz="4" w:space="0" w:color="auto"/>
            </w:tcBorders>
            <w:shd w:val="clear" w:color="auto" w:fill="auto"/>
            <w:noWrap/>
            <w:vAlign w:val="bottom"/>
          </w:tcPr>
          <w:p w14:paraId="57FD8E3A"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5,989</w:t>
            </w:r>
          </w:p>
        </w:tc>
        <w:tc>
          <w:tcPr>
            <w:tcW w:w="0" w:type="auto"/>
            <w:tcBorders>
              <w:bottom w:val="single" w:sz="4" w:space="0" w:color="auto"/>
            </w:tcBorders>
            <w:shd w:val="clear" w:color="auto" w:fill="auto"/>
            <w:noWrap/>
            <w:vAlign w:val="bottom"/>
          </w:tcPr>
          <w:p w14:paraId="35461F09"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5,989</w:t>
            </w:r>
          </w:p>
        </w:tc>
        <w:tc>
          <w:tcPr>
            <w:tcW w:w="0" w:type="auto"/>
            <w:tcBorders>
              <w:bottom w:val="single" w:sz="4" w:space="0" w:color="auto"/>
            </w:tcBorders>
            <w:shd w:val="clear" w:color="auto" w:fill="auto"/>
            <w:noWrap/>
            <w:vAlign w:val="bottom"/>
          </w:tcPr>
          <w:p w14:paraId="5E217F8C"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5,989</w:t>
            </w:r>
          </w:p>
        </w:tc>
        <w:tc>
          <w:tcPr>
            <w:tcW w:w="0" w:type="auto"/>
            <w:tcBorders>
              <w:bottom w:val="single" w:sz="4" w:space="0" w:color="auto"/>
            </w:tcBorders>
            <w:shd w:val="clear" w:color="auto" w:fill="auto"/>
            <w:noWrap/>
            <w:vAlign w:val="bottom"/>
          </w:tcPr>
          <w:p w14:paraId="4627118C"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5,989</w:t>
            </w:r>
          </w:p>
        </w:tc>
        <w:tc>
          <w:tcPr>
            <w:tcW w:w="0" w:type="auto"/>
            <w:tcBorders>
              <w:bottom w:val="single" w:sz="4" w:space="0" w:color="auto"/>
            </w:tcBorders>
            <w:shd w:val="clear" w:color="auto" w:fill="auto"/>
            <w:noWrap/>
            <w:vAlign w:val="bottom"/>
          </w:tcPr>
          <w:p w14:paraId="63D91314"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5,989</w:t>
            </w:r>
          </w:p>
        </w:tc>
        <w:tc>
          <w:tcPr>
            <w:tcW w:w="0" w:type="auto"/>
            <w:tcBorders>
              <w:bottom w:val="single" w:sz="4" w:space="0" w:color="auto"/>
            </w:tcBorders>
            <w:shd w:val="clear" w:color="auto" w:fill="auto"/>
            <w:noWrap/>
            <w:vAlign w:val="bottom"/>
          </w:tcPr>
          <w:p w14:paraId="19BDE3B3"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5,989</w:t>
            </w:r>
          </w:p>
        </w:tc>
        <w:tc>
          <w:tcPr>
            <w:tcW w:w="0" w:type="auto"/>
            <w:tcBorders>
              <w:bottom w:val="single" w:sz="4" w:space="0" w:color="auto"/>
            </w:tcBorders>
            <w:shd w:val="clear" w:color="auto" w:fill="auto"/>
            <w:noWrap/>
            <w:vAlign w:val="bottom"/>
          </w:tcPr>
          <w:p w14:paraId="24D5000D"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5,812</w:t>
            </w:r>
          </w:p>
        </w:tc>
        <w:tc>
          <w:tcPr>
            <w:tcW w:w="0" w:type="auto"/>
            <w:tcBorders>
              <w:bottom w:val="single" w:sz="4" w:space="0" w:color="auto"/>
            </w:tcBorders>
            <w:shd w:val="clear" w:color="auto" w:fill="auto"/>
            <w:noWrap/>
            <w:vAlign w:val="bottom"/>
          </w:tcPr>
          <w:p w14:paraId="1A6FCB24"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5,989</w:t>
            </w:r>
          </w:p>
        </w:tc>
        <w:tc>
          <w:tcPr>
            <w:tcW w:w="0" w:type="auto"/>
            <w:tcBorders>
              <w:bottom w:val="single" w:sz="4" w:space="0" w:color="auto"/>
            </w:tcBorders>
            <w:shd w:val="clear" w:color="auto" w:fill="auto"/>
            <w:noWrap/>
            <w:vAlign w:val="bottom"/>
          </w:tcPr>
          <w:p w14:paraId="4DD0E471"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5,989</w:t>
            </w:r>
          </w:p>
        </w:tc>
        <w:tc>
          <w:tcPr>
            <w:tcW w:w="0" w:type="auto"/>
            <w:tcBorders>
              <w:bottom w:val="single" w:sz="4" w:space="0" w:color="auto"/>
            </w:tcBorders>
            <w:shd w:val="clear" w:color="auto" w:fill="auto"/>
            <w:vAlign w:val="bottom"/>
          </w:tcPr>
          <w:p w14:paraId="61D89E03"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5,812</w:t>
            </w:r>
          </w:p>
        </w:tc>
        <w:tc>
          <w:tcPr>
            <w:tcW w:w="0" w:type="auto"/>
            <w:tcBorders>
              <w:bottom w:val="single" w:sz="4" w:space="0" w:color="auto"/>
            </w:tcBorders>
            <w:shd w:val="clear" w:color="auto" w:fill="auto"/>
            <w:vAlign w:val="bottom"/>
          </w:tcPr>
          <w:p w14:paraId="4E32C68F" w14:textId="77777777" w:rsidR="00917506" w:rsidRPr="00F82B8F" w:rsidRDefault="00917506" w:rsidP="00917506">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5,812</w:t>
            </w:r>
          </w:p>
        </w:tc>
        <w:tc>
          <w:tcPr>
            <w:tcW w:w="1262" w:type="dxa"/>
            <w:tcBorders>
              <w:bottom w:val="single" w:sz="4" w:space="0" w:color="auto"/>
            </w:tcBorders>
            <w:shd w:val="clear" w:color="auto" w:fill="auto"/>
            <w:vAlign w:val="bottom"/>
          </w:tcPr>
          <w:p w14:paraId="0CF84441" w14:textId="77777777" w:rsidR="00917506" w:rsidRPr="00F82B8F" w:rsidRDefault="00917506" w:rsidP="0082004F">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color w:val="000000"/>
                <w:sz w:val="20"/>
                <w:szCs w:val="20"/>
              </w:rPr>
              <w:t>5,635</w:t>
            </w:r>
          </w:p>
        </w:tc>
      </w:tr>
    </w:tbl>
    <w:p w14:paraId="3400C18A" w14:textId="36E372BA" w:rsidR="001311D1" w:rsidRPr="00F82B8F" w:rsidRDefault="00B957AF" w:rsidP="001311D1">
      <w:pPr>
        <w:jc w:val="both"/>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 xml:space="preserve">Note: This table exhibits the impact of </w:t>
      </w:r>
      <w:r w:rsidR="00964C2B" w:rsidRPr="00F82B8F">
        <w:rPr>
          <w:rFonts w:ascii="Times New Roman" w:eastAsia="Times New Roman" w:hAnsi="Times New Roman" w:cs="Times New Roman"/>
          <w:color w:val="000000"/>
          <w:sz w:val="20"/>
          <w:szCs w:val="20"/>
          <w:lang w:eastAsia="en-GB"/>
        </w:rPr>
        <w:t>COVID-19</w:t>
      </w:r>
      <w:r w:rsidRPr="00F82B8F">
        <w:rPr>
          <w:rFonts w:ascii="Times New Roman" w:eastAsia="Times New Roman" w:hAnsi="Times New Roman" w:cs="Times New Roman"/>
          <w:color w:val="000000"/>
          <w:sz w:val="20"/>
          <w:szCs w:val="20"/>
          <w:lang w:eastAsia="en-GB"/>
        </w:rPr>
        <w:t>, country-level resilience, resilience’s sub-components and other macro characteristics on the volatility of equity markets within our sample countries. We estimated each of these conditional variance process</w:t>
      </w:r>
      <w:r w:rsidR="00FE655F" w:rsidRPr="00F82B8F">
        <w:rPr>
          <w:rFonts w:ascii="Times New Roman" w:eastAsia="Times New Roman" w:hAnsi="Times New Roman" w:cs="Times New Roman"/>
          <w:color w:val="000000"/>
          <w:sz w:val="20"/>
          <w:szCs w:val="20"/>
          <w:lang w:eastAsia="en-GB"/>
        </w:rPr>
        <w:t>es</w:t>
      </w:r>
      <w:r w:rsidRPr="00F82B8F">
        <w:rPr>
          <w:rFonts w:ascii="Times New Roman" w:eastAsia="Times New Roman" w:hAnsi="Times New Roman" w:cs="Times New Roman"/>
          <w:color w:val="000000"/>
          <w:sz w:val="20"/>
          <w:szCs w:val="20"/>
          <w:lang w:eastAsia="en-GB"/>
        </w:rPr>
        <w:t xml:space="preserve"> using equation (6). From column (1) to (11) we follow the stepwise models and in column (12) we present the simultaneous association. However, the resilience score is excluded </w:t>
      </w:r>
      <w:r w:rsidR="001311D1" w:rsidRPr="00F82B8F">
        <w:rPr>
          <w:rFonts w:ascii="Times New Roman" w:eastAsia="Times New Roman" w:hAnsi="Times New Roman" w:cs="Times New Roman"/>
          <w:color w:val="000000"/>
          <w:sz w:val="20"/>
          <w:szCs w:val="20"/>
          <w:lang w:eastAsia="en-GB"/>
        </w:rPr>
        <w:t xml:space="preserve">in column (12) </w:t>
      </w:r>
      <w:r w:rsidRPr="00F82B8F">
        <w:rPr>
          <w:rFonts w:ascii="Times New Roman" w:eastAsia="Times New Roman" w:hAnsi="Times New Roman" w:cs="Times New Roman"/>
          <w:color w:val="000000"/>
          <w:sz w:val="20"/>
          <w:szCs w:val="20"/>
          <w:lang w:eastAsia="en-GB"/>
        </w:rPr>
        <w:t xml:space="preserve">as </w:t>
      </w:r>
      <w:r w:rsidR="001311D1" w:rsidRPr="00F82B8F">
        <w:rPr>
          <w:rFonts w:ascii="Times New Roman" w:eastAsia="Times New Roman" w:hAnsi="Times New Roman" w:cs="Times New Roman"/>
          <w:color w:val="000000"/>
          <w:sz w:val="20"/>
          <w:szCs w:val="20"/>
          <w:lang w:eastAsia="en-GB"/>
        </w:rPr>
        <w:t>its sub-components are considered, such as governance (COG), productivity (PRO), oil intensity (OIN) and infrastructure quality (INF).</w:t>
      </w:r>
      <w:r w:rsidR="00345B6B" w:rsidRPr="00F82B8F">
        <w:rPr>
          <w:rFonts w:ascii="Times New Roman" w:eastAsia="Times New Roman" w:hAnsi="Times New Roman" w:cs="Times New Roman"/>
          <w:color w:val="000000"/>
          <w:sz w:val="20"/>
          <w:szCs w:val="20"/>
          <w:lang w:eastAsia="en-GB"/>
        </w:rPr>
        <w:t xml:space="preserve"> Similarly, we excluded Financial institutions development index (FII) in </w:t>
      </w:r>
      <w:r w:rsidR="007D55DC" w:rsidRPr="00F82B8F">
        <w:rPr>
          <w:rFonts w:ascii="Times New Roman" w:eastAsia="Times New Roman" w:hAnsi="Times New Roman" w:cs="Times New Roman"/>
          <w:color w:val="000000"/>
          <w:sz w:val="20"/>
          <w:szCs w:val="20"/>
          <w:lang w:eastAsia="en-GB"/>
        </w:rPr>
        <w:t xml:space="preserve">the </w:t>
      </w:r>
      <w:r w:rsidR="00345B6B" w:rsidRPr="00F82B8F">
        <w:rPr>
          <w:rFonts w:ascii="Times New Roman" w:eastAsia="Times New Roman" w:hAnsi="Times New Roman" w:cs="Times New Roman"/>
          <w:color w:val="000000"/>
          <w:sz w:val="20"/>
          <w:szCs w:val="20"/>
          <w:lang w:eastAsia="en-GB"/>
        </w:rPr>
        <w:t xml:space="preserve">simultaneous model as we have included the aggregate development index FDI. </w:t>
      </w:r>
      <w:r w:rsidR="001311D1" w:rsidRPr="00F82B8F">
        <w:rPr>
          <w:rFonts w:ascii="Times New Roman" w:eastAsia="Times New Roman" w:hAnsi="Times New Roman" w:cs="Times New Roman"/>
          <w:color w:val="000000"/>
          <w:sz w:val="20"/>
          <w:szCs w:val="20"/>
          <w:lang w:eastAsia="en-GB"/>
        </w:rPr>
        <w:t>The robust s</w:t>
      </w:r>
      <w:r w:rsidR="00DB330B" w:rsidRPr="00F82B8F">
        <w:rPr>
          <w:rFonts w:ascii="Times New Roman" w:eastAsia="Times New Roman" w:hAnsi="Times New Roman" w:cs="Times New Roman"/>
          <w:color w:val="000000"/>
          <w:sz w:val="20"/>
          <w:szCs w:val="20"/>
          <w:lang w:eastAsia="en-GB"/>
        </w:rPr>
        <w:t>tandard errors</w:t>
      </w:r>
      <w:r w:rsidR="001311D1" w:rsidRPr="00F82B8F">
        <w:rPr>
          <w:rFonts w:ascii="Times New Roman" w:eastAsia="Times New Roman" w:hAnsi="Times New Roman" w:cs="Times New Roman"/>
          <w:color w:val="000000"/>
          <w:sz w:val="20"/>
          <w:szCs w:val="20"/>
          <w:lang w:eastAsia="en-GB"/>
        </w:rPr>
        <w:t xml:space="preserve"> are reported</w:t>
      </w:r>
      <w:r w:rsidR="00DB330B" w:rsidRPr="00F82B8F">
        <w:rPr>
          <w:rFonts w:ascii="Times New Roman" w:eastAsia="Times New Roman" w:hAnsi="Times New Roman" w:cs="Times New Roman"/>
          <w:color w:val="000000"/>
          <w:sz w:val="20"/>
          <w:szCs w:val="20"/>
          <w:lang w:eastAsia="en-GB"/>
        </w:rPr>
        <w:t xml:space="preserve"> in parentheses. </w:t>
      </w:r>
    </w:p>
    <w:p w14:paraId="53280284" w14:textId="21DEA886" w:rsidR="00EE18D8" w:rsidRPr="008573D2" w:rsidRDefault="00EE18D8" w:rsidP="00EE18D8">
      <w:pPr>
        <w:tabs>
          <w:tab w:val="left" w:pos="1620"/>
        </w:tabs>
        <w:jc w:val="both"/>
        <w:rPr>
          <w:rFonts w:ascii="Times New Roman" w:hAnsi="Times New Roman" w:cs="Times New Roman"/>
          <w:sz w:val="24"/>
          <w:szCs w:val="24"/>
        </w:rPr>
      </w:pPr>
      <w:r w:rsidRPr="00F82B8F">
        <w:rPr>
          <w:rFonts w:ascii="Times New Roman" w:hAnsi="Times New Roman" w:cs="Times New Roman"/>
          <w:sz w:val="20"/>
          <w:szCs w:val="20"/>
        </w:rPr>
        <w:t>***, ** and * indicates statistical significance at the 1%, 5% and 10% level</w:t>
      </w:r>
      <w:r w:rsidR="0089762C" w:rsidRPr="00F82B8F">
        <w:rPr>
          <w:rFonts w:ascii="Times New Roman" w:hAnsi="Times New Roman" w:cs="Times New Roman"/>
          <w:sz w:val="20"/>
          <w:szCs w:val="20"/>
        </w:rPr>
        <w:t>s</w:t>
      </w:r>
      <w:r w:rsidR="007578A7" w:rsidRPr="00F82B8F">
        <w:rPr>
          <w:rFonts w:ascii="Times New Roman" w:hAnsi="Times New Roman" w:cs="Times New Roman"/>
          <w:sz w:val="20"/>
          <w:szCs w:val="20"/>
        </w:rPr>
        <w:t>,</w:t>
      </w:r>
      <w:r w:rsidRPr="00F82B8F">
        <w:rPr>
          <w:rFonts w:ascii="Times New Roman" w:hAnsi="Times New Roman" w:cs="Times New Roman"/>
          <w:sz w:val="20"/>
          <w:szCs w:val="20"/>
        </w:rPr>
        <w:t xml:space="preserve"> respectively.</w:t>
      </w:r>
    </w:p>
    <w:p w14:paraId="4C8FCB47" w14:textId="43764673" w:rsidR="004962B4" w:rsidRPr="008573D2" w:rsidRDefault="004962B4">
      <w:pPr>
        <w:rPr>
          <w:rFonts w:ascii="Times New Roman" w:eastAsia="Times New Roman" w:hAnsi="Times New Roman" w:cs="Times New Roman"/>
          <w:color w:val="000000"/>
          <w:sz w:val="24"/>
          <w:szCs w:val="24"/>
          <w:lang w:eastAsia="en-GB"/>
        </w:rPr>
      </w:pPr>
    </w:p>
    <w:p w14:paraId="034AFCDB" w14:textId="77777777" w:rsidR="00C474DD" w:rsidRPr="008573D2" w:rsidRDefault="00C474DD">
      <w:pPr>
        <w:rPr>
          <w:rFonts w:ascii="Times New Roman" w:eastAsia="Times New Roman" w:hAnsi="Times New Roman" w:cs="Times New Roman"/>
          <w:color w:val="000000"/>
          <w:sz w:val="24"/>
          <w:szCs w:val="24"/>
          <w:lang w:eastAsia="en-GB"/>
        </w:rPr>
      </w:pPr>
      <w:r w:rsidRPr="008573D2">
        <w:rPr>
          <w:rFonts w:ascii="Times New Roman" w:eastAsia="Times New Roman" w:hAnsi="Times New Roman" w:cs="Times New Roman"/>
          <w:color w:val="000000"/>
          <w:sz w:val="24"/>
          <w:szCs w:val="24"/>
          <w:lang w:eastAsia="en-GB"/>
        </w:rPr>
        <w:br w:type="page"/>
      </w:r>
    </w:p>
    <w:p w14:paraId="582E8670" w14:textId="6CE4B126" w:rsidR="00057DB3" w:rsidRPr="008573D2" w:rsidRDefault="00057DB3" w:rsidP="00057DB3">
      <w:pPr>
        <w:pStyle w:val="Heading2"/>
        <w:spacing w:before="0" w:after="200"/>
        <w:rPr>
          <w:rFonts w:ascii="Times New Roman" w:hAnsi="Times New Roman" w:cs="Times New Roman"/>
          <w:b/>
          <w:bCs/>
          <w:color w:val="auto"/>
          <w:sz w:val="24"/>
          <w:szCs w:val="24"/>
        </w:rPr>
        <w:sectPr w:rsidR="00057DB3" w:rsidRPr="008573D2" w:rsidSect="005526F3">
          <w:pgSz w:w="16838" w:h="11906" w:orient="landscape"/>
          <w:pgMar w:top="1440" w:right="1440" w:bottom="1440" w:left="1440" w:header="709" w:footer="709" w:gutter="0"/>
          <w:cols w:space="708"/>
          <w:docGrid w:linePitch="360"/>
        </w:sectPr>
      </w:pPr>
    </w:p>
    <w:p w14:paraId="266BFB11" w14:textId="5B815FE2" w:rsidR="006411CC" w:rsidRPr="008573D2" w:rsidRDefault="00C474DD" w:rsidP="00C86B41">
      <w:pPr>
        <w:jc w:val="center"/>
        <w:rPr>
          <w:rFonts w:ascii="Times New Roman" w:eastAsia="Times New Roman" w:hAnsi="Times New Roman" w:cs="Times New Roman"/>
          <w:b/>
          <w:bCs/>
          <w:color w:val="000000"/>
          <w:sz w:val="24"/>
          <w:szCs w:val="24"/>
          <w:lang w:eastAsia="en-GB"/>
        </w:rPr>
      </w:pPr>
      <w:r w:rsidRPr="008573D2">
        <w:rPr>
          <w:rFonts w:ascii="Times New Roman" w:hAnsi="Times New Roman" w:cs="Times New Roman"/>
          <w:b/>
          <w:bCs/>
          <w:sz w:val="24"/>
          <w:szCs w:val="24"/>
        </w:rPr>
        <w:lastRenderedPageBreak/>
        <w:t xml:space="preserve">Table </w:t>
      </w:r>
      <w:r w:rsidR="006255CE" w:rsidRPr="008573D2">
        <w:rPr>
          <w:rFonts w:ascii="Times New Roman" w:hAnsi="Times New Roman" w:cs="Times New Roman"/>
          <w:b/>
          <w:bCs/>
          <w:sz w:val="24"/>
          <w:szCs w:val="24"/>
        </w:rPr>
        <w:t>6</w:t>
      </w:r>
      <w:r w:rsidRPr="008573D2">
        <w:rPr>
          <w:rFonts w:ascii="Times New Roman" w:hAnsi="Times New Roman" w:cs="Times New Roman"/>
          <w:b/>
          <w:bCs/>
          <w:sz w:val="24"/>
          <w:szCs w:val="24"/>
        </w:rPr>
        <w:t xml:space="preserve">: Interaction of </w:t>
      </w:r>
      <w:r w:rsidR="00AD1A21" w:rsidRPr="008573D2">
        <w:rPr>
          <w:rFonts w:ascii="Times New Roman" w:hAnsi="Times New Roman" w:cs="Times New Roman"/>
          <w:b/>
          <w:bCs/>
          <w:sz w:val="24"/>
          <w:szCs w:val="24"/>
        </w:rPr>
        <w:t>S</w:t>
      </w:r>
      <w:r w:rsidRPr="008573D2">
        <w:rPr>
          <w:rFonts w:ascii="Times New Roman" w:hAnsi="Times New Roman" w:cs="Times New Roman"/>
          <w:b/>
          <w:bCs/>
          <w:sz w:val="24"/>
          <w:szCs w:val="24"/>
        </w:rPr>
        <w:t xml:space="preserve">ub-component with Resilience </w:t>
      </w:r>
      <w:r w:rsidR="00AD1A21" w:rsidRPr="008573D2">
        <w:rPr>
          <w:rFonts w:ascii="Times New Roman" w:hAnsi="Times New Roman" w:cs="Times New Roman"/>
          <w:b/>
          <w:bCs/>
          <w:sz w:val="24"/>
          <w:szCs w:val="24"/>
        </w:rPr>
        <w:t>I</w:t>
      </w:r>
      <w:r w:rsidRPr="008573D2">
        <w:rPr>
          <w:rFonts w:ascii="Times New Roman" w:hAnsi="Times New Roman" w:cs="Times New Roman"/>
          <w:b/>
          <w:bCs/>
          <w:sz w:val="24"/>
          <w:szCs w:val="24"/>
        </w:rPr>
        <w:t>ndex</w:t>
      </w:r>
    </w:p>
    <w:tbl>
      <w:tblPr>
        <w:tblW w:w="5000" w:type="pct"/>
        <w:tblLook w:val="04A0" w:firstRow="1" w:lastRow="0" w:firstColumn="1" w:lastColumn="0" w:noHBand="0" w:noVBand="1"/>
      </w:tblPr>
      <w:tblGrid>
        <w:gridCol w:w="1508"/>
        <w:gridCol w:w="1371"/>
        <w:gridCol w:w="1181"/>
        <w:gridCol w:w="1256"/>
        <w:gridCol w:w="1256"/>
        <w:gridCol w:w="1256"/>
        <w:gridCol w:w="1181"/>
        <w:gridCol w:w="1256"/>
        <w:gridCol w:w="1181"/>
        <w:gridCol w:w="1256"/>
        <w:gridCol w:w="1256"/>
      </w:tblGrid>
      <w:tr w:rsidR="00824E51" w:rsidRPr="00F82B8F" w14:paraId="729F86B7" w14:textId="77777777" w:rsidTr="00824E51">
        <w:trPr>
          <w:trHeight w:val="300"/>
        </w:trPr>
        <w:tc>
          <w:tcPr>
            <w:tcW w:w="540" w:type="pct"/>
            <w:tcBorders>
              <w:top w:val="single" w:sz="4" w:space="0" w:color="auto"/>
            </w:tcBorders>
            <w:shd w:val="clear" w:color="auto" w:fill="auto"/>
            <w:noWrap/>
            <w:hideMark/>
          </w:tcPr>
          <w:p w14:paraId="58D3F5AE" w14:textId="77777777" w:rsidR="00824E51" w:rsidRPr="00F82B8F" w:rsidRDefault="00824E51" w:rsidP="00824E51">
            <w:pPr>
              <w:spacing w:after="0" w:line="240" w:lineRule="auto"/>
              <w:rPr>
                <w:rFonts w:ascii="Times New Roman" w:eastAsia="Times New Roman" w:hAnsi="Times New Roman" w:cs="Times New Roman"/>
                <w:color w:val="000000"/>
                <w:sz w:val="20"/>
                <w:szCs w:val="20"/>
                <w:lang w:eastAsia="en-GB"/>
              </w:rPr>
            </w:pPr>
            <w:bookmarkStart w:id="8" w:name="_Hlk49376019"/>
          </w:p>
        </w:tc>
        <w:tc>
          <w:tcPr>
            <w:tcW w:w="491" w:type="pct"/>
            <w:tcBorders>
              <w:top w:val="single" w:sz="4" w:space="0" w:color="auto"/>
            </w:tcBorders>
            <w:shd w:val="clear" w:color="auto" w:fill="auto"/>
            <w:noWrap/>
            <w:hideMark/>
          </w:tcPr>
          <w:p w14:paraId="5684FC6F"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(1)</w:t>
            </w:r>
          </w:p>
        </w:tc>
        <w:tc>
          <w:tcPr>
            <w:tcW w:w="423" w:type="pct"/>
            <w:tcBorders>
              <w:top w:val="single" w:sz="4" w:space="0" w:color="auto"/>
            </w:tcBorders>
            <w:shd w:val="clear" w:color="auto" w:fill="auto"/>
            <w:noWrap/>
            <w:hideMark/>
          </w:tcPr>
          <w:p w14:paraId="46D52190"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(2)</w:t>
            </w:r>
          </w:p>
        </w:tc>
        <w:tc>
          <w:tcPr>
            <w:tcW w:w="450" w:type="pct"/>
            <w:tcBorders>
              <w:top w:val="single" w:sz="4" w:space="0" w:color="auto"/>
            </w:tcBorders>
            <w:shd w:val="clear" w:color="auto" w:fill="auto"/>
            <w:noWrap/>
            <w:hideMark/>
          </w:tcPr>
          <w:p w14:paraId="79757916"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w:t>
            </w:r>
          </w:p>
        </w:tc>
        <w:tc>
          <w:tcPr>
            <w:tcW w:w="450" w:type="pct"/>
            <w:tcBorders>
              <w:top w:val="single" w:sz="4" w:space="0" w:color="auto"/>
            </w:tcBorders>
            <w:shd w:val="clear" w:color="auto" w:fill="auto"/>
            <w:noWrap/>
            <w:hideMark/>
          </w:tcPr>
          <w:p w14:paraId="2AB330C9"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w:t>
            </w:r>
          </w:p>
        </w:tc>
        <w:tc>
          <w:tcPr>
            <w:tcW w:w="450" w:type="pct"/>
            <w:tcBorders>
              <w:top w:val="single" w:sz="4" w:space="0" w:color="auto"/>
            </w:tcBorders>
            <w:shd w:val="clear" w:color="auto" w:fill="auto"/>
            <w:noWrap/>
            <w:hideMark/>
          </w:tcPr>
          <w:p w14:paraId="37636929"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(5)</w:t>
            </w:r>
          </w:p>
        </w:tc>
        <w:tc>
          <w:tcPr>
            <w:tcW w:w="423" w:type="pct"/>
            <w:tcBorders>
              <w:top w:val="single" w:sz="4" w:space="0" w:color="auto"/>
            </w:tcBorders>
            <w:shd w:val="clear" w:color="auto" w:fill="auto"/>
            <w:noWrap/>
            <w:hideMark/>
          </w:tcPr>
          <w:p w14:paraId="7BC61113"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(6)</w:t>
            </w:r>
          </w:p>
        </w:tc>
        <w:tc>
          <w:tcPr>
            <w:tcW w:w="450" w:type="pct"/>
            <w:tcBorders>
              <w:top w:val="single" w:sz="4" w:space="0" w:color="auto"/>
            </w:tcBorders>
          </w:tcPr>
          <w:p w14:paraId="7889F52B"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(7)</w:t>
            </w:r>
          </w:p>
        </w:tc>
        <w:tc>
          <w:tcPr>
            <w:tcW w:w="423" w:type="pct"/>
            <w:tcBorders>
              <w:top w:val="single" w:sz="4" w:space="0" w:color="auto"/>
            </w:tcBorders>
          </w:tcPr>
          <w:p w14:paraId="5F8F68C8"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(8)</w:t>
            </w:r>
          </w:p>
        </w:tc>
        <w:tc>
          <w:tcPr>
            <w:tcW w:w="450" w:type="pct"/>
            <w:tcBorders>
              <w:top w:val="single" w:sz="4" w:space="0" w:color="auto"/>
            </w:tcBorders>
          </w:tcPr>
          <w:p w14:paraId="1BB3ABBB"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(9)</w:t>
            </w:r>
          </w:p>
        </w:tc>
        <w:tc>
          <w:tcPr>
            <w:tcW w:w="450" w:type="pct"/>
            <w:tcBorders>
              <w:top w:val="single" w:sz="4" w:space="0" w:color="auto"/>
            </w:tcBorders>
          </w:tcPr>
          <w:p w14:paraId="56CFEE10"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(10)</w:t>
            </w:r>
          </w:p>
        </w:tc>
      </w:tr>
      <w:tr w:rsidR="00824E51" w:rsidRPr="00F82B8F" w14:paraId="51624371" w14:textId="77777777" w:rsidTr="00824E51">
        <w:trPr>
          <w:trHeight w:val="300"/>
        </w:trPr>
        <w:tc>
          <w:tcPr>
            <w:tcW w:w="540" w:type="pct"/>
            <w:tcBorders>
              <w:bottom w:val="single" w:sz="4" w:space="0" w:color="auto"/>
            </w:tcBorders>
            <w:shd w:val="clear" w:color="auto" w:fill="auto"/>
            <w:noWrap/>
            <w:hideMark/>
          </w:tcPr>
          <w:p w14:paraId="6D000840" w14:textId="77777777" w:rsidR="00824E51" w:rsidRPr="00F82B8F" w:rsidRDefault="00824E51" w:rsidP="00824E51">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Var.</w:t>
            </w:r>
          </w:p>
        </w:tc>
        <w:tc>
          <w:tcPr>
            <w:tcW w:w="4460" w:type="pct"/>
            <w:gridSpan w:val="10"/>
            <w:tcBorders>
              <w:bottom w:val="single" w:sz="4" w:space="0" w:color="auto"/>
            </w:tcBorders>
            <w:shd w:val="clear" w:color="auto" w:fill="auto"/>
            <w:noWrap/>
          </w:tcPr>
          <w:p w14:paraId="35497410"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Conditional Variance Process</w:t>
            </w:r>
          </w:p>
        </w:tc>
      </w:tr>
      <w:tr w:rsidR="00824E51" w:rsidRPr="00F82B8F" w14:paraId="49DF2780" w14:textId="77777777" w:rsidTr="00824E51">
        <w:trPr>
          <w:trHeight w:val="300"/>
        </w:trPr>
        <w:tc>
          <w:tcPr>
            <w:tcW w:w="540" w:type="pct"/>
            <w:tcBorders>
              <w:top w:val="single" w:sz="4" w:space="0" w:color="auto"/>
            </w:tcBorders>
            <w:shd w:val="clear" w:color="auto" w:fill="auto"/>
            <w:noWrap/>
            <w:hideMark/>
          </w:tcPr>
          <w:p w14:paraId="41C223F0" w14:textId="77777777" w:rsidR="00824E51" w:rsidRPr="00F82B8F" w:rsidRDefault="00824E51" w:rsidP="00824E51">
            <w:pPr>
              <w:spacing w:after="0" w:line="240" w:lineRule="auto"/>
              <w:rPr>
                <w:rFonts w:ascii="Times New Roman" w:eastAsia="Times New Roman" w:hAnsi="Times New Roman" w:cs="Times New Roman"/>
                <w:color w:val="000000"/>
                <w:sz w:val="20"/>
                <w:szCs w:val="20"/>
                <w:lang w:eastAsia="en-GB"/>
              </w:rPr>
            </w:pPr>
          </w:p>
        </w:tc>
        <w:tc>
          <w:tcPr>
            <w:tcW w:w="491" w:type="pct"/>
            <w:tcBorders>
              <w:top w:val="single" w:sz="4" w:space="0" w:color="auto"/>
            </w:tcBorders>
            <w:shd w:val="clear" w:color="auto" w:fill="auto"/>
            <w:noWrap/>
            <w:hideMark/>
          </w:tcPr>
          <w:p w14:paraId="4FE97884"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23" w:type="pct"/>
            <w:tcBorders>
              <w:top w:val="single" w:sz="4" w:space="0" w:color="auto"/>
            </w:tcBorders>
            <w:shd w:val="clear" w:color="auto" w:fill="auto"/>
            <w:noWrap/>
            <w:hideMark/>
          </w:tcPr>
          <w:p w14:paraId="4AC140FC"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tcBorders>
              <w:top w:val="single" w:sz="4" w:space="0" w:color="auto"/>
            </w:tcBorders>
            <w:shd w:val="clear" w:color="auto" w:fill="auto"/>
            <w:noWrap/>
            <w:hideMark/>
          </w:tcPr>
          <w:p w14:paraId="72E6E600"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tcBorders>
              <w:top w:val="single" w:sz="4" w:space="0" w:color="auto"/>
            </w:tcBorders>
            <w:shd w:val="clear" w:color="auto" w:fill="auto"/>
            <w:noWrap/>
            <w:hideMark/>
          </w:tcPr>
          <w:p w14:paraId="1F1281C4"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tcBorders>
              <w:top w:val="single" w:sz="4" w:space="0" w:color="auto"/>
            </w:tcBorders>
            <w:shd w:val="clear" w:color="auto" w:fill="auto"/>
            <w:noWrap/>
            <w:hideMark/>
          </w:tcPr>
          <w:p w14:paraId="2409081C"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23" w:type="pct"/>
            <w:tcBorders>
              <w:top w:val="single" w:sz="4" w:space="0" w:color="auto"/>
            </w:tcBorders>
            <w:shd w:val="clear" w:color="auto" w:fill="auto"/>
            <w:noWrap/>
            <w:hideMark/>
          </w:tcPr>
          <w:p w14:paraId="0988CDBA"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tcBorders>
              <w:top w:val="single" w:sz="4" w:space="0" w:color="auto"/>
            </w:tcBorders>
          </w:tcPr>
          <w:p w14:paraId="60490AD8"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23" w:type="pct"/>
            <w:tcBorders>
              <w:top w:val="single" w:sz="4" w:space="0" w:color="auto"/>
            </w:tcBorders>
          </w:tcPr>
          <w:p w14:paraId="6D31FC19"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tcBorders>
              <w:top w:val="single" w:sz="4" w:space="0" w:color="auto"/>
            </w:tcBorders>
          </w:tcPr>
          <w:p w14:paraId="31A1400C"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tcBorders>
              <w:top w:val="single" w:sz="4" w:space="0" w:color="auto"/>
            </w:tcBorders>
          </w:tcPr>
          <w:p w14:paraId="1222D4AB"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r>
      <w:tr w:rsidR="00824E51" w:rsidRPr="00F82B8F" w14:paraId="67077099" w14:textId="77777777" w:rsidTr="00824E51">
        <w:trPr>
          <w:trHeight w:val="300"/>
        </w:trPr>
        <w:tc>
          <w:tcPr>
            <w:tcW w:w="540" w:type="pct"/>
            <w:shd w:val="clear" w:color="auto" w:fill="auto"/>
            <w:noWrap/>
          </w:tcPr>
          <w:p w14:paraId="10FB4327" w14:textId="2B208BC8" w:rsidR="00824E51" w:rsidRPr="00F82B8F" w:rsidRDefault="00824E51" w:rsidP="00824E51">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CTC</w:t>
            </w:r>
          </w:p>
        </w:tc>
        <w:tc>
          <w:tcPr>
            <w:tcW w:w="491" w:type="pct"/>
            <w:shd w:val="clear" w:color="auto" w:fill="auto"/>
            <w:noWrap/>
          </w:tcPr>
          <w:p w14:paraId="124BE6FE"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3.7192***</w:t>
            </w:r>
          </w:p>
        </w:tc>
        <w:tc>
          <w:tcPr>
            <w:tcW w:w="423" w:type="pct"/>
            <w:shd w:val="clear" w:color="auto" w:fill="auto"/>
            <w:noWrap/>
          </w:tcPr>
          <w:p w14:paraId="04E95E1E"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3.7973***</w:t>
            </w:r>
          </w:p>
        </w:tc>
        <w:tc>
          <w:tcPr>
            <w:tcW w:w="450" w:type="pct"/>
            <w:shd w:val="clear" w:color="auto" w:fill="auto"/>
            <w:noWrap/>
          </w:tcPr>
          <w:p w14:paraId="07CC4F16"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3.7676***</w:t>
            </w:r>
          </w:p>
        </w:tc>
        <w:tc>
          <w:tcPr>
            <w:tcW w:w="450" w:type="pct"/>
            <w:shd w:val="clear" w:color="auto" w:fill="auto"/>
            <w:noWrap/>
          </w:tcPr>
          <w:p w14:paraId="4402BC95"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3.8831***</w:t>
            </w:r>
          </w:p>
        </w:tc>
        <w:tc>
          <w:tcPr>
            <w:tcW w:w="450" w:type="pct"/>
            <w:shd w:val="clear" w:color="auto" w:fill="auto"/>
            <w:noWrap/>
          </w:tcPr>
          <w:p w14:paraId="380985CF"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3.8515***</w:t>
            </w:r>
          </w:p>
        </w:tc>
        <w:tc>
          <w:tcPr>
            <w:tcW w:w="423" w:type="pct"/>
            <w:shd w:val="clear" w:color="auto" w:fill="auto"/>
            <w:noWrap/>
          </w:tcPr>
          <w:p w14:paraId="605F1C55"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4.0456***</w:t>
            </w:r>
          </w:p>
        </w:tc>
        <w:tc>
          <w:tcPr>
            <w:tcW w:w="450" w:type="pct"/>
            <w:shd w:val="clear" w:color="auto" w:fill="auto"/>
          </w:tcPr>
          <w:p w14:paraId="3BCEC351"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3.8477***</w:t>
            </w:r>
          </w:p>
        </w:tc>
        <w:tc>
          <w:tcPr>
            <w:tcW w:w="423" w:type="pct"/>
            <w:shd w:val="clear" w:color="auto" w:fill="auto"/>
          </w:tcPr>
          <w:p w14:paraId="0627DD7C"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3.8941***</w:t>
            </w:r>
          </w:p>
        </w:tc>
        <w:tc>
          <w:tcPr>
            <w:tcW w:w="450" w:type="pct"/>
            <w:shd w:val="clear" w:color="auto" w:fill="auto"/>
          </w:tcPr>
          <w:p w14:paraId="42689678"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3.8691***</w:t>
            </w:r>
          </w:p>
        </w:tc>
        <w:tc>
          <w:tcPr>
            <w:tcW w:w="450" w:type="pct"/>
            <w:shd w:val="clear" w:color="auto" w:fill="auto"/>
          </w:tcPr>
          <w:p w14:paraId="41614AD1"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3.8431***</w:t>
            </w:r>
          </w:p>
        </w:tc>
      </w:tr>
      <w:tr w:rsidR="00824E51" w:rsidRPr="00F82B8F" w14:paraId="79E41A1C" w14:textId="77777777" w:rsidTr="00824E51">
        <w:trPr>
          <w:trHeight w:val="300"/>
        </w:trPr>
        <w:tc>
          <w:tcPr>
            <w:tcW w:w="540" w:type="pct"/>
            <w:shd w:val="clear" w:color="auto" w:fill="auto"/>
            <w:noWrap/>
          </w:tcPr>
          <w:p w14:paraId="23778D74" w14:textId="77777777" w:rsidR="00824E51" w:rsidRPr="00F82B8F" w:rsidRDefault="00824E51" w:rsidP="00824E51">
            <w:pPr>
              <w:spacing w:after="0" w:line="240" w:lineRule="auto"/>
              <w:rPr>
                <w:rFonts w:ascii="Times New Roman" w:eastAsia="Times New Roman" w:hAnsi="Times New Roman" w:cs="Times New Roman"/>
                <w:color w:val="000000"/>
                <w:sz w:val="20"/>
                <w:szCs w:val="20"/>
                <w:lang w:eastAsia="en-GB"/>
              </w:rPr>
            </w:pPr>
          </w:p>
        </w:tc>
        <w:tc>
          <w:tcPr>
            <w:tcW w:w="491" w:type="pct"/>
            <w:shd w:val="clear" w:color="auto" w:fill="auto"/>
            <w:noWrap/>
          </w:tcPr>
          <w:p w14:paraId="3C7A55E3"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(0.5356)</w:t>
            </w:r>
          </w:p>
        </w:tc>
        <w:tc>
          <w:tcPr>
            <w:tcW w:w="423" w:type="pct"/>
            <w:shd w:val="clear" w:color="auto" w:fill="auto"/>
            <w:noWrap/>
          </w:tcPr>
          <w:p w14:paraId="3C3DA887"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(0.5326)</w:t>
            </w:r>
          </w:p>
        </w:tc>
        <w:tc>
          <w:tcPr>
            <w:tcW w:w="450" w:type="pct"/>
            <w:shd w:val="clear" w:color="auto" w:fill="auto"/>
            <w:noWrap/>
          </w:tcPr>
          <w:p w14:paraId="24770C53"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(0.5337)</w:t>
            </w:r>
          </w:p>
        </w:tc>
        <w:tc>
          <w:tcPr>
            <w:tcW w:w="450" w:type="pct"/>
            <w:shd w:val="clear" w:color="auto" w:fill="auto"/>
            <w:noWrap/>
          </w:tcPr>
          <w:p w14:paraId="0620985C"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(0.5304)</w:t>
            </w:r>
          </w:p>
        </w:tc>
        <w:tc>
          <w:tcPr>
            <w:tcW w:w="450" w:type="pct"/>
            <w:shd w:val="clear" w:color="auto" w:fill="auto"/>
            <w:noWrap/>
          </w:tcPr>
          <w:p w14:paraId="2B81AA7C"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(0.5313)</w:t>
            </w:r>
          </w:p>
        </w:tc>
        <w:tc>
          <w:tcPr>
            <w:tcW w:w="423" w:type="pct"/>
            <w:shd w:val="clear" w:color="auto" w:fill="auto"/>
            <w:noWrap/>
          </w:tcPr>
          <w:p w14:paraId="28761F34"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(0.5359)</w:t>
            </w:r>
          </w:p>
        </w:tc>
        <w:tc>
          <w:tcPr>
            <w:tcW w:w="450" w:type="pct"/>
            <w:shd w:val="clear" w:color="auto" w:fill="auto"/>
          </w:tcPr>
          <w:p w14:paraId="5697E4A8"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(0.5305)</w:t>
            </w:r>
          </w:p>
        </w:tc>
        <w:tc>
          <w:tcPr>
            <w:tcW w:w="423" w:type="pct"/>
            <w:shd w:val="clear" w:color="auto" w:fill="auto"/>
          </w:tcPr>
          <w:p w14:paraId="1C2BE7E9"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(0.5298)</w:t>
            </w:r>
          </w:p>
        </w:tc>
        <w:tc>
          <w:tcPr>
            <w:tcW w:w="450" w:type="pct"/>
            <w:shd w:val="clear" w:color="auto" w:fill="auto"/>
          </w:tcPr>
          <w:p w14:paraId="5B6C982E"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(0.5377)</w:t>
            </w:r>
          </w:p>
        </w:tc>
        <w:tc>
          <w:tcPr>
            <w:tcW w:w="450" w:type="pct"/>
            <w:shd w:val="clear" w:color="auto" w:fill="auto"/>
          </w:tcPr>
          <w:p w14:paraId="701701F0"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(0.5378)</w:t>
            </w:r>
          </w:p>
        </w:tc>
      </w:tr>
      <w:tr w:rsidR="00824E51" w:rsidRPr="00F82B8F" w14:paraId="614896CF" w14:textId="77777777" w:rsidTr="00824E51">
        <w:trPr>
          <w:trHeight w:val="300"/>
        </w:trPr>
        <w:tc>
          <w:tcPr>
            <w:tcW w:w="540" w:type="pct"/>
            <w:shd w:val="clear" w:color="auto" w:fill="auto"/>
            <w:noWrap/>
          </w:tcPr>
          <w:p w14:paraId="3ECA92EB" w14:textId="1A9F42E3" w:rsidR="00824E51" w:rsidRPr="00F82B8F" w:rsidRDefault="00824E51" w:rsidP="00824E51">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CTD</w:t>
            </w:r>
          </w:p>
        </w:tc>
        <w:tc>
          <w:tcPr>
            <w:tcW w:w="491" w:type="pct"/>
            <w:shd w:val="clear" w:color="auto" w:fill="auto"/>
            <w:noWrap/>
          </w:tcPr>
          <w:p w14:paraId="7C7306D4"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3.8359***</w:t>
            </w:r>
          </w:p>
        </w:tc>
        <w:tc>
          <w:tcPr>
            <w:tcW w:w="423" w:type="pct"/>
            <w:shd w:val="clear" w:color="auto" w:fill="auto"/>
            <w:noWrap/>
          </w:tcPr>
          <w:p w14:paraId="63D9DB77"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3.5326***</w:t>
            </w:r>
          </w:p>
        </w:tc>
        <w:tc>
          <w:tcPr>
            <w:tcW w:w="450" w:type="pct"/>
            <w:shd w:val="clear" w:color="auto" w:fill="auto"/>
            <w:noWrap/>
          </w:tcPr>
          <w:p w14:paraId="37C5462A"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3.3763***</w:t>
            </w:r>
          </w:p>
        </w:tc>
        <w:tc>
          <w:tcPr>
            <w:tcW w:w="450" w:type="pct"/>
            <w:shd w:val="clear" w:color="auto" w:fill="auto"/>
            <w:noWrap/>
          </w:tcPr>
          <w:p w14:paraId="26217C3F"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3.1636***</w:t>
            </w:r>
          </w:p>
        </w:tc>
        <w:tc>
          <w:tcPr>
            <w:tcW w:w="450" w:type="pct"/>
            <w:shd w:val="clear" w:color="auto" w:fill="auto"/>
            <w:noWrap/>
          </w:tcPr>
          <w:p w14:paraId="6DA83F32"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3.3033***</w:t>
            </w:r>
          </w:p>
        </w:tc>
        <w:tc>
          <w:tcPr>
            <w:tcW w:w="423" w:type="pct"/>
            <w:shd w:val="clear" w:color="auto" w:fill="auto"/>
            <w:noWrap/>
          </w:tcPr>
          <w:p w14:paraId="6A8D57D9"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2.6754***</w:t>
            </w:r>
          </w:p>
        </w:tc>
        <w:tc>
          <w:tcPr>
            <w:tcW w:w="450" w:type="pct"/>
            <w:shd w:val="clear" w:color="auto" w:fill="auto"/>
          </w:tcPr>
          <w:p w14:paraId="4B70153F"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3.1766***</w:t>
            </w:r>
          </w:p>
        </w:tc>
        <w:tc>
          <w:tcPr>
            <w:tcW w:w="423" w:type="pct"/>
            <w:shd w:val="clear" w:color="auto" w:fill="auto"/>
          </w:tcPr>
          <w:p w14:paraId="25EBDD91"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3.1207***</w:t>
            </w:r>
          </w:p>
        </w:tc>
        <w:tc>
          <w:tcPr>
            <w:tcW w:w="450" w:type="pct"/>
            <w:shd w:val="clear" w:color="auto" w:fill="auto"/>
          </w:tcPr>
          <w:p w14:paraId="649FC8AF"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2.9978***</w:t>
            </w:r>
          </w:p>
        </w:tc>
        <w:tc>
          <w:tcPr>
            <w:tcW w:w="450" w:type="pct"/>
            <w:shd w:val="clear" w:color="auto" w:fill="auto"/>
          </w:tcPr>
          <w:p w14:paraId="60E2C693"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3.0019***</w:t>
            </w:r>
          </w:p>
        </w:tc>
      </w:tr>
      <w:tr w:rsidR="00824E51" w:rsidRPr="00F82B8F" w14:paraId="5AD6F573" w14:textId="77777777" w:rsidTr="00824E51">
        <w:trPr>
          <w:trHeight w:val="300"/>
        </w:trPr>
        <w:tc>
          <w:tcPr>
            <w:tcW w:w="540" w:type="pct"/>
            <w:shd w:val="clear" w:color="auto" w:fill="auto"/>
            <w:noWrap/>
          </w:tcPr>
          <w:p w14:paraId="38CE6309" w14:textId="77777777" w:rsidR="00824E51" w:rsidRPr="00F82B8F" w:rsidRDefault="00824E51" w:rsidP="00824E51">
            <w:pPr>
              <w:spacing w:after="0" w:line="240" w:lineRule="auto"/>
              <w:rPr>
                <w:rFonts w:ascii="Times New Roman" w:eastAsia="Times New Roman" w:hAnsi="Times New Roman" w:cs="Times New Roman"/>
                <w:color w:val="000000"/>
                <w:sz w:val="20"/>
                <w:szCs w:val="20"/>
                <w:lang w:eastAsia="en-GB"/>
              </w:rPr>
            </w:pPr>
          </w:p>
        </w:tc>
        <w:tc>
          <w:tcPr>
            <w:tcW w:w="491" w:type="pct"/>
            <w:shd w:val="clear" w:color="auto" w:fill="auto"/>
            <w:noWrap/>
          </w:tcPr>
          <w:p w14:paraId="60BA0FF5"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(0.3792)</w:t>
            </w:r>
          </w:p>
        </w:tc>
        <w:tc>
          <w:tcPr>
            <w:tcW w:w="423" w:type="pct"/>
            <w:shd w:val="clear" w:color="auto" w:fill="auto"/>
            <w:noWrap/>
          </w:tcPr>
          <w:p w14:paraId="5D0312FA"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(0.3782)</w:t>
            </w:r>
          </w:p>
        </w:tc>
        <w:tc>
          <w:tcPr>
            <w:tcW w:w="450" w:type="pct"/>
            <w:shd w:val="clear" w:color="auto" w:fill="auto"/>
            <w:noWrap/>
          </w:tcPr>
          <w:p w14:paraId="59FBED04"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(0.3789)</w:t>
            </w:r>
          </w:p>
        </w:tc>
        <w:tc>
          <w:tcPr>
            <w:tcW w:w="450" w:type="pct"/>
            <w:shd w:val="clear" w:color="auto" w:fill="auto"/>
            <w:noWrap/>
          </w:tcPr>
          <w:p w14:paraId="30C09762"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(0.3777)</w:t>
            </w:r>
          </w:p>
        </w:tc>
        <w:tc>
          <w:tcPr>
            <w:tcW w:w="450" w:type="pct"/>
            <w:shd w:val="clear" w:color="auto" w:fill="auto"/>
            <w:noWrap/>
          </w:tcPr>
          <w:p w14:paraId="677C57C7"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(0.3784)</w:t>
            </w:r>
          </w:p>
        </w:tc>
        <w:tc>
          <w:tcPr>
            <w:tcW w:w="423" w:type="pct"/>
            <w:shd w:val="clear" w:color="auto" w:fill="auto"/>
            <w:noWrap/>
          </w:tcPr>
          <w:p w14:paraId="28404A95"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(0.3830)</w:t>
            </w:r>
          </w:p>
        </w:tc>
        <w:tc>
          <w:tcPr>
            <w:tcW w:w="450" w:type="pct"/>
            <w:shd w:val="clear" w:color="auto" w:fill="auto"/>
          </w:tcPr>
          <w:p w14:paraId="4579EF13"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(0.3784)</w:t>
            </w:r>
          </w:p>
        </w:tc>
        <w:tc>
          <w:tcPr>
            <w:tcW w:w="423" w:type="pct"/>
            <w:shd w:val="clear" w:color="auto" w:fill="auto"/>
          </w:tcPr>
          <w:p w14:paraId="71D58789"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(0.3777)</w:t>
            </w:r>
          </w:p>
        </w:tc>
        <w:tc>
          <w:tcPr>
            <w:tcW w:w="450" w:type="pct"/>
            <w:shd w:val="clear" w:color="auto" w:fill="auto"/>
          </w:tcPr>
          <w:p w14:paraId="27BD9898"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(0.3833)</w:t>
            </w:r>
          </w:p>
        </w:tc>
        <w:tc>
          <w:tcPr>
            <w:tcW w:w="450" w:type="pct"/>
            <w:shd w:val="clear" w:color="auto" w:fill="auto"/>
          </w:tcPr>
          <w:p w14:paraId="2F93C295"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(0.3834)</w:t>
            </w:r>
          </w:p>
        </w:tc>
      </w:tr>
      <w:tr w:rsidR="00824E51" w:rsidRPr="00F82B8F" w14:paraId="55047621" w14:textId="77777777" w:rsidTr="00824E51">
        <w:trPr>
          <w:trHeight w:val="300"/>
        </w:trPr>
        <w:tc>
          <w:tcPr>
            <w:tcW w:w="540" w:type="pct"/>
            <w:shd w:val="clear" w:color="auto" w:fill="auto"/>
            <w:noWrap/>
          </w:tcPr>
          <w:p w14:paraId="03933411" w14:textId="6AD5C006" w:rsidR="00824E51" w:rsidRPr="00F82B8F" w:rsidRDefault="00824E51" w:rsidP="00824E51">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CSC</w:t>
            </w:r>
          </w:p>
        </w:tc>
        <w:tc>
          <w:tcPr>
            <w:tcW w:w="491" w:type="pct"/>
            <w:shd w:val="clear" w:color="auto" w:fill="auto"/>
            <w:noWrap/>
          </w:tcPr>
          <w:p w14:paraId="41412A3F"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0.1568***</w:t>
            </w:r>
          </w:p>
        </w:tc>
        <w:tc>
          <w:tcPr>
            <w:tcW w:w="423" w:type="pct"/>
            <w:shd w:val="clear" w:color="auto" w:fill="auto"/>
            <w:noWrap/>
          </w:tcPr>
          <w:p w14:paraId="7BFE83F5"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0.1414***</w:t>
            </w:r>
          </w:p>
        </w:tc>
        <w:tc>
          <w:tcPr>
            <w:tcW w:w="450" w:type="pct"/>
            <w:shd w:val="clear" w:color="auto" w:fill="auto"/>
            <w:noWrap/>
          </w:tcPr>
          <w:p w14:paraId="6E193C5F"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0.1338***</w:t>
            </w:r>
          </w:p>
        </w:tc>
        <w:tc>
          <w:tcPr>
            <w:tcW w:w="450" w:type="pct"/>
            <w:shd w:val="clear" w:color="auto" w:fill="auto"/>
            <w:noWrap/>
          </w:tcPr>
          <w:p w14:paraId="592DF7C7"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0.1263***</w:t>
            </w:r>
          </w:p>
        </w:tc>
        <w:tc>
          <w:tcPr>
            <w:tcW w:w="450" w:type="pct"/>
            <w:shd w:val="clear" w:color="auto" w:fill="auto"/>
            <w:noWrap/>
          </w:tcPr>
          <w:p w14:paraId="53878374"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0.1178***</w:t>
            </w:r>
          </w:p>
        </w:tc>
        <w:tc>
          <w:tcPr>
            <w:tcW w:w="423" w:type="pct"/>
            <w:shd w:val="clear" w:color="auto" w:fill="auto"/>
            <w:noWrap/>
          </w:tcPr>
          <w:p w14:paraId="10CAE424"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0.1240***</w:t>
            </w:r>
          </w:p>
        </w:tc>
        <w:tc>
          <w:tcPr>
            <w:tcW w:w="450" w:type="pct"/>
            <w:shd w:val="clear" w:color="auto" w:fill="auto"/>
          </w:tcPr>
          <w:p w14:paraId="529EFB3D"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0.1227***</w:t>
            </w:r>
          </w:p>
        </w:tc>
        <w:tc>
          <w:tcPr>
            <w:tcW w:w="423" w:type="pct"/>
            <w:shd w:val="clear" w:color="auto" w:fill="auto"/>
          </w:tcPr>
          <w:p w14:paraId="38193BE9"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0.1198***</w:t>
            </w:r>
          </w:p>
        </w:tc>
        <w:tc>
          <w:tcPr>
            <w:tcW w:w="450" w:type="pct"/>
            <w:shd w:val="clear" w:color="auto" w:fill="auto"/>
          </w:tcPr>
          <w:p w14:paraId="3B1C30F0"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0.1163***</w:t>
            </w:r>
          </w:p>
        </w:tc>
        <w:tc>
          <w:tcPr>
            <w:tcW w:w="450" w:type="pct"/>
            <w:shd w:val="clear" w:color="auto" w:fill="auto"/>
          </w:tcPr>
          <w:p w14:paraId="438E321E"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0.1172***</w:t>
            </w:r>
          </w:p>
        </w:tc>
      </w:tr>
      <w:tr w:rsidR="00824E51" w:rsidRPr="00F82B8F" w14:paraId="328395DA" w14:textId="77777777" w:rsidTr="00824E51">
        <w:trPr>
          <w:trHeight w:val="300"/>
        </w:trPr>
        <w:tc>
          <w:tcPr>
            <w:tcW w:w="540" w:type="pct"/>
            <w:shd w:val="clear" w:color="auto" w:fill="auto"/>
            <w:noWrap/>
          </w:tcPr>
          <w:p w14:paraId="2734A063" w14:textId="77777777" w:rsidR="00824E51" w:rsidRPr="00F82B8F" w:rsidRDefault="00824E51" w:rsidP="00824E51">
            <w:pPr>
              <w:spacing w:after="0" w:line="240" w:lineRule="auto"/>
              <w:rPr>
                <w:rFonts w:ascii="Times New Roman" w:eastAsia="Times New Roman" w:hAnsi="Times New Roman" w:cs="Times New Roman"/>
                <w:color w:val="000000"/>
                <w:sz w:val="20"/>
                <w:szCs w:val="20"/>
                <w:lang w:eastAsia="en-GB"/>
              </w:rPr>
            </w:pPr>
          </w:p>
        </w:tc>
        <w:tc>
          <w:tcPr>
            <w:tcW w:w="491" w:type="pct"/>
            <w:shd w:val="clear" w:color="auto" w:fill="auto"/>
            <w:noWrap/>
          </w:tcPr>
          <w:p w14:paraId="28F9CBFC"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(0.0331)</w:t>
            </w:r>
          </w:p>
        </w:tc>
        <w:tc>
          <w:tcPr>
            <w:tcW w:w="423" w:type="pct"/>
            <w:shd w:val="clear" w:color="auto" w:fill="auto"/>
            <w:noWrap/>
          </w:tcPr>
          <w:p w14:paraId="12134A1B"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(0.0313)</w:t>
            </w:r>
          </w:p>
        </w:tc>
        <w:tc>
          <w:tcPr>
            <w:tcW w:w="450" w:type="pct"/>
            <w:shd w:val="clear" w:color="auto" w:fill="auto"/>
            <w:noWrap/>
          </w:tcPr>
          <w:p w14:paraId="090EB332"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(0.0312)</w:t>
            </w:r>
          </w:p>
        </w:tc>
        <w:tc>
          <w:tcPr>
            <w:tcW w:w="450" w:type="pct"/>
            <w:shd w:val="clear" w:color="auto" w:fill="auto"/>
            <w:noWrap/>
          </w:tcPr>
          <w:p w14:paraId="13FD4049"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(0.0308)</w:t>
            </w:r>
          </w:p>
        </w:tc>
        <w:tc>
          <w:tcPr>
            <w:tcW w:w="450" w:type="pct"/>
            <w:shd w:val="clear" w:color="auto" w:fill="auto"/>
            <w:noWrap/>
          </w:tcPr>
          <w:p w14:paraId="7597F00E"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(0.0314)</w:t>
            </w:r>
          </w:p>
        </w:tc>
        <w:tc>
          <w:tcPr>
            <w:tcW w:w="423" w:type="pct"/>
            <w:shd w:val="clear" w:color="auto" w:fill="auto"/>
            <w:noWrap/>
          </w:tcPr>
          <w:p w14:paraId="60E14A7C"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(0.0368)</w:t>
            </w:r>
          </w:p>
        </w:tc>
        <w:tc>
          <w:tcPr>
            <w:tcW w:w="450" w:type="pct"/>
            <w:shd w:val="clear" w:color="auto" w:fill="auto"/>
          </w:tcPr>
          <w:p w14:paraId="3DF36B90"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(0.0309)</w:t>
            </w:r>
          </w:p>
        </w:tc>
        <w:tc>
          <w:tcPr>
            <w:tcW w:w="423" w:type="pct"/>
            <w:shd w:val="clear" w:color="auto" w:fill="auto"/>
          </w:tcPr>
          <w:p w14:paraId="3E723819"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(0.0310)</w:t>
            </w:r>
          </w:p>
        </w:tc>
        <w:tc>
          <w:tcPr>
            <w:tcW w:w="450" w:type="pct"/>
            <w:shd w:val="clear" w:color="auto" w:fill="auto"/>
          </w:tcPr>
          <w:p w14:paraId="3EDEE72E"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(0.0313)</w:t>
            </w:r>
          </w:p>
        </w:tc>
        <w:tc>
          <w:tcPr>
            <w:tcW w:w="450" w:type="pct"/>
            <w:shd w:val="clear" w:color="auto" w:fill="auto"/>
          </w:tcPr>
          <w:p w14:paraId="0857B039"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(0.0309)</w:t>
            </w:r>
          </w:p>
        </w:tc>
      </w:tr>
      <w:tr w:rsidR="00824E51" w:rsidRPr="00F82B8F" w14:paraId="14818791" w14:textId="77777777" w:rsidTr="00824E51">
        <w:trPr>
          <w:trHeight w:val="300"/>
        </w:trPr>
        <w:tc>
          <w:tcPr>
            <w:tcW w:w="540" w:type="pct"/>
            <w:shd w:val="clear" w:color="auto" w:fill="auto"/>
            <w:noWrap/>
          </w:tcPr>
          <w:p w14:paraId="7D189566" w14:textId="2534A3E9" w:rsidR="00824E51" w:rsidRPr="00F82B8F" w:rsidRDefault="00824E51" w:rsidP="00824E51">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CSD</w:t>
            </w:r>
          </w:p>
        </w:tc>
        <w:tc>
          <w:tcPr>
            <w:tcW w:w="491" w:type="pct"/>
            <w:shd w:val="clear" w:color="auto" w:fill="auto"/>
            <w:noWrap/>
          </w:tcPr>
          <w:p w14:paraId="332855A7"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0.0854**</w:t>
            </w:r>
          </w:p>
        </w:tc>
        <w:tc>
          <w:tcPr>
            <w:tcW w:w="423" w:type="pct"/>
            <w:shd w:val="clear" w:color="auto" w:fill="auto"/>
            <w:noWrap/>
          </w:tcPr>
          <w:p w14:paraId="2D6ABB37"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0.1121***</w:t>
            </w:r>
          </w:p>
        </w:tc>
        <w:tc>
          <w:tcPr>
            <w:tcW w:w="450" w:type="pct"/>
            <w:shd w:val="clear" w:color="auto" w:fill="auto"/>
            <w:noWrap/>
          </w:tcPr>
          <w:p w14:paraId="729CF4C2"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0.1265***</w:t>
            </w:r>
          </w:p>
        </w:tc>
        <w:tc>
          <w:tcPr>
            <w:tcW w:w="450" w:type="pct"/>
            <w:shd w:val="clear" w:color="auto" w:fill="auto"/>
            <w:noWrap/>
          </w:tcPr>
          <w:p w14:paraId="0A66B722"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0.1382***</w:t>
            </w:r>
          </w:p>
        </w:tc>
        <w:tc>
          <w:tcPr>
            <w:tcW w:w="450" w:type="pct"/>
            <w:shd w:val="clear" w:color="auto" w:fill="auto"/>
            <w:noWrap/>
          </w:tcPr>
          <w:p w14:paraId="218C422F"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0.1473***</w:t>
            </w:r>
          </w:p>
        </w:tc>
        <w:tc>
          <w:tcPr>
            <w:tcW w:w="423" w:type="pct"/>
            <w:shd w:val="clear" w:color="auto" w:fill="auto"/>
            <w:noWrap/>
          </w:tcPr>
          <w:p w14:paraId="1CD3CCB5"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0.1416***</w:t>
            </w:r>
          </w:p>
        </w:tc>
        <w:tc>
          <w:tcPr>
            <w:tcW w:w="450" w:type="pct"/>
            <w:shd w:val="clear" w:color="auto" w:fill="auto"/>
          </w:tcPr>
          <w:p w14:paraId="0461081C"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0.1384***</w:t>
            </w:r>
          </w:p>
        </w:tc>
        <w:tc>
          <w:tcPr>
            <w:tcW w:w="423" w:type="pct"/>
            <w:shd w:val="clear" w:color="auto" w:fill="auto"/>
          </w:tcPr>
          <w:p w14:paraId="1980D12C"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0.1469***</w:t>
            </w:r>
          </w:p>
        </w:tc>
        <w:tc>
          <w:tcPr>
            <w:tcW w:w="450" w:type="pct"/>
            <w:shd w:val="clear" w:color="auto" w:fill="auto"/>
          </w:tcPr>
          <w:p w14:paraId="7DE544E5"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0.1526***</w:t>
            </w:r>
          </w:p>
        </w:tc>
        <w:tc>
          <w:tcPr>
            <w:tcW w:w="450" w:type="pct"/>
            <w:shd w:val="clear" w:color="auto" w:fill="auto"/>
          </w:tcPr>
          <w:p w14:paraId="5F910312"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0.1525***</w:t>
            </w:r>
          </w:p>
        </w:tc>
      </w:tr>
      <w:tr w:rsidR="00824E51" w:rsidRPr="00F82B8F" w14:paraId="69344160" w14:textId="77777777" w:rsidTr="00824E51">
        <w:trPr>
          <w:trHeight w:val="300"/>
        </w:trPr>
        <w:tc>
          <w:tcPr>
            <w:tcW w:w="540" w:type="pct"/>
            <w:shd w:val="clear" w:color="auto" w:fill="auto"/>
            <w:noWrap/>
          </w:tcPr>
          <w:p w14:paraId="483A8849" w14:textId="77777777" w:rsidR="00824E51" w:rsidRPr="00F82B8F" w:rsidRDefault="00824E51" w:rsidP="00824E51">
            <w:pPr>
              <w:spacing w:after="0" w:line="240" w:lineRule="auto"/>
              <w:rPr>
                <w:rFonts w:ascii="Times New Roman" w:eastAsia="Times New Roman" w:hAnsi="Times New Roman" w:cs="Times New Roman"/>
                <w:color w:val="000000"/>
                <w:sz w:val="20"/>
                <w:szCs w:val="20"/>
                <w:lang w:eastAsia="en-GB"/>
              </w:rPr>
            </w:pPr>
          </w:p>
        </w:tc>
        <w:tc>
          <w:tcPr>
            <w:tcW w:w="491" w:type="pct"/>
            <w:shd w:val="clear" w:color="auto" w:fill="auto"/>
            <w:noWrap/>
          </w:tcPr>
          <w:p w14:paraId="088B44B8"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(0.0417)</w:t>
            </w:r>
          </w:p>
        </w:tc>
        <w:tc>
          <w:tcPr>
            <w:tcW w:w="423" w:type="pct"/>
            <w:shd w:val="clear" w:color="auto" w:fill="auto"/>
            <w:noWrap/>
          </w:tcPr>
          <w:p w14:paraId="61D80568"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(0.0395)</w:t>
            </w:r>
          </w:p>
        </w:tc>
        <w:tc>
          <w:tcPr>
            <w:tcW w:w="450" w:type="pct"/>
            <w:shd w:val="clear" w:color="auto" w:fill="auto"/>
            <w:noWrap/>
          </w:tcPr>
          <w:p w14:paraId="37545A52"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(0.0390)</w:t>
            </w:r>
          </w:p>
        </w:tc>
        <w:tc>
          <w:tcPr>
            <w:tcW w:w="450" w:type="pct"/>
            <w:shd w:val="clear" w:color="auto" w:fill="auto"/>
            <w:noWrap/>
          </w:tcPr>
          <w:p w14:paraId="3A19D913"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(0.0386)</w:t>
            </w:r>
          </w:p>
        </w:tc>
        <w:tc>
          <w:tcPr>
            <w:tcW w:w="450" w:type="pct"/>
            <w:shd w:val="clear" w:color="auto" w:fill="auto"/>
            <w:noWrap/>
          </w:tcPr>
          <w:p w14:paraId="0CA98D37"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(0.0393)</w:t>
            </w:r>
          </w:p>
        </w:tc>
        <w:tc>
          <w:tcPr>
            <w:tcW w:w="423" w:type="pct"/>
            <w:shd w:val="clear" w:color="auto" w:fill="auto"/>
            <w:noWrap/>
          </w:tcPr>
          <w:p w14:paraId="5F9B2C41"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(0.0446)</w:t>
            </w:r>
          </w:p>
        </w:tc>
        <w:tc>
          <w:tcPr>
            <w:tcW w:w="450" w:type="pct"/>
            <w:shd w:val="clear" w:color="auto" w:fill="auto"/>
          </w:tcPr>
          <w:p w14:paraId="5EFD9912"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(0.0387)</w:t>
            </w:r>
          </w:p>
        </w:tc>
        <w:tc>
          <w:tcPr>
            <w:tcW w:w="423" w:type="pct"/>
            <w:shd w:val="clear" w:color="auto" w:fill="auto"/>
          </w:tcPr>
          <w:p w14:paraId="41E6311D"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(0.0388)</w:t>
            </w:r>
          </w:p>
        </w:tc>
        <w:tc>
          <w:tcPr>
            <w:tcW w:w="450" w:type="pct"/>
            <w:shd w:val="clear" w:color="auto" w:fill="auto"/>
          </w:tcPr>
          <w:p w14:paraId="36F6FCC1"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(0.0394)</w:t>
            </w:r>
          </w:p>
        </w:tc>
        <w:tc>
          <w:tcPr>
            <w:tcW w:w="450" w:type="pct"/>
            <w:shd w:val="clear" w:color="auto" w:fill="auto"/>
          </w:tcPr>
          <w:p w14:paraId="3C4B3C13"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(0.0387)</w:t>
            </w:r>
          </w:p>
        </w:tc>
      </w:tr>
      <w:tr w:rsidR="00824E51" w:rsidRPr="00F82B8F" w14:paraId="1FA9C782" w14:textId="77777777" w:rsidTr="00824E51">
        <w:trPr>
          <w:trHeight w:val="300"/>
        </w:trPr>
        <w:tc>
          <w:tcPr>
            <w:tcW w:w="540" w:type="pct"/>
            <w:shd w:val="clear" w:color="auto" w:fill="auto"/>
            <w:noWrap/>
          </w:tcPr>
          <w:p w14:paraId="14BCFA29" w14:textId="77777777" w:rsidR="00824E51" w:rsidRPr="00F82B8F" w:rsidRDefault="00824E51" w:rsidP="00824E51">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RES</w:t>
            </w:r>
          </w:p>
        </w:tc>
        <w:tc>
          <w:tcPr>
            <w:tcW w:w="491" w:type="pct"/>
            <w:shd w:val="clear" w:color="auto" w:fill="auto"/>
            <w:noWrap/>
          </w:tcPr>
          <w:p w14:paraId="30D5BB28"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3.9869***</w:t>
            </w:r>
          </w:p>
        </w:tc>
        <w:tc>
          <w:tcPr>
            <w:tcW w:w="423" w:type="pct"/>
            <w:shd w:val="clear" w:color="auto" w:fill="auto"/>
            <w:noWrap/>
          </w:tcPr>
          <w:p w14:paraId="1279B338"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-0.0024</w:t>
            </w:r>
          </w:p>
        </w:tc>
        <w:tc>
          <w:tcPr>
            <w:tcW w:w="450" w:type="pct"/>
            <w:shd w:val="clear" w:color="auto" w:fill="auto"/>
            <w:noWrap/>
          </w:tcPr>
          <w:p w14:paraId="61DD1BF8"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-0.1296***</w:t>
            </w:r>
          </w:p>
        </w:tc>
        <w:tc>
          <w:tcPr>
            <w:tcW w:w="450" w:type="pct"/>
            <w:shd w:val="clear" w:color="auto" w:fill="auto"/>
            <w:noWrap/>
          </w:tcPr>
          <w:p w14:paraId="7A86F4DF"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-0.0357</w:t>
            </w:r>
          </w:p>
        </w:tc>
        <w:tc>
          <w:tcPr>
            <w:tcW w:w="450" w:type="pct"/>
            <w:shd w:val="clear" w:color="auto" w:fill="auto"/>
            <w:noWrap/>
          </w:tcPr>
          <w:p w14:paraId="266D11EA" w14:textId="2538F34D"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0.2973**</w:t>
            </w:r>
          </w:p>
        </w:tc>
        <w:tc>
          <w:tcPr>
            <w:tcW w:w="423" w:type="pct"/>
            <w:shd w:val="clear" w:color="auto" w:fill="auto"/>
            <w:noWrap/>
          </w:tcPr>
          <w:p w14:paraId="4154FE12"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-1.8248**</w:t>
            </w:r>
          </w:p>
        </w:tc>
        <w:tc>
          <w:tcPr>
            <w:tcW w:w="450" w:type="pct"/>
            <w:shd w:val="clear" w:color="auto" w:fill="auto"/>
          </w:tcPr>
          <w:p w14:paraId="74A3DDFD"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-3.2894***</w:t>
            </w:r>
          </w:p>
        </w:tc>
        <w:tc>
          <w:tcPr>
            <w:tcW w:w="423" w:type="pct"/>
            <w:shd w:val="clear" w:color="auto" w:fill="auto"/>
          </w:tcPr>
          <w:p w14:paraId="4D8830DD"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-0.8538</w:t>
            </w:r>
          </w:p>
        </w:tc>
        <w:tc>
          <w:tcPr>
            <w:tcW w:w="450" w:type="pct"/>
            <w:shd w:val="clear" w:color="auto" w:fill="auto"/>
          </w:tcPr>
          <w:p w14:paraId="7CC77529" w14:textId="2990EA00"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0.0704*</w:t>
            </w:r>
          </w:p>
        </w:tc>
        <w:tc>
          <w:tcPr>
            <w:tcW w:w="450" w:type="pct"/>
            <w:shd w:val="clear" w:color="auto" w:fill="auto"/>
          </w:tcPr>
          <w:p w14:paraId="0AE68ECC"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-0.0478</w:t>
            </w:r>
          </w:p>
        </w:tc>
      </w:tr>
      <w:tr w:rsidR="00824E51" w:rsidRPr="00F82B8F" w14:paraId="1DFD4658" w14:textId="77777777" w:rsidTr="00824E51">
        <w:trPr>
          <w:trHeight w:val="300"/>
        </w:trPr>
        <w:tc>
          <w:tcPr>
            <w:tcW w:w="540" w:type="pct"/>
            <w:shd w:val="clear" w:color="auto" w:fill="auto"/>
            <w:noWrap/>
          </w:tcPr>
          <w:p w14:paraId="4F579307" w14:textId="77777777" w:rsidR="00824E51" w:rsidRPr="00F82B8F" w:rsidRDefault="00824E51" w:rsidP="00824E51">
            <w:pPr>
              <w:spacing w:after="0" w:line="240" w:lineRule="auto"/>
              <w:rPr>
                <w:rFonts w:ascii="Times New Roman" w:eastAsia="Times New Roman" w:hAnsi="Times New Roman" w:cs="Times New Roman"/>
                <w:color w:val="000000"/>
                <w:sz w:val="20"/>
                <w:szCs w:val="20"/>
                <w:lang w:eastAsia="en-GB"/>
              </w:rPr>
            </w:pPr>
          </w:p>
        </w:tc>
        <w:tc>
          <w:tcPr>
            <w:tcW w:w="491" w:type="pct"/>
            <w:shd w:val="clear" w:color="auto" w:fill="auto"/>
            <w:noWrap/>
          </w:tcPr>
          <w:p w14:paraId="6DB05459"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(1.0395)</w:t>
            </w:r>
          </w:p>
        </w:tc>
        <w:tc>
          <w:tcPr>
            <w:tcW w:w="423" w:type="pct"/>
            <w:shd w:val="clear" w:color="auto" w:fill="auto"/>
            <w:noWrap/>
          </w:tcPr>
          <w:p w14:paraId="20A0CE40"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(0.5825)</w:t>
            </w:r>
          </w:p>
        </w:tc>
        <w:tc>
          <w:tcPr>
            <w:tcW w:w="450" w:type="pct"/>
            <w:shd w:val="clear" w:color="auto" w:fill="auto"/>
            <w:noWrap/>
          </w:tcPr>
          <w:p w14:paraId="541520BA"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(0.0363)</w:t>
            </w:r>
          </w:p>
        </w:tc>
        <w:tc>
          <w:tcPr>
            <w:tcW w:w="450" w:type="pct"/>
            <w:shd w:val="clear" w:color="auto" w:fill="auto"/>
            <w:noWrap/>
          </w:tcPr>
          <w:p w14:paraId="4995513E"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(0.0311)</w:t>
            </w:r>
          </w:p>
        </w:tc>
        <w:tc>
          <w:tcPr>
            <w:tcW w:w="450" w:type="pct"/>
            <w:shd w:val="clear" w:color="auto" w:fill="auto"/>
            <w:noWrap/>
          </w:tcPr>
          <w:p w14:paraId="005A90EB"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(0.1894)</w:t>
            </w:r>
          </w:p>
        </w:tc>
        <w:tc>
          <w:tcPr>
            <w:tcW w:w="423" w:type="pct"/>
            <w:shd w:val="clear" w:color="auto" w:fill="auto"/>
            <w:noWrap/>
          </w:tcPr>
          <w:p w14:paraId="2D762F3C"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(0.9078)</w:t>
            </w:r>
          </w:p>
        </w:tc>
        <w:tc>
          <w:tcPr>
            <w:tcW w:w="450" w:type="pct"/>
            <w:shd w:val="clear" w:color="auto" w:fill="auto"/>
          </w:tcPr>
          <w:p w14:paraId="29FEDC8D"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(0.7705)</w:t>
            </w:r>
          </w:p>
        </w:tc>
        <w:tc>
          <w:tcPr>
            <w:tcW w:w="423" w:type="pct"/>
            <w:shd w:val="clear" w:color="auto" w:fill="auto"/>
          </w:tcPr>
          <w:p w14:paraId="315FE796"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(2.1232)</w:t>
            </w:r>
          </w:p>
        </w:tc>
        <w:tc>
          <w:tcPr>
            <w:tcW w:w="450" w:type="pct"/>
            <w:shd w:val="clear" w:color="auto" w:fill="auto"/>
          </w:tcPr>
          <w:p w14:paraId="47444194"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(0.1090)</w:t>
            </w:r>
          </w:p>
        </w:tc>
        <w:tc>
          <w:tcPr>
            <w:tcW w:w="450" w:type="pct"/>
            <w:shd w:val="clear" w:color="auto" w:fill="auto"/>
          </w:tcPr>
          <w:p w14:paraId="2094ADAC"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(0.1138)</w:t>
            </w:r>
          </w:p>
        </w:tc>
      </w:tr>
      <w:tr w:rsidR="00824E51" w:rsidRPr="00F82B8F" w14:paraId="67950C84" w14:textId="77777777" w:rsidTr="00824E51">
        <w:trPr>
          <w:trHeight w:val="300"/>
        </w:trPr>
        <w:tc>
          <w:tcPr>
            <w:tcW w:w="540" w:type="pct"/>
            <w:shd w:val="clear" w:color="auto" w:fill="auto"/>
            <w:noWrap/>
          </w:tcPr>
          <w:p w14:paraId="1880732B" w14:textId="77777777" w:rsidR="00824E51" w:rsidRPr="00F82B8F" w:rsidRDefault="00824E51" w:rsidP="00824E51">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CPS</w:t>
            </w:r>
          </w:p>
        </w:tc>
        <w:tc>
          <w:tcPr>
            <w:tcW w:w="491" w:type="pct"/>
            <w:shd w:val="clear" w:color="auto" w:fill="auto"/>
            <w:noWrap/>
          </w:tcPr>
          <w:p w14:paraId="12CEF0E5"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2.9999***</w:t>
            </w:r>
          </w:p>
        </w:tc>
        <w:tc>
          <w:tcPr>
            <w:tcW w:w="423" w:type="pct"/>
            <w:shd w:val="clear" w:color="auto" w:fill="auto"/>
            <w:noWrap/>
          </w:tcPr>
          <w:p w14:paraId="27FC447B" w14:textId="77777777" w:rsidR="00824E51" w:rsidRPr="00F82B8F" w:rsidRDefault="00824E51" w:rsidP="00824E51">
            <w:pPr>
              <w:spacing w:after="0" w:line="240" w:lineRule="auto"/>
              <w:jc w:val="center"/>
              <w:rPr>
                <w:rFonts w:ascii="Times New Roman" w:hAnsi="Times New Roman" w:cs="Times New Roman"/>
                <w:color w:val="000000"/>
                <w:sz w:val="20"/>
                <w:szCs w:val="20"/>
              </w:rPr>
            </w:pPr>
          </w:p>
        </w:tc>
        <w:tc>
          <w:tcPr>
            <w:tcW w:w="450" w:type="pct"/>
            <w:shd w:val="clear" w:color="auto" w:fill="auto"/>
            <w:noWrap/>
          </w:tcPr>
          <w:p w14:paraId="13DBDA82" w14:textId="77777777" w:rsidR="00824E51" w:rsidRPr="00F82B8F" w:rsidRDefault="00824E51" w:rsidP="00824E51">
            <w:pPr>
              <w:spacing w:after="0" w:line="240" w:lineRule="auto"/>
              <w:jc w:val="center"/>
              <w:rPr>
                <w:rFonts w:ascii="Times New Roman" w:hAnsi="Times New Roman" w:cs="Times New Roman"/>
                <w:color w:val="000000"/>
                <w:sz w:val="20"/>
                <w:szCs w:val="20"/>
              </w:rPr>
            </w:pPr>
          </w:p>
        </w:tc>
        <w:tc>
          <w:tcPr>
            <w:tcW w:w="450" w:type="pct"/>
            <w:shd w:val="clear" w:color="auto" w:fill="auto"/>
            <w:noWrap/>
          </w:tcPr>
          <w:p w14:paraId="745A6D10" w14:textId="77777777" w:rsidR="00824E51" w:rsidRPr="00F82B8F" w:rsidRDefault="00824E51" w:rsidP="00824E51">
            <w:pPr>
              <w:spacing w:after="0" w:line="240" w:lineRule="auto"/>
              <w:jc w:val="center"/>
              <w:rPr>
                <w:rFonts w:ascii="Times New Roman" w:hAnsi="Times New Roman" w:cs="Times New Roman"/>
                <w:color w:val="000000"/>
                <w:sz w:val="20"/>
                <w:szCs w:val="20"/>
              </w:rPr>
            </w:pPr>
          </w:p>
        </w:tc>
        <w:tc>
          <w:tcPr>
            <w:tcW w:w="450" w:type="pct"/>
            <w:shd w:val="clear" w:color="auto" w:fill="auto"/>
            <w:noWrap/>
          </w:tcPr>
          <w:p w14:paraId="4C16F5B9" w14:textId="77777777" w:rsidR="00824E51" w:rsidRPr="00F82B8F" w:rsidRDefault="00824E51" w:rsidP="00824E51">
            <w:pPr>
              <w:spacing w:after="0" w:line="240" w:lineRule="auto"/>
              <w:jc w:val="center"/>
              <w:rPr>
                <w:rFonts w:ascii="Times New Roman" w:hAnsi="Times New Roman" w:cs="Times New Roman"/>
                <w:color w:val="000000"/>
                <w:sz w:val="20"/>
                <w:szCs w:val="20"/>
              </w:rPr>
            </w:pPr>
          </w:p>
        </w:tc>
        <w:tc>
          <w:tcPr>
            <w:tcW w:w="423" w:type="pct"/>
            <w:shd w:val="clear" w:color="auto" w:fill="auto"/>
            <w:noWrap/>
          </w:tcPr>
          <w:p w14:paraId="27DD9E3D" w14:textId="77777777" w:rsidR="00824E51" w:rsidRPr="00F82B8F" w:rsidRDefault="00824E51" w:rsidP="00824E51">
            <w:pPr>
              <w:spacing w:after="0" w:line="240" w:lineRule="auto"/>
              <w:jc w:val="center"/>
              <w:rPr>
                <w:rFonts w:ascii="Times New Roman" w:hAnsi="Times New Roman" w:cs="Times New Roman"/>
                <w:color w:val="000000"/>
                <w:sz w:val="20"/>
                <w:szCs w:val="20"/>
              </w:rPr>
            </w:pPr>
          </w:p>
        </w:tc>
        <w:tc>
          <w:tcPr>
            <w:tcW w:w="450" w:type="pct"/>
            <w:shd w:val="clear" w:color="auto" w:fill="auto"/>
          </w:tcPr>
          <w:p w14:paraId="7C0C5071" w14:textId="77777777" w:rsidR="00824E51" w:rsidRPr="00F82B8F" w:rsidRDefault="00824E51" w:rsidP="00824E51">
            <w:pPr>
              <w:spacing w:after="0" w:line="240" w:lineRule="auto"/>
              <w:jc w:val="center"/>
              <w:rPr>
                <w:rFonts w:ascii="Times New Roman" w:hAnsi="Times New Roman" w:cs="Times New Roman"/>
                <w:color w:val="000000"/>
                <w:sz w:val="20"/>
                <w:szCs w:val="20"/>
              </w:rPr>
            </w:pPr>
          </w:p>
        </w:tc>
        <w:tc>
          <w:tcPr>
            <w:tcW w:w="423" w:type="pct"/>
            <w:shd w:val="clear" w:color="auto" w:fill="auto"/>
          </w:tcPr>
          <w:p w14:paraId="7F76E76C" w14:textId="77777777" w:rsidR="00824E51" w:rsidRPr="00F82B8F" w:rsidRDefault="00824E51" w:rsidP="00824E51">
            <w:pPr>
              <w:spacing w:after="0" w:line="240" w:lineRule="auto"/>
              <w:jc w:val="center"/>
              <w:rPr>
                <w:rFonts w:ascii="Times New Roman" w:hAnsi="Times New Roman" w:cs="Times New Roman"/>
                <w:color w:val="000000"/>
                <w:sz w:val="20"/>
                <w:szCs w:val="20"/>
              </w:rPr>
            </w:pPr>
          </w:p>
        </w:tc>
        <w:tc>
          <w:tcPr>
            <w:tcW w:w="450" w:type="pct"/>
            <w:shd w:val="clear" w:color="auto" w:fill="auto"/>
          </w:tcPr>
          <w:p w14:paraId="0F991B7D" w14:textId="77777777" w:rsidR="00824E51" w:rsidRPr="00F82B8F" w:rsidRDefault="00824E51" w:rsidP="00824E51">
            <w:pPr>
              <w:spacing w:after="0" w:line="240" w:lineRule="auto"/>
              <w:jc w:val="center"/>
              <w:rPr>
                <w:rFonts w:ascii="Times New Roman" w:hAnsi="Times New Roman" w:cs="Times New Roman"/>
                <w:color w:val="000000"/>
                <w:sz w:val="20"/>
                <w:szCs w:val="20"/>
              </w:rPr>
            </w:pPr>
          </w:p>
        </w:tc>
        <w:tc>
          <w:tcPr>
            <w:tcW w:w="450" w:type="pct"/>
            <w:shd w:val="clear" w:color="auto" w:fill="auto"/>
          </w:tcPr>
          <w:p w14:paraId="7FC04A9F" w14:textId="77777777" w:rsidR="00824E51" w:rsidRPr="00F82B8F" w:rsidRDefault="00824E51" w:rsidP="00824E51">
            <w:pPr>
              <w:spacing w:after="0" w:line="240" w:lineRule="auto"/>
              <w:jc w:val="center"/>
              <w:rPr>
                <w:rFonts w:ascii="Times New Roman" w:hAnsi="Times New Roman" w:cs="Times New Roman"/>
                <w:color w:val="000000"/>
                <w:sz w:val="20"/>
                <w:szCs w:val="20"/>
              </w:rPr>
            </w:pPr>
          </w:p>
        </w:tc>
      </w:tr>
      <w:tr w:rsidR="00824E51" w:rsidRPr="00F82B8F" w14:paraId="0C1C7CD0" w14:textId="77777777" w:rsidTr="00824E51">
        <w:trPr>
          <w:trHeight w:val="300"/>
        </w:trPr>
        <w:tc>
          <w:tcPr>
            <w:tcW w:w="540" w:type="pct"/>
            <w:shd w:val="clear" w:color="auto" w:fill="auto"/>
            <w:noWrap/>
          </w:tcPr>
          <w:p w14:paraId="5C0E0B81" w14:textId="77777777" w:rsidR="00824E51" w:rsidRPr="00F82B8F" w:rsidRDefault="00824E51" w:rsidP="00824E51">
            <w:pPr>
              <w:spacing w:after="0" w:line="240" w:lineRule="auto"/>
              <w:rPr>
                <w:rFonts w:ascii="Times New Roman" w:eastAsia="Times New Roman" w:hAnsi="Times New Roman" w:cs="Times New Roman"/>
                <w:color w:val="000000"/>
                <w:sz w:val="20"/>
                <w:szCs w:val="20"/>
                <w:lang w:eastAsia="en-GB"/>
              </w:rPr>
            </w:pPr>
          </w:p>
        </w:tc>
        <w:tc>
          <w:tcPr>
            <w:tcW w:w="491" w:type="pct"/>
            <w:shd w:val="clear" w:color="auto" w:fill="auto"/>
            <w:noWrap/>
          </w:tcPr>
          <w:p w14:paraId="21DC2EC1" w14:textId="77777777" w:rsidR="00824E51" w:rsidRPr="00F82B8F" w:rsidRDefault="00824E51" w:rsidP="00824E51">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(1.0332)</w:t>
            </w:r>
          </w:p>
        </w:tc>
        <w:tc>
          <w:tcPr>
            <w:tcW w:w="423" w:type="pct"/>
            <w:shd w:val="clear" w:color="auto" w:fill="auto"/>
            <w:noWrap/>
          </w:tcPr>
          <w:p w14:paraId="16FA6241" w14:textId="77777777" w:rsidR="00824E51" w:rsidRPr="00F82B8F" w:rsidRDefault="00824E51" w:rsidP="00824E51">
            <w:pPr>
              <w:spacing w:after="0" w:line="240" w:lineRule="auto"/>
              <w:jc w:val="center"/>
              <w:rPr>
                <w:rFonts w:ascii="Times New Roman" w:hAnsi="Times New Roman" w:cs="Times New Roman"/>
                <w:color w:val="000000"/>
                <w:sz w:val="20"/>
                <w:szCs w:val="20"/>
              </w:rPr>
            </w:pPr>
          </w:p>
        </w:tc>
        <w:tc>
          <w:tcPr>
            <w:tcW w:w="450" w:type="pct"/>
            <w:shd w:val="clear" w:color="auto" w:fill="auto"/>
            <w:noWrap/>
          </w:tcPr>
          <w:p w14:paraId="1E981DAC" w14:textId="77777777" w:rsidR="00824E51" w:rsidRPr="00F82B8F" w:rsidRDefault="00824E51" w:rsidP="00824E51">
            <w:pPr>
              <w:spacing w:after="0" w:line="240" w:lineRule="auto"/>
              <w:jc w:val="center"/>
              <w:rPr>
                <w:rFonts w:ascii="Times New Roman" w:hAnsi="Times New Roman" w:cs="Times New Roman"/>
                <w:color w:val="000000"/>
                <w:sz w:val="20"/>
                <w:szCs w:val="20"/>
              </w:rPr>
            </w:pPr>
          </w:p>
        </w:tc>
        <w:tc>
          <w:tcPr>
            <w:tcW w:w="450" w:type="pct"/>
            <w:shd w:val="clear" w:color="auto" w:fill="auto"/>
            <w:noWrap/>
          </w:tcPr>
          <w:p w14:paraId="4CB722F4" w14:textId="77777777" w:rsidR="00824E51" w:rsidRPr="00F82B8F" w:rsidRDefault="00824E51" w:rsidP="00824E51">
            <w:pPr>
              <w:spacing w:after="0" w:line="240" w:lineRule="auto"/>
              <w:jc w:val="center"/>
              <w:rPr>
                <w:rFonts w:ascii="Times New Roman" w:hAnsi="Times New Roman" w:cs="Times New Roman"/>
                <w:color w:val="000000"/>
                <w:sz w:val="20"/>
                <w:szCs w:val="20"/>
              </w:rPr>
            </w:pPr>
          </w:p>
        </w:tc>
        <w:tc>
          <w:tcPr>
            <w:tcW w:w="450" w:type="pct"/>
            <w:shd w:val="clear" w:color="auto" w:fill="auto"/>
            <w:noWrap/>
          </w:tcPr>
          <w:p w14:paraId="28C4D1D2" w14:textId="77777777" w:rsidR="00824E51" w:rsidRPr="00F82B8F" w:rsidRDefault="00824E51" w:rsidP="00824E51">
            <w:pPr>
              <w:spacing w:after="0" w:line="240" w:lineRule="auto"/>
              <w:jc w:val="center"/>
              <w:rPr>
                <w:rFonts w:ascii="Times New Roman" w:hAnsi="Times New Roman" w:cs="Times New Roman"/>
                <w:color w:val="000000"/>
                <w:sz w:val="20"/>
                <w:szCs w:val="20"/>
              </w:rPr>
            </w:pPr>
          </w:p>
        </w:tc>
        <w:tc>
          <w:tcPr>
            <w:tcW w:w="423" w:type="pct"/>
            <w:shd w:val="clear" w:color="auto" w:fill="auto"/>
            <w:noWrap/>
          </w:tcPr>
          <w:p w14:paraId="21B21D56" w14:textId="77777777" w:rsidR="00824E51" w:rsidRPr="00F82B8F" w:rsidRDefault="00824E51" w:rsidP="00824E51">
            <w:pPr>
              <w:spacing w:after="0" w:line="240" w:lineRule="auto"/>
              <w:jc w:val="center"/>
              <w:rPr>
                <w:rFonts w:ascii="Times New Roman" w:hAnsi="Times New Roman" w:cs="Times New Roman"/>
                <w:color w:val="000000"/>
                <w:sz w:val="20"/>
                <w:szCs w:val="20"/>
              </w:rPr>
            </w:pPr>
          </w:p>
        </w:tc>
        <w:tc>
          <w:tcPr>
            <w:tcW w:w="450" w:type="pct"/>
            <w:shd w:val="clear" w:color="auto" w:fill="auto"/>
          </w:tcPr>
          <w:p w14:paraId="491C40FC" w14:textId="77777777" w:rsidR="00824E51" w:rsidRPr="00F82B8F" w:rsidRDefault="00824E51" w:rsidP="00824E51">
            <w:pPr>
              <w:spacing w:after="0" w:line="240" w:lineRule="auto"/>
              <w:jc w:val="center"/>
              <w:rPr>
                <w:rFonts w:ascii="Times New Roman" w:hAnsi="Times New Roman" w:cs="Times New Roman"/>
                <w:color w:val="000000"/>
                <w:sz w:val="20"/>
                <w:szCs w:val="20"/>
              </w:rPr>
            </w:pPr>
          </w:p>
        </w:tc>
        <w:tc>
          <w:tcPr>
            <w:tcW w:w="423" w:type="pct"/>
            <w:shd w:val="clear" w:color="auto" w:fill="auto"/>
          </w:tcPr>
          <w:p w14:paraId="5BF5EE18" w14:textId="77777777" w:rsidR="00824E51" w:rsidRPr="00F82B8F" w:rsidRDefault="00824E51" w:rsidP="00824E51">
            <w:pPr>
              <w:spacing w:after="0" w:line="240" w:lineRule="auto"/>
              <w:jc w:val="center"/>
              <w:rPr>
                <w:rFonts w:ascii="Times New Roman" w:hAnsi="Times New Roman" w:cs="Times New Roman"/>
                <w:color w:val="000000"/>
                <w:sz w:val="20"/>
                <w:szCs w:val="20"/>
              </w:rPr>
            </w:pPr>
          </w:p>
        </w:tc>
        <w:tc>
          <w:tcPr>
            <w:tcW w:w="450" w:type="pct"/>
            <w:shd w:val="clear" w:color="auto" w:fill="auto"/>
          </w:tcPr>
          <w:p w14:paraId="04BBF3CD" w14:textId="77777777" w:rsidR="00824E51" w:rsidRPr="00F82B8F" w:rsidRDefault="00824E51" w:rsidP="00824E51">
            <w:pPr>
              <w:spacing w:after="0" w:line="240" w:lineRule="auto"/>
              <w:jc w:val="center"/>
              <w:rPr>
                <w:rFonts w:ascii="Times New Roman" w:hAnsi="Times New Roman" w:cs="Times New Roman"/>
                <w:color w:val="000000"/>
                <w:sz w:val="20"/>
                <w:szCs w:val="20"/>
              </w:rPr>
            </w:pPr>
          </w:p>
        </w:tc>
        <w:tc>
          <w:tcPr>
            <w:tcW w:w="450" w:type="pct"/>
            <w:shd w:val="clear" w:color="auto" w:fill="auto"/>
          </w:tcPr>
          <w:p w14:paraId="3984B439" w14:textId="77777777" w:rsidR="00824E51" w:rsidRPr="00F82B8F" w:rsidRDefault="00824E51" w:rsidP="00824E51">
            <w:pPr>
              <w:spacing w:after="0" w:line="240" w:lineRule="auto"/>
              <w:jc w:val="center"/>
              <w:rPr>
                <w:rFonts w:ascii="Times New Roman" w:hAnsi="Times New Roman" w:cs="Times New Roman"/>
                <w:color w:val="000000"/>
                <w:sz w:val="20"/>
                <w:szCs w:val="20"/>
              </w:rPr>
            </w:pPr>
          </w:p>
        </w:tc>
      </w:tr>
      <w:tr w:rsidR="00824E51" w:rsidRPr="00F82B8F" w14:paraId="57E7B8B5" w14:textId="77777777" w:rsidTr="00824E51">
        <w:trPr>
          <w:trHeight w:val="300"/>
        </w:trPr>
        <w:tc>
          <w:tcPr>
            <w:tcW w:w="540" w:type="pct"/>
            <w:shd w:val="clear" w:color="auto" w:fill="auto"/>
            <w:noWrap/>
            <w:hideMark/>
          </w:tcPr>
          <w:p w14:paraId="3BECE5CB" w14:textId="77777777" w:rsidR="00824E51" w:rsidRPr="00F82B8F" w:rsidRDefault="00824E51" w:rsidP="00824E51">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RES*CPS</w:t>
            </w:r>
          </w:p>
        </w:tc>
        <w:tc>
          <w:tcPr>
            <w:tcW w:w="491" w:type="pct"/>
            <w:shd w:val="clear" w:color="auto" w:fill="auto"/>
            <w:noWrap/>
          </w:tcPr>
          <w:p w14:paraId="0A38795C"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-0.9090***</w:t>
            </w:r>
          </w:p>
        </w:tc>
        <w:tc>
          <w:tcPr>
            <w:tcW w:w="423" w:type="pct"/>
            <w:shd w:val="clear" w:color="auto" w:fill="auto"/>
            <w:noWrap/>
          </w:tcPr>
          <w:p w14:paraId="33948561"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63CDB49A"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65965408"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532299D0"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noWrap/>
          </w:tcPr>
          <w:p w14:paraId="71739168"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799E429B"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tcPr>
          <w:p w14:paraId="476E3004"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6934DF18"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2C5F8D29"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r>
      <w:tr w:rsidR="00824E51" w:rsidRPr="00F82B8F" w14:paraId="138B968C" w14:textId="77777777" w:rsidTr="00824E51">
        <w:trPr>
          <w:trHeight w:val="300"/>
        </w:trPr>
        <w:tc>
          <w:tcPr>
            <w:tcW w:w="540" w:type="pct"/>
            <w:shd w:val="clear" w:color="auto" w:fill="auto"/>
            <w:noWrap/>
            <w:hideMark/>
          </w:tcPr>
          <w:p w14:paraId="6FA5EF43" w14:textId="77777777" w:rsidR="00824E51" w:rsidRPr="00F82B8F" w:rsidRDefault="00824E51" w:rsidP="00824E51">
            <w:pPr>
              <w:spacing w:after="0" w:line="240" w:lineRule="auto"/>
              <w:rPr>
                <w:rFonts w:ascii="Times New Roman" w:eastAsia="Times New Roman" w:hAnsi="Times New Roman" w:cs="Times New Roman"/>
                <w:sz w:val="20"/>
                <w:szCs w:val="20"/>
                <w:lang w:eastAsia="en-GB"/>
              </w:rPr>
            </w:pPr>
          </w:p>
        </w:tc>
        <w:tc>
          <w:tcPr>
            <w:tcW w:w="491" w:type="pct"/>
            <w:shd w:val="clear" w:color="auto" w:fill="auto"/>
            <w:noWrap/>
          </w:tcPr>
          <w:p w14:paraId="4BD8D2AD"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(0.2471)</w:t>
            </w:r>
          </w:p>
        </w:tc>
        <w:tc>
          <w:tcPr>
            <w:tcW w:w="423" w:type="pct"/>
            <w:shd w:val="clear" w:color="auto" w:fill="auto"/>
            <w:noWrap/>
          </w:tcPr>
          <w:p w14:paraId="58172212"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0A82E39C"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5A628DB2"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11E2BE15"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noWrap/>
          </w:tcPr>
          <w:p w14:paraId="42A2EBFE"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7F444A3C"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tcPr>
          <w:p w14:paraId="79E0CD44"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402F9214"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7C03E426"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r>
      <w:tr w:rsidR="00824E51" w:rsidRPr="00F82B8F" w14:paraId="3BC09823" w14:textId="77777777" w:rsidTr="00824E51">
        <w:trPr>
          <w:trHeight w:val="300"/>
        </w:trPr>
        <w:tc>
          <w:tcPr>
            <w:tcW w:w="540" w:type="pct"/>
            <w:shd w:val="clear" w:color="auto" w:fill="auto"/>
            <w:noWrap/>
          </w:tcPr>
          <w:p w14:paraId="6D1B25F7" w14:textId="77777777" w:rsidR="00824E51" w:rsidRPr="00F82B8F" w:rsidRDefault="00824E51" w:rsidP="00824E51">
            <w:pPr>
              <w:spacing w:after="0" w:line="240" w:lineRule="auto"/>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COG</w:t>
            </w:r>
          </w:p>
        </w:tc>
        <w:tc>
          <w:tcPr>
            <w:tcW w:w="491" w:type="pct"/>
            <w:shd w:val="clear" w:color="auto" w:fill="auto"/>
            <w:noWrap/>
          </w:tcPr>
          <w:p w14:paraId="458C5BE8"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23" w:type="pct"/>
            <w:shd w:val="clear" w:color="auto" w:fill="auto"/>
            <w:noWrap/>
          </w:tcPr>
          <w:p w14:paraId="34AEB1C4"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-0.2958**</w:t>
            </w:r>
          </w:p>
        </w:tc>
        <w:tc>
          <w:tcPr>
            <w:tcW w:w="450" w:type="pct"/>
            <w:shd w:val="clear" w:color="auto" w:fill="auto"/>
            <w:noWrap/>
          </w:tcPr>
          <w:p w14:paraId="2CE687EB"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22F90270"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45DF41C7"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noWrap/>
          </w:tcPr>
          <w:p w14:paraId="20EB46E3"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7D0B32E6"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tcPr>
          <w:p w14:paraId="31ACA9DA"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47FCD342"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49415442"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r>
      <w:tr w:rsidR="00824E51" w:rsidRPr="00F82B8F" w14:paraId="4912244E" w14:textId="77777777" w:rsidTr="00824E51">
        <w:trPr>
          <w:trHeight w:val="300"/>
        </w:trPr>
        <w:tc>
          <w:tcPr>
            <w:tcW w:w="540" w:type="pct"/>
            <w:shd w:val="clear" w:color="auto" w:fill="auto"/>
            <w:noWrap/>
          </w:tcPr>
          <w:p w14:paraId="66993EDE" w14:textId="77777777" w:rsidR="00824E51" w:rsidRPr="00F82B8F" w:rsidRDefault="00824E51" w:rsidP="00824E51">
            <w:pPr>
              <w:spacing w:after="0" w:line="240" w:lineRule="auto"/>
              <w:rPr>
                <w:rFonts w:ascii="Times New Roman" w:eastAsia="Times New Roman" w:hAnsi="Times New Roman" w:cs="Times New Roman"/>
                <w:sz w:val="20"/>
                <w:szCs w:val="20"/>
                <w:lang w:eastAsia="en-GB"/>
              </w:rPr>
            </w:pPr>
          </w:p>
        </w:tc>
        <w:tc>
          <w:tcPr>
            <w:tcW w:w="491" w:type="pct"/>
            <w:shd w:val="clear" w:color="auto" w:fill="auto"/>
            <w:noWrap/>
          </w:tcPr>
          <w:p w14:paraId="200DC7C8"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23" w:type="pct"/>
            <w:shd w:val="clear" w:color="auto" w:fill="auto"/>
            <w:noWrap/>
          </w:tcPr>
          <w:p w14:paraId="4BB6042B"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(0.5627)</w:t>
            </w:r>
          </w:p>
        </w:tc>
        <w:tc>
          <w:tcPr>
            <w:tcW w:w="450" w:type="pct"/>
            <w:shd w:val="clear" w:color="auto" w:fill="auto"/>
            <w:noWrap/>
          </w:tcPr>
          <w:p w14:paraId="20CACE86"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1F61A98C"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00B2228D"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noWrap/>
          </w:tcPr>
          <w:p w14:paraId="4CE421A9"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66EC3133"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tcPr>
          <w:p w14:paraId="0E2870E9"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40804607"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140B5AE7"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r>
      <w:tr w:rsidR="00824E51" w:rsidRPr="00F82B8F" w14:paraId="45CF7AA8" w14:textId="77777777" w:rsidTr="00824E51">
        <w:trPr>
          <w:trHeight w:val="300"/>
        </w:trPr>
        <w:tc>
          <w:tcPr>
            <w:tcW w:w="540" w:type="pct"/>
            <w:shd w:val="clear" w:color="auto" w:fill="auto"/>
            <w:noWrap/>
            <w:hideMark/>
          </w:tcPr>
          <w:p w14:paraId="5807B327" w14:textId="77777777" w:rsidR="00824E51" w:rsidRPr="00F82B8F" w:rsidRDefault="00824E51" w:rsidP="00824E51">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RES*COG</w:t>
            </w:r>
          </w:p>
        </w:tc>
        <w:tc>
          <w:tcPr>
            <w:tcW w:w="491" w:type="pct"/>
            <w:shd w:val="clear" w:color="auto" w:fill="auto"/>
            <w:noWrap/>
          </w:tcPr>
          <w:p w14:paraId="3A70D1CF"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23" w:type="pct"/>
            <w:shd w:val="clear" w:color="auto" w:fill="auto"/>
            <w:noWrap/>
          </w:tcPr>
          <w:p w14:paraId="152DC898"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-0.0107*</w:t>
            </w:r>
          </w:p>
        </w:tc>
        <w:tc>
          <w:tcPr>
            <w:tcW w:w="450" w:type="pct"/>
            <w:shd w:val="clear" w:color="auto" w:fill="auto"/>
            <w:noWrap/>
          </w:tcPr>
          <w:p w14:paraId="18753342"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633C1BC1"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14019E79"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noWrap/>
          </w:tcPr>
          <w:p w14:paraId="1D2935E4"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51052C91"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tcPr>
          <w:p w14:paraId="4E8B8E1E"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5AD7EDC3"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28C93C04"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r>
      <w:tr w:rsidR="00824E51" w:rsidRPr="00F82B8F" w14:paraId="2E3CBD33" w14:textId="77777777" w:rsidTr="00824E51">
        <w:trPr>
          <w:trHeight w:val="300"/>
        </w:trPr>
        <w:tc>
          <w:tcPr>
            <w:tcW w:w="540" w:type="pct"/>
            <w:shd w:val="clear" w:color="auto" w:fill="auto"/>
            <w:noWrap/>
            <w:hideMark/>
          </w:tcPr>
          <w:p w14:paraId="43A15234" w14:textId="77777777" w:rsidR="00824E51" w:rsidRPr="00F82B8F" w:rsidRDefault="00824E51" w:rsidP="00824E51">
            <w:pPr>
              <w:spacing w:after="0" w:line="240" w:lineRule="auto"/>
              <w:rPr>
                <w:rFonts w:ascii="Times New Roman" w:eastAsia="Times New Roman" w:hAnsi="Times New Roman" w:cs="Times New Roman"/>
                <w:sz w:val="20"/>
                <w:szCs w:val="20"/>
                <w:lang w:eastAsia="en-GB"/>
              </w:rPr>
            </w:pPr>
          </w:p>
        </w:tc>
        <w:tc>
          <w:tcPr>
            <w:tcW w:w="491" w:type="pct"/>
            <w:shd w:val="clear" w:color="auto" w:fill="auto"/>
            <w:noWrap/>
          </w:tcPr>
          <w:p w14:paraId="1EDB6032"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23" w:type="pct"/>
            <w:shd w:val="clear" w:color="auto" w:fill="auto"/>
            <w:noWrap/>
          </w:tcPr>
          <w:p w14:paraId="610626B1"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(0.1365)</w:t>
            </w:r>
          </w:p>
        </w:tc>
        <w:tc>
          <w:tcPr>
            <w:tcW w:w="450" w:type="pct"/>
            <w:shd w:val="clear" w:color="auto" w:fill="auto"/>
            <w:noWrap/>
          </w:tcPr>
          <w:p w14:paraId="44074DE9"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6744B5EA"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5203BCC8"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noWrap/>
          </w:tcPr>
          <w:p w14:paraId="746E1846"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3EA62A8B"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tcPr>
          <w:p w14:paraId="07BAECBE"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2918EB20"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3C00E3A5"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r>
      <w:tr w:rsidR="00824E51" w:rsidRPr="00F82B8F" w14:paraId="7AE53623" w14:textId="77777777" w:rsidTr="00824E51">
        <w:trPr>
          <w:trHeight w:val="300"/>
        </w:trPr>
        <w:tc>
          <w:tcPr>
            <w:tcW w:w="540" w:type="pct"/>
            <w:shd w:val="clear" w:color="auto" w:fill="auto"/>
            <w:noWrap/>
          </w:tcPr>
          <w:p w14:paraId="6B33111C" w14:textId="77777777" w:rsidR="00824E51" w:rsidRPr="00F82B8F" w:rsidRDefault="00824E51" w:rsidP="00824E51">
            <w:pPr>
              <w:spacing w:after="0" w:line="240" w:lineRule="auto"/>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MPR</w:t>
            </w:r>
          </w:p>
        </w:tc>
        <w:tc>
          <w:tcPr>
            <w:tcW w:w="491" w:type="pct"/>
            <w:shd w:val="clear" w:color="auto" w:fill="auto"/>
            <w:noWrap/>
          </w:tcPr>
          <w:p w14:paraId="2124593B"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23" w:type="pct"/>
            <w:shd w:val="clear" w:color="auto" w:fill="auto"/>
            <w:noWrap/>
          </w:tcPr>
          <w:p w14:paraId="0A80023B"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6BE24415"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0.0293</w:t>
            </w:r>
          </w:p>
        </w:tc>
        <w:tc>
          <w:tcPr>
            <w:tcW w:w="450" w:type="pct"/>
            <w:shd w:val="clear" w:color="auto" w:fill="auto"/>
            <w:noWrap/>
          </w:tcPr>
          <w:p w14:paraId="625AD1BD"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512D2018"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noWrap/>
          </w:tcPr>
          <w:p w14:paraId="4B3509CA"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4CC578C0"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tcPr>
          <w:p w14:paraId="4EB64CF1"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42B2A8AB"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5AFD9045"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r>
      <w:tr w:rsidR="00824E51" w:rsidRPr="00F82B8F" w14:paraId="0EF1DF20" w14:textId="77777777" w:rsidTr="00824E51">
        <w:trPr>
          <w:trHeight w:val="300"/>
        </w:trPr>
        <w:tc>
          <w:tcPr>
            <w:tcW w:w="540" w:type="pct"/>
            <w:shd w:val="clear" w:color="auto" w:fill="auto"/>
            <w:noWrap/>
          </w:tcPr>
          <w:p w14:paraId="465ACC22" w14:textId="77777777" w:rsidR="00824E51" w:rsidRPr="00F82B8F" w:rsidRDefault="00824E51" w:rsidP="00824E51">
            <w:pPr>
              <w:spacing w:after="0" w:line="240" w:lineRule="auto"/>
              <w:rPr>
                <w:rFonts w:ascii="Times New Roman" w:eastAsia="Times New Roman" w:hAnsi="Times New Roman" w:cs="Times New Roman"/>
                <w:sz w:val="20"/>
                <w:szCs w:val="20"/>
                <w:lang w:eastAsia="en-GB"/>
              </w:rPr>
            </w:pPr>
          </w:p>
        </w:tc>
        <w:tc>
          <w:tcPr>
            <w:tcW w:w="491" w:type="pct"/>
            <w:shd w:val="clear" w:color="auto" w:fill="auto"/>
            <w:noWrap/>
          </w:tcPr>
          <w:p w14:paraId="24561217"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23" w:type="pct"/>
            <w:shd w:val="clear" w:color="auto" w:fill="auto"/>
            <w:noWrap/>
          </w:tcPr>
          <w:p w14:paraId="1500B8C0"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57BC60A9"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(0.0255)</w:t>
            </w:r>
          </w:p>
        </w:tc>
        <w:tc>
          <w:tcPr>
            <w:tcW w:w="450" w:type="pct"/>
            <w:shd w:val="clear" w:color="auto" w:fill="auto"/>
            <w:noWrap/>
          </w:tcPr>
          <w:p w14:paraId="70D51519"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39975AE4"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noWrap/>
          </w:tcPr>
          <w:p w14:paraId="7E86AB93"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0F7122F0"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tcPr>
          <w:p w14:paraId="02560079"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385CC6AC"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5A3E8E79"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r>
      <w:tr w:rsidR="00824E51" w:rsidRPr="00F82B8F" w14:paraId="1BBA4EB4" w14:textId="77777777" w:rsidTr="00824E51">
        <w:trPr>
          <w:trHeight w:val="300"/>
        </w:trPr>
        <w:tc>
          <w:tcPr>
            <w:tcW w:w="540" w:type="pct"/>
            <w:shd w:val="clear" w:color="auto" w:fill="auto"/>
            <w:noWrap/>
            <w:hideMark/>
          </w:tcPr>
          <w:p w14:paraId="7009780F" w14:textId="77777777" w:rsidR="00824E51" w:rsidRPr="00F82B8F" w:rsidRDefault="00824E51" w:rsidP="00824E51">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RES*MPR</w:t>
            </w:r>
          </w:p>
        </w:tc>
        <w:tc>
          <w:tcPr>
            <w:tcW w:w="491" w:type="pct"/>
            <w:shd w:val="clear" w:color="auto" w:fill="auto"/>
            <w:noWrap/>
          </w:tcPr>
          <w:p w14:paraId="364FC273"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23" w:type="pct"/>
            <w:shd w:val="clear" w:color="auto" w:fill="auto"/>
            <w:noWrap/>
          </w:tcPr>
          <w:p w14:paraId="2CE377F1"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2D7D1AF0" w14:textId="483D7EBA"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0.0116*</w:t>
            </w:r>
          </w:p>
        </w:tc>
        <w:tc>
          <w:tcPr>
            <w:tcW w:w="450" w:type="pct"/>
            <w:shd w:val="clear" w:color="auto" w:fill="auto"/>
            <w:noWrap/>
          </w:tcPr>
          <w:p w14:paraId="337F407B"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33D9799D"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noWrap/>
          </w:tcPr>
          <w:p w14:paraId="391B4817"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66A95BD7"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tcPr>
          <w:p w14:paraId="0A353DDF"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379343AB"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2797BEAE"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r>
      <w:tr w:rsidR="00824E51" w:rsidRPr="00F82B8F" w14:paraId="3D77025B" w14:textId="77777777" w:rsidTr="00824E51">
        <w:trPr>
          <w:trHeight w:val="300"/>
        </w:trPr>
        <w:tc>
          <w:tcPr>
            <w:tcW w:w="540" w:type="pct"/>
            <w:shd w:val="clear" w:color="auto" w:fill="auto"/>
            <w:noWrap/>
            <w:hideMark/>
          </w:tcPr>
          <w:p w14:paraId="556A0EEE" w14:textId="77777777" w:rsidR="00824E51" w:rsidRPr="00F82B8F" w:rsidRDefault="00824E51" w:rsidP="00824E51">
            <w:pPr>
              <w:spacing w:after="0" w:line="240" w:lineRule="auto"/>
              <w:rPr>
                <w:rFonts w:ascii="Times New Roman" w:eastAsia="Times New Roman" w:hAnsi="Times New Roman" w:cs="Times New Roman"/>
                <w:sz w:val="20"/>
                <w:szCs w:val="20"/>
                <w:lang w:eastAsia="en-GB"/>
              </w:rPr>
            </w:pPr>
          </w:p>
        </w:tc>
        <w:tc>
          <w:tcPr>
            <w:tcW w:w="491" w:type="pct"/>
            <w:shd w:val="clear" w:color="auto" w:fill="auto"/>
            <w:noWrap/>
          </w:tcPr>
          <w:p w14:paraId="60CB9B7F"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noWrap/>
          </w:tcPr>
          <w:p w14:paraId="7E194B92"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2B752A95"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(0.0066)</w:t>
            </w:r>
          </w:p>
        </w:tc>
        <w:tc>
          <w:tcPr>
            <w:tcW w:w="450" w:type="pct"/>
            <w:shd w:val="clear" w:color="auto" w:fill="auto"/>
            <w:noWrap/>
          </w:tcPr>
          <w:p w14:paraId="48EF6A6C"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23D29856"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noWrap/>
          </w:tcPr>
          <w:p w14:paraId="612AF2AF"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47ACFC70"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tcPr>
          <w:p w14:paraId="525D3EDC"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5E416685"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0E06EC0A"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r>
      <w:tr w:rsidR="00824E51" w:rsidRPr="00F82B8F" w14:paraId="31A00900" w14:textId="77777777" w:rsidTr="00824E51">
        <w:trPr>
          <w:trHeight w:val="300"/>
        </w:trPr>
        <w:tc>
          <w:tcPr>
            <w:tcW w:w="540" w:type="pct"/>
            <w:shd w:val="clear" w:color="auto" w:fill="auto"/>
            <w:noWrap/>
          </w:tcPr>
          <w:p w14:paraId="19A22598" w14:textId="77777777" w:rsidR="00824E51" w:rsidRPr="00F82B8F" w:rsidRDefault="00824E51" w:rsidP="00824E51">
            <w:pPr>
              <w:spacing w:after="0" w:line="240" w:lineRule="auto"/>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LGD</w:t>
            </w:r>
          </w:p>
        </w:tc>
        <w:tc>
          <w:tcPr>
            <w:tcW w:w="491" w:type="pct"/>
            <w:shd w:val="clear" w:color="auto" w:fill="auto"/>
            <w:noWrap/>
          </w:tcPr>
          <w:p w14:paraId="7C88E519"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noWrap/>
          </w:tcPr>
          <w:p w14:paraId="2AC9E8B8"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1EF19F68"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367D13FA"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0.0036</w:t>
            </w:r>
          </w:p>
        </w:tc>
        <w:tc>
          <w:tcPr>
            <w:tcW w:w="450" w:type="pct"/>
            <w:shd w:val="clear" w:color="auto" w:fill="auto"/>
            <w:noWrap/>
          </w:tcPr>
          <w:p w14:paraId="77742453"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noWrap/>
          </w:tcPr>
          <w:p w14:paraId="3DA2816F"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1E4C4DC7"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tcPr>
          <w:p w14:paraId="70508596"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5C21B178"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13A22AAE"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r>
      <w:tr w:rsidR="00824E51" w:rsidRPr="00F82B8F" w14:paraId="7BFFA6DF" w14:textId="77777777" w:rsidTr="00824E51">
        <w:trPr>
          <w:trHeight w:val="300"/>
        </w:trPr>
        <w:tc>
          <w:tcPr>
            <w:tcW w:w="540" w:type="pct"/>
            <w:shd w:val="clear" w:color="auto" w:fill="auto"/>
            <w:noWrap/>
          </w:tcPr>
          <w:p w14:paraId="63861612" w14:textId="77777777" w:rsidR="00824E51" w:rsidRPr="00F82B8F" w:rsidRDefault="00824E51" w:rsidP="00824E51">
            <w:pPr>
              <w:spacing w:after="0" w:line="240" w:lineRule="auto"/>
              <w:rPr>
                <w:rFonts w:ascii="Times New Roman" w:eastAsia="Times New Roman" w:hAnsi="Times New Roman" w:cs="Times New Roman"/>
                <w:sz w:val="20"/>
                <w:szCs w:val="20"/>
                <w:lang w:eastAsia="en-GB"/>
              </w:rPr>
            </w:pPr>
          </w:p>
        </w:tc>
        <w:tc>
          <w:tcPr>
            <w:tcW w:w="491" w:type="pct"/>
            <w:shd w:val="clear" w:color="auto" w:fill="auto"/>
            <w:noWrap/>
          </w:tcPr>
          <w:p w14:paraId="2A099EE9"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noWrap/>
          </w:tcPr>
          <w:p w14:paraId="4E221979"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0D382614"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3E198F0E"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(0.0098)</w:t>
            </w:r>
          </w:p>
        </w:tc>
        <w:tc>
          <w:tcPr>
            <w:tcW w:w="450" w:type="pct"/>
            <w:shd w:val="clear" w:color="auto" w:fill="auto"/>
            <w:noWrap/>
          </w:tcPr>
          <w:p w14:paraId="7591D1FE"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noWrap/>
          </w:tcPr>
          <w:p w14:paraId="7631E92B"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73CB0609"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tcPr>
          <w:p w14:paraId="4EB38B5E"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58F677FA"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0265A211"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r>
      <w:tr w:rsidR="00824E51" w:rsidRPr="00F82B8F" w14:paraId="1F15B4E8" w14:textId="77777777" w:rsidTr="00824E51">
        <w:trPr>
          <w:trHeight w:val="300"/>
        </w:trPr>
        <w:tc>
          <w:tcPr>
            <w:tcW w:w="540" w:type="pct"/>
            <w:shd w:val="clear" w:color="auto" w:fill="auto"/>
            <w:noWrap/>
            <w:hideMark/>
          </w:tcPr>
          <w:p w14:paraId="19B1C189" w14:textId="77777777" w:rsidR="00824E51" w:rsidRPr="00F82B8F" w:rsidRDefault="00824E51" w:rsidP="00824E51">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RES*LGD</w:t>
            </w:r>
          </w:p>
        </w:tc>
        <w:tc>
          <w:tcPr>
            <w:tcW w:w="491" w:type="pct"/>
            <w:shd w:val="clear" w:color="auto" w:fill="auto"/>
            <w:noWrap/>
          </w:tcPr>
          <w:p w14:paraId="535A5672"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23" w:type="pct"/>
            <w:shd w:val="clear" w:color="auto" w:fill="auto"/>
            <w:noWrap/>
          </w:tcPr>
          <w:p w14:paraId="4BB33DA9"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36516BF7"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6CA7A7F6"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-0.0005</w:t>
            </w:r>
          </w:p>
        </w:tc>
        <w:tc>
          <w:tcPr>
            <w:tcW w:w="450" w:type="pct"/>
            <w:shd w:val="clear" w:color="auto" w:fill="auto"/>
            <w:noWrap/>
          </w:tcPr>
          <w:p w14:paraId="76E38246"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noWrap/>
          </w:tcPr>
          <w:p w14:paraId="1109A5A7"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3A24B2A3"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tcPr>
          <w:p w14:paraId="2CE5EF2F"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0C159AFF"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33E7CF9A"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r>
      <w:tr w:rsidR="00824E51" w:rsidRPr="00F82B8F" w14:paraId="52CE536C" w14:textId="77777777" w:rsidTr="00824E51">
        <w:trPr>
          <w:trHeight w:val="300"/>
        </w:trPr>
        <w:tc>
          <w:tcPr>
            <w:tcW w:w="540" w:type="pct"/>
            <w:shd w:val="clear" w:color="auto" w:fill="auto"/>
            <w:noWrap/>
            <w:hideMark/>
          </w:tcPr>
          <w:p w14:paraId="1EC9DE4F" w14:textId="77777777" w:rsidR="00824E51" w:rsidRPr="00F82B8F" w:rsidRDefault="00824E51" w:rsidP="00824E51">
            <w:pPr>
              <w:spacing w:after="0" w:line="240" w:lineRule="auto"/>
              <w:rPr>
                <w:rFonts w:ascii="Times New Roman" w:eastAsia="Times New Roman" w:hAnsi="Times New Roman" w:cs="Times New Roman"/>
                <w:sz w:val="20"/>
                <w:szCs w:val="20"/>
                <w:lang w:eastAsia="en-GB"/>
              </w:rPr>
            </w:pPr>
          </w:p>
        </w:tc>
        <w:tc>
          <w:tcPr>
            <w:tcW w:w="491" w:type="pct"/>
            <w:shd w:val="clear" w:color="auto" w:fill="auto"/>
            <w:noWrap/>
          </w:tcPr>
          <w:p w14:paraId="41622EC0"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noWrap/>
          </w:tcPr>
          <w:p w14:paraId="6EA86279"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4CD6BD48"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652860C6"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(0.0014)</w:t>
            </w:r>
          </w:p>
        </w:tc>
        <w:tc>
          <w:tcPr>
            <w:tcW w:w="450" w:type="pct"/>
            <w:shd w:val="clear" w:color="auto" w:fill="auto"/>
            <w:noWrap/>
          </w:tcPr>
          <w:p w14:paraId="5915822A"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noWrap/>
          </w:tcPr>
          <w:p w14:paraId="292F773A"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1CFDAA1D"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tcPr>
          <w:p w14:paraId="4A73DD4C"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59FD8061"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6D32E5EC"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r>
      <w:tr w:rsidR="00824E51" w:rsidRPr="00F82B8F" w14:paraId="244CC046" w14:textId="77777777" w:rsidTr="00824E51">
        <w:trPr>
          <w:trHeight w:val="300"/>
        </w:trPr>
        <w:tc>
          <w:tcPr>
            <w:tcW w:w="540" w:type="pct"/>
            <w:shd w:val="clear" w:color="auto" w:fill="auto"/>
            <w:noWrap/>
          </w:tcPr>
          <w:p w14:paraId="506332B2" w14:textId="77777777" w:rsidR="00824E51" w:rsidRPr="00F82B8F" w:rsidRDefault="00824E51" w:rsidP="00824E51">
            <w:pPr>
              <w:spacing w:after="0" w:line="240" w:lineRule="auto"/>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PRO</w:t>
            </w:r>
          </w:p>
        </w:tc>
        <w:tc>
          <w:tcPr>
            <w:tcW w:w="491" w:type="pct"/>
            <w:shd w:val="clear" w:color="auto" w:fill="auto"/>
            <w:noWrap/>
          </w:tcPr>
          <w:p w14:paraId="089CB60D"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noWrap/>
          </w:tcPr>
          <w:p w14:paraId="7F00CCF6"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5CC3FB11"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6583A533"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06657032"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0.0598</w:t>
            </w:r>
          </w:p>
        </w:tc>
        <w:tc>
          <w:tcPr>
            <w:tcW w:w="423" w:type="pct"/>
            <w:shd w:val="clear" w:color="auto" w:fill="auto"/>
            <w:noWrap/>
          </w:tcPr>
          <w:p w14:paraId="7C8DD965"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68D9F079"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tcPr>
          <w:p w14:paraId="0BEB4AAC"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5C9C4D7F"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7355F6FF"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r>
      <w:tr w:rsidR="00824E51" w:rsidRPr="00F82B8F" w14:paraId="15FBBCEA" w14:textId="77777777" w:rsidTr="00824E51">
        <w:trPr>
          <w:trHeight w:val="300"/>
        </w:trPr>
        <w:tc>
          <w:tcPr>
            <w:tcW w:w="540" w:type="pct"/>
            <w:shd w:val="clear" w:color="auto" w:fill="auto"/>
            <w:noWrap/>
          </w:tcPr>
          <w:p w14:paraId="2F78FE52" w14:textId="77777777" w:rsidR="00824E51" w:rsidRPr="00F82B8F" w:rsidRDefault="00824E51" w:rsidP="00824E51">
            <w:pPr>
              <w:spacing w:after="0" w:line="240" w:lineRule="auto"/>
              <w:rPr>
                <w:rFonts w:ascii="Times New Roman" w:eastAsia="Times New Roman" w:hAnsi="Times New Roman" w:cs="Times New Roman"/>
                <w:sz w:val="20"/>
                <w:szCs w:val="20"/>
                <w:lang w:eastAsia="en-GB"/>
              </w:rPr>
            </w:pPr>
          </w:p>
        </w:tc>
        <w:tc>
          <w:tcPr>
            <w:tcW w:w="491" w:type="pct"/>
            <w:shd w:val="clear" w:color="auto" w:fill="auto"/>
            <w:noWrap/>
          </w:tcPr>
          <w:p w14:paraId="4FC14ECE"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noWrap/>
          </w:tcPr>
          <w:p w14:paraId="45F90575"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7D53446C"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7E74EB27"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666E2430"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(0.2352)</w:t>
            </w:r>
          </w:p>
        </w:tc>
        <w:tc>
          <w:tcPr>
            <w:tcW w:w="423" w:type="pct"/>
            <w:shd w:val="clear" w:color="auto" w:fill="auto"/>
            <w:noWrap/>
          </w:tcPr>
          <w:p w14:paraId="2A6F2A5E"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05B92554"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tcPr>
          <w:p w14:paraId="2AD9BE71"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7E6BADFE"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03FEEB47"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r>
      <w:tr w:rsidR="00824E51" w:rsidRPr="00F82B8F" w14:paraId="2B9D3FB7" w14:textId="77777777" w:rsidTr="00824E51">
        <w:trPr>
          <w:trHeight w:val="300"/>
        </w:trPr>
        <w:tc>
          <w:tcPr>
            <w:tcW w:w="540" w:type="pct"/>
            <w:shd w:val="clear" w:color="auto" w:fill="auto"/>
            <w:noWrap/>
            <w:hideMark/>
          </w:tcPr>
          <w:p w14:paraId="758B09BD" w14:textId="77777777" w:rsidR="00824E51" w:rsidRPr="00F82B8F" w:rsidRDefault="00824E51" w:rsidP="00824E51">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RES*PRO</w:t>
            </w:r>
          </w:p>
        </w:tc>
        <w:tc>
          <w:tcPr>
            <w:tcW w:w="491" w:type="pct"/>
            <w:shd w:val="clear" w:color="auto" w:fill="auto"/>
            <w:noWrap/>
          </w:tcPr>
          <w:p w14:paraId="7201825B"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23" w:type="pct"/>
            <w:shd w:val="clear" w:color="auto" w:fill="auto"/>
            <w:noWrap/>
          </w:tcPr>
          <w:p w14:paraId="3EF2D013"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04253BDA"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2375D098"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79D02C1C"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-0.0438</w:t>
            </w:r>
          </w:p>
        </w:tc>
        <w:tc>
          <w:tcPr>
            <w:tcW w:w="423" w:type="pct"/>
            <w:shd w:val="clear" w:color="auto" w:fill="auto"/>
            <w:noWrap/>
          </w:tcPr>
          <w:p w14:paraId="423926A8"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258CD7DF"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tcPr>
          <w:p w14:paraId="27423B83"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32F1DE97"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03F52412"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r>
      <w:tr w:rsidR="00824E51" w:rsidRPr="00F82B8F" w14:paraId="5D645016" w14:textId="77777777" w:rsidTr="00824E51">
        <w:trPr>
          <w:trHeight w:val="300"/>
        </w:trPr>
        <w:tc>
          <w:tcPr>
            <w:tcW w:w="540" w:type="pct"/>
            <w:shd w:val="clear" w:color="auto" w:fill="auto"/>
            <w:noWrap/>
            <w:hideMark/>
          </w:tcPr>
          <w:p w14:paraId="4AA2085A" w14:textId="77777777" w:rsidR="00824E51" w:rsidRPr="00F82B8F" w:rsidRDefault="00824E51" w:rsidP="00824E51">
            <w:pPr>
              <w:spacing w:after="0" w:line="240" w:lineRule="auto"/>
              <w:rPr>
                <w:rFonts w:ascii="Times New Roman" w:eastAsia="Times New Roman" w:hAnsi="Times New Roman" w:cs="Times New Roman"/>
                <w:sz w:val="20"/>
                <w:szCs w:val="20"/>
                <w:lang w:eastAsia="en-GB"/>
              </w:rPr>
            </w:pPr>
          </w:p>
        </w:tc>
        <w:tc>
          <w:tcPr>
            <w:tcW w:w="491" w:type="pct"/>
            <w:shd w:val="clear" w:color="auto" w:fill="auto"/>
            <w:noWrap/>
          </w:tcPr>
          <w:p w14:paraId="4527395D"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noWrap/>
          </w:tcPr>
          <w:p w14:paraId="0CD0885E"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370C40FC"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6C25DE48"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03CD6F17"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(0.0575)</w:t>
            </w:r>
          </w:p>
        </w:tc>
        <w:tc>
          <w:tcPr>
            <w:tcW w:w="423" w:type="pct"/>
            <w:shd w:val="clear" w:color="auto" w:fill="auto"/>
            <w:noWrap/>
          </w:tcPr>
          <w:p w14:paraId="7B2B6D70"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4C1268B5"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tcPr>
          <w:p w14:paraId="7947CDE1"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52B220AE"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169C9B70"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r>
      <w:tr w:rsidR="00824E51" w:rsidRPr="00F82B8F" w14:paraId="4219854E" w14:textId="77777777" w:rsidTr="00824E51">
        <w:trPr>
          <w:trHeight w:val="300"/>
        </w:trPr>
        <w:tc>
          <w:tcPr>
            <w:tcW w:w="540" w:type="pct"/>
            <w:shd w:val="clear" w:color="auto" w:fill="auto"/>
            <w:noWrap/>
          </w:tcPr>
          <w:p w14:paraId="6C614BC8" w14:textId="77777777" w:rsidR="00824E51" w:rsidRPr="00F82B8F" w:rsidRDefault="00824E51" w:rsidP="00824E51">
            <w:pPr>
              <w:spacing w:after="0" w:line="240" w:lineRule="auto"/>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OIN</w:t>
            </w:r>
          </w:p>
        </w:tc>
        <w:tc>
          <w:tcPr>
            <w:tcW w:w="491" w:type="pct"/>
            <w:shd w:val="clear" w:color="auto" w:fill="auto"/>
            <w:noWrap/>
          </w:tcPr>
          <w:p w14:paraId="6BA53828"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noWrap/>
          </w:tcPr>
          <w:p w14:paraId="3C684427"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070B5C1F"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59D9BD78"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114684E1"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noWrap/>
          </w:tcPr>
          <w:p w14:paraId="59646EDF"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-1.8074**</w:t>
            </w:r>
          </w:p>
        </w:tc>
        <w:tc>
          <w:tcPr>
            <w:tcW w:w="450" w:type="pct"/>
            <w:shd w:val="clear" w:color="auto" w:fill="auto"/>
          </w:tcPr>
          <w:p w14:paraId="7CFE579F"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tcPr>
          <w:p w14:paraId="44745D35"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3F288A34"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114ABF77"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r>
      <w:tr w:rsidR="00824E51" w:rsidRPr="00F82B8F" w14:paraId="2E199B51" w14:textId="77777777" w:rsidTr="00824E51">
        <w:trPr>
          <w:trHeight w:val="300"/>
        </w:trPr>
        <w:tc>
          <w:tcPr>
            <w:tcW w:w="540" w:type="pct"/>
            <w:shd w:val="clear" w:color="auto" w:fill="auto"/>
            <w:noWrap/>
          </w:tcPr>
          <w:p w14:paraId="681BD195" w14:textId="77777777" w:rsidR="00824E51" w:rsidRPr="00F82B8F" w:rsidRDefault="00824E51" w:rsidP="00824E51">
            <w:pPr>
              <w:spacing w:after="0" w:line="240" w:lineRule="auto"/>
              <w:rPr>
                <w:rFonts w:ascii="Times New Roman" w:eastAsia="Times New Roman" w:hAnsi="Times New Roman" w:cs="Times New Roman"/>
                <w:sz w:val="20"/>
                <w:szCs w:val="20"/>
                <w:lang w:eastAsia="en-GB"/>
              </w:rPr>
            </w:pPr>
          </w:p>
        </w:tc>
        <w:tc>
          <w:tcPr>
            <w:tcW w:w="491" w:type="pct"/>
            <w:shd w:val="clear" w:color="auto" w:fill="auto"/>
            <w:noWrap/>
          </w:tcPr>
          <w:p w14:paraId="0E442F94"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noWrap/>
          </w:tcPr>
          <w:p w14:paraId="68E1EA33"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3DE29187"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37F5AA35"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668F75A3"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noWrap/>
          </w:tcPr>
          <w:p w14:paraId="28A0EBDF"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(0.9017)</w:t>
            </w:r>
          </w:p>
        </w:tc>
        <w:tc>
          <w:tcPr>
            <w:tcW w:w="450" w:type="pct"/>
            <w:shd w:val="clear" w:color="auto" w:fill="auto"/>
          </w:tcPr>
          <w:p w14:paraId="408594F1"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tcPr>
          <w:p w14:paraId="5FAFAD9A"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71A3D4CB"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35276682"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r>
      <w:tr w:rsidR="00824E51" w:rsidRPr="00F82B8F" w14:paraId="4411C20F" w14:textId="77777777" w:rsidTr="00824E51">
        <w:trPr>
          <w:trHeight w:val="300"/>
        </w:trPr>
        <w:tc>
          <w:tcPr>
            <w:tcW w:w="540" w:type="pct"/>
            <w:shd w:val="clear" w:color="auto" w:fill="auto"/>
            <w:noWrap/>
            <w:hideMark/>
          </w:tcPr>
          <w:p w14:paraId="276833B1" w14:textId="77777777" w:rsidR="00824E51" w:rsidRPr="00F82B8F" w:rsidRDefault="00824E51" w:rsidP="00824E51">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RES*OIN</w:t>
            </w:r>
          </w:p>
        </w:tc>
        <w:tc>
          <w:tcPr>
            <w:tcW w:w="491" w:type="pct"/>
            <w:shd w:val="clear" w:color="auto" w:fill="auto"/>
            <w:noWrap/>
          </w:tcPr>
          <w:p w14:paraId="6393C8CB"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23" w:type="pct"/>
            <w:shd w:val="clear" w:color="auto" w:fill="auto"/>
            <w:noWrap/>
          </w:tcPr>
          <w:p w14:paraId="378AF621"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6911166B"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4F95FD2F"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481EC6A5"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noWrap/>
          </w:tcPr>
          <w:p w14:paraId="5FB78839" w14:textId="7CC7979A"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0.4177**</w:t>
            </w:r>
          </w:p>
        </w:tc>
        <w:tc>
          <w:tcPr>
            <w:tcW w:w="450" w:type="pct"/>
            <w:shd w:val="clear" w:color="auto" w:fill="auto"/>
          </w:tcPr>
          <w:p w14:paraId="1EF1DC35"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tcPr>
          <w:p w14:paraId="3F99AD81"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05A1F5F3"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316514B7"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r>
      <w:tr w:rsidR="00824E51" w:rsidRPr="00F82B8F" w14:paraId="26060665" w14:textId="77777777" w:rsidTr="00824E51">
        <w:trPr>
          <w:trHeight w:val="300"/>
        </w:trPr>
        <w:tc>
          <w:tcPr>
            <w:tcW w:w="540" w:type="pct"/>
            <w:shd w:val="clear" w:color="auto" w:fill="auto"/>
            <w:noWrap/>
            <w:hideMark/>
          </w:tcPr>
          <w:p w14:paraId="784EA232" w14:textId="77777777" w:rsidR="00824E51" w:rsidRPr="00F82B8F" w:rsidRDefault="00824E51" w:rsidP="00824E51">
            <w:pPr>
              <w:spacing w:after="0" w:line="240" w:lineRule="auto"/>
              <w:rPr>
                <w:rFonts w:ascii="Times New Roman" w:eastAsia="Times New Roman" w:hAnsi="Times New Roman" w:cs="Times New Roman"/>
                <w:sz w:val="20"/>
                <w:szCs w:val="20"/>
                <w:lang w:eastAsia="en-GB"/>
              </w:rPr>
            </w:pPr>
          </w:p>
        </w:tc>
        <w:tc>
          <w:tcPr>
            <w:tcW w:w="491" w:type="pct"/>
            <w:shd w:val="clear" w:color="auto" w:fill="auto"/>
            <w:noWrap/>
          </w:tcPr>
          <w:p w14:paraId="7BB155D1"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noWrap/>
          </w:tcPr>
          <w:p w14:paraId="5D36244A"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011B2459"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094E084F"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11A164FE"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noWrap/>
          </w:tcPr>
          <w:p w14:paraId="77AC1C47"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(0.2103)</w:t>
            </w:r>
          </w:p>
        </w:tc>
        <w:tc>
          <w:tcPr>
            <w:tcW w:w="450" w:type="pct"/>
            <w:shd w:val="clear" w:color="auto" w:fill="auto"/>
          </w:tcPr>
          <w:p w14:paraId="20C5DA9A"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tcPr>
          <w:p w14:paraId="615FF91F"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39E4F66D"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1FCE771C"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r>
      <w:tr w:rsidR="00824E51" w:rsidRPr="00F82B8F" w14:paraId="589D31BA" w14:textId="77777777" w:rsidTr="00824E51">
        <w:trPr>
          <w:trHeight w:val="300"/>
        </w:trPr>
        <w:tc>
          <w:tcPr>
            <w:tcW w:w="540" w:type="pct"/>
            <w:shd w:val="clear" w:color="auto" w:fill="auto"/>
            <w:noWrap/>
          </w:tcPr>
          <w:p w14:paraId="5030225D" w14:textId="77777777" w:rsidR="00824E51" w:rsidRPr="00F82B8F" w:rsidRDefault="00824E51" w:rsidP="00824E51">
            <w:pPr>
              <w:spacing w:after="0" w:line="240" w:lineRule="auto"/>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INQ</w:t>
            </w:r>
          </w:p>
        </w:tc>
        <w:tc>
          <w:tcPr>
            <w:tcW w:w="491" w:type="pct"/>
            <w:shd w:val="clear" w:color="auto" w:fill="auto"/>
            <w:noWrap/>
          </w:tcPr>
          <w:p w14:paraId="61A3232C"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noWrap/>
          </w:tcPr>
          <w:p w14:paraId="4A894393"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0EF22A28"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7B480C81"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1614B81D"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noWrap/>
          </w:tcPr>
          <w:p w14:paraId="33E7DEC4"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6159E1D0"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-3.2103***</w:t>
            </w:r>
          </w:p>
        </w:tc>
        <w:tc>
          <w:tcPr>
            <w:tcW w:w="423" w:type="pct"/>
            <w:shd w:val="clear" w:color="auto" w:fill="auto"/>
          </w:tcPr>
          <w:p w14:paraId="5038D5E2"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2F721977"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4747C651"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r>
      <w:tr w:rsidR="00824E51" w:rsidRPr="00F82B8F" w14:paraId="5A55A4E1" w14:textId="77777777" w:rsidTr="00824E51">
        <w:trPr>
          <w:trHeight w:val="300"/>
        </w:trPr>
        <w:tc>
          <w:tcPr>
            <w:tcW w:w="540" w:type="pct"/>
            <w:shd w:val="clear" w:color="auto" w:fill="auto"/>
            <w:noWrap/>
          </w:tcPr>
          <w:p w14:paraId="21898609" w14:textId="77777777" w:rsidR="00824E51" w:rsidRPr="00F82B8F" w:rsidRDefault="00824E51" w:rsidP="00824E51">
            <w:pPr>
              <w:spacing w:after="0" w:line="240" w:lineRule="auto"/>
              <w:rPr>
                <w:rFonts w:ascii="Times New Roman" w:eastAsia="Times New Roman" w:hAnsi="Times New Roman" w:cs="Times New Roman"/>
                <w:sz w:val="20"/>
                <w:szCs w:val="20"/>
                <w:lang w:eastAsia="en-GB"/>
              </w:rPr>
            </w:pPr>
          </w:p>
        </w:tc>
        <w:tc>
          <w:tcPr>
            <w:tcW w:w="491" w:type="pct"/>
            <w:shd w:val="clear" w:color="auto" w:fill="auto"/>
            <w:noWrap/>
          </w:tcPr>
          <w:p w14:paraId="33E7DC77"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noWrap/>
          </w:tcPr>
          <w:p w14:paraId="610188DC"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12EC52A4"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0F2B1494"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02C131AF"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noWrap/>
          </w:tcPr>
          <w:p w14:paraId="489BB7BA"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18E43A69"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(0.7469)</w:t>
            </w:r>
          </w:p>
        </w:tc>
        <w:tc>
          <w:tcPr>
            <w:tcW w:w="423" w:type="pct"/>
            <w:shd w:val="clear" w:color="auto" w:fill="auto"/>
          </w:tcPr>
          <w:p w14:paraId="06A17E7A"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7C7DC7DD"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0069564F"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r>
      <w:tr w:rsidR="00824E51" w:rsidRPr="00F82B8F" w14:paraId="12035026" w14:textId="77777777" w:rsidTr="00824E51">
        <w:trPr>
          <w:trHeight w:val="300"/>
        </w:trPr>
        <w:tc>
          <w:tcPr>
            <w:tcW w:w="540" w:type="pct"/>
            <w:shd w:val="clear" w:color="auto" w:fill="auto"/>
            <w:noWrap/>
            <w:hideMark/>
          </w:tcPr>
          <w:p w14:paraId="22A3376A" w14:textId="77777777" w:rsidR="00824E51" w:rsidRPr="00F82B8F" w:rsidRDefault="00824E51" w:rsidP="00824E51">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RES*INQ</w:t>
            </w:r>
          </w:p>
        </w:tc>
        <w:tc>
          <w:tcPr>
            <w:tcW w:w="491" w:type="pct"/>
            <w:shd w:val="clear" w:color="auto" w:fill="auto"/>
            <w:noWrap/>
          </w:tcPr>
          <w:p w14:paraId="6A9191A8"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23" w:type="pct"/>
            <w:shd w:val="clear" w:color="auto" w:fill="auto"/>
            <w:noWrap/>
          </w:tcPr>
          <w:p w14:paraId="6D8DC40D"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72A727BF"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11ACC280"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2BAE6292"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23" w:type="pct"/>
            <w:shd w:val="clear" w:color="auto" w:fill="auto"/>
            <w:noWrap/>
          </w:tcPr>
          <w:p w14:paraId="5C084C1C"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455CBC8B"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-0.7688***</w:t>
            </w:r>
          </w:p>
        </w:tc>
        <w:tc>
          <w:tcPr>
            <w:tcW w:w="423" w:type="pct"/>
            <w:shd w:val="clear" w:color="auto" w:fill="auto"/>
          </w:tcPr>
          <w:p w14:paraId="11B9E954"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24390446"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3A65B338"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r>
      <w:tr w:rsidR="00824E51" w:rsidRPr="00F82B8F" w14:paraId="63489D00" w14:textId="77777777" w:rsidTr="00824E51">
        <w:trPr>
          <w:trHeight w:val="300"/>
        </w:trPr>
        <w:tc>
          <w:tcPr>
            <w:tcW w:w="540" w:type="pct"/>
            <w:shd w:val="clear" w:color="auto" w:fill="auto"/>
            <w:noWrap/>
            <w:hideMark/>
          </w:tcPr>
          <w:p w14:paraId="24268ADD" w14:textId="77777777" w:rsidR="00824E51" w:rsidRPr="00F82B8F" w:rsidRDefault="00824E51" w:rsidP="00824E51">
            <w:pPr>
              <w:spacing w:after="0" w:line="240" w:lineRule="auto"/>
              <w:rPr>
                <w:rFonts w:ascii="Times New Roman" w:eastAsia="Times New Roman" w:hAnsi="Times New Roman" w:cs="Times New Roman"/>
                <w:sz w:val="20"/>
                <w:szCs w:val="20"/>
                <w:lang w:eastAsia="en-GB"/>
              </w:rPr>
            </w:pPr>
          </w:p>
        </w:tc>
        <w:tc>
          <w:tcPr>
            <w:tcW w:w="491" w:type="pct"/>
            <w:shd w:val="clear" w:color="auto" w:fill="auto"/>
            <w:noWrap/>
          </w:tcPr>
          <w:p w14:paraId="75A9F794"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noWrap/>
          </w:tcPr>
          <w:p w14:paraId="148BEAEB"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56C0007A"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1EDF309F"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7359179B"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23" w:type="pct"/>
            <w:shd w:val="clear" w:color="auto" w:fill="auto"/>
            <w:noWrap/>
          </w:tcPr>
          <w:p w14:paraId="3BEB78F7"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538C65AF"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(0.1796)</w:t>
            </w:r>
          </w:p>
        </w:tc>
        <w:tc>
          <w:tcPr>
            <w:tcW w:w="423" w:type="pct"/>
            <w:shd w:val="clear" w:color="auto" w:fill="auto"/>
          </w:tcPr>
          <w:p w14:paraId="4C25CF21"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6187F5AF"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37E92C77"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r>
      <w:tr w:rsidR="00824E51" w:rsidRPr="00F82B8F" w14:paraId="29731007" w14:textId="77777777" w:rsidTr="00824E51">
        <w:trPr>
          <w:trHeight w:val="300"/>
        </w:trPr>
        <w:tc>
          <w:tcPr>
            <w:tcW w:w="540" w:type="pct"/>
            <w:shd w:val="clear" w:color="auto" w:fill="auto"/>
            <w:noWrap/>
          </w:tcPr>
          <w:p w14:paraId="73BC02C1" w14:textId="77777777" w:rsidR="00824E51" w:rsidRPr="00F82B8F" w:rsidRDefault="00824E51" w:rsidP="00824E51">
            <w:pPr>
              <w:spacing w:after="0" w:line="240" w:lineRule="auto"/>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HEL</w:t>
            </w:r>
          </w:p>
        </w:tc>
        <w:tc>
          <w:tcPr>
            <w:tcW w:w="491" w:type="pct"/>
            <w:shd w:val="clear" w:color="auto" w:fill="auto"/>
            <w:noWrap/>
          </w:tcPr>
          <w:p w14:paraId="0EC2ACB0"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noWrap/>
          </w:tcPr>
          <w:p w14:paraId="5D67981A"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6A43182D"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2B03646B"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3C303031"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23" w:type="pct"/>
            <w:shd w:val="clear" w:color="auto" w:fill="auto"/>
            <w:noWrap/>
          </w:tcPr>
          <w:p w14:paraId="1FB5A10B"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15EFE34A"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tcPr>
          <w:p w14:paraId="2EEF3B84"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-1.0224</w:t>
            </w:r>
          </w:p>
        </w:tc>
        <w:tc>
          <w:tcPr>
            <w:tcW w:w="450" w:type="pct"/>
            <w:shd w:val="clear" w:color="auto" w:fill="auto"/>
          </w:tcPr>
          <w:p w14:paraId="2ACB022F"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491F86A3"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r>
      <w:tr w:rsidR="00824E51" w:rsidRPr="00F82B8F" w14:paraId="2597FCC1" w14:textId="77777777" w:rsidTr="00824E51">
        <w:trPr>
          <w:trHeight w:val="300"/>
        </w:trPr>
        <w:tc>
          <w:tcPr>
            <w:tcW w:w="540" w:type="pct"/>
            <w:shd w:val="clear" w:color="auto" w:fill="auto"/>
            <w:noWrap/>
          </w:tcPr>
          <w:p w14:paraId="3E3AA479" w14:textId="77777777" w:rsidR="00824E51" w:rsidRPr="00F82B8F" w:rsidRDefault="00824E51" w:rsidP="00824E51">
            <w:pPr>
              <w:spacing w:after="0" w:line="240" w:lineRule="auto"/>
              <w:rPr>
                <w:rFonts w:ascii="Times New Roman" w:eastAsia="Times New Roman" w:hAnsi="Times New Roman" w:cs="Times New Roman"/>
                <w:sz w:val="20"/>
                <w:szCs w:val="20"/>
                <w:lang w:eastAsia="en-GB"/>
              </w:rPr>
            </w:pPr>
          </w:p>
        </w:tc>
        <w:tc>
          <w:tcPr>
            <w:tcW w:w="491" w:type="pct"/>
            <w:shd w:val="clear" w:color="auto" w:fill="auto"/>
            <w:noWrap/>
          </w:tcPr>
          <w:p w14:paraId="6AC49E2E"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noWrap/>
          </w:tcPr>
          <w:p w14:paraId="13F53DF4"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42567B0E"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0ABB9185"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58CA4F17"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23" w:type="pct"/>
            <w:shd w:val="clear" w:color="auto" w:fill="auto"/>
            <w:noWrap/>
          </w:tcPr>
          <w:p w14:paraId="644912E6"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6266F0D2"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tcPr>
          <w:p w14:paraId="22319E61"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(1.9835)</w:t>
            </w:r>
          </w:p>
        </w:tc>
        <w:tc>
          <w:tcPr>
            <w:tcW w:w="450" w:type="pct"/>
            <w:shd w:val="clear" w:color="auto" w:fill="auto"/>
          </w:tcPr>
          <w:p w14:paraId="6495ACE7"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5D170690"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r>
      <w:tr w:rsidR="00824E51" w:rsidRPr="00F82B8F" w14:paraId="4024673F" w14:textId="77777777" w:rsidTr="00824E51">
        <w:trPr>
          <w:trHeight w:val="300"/>
        </w:trPr>
        <w:tc>
          <w:tcPr>
            <w:tcW w:w="540" w:type="pct"/>
            <w:shd w:val="clear" w:color="auto" w:fill="auto"/>
            <w:noWrap/>
            <w:hideMark/>
          </w:tcPr>
          <w:p w14:paraId="52C83148" w14:textId="77777777" w:rsidR="00824E51" w:rsidRPr="00F82B8F" w:rsidRDefault="00824E51" w:rsidP="00824E51">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RES*HEL</w:t>
            </w:r>
          </w:p>
        </w:tc>
        <w:tc>
          <w:tcPr>
            <w:tcW w:w="491" w:type="pct"/>
            <w:shd w:val="clear" w:color="auto" w:fill="auto"/>
            <w:noWrap/>
          </w:tcPr>
          <w:p w14:paraId="651787B2"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23" w:type="pct"/>
            <w:shd w:val="clear" w:color="auto" w:fill="auto"/>
            <w:noWrap/>
          </w:tcPr>
          <w:p w14:paraId="52BDB11F"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5240DCF5"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1D699605"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76AD10AF"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23" w:type="pct"/>
            <w:shd w:val="clear" w:color="auto" w:fill="auto"/>
            <w:noWrap/>
          </w:tcPr>
          <w:p w14:paraId="686605BA"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2CF6B006"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tcPr>
          <w:p w14:paraId="0ECBAEE6" w14:textId="4F901657" w:rsidR="00824E51" w:rsidRPr="00F82B8F" w:rsidRDefault="00A671DA" w:rsidP="00824E51">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w:t>
            </w:r>
            <w:r w:rsidR="00824E51" w:rsidRPr="00F82B8F">
              <w:rPr>
                <w:rFonts w:ascii="Times New Roman" w:hAnsi="Times New Roman" w:cs="Times New Roman"/>
                <w:sz w:val="20"/>
                <w:szCs w:val="20"/>
              </w:rPr>
              <w:t>0.1968</w:t>
            </w:r>
          </w:p>
        </w:tc>
        <w:tc>
          <w:tcPr>
            <w:tcW w:w="450" w:type="pct"/>
            <w:shd w:val="clear" w:color="auto" w:fill="auto"/>
          </w:tcPr>
          <w:p w14:paraId="3701636E"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4B503D70"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r>
      <w:tr w:rsidR="00824E51" w:rsidRPr="00F82B8F" w14:paraId="34E2A449" w14:textId="77777777" w:rsidTr="00824E51">
        <w:trPr>
          <w:trHeight w:val="300"/>
        </w:trPr>
        <w:tc>
          <w:tcPr>
            <w:tcW w:w="540" w:type="pct"/>
            <w:shd w:val="clear" w:color="auto" w:fill="auto"/>
            <w:noWrap/>
            <w:hideMark/>
          </w:tcPr>
          <w:p w14:paraId="4F99AA09" w14:textId="77777777" w:rsidR="00824E51" w:rsidRPr="00F82B8F" w:rsidRDefault="00824E51" w:rsidP="00824E51">
            <w:pPr>
              <w:spacing w:after="0" w:line="240" w:lineRule="auto"/>
              <w:rPr>
                <w:rFonts w:ascii="Times New Roman" w:eastAsia="Times New Roman" w:hAnsi="Times New Roman" w:cs="Times New Roman"/>
                <w:sz w:val="20"/>
                <w:szCs w:val="20"/>
                <w:lang w:eastAsia="en-GB"/>
              </w:rPr>
            </w:pPr>
          </w:p>
        </w:tc>
        <w:tc>
          <w:tcPr>
            <w:tcW w:w="491" w:type="pct"/>
            <w:shd w:val="clear" w:color="auto" w:fill="auto"/>
            <w:noWrap/>
          </w:tcPr>
          <w:p w14:paraId="551D066B"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noWrap/>
          </w:tcPr>
          <w:p w14:paraId="558C06F8"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77F43899"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6F2C43FC"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103904E0"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23" w:type="pct"/>
            <w:shd w:val="clear" w:color="auto" w:fill="auto"/>
            <w:noWrap/>
          </w:tcPr>
          <w:p w14:paraId="767CAF42"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285C656C"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tcPr>
          <w:p w14:paraId="7BABB02E"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(0.4873)</w:t>
            </w:r>
          </w:p>
        </w:tc>
        <w:tc>
          <w:tcPr>
            <w:tcW w:w="450" w:type="pct"/>
            <w:shd w:val="clear" w:color="auto" w:fill="auto"/>
          </w:tcPr>
          <w:p w14:paraId="0492CDA6"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0EE81361"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r>
      <w:tr w:rsidR="00824E51" w:rsidRPr="00F82B8F" w14:paraId="00960880" w14:textId="77777777" w:rsidTr="00824E51">
        <w:trPr>
          <w:trHeight w:val="300"/>
        </w:trPr>
        <w:tc>
          <w:tcPr>
            <w:tcW w:w="540" w:type="pct"/>
            <w:shd w:val="clear" w:color="auto" w:fill="auto"/>
            <w:noWrap/>
          </w:tcPr>
          <w:p w14:paraId="75C54D6C" w14:textId="77777777" w:rsidR="00824E51" w:rsidRPr="00F82B8F" w:rsidRDefault="00824E51" w:rsidP="00824E51">
            <w:pPr>
              <w:spacing w:after="0" w:line="240" w:lineRule="auto"/>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FDI</w:t>
            </w:r>
          </w:p>
        </w:tc>
        <w:tc>
          <w:tcPr>
            <w:tcW w:w="491" w:type="pct"/>
            <w:shd w:val="clear" w:color="auto" w:fill="auto"/>
            <w:noWrap/>
          </w:tcPr>
          <w:p w14:paraId="2D381E53"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noWrap/>
          </w:tcPr>
          <w:p w14:paraId="5CF013D1"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01352593"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6EEF3A69"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6AA0CF52"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23" w:type="pct"/>
            <w:shd w:val="clear" w:color="auto" w:fill="auto"/>
            <w:noWrap/>
          </w:tcPr>
          <w:p w14:paraId="363E67DD"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1323526B"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tcPr>
          <w:p w14:paraId="4D1D9123"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0255C363"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1.4210*</w:t>
            </w:r>
          </w:p>
        </w:tc>
        <w:tc>
          <w:tcPr>
            <w:tcW w:w="450" w:type="pct"/>
            <w:shd w:val="clear" w:color="auto" w:fill="auto"/>
          </w:tcPr>
          <w:p w14:paraId="2F354E02"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r>
      <w:tr w:rsidR="00824E51" w:rsidRPr="00F82B8F" w14:paraId="21FCB36D" w14:textId="77777777" w:rsidTr="00824E51">
        <w:trPr>
          <w:trHeight w:val="300"/>
        </w:trPr>
        <w:tc>
          <w:tcPr>
            <w:tcW w:w="540" w:type="pct"/>
            <w:shd w:val="clear" w:color="auto" w:fill="auto"/>
            <w:noWrap/>
          </w:tcPr>
          <w:p w14:paraId="16D0CC3A" w14:textId="77777777" w:rsidR="00824E51" w:rsidRPr="00F82B8F" w:rsidRDefault="00824E51" w:rsidP="00824E51">
            <w:pPr>
              <w:spacing w:after="0" w:line="240" w:lineRule="auto"/>
              <w:rPr>
                <w:rFonts w:ascii="Times New Roman" w:eastAsia="Times New Roman" w:hAnsi="Times New Roman" w:cs="Times New Roman"/>
                <w:sz w:val="20"/>
                <w:szCs w:val="20"/>
                <w:lang w:eastAsia="en-GB"/>
              </w:rPr>
            </w:pPr>
          </w:p>
        </w:tc>
        <w:tc>
          <w:tcPr>
            <w:tcW w:w="491" w:type="pct"/>
            <w:shd w:val="clear" w:color="auto" w:fill="auto"/>
            <w:noWrap/>
          </w:tcPr>
          <w:p w14:paraId="6337899D"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noWrap/>
          </w:tcPr>
          <w:p w14:paraId="64A72862"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7BC51FC0"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545FF505"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0047ACCB"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23" w:type="pct"/>
            <w:shd w:val="clear" w:color="auto" w:fill="auto"/>
            <w:noWrap/>
          </w:tcPr>
          <w:p w14:paraId="58BC9168"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55231C52"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tcPr>
          <w:p w14:paraId="3F026056"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tcPr>
          <w:p w14:paraId="5936A852"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(0.7647)</w:t>
            </w:r>
          </w:p>
        </w:tc>
        <w:tc>
          <w:tcPr>
            <w:tcW w:w="450" w:type="pct"/>
            <w:shd w:val="clear" w:color="auto" w:fill="auto"/>
          </w:tcPr>
          <w:p w14:paraId="20E42CE7"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r>
      <w:tr w:rsidR="00824E51" w:rsidRPr="00F82B8F" w14:paraId="1B69B074" w14:textId="77777777" w:rsidTr="00824E51">
        <w:trPr>
          <w:trHeight w:val="300"/>
        </w:trPr>
        <w:tc>
          <w:tcPr>
            <w:tcW w:w="540" w:type="pct"/>
            <w:shd w:val="clear" w:color="auto" w:fill="auto"/>
            <w:noWrap/>
            <w:hideMark/>
          </w:tcPr>
          <w:p w14:paraId="767C3157" w14:textId="77777777" w:rsidR="00824E51" w:rsidRPr="00F82B8F" w:rsidRDefault="00824E51" w:rsidP="00824E51">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RES*FDI</w:t>
            </w:r>
          </w:p>
        </w:tc>
        <w:tc>
          <w:tcPr>
            <w:tcW w:w="491" w:type="pct"/>
            <w:shd w:val="clear" w:color="auto" w:fill="auto"/>
            <w:noWrap/>
          </w:tcPr>
          <w:p w14:paraId="157DC128"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23" w:type="pct"/>
            <w:shd w:val="clear" w:color="auto" w:fill="auto"/>
            <w:noWrap/>
          </w:tcPr>
          <w:p w14:paraId="1467DA66"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6F323DBD"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75776ED2"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01E3758A"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23" w:type="pct"/>
            <w:shd w:val="clear" w:color="auto" w:fill="auto"/>
            <w:noWrap/>
          </w:tcPr>
          <w:p w14:paraId="0E20DD5E"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tcPr>
          <w:p w14:paraId="1DD91567"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23" w:type="pct"/>
            <w:shd w:val="clear" w:color="auto" w:fill="auto"/>
          </w:tcPr>
          <w:p w14:paraId="2C16C804"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tcPr>
          <w:p w14:paraId="010412C1"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-0.2926</w:t>
            </w:r>
          </w:p>
        </w:tc>
        <w:tc>
          <w:tcPr>
            <w:tcW w:w="450" w:type="pct"/>
            <w:shd w:val="clear" w:color="auto" w:fill="auto"/>
          </w:tcPr>
          <w:p w14:paraId="14502CAA"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r>
      <w:tr w:rsidR="00824E51" w:rsidRPr="00F82B8F" w14:paraId="2FBABE09" w14:textId="77777777" w:rsidTr="00824E51">
        <w:trPr>
          <w:trHeight w:val="300"/>
        </w:trPr>
        <w:tc>
          <w:tcPr>
            <w:tcW w:w="540" w:type="pct"/>
            <w:shd w:val="clear" w:color="auto" w:fill="auto"/>
            <w:noWrap/>
            <w:hideMark/>
          </w:tcPr>
          <w:p w14:paraId="40A317F9" w14:textId="77777777" w:rsidR="00824E51" w:rsidRPr="00F82B8F" w:rsidRDefault="00824E51" w:rsidP="00824E51">
            <w:pPr>
              <w:spacing w:after="0" w:line="240" w:lineRule="auto"/>
              <w:rPr>
                <w:rFonts w:ascii="Times New Roman" w:eastAsia="Times New Roman" w:hAnsi="Times New Roman" w:cs="Times New Roman"/>
                <w:sz w:val="20"/>
                <w:szCs w:val="20"/>
                <w:lang w:eastAsia="en-GB"/>
              </w:rPr>
            </w:pPr>
          </w:p>
        </w:tc>
        <w:tc>
          <w:tcPr>
            <w:tcW w:w="491" w:type="pct"/>
            <w:shd w:val="clear" w:color="auto" w:fill="auto"/>
            <w:noWrap/>
          </w:tcPr>
          <w:p w14:paraId="4BDB9063"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noWrap/>
          </w:tcPr>
          <w:p w14:paraId="413EF324"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2702895E"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275C9419"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25AA385C"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23" w:type="pct"/>
            <w:shd w:val="clear" w:color="auto" w:fill="auto"/>
            <w:noWrap/>
          </w:tcPr>
          <w:p w14:paraId="0E40DA85"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tcPr>
          <w:p w14:paraId="690BE386"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23" w:type="pct"/>
            <w:shd w:val="clear" w:color="auto" w:fill="auto"/>
          </w:tcPr>
          <w:p w14:paraId="08248943"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tcPr>
          <w:p w14:paraId="7CB2934C"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(0.1804)</w:t>
            </w:r>
          </w:p>
        </w:tc>
        <w:tc>
          <w:tcPr>
            <w:tcW w:w="450" w:type="pct"/>
            <w:shd w:val="clear" w:color="auto" w:fill="auto"/>
          </w:tcPr>
          <w:p w14:paraId="69C9C125"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r>
      <w:tr w:rsidR="00824E51" w:rsidRPr="00F82B8F" w14:paraId="228560B4" w14:textId="77777777" w:rsidTr="00824E51">
        <w:trPr>
          <w:trHeight w:val="300"/>
        </w:trPr>
        <w:tc>
          <w:tcPr>
            <w:tcW w:w="540" w:type="pct"/>
            <w:shd w:val="clear" w:color="auto" w:fill="auto"/>
            <w:noWrap/>
          </w:tcPr>
          <w:p w14:paraId="2A191B70" w14:textId="77777777" w:rsidR="00824E51" w:rsidRPr="00F82B8F" w:rsidRDefault="00824E51" w:rsidP="00824E51">
            <w:pPr>
              <w:spacing w:after="0" w:line="240" w:lineRule="auto"/>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FII</w:t>
            </w:r>
          </w:p>
        </w:tc>
        <w:tc>
          <w:tcPr>
            <w:tcW w:w="491" w:type="pct"/>
            <w:shd w:val="clear" w:color="auto" w:fill="auto"/>
            <w:noWrap/>
          </w:tcPr>
          <w:p w14:paraId="203E6C0F"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noWrap/>
          </w:tcPr>
          <w:p w14:paraId="15C44329"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255128DA"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35990C70"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4B7EE4FA"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23" w:type="pct"/>
            <w:shd w:val="clear" w:color="auto" w:fill="auto"/>
            <w:noWrap/>
          </w:tcPr>
          <w:p w14:paraId="5E231ED0"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tcPr>
          <w:p w14:paraId="04620328"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23" w:type="pct"/>
            <w:shd w:val="clear" w:color="auto" w:fill="auto"/>
          </w:tcPr>
          <w:p w14:paraId="3F1FD718"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tcPr>
          <w:p w14:paraId="438B8B16"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tcPr>
          <w:p w14:paraId="5B639CE3"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0.9174</w:t>
            </w:r>
          </w:p>
        </w:tc>
      </w:tr>
      <w:tr w:rsidR="00824E51" w:rsidRPr="00F82B8F" w14:paraId="0F0952FF" w14:textId="77777777" w:rsidTr="00824E51">
        <w:trPr>
          <w:trHeight w:val="300"/>
        </w:trPr>
        <w:tc>
          <w:tcPr>
            <w:tcW w:w="540" w:type="pct"/>
            <w:shd w:val="clear" w:color="auto" w:fill="auto"/>
            <w:noWrap/>
          </w:tcPr>
          <w:p w14:paraId="71DBA644" w14:textId="77777777" w:rsidR="00824E51" w:rsidRPr="00F82B8F" w:rsidRDefault="00824E51" w:rsidP="00824E51">
            <w:pPr>
              <w:spacing w:after="0" w:line="240" w:lineRule="auto"/>
              <w:rPr>
                <w:rFonts w:ascii="Times New Roman" w:eastAsia="Times New Roman" w:hAnsi="Times New Roman" w:cs="Times New Roman"/>
                <w:sz w:val="20"/>
                <w:szCs w:val="20"/>
                <w:lang w:eastAsia="en-GB"/>
              </w:rPr>
            </w:pPr>
          </w:p>
        </w:tc>
        <w:tc>
          <w:tcPr>
            <w:tcW w:w="491" w:type="pct"/>
            <w:shd w:val="clear" w:color="auto" w:fill="auto"/>
            <w:noWrap/>
          </w:tcPr>
          <w:p w14:paraId="1286667B"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noWrap/>
          </w:tcPr>
          <w:p w14:paraId="49164630"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768F808B"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7A433DEB"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00AB5018"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23" w:type="pct"/>
            <w:shd w:val="clear" w:color="auto" w:fill="auto"/>
            <w:noWrap/>
          </w:tcPr>
          <w:p w14:paraId="472C559A"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tcPr>
          <w:p w14:paraId="0ADCC739"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23" w:type="pct"/>
            <w:shd w:val="clear" w:color="auto" w:fill="auto"/>
          </w:tcPr>
          <w:p w14:paraId="52D37F37"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tcPr>
          <w:p w14:paraId="16C452F3"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tcPr>
          <w:p w14:paraId="04AEF252"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(0.7389)</w:t>
            </w:r>
          </w:p>
        </w:tc>
      </w:tr>
      <w:tr w:rsidR="00824E51" w:rsidRPr="00F82B8F" w14:paraId="330651C5" w14:textId="77777777" w:rsidTr="00824E51">
        <w:trPr>
          <w:trHeight w:val="300"/>
        </w:trPr>
        <w:tc>
          <w:tcPr>
            <w:tcW w:w="540" w:type="pct"/>
            <w:shd w:val="clear" w:color="auto" w:fill="auto"/>
            <w:noWrap/>
            <w:hideMark/>
          </w:tcPr>
          <w:p w14:paraId="73C1B6F5" w14:textId="77777777" w:rsidR="00824E51" w:rsidRPr="00F82B8F" w:rsidRDefault="00824E51" w:rsidP="00824E51">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RES*FII</w:t>
            </w:r>
          </w:p>
        </w:tc>
        <w:tc>
          <w:tcPr>
            <w:tcW w:w="491" w:type="pct"/>
            <w:shd w:val="clear" w:color="auto" w:fill="auto"/>
            <w:noWrap/>
          </w:tcPr>
          <w:p w14:paraId="6994C94A"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23" w:type="pct"/>
            <w:shd w:val="clear" w:color="auto" w:fill="auto"/>
            <w:noWrap/>
          </w:tcPr>
          <w:p w14:paraId="0BFB187E"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3AE74FDF"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56EFFD65"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4FD8EE4C"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23" w:type="pct"/>
            <w:shd w:val="clear" w:color="auto" w:fill="auto"/>
            <w:noWrap/>
          </w:tcPr>
          <w:p w14:paraId="503AB4F2"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tcPr>
          <w:p w14:paraId="773C91DC"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23" w:type="pct"/>
            <w:shd w:val="clear" w:color="auto" w:fill="auto"/>
          </w:tcPr>
          <w:p w14:paraId="69B49EFA"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tcPr>
          <w:p w14:paraId="5143D8FA"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tcPr>
          <w:p w14:paraId="32E7C7D6"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-0.1481</w:t>
            </w:r>
          </w:p>
        </w:tc>
      </w:tr>
      <w:tr w:rsidR="00824E51" w:rsidRPr="00F82B8F" w14:paraId="0FCC1C0A" w14:textId="77777777" w:rsidTr="00824E51">
        <w:trPr>
          <w:trHeight w:val="300"/>
        </w:trPr>
        <w:tc>
          <w:tcPr>
            <w:tcW w:w="540" w:type="pct"/>
            <w:shd w:val="clear" w:color="auto" w:fill="auto"/>
            <w:noWrap/>
            <w:hideMark/>
          </w:tcPr>
          <w:p w14:paraId="147BBCAD" w14:textId="77777777" w:rsidR="00824E51" w:rsidRPr="00F82B8F" w:rsidRDefault="00824E51" w:rsidP="00824E51">
            <w:pPr>
              <w:spacing w:after="0" w:line="240" w:lineRule="auto"/>
              <w:rPr>
                <w:rFonts w:ascii="Times New Roman" w:eastAsia="Times New Roman" w:hAnsi="Times New Roman" w:cs="Times New Roman"/>
                <w:sz w:val="20"/>
                <w:szCs w:val="20"/>
                <w:lang w:eastAsia="en-GB"/>
              </w:rPr>
            </w:pPr>
          </w:p>
        </w:tc>
        <w:tc>
          <w:tcPr>
            <w:tcW w:w="491" w:type="pct"/>
            <w:shd w:val="clear" w:color="auto" w:fill="auto"/>
            <w:noWrap/>
          </w:tcPr>
          <w:p w14:paraId="6A01EA1C"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23" w:type="pct"/>
            <w:shd w:val="clear" w:color="auto" w:fill="auto"/>
            <w:noWrap/>
          </w:tcPr>
          <w:p w14:paraId="667F31A3"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38A02D4E"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73F6E32C"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p>
        </w:tc>
        <w:tc>
          <w:tcPr>
            <w:tcW w:w="450" w:type="pct"/>
            <w:shd w:val="clear" w:color="auto" w:fill="auto"/>
            <w:noWrap/>
          </w:tcPr>
          <w:p w14:paraId="61760705"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23" w:type="pct"/>
            <w:shd w:val="clear" w:color="auto" w:fill="auto"/>
            <w:noWrap/>
          </w:tcPr>
          <w:p w14:paraId="07F8245C"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tcPr>
          <w:p w14:paraId="55979338"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23" w:type="pct"/>
            <w:shd w:val="clear" w:color="auto" w:fill="auto"/>
          </w:tcPr>
          <w:p w14:paraId="32F7B538"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tcPr>
          <w:p w14:paraId="63EFF212"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tcPr>
          <w:p w14:paraId="07267662"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(0.1755)</w:t>
            </w:r>
          </w:p>
        </w:tc>
      </w:tr>
      <w:tr w:rsidR="00824E51" w:rsidRPr="00F82B8F" w14:paraId="4B53E74D" w14:textId="77777777" w:rsidTr="00824E51">
        <w:trPr>
          <w:trHeight w:val="300"/>
        </w:trPr>
        <w:tc>
          <w:tcPr>
            <w:tcW w:w="540" w:type="pct"/>
            <w:shd w:val="clear" w:color="auto" w:fill="auto"/>
            <w:noWrap/>
          </w:tcPr>
          <w:p w14:paraId="245C537F" w14:textId="77777777" w:rsidR="00824E51" w:rsidRPr="00F82B8F" w:rsidRDefault="00824E51" w:rsidP="00824E51">
            <w:pPr>
              <w:spacing w:after="0" w:line="240" w:lineRule="auto"/>
              <w:rPr>
                <w:rFonts w:ascii="Times New Roman" w:eastAsia="Times New Roman" w:hAnsi="Times New Roman" w:cs="Times New Roman"/>
                <w:sz w:val="20"/>
                <w:szCs w:val="20"/>
                <w:lang w:eastAsia="en-GB"/>
              </w:rPr>
            </w:pPr>
            <m:oMathPara>
              <m:oMathParaPr>
                <m:jc m:val="left"/>
              </m:oMathParaPr>
              <m:oMath>
                <m:r>
                  <w:rPr>
                    <w:rFonts w:ascii="Cambria Math" w:eastAsia="Times New Roman" w:hAnsi="Cambria Math" w:cs="Times New Roman"/>
                    <w:color w:val="000000"/>
                    <w:sz w:val="20"/>
                    <w:szCs w:val="20"/>
                    <w:lang w:eastAsia="en-GB"/>
                  </w:rPr>
                  <m:t>α</m:t>
                </m:r>
              </m:oMath>
            </m:oMathPara>
          </w:p>
        </w:tc>
        <w:tc>
          <w:tcPr>
            <w:tcW w:w="491" w:type="pct"/>
            <w:shd w:val="clear" w:color="auto" w:fill="auto"/>
            <w:noWrap/>
          </w:tcPr>
          <w:p w14:paraId="04FBFAE5"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-0.0176</w:t>
            </w:r>
          </w:p>
        </w:tc>
        <w:tc>
          <w:tcPr>
            <w:tcW w:w="423" w:type="pct"/>
            <w:shd w:val="clear" w:color="auto" w:fill="auto"/>
            <w:noWrap/>
          </w:tcPr>
          <w:p w14:paraId="51D4C8CE"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-0.0154</w:t>
            </w:r>
          </w:p>
        </w:tc>
        <w:tc>
          <w:tcPr>
            <w:tcW w:w="450" w:type="pct"/>
            <w:shd w:val="clear" w:color="auto" w:fill="auto"/>
            <w:noWrap/>
          </w:tcPr>
          <w:p w14:paraId="6B2867B7"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-0.0077</w:t>
            </w:r>
          </w:p>
        </w:tc>
        <w:tc>
          <w:tcPr>
            <w:tcW w:w="450" w:type="pct"/>
            <w:shd w:val="clear" w:color="auto" w:fill="auto"/>
            <w:noWrap/>
          </w:tcPr>
          <w:p w14:paraId="081FD25E"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-0.0092</w:t>
            </w:r>
          </w:p>
        </w:tc>
        <w:tc>
          <w:tcPr>
            <w:tcW w:w="450" w:type="pct"/>
            <w:shd w:val="clear" w:color="auto" w:fill="auto"/>
            <w:noWrap/>
          </w:tcPr>
          <w:p w14:paraId="47D60F6E"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-0.0119</w:t>
            </w:r>
          </w:p>
        </w:tc>
        <w:tc>
          <w:tcPr>
            <w:tcW w:w="423" w:type="pct"/>
            <w:shd w:val="clear" w:color="auto" w:fill="auto"/>
            <w:noWrap/>
          </w:tcPr>
          <w:p w14:paraId="7A1ABA09"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0.0025</w:t>
            </w:r>
          </w:p>
        </w:tc>
        <w:tc>
          <w:tcPr>
            <w:tcW w:w="450" w:type="pct"/>
            <w:shd w:val="clear" w:color="auto" w:fill="auto"/>
          </w:tcPr>
          <w:p w14:paraId="6E5FEB9F"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-0.0125</w:t>
            </w:r>
          </w:p>
        </w:tc>
        <w:tc>
          <w:tcPr>
            <w:tcW w:w="423" w:type="pct"/>
            <w:shd w:val="clear" w:color="auto" w:fill="auto"/>
          </w:tcPr>
          <w:p w14:paraId="70DF1271"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-0.0103</w:t>
            </w:r>
          </w:p>
        </w:tc>
        <w:tc>
          <w:tcPr>
            <w:tcW w:w="450" w:type="pct"/>
            <w:shd w:val="clear" w:color="auto" w:fill="auto"/>
          </w:tcPr>
          <w:p w14:paraId="38D3779B"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0.0042</w:t>
            </w:r>
          </w:p>
        </w:tc>
        <w:tc>
          <w:tcPr>
            <w:tcW w:w="450" w:type="pct"/>
            <w:shd w:val="clear" w:color="auto" w:fill="auto"/>
          </w:tcPr>
          <w:p w14:paraId="23A04735"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0.0050</w:t>
            </w:r>
          </w:p>
        </w:tc>
      </w:tr>
      <w:tr w:rsidR="00824E51" w:rsidRPr="00F82B8F" w14:paraId="4B066A00" w14:textId="77777777" w:rsidTr="00824E51">
        <w:trPr>
          <w:trHeight w:val="300"/>
        </w:trPr>
        <w:tc>
          <w:tcPr>
            <w:tcW w:w="540" w:type="pct"/>
            <w:shd w:val="clear" w:color="auto" w:fill="auto"/>
            <w:noWrap/>
          </w:tcPr>
          <w:p w14:paraId="6CDD41D9" w14:textId="77777777" w:rsidR="00824E51" w:rsidRPr="00F82B8F" w:rsidRDefault="00824E51" w:rsidP="00824E51">
            <w:pPr>
              <w:spacing w:after="0" w:line="240" w:lineRule="auto"/>
              <w:rPr>
                <w:rFonts w:ascii="Times New Roman" w:eastAsia="Times New Roman" w:hAnsi="Times New Roman" w:cs="Times New Roman"/>
                <w:sz w:val="20"/>
                <w:szCs w:val="20"/>
                <w:lang w:eastAsia="en-GB"/>
              </w:rPr>
            </w:pPr>
          </w:p>
        </w:tc>
        <w:tc>
          <w:tcPr>
            <w:tcW w:w="491" w:type="pct"/>
            <w:shd w:val="clear" w:color="auto" w:fill="auto"/>
            <w:noWrap/>
          </w:tcPr>
          <w:p w14:paraId="7F34099B"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(0.0149)</w:t>
            </w:r>
          </w:p>
        </w:tc>
        <w:tc>
          <w:tcPr>
            <w:tcW w:w="423" w:type="pct"/>
            <w:shd w:val="clear" w:color="auto" w:fill="auto"/>
            <w:noWrap/>
          </w:tcPr>
          <w:p w14:paraId="0A616F2E"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(0.0152)</w:t>
            </w:r>
          </w:p>
        </w:tc>
        <w:tc>
          <w:tcPr>
            <w:tcW w:w="450" w:type="pct"/>
            <w:shd w:val="clear" w:color="auto" w:fill="auto"/>
            <w:noWrap/>
          </w:tcPr>
          <w:p w14:paraId="56F2F287"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(0.0142)</w:t>
            </w:r>
          </w:p>
        </w:tc>
        <w:tc>
          <w:tcPr>
            <w:tcW w:w="450" w:type="pct"/>
            <w:shd w:val="clear" w:color="auto" w:fill="auto"/>
            <w:noWrap/>
          </w:tcPr>
          <w:p w14:paraId="414F1570" w14:textId="77777777" w:rsidR="00824E51" w:rsidRPr="00F82B8F" w:rsidRDefault="00824E51" w:rsidP="00824E51">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(0.0145)</w:t>
            </w:r>
          </w:p>
        </w:tc>
        <w:tc>
          <w:tcPr>
            <w:tcW w:w="450" w:type="pct"/>
            <w:shd w:val="clear" w:color="auto" w:fill="auto"/>
            <w:noWrap/>
          </w:tcPr>
          <w:p w14:paraId="11F62ED9"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(0.0141)</w:t>
            </w:r>
          </w:p>
        </w:tc>
        <w:tc>
          <w:tcPr>
            <w:tcW w:w="423" w:type="pct"/>
            <w:shd w:val="clear" w:color="auto" w:fill="auto"/>
            <w:noWrap/>
          </w:tcPr>
          <w:p w14:paraId="2C700769"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(0.0146)</w:t>
            </w:r>
          </w:p>
        </w:tc>
        <w:tc>
          <w:tcPr>
            <w:tcW w:w="450" w:type="pct"/>
            <w:shd w:val="clear" w:color="auto" w:fill="auto"/>
          </w:tcPr>
          <w:p w14:paraId="60D9130C"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(0.0140)</w:t>
            </w:r>
          </w:p>
        </w:tc>
        <w:tc>
          <w:tcPr>
            <w:tcW w:w="423" w:type="pct"/>
            <w:shd w:val="clear" w:color="auto" w:fill="auto"/>
          </w:tcPr>
          <w:p w14:paraId="02BC8D47"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(0.0141)</w:t>
            </w:r>
          </w:p>
        </w:tc>
        <w:tc>
          <w:tcPr>
            <w:tcW w:w="450" w:type="pct"/>
            <w:shd w:val="clear" w:color="auto" w:fill="auto"/>
          </w:tcPr>
          <w:p w14:paraId="16848F13"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(0.0147)</w:t>
            </w:r>
          </w:p>
        </w:tc>
        <w:tc>
          <w:tcPr>
            <w:tcW w:w="450" w:type="pct"/>
            <w:shd w:val="clear" w:color="auto" w:fill="auto"/>
          </w:tcPr>
          <w:p w14:paraId="76717ACF"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(0.0145)</w:t>
            </w:r>
          </w:p>
        </w:tc>
      </w:tr>
      <w:tr w:rsidR="00824E51" w:rsidRPr="00F82B8F" w14:paraId="25B8328B" w14:textId="77777777" w:rsidTr="00824E51">
        <w:trPr>
          <w:trHeight w:val="300"/>
        </w:trPr>
        <w:tc>
          <w:tcPr>
            <w:tcW w:w="540" w:type="pct"/>
            <w:shd w:val="clear" w:color="auto" w:fill="auto"/>
            <w:noWrap/>
          </w:tcPr>
          <w:p w14:paraId="501D60A2" w14:textId="77777777" w:rsidR="00824E51" w:rsidRPr="00F82B8F" w:rsidRDefault="00824E51" w:rsidP="00824E51">
            <w:pPr>
              <w:spacing w:after="0" w:line="240" w:lineRule="auto"/>
              <w:rPr>
                <w:rFonts w:ascii="Times New Roman" w:eastAsia="Times New Roman" w:hAnsi="Times New Roman" w:cs="Times New Roman"/>
                <w:color w:val="000000"/>
                <w:sz w:val="20"/>
                <w:szCs w:val="20"/>
                <w:lang w:eastAsia="en-GB"/>
              </w:rPr>
            </w:pPr>
            <m:oMathPara>
              <m:oMathParaPr>
                <m:jc m:val="left"/>
              </m:oMathParaPr>
              <m:oMath>
                <m:r>
                  <w:rPr>
                    <w:rFonts w:ascii="Cambria Math" w:eastAsia="Times New Roman" w:hAnsi="Cambria Math" w:cs="Times New Roman"/>
                    <w:color w:val="000000"/>
                    <w:sz w:val="20"/>
                    <w:szCs w:val="20"/>
                    <w:lang w:eastAsia="en-GB"/>
                  </w:rPr>
                  <m:t>γ</m:t>
                </m:r>
              </m:oMath>
            </m:oMathPara>
          </w:p>
        </w:tc>
        <w:tc>
          <w:tcPr>
            <w:tcW w:w="491" w:type="pct"/>
            <w:shd w:val="clear" w:color="auto" w:fill="auto"/>
            <w:noWrap/>
          </w:tcPr>
          <w:p w14:paraId="12111081"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0.4517***</w:t>
            </w:r>
          </w:p>
        </w:tc>
        <w:tc>
          <w:tcPr>
            <w:tcW w:w="423" w:type="pct"/>
            <w:shd w:val="clear" w:color="auto" w:fill="auto"/>
            <w:noWrap/>
          </w:tcPr>
          <w:p w14:paraId="33B2DCB0"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0.4597***</w:t>
            </w:r>
          </w:p>
        </w:tc>
        <w:tc>
          <w:tcPr>
            <w:tcW w:w="450" w:type="pct"/>
            <w:shd w:val="clear" w:color="auto" w:fill="auto"/>
            <w:noWrap/>
          </w:tcPr>
          <w:p w14:paraId="6FC90BC6"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0.4678***</w:t>
            </w:r>
          </w:p>
        </w:tc>
        <w:tc>
          <w:tcPr>
            <w:tcW w:w="450" w:type="pct"/>
            <w:shd w:val="clear" w:color="auto" w:fill="auto"/>
            <w:noWrap/>
          </w:tcPr>
          <w:p w14:paraId="0ED5A1D8"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0.4724***</w:t>
            </w:r>
          </w:p>
        </w:tc>
        <w:tc>
          <w:tcPr>
            <w:tcW w:w="450" w:type="pct"/>
            <w:shd w:val="clear" w:color="auto" w:fill="auto"/>
            <w:noWrap/>
          </w:tcPr>
          <w:p w14:paraId="34AE9923"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0.4685***</w:t>
            </w:r>
          </w:p>
        </w:tc>
        <w:tc>
          <w:tcPr>
            <w:tcW w:w="423" w:type="pct"/>
            <w:shd w:val="clear" w:color="auto" w:fill="auto"/>
            <w:noWrap/>
          </w:tcPr>
          <w:p w14:paraId="29359A00"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0.4917***</w:t>
            </w:r>
          </w:p>
        </w:tc>
        <w:tc>
          <w:tcPr>
            <w:tcW w:w="450" w:type="pct"/>
            <w:shd w:val="clear" w:color="auto" w:fill="auto"/>
          </w:tcPr>
          <w:p w14:paraId="0861B404"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0.4717***</w:t>
            </w:r>
          </w:p>
        </w:tc>
        <w:tc>
          <w:tcPr>
            <w:tcW w:w="423" w:type="pct"/>
            <w:shd w:val="clear" w:color="auto" w:fill="auto"/>
          </w:tcPr>
          <w:p w14:paraId="2743B1E8"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0.4733***</w:t>
            </w:r>
          </w:p>
        </w:tc>
        <w:tc>
          <w:tcPr>
            <w:tcW w:w="450" w:type="pct"/>
            <w:shd w:val="clear" w:color="auto" w:fill="auto"/>
          </w:tcPr>
          <w:p w14:paraId="6B0CCA73"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0.4810***</w:t>
            </w:r>
          </w:p>
        </w:tc>
        <w:tc>
          <w:tcPr>
            <w:tcW w:w="450" w:type="pct"/>
            <w:shd w:val="clear" w:color="auto" w:fill="auto"/>
          </w:tcPr>
          <w:p w14:paraId="64BF8E51"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0.4828***</w:t>
            </w:r>
          </w:p>
        </w:tc>
      </w:tr>
      <w:tr w:rsidR="00824E51" w:rsidRPr="00F82B8F" w14:paraId="7BF5D267" w14:textId="77777777" w:rsidTr="00824E51">
        <w:trPr>
          <w:trHeight w:val="300"/>
        </w:trPr>
        <w:tc>
          <w:tcPr>
            <w:tcW w:w="540" w:type="pct"/>
            <w:shd w:val="clear" w:color="auto" w:fill="auto"/>
            <w:noWrap/>
          </w:tcPr>
          <w:p w14:paraId="2677C2E8" w14:textId="77777777" w:rsidR="00824E51" w:rsidRPr="00F82B8F" w:rsidRDefault="00824E51" w:rsidP="00824E51">
            <w:pPr>
              <w:spacing w:after="0" w:line="240" w:lineRule="auto"/>
              <w:rPr>
                <w:rFonts w:ascii="Times New Roman" w:eastAsia="Times New Roman" w:hAnsi="Times New Roman" w:cs="Times New Roman"/>
                <w:color w:val="000000"/>
                <w:sz w:val="20"/>
                <w:szCs w:val="20"/>
                <w:lang w:eastAsia="en-GB"/>
              </w:rPr>
            </w:pPr>
          </w:p>
        </w:tc>
        <w:tc>
          <w:tcPr>
            <w:tcW w:w="491" w:type="pct"/>
            <w:shd w:val="clear" w:color="auto" w:fill="auto"/>
            <w:noWrap/>
          </w:tcPr>
          <w:p w14:paraId="5B7D11E6"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(0.0223)</w:t>
            </w:r>
          </w:p>
        </w:tc>
        <w:tc>
          <w:tcPr>
            <w:tcW w:w="423" w:type="pct"/>
            <w:shd w:val="clear" w:color="auto" w:fill="auto"/>
            <w:noWrap/>
          </w:tcPr>
          <w:p w14:paraId="682499AA"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(0.0225)</w:t>
            </w:r>
          </w:p>
        </w:tc>
        <w:tc>
          <w:tcPr>
            <w:tcW w:w="450" w:type="pct"/>
            <w:shd w:val="clear" w:color="auto" w:fill="auto"/>
            <w:noWrap/>
          </w:tcPr>
          <w:p w14:paraId="5F280B49"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(0.0213)</w:t>
            </w:r>
          </w:p>
        </w:tc>
        <w:tc>
          <w:tcPr>
            <w:tcW w:w="450" w:type="pct"/>
            <w:shd w:val="clear" w:color="auto" w:fill="auto"/>
            <w:noWrap/>
          </w:tcPr>
          <w:p w14:paraId="1E45EB61"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(0.0215)</w:t>
            </w:r>
          </w:p>
        </w:tc>
        <w:tc>
          <w:tcPr>
            <w:tcW w:w="450" w:type="pct"/>
            <w:shd w:val="clear" w:color="auto" w:fill="auto"/>
            <w:noWrap/>
          </w:tcPr>
          <w:p w14:paraId="7B63A560"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(0.0214)</w:t>
            </w:r>
          </w:p>
        </w:tc>
        <w:tc>
          <w:tcPr>
            <w:tcW w:w="423" w:type="pct"/>
            <w:shd w:val="clear" w:color="auto" w:fill="auto"/>
            <w:noWrap/>
          </w:tcPr>
          <w:p w14:paraId="38CC5C78"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(0.0218)</w:t>
            </w:r>
          </w:p>
        </w:tc>
        <w:tc>
          <w:tcPr>
            <w:tcW w:w="450" w:type="pct"/>
            <w:shd w:val="clear" w:color="auto" w:fill="auto"/>
          </w:tcPr>
          <w:p w14:paraId="13044688"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(0.0211)</w:t>
            </w:r>
          </w:p>
        </w:tc>
        <w:tc>
          <w:tcPr>
            <w:tcW w:w="423" w:type="pct"/>
            <w:shd w:val="clear" w:color="auto" w:fill="auto"/>
          </w:tcPr>
          <w:p w14:paraId="26128834"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(0.0211)</w:t>
            </w:r>
          </w:p>
        </w:tc>
        <w:tc>
          <w:tcPr>
            <w:tcW w:w="450" w:type="pct"/>
            <w:shd w:val="clear" w:color="auto" w:fill="auto"/>
          </w:tcPr>
          <w:p w14:paraId="30000098"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(0.0216)</w:t>
            </w:r>
          </w:p>
        </w:tc>
        <w:tc>
          <w:tcPr>
            <w:tcW w:w="450" w:type="pct"/>
            <w:shd w:val="clear" w:color="auto" w:fill="auto"/>
          </w:tcPr>
          <w:p w14:paraId="0B23888F"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(0.0216)</w:t>
            </w:r>
          </w:p>
        </w:tc>
      </w:tr>
      <w:tr w:rsidR="00824E51" w:rsidRPr="00F82B8F" w14:paraId="606B2229" w14:textId="77777777" w:rsidTr="00824E51">
        <w:trPr>
          <w:trHeight w:val="300"/>
        </w:trPr>
        <w:tc>
          <w:tcPr>
            <w:tcW w:w="540" w:type="pct"/>
            <w:shd w:val="clear" w:color="auto" w:fill="auto"/>
            <w:noWrap/>
          </w:tcPr>
          <w:p w14:paraId="2095A6BE" w14:textId="77777777" w:rsidR="00824E51" w:rsidRPr="00F82B8F" w:rsidRDefault="00824E51" w:rsidP="00824E51">
            <w:pPr>
              <w:spacing w:after="0" w:line="240" w:lineRule="auto"/>
              <w:rPr>
                <w:rFonts w:ascii="Times New Roman" w:eastAsia="Times New Roman" w:hAnsi="Times New Roman" w:cs="Times New Roman"/>
                <w:color w:val="000000"/>
                <w:sz w:val="20"/>
                <w:szCs w:val="20"/>
                <w:lang w:eastAsia="en-GB"/>
              </w:rPr>
            </w:pPr>
            <m:oMathPara>
              <m:oMathParaPr>
                <m:jc m:val="left"/>
              </m:oMathParaPr>
              <m:oMath>
                <m:r>
                  <w:rPr>
                    <w:rFonts w:ascii="Cambria Math" w:eastAsia="Times New Roman" w:hAnsi="Cambria Math" w:cs="Times New Roman"/>
                    <w:color w:val="000000"/>
                    <w:sz w:val="20"/>
                    <w:szCs w:val="20"/>
                    <w:lang w:eastAsia="en-GB"/>
                  </w:rPr>
                  <m:t>δ</m:t>
                </m:r>
              </m:oMath>
            </m:oMathPara>
          </w:p>
        </w:tc>
        <w:tc>
          <w:tcPr>
            <w:tcW w:w="491" w:type="pct"/>
            <w:shd w:val="clear" w:color="auto" w:fill="auto"/>
            <w:noWrap/>
          </w:tcPr>
          <w:p w14:paraId="282A7B1A"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0.3320***</w:t>
            </w:r>
          </w:p>
        </w:tc>
        <w:tc>
          <w:tcPr>
            <w:tcW w:w="423" w:type="pct"/>
            <w:shd w:val="clear" w:color="auto" w:fill="auto"/>
            <w:noWrap/>
          </w:tcPr>
          <w:p w14:paraId="00C15124"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0.3610***</w:t>
            </w:r>
          </w:p>
        </w:tc>
        <w:tc>
          <w:tcPr>
            <w:tcW w:w="450" w:type="pct"/>
            <w:shd w:val="clear" w:color="auto" w:fill="auto"/>
            <w:noWrap/>
          </w:tcPr>
          <w:p w14:paraId="13528A81"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0.3619***</w:t>
            </w:r>
          </w:p>
        </w:tc>
        <w:tc>
          <w:tcPr>
            <w:tcW w:w="450" w:type="pct"/>
            <w:shd w:val="clear" w:color="auto" w:fill="auto"/>
            <w:noWrap/>
          </w:tcPr>
          <w:p w14:paraId="609821B9"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0.3879***</w:t>
            </w:r>
          </w:p>
        </w:tc>
        <w:tc>
          <w:tcPr>
            <w:tcW w:w="450" w:type="pct"/>
            <w:shd w:val="clear" w:color="auto" w:fill="auto"/>
            <w:noWrap/>
          </w:tcPr>
          <w:p w14:paraId="475297A7"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0.3725***</w:t>
            </w:r>
          </w:p>
        </w:tc>
        <w:tc>
          <w:tcPr>
            <w:tcW w:w="423" w:type="pct"/>
            <w:shd w:val="clear" w:color="auto" w:fill="auto"/>
            <w:noWrap/>
          </w:tcPr>
          <w:p w14:paraId="4690B0F1"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0.4228***</w:t>
            </w:r>
          </w:p>
        </w:tc>
        <w:tc>
          <w:tcPr>
            <w:tcW w:w="450" w:type="pct"/>
            <w:shd w:val="clear" w:color="auto" w:fill="auto"/>
          </w:tcPr>
          <w:p w14:paraId="37E0EE22"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0.3801***</w:t>
            </w:r>
          </w:p>
        </w:tc>
        <w:tc>
          <w:tcPr>
            <w:tcW w:w="423" w:type="pct"/>
            <w:shd w:val="clear" w:color="auto" w:fill="auto"/>
          </w:tcPr>
          <w:p w14:paraId="4B1C6D5C"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0.3902***</w:t>
            </w:r>
          </w:p>
        </w:tc>
        <w:tc>
          <w:tcPr>
            <w:tcW w:w="450" w:type="pct"/>
            <w:shd w:val="clear" w:color="auto" w:fill="auto"/>
          </w:tcPr>
          <w:p w14:paraId="1C9C488D"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0.4063***</w:t>
            </w:r>
          </w:p>
        </w:tc>
        <w:tc>
          <w:tcPr>
            <w:tcW w:w="450" w:type="pct"/>
            <w:shd w:val="clear" w:color="auto" w:fill="auto"/>
          </w:tcPr>
          <w:p w14:paraId="329812CE"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0.4049***</w:t>
            </w:r>
          </w:p>
        </w:tc>
      </w:tr>
      <w:tr w:rsidR="00824E51" w:rsidRPr="00F82B8F" w14:paraId="1B469256" w14:textId="77777777" w:rsidTr="00824E51">
        <w:trPr>
          <w:trHeight w:val="300"/>
        </w:trPr>
        <w:tc>
          <w:tcPr>
            <w:tcW w:w="540" w:type="pct"/>
            <w:shd w:val="clear" w:color="auto" w:fill="auto"/>
            <w:noWrap/>
          </w:tcPr>
          <w:p w14:paraId="090A6EEA" w14:textId="77777777" w:rsidR="00824E51" w:rsidRPr="00F82B8F" w:rsidRDefault="00824E51" w:rsidP="00824E51">
            <w:pPr>
              <w:spacing w:after="0" w:line="240" w:lineRule="auto"/>
              <w:rPr>
                <w:rFonts w:ascii="Times New Roman" w:eastAsia="Times New Roman" w:hAnsi="Times New Roman" w:cs="Times New Roman"/>
                <w:color w:val="000000"/>
                <w:sz w:val="20"/>
                <w:szCs w:val="20"/>
                <w:lang w:eastAsia="en-GB"/>
              </w:rPr>
            </w:pPr>
          </w:p>
        </w:tc>
        <w:tc>
          <w:tcPr>
            <w:tcW w:w="491" w:type="pct"/>
            <w:shd w:val="clear" w:color="auto" w:fill="auto"/>
            <w:noWrap/>
          </w:tcPr>
          <w:p w14:paraId="704DCFB0"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(0.0427)</w:t>
            </w:r>
          </w:p>
        </w:tc>
        <w:tc>
          <w:tcPr>
            <w:tcW w:w="423" w:type="pct"/>
            <w:shd w:val="clear" w:color="auto" w:fill="auto"/>
            <w:noWrap/>
          </w:tcPr>
          <w:p w14:paraId="7425741E"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(0.0435)</w:t>
            </w:r>
          </w:p>
        </w:tc>
        <w:tc>
          <w:tcPr>
            <w:tcW w:w="450" w:type="pct"/>
            <w:shd w:val="clear" w:color="auto" w:fill="auto"/>
            <w:noWrap/>
          </w:tcPr>
          <w:p w14:paraId="5BE4935D"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(0.0439)</w:t>
            </w:r>
          </w:p>
        </w:tc>
        <w:tc>
          <w:tcPr>
            <w:tcW w:w="450" w:type="pct"/>
            <w:shd w:val="clear" w:color="auto" w:fill="auto"/>
            <w:noWrap/>
          </w:tcPr>
          <w:p w14:paraId="6AF64959"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(0.0445)</w:t>
            </w:r>
          </w:p>
        </w:tc>
        <w:tc>
          <w:tcPr>
            <w:tcW w:w="450" w:type="pct"/>
            <w:shd w:val="clear" w:color="auto" w:fill="auto"/>
            <w:noWrap/>
          </w:tcPr>
          <w:p w14:paraId="0568D120"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(0.0439)</w:t>
            </w:r>
          </w:p>
        </w:tc>
        <w:tc>
          <w:tcPr>
            <w:tcW w:w="423" w:type="pct"/>
            <w:shd w:val="clear" w:color="auto" w:fill="auto"/>
            <w:noWrap/>
          </w:tcPr>
          <w:p w14:paraId="212B5A6B"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(0.0464)</w:t>
            </w:r>
          </w:p>
        </w:tc>
        <w:tc>
          <w:tcPr>
            <w:tcW w:w="450" w:type="pct"/>
            <w:shd w:val="clear" w:color="auto" w:fill="auto"/>
          </w:tcPr>
          <w:p w14:paraId="173891A4"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(0.0442)</w:t>
            </w:r>
          </w:p>
        </w:tc>
        <w:tc>
          <w:tcPr>
            <w:tcW w:w="423" w:type="pct"/>
            <w:shd w:val="clear" w:color="auto" w:fill="auto"/>
          </w:tcPr>
          <w:p w14:paraId="70380117"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(0.0448)</w:t>
            </w:r>
          </w:p>
        </w:tc>
        <w:tc>
          <w:tcPr>
            <w:tcW w:w="450" w:type="pct"/>
            <w:shd w:val="clear" w:color="auto" w:fill="auto"/>
          </w:tcPr>
          <w:p w14:paraId="2F8EB842"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(0.0456)</w:t>
            </w:r>
          </w:p>
        </w:tc>
        <w:tc>
          <w:tcPr>
            <w:tcW w:w="450" w:type="pct"/>
            <w:shd w:val="clear" w:color="auto" w:fill="auto"/>
          </w:tcPr>
          <w:p w14:paraId="113F7AD8"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(0.0456)</w:t>
            </w:r>
          </w:p>
        </w:tc>
      </w:tr>
      <w:tr w:rsidR="00824E51" w:rsidRPr="00F82B8F" w14:paraId="44537A16" w14:textId="77777777" w:rsidTr="00824E51">
        <w:trPr>
          <w:trHeight w:val="300"/>
        </w:trPr>
        <w:tc>
          <w:tcPr>
            <w:tcW w:w="540" w:type="pct"/>
            <w:shd w:val="clear" w:color="auto" w:fill="auto"/>
            <w:noWrap/>
          </w:tcPr>
          <w:p w14:paraId="7D68A7AF" w14:textId="77777777" w:rsidR="00824E51" w:rsidRPr="00F82B8F" w:rsidRDefault="00984A85" w:rsidP="00824E51">
            <w:pPr>
              <w:spacing w:after="0" w:line="240" w:lineRule="auto"/>
              <w:rPr>
                <w:rFonts w:ascii="Times New Roman" w:eastAsia="Times New Roman" w:hAnsi="Times New Roman" w:cs="Times New Roman"/>
                <w:color w:val="000000"/>
                <w:sz w:val="20"/>
                <w:szCs w:val="20"/>
                <w:lang w:eastAsia="en-GB"/>
              </w:rPr>
            </w:pPr>
            <m:oMathPara>
              <m:oMathParaPr>
                <m:jc m:val="left"/>
              </m:oMathParaPr>
              <m:oMath>
                <m:sSub>
                  <m:sSubPr>
                    <m:ctrlPr>
                      <w:rPr>
                        <w:rFonts w:ascii="Cambria Math" w:eastAsia="Times New Roman" w:hAnsi="Cambria Math" w:cs="Times New Roman"/>
                        <w:i/>
                        <w:color w:val="000000"/>
                        <w:sz w:val="20"/>
                        <w:szCs w:val="20"/>
                        <w:lang w:eastAsia="en-GB"/>
                      </w:rPr>
                    </m:ctrlPr>
                  </m:sSubPr>
                  <m:e>
                    <m:r>
                      <w:rPr>
                        <w:rFonts w:ascii="Cambria Math" w:eastAsia="Times New Roman" w:hAnsi="Cambria Math" w:cs="Times New Roman"/>
                        <w:color w:val="000000"/>
                        <w:sz w:val="20"/>
                        <w:szCs w:val="20"/>
                        <w:lang w:eastAsia="en-GB"/>
                      </w:rPr>
                      <m:t>λ</m:t>
                    </m:r>
                  </m:e>
                  <m:sub>
                    <m:r>
                      <w:rPr>
                        <w:rFonts w:ascii="Cambria Math" w:eastAsia="Times New Roman" w:hAnsi="Cambria Math" w:cs="Times New Roman"/>
                        <w:color w:val="000000"/>
                        <w:sz w:val="20"/>
                        <w:szCs w:val="20"/>
                        <w:lang w:eastAsia="en-GB"/>
                      </w:rPr>
                      <m:t>0</m:t>
                    </m:r>
                  </m:sub>
                </m:sSub>
              </m:oMath>
            </m:oMathPara>
          </w:p>
        </w:tc>
        <w:tc>
          <w:tcPr>
            <w:tcW w:w="491" w:type="pct"/>
            <w:shd w:val="clear" w:color="auto" w:fill="auto"/>
            <w:noWrap/>
          </w:tcPr>
          <w:p w14:paraId="32F5D87D"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-19.2976***</w:t>
            </w:r>
          </w:p>
        </w:tc>
        <w:tc>
          <w:tcPr>
            <w:tcW w:w="423" w:type="pct"/>
            <w:shd w:val="clear" w:color="auto" w:fill="auto"/>
            <w:noWrap/>
          </w:tcPr>
          <w:p w14:paraId="1C7F0D40"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-4.6917*</w:t>
            </w:r>
          </w:p>
        </w:tc>
        <w:tc>
          <w:tcPr>
            <w:tcW w:w="450" w:type="pct"/>
            <w:shd w:val="clear" w:color="auto" w:fill="auto"/>
            <w:noWrap/>
          </w:tcPr>
          <w:p w14:paraId="512C21EC"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-5.1780***</w:t>
            </w:r>
          </w:p>
        </w:tc>
        <w:tc>
          <w:tcPr>
            <w:tcW w:w="450" w:type="pct"/>
            <w:shd w:val="clear" w:color="auto" w:fill="auto"/>
            <w:noWrap/>
          </w:tcPr>
          <w:p w14:paraId="251E3420"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-5.3872***</w:t>
            </w:r>
          </w:p>
        </w:tc>
        <w:tc>
          <w:tcPr>
            <w:tcW w:w="450" w:type="pct"/>
            <w:shd w:val="clear" w:color="auto" w:fill="auto"/>
            <w:noWrap/>
          </w:tcPr>
          <w:p w14:paraId="12C27DDA"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-6.5106***</w:t>
            </w:r>
          </w:p>
        </w:tc>
        <w:tc>
          <w:tcPr>
            <w:tcW w:w="423" w:type="pct"/>
            <w:shd w:val="clear" w:color="auto" w:fill="auto"/>
            <w:noWrap/>
          </w:tcPr>
          <w:p w14:paraId="4A62DFF3"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2.6809</w:t>
            </w:r>
          </w:p>
        </w:tc>
        <w:tc>
          <w:tcPr>
            <w:tcW w:w="450" w:type="pct"/>
            <w:shd w:val="clear" w:color="auto" w:fill="auto"/>
          </w:tcPr>
          <w:p w14:paraId="4E363941"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8.0966***</w:t>
            </w:r>
          </w:p>
        </w:tc>
        <w:tc>
          <w:tcPr>
            <w:tcW w:w="423" w:type="pct"/>
            <w:shd w:val="clear" w:color="auto" w:fill="auto"/>
          </w:tcPr>
          <w:p w14:paraId="113F5380"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-1.0744</w:t>
            </w:r>
          </w:p>
        </w:tc>
        <w:tc>
          <w:tcPr>
            <w:tcW w:w="450" w:type="pct"/>
            <w:shd w:val="clear" w:color="auto" w:fill="auto"/>
          </w:tcPr>
          <w:p w14:paraId="457303A8"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-5.7678***</w:t>
            </w:r>
          </w:p>
        </w:tc>
        <w:tc>
          <w:tcPr>
            <w:tcW w:w="450" w:type="pct"/>
            <w:shd w:val="clear" w:color="auto" w:fill="auto"/>
          </w:tcPr>
          <w:p w14:paraId="686019AC"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-5.3642***</w:t>
            </w:r>
          </w:p>
        </w:tc>
      </w:tr>
      <w:tr w:rsidR="00824E51" w:rsidRPr="00F82B8F" w14:paraId="6F31E0AC" w14:textId="77777777" w:rsidTr="00824E51">
        <w:trPr>
          <w:trHeight w:val="300"/>
        </w:trPr>
        <w:tc>
          <w:tcPr>
            <w:tcW w:w="540" w:type="pct"/>
            <w:shd w:val="clear" w:color="auto" w:fill="auto"/>
            <w:noWrap/>
          </w:tcPr>
          <w:p w14:paraId="517F7D9A" w14:textId="77777777" w:rsidR="00824E51" w:rsidRPr="00F82B8F" w:rsidRDefault="00824E51" w:rsidP="00824E51">
            <w:pPr>
              <w:spacing w:after="0" w:line="240" w:lineRule="auto"/>
              <w:rPr>
                <w:rFonts w:ascii="Times New Roman" w:eastAsia="Times New Roman" w:hAnsi="Times New Roman" w:cs="Times New Roman"/>
                <w:color w:val="000000"/>
                <w:sz w:val="20"/>
                <w:szCs w:val="20"/>
                <w:lang w:eastAsia="en-GB"/>
              </w:rPr>
            </w:pPr>
          </w:p>
        </w:tc>
        <w:tc>
          <w:tcPr>
            <w:tcW w:w="491" w:type="pct"/>
            <w:shd w:val="clear" w:color="auto" w:fill="auto"/>
            <w:noWrap/>
          </w:tcPr>
          <w:p w14:paraId="23024E18"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(4.4180)</w:t>
            </w:r>
          </w:p>
        </w:tc>
        <w:tc>
          <w:tcPr>
            <w:tcW w:w="423" w:type="pct"/>
            <w:shd w:val="clear" w:color="auto" w:fill="auto"/>
            <w:noWrap/>
          </w:tcPr>
          <w:p w14:paraId="2A7ABDB2"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(2.4051)</w:t>
            </w:r>
          </w:p>
        </w:tc>
        <w:tc>
          <w:tcPr>
            <w:tcW w:w="450" w:type="pct"/>
            <w:shd w:val="clear" w:color="auto" w:fill="auto"/>
            <w:noWrap/>
          </w:tcPr>
          <w:p w14:paraId="41CC1A60"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(0.3850)</w:t>
            </w:r>
          </w:p>
        </w:tc>
        <w:tc>
          <w:tcPr>
            <w:tcW w:w="450" w:type="pct"/>
            <w:shd w:val="clear" w:color="auto" w:fill="auto"/>
            <w:noWrap/>
          </w:tcPr>
          <w:p w14:paraId="4E1C9E01"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(0.4112)</w:t>
            </w:r>
          </w:p>
        </w:tc>
        <w:tc>
          <w:tcPr>
            <w:tcW w:w="450" w:type="pct"/>
            <w:shd w:val="clear" w:color="auto" w:fill="auto"/>
            <w:noWrap/>
          </w:tcPr>
          <w:p w14:paraId="3AE670FE"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(0.8420)</w:t>
            </w:r>
          </w:p>
        </w:tc>
        <w:tc>
          <w:tcPr>
            <w:tcW w:w="423" w:type="pct"/>
            <w:shd w:val="clear" w:color="auto" w:fill="auto"/>
            <w:noWrap/>
          </w:tcPr>
          <w:p w14:paraId="358997F1"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(3.8632)</w:t>
            </w:r>
          </w:p>
        </w:tc>
        <w:tc>
          <w:tcPr>
            <w:tcW w:w="450" w:type="pct"/>
            <w:shd w:val="clear" w:color="auto" w:fill="auto"/>
          </w:tcPr>
          <w:p w14:paraId="7A96BFF4"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(3.1237)</w:t>
            </w:r>
          </w:p>
        </w:tc>
        <w:tc>
          <w:tcPr>
            <w:tcW w:w="423" w:type="pct"/>
            <w:shd w:val="clear" w:color="auto" w:fill="auto"/>
          </w:tcPr>
          <w:p w14:paraId="044EF7D1"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(8.6434)</w:t>
            </w:r>
          </w:p>
        </w:tc>
        <w:tc>
          <w:tcPr>
            <w:tcW w:w="450" w:type="pct"/>
            <w:shd w:val="clear" w:color="auto" w:fill="auto"/>
          </w:tcPr>
          <w:p w14:paraId="6485D049"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(0.6197)</w:t>
            </w:r>
          </w:p>
        </w:tc>
        <w:tc>
          <w:tcPr>
            <w:tcW w:w="450" w:type="pct"/>
            <w:shd w:val="clear" w:color="auto" w:fill="auto"/>
          </w:tcPr>
          <w:p w14:paraId="7C9465AB"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(0.6200)</w:t>
            </w:r>
          </w:p>
        </w:tc>
      </w:tr>
      <w:tr w:rsidR="00824E51" w:rsidRPr="00F82B8F" w14:paraId="277F326A" w14:textId="77777777" w:rsidTr="00824E51">
        <w:trPr>
          <w:trHeight w:val="300"/>
        </w:trPr>
        <w:tc>
          <w:tcPr>
            <w:tcW w:w="540" w:type="pct"/>
            <w:shd w:val="clear" w:color="auto" w:fill="auto"/>
            <w:noWrap/>
          </w:tcPr>
          <w:p w14:paraId="67850DE2" w14:textId="77777777" w:rsidR="00824E51" w:rsidRPr="00F82B8F" w:rsidRDefault="00824E51" w:rsidP="00824E51">
            <w:pPr>
              <w:spacing w:after="0" w:line="240" w:lineRule="auto"/>
              <w:rPr>
                <w:rFonts w:ascii="Times New Roman" w:eastAsia="Times New Roman" w:hAnsi="Times New Roman" w:cs="Times New Roman"/>
                <w:color w:val="000000"/>
                <w:sz w:val="20"/>
                <w:szCs w:val="20"/>
                <w:lang w:eastAsia="en-GB"/>
              </w:rPr>
            </w:pPr>
          </w:p>
        </w:tc>
        <w:tc>
          <w:tcPr>
            <w:tcW w:w="491" w:type="pct"/>
            <w:shd w:val="clear" w:color="auto" w:fill="auto"/>
            <w:noWrap/>
          </w:tcPr>
          <w:p w14:paraId="76728A6A"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23" w:type="pct"/>
            <w:shd w:val="clear" w:color="auto" w:fill="auto"/>
            <w:noWrap/>
          </w:tcPr>
          <w:p w14:paraId="2334F341"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4164CA12"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52A8FCFD"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noWrap/>
          </w:tcPr>
          <w:p w14:paraId="37FE57B1"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23" w:type="pct"/>
            <w:shd w:val="clear" w:color="auto" w:fill="auto"/>
            <w:noWrap/>
          </w:tcPr>
          <w:p w14:paraId="3376FCB7"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tcPr>
          <w:p w14:paraId="76C9C308"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23" w:type="pct"/>
            <w:shd w:val="clear" w:color="auto" w:fill="auto"/>
          </w:tcPr>
          <w:p w14:paraId="354BFFD8"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tcPr>
          <w:p w14:paraId="3FA2D7B6"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c>
          <w:tcPr>
            <w:tcW w:w="450" w:type="pct"/>
            <w:shd w:val="clear" w:color="auto" w:fill="auto"/>
          </w:tcPr>
          <w:p w14:paraId="653A3D94"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p>
        </w:tc>
      </w:tr>
      <w:tr w:rsidR="00824E51" w:rsidRPr="00F82B8F" w14:paraId="4ADAE968" w14:textId="77777777" w:rsidTr="00824E51">
        <w:trPr>
          <w:trHeight w:val="300"/>
        </w:trPr>
        <w:tc>
          <w:tcPr>
            <w:tcW w:w="540" w:type="pct"/>
            <w:tcBorders>
              <w:bottom w:val="single" w:sz="4" w:space="0" w:color="auto"/>
            </w:tcBorders>
            <w:shd w:val="clear" w:color="auto" w:fill="auto"/>
            <w:noWrap/>
          </w:tcPr>
          <w:p w14:paraId="55BDC17B" w14:textId="77777777" w:rsidR="00824E51" w:rsidRPr="00F82B8F" w:rsidRDefault="00824E51" w:rsidP="00824E51">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Observations</w:t>
            </w:r>
          </w:p>
        </w:tc>
        <w:tc>
          <w:tcPr>
            <w:tcW w:w="491" w:type="pct"/>
            <w:tcBorders>
              <w:bottom w:val="single" w:sz="4" w:space="0" w:color="auto"/>
            </w:tcBorders>
            <w:shd w:val="clear" w:color="auto" w:fill="auto"/>
            <w:noWrap/>
          </w:tcPr>
          <w:p w14:paraId="6BB475A1"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5,989</w:t>
            </w:r>
          </w:p>
        </w:tc>
        <w:tc>
          <w:tcPr>
            <w:tcW w:w="423" w:type="pct"/>
            <w:tcBorders>
              <w:bottom w:val="single" w:sz="4" w:space="0" w:color="auto"/>
            </w:tcBorders>
            <w:shd w:val="clear" w:color="auto" w:fill="auto"/>
            <w:noWrap/>
          </w:tcPr>
          <w:p w14:paraId="05119B8D"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5,989</w:t>
            </w:r>
          </w:p>
        </w:tc>
        <w:tc>
          <w:tcPr>
            <w:tcW w:w="450" w:type="pct"/>
            <w:tcBorders>
              <w:bottom w:val="single" w:sz="4" w:space="0" w:color="auto"/>
            </w:tcBorders>
            <w:shd w:val="clear" w:color="auto" w:fill="auto"/>
            <w:noWrap/>
          </w:tcPr>
          <w:p w14:paraId="0F891FA8"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5,989</w:t>
            </w:r>
          </w:p>
        </w:tc>
        <w:tc>
          <w:tcPr>
            <w:tcW w:w="450" w:type="pct"/>
            <w:tcBorders>
              <w:bottom w:val="single" w:sz="4" w:space="0" w:color="auto"/>
            </w:tcBorders>
            <w:shd w:val="clear" w:color="auto" w:fill="auto"/>
            <w:noWrap/>
          </w:tcPr>
          <w:p w14:paraId="1A9022AF"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5,989</w:t>
            </w:r>
          </w:p>
        </w:tc>
        <w:tc>
          <w:tcPr>
            <w:tcW w:w="450" w:type="pct"/>
            <w:tcBorders>
              <w:bottom w:val="single" w:sz="4" w:space="0" w:color="auto"/>
            </w:tcBorders>
            <w:shd w:val="clear" w:color="auto" w:fill="auto"/>
            <w:noWrap/>
          </w:tcPr>
          <w:p w14:paraId="268F6553"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5,989</w:t>
            </w:r>
          </w:p>
        </w:tc>
        <w:tc>
          <w:tcPr>
            <w:tcW w:w="423" w:type="pct"/>
            <w:tcBorders>
              <w:bottom w:val="single" w:sz="4" w:space="0" w:color="auto"/>
            </w:tcBorders>
            <w:shd w:val="clear" w:color="auto" w:fill="auto"/>
            <w:noWrap/>
          </w:tcPr>
          <w:p w14:paraId="662EDB25"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5,812</w:t>
            </w:r>
          </w:p>
        </w:tc>
        <w:tc>
          <w:tcPr>
            <w:tcW w:w="450" w:type="pct"/>
            <w:tcBorders>
              <w:bottom w:val="single" w:sz="4" w:space="0" w:color="auto"/>
            </w:tcBorders>
            <w:shd w:val="clear" w:color="auto" w:fill="auto"/>
          </w:tcPr>
          <w:p w14:paraId="2E9A0AE9"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5,989</w:t>
            </w:r>
          </w:p>
        </w:tc>
        <w:tc>
          <w:tcPr>
            <w:tcW w:w="423" w:type="pct"/>
            <w:tcBorders>
              <w:bottom w:val="single" w:sz="4" w:space="0" w:color="auto"/>
            </w:tcBorders>
            <w:shd w:val="clear" w:color="auto" w:fill="auto"/>
          </w:tcPr>
          <w:p w14:paraId="66A158C5"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5,989</w:t>
            </w:r>
          </w:p>
        </w:tc>
        <w:tc>
          <w:tcPr>
            <w:tcW w:w="450" w:type="pct"/>
            <w:tcBorders>
              <w:bottom w:val="single" w:sz="4" w:space="0" w:color="auto"/>
            </w:tcBorders>
            <w:shd w:val="clear" w:color="auto" w:fill="auto"/>
          </w:tcPr>
          <w:p w14:paraId="56D76C62"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5,812</w:t>
            </w:r>
          </w:p>
        </w:tc>
        <w:tc>
          <w:tcPr>
            <w:tcW w:w="450" w:type="pct"/>
            <w:tcBorders>
              <w:bottom w:val="single" w:sz="4" w:space="0" w:color="auto"/>
            </w:tcBorders>
            <w:shd w:val="clear" w:color="auto" w:fill="auto"/>
          </w:tcPr>
          <w:p w14:paraId="2165DE3E" w14:textId="77777777" w:rsidR="00824E51" w:rsidRPr="00F82B8F" w:rsidRDefault="00824E51" w:rsidP="00824E51">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5,812</w:t>
            </w:r>
          </w:p>
        </w:tc>
      </w:tr>
    </w:tbl>
    <w:bookmarkEnd w:id="8"/>
    <w:p w14:paraId="3FB5ACBE" w14:textId="632772CC" w:rsidR="00A671DA" w:rsidRPr="00F82B8F" w:rsidRDefault="00824E51" w:rsidP="00A671DA">
      <w:pPr>
        <w:jc w:val="both"/>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Note: In this table</w:t>
      </w:r>
      <w:r w:rsidR="007D55DC" w:rsidRPr="00F82B8F">
        <w:rPr>
          <w:rFonts w:ascii="Times New Roman" w:eastAsia="Times New Roman" w:hAnsi="Times New Roman" w:cs="Times New Roman"/>
          <w:color w:val="000000"/>
          <w:sz w:val="20"/>
          <w:szCs w:val="20"/>
          <w:lang w:eastAsia="en-GB"/>
        </w:rPr>
        <w:t>,</w:t>
      </w:r>
      <w:r w:rsidRPr="00F82B8F">
        <w:rPr>
          <w:rFonts w:ascii="Times New Roman" w:eastAsia="Times New Roman" w:hAnsi="Times New Roman" w:cs="Times New Roman"/>
          <w:color w:val="000000"/>
          <w:sz w:val="20"/>
          <w:szCs w:val="20"/>
          <w:lang w:eastAsia="en-GB"/>
        </w:rPr>
        <w:t xml:space="preserve"> we present the results of interaction terms between country-level resilience score, its sub-components and other macro characteristics. </w:t>
      </w:r>
      <w:r w:rsidR="008E3B3E" w:rsidRPr="00F82B8F">
        <w:rPr>
          <w:rFonts w:ascii="Times New Roman" w:eastAsia="Times New Roman" w:hAnsi="Times New Roman" w:cs="Times New Roman"/>
          <w:color w:val="000000"/>
          <w:sz w:val="20"/>
          <w:szCs w:val="20"/>
          <w:lang w:eastAsia="en-GB"/>
        </w:rPr>
        <w:t>We use t</w:t>
      </w:r>
      <w:r w:rsidRPr="00F82B8F">
        <w:rPr>
          <w:rFonts w:ascii="Times New Roman" w:eastAsia="Times New Roman" w:hAnsi="Times New Roman" w:cs="Times New Roman"/>
          <w:color w:val="000000"/>
          <w:sz w:val="20"/>
          <w:szCs w:val="20"/>
          <w:lang w:eastAsia="en-GB"/>
        </w:rPr>
        <w:t xml:space="preserve">he interaction terms </w:t>
      </w:r>
      <w:r w:rsidR="008E3B3E" w:rsidRPr="00F82B8F">
        <w:rPr>
          <w:rFonts w:ascii="Times New Roman" w:eastAsia="Times New Roman" w:hAnsi="Times New Roman" w:cs="Times New Roman"/>
          <w:color w:val="000000"/>
          <w:sz w:val="20"/>
          <w:szCs w:val="20"/>
          <w:lang w:eastAsia="en-GB"/>
        </w:rPr>
        <w:t>to estimate whether sub-components and other macro variables could affect the equity market variance via improving the market’s resilience.</w:t>
      </w:r>
      <w:r w:rsidR="00A671DA" w:rsidRPr="00F82B8F">
        <w:rPr>
          <w:rFonts w:ascii="Times New Roman" w:eastAsia="Times New Roman" w:hAnsi="Times New Roman" w:cs="Times New Roman"/>
          <w:color w:val="000000"/>
          <w:sz w:val="20"/>
          <w:szCs w:val="20"/>
          <w:lang w:eastAsia="en-GB"/>
        </w:rPr>
        <w:t xml:space="preserve"> There is no simultaneous model in this table, as we have used the interaction </w:t>
      </w:r>
      <w:r w:rsidR="00D37FEC" w:rsidRPr="00F82B8F">
        <w:rPr>
          <w:rFonts w:ascii="Times New Roman" w:eastAsia="Times New Roman" w:hAnsi="Times New Roman" w:cs="Times New Roman"/>
          <w:color w:val="000000"/>
          <w:sz w:val="20"/>
          <w:szCs w:val="20"/>
          <w:lang w:eastAsia="en-GB"/>
        </w:rPr>
        <w:t xml:space="preserve">terms of </w:t>
      </w:r>
      <w:r w:rsidR="00A671DA" w:rsidRPr="00F82B8F">
        <w:rPr>
          <w:rFonts w:ascii="Times New Roman" w:eastAsia="Times New Roman" w:hAnsi="Times New Roman" w:cs="Times New Roman"/>
          <w:color w:val="000000"/>
          <w:sz w:val="20"/>
          <w:szCs w:val="20"/>
          <w:lang w:eastAsia="en-GB"/>
        </w:rPr>
        <w:t>resilience score with its sub</w:t>
      </w:r>
      <w:r w:rsidR="00D37FEC" w:rsidRPr="00F82B8F">
        <w:rPr>
          <w:rFonts w:ascii="Times New Roman" w:eastAsia="Times New Roman" w:hAnsi="Times New Roman" w:cs="Times New Roman"/>
          <w:color w:val="000000"/>
          <w:sz w:val="20"/>
          <w:szCs w:val="20"/>
          <w:lang w:eastAsia="en-GB"/>
        </w:rPr>
        <w:t>-</w:t>
      </w:r>
      <w:r w:rsidR="00A671DA" w:rsidRPr="00F82B8F">
        <w:rPr>
          <w:rFonts w:ascii="Times New Roman" w:eastAsia="Times New Roman" w:hAnsi="Times New Roman" w:cs="Times New Roman"/>
          <w:color w:val="000000"/>
          <w:sz w:val="20"/>
          <w:szCs w:val="20"/>
          <w:lang w:eastAsia="en-GB"/>
        </w:rPr>
        <w:t>components.</w:t>
      </w:r>
      <w:r w:rsidR="008E3B3E" w:rsidRPr="00F82B8F">
        <w:rPr>
          <w:rFonts w:ascii="Times New Roman" w:eastAsia="Times New Roman" w:hAnsi="Times New Roman" w:cs="Times New Roman"/>
          <w:color w:val="000000"/>
          <w:sz w:val="20"/>
          <w:szCs w:val="20"/>
          <w:lang w:eastAsia="en-GB"/>
        </w:rPr>
        <w:t xml:space="preserve"> </w:t>
      </w:r>
      <w:r w:rsidR="00A671DA" w:rsidRPr="00F82B8F">
        <w:rPr>
          <w:rFonts w:ascii="Times New Roman" w:eastAsia="Times New Roman" w:hAnsi="Times New Roman" w:cs="Times New Roman"/>
          <w:color w:val="000000"/>
          <w:sz w:val="20"/>
          <w:szCs w:val="20"/>
          <w:lang w:eastAsia="en-GB"/>
        </w:rPr>
        <w:t>The robust</w:t>
      </w:r>
      <w:r w:rsidRPr="00F82B8F">
        <w:rPr>
          <w:rFonts w:ascii="Times New Roman" w:eastAsia="Times New Roman" w:hAnsi="Times New Roman" w:cs="Times New Roman"/>
          <w:color w:val="000000"/>
          <w:sz w:val="20"/>
          <w:szCs w:val="20"/>
          <w:lang w:eastAsia="en-GB"/>
        </w:rPr>
        <w:t xml:space="preserve"> </w:t>
      </w:r>
      <w:r w:rsidR="00A671DA" w:rsidRPr="00F82B8F">
        <w:rPr>
          <w:rFonts w:ascii="Times New Roman" w:eastAsia="Times New Roman" w:hAnsi="Times New Roman" w:cs="Times New Roman"/>
          <w:color w:val="000000"/>
          <w:sz w:val="20"/>
          <w:szCs w:val="20"/>
          <w:lang w:eastAsia="en-GB"/>
        </w:rPr>
        <w:t>s</w:t>
      </w:r>
      <w:r w:rsidR="003E2B99" w:rsidRPr="00F82B8F">
        <w:rPr>
          <w:rFonts w:ascii="Times New Roman" w:eastAsia="Times New Roman" w:hAnsi="Times New Roman" w:cs="Times New Roman"/>
          <w:color w:val="000000"/>
          <w:sz w:val="20"/>
          <w:szCs w:val="20"/>
          <w:lang w:eastAsia="en-GB"/>
        </w:rPr>
        <w:t>tandard errors</w:t>
      </w:r>
      <w:r w:rsidR="00A671DA" w:rsidRPr="00F82B8F">
        <w:rPr>
          <w:rFonts w:ascii="Times New Roman" w:eastAsia="Times New Roman" w:hAnsi="Times New Roman" w:cs="Times New Roman"/>
          <w:color w:val="000000"/>
          <w:sz w:val="20"/>
          <w:szCs w:val="20"/>
          <w:lang w:eastAsia="en-GB"/>
        </w:rPr>
        <w:t xml:space="preserve"> are reported</w:t>
      </w:r>
      <w:r w:rsidR="003E2B99" w:rsidRPr="00F82B8F">
        <w:rPr>
          <w:rFonts w:ascii="Times New Roman" w:eastAsia="Times New Roman" w:hAnsi="Times New Roman" w:cs="Times New Roman"/>
          <w:color w:val="000000"/>
          <w:sz w:val="20"/>
          <w:szCs w:val="20"/>
          <w:lang w:eastAsia="en-GB"/>
        </w:rPr>
        <w:t xml:space="preserve"> in parentheses. </w:t>
      </w:r>
    </w:p>
    <w:p w14:paraId="0629A35F" w14:textId="75F3ED4D" w:rsidR="00F64F7E" w:rsidRPr="008573D2" w:rsidRDefault="00EE18D8" w:rsidP="00C92BFD">
      <w:pPr>
        <w:tabs>
          <w:tab w:val="left" w:pos="1620"/>
        </w:tabs>
        <w:jc w:val="both"/>
        <w:rPr>
          <w:rFonts w:ascii="Times New Roman" w:hAnsi="Times New Roman" w:cs="Times New Roman"/>
          <w:sz w:val="24"/>
          <w:szCs w:val="24"/>
        </w:rPr>
        <w:sectPr w:rsidR="00F64F7E" w:rsidRPr="008573D2" w:rsidSect="005526F3">
          <w:pgSz w:w="16838" w:h="11906" w:orient="landscape"/>
          <w:pgMar w:top="1440" w:right="1440" w:bottom="1440" w:left="1440" w:header="709" w:footer="709" w:gutter="0"/>
          <w:cols w:space="708"/>
          <w:docGrid w:linePitch="360"/>
        </w:sectPr>
      </w:pPr>
      <w:r w:rsidRPr="00F82B8F">
        <w:rPr>
          <w:rFonts w:ascii="Times New Roman" w:hAnsi="Times New Roman" w:cs="Times New Roman"/>
          <w:sz w:val="20"/>
          <w:szCs w:val="20"/>
        </w:rPr>
        <w:t>***, ** and * indicates statistical significance at the 1%, 5% and 10% level</w:t>
      </w:r>
      <w:r w:rsidR="0089762C" w:rsidRPr="00F82B8F">
        <w:rPr>
          <w:rFonts w:ascii="Times New Roman" w:hAnsi="Times New Roman" w:cs="Times New Roman"/>
          <w:sz w:val="20"/>
          <w:szCs w:val="20"/>
        </w:rPr>
        <w:t>s</w:t>
      </w:r>
      <w:r w:rsidR="007578A7" w:rsidRPr="00F82B8F">
        <w:rPr>
          <w:rFonts w:ascii="Times New Roman" w:hAnsi="Times New Roman" w:cs="Times New Roman"/>
          <w:sz w:val="20"/>
          <w:szCs w:val="20"/>
        </w:rPr>
        <w:t>,</w:t>
      </w:r>
      <w:r w:rsidRPr="00F82B8F">
        <w:rPr>
          <w:rFonts w:ascii="Times New Roman" w:hAnsi="Times New Roman" w:cs="Times New Roman"/>
          <w:sz w:val="20"/>
          <w:szCs w:val="20"/>
        </w:rPr>
        <w:t xml:space="preserve"> respectively.</w:t>
      </w:r>
    </w:p>
    <w:p w14:paraId="7837B2E7" w14:textId="402165EF" w:rsidR="005F19C7" w:rsidRPr="008573D2" w:rsidRDefault="006411CC" w:rsidP="00C92BFD">
      <w:pPr>
        <w:rPr>
          <w:rFonts w:ascii="Times New Roman" w:hAnsi="Times New Roman" w:cs="Times New Roman"/>
          <w:b/>
          <w:bCs/>
          <w:sz w:val="24"/>
          <w:szCs w:val="24"/>
        </w:rPr>
      </w:pPr>
      <w:r w:rsidRPr="008573D2">
        <w:rPr>
          <w:rFonts w:ascii="Times New Roman" w:hAnsi="Times New Roman" w:cs="Times New Roman"/>
          <w:b/>
          <w:bCs/>
          <w:sz w:val="24"/>
          <w:szCs w:val="24"/>
        </w:rPr>
        <w:lastRenderedPageBreak/>
        <w:t xml:space="preserve">Table </w:t>
      </w:r>
      <w:r w:rsidR="00C40C73" w:rsidRPr="008573D2">
        <w:rPr>
          <w:rFonts w:ascii="Times New Roman" w:hAnsi="Times New Roman" w:cs="Times New Roman"/>
          <w:b/>
          <w:bCs/>
          <w:sz w:val="24"/>
          <w:szCs w:val="24"/>
        </w:rPr>
        <w:t>7</w:t>
      </w:r>
      <w:r w:rsidRPr="008573D2">
        <w:rPr>
          <w:rFonts w:ascii="Times New Roman" w:hAnsi="Times New Roman" w:cs="Times New Roman"/>
          <w:b/>
          <w:bCs/>
          <w:sz w:val="24"/>
          <w:szCs w:val="24"/>
        </w:rPr>
        <w:t xml:space="preserve">: </w:t>
      </w:r>
      <w:r w:rsidR="00F378C2" w:rsidRPr="008573D2">
        <w:rPr>
          <w:rFonts w:ascii="Times New Roman" w:hAnsi="Times New Roman" w:cs="Times New Roman"/>
          <w:b/>
          <w:bCs/>
          <w:sz w:val="24"/>
          <w:szCs w:val="24"/>
        </w:rPr>
        <w:t xml:space="preserve">Impact of </w:t>
      </w:r>
      <w:r w:rsidR="00AD1A21" w:rsidRPr="008573D2">
        <w:rPr>
          <w:rFonts w:ascii="Times New Roman" w:hAnsi="Times New Roman" w:cs="Times New Roman"/>
          <w:b/>
          <w:bCs/>
          <w:sz w:val="24"/>
          <w:szCs w:val="24"/>
        </w:rPr>
        <w:t>M</w:t>
      </w:r>
      <w:r w:rsidR="005F19C7" w:rsidRPr="008573D2">
        <w:rPr>
          <w:rFonts w:ascii="Times New Roman" w:hAnsi="Times New Roman" w:cs="Times New Roman"/>
          <w:b/>
          <w:bCs/>
          <w:sz w:val="24"/>
          <w:szCs w:val="24"/>
        </w:rPr>
        <w:t xml:space="preserve">arket </w:t>
      </w:r>
      <w:r w:rsidR="00AD1A21" w:rsidRPr="008573D2">
        <w:rPr>
          <w:rFonts w:ascii="Times New Roman" w:hAnsi="Times New Roman" w:cs="Times New Roman"/>
          <w:b/>
          <w:bCs/>
          <w:sz w:val="24"/>
          <w:szCs w:val="24"/>
        </w:rPr>
        <w:t>R</w:t>
      </w:r>
      <w:r w:rsidR="00F378C2" w:rsidRPr="008573D2">
        <w:rPr>
          <w:rFonts w:ascii="Times New Roman" w:hAnsi="Times New Roman" w:cs="Times New Roman"/>
          <w:b/>
          <w:bCs/>
          <w:sz w:val="24"/>
          <w:szCs w:val="24"/>
        </w:rPr>
        <w:t>esilience on</w:t>
      </w:r>
      <w:r w:rsidRPr="008573D2">
        <w:rPr>
          <w:rFonts w:ascii="Times New Roman" w:hAnsi="Times New Roman" w:cs="Times New Roman"/>
          <w:b/>
          <w:bCs/>
          <w:sz w:val="24"/>
          <w:szCs w:val="24"/>
        </w:rPr>
        <w:t xml:space="preserve"> </w:t>
      </w:r>
      <w:r w:rsidR="00AD1A21" w:rsidRPr="008573D2">
        <w:rPr>
          <w:rFonts w:ascii="Times New Roman" w:hAnsi="Times New Roman" w:cs="Times New Roman"/>
          <w:b/>
          <w:bCs/>
          <w:sz w:val="24"/>
          <w:szCs w:val="24"/>
        </w:rPr>
        <w:t>D</w:t>
      </w:r>
      <w:r w:rsidR="005F19C7" w:rsidRPr="008573D2">
        <w:rPr>
          <w:rFonts w:ascii="Times New Roman" w:hAnsi="Times New Roman" w:cs="Times New Roman"/>
          <w:b/>
          <w:bCs/>
          <w:sz w:val="24"/>
          <w:szCs w:val="24"/>
        </w:rPr>
        <w:t>eveloped vs</w:t>
      </w:r>
      <w:r w:rsidR="00AD1A21" w:rsidRPr="008573D2">
        <w:rPr>
          <w:rFonts w:ascii="Times New Roman" w:hAnsi="Times New Roman" w:cs="Times New Roman"/>
          <w:b/>
          <w:bCs/>
          <w:sz w:val="24"/>
          <w:szCs w:val="24"/>
        </w:rPr>
        <w:t>.</w:t>
      </w:r>
      <w:r w:rsidR="005F19C7" w:rsidRPr="008573D2">
        <w:rPr>
          <w:rFonts w:ascii="Times New Roman" w:hAnsi="Times New Roman" w:cs="Times New Roman"/>
          <w:b/>
          <w:bCs/>
          <w:sz w:val="24"/>
          <w:szCs w:val="24"/>
        </w:rPr>
        <w:t xml:space="preserve"> </w:t>
      </w:r>
      <w:r w:rsidR="00AD1A21" w:rsidRPr="008573D2">
        <w:rPr>
          <w:rFonts w:ascii="Times New Roman" w:hAnsi="Times New Roman" w:cs="Times New Roman"/>
          <w:b/>
          <w:bCs/>
          <w:sz w:val="24"/>
          <w:szCs w:val="24"/>
        </w:rPr>
        <w:t>E</w:t>
      </w:r>
      <w:r w:rsidRPr="008573D2">
        <w:rPr>
          <w:rFonts w:ascii="Times New Roman" w:hAnsi="Times New Roman" w:cs="Times New Roman"/>
          <w:b/>
          <w:bCs/>
          <w:sz w:val="24"/>
          <w:szCs w:val="24"/>
        </w:rPr>
        <w:t xml:space="preserve">merging </w:t>
      </w:r>
      <w:r w:rsidR="00AD1A21" w:rsidRPr="008573D2">
        <w:rPr>
          <w:rFonts w:ascii="Times New Roman" w:hAnsi="Times New Roman" w:cs="Times New Roman"/>
          <w:b/>
          <w:bCs/>
          <w:sz w:val="24"/>
          <w:szCs w:val="24"/>
        </w:rPr>
        <w:t>M</w:t>
      </w:r>
      <w:r w:rsidRPr="008573D2">
        <w:rPr>
          <w:rFonts w:ascii="Times New Roman" w:hAnsi="Times New Roman" w:cs="Times New Roman"/>
          <w:b/>
          <w:bCs/>
          <w:sz w:val="24"/>
          <w:szCs w:val="24"/>
        </w:rPr>
        <w:t>arkets</w:t>
      </w:r>
    </w:p>
    <w:tbl>
      <w:tblPr>
        <w:tblW w:w="5000" w:type="pct"/>
        <w:tblLook w:val="04A0" w:firstRow="1" w:lastRow="0" w:firstColumn="1" w:lastColumn="0" w:noHBand="0" w:noVBand="1"/>
      </w:tblPr>
      <w:tblGrid>
        <w:gridCol w:w="2615"/>
        <w:gridCol w:w="2181"/>
        <w:gridCol w:w="2181"/>
        <w:gridCol w:w="2049"/>
      </w:tblGrid>
      <w:tr w:rsidR="003D16AC" w:rsidRPr="00F82B8F" w14:paraId="26DB8A93" w14:textId="77777777" w:rsidTr="003D16AC">
        <w:trPr>
          <w:trHeight w:val="300"/>
        </w:trPr>
        <w:tc>
          <w:tcPr>
            <w:tcW w:w="1449" w:type="pct"/>
            <w:tcBorders>
              <w:top w:val="single" w:sz="4" w:space="0" w:color="auto"/>
            </w:tcBorders>
            <w:shd w:val="clear" w:color="auto" w:fill="auto"/>
            <w:noWrap/>
            <w:hideMark/>
          </w:tcPr>
          <w:p w14:paraId="6F475AFD" w14:textId="2C9B0D3B"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bookmarkStart w:id="9" w:name="_Hlk49377089"/>
          </w:p>
        </w:tc>
        <w:tc>
          <w:tcPr>
            <w:tcW w:w="1208" w:type="pct"/>
            <w:tcBorders>
              <w:top w:val="single" w:sz="4" w:space="0" w:color="auto"/>
            </w:tcBorders>
          </w:tcPr>
          <w:p w14:paraId="1F7A7EBE" w14:textId="48395508"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(1)</w:t>
            </w:r>
          </w:p>
        </w:tc>
        <w:tc>
          <w:tcPr>
            <w:tcW w:w="1208" w:type="pct"/>
            <w:tcBorders>
              <w:top w:val="single" w:sz="4" w:space="0" w:color="auto"/>
            </w:tcBorders>
            <w:shd w:val="clear" w:color="auto" w:fill="auto"/>
            <w:noWrap/>
            <w:hideMark/>
          </w:tcPr>
          <w:p w14:paraId="395D08FA" w14:textId="5BE03F43"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(2)</w:t>
            </w:r>
          </w:p>
        </w:tc>
        <w:tc>
          <w:tcPr>
            <w:tcW w:w="1135" w:type="pct"/>
            <w:tcBorders>
              <w:top w:val="single" w:sz="4" w:space="0" w:color="auto"/>
            </w:tcBorders>
          </w:tcPr>
          <w:p w14:paraId="412E4360" w14:textId="0BF35453"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w:t>
            </w:r>
          </w:p>
        </w:tc>
      </w:tr>
      <w:tr w:rsidR="003D16AC" w:rsidRPr="00F82B8F" w14:paraId="6554DD6F" w14:textId="77777777" w:rsidTr="003D16AC">
        <w:trPr>
          <w:trHeight w:val="300"/>
        </w:trPr>
        <w:tc>
          <w:tcPr>
            <w:tcW w:w="1449" w:type="pct"/>
            <w:tcBorders>
              <w:bottom w:val="single" w:sz="4" w:space="0" w:color="auto"/>
            </w:tcBorders>
            <w:shd w:val="clear" w:color="auto" w:fill="auto"/>
            <w:noWrap/>
            <w:hideMark/>
          </w:tcPr>
          <w:p w14:paraId="4F5FF4EE" w14:textId="5357651A"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Var</w:t>
            </w:r>
          </w:p>
        </w:tc>
        <w:tc>
          <w:tcPr>
            <w:tcW w:w="3551" w:type="pct"/>
            <w:gridSpan w:val="3"/>
            <w:tcBorders>
              <w:bottom w:val="single" w:sz="4" w:space="0" w:color="auto"/>
            </w:tcBorders>
          </w:tcPr>
          <w:p w14:paraId="2F442BE6"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Conditional Variance Process</w:t>
            </w:r>
          </w:p>
        </w:tc>
      </w:tr>
      <w:tr w:rsidR="003D16AC" w:rsidRPr="00F82B8F" w14:paraId="0A216F0E" w14:textId="77777777" w:rsidTr="003D16AC">
        <w:trPr>
          <w:trHeight w:val="300"/>
        </w:trPr>
        <w:tc>
          <w:tcPr>
            <w:tcW w:w="1449" w:type="pct"/>
            <w:tcBorders>
              <w:top w:val="single" w:sz="4" w:space="0" w:color="auto"/>
            </w:tcBorders>
            <w:shd w:val="clear" w:color="auto" w:fill="auto"/>
            <w:noWrap/>
          </w:tcPr>
          <w:p w14:paraId="03BFE516"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p>
        </w:tc>
        <w:tc>
          <w:tcPr>
            <w:tcW w:w="1208" w:type="pct"/>
            <w:tcBorders>
              <w:top w:val="single" w:sz="4" w:space="0" w:color="auto"/>
            </w:tcBorders>
          </w:tcPr>
          <w:p w14:paraId="73C436D6"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208" w:type="pct"/>
            <w:tcBorders>
              <w:top w:val="single" w:sz="4" w:space="0" w:color="auto"/>
            </w:tcBorders>
            <w:shd w:val="clear" w:color="auto" w:fill="auto"/>
            <w:noWrap/>
          </w:tcPr>
          <w:p w14:paraId="49789246"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135" w:type="pct"/>
            <w:tcBorders>
              <w:top w:val="single" w:sz="4" w:space="0" w:color="auto"/>
            </w:tcBorders>
          </w:tcPr>
          <w:p w14:paraId="31905BE0"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r>
      <w:tr w:rsidR="003D16AC" w:rsidRPr="00F82B8F" w14:paraId="38F78CDD" w14:textId="77777777" w:rsidTr="003D16AC">
        <w:trPr>
          <w:trHeight w:val="300"/>
        </w:trPr>
        <w:tc>
          <w:tcPr>
            <w:tcW w:w="1449" w:type="pct"/>
            <w:shd w:val="clear" w:color="auto" w:fill="auto"/>
            <w:noWrap/>
          </w:tcPr>
          <w:p w14:paraId="3FAE14EC"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CTC</w:t>
            </w:r>
          </w:p>
        </w:tc>
        <w:tc>
          <w:tcPr>
            <w:tcW w:w="1208" w:type="pct"/>
            <w:shd w:val="clear" w:color="auto" w:fill="auto"/>
          </w:tcPr>
          <w:p w14:paraId="14657B5A" w14:textId="77777777" w:rsidR="003D16AC" w:rsidRPr="00F82B8F" w:rsidRDefault="003D16AC" w:rsidP="003D16A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4.0330***</w:t>
            </w:r>
          </w:p>
        </w:tc>
        <w:tc>
          <w:tcPr>
            <w:tcW w:w="1208" w:type="pct"/>
            <w:shd w:val="clear" w:color="auto" w:fill="auto"/>
            <w:noWrap/>
          </w:tcPr>
          <w:p w14:paraId="1439E877"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3.8783***</w:t>
            </w:r>
          </w:p>
        </w:tc>
        <w:tc>
          <w:tcPr>
            <w:tcW w:w="1135" w:type="pct"/>
            <w:shd w:val="clear" w:color="auto" w:fill="auto"/>
          </w:tcPr>
          <w:p w14:paraId="0C97DCA0"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3.7916***</w:t>
            </w:r>
          </w:p>
        </w:tc>
      </w:tr>
      <w:tr w:rsidR="003D16AC" w:rsidRPr="00F82B8F" w14:paraId="5C25D27B" w14:textId="77777777" w:rsidTr="003D16AC">
        <w:trPr>
          <w:trHeight w:val="300"/>
        </w:trPr>
        <w:tc>
          <w:tcPr>
            <w:tcW w:w="1449" w:type="pct"/>
            <w:shd w:val="clear" w:color="auto" w:fill="auto"/>
            <w:noWrap/>
          </w:tcPr>
          <w:p w14:paraId="0BE3D09B"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p>
        </w:tc>
        <w:tc>
          <w:tcPr>
            <w:tcW w:w="1208" w:type="pct"/>
            <w:shd w:val="clear" w:color="auto" w:fill="auto"/>
          </w:tcPr>
          <w:p w14:paraId="3DC68760" w14:textId="77777777" w:rsidR="003D16AC" w:rsidRPr="00F82B8F" w:rsidRDefault="003D16AC" w:rsidP="003D16A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(0.7299)</w:t>
            </w:r>
          </w:p>
        </w:tc>
        <w:tc>
          <w:tcPr>
            <w:tcW w:w="1208" w:type="pct"/>
            <w:shd w:val="clear" w:color="auto" w:fill="auto"/>
            <w:noWrap/>
          </w:tcPr>
          <w:p w14:paraId="04444924"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(0.7376)</w:t>
            </w:r>
          </w:p>
        </w:tc>
        <w:tc>
          <w:tcPr>
            <w:tcW w:w="1135" w:type="pct"/>
            <w:shd w:val="clear" w:color="auto" w:fill="auto"/>
          </w:tcPr>
          <w:p w14:paraId="4AB6A6B2"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(0.7704)</w:t>
            </w:r>
          </w:p>
        </w:tc>
      </w:tr>
      <w:tr w:rsidR="003D16AC" w:rsidRPr="00F82B8F" w14:paraId="02555DF6" w14:textId="77777777" w:rsidTr="003D16AC">
        <w:trPr>
          <w:trHeight w:val="300"/>
        </w:trPr>
        <w:tc>
          <w:tcPr>
            <w:tcW w:w="1449" w:type="pct"/>
            <w:shd w:val="clear" w:color="auto" w:fill="auto"/>
            <w:noWrap/>
          </w:tcPr>
          <w:p w14:paraId="32088E07"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EMG*CTC</w:t>
            </w:r>
          </w:p>
        </w:tc>
        <w:tc>
          <w:tcPr>
            <w:tcW w:w="1208" w:type="pct"/>
            <w:shd w:val="clear" w:color="auto" w:fill="auto"/>
          </w:tcPr>
          <w:p w14:paraId="0D3D781D" w14:textId="77777777" w:rsidR="003D16AC" w:rsidRPr="00F82B8F" w:rsidRDefault="003D16AC" w:rsidP="003D16A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0.1721</w:t>
            </w:r>
          </w:p>
        </w:tc>
        <w:tc>
          <w:tcPr>
            <w:tcW w:w="1208" w:type="pct"/>
            <w:shd w:val="clear" w:color="auto" w:fill="auto"/>
            <w:noWrap/>
          </w:tcPr>
          <w:p w14:paraId="0A35B4A6" w14:textId="77777777" w:rsidR="003D16AC" w:rsidRPr="00F82B8F" w:rsidRDefault="003D16AC" w:rsidP="003D16A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0.2757</w:t>
            </w:r>
          </w:p>
        </w:tc>
        <w:tc>
          <w:tcPr>
            <w:tcW w:w="1135" w:type="pct"/>
            <w:shd w:val="clear" w:color="auto" w:fill="auto"/>
          </w:tcPr>
          <w:p w14:paraId="495FFC0D" w14:textId="77777777" w:rsidR="003D16AC" w:rsidRPr="00F82B8F" w:rsidRDefault="003D16AC" w:rsidP="003D16AC">
            <w:pPr>
              <w:spacing w:after="0" w:line="240" w:lineRule="auto"/>
              <w:jc w:val="center"/>
              <w:rPr>
                <w:rFonts w:ascii="Times New Roman" w:hAnsi="Times New Roman" w:cs="Times New Roman"/>
                <w:sz w:val="20"/>
                <w:szCs w:val="20"/>
              </w:rPr>
            </w:pPr>
            <w:r w:rsidRPr="00F82B8F">
              <w:rPr>
                <w:rFonts w:ascii="Times New Roman" w:hAnsi="Times New Roman" w:cs="Times New Roman"/>
                <w:sz w:val="20"/>
                <w:szCs w:val="20"/>
              </w:rPr>
              <w:t>-0.0018</w:t>
            </w:r>
          </w:p>
        </w:tc>
      </w:tr>
      <w:tr w:rsidR="003D16AC" w:rsidRPr="00F82B8F" w14:paraId="107C8005" w14:textId="77777777" w:rsidTr="003D16AC">
        <w:trPr>
          <w:trHeight w:val="300"/>
        </w:trPr>
        <w:tc>
          <w:tcPr>
            <w:tcW w:w="1449" w:type="pct"/>
            <w:shd w:val="clear" w:color="auto" w:fill="auto"/>
            <w:noWrap/>
          </w:tcPr>
          <w:p w14:paraId="200254AD"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p>
        </w:tc>
        <w:tc>
          <w:tcPr>
            <w:tcW w:w="1208" w:type="pct"/>
            <w:shd w:val="clear" w:color="auto" w:fill="auto"/>
          </w:tcPr>
          <w:p w14:paraId="14772E12" w14:textId="77777777" w:rsidR="003D16AC" w:rsidRPr="00F82B8F" w:rsidRDefault="003D16AC" w:rsidP="003D16A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(0.9719)</w:t>
            </w:r>
          </w:p>
        </w:tc>
        <w:tc>
          <w:tcPr>
            <w:tcW w:w="1208" w:type="pct"/>
            <w:shd w:val="clear" w:color="auto" w:fill="auto"/>
            <w:noWrap/>
          </w:tcPr>
          <w:p w14:paraId="3B2F1C04" w14:textId="77777777" w:rsidR="003D16AC" w:rsidRPr="00F82B8F" w:rsidRDefault="003D16AC" w:rsidP="003D16A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(0.9789)</w:t>
            </w:r>
          </w:p>
        </w:tc>
        <w:tc>
          <w:tcPr>
            <w:tcW w:w="1135" w:type="pct"/>
            <w:shd w:val="clear" w:color="auto" w:fill="auto"/>
          </w:tcPr>
          <w:p w14:paraId="19529721" w14:textId="77777777" w:rsidR="003D16AC" w:rsidRPr="00F82B8F" w:rsidRDefault="003D16AC" w:rsidP="003D16AC">
            <w:pPr>
              <w:spacing w:after="0" w:line="240" w:lineRule="auto"/>
              <w:jc w:val="center"/>
              <w:rPr>
                <w:rFonts w:ascii="Times New Roman" w:hAnsi="Times New Roman" w:cs="Times New Roman"/>
                <w:sz w:val="20"/>
                <w:szCs w:val="20"/>
              </w:rPr>
            </w:pPr>
            <w:r w:rsidRPr="00F82B8F">
              <w:rPr>
                <w:rFonts w:ascii="Times New Roman" w:hAnsi="Times New Roman" w:cs="Times New Roman"/>
                <w:sz w:val="20"/>
                <w:szCs w:val="20"/>
              </w:rPr>
              <w:t>(1.0223)</w:t>
            </w:r>
          </w:p>
        </w:tc>
      </w:tr>
      <w:tr w:rsidR="003D16AC" w:rsidRPr="00F82B8F" w14:paraId="6472B5BB" w14:textId="77777777" w:rsidTr="003D16AC">
        <w:trPr>
          <w:trHeight w:val="300"/>
        </w:trPr>
        <w:tc>
          <w:tcPr>
            <w:tcW w:w="1449" w:type="pct"/>
            <w:shd w:val="clear" w:color="auto" w:fill="auto"/>
            <w:noWrap/>
          </w:tcPr>
          <w:p w14:paraId="1347E7AE"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CTD</w:t>
            </w:r>
          </w:p>
        </w:tc>
        <w:tc>
          <w:tcPr>
            <w:tcW w:w="1208" w:type="pct"/>
            <w:shd w:val="clear" w:color="auto" w:fill="auto"/>
          </w:tcPr>
          <w:p w14:paraId="488FC9F7" w14:textId="77777777" w:rsidR="003D16AC" w:rsidRPr="00F82B8F" w:rsidRDefault="003D16AC" w:rsidP="003D16A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4.8344***</w:t>
            </w:r>
          </w:p>
        </w:tc>
        <w:tc>
          <w:tcPr>
            <w:tcW w:w="1208" w:type="pct"/>
            <w:shd w:val="clear" w:color="auto" w:fill="auto"/>
            <w:noWrap/>
          </w:tcPr>
          <w:p w14:paraId="4F43D4B5"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5.4064***</w:t>
            </w:r>
          </w:p>
        </w:tc>
        <w:tc>
          <w:tcPr>
            <w:tcW w:w="1135" w:type="pct"/>
            <w:shd w:val="clear" w:color="auto" w:fill="auto"/>
          </w:tcPr>
          <w:p w14:paraId="784404A2"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6.4624***</w:t>
            </w:r>
          </w:p>
        </w:tc>
      </w:tr>
      <w:tr w:rsidR="003D16AC" w:rsidRPr="00F82B8F" w14:paraId="3A18DA9C" w14:textId="77777777" w:rsidTr="003D16AC">
        <w:trPr>
          <w:trHeight w:val="300"/>
        </w:trPr>
        <w:tc>
          <w:tcPr>
            <w:tcW w:w="1449" w:type="pct"/>
            <w:shd w:val="clear" w:color="auto" w:fill="auto"/>
            <w:noWrap/>
          </w:tcPr>
          <w:p w14:paraId="1FB2C2F1"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p>
        </w:tc>
        <w:tc>
          <w:tcPr>
            <w:tcW w:w="1208" w:type="pct"/>
            <w:shd w:val="clear" w:color="auto" w:fill="auto"/>
          </w:tcPr>
          <w:p w14:paraId="27ED62A1" w14:textId="77777777" w:rsidR="003D16AC" w:rsidRPr="00F82B8F" w:rsidRDefault="003D16AC" w:rsidP="003D16A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(0.5288)</w:t>
            </w:r>
          </w:p>
        </w:tc>
        <w:tc>
          <w:tcPr>
            <w:tcW w:w="1208" w:type="pct"/>
            <w:shd w:val="clear" w:color="auto" w:fill="auto"/>
            <w:noWrap/>
          </w:tcPr>
          <w:p w14:paraId="58ED947A"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(0.5310)</w:t>
            </w:r>
          </w:p>
        </w:tc>
        <w:tc>
          <w:tcPr>
            <w:tcW w:w="1135" w:type="pct"/>
            <w:shd w:val="clear" w:color="auto" w:fill="auto"/>
          </w:tcPr>
          <w:p w14:paraId="2D65EBEE"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(0.5512)</w:t>
            </w:r>
          </w:p>
        </w:tc>
      </w:tr>
      <w:tr w:rsidR="003D16AC" w:rsidRPr="00F82B8F" w14:paraId="2A529E25" w14:textId="77777777" w:rsidTr="003D16AC">
        <w:trPr>
          <w:trHeight w:val="300"/>
        </w:trPr>
        <w:tc>
          <w:tcPr>
            <w:tcW w:w="1449" w:type="pct"/>
            <w:shd w:val="clear" w:color="auto" w:fill="auto"/>
            <w:noWrap/>
          </w:tcPr>
          <w:p w14:paraId="668761A5"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EMG*CTD</w:t>
            </w:r>
          </w:p>
        </w:tc>
        <w:tc>
          <w:tcPr>
            <w:tcW w:w="1208" w:type="pct"/>
            <w:shd w:val="clear" w:color="auto" w:fill="auto"/>
          </w:tcPr>
          <w:p w14:paraId="72B9E203" w14:textId="77777777" w:rsidR="003D16AC" w:rsidRPr="00F82B8F" w:rsidRDefault="003D16AC" w:rsidP="003D16A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-2.7840***</w:t>
            </w:r>
          </w:p>
        </w:tc>
        <w:tc>
          <w:tcPr>
            <w:tcW w:w="1208" w:type="pct"/>
            <w:shd w:val="clear" w:color="auto" w:fill="auto"/>
            <w:noWrap/>
          </w:tcPr>
          <w:p w14:paraId="60207C95" w14:textId="77777777" w:rsidR="003D16AC" w:rsidRPr="00F82B8F" w:rsidRDefault="003D16AC" w:rsidP="003D16A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-3.2286***</w:t>
            </w:r>
          </w:p>
        </w:tc>
        <w:tc>
          <w:tcPr>
            <w:tcW w:w="1135" w:type="pct"/>
            <w:shd w:val="clear" w:color="auto" w:fill="auto"/>
          </w:tcPr>
          <w:p w14:paraId="595844C2" w14:textId="77777777" w:rsidR="003D16AC" w:rsidRPr="00F82B8F" w:rsidRDefault="003D16AC" w:rsidP="003D16AC">
            <w:pPr>
              <w:spacing w:after="0" w:line="240" w:lineRule="auto"/>
              <w:jc w:val="center"/>
              <w:rPr>
                <w:rFonts w:ascii="Times New Roman" w:hAnsi="Times New Roman" w:cs="Times New Roman"/>
                <w:sz w:val="20"/>
                <w:szCs w:val="20"/>
              </w:rPr>
            </w:pPr>
            <w:r w:rsidRPr="00F82B8F">
              <w:rPr>
                <w:rFonts w:ascii="Times New Roman" w:hAnsi="Times New Roman" w:cs="Times New Roman"/>
                <w:sz w:val="20"/>
                <w:szCs w:val="20"/>
              </w:rPr>
              <w:t>-3.8241***</w:t>
            </w:r>
          </w:p>
        </w:tc>
      </w:tr>
      <w:tr w:rsidR="003D16AC" w:rsidRPr="00F82B8F" w14:paraId="0E0E47B6" w14:textId="77777777" w:rsidTr="003D16AC">
        <w:trPr>
          <w:trHeight w:val="300"/>
        </w:trPr>
        <w:tc>
          <w:tcPr>
            <w:tcW w:w="1449" w:type="pct"/>
            <w:shd w:val="clear" w:color="auto" w:fill="auto"/>
            <w:noWrap/>
          </w:tcPr>
          <w:p w14:paraId="3E89B8D9"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p>
        </w:tc>
        <w:tc>
          <w:tcPr>
            <w:tcW w:w="1208" w:type="pct"/>
            <w:shd w:val="clear" w:color="auto" w:fill="auto"/>
          </w:tcPr>
          <w:p w14:paraId="44853AA4" w14:textId="77777777" w:rsidR="003D16AC" w:rsidRPr="00F82B8F" w:rsidRDefault="003D16AC" w:rsidP="003D16A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(0.7512)</w:t>
            </w:r>
          </w:p>
        </w:tc>
        <w:tc>
          <w:tcPr>
            <w:tcW w:w="1208" w:type="pct"/>
            <w:shd w:val="clear" w:color="auto" w:fill="auto"/>
            <w:noWrap/>
          </w:tcPr>
          <w:p w14:paraId="46278F4D" w14:textId="77777777" w:rsidR="003D16AC" w:rsidRPr="00F82B8F" w:rsidRDefault="003D16AC" w:rsidP="003D16A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(0.7552)</w:t>
            </w:r>
          </w:p>
        </w:tc>
        <w:tc>
          <w:tcPr>
            <w:tcW w:w="1135" w:type="pct"/>
            <w:shd w:val="clear" w:color="auto" w:fill="auto"/>
          </w:tcPr>
          <w:p w14:paraId="76B1621F" w14:textId="77777777" w:rsidR="003D16AC" w:rsidRPr="00F82B8F" w:rsidRDefault="003D16AC" w:rsidP="003D16AC">
            <w:pPr>
              <w:spacing w:after="0" w:line="240" w:lineRule="auto"/>
              <w:jc w:val="center"/>
              <w:rPr>
                <w:rFonts w:ascii="Times New Roman" w:hAnsi="Times New Roman" w:cs="Times New Roman"/>
                <w:sz w:val="20"/>
                <w:szCs w:val="20"/>
              </w:rPr>
            </w:pPr>
            <w:r w:rsidRPr="00F82B8F">
              <w:rPr>
                <w:rFonts w:ascii="Times New Roman" w:hAnsi="Times New Roman" w:cs="Times New Roman"/>
                <w:sz w:val="20"/>
                <w:szCs w:val="20"/>
              </w:rPr>
              <w:t>(0.7887)</w:t>
            </w:r>
          </w:p>
        </w:tc>
      </w:tr>
      <w:tr w:rsidR="003D16AC" w:rsidRPr="00F82B8F" w14:paraId="539E9132" w14:textId="77777777" w:rsidTr="003D16AC">
        <w:trPr>
          <w:trHeight w:val="300"/>
        </w:trPr>
        <w:tc>
          <w:tcPr>
            <w:tcW w:w="1449" w:type="pct"/>
            <w:shd w:val="clear" w:color="auto" w:fill="auto"/>
            <w:noWrap/>
            <w:hideMark/>
          </w:tcPr>
          <w:p w14:paraId="54E1BBC0"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CSC</w:t>
            </w:r>
          </w:p>
        </w:tc>
        <w:tc>
          <w:tcPr>
            <w:tcW w:w="1208" w:type="pct"/>
            <w:shd w:val="clear" w:color="auto" w:fill="auto"/>
          </w:tcPr>
          <w:p w14:paraId="72EC9C26" w14:textId="77777777" w:rsidR="003D16AC" w:rsidRPr="00F82B8F" w:rsidRDefault="003D16AC" w:rsidP="003D16A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-0.1642***</w:t>
            </w:r>
          </w:p>
        </w:tc>
        <w:tc>
          <w:tcPr>
            <w:tcW w:w="1208" w:type="pct"/>
            <w:shd w:val="clear" w:color="auto" w:fill="auto"/>
            <w:noWrap/>
          </w:tcPr>
          <w:p w14:paraId="7A2F511E"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-0.1146***</w:t>
            </w:r>
          </w:p>
        </w:tc>
        <w:tc>
          <w:tcPr>
            <w:tcW w:w="1135" w:type="pct"/>
            <w:shd w:val="clear" w:color="auto" w:fill="auto"/>
          </w:tcPr>
          <w:p w14:paraId="0447DAB9"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-0.0957*</w:t>
            </w:r>
          </w:p>
        </w:tc>
      </w:tr>
      <w:tr w:rsidR="003D16AC" w:rsidRPr="00F82B8F" w14:paraId="25C855DC" w14:textId="77777777" w:rsidTr="003D16AC">
        <w:trPr>
          <w:trHeight w:val="300"/>
        </w:trPr>
        <w:tc>
          <w:tcPr>
            <w:tcW w:w="1449" w:type="pct"/>
            <w:shd w:val="clear" w:color="auto" w:fill="auto"/>
            <w:noWrap/>
            <w:hideMark/>
          </w:tcPr>
          <w:p w14:paraId="05350887"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p>
        </w:tc>
        <w:tc>
          <w:tcPr>
            <w:tcW w:w="1208" w:type="pct"/>
            <w:shd w:val="clear" w:color="auto" w:fill="auto"/>
          </w:tcPr>
          <w:p w14:paraId="5E94E2F5" w14:textId="77777777" w:rsidR="003D16AC" w:rsidRPr="00F82B8F" w:rsidRDefault="003D16AC" w:rsidP="003D16A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(0.0414)</w:t>
            </w:r>
          </w:p>
        </w:tc>
        <w:tc>
          <w:tcPr>
            <w:tcW w:w="1208" w:type="pct"/>
            <w:shd w:val="clear" w:color="auto" w:fill="auto"/>
            <w:noWrap/>
          </w:tcPr>
          <w:p w14:paraId="10D3A886"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(0.0414)</w:t>
            </w:r>
          </w:p>
        </w:tc>
        <w:tc>
          <w:tcPr>
            <w:tcW w:w="1135" w:type="pct"/>
            <w:shd w:val="clear" w:color="auto" w:fill="auto"/>
          </w:tcPr>
          <w:p w14:paraId="22F4D627"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(0.0574)</w:t>
            </w:r>
          </w:p>
        </w:tc>
      </w:tr>
      <w:tr w:rsidR="003D16AC" w:rsidRPr="00F82B8F" w14:paraId="7A1FE881" w14:textId="77777777" w:rsidTr="003D16AC">
        <w:trPr>
          <w:trHeight w:val="300"/>
        </w:trPr>
        <w:tc>
          <w:tcPr>
            <w:tcW w:w="1449" w:type="pct"/>
            <w:shd w:val="clear" w:color="auto" w:fill="auto"/>
            <w:noWrap/>
          </w:tcPr>
          <w:p w14:paraId="11929B89"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EMG*CSC</w:t>
            </w:r>
          </w:p>
        </w:tc>
        <w:tc>
          <w:tcPr>
            <w:tcW w:w="1208" w:type="pct"/>
            <w:shd w:val="clear" w:color="auto" w:fill="auto"/>
          </w:tcPr>
          <w:p w14:paraId="40659C9A" w14:textId="77777777" w:rsidR="003D16AC" w:rsidRPr="00F82B8F" w:rsidRDefault="003D16AC" w:rsidP="003D16A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0.6134***</w:t>
            </w:r>
          </w:p>
        </w:tc>
        <w:tc>
          <w:tcPr>
            <w:tcW w:w="1208" w:type="pct"/>
            <w:shd w:val="clear" w:color="auto" w:fill="auto"/>
            <w:noWrap/>
          </w:tcPr>
          <w:p w14:paraId="1535A4E0" w14:textId="77777777" w:rsidR="003D16AC" w:rsidRPr="00F82B8F" w:rsidRDefault="003D16AC" w:rsidP="003D16A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0.5987***</w:t>
            </w:r>
          </w:p>
        </w:tc>
        <w:tc>
          <w:tcPr>
            <w:tcW w:w="1135" w:type="pct"/>
            <w:shd w:val="clear" w:color="auto" w:fill="auto"/>
          </w:tcPr>
          <w:p w14:paraId="4602F28D" w14:textId="77777777" w:rsidR="003D16AC" w:rsidRPr="00F82B8F" w:rsidRDefault="003D16AC" w:rsidP="003D16AC">
            <w:pPr>
              <w:spacing w:after="0" w:line="240" w:lineRule="auto"/>
              <w:jc w:val="center"/>
              <w:rPr>
                <w:rFonts w:ascii="Times New Roman" w:hAnsi="Times New Roman" w:cs="Times New Roman"/>
                <w:sz w:val="20"/>
                <w:szCs w:val="20"/>
              </w:rPr>
            </w:pPr>
            <w:r w:rsidRPr="00F82B8F">
              <w:rPr>
                <w:rFonts w:ascii="Times New Roman" w:hAnsi="Times New Roman" w:cs="Times New Roman"/>
                <w:sz w:val="20"/>
                <w:szCs w:val="20"/>
              </w:rPr>
              <w:t>0.6112***</w:t>
            </w:r>
          </w:p>
        </w:tc>
      </w:tr>
      <w:tr w:rsidR="003D16AC" w:rsidRPr="00F82B8F" w14:paraId="1C5ACA84" w14:textId="77777777" w:rsidTr="003D16AC">
        <w:trPr>
          <w:trHeight w:val="300"/>
        </w:trPr>
        <w:tc>
          <w:tcPr>
            <w:tcW w:w="1449" w:type="pct"/>
            <w:shd w:val="clear" w:color="auto" w:fill="auto"/>
            <w:noWrap/>
          </w:tcPr>
          <w:p w14:paraId="3527A289"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p>
        </w:tc>
        <w:tc>
          <w:tcPr>
            <w:tcW w:w="1208" w:type="pct"/>
            <w:shd w:val="clear" w:color="auto" w:fill="auto"/>
          </w:tcPr>
          <w:p w14:paraId="4C933D68" w14:textId="77777777" w:rsidR="003D16AC" w:rsidRPr="00F82B8F" w:rsidRDefault="003D16AC" w:rsidP="003D16A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(0.0704)</w:t>
            </w:r>
          </w:p>
        </w:tc>
        <w:tc>
          <w:tcPr>
            <w:tcW w:w="1208" w:type="pct"/>
            <w:shd w:val="clear" w:color="auto" w:fill="auto"/>
            <w:noWrap/>
          </w:tcPr>
          <w:p w14:paraId="47A79E3D" w14:textId="77777777" w:rsidR="003D16AC" w:rsidRPr="00F82B8F" w:rsidRDefault="003D16AC" w:rsidP="003D16A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(0.0712)</w:t>
            </w:r>
          </w:p>
        </w:tc>
        <w:tc>
          <w:tcPr>
            <w:tcW w:w="1135" w:type="pct"/>
            <w:shd w:val="clear" w:color="auto" w:fill="auto"/>
          </w:tcPr>
          <w:p w14:paraId="046E73BD" w14:textId="77777777" w:rsidR="003D16AC" w:rsidRPr="00F82B8F" w:rsidRDefault="003D16AC" w:rsidP="003D16AC">
            <w:pPr>
              <w:spacing w:after="0" w:line="240" w:lineRule="auto"/>
              <w:jc w:val="center"/>
              <w:rPr>
                <w:rFonts w:ascii="Times New Roman" w:hAnsi="Times New Roman" w:cs="Times New Roman"/>
                <w:sz w:val="20"/>
                <w:szCs w:val="20"/>
              </w:rPr>
            </w:pPr>
            <w:r w:rsidRPr="00F82B8F">
              <w:rPr>
                <w:rFonts w:ascii="Times New Roman" w:hAnsi="Times New Roman" w:cs="Times New Roman"/>
                <w:sz w:val="20"/>
                <w:szCs w:val="20"/>
              </w:rPr>
              <w:t>(0.0958)</w:t>
            </w:r>
          </w:p>
        </w:tc>
      </w:tr>
      <w:tr w:rsidR="003D16AC" w:rsidRPr="00F82B8F" w14:paraId="36E06CAF" w14:textId="77777777" w:rsidTr="003D16AC">
        <w:trPr>
          <w:trHeight w:val="300"/>
        </w:trPr>
        <w:tc>
          <w:tcPr>
            <w:tcW w:w="1449" w:type="pct"/>
            <w:shd w:val="clear" w:color="auto" w:fill="auto"/>
            <w:noWrap/>
            <w:hideMark/>
          </w:tcPr>
          <w:p w14:paraId="6217EDE9"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CSD</w:t>
            </w:r>
          </w:p>
        </w:tc>
        <w:tc>
          <w:tcPr>
            <w:tcW w:w="1208" w:type="pct"/>
            <w:shd w:val="clear" w:color="auto" w:fill="auto"/>
          </w:tcPr>
          <w:p w14:paraId="4B0EFA2E" w14:textId="77777777" w:rsidR="003D16AC" w:rsidRPr="00F82B8F" w:rsidRDefault="003D16AC" w:rsidP="003D16A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0.4878***</w:t>
            </w:r>
          </w:p>
        </w:tc>
        <w:tc>
          <w:tcPr>
            <w:tcW w:w="1208" w:type="pct"/>
            <w:shd w:val="clear" w:color="auto" w:fill="auto"/>
            <w:noWrap/>
          </w:tcPr>
          <w:p w14:paraId="18A09E31"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0.4184***</w:t>
            </w:r>
          </w:p>
        </w:tc>
        <w:tc>
          <w:tcPr>
            <w:tcW w:w="1135" w:type="pct"/>
            <w:shd w:val="clear" w:color="auto" w:fill="auto"/>
          </w:tcPr>
          <w:p w14:paraId="64E16B5B"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0.3747***</w:t>
            </w:r>
          </w:p>
        </w:tc>
      </w:tr>
      <w:tr w:rsidR="003D16AC" w:rsidRPr="00F82B8F" w14:paraId="245C7BFB" w14:textId="77777777" w:rsidTr="003D16AC">
        <w:trPr>
          <w:trHeight w:val="300"/>
        </w:trPr>
        <w:tc>
          <w:tcPr>
            <w:tcW w:w="1449" w:type="pct"/>
            <w:shd w:val="clear" w:color="auto" w:fill="auto"/>
            <w:noWrap/>
          </w:tcPr>
          <w:p w14:paraId="5AB63B42"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p>
        </w:tc>
        <w:tc>
          <w:tcPr>
            <w:tcW w:w="1208" w:type="pct"/>
            <w:shd w:val="clear" w:color="auto" w:fill="auto"/>
          </w:tcPr>
          <w:p w14:paraId="1C0C29F9" w14:textId="77777777" w:rsidR="003D16AC" w:rsidRPr="00F82B8F" w:rsidRDefault="003D16AC" w:rsidP="003D16A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(0.0523)</w:t>
            </w:r>
          </w:p>
        </w:tc>
        <w:tc>
          <w:tcPr>
            <w:tcW w:w="1208" w:type="pct"/>
            <w:shd w:val="clear" w:color="auto" w:fill="auto"/>
            <w:noWrap/>
          </w:tcPr>
          <w:p w14:paraId="19B2E484"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(0.0523)</w:t>
            </w:r>
          </w:p>
        </w:tc>
        <w:tc>
          <w:tcPr>
            <w:tcW w:w="1135" w:type="pct"/>
            <w:shd w:val="clear" w:color="auto" w:fill="auto"/>
          </w:tcPr>
          <w:p w14:paraId="7EF5521F"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(0.0688)</w:t>
            </w:r>
          </w:p>
        </w:tc>
      </w:tr>
      <w:tr w:rsidR="003D16AC" w:rsidRPr="00F82B8F" w14:paraId="2AA3DE4A" w14:textId="77777777" w:rsidTr="003D16AC">
        <w:trPr>
          <w:trHeight w:val="300"/>
        </w:trPr>
        <w:tc>
          <w:tcPr>
            <w:tcW w:w="1449" w:type="pct"/>
            <w:shd w:val="clear" w:color="auto" w:fill="auto"/>
            <w:noWrap/>
          </w:tcPr>
          <w:p w14:paraId="0B0D0475"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EMG*CSD</w:t>
            </w:r>
          </w:p>
        </w:tc>
        <w:tc>
          <w:tcPr>
            <w:tcW w:w="1208" w:type="pct"/>
            <w:shd w:val="clear" w:color="auto" w:fill="auto"/>
          </w:tcPr>
          <w:p w14:paraId="0D70BFCB" w14:textId="77777777" w:rsidR="003D16AC" w:rsidRPr="00F82B8F" w:rsidRDefault="003D16AC" w:rsidP="003D16A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-0.6573***</w:t>
            </w:r>
          </w:p>
        </w:tc>
        <w:tc>
          <w:tcPr>
            <w:tcW w:w="1208" w:type="pct"/>
            <w:shd w:val="clear" w:color="auto" w:fill="auto"/>
            <w:noWrap/>
          </w:tcPr>
          <w:p w14:paraId="397A8692" w14:textId="77777777" w:rsidR="003D16AC" w:rsidRPr="00F82B8F" w:rsidRDefault="003D16AC" w:rsidP="003D16A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-0.6566***</w:t>
            </w:r>
          </w:p>
        </w:tc>
        <w:tc>
          <w:tcPr>
            <w:tcW w:w="1135" w:type="pct"/>
            <w:shd w:val="clear" w:color="auto" w:fill="auto"/>
          </w:tcPr>
          <w:p w14:paraId="2C894EE1" w14:textId="77777777" w:rsidR="003D16AC" w:rsidRPr="00F82B8F" w:rsidRDefault="003D16AC" w:rsidP="003D16AC">
            <w:pPr>
              <w:spacing w:after="0" w:line="240" w:lineRule="auto"/>
              <w:jc w:val="center"/>
              <w:rPr>
                <w:rFonts w:ascii="Times New Roman" w:hAnsi="Times New Roman" w:cs="Times New Roman"/>
                <w:sz w:val="20"/>
                <w:szCs w:val="20"/>
              </w:rPr>
            </w:pPr>
            <w:r w:rsidRPr="00F82B8F">
              <w:rPr>
                <w:rFonts w:ascii="Times New Roman" w:hAnsi="Times New Roman" w:cs="Times New Roman"/>
                <w:sz w:val="20"/>
                <w:szCs w:val="20"/>
              </w:rPr>
              <w:t>-0.6339***</w:t>
            </w:r>
          </w:p>
        </w:tc>
      </w:tr>
      <w:tr w:rsidR="003D16AC" w:rsidRPr="00F82B8F" w14:paraId="0C800A84" w14:textId="77777777" w:rsidTr="003D16AC">
        <w:trPr>
          <w:trHeight w:val="300"/>
        </w:trPr>
        <w:tc>
          <w:tcPr>
            <w:tcW w:w="1449" w:type="pct"/>
            <w:shd w:val="clear" w:color="auto" w:fill="auto"/>
            <w:noWrap/>
          </w:tcPr>
          <w:p w14:paraId="6B937A79"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p>
        </w:tc>
        <w:tc>
          <w:tcPr>
            <w:tcW w:w="1208" w:type="pct"/>
            <w:shd w:val="clear" w:color="auto" w:fill="auto"/>
          </w:tcPr>
          <w:p w14:paraId="13CE59A3" w14:textId="77777777" w:rsidR="003D16AC" w:rsidRPr="00F82B8F" w:rsidRDefault="003D16AC" w:rsidP="003D16A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(0.0890)</w:t>
            </w:r>
          </w:p>
        </w:tc>
        <w:tc>
          <w:tcPr>
            <w:tcW w:w="1208" w:type="pct"/>
            <w:shd w:val="clear" w:color="auto" w:fill="auto"/>
            <w:noWrap/>
          </w:tcPr>
          <w:p w14:paraId="6E51886C" w14:textId="77777777" w:rsidR="003D16AC" w:rsidRPr="00F82B8F" w:rsidRDefault="003D16AC" w:rsidP="003D16A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(0.0904)</w:t>
            </w:r>
          </w:p>
        </w:tc>
        <w:tc>
          <w:tcPr>
            <w:tcW w:w="1135" w:type="pct"/>
            <w:shd w:val="clear" w:color="auto" w:fill="auto"/>
          </w:tcPr>
          <w:p w14:paraId="48EB78A4" w14:textId="77777777" w:rsidR="003D16AC" w:rsidRPr="00F82B8F" w:rsidRDefault="003D16AC" w:rsidP="003D16AC">
            <w:pPr>
              <w:spacing w:after="0" w:line="240" w:lineRule="auto"/>
              <w:jc w:val="center"/>
              <w:rPr>
                <w:rFonts w:ascii="Times New Roman" w:hAnsi="Times New Roman" w:cs="Times New Roman"/>
                <w:sz w:val="20"/>
                <w:szCs w:val="20"/>
              </w:rPr>
            </w:pPr>
            <w:r w:rsidRPr="00F82B8F">
              <w:rPr>
                <w:rFonts w:ascii="Times New Roman" w:hAnsi="Times New Roman" w:cs="Times New Roman"/>
                <w:sz w:val="20"/>
                <w:szCs w:val="20"/>
              </w:rPr>
              <w:t>(0.1187)</w:t>
            </w:r>
          </w:p>
        </w:tc>
      </w:tr>
      <w:tr w:rsidR="003D16AC" w:rsidRPr="00F82B8F" w14:paraId="08BF52C8" w14:textId="77777777" w:rsidTr="003D16AC">
        <w:trPr>
          <w:trHeight w:val="300"/>
        </w:trPr>
        <w:tc>
          <w:tcPr>
            <w:tcW w:w="1449" w:type="pct"/>
            <w:shd w:val="clear" w:color="auto" w:fill="auto"/>
            <w:noWrap/>
            <w:hideMark/>
          </w:tcPr>
          <w:p w14:paraId="272022C0"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EMG</w:t>
            </w:r>
          </w:p>
        </w:tc>
        <w:tc>
          <w:tcPr>
            <w:tcW w:w="1208" w:type="pct"/>
            <w:shd w:val="clear" w:color="auto" w:fill="auto"/>
          </w:tcPr>
          <w:p w14:paraId="16E1ED74" w14:textId="77777777" w:rsidR="003D16AC" w:rsidRPr="00F82B8F" w:rsidRDefault="003D16AC" w:rsidP="003D16A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0.1396***</w:t>
            </w:r>
          </w:p>
        </w:tc>
        <w:tc>
          <w:tcPr>
            <w:tcW w:w="1208" w:type="pct"/>
            <w:shd w:val="clear" w:color="auto" w:fill="auto"/>
            <w:noWrap/>
          </w:tcPr>
          <w:p w14:paraId="745F3C7A"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-3.0079***</w:t>
            </w:r>
          </w:p>
        </w:tc>
        <w:tc>
          <w:tcPr>
            <w:tcW w:w="1135" w:type="pct"/>
            <w:shd w:val="clear" w:color="auto" w:fill="auto"/>
          </w:tcPr>
          <w:p w14:paraId="049FFD26"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-2.2836</w:t>
            </w:r>
          </w:p>
        </w:tc>
      </w:tr>
      <w:tr w:rsidR="003D16AC" w:rsidRPr="00F82B8F" w14:paraId="68DBFC0C" w14:textId="77777777" w:rsidTr="003D16AC">
        <w:trPr>
          <w:trHeight w:val="300"/>
        </w:trPr>
        <w:tc>
          <w:tcPr>
            <w:tcW w:w="1449" w:type="pct"/>
            <w:shd w:val="clear" w:color="auto" w:fill="auto"/>
            <w:noWrap/>
            <w:hideMark/>
          </w:tcPr>
          <w:p w14:paraId="2ED76A12" w14:textId="77777777" w:rsidR="003D16AC" w:rsidRPr="00F82B8F" w:rsidRDefault="003D16AC" w:rsidP="003D16AC">
            <w:pPr>
              <w:spacing w:after="0" w:line="240" w:lineRule="auto"/>
              <w:rPr>
                <w:rFonts w:ascii="Times New Roman" w:eastAsia="Times New Roman" w:hAnsi="Times New Roman" w:cs="Times New Roman"/>
                <w:sz w:val="20"/>
                <w:szCs w:val="20"/>
                <w:lang w:eastAsia="en-GB"/>
              </w:rPr>
            </w:pPr>
          </w:p>
        </w:tc>
        <w:tc>
          <w:tcPr>
            <w:tcW w:w="1208" w:type="pct"/>
            <w:shd w:val="clear" w:color="auto" w:fill="auto"/>
          </w:tcPr>
          <w:p w14:paraId="190CFCD9" w14:textId="77777777" w:rsidR="003D16AC" w:rsidRPr="00F82B8F" w:rsidRDefault="003D16AC" w:rsidP="003D16A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(0.0313)</w:t>
            </w:r>
          </w:p>
        </w:tc>
        <w:tc>
          <w:tcPr>
            <w:tcW w:w="1208" w:type="pct"/>
            <w:shd w:val="clear" w:color="auto" w:fill="auto"/>
            <w:noWrap/>
          </w:tcPr>
          <w:p w14:paraId="224CCF2D"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(0.6113)</w:t>
            </w:r>
          </w:p>
        </w:tc>
        <w:tc>
          <w:tcPr>
            <w:tcW w:w="1135" w:type="pct"/>
            <w:shd w:val="clear" w:color="auto" w:fill="auto"/>
          </w:tcPr>
          <w:p w14:paraId="77B4A99E"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(4.6431)</w:t>
            </w:r>
          </w:p>
        </w:tc>
      </w:tr>
      <w:tr w:rsidR="003D16AC" w:rsidRPr="00F82B8F" w14:paraId="3A73497A" w14:textId="77777777" w:rsidTr="003D16AC">
        <w:trPr>
          <w:trHeight w:val="300"/>
        </w:trPr>
        <w:tc>
          <w:tcPr>
            <w:tcW w:w="1449" w:type="pct"/>
            <w:shd w:val="clear" w:color="auto" w:fill="auto"/>
            <w:noWrap/>
          </w:tcPr>
          <w:p w14:paraId="5A6136B1" w14:textId="77777777" w:rsidR="003D16AC" w:rsidRPr="00F82B8F" w:rsidRDefault="003D16AC" w:rsidP="003D16AC">
            <w:pPr>
              <w:spacing w:after="0" w:line="240" w:lineRule="auto"/>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RES</w:t>
            </w:r>
          </w:p>
        </w:tc>
        <w:tc>
          <w:tcPr>
            <w:tcW w:w="1208" w:type="pct"/>
            <w:shd w:val="clear" w:color="auto" w:fill="auto"/>
          </w:tcPr>
          <w:p w14:paraId="5E7C1870" w14:textId="77777777" w:rsidR="003D16AC" w:rsidRPr="00F82B8F" w:rsidRDefault="003D16AC" w:rsidP="003D16AC">
            <w:pPr>
              <w:spacing w:after="0" w:line="240" w:lineRule="auto"/>
              <w:jc w:val="center"/>
              <w:rPr>
                <w:rFonts w:ascii="Times New Roman" w:hAnsi="Times New Roman" w:cs="Times New Roman"/>
                <w:color w:val="000000"/>
                <w:sz w:val="20"/>
                <w:szCs w:val="20"/>
              </w:rPr>
            </w:pPr>
          </w:p>
        </w:tc>
        <w:tc>
          <w:tcPr>
            <w:tcW w:w="1208" w:type="pct"/>
            <w:shd w:val="clear" w:color="auto" w:fill="auto"/>
            <w:noWrap/>
          </w:tcPr>
          <w:p w14:paraId="59C26F5B"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-1.1023***</w:t>
            </w:r>
          </w:p>
        </w:tc>
        <w:tc>
          <w:tcPr>
            <w:tcW w:w="1135" w:type="pct"/>
            <w:shd w:val="clear" w:color="auto" w:fill="auto"/>
          </w:tcPr>
          <w:p w14:paraId="1336DAC4"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p>
        </w:tc>
      </w:tr>
      <w:tr w:rsidR="003D16AC" w:rsidRPr="00F82B8F" w14:paraId="049D75FF" w14:textId="77777777" w:rsidTr="003D16AC">
        <w:trPr>
          <w:trHeight w:val="300"/>
        </w:trPr>
        <w:tc>
          <w:tcPr>
            <w:tcW w:w="1449" w:type="pct"/>
            <w:shd w:val="clear" w:color="auto" w:fill="auto"/>
            <w:noWrap/>
          </w:tcPr>
          <w:p w14:paraId="73D6909A" w14:textId="77777777" w:rsidR="003D16AC" w:rsidRPr="00F82B8F" w:rsidRDefault="003D16AC" w:rsidP="003D16AC">
            <w:pPr>
              <w:spacing w:after="0" w:line="240" w:lineRule="auto"/>
              <w:rPr>
                <w:rFonts w:ascii="Times New Roman" w:eastAsia="Times New Roman" w:hAnsi="Times New Roman" w:cs="Times New Roman"/>
                <w:sz w:val="20"/>
                <w:szCs w:val="20"/>
                <w:lang w:eastAsia="en-GB"/>
              </w:rPr>
            </w:pPr>
          </w:p>
        </w:tc>
        <w:tc>
          <w:tcPr>
            <w:tcW w:w="1208" w:type="pct"/>
            <w:shd w:val="clear" w:color="auto" w:fill="auto"/>
          </w:tcPr>
          <w:p w14:paraId="0976687F" w14:textId="77777777" w:rsidR="003D16AC" w:rsidRPr="00F82B8F" w:rsidRDefault="003D16AC" w:rsidP="003D16AC">
            <w:pPr>
              <w:spacing w:after="0" w:line="240" w:lineRule="auto"/>
              <w:jc w:val="center"/>
              <w:rPr>
                <w:rFonts w:ascii="Times New Roman" w:hAnsi="Times New Roman" w:cs="Times New Roman"/>
                <w:color w:val="000000"/>
                <w:sz w:val="20"/>
                <w:szCs w:val="20"/>
              </w:rPr>
            </w:pPr>
          </w:p>
        </w:tc>
        <w:tc>
          <w:tcPr>
            <w:tcW w:w="1208" w:type="pct"/>
            <w:shd w:val="clear" w:color="auto" w:fill="auto"/>
            <w:noWrap/>
          </w:tcPr>
          <w:p w14:paraId="1E93900E"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(0.1329)</w:t>
            </w:r>
          </w:p>
        </w:tc>
        <w:tc>
          <w:tcPr>
            <w:tcW w:w="1135" w:type="pct"/>
            <w:shd w:val="clear" w:color="auto" w:fill="auto"/>
          </w:tcPr>
          <w:p w14:paraId="1E0A1A3E"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p>
        </w:tc>
      </w:tr>
      <w:tr w:rsidR="003D16AC" w:rsidRPr="00F82B8F" w14:paraId="01518D86" w14:textId="77777777" w:rsidTr="003D16AC">
        <w:trPr>
          <w:trHeight w:val="300"/>
        </w:trPr>
        <w:tc>
          <w:tcPr>
            <w:tcW w:w="1449" w:type="pct"/>
            <w:shd w:val="clear" w:color="auto" w:fill="auto"/>
            <w:noWrap/>
          </w:tcPr>
          <w:p w14:paraId="27C47754" w14:textId="77777777" w:rsidR="003D16AC" w:rsidRPr="00F82B8F" w:rsidRDefault="003D16AC" w:rsidP="003D16AC">
            <w:pPr>
              <w:spacing w:after="0" w:line="240" w:lineRule="auto"/>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EMG*RES</w:t>
            </w:r>
          </w:p>
        </w:tc>
        <w:tc>
          <w:tcPr>
            <w:tcW w:w="1208" w:type="pct"/>
            <w:shd w:val="clear" w:color="auto" w:fill="auto"/>
          </w:tcPr>
          <w:p w14:paraId="37229421" w14:textId="77777777" w:rsidR="003D16AC" w:rsidRPr="00F82B8F" w:rsidRDefault="003D16AC" w:rsidP="003D16AC">
            <w:pPr>
              <w:spacing w:after="0" w:line="240" w:lineRule="auto"/>
              <w:jc w:val="center"/>
              <w:rPr>
                <w:rFonts w:ascii="Times New Roman" w:hAnsi="Times New Roman" w:cs="Times New Roman"/>
                <w:color w:val="000000"/>
                <w:sz w:val="20"/>
                <w:szCs w:val="20"/>
              </w:rPr>
            </w:pPr>
          </w:p>
        </w:tc>
        <w:tc>
          <w:tcPr>
            <w:tcW w:w="1208" w:type="pct"/>
            <w:shd w:val="clear" w:color="auto" w:fill="auto"/>
            <w:noWrap/>
          </w:tcPr>
          <w:p w14:paraId="44997BD2"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0.6472***</w:t>
            </w:r>
          </w:p>
        </w:tc>
        <w:tc>
          <w:tcPr>
            <w:tcW w:w="1135" w:type="pct"/>
            <w:shd w:val="clear" w:color="auto" w:fill="auto"/>
          </w:tcPr>
          <w:p w14:paraId="4F300C38"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p>
        </w:tc>
      </w:tr>
      <w:tr w:rsidR="003D16AC" w:rsidRPr="00F82B8F" w14:paraId="11CBF97C" w14:textId="77777777" w:rsidTr="003D16AC">
        <w:trPr>
          <w:trHeight w:val="300"/>
        </w:trPr>
        <w:tc>
          <w:tcPr>
            <w:tcW w:w="1449" w:type="pct"/>
            <w:shd w:val="clear" w:color="auto" w:fill="auto"/>
            <w:noWrap/>
          </w:tcPr>
          <w:p w14:paraId="30AF049A" w14:textId="77777777" w:rsidR="003D16AC" w:rsidRPr="00F82B8F" w:rsidRDefault="003D16AC" w:rsidP="003D16AC">
            <w:pPr>
              <w:spacing w:after="0" w:line="240" w:lineRule="auto"/>
              <w:rPr>
                <w:rFonts w:ascii="Times New Roman" w:eastAsia="Times New Roman" w:hAnsi="Times New Roman" w:cs="Times New Roman"/>
                <w:sz w:val="20"/>
                <w:szCs w:val="20"/>
                <w:lang w:eastAsia="en-GB"/>
              </w:rPr>
            </w:pPr>
          </w:p>
        </w:tc>
        <w:tc>
          <w:tcPr>
            <w:tcW w:w="1208" w:type="pct"/>
            <w:shd w:val="clear" w:color="auto" w:fill="auto"/>
          </w:tcPr>
          <w:p w14:paraId="45506741" w14:textId="77777777" w:rsidR="003D16AC" w:rsidRPr="00F82B8F" w:rsidRDefault="003D16AC" w:rsidP="003D16AC">
            <w:pPr>
              <w:spacing w:after="0" w:line="240" w:lineRule="auto"/>
              <w:jc w:val="center"/>
              <w:rPr>
                <w:rFonts w:ascii="Times New Roman" w:hAnsi="Times New Roman" w:cs="Times New Roman"/>
                <w:color w:val="000000"/>
                <w:sz w:val="20"/>
                <w:szCs w:val="20"/>
              </w:rPr>
            </w:pPr>
          </w:p>
        </w:tc>
        <w:tc>
          <w:tcPr>
            <w:tcW w:w="1208" w:type="pct"/>
            <w:shd w:val="clear" w:color="auto" w:fill="auto"/>
            <w:noWrap/>
          </w:tcPr>
          <w:p w14:paraId="38960FC1"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(0.1382)</w:t>
            </w:r>
          </w:p>
        </w:tc>
        <w:tc>
          <w:tcPr>
            <w:tcW w:w="1135" w:type="pct"/>
            <w:shd w:val="clear" w:color="auto" w:fill="auto"/>
          </w:tcPr>
          <w:p w14:paraId="6FE726E4"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p>
        </w:tc>
      </w:tr>
      <w:tr w:rsidR="003D16AC" w:rsidRPr="00F82B8F" w14:paraId="268CAA17" w14:textId="77777777" w:rsidTr="003D16AC">
        <w:trPr>
          <w:trHeight w:val="300"/>
        </w:trPr>
        <w:tc>
          <w:tcPr>
            <w:tcW w:w="1449" w:type="pct"/>
            <w:shd w:val="clear" w:color="auto" w:fill="auto"/>
            <w:noWrap/>
            <w:hideMark/>
          </w:tcPr>
          <w:p w14:paraId="592EB8E0"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CPS</w:t>
            </w:r>
          </w:p>
        </w:tc>
        <w:tc>
          <w:tcPr>
            <w:tcW w:w="1208" w:type="pct"/>
            <w:shd w:val="clear" w:color="auto" w:fill="auto"/>
          </w:tcPr>
          <w:p w14:paraId="7077575E"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208" w:type="pct"/>
            <w:shd w:val="clear" w:color="auto" w:fill="auto"/>
            <w:noWrap/>
          </w:tcPr>
          <w:p w14:paraId="2D5FA3DD"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135" w:type="pct"/>
            <w:shd w:val="clear" w:color="auto" w:fill="auto"/>
          </w:tcPr>
          <w:p w14:paraId="491E32B8"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-0.5276**</w:t>
            </w:r>
          </w:p>
        </w:tc>
      </w:tr>
      <w:tr w:rsidR="003D16AC" w:rsidRPr="00F82B8F" w14:paraId="6593A9C8" w14:textId="77777777" w:rsidTr="003D16AC">
        <w:trPr>
          <w:trHeight w:val="300"/>
        </w:trPr>
        <w:tc>
          <w:tcPr>
            <w:tcW w:w="1449" w:type="pct"/>
            <w:shd w:val="clear" w:color="auto" w:fill="auto"/>
            <w:noWrap/>
            <w:hideMark/>
          </w:tcPr>
          <w:p w14:paraId="7D6607BF" w14:textId="77777777" w:rsidR="003D16AC" w:rsidRPr="00F82B8F" w:rsidRDefault="003D16AC" w:rsidP="003D16AC">
            <w:pPr>
              <w:spacing w:after="0" w:line="240" w:lineRule="auto"/>
              <w:rPr>
                <w:rFonts w:ascii="Times New Roman" w:eastAsia="Times New Roman" w:hAnsi="Times New Roman" w:cs="Times New Roman"/>
                <w:sz w:val="20"/>
                <w:szCs w:val="20"/>
                <w:lang w:eastAsia="en-GB"/>
              </w:rPr>
            </w:pPr>
          </w:p>
        </w:tc>
        <w:tc>
          <w:tcPr>
            <w:tcW w:w="1208" w:type="pct"/>
            <w:shd w:val="clear" w:color="auto" w:fill="auto"/>
          </w:tcPr>
          <w:p w14:paraId="4E4430F5"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208" w:type="pct"/>
            <w:shd w:val="clear" w:color="auto" w:fill="auto"/>
            <w:noWrap/>
          </w:tcPr>
          <w:p w14:paraId="29170989"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135" w:type="pct"/>
            <w:shd w:val="clear" w:color="auto" w:fill="auto"/>
          </w:tcPr>
          <w:p w14:paraId="73D5A123"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(0.2644)</w:t>
            </w:r>
          </w:p>
        </w:tc>
      </w:tr>
      <w:tr w:rsidR="003D16AC" w:rsidRPr="00F82B8F" w14:paraId="5FD119B9" w14:textId="77777777" w:rsidTr="003D16AC">
        <w:trPr>
          <w:trHeight w:val="300"/>
        </w:trPr>
        <w:tc>
          <w:tcPr>
            <w:tcW w:w="1449" w:type="pct"/>
            <w:shd w:val="clear" w:color="auto" w:fill="auto"/>
            <w:noWrap/>
          </w:tcPr>
          <w:p w14:paraId="6CE5576A" w14:textId="77777777" w:rsidR="003D16AC" w:rsidRPr="00F82B8F" w:rsidRDefault="003D16AC" w:rsidP="003D16AC">
            <w:pPr>
              <w:spacing w:after="0" w:line="240" w:lineRule="auto"/>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EMG*CPS</w:t>
            </w:r>
          </w:p>
        </w:tc>
        <w:tc>
          <w:tcPr>
            <w:tcW w:w="1208" w:type="pct"/>
            <w:shd w:val="clear" w:color="auto" w:fill="auto"/>
          </w:tcPr>
          <w:p w14:paraId="35575DB7"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208" w:type="pct"/>
            <w:shd w:val="clear" w:color="auto" w:fill="auto"/>
            <w:noWrap/>
          </w:tcPr>
          <w:p w14:paraId="73B31802"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135" w:type="pct"/>
            <w:shd w:val="clear" w:color="auto" w:fill="auto"/>
          </w:tcPr>
          <w:p w14:paraId="38ACFF76"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0.2398</w:t>
            </w:r>
          </w:p>
        </w:tc>
      </w:tr>
      <w:tr w:rsidR="003D16AC" w:rsidRPr="00F82B8F" w14:paraId="668807EA" w14:textId="77777777" w:rsidTr="003D16AC">
        <w:trPr>
          <w:trHeight w:val="300"/>
        </w:trPr>
        <w:tc>
          <w:tcPr>
            <w:tcW w:w="1449" w:type="pct"/>
            <w:shd w:val="clear" w:color="auto" w:fill="auto"/>
            <w:noWrap/>
          </w:tcPr>
          <w:p w14:paraId="73D4AF76" w14:textId="77777777" w:rsidR="003D16AC" w:rsidRPr="00F82B8F" w:rsidRDefault="003D16AC" w:rsidP="003D16AC">
            <w:pPr>
              <w:spacing w:after="0" w:line="240" w:lineRule="auto"/>
              <w:rPr>
                <w:rFonts w:ascii="Times New Roman" w:eastAsia="Times New Roman" w:hAnsi="Times New Roman" w:cs="Times New Roman"/>
                <w:sz w:val="20"/>
                <w:szCs w:val="20"/>
                <w:lang w:eastAsia="en-GB"/>
              </w:rPr>
            </w:pPr>
          </w:p>
        </w:tc>
        <w:tc>
          <w:tcPr>
            <w:tcW w:w="1208" w:type="pct"/>
            <w:shd w:val="clear" w:color="auto" w:fill="auto"/>
          </w:tcPr>
          <w:p w14:paraId="415C393A"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208" w:type="pct"/>
            <w:shd w:val="clear" w:color="auto" w:fill="auto"/>
            <w:noWrap/>
          </w:tcPr>
          <w:p w14:paraId="0A0C4D8D"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135" w:type="pct"/>
            <w:shd w:val="clear" w:color="auto" w:fill="auto"/>
          </w:tcPr>
          <w:p w14:paraId="1507C7C8"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(0.3466)</w:t>
            </w:r>
          </w:p>
        </w:tc>
      </w:tr>
      <w:tr w:rsidR="003D16AC" w:rsidRPr="00F82B8F" w14:paraId="174F4287" w14:textId="77777777" w:rsidTr="003D16AC">
        <w:trPr>
          <w:trHeight w:val="300"/>
        </w:trPr>
        <w:tc>
          <w:tcPr>
            <w:tcW w:w="1449" w:type="pct"/>
            <w:shd w:val="clear" w:color="auto" w:fill="auto"/>
            <w:noWrap/>
            <w:hideMark/>
          </w:tcPr>
          <w:p w14:paraId="0BA4880F"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COG</w:t>
            </w:r>
          </w:p>
        </w:tc>
        <w:tc>
          <w:tcPr>
            <w:tcW w:w="1208" w:type="pct"/>
            <w:shd w:val="clear" w:color="auto" w:fill="auto"/>
          </w:tcPr>
          <w:p w14:paraId="42045814"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208" w:type="pct"/>
            <w:shd w:val="clear" w:color="auto" w:fill="auto"/>
            <w:noWrap/>
          </w:tcPr>
          <w:p w14:paraId="3BB3CCAF"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135" w:type="pct"/>
            <w:shd w:val="clear" w:color="auto" w:fill="auto"/>
          </w:tcPr>
          <w:p w14:paraId="7BC0321B"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-0.0279</w:t>
            </w:r>
          </w:p>
        </w:tc>
      </w:tr>
      <w:tr w:rsidR="003D16AC" w:rsidRPr="00F82B8F" w14:paraId="5E5C7DE5" w14:textId="77777777" w:rsidTr="003D16AC">
        <w:trPr>
          <w:trHeight w:val="300"/>
        </w:trPr>
        <w:tc>
          <w:tcPr>
            <w:tcW w:w="1449" w:type="pct"/>
            <w:shd w:val="clear" w:color="auto" w:fill="auto"/>
            <w:noWrap/>
            <w:hideMark/>
          </w:tcPr>
          <w:p w14:paraId="56B7ED50" w14:textId="77777777" w:rsidR="003D16AC" w:rsidRPr="00F82B8F" w:rsidRDefault="003D16AC" w:rsidP="003D16AC">
            <w:pPr>
              <w:spacing w:after="0" w:line="240" w:lineRule="auto"/>
              <w:rPr>
                <w:rFonts w:ascii="Times New Roman" w:eastAsia="Times New Roman" w:hAnsi="Times New Roman" w:cs="Times New Roman"/>
                <w:sz w:val="20"/>
                <w:szCs w:val="20"/>
                <w:lang w:eastAsia="en-GB"/>
              </w:rPr>
            </w:pPr>
          </w:p>
        </w:tc>
        <w:tc>
          <w:tcPr>
            <w:tcW w:w="1208" w:type="pct"/>
            <w:shd w:val="clear" w:color="auto" w:fill="auto"/>
          </w:tcPr>
          <w:p w14:paraId="6917FFB6"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p>
        </w:tc>
        <w:tc>
          <w:tcPr>
            <w:tcW w:w="1208" w:type="pct"/>
            <w:shd w:val="clear" w:color="auto" w:fill="auto"/>
            <w:noWrap/>
          </w:tcPr>
          <w:p w14:paraId="58B9C74D"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p>
        </w:tc>
        <w:tc>
          <w:tcPr>
            <w:tcW w:w="1135" w:type="pct"/>
            <w:shd w:val="clear" w:color="auto" w:fill="auto"/>
          </w:tcPr>
          <w:p w14:paraId="6A1FBB2C"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(0.1529)</w:t>
            </w:r>
          </w:p>
        </w:tc>
      </w:tr>
      <w:tr w:rsidR="003D16AC" w:rsidRPr="00F82B8F" w14:paraId="2D63F40C" w14:textId="77777777" w:rsidTr="003D16AC">
        <w:trPr>
          <w:trHeight w:val="300"/>
        </w:trPr>
        <w:tc>
          <w:tcPr>
            <w:tcW w:w="1449" w:type="pct"/>
            <w:shd w:val="clear" w:color="auto" w:fill="auto"/>
            <w:noWrap/>
          </w:tcPr>
          <w:p w14:paraId="1D569E26" w14:textId="77777777" w:rsidR="003D16AC" w:rsidRPr="00F82B8F" w:rsidRDefault="003D16AC" w:rsidP="003D16AC">
            <w:pPr>
              <w:spacing w:after="0" w:line="240" w:lineRule="auto"/>
              <w:rPr>
                <w:rFonts w:ascii="Times New Roman" w:eastAsia="Times New Roman" w:hAnsi="Times New Roman" w:cs="Times New Roman"/>
                <w:sz w:val="20"/>
                <w:szCs w:val="20"/>
                <w:lang w:eastAsia="en-GB"/>
              </w:rPr>
            </w:pPr>
            <w:r w:rsidRPr="00F82B8F">
              <w:rPr>
                <w:rFonts w:ascii="Times New Roman" w:eastAsia="Times New Roman" w:hAnsi="Times New Roman" w:cs="Times New Roman"/>
                <w:sz w:val="20"/>
                <w:szCs w:val="20"/>
                <w:lang w:eastAsia="en-GB"/>
              </w:rPr>
              <w:t>EMG*COG</w:t>
            </w:r>
          </w:p>
        </w:tc>
        <w:tc>
          <w:tcPr>
            <w:tcW w:w="1208" w:type="pct"/>
            <w:shd w:val="clear" w:color="auto" w:fill="auto"/>
          </w:tcPr>
          <w:p w14:paraId="1EFDD71F"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p>
        </w:tc>
        <w:tc>
          <w:tcPr>
            <w:tcW w:w="1208" w:type="pct"/>
            <w:shd w:val="clear" w:color="auto" w:fill="auto"/>
            <w:noWrap/>
          </w:tcPr>
          <w:p w14:paraId="0B328666"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p>
        </w:tc>
        <w:tc>
          <w:tcPr>
            <w:tcW w:w="1135" w:type="pct"/>
            <w:shd w:val="clear" w:color="auto" w:fill="auto"/>
          </w:tcPr>
          <w:p w14:paraId="2C5AAB22"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-0.6429***</w:t>
            </w:r>
          </w:p>
        </w:tc>
      </w:tr>
      <w:tr w:rsidR="003D16AC" w:rsidRPr="00F82B8F" w14:paraId="7C8A30C2" w14:textId="77777777" w:rsidTr="003D16AC">
        <w:trPr>
          <w:trHeight w:val="300"/>
        </w:trPr>
        <w:tc>
          <w:tcPr>
            <w:tcW w:w="1449" w:type="pct"/>
            <w:shd w:val="clear" w:color="auto" w:fill="auto"/>
            <w:noWrap/>
          </w:tcPr>
          <w:p w14:paraId="6E9628C7" w14:textId="77777777" w:rsidR="003D16AC" w:rsidRPr="00F82B8F" w:rsidRDefault="003D16AC" w:rsidP="003D16AC">
            <w:pPr>
              <w:spacing w:after="0" w:line="240" w:lineRule="auto"/>
              <w:rPr>
                <w:rFonts w:ascii="Times New Roman" w:eastAsia="Times New Roman" w:hAnsi="Times New Roman" w:cs="Times New Roman"/>
                <w:sz w:val="20"/>
                <w:szCs w:val="20"/>
                <w:lang w:eastAsia="en-GB"/>
              </w:rPr>
            </w:pPr>
          </w:p>
        </w:tc>
        <w:tc>
          <w:tcPr>
            <w:tcW w:w="1208" w:type="pct"/>
            <w:shd w:val="clear" w:color="auto" w:fill="auto"/>
          </w:tcPr>
          <w:p w14:paraId="11A751E2"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p>
        </w:tc>
        <w:tc>
          <w:tcPr>
            <w:tcW w:w="1208" w:type="pct"/>
            <w:shd w:val="clear" w:color="auto" w:fill="auto"/>
            <w:noWrap/>
          </w:tcPr>
          <w:p w14:paraId="5AFCFAAE"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p>
        </w:tc>
        <w:tc>
          <w:tcPr>
            <w:tcW w:w="1135" w:type="pct"/>
            <w:shd w:val="clear" w:color="auto" w:fill="auto"/>
          </w:tcPr>
          <w:p w14:paraId="3629CC2A"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(0.1907)</w:t>
            </w:r>
          </w:p>
        </w:tc>
      </w:tr>
      <w:tr w:rsidR="003D16AC" w:rsidRPr="00F82B8F" w14:paraId="22119B8C" w14:textId="77777777" w:rsidTr="003D16AC">
        <w:trPr>
          <w:trHeight w:val="300"/>
        </w:trPr>
        <w:tc>
          <w:tcPr>
            <w:tcW w:w="1449" w:type="pct"/>
            <w:shd w:val="clear" w:color="auto" w:fill="auto"/>
            <w:noWrap/>
            <w:hideMark/>
          </w:tcPr>
          <w:p w14:paraId="5C7D89F2"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MPR</w:t>
            </w:r>
          </w:p>
        </w:tc>
        <w:tc>
          <w:tcPr>
            <w:tcW w:w="1208" w:type="pct"/>
            <w:shd w:val="clear" w:color="auto" w:fill="auto"/>
          </w:tcPr>
          <w:p w14:paraId="5721F256"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208" w:type="pct"/>
            <w:shd w:val="clear" w:color="auto" w:fill="auto"/>
            <w:noWrap/>
          </w:tcPr>
          <w:p w14:paraId="4C5ABCE3"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135" w:type="pct"/>
            <w:shd w:val="clear" w:color="auto" w:fill="auto"/>
          </w:tcPr>
          <w:p w14:paraId="500D1CAB"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-0.0692</w:t>
            </w:r>
          </w:p>
        </w:tc>
      </w:tr>
      <w:tr w:rsidR="003D16AC" w:rsidRPr="00F82B8F" w14:paraId="5140EDC0" w14:textId="77777777" w:rsidTr="003D16AC">
        <w:trPr>
          <w:trHeight w:val="300"/>
        </w:trPr>
        <w:tc>
          <w:tcPr>
            <w:tcW w:w="1449" w:type="pct"/>
            <w:shd w:val="clear" w:color="auto" w:fill="auto"/>
            <w:noWrap/>
          </w:tcPr>
          <w:p w14:paraId="18891205"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p>
        </w:tc>
        <w:tc>
          <w:tcPr>
            <w:tcW w:w="1208" w:type="pct"/>
            <w:shd w:val="clear" w:color="auto" w:fill="auto"/>
          </w:tcPr>
          <w:p w14:paraId="5D84FA38"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208" w:type="pct"/>
            <w:shd w:val="clear" w:color="auto" w:fill="auto"/>
            <w:noWrap/>
          </w:tcPr>
          <w:p w14:paraId="51801D38"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135" w:type="pct"/>
            <w:shd w:val="clear" w:color="auto" w:fill="auto"/>
          </w:tcPr>
          <w:p w14:paraId="3AEDD63E"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(0.0628)</w:t>
            </w:r>
          </w:p>
        </w:tc>
      </w:tr>
      <w:tr w:rsidR="003D16AC" w:rsidRPr="00F82B8F" w14:paraId="31978AE2" w14:textId="77777777" w:rsidTr="003D16AC">
        <w:trPr>
          <w:trHeight w:val="300"/>
        </w:trPr>
        <w:tc>
          <w:tcPr>
            <w:tcW w:w="1449" w:type="pct"/>
            <w:shd w:val="clear" w:color="auto" w:fill="auto"/>
            <w:noWrap/>
          </w:tcPr>
          <w:p w14:paraId="42EDC7CD"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EMG*MPR</w:t>
            </w:r>
          </w:p>
        </w:tc>
        <w:tc>
          <w:tcPr>
            <w:tcW w:w="1208" w:type="pct"/>
            <w:shd w:val="clear" w:color="auto" w:fill="auto"/>
          </w:tcPr>
          <w:p w14:paraId="3716D046"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208" w:type="pct"/>
            <w:shd w:val="clear" w:color="auto" w:fill="auto"/>
            <w:noWrap/>
          </w:tcPr>
          <w:p w14:paraId="0140EE3E"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135" w:type="pct"/>
            <w:shd w:val="clear" w:color="auto" w:fill="auto"/>
          </w:tcPr>
          <w:p w14:paraId="330067B6"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0.0932</w:t>
            </w:r>
          </w:p>
        </w:tc>
      </w:tr>
      <w:tr w:rsidR="003D16AC" w:rsidRPr="00F82B8F" w14:paraId="69446604" w14:textId="77777777" w:rsidTr="003D16AC">
        <w:trPr>
          <w:trHeight w:val="300"/>
        </w:trPr>
        <w:tc>
          <w:tcPr>
            <w:tcW w:w="1449" w:type="pct"/>
            <w:shd w:val="clear" w:color="auto" w:fill="auto"/>
            <w:noWrap/>
            <w:hideMark/>
          </w:tcPr>
          <w:p w14:paraId="1DB7D64F" w14:textId="77777777" w:rsidR="003D16AC" w:rsidRPr="00F82B8F" w:rsidRDefault="003D16AC" w:rsidP="003D16AC">
            <w:pPr>
              <w:spacing w:after="0" w:line="240" w:lineRule="auto"/>
              <w:rPr>
                <w:rFonts w:ascii="Times New Roman" w:eastAsia="Times New Roman" w:hAnsi="Times New Roman" w:cs="Times New Roman"/>
                <w:sz w:val="20"/>
                <w:szCs w:val="20"/>
                <w:lang w:eastAsia="en-GB"/>
              </w:rPr>
            </w:pPr>
          </w:p>
        </w:tc>
        <w:tc>
          <w:tcPr>
            <w:tcW w:w="1208" w:type="pct"/>
            <w:shd w:val="clear" w:color="auto" w:fill="auto"/>
          </w:tcPr>
          <w:p w14:paraId="30A55A7F"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p>
        </w:tc>
        <w:tc>
          <w:tcPr>
            <w:tcW w:w="1208" w:type="pct"/>
            <w:shd w:val="clear" w:color="auto" w:fill="auto"/>
            <w:noWrap/>
          </w:tcPr>
          <w:p w14:paraId="528D8866"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p>
        </w:tc>
        <w:tc>
          <w:tcPr>
            <w:tcW w:w="1135" w:type="pct"/>
            <w:shd w:val="clear" w:color="auto" w:fill="auto"/>
          </w:tcPr>
          <w:p w14:paraId="1AB6937A"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(0.0634)</w:t>
            </w:r>
          </w:p>
        </w:tc>
      </w:tr>
      <w:tr w:rsidR="003D16AC" w:rsidRPr="00F82B8F" w14:paraId="2819A14E" w14:textId="77777777" w:rsidTr="003D16AC">
        <w:trPr>
          <w:trHeight w:val="300"/>
        </w:trPr>
        <w:tc>
          <w:tcPr>
            <w:tcW w:w="1449" w:type="pct"/>
            <w:shd w:val="clear" w:color="auto" w:fill="auto"/>
            <w:noWrap/>
            <w:hideMark/>
          </w:tcPr>
          <w:p w14:paraId="000A9839"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LGD</w:t>
            </w:r>
          </w:p>
        </w:tc>
        <w:tc>
          <w:tcPr>
            <w:tcW w:w="1208" w:type="pct"/>
            <w:shd w:val="clear" w:color="auto" w:fill="auto"/>
          </w:tcPr>
          <w:p w14:paraId="317E8458"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208" w:type="pct"/>
            <w:shd w:val="clear" w:color="auto" w:fill="auto"/>
            <w:noWrap/>
          </w:tcPr>
          <w:p w14:paraId="5DA8024E"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135" w:type="pct"/>
            <w:shd w:val="clear" w:color="auto" w:fill="auto"/>
          </w:tcPr>
          <w:p w14:paraId="116D45C0"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0.1126***</w:t>
            </w:r>
          </w:p>
        </w:tc>
      </w:tr>
      <w:tr w:rsidR="003D16AC" w:rsidRPr="00F82B8F" w14:paraId="753E6DC5" w14:textId="77777777" w:rsidTr="003D16AC">
        <w:trPr>
          <w:trHeight w:val="300"/>
        </w:trPr>
        <w:tc>
          <w:tcPr>
            <w:tcW w:w="1449" w:type="pct"/>
            <w:shd w:val="clear" w:color="auto" w:fill="auto"/>
            <w:noWrap/>
          </w:tcPr>
          <w:p w14:paraId="7A4DFCE8"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p>
        </w:tc>
        <w:tc>
          <w:tcPr>
            <w:tcW w:w="1208" w:type="pct"/>
            <w:shd w:val="clear" w:color="auto" w:fill="auto"/>
          </w:tcPr>
          <w:p w14:paraId="1CEC4CBD"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208" w:type="pct"/>
            <w:shd w:val="clear" w:color="auto" w:fill="auto"/>
            <w:noWrap/>
          </w:tcPr>
          <w:p w14:paraId="3048BD43"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135" w:type="pct"/>
            <w:shd w:val="clear" w:color="auto" w:fill="auto"/>
          </w:tcPr>
          <w:p w14:paraId="71917B91"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(0.0212)</w:t>
            </w:r>
          </w:p>
        </w:tc>
      </w:tr>
      <w:tr w:rsidR="003D16AC" w:rsidRPr="00F82B8F" w14:paraId="02CC5EE8" w14:textId="77777777" w:rsidTr="003D16AC">
        <w:trPr>
          <w:trHeight w:val="300"/>
        </w:trPr>
        <w:tc>
          <w:tcPr>
            <w:tcW w:w="1449" w:type="pct"/>
            <w:shd w:val="clear" w:color="auto" w:fill="auto"/>
            <w:noWrap/>
          </w:tcPr>
          <w:p w14:paraId="770627C2"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EMG*LGD</w:t>
            </w:r>
          </w:p>
        </w:tc>
        <w:tc>
          <w:tcPr>
            <w:tcW w:w="1208" w:type="pct"/>
            <w:shd w:val="clear" w:color="auto" w:fill="auto"/>
          </w:tcPr>
          <w:p w14:paraId="42302DCB"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208" w:type="pct"/>
            <w:shd w:val="clear" w:color="auto" w:fill="auto"/>
            <w:noWrap/>
          </w:tcPr>
          <w:p w14:paraId="4D59A960"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135" w:type="pct"/>
            <w:shd w:val="clear" w:color="auto" w:fill="auto"/>
          </w:tcPr>
          <w:p w14:paraId="03C39F8C"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-0.3262***</w:t>
            </w:r>
          </w:p>
        </w:tc>
      </w:tr>
      <w:tr w:rsidR="003D16AC" w:rsidRPr="00F82B8F" w14:paraId="227CBB13" w14:textId="77777777" w:rsidTr="003D16AC">
        <w:trPr>
          <w:trHeight w:val="300"/>
        </w:trPr>
        <w:tc>
          <w:tcPr>
            <w:tcW w:w="1449" w:type="pct"/>
            <w:shd w:val="clear" w:color="auto" w:fill="auto"/>
            <w:noWrap/>
            <w:hideMark/>
          </w:tcPr>
          <w:p w14:paraId="7561A1BA" w14:textId="77777777" w:rsidR="003D16AC" w:rsidRPr="00F82B8F" w:rsidRDefault="003D16AC" w:rsidP="003D16AC">
            <w:pPr>
              <w:spacing w:after="0" w:line="240" w:lineRule="auto"/>
              <w:rPr>
                <w:rFonts w:ascii="Times New Roman" w:eastAsia="Times New Roman" w:hAnsi="Times New Roman" w:cs="Times New Roman"/>
                <w:sz w:val="20"/>
                <w:szCs w:val="20"/>
                <w:lang w:eastAsia="en-GB"/>
              </w:rPr>
            </w:pPr>
          </w:p>
        </w:tc>
        <w:tc>
          <w:tcPr>
            <w:tcW w:w="1208" w:type="pct"/>
            <w:shd w:val="clear" w:color="auto" w:fill="auto"/>
          </w:tcPr>
          <w:p w14:paraId="3D86464C"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p>
        </w:tc>
        <w:tc>
          <w:tcPr>
            <w:tcW w:w="1208" w:type="pct"/>
            <w:shd w:val="clear" w:color="auto" w:fill="auto"/>
            <w:noWrap/>
          </w:tcPr>
          <w:p w14:paraId="6343A767"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p>
        </w:tc>
        <w:tc>
          <w:tcPr>
            <w:tcW w:w="1135" w:type="pct"/>
            <w:shd w:val="clear" w:color="auto" w:fill="auto"/>
          </w:tcPr>
          <w:p w14:paraId="3579F36F"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(0.0345)</w:t>
            </w:r>
          </w:p>
        </w:tc>
      </w:tr>
      <w:tr w:rsidR="003D16AC" w:rsidRPr="00F82B8F" w14:paraId="2F9740FE" w14:textId="77777777" w:rsidTr="003D16AC">
        <w:trPr>
          <w:trHeight w:val="300"/>
        </w:trPr>
        <w:tc>
          <w:tcPr>
            <w:tcW w:w="1449" w:type="pct"/>
            <w:shd w:val="clear" w:color="auto" w:fill="auto"/>
            <w:noWrap/>
            <w:hideMark/>
          </w:tcPr>
          <w:p w14:paraId="262181E6"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PRO</w:t>
            </w:r>
          </w:p>
        </w:tc>
        <w:tc>
          <w:tcPr>
            <w:tcW w:w="1208" w:type="pct"/>
            <w:shd w:val="clear" w:color="auto" w:fill="auto"/>
          </w:tcPr>
          <w:p w14:paraId="6E811EA8"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208" w:type="pct"/>
            <w:shd w:val="clear" w:color="auto" w:fill="auto"/>
            <w:noWrap/>
          </w:tcPr>
          <w:p w14:paraId="6A820585"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135" w:type="pct"/>
            <w:shd w:val="clear" w:color="auto" w:fill="auto"/>
          </w:tcPr>
          <w:p w14:paraId="191AAE23"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-0.2976**</w:t>
            </w:r>
          </w:p>
        </w:tc>
      </w:tr>
      <w:tr w:rsidR="003D16AC" w:rsidRPr="00F82B8F" w14:paraId="4C56A866" w14:textId="77777777" w:rsidTr="003D16AC">
        <w:trPr>
          <w:trHeight w:val="300"/>
        </w:trPr>
        <w:tc>
          <w:tcPr>
            <w:tcW w:w="1449" w:type="pct"/>
            <w:shd w:val="clear" w:color="auto" w:fill="auto"/>
            <w:noWrap/>
          </w:tcPr>
          <w:p w14:paraId="58A526AA"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p>
        </w:tc>
        <w:tc>
          <w:tcPr>
            <w:tcW w:w="1208" w:type="pct"/>
            <w:shd w:val="clear" w:color="auto" w:fill="auto"/>
          </w:tcPr>
          <w:p w14:paraId="52C93228"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208" w:type="pct"/>
            <w:shd w:val="clear" w:color="auto" w:fill="auto"/>
            <w:noWrap/>
          </w:tcPr>
          <w:p w14:paraId="0B95FFAD"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135" w:type="pct"/>
            <w:shd w:val="clear" w:color="auto" w:fill="auto"/>
          </w:tcPr>
          <w:p w14:paraId="147E4CD8"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(0.1375)</w:t>
            </w:r>
          </w:p>
        </w:tc>
      </w:tr>
      <w:tr w:rsidR="003D16AC" w:rsidRPr="00F82B8F" w14:paraId="70455EF7" w14:textId="77777777" w:rsidTr="003D16AC">
        <w:trPr>
          <w:trHeight w:val="300"/>
        </w:trPr>
        <w:tc>
          <w:tcPr>
            <w:tcW w:w="1449" w:type="pct"/>
            <w:shd w:val="clear" w:color="auto" w:fill="auto"/>
            <w:noWrap/>
          </w:tcPr>
          <w:p w14:paraId="33873828"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EMG*PRO</w:t>
            </w:r>
          </w:p>
        </w:tc>
        <w:tc>
          <w:tcPr>
            <w:tcW w:w="1208" w:type="pct"/>
            <w:shd w:val="clear" w:color="auto" w:fill="auto"/>
          </w:tcPr>
          <w:p w14:paraId="65822DF8"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208" w:type="pct"/>
            <w:shd w:val="clear" w:color="auto" w:fill="auto"/>
            <w:noWrap/>
          </w:tcPr>
          <w:p w14:paraId="4E2A8252"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135" w:type="pct"/>
            <w:shd w:val="clear" w:color="auto" w:fill="auto"/>
          </w:tcPr>
          <w:p w14:paraId="4FD66DF6"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-0.1493</w:t>
            </w:r>
          </w:p>
        </w:tc>
      </w:tr>
      <w:tr w:rsidR="003D16AC" w:rsidRPr="00F82B8F" w14:paraId="6771EED7" w14:textId="77777777" w:rsidTr="003D16AC">
        <w:trPr>
          <w:trHeight w:val="300"/>
        </w:trPr>
        <w:tc>
          <w:tcPr>
            <w:tcW w:w="1449" w:type="pct"/>
            <w:shd w:val="clear" w:color="auto" w:fill="auto"/>
            <w:noWrap/>
            <w:hideMark/>
          </w:tcPr>
          <w:p w14:paraId="30591973" w14:textId="77777777" w:rsidR="003D16AC" w:rsidRPr="00F82B8F" w:rsidRDefault="003D16AC" w:rsidP="003D16AC">
            <w:pPr>
              <w:spacing w:after="0" w:line="240" w:lineRule="auto"/>
              <w:rPr>
                <w:rFonts w:ascii="Times New Roman" w:eastAsia="Times New Roman" w:hAnsi="Times New Roman" w:cs="Times New Roman"/>
                <w:sz w:val="20"/>
                <w:szCs w:val="20"/>
                <w:lang w:eastAsia="en-GB"/>
              </w:rPr>
            </w:pPr>
          </w:p>
        </w:tc>
        <w:tc>
          <w:tcPr>
            <w:tcW w:w="1208" w:type="pct"/>
            <w:shd w:val="clear" w:color="auto" w:fill="auto"/>
          </w:tcPr>
          <w:p w14:paraId="65322405"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p>
        </w:tc>
        <w:tc>
          <w:tcPr>
            <w:tcW w:w="1208" w:type="pct"/>
            <w:shd w:val="clear" w:color="auto" w:fill="auto"/>
            <w:noWrap/>
          </w:tcPr>
          <w:p w14:paraId="4F9CCC73"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p>
        </w:tc>
        <w:tc>
          <w:tcPr>
            <w:tcW w:w="1135" w:type="pct"/>
            <w:shd w:val="clear" w:color="auto" w:fill="auto"/>
          </w:tcPr>
          <w:p w14:paraId="4D5C428D"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(0.1756)</w:t>
            </w:r>
          </w:p>
        </w:tc>
      </w:tr>
      <w:tr w:rsidR="003D16AC" w:rsidRPr="00F82B8F" w14:paraId="798BE394" w14:textId="77777777" w:rsidTr="003D16AC">
        <w:trPr>
          <w:trHeight w:val="300"/>
        </w:trPr>
        <w:tc>
          <w:tcPr>
            <w:tcW w:w="1449" w:type="pct"/>
            <w:shd w:val="clear" w:color="auto" w:fill="auto"/>
            <w:noWrap/>
            <w:hideMark/>
          </w:tcPr>
          <w:p w14:paraId="18E4A339"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OIN</w:t>
            </w:r>
          </w:p>
        </w:tc>
        <w:tc>
          <w:tcPr>
            <w:tcW w:w="1208" w:type="pct"/>
            <w:shd w:val="clear" w:color="auto" w:fill="auto"/>
          </w:tcPr>
          <w:p w14:paraId="16567184"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208" w:type="pct"/>
            <w:shd w:val="clear" w:color="auto" w:fill="auto"/>
            <w:noWrap/>
          </w:tcPr>
          <w:p w14:paraId="0D4D8416"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135" w:type="pct"/>
            <w:shd w:val="clear" w:color="auto" w:fill="auto"/>
          </w:tcPr>
          <w:p w14:paraId="71D0FD22"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0.3477***</w:t>
            </w:r>
          </w:p>
        </w:tc>
      </w:tr>
      <w:tr w:rsidR="003D16AC" w:rsidRPr="00F82B8F" w14:paraId="3BC64A76" w14:textId="77777777" w:rsidTr="003D16AC">
        <w:trPr>
          <w:trHeight w:val="300"/>
        </w:trPr>
        <w:tc>
          <w:tcPr>
            <w:tcW w:w="1449" w:type="pct"/>
            <w:shd w:val="clear" w:color="auto" w:fill="auto"/>
            <w:noWrap/>
          </w:tcPr>
          <w:p w14:paraId="06A6AA11"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p>
        </w:tc>
        <w:tc>
          <w:tcPr>
            <w:tcW w:w="1208" w:type="pct"/>
            <w:shd w:val="clear" w:color="auto" w:fill="auto"/>
          </w:tcPr>
          <w:p w14:paraId="42D7070C"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208" w:type="pct"/>
            <w:shd w:val="clear" w:color="auto" w:fill="auto"/>
            <w:noWrap/>
          </w:tcPr>
          <w:p w14:paraId="4E362C07"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135" w:type="pct"/>
            <w:shd w:val="clear" w:color="auto" w:fill="auto"/>
          </w:tcPr>
          <w:p w14:paraId="0F43EC20"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(0.1186)</w:t>
            </w:r>
          </w:p>
        </w:tc>
      </w:tr>
      <w:tr w:rsidR="003D16AC" w:rsidRPr="00F82B8F" w14:paraId="06D757E6" w14:textId="77777777" w:rsidTr="003D16AC">
        <w:trPr>
          <w:trHeight w:val="300"/>
        </w:trPr>
        <w:tc>
          <w:tcPr>
            <w:tcW w:w="1449" w:type="pct"/>
            <w:shd w:val="clear" w:color="auto" w:fill="auto"/>
            <w:noWrap/>
          </w:tcPr>
          <w:p w14:paraId="41236B9B"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EMG*OIN</w:t>
            </w:r>
          </w:p>
        </w:tc>
        <w:tc>
          <w:tcPr>
            <w:tcW w:w="1208" w:type="pct"/>
            <w:shd w:val="clear" w:color="auto" w:fill="auto"/>
          </w:tcPr>
          <w:p w14:paraId="06E3F1E1"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208" w:type="pct"/>
            <w:shd w:val="clear" w:color="auto" w:fill="auto"/>
            <w:noWrap/>
          </w:tcPr>
          <w:p w14:paraId="71C2ECAC"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135" w:type="pct"/>
            <w:shd w:val="clear" w:color="auto" w:fill="auto"/>
          </w:tcPr>
          <w:p w14:paraId="5DFE7B91"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-0.0163</w:t>
            </w:r>
          </w:p>
        </w:tc>
      </w:tr>
      <w:tr w:rsidR="003D16AC" w:rsidRPr="00F82B8F" w14:paraId="1C997CD6" w14:textId="77777777" w:rsidTr="003D16AC">
        <w:trPr>
          <w:trHeight w:val="300"/>
        </w:trPr>
        <w:tc>
          <w:tcPr>
            <w:tcW w:w="1449" w:type="pct"/>
            <w:shd w:val="clear" w:color="auto" w:fill="auto"/>
            <w:noWrap/>
            <w:hideMark/>
          </w:tcPr>
          <w:p w14:paraId="0E53CD74" w14:textId="77777777" w:rsidR="003D16AC" w:rsidRPr="00F82B8F" w:rsidRDefault="003D16AC" w:rsidP="003D16AC">
            <w:pPr>
              <w:spacing w:after="0" w:line="240" w:lineRule="auto"/>
              <w:rPr>
                <w:rFonts w:ascii="Times New Roman" w:eastAsia="Times New Roman" w:hAnsi="Times New Roman" w:cs="Times New Roman"/>
                <w:sz w:val="20"/>
                <w:szCs w:val="20"/>
                <w:lang w:eastAsia="en-GB"/>
              </w:rPr>
            </w:pPr>
          </w:p>
        </w:tc>
        <w:tc>
          <w:tcPr>
            <w:tcW w:w="1208" w:type="pct"/>
            <w:shd w:val="clear" w:color="auto" w:fill="auto"/>
          </w:tcPr>
          <w:p w14:paraId="3FFD85C6"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p>
        </w:tc>
        <w:tc>
          <w:tcPr>
            <w:tcW w:w="1208" w:type="pct"/>
            <w:shd w:val="clear" w:color="auto" w:fill="auto"/>
            <w:noWrap/>
          </w:tcPr>
          <w:p w14:paraId="7C01E454"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p>
        </w:tc>
        <w:tc>
          <w:tcPr>
            <w:tcW w:w="1135" w:type="pct"/>
            <w:shd w:val="clear" w:color="auto" w:fill="auto"/>
          </w:tcPr>
          <w:p w14:paraId="6FA15DD4"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(0.2414)</w:t>
            </w:r>
          </w:p>
        </w:tc>
      </w:tr>
      <w:tr w:rsidR="003D16AC" w:rsidRPr="00F82B8F" w14:paraId="67FCD3CB" w14:textId="77777777" w:rsidTr="003D16AC">
        <w:trPr>
          <w:trHeight w:val="300"/>
        </w:trPr>
        <w:tc>
          <w:tcPr>
            <w:tcW w:w="1449" w:type="pct"/>
            <w:shd w:val="clear" w:color="auto" w:fill="auto"/>
            <w:noWrap/>
            <w:hideMark/>
          </w:tcPr>
          <w:p w14:paraId="4756EA18"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INQ</w:t>
            </w:r>
          </w:p>
        </w:tc>
        <w:tc>
          <w:tcPr>
            <w:tcW w:w="1208" w:type="pct"/>
            <w:shd w:val="clear" w:color="auto" w:fill="auto"/>
          </w:tcPr>
          <w:p w14:paraId="6C5F7814"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208" w:type="pct"/>
            <w:shd w:val="clear" w:color="auto" w:fill="auto"/>
            <w:noWrap/>
          </w:tcPr>
          <w:p w14:paraId="258E7D8B"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135" w:type="pct"/>
            <w:shd w:val="clear" w:color="auto" w:fill="auto"/>
          </w:tcPr>
          <w:p w14:paraId="66731516"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-0.0029</w:t>
            </w:r>
          </w:p>
        </w:tc>
      </w:tr>
      <w:tr w:rsidR="003D16AC" w:rsidRPr="00F82B8F" w14:paraId="6B45AB02" w14:textId="77777777" w:rsidTr="003D16AC">
        <w:trPr>
          <w:trHeight w:val="300"/>
        </w:trPr>
        <w:tc>
          <w:tcPr>
            <w:tcW w:w="1449" w:type="pct"/>
            <w:shd w:val="clear" w:color="auto" w:fill="auto"/>
            <w:noWrap/>
          </w:tcPr>
          <w:p w14:paraId="6955F4AD"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p>
        </w:tc>
        <w:tc>
          <w:tcPr>
            <w:tcW w:w="1208" w:type="pct"/>
            <w:shd w:val="clear" w:color="auto" w:fill="auto"/>
          </w:tcPr>
          <w:p w14:paraId="21987A33"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208" w:type="pct"/>
            <w:shd w:val="clear" w:color="auto" w:fill="auto"/>
            <w:noWrap/>
          </w:tcPr>
          <w:p w14:paraId="7194B8D6"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135" w:type="pct"/>
            <w:shd w:val="clear" w:color="auto" w:fill="auto"/>
          </w:tcPr>
          <w:p w14:paraId="7183E06D"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(0.0034)</w:t>
            </w:r>
          </w:p>
        </w:tc>
      </w:tr>
      <w:tr w:rsidR="003D16AC" w:rsidRPr="00F82B8F" w14:paraId="4D2554E9" w14:textId="77777777" w:rsidTr="003D16AC">
        <w:trPr>
          <w:trHeight w:val="300"/>
        </w:trPr>
        <w:tc>
          <w:tcPr>
            <w:tcW w:w="1449" w:type="pct"/>
            <w:shd w:val="clear" w:color="auto" w:fill="auto"/>
            <w:noWrap/>
          </w:tcPr>
          <w:p w14:paraId="6ABE5DD7"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EMG*INQ</w:t>
            </w:r>
          </w:p>
        </w:tc>
        <w:tc>
          <w:tcPr>
            <w:tcW w:w="1208" w:type="pct"/>
            <w:shd w:val="clear" w:color="auto" w:fill="auto"/>
          </w:tcPr>
          <w:p w14:paraId="2422F386"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208" w:type="pct"/>
            <w:shd w:val="clear" w:color="auto" w:fill="auto"/>
            <w:noWrap/>
          </w:tcPr>
          <w:p w14:paraId="6BE51D2A"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135" w:type="pct"/>
            <w:shd w:val="clear" w:color="auto" w:fill="auto"/>
          </w:tcPr>
          <w:p w14:paraId="4F9CCB05"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0.5437</w:t>
            </w:r>
          </w:p>
        </w:tc>
      </w:tr>
      <w:tr w:rsidR="003D16AC" w:rsidRPr="00F82B8F" w14:paraId="7C415736" w14:textId="77777777" w:rsidTr="003D16AC">
        <w:trPr>
          <w:trHeight w:val="300"/>
        </w:trPr>
        <w:tc>
          <w:tcPr>
            <w:tcW w:w="1449" w:type="pct"/>
            <w:shd w:val="clear" w:color="auto" w:fill="auto"/>
            <w:noWrap/>
            <w:hideMark/>
          </w:tcPr>
          <w:p w14:paraId="2C373D2C" w14:textId="77777777" w:rsidR="003D16AC" w:rsidRPr="00F82B8F" w:rsidRDefault="003D16AC" w:rsidP="003D16AC">
            <w:pPr>
              <w:spacing w:after="0" w:line="240" w:lineRule="auto"/>
              <w:rPr>
                <w:rFonts w:ascii="Times New Roman" w:eastAsia="Times New Roman" w:hAnsi="Times New Roman" w:cs="Times New Roman"/>
                <w:sz w:val="20"/>
                <w:szCs w:val="20"/>
                <w:lang w:eastAsia="en-GB"/>
              </w:rPr>
            </w:pPr>
          </w:p>
        </w:tc>
        <w:tc>
          <w:tcPr>
            <w:tcW w:w="1208" w:type="pct"/>
            <w:shd w:val="clear" w:color="auto" w:fill="auto"/>
          </w:tcPr>
          <w:p w14:paraId="5E32823F"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p>
        </w:tc>
        <w:tc>
          <w:tcPr>
            <w:tcW w:w="1208" w:type="pct"/>
            <w:shd w:val="clear" w:color="auto" w:fill="auto"/>
            <w:noWrap/>
          </w:tcPr>
          <w:p w14:paraId="52BB8CBE"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p>
        </w:tc>
        <w:tc>
          <w:tcPr>
            <w:tcW w:w="1135" w:type="pct"/>
            <w:shd w:val="clear" w:color="auto" w:fill="auto"/>
          </w:tcPr>
          <w:p w14:paraId="00133769"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r w:rsidRPr="00F82B8F">
              <w:rPr>
                <w:rFonts w:ascii="Times New Roman" w:hAnsi="Times New Roman" w:cs="Times New Roman"/>
                <w:sz w:val="20"/>
                <w:szCs w:val="20"/>
              </w:rPr>
              <w:t>(0.3878)</w:t>
            </w:r>
          </w:p>
        </w:tc>
      </w:tr>
      <w:tr w:rsidR="003D16AC" w:rsidRPr="00F82B8F" w14:paraId="51A87C6F" w14:textId="77777777" w:rsidTr="003D16AC">
        <w:trPr>
          <w:trHeight w:val="300"/>
        </w:trPr>
        <w:tc>
          <w:tcPr>
            <w:tcW w:w="1449" w:type="pct"/>
            <w:shd w:val="clear" w:color="auto" w:fill="auto"/>
            <w:noWrap/>
            <w:hideMark/>
          </w:tcPr>
          <w:p w14:paraId="71BBA8ED"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HEL</w:t>
            </w:r>
          </w:p>
        </w:tc>
        <w:tc>
          <w:tcPr>
            <w:tcW w:w="1208" w:type="pct"/>
            <w:shd w:val="clear" w:color="auto" w:fill="auto"/>
          </w:tcPr>
          <w:p w14:paraId="474C92BE"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208" w:type="pct"/>
            <w:shd w:val="clear" w:color="auto" w:fill="auto"/>
            <w:noWrap/>
          </w:tcPr>
          <w:p w14:paraId="5FA66C99"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135" w:type="pct"/>
            <w:shd w:val="clear" w:color="auto" w:fill="auto"/>
          </w:tcPr>
          <w:p w14:paraId="0EA100CD"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0.0375</w:t>
            </w:r>
          </w:p>
        </w:tc>
      </w:tr>
      <w:tr w:rsidR="003D16AC" w:rsidRPr="00F82B8F" w14:paraId="6F99D862" w14:textId="77777777" w:rsidTr="003D16AC">
        <w:trPr>
          <w:trHeight w:val="300"/>
        </w:trPr>
        <w:tc>
          <w:tcPr>
            <w:tcW w:w="1449" w:type="pct"/>
            <w:shd w:val="clear" w:color="auto" w:fill="auto"/>
            <w:noWrap/>
          </w:tcPr>
          <w:p w14:paraId="47BA7E7F"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p>
        </w:tc>
        <w:tc>
          <w:tcPr>
            <w:tcW w:w="1208" w:type="pct"/>
            <w:shd w:val="clear" w:color="auto" w:fill="auto"/>
          </w:tcPr>
          <w:p w14:paraId="5893B59D"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208" w:type="pct"/>
            <w:shd w:val="clear" w:color="auto" w:fill="auto"/>
            <w:noWrap/>
          </w:tcPr>
          <w:p w14:paraId="35AB1BF5"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135" w:type="pct"/>
            <w:shd w:val="clear" w:color="auto" w:fill="auto"/>
          </w:tcPr>
          <w:p w14:paraId="005C4A45"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(0.9191)</w:t>
            </w:r>
          </w:p>
        </w:tc>
      </w:tr>
      <w:tr w:rsidR="003D16AC" w:rsidRPr="00F82B8F" w14:paraId="216978C1" w14:textId="77777777" w:rsidTr="003D16AC">
        <w:trPr>
          <w:trHeight w:val="300"/>
        </w:trPr>
        <w:tc>
          <w:tcPr>
            <w:tcW w:w="1449" w:type="pct"/>
            <w:shd w:val="clear" w:color="auto" w:fill="auto"/>
            <w:noWrap/>
          </w:tcPr>
          <w:p w14:paraId="7C0F24F4"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EMG*HEL</w:t>
            </w:r>
          </w:p>
        </w:tc>
        <w:tc>
          <w:tcPr>
            <w:tcW w:w="1208" w:type="pct"/>
            <w:shd w:val="clear" w:color="auto" w:fill="auto"/>
          </w:tcPr>
          <w:p w14:paraId="6C09AEE2"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208" w:type="pct"/>
            <w:shd w:val="clear" w:color="auto" w:fill="auto"/>
            <w:noWrap/>
          </w:tcPr>
          <w:p w14:paraId="4A86F2E3"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135" w:type="pct"/>
            <w:shd w:val="clear" w:color="auto" w:fill="auto"/>
          </w:tcPr>
          <w:p w14:paraId="3620BFC3"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0.5014</w:t>
            </w:r>
          </w:p>
        </w:tc>
      </w:tr>
      <w:tr w:rsidR="003D16AC" w:rsidRPr="00F82B8F" w14:paraId="010E6642" w14:textId="77777777" w:rsidTr="003D16AC">
        <w:trPr>
          <w:trHeight w:val="300"/>
        </w:trPr>
        <w:tc>
          <w:tcPr>
            <w:tcW w:w="1449" w:type="pct"/>
            <w:shd w:val="clear" w:color="auto" w:fill="auto"/>
            <w:noWrap/>
            <w:hideMark/>
          </w:tcPr>
          <w:p w14:paraId="664A4094" w14:textId="77777777" w:rsidR="003D16AC" w:rsidRPr="00F82B8F" w:rsidRDefault="003D16AC" w:rsidP="003D16AC">
            <w:pPr>
              <w:spacing w:after="0" w:line="240" w:lineRule="auto"/>
              <w:rPr>
                <w:rFonts w:ascii="Times New Roman" w:eastAsia="Times New Roman" w:hAnsi="Times New Roman" w:cs="Times New Roman"/>
                <w:sz w:val="20"/>
                <w:szCs w:val="20"/>
                <w:lang w:eastAsia="en-GB"/>
              </w:rPr>
            </w:pPr>
          </w:p>
        </w:tc>
        <w:tc>
          <w:tcPr>
            <w:tcW w:w="1208" w:type="pct"/>
            <w:shd w:val="clear" w:color="auto" w:fill="auto"/>
          </w:tcPr>
          <w:p w14:paraId="499C5E02"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p>
        </w:tc>
        <w:tc>
          <w:tcPr>
            <w:tcW w:w="1208" w:type="pct"/>
            <w:shd w:val="clear" w:color="auto" w:fill="auto"/>
            <w:noWrap/>
          </w:tcPr>
          <w:p w14:paraId="0ECF5051"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p>
        </w:tc>
        <w:tc>
          <w:tcPr>
            <w:tcW w:w="1135" w:type="pct"/>
            <w:shd w:val="clear" w:color="auto" w:fill="auto"/>
          </w:tcPr>
          <w:p w14:paraId="4248E1E2"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(0.9569)</w:t>
            </w:r>
          </w:p>
        </w:tc>
      </w:tr>
      <w:tr w:rsidR="003D16AC" w:rsidRPr="00F82B8F" w14:paraId="535908BC" w14:textId="77777777" w:rsidTr="003D16AC">
        <w:trPr>
          <w:trHeight w:val="300"/>
        </w:trPr>
        <w:tc>
          <w:tcPr>
            <w:tcW w:w="1449" w:type="pct"/>
            <w:shd w:val="clear" w:color="auto" w:fill="auto"/>
            <w:noWrap/>
            <w:hideMark/>
          </w:tcPr>
          <w:p w14:paraId="2075AC93"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FDI</w:t>
            </w:r>
          </w:p>
        </w:tc>
        <w:tc>
          <w:tcPr>
            <w:tcW w:w="1208" w:type="pct"/>
            <w:shd w:val="clear" w:color="auto" w:fill="auto"/>
          </w:tcPr>
          <w:p w14:paraId="5D6A3887"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208" w:type="pct"/>
            <w:shd w:val="clear" w:color="auto" w:fill="auto"/>
            <w:noWrap/>
          </w:tcPr>
          <w:p w14:paraId="4F077011"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135" w:type="pct"/>
            <w:shd w:val="clear" w:color="auto" w:fill="auto"/>
          </w:tcPr>
          <w:p w14:paraId="6B63163D"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-0.8955***</w:t>
            </w:r>
          </w:p>
        </w:tc>
      </w:tr>
      <w:tr w:rsidR="003D16AC" w:rsidRPr="00F82B8F" w14:paraId="42568678" w14:textId="77777777" w:rsidTr="003D16AC">
        <w:trPr>
          <w:trHeight w:val="300"/>
        </w:trPr>
        <w:tc>
          <w:tcPr>
            <w:tcW w:w="1449" w:type="pct"/>
            <w:shd w:val="clear" w:color="auto" w:fill="auto"/>
            <w:noWrap/>
          </w:tcPr>
          <w:p w14:paraId="19B107C4"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p>
        </w:tc>
        <w:tc>
          <w:tcPr>
            <w:tcW w:w="1208" w:type="pct"/>
            <w:shd w:val="clear" w:color="auto" w:fill="auto"/>
          </w:tcPr>
          <w:p w14:paraId="37839A28"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208" w:type="pct"/>
            <w:shd w:val="clear" w:color="auto" w:fill="auto"/>
            <w:noWrap/>
          </w:tcPr>
          <w:p w14:paraId="4EBDD3F6"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135" w:type="pct"/>
            <w:shd w:val="clear" w:color="auto" w:fill="auto"/>
          </w:tcPr>
          <w:p w14:paraId="63795FA1"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(0.1788)</w:t>
            </w:r>
          </w:p>
        </w:tc>
      </w:tr>
      <w:tr w:rsidR="003D16AC" w:rsidRPr="00F82B8F" w14:paraId="4F514E19" w14:textId="77777777" w:rsidTr="003D16AC">
        <w:trPr>
          <w:trHeight w:val="300"/>
        </w:trPr>
        <w:tc>
          <w:tcPr>
            <w:tcW w:w="1449" w:type="pct"/>
            <w:shd w:val="clear" w:color="auto" w:fill="auto"/>
            <w:noWrap/>
          </w:tcPr>
          <w:p w14:paraId="0C71816A"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EMG*FDI</w:t>
            </w:r>
          </w:p>
        </w:tc>
        <w:tc>
          <w:tcPr>
            <w:tcW w:w="1208" w:type="pct"/>
            <w:shd w:val="clear" w:color="auto" w:fill="auto"/>
          </w:tcPr>
          <w:p w14:paraId="797E6E7C"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208" w:type="pct"/>
            <w:shd w:val="clear" w:color="auto" w:fill="auto"/>
            <w:noWrap/>
          </w:tcPr>
          <w:p w14:paraId="026186FB"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p>
        </w:tc>
        <w:tc>
          <w:tcPr>
            <w:tcW w:w="1135" w:type="pct"/>
            <w:shd w:val="clear" w:color="auto" w:fill="auto"/>
          </w:tcPr>
          <w:p w14:paraId="72840F71"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2.3223***</w:t>
            </w:r>
          </w:p>
        </w:tc>
      </w:tr>
      <w:tr w:rsidR="003D16AC" w:rsidRPr="00F82B8F" w14:paraId="3F187700" w14:textId="77777777" w:rsidTr="003D16AC">
        <w:trPr>
          <w:trHeight w:val="300"/>
        </w:trPr>
        <w:tc>
          <w:tcPr>
            <w:tcW w:w="1449" w:type="pct"/>
            <w:shd w:val="clear" w:color="auto" w:fill="auto"/>
            <w:noWrap/>
            <w:hideMark/>
          </w:tcPr>
          <w:p w14:paraId="7D2E0326" w14:textId="77777777" w:rsidR="003D16AC" w:rsidRPr="00F82B8F" w:rsidRDefault="003D16AC" w:rsidP="003D16AC">
            <w:pPr>
              <w:spacing w:after="0" w:line="240" w:lineRule="auto"/>
              <w:rPr>
                <w:rFonts w:ascii="Times New Roman" w:eastAsia="Times New Roman" w:hAnsi="Times New Roman" w:cs="Times New Roman"/>
                <w:sz w:val="20"/>
                <w:szCs w:val="20"/>
                <w:lang w:eastAsia="en-GB"/>
              </w:rPr>
            </w:pPr>
          </w:p>
        </w:tc>
        <w:tc>
          <w:tcPr>
            <w:tcW w:w="1208" w:type="pct"/>
            <w:shd w:val="clear" w:color="auto" w:fill="auto"/>
          </w:tcPr>
          <w:p w14:paraId="693BC27C"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p>
        </w:tc>
        <w:tc>
          <w:tcPr>
            <w:tcW w:w="1208" w:type="pct"/>
            <w:shd w:val="clear" w:color="auto" w:fill="auto"/>
            <w:noWrap/>
          </w:tcPr>
          <w:p w14:paraId="34A10EA7"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p>
        </w:tc>
        <w:tc>
          <w:tcPr>
            <w:tcW w:w="1135" w:type="pct"/>
            <w:shd w:val="clear" w:color="auto" w:fill="auto"/>
          </w:tcPr>
          <w:p w14:paraId="21BBDCF5"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(0.2771)</w:t>
            </w:r>
          </w:p>
        </w:tc>
      </w:tr>
      <w:tr w:rsidR="003D16AC" w:rsidRPr="00F82B8F" w14:paraId="665DC645" w14:textId="77777777" w:rsidTr="003D16AC">
        <w:trPr>
          <w:trHeight w:val="300"/>
        </w:trPr>
        <w:tc>
          <w:tcPr>
            <w:tcW w:w="1449" w:type="pct"/>
            <w:shd w:val="clear" w:color="auto" w:fill="auto"/>
            <w:noWrap/>
            <w:hideMark/>
          </w:tcPr>
          <w:p w14:paraId="289A063B"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m:oMathPara>
              <m:oMathParaPr>
                <m:jc m:val="left"/>
              </m:oMathParaPr>
              <m:oMath>
                <m:r>
                  <w:rPr>
                    <w:rFonts w:ascii="Cambria Math" w:eastAsia="Times New Roman" w:hAnsi="Cambria Math" w:cs="Times New Roman"/>
                    <w:color w:val="000000"/>
                    <w:sz w:val="20"/>
                    <w:szCs w:val="20"/>
                    <w:lang w:eastAsia="en-GB"/>
                  </w:rPr>
                  <m:t>α</m:t>
                </m:r>
              </m:oMath>
            </m:oMathPara>
          </w:p>
        </w:tc>
        <w:tc>
          <w:tcPr>
            <w:tcW w:w="1208" w:type="pct"/>
            <w:shd w:val="clear" w:color="auto" w:fill="auto"/>
          </w:tcPr>
          <w:p w14:paraId="37EDC6FF" w14:textId="77777777" w:rsidR="003D16AC" w:rsidRPr="00F82B8F" w:rsidRDefault="003D16AC" w:rsidP="003D16A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0.0001</w:t>
            </w:r>
          </w:p>
        </w:tc>
        <w:tc>
          <w:tcPr>
            <w:tcW w:w="1208" w:type="pct"/>
            <w:shd w:val="clear" w:color="auto" w:fill="auto"/>
            <w:noWrap/>
          </w:tcPr>
          <w:p w14:paraId="37F7FC01"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-0.0167</w:t>
            </w:r>
          </w:p>
        </w:tc>
        <w:tc>
          <w:tcPr>
            <w:tcW w:w="1135" w:type="pct"/>
            <w:shd w:val="clear" w:color="auto" w:fill="auto"/>
          </w:tcPr>
          <w:p w14:paraId="3F8B8443"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-0.0114</w:t>
            </w:r>
          </w:p>
        </w:tc>
      </w:tr>
      <w:tr w:rsidR="003D16AC" w:rsidRPr="00F82B8F" w14:paraId="12CA68F4" w14:textId="77777777" w:rsidTr="003D16AC">
        <w:trPr>
          <w:trHeight w:val="300"/>
        </w:trPr>
        <w:tc>
          <w:tcPr>
            <w:tcW w:w="1449" w:type="pct"/>
            <w:shd w:val="clear" w:color="auto" w:fill="auto"/>
            <w:noWrap/>
            <w:hideMark/>
          </w:tcPr>
          <w:p w14:paraId="368C2D4B" w14:textId="5ACE7A06"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p>
        </w:tc>
        <w:tc>
          <w:tcPr>
            <w:tcW w:w="1208" w:type="pct"/>
            <w:shd w:val="clear" w:color="auto" w:fill="auto"/>
          </w:tcPr>
          <w:p w14:paraId="3AB26320" w14:textId="77777777" w:rsidR="003D16AC" w:rsidRPr="00F82B8F" w:rsidRDefault="003D16AC" w:rsidP="003D16A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(0.0136)</w:t>
            </w:r>
          </w:p>
        </w:tc>
        <w:tc>
          <w:tcPr>
            <w:tcW w:w="1208" w:type="pct"/>
            <w:shd w:val="clear" w:color="auto" w:fill="auto"/>
            <w:noWrap/>
          </w:tcPr>
          <w:p w14:paraId="68918409"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(0.0154)</w:t>
            </w:r>
          </w:p>
        </w:tc>
        <w:tc>
          <w:tcPr>
            <w:tcW w:w="1135" w:type="pct"/>
            <w:shd w:val="clear" w:color="auto" w:fill="auto"/>
          </w:tcPr>
          <w:p w14:paraId="31833D10"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(0.0177)</w:t>
            </w:r>
          </w:p>
        </w:tc>
      </w:tr>
      <w:tr w:rsidR="003D16AC" w:rsidRPr="00F82B8F" w14:paraId="7FFAF11F" w14:textId="77777777" w:rsidTr="003D16AC">
        <w:trPr>
          <w:trHeight w:val="300"/>
        </w:trPr>
        <w:tc>
          <w:tcPr>
            <w:tcW w:w="1449" w:type="pct"/>
            <w:shd w:val="clear" w:color="auto" w:fill="auto"/>
            <w:noWrap/>
            <w:hideMark/>
          </w:tcPr>
          <w:p w14:paraId="7A291FD2"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m:oMathPara>
              <m:oMathParaPr>
                <m:jc m:val="left"/>
              </m:oMathParaPr>
              <m:oMath>
                <m:r>
                  <w:rPr>
                    <w:rFonts w:ascii="Cambria Math" w:eastAsia="Times New Roman" w:hAnsi="Cambria Math" w:cs="Times New Roman"/>
                    <w:color w:val="000000"/>
                    <w:sz w:val="20"/>
                    <w:szCs w:val="20"/>
                    <w:lang w:eastAsia="en-GB"/>
                  </w:rPr>
                  <m:t>γ</m:t>
                </m:r>
              </m:oMath>
            </m:oMathPara>
          </w:p>
        </w:tc>
        <w:tc>
          <w:tcPr>
            <w:tcW w:w="1208" w:type="pct"/>
            <w:shd w:val="clear" w:color="auto" w:fill="auto"/>
          </w:tcPr>
          <w:p w14:paraId="16B6AA8F" w14:textId="77777777" w:rsidR="003D16AC" w:rsidRPr="00F82B8F" w:rsidRDefault="003D16AC" w:rsidP="003D16A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0.4777***</w:t>
            </w:r>
          </w:p>
        </w:tc>
        <w:tc>
          <w:tcPr>
            <w:tcW w:w="1208" w:type="pct"/>
            <w:shd w:val="clear" w:color="auto" w:fill="auto"/>
            <w:noWrap/>
          </w:tcPr>
          <w:p w14:paraId="78B9FFBF"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0.4605***</w:t>
            </w:r>
          </w:p>
        </w:tc>
        <w:tc>
          <w:tcPr>
            <w:tcW w:w="1135" w:type="pct"/>
            <w:shd w:val="clear" w:color="auto" w:fill="auto"/>
          </w:tcPr>
          <w:p w14:paraId="12952D63"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0.4360***</w:t>
            </w:r>
          </w:p>
        </w:tc>
      </w:tr>
      <w:tr w:rsidR="003D16AC" w:rsidRPr="00F82B8F" w14:paraId="259C6DB0" w14:textId="77777777" w:rsidTr="003D16AC">
        <w:trPr>
          <w:trHeight w:val="300"/>
        </w:trPr>
        <w:tc>
          <w:tcPr>
            <w:tcW w:w="1449" w:type="pct"/>
            <w:shd w:val="clear" w:color="auto" w:fill="auto"/>
            <w:noWrap/>
            <w:hideMark/>
          </w:tcPr>
          <w:p w14:paraId="59014160" w14:textId="3E2C2161"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p>
        </w:tc>
        <w:tc>
          <w:tcPr>
            <w:tcW w:w="1208" w:type="pct"/>
            <w:shd w:val="clear" w:color="auto" w:fill="auto"/>
          </w:tcPr>
          <w:p w14:paraId="2035D752" w14:textId="77777777" w:rsidR="003D16AC" w:rsidRPr="00F82B8F" w:rsidRDefault="003D16AC" w:rsidP="003D16A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(0.0213)</w:t>
            </w:r>
          </w:p>
        </w:tc>
        <w:tc>
          <w:tcPr>
            <w:tcW w:w="1208" w:type="pct"/>
            <w:shd w:val="clear" w:color="auto" w:fill="auto"/>
            <w:noWrap/>
          </w:tcPr>
          <w:p w14:paraId="4C92174A"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(0.0227)</w:t>
            </w:r>
          </w:p>
        </w:tc>
        <w:tc>
          <w:tcPr>
            <w:tcW w:w="1135" w:type="pct"/>
            <w:shd w:val="clear" w:color="auto" w:fill="auto"/>
          </w:tcPr>
          <w:p w14:paraId="1B945C0F"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(0.0257)</w:t>
            </w:r>
          </w:p>
        </w:tc>
      </w:tr>
      <w:tr w:rsidR="003D16AC" w:rsidRPr="00F82B8F" w14:paraId="4A2A32C4" w14:textId="77777777" w:rsidTr="003D16AC">
        <w:trPr>
          <w:trHeight w:val="300"/>
        </w:trPr>
        <w:tc>
          <w:tcPr>
            <w:tcW w:w="1449" w:type="pct"/>
            <w:shd w:val="clear" w:color="auto" w:fill="auto"/>
            <w:noWrap/>
            <w:hideMark/>
          </w:tcPr>
          <w:p w14:paraId="7D28C24A"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m:oMathPara>
              <m:oMathParaPr>
                <m:jc m:val="left"/>
              </m:oMathParaPr>
              <m:oMath>
                <m:r>
                  <w:rPr>
                    <w:rFonts w:ascii="Cambria Math" w:eastAsia="Times New Roman" w:hAnsi="Cambria Math" w:cs="Times New Roman"/>
                    <w:color w:val="000000"/>
                    <w:sz w:val="20"/>
                    <w:szCs w:val="20"/>
                    <w:lang w:eastAsia="en-GB"/>
                  </w:rPr>
                  <m:t>δ</m:t>
                </m:r>
              </m:oMath>
            </m:oMathPara>
          </w:p>
        </w:tc>
        <w:tc>
          <w:tcPr>
            <w:tcW w:w="1208" w:type="pct"/>
            <w:shd w:val="clear" w:color="auto" w:fill="auto"/>
          </w:tcPr>
          <w:p w14:paraId="1FB28A6B" w14:textId="77777777" w:rsidR="003D16AC" w:rsidRPr="00F82B8F" w:rsidRDefault="003D16AC" w:rsidP="003D16A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0.3448***</w:t>
            </w:r>
          </w:p>
        </w:tc>
        <w:tc>
          <w:tcPr>
            <w:tcW w:w="1208" w:type="pct"/>
            <w:shd w:val="clear" w:color="auto" w:fill="auto"/>
            <w:noWrap/>
          </w:tcPr>
          <w:p w14:paraId="1F74F654"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0.3121***</w:t>
            </w:r>
          </w:p>
        </w:tc>
        <w:tc>
          <w:tcPr>
            <w:tcW w:w="1135" w:type="pct"/>
            <w:shd w:val="clear" w:color="auto" w:fill="auto"/>
          </w:tcPr>
          <w:p w14:paraId="651AA49E"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0.2297***</w:t>
            </w:r>
          </w:p>
        </w:tc>
      </w:tr>
      <w:tr w:rsidR="003D16AC" w:rsidRPr="00F82B8F" w14:paraId="4041C8D7" w14:textId="77777777" w:rsidTr="003D16AC">
        <w:trPr>
          <w:trHeight w:val="300"/>
        </w:trPr>
        <w:tc>
          <w:tcPr>
            <w:tcW w:w="1449" w:type="pct"/>
            <w:shd w:val="clear" w:color="auto" w:fill="auto"/>
            <w:noWrap/>
            <w:hideMark/>
          </w:tcPr>
          <w:p w14:paraId="4FEA5C39" w14:textId="3E0960FA"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p>
        </w:tc>
        <w:tc>
          <w:tcPr>
            <w:tcW w:w="1208" w:type="pct"/>
            <w:shd w:val="clear" w:color="auto" w:fill="auto"/>
          </w:tcPr>
          <w:p w14:paraId="6CE0DA6F" w14:textId="77777777" w:rsidR="003D16AC" w:rsidRPr="00F82B8F" w:rsidRDefault="003D16AC" w:rsidP="003D16A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(0.0375)</w:t>
            </w:r>
          </w:p>
        </w:tc>
        <w:tc>
          <w:tcPr>
            <w:tcW w:w="1208" w:type="pct"/>
            <w:shd w:val="clear" w:color="auto" w:fill="auto"/>
            <w:noWrap/>
          </w:tcPr>
          <w:p w14:paraId="0928CB77"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(0.0369)</w:t>
            </w:r>
          </w:p>
        </w:tc>
        <w:tc>
          <w:tcPr>
            <w:tcW w:w="1135" w:type="pct"/>
            <w:shd w:val="clear" w:color="auto" w:fill="auto"/>
          </w:tcPr>
          <w:p w14:paraId="7D124082"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(0.0371)</w:t>
            </w:r>
          </w:p>
        </w:tc>
      </w:tr>
      <w:tr w:rsidR="003D16AC" w:rsidRPr="00F82B8F" w14:paraId="1F61B8D5" w14:textId="77777777" w:rsidTr="003D16AC">
        <w:trPr>
          <w:trHeight w:val="300"/>
        </w:trPr>
        <w:tc>
          <w:tcPr>
            <w:tcW w:w="1449" w:type="pct"/>
            <w:shd w:val="clear" w:color="auto" w:fill="auto"/>
            <w:noWrap/>
            <w:hideMark/>
          </w:tcPr>
          <w:p w14:paraId="36C2C5A2" w14:textId="77777777" w:rsidR="003D16AC" w:rsidRPr="00F82B8F" w:rsidRDefault="00984A85" w:rsidP="003D16AC">
            <w:pPr>
              <w:spacing w:after="0" w:line="240" w:lineRule="auto"/>
              <w:rPr>
                <w:rFonts w:ascii="Times New Roman" w:eastAsia="Times New Roman" w:hAnsi="Times New Roman" w:cs="Times New Roman"/>
                <w:color w:val="000000"/>
                <w:sz w:val="20"/>
                <w:szCs w:val="20"/>
                <w:lang w:eastAsia="en-GB"/>
              </w:rPr>
            </w:pPr>
            <m:oMathPara>
              <m:oMathParaPr>
                <m:jc m:val="left"/>
              </m:oMathParaPr>
              <m:oMath>
                <m:sSub>
                  <m:sSubPr>
                    <m:ctrlPr>
                      <w:rPr>
                        <w:rFonts w:ascii="Cambria Math" w:eastAsia="Times New Roman" w:hAnsi="Cambria Math" w:cs="Times New Roman"/>
                        <w:i/>
                        <w:color w:val="000000"/>
                        <w:sz w:val="20"/>
                        <w:szCs w:val="20"/>
                        <w:lang w:eastAsia="en-GB"/>
                      </w:rPr>
                    </m:ctrlPr>
                  </m:sSubPr>
                  <m:e>
                    <m:r>
                      <w:rPr>
                        <w:rFonts w:ascii="Cambria Math" w:eastAsia="Times New Roman" w:hAnsi="Cambria Math" w:cs="Times New Roman"/>
                        <w:color w:val="000000"/>
                        <w:sz w:val="20"/>
                        <w:szCs w:val="20"/>
                        <w:lang w:eastAsia="en-GB"/>
                      </w:rPr>
                      <m:t>λ</m:t>
                    </m:r>
                  </m:e>
                  <m:sub>
                    <m:r>
                      <w:rPr>
                        <w:rFonts w:ascii="Cambria Math" w:eastAsia="Times New Roman" w:hAnsi="Cambria Math" w:cs="Times New Roman"/>
                        <w:color w:val="000000"/>
                        <w:sz w:val="20"/>
                        <w:szCs w:val="20"/>
                        <w:lang w:eastAsia="en-GB"/>
                      </w:rPr>
                      <m:t>0</m:t>
                    </m:r>
                  </m:sub>
                </m:sSub>
              </m:oMath>
            </m:oMathPara>
          </w:p>
        </w:tc>
        <w:tc>
          <w:tcPr>
            <w:tcW w:w="1208" w:type="pct"/>
            <w:shd w:val="clear" w:color="auto" w:fill="auto"/>
          </w:tcPr>
          <w:p w14:paraId="6924B669" w14:textId="77777777" w:rsidR="003D16AC" w:rsidRPr="00F82B8F" w:rsidRDefault="003D16AC" w:rsidP="003D16A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-5.9238***</w:t>
            </w:r>
          </w:p>
        </w:tc>
        <w:tc>
          <w:tcPr>
            <w:tcW w:w="1208" w:type="pct"/>
            <w:shd w:val="clear" w:color="auto" w:fill="auto"/>
            <w:noWrap/>
          </w:tcPr>
          <w:p w14:paraId="4076BCD3"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-1.2724**</w:t>
            </w:r>
          </w:p>
        </w:tc>
        <w:tc>
          <w:tcPr>
            <w:tcW w:w="1135" w:type="pct"/>
            <w:shd w:val="clear" w:color="auto" w:fill="auto"/>
          </w:tcPr>
          <w:p w14:paraId="2636CCF6"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-4.8607</w:t>
            </w:r>
          </w:p>
        </w:tc>
      </w:tr>
      <w:tr w:rsidR="003D16AC" w:rsidRPr="00F82B8F" w14:paraId="3BE3E24D" w14:textId="77777777" w:rsidTr="003D16AC">
        <w:trPr>
          <w:trHeight w:val="300"/>
        </w:trPr>
        <w:tc>
          <w:tcPr>
            <w:tcW w:w="1449" w:type="pct"/>
            <w:shd w:val="clear" w:color="auto" w:fill="auto"/>
            <w:noWrap/>
            <w:hideMark/>
          </w:tcPr>
          <w:p w14:paraId="02FC9774"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p>
        </w:tc>
        <w:tc>
          <w:tcPr>
            <w:tcW w:w="1208" w:type="pct"/>
            <w:shd w:val="clear" w:color="auto" w:fill="auto"/>
          </w:tcPr>
          <w:p w14:paraId="2F4AE8FA" w14:textId="77777777" w:rsidR="003D16AC" w:rsidRPr="00F82B8F" w:rsidRDefault="003D16AC" w:rsidP="003D16A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(0.3278)</w:t>
            </w:r>
          </w:p>
        </w:tc>
        <w:tc>
          <w:tcPr>
            <w:tcW w:w="1208" w:type="pct"/>
            <w:shd w:val="clear" w:color="auto" w:fill="auto"/>
            <w:noWrap/>
          </w:tcPr>
          <w:p w14:paraId="67D87C43"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(0.5841)</w:t>
            </w:r>
          </w:p>
        </w:tc>
        <w:tc>
          <w:tcPr>
            <w:tcW w:w="1135" w:type="pct"/>
            <w:shd w:val="clear" w:color="auto" w:fill="auto"/>
          </w:tcPr>
          <w:p w14:paraId="77240515"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(4.0841)</w:t>
            </w:r>
          </w:p>
        </w:tc>
      </w:tr>
      <w:tr w:rsidR="003D16AC" w:rsidRPr="00F82B8F" w14:paraId="1BA1FF26" w14:textId="77777777" w:rsidTr="003D16AC">
        <w:trPr>
          <w:trHeight w:val="300"/>
        </w:trPr>
        <w:tc>
          <w:tcPr>
            <w:tcW w:w="1449" w:type="pct"/>
            <w:shd w:val="clear" w:color="auto" w:fill="auto"/>
            <w:noWrap/>
            <w:hideMark/>
          </w:tcPr>
          <w:p w14:paraId="306D7E90"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p>
        </w:tc>
        <w:tc>
          <w:tcPr>
            <w:tcW w:w="1208" w:type="pct"/>
            <w:shd w:val="clear" w:color="auto" w:fill="auto"/>
          </w:tcPr>
          <w:p w14:paraId="739D24F0"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p>
        </w:tc>
        <w:tc>
          <w:tcPr>
            <w:tcW w:w="1208" w:type="pct"/>
            <w:shd w:val="clear" w:color="auto" w:fill="auto"/>
            <w:noWrap/>
          </w:tcPr>
          <w:p w14:paraId="6E9F0817"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p>
        </w:tc>
        <w:tc>
          <w:tcPr>
            <w:tcW w:w="1135" w:type="pct"/>
            <w:shd w:val="clear" w:color="auto" w:fill="auto"/>
          </w:tcPr>
          <w:p w14:paraId="660652C3" w14:textId="77777777" w:rsidR="003D16AC" w:rsidRPr="00F82B8F" w:rsidRDefault="003D16AC" w:rsidP="003D16AC">
            <w:pPr>
              <w:spacing w:after="0" w:line="240" w:lineRule="auto"/>
              <w:jc w:val="center"/>
              <w:rPr>
                <w:rFonts w:ascii="Times New Roman" w:eastAsia="Times New Roman" w:hAnsi="Times New Roman" w:cs="Times New Roman"/>
                <w:sz w:val="20"/>
                <w:szCs w:val="20"/>
                <w:lang w:eastAsia="en-GB"/>
              </w:rPr>
            </w:pPr>
          </w:p>
        </w:tc>
      </w:tr>
      <w:tr w:rsidR="003D16AC" w:rsidRPr="00F82B8F" w14:paraId="1449430E" w14:textId="77777777" w:rsidTr="003D16AC">
        <w:trPr>
          <w:trHeight w:val="300"/>
        </w:trPr>
        <w:tc>
          <w:tcPr>
            <w:tcW w:w="1449" w:type="pct"/>
            <w:tcBorders>
              <w:bottom w:val="single" w:sz="4" w:space="0" w:color="auto"/>
            </w:tcBorders>
            <w:shd w:val="clear" w:color="auto" w:fill="auto"/>
            <w:noWrap/>
            <w:hideMark/>
          </w:tcPr>
          <w:p w14:paraId="30C61565" w14:textId="77777777" w:rsidR="003D16AC" w:rsidRPr="00F82B8F" w:rsidRDefault="003D16AC" w:rsidP="003D16AC">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Observations</w:t>
            </w:r>
          </w:p>
        </w:tc>
        <w:tc>
          <w:tcPr>
            <w:tcW w:w="1208" w:type="pct"/>
            <w:tcBorders>
              <w:bottom w:val="single" w:sz="4" w:space="0" w:color="auto"/>
            </w:tcBorders>
            <w:shd w:val="clear" w:color="auto" w:fill="auto"/>
          </w:tcPr>
          <w:p w14:paraId="3A2F8D32" w14:textId="77777777" w:rsidR="003D16AC" w:rsidRPr="00F82B8F" w:rsidRDefault="003D16AC" w:rsidP="003D16AC">
            <w:pPr>
              <w:spacing w:after="0" w:line="240" w:lineRule="auto"/>
              <w:jc w:val="center"/>
              <w:rPr>
                <w:rFonts w:ascii="Times New Roman" w:hAnsi="Times New Roman" w:cs="Times New Roman"/>
                <w:color w:val="000000"/>
                <w:sz w:val="20"/>
                <w:szCs w:val="20"/>
              </w:rPr>
            </w:pPr>
            <w:r w:rsidRPr="00F82B8F">
              <w:rPr>
                <w:rFonts w:ascii="Times New Roman" w:hAnsi="Times New Roman" w:cs="Times New Roman"/>
                <w:sz w:val="20"/>
                <w:szCs w:val="20"/>
              </w:rPr>
              <w:t>5,989</w:t>
            </w:r>
          </w:p>
        </w:tc>
        <w:tc>
          <w:tcPr>
            <w:tcW w:w="1208" w:type="pct"/>
            <w:tcBorders>
              <w:bottom w:val="single" w:sz="4" w:space="0" w:color="auto"/>
            </w:tcBorders>
            <w:shd w:val="clear" w:color="auto" w:fill="auto"/>
            <w:noWrap/>
          </w:tcPr>
          <w:p w14:paraId="4D489845"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5,989</w:t>
            </w:r>
          </w:p>
        </w:tc>
        <w:tc>
          <w:tcPr>
            <w:tcW w:w="1135" w:type="pct"/>
            <w:tcBorders>
              <w:bottom w:val="single" w:sz="4" w:space="0" w:color="auto"/>
            </w:tcBorders>
            <w:shd w:val="clear" w:color="auto" w:fill="auto"/>
          </w:tcPr>
          <w:p w14:paraId="7506787D" w14:textId="77777777" w:rsidR="003D16AC" w:rsidRPr="00F82B8F" w:rsidRDefault="003D16AC" w:rsidP="003D16AC">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hAnsi="Times New Roman" w:cs="Times New Roman"/>
                <w:sz w:val="20"/>
                <w:szCs w:val="20"/>
              </w:rPr>
              <w:t>5,635</w:t>
            </w:r>
          </w:p>
        </w:tc>
      </w:tr>
    </w:tbl>
    <w:bookmarkEnd w:id="9"/>
    <w:p w14:paraId="4BE30C2D" w14:textId="42A41AE2" w:rsidR="00EE18D8" w:rsidRPr="00F82B8F" w:rsidRDefault="00071A91" w:rsidP="00EE18D8">
      <w:pPr>
        <w:jc w:val="both"/>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 xml:space="preserve">Note: In this table we </w:t>
      </w:r>
      <w:r w:rsidR="00A012C4" w:rsidRPr="00F82B8F">
        <w:rPr>
          <w:rFonts w:ascii="Times New Roman" w:eastAsia="Times New Roman" w:hAnsi="Times New Roman" w:cs="Times New Roman"/>
          <w:color w:val="000000"/>
          <w:sz w:val="20"/>
          <w:szCs w:val="20"/>
          <w:lang w:eastAsia="en-GB"/>
        </w:rPr>
        <w:t xml:space="preserve">compare the impact of resilience, its sub-components and other macro characteristics between developed and emerging markets within our sample countries listed in Table 2. </w:t>
      </w:r>
      <w:r w:rsidR="004A1E9B" w:rsidRPr="00F82B8F">
        <w:rPr>
          <w:rFonts w:ascii="Times New Roman" w:eastAsia="Times New Roman" w:hAnsi="Times New Roman" w:cs="Times New Roman"/>
          <w:color w:val="000000"/>
          <w:sz w:val="20"/>
          <w:szCs w:val="20"/>
          <w:lang w:eastAsia="en-GB"/>
        </w:rPr>
        <w:t>Results in this table are generated from interaction term</w:t>
      </w:r>
      <w:r w:rsidR="00B0545B" w:rsidRPr="00F82B8F">
        <w:rPr>
          <w:rFonts w:ascii="Times New Roman" w:eastAsia="Times New Roman" w:hAnsi="Times New Roman" w:cs="Times New Roman"/>
          <w:color w:val="000000"/>
          <w:sz w:val="20"/>
          <w:szCs w:val="20"/>
          <w:lang w:eastAsia="en-GB"/>
        </w:rPr>
        <w:t>s</w:t>
      </w:r>
      <w:r w:rsidR="004A1E9B" w:rsidRPr="00F82B8F">
        <w:rPr>
          <w:rFonts w:ascii="Times New Roman" w:eastAsia="Times New Roman" w:hAnsi="Times New Roman" w:cs="Times New Roman"/>
          <w:color w:val="000000"/>
          <w:sz w:val="20"/>
          <w:szCs w:val="20"/>
          <w:lang w:eastAsia="en-GB"/>
        </w:rPr>
        <w:t xml:space="preserve"> with </w:t>
      </w:r>
      <w:r w:rsidR="00B0545B" w:rsidRPr="00F82B8F">
        <w:rPr>
          <w:rFonts w:ascii="Times New Roman" w:eastAsia="Times New Roman" w:hAnsi="Times New Roman" w:cs="Times New Roman"/>
          <w:color w:val="000000"/>
          <w:sz w:val="20"/>
          <w:szCs w:val="20"/>
          <w:lang w:eastAsia="en-GB"/>
        </w:rPr>
        <w:t xml:space="preserve">the </w:t>
      </w:r>
      <w:r w:rsidR="004A1E9B" w:rsidRPr="00F82B8F">
        <w:rPr>
          <w:rFonts w:ascii="Times New Roman" w:eastAsia="Times New Roman" w:hAnsi="Times New Roman" w:cs="Times New Roman"/>
          <w:color w:val="000000"/>
          <w:sz w:val="20"/>
          <w:szCs w:val="20"/>
          <w:lang w:eastAsia="en-GB"/>
        </w:rPr>
        <w:t>emerging market dummy.</w:t>
      </w:r>
      <w:r w:rsidR="003D16AC" w:rsidRPr="00F82B8F">
        <w:rPr>
          <w:rFonts w:ascii="Times New Roman" w:eastAsia="Times New Roman" w:hAnsi="Times New Roman" w:cs="Times New Roman"/>
          <w:color w:val="000000"/>
          <w:sz w:val="20"/>
          <w:szCs w:val="20"/>
          <w:lang w:eastAsia="en-GB"/>
        </w:rPr>
        <w:t xml:space="preserve"> C</w:t>
      </w:r>
      <w:r w:rsidR="00A012C4" w:rsidRPr="00F82B8F">
        <w:rPr>
          <w:rFonts w:ascii="Times New Roman" w:eastAsia="Times New Roman" w:hAnsi="Times New Roman" w:cs="Times New Roman"/>
          <w:color w:val="000000"/>
          <w:sz w:val="20"/>
          <w:szCs w:val="20"/>
          <w:lang w:eastAsia="en-GB"/>
        </w:rPr>
        <w:t>olumn (1) report</w:t>
      </w:r>
      <w:r w:rsidR="003D16AC" w:rsidRPr="00F82B8F">
        <w:rPr>
          <w:rFonts w:ascii="Times New Roman" w:eastAsia="Times New Roman" w:hAnsi="Times New Roman" w:cs="Times New Roman"/>
          <w:color w:val="000000"/>
          <w:sz w:val="20"/>
          <w:szCs w:val="20"/>
          <w:lang w:eastAsia="en-GB"/>
        </w:rPr>
        <w:t>s</w:t>
      </w:r>
      <w:r w:rsidR="00A012C4" w:rsidRPr="00F82B8F">
        <w:rPr>
          <w:rFonts w:ascii="Times New Roman" w:eastAsia="Times New Roman" w:hAnsi="Times New Roman" w:cs="Times New Roman"/>
          <w:color w:val="000000"/>
          <w:sz w:val="20"/>
          <w:szCs w:val="20"/>
          <w:lang w:eastAsia="en-GB"/>
        </w:rPr>
        <w:t xml:space="preserve"> the results of </w:t>
      </w:r>
      <w:r w:rsidR="00964C2B" w:rsidRPr="00F82B8F">
        <w:rPr>
          <w:rFonts w:ascii="Times New Roman" w:eastAsia="Times New Roman" w:hAnsi="Times New Roman" w:cs="Times New Roman"/>
          <w:color w:val="000000"/>
          <w:sz w:val="20"/>
          <w:szCs w:val="20"/>
          <w:lang w:eastAsia="en-GB"/>
        </w:rPr>
        <w:t>COVID-19</w:t>
      </w:r>
      <w:r w:rsidR="003D16AC" w:rsidRPr="00F82B8F">
        <w:rPr>
          <w:rFonts w:ascii="Times New Roman" w:eastAsia="Times New Roman" w:hAnsi="Times New Roman" w:cs="Times New Roman"/>
          <w:color w:val="000000"/>
          <w:sz w:val="20"/>
          <w:szCs w:val="20"/>
          <w:lang w:eastAsia="en-GB"/>
        </w:rPr>
        <w:t xml:space="preserve">, column (2) reports the </w:t>
      </w:r>
      <w:r w:rsidR="00A012C4" w:rsidRPr="00F82B8F">
        <w:rPr>
          <w:rFonts w:ascii="Times New Roman" w:eastAsia="Times New Roman" w:hAnsi="Times New Roman" w:cs="Times New Roman"/>
          <w:color w:val="000000"/>
          <w:sz w:val="20"/>
          <w:szCs w:val="20"/>
          <w:lang w:eastAsia="en-GB"/>
        </w:rPr>
        <w:t>resilience score, and column (</w:t>
      </w:r>
      <w:r w:rsidR="003D16AC" w:rsidRPr="00F82B8F">
        <w:rPr>
          <w:rFonts w:ascii="Times New Roman" w:eastAsia="Times New Roman" w:hAnsi="Times New Roman" w:cs="Times New Roman"/>
          <w:color w:val="000000"/>
          <w:sz w:val="20"/>
          <w:szCs w:val="20"/>
          <w:lang w:eastAsia="en-GB"/>
        </w:rPr>
        <w:t>3</w:t>
      </w:r>
      <w:r w:rsidR="00A012C4" w:rsidRPr="00F82B8F">
        <w:rPr>
          <w:rFonts w:ascii="Times New Roman" w:eastAsia="Times New Roman" w:hAnsi="Times New Roman" w:cs="Times New Roman"/>
          <w:color w:val="000000"/>
          <w:sz w:val="20"/>
          <w:szCs w:val="20"/>
          <w:lang w:eastAsia="en-GB"/>
        </w:rPr>
        <w:t xml:space="preserve">) reports all other variables except </w:t>
      </w:r>
      <w:r w:rsidR="00B0545B" w:rsidRPr="00F82B8F">
        <w:rPr>
          <w:rFonts w:ascii="Times New Roman" w:eastAsia="Times New Roman" w:hAnsi="Times New Roman" w:cs="Times New Roman"/>
          <w:color w:val="000000"/>
          <w:sz w:val="20"/>
          <w:szCs w:val="20"/>
          <w:lang w:eastAsia="en-GB"/>
        </w:rPr>
        <w:t xml:space="preserve">the </w:t>
      </w:r>
      <w:r w:rsidR="00A012C4" w:rsidRPr="00F82B8F">
        <w:rPr>
          <w:rFonts w:ascii="Times New Roman" w:eastAsia="Times New Roman" w:hAnsi="Times New Roman" w:cs="Times New Roman"/>
          <w:color w:val="000000"/>
          <w:sz w:val="20"/>
          <w:szCs w:val="20"/>
          <w:lang w:eastAsia="en-GB"/>
        </w:rPr>
        <w:t>financial institutions development index (FII), as we have included the aggregate index, FDI.</w:t>
      </w:r>
      <w:r w:rsidR="00EE18D8" w:rsidRPr="00F82B8F">
        <w:rPr>
          <w:rFonts w:ascii="Times New Roman" w:eastAsia="Times New Roman" w:hAnsi="Times New Roman" w:cs="Times New Roman"/>
          <w:color w:val="000000"/>
          <w:sz w:val="20"/>
          <w:szCs w:val="20"/>
          <w:lang w:eastAsia="en-GB"/>
        </w:rPr>
        <w:t xml:space="preserve"> The growth in global and local </w:t>
      </w:r>
      <w:r w:rsidR="00964C2B" w:rsidRPr="00F82B8F">
        <w:rPr>
          <w:rFonts w:ascii="Times New Roman" w:eastAsia="Times New Roman" w:hAnsi="Times New Roman" w:cs="Times New Roman"/>
          <w:color w:val="000000"/>
          <w:sz w:val="20"/>
          <w:szCs w:val="20"/>
          <w:lang w:eastAsia="en-GB"/>
        </w:rPr>
        <w:t>COVID-19</w:t>
      </w:r>
      <w:r w:rsidR="00EE18D8" w:rsidRPr="00F82B8F">
        <w:rPr>
          <w:rFonts w:ascii="Times New Roman" w:eastAsia="Times New Roman" w:hAnsi="Times New Roman" w:cs="Times New Roman"/>
          <w:color w:val="000000"/>
          <w:sz w:val="20"/>
          <w:szCs w:val="20"/>
          <w:lang w:eastAsia="en-GB"/>
        </w:rPr>
        <w:t xml:space="preserve"> cases and deaths </w:t>
      </w:r>
      <w:r w:rsidR="003D16AC" w:rsidRPr="00F82B8F">
        <w:rPr>
          <w:rFonts w:ascii="Times New Roman" w:eastAsia="Times New Roman" w:hAnsi="Times New Roman" w:cs="Times New Roman"/>
          <w:color w:val="000000"/>
          <w:sz w:val="20"/>
          <w:szCs w:val="20"/>
          <w:lang w:eastAsia="en-GB"/>
        </w:rPr>
        <w:t xml:space="preserve">are also </w:t>
      </w:r>
      <w:r w:rsidR="00EE18D8" w:rsidRPr="00F82B8F">
        <w:rPr>
          <w:rFonts w:ascii="Times New Roman" w:eastAsia="Times New Roman" w:hAnsi="Times New Roman" w:cs="Times New Roman"/>
          <w:color w:val="000000"/>
          <w:sz w:val="20"/>
          <w:szCs w:val="20"/>
          <w:lang w:eastAsia="en-GB"/>
        </w:rPr>
        <w:t xml:space="preserve">included in </w:t>
      </w:r>
      <w:r w:rsidR="003D16AC" w:rsidRPr="00F82B8F">
        <w:rPr>
          <w:rFonts w:ascii="Times New Roman" w:eastAsia="Times New Roman" w:hAnsi="Times New Roman" w:cs="Times New Roman"/>
          <w:color w:val="000000"/>
          <w:sz w:val="20"/>
          <w:szCs w:val="20"/>
          <w:lang w:eastAsia="en-GB"/>
        </w:rPr>
        <w:t>(2) and (3)</w:t>
      </w:r>
      <w:r w:rsidR="00EE18D8" w:rsidRPr="00F82B8F">
        <w:rPr>
          <w:rFonts w:ascii="Times New Roman" w:eastAsia="Times New Roman" w:hAnsi="Times New Roman" w:cs="Times New Roman"/>
          <w:color w:val="000000"/>
          <w:sz w:val="20"/>
          <w:szCs w:val="20"/>
          <w:lang w:eastAsia="en-GB"/>
        </w:rPr>
        <w:t xml:space="preserve">. </w:t>
      </w:r>
      <w:r w:rsidR="00B0545B" w:rsidRPr="00F82B8F">
        <w:rPr>
          <w:rFonts w:ascii="Times New Roman" w:eastAsia="Times New Roman" w:hAnsi="Times New Roman" w:cs="Times New Roman"/>
          <w:color w:val="000000"/>
          <w:sz w:val="20"/>
          <w:szCs w:val="20"/>
          <w:lang w:eastAsia="en-GB"/>
        </w:rPr>
        <w:t>S</w:t>
      </w:r>
      <w:r w:rsidR="003E2B99" w:rsidRPr="00F82B8F">
        <w:rPr>
          <w:rFonts w:ascii="Times New Roman" w:eastAsia="Times New Roman" w:hAnsi="Times New Roman" w:cs="Times New Roman"/>
          <w:color w:val="000000"/>
          <w:sz w:val="20"/>
          <w:szCs w:val="20"/>
          <w:lang w:eastAsia="en-GB"/>
        </w:rPr>
        <w:t>tandard errors</w:t>
      </w:r>
      <w:r w:rsidR="00EE18D8" w:rsidRPr="00F82B8F">
        <w:rPr>
          <w:rFonts w:ascii="Times New Roman" w:eastAsia="Times New Roman" w:hAnsi="Times New Roman" w:cs="Times New Roman"/>
          <w:color w:val="000000"/>
          <w:sz w:val="20"/>
          <w:szCs w:val="20"/>
          <w:lang w:eastAsia="en-GB"/>
        </w:rPr>
        <w:t xml:space="preserve"> are reported</w:t>
      </w:r>
      <w:r w:rsidR="003E2B99" w:rsidRPr="00F82B8F">
        <w:rPr>
          <w:rFonts w:ascii="Times New Roman" w:eastAsia="Times New Roman" w:hAnsi="Times New Roman" w:cs="Times New Roman"/>
          <w:color w:val="000000"/>
          <w:sz w:val="20"/>
          <w:szCs w:val="20"/>
          <w:lang w:eastAsia="en-GB"/>
        </w:rPr>
        <w:t xml:space="preserve"> in parentheses.</w:t>
      </w:r>
    </w:p>
    <w:p w14:paraId="213F3BDE" w14:textId="77777777" w:rsidR="00EE18D8" w:rsidRPr="008573D2" w:rsidRDefault="00EE18D8" w:rsidP="00EE18D8">
      <w:pPr>
        <w:tabs>
          <w:tab w:val="left" w:pos="1620"/>
        </w:tabs>
        <w:jc w:val="both"/>
        <w:rPr>
          <w:rFonts w:ascii="Times New Roman" w:hAnsi="Times New Roman" w:cs="Times New Roman"/>
          <w:sz w:val="24"/>
          <w:szCs w:val="24"/>
        </w:rPr>
      </w:pPr>
      <w:r w:rsidRPr="00F82B8F">
        <w:rPr>
          <w:rFonts w:ascii="Times New Roman" w:hAnsi="Times New Roman" w:cs="Times New Roman"/>
          <w:sz w:val="20"/>
          <w:szCs w:val="20"/>
        </w:rPr>
        <w:t>***, ** and * indicates statistical significance at the 1%, 5% and 10% level, respectively.</w:t>
      </w:r>
    </w:p>
    <w:p w14:paraId="723F0F37" w14:textId="77777777" w:rsidR="005F19C7" w:rsidRPr="008573D2" w:rsidRDefault="005F19C7">
      <w:pPr>
        <w:rPr>
          <w:rFonts w:ascii="Times New Roman" w:hAnsi="Times New Roman" w:cs="Times New Roman"/>
          <w:b/>
          <w:bCs/>
          <w:sz w:val="24"/>
          <w:szCs w:val="24"/>
        </w:rPr>
      </w:pPr>
    </w:p>
    <w:p w14:paraId="794B3FA1" w14:textId="1B397C72" w:rsidR="005F19C7" w:rsidRPr="008573D2" w:rsidRDefault="00AF7114" w:rsidP="00F64F7E">
      <w:pPr>
        <w:rPr>
          <w:rFonts w:ascii="Times New Roman" w:hAnsi="Times New Roman" w:cs="Times New Roman"/>
          <w:b/>
          <w:bCs/>
          <w:sz w:val="24"/>
          <w:szCs w:val="24"/>
        </w:rPr>
        <w:sectPr w:rsidR="005F19C7" w:rsidRPr="008573D2" w:rsidSect="005526F3">
          <w:pgSz w:w="11906" w:h="16838"/>
          <w:pgMar w:top="1440" w:right="1440" w:bottom="1440" w:left="1440" w:header="709" w:footer="709" w:gutter="0"/>
          <w:cols w:space="708"/>
          <w:docGrid w:linePitch="360"/>
        </w:sectPr>
      </w:pPr>
      <w:r w:rsidRPr="008573D2">
        <w:rPr>
          <w:rFonts w:ascii="Times New Roman" w:hAnsi="Times New Roman" w:cs="Times New Roman"/>
          <w:b/>
          <w:bCs/>
          <w:sz w:val="24"/>
          <w:szCs w:val="24"/>
        </w:rPr>
        <w:br w:type="page"/>
      </w:r>
    </w:p>
    <w:p w14:paraId="581BC843" w14:textId="77777777" w:rsidR="00C92BFD" w:rsidRPr="008573D2" w:rsidRDefault="00C92BFD" w:rsidP="00C92BFD">
      <w:pPr>
        <w:spacing w:after="200" w:line="360" w:lineRule="auto"/>
        <w:jc w:val="center"/>
        <w:rPr>
          <w:rFonts w:ascii="Times New Roman" w:hAnsi="Times New Roman" w:cs="Times New Roman"/>
          <w:sz w:val="24"/>
          <w:szCs w:val="24"/>
        </w:rPr>
      </w:pPr>
    </w:p>
    <w:p w14:paraId="1726EF74" w14:textId="3848B385" w:rsidR="000A0995" w:rsidRPr="008573D2" w:rsidRDefault="000A0995" w:rsidP="00C92BFD">
      <w:pPr>
        <w:spacing w:after="200" w:line="360" w:lineRule="auto"/>
        <w:jc w:val="center"/>
        <w:rPr>
          <w:rFonts w:ascii="Times New Roman" w:hAnsi="Times New Roman" w:cs="Times New Roman"/>
          <w:b/>
          <w:bCs/>
          <w:sz w:val="24"/>
          <w:szCs w:val="24"/>
        </w:rPr>
      </w:pPr>
      <w:r w:rsidRPr="008573D2">
        <w:rPr>
          <w:rFonts w:ascii="Times New Roman" w:hAnsi="Times New Roman" w:cs="Times New Roman"/>
          <w:b/>
          <w:bCs/>
          <w:sz w:val="24"/>
          <w:szCs w:val="24"/>
        </w:rPr>
        <w:t>Graph 1: Distribution of Log returns (RET)</w:t>
      </w:r>
    </w:p>
    <w:p w14:paraId="4BBCEFCF" w14:textId="77777777" w:rsidR="000A0995" w:rsidRPr="008573D2" w:rsidRDefault="000A0995" w:rsidP="000A0995">
      <w:pPr>
        <w:jc w:val="center"/>
        <w:rPr>
          <w:rFonts w:ascii="Times New Roman" w:hAnsi="Times New Roman" w:cs="Times New Roman"/>
          <w:sz w:val="24"/>
          <w:szCs w:val="24"/>
        </w:rPr>
      </w:pPr>
      <w:r w:rsidRPr="008573D2">
        <w:rPr>
          <w:rFonts w:ascii="Times New Roman" w:hAnsi="Times New Roman" w:cs="Times New Roman"/>
          <w:noProof/>
          <w:lang w:eastAsia="en-GB"/>
        </w:rPr>
        <w:drawing>
          <wp:inline distT="0" distB="0" distL="0" distR="0" wp14:anchorId="26368D1E" wp14:editId="15D06E4D">
            <wp:extent cx="5401902" cy="39338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0504" cy="3940089"/>
                    </a:xfrm>
                    <a:prstGeom prst="rect">
                      <a:avLst/>
                    </a:prstGeom>
                    <a:noFill/>
                    <a:ln>
                      <a:noFill/>
                    </a:ln>
                  </pic:spPr>
                </pic:pic>
              </a:graphicData>
            </a:graphic>
          </wp:inline>
        </w:drawing>
      </w:r>
    </w:p>
    <w:p w14:paraId="3645048B" w14:textId="77777777" w:rsidR="00C92BFD" w:rsidRPr="008573D2" w:rsidRDefault="00C92BFD" w:rsidP="000A0995">
      <w:pPr>
        <w:jc w:val="center"/>
        <w:rPr>
          <w:rFonts w:ascii="Times New Roman" w:hAnsi="Times New Roman" w:cs="Times New Roman"/>
          <w:sz w:val="24"/>
          <w:szCs w:val="24"/>
        </w:rPr>
      </w:pPr>
    </w:p>
    <w:p w14:paraId="7E1AFF47" w14:textId="77777777" w:rsidR="00C92BFD" w:rsidRPr="008573D2" w:rsidRDefault="00C92BFD" w:rsidP="000A0995">
      <w:pPr>
        <w:jc w:val="center"/>
        <w:rPr>
          <w:rFonts w:ascii="Times New Roman" w:hAnsi="Times New Roman" w:cs="Times New Roman"/>
          <w:sz w:val="24"/>
          <w:szCs w:val="24"/>
        </w:rPr>
      </w:pPr>
    </w:p>
    <w:p w14:paraId="2861EB86" w14:textId="77777777" w:rsidR="00C92BFD" w:rsidRPr="008573D2" w:rsidRDefault="00C92BFD" w:rsidP="000A0995">
      <w:pPr>
        <w:jc w:val="center"/>
        <w:rPr>
          <w:rFonts w:ascii="Times New Roman" w:hAnsi="Times New Roman" w:cs="Times New Roman"/>
          <w:sz w:val="24"/>
          <w:szCs w:val="24"/>
        </w:rPr>
      </w:pPr>
    </w:p>
    <w:p w14:paraId="28E67160" w14:textId="77777777" w:rsidR="00C92BFD" w:rsidRPr="008573D2" w:rsidRDefault="00C92BFD" w:rsidP="000A0995">
      <w:pPr>
        <w:jc w:val="center"/>
        <w:rPr>
          <w:rFonts w:ascii="Times New Roman" w:hAnsi="Times New Roman" w:cs="Times New Roman"/>
          <w:sz w:val="24"/>
          <w:szCs w:val="24"/>
        </w:rPr>
      </w:pPr>
    </w:p>
    <w:p w14:paraId="0B4E0ECC" w14:textId="77777777" w:rsidR="00C92BFD" w:rsidRPr="008573D2" w:rsidRDefault="00C92BFD" w:rsidP="000A0995">
      <w:pPr>
        <w:jc w:val="center"/>
        <w:rPr>
          <w:rFonts w:ascii="Times New Roman" w:hAnsi="Times New Roman" w:cs="Times New Roman"/>
          <w:sz w:val="24"/>
          <w:szCs w:val="24"/>
        </w:rPr>
      </w:pPr>
    </w:p>
    <w:p w14:paraId="56BE71ED" w14:textId="77777777" w:rsidR="00C92BFD" w:rsidRPr="008573D2" w:rsidRDefault="00C92BFD" w:rsidP="000A0995">
      <w:pPr>
        <w:jc w:val="center"/>
        <w:rPr>
          <w:rFonts w:ascii="Times New Roman" w:hAnsi="Times New Roman" w:cs="Times New Roman"/>
          <w:sz w:val="24"/>
          <w:szCs w:val="24"/>
        </w:rPr>
      </w:pPr>
    </w:p>
    <w:p w14:paraId="2CE911D8" w14:textId="77777777" w:rsidR="00C92BFD" w:rsidRPr="008573D2" w:rsidRDefault="00C92BFD" w:rsidP="000A0995">
      <w:pPr>
        <w:jc w:val="center"/>
        <w:rPr>
          <w:rFonts w:ascii="Times New Roman" w:hAnsi="Times New Roman" w:cs="Times New Roman"/>
          <w:sz w:val="24"/>
          <w:szCs w:val="24"/>
        </w:rPr>
      </w:pPr>
    </w:p>
    <w:p w14:paraId="332AE757" w14:textId="77777777" w:rsidR="00C92BFD" w:rsidRPr="008573D2" w:rsidRDefault="00C92BFD" w:rsidP="000A0995">
      <w:pPr>
        <w:jc w:val="center"/>
        <w:rPr>
          <w:rFonts w:ascii="Times New Roman" w:hAnsi="Times New Roman" w:cs="Times New Roman"/>
          <w:sz w:val="24"/>
          <w:szCs w:val="24"/>
        </w:rPr>
      </w:pPr>
    </w:p>
    <w:p w14:paraId="7B16183E" w14:textId="77777777" w:rsidR="00C92BFD" w:rsidRPr="008573D2" w:rsidRDefault="00C92BFD" w:rsidP="000A0995">
      <w:pPr>
        <w:jc w:val="center"/>
        <w:rPr>
          <w:rFonts w:ascii="Times New Roman" w:hAnsi="Times New Roman" w:cs="Times New Roman"/>
          <w:sz w:val="24"/>
          <w:szCs w:val="24"/>
        </w:rPr>
      </w:pPr>
    </w:p>
    <w:p w14:paraId="1AB38953" w14:textId="77777777" w:rsidR="00C92BFD" w:rsidRPr="008573D2" w:rsidRDefault="00C92BFD" w:rsidP="000A0995">
      <w:pPr>
        <w:jc w:val="center"/>
        <w:rPr>
          <w:rFonts w:ascii="Times New Roman" w:hAnsi="Times New Roman" w:cs="Times New Roman"/>
          <w:sz w:val="24"/>
          <w:szCs w:val="24"/>
        </w:rPr>
      </w:pPr>
    </w:p>
    <w:p w14:paraId="691B5414" w14:textId="177B55B9" w:rsidR="00C92BFD" w:rsidRPr="008573D2" w:rsidRDefault="00C92BFD" w:rsidP="000A0995">
      <w:pPr>
        <w:jc w:val="center"/>
        <w:rPr>
          <w:rFonts w:ascii="Times New Roman" w:hAnsi="Times New Roman" w:cs="Times New Roman"/>
          <w:sz w:val="24"/>
          <w:szCs w:val="24"/>
        </w:rPr>
      </w:pPr>
    </w:p>
    <w:p w14:paraId="71945F37" w14:textId="77777777" w:rsidR="00635813" w:rsidRPr="008573D2" w:rsidRDefault="00635813" w:rsidP="000A0995">
      <w:pPr>
        <w:jc w:val="center"/>
        <w:rPr>
          <w:rFonts w:ascii="Times New Roman" w:hAnsi="Times New Roman" w:cs="Times New Roman"/>
          <w:sz w:val="24"/>
          <w:szCs w:val="24"/>
        </w:rPr>
      </w:pPr>
    </w:p>
    <w:p w14:paraId="2EEB2826" w14:textId="77777777" w:rsidR="00C92BFD" w:rsidRPr="008573D2" w:rsidRDefault="00C92BFD" w:rsidP="000A0995">
      <w:pPr>
        <w:jc w:val="center"/>
        <w:rPr>
          <w:rFonts w:ascii="Times New Roman" w:hAnsi="Times New Roman" w:cs="Times New Roman"/>
          <w:sz w:val="24"/>
          <w:szCs w:val="24"/>
        </w:rPr>
      </w:pPr>
    </w:p>
    <w:p w14:paraId="782526DC" w14:textId="77777777" w:rsidR="00C92BFD" w:rsidRPr="008573D2" w:rsidRDefault="00C92BFD" w:rsidP="000A0995">
      <w:pPr>
        <w:jc w:val="center"/>
        <w:rPr>
          <w:rFonts w:ascii="Times New Roman" w:hAnsi="Times New Roman" w:cs="Times New Roman"/>
          <w:sz w:val="24"/>
          <w:szCs w:val="24"/>
        </w:rPr>
      </w:pPr>
    </w:p>
    <w:p w14:paraId="2A48BAA8" w14:textId="5C504CC0" w:rsidR="000A0995" w:rsidRPr="008573D2" w:rsidRDefault="000A0995" w:rsidP="000A0995">
      <w:pPr>
        <w:jc w:val="center"/>
        <w:rPr>
          <w:rFonts w:ascii="Times New Roman" w:hAnsi="Times New Roman" w:cs="Times New Roman"/>
          <w:b/>
          <w:bCs/>
          <w:sz w:val="24"/>
          <w:szCs w:val="24"/>
        </w:rPr>
      </w:pPr>
      <w:r w:rsidRPr="008573D2">
        <w:rPr>
          <w:rFonts w:ascii="Times New Roman" w:hAnsi="Times New Roman" w:cs="Times New Roman"/>
          <w:b/>
          <w:bCs/>
          <w:sz w:val="24"/>
          <w:szCs w:val="24"/>
        </w:rPr>
        <w:lastRenderedPageBreak/>
        <w:t xml:space="preserve">Graph 2: Distribution of Log of CBOE VIX </w:t>
      </w:r>
      <w:r w:rsidR="00AD1A21" w:rsidRPr="008573D2">
        <w:rPr>
          <w:rFonts w:ascii="Times New Roman" w:hAnsi="Times New Roman" w:cs="Times New Roman"/>
          <w:b/>
          <w:bCs/>
          <w:sz w:val="24"/>
          <w:szCs w:val="24"/>
        </w:rPr>
        <w:t>I</w:t>
      </w:r>
      <w:r w:rsidRPr="008573D2">
        <w:rPr>
          <w:rFonts w:ascii="Times New Roman" w:hAnsi="Times New Roman" w:cs="Times New Roman"/>
          <w:b/>
          <w:bCs/>
          <w:sz w:val="24"/>
          <w:szCs w:val="24"/>
        </w:rPr>
        <w:t>ndex</w:t>
      </w:r>
    </w:p>
    <w:p w14:paraId="432D8C6F" w14:textId="77777777" w:rsidR="000A0995" w:rsidRPr="008573D2" w:rsidRDefault="000A0995" w:rsidP="000A0995">
      <w:pPr>
        <w:jc w:val="center"/>
        <w:rPr>
          <w:rFonts w:ascii="Times New Roman" w:hAnsi="Times New Roman" w:cs="Times New Roman"/>
          <w:sz w:val="24"/>
          <w:szCs w:val="24"/>
        </w:rPr>
      </w:pPr>
      <w:r w:rsidRPr="008573D2">
        <w:rPr>
          <w:rFonts w:ascii="Times New Roman" w:hAnsi="Times New Roman" w:cs="Times New Roman"/>
          <w:noProof/>
          <w:lang w:eastAsia="en-GB"/>
        </w:rPr>
        <w:drawing>
          <wp:inline distT="0" distB="0" distL="0" distR="0" wp14:anchorId="78242E80" wp14:editId="1F18DCFD">
            <wp:extent cx="5448300" cy="39676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59322" cy="3975639"/>
                    </a:xfrm>
                    <a:prstGeom prst="rect">
                      <a:avLst/>
                    </a:prstGeom>
                    <a:noFill/>
                    <a:ln>
                      <a:noFill/>
                    </a:ln>
                  </pic:spPr>
                </pic:pic>
              </a:graphicData>
            </a:graphic>
          </wp:inline>
        </w:drawing>
      </w:r>
    </w:p>
    <w:p w14:paraId="288E549F" w14:textId="204F0297" w:rsidR="00C063F4" w:rsidRPr="008573D2" w:rsidRDefault="00C063F4">
      <w:pPr>
        <w:rPr>
          <w:rFonts w:ascii="Times New Roman" w:hAnsi="Times New Roman" w:cs="Times New Roman"/>
          <w:sz w:val="24"/>
          <w:szCs w:val="24"/>
        </w:rPr>
      </w:pPr>
    </w:p>
    <w:p w14:paraId="1223203E" w14:textId="13C22AEF" w:rsidR="00C92BFD" w:rsidRPr="008573D2" w:rsidRDefault="00C92BFD">
      <w:pPr>
        <w:rPr>
          <w:rFonts w:ascii="Times New Roman" w:hAnsi="Times New Roman" w:cs="Times New Roman"/>
          <w:sz w:val="24"/>
          <w:szCs w:val="24"/>
        </w:rPr>
      </w:pPr>
    </w:p>
    <w:p w14:paraId="1AF5DE48" w14:textId="655D2042" w:rsidR="00E43480" w:rsidRPr="008573D2" w:rsidRDefault="00E43480">
      <w:pPr>
        <w:rPr>
          <w:rFonts w:ascii="Times New Roman" w:hAnsi="Times New Roman" w:cs="Times New Roman"/>
          <w:sz w:val="24"/>
          <w:szCs w:val="24"/>
        </w:rPr>
      </w:pPr>
    </w:p>
    <w:p w14:paraId="40AB7558" w14:textId="0CC183FE" w:rsidR="00E43480" w:rsidRPr="008573D2" w:rsidRDefault="00E43480">
      <w:pPr>
        <w:rPr>
          <w:rFonts w:ascii="Times New Roman" w:hAnsi="Times New Roman" w:cs="Times New Roman"/>
          <w:sz w:val="24"/>
          <w:szCs w:val="24"/>
        </w:rPr>
      </w:pPr>
    </w:p>
    <w:p w14:paraId="76F164A3" w14:textId="25AEB85A" w:rsidR="00E43480" w:rsidRPr="008573D2" w:rsidRDefault="00E43480">
      <w:pPr>
        <w:rPr>
          <w:rFonts w:ascii="Times New Roman" w:hAnsi="Times New Roman" w:cs="Times New Roman"/>
          <w:sz w:val="24"/>
          <w:szCs w:val="24"/>
        </w:rPr>
      </w:pPr>
    </w:p>
    <w:p w14:paraId="3AE32758" w14:textId="37691BDC" w:rsidR="00E43480" w:rsidRPr="008573D2" w:rsidRDefault="00E43480">
      <w:pPr>
        <w:rPr>
          <w:rFonts w:ascii="Times New Roman" w:hAnsi="Times New Roman" w:cs="Times New Roman"/>
          <w:sz w:val="24"/>
          <w:szCs w:val="24"/>
        </w:rPr>
      </w:pPr>
    </w:p>
    <w:p w14:paraId="565E85EF" w14:textId="034518D0" w:rsidR="00E43480" w:rsidRPr="008573D2" w:rsidRDefault="00E43480">
      <w:pPr>
        <w:rPr>
          <w:rFonts w:ascii="Times New Roman" w:hAnsi="Times New Roman" w:cs="Times New Roman"/>
          <w:sz w:val="24"/>
          <w:szCs w:val="24"/>
        </w:rPr>
      </w:pPr>
    </w:p>
    <w:p w14:paraId="0CD5A820" w14:textId="7B9F8ED1" w:rsidR="00E43480" w:rsidRPr="008573D2" w:rsidRDefault="00E43480">
      <w:pPr>
        <w:rPr>
          <w:rFonts w:ascii="Times New Roman" w:hAnsi="Times New Roman" w:cs="Times New Roman"/>
          <w:sz w:val="24"/>
          <w:szCs w:val="24"/>
        </w:rPr>
      </w:pPr>
    </w:p>
    <w:p w14:paraId="3336EBCB" w14:textId="5D008976" w:rsidR="00E43480" w:rsidRPr="008573D2" w:rsidRDefault="00E43480">
      <w:pPr>
        <w:rPr>
          <w:rFonts w:ascii="Times New Roman" w:hAnsi="Times New Roman" w:cs="Times New Roman"/>
          <w:sz w:val="24"/>
          <w:szCs w:val="24"/>
        </w:rPr>
      </w:pPr>
    </w:p>
    <w:p w14:paraId="78A64EFA" w14:textId="1F30C83B" w:rsidR="00E43480" w:rsidRPr="008573D2" w:rsidRDefault="00E43480">
      <w:pPr>
        <w:rPr>
          <w:rFonts w:ascii="Times New Roman" w:hAnsi="Times New Roman" w:cs="Times New Roman"/>
          <w:sz w:val="24"/>
          <w:szCs w:val="24"/>
        </w:rPr>
      </w:pPr>
    </w:p>
    <w:p w14:paraId="2D7E3934" w14:textId="5E655B74" w:rsidR="00E43480" w:rsidRPr="008573D2" w:rsidRDefault="00E43480">
      <w:pPr>
        <w:rPr>
          <w:rFonts w:ascii="Times New Roman" w:hAnsi="Times New Roman" w:cs="Times New Roman"/>
          <w:sz w:val="24"/>
          <w:szCs w:val="24"/>
        </w:rPr>
      </w:pPr>
    </w:p>
    <w:p w14:paraId="717249A1" w14:textId="487F932F" w:rsidR="00E43480" w:rsidRPr="008573D2" w:rsidRDefault="00E43480">
      <w:pPr>
        <w:rPr>
          <w:rFonts w:ascii="Times New Roman" w:hAnsi="Times New Roman" w:cs="Times New Roman"/>
          <w:sz w:val="24"/>
          <w:szCs w:val="24"/>
        </w:rPr>
      </w:pPr>
    </w:p>
    <w:p w14:paraId="613E48EA" w14:textId="2D8026DB" w:rsidR="00E43480" w:rsidRPr="008573D2" w:rsidRDefault="00E43480">
      <w:pPr>
        <w:rPr>
          <w:rFonts w:ascii="Times New Roman" w:hAnsi="Times New Roman" w:cs="Times New Roman"/>
          <w:sz w:val="24"/>
          <w:szCs w:val="24"/>
        </w:rPr>
      </w:pPr>
    </w:p>
    <w:p w14:paraId="0B9BAE0D" w14:textId="77777777" w:rsidR="002C6557" w:rsidRPr="008573D2" w:rsidRDefault="002C6557">
      <w:pPr>
        <w:rPr>
          <w:rFonts w:ascii="Times New Roman" w:hAnsi="Times New Roman" w:cs="Times New Roman"/>
          <w:b/>
          <w:bCs/>
          <w:sz w:val="24"/>
          <w:szCs w:val="24"/>
        </w:rPr>
      </w:pPr>
      <w:r w:rsidRPr="008573D2">
        <w:rPr>
          <w:rFonts w:ascii="Times New Roman" w:hAnsi="Times New Roman" w:cs="Times New Roman"/>
          <w:b/>
          <w:bCs/>
          <w:sz w:val="24"/>
          <w:szCs w:val="24"/>
        </w:rPr>
        <w:br w:type="page"/>
      </w:r>
    </w:p>
    <w:p w14:paraId="6DA4FF0F" w14:textId="6456BD1C" w:rsidR="00E43480" w:rsidRPr="008573D2" w:rsidRDefault="00E43480" w:rsidP="00E43480">
      <w:pPr>
        <w:spacing w:line="360" w:lineRule="auto"/>
        <w:jc w:val="both"/>
        <w:rPr>
          <w:rFonts w:ascii="Times New Roman" w:hAnsi="Times New Roman" w:cs="Times New Roman"/>
          <w:b/>
          <w:bCs/>
          <w:sz w:val="24"/>
          <w:szCs w:val="24"/>
        </w:rPr>
      </w:pPr>
      <w:r w:rsidRPr="008573D2">
        <w:rPr>
          <w:rFonts w:ascii="Times New Roman" w:hAnsi="Times New Roman" w:cs="Times New Roman"/>
          <w:b/>
          <w:bCs/>
          <w:sz w:val="24"/>
          <w:szCs w:val="24"/>
        </w:rPr>
        <w:lastRenderedPageBreak/>
        <w:t xml:space="preserve">Appendix A: Mean </w:t>
      </w:r>
      <w:r w:rsidR="00AD1A21" w:rsidRPr="008573D2">
        <w:rPr>
          <w:rFonts w:ascii="Times New Roman" w:hAnsi="Times New Roman" w:cs="Times New Roman"/>
          <w:b/>
          <w:bCs/>
          <w:sz w:val="24"/>
          <w:szCs w:val="24"/>
        </w:rPr>
        <w:t>S</w:t>
      </w:r>
      <w:r w:rsidRPr="008573D2">
        <w:rPr>
          <w:rFonts w:ascii="Times New Roman" w:hAnsi="Times New Roman" w:cs="Times New Roman"/>
          <w:b/>
          <w:bCs/>
          <w:sz w:val="24"/>
          <w:szCs w:val="24"/>
        </w:rPr>
        <w:t xml:space="preserve">cores of </w:t>
      </w:r>
      <w:bookmarkStart w:id="10" w:name="_Hlk50711436"/>
      <w:r w:rsidR="00AD1A21" w:rsidRPr="008573D2">
        <w:rPr>
          <w:rFonts w:ascii="Times New Roman" w:hAnsi="Times New Roman" w:cs="Times New Roman"/>
          <w:b/>
          <w:bCs/>
          <w:sz w:val="24"/>
          <w:szCs w:val="24"/>
        </w:rPr>
        <w:t>R</w:t>
      </w:r>
      <w:r w:rsidRPr="008573D2">
        <w:rPr>
          <w:rFonts w:ascii="Times New Roman" w:hAnsi="Times New Roman" w:cs="Times New Roman"/>
          <w:b/>
          <w:bCs/>
          <w:sz w:val="24"/>
          <w:szCs w:val="24"/>
        </w:rPr>
        <w:t xml:space="preserve">esilience, its </w:t>
      </w:r>
      <w:r w:rsidR="00AD1A21" w:rsidRPr="008573D2">
        <w:rPr>
          <w:rFonts w:ascii="Times New Roman" w:hAnsi="Times New Roman" w:cs="Times New Roman"/>
          <w:b/>
          <w:bCs/>
          <w:sz w:val="24"/>
          <w:szCs w:val="24"/>
        </w:rPr>
        <w:t>S</w:t>
      </w:r>
      <w:r w:rsidRPr="008573D2">
        <w:rPr>
          <w:rFonts w:ascii="Times New Roman" w:hAnsi="Times New Roman" w:cs="Times New Roman"/>
          <w:b/>
          <w:bCs/>
          <w:sz w:val="24"/>
          <w:szCs w:val="24"/>
        </w:rPr>
        <w:t xml:space="preserve">ub-components and </w:t>
      </w:r>
      <w:r w:rsidR="00AD1A21" w:rsidRPr="008573D2">
        <w:rPr>
          <w:rFonts w:ascii="Times New Roman" w:hAnsi="Times New Roman" w:cs="Times New Roman"/>
          <w:b/>
          <w:bCs/>
          <w:sz w:val="24"/>
          <w:szCs w:val="24"/>
        </w:rPr>
        <w:t>O</w:t>
      </w:r>
      <w:r w:rsidRPr="008573D2">
        <w:rPr>
          <w:rFonts w:ascii="Times New Roman" w:hAnsi="Times New Roman" w:cs="Times New Roman"/>
          <w:b/>
          <w:bCs/>
          <w:sz w:val="24"/>
          <w:szCs w:val="24"/>
        </w:rPr>
        <w:t xml:space="preserve">ther </w:t>
      </w:r>
      <w:r w:rsidR="00AD1A21" w:rsidRPr="008573D2">
        <w:rPr>
          <w:rFonts w:ascii="Times New Roman" w:hAnsi="Times New Roman" w:cs="Times New Roman"/>
          <w:b/>
          <w:bCs/>
          <w:sz w:val="24"/>
          <w:szCs w:val="24"/>
        </w:rPr>
        <w:t>M</w:t>
      </w:r>
      <w:r w:rsidRPr="008573D2">
        <w:rPr>
          <w:rFonts w:ascii="Times New Roman" w:hAnsi="Times New Roman" w:cs="Times New Roman"/>
          <w:b/>
          <w:bCs/>
          <w:sz w:val="24"/>
          <w:szCs w:val="24"/>
        </w:rPr>
        <w:t xml:space="preserve">acro </w:t>
      </w:r>
      <w:r w:rsidR="00AD1A21" w:rsidRPr="008573D2">
        <w:rPr>
          <w:rFonts w:ascii="Times New Roman" w:hAnsi="Times New Roman" w:cs="Times New Roman"/>
          <w:b/>
          <w:bCs/>
          <w:sz w:val="24"/>
          <w:szCs w:val="24"/>
        </w:rPr>
        <w:t>V</w:t>
      </w:r>
      <w:r w:rsidRPr="008573D2">
        <w:rPr>
          <w:rFonts w:ascii="Times New Roman" w:hAnsi="Times New Roman" w:cs="Times New Roman"/>
          <w:b/>
          <w:bCs/>
          <w:sz w:val="24"/>
          <w:szCs w:val="24"/>
        </w:rPr>
        <w:t xml:space="preserve">ariables  </w:t>
      </w:r>
      <w:bookmarkEnd w:id="10"/>
    </w:p>
    <w:tbl>
      <w:tblPr>
        <w:tblW w:w="5000" w:type="pct"/>
        <w:jc w:val="center"/>
        <w:tblLook w:val="04A0" w:firstRow="1" w:lastRow="0" w:firstColumn="1" w:lastColumn="0" w:noHBand="0" w:noVBand="1"/>
      </w:tblPr>
      <w:tblGrid>
        <w:gridCol w:w="1423"/>
        <w:gridCol w:w="845"/>
        <w:gridCol w:w="845"/>
        <w:gridCol w:w="845"/>
        <w:gridCol w:w="845"/>
        <w:gridCol w:w="845"/>
        <w:gridCol w:w="845"/>
        <w:gridCol w:w="845"/>
        <w:gridCol w:w="845"/>
        <w:gridCol w:w="843"/>
      </w:tblGrid>
      <w:tr w:rsidR="00E43480" w:rsidRPr="008573D2" w14:paraId="604832BA" w14:textId="77777777" w:rsidTr="007B1695">
        <w:trPr>
          <w:trHeight w:val="300"/>
          <w:jc w:val="center"/>
        </w:trPr>
        <w:tc>
          <w:tcPr>
            <w:tcW w:w="788" w:type="pct"/>
            <w:tcBorders>
              <w:top w:val="single" w:sz="4" w:space="0" w:color="auto"/>
              <w:left w:val="nil"/>
              <w:bottom w:val="nil"/>
              <w:right w:val="nil"/>
            </w:tcBorders>
            <w:shd w:val="clear" w:color="auto" w:fill="auto"/>
            <w:noWrap/>
            <w:vAlign w:val="bottom"/>
            <w:hideMark/>
          </w:tcPr>
          <w:p w14:paraId="6DD9C7F9" w14:textId="77777777" w:rsidR="00E43480" w:rsidRPr="00F82B8F" w:rsidRDefault="00E43480" w:rsidP="007B1695">
            <w:pPr>
              <w:spacing w:after="0" w:line="240" w:lineRule="auto"/>
              <w:rPr>
                <w:rFonts w:ascii="Times New Roman" w:eastAsia="Times New Roman" w:hAnsi="Times New Roman" w:cs="Times New Roman"/>
                <w:sz w:val="20"/>
                <w:szCs w:val="20"/>
                <w:lang w:eastAsia="en-GB"/>
              </w:rPr>
            </w:pPr>
          </w:p>
        </w:tc>
        <w:tc>
          <w:tcPr>
            <w:tcW w:w="468" w:type="pct"/>
            <w:tcBorders>
              <w:top w:val="single" w:sz="4" w:space="0" w:color="auto"/>
              <w:left w:val="nil"/>
              <w:bottom w:val="nil"/>
              <w:right w:val="nil"/>
            </w:tcBorders>
            <w:shd w:val="clear" w:color="auto" w:fill="auto"/>
            <w:noWrap/>
            <w:vAlign w:val="bottom"/>
            <w:hideMark/>
          </w:tcPr>
          <w:p w14:paraId="56D9A074"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RSE</w:t>
            </w:r>
          </w:p>
        </w:tc>
        <w:tc>
          <w:tcPr>
            <w:tcW w:w="468" w:type="pct"/>
            <w:tcBorders>
              <w:top w:val="single" w:sz="4" w:space="0" w:color="auto"/>
              <w:left w:val="nil"/>
              <w:bottom w:val="nil"/>
              <w:right w:val="nil"/>
            </w:tcBorders>
            <w:shd w:val="clear" w:color="auto" w:fill="auto"/>
            <w:noWrap/>
            <w:vAlign w:val="bottom"/>
            <w:hideMark/>
          </w:tcPr>
          <w:p w14:paraId="75ED6BDD"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COG</w:t>
            </w:r>
          </w:p>
        </w:tc>
        <w:tc>
          <w:tcPr>
            <w:tcW w:w="468" w:type="pct"/>
            <w:tcBorders>
              <w:top w:val="single" w:sz="4" w:space="0" w:color="auto"/>
              <w:left w:val="nil"/>
              <w:bottom w:val="nil"/>
              <w:right w:val="nil"/>
            </w:tcBorders>
            <w:shd w:val="clear" w:color="auto" w:fill="auto"/>
            <w:noWrap/>
            <w:vAlign w:val="bottom"/>
            <w:hideMark/>
          </w:tcPr>
          <w:p w14:paraId="304FE271"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CPS</w:t>
            </w:r>
          </w:p>
        </w:tc>
        <w:tc>
          <w:tcPr>
            <w:tcW w:w="468" w:type="pct"/>
            <w:tcBorders>
              <w:top w:val="single" w:sz="4" w:space="0" w:color="auto"/>
              <w:left w:val="nil"/>
              <w:bottom w:val="nil"/>
              <w:right w:val="nil"/>
            </w:tcBorders>
            <w:shd w:val="clear" w:color="auto" w:fill="auto"/>
            <w:noWrap/>
            <w:vAlign w:val="bottom"/>
            <w:hideMark/>
          </w:tcPr>
          <w:p w14:paraId="03AEC4EC"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INQ</w:t>
            </w:r>
          </w:p>
        </w:tc>
        <w:tc>
          <w:tcPr>
            <w:tcW w:w="468" w:type="pct"/>
            <w:tcBorders>
              <w:top w:val="single" w:sz="4" w:space="0" w:color="auto"/>
              <w:left w:val="nil"/>
              <w:bottom w:val="nil"/>
              <w:right w:val="nil"/>
            </w:tcBorders>
            <w:shd w:val="clear" w:color="auto" w:fill="auto"/>
            <w:noWrap/>
            <w:vAlign w:val="bottom"/>
            <w:hideMark/>
          </w:tcPr>
          <w:p w14:paraId="62C54A3A"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OIN</w:t>
            </w:r>
          </w:p>
        </w:tc>
        <w:tc>
          <w:tcPr>
            <w:tcW w:w="468" w:type="pct"/>
            <w:tcBorders>
              <w:top w:val="single" w:sz="4" w:space="0" w:color="auto"/>
              <w:left w:val="nil"/>
              <w:bottom w:val="nil"/>
              <w:right w:val="nil"/>
            </w:tcBorders>
            <w:shd w:val="clear" w:color="auto" w:fill="auto"/>
            <w:noWrap/>
            <w:vAlign w:val="bottom"/>
            <w:hideMark/>
          </w:tcPr>
          <w:p w14:paraId="45BD91A0"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PRO</w:t>
            </w:r>
          </w:p>
        </w:tc>
        <w:tc>
          <w:tcPr>
            <w:tcW w:w="468" w:type="pct"/>
            <w:tcBorders>
              <w:top w:val="single" w:sz="4" w:space="0" w:color="auto"/>
              <w:left w:val="nil"/>
              <w:bottom w:val="nil"/>
              <w:right w:val="nil"/>
            </w:tcBorders>
            <w:shd w:val="clear" w:color="auto" w:fill="auto"/>
            <w:noWrap/>
            <w:vAlign w:val="bottom"/>
            <w:hideMark/>
          </w:tcPr>
          <w:p w14:paraId="148878F3"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HEL</w:t>
            </w:r>
          </w:p>
        </w:tc>
        <w:tc>
          <w:tcPr>
            <w:tcW w:w="468" w:type="pct"/>
            <w:tcBorders>
              <w:top w:val="single" w:sz="4" w:space="0" w:color="auto"/>
              <w:left w:val="nil"/>
              <w:bottom w:val="nil"/>
              <w:right w:val="nil"/>
            </w:tcBorders>
            <w:shd w:val="clear" w:color="auto" w:fill="auto"/>
            <w:noWrap/>
            <w:vAlign w:val="bottom"/>
            <w:hideMark/>
          </w:tcPr>
          <w:p w14:paraId="5294C33D"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FID</w:t>
            </w:r>
          </w:p>
        </w:tc>
        <w:tc>
          <w:tcPr>
            <w:tcW w:w="467" w:type="pct"/>
            <w:tcBorders>
              <w:top w:val="single" w:sz="4" w:space="0" w:color="auto"/>
              <w:left w:val="nil"/>
              <w:bottom w:val="nil"/>
              <w:right w:val="nil"/>
            </w:tcBorders>
            <w:shd w:val="clear" w:color="auto" w:fill="auto"/>
            <w:noWrap/>
            <w:vAlign w:val="bottom"/>
            <w:hideMark/>
          </w:tcPr>
          <w:p w14:paraId="3012E782"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FII</w:t>
            </w:r>
          </w:p>
        </w:tc>
      </w:tr>
      <w:tr w:rsidR="00E43480" w:rsidRPr="008573D2" w14:paraId="7D83FE7C" w14:textId="77777777" w:rsidTr="007B1695">
        <w:trPr>
          <w:trHeight w:val="300"/>
          <w:jc w:val="center"/>
        </w:trPr>
        <w:tc>
          <w:tcPr>
            <w:tcW w:w="788" w:type="pct"/>
            <w:tcBorders>
              <w:top w:val="nil"/>
              <w:left w:val="nil"/>
              <w:bottom w:val="single" w:sz="4" w:space="0" w:color="auto"/>
              <w:right w:val="nil"/>
            </w:tcBorders>
            <w:shd w:val="clear" w:color="auto" w:fill="auto"/>
            <w:noWrap/>
            <w:vAlign w:val="bottom"/>
            <w:hideMark/>
          </w:tcPr>
          <w:p w14:paraId="4CCEF4DE" w14:textId="77777777" w:rsidR="00E43480" w:rsidRPr="00F82B8F" w:rsidRDefault="00E43480" w:rsidP="007B1695">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MARKET</w:t>
            </w:r>
          </w:p>
        </w:tc>
        <w:tc>
          <w:tcPr>
            <w:tcW w:w="468" w:type="pct"/>
            <w:tcBorders>
              <w:top w:val="nil"/>
              <w:left w:val="nil"/>
              <w:bottom w:val="single" w:sz="4" w:space="0" w:color="auto"/>
              <w:right w:val="nil"/>
            </w:tcBorders>
            <w:shd w:val="clear" w:color="auto" w:fill="auto"/>
            <w:noWrap/>
            <w:vAlign w:val="bottom"/>
            <w:hideMark/>
          </w:tcPr>
          <w:p w14:paraId="3A94C6AF"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Mean</w:t>
            </w:r>
          </w:p>
        </w:tc>
        <w:tc>
          <w:tcPr>
            <w:tcW w:w="468" w:type="pct"/>
            <w:tcBorders>
              <w:top w:val="nil"/>
              <w:left w:val="nil"/>
              <w:bottom w:val="single" w:sz="4" w:space="0" w:color="auto"/>
              <w:right w:val="nil"/>
            </w:tcBorders>
            <w:shd w:val="clear" w:color="auto" w:fill="auto"/>
            <w:noWrap/>
            <w:vAlign w:val="bottom"/>
            <w:hideMark/>
          </w:tcPr>
          <w:p w14:paraId="7896FFD6"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Mean</w:t>
            </w:r>
          </w:p>
        </w:tc>
        <w:tc>
          <w:tcPr>
            <w:tcW w:w="468" w:type="pct"/>
            <w:tcBorders>
              <w:top w:val="nil"/>
              <w:left w:val="nil"/>
              <w:bottom w:val="single" w:sz="4" w:space="0" w:color="auto"/>
              <w:right w:val="nil"/>
            </w:tcBorders>
            <w:shd w:val="clear" w:color="auto" w:fill="auto"/>
            <w:noWrap/>
            <w:vAlign w:val="bottom"/>
            <w:hideMark/>
          </w:tcPr>
          <w:p w14:paraId="53E1B3E5"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Mean</w:t>
            </w:r>
          </w:p>
        </w:tc>
        <w:tc>
          <w:tcPr>
            <w:tcW w:w="468" w:type="pct"/>
            <w:tcBorders>
              <w:top w:val="nil"/>
              <w:left w:val="nil"/>
              <w:bottom w:val="single" w:sz="4" w:space="0" w:color="auto"/>
              <w:right w:val="nil"/>
            </w:tcBorders>
            <w:shd w:val="clear" w:color="auto" w:fill="auto"/>
            <w:noWrap/>
            <w:vAlign w:val="bottom"/>
            <w:hideMark/>
          </w:tcPr>
          <w:p w14:paraId="14BF3B79"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Mean</w:t>
            </w:r>
          </w:p>
        </w:tc>
        <w:tc>
          <w:tcPr>
            <w:tcW w:w="468" w:type="pct"/>
            <w:tcBorders>
              <w:top w:val="nil"/>
              <w:left w:val="nil"/>
              <w:bottom w:val="single" w:sz="4" w:space="0" w:color="auto"/>
              <w:right w:val="nil"/>
            </w:tcBorders>
            <w:shd w:val="clear" w:color="auto" w:fill="auto"/>
            <w:noWrap/>
            <w:vAlign w:val="bottom"/>
            <w:hideMark/>
          </w:tcPr>
          <w:p w14:paraId="07595E49"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Mean</w:t>
            </w:r>
          </w:p>
        </w:tc>
        <w:tc>
          <w:tcPr>
            <w:tcW w:w="468" w:type="pct"/>
            <w:tcBorders>
              <w:top w:val="nil"/>
              <w:left w:val="nil"/>
              <w:bottom w:val="single" w:sz="4" w:space="0" w:color="auto"/>
              <w:right w:val="nil"/>
            </w:tcBorders>
            <w:shd w:val="clear" w:color="auto" w:fill="auto"/>
            <w:noWrap/>
            <w:vAlign w:val="bottom"/>
            <w:hideMark/>
          </w:tcPr>
          <w:p w14:paraId="0A82DB62"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Mean</w:t>
            </w:r>
          </w:p>
        </w:tc>
        <w:tc>
          <w:tcPr>
            <w:tcW w:w="468" w:type="pct"/>
            <w:tcBorders>
              <w:top w:val="nil"/>
              <w:left w:val="nil"/>
              <w:bottom w:val="single" w:sz="4" w:space="0" w:color="auto"/>
              <w:right w:val="nil"/>
            </w:tcBorders>
            <w:shd w:val="clear" w:color="auto" w:fill="auto"/>
            <w:noWrap/>
            <w:vAlign w:val="bottom"/>
            <w:hideMark/>
          </w:tcPr>
          <w:p w14:paraId="5926EF4E"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Mean</w:t>
            </w:r>
          </w:p>
        </w:tc>
        <w:tc>
          <w:tcPr>
            <w:tcW w:w="468" w:type="pct"/>
            <w:tcBorders>
              <w:top w:val="nil"/>
              <w:left w:val="nil"/>
              <w:bottom w:val="single" w:sz="4" w:space="0" w:color="auto"/>
              <w:right w:val="nil"/>
            </w:tcBorders>
            <w:shd w:val="clear" w:color="auto" w:fill="auto"/>
            <w:noWrap/>
            <w:vAlign w:val="bottom"/>
            <w:hideMark/>
          </w:tcPr>
          <w:p w14:paraId="45B75FB9"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Mean</w:t>
            </w:r>
          </w:p>
        </w:tc>
        <w:tc>
          <w:tcPr>
            <w:tcW w:w="467" w:type="pct"/>
            <w:tcBorders>
              <w:top w:val="nil"/>
              <w:left w:val="nil"/>
              <w:bottom w:val="single" w:sz="4" w:space="0" w:color="auto"/>
              <w:right w:val="nil"/>
            </w:tcBorders>
            <w:shd w:val="clear" w:color="auto" w:fill="auto"/>
            <w:noWrap/>
            <w:vAlign w:val="bottom"/>
            <w:hideMark/>
          </w:tcPr>
          <w:p w14:paraId="26E014A0"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Mean</w:t>
            </w:r>
          </w:p>
        </w:tc>
      </w:tr>
      <w:tr w:rsidR="00E43480" w:rsidRPr="008573D2" w14:paraId="7F26A28E" w14:textId="77777777" w:rsidTr="007B1695">
        <w:trPr>
          <w:trHeight w:val="300"/>
          <w:jc w:val="center"/>
        </w:trPr>
        <w:tc>
          <w:tcPr>
            <w:tcW w:w="788" w:type="pct"/>
            <w:tcBorders>
              <w:top w:val="single" w:sz="4" w:space="0" w:color="auto"/>
              <w:left w:val="nil"/>
              <w:bottom w:val="nil"/>
              <w:right w:val="nil"/>
            </w:tcBorders>
            <w:shd w:val="clear" w:color="auto" w:fill="auto"/>
            <w:noWrap/>
            <w:vAlign w:val="bottom"/>
            <w:hideMark/>
          </w:tcPr>
          <w:p w14:paraId="4BC6DC5F" w14:textId="77777777" w:rsidR="00E43480" w:rsidRPr="00F82B8F" w:rsidRDefault="00E43480" w:rsidP="007B1695">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Australia</w:t>
            </w:r>
          </w:p>
        </w:tc>
        <w:tc>
          <w:tcPr>
            <w:tcW w:w="468" w:type="pct"/>
            <w:tcBorders>
              <w:top w:val="single" w:sz="4" w:space="0" w:color="auto"/>
              <w:left w:val="nil"/>
              <w:bottom w:val="nil"/>
              <w:right w:val="nil"/>
            </w:tcBorders>
            <w:shd w:val="clear" w:color="auto" w:fill="auto"/>
            <w:noWrap/>
            <w:vAlign w:val="bottom"/>
            <w:hideMark/>
          </w:tcPr>
          <w:p w14:paraId="27011622"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4.4794</w:t>
            </w:r>
          </w:p>
        </w:tc>
        <w:tc>
          <w:tcPr>
            <w:tcW w:w="468" w:type="pct"/>
            <w:tcBorders>
              <w:top w:val="single" w:sz="4" w:space="0" w:color="auto"/>
              <w:left w:val="nil"/>
              <w:bottom w:val="nil"/>
              <w:right w:val="nil"/>
            </w:tcBorders>
            <w:shd w:val="clear" w:color="auto" w:fill="auto"/>
            <w:noWrap/>
            <w:vAlign w:val="bottom"/>
            <w:hideMark/>
          </w:tcPr>
          <w:p w14:paraId="6FBAE639"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4.3152</w:t>
            </w:r>
          </w:p>
        </w:tc>
        <w:tc>
          <w:tcPr>
            <w:tcW w:w="468" w:type="pct"/>
            <w:tcBorders>
              <w:top w:val="single" w:sz="4" w:space="0" w:color="auto"/>
              <w:left w:val="nil"/>
              <w:bottom w:val="nil"/>
              <w:right w:val="nil"/>
            </w:tcBorders>
            <w:shd w:val="clear" w:color="auto" w:fill="auto"/>
            <w:noWrap/>
            <w:vAlign w:val="bottom"/>
            <w:hideMark/>
          </w:tcPr>
          <w:p w14:paraId="701F0AAC"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4.3932</w:t>
            </w:r>
          </w:p>
        </w:tc>
        <w:tc>
          <w:tcPr>
            <w:tcW w:w="468" w:type="pct"/>
            <w:tcBorders>
              <w:top w:val="single" w:sz="4" w:space="0" w:color="auto"/>
              <w:left w:val="nil"/>
              <w:bottom w:val="nil"/>
              <w:right w:val="nil"/>
            </w:tcBorders>
            <w:shd w:val="clear" w:color="auto" w:fill="auto"/>
            <w:noWrap/>
            <w:vAlign w:val="bottom"/>
            <w:hideMark/>
          </w:tcPr>
          <w:p w14:paraId="71E94CF6"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4.2975</w:t>
            </w:r>
          </w:p>
        </w:tc>
        <w:tc>
          <w:tcPr>
            <w:tcW w:w="468" w:type="pct"/>
            <w:tcBorders>
              <w:top w:val="single" w:sz="4" w:space="0" w:color="auto"/>
              <w:left w:val="nil"/>
              <w:bottom w:val="nil"/>
              <w:right w:val="nil"/>
            </w:tcBorders>
            <w:shd w:val="clear" w:color="auto" w:fill="auto"/>
            <w:noWrap/>
            <w:vAlign w:val="bottom"/>
            <w:hideMark/>
          </w:tcPr>
          <w:p w14:paraId="1E3A698A"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4.1824</w:t>
            </w:r>
          </w:p>
        </w:tc>
        <w:tc>
          <w:tcPr>
            <w:tcW w:w="468" w:type="pct"/>
            <w:tcBorders>
              <w:top w:val="single" w:sz="4" w:space="0" w:color="auto"/>
              <w:left w:val="nil"/>
              <w:bottom w:val="nil"/>
              <w:right w:val="nil"/>
            </w:tcBorders>
            <w:shd w:val="clear" w:color="auto" w:fill="auto"/>
            <w:noWrap/>
            <w:vAlign w:val="bottom"/>
            <w:hideMark/>
          </w:tcPr>
          <w:p w14:paraId="41EF8376"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3.6937</w:t>
            </w:r>
          </w:p>
        </w:tc>
        <w:tc>
          <w:tcPr>
            <w:tcW w:w="468" w:type="pct"/>
            <w:tcBorders>
              <w:top w:val="single" w:sz="4" w:space="0" w:color="auto"/>
              <w:left w:val="nil"/>
              <w:bottom w:val="nil"/>
              <w:right w:val="nil"/>
            </w:tcBorders>
            <w:shd w:val="clear" w:color="auto" w:fill="auto"/>
            <w:noWrap/>
            <w:vAlign w:val="bottom"/>
            <w:hideMark/>
          </w:tcPr>
          <w:p w14:paraId="1C9325C7"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4.4040</w:t>
            </w:r>
          </w:p>
        </w:tc>
        <w:tc>
          <w:tcPr>
            <w:tcW w:w="468" w:type="pct"/>
            <w:tcBorders>
              <w:top w:val="single" w:sz="4" w:space="0" w:color="auto"/>
              <w:left w:val="nil"/>
              <w:bottom w:val="nil"/>
              <w:right w:val="nil"/>
            </w:tcBorders>
            <w:shd w:val="clear" w:color="auto" w:fill="auto"/>
            <w:noWrap/>
            <w:vAlign w:val="bottom"/>
            <w:hideMark/>
          </w:tcPr>
          <w:p w14:paraId="541D09F3"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0.8714</w:t>
            </w:r>
          </w:p>
        </w:tc>
        <w:tc>
          <w:tcPr>
            <w:tcW w:w="467" w:type="pct"/>
            <w:tcBorders>
              <w:top w:val="single" w:sz="4" w:space="0" w:color="auto"/>
              <w:left w:val="nil"/>
              <w:bottom w:val="nil"/>
              <w:right w:val="nil"/>
            </w:tcBorders>
            <w:shd w:val="clear" w:color="auto" w:fill="auto"/>
            <w:noWrap/>
            <w:vAlign w:val="bottom"/>
            <w:hideMark/>
          </w:tcPr>
          <w:p w14:paraId="79139421"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0.9275</w:t>
            </w:r>
          </w:p>
        </w:tc>
      </w:tr>
      <w:tr w:rsidR="00E43480" w:rsidRPr="008573D2" w14:paraId="489427CA" w14:textId="77777777" w:rsidTr="007B1695">
        <w:trPr>
          <w:trHeight w:val="300"/>
          <w:jc w:val="center"/>
        </w:trPr>
        <w:tc>
          <w:tcPr>
            <w:tcW w:w="788" w:type="pct"/>
            <w:tcBorders>
              <w:top w:val="nil"/>
              <w:left w:val="nil"/>
              <w:bottom w:val="nil"/>
              <w:right w:val="nil"/>
            </w:tcBorders>
            <w:shd w:val="clear" w:color="auto" w:fill="auto"/>
            <w:noWrap/>
            <w:vAlign w:val="bottom"/>
            <w:hideMark/>
          </w:tcPr>
          <w:p w14:paraId="0837296F" w14:textId="77777777" w:rsidR="00E43480" w:rsidRPr="00F82B8F" w:rsidRDefault="00E43480" w:rsidP="007B1695">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Austria</w:t>
            </w:r>
          </w:p>
        </w:tc>
        <w:tc>
          <w:tcPr>
            <w:tcW w:w="468" w:type="pct"/>
            <w:tcBorders>
              <w:top w:val="nil"/>
              <w:left w:val="nil"/>
              <w:bottom w:val="nil"/>
              <w:right w:val="nil"/>
            </w:tcBorders>
            <w:shd w:val="clear" w:color="auto" w:fill="auto"/>
            <w:noWrap/>
            <w:vAlign w:val="bottom"/>
            <w:hideMark/>
          </w:tcPr>
          <w:p w14:paraId="473D46F0"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4.5390</w:t>
            </w:r>
          </w:p>
        </w:tc>
        <w:tc>
          <w:tcPr>
            <w:tcW w:w="468" w:type="pct"/>
            <w:tcBorders>
              <w:top w:val="nil"/>
              <w:left w:val="nil"/>
              <w:bottom w:val="nil"/>
              <w:right w:val="nil"/>
            </w:tcBorders>
            <w:shd w:val="clear" w:color="auto" w:fill="auto"/>
            <w:noWrap/>
            <w:vAlign w:val="bottom"/>
            <w:hideMark/>
          </w:tcPr>
          <w:p w14:paraId="14D74732"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4.4458</w:t>
            </w:r>
          </w:p>
        </w:tc>
        <w:tc>
          <w:tcPr>
            <w:tcW w:w="468" w:type="pct"/>
            <w:tcBorders>
              <w:top w:val="nil"/>
              <w:left w:val="nil"/>
              <w:bottom w:val="nil"/>
              <w:right w:val="nil"/>
            </w:tcBorders>
            <w:shd w:val="clear" w:color="auto" w:fill="auto"/>
            <w:noWrap/>
            <w:vAlign w:val="bottom"/>
            <w:hideMark/>
          </w:tcPr>
          <w:p w14:paraId="21D3131F"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4.2767</w:t>
            </w:r>
          </w:p>
        </w:tc>
        <w:tc>
          <w:tcPr>
            <w:tcW w:w="468" w:type="pct"/>
            <w:tcBorders>
              <w:top w:val="nil"/>
              <w:left w:val="nil"/>
              <w:bottom w:val="nil"/>
              <w:right w:val="nil"/>
            </w:tcBorders>
            <w:shd w:val="clear" w:color="auto" w:fill="auto"/>
            <w:noWrap/>
            <w:vAlign w:val="bottom"/>
            <w:hideMark/>
          </w:tcPr>
          <w:p w14:paraId="39914A74"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4.4886</w:t>
            </w:r>
          </w:p>
        </w:tc>
        <w:tc>
          <w:tcPr>
            <w:tcW w:w="468" w:type="pct"/>
            <w:tcBorders>
              <w:top w:val="nil"/>
              <w:left w:val="nil"/>
              <w:bottom w:val="nil"/>
              <w:right w:val="nil"/>
            </w:tcBorders>
            <w:shd w:val="clear" w:color="auto" w:fill="auto"/>
            <w:noWrap/>
            <w:vAlign w:val="bottom"/>
            <w:hideMark/>
          </w:tcPr>
          <w:p w14:paraId="15E214D7"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4.3666</w:t>
            </w:r>
          </w:p>
        </w:tc>
        <w:tc>
          <w:tcPr>
            <w:tcW w:w="468" w:type="pct"/>
            <w:tcBorders>
              <w:top w:val="nil"/>
              <w:left w:val="nil"/>
              <w:bottom w:val="nil"/>
              <w:right w:val="nil"/>
            </w:tcBorders>
            <w:shd w:val="clear" w:color="auto" w:fill="auto"/>
            <w:noWrap/>
            <w:vAlign w:val="bottom"/>
            <w:hideMark/>
          </w:tcPr>
          <w:p w14:paraId="1D4647A3"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3.6910</w:t>
            </w:r>
          </w:p>
        </w:tc>
        <w:tc>
          <w:tcPr>
            <w:tcW w:w="468" w:type="pct"/>
            <w:tcBorders>
              <w:top w:val="nil"/>
              <w:left w:val="nil"/>
              <w:bottom w:val="nil"/>
              <w:right w:val="nil"/>
            </w:tcBorders>
            <w:shd w:val="clear" w:color="auto" w:fill="auto"/>
            <w:noWrap/>
            <w:vAlign w:val="bottom"/>
            <w:hideMark/>
          </w:tcPr>
          <w:p w14:paraId="2C36EF4A"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4.4129</w:t>
            </w:r>
          </w:p>
        </w:tc>
        <w:tc>
          <w:tcPr>
            <w:tcW w:w="468" w:type="pct"/>
            <w:tcBorders>
              <w:top w:val="nil"/>
              <w:left w:val="nil"/>
              <w:bottom w:val="nil"/>
              <w:right w:val="nil"/>
            </w:tcBorders>
            <w:shd w:val="clear" w:color="auto" w:fill="auto"/>
            <w:noWrap/>
            <w:vAlign w:val="bottom"/>
            <w:hideMark/>
          </w:tcPr>
          <w:p w14:paraId="5286B0C4"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0.6273</w:t>
            </w:r>
          </w:p>
        </w:tc>
        <w:tc>
          <w:tcPr>
            <w:tcW w:w="467" w:type="pct"/>
            <w:tcBorders>
              <w:top w:val="nil"/>
              <w:left w:val="nil"/>
              <w:bottom w:val="nil"/>
              <w:right w:val="nil"/>
            </w:tcBorders>
            <w:shd w:val="clear" w:color="auto" w:fill="auto"/>
            <w:noWrap/>
            <w:vAlign w:val="bottom"/>
            <w:hideMark/>
          </w:tcPr>
          <w:p w14:paraId="1438229A"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0.7013</w:t>
            </w:r>
          </w:p>
        </w:tc>
      </w:tr>
      <w:tr w:rsidR="00E43480" w:rsidRPr="008573D2" w14:paraId="763DB1C4" w14:textId="77777777" w:rsidTr="007B1695">
        <w:trPr>
          <w:trHeight w:val="300"/>
          <w:jc w:val="center"/>
        </w:trPr>
        <w:tc>
          <w:tcPr>
            <w:tcW w:w="788" w:type="pct"/>
            <w:tcBorders>
              <w:top w:val="nil"/>
              <w:left w:val="nil"/>
              <w:bottom w:val="nil"/>
              <w:right w:val="nil"/>
            </w:tcBorders>
            <w:shd w:val="clear" w:color="auto" w:fill="auto"/>
            <w:noWrap/>
            <w:vAlign w:val="bottom"/>
            <w:hideMark/>
          </w:tcPr>
          <w:p w14:paraId="76C752E9" w14:textId="77777777" w:rsidR="00E43480" w:rsidRPr="00F82B8F" w:rsidRDefault="00E43480" w:rsidP="007B1695">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Belgium</w:t>
            </w:r>
          </w:p>
        </w:tc>
        <w:tc>
          <w:tcPr>
            <w:tcW w:w="468" w:type="pct"/>
            <w:tcBorders>
              <w:top w:val="nil"/>
              <w:left w:val="nil"/>
              <w:bottom w:val="nil"/>
              <w:right w:val="nil"/>
            </w:tcBorders>
            <w:shd w:val="clear" w:color="auto" w:fill="auto"/>
            <w:noWrap/>
            <w:vAlign w:val="bottom"/>
            <w:hideMark/>
          </w:tcPr>
          <w:p w14:paraId="57C4AF60"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4.4639</w:t>
            </w:r>
          </w:p>
        </w:tc>
        <w:tc>
          <w:tcPr>
            <w:tcW w:w="468" w:type="pct"/>
            <w:tcBorders>
              <w:top w:val="nil"/>
              <w:left w:val="nil"/>
              <w:bottom w:val="nil"/>
              <w:right w:val="nil"/>
            </w:tcBorders>
            <w:shd w:val="clear" w:color="auto" w:fill="auto"/>
            <w:noWrap/>
            <w:vAlign w:val="bottom"/>
            <w:hideMark/>
          </w:tcPr>
          <w:p w14:paraId="2F88E419"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4.2931</w:t>
            </w:r>
          </w:p>
        </w:tc>
        <w:tc>
          <w:tcPr>
            <w:tcW w:w="468" w:type="pct"/>
            <w:tcBorders>
              <w:top w:val="nil"/>
              <w:left w:val="nil"/>
              <w:bottom w:val="nil"/>
              <w:right w:val="nil"/>
            </w:tcBorders>
            <w:shd w:val="clear" w:color="auto" w:fill="auto"/>
            <w:noWrap/>
            <w:vAlign w:val="bottom"/>
            <w:hideMark/>
          </w:tcPr>
          <w:p w14:paraId="31A34DFA"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4.2092</w:t>
            </w:r>
          </w:p>
        </w:tc>
        <w:tc>
          <w:tcPr>
            <w:tcW w:w="468" w:type="pct"/>
            <w:tcBorders>
              <w:top w:val="nil"/>
              <w:left w:val="nil"/>
              <w:bottom w:val="nil"/>
              <w:right w:val="nil"/>
            </w:tcBorders>
            <w:shd w:val="clear" w:color="auto" w:fill="auto"/>
            <w:noWrap/>
            <w:vAlign w:val="bottom"/>
            <w:hideMark/>
          </w:tcPr>
          <w:p w14:paraId="60F340D1"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4.4577</w:t>
            </w:r>
          </w:p>
        </w:tc>
        <w:tc>
          <w:tcPr>
            <w:tcW w:w="468" w:type="pct"/>
            <w:tcBorders>
              <w:top w:val="nil"/>
              <w:left w:val="nil"/>
              <w:bottom w:val="nil"/>
              <w:right w:val="nil"/>
            </w:tcBorders>
            <w:shd w:val="clear" w:color="auto" w:fill="auto"/>
            <w:noWrap/>
            <w:vAlign w:val="bottom"/>
            <w:hideMark/>
          </w:tcPr>
          <w:p w14:paraId="6F0A7953"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3.9760</w:t>
            </w:r>
          </w:p>
        </w:tc>
        <w:tc>
          <w:tcPr>
            <w:tcW w:w="468" w:type="pct"/>
            <w:tcBorders>
              <w:top w:val="nil"/>
              <w:left w:val="nil"/>
              <w:bottom w:val="nil"/>
              <w:right w:val="nil"/>
            </w:tcBorders>
            <w:shd w:val="clear" w:color="auto" w:fill="auto"/>
            <w:noWrap/>
            <w:vAlign w:val="bottom"/>
            <w:hideMark/>
          </w:tcPr>
          <w:p w14:paraId="7FDD5877"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3.6084</w:t>
            </w:r>
          </w:p>
        </w:tc>
        <w:tc>
          <w:tcPr>
            <w:tcW w:w="468" w:type="pct"/>
            <w:tcBorders>
              <w:top w:val="nil"/>
              <w:left w:val="nil"/>
              <w:bottom w:val="nil"/>
              <w:right w:val="nil"/>
            </w:tcBorders>
            <w:shd w:val="clear" w:color="auto" w:fill="auto"/>
            <w:noWrap/>
            <w:vAlign w:val="bottom"/>
            <w:hideMark/>
          </w:tcPr>
          <w:p w14:paraId="6997BC0C"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4.3886</w:t>
            </w:r>
          </w:p>
        </w:tc>
        <w:tc>
          <w:tcPr>
            <w:tcW w:w="468" w:type="pct"/>
            <w:tcBorders>
              <w:top w:val="nil"/>
              <w:left w:val="nil"/>
              <w:bottom w:val="nil"/>
              <w:right w:val="nil"/>
            </w:tcBorders>
            <w:shd w:val="clear" w:color="auto" w:fill="auto"/>
            <w:noWrap/>
            <w:vAlign w:val="bottom"/>
            <w:hideMark/>
          </w:tcPr>
          <w:p w14:paraId="7D160B12"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0.5846</w:t>
            </w:r>
          </w:p>
        </w:tc>
        <w:tc>
          <w:tcPr>
            <w:tcW w:w="467" w:type="pct"/>
            <w:tcBorders>
              <w:top w:val="nil"/>
              <w:left w:val="nil"/>
              <w:bottom w:val="nil"/>
              <w:right w:val="nil"/>
            </w:tcBorders>
            <w:shd w:val="clear" w:color="auto" w:fill="auto"/>
            <w:noWrap/>
            <w:vAlign w:val="bottom"/>
            <w:hideMark/>
          </w:tcPr>
          <w:p w14:paraId="51B3B543"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0.6769</w:t>
            </w:r>
          </w:p>
        </w:tc>
      </w:tr>
      <w:tr w:rsidR="00E43480" w:rsidRPr="008573D2" w14:paraId="366E3340" w14:textId="77777777" w:rsidTr="007B1695">
        <w:trPr>
          <w:trHeight w:val="300"/>
          <w:jc w:val="center"/>
        </w:trPr>
        <w:tc>
          <w:tcPr>
            <w:tcW w:w="788" w:type="pct"/>
            <w:tcBorders>
              <w:top w:val="nil"/>
              <w:left w:val="nil"/>
              <w:bottom w:val="nil"/>
              <w:right w:val="nil"/>
            </w:tcBorders>
            <w:shd w:val="clear" w:color="auto" w:fill="auto"/>
            <w:noWrap/>
            <w:vAlign w:val="bottom"/>
            <w:hideMark/>
          </w:tcPr>
          <w:p w14:paraId="37D991A8" w14:textId="77777777" w:rsidR="00E43480" w:rsidRPr="00F82B8F" w:rsidRDefault="00E43480" w:rsidP="007B1695">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Brazil</w:t>
            </w:r>
          </w:p>
        </w:tc>
        <w:tc>
          <w:tcPr>
            <w:tcW w:w="468" w:type="pct"/>
            <w:tcBorders>
              <w:top w:val="nil"/>
              <w:left w:val="nil"/>
              <w:bottom w:val="nil"/>
              <w:right w:val="nil"/>
            </w:tcBorders>
            <w:shd w:val="clear" w:color="auto" w:fill="auto"/>
            <w:noWrap/>
            <w:vAlign w:val="bottom"/>
            <w:hideMark/>
          </w:tcPr>
          <w:p w14:paraId="30B5B1C6"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3.8524</w:t>
            </w:r>
          </w:p>
        </w:tc>
        <w:tc>
          <w:tcPr>
            <w:tcW w:w="468" w:type="pct"/>
            <w:tcBorders>
              <w:top w:val="nil"/>
              <w:left w:val="nil"/>
              <w:bottom w:val="nil"/>
              <w:right w:val="nil"/>
            </w:tcBorders>
            <w:shd w:val="clear" w:color="auto" w:fill="auto"/>
            <w:noWrap/>
            <w:vAlign w:val="bottom"/>
            <w:hideMark/>
          </w:tcPr>
          <w:p w14:paraId="4571C74E"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4.1967</w:t>
            </w:r>
          </w:p>
        </w:tc>
        <w:tc>
          <w:tcPr>
            <w:tcW w:w="468" w:type="pct"/>
            <w:tcBorders>
              <w:top w:val="nil"/>
              <w:left w:val="nil"/>
              <w:bottom w:val="nil"/>
              <w:right w:val="nil"/>
            </w:tcBorders>
            <w:shd w:val="clear" w:color="auto" w:fill="auto"/>
            <w:noWrap/>
            <w:vAlign w:val="bottom"/>
            <w:hideMark/>
          </w:tcPr>
          <w:p w14:paraId="38F7D507"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3.9493</w:t>
            </w:r>
          </w:p>
        </w:tc>
        <w:tc>
          <w:tcPr>
            <w:tcW w:w="468" w:type="pct"/>
            <w:tcBorders>
              <w:top w:val="nil"/>
              <w:left w:val="nil"/>
              <w:bottom w:val="nil"/>
              <w:right w:val="nil"/>
            </w:tcBorders>
            <w:shd w:val="clear" w:color="auto" w:fill="auto"/>
            <w:noWrap/>
            <w:vAlign w:val="bottom"/>
            <w:hideMark/>
          </w:tcPr>
          <w:p w14:paraId="16B43148"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3.9753</w:t>
            </w:r>
          </w:p>
        </w:tc>
        <w:tc>
          <w:tcPr>
            <w:tcW w:w="468" w:type="pct"/>
            <w:tcBorders>
              <w:top w:val="nil"/>
              <w:left w:val="nil"/>
              <w:bottom w:val="nil"/>
              <w:right w:val="nil"/>
            </w:tcBorders>
            <w:shd w:val="clear" w:color="auto" w:fill="auto"/>
            <w:noWrap/>
            <w:vAlign w:val="bottom"/>
            <w:hideMark/>
          </w:tcPr>
          <w:p w14:paraId="19D3526D"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4.1860</w:t>
            </w:r>
          </w:p>
        </w:tc>
        <w:tc>
          <w:tcPr>
            <w:tcW w:w="468" w:type="pct"/>
            <w:tcBorders>
              <w:top w:val="nil"/>
              <w:left w:val="nil"/>
              <w:bottom w:val="nil"/>
              <w:right w:val="nil"/>
            </w:tcBorders>
            <w:shd w:val="clear" w:color="auto" w:fill="auto"/>
            <w:noWrap/>
            <w:vAlign w:val="bottom"/>
            <w:hideMark/>
          </w:tcPr>
          <w:p w14:paraId="5B0DED12"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2.4608</w:t>
            </w:r>
          </w:p>
        </w:tc>
        <w:tc>
          <w:tcPr>
            <w:tcW w:w="468" w:type="pct"/>
            <w:tcBorders>
              <w:top w:val="nil"/>
              <w:left w:val="nil"/>
              <w:bottom w:val="nil"/>
              <w:right w:val="nil"/>
            </w:tcBorders>
            <w:shd w:val="clear" w:color="auto" w:fill="auto"/>
            <w:noWrap/>
            <w:vAlign w:val="bottom"/>
            <w:hideMark/>
          </w:tcPr>
          <w:p w14:paraId="404CC4B3"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4.3170</w:t>
            </w:r>
          </w:p>
        </w:tc>
        <w:tc>
          <w:tcPr>
            <w:tcW w:w="468" w:type="pct"/>
            <w:tcBorders>
              <w:top w:val="nil"/>
              <w:left w:val="nil"/>
              <w:bottom w:val="nil"/>
              <w:right w:val="nil"/>
            </w:tcBorders>
            <w:shd w:val="clear" w:color="auto" w:fill="auto"/>
            <w:noWrap/>
            <w:vAlign w:val="bottom"/>
            <w:hideMark/>
          </w:tcPr>
          <w:p w14:paraId="5C22D5DA"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0.5934</w:t>
            </w:r>
          </w:p>
        </w:tc>
        <w:tc>
          <w:tcPr>
            <w:tcW w:w="467" w:type="pct"/>
            <w:tcBorders>
              <w:top w:val="nil"/>
              <w:left w:val="nil"/>
              <w:bottom w:val="nil"/>
              <w:right w:val="nil"/>
            </w:tcBorders>
            <w:shd w:val="clear" w:color="auto" w:fill="auto"/>
            <w:noWrap/>
            <w:vAlign w:val="bottom"/>
            <w:hideMark/>
          </w:tcPr>
          <w:p w14:paraId="3F72E955"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0.6341</w:t>
            </w:r>
          </w:p>
        </w:tc>
      </w:tr>
      <w:tr w:rsidR="00E43480" w:rsidRPr="008573D2" w14:paraId="4B54E4D5" w14:textId="77777777" w:rsidTr="007B1695">
        <w:trPr>
          <w:trHeight w:val="300"/>
          <w:jc w:val="center"/>
        </w:trPr>
        <w:tc>
          <w:tcPr>
            <w:tcW w:w="788" w:type="pct"/>
            <w:tcBorders>
              <w:top w:val="nil"/>
              <w:left w:val="nil"/>
              <w:bottom w:val="nil"/>
              <w:right w:val="nil"/>
            </w:tcBorders>
            <w:shd w:val="clear" w:color="auto" w:fill="auto"/>
            <w:noWrap/>
            <w:vAlign w:val="bottom"/>
            <w:hideMark/>
          </w:tcPr>
          <w:p w14:paraId="3CB10221" w14:textId="77777777" w:rsidR="00E43480" w:rsidRPr="00F82B8F" w:rsidRDefault="00E43480" w:rsidP="007B1695">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Canada</w:t>
            </w:r>
          </w:p>
        </w:tc>
        <w:tc>
          <w:tcPr>
            <w:tcW w:w="468" w:type="pct"/>
            <w:tcBorders>
              <w:top w:val="nil"/>
              <w:left w:val="nil"/>
              <w:bottom w:val="nil"/>
              <w:right w:val="nil"/>
            </w:tcBorders>
            <w:shd w:val="clear" w:color="auto" w:fill="auto"/>
            <w:noWrap/>
            <w:vAlign w:val="bottom"/>
            <w:hideMark/>
          </w:tcPr>
          <w:p w14:paraId="6DAB8AB2"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4.5017</w:t>
            </w:r>
          </w:p>
        </w:tc>
        <w:tc>
          <w:tcPr>
            <w:tcW w:w="468" w:type="pct"/>
            <w:tcBorders>
              <w:top w:val="nil"/>
              <w:left w:val="nil"/>
              <w:bottom w:val="nil"/>
              <w:right w:val="nil"/>
            </w:tcBorders>
            <w:shd w:val="clear" w:color="auto" w:fill="auto"/>
            <w:noWrap/>
            <w:vAlign w:val="bottom"/>
            <w:hideMark/>
          </w:tcPr>
          <w:p w14:paraId="68F4BF47"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4.5801</w:t>
            </w:r>
          </w:p>
        </w:tc>
        <w:tc>
          <w:tcPr>
            <w:tcW w:w="468" w:type="pct"/>
            <w:tcBorders>
              <w:top w:val="nil"/>
              <w:left w:val="nil"/>
              <w:bottom w:val="nil"/>
              <w:right w:val="nil"/>
            </w:tcBorders>
            <w:shd w:val="clear" w:color="auto" w:fill="auto"/>
            <w:noWrap/>
            <w:vAlign w:val="bottom"/>
            <w:hideMark/>
          </w:tcPr>
          <w:p w14:paraId="105B074C"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4.3529</w:t>
            </w:r>
          </w:p>
        </w:tc>
        <w:tc>
          <w:tcPr>
            <w:tcW w:w="468" w:type="pct"/>
            <w:tcBorders>
              <w:top w:val="nil"/>
              <w:left w:val="nil"/>
              <w:bottom w:val="nil"/>
              <w:right w:val="nil"/>
            </w:tcBorders>
            <w:shd w:val="clear" w:color="auto" w:fill="auto"/>
            <w:noWrap/>
            <w:vAlign w:val="bottom"/>
            <w:hideMark/>
          </w:tcPr>
          <w:p w14:paraId="0F33B5CB"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4.3512</w:t>
            </w:r>
          </w:p>
        </w:tc>
        <w:tc>
          <w:tcPr>
            <w:tcW w:w="468" w:type="pct"/>
            <w:tcBorders>
              <w:top w:val="nil"/>
              <w:left w:val="nil"/>
              <w:bottom w:val="nil"/>
              <w:right w:val="nil"/>
            </w:tcBorders>
            <w:shd w:val="clear" w:color="auto" w:fill="auto"/>
            <w:noWrap/>
            <w:vAlign w:val="bottom"/>
            <w:hideMark/>
          </w:tcPr>
          <w:p w14:paraId="4DD1F5A7"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3.8581</w:t>
            </w:r>
          </w:p>
        </w:tc>
        <w:tc>
          <w:tcPr>
            <w:tcW w:w="468" w:type="pct"/>
            <w:tcBorders>
              <w:top w:val="nil"/>
              <w:left w:val="nil"/>
              <w:bottom w:val="nil"/>
              <w:right w:val="nil"/>
            </w:tcBorders>
            <w:shd w:val="clear" w:color="auto" w:fill="auto"/>
            <w:noWrap/>
            <w:vAlign w:val="bottom"/>
            <w:hideMark/>
          </w:tcPr>
          <w:p w14:paraId="0AC9D765"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3.6451</w:t>
            </w:r>
          </w:p>
        </w:tc>
        <w:tc>
          <w:tcPr>
            <w:tcW w:w="468" w:type="pct"/>
            <w:tcBorders>
              <w:top w:val="nil"/>
              <w:left w:val="nil"/>
              <w:bottom w:val="nil"/>
              <w:right w:val="nil"/>
            </w:tcBorders>
            <w:shd w:val="clear" w:color="auto" w:fill="auto"/>
            <w:noWrap/>
            <w:vAlign w:val="bottom"/>
            <w:hideMark/>
          </w:tcPr>
          <w:p w14:paraId="7C58FB5B"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4.3845</w:t>
            </w:r>
          </w:p>
        </w:tc>
        <w:tc>
          <w:tcPr>
            <w:tcW w:w="468" w:type="pct"/>
            <w:tcBorders>
              <w:top w:val="nil"/>
              <w:left w:val="nil"/>
              <w:bottom w:val="nil"/>
              <w:right w:val="nil"/>
            </w:tcBorders>
            <w:shd w:val="clear" w:color="auto" w:fill="auto"/>
            <w:noWrap/>
            <w:vAlign w:val="bottom"/>
            <w:hideMark/>
          </w:tcPr>
          <w:p w14:paraId="7CAFBEB4"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0.8556</w:t>
            </w:r>
          </w:p>
        </w:tc>
        <w:tc>
          <w:tcPr>
            <w:tcW w:w="467" w:type="pct"/>
            <w:tcBorders>
              <w:top w:val="nil"/>
              <w:left w:val="nil"/>
              <w:bottom w:val="nil"/>
              <w:right w:val="nil"/>
            </w:tcBorders>
            <w:shd w:val="clear" w:color="auto" w:fill="auto"/>
            <w:noWrap/>
            <w:vAlign w:val="bottom"/>
            <w:hideMark/>
          </w:tcPr>
          <w:p w14:paraId="7D33E7EA"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0.9030</w:t>
            </w:r>
          </w:p>
        </w:tc>
      </w:tr>
      <w:tr w:rsidR="00E43480" w:rsidRPr="008573D2" w14:paraId="123409F4" w14:textId="77777777" w:rsidTr="007B1695">
        <w:trPr>
          <w:trHeight w:val="300"/>
          <w:jc w:val="center"/>
        </w:trPr>
        <w:tc>
          <w:tcPr>
            <w:tcW w:w="788" w:type="pct"/>
            <w:tcBorders>
              <w:top w:val="nil"/>
              <w:left w:val="nil"/>
              <w:bottom w:val="nil"/>
              <w:right w:val="nil"/>
            </w:tcBorders>
            <w:shd w:val="clear" w:color="auto" w:fill="auto"/>
            <w:noWrap/>
            <w:vAlign w:val="bottom"/>
            <w:hideMark/>
          </w:tcPr>
          <w:p w14:paraId="12DB9DB7" w14:textId="77777777" w:rsidR="00E43480" w:rsidRPr="00F82B8F" w:rsidRDefault="00E43480" w:rsidP="007B1695">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China</w:t>
            </w:r>
          </w:p>
        </w:tc>
        <w:tc>
          <w:tcPr>
            <w:tcW w:w="468" w:type="pct"/>
            <w:tcBorders>
              <w:top w:val="nil"/>
              <w:left w:val="nil"/>
              <w:bottom w:val="nil"/>
              <w:right w:val="nil"/>
            </w:tcBorders>
            <w:shd w:val="clear" w:color="auto" w:fill="auto"/>
            <w:noWrap/>
            <w:vAlign w:val="bottom"/>
            <w:hideMark/>
          </w:tcPr>
          <w:p w14:paraId="0E3E4342"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3.7048</w:t>
            </w:r>
          </w:p>
        </w:tc>
        <w:tc>
          <w:tcPr>
            <w:tcW w:w="468" w:type="pct"/>
            <w:tcBorders>
              <w:top w:val="nil"/>
              <w:left w:val="nil"/>
              <w:bottom w:val="nil"/>
              <w:right w:val="nil"/>
            </w:tcBorders>
            <w:shd w:val="clear" w:color="auto" w:fill="auto"/>
            <w:noWrap/>
            <w:vAlign w:val="bottom"/>
            <w:hideMark/>
          </w:tcPr>
          <w:p w14:paraId="05A70349"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3.8786</w:t>
            </w:r>
          </w:p>
        </w:tc>
        <w:tc>
          <w:tcPr>
            <w:tcW w:w="468" w:type="pct"/>
            <w:tcBorders>
              <w:top w:val="nil"/>
              <w:left w:val="nil"/>
              <w:bottom w:val="nil"/>
              <w:right w:val="nil"/>
            </w:tcBorders>
            <w:shd w:val="clear" w:color="auto" w:fill="auto"/>
            <w:noWrap/>
            <w:vAlign w:val="bottom"/>
            <w:hideMark/>
          </w:tcPr>
          <w:p w14:paraId="7335C5DB"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4.0673</w:t>
            </w:r>
          </w:p>
        </w:tc>
        <w:tc>
          <w:tcPr>
            <w:tcW w:w="468" w:type="pct"/>
            <w:tcBorders>
              <w:top w:val="nil"/>
              <w:left w:val="nil"/>
              <w:bottom w:val="nil"/>
              <w:right w:val="nil"/>
            </w:tcBorders>
            <w:shd w:val="clear" w:color="auto" w:fill="auto"/>
            <w:noWrap/>
            <w:vAlign w:val="bottom"/>
            <w:hideMark/>
          </w:tcPr>
          <w:p w14:paraId="70F4678E"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4.3015</w:t>
            </w:r>
          </w:p>
        </w:tc>
        <w:tc>
          <w:tcPr>
            <w:tcW w:w="468" w:type="pct"/>
            <w:tcBorders>
              <w:top w:val="nil"/>
              <w:left w:val="nil"/>
              <w:bottom w:val="nil"/>
              <w:right w:val="nil"/>
            </w:tcBorders>
            <w:shd w:val="clear" w:color="auto" w:fill="auto"/>
            <w:noWrap/>
            <w:vAlign w:val="bottom"/>
            <w:hideMark/>
          </w:tcPr>
          <w:p w14:paraId="6B359C4F"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4.4046</w:t>
            </w:r>
          </w:p>
        </w:tc>
        <w:tc>
          <w:tcPr>
            <w:tcW w:w="468" w:type="pct"/>
            <w:tcBorders>
              <w:top w:val="nil"/>
              <w:left w:val="nil"/>
              <w:bottom w:val="nil"/>
              <w:right w:val="nil"/>
            </w:tcBorders>
            <w:shd w:val="clear" w:color="auto" w:fill="auto"/>
            <w:noWrap/>
            <w:vAlign w:val="bottom"/>
            <w:hideMark/>
          </w:tcPr>
          <w:p w14:paraId="02BA67EE"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2.5871</w:t>
            </w:r>
          </w:p>
        </w:tc>
        <w:tc>
          <w:tcPr>
            <w:tcW w:w="468" w:type="pct"/>
            <w:tcBorders>
              <w:top w:val="nil"/>
              <w:left w:val="nil"/>
              <w:bottom w:val="nil"/>
              <w:right w:val="nil"/>
            </w:tcBorders>
            <w:shd w:val="clear" w:color="auto" w:fill="auto"/>
            <w:noWrap/>
            <w:vAlign w:val="bottom"/>
            <w:hideMark/>
          </w:tcPr>
          <w:p w14:paraId="4431D839"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4.3927</w:t>
            </w:r>
          </w:p>
        </w:tc>
        <w:tc>
          <w:tcPr>
            <w:tcW w:w="468" w:type="pct"/>
            <w:tcBorders>
              <w:top w:val="nil"/>
              <w:left w:val="nil"/>
              <w:bottom w:val="nil"/>
              <w:right w:val="nil"/>
            </w:tcBorders>
            <w:shd w:val="clear" w:color="auto" w:fill="auto"/>
            <w:noWrap/>
            <w:vAlign w:val="bottom"/>
            <w:hideMark/>
          </w:tcPr>
          <w:p w14:paraId="4740D67B"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0.6448</w:t>
            </w:r>
          </w:p>
        </w:tc>
        <w:tc>
          <w:tcPr>
            <w:tcW w:w="467" w:type="pct"/>
            <w:tcBorders>
              <w:top w:val="nil"/>
              <w:left w:val="nil"/>
              <w:bottom w:val="nil"/>
              <w:right w:val="nil"/>
            </w:tcBorders>
            <w:shd w:val="clear" w:color="auto" w:fill="auto"/>
            <w:noWrap/>
            <w:vAlign w:val="bottom"/>
            <w:hideMark/>
          </w:tcPr>
          <w:p w14:paraId="1D70FA03"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0.6315</w:t>
            </w:r>
          </w:p>
        </w:tc>
      </w:tr>
      <w:tr w:rsidR="00E43480" w:rsidRPr="008573D2" w14:paraId="18E20AB7" w14:textId="77777777" w:rsidTr="007B1695">
        <w:trPr>
          <w:trHeight w:val="300"/>
          <w:jc w:val="center"/>
        </w:trPr>
        <w:tc>
          <w:tcPr>
            <w:tcW w:w="788" w:type="pct"/>
            <w:tcBorders>
              <w:top w:val="nil"/>
              <w:left w:val="nil"/>
              <w:bottom w:val="nil"/>
              <w:right w:val="nil"/>
            </w:tcBorders>
            <w:shd w:val="clear" w:color="auto" w:fill="auto"/>
            <w:noWrap/>
            <w:vAlign w:val="bottom"/>
            <w:hideMark/>
          </w:tcPr>
          <w:p w14:paraId="716E8657" w14:textId="77777777" w:rsidR="00E43480" w:rsidRPr="00F82B8F" w:rsidRDefault="00E43480" w:rsidP="007B1695">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Czech</w:t>
            </w:r>
          </w:p>
        </w:tc>
        <w:tc>
          <w:tcPr>
            <w:tcW w:w="468" w:type="pct"/>
            <w:tcBorders>
              <w:top w:val="nil"/>
              <w:left w:val="nil"/>
              <w:bottom w:val="nil"/>
              <w:right w:val="nil"/>
            </w:tcBorders>
            <w:shd w:val="clear" w:color="auto" w:fill="auto"/>
            <w:noWrap/>
            <w:vAlign w:val="bottom"/>
            <w:hideMark/>
          </w:tcPr>
          <w:p w14:paraId="3824BA5B"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4.4624</w:t>
            </w:r>
          </w:p>
        </w:tc>
        <w:tc>
          <w:tcPr>
            <w:tcW w:w="468" w:type="pct"/>
            <w:tcBorders>
              <w:top w:val="nil"/>
              <w:left w:val="nil"/>
              <w:bottom w:val="nil"/>
              <w:right w:val="nil"/>
            </w:tcBorders>
            <w:shd w:val="clear" w:color="auto" w:fill="auto"/>
            <w:noWrap/>
            <w:vAlign w:val="bottom"/>
            <w:hideMark/>
          </w:tcPr>
          <w:p w14:paraId="740E0D8C"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4.2022</w:t>
            </w:r>
          </w:p>
        </w:tc>
        <w:tc>
          <w:tcPr>
            <w:tcW w:w="468" w:type="pct"/>
            <w:tcBorders>
              <w:top w:val="nil"/>
              <w:left w:val="nil"/>
              <w:bottom w:val="nil"/>
              <w:right w:val="nil"/>
            </w:tcBorders>
            <w:shd w:val="clear" w:color="auto" w:fill="auto"/>
            <w:noWrap/>
            <w:vAlign w:val="bottom"/>
            <w:hideMark/>
          </w:tcPr>
          <w:p w14:paraId="5A2AA18E"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4.3000</w:t>
            </w:r>
          </w:p>
        </w:tc>
        <w:tc>
          <w:tcPr>
            <w:tcW w:w="468" w:type="pct"/>
            <w:tcBorders>
              <w:top w:val="nil"/>
              <w:left w:val="nil"/>
              <w:bottom w:val="nil"/>
              <w:right w:val="nil"/>
            </w:tcBorders>
            <w:shd w:val="clear" w:color="auto" w:fill="auto"/>
            <w:noWrap/>
            <w:vAlign w:val="bottom"/>
            <w:hideMark/>
          </w:tcPr>
          <w:p w14:paraId="30849B6E"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4.4048</w:t>
            </w:r>
          </w:p>
        </w:tc>
        <w:tc>
          <w:tcPr>
            <w:tcW w:w="468" w:type="pct"/>
            <w:tcBorders>
              <w:top w:val="nil"/>
              <w:left w:val="nil"/>
              <w:bottom w:val="nil"/>
              <w:right w:val="nil"/>
            </w:tcBorders>
            <w:shd w:val="clear" w:color="auto" w:fill="auto"/>
            <w:noWrap/>
            <w:vAlign w:val="bottom"/>
            <w:hideMark/>
          </w:tcPr>
          <w:p w14:paraId="6A4B9271"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4.3869</w:t>
            </w:r>
          </w:p>
        </w:tc>
        <w:tc>
          <w:tcPr>
            <w:tcW w:w="468" w:type="pct"/>
            <w:tcBorders>
              <w:top w:val="nil"/>
              <w:left w:val="nil"/>
              <w:bottom w:val="nil"/>
              <w:right w:val="nil"/>
            </w:tcBorders>
            <w:shd w:val="clear" w:color="auto" w:fill="auto"/>
            <w:noWrap/>
            <w:vAlign w:val="bottom"/>
            <w:hideMark/>
          </w:tcPr>
          <w:p w14:paraId="703DDDD4"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3.3484</w:t>
            </w:r>
          </w:p>
        </w:tc>
        <w:tc>
          <w:tcPr>
            <w:tcW w:w="468" w:type="pct"/>
            <w:tcBorders>
              <w:top w:val="nil"/>
              <w:left w:val="nil"/>
              <w:bottom w:val="nil"/>
              <w:right w:val="nil"/>
            </w:tcBorders>
            <w:shd w:val="clear" w:color="auto" w:fill="auto"/>
            <w:noWrap/>
            <w:vAlign w:val="bottom"/>
            <w:hideMark/>
          </w:tcPr>
          <w:p w14:paraId="1073F39F"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4.3791</w:t>
            </w:r>
          </w:p>
        </w:tc>
        <w:tc>
          <w:tcPr>
            <w:tcW w:w="468" w:type="pct"/>
            <w:tcBorders>
              <w:top w:val="nil"/>
              <w:left w:val="nil"/>
              <w:bottom w:val="nil"/>
              <w:right w:val="nil"/>
            </w:tcBorders>
            <w:shd w:val="clear" w:color="auto" w:fill="auto"/>
            <w:noWrap/>
            <w:vAlign w:val="bottom"/>
            <w:hideMark/>
          </w:tcPr>
          <w:p w14:paraId="4B55D9ED"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0.3768</w:t>
            </w:r>
          </w:p>
        </w:tc>
        <w:tc>
          <w:tcPr>
            <w:tcW w:w="467" w:type="pct"/>
            <w:tcBorders>
              <w:top w:val="nil"/>
              <w:left w:val="nil"/>
              <w:bottom w:val="nil"/>
              <w:right w:val="nil"/>
            </w:tcBorders>
            <w:shd w:val="clear" w:color="auto" w:fill="auto"/>
            <w:noWrap/>
            <w:vAlign w:val="bottom"/>
            <w:hideMark/>
          </w:tcPr>
          <w:p w14:paraId="379637A8"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0.5579</w:t>
            </w:r>
          </w:p>
        </w:tc>
      </w:tr>
      <w:tr w:rsidR="00E43480" w:rsidRPr="008573D2" w14:paraId="63EE091A" w14:textId="77777777" w:rsidTr="007B1695">
        <w:trPr>
          <w:trHeight w:val="300"/>
          <w:jc w:val="center"/>
        </w:trPr>
        <w:tc>
          <w:tcPr>
            <w:tcW w:w="788" w:type="pct"/>
            <w:tcBorders>
              <w:top w:val="nil"/>
              <w:left w:val="nil"/>
              <w:bottom w:val="nil"/>
              <w:right w:val="nil"/>
            </w:tcBorders>
            <w:shd w:val="clear" w:color="auto" w:fill="auto"/>
            <w:noWrap/>
            <w:vAlign w:val="bottom"/>
            <w:hideMark/>
          </w:tcPr>
          <w:p w14:paraId="32C1CA6D" w14:textId="77777777" w:rsidR="00E43480" w:rsidRPr="00F82B8F" w:rsidRDefault="00E43480" w:rsidP="007B1695">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Egypt</w:t>
            </w:r>
          </w:p>
        </w:tc>
        <w:tc>
          <w:tcPr>
            <w:tcW w:w="468" w:type="pct"/>
            <w:tcBorders>
              <w:top w:val="nil"/>
              <w:left w:val="nil"/>
              <w:bottom w:val="nil"/>
              <w:right w:val="nil"/>
            </w:tcBorders>
            <w:shd w:val="clear" w:color="auto" w:fill="auto"/>
            <w:noWrap/>
            <w:vAlign w:val="bottom"/>
            <w:hideMark/>
          </w:tcPr>
          <w:p w14:paraId="4F7F7710"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3.6251</w:t>
            </w:r>
          </w:p>
        </w:tc>
        <w:tc>
          <w:tcPr>
            <w:tcW w:w="468" w:type="pct"/>
            <w:tcBorders>
              <w:top w:val="nil"/>
              <w:left w:val="nil"/>
              <w:bottom w:val="nil"/>
              <w:right w:val="nil"/>
            </w:tcBorders>
            <w:shd w:val="clear" w:color="auto" w:fill="auto"/>
            <w:noWrap/>
            <w:vAlign w:val="bottom"/>
            <w:hideMark/>
          </w:tcPr>
          <w:p w14:paraId="680774E1"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4.0381</w:t>
            </w:r>
          </w:p>
        </w:tc>
        <w:tc>
          <w:tcPr>
            <w:tcW w:w="468" w:type="pct"/>
            <w:tcBorders>
              <w:top w:val="nil"/>
              <w:left w:val="nil"/>
              <w:bottom w:val="nil"/>
              <w:right w:val="nil"/>
            </w:tcBorders>
            <w:shd w:val="clear" w:color="auto" w:fill="auto"/>
            <w:noWrap/>
            <w:vAlign w:val="bottom"/>
            <w:hideMark/>
          </w:tcPr>
          <w:p w14:paraId="011BD44D"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3.8407</w:t>
            </w:r>
          </w:p>
        </w:tc>
        <w:tc>
          <w:tcPr>
            <w:tcW w:w="468" w:type="pct"/>
            <w:tcBorders>
              <w:top w:val="nil"/>
              <w:left w:val="nil"/>
              <w:bottom w:val="nil"/>
              <w:right w:val="nil"/>
            </w:tcBorders>
            <w:shd w:val="clear" w:color="auto" w:fill="auto"/>
            <w:noWrap/>
            <w:vAlign w:val="bottom"/>
            <w:hideMark/>
          </w:tcPr>
          <w:p w14:paraId="23AC4B6A"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4.1342</w:t>
            </w:r>
          </w:p>
        </w:tc>
        <w:tc>
          <w:tcPr>
            <w:tcW w:w="468" w:type="pct"/>
            <w:tcBorders>
              <w:top w:val="nil"/>
              <w:left w:val="nil"/>
              <w:bottom w:val="nil"/>
              <w:right w:val="nil"/>
            </w:tcBorders>
            <w:shd w:val="clear" w:color="auto" w:fill="auto"/>
            <w:noWrap/>
            <w:vAlign w:val="bottom"/>
            <w:hideMark/>
          </w:tcPr>
          <w:p w14:paraId="23D5F941"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4.3122</w:t>
            </w:r>
          </w:p>
        </w:tc>
        <w:tc>
          <w:tcPr>
            <w:tcW w:w="468" w:type="pct"/>
            <w:tcBorders>
              <w:top w:val="nil"/>
              <w:left w:val="nil"/>
              <w:bottom w:val="nil"/>
              <w:right w:val="nil"/>
            </w:tcBorders>
            <w:shd w:val="clear" w:color="auto" w:fill="auto"/>
            <w:noWrap/>
            <w:vAlign w:val="bottom"/>
            <w:hideMark/>
          </w:tcPr>
          <w:p w14:paraId="62C7E620"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2.2579</w:t>
            </w:r>
          </w:p>
        </w:tc>
        <w:tc>
          <w:tcPr>
            <w:tcW w:w="468" w:type="pct"/>
            <w:tcBorders>
              <w:top w:val="nil"/>
              <w:left w:val="nil"/>
              <w:bottom w:val="nil"/>
              <w:right w:val="nil"/>
            </w:tcBorders>
            <w:shd w:val="clear" w:color="auto" w:fill="auto"/>
            <w:noWrap/>
            <w:vAlign w:val="bottom"/>
            <w:hideMark/>
          </w:tcPr>
          <w:p w14:paraId="29D441F7"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4.1927</w:t>
            </w:r>
          </w:p>
        </w:tc>
        <w:tc>
          <w:tcPr>
            <w:tcW w:w="468" w:type="pct"/>
            <w:tcBorders>
              <w:top w:val="nil"/>
              <w:left w:val="nil"/>
              <w:bottom w:val="nil"/>
              <w:right w:val="nil"/>
            </w:tcBorders>
            <w:shd w:val="clear" w:color="auto" w:fill="auto"/>
            <w:noWrap/>
            <w:vAlign w:val="bottom"/>
            <w:hideMark/>
          </w:tcPr>
          <w:p w14:paraId="4EF364EA"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0.3034</w:t>
            </w:r>
          </w:p>
        </w:tc>
        <w:tc>
          <w:tcPr>
            <w:tcW w:w="467" w:type="pct"/>
            <w:tcBorders>
              <w:top w:val="nil"/>
              <w:left w:val="nil"/>
              <w:bottom w:val="nil"/>
              <w:right w:val="nil"/>
            </w:tcBorders>
            <w:shd w:val="clear" w:color="auto" w:fill="auto"/>
            <w:noWrap/>
            <w:vAlign w:val="bottom"/>
            <w:hideMark/>
          </w:tcPr>
          <w:p w14:paraId="6A734A15"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0.3304</w:t>
            </w:r>
          </w:p>
        </w:tc>
      </w:tr>
      <w:tr w:rsidR="00E43480" w:rsidRPr="008573D2" w14:paraId="35CA1A88" w14:textId="77777777" w:rsidTr="007B1695">
        <w:trPr>
          <w:trHeight w:val="300"/>
          <w:jc w:val="center"/>
        </w:trPr>
        <w:tc>
          <w:tcPr>
            <w:tcW w:w="788" w:type="pct"/>
            <w:tcBorders>
              <w:top w:val="nil"/>
              <w:left w:val="nil"/>
              <w:bottom w:val="nil"/>
              <w:right w:val="nil"/>
            </w:tcBorders>
            <w:shd w:val="clear" w:color="auto" w:fill="auto"/>
            <w:noWrap/>
            <w:vAlign w:val="bottom"/>
            <w:hideMark/>
          </w:tcPr>
          <w:p w14:paraId="3DE025DA" w14:textId="77777777" w:rsidR="00E43480" w:rsidRPr="00F82B8F" w:rsidRDefault="00E43480" w:rsidP="007B1695">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Finland</w:t>
            </w:r>
          </w:p>
        </w:tc>
        <w:tc>
          <w:tcPr>
            <w:tcW w:w="468" w:type="pct"/>
            <w:tcBorders>
              <w:top w:val="nil"/>
              <w:left w:val="nil"/>
              <w:bottom w:val="nil"/>
              <w:right w:val="nil"/>
            </w:tcBorders>
            <w:shd w:val="clear" w:color="auto" w:fill="auto"/>
            <w:noWrap/>
            <w:vAlign w:val="bottom"/>
            <w:hideMark/>
          </w:tcPr>
          <w:p w14:paraId="5B18FC41"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4.5469</w:t>
            </w:r>
          </w:p>
        </w:tc>
        <w:tc>
          <w:tcPr>
            <w:tcW w:w="468" w:type="pct"/>
            <w:tcBorders>
              <w:top w:val="nil"/>
              <w:left w:val="nil"/>
              <w:bottom w:val="nil"/>
              <w:right w:val="nil"/>
            </w:tcBorders>
            <w:shd w:val="clear" w:color="auto" w:fill="auto"/>
            <w:noWrap/>
            <w:vAlign w:val="bottom"/>
            <w:hideMark/>
          </w:tcPr>
          <w:p w14:paraId="68921E35"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4.3606</w:t>
            </w:r>
          </w:p>
        </w:tc>
        <w:tc>
          <w:tcPr>
            <w:tcW w:w="468" w:type="pct"/>
            <w:tcBorders>
              <w:top w:val="nil"/>
              <w:left w:val="nil"/>
              <w:bottom w:val="nil"/>
              <w:right w:val="nil"/>
            </w:tcBorders>
            <w:shd w:val="clear" w:color="auto" w:fill="auto"/>
            <w:noWrap/>
            <w:vAlign w:val="bottom"/>
            <w:hideMark/>
          </w:tcPr>
          <w:p w14:paraId="489DB3DD"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4.3162</w:t>
            </w:r>
          </w:p>
        </w:tc>
        <w:tc>
          <w:tcPr>
            <w:tcW w:w="468" w:type="pct"/>
            <w:tcBorders>
              <w:top w:val="nil"/>
              <w:left w:val="nil"/>
              <w:bottom w:val="nil"/>
              <w:right w:val="nil"/>
            </w:tcBorders>
            <w:shd w:val="clear" w:color="auto" w:fill="auto"/>
            <w:noWrap/>
            <w:vAlign w:val="bottom"/>
            <w:hideMark/>
          </w:tcPr>
          <w:p w14:paraId="650A129B"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4.3823</w:t>
            </w:r>
          </w:p>
        </w:tc>
        <w:tc>
          <w:tcPr>
            <w:tcW w:w="468" w:type="pct"/>
            <w:tcBorders>
              <w:top w:val="nil"/>
              <w:left w:val="nil"/>
              <w:bottom w:val="nil"/>
              <w:right w:val="nil"/>
            </w:tcBorders>
            <w:shd w:val="clear" w:color="auto" w:fill="auto"/>
            <w:noWrap/>
            <w:vAlign w:val="bottom"/>
            <w:hideMark/>
          </w:tcPr>
          <w:p w14:paraId="4E789EAC"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4.2120</w:t>
            </w:r>
          </w:p>
        </w:tc>
        <w:tc>
          <w:tcPr>
            <w:tcW w:w="468" w:type="pct"/>
            <w:tcBorders>
              <w:top w:val="nil"/>
              <w:left w:val="nil"/>
              <w:bottom w:val="nil"/>
              <w:right w:val="nil"/>
            </w:tcBorders>
            <w:shd w:val="clear" w:color="auto" w:fill="auto"/>
            <w:noWrap/>
            <w:vAlign w:val="bottom"/>
            <w:hideMark/>
          </w:tcPr>
          <w:p w14:paraId="046C0893"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3.5733</w:t>
            </w:r>
          </w:p>
        </w:tc>
        <w:tc>
          <w:tcPr>
            <w:tcW w:w="468" w:type="pct"/>
            <w:tcBorders>
              <w:top w:val="nil"/>
              <w:left w:val="nil"/>
              <w:bottom w:val="nil"/>
              <w:right w:val="nil"/>
            </w:tcBorders>
            <w:shd w:val="clear" w:color="auto" w:fill="auto"/>
            <w:noWrap/>
            <w:vAlign w:val="bottom"/>
            <w:hideMark/>
          </w:tcPr>
          <w:p w14:paraId="3F91ABF2"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4.3815</w:t>
            </w:r>
          </w:p>
        </w:tc>
        <w:tc>
          <w:tcPr>
            <w:tcW w:w="468" w:type="pct"/>
            <w:tcBorders>
              <w:top w:val="nil"/>
              <w:left w:val="nil"/>
              <w:bottom w:val="nil"/>
              <w:right w:val="nil"/>
            </w:tcBorders>
            <w:shd w:val="clear" w:color="auto" w:fill="auto"/>
            <w:noWrap/>
            <w:vAlign w:val="bottom"/>
            <w:hideMark/>
          </w:tcPr>
          <w:p w14:paraId="527E33C3"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0.6626</w:t>
            </w:r>
          </w:p>
        </w:tc>
        <w:tc>
          <w:tcPr>
            <w:tcW w:w="467" w:type="pct"/>
            <w:tcBorders>
              <w:top w:val="nil"/>
              <w:left w:val="nil"/>
              <w:bottom w:val="nil"/>
              <w:right w:val="nil"/>
            </w:tcBorders>
            <w:shd w:val="clear" w:color="auto" w:fill="auto"/>
            <w:noWrap/>
            <w:vAlign w:val="bottom"/>
            <w:hideMark/>
          </w:tcPr>
          <w:p w14:paraId="4E94994E"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0.6337</w:t>
            </w:r>
          </w:p>
        </w:tc>
      </w:tr>
      <w:tr w:rsidR="00E43480" w:rsidRPr="008573D2" w14:paraId="41AFAA30" w14:textId="77777777" w:rsidTr="007B1695">
        <w:trPr>
          <w:trHeight w:val="300"/>
          <w:jc w:val="center"/>
        </w:trPr>
        <w:tc>
          <w:tcPr>
            <w:tcW w:w="788" w:type="pct"/>
            <w:tcBorders>
              <w:top w:val="nil"/>
              <w:left w:val="nil"/>
              <w:bottom w:val="nil"/>
              <w:right w:val="nil"/>
            </w:tcBorders>
            <w:shd w:val="clear" w:color="auto" w:fill="auto"/>
            <w:noWrap/>
            <w:vAlign w:val="bottom"/>
            <w:hideMark/>
          </w:tcPr>
          <w:p w14:paraId="25689B0A" w14:textId="77777777" w:rsidR="00E43480" w:rsidRPr="00F82B8F" w:rsidRDefault="00E43480" w:rsidP="007B1695">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France</w:t>
            </w:r>
          </w:p>
        </w:tc>
        <w:tc>
          <w:tcPr>
            <w:tcW w:w="468" w:type="pct"/>
            <w:tcBorders>
              <w:top w:val="nil"/>
              <w:left w:val="nil"/>
              <w:bottom w:val="nil"/>
              <w:right w:val="nil"/>
            </w:tcBorders>
            <w:shd w:val="clear" w:color="auto" w:fill="auto"/>
            <w:noWrap/>
            <w:vAlign w:val="bottom"/>
            <w:hideMark/>
          </w:tcPr>
          <w:p w14:paraId="39109AFC"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4.5012</w:t>
            </w:r>
          </w:p>
        </w:tc>
        <w:tc>
          <w:tcPr>
            <w:tcW w:w="468" w:type="pct"/>
            <w:tcBorders>
              <w:top w:val="nil"/>
              <w:left w:val="nil"/>
              <w:bottom w:val="nil"/>
              <w:right w:val="nil"/>
            </w:tcBorders>
            <w:shd w:val="clear" w:color="auto" w:fill="auto"/>
            <w:noWrap/>
            <w:vAlign w:val="bottom"/>
            <w:hideMark/>
          </w:tcPr>
          <w:p w14:paraId="4D1692E8"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4.3840</w:t>
            </w:r>
          </w:p>
        </w:tc>
        <w:tc>
          <w:tcPr>
            <w:tcW w:w="468" w:type="pct"/>
            <w:tcBorders>
              <w:top w:val="nil"/>
              <w:left w:val="nil"/>
              <w:bottom w:val="nil"/>
              <w:right w:val="nil"/>
            </w:tcBorders>
            <w:shd w:val="clear" w:color="auto" w:fill="auto"/>
            <w:noWrap/>
            <w:vAlign w:val="bottom"/>
            <w:hideMark/>
          </w:tcPr>
          <w:p w14:paraId="760EB48E"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4.1558</w:t>
            </w:r>
          </w:p>
        </w:tc>
        <w:tc>
          <w:tcPr>
            <w:tcW w:w="468" w:type="pct"/>
            <w:tcBorders>
              <w:top w:val="nil"/>
              <w:left w:val="nil"/>
              <w:bottom w:val="nil"/>
              <w:right w:val="nil"/>
            </w:tcBorders>
            <w:shd w:val="clear" w:color="auto" w:fill="auto"/>
            <w:noWrap/>
            <w:vAlign w:val="bottom"/>
            <w:hideMark/>
          </w:tcPr>
          <w:p w14:paraId="2D31A978"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4.5185</w:t>
            </w:r>
          </w:p>
        </w:tc>
        <w:tc>
          <w:tcPr>
            <w:tcW w:w="468" w:type="pct"/>
            <w:tcBorders>
              <w:top w:val="nil"/>
              <w:left w:val="nil"/>
              <w:bottom w:val="nil"/>
              <w:right w:val="nil"/>
            </w:tcBorders>
            <w:shd w:val="clear" w:color="auto" w:fill="auto"/>
            <w:noWrap/>
            <w:vAlign w:val="bottom"/>
            <w:hideMark/>
          </w:tcPr>
          <w:p w14:paraId="653F1A10"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4.3683</w:t>
            </w:r>
          </w:p>
        </w:tc>
        <w:tc>
          <w:tcPr>
            <w:tcW w:w="468" w:type="pct"/>
            <w:tcBorders>
              <w:top w:val="nil"/>
              <w:left w:val="nil"/>
              <w:bottom w:val="nil"/>
              <w:right w:val="nil"/>
            </w:tcBorders>
            <w:shd w:val="clear" w:color="auto" w:fill="auto"/>
            <w:noWrap/>
            <w:vAlign w:val="bottom"/>
            <w:hideMark/>
          </w:tcPr>
          <w:p w14:paraId="40D7BDDD"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3.5520</w:t>
            </w:r>
          </w:p>
        </w:tc>
        <w:tc>
          <w:tcPr>
            <w:tcW w:w="468" w:type="pct"/>
            <w:tcBorders>
              <w:top w:val="nil"/>
              <w:left w:val="nil"/>
              <w:bottom w:val="nil"/>
              <w:right w:val="nil"/>
            </w:tcBorders>
            <w:shd w:val="clear" w:color="auto" w:fill="auto"/>
            <w:noWrap/>
            <w:vAlign w:val="bottom"/>
            <w:hideMark/>
          </w:tcPr>
          <w:p w14:paraId="2F9BB043"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4.4054</w:t>
            </w:r>
          </w:p>
        </w:tc>
        <w:tc>
          <w:tcPr>
            <w:tcW w:w="468" w:type="pct"/>
            <w:tcBorders>
              <w:top w:val="nil"/>
              <w:left w:val="nil"/>
              <w:bottom w:val="nil"/>
              <w:right w:val="nil"/>
            </w:tcBorders>
            <w:shd w:val="clear" w:color="auto" w:fill="auto"/>
            <w:noWrap/>
            <w:vAlign w:val="bottom"/>
            <w:hideMark/>
          </w:tcPr>
          <w:p w14:paraId="02C5C02D"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0.7697</w:t>
            </w:r>
          </w:p>
        </w:tc>
        <w:tc>
          <w:tcPr>
            <w:tcW w:w="467" w:type="pct"/>
            <w:tcBorders>
              <w:top w:val="nil"/>
              <w:left w:val="nil"/>
              <w:bottom w:val="nil"/>
              <w:right w:val="nil"/>
            </w:tcBorders>
            <w:shd w:val="clear" w:color="auto" w:fill="auto"/>
            <w:noWrap/>
            <w:vAlign w:val="bottom"/>
            <w:hideMark/>
          </w:tcPr>
          <w:p w14:paraId="776A3CE9"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0.8877</w:t>
            </w:r>
          </w:p>
        </w:tc>
      </w:tr>
      <w:tr w:rsidR="00E43480" w:rsidRPr="008573D2" w14:paraId="1B4B627C" w14:textId="77777777" w:rsidTr="007B1695">
        <w:trPr>
          <w:trHeight w:val="300"/>
          <w:jc w:val="center"/>
        </w:trPr>
        <w:tc>
          <w:tcPr>
            <w:tcW w:w="788" w:type="pct"/>
            <w:tcBorders>
              <w:top w:val="nil"/>
              <w:left w:val="nil"/>
              <w:bottom w:val="nil"/>
              <w:right w:val="nil"/>
            </w:tcBorders>
            <w:shd w:val="clear" w:color="auto" w:fill="auto"/>
            <w:noWrap/>
            <w:vAlign w:val="bottom"/>
            <w:hideMark/>
          </w:tcPr>
          <w:p w14:paraId="0B20C171" w14:textId="77777777" w:rsidR="00E43480" w:rsidRPr="00F82B8F" w:rsidRDefault="00E43480" w:rsidP="007B1695">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Germany</w:t>
            </w:r>
          </w:p>
        </w:tc>
        <w:tc>
          <w:tcPr>
            <w:tcW w:w="468" w:type="pct"/>
            <w:tcBorders>
              <w:top w:val="nil"/>
              <w:left w:val="nil"/>
              <w:bottom w:val="nil"/>
              <w:right w:val="nil"/>
            </w:tcBorders>
            <w:shd w:val="clear" w:color="auto" w:fill="auto"/>
            <w:noWrap/>
            <w:vAlign w:val="bottom"/>
            <w:hideMark/>
          </w:tcPr>
          <w:p w14:paraId="02A9C2E7"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4.5705</w:t>
            </w:r>
          </w:p>
        </w:tc>
        <w:tc>
          <w:tcPr>
            <w:tcW w:w="468" w:type="pct"/>
            <w:tcBorders>
              <w:top w:val="nil"/>
              <w:left w:val="nil"/>
              <w:bottom w:val="nil"/>
              <w:right w:val="nil"/>
            </w:tcBorders>
            <w:shd w:val="clear" w:color="auto" w:fill="auto"/>
            <w:noWrap/>
            <w:vAlign w:val="bottom"/>
            <w:hideMark/>
          </w:tcPr>
          <w:p w14:paraId="45A6C9E5"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4.2224</w:t>
            </w:r>
          </w:p>
        </w:tc>
        <w:tc>
          <w:tcPr>
            <w:tcW w:w="468" w:type="pct"/>
            <w:tcBorders>
              <w:top w:val="nil"/>
              <w:left w:val="nil"/>
              <w:bottom w:val="nil"/>
              <w:right w:val="nil"/>
            </w:tcBorders>
            <w:shd w:val="clear" w:color="auto" w:fill="auto"/>
            <w:noWrap/>
            <w:vAlign w:val="bottom"/>
            <w:hideMark/>
          </w:tcPr>
          <w:p w14:paraId="2A9C35F4"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4.2973</w:t>
            </w:r>
          </w:p>
        </w:tc>
        <w:tc>
          <w:tcPr>
            <w:tcW w:w="468" w:type="pct"/>
            <w:tcBorders>
              <w:top w:val="nil"/>
              <w:left w:val="nil"/>
              <w:bottom w:val="nil"/>
              <w:right w:val="nil"/>
            </w:tcBorders>
            <w:shd w:val="clear" w:color="auto" w:fill="auto"/>
            <w:noWrap/>
            <w:vAlign w:val="bottom"/>
            <w:hideMark/>
          </w:tcPr>
          <w:p w14:paraId="45CEA15D"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4.5197</w:t>
            </w:r>
          </w:p>
        </w:tc>
        <w:tc>
          <w:tcPr>
            <w:tcW w:w="468" w:type="pct"/>
            <w:tcBorders>
              <w:top w:val="nil"/>
              <w:left w:val="nil"/>
              <w:bottom w:val="nil"/>
              <w:right w:val="nil"/>
            </w:tcBorders>
            <w:shd w:val="clear" w:color="auto" w:fill="auto"/>
            <w:noWrap/>
            <w:vAlign w:val="bottom"/>
            <w:hideMark/>
          </w:tcPr>
          <w:p w14:paraId="231150D1"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4.3751</w:t>
            </w:r>
          </w:p>
        </w:tc>
        <w:tc>
          <w:tcPr>
            <w:tcW w:w="468" w:type="pct"/>
            <w:tcBorders>
              <w:top w:val="nil"/>
              <w:left w:val="nil"/>
              <w:bottom w:val="nil"/>
              <w:right w:val="nil"/>
            </w:tcBorders>
            <w:shd w:val="clear" w:color="auto" w:fill="auto"/>
            <w:noWrap/>
            <w:vAlign w:val="bottom"/>
            <w:hideMark/>
          </w:tcPr>
          <w:p w14:paraId="6A562835"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3.7041</w:t>
            </w:r>
          </w:p>
        </w:tc>
        <w:tc>
          <w:tcPr>
            <w:tcW w:w="468" w:type="pct"/>
            <w:tcBorders>
              <w:top w:val="nil"/>
              <w:left w:val="nil"/>
              <w:bottom w:val="nil"/>
              <w:right w:val="nil"/>
            </w:tcBorders>
            <w:shd w:val="clear" w:color="auto" w:fill="auto"/>
            <w:noWrap/>
            <w:vAlign w:val="bottom"/>
            <w:hideMark/>
          </w:tcPr>
          <w:p w14:paraId="065161A2"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4.4110</w:t>
            </w:r>
          </w:p>
        </w:tc>
        <w:tc>
          <w:tcPr>
            <w:tcW w:w="468" w:type="pct"/>
            <w:tcBorders>
              <w:top w:val="nil"/>
              <w:left w:val="nil"/>
              <w:bottom w:val="nil"/>
              <w:right w:val="nil"/>
            </w:tcBorders>
            <w:shd w:val="clear" w:color="auto" w:fill="auto"/>
            <w:noWrap/>
            <w:vAlign w:val="bottom"/>
            <w:hideMark/>
          </w:tcPr>
          <w:p w14:paraId="7B1B384C"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0.6872</w:t>
            </w:r>
          </w:p>
        </w:tc>
        <w:tc>
          <w:tcPr>
            <w:tcW w:w="467" w:type="pct"/>
            <w:tcBorders>
              <w:top w:val="nil"/>
              <w:left w:val="nil"/>
              <w:bottom w:val="nil"/>
              <w:right w:val="nil"/>
            </w:tcBorders>
            <w:shd w:val="clear" w:color="auto" w:fill="auto"/>
            <w:noWrap/>
            <w:vAlign w:val="bottom"/>
            <w:hideMark/>
          </w:tcPr>
          <w:p w14:paraId="5E4BC181"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0.7076</w:t>
            </w:r>
          </w:p>
        </w:tc>
      </w:tr>
      <w:tr w:rsidR="00E43480" w:rsidRPr="008573D2" w14:paraId="73E5813F" w14:textId="77777777" w:rsidTr="007B1695">
        <w:trPr>
          <w:trHeight w:val="300"/>
          <w:jc w:val="center"/>
        </w:trPr>
        <w:tc>
          <w:tcPr>
            <w:tcW w:w="788" w:type="pct"/>
            <w:tcBorders>
              <w:top w:val="nil"/>
              <w:left w:val="nil"/>
              <w:bottom w:val="nil"/>
              <w:right w:val="nil"/>
            </w:tcBorders>
            <w:shd w:val="clear" w:color="auto" w:fill="auto"/>
            <w:noWrap/>
            <w:vAlign w:val="bottom"/>
            <w:hideMark/>
          </w:tcPr>
          <w:p w14:paraId="360DE2C0" w14:textId="77777777" w:rsidR="00E43480" w:rsidRPr="00F82B8F" w:rsidRDefault="00E43480" w:rsidP="007B1695">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Greece</w:t>
            </w:r>
          </w:p>
        </w:tc>
        <w:tc>
          <w:tcPr>
            <w:tcW w:w="468" w:type="pct"/>
            <w:tcBorders>
              <w:top w:val="nil"/>
              <w:left w:val="nil"/>
              <w:bottom w:val="nil"/>
              <w:right w:val="nil"/>
            </w:tcBorders>
            <w:shd w:val="clear" w:color="auto" w:fill="auto"/>
            <w:noWrap/>
            <w:vAlign w:val="bottom"/>
            <w:hideMark/>
          </w:tcPr>
          <w:p w14:paraId="4DC09FF7"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3.9239</w:t>
            </w:r>
          </w:p>
        </w:tc>
        <w:tc>
          <w:tcPr>
            <w:tcW w:w="468" w:type="pct"/>
            <w:tcBorders>
              <w:top w:val="nil"/>
              <w:left w:val="nil"/>
              <w:bottom w:val="nil"/>
              <w:right w:val="nil"/>
            </w:tcBorders>
            <w:shd w:val="clear" w:color="auto" w:fill="auto"/>
            <w:noWrap/>
            <w:vAlign w:val="bottom"/>
            <w:hideMark/>
          </w:tcPr>
          <w:p w14:paraId="71C593C1"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4.0454</w:t>
            </w:r>
          </w:p>
        </w:tc>
        <w:tc>
          <w:tcPr>
            <w:tcW w:w="468" w:type="pct"/>
            <w:tcBorders>
              <w:top w:val="nil"/>
              <w:left w:val="nil"/>
              <w:bottom w:val="nil"/>
              <w:right w:val="nil"/>
            </w:tcBorders>
            <w:shd w:val="clear" w:color="auto" w:fill="auto"/>
            <w:noWrap/>
            <w:vAlign w:val="bottom"/>
            <w:hideMark/>
          </w:tcPr>
          <w:p w14:paraId="43C248D3"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4.0553</w:t>
            </w:r>
          </w:p>
        </w:tc>
        <w:tc>
          <w:tcPr>
            <w:tcW w:w="468" w:type="pct"/>
            <w:tcBorders>
              <w:top w:val="nil"/>
              <w:left w:val="nil"/>
              <w:bottom w:val="nil"/>
              <w:right w:val="nil"/>
            </w:tcBorders>
            <w:shd w:val="clear" w:color="auto" w:fill="auto"/>
            <w:noWrap/>
            <w:vAlign w:val="bottom"/>
            <w:hideMark/>
          </w:tcPr>
          <w:p w14:paraId="0F70AE48"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4.2622</w:t>
            </w:r>
          </w:p>
        </w:tc>
        <w:tc>
          <w:tcPr>
            <w:tcW w:w="468" w:type="pct"/>
            <w:tcBorders>
              <w:top w:val="nil"/>
              <w:left w:val="nil"/>
              <w:bottom w:val="nil"/>
              <w:right w:val="nil"/>
            </w:tcBorders>
            <w:shd w:val="clear" w:color="auto" w:fill="auto"/>
            <w:noWrap/>
            <w:vAlign w:val="bottom"/>
            <w:hideMark/>
          </w:tcPr>
          <w:p w14:paraId="70DABBA6"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4.1280</w:t>
            </w:r>
          </w:p>
        </w:tc>
        <w:tc>
          <w:tcPr>
            <w:tcW w:w="468" w:type="pct"/>
            <w:tcBorders>
              <w:top w:val="nil"/>
              <w:left w:val="nil"/>
              <w:bottom w:val="nil"/>
              <w:right w:val="nil"/>
            </w:tcBorders>
            <w:shd w:val="clear" w:color="auto" w:fill="auto"/>
            <w:noWrap/>
            <w:vAlign w:val="bottom"/>
            <w:hideMark/>
          </w:tcPr>
          <w:p w14:paraId="125DB1B0"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3.0877</w:t>
            </w:r>
          </w:p>
        </w:tc>
        <w:tc>
          <w:tcPr>
            <w:tcW w:w="468" w:type="pct"/>
            <w:tcBorders>
              <w:top w:val="nil"/>
              <w:left w:val="nil"/>
              <w:bottom w:val="nil"/>
              <w:right w:val="nil"/>
            </w:tcBorders>
            <w:shd w:val="clear" w:color="auto" w:fill="auto"/>
            <w:noWrap/>
            <w:vAlign w:val="bottom"/>
            <w:hideMark/>
          </w:tcPr>
          <w:p w14:paraId="2F767372"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4.3702</w:t>
            </w:r>
          </w:p>
        </w:tc>
        <w:tc>
          <w:tcPr>
            <w:tcW w:w="468" w:type="pct"/>
            <w:tcBorders>
              <w:top w:val="nil"/>
              <w:left w:val="nil"/>
              <w:bottom w:val="nil"/>
              <w:right w:val="nil"/>
            </w:tcBorders>
            <w:shd w:val="clear" w:color="auto" w:fill="auto"/>
            <w:noWrap/>
            <w:vAlign w:val="bottom"/>
            <w:hideMark/>
          </w:tcPr>
          <w:p w14:paraId="6E37B354"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0.5353</w:t>
            </w:r>
          </w:p>
        </w:tc>
        <w:tc>
          <w:tcPr>
            <w:tcW w:w="467" w:type="pct"/>
            <w:tcBorders>
              <w:top w:val="nil"/>
              <w:left w:val="nil"/>
              <w:bottom w:val="nil"/>
              <w:right w:val="nil"/>
            </w:tcBorders>
            <w:shd w:val="clear" w:color="auto" w:fill="auto"/>
            <w:noWrap/>
            <w:vAlign w:val="bottom"/>
            <w:hideMark/>
          </w:tcPr>
          <w:p w14:paraId="69E79254"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0.5651</w:t>
            </w:r>
          </w:p>
        </w:tc>
      </w:tr>
      <w:tr w:rsidR="00E43480" w:rsidRPr="008573D2" w14:paraId="097296DD" w14:textId="77777777" w:rsidTr="007B1695">
        <w:trPr>
          <w:trHeight w:val="300"/>
          <w:jc w:val="center"/>
        </w:trPr>
        <w:tc>
          <w:tcPr>
            <w:tcW w:w="788" w:type="pct"/>
            <w:tcBorders>
              <w:top w:val="nil"/>
              <w:left w:val="nil"/>
              <w:bottom w:val="nil"/>
              <w:right w:val="nil"/>
            </w:tcBorders>
            <w:shd w:val="clear" w:color="auto" w:fill="auto"/>
            <w:noWrap/>
            <w:vAlign w:val="bottom"/>
            <w:hideMark/>
          </w:tcPr>
          <w:p w14:paraId="469C3AD5" w14:textId="77777777" w:rsidR="00E43480" w:rsidRPr="00F82B8F" w:rsidRDefault="00E43480" w:rsidP="007B1695">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Hungary</w:t>
            </w:r>
          </w:p>
        </w:tc>
        <w:tc>
          <w:tcPr>
            <w:tcW w:w="468" w:type="pct"/>
            <w:tcBorders>
              <w:top w:val="nil"/>
              <w:left w:val="nil"/>
              <w:bottom w:val="nil"/>
              <w:right w:val="nil"/>
            </w:tcBorders>
            <w:shd w:val="clear" w:color="auto" w:fill="auto"/>
            <w:noWrap/>
            <w:vAlign w:val="bottom"/>
            <w:hideMark/>
          </w:tcPr>
          <w:p w14:paraId="7289DB69"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4.2057</w:t>
            </w:r>
          </w:p>
        </w:tc>
        <w:tc>
          <w:tcPr>
            <w:tcW w:w="468" w:type="pct"/>
            <w:tcBorders>
              <w:top w:val="nil"/>
              <w:left w:val="nil"/>
              <w:bottom w:val="nil"/>
              <w:right w:val="nil"/>
            </w:tcBorders>
            <w:shd w:val="clear" w:color="auto" w:fill="auto"/>
            <w:noWrap/>
            <w:vAlign w:val="bottom"/>
            <w:hideMark/>
          </w:tcPr>
          <w:p w14:paraId="2DB349C6"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3.9532</w:t>
            </w:r>
          </w:p>
        </w:tc>
        <w:tc>
          <w:tcPr>
            <w:tcW w:w="468" w:type="pct"/>
            <w:tcBorders>
              <w:top w:val="nil"/>
              <w:left w:val="nil"/>
              <w:bottom w:val="nil"/>
              <w:right w:val="nil"/>
            </w:tcBorders>
            <w:shd w:val="clear" w:color="auto" w:fill="auto"/>
            <w:noWrap/>
            <w:vAlign w:val="bottom"/>
            <w:hideMark/>
          </w:tcPr>
          <w:p w14:paraId="522209DE"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4.1744</w:t>
            </w:r>
          </w:p>
        </w:tc>
        <w:tc>
          <w:tcPr>
            <w:tcW w:w="468" w:type="pct"/>
            <w:tcBorders>
              <w:top w:val="nil"/>
              <w:left w:val="nil"/>
              <w:bottom w:val="nil"/>
              <w:right w:val="nil"/>
            </w:tcBorders>
            <w:shd w:val="clear" w:color="auto" w:fill="auto"/>
            <w:noWrap/>
            <w:vAlign w:val="bottom"/>
            <w:hideMark/>
          </w:tcPr>
          <w:p w14:paraId="7EE17AC9"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4.3067</w:t>
            </w:r>
          </w:p>
        </w:tc>
        <w:tc>
          <w:tcPr>
            <w:tcW w:w="468" w:type="pct"/>
            <w:tcBorders>
              <w:top w:val="nil"/>
              <w:left w:val="nil"/>
              <w:bottom w:val="nil"/>
              <w:right w:val="nil"/>
            </w:tcBorders>
            <w:shd w:val="clear" w:color="auto" w:fill="auto"/>
            <w:noWrap/>
            <w:vAlign w:val="bottom"/>
            <w:hideMark/>
          </w:tcPr>
          <w:p w14:paraId="2B307BDD"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4.3843</w:t>
            </w:r>
          </w:p>
        </w:tc>
        <w:tc>
          <w:tcPr>
            <w:tcW w:w="468" w:type="pct"/>
            <w:tcBorders>
              <w:top w:val="nil"/>
              <w:left w:val="nil"/>
              <w:bottom w:val="nil"/>
              <w:right w:val="nil"/>
            </w:tcBorders>
            <w:shd w:val="clear" w:color="auto" w:fill="auto"/>
            <w:noWrap/>
            <w:vAlign w:val="bottom"/>
            <w:hideMark/>
          </w:tcPr>
          <w:p w14:paraId="7E0C9716"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3.1718</w:t>
            </w:r>
          </w:p>
        </w:tc>
        <w:tc>
          <w:tcPr>
            <w:tcW w:w="468" w:type="pct"/>
            <w:tcBorders>
              <w:top w:val="nil"/>
              <w:left w:val="nil"/>
              <w:bottom w:val="nil"/>
              <w:right w:val="nil"/>
            </w:tcBorders>
            <w:shd w:val="clear" w:color="auto" w:fill="auto"/>
            <w:noWrap/>
            <w:vAlign w:val="bottom"/>
            <w:hideMark/>
          </w:tcPr>
          <w:p w14:paraId="440D23F9"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4.3232</w:t>
            </w:r>
          </w:p>
        </w:tc>
        <w:tc>
          <w:tcPr>
            <w:tcW w:w="468" w:type="pct"/>
            <w:tcBorders>
              <w:top w:val="nil"/>
              <w:left w:val="nil"/>
              <w:bottom w:val="nil"/>
              <w:right w:val="nil"/>
            </w:tcBorders>
            <w:shd w:val="clear" w:color="auto" w:fill="auto"/>
            <w:noWrap/>
            <w:vAlign w:val="bottom"/>
            <w:hideMark/>
          </w:tcPr>
          <w:p w14:paraId="4729E066"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0.4311</w:t>
            </w:r>
          </w:p>
        </w:tc>
        <w:tc>
          <w:tcPr>
            <w:tcW w:w="467" w:type="pct"/>
            <w:tcBorders>
              <w:top w:val="nil"/>
              <w:left w:val="nil"/>
              <w:bottom w:val="nil"/>
              <w:right w:val="nil"/>
            </w:tcBorders>
            <w:shd w:val="clear" w:color="auto" w:fill="auto"/>
            <w:noWrap/>
            <w:vAlign w:val="bottom"/>
            <w:hideMark/>
          </w:tcPr>
          <w:p w14:paraId="2C9273D6"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0.5138</w:t>
            </w:r>
          </w:p>
        </w:tc>
      </w:tr>
      <w:tr w:rsidR="00E43480" w:rsidRPr="008573D2" w14:paraId="06845A80" w14:textId="77777777" w:rsidTr="007B1695">
        <w:trPr>
          <w:trHeight w:val="300"/>
          <w:jc w:val="center"/>
        </w:trPr>
        <w:tc>
          <w:tcPr>
            <w:tcW w:w="788" w:type="pct"/>
            <w:tcBorders>
              <w:top w:val="nil"/>
              <w:left w:val="nil"/>
              <w:bottom w:val="nil"/>
              <w:right w:val="nil"/>
            </w:tcBorders>
            <w:shd w:val="clear" w:color="auto" w:fill="auto"/>
            <w:noWrap/>
            <w:vAlign w:val="bottom"/>
            <w:hideMark/>
          </w:tcPr>
          <w:p w14:paraId="0C123FA8" w14:textId="77777777" w:rsidR="00E43480" w:rsidRPr="00F82B8F" w:rsidRDefault="00E43480" w:rsidP="007B1695">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India</w:t>
            </w:r>
          </w:p>
        </w:tc>
        <w:tc>
          <w:tcPr>
            <w:tcW w:w="468" w:type="pct"/>
            <w:tcBorders>
              <w:top w:val="nil"/>
              <w:left w:val="nil"/>
              <w:bottom w:val="nil"/>
              <w:right w:val="nil"/>
            </w:tcBorders>
            <w:shd w:val="clear" w:color="auto" w:fill="auto"/>
            <w:noWrap/>
            <w:vAlign w:val="bottom"/>
            <w:hideMark/>
          </w:tcPr>
          <w:p w14:paraId="3320B951"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3.8895</w:t>
            </w:r>
          </w:p>
        </w:tc>
        <w:tc>
          <w:tcPr>
            <w:tcW w:w="468" w:type="pct"/>
            <w:tcBorders>
              <w:top w:val="nil"/>
              <w:left w:val="nil"/>
              <w:bottom w:val="nil"/>
              <w:right w:val="nil"/>
            </w:tcBorders>
            <w:shd w:val="clear" w:color="auto" w:fill="auto"/>
            <w:noWrap/>
            <w:vAlign w:val="bottom"/>
            <w:hideMark/>
          </w:tcPr>
          <w:p w14:paraId="0972357E"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4.4465</w:t>
            </w:r>
          </w:p>
        </w:tc>
        <w:tc>
          <w:tcPr>
            <w:tcW w:w="468" w:type="pct"/>
            <w:tcBorders>
              <w:top w:val="nil"/>
              <w:left w:val="nil"/>
              <w:bottom w:val="nil"/>
              <w:right w:val="nil"/>
            </w:tcBorders>
            <w:shd w:val="clear" w:color="auto" w:fill="auto"/>
            <w:noWrap/>
            <w:vAlign w:val="bottom"/>
            <w:hideMark/>
          </w:tcPr>
          <w:p w14:paraId="7D7AC6CF"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4.0110</w:t>
            </w:r>
          </w:p>
        </w:tc>
        <w:tc>
          <w:tcPr>
            <w:tcW w:w="468" w:type="pct"/>
            <w:tcBorders>
              <w:top w:val="nil"/>
              <w:left w:val="nil"/>
              <w:bottom w:val="nil"/>
              <w:right w:val="nil"/>
            </w:tcBorders>
            <w:shd w:val="clear" w:color="auto" w:fill="auto"/>
            <w:noWrap/>
            <w:vAlign w:val="bottom"/>
            <w:hideMark/>
          </w:tcPr>
          <w:p w14:paraId="6A2A0190"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4.0904</w:t>
            </w:r>
          </w:p>
        </w:tc>
        <w:tc>
          <w:tcPr>
            <w:tcW w:w="468" w:type="pct"/>
            <w:tcBorders>
              <w:top w:val="nil"/>
              <w:left w:val="nil"/>
              <w:bottom w:val="nil"/>
              <w:right w:val="nil"/>
            </w:tcBorders>
            <w:shd w:val="clear" w:color="auto" w:fill="auto"/>
            <w:noWrap/>
            <w:vAlign w:val="bottom"/>
            <w:hideMark/>
          </w:tcPr>
          <w:p w14:paraId="688ACFA5"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4.4443</w:t>
            </w:r>
          </w:p>
        </w:tc>
        <w:tc>
          <w:tcPr>
            <w:tcW w:w="468" w:type="pct"/>
            <w:tcBorders>
              <w:top w:val="nil"/>
              <w:left w:val="nil"/>
              <w:bottom w:val="nil"/>
              <w:right w:val="nil"/>
            </w:tcBorders>
            <w:shd w:val="clear" w:color="auto" w:fill="auto"/>
            <w:noWrap/>
            <w:vAlign w:val="bottom"/>
            <w:hideMark/>
          </w:tcPr>
          <w:p w14:paraId="304CE115"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1.6449</w:t>
            </w:r>
          </w:p>
        </w:tc>
        <w:tc>
          <w:tcPr>
            <w:tcW w:w="468" w:type="pct"/>
            <w:tcBorders>
              <w:top w:val="nil"/>
              <w:left w:val="nil"/>
              <w:bottom w:val="nil"/>
              <w:right w:val="nil"/>
            </w:tcBorders>
            <w:shd w:val="clear" w:color="auto" w:fill="auto"/>
            <w:noWrap/>
            <w:vAlign w:val="bottom"/>
            <w:hideMark/>
          </w:tcPr>
          <w:p w14:paraId="1063AAF0"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4.1987</w:t>
            </w:r>
          </w:p>
        </w:tc>
        <w:tc>
          <w:tcPr>
            <w:tcW w:w="468" w:type="pct"/>
            <w:tcBorders>
              <w:top w:val="nil"/>
              <w:left w:val="nil"/>
              <w:bottom w:val="nil"/>
              <w:right w:val="nil"/>
            </w:tcBorders>
            <w:shd w:val="clear" w:color="auto" w:fill="auto"/>
            <w:noWrap/>
            <w:vAlign w:val="bottom"/>
            <w:hideMark/>
          </w:tcPr>
          <w:p w14:paraId="5AA17787"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0.4241</w:t>
            </w:r>
          </w:p>
        </w:tc>
        <w:tc>
          <w:tcPr>
            <w:tcW w:w="467" w:type="pct"/>
            <w:tcBorders>
              <w:top w:val="nil"/>
              <w:left w:val="nil"/>
              <w:bottom w:val="nil"/>
              <w:right w:val="nil"/>
            </w:tcBorders>
            <w:shd w:val="clear" w:color="auto" w:fill="auto"/>
            <w:noWrap/>
            <w:vAlign w:val="bottom"/>
            <w:hideMark/>
          </w:tcPr>
          <w:p w14:paraId="7F7354AD"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0.3889</w:t>
            </w:r>
          </w:p>
        </w:tc>
      </w:tr>
      <w:tr w:rsidR="00E43480" w:rsidRPr="008573D2" w14:paraId="64DF26BE" w14:textId="77777777" w:rsidTr="007B1695">
        <w:trPr>
          <w:trHeight w:val="300"/>
          <w:jc w:val="center"/>
        </w:trPr>
        <w:tc>
          <w:tcPr>
            <w:tcW w:w="788" w:type="pct"/>
            <w:tcBorders>
              <w:top w:val="nil"/>
              <w:left w:val="nil"/>
              <w:bottom w:val="nil"/>
              <w:right w:val="nil"/>
            </w:tcBorders>
            <w:shd w:val="clear" w:color="auto" w:fill="auto"/>
            <w:noWrap/>
            <w:vAlign w:val="bottom"/>
            <w:hideMark/>
          </w:tcPr>
          <w:p w14:paraId="1E909879" w14:textId="77777777" w:rsidR="00E43480" w:rsidRPr="00F82B8F" w:rsidRDefault="00E43480" w:rsidP="007B1695">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Indonesia</w:t>
            </w:r>
          </w:p>
        </w:tc>
        <w:tc>
          <w:tcPr>
            <w:tcW w:w="468" w:type="pct"/>
            <w:tcBorders>
              <w:top w:val="nil"/>
              <w:left w:val="nil"/>
              <w:bottom w:val="nil"/>
              <w:right w:val="nil"/>
            </w:tcBorders>
            <w:shd w:val="clear" w:color="auto" w:fill="auto"/>
            <w:noWrap/>
            <w:vAlign w:val="bottom"/>
            <w:hideMark/>
          </w:tcPr>
          <w:p w14:paraId="2C3627BC"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3.6604</w:t>
            </w:r>
          </w:p>
        </w:tc>
        <w:tc>
          <w:tcPr>
            <w:tcW w:w="468" w:type="pct"/>
            <w:tcBorders>
              <w:top w:val="nil"/>
              <w:left w:val="nil"/>
              <w:bottom w:val="nil"/>
              <w:right w:val="nil"/>
            </w:tcBorders>
            <w:shd w:val="clear" w:color="auto" w:fill="auto"/>
            <w:noWrap/>
            <w:vAlign w:val="bottom"/>
            <w:hideMark/>
          </w:tcPr>
          <w:p w14:paraId="349F1F9B"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4.2034</w:t>
            </w:r>
          </w:p>
        </w:tc>
        <w:tc>
          <w:tcPr>
            <w:tcW w:w="468" w:type="pct"/>
            <w:tcBorders>
              <w:top w:val="nil"/>
              <w:left w:val="nil"/>
              <w:bottom w:val="nil"/>
              <w:right w:val="nil"/>
            </w:tcBorders>
            <w:shd w:val="clear" w:color="auto" w:fill="auto"/>
            <w:noWrap/>
            <w:vAlign w:val="bottom"/>
            <w:hideMark/>
          </w:tcPr>
          <w:p w14:paraId="578C3BA6"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4.1866</w:t>
            </w:r>
          </w:p>
        </w:tc>
        <w:tc>
          <w:tcPr>
            <w:tcW w:w="468" w:type="pct"/>
            <w:tcBorders>
              <w:top w:val="nil"/>
              <w:left w:val="nil"/>
              <w:bottom w:val="nil"/>
              <w:right w:val="nil"/>
            </w:tcBorders>
            <w:shd w:val="clear" w:color="auto" w:fill="auto"/>
            <w:noWrap/>
            <w:vAlign w:val="bottom"/>
            <w:hideMark/>
          </w:tcPr>
          <w:p w14:paraId="39D92DF1"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4.0428</w:t>
            </w:r>
          </w:p>
        </w:tc>
        <w:tc>
          <w:tcPr>
            <w:tcW w:w="468" w:type="pct"/>
            <w:tcBorders>
              <w:top w:val="nil"/>
              <w:left w:val="nil"/>
              <w:bottom w:val="nil"/>
              <w:right w:val="nil"/>
            </w:tcBorders>
            <w:shd w:val="clear" w:color="auto" w:fill="auto"/>
            <w:noWrap/>
            <w:vAlign w:val="bottom"/>
            <w:hideMark/>
          </w:tcPr>
          <w:p w14:paraId="5BC439D6"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4.4257</w:t>
            </w:r>
          </w:p>
        </w:tc>
        <w:tc>
          <w:tcPr>
            <w:tcW w:w="468" w:type="pct"/>
            <w:tcBorders>
              <w:top w:val="nil"/>
              <w:left w:val="nil"/>
              <w:bottom w:val="nil"/>
              <w:right w:val="nil"/>
            </w:tcBorders>
            <w:shd w:val="clear" w:color="auto" w:fill="auto"/>
            <w:noWrap/>
            <w:vAlign w:val="bottom"/>
            <w:hideMark/>
          </w:tcPr>
          <w:p w14:paraId="11EBA4EE"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2.2415</w:t>
            </w:r>
          </w:p>
        </w:tc>
        <w:tc>
          <w:tcPr>
            <w:tcW w:w="468" w:type="pct"/>
            <w:tcBorders>
              <w:top w:val="nil"/>
              <w:left w:val="nil"/>
              <w:bottom w:val="nil"/>
              <w:right w:val="nil"/>
            </w:tcBorders>
            <w:shd w:val="clear" w:color="auto" w:fill="auto"/>
            <w:noWrap/>
            <w:vAlign w:val="bottom"/>
            <w:hideMark/>
          </w:tcPr>
          <w:p w14:paraId="1822FE4D"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4.2341</w:t>
            </w:r>
          </w:p>
        </w:tc>
        <w:tc>
          <w:tcPr>
            <w:tcW w:w="468" w:type="pct"/>
            <w:tcBorders>
              <w:top w:val="nil"/>
              <w:left w:val="nil"/>
              <w:bottom w:val="nil"/>
              <w:right w:val="nil"/>
            </w:tcBorders>
            <w:shd w:val="clear" w:color="auto" w:fill="auto"/>
            <w:noWrap/>
            <w:vAlign w:val="bottom"/>
            <w:hideMark/>
          </w:tcPr>
          <w:p w14:paraId="1182A086"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0.3667</w:t>
            </w:r>
          </w:p>
        </w:tc>
        <w:tc>
          <w:tcPr>
            <w:tcW w:w="467" w:type="pct"/>
            <w:tcBorders>
              <w:top w:val="nil"/>
              <w:left w:val="nil"/>
              <w:bottom w:val="nil"/>
              <w:right w:val="nil"/>
            </w:tcBorders>
            <w:shd w:val="clear" w:color="auto" w:fill="auto"/>
            <w:noWrap/>
            <w:vAlign w:val="bottom"/>
            <w:hideMark/>
          </w:tcPr>
          <w:p w14:paraId="5B54F245"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0.4397</w:t>
            </w:r>
          </w:p>
        </w:tc>
      </w:tr>
      <w:tr w:rsidR="00E43480" w:rsidRPr="008573D2" w14:paraId="2DBAF661" w14:textId="77777777" w:rsidTr="007B1695">
        <w:trPr>
          <w:trHeight w:val="300"/>
          <w:jc w:val="center"/>
        </w:trPr>
        <w:tc>
          <w:tcPr>
            <w:tcW w:w="788" w:type="pct"/>
            <w:tcBorders>
              <w:top w:val="nil"/>
              <w:left w:val="nil"/>
              <w:bottom w:val="nil"/>
              <w:right w:val="nil"/>
            </w:tcBorders>
            <w:shd w:val="clear" w:color="auto" w:fill="auto"/>
            <w:noWrap/>
            <w:vAlign w:val="bottom"/>
            <w:hideMark/>
          </w:tcPr>
          <w:p w14:paraId="5FDE3385" w14:textId="77777777" w:rsidR="00E43480" w:rsidRPr="00F82B8F" w:rsidRDefault="00E43480" w:rsidP="007B1695">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Italy</w:t>
            </w:r>
          </w:p>
        </w:tc>
        <w:tc>
          <w:tcPr>
            <w:tcW w:w="468" w:type="pct"/>
            <w:tcBorders>
              <w:top w:val="nil"/>
              <w:left w:val="nil"/>
              <w:bottom w:val="nil"/>
              <w:right w:val="nil"/>
            </w:tcBorders>
            <w:shd w:val="clear" w:color="auto" w:fill="auto"/>
            <w:noWrap/>
            <w:vAlign w:val="bottom"/>
            <w:hideMark/>
          </w:tcPr>
          <w:p w14:paraId="6A6B4FC1"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4.2792</w:t>
            </w:r>
          </w:p>
        </w:tc>
        <w:tc>
          <w:tcPr>
            <w:tcW w:w="468" w:type="pct"/>
            <w:tcBorders>
              <w:top w:val="nil"/>
              <w:left w:val="nil"/>
              <w:bottom w:val="nil"/>
              <w:right w:val="nil"/>
            </w:tcBorders>
            <w:shd w:val="clear" w:color="auto" w:fill="auto"/>
            <w:noWrap/>
            <w:vAlign w:val="bottom"/>
            <w:hideMark/>
          </w:tcPr>
          <w:p w14:paraId="31DF822B"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4.0781</w:t>
            </w:r>
          </w:p>
        </w:tc>
        <w:tc>
          <w:tcPr>
            <w:tcW w:w="468" w:type="pct"/>
            <w:tcBorders>
              <w:top w:val="nil"/>
              <w:left w:val="nil"/>
              <w:bottom w:val="nil"/>
              <w:right w:val="nil"/>
            </w:tcBorders>
            <w:shd w:val="clear" w:color="auto" w:fill="auto"/>
            <w:noWrap/>
            <w:vAlign w:val="bottom"/>
            <w:hideMark/>
          </w:tcPr>
          <w:p w14:paraId="66918A67"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4.1304</w:t>
            </w:r>
          </w:p>
        </w:tc>
        <w:tc>
          <w:tcPr>
            <w:tcW w:w="468" w:type="pct"/>
            <w:tcBorders>
              <w:top w:val="nil"/>
              <w:left w:val="nil"/>
              <w:bottom w:val="nil"/>
              <w:right w:val="nil"/>
            </w:tcBorders>
            <w:shd w:val="clear" w:color="auto" w:fill="auto"/>
            <w:noWrap/>
            <w:vAlign w:val="bottom"/>
            <w:hideMark/>
          </w:tcPr>
          <w:p w14:paraId="78778900"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4.3967</w:t>
            </w:r>
          </w:p>
        </w:tc>
        <w:tc>
          <w:tcPr>
            <w:tcW w:w="468" w:type="pct"/>
            <w:tcBorders>
              <w:top w:val="nil"/>
              <w:left w:val="nil"/>
              <w:bottom w:val="nil"/>
              <w:right w:val="nil"/>
            </w:tcBorders>
            <w:shd w:val="clear" w:color="auto" w:fill="auto"/>
            <w:noWrap/>
            <w:vAlign w:val="bottom"/>
            <w:hideMark/>
          </w:tcPr>
          <w:p w14:paraId="1CCFC14F"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4.3994</w:t>
            </w:r>
          </w:p>
        </w:tc>
        <w:tc>
          <w:tcPr>
            <w:tcW w:w="468" w:type="pct"/>
            <w:tcBorders>
              <w:top w:val="nil"/>
              <w:left w:val="nil"/>
              <w:bottom w:val="nil"/>
              <w:right w:val="nil"/>
            </w:tcBorders>
            <w:shd w:val="clear" w:color="auto" w:fill="auto"/>
            <w:noWrap/>
            <w:vAlign w:val="bottom"/>
            <w:hideMark/>
          </w:tcPr>
          <w:p w14:paraId="6937B45C"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3.4034</w:t>
            </w:r>
          </w:p>
        </w:tc>
        <w:tc>
          <w:tcPr>
            <w:tcW w:w="468" w:type="pct"/>
            <w:tcBorders>
              <w:top w:val="nil"/>
              <w:left w:val="nil"/>
              <w:bottom w:val="nil"/>
              <w:right w:val="nil"/>
            </w:tcBorders>
            <w:shd w:val="clear" w:color="auto" w:fill="auto"/>
            <w:noWrap/>
            <w:vAlign w:val="bottom"/>
            <w:hideMark/>
          </w:tcPr>
          <w:p w14:paraId="190F2443"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4.4046</w:t>
            </w:r>
          </w:p>
        </w:tc>
        <w:tc>
          <w:tcPr>
            <w:tcW w:w="468" w:type="pct"/>
            <w:tcBorders>
              <w:top w:val="nil"/>
              <w:left w:val="nil"/>
              <w:bottom w:val="nil"/>
              <w:right w:val="nil"/>
            </w:tcBorders>
            <w:shd w:val="clear" w:color="auto" w:fill="auto"/>
            <w:noWrap/>
            <w:vAlign w:val="bottom"/>
            <w:hideMark/>
          </w:tcPr>
          <w:p w14:paraId="74EED4F6"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0.7912</w:t>
            </w:r>
          </w:p>
        </w:tc>
        <w:tc>
          <w:tcPr>
            <w:tcW w:w="467" w:type="pct"/>
            <w:tcBorders>
              <w:top w:val="nil"/>
              <w:left w:val="nil"/>
              <w:bottom w:val="nil"/>
              <w:right w:val="nil"/>
            </w:tcBorders>
            <w:shd w:val="clear" w:color="auto" w:fill="auto"/>
            <w:noWrap/>
            <w:vAlign w:val="bottom"/>
            <w:hideMark/>
          </w:tcPr>
          <w:p w14:paraId="096CCB2B"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0.7787</w:t>
            </w:r>
          </w:p>
        </w:tc>
      </w:tr>
      <w:tr w:rsidR="00E43480" w:rsidRPr="008573D2" w14:paraId="42272A19" w14:textId="77777777" w:rsidTr="007B1695">
        <w:trPr>
          <w:trHeight w:val="300"/>
          <w:jc w:val="center"/>
        </w:trPr>
        <w:tc>
          <w:tcPr>
            <w:tcW w:w="788" w:type="pct"/>
            <w:tcBorders>
              <w:top w:val="nil"/>
              <w:left w:val="nil"/>
              <w:bottom w:val="nil"/>
              <w:right w:val="nil"/>
            </w:tcBorders>
            <w:shd w:val="clear" w:color="auto" w:fill="auto"/>
            <w:noWrap/>
            <w:vAlign w:val="bottom"/>
            <w:hideMark/>
          </w:tcPr>
          <w:p w14:paraId="788AC532" w14:textId="77777777" w:rsidR="00E43480" w:rsidRPr="00F82B8F" w:rsidRDefault="00E43480" w:rsidP="007B1695">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Japan</w:t>
            </w:r>
          </w:p>
        </w:tc>
        <w:tc>
          <w:tcPr>
            <w:tcW w:w="468" w:type="pct"/>
            <w:tcBorders>
              <w:top w:val="nil"/>
              <w:left w:val="nil"/>
              <w:bottom w:val="nil"/>
              <w:right w:val="nil"/>
            </w:tcBorders>
            <w:shd w:val="clear" w:color="auto" w:fill="auto"/>
            <w:noWrap/>
            <w:vAlign w:val="bottom"/>
            <w:hideMark/>
          </w:tcPr>
          <w:p w14:paraId="7EBC06D2"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4.3656</w:t>
            </w:r>
          </w:p>
        </w:tc>
        <w:tc>
          <w:tcPr>
            <w:tcW w:w="468" w:type="pct"/>
            <w:tcBorders>
              <w:top w:val="nil"/>
              <w:left w:val="nil"/>
              <w:bottom w:val="nil"/>
              <w:right w:val="nil"/>
            </w:tcBorders>
            <w:shd w:val="clear" w:color="auto" w:fill="auto"/>
            <w:noWrap/>
            <w:vAlign w:val="bottom"/>
            <w:hideMark/>
          </w:tcPr>
          <w:p w14:paraId="0E5EA9A4"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4.2693</w:t>
            </w:r>
          </w:p>
        </w:tc>
        <w:tc>
          <w:tcPr>
            <w:tcW w:w="468" w:type="pct"/>
            <w:tcBorders>
              <w:top w:val="nil"/>
              <w:left w:val="nil"/>
              <w:bottom w:val="nil"/>
              <w:right w:val="nil"/>
            </w:tcBorders>
            <w:shd w:val="clear" w:color="auto" w:fill="auto"/>
            <w:noWrap/>
            <w:vAlign w:val="bottom"/>
            <w:hideMark/>
          </w:tcPr>
          <w:p w14:paraId="609EBC16"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4.2781</w:t>
            </w:r>
          </w:p>
        </w:tc>
        <w:tc>
          <w:tcPr>
            <w:tcW w:w="468" w:type="pct"/>
            <w:tcBorders>
              <w:top w:val="nil"/>
              <w:left w:val="nil"/>
              <w:bottom w:val="nil"/>
              <w:right w:val="nil"/>
            </w:tcBorders>
            <w:shd w:val="clear" w:color="auto" w:fill="auto"/>
            <w:noWrap/>
            <w:vAlign w:val="bottom"/>
            <w:hideMark/>
          </w:tcPr>
          <w:p w14:paraId="44A28B15"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4.5398</w:t>
            </w:r>
          </w:p>
        </w:tc>
        <w:tc>
          <w:tcPr>
            <w:tcW w:w="468" w:type="pct"/>
            <w:tcBorders>
              <w:top w:val="nil"/>
              <w:left w:val="nil"/>
              <w:bottom w:val="nil"/>
              <w:right w:val="nil"/>
            </w:tcBorders>
            <w:shd w:val="clear" w:color="auto" w:fill="auto"/>
            <w:noWrap/>
            <w:vAlign w:val="bottom"/>
            <w:hideMark/>
          </w:tcPr>
          <w:p w14:paraId="2ABE7E78"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4.3035</w:t>
            </w:r>
          </w:p>
        </w:tc>
        <w:tc>
          <w:tcPr>
            <w:tcW w:w="468" w:type="pct"/>
            <w:tcBorders>
              <w:top w:val="nil"/>
              <w:left w:val="nil"/>
              <w:bottom w:val="nil"/>
              <w:right w:val="nil"/>
            </w:tcBorders>
            <w:shd w:val="clear" w:color="auto" w:fill="auto"/>
            <w:noWrap/>
            <w:vAlign w:val="bottom"/>
            <w:hideMark/>
          </w:tcPr>
          <w:p w14:paraId="69069343"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3.5280</w:t>
            </w:r>
          </w:p>
        </w:tc>
        <w:tc>
          <w:tcPr>
            <w:tcW w:w="468" w:type="pct"/>
            <w:tcBorders>
              <w:top w:val="nil"/>
              <w:left w:val="nil"/>
              <w:bottom w:val="nil"/>
              <w:right w:val="nil"/>
            </w:tcBorders>
            <w:shd w:val="clear" w:color="auto" w:fill="auto"/>
            <w:noWrap/>
            <w:vAlign w:val="bottom"/>
            <w:hideMark/>
          </w:tcPr>
          <w:p w14:paraId="3C4C7118"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4.4597</w:t>
            </w:r>
          </w:p>
        </w:tc>
        <w:tc>
          <w:tcPr>
            <w:tcW w:w="468" w:type="pct"/>
            <w:tcBorders>
              <w:top w:val="nil"/>
              <w:left w:val="nil"/>
              <w:bottom w:val="nil"/>
              <w:right w:val="nil"/>
            </w:tcBorders>
            <w:shd w:val="clear" w:color="auto" w:fill="auto"/>
            <w:noWrap/>
            <w:vAlign w:val="bottom"/>
            <w:hideMark/>
          </w:tcPr>
          <w:p w14:paraId="5B9B73F1"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0.8767</w:t>
            </w:r>
          </w:p>
        </w:tc>
        <w:tc>
          <w:tcPr>
            <w:tcW w:w="467" w:type="pct"/>
            <w:tcBorders>
              <w:top w:val="nil"/>
              <w:left w:val="nil"/>
              <w:bottom w:val="nil"/>
              <w:right w:val="nil"/>
            </w:tcBorders>
            <w:shd w:val="clear" w:color="auto" w:fill="auto"/>
            <w:noWrap/>
            <w:vAlign w:val="bottom"/>
            <w:hideMark/>
          </w:tcPr>
          <w:p w14:paraId="75BBD6AA"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0.9400</w:t>
            </w:r>
          </w:p>
        </w:tc>
      </w:tr>
      <w:tr w:rsidR="00E43480" w:rsidRPr="008573D2" w14:paraId="54DC45D1" w14:textId="77777777" w:rsidTr="007B1695">
        <w:trPr>
          <w:trHeight w:val="300"/>
          <w:jc w:val="center"/>
        </w:trPr>
        <w:tc>
          <w:tcPr>
            <w:tcW w:w="788" w:type="pct"/>
            <w:tcBorders>
              <w:top w:val="nil"/>
              <w:left w:val="nil"/>
              <w:bottom w:val="nil"/>
              <w:right w:val="nil"/>
            </w:tcBorders>
            <w:shd w:val="clear" w:color="auto" w:fill="auto"/>
            <w:noWrap/>
            <w:vAlign w:val="bottom"/>
            <w:hideMark/>
          </w:tcPr>
          <w:p w14:paraId="7386E21D" w14:textId="77777777" w:rsidR="00E43480" w:rsidRPr="00F82B8F" w:rsidRDefault="00E43480" w:rsidP="007B1695">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Malaysia</w:t>
            </w:r>
          </w:p>
        </w:tc>
        <w:tc>
          <w:tcPr>
            <w:tcW w:w="468" w:type="pct"/>
            <w:tcBorders>
              <w:top w:val="nil"/>
              <w:left w:val="nil"/>
              <w:bottom w:val="nil"/>
              <w:right w:val="nil"/>
            </w:tcBorders>
            <w:shd w:val="clear" w:color="auto" w:fill="auto"/>
            <w:noWrap/>
            <w:vAlign w:val="bottom"/>
            <w:hideMark/>
          </w:tcPr>
          <w:p w14:paraId="189D54FE"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4.1207</w:t>
            </w:r>
          </w:p>
        </w:tc>
        <w:tc>
          <w:tcPr>
            <w:tcW w:w="468" w:type="pct"/>
            <w:tcBorders>
              <w:top w:val="nil"/>
              <w:left w:val="nil"/>
              <w:bottom w:val="nil"/>
              <w:right w:val="nil"/>
            </w:tcBorders>
            <w:shd w:val="clear" w:color="auto" w:fill="auto"/>
            <w:noWrap/>
            <w:vAlign w:val="bottom"/>
            <w:hideMark/>
          </w:tcPr>
          <w:p w14:paraId="66D261D2"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4.5395</w:t>
            </w:r>
          </w:p>
        </w:tc>
        <w:tc>
          <w:tcPr>
            <w:tcW w:w="468" w:type="pct"/>
            <w:tcBorders>
              <w:top w:val="nil"/>
              <w:left w:val="nil"/>
              <w:bottom w:val="nil"/>
              <w:right w:val="nil"/>
            </w:tcBorders>
            <w:shd w:val="clear" w:color="auto" w:fill="auto"/>
            <w:noWrap/>
            <w:vAlign w:val="bottom"/>
            <w:hideMark/>
          </w:tcPr>
          <w:p w14:paraId="2FFFB56B"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4.3041</w:t>
            </w:r>
          </w:p>
        </w:tc>
        <w:tc>
          <w:tcPr>
            <w:tcW w:w="468" w:type="pct"/>
            <w:tcBorders>
              <w:top w:val="nil"/>
              <w:left w:val="nil"/>
              <w:bottom w:val="nil"/>
              <w:right w:val="nil"/>
            </w:tcBorders>
            <w:shd w:val="clear" w:color="auto" w:fill="auto"/>
            <w:noWrap/>
            <w:vAlign w:val="bottom"/>
            <w:hideMark/>
          </w:tcPr>
          <w:p w14:paraId="7FDF9492"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4.2968</w:t>
            </w:r>
          </w:p>
        </w:tc>
        <w:tc>
          <w:tcPr>
            <w:tcW w:w="468" w:type="pct"/>
            <w:tcBorders>
              <w:top w:val="nil"/>
              <w:left w:val="nil"/>
              <w:bottom w:val="nil"/>
              <w:right w:val="nil"/>
            </w:tcBorders>
            <w:shd w:val="clear" w:color="auto" w:fill="auto"/>
            <w:noWrap/>
            <w:vAlign w:val="bottom"/>
            <w:hideMark/>
          </w:tcPr>
          <w:p w14:paraId="3F53A8EA"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4.2939</w:t>
            </w:r>
          </w:p>
        </w:tc>
        <w:tc>
          <w:tcPr>
            <w:tcW w:w="468" w:type="pct"/>
            <w:tcBorders>
              <w:top w:val="nil"/>
              <w:left w:val="nil"/>
              <w:bottom w:val="nil"/>
              <w:right w:val="nil"/>
            </w:tcBorders>
            <w:shd w:val="clear" w:color="auto" w:fill="auto"/>
            <w:noWrap/>
            <w:vAlign w:val="bottom"/>
            <w:hideMark/>
          </w:tcPr>
          <w:p w14:paraId="0783E6DD"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3.1470</w:t>
            </w:r>
          </w:p>
        </w:tc>
        <w:tc>
          <w:tcPr>
            <w:tcW w:w="468" w:type="pct"/>
            <w:tcBorders>
              <w:top w:val="nil"/>
              <w:left w:val="nil"/>
              <w:bottom w:val="nil"/>
              <w:right w:val="nil"/>
            </w:tcBorders>
            <w:shd w:val="clear" w:color="auto" w:fill="auto"/>
            <w:noWrap/>
            <w:vAlign w:val="bottom"/>
            <w:hideMark/>
          </w:tcPr>
          <w:p w14:paraId="6A3C5532"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4.3518</w:t>
            </w:r>
          </w:p>
        </w:tc>
        <w:tc>
          <w:tcPr>
            <w:tcW w:w="468" w:type="pct"/>
            <w:tcBorders>
              <w:top w:val="nil"/>
              <w:left w:val="nil"/>
              <w:bottom w:val="nil"/>
              <w:right w:val="nil"/>
            </w:tcBorders>
            <w:shd w:val="clear" w:color="auto" w:fill="auto"/>
            <w:noWrap/>
            <w:vAlign w:val="bottom"/>
            <w:hideMark/>
          </w:tcPr>
          <w:p w14:paraId="279D3FC0"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0.6786</w:t>
            </w:r>
          </w:p>
        </w:tc>
        <w:tc>
          <w:tcPr>
            <w:tcW w:w="467" w:type="pct"/>
            <w:tcBorders>
              <w:top w:val="nil"/>
              <w:left w:val="nil"/>
              <w:bottom w:val="nil"/>
              <w:right w:val="nil"/>
            </w:tcBorders>
            <w:shd w:val="clear" w:color="auto" w:fill="auto"/>
            <w:noWrap/>
            <w:vAlign w:val="bottom"/>
            <w:hideMark/>
          </w:tcPr>
          <w:p w14:paraId="56A36165"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0.6925</w:t>
            </w:r>
          </w:p>
        </w:tc>
      </w:tr>
      <w:tr w:rsidR="00E43480" w:rsidRPr="008573D2" w14:paraId="320D205F" w14:textId="77777777" w:rsidTr="007B1695">
        <w:trPr>
          <w:trHeight w:val="300"/>
          <w:jc w:val="center"/>
        </w:trPr>
        <w:tc>
          <w:tcPr>
            <w:tcW w:w="788" w:type="pct"/>
            <w:tcBorders>
              <w:top w:val="nil"/>
              <w:left w:val="nil"/>
              <w:bottom w:val="nil"/>
              <w:right w:val="nil"/>
            </w:tcBorders>
            <w:shd w:val="clear" w:color="auto" w:fill="auto"/>
            <w:noWrap/>
            <w:vAlign w:val="bottom"/>
            <w:hideMark/>
          </w:tcPr>
          <w:p w14:paraId="216F52DF" w14:textId="77777777" w:rsidR="00E43480" w:rsidRPr="00F82B8F" w:rsidRDefault="00E43480" w:rsidP="007B1695">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Mexico</w:t>
            </w:r>
          </w:p>
        </w:tc>
        <w:tc>
          <w:tcPr>
            <w:tcW w:w="468" w:type="pct"/>
            <w:tcBorders>
              <w:top w:val="nil"/>
              <w:left w:val="nil"/>
              <w:bottom w:val="nil"/>
              <w:right w:val="nil"/>
            </w:tcBorders>
            <w:shd w:val="clear" w:color="auto" w:fill="auto"/>
            <w:noWrap/>
            <w:vAlign w:val="bottom"/>
            <w:hideMark/>
          </w:tcPr>
          <w:p w14:paraId="46CAF6B9"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3.7593</w:t>
            </w:r>
          </w:p>
        </w:tc>
        <w:tc>
          <w:tcPr>
            <w:tcW w:w="468" w:type="pct"/>
            <w:tcBorders>
              <w:top w:val="nil"/>
              <w:left w:val="nil"/>
              <w:bottom w:val="nil"/>
              <w:right w:val="nil"/>
            </w:tcBorders>
            <w:shd w:val="clear" w:color="auto" w:fill="auto"/>
            <w:noWrap/>
            <w:vAlign w:val="bottom"/>
            <w:hideMark/>
          </w:tcPr>
          <w:p w14:paraId="7367FC82"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4.1510</w:t>
            </w:r>
          </w:p>
        </w:tc>
        <w:tc>
          <w:tcPr>
            <w:tcW w:w="468" w:type="pct"/>
            <w:tcBorders>
              <w:top w:val="nil"/>
              <w:left w:val="nil"/>
              <w:bottom w:val="nil"/>
              <w:right w:val="nil"/>
            </w:tcBorders>
            <w:shd w:val="clear" w:color="auto" w:fill="auto"/>
            <w:noWrap/>
            <w:vAlign w:val="bottom"/>
            <w:hideMark/>
          </w:tcPr>
          <w:p w14:paraId="774EF73E"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4.1698</w:t>
            </w:r>
          </w:p>
        </w:tc>
        <w:tc>
          <w:tcPr>
            <w:tcW w:w="468" w:type="pct"/>
            <w:tcBorders>
              <w:top w:val="nil"/>
              <w:left w:val="nil"/>
              <w:bottom w:val="nil"/>
              <w:right w:val="nil"/>
            </w:tcBorders>
            <w:shd w:val="clear" w:color="auto" w:fill="auto"/>
            <w:noWrap/>
            <w:vAlign w:val="bottom"/>
            <w:hideMark/>
          </w:tcPr>
          <w:p w14:paraId="2B6FF4A5"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4.1904</w:t>
            </w:r>
          </w:p>
        </w:tc>
        <w:tc>
          <w:tcPr>
            <w:tcW w:w="468" w:type="pct"/>
            <w:tcBorders>
              <w:top w:val="nil"/>
              <w:left w:val="nil"/>
              <w:bottom w:val="nil"/>
              <w:right w:val="nil"/>
            </w:tcBorders>
            <w:shd w:val="clear" w:color="auto" w:fill="auto"/>
            <w:noWrap/>
            <w:vAlign w:val="bottom"/>
            <w:hideMark/>
          </w:tcPr>
          <w:p w14:paraId="01091FCF"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4.2573</w:t>
            </w:r>
          </w:p>
        </w:tc>
        <w:tc>
          <w:tcPr>
            <w:tcW w:w="468" w:type="pct"/>
            <w:tcBorders>
              <w:top w:val="nil"/>
              <w:left w:val="nil"/>
              <w:bottom w:val="nil"/>
              <w:right w:val="nil"/>
            </w:tcBorders>
            <w:shd w:val="clear" w:color="auto" w:fill="auto"/>
            <w:noWrap/>
            <w:vAlign w:val="bottom"/>
            <w:hideMark/>
          </w:tcPr>
          <w:p w14:paraId="5615EEB6"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2.7262</w:t>
            </w:r>
          </w:p>
        </w:tc>
        <w:tc>
          <w:tcPr>
            <w:tcW w:w="468" w:type="pct"/>
            <w:tcBorders>
              <w:top w:val="nil"/>
              <w:left w:val="nil"/>
              <w:bottom w:val="nil"/>
              <w:right w:val="nil"/>
            </w:tcBorders>
            <w:shd w:val="clear" w:color="auto" w:fill="auto"/>
            <w:noWrap/>
            <w:vAlign w:val="bottom"/>
            <w:hideMark/>
          </w:tcPr>
          <w:p w14:paraId="2273A3E5"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4.3595</w:t>
            </w:r>
          </w:p>
        </w:tc>
        <w:tc>
          <w:tcPr>
            <w:tcW w:w="468" w:type="pct"/>
            <w:tcBorders>
              <w:top w:val="nil"/>
              <w:left w:val="nil"/>
              <w:bottom w:val="nil"/>
              <w:right w:val="nil"/>
            </w:tcBorders>
            <w:shd w:val="clear" w:color="auto" w:fill="auto"/>
            <w:noWrap/>
            <w:vAlign w:val="bottom"/>
            <w:hideMark/>
          </w:tcPr>
          <w:p w14:paraId="49635D16"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0.4028</w:t>
            </w:r>
          </w:p>
        </w:tc>
        <w:tc>
          <w:tcPr>
            <w:tcW w:w="467" w:type="pct"/>
            <w:tcBorders>
              <w:top w:val="nil"/>
              <w:left w:val="nil"/>
              <w:bottom w:val="nil"/>
              <w:right w:val="nil"/>
            </w:tcBorders>
            <w:shd w:val="clear" w:color="auto" w:fill="auto"/>
            <w:noWrap/>
            <w:vAlign w:val="bottom"/>
            <w:hideMark/>
          </w:tcPr>
          <w:p w14:paraId="03F6E71E"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0.4443</w:t>
            </w:r>
          </w:p>
        </w:tc>
      </w:tr>
      <w:tr w:rsidR="00E43480" w:rsidRPr="008573D2" w14:paraId="18B7BE4A" w14:textId="77777777" w:rsidTr="007B1695">
        <w:trPr>
          <w:trHeight w:val="300"/>
          <w:jc w:val="center"/>
        </w:trPr>
        <w:tc>
          <w:tcPr>
            <w:tcW w:w="788" w:type="pct"/>
            <w:tcBorders>
              <w:top w:val="nil"/>
              <w:left w:val="nil"/>
              <w:bottom w:val="nil"/>
              <w:right w:val="nil"/>
            </w:tcBorders>
            <w:shd w:val="clear" w:color="auto" w:fill="auto"/>
            <w:noWrap/>
            <w:vAlign w:val="bottom"/>
            <w:hideMark/>
          </w:tcPr>
          <w:p w14:paraId="3C9FB860" w14:textId="77777777" w:rsidR="00E43480" w:rsidRPr="00F82B8F" w:rsidRDefault="00E43480" w:rsidP="007B1695">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Netherland</w:t>
            </w:r>
          </w:p>
        </w:tc>
        <w:tc>
          <w:tcPr>
            <w:tcW w:w="468" w:type="pct"/>
            <w:tcBorders>
              <w:top w:val="nil"/>
              <w:left w:val="nil"/>
              <w:bottom w:val="nil"/>
              <w:right w:val="nil"/>
            </w:tcBorders>
            <w:shd w:val="clear" w:color="auto" w:fill="auto"/>
            <w:noWrap/>
            <w:vAlign w:val="bottom"/>
            <w:hideMark/>
          </w:tcPr>
          <w:p w14:paraId="567108E0"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4.4901</w:t>
            </w:r>
          </w:p>
        </w:tc>
        <w:tc>
          <w:tcPr>
            <w:tcW w:w="468" w:type="pct"/>
            <w:tcBorders>
              <w:top w:val="nil"/>
              <w:left w:val="nil"/>
              <w:bottom w:val="nil"/>
              <w:right w:val="nil"/>
            </w:tcBorders>
            <w:shd w:val="clear" w:color="auto" w:fill="auto"/>
            <w:noWrap/>
            <w:vAlign w:val="bottom"/>
            <w:hideMark/>
          </w:tcPr>
          <w:p w14:paraId="496E5696"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4.3245</w:t>
            </w:r>
          </w:p>
        </w:tc>
        <w:tc>
          <w:tcPr>
            <w:tcW w:w="468" w:type="pct"/>
            <w:tcBorders>
              <w:top w:val="nil"/>
              <w:left w:val="nil"/>
              <w:bottom w:val="nil"/>
              <w:right w:val="nil"/>
            </w:tcBorders>
            <w:shd w:val="clear" w:color="auto" w:fill="auto"/>
            <w:noWrap/>
            <w:vAlign w:val="bottom"/>
            <w:hideMark/>
          </w:tcPr>
          <w:p w14:paraId="28FC90D6"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4.3412</w:t>
            </w:r>
          </w:p>
        </w:tc>
        <w:tc>
          <w:tcPr>
            <w:tcW w:w="468" w:type="pct"/>
            <w:tcBorders>
              <w:top w:val="nil"/>
              <w:left w:val="nil"/>
              <w:bottom w:val="nil"/>
              <w:right w:val="nil"/>
            </w:tcBorders>
            <w:shd w:val="clear" w:color="auto" w:fill="auto"/>
            <w:noWrap/>
            <w:vAlign w:val="bottom"/>
            <w:hideMark/>
          </w:tcPr>
          <w:p w14:paraId="7C4D1B22"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4.5545</w:t>
            </w:r>
          </w:p>
        </w:tc>
        <w:tc>
          <w:tcPr>
            <w:tcW w:w="468" w:type="pct"/>
            <w:tcBorders>
              <w:top w:val="nil"/>
              <w:left w:val="nil"/>
              <w:bottom w:val="nil"/>
              <w:right w:val="nil"/>
            </w:tcBorders>
            <w:shd w:val="clear" w:color="auto" w:fill="auto"/>
            <w:noWrap/>
            <w:vAlign w:val="bottom"/>
            <w:hideMark/>
          </w:tcPr>
          <w:p w14:paraId="3516ECCD"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4.1220</w:t>
            </w:r>
          </w:p>
        </w:tc>
        <w:tc>
          <w:tcPr>
            <w:tcW w:w="468" w:type="pct"/>
            <w:tcBorders>
              <w:top w:val="nil"/>
              <w:left w:val="nil"/>
              <w:bottom w:val="nil"/>
              <w:right w:val="nil"/>
            </w:tcBorders>
            <w:shd w:val="clear" w:color="auto" w:fill="auto"/>
            <w:noWrap/>
            <w:vAlign w:val="bottom"/>
            <w:hideMark/>
          </w:tcPr>
          <w:p w14:paraId="4B873B48"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3.7728</w:t>
            </w:r>
          </w:p>
        </w:tc>
        <w:tc>
          <w:tcPr>
            <w:tcW w:w="468" w:type="pct"/>
            <w:tcBorders>
              <w:top w:val="nil"/>
              <w:left w:val="nil"/>
              <w:bottom w:val="nil"/>
              <w:right w:val="nil"/>
            </w:tcBorders>
            <w:shd w:val="clear" w:color="auto" w:fill="auto"/>
            <w:noWrap/>
            <w:vAlign w:val="bottom"/>
            <w:hideMark/>
          </w:tcPr>
          <w:p w14:paraId="1DFA0596"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4.4143</w:t>
            </w:r>
          </w:p>
        </w:tc>
        <w:tc>
          <w:tcPr>
            <w:tcW w:w="468" w:type="pct"/>
            <w:tcBorders>
              <w:top w:val="nil"/>
              <w:left w:val="nil"/>
              <w:bottom w:val="nil"/>
              <w:right w:val="nil"/>
            </w:tcBorders>
            <w:shd w:val="clear" w:color="auto" w:fill="auto"/>
            <w:noWrap/>
            <w:vAlign w:val="bottom"/>
            <w:hideMark/>
          </w:tcPr>
          <w:p w14:paraId="1BB50976"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0.7017</w:t>
            </w:r>
          </w:p>
        </w:tc>
        <w:tc>
          <w:tcPr>
            <w:tcW w:w="467" w:type="pct"/>
            <w:tcBorders>
              <w:top w:val="nil"/>
              <w:left w:val="nil"/>
              <w:bottom w:val="nil"/>
              <w:right w:val="nil"/>
            </w:tcBorders>
            <w:shd w:val="clear" w:color="auto" w:fill="auto"/>
            <w:noWrap/>
            <w:vAlign w:val="bottom"/>
            <w:hideMark/>
          </w:tcPr>
          <w:p w14:paraId="0B38AFAA"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0.7111</w:t>
            </w:r>
          </w:p>
        </w:tc>
      </w:tr>
      <w:tr w:rsidR="00E43480" w:rsidRPr="008573D2" w14:paraId="5C818DC6" w14:textId="77777777" w:rsidTr="007B1695">
        <w:trPr>
          <w:trHeight w:val="300"/>
          <w:jc w:val="center"/>
        </w:trPr>
        <w:tc>
          <w:tcPr>
            <w:tcW w:w="788" w:type="pct"/>
            <w:tcBorders>
              <w:top w:val="nil"/>
              <w:left w:val="nil"/>
              <w:bottom w:val="nil"/>
              <w:right w:val="nil"/>
            </w:tcBorders>
            <w:shd w:val="clear" w:color="auto" w:fill="auto"/>
            <w:noWrap/>
            <w:vAlign w:val="bottom"/>
            <w:hideMark/>
          </w:tcPr>
          <w:p w14:paraId="5C0BD2D4" w14:textId="77777777" w:rsidR="00E43480" w:rsidRPr="00F82B8F" w:rsidRDefault="00E43480" w:rsidP="007B1695">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Norway</w:t>
            </w:r>
          </w:p>
        </w:tc>
        <w:tc>
          <w:tcPr>
            <w:tcW w:w="468" w:type="pct"/>
            <w:tcBorders>
              <w:top w:val="nil"/>
              <w:left w:val="nil"/>
              <w:bottom w:val="nil"/>
              <w:right w:val="nil"/>
            </w:tcBorders>
            <w:shd w:val="clear" w:color="auto" w:fill="auto"/>
            <w:noWrap/>
            <w:vAlign w:val="bottom"/>
            <w:hideMark/>
          </w:tcPr>
          <w:p w14:paraId="4CA406D3"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4.6052</w:t>
            </w:r>
          </w:p>
        </w:tc>
        <w:tc>
          <w:tcPr>
            <w:tcW w:w="468" w:type="pct"/>
            <w:tcBorders>
              <w:top w:val="nil"/>
              <w:left w:val="nil"/>
              <w:bottom w:val="nil"/>
              <w:right w:val="nil"/>
            </w:tcBorders>
            <w:shd w:val="clear" w:color="auto" w:fill="auto"/>
            <w:noWrap/>
            <w:vAlign w:val="bottom"/>
            <w:hideMark/>
          </w:tcPr>
          <w:p w14:paraId="4BA6B780"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4.5146</w:t>
            </w:r>
          </w:p>
        </w:tc>
        <w:tc>
          <w:tcPr>
            <w:tcW w:w="468" w:type="pct"/>
            <w:tcBorders>
              <w:top w:val="nil"/>
              <w:left w:val="nil"/>
              <w:bottom w:val="nil"/>
              <w:right w:val="nil"/>
            </w:tcBorders>
            <w:shd w:val="clear" w:color="auto" w:fill="auto"/>
            <w:noWrap/>
            <w:vAlign w:val="bottom"/>
            <w:hideMark/>
          </w:tcPr>
          <w:p w14:paraId="55DA8416"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4.2905</w:t>
            </w:r>
          </w:p>
        </w:tc>
        <w:tc>
          <w:tcPr>
            <w:tcW w:w="468" w:type="pct"/>
            <w:tcBorders>
              <w:top w:val="nil"/>
              <w:left w:val="nil"/>
              <w:bottom w:val="nil"/>
              <w:right w:val="nil"/>
            </w:tcBorders>
            <w:shd w:val="clear" w:color="auto" w:fill="auto"/>
            <w:noWrap/>
            <w:vAlign w:val="bottom"/>
            <w:hideMark/>
          </w:tcPr>
          <w:p w14:paraId="3B0A30FC"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4.2289</w:t>
            </w:r>
          </w:p>
        </w:tc>
        <w:tc>
          <w:tcPr>
            <w:tcW w:w="468" w:type="pct"/>
            <w:tcBorders>
              <w:top w:val="nil"/>
              <w:left w:val="nil"/>
              <w:bottom w:val="nil"/>
              <w:right w:val="nil"/>
            </w:tcBorders>
            <w:shd w:val="clear" w:color="auto" w:fill="auto"/>
            <w:noWrap/>
            <w:vAlign w:val="bottom"/>
            <w:hideMark/>
          </w:tcPr>
          <w:p w14:paraId="11060A18"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4.3994</w:t>
            </w:r>
          </w:p>
        </w:tc>
        <w:tc>
          <w:tcPr>
            <w:tcW w:w="468" w:type="pct"/>
            <w:tcBorders>
              <w:top w:val="nil"/>
              <w:left w:val="nil"/>
              <w:bottom w:val="nil"/>
              <w:right w:val="nil"/>
            </w:tcBorders>
            <w:shd w:val="clear" w:color="auto" w:fill="auto"/>
            <w:noWrap/>
            <w:vAlign w:val="bottom"/>
            <w:hideMark/>
          </w:tcPr>
          <w:p w14:paraId="2FBDE654"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4.0508</w:t>
            </w:r>
          </w:p>
        </w:tc>
        <w:tc>
          <w:tcPr>
            <w:tcW w:w="468" w:type="pct"/>
            <w:tcBorders>
              <w:top w:val="nil"/>
              <w:left w:val="nil"/>
              <w:bottom w:val="nil"/>
              <w:right w:val="nil"/>
            </w:tcBorders>
            <w:shd w:val="clear" w:color="auto" w:fill="auto"/>
            <w:noWrap/>
            <w:vAlign w:val="bottom"/>
            <w:hideMark/>
          </w:tcPr>
          <w:p w14:paraId="2339F36B"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4.4233</w:t>
            </w:r>
          </w:p>
        </w:tc>
        <w:tc>
          <w:tcPr>
            <w:tcW w:w="468" w:type="pct"/>
            <w:tcBorders>
              <w:top w:val="nil"/>
              <w:left w:val="nil"/>
              <w:bottom w:val="nil"/>
              <w:right w:val="nil"/>
            </w:tcBorders>
            <w:shd w:val="clear" w:color="auto" w:fill="auto"/>
            <w:noWrap/>
            <w:vAlign w:val="bottom"/>
            <w:hideMark/>
          </w:tcPr>
          <w:p w14:paraId="013C0D9E"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0.6727</w:t>
            </w:r>
          </w:p>
        </w:tc>
        <w:tc>
          <w:tcPr>
            <w:tcW w:w="467" w:type="pct"/>
            <w:tcBorders>
              <w:top w:val="nil"/>
              <w:left w:val="nil"/>
              <w:bottom w:val="nil"/>
              <w:right w:val="nil"/>
            </w:tcBorders>
            <w:shd w:val="clear" w:color="auto" w:fill="auto"/>
            <w:noWrap/>
            <w:vAlign w:val="bottom"/>
            <w:hideMark/>
          </w:tcPr>
          <w:p w14:paraId="77E30D48"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0.6099</w:t>
            </w:r>
          </w:p>
        </w:tc>
      </w:tr>
      <w:tr w:rsidR="00E43480" w:rsidRPr="008573D2" w14:paraId="12A0214B" w14:textId="77777777" w:rsidTr="007B1695">
        <w:trPr>
          <w:trHeight w:val="300"/>
          <w:jc w:val="center"/>
        </w:trPr>
        <w:tc>
          <w:tcPr>
            <w:tcW w:w="788" w:type="pct"/>
            <w:tcBorders>
              <w:top w:val="nil"/>
              <w:left w:val="nil"/>
              <w:bottom w:val="nil"/>
              <w:right w:val="nil"/>
            </w:tcBorders>
            <w:shd w:val="clear" w:color="auto" w:fill="auto"/>
            <w:noWrap/>
            <w:vAlign w:val="bottom"/>
            <w:hideMark/>
          </w:tcPr>
          <w:p w14:paraId="7128CBA7" w14:textId="77777777" w:rsidR="00E43480" w:rsidRPr="00F82B8F" w:rsidRDefault="00E43480" w:rsidP="007B1695">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Philippine</w:t>
            </w:r>
          </w:p>
        </w:tc>
        <w:tc>
          <w:tcPr>
            <w:tcW w:w="468" w:type="pct"/>
            <w:tcBorders>
              <w:top w:val="nil"/>
              <w:left w:val="nil"/>
              <w:bottom w:val="nil"/>
              <w:right w:val="nil"/>
            </w:tcBorders>
            <w:shd w:val="clear" w:color="auto" w:fill="auto"/>
            <w:noWrap/>
            <w:vAlign w:val="bottom"/>
            <w:hideMark/>
          </w:tcPr>
          <w:p w14:paraId="4519C6FF"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3.5201</w:t>
            </w:r>
          </w:p>
        </w:tc>
        <w:tc>
          <w:tcPr>
            <w:tcW w:w="468" w:type="pct"/>
            <w:tcBorders>
              <w:top w:val="nil"/>
              <w:left w:val="nil"/>
              <w:bottom w:val="nil"/>
              <w:right w:val="nil"/>
            </w:tcBorders>
            <w:shd w:val="clear" w:color="auto" w:fill="auto"/>
            <w:noWrap/>
            <w:vAlign w:val="bottom"/>
            <w:hideMark/>
          </w:tcPr>
          <w:p w14:paraId="08F3EBE6"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3.7938</w:t>
            </w:r>
          </w:p>
        </w:tc>
        <w:tc>
          <w:tcPr>
            <w:tcW w:w="468" w:type="pct"/>
            <w:tcBorders>
              <w:top w:val="nil"/>
              <w:left w:val="nil"/>
              <w:bottom w:val="nil"/>
              <w:right w:val="nil"/>
            </w:tcBorders>
            <w:shd w:val="clear" w:color="auto" w:fill="auto"/>
            <w:noWrap/>
            <w:vAlign w:val="bottom"/>
            <w:hideMark/>
          </w:tcPr>
          <w:p w14:paraId="10AD8011"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4.1558</w:t>
            </w:r>
          </w:p>
        </w:tc>
        <w:tc>
          <w:tcPr>
            <w:tcW w:w="468" w:type="pct"/>
            <w:tcBorders>
              <w:top w:val="nil"/>
              <w:left w:val="nil"/>
              <w:bottom w:val="nil"/>
              <w:right w:val="nil"/>
            </w:tcBorders>
            <w:shd w:val="clear" w:color="auto" w:fill="auto"/>
            <w:noWrap/>
            <w:vAlign w:val="bottom"/>
            <w:hideMark/>
          </w:tcPr>
          <w:p w14:paraId="6B16D7C7"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3.8277</w:t>
            </w:r>
          </w:p>
        </w:tc>
        <w:tc>
          <w:tcPr>
            <w:tcW w:w="468" w:type="pct"/>
            <w:tcBorders>
              <w:top w:val="nil"/>
              <w:left w:val="nil"/>
              <w:bottom w:val="nil"/>
              <w:right w:val="nil"/>
            </w:tcBorders>
            <w:shd w:val="clear" w:color="auto" w:fill="auto"/>
            <w:noWrap/>
            <w:vAlign w:val="bottom"/>
            <w:hideMark/>
          </w:tcPr>
          <w:p w14:paraId="6660D1B2"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4.4335</w:t>
            </w:r>
          </w:p>
        </w:tc>
        <w:tc>
          <w:tcPr>
            <w:tcW w:w="468" w:type="pct"/>
            <w:tcBorders>
              <w:top w:val="nil"/>
              <w:left w:val="nil"/>
              <w:bottom w:val="nil"/>
              <w:right w:val="nil"/>
            </w:tcBorders>
            <w:shd w:val="clear" w:color="auto" w:fill="auto"/>
            <w:noWrap/>
            <w:vAlign w:val="bottom"/>
            <w:hideMark/>
          </w:tcPr>
          <w:p w14:paraId="2B5982CA"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1.8041</w:t>
            </w:r>
          </w:p>
        </w:tc>
        <w:tc>
          <w:tcPr>
            <w:tcW w:w="468" w:type="pct"/>
            <w:tcBorders>
              <w:top w:val="nil"/>
              <w:left w:val="nil"/>
              <w:bottom w:val="nil"/>
              <w:right w:val="nil"/>
            </w:tcBorders>
            <w:shd w:val="clear" w:color="auto" w:fill="auto"/>
            <w:noWrap/>
            <w:vAlign w:val="bottom"/>
            <w:hideMark/>
          </w:tcPr>
          <w:p w14:paraId="23FB5328"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4.2297</w:t>
            </w:r>
          </w:p>
        </w:tc>
        <w:tc>
          <w:tcPr>
            <w:tcW w:w="468" w:type="pct"/>
            <w:tcBorders>
              <w:top w:val="nil"/>
              <w:left w:val="nil"/>
              <w:bottom w:val="nil"/>
              <w:right w:val="nil"/>
            </w:tcBorders>
            <w:shd w:val="clear" w:color="auto" w:fill="auto"/>
            <w:noWrap/>
            <w:vAlign w:val="bottom"/>
            <w:hideMark/>
          </w:tcPr>
          <w:p w14:paraId="7BB1DBDA"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0.3918</w:t>
            </w:r>
          </w:p>
        </w:tc>
        <w:tc>
          <w:tcPr>
            <w:tcW w:w="467" w:type="pct"/>
            <w:tcBorders>
              <w:top w:val="nil"/>
              <w:left w:val="nil"/>
              <w:bottom w:val="nil"/>
              <w:right w:val="nil"/>
            </w:tcBorders>
            <w:shd w:val="clear" w:color="auto" w:fill="auto"/>
            <w:noWrap/>
            <w:vAlign w:val="bottom"/>
            <w:hideMark/>
          </w:tcPr>
          <w:p w14:paraId="714C2E7B"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0.3952</w:t>
            </w:r>
          </w:p>
        </w:tc>
      </w:tr>
      <w:tr w:rsidR="00E43480" w:rsidRPr="008573D2" w14:paraId="319C97DC" w14:textId="77777777" w:rsidTr="007B1695">
        <w:trPr>
          <w:trHeight w:val="300"/>
          <w:jc w:val="center"/>
        </w:trPr>
        <w:tc>
          <w:tcPr>
            <w:tcW w:w="788" w:type="pct"/>
            <w:tcBorders>
              <w:top w:val="nil"/>
              <w:left w:val="nil"/>
              <w:bottom w:val="nil"/>
              <w:right w:val="nil"/>
            </w:tcBorders>
            <w:shd w:val="clear" w:color="auto" w:fill="auto"/>
            <w:noWrap/>
            <w:vAlign w:val="bottom"/>
            <w:hideMark/>
          </w:tcPr>
          <w:p w14:paraId="2429F06C" w14:textId="77777777" w:rsidR="00E43480" w:rsidRPr="00F82B8F" w:rsidRDefault="00E43480" w:rsidP="007B1695">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Poland</w:t>
            </w:r>
          </w:p>
        </w:tc>
        <w:tc>
          <w:tcPr>
            <w:tcW w:w="468" w:type="pct"/>
            <w:tcBorders>
              <w:top w:val="nil"/>
              <w:left w:val="nil"/>
              <w:bottom w:val="nil"/>
              <w:right w:val="nil"/>
            </w:tcBorders>
            <w:shd w:val="clear" w:color="auto" w:fill="auto"/>
            <w:noWrap/>
            <w:vAlign w:val="bottom"/>
            <w:hideMark/>
          </w:tcPr>
          <w:p w14:paraId="77F91F38"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4.4021</w:t>
            </w:r>
          </w:p>
        </w:tc>
        <w:tc>
          <w:tcPr>
            <w:tcW w:w="468" w:type="pct"/>
            <w:tcBorders>
              <w:top w:val="nil"/>
              <w:left w:val="nil"/>
              <w:bottom w:val="nil"/>
              <w:right w:val="nil"/>
            </w:tcBorders>
            <w:shd w:val="clear" w:color="auto" w:fill="auto"/>
            <w:noWrap/>
            <w:vAlign w:val="bottom"/>
            <w:hideMark/>
          </w:tcPr>
          <w:p w14:paraId="2B2FAC31"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4.1587</w:t>
            </w:r>
          </w:p>
        </w:tc>
        <w:tc>
          <w:tcPr>
            <w:tcW w:w="468" w:type="pct"/>
            <w:tcBorders>
              <w:top w:val="nil"/>
              <w:left w:val="nil"/>
              <w:bottom w:val="nil"/>
              <w:right w:val="nil"/>
            </w:tcBorders>
            <w:shd w:val="clear" w:color="auto" w:fill="auto"/>
            <w:noWrap/>
            <w:vAlign w:val="bottom"/>
            <w:hideMark/>
          </w:tcPr>
          <w:p w14:paraId="5EEDAF96"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4.2166</w:t>
            </w:r>
          </w:p>
        </w:tc>
        <w:tc>
          <w:tcPr>
            <w:tcW w:w="468" w:type="pct"/>
            <w:tcBorders>
              <w:top w:val="nil"/>
              <w:left w:val="nil"/>
              <w:bottom w:val="nil"/>
              <w:right w:val="nil"/>
            </w:tcBorders>
            <w:shd w:val="clear" w:color="auto" w:fill="auto"/>
            <w:noWrap/>
            <w:vAlign w:val="bottom"/>
            <w:hideMark/>
          </w:tcPr>
          <w:p w14:paraId="5F75FAE3"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4.3242</w:t>
            </w:r>
          </w:p>
        </w:tc>
        <w:tc>
          <w:tcPr>
            <w:tcW w:w="468" w:type="pct"/>
            <w:tcBorders>
              <w:top w:val="nil"/>
              <w:left w:val="nil"/>
              <w:bottom w:val="nil"/>
              <w:right w:val="nil"/>
            </w:tcBorders>
            <w:shd w:val="clear" w:color="auto" w:fill="auto"/>
            <w:noWrap/>
            <w:vAlign w:val="bottom"/>
            <w:hideMark/>
          </w:tcPr>
          <w:p w14:paraId="4C26B7CC"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4.3863</w:t>
            </w:r>
          </w:p>
        </w:tc>
        <w:tc>
          <w:tcPr>
            <w:tcW w:w="468" w:type="pct"/>
            <w:tcBorders>
              <w:top w:val="nil"/>
              <w:left w:val="nil"/>
              <w:bottom w:val="nil"/>
              <w:right w:val="nil"/>
            </w:tcBorders>
            <w:shd w:val="clear" w:color="auto" w:fill="auto"/>
            <w:noWrap/>
            <w:vAlign w:val="bottom"/>
            <w:hideMark/>
          </w:tcPr>
          <w:p w14:paraId="0465E514"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3.1747</w:t>
            </w:r>
          </w:p>
        </w:tc>
        <w:tc>
          <w:tcPr>
            <w:tcW w:w="468" w:type="pct"/>
            <w:tcBorders>
              <w:top w:val="nil"/>
              <w:left w:val="nil"/>
              <w:bottom w:val="nil"/>
              <w:right w:val="nil"/>
            </w:tcBorders>
            <w:shd w:val="clear" w:color="auto" w:fill="auto"/>
            <w:noWrap/>
            <w:vAlign w:val="bottom"/>
            <w:hideMark/>
          </w:tcPr>
          <w:p w14:paraId="5411ED2E"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4.3501</w:t>
            </w:r>
          </w:p>
        </w:tc>
        <w:tc>
          <w:tcPr>
            <w:tcW w:w="468" w:type="pct"/>
            <w:tcBorders>
              <w:top w:val="nil"/>
              <w:left w:val="nil"/>
              <w:bottom w:val="nil"/>
              <w:right w:val="nil"/>
            </w:tcBorders>
            <w:shd w:val="clear" w:color="auto" w:fill="auto"/>
            <w:noWrap/>
            <w:vAlign w:val="bottom"/>
            <w:hideMark/>
          </w:tcPr>
          <w:p w14:paraId="4EC4F166"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0.4766</w:t>
            </w:r>
          </w:p>
        </w:tc>
        <w:tc>
          <w:tcPr>
            <w:tcW w:w="467" w:type="pct"/>
            <w:tcBorders>
              <w:top w:val="nil"/>
              <w:left w:val="nil"/>
              <w:bottom w:val="nil"/>
              <w:right w:val="nil"/>
            </w:tcBorders>
            <w:shd w:val="clear" w:color="auto" w:fill="auto"/>
            <w:noWrap/>
            <w:vAlign w:val="bottom"/>
            <w:hideMark/>
          </w:tcPr>
          <w:p w14:paraId="746DC146"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0.6042</w:t>
            </w:r>
          </w:p>
        </w:tc>
      </w:tr>
      <w:tr w:rsidR="00E43480" w:rsidRPr="008573D2" w14:paraId="05D5740E" w14:textId="77777777" w:rsidTr="007B1695">
        <w:trPr>
          <w:trHeight w:val="300"/>
          <w:jc w:val="center"/>
        </w:trPr>
        <w:tc>
          <w:tcPr>
            <w:tcW w:w="788" w:type="pct"/>
            <w:tcBorders>
              <w:top w:val="nil"/>
              <w:left w:val="nil"/>
              <w:bottom w:val="nil"/>
              <w:right w:val="nil"/>
            </w:tcBorders>
            <w:shd w:val="clear" w:color="auto" w:fill="auto"/>
            <w:noWrap/>
            <w:vAlign w:val="bottom"/>
            <w:hideMark/>
          </w:tcPr>
          <w:p w14:paraId="5F7AAF75" w14:textId="77777777" w:rsidR="00E43480" w:rsidRPr="00F82B8F" w:rsidRDefault="00E43480" w:rsidP="007B1695">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Singapore</w:t>
            </w:r>
          </w:p>
        </w:tc>
        <w:tc>
          <w:tcPr>
            <w:tcW w:w="468" w:type="pct"/>
            <w:tcBorders>
              <w:top w:val="nil"/>
              <w:left w:val="nil"/>
              <w:bottom w:val="nil"/>
              <w:right w:val="nil"/>
            </w:tcBorders>
            <w:shd w:val="clear" w:color="auto" w:fill="auto"/>
            <w:noWrap/>
            <w:vAlign w:val="bottom"/>
            <w:hideMark/>
          </w:tcPr>
          <w:p w14:paraId="00AA01DC"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4.4512</w:t>
            </w:r>
          </w:p>
        </w:tc>
        <w:tc>
          <w:tcPr>
            <w:tcW w:w="468" w:type="pct"/>
            <w:tcBorders>
              <w:top w:val="nil"/>
              <w:left w:val="nil"/>
              <w:bottom w:val="nil"/>
              <w:right w:val="nil"/>
            </w:tcBorders>
            <w:shd w:val="clear" w:color="auto" w:fill="auto"/>
            <w:noWrap/>
            <w:vAlign w:val="bottom"/>
            <w:hideMark/>
          </w:tcPr>
          <w:p w14:paraId="15160D0C"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4.6052</w:t>
            </w:r>
          </w:p>
        </w:tc>
        <w:tc>
          <w:tcPr>
            <w:tcW w:w="468" w:type="pct"/>
            <w:tcBorders>
              <w:top w:val="nil"/>
              <w:left w:val="nil"/>
              <w:bottom w:val="nil"/>
              <w:right w:val="nil"/>
            </w:tcBorders>
            <w:shd w:val="clear" w:color="auto" w:fill="auto"/>
            <w:noWrap/>
            <w:vAlign w:val="bottom"/>
            <w:hideMark/>
          </w:tcPr>
          <w:p w14:paraId="09FF3AB7"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4.4931</w:t>
            </w:r>
          </w:p>
        </w:tc>
        <w:tc>
          <w:tcPr>
            <w:tcW w:w="468" w:type="pct"/>
            <w:tcBorders>
              <w:top w:val="nil"/>
              <w:left w:val="nil"/>
              <w:bottom w:val="nil"/>
              <w:right w:val="nil"/>
            </w:tcBorders>
            <w:shd w:val="clear" w:color="auto" w:fill="auto"/>
            <w:noWrap/>
            <w:vAlign w:val="bottom"/>
            <w:hideMark/>
          </w:tcPr>
          <w:p w14:paraId="1F7C23AF"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4.6052</w:t>
            </w:r>
          </w:p>
        </w:tc>
        <w:tc>
          <w:tcPr>
            <w:tcW w:w="468" w:type="pct"/>
            <w:tcBorders>
              <w:top w:val="nil"/>
              <w:left w:val="nil"/>
              <w:bottom w:val="nil"/>
              <w:right w:val="nil"/>
            </w:tcBorders>
            <w:shd w:val="clear" w:color="auto" w:fill="auto"/>
            <w:noWrap/>
            <w:vAlign w:val="bottom"/>
          </w:tcPr>
          <w:p w14:paraId="7871BE4F"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NA</w:t>
            </w:r>
          </w:p>
        </w:tc>
        <w:tc>
          <w:tcPr>
            <w:tcW w:w="468" w:type="pct"/>
            <w:tcBorders>
              <w:top w:val="nil"/>
              <w:left w:val="nil"/>
              <w:bottom w:val="nil"/>
              <w:right w:val="nil"/>
            </w:tcBorders>
            <w:shd w:val="clear" w:color="auto" w:fill="auto"/>
            <w:noWrap/>
            <w:vAlign w:val="bottom"/>
            <w:hideMark/>
          </w:tcPr>
          <w:p w14:paraId="3E9EDB11"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4.3340</w:t>
            </w:r>
          </w:p>
        </w:tc>
        <w:tc>
          <w:tcPr>
            <w:tcW w:w="468" w:type="pct"/>
            <w:tcBorders>
              <w:top w:val="nil"/>
              <w:left w:val="nil"/>
              <w:bottom w:val="nil"/>
              <w:right w:val="nil"/>
            </w:tcBorders>
            <w:shd w:val="clear" w:color="auto" w:fill="auto"/>
            <w:noWrap/>
            <w:vAlign w:val="bottom"/>
            <w:hideMark/>
          </w:tcPr>
          <w:p w14:paraId="6F46EEDE"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4.4616</w:t>
            </w:r>
          </w:p>
        </w:tc>
        <w:tc>
          <w:tcPr>
            <w:tcW w:w="468" w:type="pct"/>
            <w:tcBorders>
              <w:top w:val="nil"/>
              <w:left w:val="nil"/>
              <w:bottom w:val="nil"/>
              <w:right w:val="nil"/>
            </w:tcBorders>
            <w:shd w:val="clear" w:color="auto" w:fill="auto"/>
            <w:noWrap/>
            <w:vAlign w:val="bottom"/>
            <w:hideMark/>
          </w:tcPr>
          <w:p w14:paraId="0F46B6BC"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0.7487</w:t>
            </w:r>
          </w:p>
        </w:tc>
        <w:tc>
          <w:tcPr>
            <w:tcW w:w="467" w:type="pct"/>
            <w:tcBorders>
              <w:top w:val="nil"/>
              <w:left w:val="nil"/>
              <w:bottom w:val="nil"/>
              <w:right w:val="nil"/>
            </w:tcBorders>
            <w:shd w:val="clear" w:color="auto" w:fill="auto"/>
            <w:noWrap/>
            <w:vAlign w:val="bottom"/>
            <w:hideMark/>
          </w:tcPr>
          <w:p w14:paraId="26DCF5FB"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0.7597</w:t>
            </w:r>
          </w:p>
        </w:tc>
      </w:tr>
      <w:tr w:rsidR="00E43480" w:rsidRPr="008573D2" w14:paraId="3E706B4F" w14:textId="77777777" w:rsidTr="007B1695">
        <w:trPr>
          <w:trHeight w:val="300"/>
          <w:jc w:val="center"/>
        </w:trPr>
        <w:tc>
          <w:tcPr>
            <w:tcW w:w="788" w:type="pct"/>
            <w:tcBorders>
              <w:top w:val="nil"/>
              <w:left w:val="nil"/>
              <w:bottom w:val="nil"/>
              <w:right w:val="nil"/>
            </w:tcBorders>
            <w:shd w:val="clear" w:color="auto" w:fill="auto"/>
            <w:noWrap/>
            <w:vAlign w:val="bottom"/>
            <w:hideMark/>
          </w:tcPr>
          <w:p w14:paraId="68D1F6B4" w14:textId="77777777" w:rsidR="00E43480" w:rsidRPr="00F82B8F" w:rsidRDefault="00E43480" w:rsidP="007B1695">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South Africa</w:t>
            </w:r>
          </w:p>
        </w:tc>
        <w:tc>
          <w:tcPr>
            <w:tcW w:w="468" w:type="pct"/>
            <w:tcBorders>
              <w:top w:val="nil"/>
              <w:left w:val="nil"/>
              <w:bottom w:val="nil"/>
              <w:right w:val="nil"/>
            </w:tcBorders>
            <w:shd w:val="clear" w:color="auto" w:fill="auto"/>
            <w:noWrap/>
            <w:vAlign w:val="bottom"/>
            <w:hideMark/>
          </w:tcPr>
          <w:p w14:paraId="59F24B61"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4.0690</w:t>
            </w:r>
          </w:p>
        </w:tc>
        <w:tc>
          <w:tcPr>
            <w:tcW w:w="468" w:type="pct"/>
            <w:tcBorders>
              <w:top w:val="nil"/>
              <w:left w:val="nil"/>
              <w:bottom w:val="nil"/>
              <w:right w:val="nil"/>
            </w:tcBorders>
            <w:shd w:val="clear" w:color="auto" w:fill="auto"/>
            <w:noWrap/>
            <w:vAlign w:val="bottom"/>
            <w:hideMark/>
          </w:tcPr>
          <w:p w14:paraId="3F42A8F9"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4.3232</w:t>
            </w:r>
          </w:p>
        </w:tc>
        <w:tc>
          <w:tcPr>
            <w:tcW w:w="468" w:type="pct"/>
            <w:tcBorders>
              <w:top w:val="nil"/>
              <w:left w:val="nil"/>
              <w:bottom w:val="nil"/>
              <w:right w:val="nil"/>
            </w:tcBorders>
            <w:shd w:val="clear" w:color="auto" w:fill="auto"/>
            <w:noWrap/>
            <w:vAlign w:val="bottom"/>
            <w:hideMark/>
          </w:tcPr>
          <w:p w14:paraId="7B591F09"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4.0656</w:t>
            </w:r>
          </w:p>
        </w:tc>
        <w:tc>
          <w:tcPr>
            <w:tcW w:w="468" w:type="pct"/>
            <w:tcBorders>
              <w:top w:val="nil"/>
              <w:left w:val="nil"/>
              <w:bottom w:val="nil"/>
              <w:right w:val="nil"/>
            </w:tcBorders>
            <w:shd w:val="clear" w:color="auto" w:fill="auto"/>
            <w:noWrap/>
            <w:vAlign w:val="bottom"/>
            <w:hideMark/>
          </w:tcPr>
          <w:p w14:paraId="2508A085"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4.0883</w:t>
            </w:r>
          </w:p>
        </w:tc>
        <w:tc>
          <w:tcPr>
            <w:tcW w:w="468" w:type="pct"/>
            <w:tcBorders>
              <w:top w:val="nil"/>
              <w:left w:val="nil"/>
              <w:bottom w:val="nil"/>
              <w:right w:val="nil"/>
            </w:tcBorders>
            <w:shd w:val="clear" w:color="auto" w:fill="auto"/>
            <w:noWrap/>
            <w:vAlign w:val="bottom"/>
          </w:tcPr>
          <w:p w14:paraId="5702D8B8"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4.2338</w:t>
            </w:r>
          </w:p>
        </w:tc>
        <w:tc>
          <w:tcPr>
            <w:tcW w:w="468" w:type="pct"/>
            <w:tcBorders>
              <w:top w:val="nil"/>
              <w:left w:val="nil"/>
              <w:bottom w:val="nil"/>
              <w:right w:val="nil"/>
            </w:tcBorders>
            <w:shd w:val="clear" w:color="auto" w:fill="auto"/>
            <w:noWrap/>
            <w:vAlign w:val="bottom"/>
            <w:hideMark/>
          </w:tcPr>
          <w:p w14:paraId="2340F2D9"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2.2903</w:t>
            </w:r>
          </w:p>
        </w:tc>
        <w:tc>
          <w:tcPr>
            <w:tcW w:w="468" w:type="pct"/>
            <w:tcBorders>
              <w:top w:val="nil"/>
              <w:left w:val="nil"/>
              <w:bottom w:val="nil"/>
              <w:right w:val="nil"/>
            </w:tcBorders>
            <w:shd w:val="clear" w:color="auto" w:fill="auto"/>
            <w:noWrap/>
            <w:vAlign w:val="bottom"/>
            <w:hideMark/>
          </w:tcPr>
          <w:p w14:paraId="0DB126CF"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4.0577</w:t>
            </w:r>
          </w:p>
        </w:tc>
        <w:tc>
          <w:tcPr>
            <w:tcW w:w="468" w:type="pct"/>
            <w:tcBorders>
              <w:top w:val="nil"/>
              <w:left w:val="nil"/>
              <w:bottom w:val="nil"/>
              <w:right w:val="nil"/>
            </w:tcBorders>
            <w:shd w:val="clear" w:color="auto" w:fill="auto"/>
            <w:noWrap/>
            <w:vAlign w:val="bottom"/>
            <w:hideMark/>
          </w:tcPr>
          <w:p w14:paraId="602A7A9C"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0.6267</w:t>
            </w:r>
          </w:p>
        </w:tc>
        <w:tc>
          <w:tcPr>
            <w:tcW w:w="467" w:type="pct"/>
            <w:tcBorders>
              <w:top w:val="nil"/>
              <w:left w:val="nil"/>
              <w:bottom w:val="nil"/>
              <w:right w:val="nil"/>
            </w:tcBorders>
            <w:shd w:val="clear" w:color="auto" w:fill="auto"/>
            <w:noWrap/>
            <w:vAlign w:val="bottom"/>
            <w:hideMark/>
          </w:tcPr>
          <w:p w14:paraId="58AEA157"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0.7386</w:t>
            </w:r>
          </w:p>
        </w:tc>
      </w:tr>
      <w:tr w:rsidR="00E43480" w:rsidRPr="008573D2" w14:paraId="6766E159" w14:textId="77777777" w:rsidTr="007B1695">
        <w:trPr>
          <w:trHeight w:val="300"/>
          <w:jc w:val="center"/>
        </w:trPr>
        <w:tc>
          <w:tcPr>
            <w:tcW w:w="788" w:type="pct"/>
            <w:tcBorders>
              <w:top w:val="nil"/>
              <w:left w:val="nil"/>
              <w:bottom w:val="nil"/>
              <w:right w:val="nil"/>
            </w:tcBorders>
            <w:shd w:val="clear" w:color="auto" w:fill="auto"/>
            <w:noWrap/>
            <w:vAlign w:val="bottom"/>
            <w:hideMark/>
          </w:tcPr>
          <w:p w14:paraId="79D19455" w14:textId="77777777" w:rsidR="00E43480" w:rsidRPr="00F82B8F" w:rsidRDefault="00E43480" w:rsidP="007B1695">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South Korea</w:t>
            </w:r>
          </w:p>
        </w:tc>
        <w:tc>
          <w:tcPr>
            <w:tcW w:w="468" w:type="pct"/>
            <w:tcBorders>
              <w:top w:val="nil"/>
              <w:left w:val="nil"/>
              <w:bottom w:val="nil"/>
              <w:right w:val="nil"/>
            </w:tcBorders>
            <w:shd w:val="clear" w:color="auto" w:fill="auto"/>
            <w:noWrap/>
            <w:vAlign w:val="bottom"/>
            <w:hideMark/>
          </w:tcPr>
          <w:p w14:paraId="78346A86"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4.1304</w:t>
            </w:r>
          </w:p>
        </w:tc>
        <w:tc>
          <w:tcPr>
            <w:tcW w:w="468" w:type="pct"/>
            <w:tcBorders>
              <w:top w:val="nil"/>
              <w:left w:val="nil"/>
              <w:bottom w:val="nil"/>
              <w:right w:val="nil"/>
            </w:tcBorders>
            <w:shd w:val="clear" w:color="auto" w:fill="auto"/>
            <w:noWrap/>
            <w:vAlign w:val="bottom"/>
            <w:hideMark/>
          </w:tcPr>
          <w:p w14:paraId="0DE79B62"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4.3528</w:t>
            </w:r>
          </w:p>
        </w:tc>
        <w:tc>
          <w:tcPr>
            <w:tcW w:w="468" w:type="pct"/>
            <w:tcBorders>
              <w:top w:val="nil"/>
              <w:left w:val="nil"/>
              <w:bottom w:val="nil"/>
              <w:right w:val="nil"/>
            </w:tcBorders>
            <w:shd w:val="clear" w:color="auto" w:fill="auto"/>
            <w:noWrap/>
            <w:vAlign w:val="bottom"/>
            <w:hideMark/>
          </w:tcPr>
          <w:p w14:paraId="0940A618"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4.2808</w:t>
            </w:r>
          </w:p>
        </w:tc>
        <w:tc>
          <w:tcPr>
            <w:tcW w:w="468" w:type="pct"/>
            <w:tcBorders>
              <w:top w:val="nil"/>
              <w:left w:val="nil"/>
              <w:bottom w:val="nil"/>
              <w:right w:val="nil"/>
            </w:tcBorders>
            <w:shd w:val="clear" w:color="auto" w:fill="auto"/>
            <w:noWrap/>
            <w:vAlign w:val="bottom"/>
            <w:hideMark/>
          </w:tcPr>
          <w:p w14:paraId="10308FA2"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4.5379</w:t>
            </w:r>
          </w:p>
        </w:tc>
        <w:tc>
          <w:tcPr>
            <w:tcW w:w="468" w:type="pct"/>
            <w:tcBorders>
              <w:top w:val="nil"/>
              <w:left w:val="nil"/>
              <w:bottom w:val="nil"/>
              <w:right w:val="nil"/>
            </w:tcBorders>
            <w:shd w:val="clear" w:color="auto" w:fill="auto"/>
            <w:noWrap/>
            <w:vAlign w:val="bottom"/>
          </w:tcPr>
          <w:p w14:paraId="3202F412"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3.9535</w:t>
            </w:r>
          </w:p>
        </w:tc>
        <w:tc>
          <w:tcPr>
            <w:tcW w:w="468" w:type="pct"/>
            <w:tcBorders>
              <w:top w:val="nil"/>
              <w:left w:val="nil"/>
              <w:bottom w:val="nil"/>
              <w:right w:val="nil"/>
            </w:tcBorders>
            <w:shd w:val="clear" w:color="auto" w:fill="auto"/>
            <w:noWrap/>
            <w:vAlign w:val="bottom"/>
            <w:hideMark/>
          </w:tcPr>
          <w:p w14:paraId="365A358D"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3.4530</w:t>
            </w:r>
          </w:p>
        </w:tc>
        <w:tc>
          <w:tcPr>
            <w:tcW w:w="468" w:type="pct"/>
            <w:tcBorders>
              <w:top w:val="nil"/>
              <w:left w:val="nil"/>
              <w:bottom w:val="nil"/>
              <w:right w:val="nil"/>
            </w:tcBorders>
            <w:shd w:val="clear" w:color="auto" w:fill="auto"/>
            <w:noWrap/>
            <w:vAlign w:val="bottom"/>
            <w:hideMark/>
          </w:tcPr>
          <w:p w14:paraId="3DC521FD"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4.4327</w:t>
            </w:r>
          </w:p>
        </w:tc>
        <w:tc>
          <w:tcPr>
            <w:tcW w:w="468" w:type="pct"/>
            <w:tcBorders>
              <w:top w:val="nil"/>
              <w:left w:val="nil"/>
              <w:bottom w:val="nil"/>
              <w:right w:val="nil"/>
            </w:tcBorders>
            <w:shd w:val="clear" w:color="auto" w:fill="auto"/>
            <w:noWrap/>
            <w:vAlign w:val="bottom"/>
            <w:hideMark/>
          </w:tcPr>
          <w:p w14:paraId="4EB5B07D"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0.8685</w:t>
            </w:r>
          </w:p>
        </w:tc>
        <w:tc>
          <w:tcPr>
            <w:tcW w:w="467" w:type="pct"/>
            <w:tcBorders>
              <w:top w:val="nil"/>
              <w:left w:val="nil"/>
              <w:bottom w:val="nil"/>
              <w:right w:val="nil"/>
            </w:tcBorders>
            <w:shd w:val="clear" w:color="auto" w:fill="auto"/>
            <w:noWrap/>
            <w:vAlign w:val="bottom"/>
            <w:hideMark/>
          </w:tcPr>
          <w:p w14:paraId="2B40937D"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0.8440</w:t>
            </w:r>
          </w:p>
        </w:tc>
      </w:tr>
      <w:tr w:rsidR="00E43480" w:rsidRPr="008573D2" w14:paraId="04215B81" w14:textId="77777777" w:rsidTr="007B1695">
        <w:trPr>
          <w:trHeight w:val="300"/>
          <w:jc w:val="center"/>
        </w:trPr>
        <w:tc>
          <w:tcPr>
            <w:tcW w:w="788" w:type="pct"/>
            <w:tcBorders>
              <w:top w:val="nil"/>
              <w:left w:val="nil"/>
              <w:bottom w:val="nil"/>
              <w:right w:val="nil"/>
            </w:tcBorders>
            <w:shd w:val="clear" w:color="auto" w:fill="auto"/>
            <w:noWrap/>
            <w:vAlign w:val="bottom"/>
            <w:hideMark/>
          </w:tcPr>
          <w:p w14:paraId="70E00359" w14:textId="77777777" w:rsidR="00E43480" w:rsidRPr="00F82B8F" w:rsidRDefault="00E43480" w:rsidP="007B1695">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Spain</w:t>
            </w:r>
          </w:p>
        </w:tc>
        <w:tc>
          <w:tcPr>
            <w:tcW w:w="468" w:type="pct"/>
            <w:tcBorders>
              <w:top w:val="nil"/>
              <w:left w:val="nil"/>
              <w:bottom w:val="nil"/>
              <w:right w:val="nil"/>
            </w:tcBorders>
            <w:shd w:val="clear" w:color="auto" w:fill="auto"/>
            <w:noWrap/>
            <w:vAlign w:val="bottom"/>
            <w:hideMark/>
          </w:tcPr>
          <w:p w14:paraId="5CED5C60"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4.4402</w:t>
            </w:r>
          </w:p>
        </w:tc>
        <w:tc>
          <w:tcPr>
            <w:tcW w:w="468" w:type="pct"/>
            <w:tcBorders>
              <w:top w:val="nil"/>
              <w:left w:val="nil"/>
              <w:bottom w:val="nil"/>
              <w:right w:val="nil"/>
            </w:tcBorders>
            <w:shd w:val="clear" w:color="auto" w:fill="auto"/>
            <w:noWrap/>
            <w:vAlign w:val="bottom"/>
            <w:hideMark/>
          </w:tcPr>
          <w:p w14:paraId="18FDB036"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4.3573</w:t>
            </w:r>
          </w:p>
        </w:tc>
        <w:tc>
          <w:tcPr>
            <w:tcW w:w="468" w:type="pct"/>
            <w:tcBorders>
              <w:top w:val="nil"/>
              <w:left w:val="nil"/>
              <w:bottom w:val="nil"/>
              <w:right w:val="nil"/>
            </w:tcBorders>
            <w:shd w:val="clear" w:color="auto" w:fill="auto"/>
            <w:noWrap/>
            <w:vAlign w:val="bottom"/>
            <w:hideMark/>
          </w:tcPr>
          <w:p w14:paraId="575DB938"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4.1851</w:t>
            </w:r>
          </w:p>
        </w:tc>
        <w:tc>
          <w:tcPr>
            <w:tcW w:w="468" w:type="pct"/>
            <w:tcBorders>
              <w:top w:val="nil"/>
              <w:left w:val="nil"/>
              <w:bottom w:val="nil"/>
              <w:right w:val="nil"/>
            </w:tcBorders>
            <w:shd w:val="clear" w:color="auto" w:fill="auto"/>
            <w:noWrap/>
            <w:vAlign w:val="bottom"/>
            <w:hideMark/>
          </w:tcPr>
          <w:p w14:paraId="41977CA0"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4.5019</w:t>
            </w:r>
          </w:p>
        </w:tc>
        <w:tc>
          <w:tcPr>
            <w:tcW w:w="468" w:type="pct"/>
            <w:tcBorders>
              <w:top w:val="nil"/>
              <w:left w:val="nil"/>
              <w:bottom w:val="nil"/>
              <w:right w:val="nil"/>
            </w:tcBorders>
            <w:shd w:val="clear" w:color="auto" w:fill="auto"/>
            <w:noWrap/>
            <w:vAlign w:val="bottom"/>
          </w:tcPr>
          <w:p w14:paraId="6B94D373"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4.3020</w:t>
            </w:r>
          </w:p>
        </w:tc>
        <w:tc>
          <w:tcPr>
            <w:tcW w:w="468" w:type="pct"/>
            <w:tcBorders>
              <w:top w:val="nil"/>
              <w:left w:val="nil"/>
              <w:bottom w:val="nil"/>
              <w:right w:val="nil"/>
            </w:tcBorders>
            <w:shd w:val="clear" w:color="auto" w:fill="auto"/>
            <w:noWrap/>
            <w:vAlign w:val="bottom"/>
            <w:hideMark/>
          </w:tcPr>
          <w:p w14:paraId="4780CE00"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3.4266</w:t>
            </w:r>
          </w:p>
        </w:tc>
        <w:tc>
          <w:tcPr>
            <w:tcW w:w="468" w:type="pct"/>
            <w:tcBorders>
              <w:top w:val="nil"/>
              <w:left w:val="nil"/>
              <w:bottom w:val="nil"/>
              <w:right w:val="nil"/>
            </w:tcBorders>
            <w:shd w:val="clear" w:color="auto" w:fill="auto"/>
            <w:noWrap/>
            <w:vAlign w:val="bottom"/>
            <w:hideMark/>
          </w:tcPr>
          <w:p w14:paraId="336BAD25"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4.4076</w:t>
            </w:r>
          </w:p>
        </w:tc>
        <w:tc>
          <w:tcPr>
            <w:tcW w:w="468" w:type="pct"/>
            <w:tcBorders>
              <w:top w:val="nil"/>
              <w:left w:val="nil"/>
              <w:bottom w:val="nil"/>
              <w:right w:val="nil"/>
            </w:tcBorders>
            <w:shd w:val="clear" w:color="auto" w:fill="auto"/>
            <w:noWrap/>
            <w:vAlign w:val="bottom"/>
            <w:hideMark/>
          </w:tcPr>
          <w:p w14:paraId="44DE216F"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0.8636</w:t>
            </w:r>
          </w:p>
        </w:tc>
        <w:tc>
          <w:tcPr>
            <w:tcW w:w="467" w:type="pct"/>
            <w:tcBorders>
              <w:top w:val="nil"/>
              <w:left w:val="nil"/>
              <w:bottom w:val="nil"/>
              <w:right w:val="nil"/>
            </w:tcBorders>
            <w:shd w:val="clear" w:color="auto" w:fill="auto"/>
            <w:noWrap/>
            <w:vAlign w:val="bottom"/>
            <w:hideMark/>
          </w:tcPr>
          <w:p w14:paraId="18B5739F"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0.8736</w:t>
            </w:r>
          </w:p>
        </w:tc>
      </w:tr>
      <w:tr w:rsidR="00E43480" w:rsidRPr="008573D2" w14:paraId="37799FA7" w14:textId="77777777" w:rsidTr="007B1695">
        <w:trPr>
          <w:trHeight w:val="300"/>
          <w:jc w:val="center"/>
        </w:trPr>
        <w:tc>
          <w:tcPr>
            <w:tcW w:w="788" w:type="pct"/>
            <w:tcBorders>
              <w:top w:val="nil"/>
              <w:left w:val="nil"/>
              <w:bottom w:val="nil"/>
              <w:right w:val="nil"/>
            </w:tcBorders>
            <w:shd w:val="clear" w:color="auto" w:fill="auto"/>
            <w:noWrap/>
            <w:vAlign w:val="bottom"/>
            <w:hideMark/>
          </w:tcPr>
          <w:p w14:paraId="0EC014F2" w14:textId="77777777" w:rsidR="00E43480" w:rsidRPr="00F82B8F" w:rsidRDefault="00E43480" w:rsidP="007B1695">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Sweden</w:t>
            </w:r>
          </w:p>
        </w:tc>
        <w:tc>
          <w:tcPr>
            <w:tcW w:w="468" w:type="pct"/>
            <w:tcBorders>
              <w:top w:val="nil"/>
              <w:left w:val="nil"/>
              <w:bottom w:val="nil"/>
              <w:right w:val="nil"/>
            </w:tcBorders>
            <w:shd w:val="clear" w:color="auto" w:fill="auto"/>
            <w:noWrap/>
            <w:vAlign w:val="bottom"/>
            <w:hideMark/>
          </w:tcPr>
          <w:p w14:paraId="79F03A6A"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4.5448</w:t>
            </w:r>
          </w:p>
        </w:tc>
        <w:tc>
          <w:tcPr>
            <w:tcW w:w="468" w:type="pct"/>
            <w:tcBorders>
              <w:top w:val="nil"/>
              <w:left w:val="nil"/>
              <w:bottom w:val="nil"/>
              <w:right w:val="nil"/>
            </w:tcBorders>
            <w:shd w:val="clear" w:color="auto" w:fill="auto"/>
            <w:noWrap/>
            <w:vAlign w:val="bottom"/>
            <w:hideMark/>
          </w:tcPr>
          <w:p w14:paraId="0FFDDEAF"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4.4241</w:t>
            </w:r>
          </w:p>
        </w:tc>
        <w:tc>
          <w:tcPr>
            <w:tcW w:w="468" w:type="pct"/>
            <w:tcBorders>
              <w:top w:val="nil"/>
              <w:left w:val="nil"/>
              <w:bottom w:val="nil"/>
              <w:right w:val="nil"/>
            </w:tcBorders>
            <w:shd w:val="clear" w:color="auto" w:fill="auto"/>
            <w:noWrap/>
            <w:vAlign w:val="bottom"/>
            <w:hideMark/>
          </w:tcPr>
          <w:p w14:paraId="1954A1E3"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4.3202</w:t>
            </w:r>
          </w:p>
        </w:tc>
        <w:tc>
          <w:tcPr>
            <w:tcW w:w="468" w:type="pct"/>
            <w:tcBorders>
              <w:top w:val="nil"/>
              <w:left w:val="nil"/>
              <w:bottom w:val="nil"/>
              <w:right w:val="nil"/>
            </w:tcBorders>
            <w:shd w:val="clear" w:color="auto" w:fill="auto"/>
            <w:noWrap/>
            <w:vAlign w:val="bottom"/>
            <w:hideMark/>
          </w:tcPr>
          <w:p w14:paraId="5ED351C9"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4.4200</w:t>
            </w:r>
          </w:p>
        </w:tc>
        <w:tc>
          <w:tcPr>
            <w:tcW w:w="468" w:type="pct"/>
            <w:tcBorders>
              <w:top w:val="nil"/>
              <w:left w:val="nil"/>
              <w:bottom w:val="nil"/>
              <w:right w:val="nil"/>
            </w:tcBorders>
            <w:shd w:val="clear" w:color="auto" w:fill="auto"/>
            <w:noWrap/>
            <w:vAlign w:val="bottom"/>
          </w:tcPr>
          <w:p w14:paraId="6BF5816E"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4.3570</w:t>
            </w:r>
          </w:p>
        </w:tc>
        <w:tc>
          <w:tcPr>
            <w:tcW w:w="468" w:type="pct"/>
            <w:tcBorders>
              <w:top w:val="nil"/>
              <w:left w:val="nil"/>
              <w:bottom w:val="nil"/>
              <w:right w:val="nil"/>
            </w:tcBorders>
            <w:shd w:val="clear" w:color="auto" w:fill="auto"/>
            <w:noWrap/>
            <w:vAlign w:val="bottom"/>
            <w:hideMark/>
          </w:tcPr>
          <w:p w14:paraId="44734B00"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3.7007</w:t>
            </w:r>
          </w:p>
        </w:tc>
        <w:tc>
          <w:tcPr>
            <w:tcW w:w="468" w:type="pct"/>
            <w:tcBorders>
              <w:top w:val="nil"/>
              <w:left w:val="nil"/>
              <w:bottom w:val="nil"/>
              <w:right w:val="nil"/>
            </w:tcBorders>
            <w:shd w:val="clear" w:color="auto" w:fill="auto"/>
            <w:noWrap/>
            <w:vAlign w:val="bottom"/>
            <w:hideMark/>
          </w:tcPr>
          <w:p w14:paraId="16112A86"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4.4062</w:t>
            </w:r>
          </w:p>
        </w:tc>
        <w:tc>
          <w:tcPr>
            <w:tcW w:w="468" w:type="pct"/>
            <w:tcBorders>
              <w:top w:val="nil"/>
              <w:left w:val="nil"/>
              <w:bottom w:val="nil"/>
              <w:right w:val="nil"/>
            </w:tcBorders>
            <w:shd w:val="clear" w:color="auto" w:fill="auto"/>
            <w:noWrap/>
            <w:vAlign w:val="bottom"/>
            <w:hideMark/>
          </w:tcPr>
          <w:p w14:paraId="2B992342"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0.7088</w:t>
            </w:r>
          </w:p>
        </w:tc>
        <w:tc>
          <w:tcPr>
            <w:tcW w:w="467" w:type="pct"/>
            <w:tcBorders>
              <w:top w:val="nil"/>
              <w:left w:val="nil"/>
              <w:bottom w:val="nil"/>
              <w:right w:val="nil"/>
            </w:tcBorders>
            <w:shd w:val="clear" w:color="auto" w:fill="auto"/>
            <w:noWrap/>
            <w:vAlign w:val="bottom"/>
            <w:hideMark/>
          </w:tcPr>
          <w:p w14:paraId="2CEA66E1"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0.7475</w:t>
            </w:r>
          </w:p>
        </w:tc>
      </w:tr>
      <w:tr w:rsidR="00E43480" w:rsidRPr="008573D2" w14:paraId="031973F8" w14:textId="77777777" w:rsidTr="007B1695">
        <w:trPr>
          <w:trHeight w:val="300"/>
          <w:jc w:val="center"/>
        </w:trPr>
        <w:tc>
          <w:tcPr>
            <w:tcW w:w="788" w:type="pct"/>
            <w:tcBorders>
              <w:top w:val="nil"/>
              <w:left w:val="nil"/>
              <w:bottom w:val="nil"/>
              <w:right w:val="nil"/>
            </w:tcBorders>
            <w:shd w:val="clear" w:color="auto" w:fill="auto"/>
            <w:noWrap/>
            <w:vAlign w:val="bottom"/>
            <w:hideMark/>
          </w:tcPr>
          <w:p w14:paraId="4FEEA24F" w14:textId="77777777" w:rsidR="00E43480" w:rsidRPr="00F82B8F" w:rsidRDefault="00E43480" w:rsidP="007B1695">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Switzerland</w:t>
            </w:r>
          </w:p>
        </w:tc>
        <w:tc>
          <w:tcPr>
            <w:tcW w:w="468" w:type="pct"/>
            <w:tcBorders>
              <w:top w:val="nil"/>
              <w:left w:val="nil"/>
              <w:bottom w:val="nil"/>
              <w:right w:val="nil"/>
            </w:tcBorders>
            <w:shd w:val="clear" w:color="auto" w:fill="auto"/>
            <w:noWrap/>
            <w:vAlign w:val="bottom"/>
            <w:hideMark/>
          </w:tcPr>
          <w:p w14:paraId="10D585F9"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4.5750</w:t>
            </w:r>
          </w:p>
        </w:tc>
        <w:tc>
          <w:tcPr>
            <w:tcW w:w="468" w:type="pct"/>
            <w:tcBorders>
              <w:top w:val="nil"/>
              <w:left w:val="nil"/>
              <w:bottom w:val="nil"/>
              <w:right w:val="nil"/>
            </w:tcBorders>
            <w:shd w:val="clear" w:color="auto" w:fill="auto"/>
            <w:noWrap/>
            <w:vAlign w:val="bottom"/>
            <w:hideMark/>
          </w:tcPr>
          <w:p w14:paraId="6A8149B1"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4.1748</w:t>
            </w:r>
          </w:p>
        </w:tc>
        <w:tc>
          <w:tcPr>
            <w:tcW w:w="468" w:type="pct"/>
            <w:tcBorders>
              <w:top w:val="nil"/>
              <w:left w:val="nil"/>
              <w:bottom w:val="nil"/>
              <w:right w:val="nil"/>
            </w:tcBorders>
            <w:shd w:val="clear" w:color="auto" w:fill="auto"/>
            <w:noWrap/>
            <w:vAlign w:val="bottom"/>
            <w:hideMark/>
          </w:tcPr>
          <w:p w14:paraId="7CF4F9E4"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4.4055</w:t>
            </w:r>
          </w:p>
        </w:tc>
        <w:tc>
          <w:tcPr>
            <w:tcW w:w="468" w:type="pct"/>
            <w:tcBorders>
              <w:top w:val="nil"/>
              <w:left w:val="nil"/>
              <w:bottom w:val="nil"/>
              <w:right w:val="nil"/>
            </w:tcBorders>
            <w:shd w:val="clear" w:color="auto" w:fill="auto"/>
            <w:noWrap/>
            <w:vAlign w:val="bottom"/>
            <w:hideMark/>
          </w:tcPr>
          <w:p w14:paraId="5D23A3ED"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4.5689</w:t>
            </w:r>
          </w:p>
        </w:tc>
        <w:tc>
          <w:tcPr>
            <w:tcW w:w="468" w:type="pct"/>
            <w:tcBorders>
              <w:top w:val="nil"/>
              <w:left w:val="nil"/>
              <w:bottom w:val="nil"/>
              <w:right w:val="nil"/>
            </w:tcBorders>
            <w:shd w:val="clear" w:color="auto" w:fill="auto"/>
            <w:noWrap/>
            <w:vAlign w:val="bottom"/>
          </w:tcPr>
          <w:p w14:paraId="3B549DEE"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4.4547</w:t>
            </w:r>
          </w:p>
        </w:tc>
        <w:tc>
          <w:tcPr>
            <w:tcW w:w="468" w:type="pct"/>
            <w:tcBorders>
              <w:top w:val="nil"/>
              <w:left w:val="nil"/>
              <w:bottom w:val="nil"/>
              <w:right w:val="nil"/>
            </w:tcBorders>
            <w:shd w:val="clear" w:color="auto" w:fill="auto"/>
            <w:noWrap/>
            <w:vAlign w:val="bottom"/>
            <w:hideMark/>
          </w:tcPr>
          <w:p w14:paraId="383B7D57"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3.9143</w:t>
            </w:r>
          </w:p>
        </w:tc>
        <w:tc>
          <w:tcPr>
            <w:tcW w:w="468" w:type="pct"/>
            <w:tcBorders>
              <w:top w:val="nil"/>
              <w:left w:val="nil"/>
              <w:bottom w:val="nil"/>
              <w:right w:val="nil"/>
            </w:tcBorders>
            <w:shd w:val="clear" w:color="auto" w:fill="auto"/>
            <w:noWrap/>
            <w:vAlign w:val="bottom"/>
            <w:hideMark/>
          </w:tcPr>
          <w:p w14:paraId="5D445030"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4.4327</w:t>
            </w:r>
          </w:p>
        </w:tc>
        <w:tc>
          <w:tcPr>
            <w:tcW w:w="468" w:type="pct"/>
            <w:tcBorders>
              <w:top w:val="nil"/>
              <w:left w:val="nil"/>
              <w:bottom w:val="nil"/>
              <w:right w:val="nil"/>
            </w:tcBorders>
            <w:shd w:val="clear" w:color="auto" w:fill="auto"/>
            <w:noWrap/>
            <w:vAlign w:val="bottom"/>
            <w:hideMark/>
          </w:tcPr>
          <w:p w14:paraId="20C53C9F"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0.9312</w:t>
            </w:r>
          </w:p>
        </w:tc>
        <w:tc>
          <w:tcPr>
            <w:tcW w:w="467" w:type="pct"/>
            <w:tcBorders>
              <w:top w:val="nil"/>
              <w:left w:val="nil"/>
              <w:bottom w:val="nil"/>
              <w:right w:val="nil"/>
            </w:tcBorders>
            <w:shd w:val="clear" w:color="auto" w:fill="auto"/>
            <w:noWrap/>
            <w:vAlign w:val="bottom"/>
            <w:hideMark/>
          </w:tcPr>
          <w:p w14:paraId="49B36AEA"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0.9684</w:t>
            </w:r>
          </w:p>
        </w:tc>
      </w:tr>
      <w:tr w:rsidR="00E43480" w:rsidRPr="008573D2" w14:paraId="0957DC02" w14:textId="77777777" w:rsidTr="007B1695">
        <w:trPr>
          <w:trHeight w:val="300"/>
          <w:jc w:val="center"/>
        </w:trPr>
        <w:tc>
          <w:tcPr>
            <w:tcW w:w="788" w:type="pct"/>
            <w:tcBorders>
              <w:top w:val="nil"/>
              <w:left w:val="nil"/>
              <w:bottom w:val="nil"/>
              <w:right w:val="nil"/>
            </w:tcBorders>
            <w:shd w:val="clear" w:color="auto" w:fill="auto"/>
            <w:noWrap/>
            <w:vAlign w:val="bottom"/>
            <w:hideMark/>
          </w:tcPr>
          <w:p w14:paraId="0282A639" w14:textId="77777777" w:rsidR="00E43480" w:rsidRPr="00F82B8F" w:rsidRDefault="00E43480" w:rsidP="007B1695">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Taiwan</w:t>
            </w:r>
          </w:p>
        </w:tc>
        <w:tc>
          <w:tcPr>
            <w:tcW w:w="468" w:type="pct"/>
            <w:tcBorders>
              <w:top w:val="nil"/>
              <w:left w:val="nil"/>
              <w:bottom w:val="nil"/>
              <w:right w:val="nil"/>
            </w:tcBorders>
            <w:shd w:val="clear" w:color="auto" w:fill="auto"/>
            <w:noWrap/>
            <w:vAlign w:val="bottom"/>
            <w:hideMark/>
          </w:tcPr>
          <w:p w14:paraId="692F83DE"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4.0994</w:t>
            </w:r>
          </w:p>
        </w:tc>
        <w:tc>
          <w:tcPr>
            <w:tcW w:w="468" w:type="pct"/>
            <w:tcBorders>
              <w:top w:val="nil"/>
              <w:left w:val="nil"/>
              <w:bottom w:val="nil"/>
              <w:right w:val="nil"/>
            </w:tcBorders>
            <w:shd w:val="clear" w:color="auto" w:fill="auto"/>
            <w:noWrap/>
            <w:vAlign w:val="bottom"/>
            <w:hideMark/>
          </w:tcPr>
          <w:p w14:paraId="5EE2BE19"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4.4142</w:t>
            </w:r>
          </w:p>
        </w:tc>
        <w:tc>
          <w:tcPr>
            <w:tcW w:w="468" w:type="pct"/>
            <w:tcBorders>
              <w:top w:val="nil"/>
              <w:left w:val="nil"/>
              <w:bottom w:val="nil"/>
              <w:right w:val="nil"/>
            </w:tcBorders>
            <w:shd w:val="clear" w:color="auto" w:fill="auto"/>
            <w:noWrap/>
            <w:vAlign w:val="bottom"/>
            <w:hideMark/>
          </w:tcPr>
          <w:p w14:paraId="3BA3B134"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4.3477</w:t>
            </w:r>
          </w:p>
        </w:tc>
        <w:tc>
          <w:tcPr>
            <w:tcW w:w="468" w:type="pct"/>
            <w:tcBorders>
              <w:top w:val="nil"/>
              <w:left w:val="nil"/>
              <w:bottom w:val="nil"/>
              <w:right w:val="nil"/>
            </w:tcBorders>
            <w:shd w:val="clear" w:color="auto" w:fill="auto"/>
            <w:noWrap/>
            <w:vAlign w:val="bottom"/>
            <w:hideMark/>
          </w:tcPr>
          <w:p w14:paraId="11D1F5DB"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4.3871</w:t>
            </w:r>
          </w:p>
        </w:tc>
        <w:tc>
          <w:tcPr>
            <w:tcW w:w="468" w:type="pct"/>
            <w:tcBorders>
              <w:top w:val="nil"/>
              <w:left w:val="nil"/>
              <w:bottom w:val="nil"/>
              <w:right w:val="nil"/>
            </w:tcBorders>
            <w:shd w:val="clear" w:color="auto" w:fill="auto"/>
            <w:noWrap/>
            <w:vAlign w:val="bottom"/>
          </w:tcPr>
          <w:p w14:paraId="3ED17D7E"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4.2485</w:t>
            </w:r>
          </w:p>
        </w:tc>
        <w:tc>
          <w:tcPr>
            <w:tcW w:w="468" w:type="pct"/>
            <w:tcBorders>
              <w:top w:val="nil"/>
              <w:left w:val="nil"/>
              <w:bottom w:val="nil"/>
              <w:right w:val="nil"/>
            </w:tcBorders>
            <w:shd w:val="clear" w:color="auto" w:fill="auto"/>
            <w:noWrap/>
            <w:vAlign w:val="bottom"/>
            <w:hideMark/>
          </w:tcPr>
          <w:p w14:paraId="05C827B0"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3.7053</w:t>
            </w:r>
          </w:p>
        </w:tc>
        <w:tc>
          <w:tcPr>
            <w:tcW w:w="468" w:type="pct"/>
            <w:tcBorders>
              <w:top w:val="nil"/>
              <w:left w:val="nil"/>
              <w:bottom w:val="nil"/>
              <w:right w:val="nil"/>
            </w:tcBorders>
            <w:shd w:val="clear" w:color="auto" w:fill="auto"/>
            <w:noWrap/>
            <w:vAlign w:val="bottom"/>
            <w:hideMark/>
          </w:tcPr>
          <w:p w14:paraId="6AA74767"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4.3741</w:t>
            </w:r>
          </w:p>
        </w:tc>
        <w:tc>
          <w:tcPr>
            <w:tcW w:w="468" w:type="pct"/>
            <w:tcBorders>
              <w:top w:val="nil"/>
              <w:left w:val="nil"/>
              <w:bottom w:val="nil"/>
              <w:right w:val="nil"/>
            </w:tcBorders>
            <w:shd w:val="clear" w:color="auto" w:fill="auto"/>
            <w:noWrap/>
            <w:vAlign w:val="bottom"/>
            <w:hideMark/>
          </w:tcPr>
          <w:p w14:paraId="2E6B2AA9"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NA</w:t>
            </w:r>
          </w:p>
        </w:tc>
        <w:tc>
          <w:tcPr>
            <w:tcW w:w="467" w:type="pct"/>
            <w:tcBorders>
              <w:top w:val="nil"/>
              <w:left w:val="nil"/>
              <w:bottom w:val="nil"/>
              <w:right w:val="nil"/>
            </w:tcBorders>
            <w:shd w:val="clear" w:color="auto" w:fill="auto"/>
            <w:noWrap/>
            <w:vAlign w:val="bottom"/>
            <w:hideMark/>
          </w:tcPr>
          <w:p w14:paraId="605072FA"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NA</w:t>
            </w:r>
          </w:p>
        </w:tc>
      </w:tr>
      <w:tr w:rsidR="00E43480" w:rsidRPr="008573D2" w14:paraId="704CB329" w14:textId="77777777" w:rsidTr="007B1695">
        <w:trPr>
          <w:trHeight w:val="300"/>
          <w:jc w:val="center"/>
        </w:trPr>
        <w:tc>
          <w:tcPr>
            <w:tcW w:w="788" w:type="pct"/>
            <w:tcBorders>
              <w:top w:val="nil"/>
              <w:left w:val="nil"/>
              <w:bottom w:val="nil"/>
              <w:right w:val="nil"/>
            </w:tcBorders>
            <w:shd w:val="clear" w:color="auto" w:fill="auto"/>
            <w:noWrap/>
            <w:vAlign w:val="bottom"/>
            <w:hideMark/>
          </w:tcPr>
          <w:p w14:paraId="0A9FDD85" w14:textId="77777777" w:rsidR="00E43480" w:rsidRPr="00F82B8F" w:rsidRDefault="00E43480" w:rsidP="007B1695">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Thailand</w:t>
            </w:r>
          </w:p>
        </w:tc>
        <w:tc>
          <w:tcPr>
            <w:tcW w:w="468" w:type="pct"/>
            <w:tcBorders>
              <w:top w:val="nil"/>
              <w:left w:val="nil"/>
              <w:bottom w:val="nil"/>
              <w:right w:val="nil"/>
            </w:tcBorders>
            <w:shd w:val="clear" w:color="auto" w:fill="auto"/>
            <w:noWrap/>
            <w:vAlign w:val="bottom"/>
            <w:hideMark/>
          </w:tcPr>
          <w:p w14:paraId="3201F1E9"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3.7111</w:t>
            </w:r>
          </w:p>
        </w:tc>
        <w:tc>
          <w:tcPr>
            <w:tcW w:w="468" w:type="pct"/>
            <w:tcBorders>
              <w:top w:val="nil"/>
              <w:left w:val="nil"/>
              <w:bottom w:val="nil"/>
              <w:right w:val="nil"/>
            </w:tcBorders>
            <w:shd w:val="clear" w:color="auto" w:fill="auto"/>
            <w:noWrap/>
            <w:vAlign w:val="bottom"/>
            <w:hideMark/>
          </w:tcPr>
          <w:p w14:paraId="0FAA5323"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4.3734</w:t>
            </w:r>
          </w:p>
        </w:tc>
        <w:tc>
          <w:tcPr>
            <w:tcW w:w="468" w:type="pct"/>
            <w:tcBorders>
              <w:top w:val="nil"/>
              <w:left w:val="nil"/>
              <w:bottom w:val="nil"/>
              <w:right w:val="nil"/>
            </w:tcBorders>
            <w:shd w:val="clear" w:color="auto" w:fill="auto"/>
            <w:noWrap/>
            <w:vAlign w:val="bottom"/>
            <w:hideMark/>
          </w:tcPr>
          <w:p w14:paraId="144410E0"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4.2239</w:t>
            </w:r>
          </w:p>
        </w:tc>
        <w:tc>
          <w:tcPr>
            <w:tcW w:w="468" w:type="pct"/>
            <w:tcBorders>
              <w:top w:val="nil"/>
              <w:left w:val="nil"/>
              <w:bottom w:val="nil"/>
              <w:right w:val="nil"/>
            </w:tcBorders>
            <w:shd w:val="clear" w:color="auto" w:fill="auto"/>
            <w:noWrap/>
            <w:vAlign w:val="bottom"/>
            <w:hideMark/>
          </w:tcPr>
          <w:p w14:paraId="12482CD5"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4.1142</w:t>
            </w:r>
          </w:p>
        </w:tc>
        <w:tc>
          <w:tcPr>
            <w:tcW w:w="468" w:type="pct"/>
            <w:tcBorders>
              <w:top w:val="nil"/>
              <w:left w:val="nil"/>
              <w:bottom w:val="nil"/>
              <w:right w:val="nil"/>
            </w:tcBorders>
            <w:shd w:val="clear" w:color="auto" w:fill="auto"/>
            <w:noWrap/>
            <w:vAlign w:val="bottom"/>
          </w:tcPr>
          <w:p w14:paraId="75EC977B"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4.1204</w:t>
            </w:r>
          </w:p>
        </w:tc>
        <w:tc>
          <w:tcPr>
            <w:tcW w:w="468" w:type="pct"/>
            <w:tcBorders>
              <w:top w:val="nil"/>
              <w:left w:val="nil"/>
              <w:bottom w:val="nil"/>
              <w:right w:val="nil"/>
            </w:tcBorders>
            <w:shd w:val="clear" w:color="auto" w:fill="auto"/>
            <w:noWrap/>
            <w:vAlign w:val="bottom"/>
            <w:hideMark/>
          </w:tcPr>
          <w:p w14:paraId="107C3B0E"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2.6449</w:t>
            </w:r>
          </w:p>
        </w:tc>
        <w:tc>
          <w:tcPr>
            <w:tcW w:w="468" w:type="pct"/>
            <w:tcBorders>
              <w:top w:val="nil"/>
              <w:left w:val="nil"/>
              <w:bottom w:val="nil"/>
              <w:right w:val="nil"/>
            </w:tcBorders>
            <w:shd w:val="clear" w:color="auto" w:fill="auto"/>
            <w:noWrap/>
            <w:vAlign w:val="bottom"/>
            <w:hideMark/>
          </w:tcPr>
          <w:p w14:paraId="08F234D2"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4.3663</w:t>
            </w:r>
          </w:p>
        </w:tc>
        <w:tc>
          <w:tcPr>
            <w:tcW w:w="468" w:type="pct"/>
            <w:tcBorders>
              <w:top w:val="nil"/>
              <w:left w:val="nil"/>
              <w:bottom w:val="nil"/>
              <w:right w:val="nil"/>
            </w:tcBorders>
            <w:shd w:val="clear" w:color="auto" w:fill="auto"/>
            <w:noWrap/>
            <w:vAlign w:val="bottom"/>
            <w:hideMark/>
          </w:tcPr>
          <w:p w14:paraId="4EE120A0"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0.6991</w:t>
            </w:r>
          </w:p>
        </w:tc>
        <w:tc>
          <w:tcPr>
            <w:tcW w:w="467" w:type="pct"/>
            <w:tcBorders>
              <w:top w:val="nil"/>
              <w:left w:val="nil"/>
              <w:bottom w:val="nil"/>
              <w:right w:val="nil"/>
            </w:tcBorders>
            <w:shd w:val="clear" w:color="auto" w:fill="auto"/>
            <w:noWrap/>
            <w:vAlign w:val="bottom"/>
            <w:hideMark/>
          </w:tcPr>
          <w:p w14:paraId="2DAD66C7"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0.7379</w:t>
            </w:r>
          </w:p>
        </w:tc>
      </w:tr>
      <w:tr w:rsidR="00E43480" w:rsidRPr="008573D2" w14:paraId="7FC2223B" w14:textId="77777777" w:rsidTr="007B1695">
        <w:trPr>
          <w:trHeight w:val="300"/>
          <w:jc w:val="center"/>
        </w:trPr>
        <w:tc>
          <w:tcPr>
            <w:tcW w:w="788" w:type="pct"/>
            <w:tcBorders>
              <w:top w:val="nil"/>
              <w:left w:val="nil"/>
              <w:bottom w:val="nil"/>
              <w:right w:val="nil"/>
            </w:tcBorders>
            <w:shd w:val="clear" w:color="auto" w:fill="auto"/>
            <w:noWrap/>
            <w:vAlign w:val="bottom"/>
            <w:hideMark/>
          </w:tcPr>
          <w:p w14:paraId="4982280D" w14:textId="77777777" w:rsidR="00E43480" w:rsidRPr="00F82B8F" w:rsidRDefault="00E43480" w:rsidP="007B1695">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Turkey</w:t>
            </w:r>
          </w:p>
        </w:tc>
        <w:tc>
          <w:tcPr>
            <w:tcW w:w="468" w:type="pct"/>
            <w:tcBorders>
              <w:top w:val="nil"/>
              <w:left w:val="nil"/>
              <w:bottom w:val="nil"/>
              <w:right w:val="nil"/>
            </w:tcBorders>
            <w:shd w:val="clear" w:color="auto" w:fill="auto"/>
            <w:noWrap/>
            <w:vAlign w:val="bottom"/>
            <w:hideMark/>
          </w:tcPr>
          <w:p w14:paraId="214753D1"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3.8285</w:t>
            </w:r>
          </w:p>
        </w:tc>
        <w:tc>
          <w:tcPr>
            <w:tcW w:w="468" w:type="pct"/>
            <w:tcBorders>
              <w:top w:val="nil"/>
              <w:left w:val="nil"/>
              <w:bottom w:val="nil"/>
              <w:right w:val="nil"/>
            </w:tcBorders>
            <w:shd w:val="clear" w:color="auto" w:fill="auto"/>
            <w:noWrap/>
            <w:vAlign w:val="bottom"/>
            <w:hideMark/>
          </w:tcPr>
          <w:p w14:paraId="48672B47"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4.2734</w:t>
            </w:r>
          </w:p>
        </w:tc>
        <w:tc>
          <w:tcPr>
            <w:tcW w:w="468" w:type="pct"/>
            <w:tcBorders>
              <w:top w:val="nil"/>
              <w:left w:val="nil"/>
              <w:bottom w:val="nil"/>
              <w:right w:val="nil"/>
            </w:tcBorders>
            <w:shd w:val="clear" w:color="auto" w:fill="auto"/>
            <w:noWrap/>
            <w:vAlign w:val="bottom"/>
            <w:hideMark/>
          </w:tcPr>
          <w:p w14:paraId="38F41F08"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4.1682</w:t>
            </w:r>
          </w:p>
        </w:tc>
        <w:tc>
          <w:tcPr>
            <w:tcW w:w="468" w:type="pct"/>
            <w:tcBorders>
              <w:top w:val="nil"/>
              <w:left w:val="nil"/>
              <w:bottom w:val="nil"/>
              <w:right w:val="nil"/>
            </w:tcBorders>
            <w:shd w:val="clear" w:color="auto" w:fill="auto"/>
            <w:noWrap/>
            <w:vAlign w:val="bottom"/>
            <w:hideMark/>
          </w:tcPr>
          <w:p w14:paraId="08574064"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4.1841</w:t>
            </w:r>
          </w:p>
        </w:tc>
        <w:tc>
          <w:tcPr>
            <w:tcW w:w="468" w:type="pct"/>
            <w:tcBorders>
              <w:top w:val="nil"/>
              <w:left w:val="nil"/>
              <w:bottom w:val="nil"/>
              <w:right w:val="nil"/>
            </w:tcBorders>
            <w:shd w:val="clear" w:color="auto" w:fill="auto"/>
            <w:noWrap/>
            <w:vAlign w:val="bottom"/>
          </w:tcPr>
          <w:p w14:paraId="164DDE93"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4.4440</w:t>
            </w:r>
          </w:p>
        </w:tc>
        <w:tc>
          <w:tcPr>
            <w:tcW w:w="468" w:type="pct"/>
            <w:tcBorders>
              <w:top w:val="nil"/>
              <w:left w:val="nil"/>
              <w:bottom w:val="nil"/>
              <w:right w:val="nil"/>
            </w:tcBorders>
            <w:shd w:val="clear" w:color="auto" w:fill="auto"/>
            <w:noWrap/>
            <w:vAlign w:val="bottom"/>
            <w:hideMark/>
          </w:tcPr>
          <w:p w14:paraId="44606141"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3.0571</w:t>
            </w:r>
          </w:p>
        </w:tc>
        <w:tc>
          <w:tcPr>
            <w:tcW w:w="468" w:type="pct"/>
            <w:tcBorders>
              <w:top w:val="nil"/>
              <w:left w:val="nil"/>
              <w:bottom w:val="nil"/>
              <w:right w:val="nil"/>
            </w:tcBorders>
            <w:shd w:val="clear" w:color="auto" w:fill="auto"/>
            <w:noWrap/>
            <w:vAlign w:val="bottom"/>
            <w:hideMark/>
          </w:tcPr>
          <w:p w14:paraId="407FC8C4"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4.3046</w:t>
            </w:r>
          </w:p>
        </w:tc>
        <w:tc>
          <w:tcPr>
            <w:tcW w:w="468" w:type="pct"/>
            <w:tcBorders>
              <w:top w:val="nil"/>
              <w:left w:val="nil"/>
              <w:bottom w:val="nil"/>
              <w:right w:val="nil"/>
            </w:tcBorders>
            <w:shd w:val="clear" w:color="auto" w:fill="auto"/>
            <w:noWrap/>
            <w:vAlign w:val="bottom"/>
            <w:hideMark/>
          </w:tcPr>
          <w:p w14:paraId="0145CBFE"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0.5160</w:t>
            </w:r>
          </w:p>
        </w:tc>
        <w:tc>
          <w:tcPr>
            <w:tcW w:w="467" w:type="pct"/>
            <w:tcBorders>
              <w:top w:val="nil"/>
              <w:left w:val="nil"/>
              <w:bottom w:val="nil"/>
              <w:right w:val="nil"/>
            </w:tcBorders>
            <w:shd w:val="clear" w:color="auto" w:fill="auto"/>
            <w:noWrap/>
            <w:vAlign w:val="bottom"/>
            <w:hideMark/>
          </w:tcPr>
          <w:p w14:paraId="6DAF7902"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0.4793</w:t>
            </w:r>
          </w:p>
        </w:tc>
      </w:tr>
      <w:tr w:rsidR="00E43480" w:rsidRPr="008573D2" w14:paraId="2A891F1F" w14:textId="77777777" w:rsidTr="007B1695">
        <w:trPr>
          <w:trHeight w:val="300"/>
          <w:jc w:val="center"/>
        </w:trPr>
        <w:tc>
          <w:tcPr>
            <w:tcW w:w="788" w:type="pct"/>
            <w:tcBorders>
              <w:top w:val="nil"/>
              <w:left w:val="nil"/>
              <w:bottom w:val="nil"/>
              <w:right w:val="nil"/>
            </w:tcBorders>
            <w:shd w:val="clear" w:color="auto" w:fill="auto"/>
            <w:noWrap/>
            <w:vAlign w:val="bottom"/>
            <w:hideMark/>
          </w:tcPr>
          <w:p w14:paraId="55A83B60" w14:textId="77777777" w:rsidR="00E43480" w:rsidRPr="00F82B8F" w:rsidRDefault="00E43480" w:rsidP="007B1695">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UK</w:t>
            </w:r>
          </w:p>
        </w:tc>
        <w:tc>
          <w:tcPr>
            <w:tcW w:w="468" w:type="pct"/>
            <w:tcBorders>
              <w:top w:val="nil"/>
              <w:left w:val="nil"/>
              <w:bottom w:val="nil"/>
              <w:right w:val="nil"/>
            </w:tcBorders>
            <w:shd w:val="clear" w:color="auto" w:fill="auto"/>
            <w:noWrap/>
            <w:vAlign w:val="bottom"/>
            <w:hideMark/>
          </w:tcPr>
          <w:p w14:paraId="31FABB27"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4.5111</w:t>
            </w:r>
          </w:p>
        </w:tc>
        <w:tc>
          <w:tcPr>
            <w:tcW w:w="468" w:type="pct"/>
            <w:tcBorders>
              <w:top w:val="nil"/>
              <w:left w:val="nil"/>
              <w:bottom w:val="nil"/>
              <w:right w:val="nil"/>
            </w:tcBorders>
            <w:shd w:val="clear" w:color="auto" w:fill="auto"/>
            <w:noWrap/>
            <w:vAlign w:val="bottom"/>
            <w:hideMark/>
          </w:tcPr>
          <w:p w14:paraId="7AEA8282"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4.4979</w:t>
            </w:r>
          </w:p>
        </w:tc>
        <w:tc>
          <w:tcPr>
            <w:tcW w:w="468" w:type="pct"/>
            <w:tcBorders>
              <w:top w:val="nil"/>
              <w:left w:val="nil"/>
              <w:bottom w:val="nil"/>
              <w:right w:val="nil"/>
            </w:tcBorders>
            <w:shd w:val="clear" w:color="auto" w:fill="auto"/>
            <w:noWrap/>
            <w:vAlign w:val="bottom"/>
            <w:hideMark/>
          </w:tcPr>
          <w:p w14:paraId="119DB00A"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4.3682</w:t>
            </w:r>
          </w:p>
        </w:tc>
        <w:tc>
          <w:tcPr>
            <w:tcW w:w="468" w:type="pct"/>
            <w:tcBorders>
              <w:top w:val="nil"/>
              <w:left w:val="nil"/>
              <w:bottom w:val="nil"/>
              <w:right w:val="nil"/>
            </w:tcBorders>
            <w:shd w:val="clear" w:color="auto" w:fill="auto"/>
            <w:noWrap/>
            <w:vAlign w:val="bottom"/>
            <w:hideMark/>
          </w:tcPr>
          <w:p w14:paraId="69771804"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4.5006</w:t>
            </w:r>
          </w:p>
        </w:tc>
        <w:tc>
          <w:tcPr>
            <w:tcW w:w="468" w:type="pct"/>
            <w:tcBorders>
              <w:top w:val="nil"/>
              <w:left w:val="nil"/>
              <w:bottom w:val="nil"/>
              <w:right w:val="nil"/>
            </w:tcBorders>
            <w:shd w:val="clear" w:color="auto" w:fill="auto"/>
            <w:noWrap/>
            <w:vAlign w:val="bottom"/>
          </w:tcPr>
          <w:p w14:paraId="18E14DFD"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4.3959</w:t>
            </w:r>
          </w:p>
        </w:tc>
        <w:tc>
          <w:tcPr>
            <w:tcW w:w="468" w:type="pct"/>
            <w:tcBorders>
              <w:top w:val="nil"/>
              <w:left w:val="nil"/>
              <w:bottom w:val="nil"/>
              <w:right w:val="nil"/>
            </w:tcBorders>
            <w:shd w:val="clear" w:color="auto" w:fill="auto"/>
            <w:noWrap/>
            <w:vAlign w:val="bottom"/>
            <w:hideMark/>
          </w:tcPr>
          <w:p w14:paraId="1679920B"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3.5529</w:t>
            </w:r>
          </w:p>
        </w:tc>
        <w:tc>
          <w:tcPr>
            <w:tcW w:w="468" w:type="pct"/>
            <w:tcBorders>
              <w:top w:val="nil"/>
              <w:left w:val="nil"/>
              <w:bottom w:val="nil"/>
              <w:right w:val="nil"/>
            </w:tcBorders>
            <w:shd w:val="clear" w:color="auto" w:fill="auto"/>
            <w:noWrap/>
            <w:vAlign w:val="bottom"/>
            <w:hideMark/>
          </w:tcPr>
          <w:p w14:paraId="50E46D23"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4.3888</w:t>
            </w:r>
          </w:p>
        </w:tc>
        <w:tc>
          <w:tcPr>
            <w:tcW w:w="468" w:type="pct"/>
            <w:tcBorders>
              <w:top w:val="nil"/>
              <w:left w:val="nil"/>
              <w:bottom w:val="nil"/>
              <w:right w:val="nil"/>
            </w:tcBorders>
            <w:shd w:val="clear" w:color="auto" w:fill="auto"/>
            <w:noWrap/>
            <w:vAlign w:val="bottom"/>
            <w:hideMark/>
          </w:tcPr>
          <w:p w14:paraId="663BB9F2"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0.8525</w:t>
            </w:r>
          </w:p>
        </w:tc>
        <w:tc>
          <w:tcPr>
            <w:tcW w:w="467" w:type="pct"/>
            <w:tcBorders>
              <w:top w:val="nil"/>
              <w:left w:val="nil"/>
              <w:bottom w:val="nil"/>
              <w:right w:val="nil"/>
            </w:tcBorders>
            <w:shd w:val="clear" w:color="auto" w:fill="auto"/>
            <w:noWrap/>
            <w:vAlign w:val="bottom"/>
            <w:hideMark/>
          </w:tcPr>
          <w:p w14:paraId="1C5957C7"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0.9032</w:t>
            </w:r>
          </w:p>
        </w:tc>
      </w:tr>
      <w:tr w:rsidR="00E43480" w:rsidRPr="008573D2" w14:paraId="0C9E61D9" w14:textId="77777777" w:rsidTr="007B1695">
        <w:trPr>
          <w:trHeight w:val="300"/>
          <w:jc w:val="center"/>
        </w:trPr>
        <w:tc>
          <w:tcPr>
            <w:tcW w:w="788" w:type="pct"/>
            <w:tcBorders>
              <w:top w:val="nil"/>
              <w:left w:val="nil"/>
              <w:right w:val="nil"/>
            </w:tcBorders>
            <w:shd w:val="clear" w:color="auto" w:fill="auto"/>
            <w:noWrap/>
            <w:vAlign w:val="bottom"/>
            <w:hideMark/>
          </w:tcPr>
          <w:p w14:paraId="697BBA15" w14:textId="77777777" w:rsidR="00E43480" w:rsidRPr="00F82B8F" w:rsidRDefault="00E43480" w:rsidP="007B1695">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USA</w:t>
            </w:r>
          </w:p>
        </w:tc>
        <w:tc>
          <w:tcPr>
            <w:tcW w:w="468" w:type="pct"/>
            <w:tcBorders>
              <w:top w:val="nil"/>
              <w:left w:val="nil"/>
              <w:right w:val="nil"/>
            </w:tcBorders>
            <w:shd w:val="clear" w:color="auto" w:fill="auto"/>
            <w:noWrap/>
            <w:vAlign w:val="bottom"/>
            <w:hideMark/>
          </w:tcPr>
          <w:p w14:paraId="4A9E9EF4"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4.5110</w:t>
            </w:r>
          </w:p>
        </w:tc>
        <w:tc>
          <w:tcPr>
            <w:tcW w:w="468" w:type="pct"/>
            <w:tcBorders>
              <w:top w:val="nil"/>
              <w:left w:val="nil"/>
              <w:right w:val="nil"/>
            </w:tcBorders>
            <w:shd w:val="clear" w:color="auto" w:fill="auto"/>
            <w:noWrap/>
            <w:vAlign w:val="bottom"/>
            <w:hideMark/>
          </w:tcPr>
          <w:p w14:paraId="4244E2FD"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4.3635</w:t>
            </w:r>
          </w:p>
        </w:tc>
        <w:tc>
          <w:tcPr>
            <w:tcW w:w="468" w:type="pct"/>
            <w:tcBorders>
              <w:top w:val="nil"/>
              <w:left w:val="nil"/>
              <w:right w:val="nil"/>
            </w:tcBorders>
            <w:shd w:val="clear" w:color="auto" w:fill="auto"/>
            <w:noWrap/>
            <w:vAlign w:val="bottom"/>
            <w:hideMark/>
          </w:tcPr>
          <w:p w14:paraId="67C4D069"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4.3412</w:t>
            </w:r>
          </w:p>
        </w:tc>
        <w:tc>
          <w:tcPr>
            <w:tcW w:w="468" w:type="pct"/>
            <w:tcBorders>
              <w:top w:val="nil"/>
              <w:left w:val="nil"/>
              <w:right w:val="nil"/>
            </w:tcBorders>
            <w:shd w:val="clear" w:color="auto" w:fill="auto"/>
            <w:noWrap/>
            <w:vAlign w:val="bottom"/>
            <w:hideMark/>
          </w:tcPr>
          <w:p w14:paraId="047C3772"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4.5077</w:t>
            </w:r>
          </w:p>
        </w:tc>
        <w:tc>
          <w:tcPr>
            <w:tcW w:w="468" w:type="pct"/>
            <w:tcBorders>
              <w:top w:val="nil"/>
              <w:left w:val="nil"/>
              <w:right w:val="nil"/>
            </w:tcBorders>
            <w:shd w:val="clear" w:color="auto" w:fill="auto"/>
            <w:noWrap/>
            <w:vAlign w:val="bottom"/>
          </w:tcPr>
          <w:p w14:paraId="2C67C816"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4.1279</w:t>
            </w:r>
          </w:p>
        </w:tc>
        <w:tc>
          <w:tcPr>
            <w:tcW w:w="468" w:type="pct"/>
            <w:tcBorders>
              <w:top w:val="nil"/>
              <w:left w:val="nil"/>
              <w:right w:val="nil"/>
            </w:tcBorders>
            <w:shd w:val="clear" w:color="auto" w:fill="auto"/>
            <w:noWrap/>
            <w:vAlign w:val="bottom"/>
            <w:hideMark/>
          </w:tcPr>
          <w:p w14:paraId="2473CC42"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3.8748</w:t>
            </w:r>
          </w:p>
        </w:tc>
        <w:tc>
          <w:tcPr>
            <w:tcW w:w="468" w:type="pct"/>
            <w:tcBorders>
              <w:top w:val="nil"/>
              <w:left w:val="nil"/>
              <w:right w:val="nil"/>
            </w:tcBorders>
            <w:shd w:val="clear" w:color="auto" w:fill="auto"/>
            <w:noWrap/>
            <w:vAlign w:val="bottom"/>
            <w:hideMark/>
          </w:tcPr>
          <w:p w14:paraId="096FD8C5"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4.3167</w:t>
            </w:r>
          </w:p>
        </w:tc>
        <w:tc>
          <w:tcPr>
            <w:tcW w:w="468" w:type="pct"/>
            <w:tcBorders>
              <w:top w:val="nil"/>
              <w:left w:val="nil"/>
              <w:right w:val="nil"/>
            </w:tcBorders>
            <w:shd w:val="clear" w:color="auto" w:fill="auto"/>
            <w:noWrap/>
            <w:vAlign w:val="bottom"/>
            <w:hideMark/>
          </w:tcPr>
          <w:p w14:paraId="22DBBA69"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0.8768</w:t>
            </w:r>
          </w:p>
        </w:tc>
        <w:tc>
          <w:tcPr>
            <w:tcW w:w="467" w:type="pct"/>
            <w:tcBorders>
              <w:top w:val="nil"/>
              <w:left w:val="nil"/>
              <w:right w:val="nil"/>
            </w:tcBorders>
            <w:shd w:val="clear" w:color="auto" w:fill="auto"/>
            <w:noWrap/>
            <w:vAlign w:val="bottom"/>
            <w:hideMark/>
          </w:tcPr>
          <w:p w14:paraId="628B1480"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0.8390</w:t>
            </w:r>
          </w:p>
        </w:tc>
      </w:tr>
      <w:tr w:rsidR="00E43480" w:rsidRPr="008573D2" w14:paraId="50A1B5D8" w14:textId="77777777" w:rsidTr="007B1695">
        <w:trPr>
          <w:trHeight w:val="300"/>
          <w:jc w:val="center"/>
        </w:trPr>
        <w:tc>
          <w:tcPr>
            <w:tcW w:w="788" w:type="pct"/>
            <w:tcBorders>
              <w:top w:val="nil"/>
              <w:left w:val="nil"/>
              <w:bottom w:val="single" w:sz="4" w:space="0" w:color="auto"/>
              <w:right w:val="nil"/>
            </w:tcBorders>
            <w:shd w:val="clear" w:color="auto" w:fill="auto"/>
            <w:noWrap/>
            <w:vAlign w:val="bottom"/>
            <w:hideMark/>
          </w:tcPr>
          <w:p w14:paraId="331C7229" w14:textId="77777777" w:rsidR="00E43480" w:rsidRPr="00F82B8F" w:rsidRDefault="00E43480" w:rsidP="007B1695">
            <w:pPr>
              <w:spacing w:after="0" w:line="240" w:lineRule="auto"/>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All</w:t>
            </w:r>
          </w:p>
        </w:tc>
        <w:tc>
          <w:tcPr>
            <w:tcW w:w="468" w:type="pct"/>
            <w:tcBorders>
              <w:top w:val="nil"/>
              <w:left w:val="nil"/>
              <w:bottom w:val="single" w:sz="4" w:space="0" w:color="auto"/>
              <w:right w:val="nil"/>
            </w:tcBorders>
            <w:shd w:val="clear" w:color="auto" w:fill="auto"/>
            <w:noWrap/>
            <w:vAlign w:val="bottom"/>
            <w:hideMark/>
          </w:tcPr>
          <w:p w14:paraId="65546ECD"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4.2159</w:t>
            </w:r>
          </w:p>
        </w:tc>
        <w:tc>
          <w:tcPr>
            <w:tcW w:w="468" w:type="pct"/>
            <w:tcBorders>
              <w:top w:val="nil"/>
              <w:left w:val="nil"/>
              <w:bottom w:val="single" w:sz="4" w:space="0" w:color="auto"/>
              <w:right w:val="nil"/>
            </w:tcBorders>
            <w:shd w:val="clear" w:color="auto" w:fill="auto"/>
            <w:noWrap/>
            <w:vAlign w:val="bottom"/>
            <w:hideMark/>
          </w:tcPr>
          <w:p w14:paraId="732B9B7E"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4.2810</w:t>
            </w:r>
          </w:p>
        </w:tc>
        <w:tc>
          <w:tcPr>
            <w:tcW w:w="468" w:type="pct"/>
            <w:tcBorders>
              <w:top w:val="nil"/>
              <w:left w:val="nil"/>
              <w:bottom w:val="single" w:sz="4" w:space="0" w:color="auto"/>
              <w:right w:val="nil"/>
            </w:tcBorders>
            <w:shd w:val="clear" w:color="auto" w:fill="auto"/>
            <w:noWrap/>
            <w:vAlign w:val="bottom"/>
            <w:hideMark/>
          </w:tcPr>
          <w:p w14:paraId="6AF915A0"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4.2256</w:t>
            </w:r>
          </w:p>
        </w:tc>
        <w:tc>
          <w:tcPr>
            <w:tcW w:w="468" w:type="pct"/>
            <w:tcBorders>
              <w:top w:val="nil"/>
              <w:left w:val="nil"/>
              <w:bottom w:val="single" w:sz="4" w:space="0" w:color="auto"/>
              <w:right w:val="nil"/>
            </w:tcBorders>
            <w:shd w:val="clear" w:color="auto" w:fill="auto"/>
            <w:noWrap/>
            <w:vAlign w:val="bottom"/>
            <w:hideMark/>
          </w:tcPr>
          <w:p w14:paraId="70BF87D8"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4.3326</w:t>
            </w:r>
          </w:p>
        </w:tc>
        <w:tc>
          <w:tcPr>
            <w:tcW w:w="468" w:type="pct"/>
            <w:tcBorders>
              <w:top w:val="nil"/>
              <w:left w:val="nil"/>
              <w:bottom w:val="single" w:sz="4" w:space="0" w:color="auto"/>
              <w:right w:val="nil"/>
            </w:tcBorders>
            <w:shd w:val="clear" w:color="auto" w:fill="auto"/>
            <w:noWrap/>
            <w:vAlign w:val="bottom"/>
            <w:hideMark/>
          </w:tcPr>
          <w:p w14:paraId="7ECB58E2"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4.2801</w:t>
            </w:r>
          </w:p>
        </w:tc>
        <w:tc>
          <w:tcPr>
            <w:tcW w:w="468" w:type="pct"/>
            <w:tcBorders>
              <w:top w:val="nil"/>
              <w:left w:val="nil"/>
              <w:bottom w:val="single" w:sz="4" w:space="0" w:color="auto"/>
              <w:right w:val="nil"/>
            </w:tcBorders>
            <w:shd w:val="clear" w:color="auto" w:fill="auto"/>
            <w:noWrap/>
            <w:vAlign w:val="bottom"/>
            <w:hideMark/>
          </w:tcPr>
          <w:p w14:paraId="5A1DDA33"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3.2303</w:t>
            </w:r>
          </w:p>
        </w:tc>
        <w:tc>
          <w:tcPr>
            <w:tcW w:w="468" w:type="pct"/>
            <w:tcBorders>
              <w:top w:val="nil"/>
              <w:left w:val="nil"/>
              <w:bottom w:val="single" w:sz="4" w:space="0" w:color="auto"/>
              <w:right w:val="nil"/>
            </w:tcBorders>
            <w:shd w:val="clear" w:color="auto" w:fill="auto"/>
            <w:noWrap/>
            <w:vAlign w:val="bottom"/>
            <w:hideMark/>
          </w:tcPr>
          <w:p w14:paraId="4648B95C"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4.3570</w:t>
            </w:r>
          </w:p>
        </w:tc>
        <w:tc>
          <w:tcPr>
            <w:tcW w:w="468" w:type="pct"/>
            <w:tcBorders>
              <w:top w:val="nil"/>
              <w:left w:val="nil"/>
              <w:bottom w:val="single" w:sz="4" w:space="0" w:color="auto"/>
              <w:right w:val="nil"/>
            </w:tcBorders>
            <w:shd w:val="clear" w:color="auto" w:fill="auto"/>
            <w:noWrap/>
            <w:vAlign w:val="bottom"/>
            <w:hideMark/>
          </w:tcPr>
          <w:p w14:paraId="6EFBC84C"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0.6490</w:t>
            </w:r>
          </w:p>
        </w:tc>
        <w:tc>
          <w:tcPr>
            <w:tcW w:w="467" w:type="pct"/>
            <w:tcBorders>
              <w:top w:val="nil"/>
              <w:left w:val="nil"/>
              <w:bottom w:val="single" w:sz="4" w:space="0" w:color="auto"/>
              <w:right w:val="nil"/>
            </w:tcBorders>
            <w:shd w:val="clear" w:color="auto" w:fill="auto"/>
            <w:noWrap/>
            <w:vAlign w:val="bottom"/>
            <w:hideMark/>
          </w:tcPr>
          <w:p w14:paraId="4C400F8F" w14:textId="77777777" w:rsidR="00E43480" w:rsidRPr="00F82B8F" w:rsidRDefault="00E43480" w:rsidP="007B1695">
            <w:pPr>
              <w:spacing w:after="0" w:line="240" w:lineRule="auto"/>
              <w:jc w:val="center"/>
              <w:rPr>
                <w:rFonts w:ascii="Times New Roman" w:eastAsia="Times New Roman" w:hAnsi="Times New Roman" w:cs="Times New Roman"/>
                <w:color w:val="000000"/>
                <w:sz w:val="20"/>
                <w:szCs w:val="20"/>
                <w:lang w:eastAsia="en-GB"/>
              </w:rPr>
            </w:pPr>
            <w:r w:rsidRPr="00F82B8F">
              <w:rPr>
                <w:rFonts w:ascii="Times New Roman" w:eastAsia="Times New Roman" w:hAnsi="Times New Roman" w:cs="Times New Roman"/>
                <w:color w:val="000000"/>
                <w:sz w:val="20"/>
                <w:szCs w:val="20"/>
                <w:lang w:eastAsia="en-GB"/>
              </w:rPr>
              <w:t>0.6838</w:t>
            </w:r>
          </w:p>
        </w:tc>
      </w:tr>
    </w:tbl>
    <w:p w14:paraId="66C9F197" w14:textId="77777777" w:rsidR="00E43480" w:rsidRPr="008573D2" w:rsidRDefault="00E43480" w:rsidP="00E43480">
      <w:pPr>
        <w:rPr>
          <w:rFonts w:ascii="Times New Roman" w:hAnsi="Times New Roman" w:cs="Times New Roman"/>
        </w:rPr>
      </w:pPr>
    </w:p>
    <w:p w14:paraId="285F5DFA" w14:textId="77777777" w:rsidR="00E43480" w:rsidRPr="008573D2" w:rsidRDefault="00E43480">
      <w:pPr>
        <w:rPr>
          <w:rFonts w:ascii="Times New Roman" w:hAnsi="Times New Roman" w:cs="Times New Roman"/>
          <w:sz w:val="24"/>
          <w:szCs w:val="24"/>
        </w:rPr>
      </w:pPr>
    </w:p>
    <w:p w14:paraId="43176A7B" w14:textId="745CCBB8" w:rsidR="00C92BFD" w:rsidRPr="008573D2" w:rsidRDefault="00C92BFD">
      <w:pPr>
        <w:rPr>
          <w:rFonts w:ascii="Times New Roman" w:hAnsi="Times New Roman" w:cs="Times New Roman"/>
          <w:sz w:val="24"/>
          <w:szCs w:val="24"/>
        </w:rPr>
      </w:pPr>
    </w:p>
    <w:p w14:paraId="27004649" w14:textId="50951C7C" w:rsidR="00C92BFD" w:rsidRPr="008573D2" w:rsidRDefault="00C92BFD">
      <w:pPr>
        <w:rPr>
          <w:rFonts w:ascii="Times New Roman" w:hAnsi="Times New Roman" w:cs="Times New Roman"/>
          <w:sz w:val="24"/>
          <w:szCs w:val="24"/>
        </w:rPr>
      </w:pPr>
    </w:p>
    <w:p w14:paraId="2672FD94" w14:textId="1C72C0A0" w:rsidR="004E32E4" w:rsidRPr="008573D2" w:rsidRDefault="004E32E4">
      <w:pPr>
        <w:rPr>
          <w:rFonts w:ascii="Times New Roman" w:hAnsi="Times New Roman" w:cs="Times New Roman"/>
          <w:sz w:val="24"/>
          <w:szCs w:val="24"/>
        </w:rPr>
      </w:pPr>
    </w:p>
    <w:sectPr w:rsidR="004E32E4" w:rsidRPr="008573D2" w:rsidSect="005526F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21BD0" w14:textId="77777777" w:rsidR="00984A85" w:rsidRDefault="00984A85" w:rsidP="00A46A3F">
      <w:pPr>
        <w:spacing w:after="0" w:line="240" w:lineRule="auto"/>
      </w:pPr>
      <w:r>
        <w:separator/>
      </w:r>
    </w:p>
  </w:endnote>
  <w:endnote w:type="continuationSeparator" w:id="0">
    <w:p w14:paraId="37507D13" w14:textId="77777777" w:rsidR="00984A85" w:rsidRDefault="00984A85" w:rsidP="00A46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07390065"/>
      <w:docPartObj>
        <w:docPartGallery w:val="Page Numbers (Bottom of Page)"/>
        <w:docPartUnique/>
      </w:docPartObj>
    </w:sdtPr>
    <w:sdtEndPr>
      <w:rPr>
        <w:rStyle w:val="PageNumber"/>
      </w:rPr>
    </w:sdtEndPr>
    <w:sdtContent>
      <w:p w14:paraId="0D1D4DA1" w14:textId="52AD2FA6" w:rsidR="008573D2" w:rsidRDefault="008573D2" w:rsidP="007B16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FA8DC4" w14:textId="77777777" w:rsidR="008573D2" w:rsidRDefault="008573D2" w:rsidP="007173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42262743"/>
      <w:docPartObj>
        <w:docPartGallery w:val="Page Numbers (Bottom of Page)"/>
        <w:docPartUnique/>
      </w:docPartObj>
    </w:sdtPr>
    <w:sdtEndPr>
      <w:rPr>
        <w:rStyle w:val="PageNumber"/>
      </w:rPr>
    </w:sdtEndPr>
    <w:sdtContent>
      <w:p w14:paraId="4DEEC6E3" w14:textId="63EAA3A7" w:rsidR="008573D2" w:rsidRDefault="008573D2" w:rsidP="007B169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426378" w14:textId="77777777" w:rsidR="008573D2" w:rsidRDefault="008573D2" w:rsidP="007173A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25162645"/>
      <w:docPartObj>
        <w:docPartGallery w:val="Page Numbers (Bottom of Page)"/>
        <w:docPartUnique/>
      </w:docPartObj>
    </w:sdtPr>
    <w:sdtEndPr>
      <w:rPr>
        <w:rStyle w:val="PageNumber"/>
      </w:rPr>
    </w:sdtEndPr>
    <w:sdtContent>
      <w:p w14:paraId="143B4508" w14:textId="22B44F03" w:rsidR="008573D2" w:rsidRDefault="008573D2" w:rsidP="00583B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58016B" w14:textId="77777777" w:rsidR="008573D2" w:rsidRDefault="008573D2" w:rsidP="006F7F3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07018332"/>
      <w:docPartObj>
        <w:docPartGallery w:val="Page Numbers (Bottom of Page)"/>
        <w:docPartUnique/>
      </w:docPartObj>
    </w:sdtPr>
    <w:sdtEndPr>
      <w:rPr>
        <w:rStyle w:val="PageNumber"/>
      </w:rPr>
    </w:sdtEndPr>
    <w:sdtContent>
      <w:p w14:paraId="24EA7DFA" w14:textId="34C45E69" w:rsidR="008573D2" w:rsidRDefault="008573D2" w:rsidP="00583B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sdtContent>
  </w:sdt>
  <w:p w14:paraId="4A43C507" w14:textId="77777777" w:rsidR="008573D2" w:rsidRDefault="008573D2" w:rsidP="006F7F3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E8938" w14:textId="77777777" w:rsidR="00984A85" w:rsidRDefault="00984A85" w:rsidP="00A46A3F">
      <w:pPr>
        <w:spacing w:after="0" w:line="240" w:lineRule="auto"/>
      </w:pPr>
      <w:r>
        <w:separator/>
      </w:r>
    </w:p>
  </w:footnote>
  <w:footnote w:type="continuationSeparator" w:id="0">
    <w:p w14:paraId="3840B8A9" w14:textId="77777777" w:rsidR="00984A85" w:rsidRDefault="00984A85" w:rsidP="00A46A3F">
      <w:pPr>
        <w:spacing w:after="0" w:line="240" w:lineRule="auto"/>
      </w:pPr>
      <w:r>
        <w:continuationSeparator/>
      </w:r>
    </w:p>
  </w:footnote>
  <w:footnote w:id="1">
    <w:p w14:paraId="347CA84F" w14:textId="6800BF49" w:rsidR="008573D2" w:rsidRPr="00F92240" w:rsidRDefault="008573D2">
      <w:pPr>
        <w:pStyle w:val="FootnoteText"/>
        <w:rPr>
          <w:rFonts w:ascii="Times New Roman" w:hAnsi="Times New Roman" w:cs="Times New Roman"/>
        </w:rPr>
      </w:pPr>
      <w:r w:rsidRPr="00F92240">
        <w:rPr>
          <w:rStyle w:val="FootnoteReference"/>
          <w:rFonts w:ascii="Times New Roman" w:hAnsi="Times New Roman" w:cs="Times New Roman"/>
        </w:rPr>
        <w:footnoteRef/>
      </w:r>
      <w:r w:rsidRPr="00F92240">
        <w:rPr>
          <w:rFonts w:ascii="Times New Roman" w:hAnsi="Times New Roman" w:cs="Times New Roman"/>
        </w:rPr>
        <w:t xml:space="preserve"> As of </w:t>
      </w:r>
      <w:r w:rsidR="00D861FD" w:rsidRPr="00F92240">
        <w:rPr>
          <w:rFonts w:ascii="Times New Roman" w:hAnsi="Times New Roman" w:cs="Times New Roman"/>
        </w:rPr>
        <w:t>29</w:t>
      </w:r>
      <w:r w:rsidR="00D861FD" w:rsidRPr="00F92240">
        <w:rPr>
          <w:rFonts w:ascii="Times New Roman" w:hAnsi="Times New Roman" w:cs="Times New Roman"/>
          <w:vertAlign w:val="superscript"/>
        </w:rPr>
        <w:t>th</w:t>
      </w:r>
      <w:r w:rsidR="00D861FD" w:rsidRPr="00F92240">
        <w:rPr>
          <w:rFonts w:ascii="Times New Roman" w:hAnsi="Times New Roman" w:cs="Times New Roman"/>
        </w:rPr>
        <w:t xml:space="preserve"> January 2021</w:t>
      </w:r>
      <w:r w:rsidRPr="00F92240">
        <w:rPr>
          <w:rFonts w:ascii="Times New Roman" w:hAnsi="Times New Roman" w:cs="Times New Roman"/>
        </w:rPr>
        <w:t xml:space="preserve">, there were </w:t>
      </w:r>
      <w:r w:rsidR="00D861FD" w:rsidRPr="00F92240">
        <w:rPr>
          <w:rFonts w:ascii="Times New Roman" w:hAnsi="Times New Roman" w:cs="Times New Roman"/>
        </w:rPr>
        <w:t>over 102 million</w:t>
      </w:r>
      <w:r w:rsidRPr="00F92240">
        <w:rPr>
          <w:rFonts w:ascii="Times New Roman" w:hAnsi="Times New Roman" w:cs="Times New Roman"/>
        </w:rPr>
        <w:t xml:space="preserve"> </w:t>
      </w:r>
      <w:r w:rsidR="00F54E04" w:rsidRPr="00F92240">
        <w:rPr>
          <w:rFonts w:ascii="Times New Roman" w:hAnsi="Times New Roman" w:cs="Times New Roman"/>
        </w:rPr>
        <w:t>people</w:t>
      </w:r>
      <w:r w:rsidRPr="00F92240">
        <w:rPr>
          <w:rFonts w:ascii="Times New Roman" w:hAnsi="Times New Roman" w:cs="Times New Roman"/>
        </w:rPr>
        <w:t xml:space="preserve"> affected globally and </w:t>
      </w:r>
      <w:r w:rsidR="00D861FD" w:rsidRPr="00F92240">
        <w:rPr>
          <w:rFonts w:ascii="Times New Roman" w:hAnsi="Times New Roman" w:cs="Times New Roman"/>
        </w:rPr>
        <w:t>over 2.2 million</w:t>
      </w:r>
      <w:r w:rsidRPr="00F92240">
        <w:rPr>
          <w:rFonts w:ascii="Times New Roman" w:hAnsi="Times New Roman" w:cs="Times New Roman"/>
        </w:rPr>
        <w:t xml:space="preserve"> </w:t>
      </w:r>
      <w:r w:rsidR="00D861FD" w:rsidRPr="00F92240">
        <w:rPr>
          <w:rFonts w:ascii="Times New Roman" w:hAnsi="Times New Roman" w:cs="Times New Roman"/>
        </w:rPr>
        <w:t>people</w:t>
      </w:r>
      <w:r w:rsidRPr="00F92240">
        <w:rPr>
          <w:rFonts w:ascii="Times New Roman" w:hAnsi="Times New Roman" w:cs="Times New Roman"/>
        </w:rPr>
        <w:t xml:space="preserve"> died since the first COVID-19 case was detected in November 2019 in China.</w:t>
      </w:r>
    </w:p>
  </w:footnote>
  <w:footnote w:id="2">
    <w:p w14:paraId="6541C747" w14:textId="39986C9A" w:rsidR="008573D2" w:rsidRPr="00F92240" w:rsidRDefault="008573D2">
      <w:pPr>
        <w:pStyle w:val="FootnoteText"/>
        <w:rPr>
          <w:rFonts w:ascii="Times New Roman" w:hAnsi="Times New Roman" w:cs="Times New Roman"/>
        </w:rPr>
      </w:pPr>
      <w:r w:rsidRPr="00F92240">
        <w:rPr>
          <w:rStyle w:val="FootnoteReference"/>
          <w:rFonts w:ascii="Times New Roman" w:hAnsi="Times New Roman" w:cs="Times New Roman"/>
        </w:rPr>
        <w:footnoteRef/>
      </w:r>
      <w:r w:rsidRPr="00F92240">
        <w:rPr>
          <w:rFonts w:ascii="Times New Roman" w:hAnsi="Times New Roman" w:cs="Times New Roman"/>
        </w:rPr>
        <w:t xml:space="preserve"> Global Economic Prospects published in June 2020 by World Bank Group (DOI: 10.1596/978-1-4648-1553-9).</w:t>
      </w:r>
    </w:p>
  </w:footnote>
  <w:footnote w:id="3">
    <w:p w14:paraId="4A8B7BAA" w14:textId="5F88DCD2" w:rsidR="008573D2" w:rsidRPr="00F92240" w:rsidRDefault="008573D2">
      <w:pPr>
        <w:pStyle w:val="FootnoteText"/>
        <w:rPr>
          <w:rFonts w:ascii="Times New Roman" w:hAnsi="Times New Roman" w:cs="Times New Roman"/>
        </w:rPr>
      </w:pPr>
      <w:r w:rsidRPr="00F92240">
        <w:rPr>
          <w:rStyle w:val="FootnoteReference"/>
          <w:rFonts w:ascii="Times New Roman" w:hAnsi="Times New Roman" w:cs="Times New Roman"/>
        </w:rPr>
        <w:footnoteRef/>
      </w:r>
      <w:r w:rsidRPr="00F92240">
        <w:rPr>
          <w:rFonts w:ascii="Times New Roman" w:hAnsi="Times New Roman" w:cs="Times New Roman"/>
        </w:rPr>
        <w:t xml:space="preserve"> Baret, S., Celner, A., O’Reilly, M. and Shilling, M. (2020). COVID-19 potential implications for the banking and capital markets sector. Deloitte Center for Financial Services.</w:t>
      </w:r>
    </w:p>
  </w:footnote>
  <w:footnote w:id="4">
    <w:p w14:paraId="10D580F9" w14:textId="551A3E09" w:rsidR="008573D2" w:rsidRPr="00F92240" w:rsidRDefault="008573D2">
      <w:pPr>
        <w:pStyle w:val="FootnoteText"/>
        <w:rPr>
          <w:rFonts w:ascii="Times New Roman" w:hAnsi="Times New Roman" w:cs="Times New Roman"/>
        </w:rPr>
      </w:pPr>
      <w:r w:rsidRPr="00F92240">
        <w:rPr>
          <w:rStyle w:val="FootnoteReference"/>
          <w:rFonts w:ascii="Times New Roman" w:hAnsi="Times New Roman" w:cs="Times New Roman"/>
        </w:rPr>
        <w:footnoteRef/>
      </w:r>
      <w:r w:rsidRPr="00F92240">
        <w:rPr>
          <w:rFonts w:ascii="Times New Roman" w:hAnsi="Times New Roman" w:cs="Times New Roman"/>
        </w:rPr>
        <w:t xml:space="preserve"> See Bloom et al. (2007).</w:t>
      </w:r>
    </w:p>
  </w:footnote>
  <w:footnote w:id="5">
    <w:p w14:paraId="4F69507B" w14:textId="0355918F" w:rsidR="008573D2" w:rsidRPr="00F92240" w:rsidRDefault="008573D2" w:rsidP="009B66CB">
      <w:pPr>
        <w:pStyle w:val="FootnoteText"/>
        <w:jc w:val="both"/>
        <w:rPr>
          <w:rFonts w:ascii="Times New Roman" w:hAnsi="Times New Roman" w:cs="Times New Roman"/>
        </w:rPr>
      </w:pPr>
      <w:r w:rsidRPr="00F92240">
        <w:rPr>
          <w:rStyle w:val="FootnoteReference"/>
          <w:rFonts w:ascii="Times New Roman" w:hAnsi="Times New Roman" w:cs="Times New Roman"/>
        </w:rPr>
        <w:footnoteRef/>
      </w:r>
      <w:r w:rsidRPr="00F92240">
        <w:rPr>
          <w:rFonts w:ascii="Times New Roman" w:hAnsi="Times New Roman" w:cs="Times New Roman"/>
        </w:rPr>
        <w:t xml:space="preserve"> Ashraf (2020), Sharif et al. (2020), Al-Awadhi et al. (2020), Zaremba et al. (2020) Corbet et al. (2020) and Akhtaruzzaman et al. (2020).</w:t>
      </w:r>
    </w:p>
  </w:footnote>
  <w:footnote w:id="6">
    <w:p w14:paraId="205F779E" w14:textId="3A76BFFA" w:rsidR="008573D2" w:rsidRPr="00F92240" w:rsidRDefault="008573D2" w:rsidP="002C7D77">
      <w:pPr>
        <w:pStyle w:val="FootnoteText"/>
        <w:rPr>
          <w:rFonts w:ascii="Times New Roman" w:hAnsi="Times New Roman" w:cs="Times New Roman"/>
        </w:rPr>
      </w:pPr>
      <w:r w:rsidRPr="00F92240">
        <w:rPr>
          <w:rStyle w:val="FootnoteReference"/>
          <w:rFonts w:ascii="Times New Roman" w:hAnsi="Times New Roman" w:cs="Times New Roman"/>
        </w:rPr>
        <w:footnoteRef/>
      </w:r>
      <w:r w:rsidRPr="00F92240">
        <w:rPr>
          <w:rFonts w:ascii="Times New Roman" w:hAnsi="Times New Roman" w:cs="Times New Roman"/>
        </w:rPr>
        <w:t xml:space="preserve"> The World Health Organization (WHO) declared the COVID-19 to be a pandemic on 11 March 2020.</w:t>
      </w:r>
    </w:p>
  </w:footnote>
  <w:footnote w:id="7">
    <w:p w14:paraId="3827B08D" w14:textId="3B539CE9" w:rsidR="008573D2" w:rsidRPr="00F92240" w:rsidRDefault="008573D2" w:rsidP="002C7D77">
      <w:pPr>
        <w:pStyle w:val="FootnoteText"/>
        <w:rPr>
          <w:rFonts w:ascii="Times New Roman" w:hAnsi="Times New Roman" w:cs="Times New Roman"/>
        </w:rPr>
      </w:pPr>
      <w:r w:rsidRPr="00F92240">
        <w:rPr>
          <w:rStyle w:val="FootnoteReference"/>
          <w:rFonts w:ascii="Times New Roman" w:hAnsi="Times New Roman" w:cs="Times New Roman"/>
        </w:rPr>
        <w:footnoteRef/>
      </w:r>
      <w:r w:rsidRPr="00F92240">
        <w:rPr>
          <w:rFonts w:ascii="Times New Roman" w:hAnsi="Times New Roman" w:cs="Times New Roman"/>
        </w:rPr>
        <w:t xml:space="preserve"> </w:t>
      </w:r>
      <w:r w:rsidRPr="00F92240">
        <w:rPr>
          <w:rFonts w:ascii="Times New Roman" w:eastAsia="Times New Roman" w:hAnsi="Times New Roman" w:cs="Times New Roman"/>
          <w:lang w:eastAsia="en-GB"/>
        </w:rPr>
        <w:t xml:space="preserve">see the International Monetary Fund for detail monetary policy responses to COVID-19: </w:t>
      </w:r>
      <w:hyperlink r:id="rId1" w:history="1">
        <w:r w:rsidRPr="00F92240">
          <w:rPr>
            <w:rStyle w:val="Hyperlink"/>
            <w:rFonts w:ascii="Times New Roman" w:eastAsia="Times New Roman" w:hAnsi="Times New Roman" w:cs="Times New Roman"/>
            <w:lang w:eastAsia="en-GB"/>
          </w:rPr>
          <w:t>https://www.imf.org/en/Topics/imf-and-COVID-19/Policy-Responses-to-COVID-19</w:t>
        </w:r>
      </w:hyperlink>
      <w:r w:rsidRPr="00F92240">
        <w:rPr>
          <w:rStyle w:val="Hyperlink"/>
          <w:rFonts w:ascii="Times New Roman" w:eastAsia="Times New Roman" w:hAnsi="Times New Roman" w:cs="Times New Roman"/>
          <w:u w:val="none"/>
          <w:lang w:eastAsia="en-GB"/>
        </w:rPr>
        <w:t>.</w:t>
      </w:r>
      <w:r w:rsidRPr="00F92240">
        <w:rPr>
          <w:rFonts w:ascii="Times New Roman" w:eastAsia="Times New Roman" w:hAnsi="Times New Roman" w:cs="Times New Roman"/>
          <w:lang w:eastAsia="en-GB"/>
        </w:rPr>
        <w:t xml:space="preserve"> </w:t>
      </w:r>
    </w:p>
  </w:footnote>
  <w:footnote w:id="8">
    <w:p w14:paraId="6AC15A79" w14:textId="6EBD6FEC" w:rsidR="008573D2" w:rsidRPr="00F92240" w:rsidRDefault="008573D2" w:rsidP="002C7D77">
      <w:pPr>
        <w:pStyle w:val="FootnoteText"/>
        <w:rPr>
          <w:rFonts w:ascii="Times New Roman" w:hAnsi="Times New Roman" w:cs="Times New Roman"/>
        </w:rPr>
      </w:pPr>
      <w:r w:rsidRPr="00F92240">
        <w:rPr>
          <w:rStyle w:val="FootnoteReference"/>
          <w:rFonts w:ascii="Times New Roman" w:hAnsi="Times New Roman" w:cs="Times New Roman"/>
        </w:rPr>
        <w:footnoteRef/>
      </w:r>
      <w:r w:rsidRPr="00F92240">
        <w:rPr>
          <w:rFonts w:ascii="Times New Roman" w:hAnsi="Times New Roman" w:cs="Times New Roman"/>
        </w:rPr>
        <w:t xml:space="preserve"> “Coronavirus: China’s first confirmed COVID-19 case traced back to November 17”, South China Morning Post, 13</w:t>
      </w:r>
      <w:r w:rsidRPr="00F92240">
        <w:rPr>
          <w:rFonts w:ascii="Times New Roman" w:hAnsi="Times New Roman" w:cs="Times New Roman"/>
          <w:vertAlign w:val="superscript"/>
        </w:rPr>
        <w:t>th</w:t>
      </w:r>
      <w:r w:rsidRPr="00F92240">
        <w:rPr>
          <w:rFonts w:ascii="Times New Roman" w:hAnsi="Times New Roman" w:cs="Times New Roman"/>
        </w:rPr>
        <w:t xml:space="preserve"> March 2020.</w:t>
      </w:r>
    </w:p>
  </w:footnote>
  <w:footnote w:id="9">
    <w:p w14:paraId="16B8CD32" w14:textId="20393CA1" w:rsidR="008573D2" w:rsidRPr="00F92240" w:rsidRDefault="008573D2" w:rsidP="002C7D77">
      <w:pPr>
        <w:pStyle w:val="FootnoteText"/>
        <w:rPr>
          <w:rFonts w:ascii="Times New Roman" w:hAnsi="Times New Roman" w:cs="Times New Roman"/>
        </w:rPr>
      </w:pPr>
      <w:r w:rsidRPr="00F92240">
        <w:rPr>
          <w:rStyle w:val="FootnoteReference"/>
          <w:rFonts w:ascii="Times New Roman" w:hAnsi="Times New Roman" w:cs="Times New Roman"/>
        </w:rPr>
        <w:footnoteRef/>
      </w:r>
      <w:r w:rsidRPr="00F92240">
        <w:rPr>
          <w:rFonts w:ascii="Times New Roman" w:hAnsi="Times New Roman" w:cs="Times New Roman"/>
        </w:rPr>
        <w:t xml:space="preserve"> “7 governors still haven't issued stay-at-home orders. Here's why”, CNN politics, 13</w:t>
      </w:r>
      <w:r w:rsidRPr="00F92240">
        <w:rPr>
          <w:rFonts w:ascii="Times New Roman" w:hAnsi="Times New Roman" w:cs="Times New Roman"/>
          <w:vertAlign w:val="superscript"/>
        </w:rPr>
        <w:t>th</w:t>
      </w:r>
      <w:r w:rsidRPr="00F92240">
        <w:rPr>
          <w:rFonts w:ascii="Times New Roman" w:hAnsi="Times New Roman" w:cs="Times New Roman"/>
        </w:rPr>
        <w:t xml:space="preserve"> April 2020.</w:t>
      </w:r>
    </w:p>
  </w:footnote>
  <w:footnote w:id="10">
    <w:p w14:paraId="4AA4A698" w14:textId="4ED7ABF4" w:rsidR="008573D2" w:rsidRPr="00F92240" w:rsidRDefault="008573D2" w:rsidP="002C7D77">
      <w:pPr>
        <w:pStyle w:val="FootnoteText"/>
        <w:rPr>
          <w:rFonts w:ascii="Times New Roman" w:hAnsi="Times New Roman" w:cs="Times New Roman"/>
        </w:rPr>
      </w:pPr>
      <w:r w:rsidRPr="00F92240">
        <w:rPr>
          <w:rStyle w:val="FootnoteReference"/>
          <w:rFonts w:ascii="Times New Roman" w:hAnsi="Times New Roman" w:cs="Times New Roman"/>
        </w:rPr>
        <w:footnoteRef/>
      </w:r>
      <w:r w:rsidRPr="00F92240">
        <w:rPr>
          <w:rFonts w:ascii="Times New Roman" w:hAnsi="Times New Roman" w:cs="Times New Roman"/>
        </w:rPr>
        <w:t xml:space="preserve"> “BoE warns UK set to enter worst recession for 300 years”, Financial Times, 7</w:t>
      </w:r>
      <w:r w:rsidRPr="00F92240">
        <w:rPr>
          <w:rFonts w:ascii="Times New Roman" w:hAnsi="Times New Roman" w:cs="Times New Roman"/>
          <w:vertAlign w:val="superscript"/>
        </w:rPr>
        <w:t>th</w:t>
      </w:r>
      <w:r w:rsidRPr="00F92240">
        <w:rPr>
          <w:rFonts w:ascii="Times New Roman" w:hAnsi="Times New Roman" w:cs="Times New Roman"/>
        </w:rPr>
        <w:t xml:space="preserve"> May 2020.</w:t>
      </w:r>
    </w:p>
  </w:footnote>
  <w:footnote w:id="11">
    <w:p w14:paraId="2997EE3C" w14:textId="42EC83B6" w:rsidR="008573D2" w:rsidRPr="00F92240" w:rsidRDefault="008573D2" w:rsidP="002C7D77">
      <w:pPr>
        <w:pStyle w:val="FootnoteText"/>
        <w:rPr>
          <w:rFonts w:ascii="Times New Roman" w:hAnsi="Times New Roman" w:cs="Times New Roman"/>
        </w:rPr>
      </w:pPr>
      <w:r w:rsidRPr="00F92240">
        <w:rPr>
          <w:rStyle w:val="FootnoteReference"/>
          <w:rFonts w:ascii="Times New Roman" w:hAnsi="Times New Roman" w:cs="Times New Roman"/>
        </w:rPr>
        <w:footnoteRef/>
      </w:r>
      <w:r w:rsidRPr="00F92240">
        <w:rPr>
          <w:rFonts w:ascii="Times New Roman" w:hAnsi="Times New Roman" w:cs="Times New Roman"/>
        </w:rPr>
        <w:t xml:space="preserve"> “How the coronavirus crisis has hit the UK's economic outlook”, The Guardian, 27</w:t>
      </w:r>
      <w:r w:rsidRPr="00F92240">
        <w:rPr>
          <w:rFonts w:ascii="Times New Roman" w:hAnsi="Times New Roman" w:cs="Times New Roman"/>
          <w:vertAlign w:val="superscript"/>
        </w:rPr>
        <w:t>th</w:t>
      </w:r>
      <w:r w:rsidRPr="00F92240">
        <w:rPr>
          <w:rFonts w:ascii="Times New Roman" w:hAnsi="Times New Roman" w:cs="Times New Roman"/>
        </w:rPr>
        <w:t xml:space="preserve"> May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5614D"/>
    <w:multiLevelType w:val="hybridMultilevel"/>
    <w:tmpl w:val="1264F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CB6EDB"/>
    <w:multiLevelType w:val="hybridMultilevel"/>
    <w:tmpl w:val="203E4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3NzAzNjO2NDS3NDVT0lEKTi0uzszPAykwNKkFABt6jKctAAAA"/>
  </w:docVars>
  <w:rsids>
    <w:rsidRoot w:val="004535C8"/>
    <w:rsid w:val="000115AB"/>
    <w:rsid w:val="00020C23"/>
    <w:rsid w:val="00021C66"/>
    <w:rsid w:val="00023E83"/>
    <w:rsid w:val="000262E2"/>
    <w:rsid w:val="00042777"/>
    <w:rsid w:val="00045EA9"/>
    <w:rsid w:val="000477F2"/>
    <w:rsid w:val="00047A3B"/>
    <w:rsid w:val="0005270E"/>
    <w:rsid w:val="00057AC8"/>
    <w:rsid w:val="00057DB3"/>
    <w:rsid w:val="00061B18"/>
    <w:rsid w:val="00070490"/>
    <w:rsid w:val="00071A91"/>
    <w:rsid w:val="00074B2C"/>
    <w:rsid w:val="00077F5E"/>
    <w:rsid w:val="00081A52"/>
    <w:rsid w:val="000900AE"/>
    <w:rsid w:val="000A0995"/>
    <w:rsid w:val="000A2E5E"/>
    <w:rsid w:val="000A39DA"/>
    <w:rsid w:val="000A554B"/>
    <w:rsid w:val="000B20D4"/>
    <w:rsid w:val="000B6CD7"/>
    <w:rsid w:val="000C0872"/>
    <w:rsid w:val="000C2078"/>
    <w:rsid w:val="000C35C5"/>
    <w:rsid w:val="000C5893"/>
    <w:rsid w:val="000C605E"/>
    <w:rsid w:val="000C6DBA"/>
    <w:rsid w:val="000C77AB"/>
    <w:rsid w:val="000D0F4C"/>
    <w:rsid w:val="000D7C8F"/>
    <w:rsid w:val="000E0FB6"/>
    <w:rsid w:val="000E6493"/>
    <w:rsid w:val="000E6A4A"/>
    <w:rsid w:val="000F1329"/>
    <w:rsid w:val="000F5296"/>
    <w:rsid w:val="000F5F1A"/>
    <w:rsid w:val="000F7950"/>
    <w:rsid w:val="0010271F"/>
    <w:rsid w:val="001063B3"/>
    <w:rsid w:val="00106793"/>
    <w:rsid w:val="001071EB"/>
    <w:rsid w:val="001170DD"/>
    <w:rsid w:val="0011785E"/>
    <w:rsid w:val="00120F9D"/>
    <w:rsid w:val="00123616"/>
    <w:rsid w:val="001311D1"/>
    <w:rsid w:val="00131908"/>
    <w:rsid w:val="0013568D"/>
    <w:rsid w:val="001356CB"/>
    <w:rsid w:val="0014089F"/>
    <w:rsid w:val="00142C9F"/>
    <w:rsid w:val="0015014E"/>
    <w:rsid w:val="001535D1"/>
    <w:rsid w:val="001556D2"/>
    <w:rsid w:val="00157AA2"/>
    <w:rsid w:val="00163752"/>
    <w:rsid w:val="001664E6"/>
    <w:rsid w:val="001672FA"/>
    <w:rsid w:val="00172473"/>
    <w:rsid w:val="00177F0E"/>
    <w:rsid w:val="00183D0A"/>
    <w:rsid w:val="00183D61"/>
    <w:rsid w:val="00184309"/>
    <w:rsid w:val="00194FDE"/>
    <w:rsid w:val="0019695D"/>
    <w:rsid w:val="001A0E04"/>
    <w:rsid w:val="001A1A3D"/>
    <w:rsid w:val="001B2057"/>
    <w:rsid w:val="001B3FD7"/>
    <w:rsid w:val="001B4114"/>
    <w:rsid w:val="001B4B0C"/>
    <w:rsid w:val="001B55D2"/>
    <w:rsid w:val="001C59FE"/>
    <w:rsid w:val="001D2298"/>
    <w:rsid w:val="001D425D"/>
    <w:rsid w:val="001D54F9"/>
    <w:rsid w:val="001E12DB"/>
    <w:rsid w:val="001E3355"/>
    <w:rsid w:val="001E62E9"/>
    <w:rsid w:val="002000A2"/>
    <w:rsid w:val="00202ED1"/>
    <w:rsid w:val="0020502C"/>
    <w:rsid w:val="0021190F"/>
    <w:rsid w:val="00216C3D"/>
    <w:rsid w:val="0022296F"/>
    <w:rsid w:val="002259EE"/>
    <w:rsid w:val="002309E8"/>
    <w:rsid w:val="002330BB"/>
    <w:rsid w:val="00236FBD"/>
    <w:rsid w:val="00242ABE"/>
    <w:rsid w:val="00243A8B"/>
    <w:rsid w:val="00250AF8"/>
    <w:rsid w:val="00252312"/>
    <w:rsid w:val="00262FA4"/>
    <w:rsid w:val="00263044"/>
    <w:rsid w:val="00263F5E"/>
    <w:rsid w:val="00266EA5"/>
    <w:rsid w:val="00267051"/>
    <w:rsid w:val="00272FE2"/>
    <w:rsid w:val="00291D00"/>
    <w:rsid w:val="0029263F"/>
    <w:rsid w:val="002941EC"/>
    <w:rsid w:val="002945E5"/>
    <w:rsid w:val="00296B4E"/>
    <w:rsid w:val="00297078"/>
    <w:rsid w:val="002A2262"/>
    <w:rsid w:val="002A3A07"/>
    <w:rsid w:val="002A3FD7"/>
    <w:rsid w:val="002A4ADB"/>
    <w:rsid w:val="002A7B80"/>
    <w:rsid w:val="002B4C58"/>
    <w:rsid w:val="002C6043"/>
    <w:rsid w:val="002C6557"/>
    <w:rsid w:val="002C7D77"/>
    <w:rsid w:val="002D335B"/>
    <w:rsid w:val="002D33D3"/>
    <w:rsid w:val="002D513D"/>
    <w:rsid w:val="002D5C9D"/>
    <w:rsid w:val="002D7BC0"/>
    <w:rsid w:val="002E112D"/>
    <w:rsid w:val="002E37FC"/>
    <w:rsid w:val="002E59AE"/>
    <w:rsid w:val="002E7E39"/>
    <w:rsid w:val="0031144A"/>
    <w:rsid w:val="00315C62"/>
    <w:rsid w:val="00317BA8"/>
    <w:rsid w:val="00322ED7"/>
    <w:rsid w:val="003237B7"/>
    <w:rsid w:val="00324E1D"/>
    <w:rsid w:val="003266A1"/>
    <w:rsid w:val="00336F2E"/>
    <w:rsid w:val="00342383"/>
    <w:rsid w:val="003423FB"/>
    <w:rsid w:val="0034461A"/>
    <w:rsid w:val="00345B6B"/>
    <w:rsid w:val="00350E4C"/>
    <w:rsid w:val="00351FCF"/>
    <w:rsid w:val="00356D20"/>
    <w:rsid w:val="00361B57"/>
    <w:rsid w:val="003707E4"/>
    <w:rsid w:val="00371536"/>
    <w:rsid w:val="00380BB9"/>
    <w:rsid w:val="00386027"/>
    <w:rsid w:val="00397FAD"/>
    <w:rsid w:val="003A0757"/>
    <w:rsid w:val="003A5C62"/>
    <w:rsid w:val="003B1DAC"/>
    <w:rsid w:val="003B72BE"/>
    <w:rsid w:val="003C241C"/>
    <w:rsid w:val="003C53AE"/>
    <w:rsid w:val="003D07EA"/>
    <w:rsid w:val="003D16AC"/>
    <w:rsid w:val="003E2B80"/>
    <w:rsid w:val="003E2B99"/>
    <w:rsid w:val="003E4186"/>
    <w:rsid w:val="003E4BB8"/>
    <w:rsid w:val="003E590A"/>
    <w:rsid w:val="003F0C84"/>
    <w:rsid w:val="003F79F8"/>
    <w:rsid w:val="00401A5C"/>
    <w:rsid w:val="00401E44"/>
    <w:rsid w:val="0040362B"/>
    <w:rsid w:val="00405669"/>
    <w:rsid w:val="00412C46"/>
    <w:rsid w:val="004241C8"/>
    <w:rsid w:val="00436E29"/>
    <w:rsid w:val="004370DD"/>
    <w:rsid w:val="004375A1"/>
    <w:rsid w:val="004465B3"/>
    <w:rsid w:val="004535C8"/>
    <w:rsid w:val="0045597A"/>
    <w:rsid w:val="00461166"/>
    <w:rsid w:val="00463561"/>
    <w:rsid w:val="004676D2"/>
    <w:rsid w:val="004724C4"/>
    <w:rsid w:val="004725E9"/>
    <w:rsid w:val="00473ECB"/>
    <w:rsid w:val="00475435"/>
    <w:rsid w:val="00476209"/>
    <w:rsid w:val="004902FE"/>
    <w:rsid w:val="00490D51"/>
    <w:rsid w:val="004910E5"/>
    <w:rsid w:val="0049314A"/>
    <w:rsid w:val="00493A3F"/>
    <w:rsid w:val="00494F96"/>
    <w:rsid w:val="004962B4"/>
    <w:rsid w:val="00496A70"/>
    <w:rsid w:val="004A1E9B"/>
    <w:rsid w:val="004A6BEA"/>
    <w:rsid w:val="004B1A68"/>
    <w:rsid w:val="004B2D3C"/>
    <w:rsid w:val="004B3630"/>
    <w:rsid w:val="004B7D1E"/>
    <w:rsid w:val="004C1EA7"/>
    <w:rsid w:val="004C1F8E"/>
    <w:rsid w:val="004C2A79"/>
    <w:rsid w:val="004C3203"/>
    <w:rsid w:val="004C39A0"/>
    <w:rsid w:val="004C3C40"/>
    <w:rsid w:val="004D13AD"/>
    <w:rsid w:val="004D4571"/>
    <w:rsid w:val="004D5A23"/>
    <w:rsid w:val="004E32E4"/>
    <w:rsid w:val="004E5F3D"/>
    <w:rsid w:val="004E6F8E"/>
    <w:rsid w:val="004E7990"/>
    <w:rsid w:val="004F6E74"/>
    <w:rsid w:val="004F7B83"/>
    <w:rsid w:val="00500BBF"/>
    <w:rsid w:val="00504031"/>
    <w:rsid w:val="00510D58"/>
    <w:rsid w:val="00517C3F"/>
    <w:rsid w:val="005215AB"/>
    <w:rsid w:val="005239A8"/>
    <w:rsid w:val="00523CD2"/>
    <w:rsid w:val="00524089"/>
    <w:rsid w:val="00525652"/>
    <w:rsid w:val="00525DA9"/>
    <w:rsid w:val="00525F4B"/>
    <w:rsid w:val="005311B8"/>
    <w:rsid w:val="00531821"/>
    <w:rsid w:val="005373B6"/>
    <w:rsid w:val="00541200"/>
    <w:rsid w:val="00542002"/>
    <w:rsid w:val="00543957"/>
    <w:rsid w:val="0054654E"/>
    <w:rsid w:val="00550692"/>
    <w:rsid w:val="005526F3"/>
    <w:rsid w:val="00554A22"/>
    <w:rsid w:val="00555BA9"/>
    <w:rsid w:val="00556FDA"/>
    <w:rsid w:val="00562817"/>
    <w:rsid w:val="00576310"/>
    <w:rsid w:val="00580430"/>
    <w:rsid w:val="00583B82"/>
    <w:rsid w:val="00587D2B"/>
    <w:rsid w:val="005947FD"/>
    <w:rsid w:val="0059709D"/>
    <w:rsid w:val="005A04DD"/>
    <w:rsid w:val="005A1F45"/>
    <w:rsid w:val="005A28B3"/>
    <w:rsid w:val="005A5ECD"/>
    <w:rsid w:val="005A6B90"/>
    <w:rsid w:val="005B07EB"/>
    <w:rsid w:val="005B1410"/>
    <w:rsid w:val="005B188F"/>
    <w:rsid w:val="005C50FB"/>
    <w:rsid w:val="005C6402"/>
    <w:rsid w:val="005C7532"/>
    <w:rsid w:val="005D63B6"/>
    <w:rsid w:val="005D7792"/>
    <w:rsid w:val="005D7F56"/>
    <w:rsid w:val="005E633C"/>
    <w:rsid w:val="005E6F1D"/>
    <w:rsid w:val="005F085F"/>
    <w:rsid w:val="005F19C7"/>
    <w:rsid w:val="005F1C81"/>
    <w:rsid w:val="005F416D"/>
    <w:rsid w:val="00603CF4"/>
    <w:rsid w:val="006121DC"/>
    <w:rsid w:val="00612418"/>
    <w:rsid w:val="006227DC"/>
    <w:rsid w:val="00624E91"/>
    <w:rsid w:val="006255CE"/>
    <w:rsid w:val="006272B4"/>
    <w:rsid w:val="00627FA9"/>
    <w:rsid w:val="00630254"/>
    <w:rsid w:val="0063332E"/>
    <w:rsid w:val="00635813"/>
    <w:rsid w:val="006411CC"/>
    <w:rsid w:val="00644949"/>
    <w:rsid w:val="00644B1C"/>
    <w:rsid w:val="00644FEB"/>
    <w:rsid w:val="00647981"/>
    <w:rsid w:val="0065581D"/>
    <w:rsid w:val="00656299"/>
    <w:rsid w:val="00662CB6"/>
    <w:rsid w:val="00665866"/>
    <w:rsid w:val="00666A7E"/>
    <w:rsid w:val="00667BED"/>
    <w:rsid w:val="00670EDE"/>
    <w:rsid w:val="00671267"/>
    <w:rsid w:val="00673DC7"/>
    <w:rsid w:val="0068535A"/>
    <w:rsid w:val="00686C49"/>
    <w:rsid w:val="0069142F"/>
    <w:rsid w:val="00695325"/>
    <w:rsid w:val="0069567C"/>
    <w:rsid w:val="00697EFF"/>
    <w:rsid w:val="006A09BD"/>
    <w:rsid w:val="006A198E"/>
    <w:rsid w:val="006A3315"/>
    <w:rsid w:val="006B00DB"/>
    <w:rsid w:val="006B2599"/>
    <w:rsid w:val="006B302E"/>
    <w:rsid w:val="006B324F"/>
    <w:rsid w:val="006B40B7"/>
    <w:rsid w:val="006B75F4"/>
    <w:rsid w:val="006C15C1"/>
    <w:rsid w:val="006C268C"/>
    <w:rsid w:val="006C2D57"/>
    <w:rsid w:val="006C4099"/>
    <w:rsid w:val="006C5338"/>
    <w:rsid w:val="006C7F39"/>
    <w:rsid w:val="006D3BFE"/>
    <w:rsid w:val="006E018C"/>
    <w:rsid w:val="006F572A"/>
    <w:rsid w:val="006F7784"/>
    <w:rsid w:val="006F7F36"/>
    <w:rsid w:val="0070255C"/>
    <w:rsid w:val="00710FAF"/>
    <w:rsid w:val="00711472"/>
    <w:rsid w:val="007157E4"/>
    <w:rsid w:val="00715F40"/>
    <w:rsid w:val="00717289"/>
    <w:rsid w:val="007173AD"/>
    <w:rsid w:val="007271B7"/>
    <w:rsid w:val="00730C01"/>
    <w:rsid w:val="00737ED7"/>
    <w:rsid w:val="00740428"/>
    <w:rsid w:val="00743BB5"/>
    <w:rsid w:val="00750D95"/>
    <w:rsid w:val="00754524"/>
    <w:rsid w:val="0075557A"/>
    <w:rsid w:val="00756C30"/>
    <w:rsid w:val="0075730A"/>
    <w:rsid w:val="007578A7"/>
    <w:rsid w:val="00765263"/>
    <w:rsid w:val="00766BDB"/>
    <w:rsid w:val="0077017C"/>
    <w:rsid w:val="00770451"/>
    <w:rsid w:val="00773605"/>
    <w:rsid w:val="00773D0D"/>
    <w:rsid w:val="00776266"/>
    <w:rsid w:val="00776ADD"/>
    <w:rsid w:val="00776FCC"/>
    <w:rsid w:val="00780ECD"/>
    <w:rsid w:val="0078393A"/>
    <w:rsid w:val="007842C8"/>
    <w:rsid w:val="007A4472"/>
    <w:rsid w:val="007B0D53"/>
    <w:rsid w:val="007B1695"/>
    <w:rsid w:val="007B295E"/>
    <w:rsid w:val="007C2F80"/>
    <w:rsid w:val="007C3390"/>
    <w:rsid w:val="007C4634"/>
    <w:rsid w:val="007D1303"/>
    <w:rsid w:val="007D55DC"/>
    <w:rsid w:val="007E20D9"/>
    <w:rsid w:val="007E32CB"/>
    <w:rsid w:val="007E5E71"/>
    <w:rsid w:val="007E6A94"/>
    <w:rsid w:val="007F2E84"/>
    <w:rsid w:val="007F5D28"/>
    <w:rsid w:val="007F7712"/>
    <w:rsid w:val="00801548"/>
    <w:rsid w:val="00816242"/>
    <w:rsid w:val="0082004F"/>
    <w:rsid w:val="00820D79"/>
    <w:rsid w:val="00820DDE"/>
    <w:rsid w:val="008233A8"/>
    <w:rsid w:val="00824E51"/>
    <w:rsid w:val="00827EAD"/>
    <w:rsid w:val="00834722"/>
    <w:rsid w:val="00834C69"/>
    <w:rsid w:val="0084075B"/>
    <w:rsid w:val="00845388"/>
    <w:rsid w:val="00845AAB"/>
    <w:rsid w:val="00855184"/>
    <w:rsid w:val="008573D2"/>
    <w:rsid w:val="008612A5"/>
    <w:rsid w:val="00861A93"/>
    <w:rsid w:val="00862847"/>
    <w:rsid w:val="0086642D"/>
    <w:rsid w:val="0087052E"/>
    <w:rsid w:val="008718F6"/>
    <w:rsid w:val="0087234C"/>
    <w:rsid w:val="00875673"/>
    <w:rsid w:val="0089076F"/>
    <w:rsid w:val="0089762C"/>
    <w:rsid w:val="008A0742"/>
    <w:rsid w:val="008A233B"/>
    <w:rsid w:val="008C4376"/>
    <w:rsid w:val="008D0CF0"/>
    <w:rsid w:val="008D1C5E"/>
    <w:rsid w:val="008D5139"/>
    <w:rsid w:val="008D6809"/>
    <w:rsid w:val="008E0194"/>
    <w:rsid w:val="008E3B3E"/>
    <w:rsid w:val="008E3C4B"/>
    <w:rsid w:val="008E3E71"/>
    <w:rsid w:val="008F0387"/>
    <w:rsid w:val="008F0FBF"/>
    <w:rsid w:val="008F267C"/>
    <w:rsid w:val="00901FAD"/>
    <w:rsid w:val="00902BA9"/>
    <w:rsid w:val="00906333"/>
    <w:rsid w:val="00907F71"/>
    <w:rsid w:val="00914CAE"/>
    <w:rsid w:val="00917506"/>
    <w:rsid w:val="009201E6"/>
    <w:rsid w:val="009205DF"/>
    <w:rsid w:val="00921CA1"/>
    <w:rsid w:val="009237B7"/>
    <w:rsid w:val="009263E0"/>
    <w:rsid w:val="009303C1"/>
    <w:rsid w:val="00930964"/>
    <w:rsid w:val="009327D8"/>
    <w:rsid w:val="0094770F"/>
    <w:rsid w:val="009505FB"/>
    <w:rsid w:val="009553C9"/>
    <w:rsid w:val="00962A9D"/>
    <w:rsid w:val="009634B0"/>
    <w:rsid w:val="009638C0"/>
    <w:rsid w:val="00964C2B"/>
    <w:rsid w:val="00970565"/>
    <w:rsid w:val="00971820"/>
    <w:rsid w:val="00975369"/>
    <w:rsid w:val="00980D4A"/>
    <w:rsid w:val="00980ECE"/>
    <w:rsid w:val="0098366C"/>
    <w:rsid w:val="00984117"/>
    <w:rsid w:val="009844FE"/>
    <w:rsid w:val="00984A85"/>
    <w:rsid w:val="00984CE2"/>
    <w:rsid w:val="00993067"/>
    <w:rsid w:val="009B43F8"/>
    <w:rsid w:val="009B65A2"/>
    <w:rsid w:val="009B66CB"/>
    <w:rsid w:val="009D0723"/>
    <w:rsid w:val="009D2C47"/>
    <w:rsid w:val="009E41D9"/>
    <w:rsid w:val="009E5E00"/>
    <w:rsid w:val="009E756E"/>
    <w:rsid w:val="009F0031"/>
    <w:rsid w:val="009F00B4"/>
    <w:rsid w:val="009F07AF"/>
    <w:rsid w:val="009F1022"/>
    <w:rsid w:val="009F4696"/>
    <w:rsid w:val="009F6DAB"/>
    <w:rsid w:val="009F7458"/>
    <w:rsid w:val="00A0019D"/>
    <w:rsid w:val="00A0129C"/>
    <w:rsid w:val="00A012C4"/>
    <w:rsid w:val="00A21BBF"/>
    <w:rsid w:val="00A2306C"/>
    <w:rsid w:val="00A33D16"/>
    <w:rsid w:val="00A340DF"/>
    <w:rsid w:val="00A357E7"/>
    <w:rsid w:val="00A35D1C"/>
    <w:rsid w:val="00A40080"/>
    <w:rsid w:val="00A43306"/>
    <w:rsid w:val="00A43740"/>
    <w:rsid w:val="00A44CC3"/>
    <w:rsid w:val="00A455AC"/>
    <w:rsid w:val="00A460E1"/>
    <w:rsid w:val="00A46A3F"/>
    <w:rsid w:val="00A477D4"/>
    <w:rsid w:val="00A504EA"/>
    <w:rsid w:val="00A52AAC"/>
    <w:rsid w:val="00A6610D"/>
    <w:rsid w:val="00A671DA"/>
    <w:rsid w:val="00A746F9"/>
    <w:rsid w:val="00A75054"/>
    <w:rsid w:val="00A806EB"/>
    <w:rsid w:val="00A842BF"/>
    <w:rsid w:val="00A87D5B"/>
    <w:rsid w:val="00A93FD0"/>
    <w:rsid w:val="00A94323"/>
    <w:rsid w:val="00A97A8A"/>
    <w:rsid w:val="00AA0632"/>
    <w:rsid w:val="00AA0FAD"/>
    <w:rsid w:val="00AA40C4"/>
    <w:rsid w:val="00AA7CE0"/>
    <w:rsid w:val="00AB1EEA"/>
    <w:rsid w:val="00AB28EB"/>
    <w:rsid w:val="00AB37C8"/>
    <w:rsid w:val="00AB6622"/>
    <w:rsid w:val="00AB73DC"/>
    <w:rsid w:val="00AC1F99"/>
    <w:rsid w:val="00AC6621"/>
    <w:rsid w:val="00AC7E6A"/>
    <w:rsid w:val="00AD0251"/>
    <w:rsid w:val="00AD17A8"/>
    <w:rsid w:val="00AD1A21"/>
    <w:rsid w:val="00AD393D"/>
    <w:rsid w:val="00AD3AB7"/>
    <w:rsid w:val="00AE5BCB"/>
    <w:rsid w:val="00AE5CF7"/>
    <w:rsid w:val="00AE6EE7"/>
    <w:rsid w:val="00AF38F7"/>
    <w:rsid w:val="00AF7114"/>
    <w:rsid w:val="00B0545B"/>
    <w:rsid w:val="00B115B9"/>
    <w:rsid w:val="00B20D93"/>
    <w:rsid w:val="00B31E79"/>
    <w:rsid w:val="00B31E7C"/>
    <w:rsid w:val="00B36CEB"/>
    <w:rsid w:val="00B455CC"/>
    <w:rsid w:val="00B61DA2"/>
    <w:rsid w:val="00B63630"/>
    <w:rsid w:val="00B644B2"/>
    <w:rsid w:val="00B72218"/>
    <w:rsid w:val="00B72522"/>
    <w:rsid w:val="00B72BD5"/>
    <w:rsid w:val="00B73160"/>
    <w:rsid w:val="00B73C0B"/>
    <w:rsid w:val="00B73C15"/>
    <w:rsid w:val="00B7502F"/>
    <w:rsid w:val="00B90431"/>
    <w:rsid w:val="00B94ACD"/>
    <w:rsid w:val="00B94D0C"/>
    <w:rsid w:val="00B957AF"/>
    <w:rsid w:val="00BA558B"/>
    <w:rsid w:val="00BA7F6D"/>
    <w:rsid w:val="00BB5F07"/>
    <w:rsid w:val="00BB62C8"/>
    <w:rsid w:val="00BC11E8"/>
    <w:rsid w:val="00BC518D"/>
    <w:rsid w:val="00BC5489"/>
    <w:rsid w:val="00BC6448"/>
    <w:rsid w:val="00BC7F19"/>
    <w:rsid w:val="00BD5637"/>
    <w:rsid w:val="00BE09D4"/>
    <w:rsid w:val="00BE3689"/>
    <w:rsid w:val="00BF2061"/>
    <w:rsid w:val="00BF258D"/>
    <w:rsid w:val="00BF2DB9"/>
    <w:rsid w:val="00BF4F6D"/>
    <w:rsid w:val="00BF61A3"/>
    <w:rsid w:val="00BF6FC6"/>
    <w:rsid w:val="00C02803"/>
    <w:rsid w:val="00C04D56"/>
    <w:rsid w:val="00C05BFF"/>
    <w:rsid w:val="00C063F4"/>
    <w:rsid w:val="00C104BF"/>
    <w:rsid w:val="00C15189"/>
    <w:rsid w:val="00C20C2E"/>
    <w:rsid w:val="00C26D9F"/>
    <w:rsid w:val="00C30023"/>
    <w:rsid w:val="00C30432"/>
    <w:rsid w:val="00C30C8A"/>
    <w:rsid w:val="00C40C73"/>
    <w:rsid w:val="00C41C69"/>
    <w:rsid w:val="00C44951"/>
    <w:rsid w:val="00C474DD"/>
    <w:rsid w:val="00C475C3"/>
    <w:rsid w:val="00C51A12"/>
    <w:rsid w:val="00C53195"/>
    <w:rsid w:val="00C54F60"/>
    <w:rsid w:val="00C55A54"/>
    <w:rsid w:val="00C634DF"/>
    <w:rsid w:val="00C75E68"/>
    <w:rsid w:val="00C83ECE"/>
    <w:rsid w:val="00C86B41"/>
    <w:rsid w:val="00C92BFD"/>
    <w:rsid w:val="00C9338B"/>
    <w:rsid w:val="00C95E7D"/>
    <w:rsid w:val="00C975A6"/>
    <w:rsid w:val="00CA0D02"/>
    <w:rsid w:val="00CA456A"/>
    <w:rsid w:val="00CA7214"/>
    <w:rsid w:val="00CB1CF5"/>
    <w:rsid w:val="00CB3617"/>
    <w:rsid w:val="00CB47D7"/>
    <w:rsid w:val="00CC470D"/>
    <w:rsid w:val="00CC72EE"/>
    <w:rsid w:val="00CD412C"/>
    <w:rsid w:val="00CE130B"/>
    <w:rsid w:val="00CE24F0"/>
    <w:rsid w:val="00CE4B06"/>
    <w:rsid w:val="00CE7944"/>
    <w:rsid w:val="00CE79E2"/>
    <w:rsid w:val="00CF012C"/>
    <w:rsid w:val="00CF1294"/>
    <w:rsid w:val="00CF2DF6"/>
    <w:rsid w:val="00CF6387"/>
    <w:rsid w:val="00D06E1F"/>
    <w:rsid w:val="00D11828"/>
    <w:rsid w:val="00D129E4"/>
    <w:rsid w:val="00D1778D"/>
    <w:rsid w:val="00D2515E"/>
    <w:rsid w:val="00D26470"/>
    <w:rsid w:val="00D37FEC"/>
    <w:rsid w:val="00D47495"/>
    <w:rsid w:val="00D51999"/>
    <w:rsid w:val="00D52251"/>
    <w:rsid w:val="00D528D4"/>
    <w:rsid w:val="00D5384D"/>
    <w:rsid w:val="00D63328"/>
    <w:rsid w:val="00D65408"/>
    <w:rsid w:val="00D66124"/>
    <w:rsid w:val="00D728D2"/>
    <w:rsid w:val="00D74F6F"/>
    <w:rsid w:val="00D76F37"/>
    <w:rsid w:val="00D77976"/>
    <w:rsid w:val="00D861FD"/>
    <w:rsid w:val="00D94888"/>
    <w:rsid w:val="00D9514E"/>
    <w:rsid w:val="00DA63FE"/>
    <w:rsid w:val="00DA6AAD"/>
    <w:rsid w:val="00DB03FA"/>
    <w:rsid w:val="00DB12FD"/>
    <w:rsid w:val="00DB330B"/>
    <w:rsid w:val="00DC0F0C"/>
    <w:rsid w:val="00DC167C"/>
    <w:rsid w:val="00DC214A"/>
    <w:rsid w:val="00DD38D1"/>
    <w:rsid w:val="00DD788F"/>
    <w:rsid w:val="00DE000D"/>
    <w:rsid w:val="00DF0F95"/>
    <w:rsid w:val="00DF40EF"/>
    <w:rsid w:val="00DF455C"/>
    <w:rsid w:val="00E01618"/>
    <w:rsid w:val="00E02A6E"/>
    <w:rsid w:val="00E03FBB"/>
    <w:rsid w:val="00E06600"/>
    <w:rsid w:val="00E11591"/>
    <w:rsid w:val="00E143F1"/>
    <w:rsid w:val="00E14B9A"/>
    <w:rsid w:val="00E26111"/>
    <w:rsid w:val="00E26D02"/>
    <w:rsid w:val="00E30C1B"/>
    <w:rsid w:val="00E3319D"/>
    <w:rsid w:val="00E35628"/>
    <w:rsid w:val="00E35C94"/>
    <w:rsid w:val="00E36708"/>
    <w:rsid w:val="00E36E1B"/>
    <w:rsid w:val="00E43071"/>
    <w:rsid w:val="00E43480"/>
    <w:rsid w:val="00E4656A"/>
    <w:rsid w:val="00E52FD9"/>
    <w:rsid w:val="00E5593D"/>
    <w:rsid w:val="00E60180"/>
    <w:rsid w:val="00E6145B"/>
    <w:rsid w:val="00E6534A"/>
    <w:rsid w:val="00E67C7B"/>
    <w:rsid w:val="00E67DD0"/>
    <w:rsid w:val="00E70645"/>
    <w:rsid w:val="00E714A8"/>
    <w:rsid w:val="00E75F73"/>
    <w:rsid w:val="00E760A5"/>
    <w:rsid w:val="00E80195"/>
    <w:rsid w:val="00E82FF7"/>
    <w:rsid w:val="00E84BE3"/>
    <w:rsid w:val="00E91791"/>
    <w:rsid w:val="00EA0901"/>
    <w:rsid w:val="00EA27AE"/>
    <w:rsid w:val="00EA64B3"/>
    <w:rsid w:val="00EB2F8A"/>
    <w:rsid w:val="00EB360B"/>
    <w:rsid w:val="00EC0020"/>
    <w:rsid w:val="00EC0ADB"/>
    <w:rsid w:val="00EC115F"/>
    <w:rsid w:val="00EC1A62"/>
    <w:rsid w:val="00EC1F5A"/>
    <w:rsid w:val="00EC4A2D"/>
    <w:rsid w:val="00EC529D"/>
    <w:rsid w:val="00ED47B3"/>
    <w:rsid w:val="00EE18D8"/>
    <w:rsid w:val="00EE5CBB"/>
    <w:rsid w:val="00EF6193"/>
    <w:rsid w:val="00EF6B50"/>
    <w:rsid w:val="00F01C8D"/>
    <w:rsid w:val="00F110C4"/>
    <w:rsid w:val="00F11D0F"/>
    <w:rsid w:val="00F1215C"/>
    <w:rsid w:val="00F126B0"/>
    <w:rsid w:val="00F15968"/>
    <w:rsid w:val="00F16BEF"/>
    <w:rsid w:val="00F1760F"/>
    <w:rsid w:val="00F322F8"/>
    <w:rsid w:val="00F32499"/>
    <w:rsid w:val="00F34362"/>
    <w:rsid w:val="00F34728"/>
    <w:rsid w:val="00F378C2"/>
    <w:rsid w:val="00F37B97"/>
    <w:rsid w:val="00F4040A"/>
    <w:rsid w:val="00F42F99"/>
    <w:rsid w:val="00F435AD"/>
    <w:rsid w:val="00F4492D"/>
    <w:rsid w:val="00F45BC4"/>
    <w:rsid w:val="00F54E04"/>
    <w:rsid w:val="00F565D5"/>
    <w:rsid w:val="00F64F7E"/>
    <w:rsid w:val="00F72A4A"/>
    <w:rsid w:val="00F73104"/>
    <w:rsid w:val="00F7321F"/>
    <w:rsid w:val="00F75270"/>
    <w:rsid w:val="00F75EF5"/>
    <w:rsid w:val="00F76BDA"/>
    <w:rsid w:val="00F77DF8"/>
    <w:rsid w:val="00F81940"/>
    <w:rsid w:val="00F82B42"/>
    <w:rsid w:val="00F82B8F"/>
    <w:rsid w:val="00F85E6B"/>
    <w:rsid w:val="00F8651A"/>
    <w:rsid w:val="00F87C89"/>
    <w:rsid w:val="00F91E82"/>
    <w:rsid w:val="00F92240"/>
    <w:rsid w:val="00F95DAD"/>
    <w:rsid w:val="00F968B2"/>
    <w:rsid w:val="00F97812"/>
    <w:rsid w:val="00FA062E"/>
    <w:rsid w:val="00FA0B71"/>
    <w:rsid w:val="00FA2716"/>
    <w:rsid w:val="00FA2E90"/>
    <w:rsid w:val="00FA3B49"/>
    <w:rsid w:val="00FA5FC0"/>
    <w:rsid w:val="00FB26D4"/>
    <w:rsid w:val="00FB3171"/>
    <w:rsid w:val="00FB461A"/>
    <w:rsid w:val="00FB6658"/>
    <w:rsid w:val="00FB7334"/>
    <w:rsid w:val="00FC3410"/>
    <w:rsid w:val="00FC4D84"/>
    <w:rsid w:val="00FC79DA"/>
    <w:rsid w:val="00FD4641"/>
    <w:rsid w:val="00FE19B2"/>
    <w:rsid w:val="00FE22BB"/>
    <w:rsid w:val="00FE56A3"/>
    <w:rsid w:val="00FE655F"/>
    <w:rsid w:val="00FF292B"/>
    <w:rsid w:val="00FF4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84E06"/>
  <w15:docId w15:val="{A3636452-3120-A74E-9763-06250577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866"/>
  </w:style>
  <w:style w:type="paragraph" w:styleId="Heading1">
    <w:name w:val="heading 1"/>
    <w:basedOn w:val="Normal"/>
    <w:next w:val="Normal"/>
    <w:link w:val="Heading1Char"/>
    <w:uiPriority w:val="9"/>
    <w:qFormat/>
    <w:rsid w:val="00E67C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7C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0645"/>
    <w:rPr>
      <w:color w:val="0563C1" w:themeColor="hyperlink"/>
      <w:u w:val="single"/>
    </w:rPr>
  </w:style>
  <w:style w:type="character" w:customStyle="1" w:styleId="UnresolvedMention1">
    <w:name w:val="Unresolved Mention1"/>
    <w:basedOn w:val="DefaultParagraphFont"/>
    <w:uiPriority w:val="99"/>
    <w:semiHidden/>
    <w:unhideWhenUsed/>
    <w:rsid w:val="00E70645"/>
    <w:rPr>
      <w:color w:val="605E5C"/>
      <w:shd w:val="clear" w:color="auto" w:fill="E1DFDD"/>
    </w:rPr>
  </w:style>
  <w:style w:type="character" w:styleId="PlaceholderText">
    <w:name w:val="Placeholder Text"/>
    <w:basedOn w:val="DefaultParagraphFont"/>
    <w:uiPriority w:val="99"/>
    <w:semiHidden/>
    <w:rsid w:val="00BC5489"/>
    <w:rPr>
      <w:color w:val="808080"/>
    </w:rPr>
  </w:style>
  <w:style w:type="character" w:customStyle="1" w:styleId="Heading1Char">
    <w:name w:val="Heading 1 Char"/>
    <w:basedOn w:val="DefaultParagraphFont"/>
    <w:link w:val="Heading1"/>
    <w:uiPriority w:val="9"/>
    <w:rsid w:val="00E67C7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67C7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E7E39"/>
    <w:pPr>
      <w:ind w:left="720"/>
      <w:contextualSpacing/>
    </w:pPr>
  </w:style>
  <w:style w:type="character" w:styleId="Strong">
    <w:name w:val="Strong"/>
    <w:basedOn w:val="DefaultParagraphFont"/>
    <w:uiPriority w:val="22"/>
    <w:qFormat/>
    <w:rsid w:val="004465B3"/>
    <w:rPr>
      <w:b/>
      <w:bCs/>
    </w:rPr>
  </w:style>
  <w:style w:type="paragraph" w:styleId="FootnoteText">
    <w:name w:val="footnote text"/>
    <w:basedOn w:val="Normal"/>
    <w:link w:val="FootnoteTextChar"/>
    <w:uiPriority w:val="99"/>
    <w:semiHidden/>
    <w:unhideWhenUsed/>
    <w:rsid w:val="00A46A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6A3F"/>
    <w:rPr>
      <w:sz w:val="20"/>
      <w:szCs w:val="20"/>
    </w:rPr>
  </w:style>
  <w:style w:type="character" w:styleId="FootnoteReference">
    <w:name w:val="footnote reference"/>
    <w:basedOn w:val="DefaultParagraphFont"/>
    <w:uiPriority w:val="99"/>
    <w:semiHidden/>
    <w:unhideWhenUsed/>
    <w:rsid w:val="00A46A3F"/>
    <w:rPr>
      <w:vertAlign w:val="superscript"/>
    </w:rPr>
  </w:style>
  <w:style w:type="paragraph" w:styleId="BalloonText">
    <w:name w:val="Balloon Text"/>
    <w:basedOn w:val="Normal"/>
    <w:link w:val="BalloonTextChar"/>
    <w:uiPriority w:val="99"/>
    <w:semiHidden/>
    <w:unhideWhenUsed/>
    <w:rsid w:val="00770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17C"/>
    <w:rPr>
      <w:rFonts w:ascii="Tahoma" w:hAnsi="Tahoma" w:cs="Tahoma"/>
      <w:sz w:val="16"/>
      <w:szCs w:val="16"/>
    </w:rPr>
  </w:style>
  <w:style w:type="character" w:styleId="FollowedHyperlink">
    <w:name w:val="FollowedHyperlink"/>
    <w:basedOn w:val="DefaultParagraphFont"/>
    <w:uiPriority w:val="99"/>
    <w:semiHidden/>
    <w:unhideWhenUsed/>
    <w:rsid w:val="009E41D9"/>
    <w:rPr>
      <w:color w:val="954F72" w:themeColor="followedHyperlink"/>
      <w:u w:val="single"/>
    </w:rPr>
  </w:style>
  <w:style w:type="character" w:customStyle="1" w:styleId="UnresolvedMention2">
    <w:name w:val="Unresolved Mention2"/>
    <w:basedOn w:val="DefaultParagraphFont"/>
    <w:uiPriority w:val="99"/>
    <w:semiHidden/>
    <w:unhideWhenUsed/>
    <w:rsid w:val="00541200"/>
    <w:rPr>
      <w:color w:val="605E5C"/>
      <w:shd w:val="clear" w:color="auto" w:fill="E1DFDD"/>
    </w:rPr>
  </w:style>
  <w:style w:type="character" w:styleId="CommentReference">
    <w:name w:val="annotation reference"/>
    <w:basedOn w:val="DefaultParagraphFont"/>
    <w:uiPriority w:val="99"/>
    <w:semiHidden/>
    <w:unhideWhenUsed/>
    <w:rsid w:val="00D63328"/>
    <w:rPr>
      <w:sz w:val="16"/>
      <w:szCs w:val="16"/>
    </w:rPr>
  </w:style>
  <w:style w:type="paragraph" w:styleId="CommentText">
    <w:name w:val="annotation text"/>
    <w:basedOn w:val="Normal"/>
    <w:link w:val="CommentTextChar"/>
    <w:uiPriority w:val="99"/>
    <w:semiHidden/>
    <w:unhideWhenUsed/>
    <w:rsid w:val="00D63328"/>
    <w:pPr>
      <w:spacing w:line="240" w:lineRule="auto"/>
    </w:pPr>
    <w:rPr>
      <w:sz w:val="20"/>
      <w:szCs w:val="20"/>
    </w:rPr>
  </w:style>
  <w:style w:type="character" w:customStyle="1" w:styleId="CommentTextChar">
    <w:name w:val="Comment Text Char"/>
    <w:basedOn w:val="DefaultParagraphFont"/>
    <w:link w:val="CommentText"/>
    <w:uiPriority w:val="99"/>
    <w:semiHidden/>
    <w:rsid w:val="00D63328"/>
    <w:rPr>
      <w:sz w:val="20"/>
      <w:szCs w:val="20"/>
    </w:rPr>
  </w:style>
  <w:style w:type="paragraph" w:styleId="CommentSubject">
    <w:name w:val="annotation subject"/>
    <w:basedOn w:val="CommentText"/>
    <w:next w:val="CommentText"/>
    <w:link w:val="CommentSubjectChar"/>
    <w:uiPriority w:val="99"/>
    <w:semiHidden/>
    <w:unhideWhenUsed/>
    <w:rsid w:val="00D63328"/>
    <w:rPr>
      <w:b/>
      <w:bCs/>
    </w:rPr>
  </w:style>
  <w:style w:type="character" w:customStyle="1" w:styleId="CommentSubjectChar">
    <w:name w:val="Comment Subject Char"/>
    <w:basedOn w:val="CommentTextChar"/>
    <w:link w:val="CommentSubject"/>
    <w:uiPriority w:val="99"/>
    <w:semiHidden/>
    <w:rsid w:val="00D63328"/>
    <w:rPr>
      <w:b/>
      <w:bCs/>
      <w:sz w:val="20"/>
      <w:szCs w:val="20"/>
    </w:rPr>
  </w:style>
  <w:style w:type="paragraph" w:styleId="Footer">
    <w:name w:val="footer"/>
    <w:basedOn w:val="Normal"/>
    <w:link w:val="FooterChar"/>
    <w:uiPriority w:val="99"/>
    <w:unhideWhenUsed/>
    <w:rsid w:val="00CC72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2EE"/>
  </w:style>
  <w:style w:type="character" w:styleId="PageNumber">
    <w:name w:val="page number"/>
    <w:basedOn w:val="DefaultParagraphFont"/>
    <w:uiPriority w:val="99"/>
    <w:semiHidden/>
    <w:unhideWhenUsed/>
    <w:rsid w:val="00CC7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18038">
      <w:bodyDiv w:val="1"/>
      <w:marLeft w:val="0"/>
      <w:marRight w:val="0"/>
      <w:marTop w:val="0"/>
      <w:marBottom w:val="0"/>
      <w:divBdr>
        <w:top w:val="none" w:sz="0" w:space="0" w:color="auto"/>
        <w:left w:val="none" w:sz="0" w:space="0" w:color="auto"/>
        <w:bottom w:val="none" w:sz="0" w:space="0" w:color="auto"/>
        <w:right w:val="none" w:sz="0" w:space="0" w:color="auto"/>
      </w:divBdr>
    </w:div>
    <w:div w:id="90005064">
      <w:bodyDiv w:val="1"/>
      <w:marLeft w:val="0"/>
      <w:marRight w:val="0"/>
      <w:marTop w:val="0"/>
      <w:marBottom w:val="0"/>
      <w:divBdr>
        <w:top w:val="none" w:sz="0" w:space="0" w:color="auto"/>
        <w:left w:val="none" w:sz="0" w:space="0" w:color="auto"/>
        <w:bottom w:val="none" w:sz="0" w:space="0" w:color="auto"/>
        <w:right w:val="none" w:sz="0" w:space="0" w:color="auto"/>
      </w:divBdr>
    </w:div>
    <w:div w:id="147988462">
      <w:bodyDiv w:val="1"/>
      <w:marLeft w:val="0"/>
      <w:marRight w:val="0"/>
      <w:marTop w:val="0"/>
      <w:marBottom w:val="0"/>
      <w:divBdr>
        <w:top w:val="none" w:sz="0" w:space="0" w:color="auto"/>
        <w:left w:val="none" w:sz="0" w:space="0" w:color="auto"/>
        <w:bottom w:val="none" w:sz="0" w:space="0" w:color="auto"/>
        <w:right w:val="none" w:sz="0" w:space="0" w:color="auto"/>
      </w:divBdr>
    </w:div>
    <w:div w:id="342980049">
      <w:bodyDiv w:val="1"/>
      <w:marLeft w:val="0"/>
      <w:marRight w:val="0"/>
      <w:marTop w:val="0"/>
      <w:marBottom w:val="0"/>
      <w:divBdr>
        <w:top w:val="none" w:sz="0" w:space="0" w:color="auto"/>
        <w:left w:val="none" w:sz="0" w:space="0" w:color="auto"/>
        <w:bottom w:val="none" w:sz="0" w:space="0" w:color="auto"/>
        <w:right w:val="none" w:sz="0" w:space="0" w:color="auto"/>
      </w:divBdr>
    </w:div>
    <w:div w:id="420371619">
      <w:bodyDiv w:val="1"/>
      <w:marLeft w:val="0"/>
      <w:marRight w:val="0"/>
      <w:marTop w:val="0"/>
      <w:marBottom w:val="0"/>
      <w:divBdr>
        <w:top w:val="none" w:sz="0" w:space="0" w:color="auto"/>
        <w:left w:val="none" w:sz="0" w:space="0" w:color="auto"/>
        <w:bottom w:val="none" w:sz="0" w:space="0" w:color="auto"/>
        <w:right w:val="none" w:sz="0" w:space="0" w:color="auto"/>
      </w:divBdr>
    </w:div>
    <w:div w:id="553156517">
      <w:bodyDiv w:val="1"/>
      <w:marLeft w:val="0"/>
      <w:marRight w:val="0"/>
      <w:marTop w:val="0"/>
      <w:marBottom w:val="0"/>
      <w:divBdr>
        <w:top w:val="none" w:sz="0" w:space="0" w:color="auto"/>
        <w:left w:val="none" w:sz="0" w:space="0" w:color="auto"/>
        <w:bottom w:val="none" w:sz="0" w:space="0" w:color="auto"/>
        <w:right w:val="none" w:sz="0" w:space="0" w:color="auto"/>
      </w:divBdr>
    </w:div>
    <w:div w:id="600451344">
      <w:bodyDiv w:val="1"/>
      <w:marLeft w:val="0"/>
      <w:marRight w:val="0"/>
      <w:marTop w:val="0"/>
      <w:marBottom w:val="0"/>
      <w:divBdr>
        <w:top w:val="none" w:sz="0" w:space="0" w:color="auto"/>
        <w:left w:val="none" w:sz="0" w:space="0" w:color="auto"/>
        <w:bottom w:val="none" w:sz="0" w:space="0" w:color="auto"/>
        <w:right w:val="none" w:sz="0" w:space="0" w:color="auto"/>
      </w:divBdr>
    </w:div>
    <w:div w:id="631791538">
      <w:bodyDiv w:val="1"/>
      <w:marLeft w:val="0"/>
      <w:marRight w:val="0"/>
      <w:marTop w:val="0"/>
      <w:marBottom w:val="0"/>
      <w:divBdr>
        <w:top w:val="none" w:sz="0" w:space="0" w:color="auto"/>
        <w:left w:val="none" w:sz="0" w:space="0" w:color="auto"/>
        <w:bottom w:val="none" w:sz="0" w:space="0" w:color="auto"/>
        <w:right w:val="none" w:sz="0" w:space="0" w:color="auto"/>
      </w:divBdr>
    </w:div>
    <w:div w:id="641811610">
      <w:bodyDiv w:val="1"/>
      <w:marLeft w:val="0"/>
      <w:marRight w:val="0"/>
      <w:marTop w:val="0"/>
      <w:marBottom w:val="0"/>
      <w:divBdr>
        <w:top w:val="none" w:sz="0" w:space="0" w:color="auto"/>
        <w:left w:val="none" w:sz="0" w:space="0" w:color="auto"/>
        <w:bottom w:val="none" w:sz="0" w:space="0" w:color="auto"/>
        <w:right w:val="none" w:sz="0" w:space="0" w:color="auto"/>
      </w:divBdr>
    </w:div>
    <w:div w:id="741098410">
      <w:bodyDiv w:val="1"/>
      <w:marLeft w:val="0"/>
      <w:marRight w:val="0"/>
      <w:marTop w:val="0"/>
      <w:marBottom w:val="0"/>
      <w:divBdr>
        <w:top w:val="none" w:sz="0" w:space="0" w:color="auto"/>
        <w:left w:val="none" w:sz="0" w:space="0" w:color="auto"/>
        <w:bottom w:val="none" w:sz="0" w:space="0" w:color="auto"/>
        <w:right w:val="none" w:sz="0" w:space="0" w:color="auto"/>
      </w:divBdr>
    </w:div>
    <w:div w:id="846670310">
      <w:bodyDiv w:val="1"/>
      <w:marLeft w:val="0"/>
      <w:marRight w:val="0"/>
      <w:marTop w:val="0"/>
      <w:marBottom w:val="0"/>
      <w:divBdr>
        <w:top w:val="none" w:sz="0" w:space="0" w:color="auto"/>
        <w:left w:val="none" w:sz="0" w:space="0" w:color="auto"/>
        <w:bottom w:val="none" w:sz="0" w:space="0" w:color="auto"/>
        <w:right w:val="none" w:sz="0" w:space="0" w:color="auto"/>
      </w:divBdr>
      <w:divsChild>
        <w:div w:id="2146463333">
          <w:marLeft w:val="0"/>
          <w:marRight w:val="0"/>
          <w:marTop w:val="0"/>
          <w:marBottom w:val="0"/>
          <w:divBdr>
            <w:top w:val="none" w:sz="0" w:space="0" w:color="auto"/>
            <w:left w:val="none" w:sz="0" w:space="0" w:color="auto"/>
            <w:bottom w:val="none" w:sz="0" w:space="0" w:color="auto"/>
            <w:right w:val="none" w:sz="0" w:space="0" w:color="auto"/>
          </w:divBdr>
          <w:divsChild>
            <w:div w:id="1069041105">
              <w:marLeft w:val="0"/>
              <w:marRight w:val="0"/>
              <w:marTop w:val="0"/>
              <w:marBottom w:val="0"/>
              <w:divBdr>
                <w:top w:val="none" w:sz="0" w:space="0" w:color="auto"/>
                <w:left w:val="none" w:sz="0" w:space="0" w:color="auto"/>
                <w:bottom w:val="none" w:sz="0" w:space="0" w:color="auto"/>
                <w:right w:val="none" w:sz="0" w:space="0" w:color="auto"/>
              </w:divBdr>
              <w:divsChild>
                <w:div w:id="96091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45884">
      <w:bodyDiv w:val="1"/>
      <w:marLeft w:val="0"/>
      <w:marRight w:val="0"/>
      <w:marTop w:val="0"/>
      <w:marBottom w:val="0"/>
      <w:divBdr>
        <w:top w:val="none" w:sz="0" w:space="0" w:color="auto"/>
        <w:left w:val="none" w:sz="0" w:space="0" w:color="auto"/>
        <w:bottom w:val="none" w:sz="0" w:space="0" w:color="auto"/>
        <w:right w:val="none" w:sz="0" w:space="0" w:color="auto"/>
      </w:divBdr>
    </w:div>
    <w:div w:id="1017535596">
      <w:bodyDiv w:val="1"/>
      <w:marLeft w:val="0"/>
      <w:marRight w:val="0"/>
      <w:marTop w:val="0"/>
      <w:marBottom w:val="0"/>
      <w:divBdr>
        <w:top w:val="none" w:sz="0" w:space="0" w:color="auto"/>
        <w:left w:val="none" w:sz="0" w:space="0" w:color="auto"/>
        <w:bottom w:val="none" w:sz="0" w:space="0" w:color="auto"/>
        <w:right w:val="none" w:sz="0" w:space="0" w:color="auto"/>
      </w:divBdr>
    </w:div>
    <w:div w:id="1028870335">
      <w:bodyDiv w:val="1"/>
      <w:marLeft w:val="0"/>
      <w:marRight w:val="0"/>
      <w:marTop w:val="0"/>
      <w:marBottom w:val="0"/>
      <w:divBdr>
        <w:top w:val="none" w:sz="0" w:space="0" w:color="auto"/>
        <w:left w:val="none" w:sz="0" w:space="0" w:color="auto"/>
        <w:bottom w:val="none" w:sz="0" w:space="0" w:color="auto"/>
        <w:right w:val="none" w:sz="0" w:space="0" w:color="auto"/>
      </w:divBdr>
    </w:div>
    <w:div w:id="1118643305">
      <w:bodyDiv w:val="1"/>
      <w:marLeft w:val="0"/>
      <w:marRight w:val="0"/>
      <w:marTop w:val="0"/>
      <w:marBottom w:val="0"/>
      <w:divBdr>
        <w:top w:val="none" w:sz="0" w:space="0" w:color="auto"/>
        <w:left w:val="none" w:sz="0" w:space="0" w:color="auto"/>
        <w:bottom w:val="none" w:sz="0" w:space="0" w:color="auto"/>
        <w:right w:val="none" w:sz="0" w:space="0" w:color="auto"/>
      </w:divBdr>
    </w:div>
    <w:div w:id="1141927699">
      <w:bodyDiv w:val="1"/>
      <w:marLeft w:val="0"/>
      <w:marRight w:val="0"/>
      <w:marTop w:val="0"/>
      <w:marBottom w:val="0"/>
      <w:divBdr>
        <w:top w:val="none" w:sz="0" w:space="0" w:color="auto"/>
        <w:left w:val="none" w:sz="0" w:space="0" w:color="auto"/>
        <w:bottom w:val="none" w:sz="0" w:space="0" w:color="auto"/>
        <w:right w:val="none" w:sz="0" w:space="0" w:color="auto"/>
      </w:divBdr>
    </w:div>
    <w:div w:id="1300963125">
      <w:bodyDiv w:val="1"/>
      <w:marLeft w:val="0"/>
      <w:marRight w:val="0"/>
      <w:marTop w:val="0"/>
      <w:marBottom w:val="0"/>
      <w:divBdr>
        <w:top w:val="none" w:sz="0" w:space="0" w:color="auto"/>
        <w:left w:val="none" w:sz="0" w:space="0" w:color="auto"/>
        <w:bottom w:val="none" w:sz="0" w:space="0" w:color="auto"/>
        <w:right w:val="none" w:sz="0" w:space="0" w:color="auto"/>
      </w:divBdr>
    </w:div>
    <w:div w:id="1391492449">
      <w:bodyDiv w:val="1"/>
      <w:marLeft w:val="0"/>
      <w:marRight w:val="0"/>
      <w:marTop w:val="0"/>
      <w:marBottom w:val="0"/>
      <w:divBdr>
        <w:top w:val="none" w:sz="0" w:space="0" w:color="auto"/>
        <w:left w:val="none" w:sz="0" w:space="0" w:color="auto"/>
        <w:bottom w:val="none" w:sz="0" w:space="0" w:color="auto"/>
        <w:right w:val="none" w:sz="0" w:space="0" w:color="auto"/>
      </w:divBdr>
    </w:div>
    <w:div w:id="1398359350">
      <w:bodyDiv w:val="1"/>
      <w:marLeft w:val="0"/>
      <w:marRight w:val="0"/>
      <w:marTop w:val="0"/>
      <w:marBottom w:val="0"/>
      <w:divBdr>
        <w:top w:val="none" w:sz="0" w:space="0" w:color="auto"/>
        <w:left w:val="none" w:sz="0" w:space="0" w:color="auto"/>
        <w:bottom w:val="none" w:sz="0" w:space="0" w:color="auto"/>
        <w:right w:val="none" w:sz="0" w:space="0" w:color="auto"/>
      </w:divBdr>
    </w:div>
    <w:div w:id="1509784468">
      <w:bodyDiv w:val="1"/>
      <w:marLeft w:val="0"/>
      <w:marRight w:val="0"/>
      <w:marTop w:val="0"/>
      <w:marBottom w:val="0"/>
      <w:divBdr>
        <w:top w:val="none" w:sz="0" w:space="0" w:color="auto"/>
        <w:left w:val="none" w:sz="0" w:space="0" w:color="auto"/>
        <w:bottom w:val="none" w:sz="0" w:space="0" w:color="auto"/>
        <w:right w:val="none" w:sz="0" w:space="0" w:color="auto"/>
      </w:divBdr>
    </w:div>
    <w:div w:id="1591695838">
      <w:bodyDiv w:val="1"/>
      <w:marLeft w:val="0"/>
      <w:marRight w:val="0"/>
      <w:marTop w:val="0"/>
      <w:marBottom w:val="0"/>
      <w:divBdr>
        <w:top w:val="none" w:sz="0" w:space="0" w:color="auto"/>
        <w:left w:val="none" w:sz="0" w:space="0" w:color="auto"/>
        <w:bottom w:val="none" w:sz="0" w:space="0" w:color="auto"/>
        <w:right w:val="none" w:sz="0" w:space="0" w:color="auto"/>
      </w:divBdr>
      <w:divsChild>
        <w:div w:id="2045673383">
          <w:marLeft w:val="0"/>
          <w:marRight w:val="0"/>
          <w:marTop w:val="0"/>
          <w:marBottom w:val="0"/>
          <w:divBdr>
            <w:top w:val="none" w:sz="0" w:space="0" w:color="auto"/>
            <w:left w:val="none" w:sz="0" w:space="0" w:color="auto"/>
            <w:bottom w:val="none" w:sz="0" w:space="0" w:color="auto"/>
            <w:right w:val="none" w:sz="0" w:space="0" w:color="auto"/>
          </w:divBdr>
          <w:divsChild>
            <w:div w:id="1695765963">
              <w:marLeft w:val="0"/>
              <w:marRight w:val="0"/>
              <w:marTop w:val="0"/>
              <w:marBottom w:val="0"/>
              <w:divBdr>
                <w:top w:val="none" w:sz="0" w:space="0" w:color="auto"/>
                <w:left w:val="none" w:sz="0" w:space="0" w:color="auto"/>
                <w:bottom w:val="none" w:sz="0" w:space="0" w:color="auto"/>
                <w:right w:val="none" w:sz="0" w:space="0" w:color="auto"/>
              </w:divBdr>
              <w:divsChild>
                <w:div w:id="20602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023917">
      <w:bodyDiv w:val="1"/>
      <w:marLeft w:val="0"/>
      <w:marRight w:val="0"/>
      <w:marTop w:val="0"/>
      <w:marBottom w:val="0"/>
      <w:divBdr>
        <w:top w:val="none" w:sz="0" w:space="0" w:color="auto"/>
        <w:left w:val="none" w:sz="0" w:space="0" w:color="auto"/>
        <w:bottom w:val="none" w:sz="0" w:space="0" w:color="auto"/>
        <w:right w:val="none" w:sz="0" w:space="0" w:color="auto"/>
      </w:divBdr>
    </w:div>
    <w:div w:id="1727753081">
      <w:bodyDiv w:val="1"/>
      <w:marLeft w:val="0"/>
      <w:marRight w:val="0"/>
      <w:marTop w:val="0"/>
      <w:marBottom w:val="0"/>
      <w:divBdr>
        <w:top w:val="none" w:sz="0" w:space="0" w:color="auto"/>
        <w:left w:val="none" w:sz="0" w:space="0" w:color="auto"/>
        <w:bottom w:val="none" w:sz="0" w:space="0" w:color="auto"/>
        <w:right w:val="none" w:sz="0" w:space="0" w:color="auto"/>
      </w:divBdr>
    </w:div>
    <w:div w:id="1761608439">
      <w:bodyDiv w:val="1"/>
      <w:marLeft w:val="0"/>
      <w:marRight w:val="0"/>
      <w:marTop w:val="0"/>
      <w:marBottom w:val="0"/>
      <w:divBdr>
        <w:top w:val="none" w:sz="0" w:space="0" w:color="auto"/>
        <w:left w:val="none" w:sz="0" w:space="0" w:color="auto"/>
        <w:bottom w:val="none" w:sz="0" w:space="0" w:color="auto"/>
        <w:right w:val="none" w:sz="0" w:space="0" w:color="auto"/>
      </w:divBdr>
    </w:div>
    <w:div w:id="1937395592">
      <w:bodyDiv w:val="1"/>
      <w:marLeft w:val="0"/>
      <w:marRight w:val="0"/>
      <w:marTop w:val="0"/>
      <w:marBottom w:val="0"/>
      <w:divBdr>
        <w:top w:val="none" w:sz="0" w:space="0" w:color="auto"/>
        <w:left w:val="none" w:sz="0" w:space="0" w:color="auto"/>
        <w:bottom w:val="none" w:sz="0" w:space="0" w:color="auto"/>
        <w:right w:val="none" w:sz="0" w:space="0" w:color="auto"/>
      </w:divBdr>
    </w:div>
    <w:div w:id="1979256898">
      <w:bodyDiv w:val="1"/>
      <w:marLeft w:val="0"/>
      <w:marRight w:val="0"/>
      <w:marTop w:val="0"/>
      <w:marBottom w:val="0"/>
      <w:divBdr>
        <w:top w:val="none" w:sz="0" w:space="0" w:color="auto"/>
        <w:left w:val="none" w:sz="0" w:space="0" w:color="auto"/>
        <w:bottom w:val="none" w:sz="0" w:space="0" w:color="auto"/>
        <w:right w:val="none" w:sz="0" w:space="0" w:color="auto"/>
      </w:divBdr>
    </w:div>
    <w:div w:id="1995865729">
      <w:bodyDiv w:val="1"/>
      <w:marLeft w:val="0"/>
      <w:marRight w:val="0"/>
      <w:marTop w:val="0"/>
      <w:marBottom w:val="0"/>
      <w:divBdr>
        <w:top w:val="none" w:sz="0" w:space="0" w:color="auto"/>
        <w:left w:val="none" w:sz="0" w:space="0" w:color="auto"/>
        <w:bottom w:val="none" w:sz="0" w:space="0" w:color="auto"/>
        <w:right w:val="none" w:sz="0" w:space="0" w:color="auto"/>
      </w:divBdr>
    </w:div>
    <w:div w:id="2054309159">
      <w:bodyDiv w:val="1"/>
      <w:marLeft w:val="0"/>
      <w:marRight w:val="0"/>
      <w:marTop w:val="0"/>
      <w:marBottom w:val="0"/>
      <w:divBdr>
        <w:top w:val="none" w:sz="0" w:space="0" w:color="auto"/>
        <w:left w:val="none" w:sz="0" w:space="0" w:color="auto"/>
        <w:bottom w:val="none" w:sz="0" w:space="0" w:color="auto"/>
        <w:right w:val="none" w:sz="0" w:space="0" w:color="auto"/>
      </w:divBdr>
    </w:div>
    <w:div w:id="2078042269">
      <w:bodyDiv w:val="1"/>
      <w:marLeft w:val="0"/>
      <w:marRight w:val="0"/>
      <w:marTop w:val="0"/>
      <w:marBottom w:val="0"/>
      <w:divBdr>
        <w:top w:val="none" w:sz="0" w:space="0" w:color="auto"/>
        <w:left w:val="none" w:sz="0" w:space="0" w:color="auto"/>
        <w:bottom w:val="none" w:sz="0" w:space="0" w:color="auto"/>
        <w:right w:val="none" w:sz="0" w:space="0" w:color="auto"/>
      </w:divBdr>
      <w:divsChild>
        <w:div w:id="2063602639">
          <w:marLeft w:val="0"/>
          <w:marRight w:val="0"/>
          <w:marTop w:val="0"/>
          <w:marBottom w:val="0"/>
          <w:divBdr>
            <w:top w:val="none" w:sz="0" w:space="0" w:color="auto"/>
            <w:left w:val="none" w:sz="0" w:space="0" w:color="auto"/>
            <w:bottom w:val="none" w:sz="0" w:space="0" w:color="auto"/>
            <w:right w:val="none" w:sz="0" w:space="0" w:color="auto"/>
          </w:divBdr>
          <w:divsChild>
            <w:div w:id="214240603">
              <w:marLeft w:val="0"/>
              <w:marRight w:val="0"/>
              <w:marTop w:val="0"/>
              <w:marBottom w:val="0"/>
              <w:divBdr>
                <w:top w:val="none" w:sz="0" w:space="0" w:color="auto"/>
                <w:left w:val="none" w:sz="0" w:space="0" w:color="auto"/>
                <w:bottom w:val="none" w:sz="0" w:space="0" w:color="auto"/>
                <w:right w:val="none" w:sz="0" w:space="0" w:color="auto"/>
              </w:divBdr>
              <w:divsChild>
                <w:div w:id="45941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urworldindata.org/"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imf.org/en/Topics/imf-and-covid19/Policy-Responses-to-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5EBBB-1710-44CB-8D3E-19CA092C7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49</Pages>
  <Words>12721</Words>
  <Characters>72513</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85064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anup chowdhury</dc:creator>
  <cp:keywords/>
  <dc:description/>
  <cp:lastModifiedBy>Muhammad Moshfique Uddin</cp:lastModifiedBy>
  <cp:revision>3</cp:revision>
  <dcterms:created xsi:type="dcterms:W3CDTF">2021-01-29T15:19:00Z</dcterms:created>
  <dcterms:modified xsi:type="dcterms:W3CDTF">2021-01-29T15:50:00Z</dcterms:modified>
</cp:coreProperties>
</file>