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CF820" w14:textId="77777777" w:rsidR="00811648" w:rsidRPr="00E75964" w:rsidRDefault="00811648" w:rsidP="00811648">
      <w:pPr>
        <w:contextualSpacing/>
        <w:jc w:val="center"/>
        <w:rPr>
          <w:rFonts w:ascii="Garamond" w:hAnsi="Garamond"/>
          <w:b/>
          <w:sz w:val="36"/>
          <w:szCs w:val="24"/>
        </w:rPr>
      </w:pPr>
      <w:bookmarkStart w:id="0" w:name="_Toc413318941"/>
      <w:r w:rsidRPr="00E75964">
        <w:rPr>
          <w:rFonts w:ascii="Garamond" w:hAnsi="Garamond"/>
          <w:b/>
          <w:sz w:val="36"/>
          <w:szCs w:val="24"/>
        </w:rPr>
        <w:t>Trading Behaviour and Market Sentiment: Firm-level Evidence from an Emerging Islamic Market</w:t>
      </w:r>
    </w:p>
    <w:p w14:paraId="6D8EDD30" w14:textId="77777777" w:rsidR="00811648" w:rsidRPr="00E75964" w:rsidRDefault="00811648" w:rsidP="00811648">
      <w:pPr>
        <w:jc w:val="center"/>
        <w:rPr>
          <w:rFonts w:ascii="Garamond" w:hAnsi="Garamond"/>
          <w:b/>
          <w:sz w:val="24"/>
          <w:szCs w:val="24"/>
        </w:rPr>
      </w:pPr>
    </w:p>
    <w:p w14:paraId="1CC87C24" w14:textId="77777777" w:rsidR="00811648" w:rsidRPr="00E75964" w:rsidRDefault="00811648" w:rsidP="00811648">
      <w:pPr>
        <w:jc w:val="center"/>
        <w:rPr>
          <w:rFonts w:ascii="Garamond" w:hAnsi="Garamond"/>
          <w:b/>
          <w:sz w:val="24"/>
          <w:szCs w:val="24"/>
        </w:rPr>
      </w:pPr>
      <w:r w:rsidRPr="00E75964">
        <w:rPr>
          <w:rFonts w:ascii="Garamond" w:hAnsi="Garamond"/>
          <w:b/>
          <w:sz w:val="24"/>
          <w:szCs w:val="24"/>
        </w:rPr>
        <w:t>Abstract</w:t>
      </w:r>
    </w:p>
    <w:p w14:paraId="524F34BD" w14:textId="7793F30C" w:rsidR="00811648" w:rsidRPr="00E75964" w:rsidRDefault="00811648" w:rsidP="00811648">
      <w:pPr>
        <w:tabs>
          <w:tab w:val="left" w:pos="8222"/>
        </w:tabs>
        <w:spacing w:line="360" w:lineRule="auto"/>
        <w:ind w:left="709" w:right="804"/>
        <w:contextualSpacing/>
        <w:jc w:val="both"/>
        <w:rPr>
          <w:rFonts w:ascii="Garamond" w:hAnsi="Garamond"/>
          <w:sz w:val="24"/>
          <w:szCs w:val="24"/>
        </w:rPr>
      </w:pPr>
      <w:r w:rsidRPr="00E75964">
        <w:rPr>
          <w:rFonts w:ascii="Garamond" w:hAnsi="Garamond"/>
          <w:sz w:val="24"/>
          <w:szCs w:val="24"/>
        </w:rPr>
        <w:t xml:space="preserve">We provide firm-level evidence from an emerging Islamic market that individual investors’ trading behaviour causes weekend sentiment. </w:t>
      </w:r>
      <w:r w:rsidR="00C11920" w:rsidRPr="00E75964">
        <w:rPr>
          <w:rFonts w:ascii="Garamond" w:hAnsi="Garamond"/>
          <w:sz w:val="24"/>
          <w:szCs w:val="24"/>
        </w:rPr>
        <w:t xml:space="preserve">Using data for 285 companies listed </w:t>
      </w:r>
      <w:r w:rsidR="00C13339">
        <w:rPr>
          <w:rFonts w:ascii="Garamond" w:hAnsi="Garamond"/>
          <w:sz w:val="24"/>
          <w:szCs w:val="24"/>
        </w:rPr>
        <w:t xml:space="preserve">on the </w:t>
      </w:r>
      <w:r w:rsidR="00C11920" w:rsidRPr="00E75964">
        <w:rPr>
          <w:rFonts w:ascii="Garamond" w:hAnsi="Garamond"/>
          <w:sz w:val="24"/>
          <w:szCs w:val="24"/>
        </w:rPr>
        <w:t xml:space="preserve">Dhaka Stock Exchange </w:t>
      </w:r>
      <w:r w:rsidR="000724B5" w:rsidRPr="00E75964">
        <w:rPr>
          <w:rFonts w:ascii="Garamond" w:hAnsi="Garamond"/>
          <w:sz w:val="24"/>
          <w:szCs w:val="24"/>
        </w:rPr>
        <w:t xml:space="preserve">(DSE) </w:t>
      </w:r>
      <w:r w:rsidR="00C11920" w:rsidRPr="00E75964">
        <w:rPr>
          <w:rFonts w:ascii="Garamond" w:hAnsi="Garamond"/>
          <w:sz w:val="24"/>
          <w:szCs w:val="24"/>
        </w:rPr>
        <w:t xml:space="preserve">for the period from 2002 to 2019 and applying appropriate econometric techniques, the paper has found evidence of </w:t>
      </w:r>
      <w:r w:rsidR="00C13339">
        <w:rPr>
          <w:rFonts w:ascii="Garamond" w:hAnsi="Garamond"/>
          <w:sz w:val="24"/>
          <w:szCs w:val="24"/>
        </w:rPr>
        <w:t xml:space="preserve">a </w:t>
      </w:r>
      <w:r w:rsidR="00C11920" w:rsidRPr="00E75964">
        <w:rPr>
          <w:rFonts w:ascii="Garamond" w:hAnsi="Garamond"/>
          <w:sz w:val="24"/>
          <w:szCs w:val="24"/>
        </w:rPr>
        <w:t>weekend effect both on return and volatility. The results confirm that individual investors’ sent</w:t>
      </w:r>
      <w:r w:rsidR="000724B5" w:rsidRPr="00E75964">
        <w:rPr>
          <w:rFonts w:ascii="Garamond" w:hAnsi="Garamond"/>
          <w:sz w:val="24"/>
          <w:szCs w:val="24"/>
        </w:rPr>
        <w:t>i</w:t>
      </w:r>
      <w:r w:rsidR="00C11920" w:rsidRPr="00E75964">
        <w:rPr>
          <w:rFonts w:ascii="Garamond" w:hAnsi="Garamond"/>
          <w:sz w:val="24"/>
          <w:szCs w:val="24"/>
        </w:rPr>
        <w:t xml:space="preserve">ment </w:t>
      </w:r>
      <w:r w:rsidR="000724B5" w:rsidRPr="00E75964">
        <w:rPr>
          <w:rFonts w:ascii="Garamond" w:hAnsi="Garamond"/>
          <w:sz w:val="24"/>
          <w:szCs w:val="24"/>
        </w:rPr>
        <w:t>drive</w:t>
      </w:r>
      <w:r w:rsidR="00C13339">
        <w:rPr>
          <w:rFonts w:ascii="Garamond" w:hAnsi="Garamond"/>
          <w:sz w:val="24"/>
          <w:szCs w:val="24"/>
        </w:rPr>
        <w:t>s</w:t>
      </w:r>
      <w:r w:rsidR="000724B5" w:rsidRPr="00E75964">
        <w:rPr>
          <w:rFonts w:ascii="Garamond" w:hAnsi="Garamond"/>
          <w:sz w:val="24"/>
          <w:szCs w:val="24"/>
        </w:rPr>
        <w:t xml:space="preserve"> the weekend effect </w:t>
      </w:r>
      <w:r w:rsidR="00C13339">
        <w:rPr>
          <w:rFonts w:ascii="Garamond" w:hAnsi="Garamond"/>
          <w:sz w:val="24"/>
          <w:szCs w:val="24"/>
        </w:rPr>
        <w:t>on the</w:t>
      </w:r>
      <w:r w:rsidR="000724B5" w:rsidRPr="00E75964">
        <w:rPr>
          <w:rFonts w:ascii="Garamond" w:hAnsi="Garamond"/>
          <w:sz w:val="24"/>
          <w:szCs w:val="24"/>
        </w:rPr>
        <w:t xml:space="preserve"> DSE.</w:t>
      </w:r>
      <w:r w:rsidR="00C11920" w:rsidRPr="00E75964">
        <w:rPr>
          <w:rFonts w:ascii="Garamond" w:hAnsi="Garamond"/>
          <w:sz w:val="24"/>
          <w:szCs w:val="24"/>
        </w:rPr>
        <w:t xml:space="preserve">  </w:t>
      </w:r>
      <w:r w:rsidR="00C13339">
        <w:rPr>
          <w:rFonts w:ascii="Garamond" w:hAnsi="Garamond"/>
          <w:sz w:val="24"/>
          <w:szCs w:val="24"/>
        </w:rPr>
        <w:t xml:space="preserve">The </w:t>
      </w:r>
      <w:r w:rsidR="000724B5" w:rsidRPr="00E75964">
        <w:rPr>
          <w:rFonts w:ascii="Garamond" w:hAnsi="Garamond"/>
          <w:sz w:val="24"/>
          <w:szCs w:val="24"/>
        </w:rPr>
        <w:t>‘</w:t>
      </w:r>
      <w:r w:rsidR="00C13339">
        <w:rPr>
          <w:rFonts w:ascii="Garamond" w:hAnsi="Garamond"/>
          <w:sz w:val="24"/>
          <w:szCs w:val="24"/>
        </w:rPr>
        <w:t>i</w:t>
      </w:r>
      <w:r w:rsidR="000724B5" w:rsidRPr="00E75964">
        <w:rPr>
          <w:rFonts w:ascii="Garamond" w:hAnsi="Garamond"/>
          <w:sz w:val="24"/>
          <w:szCs w:val="24"/>
        </w:rPr>
        <w:t xml:space="preserve">nformation content theory’ and ‘information processing hypothesis’ work for investors so that the market return and volatility become significantly different on Sunday. The market sentiment effect is significant for smaller firms and low dividend yield firms where individual investors are prevalent, suggesting that </w:t>
      </w:r>
      <w:r w:rsidR="00C13339">
        <w:rPr>
          <w:rFonts w:ascii="Garamond" w:hAnsi="Garamond"/>
          <w:sz w:val="24"/>
          <w:szCs w:val="24"/>
        </w:rPr>
        <w:t xml:space="preserve">the </w:t>
      </w:r>
      <w:r w:rsidR="000724B5" w:rsidRPr="00E75964">
        <w:rPr>
          <w:rFonts w:ascii="Garamond" w:hAnsi="Garamond"/>
          <w:sz w:val="24"/>
          <w:szCs w:val="24"/>
        </w:rPr>
        <w:t>trading behaviour of individual investors determines weekend sentiment. A positive feedback relationship exists between returns on Sunday and the previous Thursday for both institutions and individuals. Our results are robust in various alternative specifications.</w:t>
      </w:r>
    </w:p>
    <w:p w14:paraId="78AE96ED" w14:textId="77777777" w:rsidR="00811648" w:rsidRPr="00E75964" w:rsidRDefault="00811648">
      <w:pPr>
        <w:rPr>
          <w:rFonts w:ascii="Garamond" w:eastAsia="Times New Roman" w:hAnsi="Garamond" w:cs="Times New Roman"/>
          <w:b/>
          <w:bCs/>
          <w:sz w:val="24"/>
          <w:szCs w:val="24"/>
        </w:rPr>
      </w:pPr>
      <w:r w:rsidRPr="00E75964">
        <w:rPr>
          <w:rFonts w:ascii="Garamond" w:hAnsi="Garamond"/>
          <w:sz w:val="24"/>
          <w:szCs w:val="24"/>
        </w:rPr>
        <w:br w:type="page"/>
      </w:r>
    </w:p>
    <w:p w14:paraId="6249332E" w14:textId="2B8DC440" w:rsidR="00CE65B6" w:rsidRPr="00E75964" w:rsidRDefault="00112B72" w:rsidP="00112B72">
      <w:pPr>
        <w:pStyle w:val="Heading1"/>
        <w:spacing w:after="200" w:line="360" w:lineRule="auto"/>
        <w:rPr>
          <w:rFonts w:ascii="Garamond" w:hAnsi="Garamond"/>
          <w:color w:val="auto"/>
          <w:sz w:val="24"/>
          <w:szCs w:val="24"/>
        </w:rPr>
      </w:pPr>
      <w:r w:rsidRPr="00E75964">
        <w:rPr>
          <w:rFonts w:ascii="Garamond" w:hAnsi="Garamond"/>
          <w:color w:val="auto"/>
          <w:sz w:val="24"/>
          <w:szCs w:val="24"/>
        </w:rPr>
        <w:lastRenderedPageBreak/>
        <w:t>1</w:t>
      </w:r>
      <w:r w:rsidR="00F32C63" w:rsidRPr="00E75964">
        <w:rPr>
          <w:rFonts w:ascii="Garamond" w:hAnsi="Garamond"/>
          <w:color w:val="auto"/>
          <w:sz w:val="24"/>
          <w:szCs w:val="24"/>
        </w:rPr>
        <w:t>.</w:t>
      </w:r>
      <w:r w:rsidRPr="00E75964">
        <w:rPr>
          <w:rFonts w:ascii="Garamond" w:hAnsi="Garamond"/>
          <w:color w:val="auto"/>
          <w:sz w:val="24"/>
          <w:szCs w:val="24"/>
        </w:rPr>
        <w:t xml:space="preserve"> </w:t>
      </w:r>
      <w:r w:rsidR="00CE65B6" w:rsidRPr="00E75964">
        <w:rPr>
          <w:rFonts w:ascii="Garamond" w:hAnsi="Garamond"/>
          <w:color w:val="auto"/>
          <w:sz w:val="24"/>
          <w:szCs w:val="24"/>
        </w:rPr>
        <w:t>Introduction</w:t>
      </w:r>
      <w:bookmarkEnd w:id="0"/>
    </w:p>
    <w:p w14:paraId="45FE7146" w14:textId="14483C6A" w:rsidR="00956CDE" w:rsidRPr="00E75964" w:rsidRDefault="006B7108" w:rsidP="00112B72">
      <w:pPr>
        <w:spacing w:line="360" w:lineRule="auto"/>
        <w:jc w:val="both"/>
        <w:rPr>
          <w:rFonts w:ascii="Garamond" w:hAnsi="Garamond"/>
          <w:sz w:val="24"/>
          <w:szCs w:val="24"/>
        </w:rPr>
      </w:pPr>
      <w:r w:rsidRPr="00E75964">
        <w:rPr>
          <w:rFonts w:ascii="Garamond" w:hAnsi="Garamond"/>
          <w:sz w:val="24"/>
          <w:szCs w:val="24"/>
        </w:rPr>
        <w:t>Islamic markets are always interesting to investigate for new insights because of the dynamic features of the investors</w:t>
      </w:r>
      <w:r w:rsidR="006F2D5A" w:rsidRPr="00E75964">
        <w:rPr>
          <w:rFonts w:ascii="Garamond" w:hAnsi="Garamond"/>
          <w:sz w:val="24"/>
          <w:szCs w:val="24"/>
        </w:rPr>
        <w:t>, institutions,</w:t>
      </w:r>
      <w:r w:rsidRPr="00E75964">
        <w:rPr>
          <w:rFonts w:ascii="Garamond" w:hAnsi="Garamond"/>
          <w:sz w:val="24"/>
          <w:szCs w:val="24"/>
        </w:rPr>
        <w:t xml:space="preserve"> and the markets. </w:t>
      </w:r>
      <w:r w:rsidR="00C11BBE" w:rsidRPr="00E75964">
        <w:rPr>
          <w:rFonts w:ascii="Garamond" w:hAnsi="Garamond"/>
          <w:sz w:val="24"/>
          <w:szCs w:val="24"/>
        </w:rPr>
        <w:t>G</w:t>
      </w:r>
      <w:r w:rsidR="00CA200E" w:rsidRPr="00E75964">
        <w:rPr>
          <w:rFonts w:ascii="Garamond" w:hAnsi="Garamond"/>
          <w:sz w:val="24"/>
          <w:szCs w:val="24"/>
        </w:rPr>
        <w:t xml:space="preserve">lobal Islamic financial assets are estimated to reach USD 4.0 trillion by the end of 2020 and due to this </w:t>
      </w:r>
      <w:r w:rsidR="006F2D5A" w:rsidRPr="00E75964">
        <w:rPr>
          <w:rFonts w:ascii="Garamond" w:hAnsi="Garamond"/>
          <w:sz w:val="24"/>
          <w:szCs w:val="24"/>
        </w:rPr>
        <w:t xml:space="preserve">rapid growth of </w:t>
      </w:r>
      <w:r w:rsidR="00CA7539" w:rsidRPr="00E75964">
        <w:rPr>
          <w:rFonts w:ascii="Garamond" w:hAnsi="Garamond"/>
          <w:sz w:val="24"/>
          <w:szCs w:val="24"/>
        </w:rPr>
        <w:t xml:space="preserve">Islamic capital markets, </w:t>
      </w:r>
      <w:r w:rsidR="006F2D5A" w:rsidRPr="00E75964">
        <w:rPr>
          <w:rFonts w:ascii="Garamond" w:hAnsi="Garamond"/>
          <w:sz w:val="24"/>
          <w:szCs w:val="24"/>
        </w:rPr>
        <w:t xml:space="preserve">it </w:t>
      </w:r>
      <w:r w:rsidR="00CA7539" w:rsidRPr="00E75964">
        <w:rPr>
          <w:rFonts w:ascii="Garamond" w:hAnsi="Garamond"/>
          <w:sz w:val="24"/>
          <w:szCs w:val="24"/>
        </w:rPr>
        <w:t xml:space="preserve">has become </w:t>
      </w:r>
      <w:r w:rsidR="006F2D5A" w:rsidRPr="00E75964">
        <w:rPr>
          <w:rFonts w:ascii="Garamond" w:hAnsi="Garamond"/>
          <w:sz w:val="24"/>
          <w:szCs w:val="24"/>
        </w:rPr>
        <w:t>increasingly essential to examine their market behaviour (Al-Khazali and Mirzaei, 2017)</w:t>
      </w:r>
      <w:r w:rsidR="00423F7D" w:rsidRPr="00E75964">
        <w:rPr>
          <w:rFonts w:ascii="Garamond" w:hAnsi="Garamond"/>
          <w:sz w:val="24"/>
          <w:szCs w:val="24"/>
        </w:rPr>
        <w:t>.</w:t>
      </w:r>
      <w:r w:rsidR="006F2D5A" w:rsidRPr="00E75964">
        <w:rPr>
          <w:rFonts w:ascii="Garamond" w:hAnsi="Garamond"/>
          <w:sz w:val="24"/>
          <w:szCs w:val="24"/>
        </w:rPr>
        <w:t xml:space="preserve"> </w:t>
      </w:r>
      <w:r w:rsidR="00CA200E" w:rsidRPr="00E75964">
        <w:rPr>
          <w:rFonts w:ascii="Garamond" w:hAnsi="Garamond"/>
          <w:sz w:val="24"/>
          <w:szCs w:val="24"/>
        </w:rPr>
        <w:t>In r</w:t>
      </w:r>
      <w:r w:rsidRPr="00E75964">
        <w:rPr>
          <w:rFonts w:ascii="Garamond" w:hAnsi="Garamond"/>
          <w:sz w:val="24"/>
          <w:szCs w:val="24"/>
        </w:rPr>
        <w:t>ecent</w:t>
      </w:r>
      <w:r w:rsidR="00CA200E" w:rsidRPr="00E75964">
        <w:rPr>
          <w:rFonts w:ascii="Garamond" w:hAnsi="Garamond"/>
          <w:sz w:val="24"/>
          <w:szCs w:val="24"/>
        </w:rPr>
        <w:t xml:space="preserve"> times</w:t>
      </w:r>
      <w:r w:rsidRPr="00E75964">
        <w:rPr>
          <w:rFonts w:ascii="Garamond" w:hAnsi="Garamond"/>
          <w:sz w:val="24"/>
          <w:szCs w:val="24"/>
        </w:rPr>
        <w:t xml:space="preserve">, </w:t>
      </w:r>
      <w:r w:rsidR="00CA7539" w:rsidRPr="00E75964">
        <w:rPr>
          <w:rFonts w:ascii="Garamond" w:hAnsi="Garamond"/>
          <w:sz w:val="24"/>
          <w:szCs w:val="24"/>
        </w:rPr>
        <w:t>a number of authors</w:t>
      </w:r>
      <w:r w:rsidR="00423F7D" w:rsidRPr="00E75964">
        <w:rPr>
          <w:rFonts w:ascii="Garamond" w:hAnsi="Garamond"/>
          <w:sz w:val="24"/>
          <w:szCs w:val="24"/>
        </w:rPr>
        <w:t xml:space="preserve"> </w:t>
      </w:r>
      <w:r w:rsidR="00F174BC" w:rsidRPr="00E75964">
        <w:rPr>
          <w:rFonts w:ascii="Garamond" w:hAnsi="Garamond"/>
          <w:sz w:val="24"/>
          <w:szCs w:val="24"/>
        </w:rPr>
        <w:t xml:space="preserve">have examined such markets. </w:t>
      </w:r>
      <w:r w:rsidR="00776B8A" w:rsidRPr="00E75964">
        <w:rPr>
          <w:rFonts w:ascii="Garamond" w:hAnsi="Garamond"/>
          <w:sz w:val="24"/>
          <w:szCs w:val="24"/>
        </w:rPr>
        <w:t xml:space="preserve">For example, Ahmed (2018) compared the reaction of Islamic equity market and </w:t>
      </w:r>
      <w:r w:rsidR="001E18F4" w:rsidRPr="00E75964">
        <w:rPr>
          <w:rFonts w:ascii="Garamond" w:hAnsi="Garamond"/>
          <w:sz w:val="24"/>
          <w:szCs w:val="24"/>
        </w:rPr>
        <w:t>conventional</w:t>
      </w:r>
      <w:r w:rsidR="00776B8A" w:rsidRPr="00E75964">
        <w:rPr>
          <w:rFonts w:ascii="Garamond" w:hAnsi="Garamond"/>
          <w:sz w:val="24"/>
          <w:szCs w:val="24"/>
        </w:rPr>
        <w:t xml:space="preserve"> equity markets to political risk. Al-Awadhi (2019) examined </w:t>
      </w:r>
      <w:r w:rsidR="00C13339">
        <w:rPr>
          <w:rFonts w:ascii="Garamond" w:hAnsi="Garamond"/>
          <w:sz w:val="24"/>
          <w:szCs w:val="24"/>
        </w:rPr>
        <w:t xml:space="preserve">the </w:t>
      </w:r>
      <w:r w:rsidR="00776B8A" w:rsidRPr="00E75964">
        <w:rPr>
          <w:rFonts w:ascii="Garamond" w:hAnsi="Garamond"/>
          <w:sz w:val="24"/>
          <w:szCs w:val="24"/>
        </w:rPr>
        <w:t xml:space="preserve">causes of deviation from religious trading norms by the Islamic institutional investors while Alhomaidi et al. (2019) </w:t>
      </w:r>
      <w:r w:rsidR="00297BA0" w:rsidRPr="00E75964">
        <w:rPr>
          <w:rFonts w:ascii="Garamond" w:hAnsi="Garamond"/>
          <w:sz w:val="24"/>
          <w:szCs w:val="24"/>
        </w:rPr>
        <w:t>compared the return, volatility and liquidity between Islamic stocks and conventional stock</w:t>
      </w:r>
      <w:r w:rsidR="00C13339">
        <w:rPr>
          <w:rFonts w:ascii="Garamond" w:hAnsi="Garamond"/>
          <w:sz w:val="24"/>
          <w:szCs w:val="24"/>
        </w:rPr>
        <w:t>s</w:t>
      </w:r>
      <w:r w:rsidR="00297BA0" w:rsidRPr="00E75964">
        <w:rPr>
          <w:rFonts w:ascii="Garamond" w:hAnsi="Garamond"/>
          <w:sz w:val="24"/>
          <w:szCs w:val="24"/>
        </w:rPr>
        <w:t xml:space="preserve"> listed </w:t>
      </w:r>
      <w:r w:rsidR="00C13339">
        <w:rPr>
          <w:rFonts w:ascii="Garamond" w:hAnsi="Garamond"/>
          <w:sz w:val="24"/>
          <w:szCs w:val="24"/>
        </w:rPr>
        <w:t>o</w:t>
      </w:r>
      <w:r w:rsidR="00297BA0" w:rsidRPr="00E75964">
        <w:rPr>
          <w:rFonts w:ascii="Garamond" w:hAnsi="Garamond"/>
          <w:sz w:val="24"/>
          <w:szCs w:val="24"/>
        </w:rPr>
        <w:t xml:space="preserve">n </w:t>
      </w:r>
      <w:r w:rsidR="00C13339">
        <w:rPr>
          <w:rFonts w:ascii="Garamond" w:hAnsi="Garamond"/>
          <w:sz w:val="24"/>
          <w:szCs w:val="24"/>
        </w:rPr>
        <w:t xml:space="preserve">the </w:t>
      </w:r>
      <w:r w:rsidR="00297BA0" w:rsidRPr="00E75964">
        <w:rPr>
          <w:rFonts w:ascii="Garamond" w:hAnsi="Garamond"/>
          <w:sz w:val="24"/>
          <w:szCs w:val="24"/>
        </w:rPr>
        <w:t>Saudi Stock Exchange.</w:t>
      </w:r>
      <w:r w:rsidR="00776B8A" w:rsidRPr="00E75964">
        <w:rPr>
          <w:rFonts w:ascii="Garamond" w:hAnsi="Garamond"/>
          <w:sz w:val="24"/>
          <w:szCs w:val="24"/>
        </w:rPr>
        <w:t xml:space="preserve"> </w:t>
      </w:r>
      <w:r w:rsidR="00B87A17" w:rsidRPr="00E75964">
        <w:rPr>
          <w:rFonts w:ascii="Garamond" w:hAnsi="Garamond"/>
          <w:sz w:val="24"/>
          <w:szCs w:val="24"/>
        </w:rPr>
        <w:t>Using stock return data from 14 Muslim countries, Bialkowski et al. (2012) show that aggregate level sentiment such as Ramadan can influence stock return</w:t>
      </w:r>
      <w:r w:rsidR="00C13339">
        <w:rPr>
          <w:rFonts w:ascii="Garamond" w:hAnsi="Garamond"/>
          <w:sz w:val="24"/>
          <w:szCs w:val="24"/>
        </w:rPr>
        <w:t>s</w:t>
      </w:r>
      <w:r w:rsidR="00B87A17" w:rsidRPr="00E75964">
        <w:rPr>
          <w:rFonts w:ascii="Garamond" w:hAnsi="Garamond"/>
          <w:sz w:val="24"/>
          <w:szCs w:val="24"/>
        </w:rPr>
        <w:t xml:space="preserve"> and volatility. Jaziri and Abdelhedi (2018) also find similar results by using various Islamic occasions such as Eid, Ramadan and Hajj as </w:t>
      </w:r>
      <w:r w:rsidR="00C13339">
        <w:rPr>
          <w:rFonts w:ascii="Garamond" w:hAnsi="Garamond"/>
          <w:sz w:val="24"/>
          <w:szCs w:val="24"/>
        </w:rPr>
        <w:t xml:space="preserve">the </w:t>
      </w:r>
      <w:r w:rsidR="00B87A17" w:rsidRPr="00E75964">
        <w:rPr>
          <w:rFonts w:ascii="Garamond" w:hAnsi="Garamond"/>
          <w:sz w:val="24"/>
          <w:szCs w:val="24"/>
        </w:rPr>
        <w:t>core source of investor sentiment. Canepa and Ibnrubbian (2014) and Rashid et al. (2014) also find evidence that religious sentiment moves stock return</w:t>
      </w:r>
      <w:r w:rsidR="00C13339">
        <w:rPr>
          <w:rFonts w:ascii="Garamond" w:hAnsi="Garamond"/>
          <w:sz w:val="24"/>
          <w:szCs w:val="24"/>
        </w:rPr>
        <w:t>s</w:t>
      </w:r>
      <w:r w:rsidR="00B87A17" w:rsidRPr="00E75964">
        <w:rPr>
          <w:rFonts w:ascii="Garamond" w:hAnsi="Garamond"/>
          <w:sz w:val="24"/>
          <w:szCs w:val="24"/>
        </w:rPr>
        <w:t xml:space="preserve"> and volatility. </w:t>
      </w:r>
    </w:p>
    <w:p w14:paraId="4F0571C8" w14:textId="11205116" w:rsidR="00697F51" w:rsidRPr="00E75964" w:rsidRDefault="00F174BC" w:rsidP="00112B72">
      <w:pPr>
        <w:spacing w:line="360" w:lineRule="auto"/>
        <w:jc w:val="both"/>
        <w:rPr>
          <w:rFonts w:ascii="Garamond" w:hAnsi="Garamond"/>
          <w:sz w:val="24"/>
          <w:szCs w:val="24"/>
        </w:rPr>
      </w:pPr>
      <w:r w:rsidRPr="00E75964">
        <w:rPr>
          <w:rFonts w:ascii="Garamond" w:hAnsi="Garamond"/>
          <w:sz w:val="24"/>
          <w:szCs w:val="24"/>
        </w:rPr>
        <w:t xml:space="preserve">However, these studies do not provide any direct evidence </w:t>
      </w:r>
      <w:r w:rsidR="000C48CD" w:rsidRPr="00E75964">
        <w:rPr>
          <w:rFonts w:ascii="Garamond" w:hAnsi="Garamond"/>
          <w:sz w:val="24"/>
          <w:szCs w:val="24"/>
        </w:rPr>
        <w:t>on</w:t>
      </w:r>
      <w:r w:rsidRPr="00E75964">
        <w:rPr>
          <w:rFonts w:ascii="Garamond" w:hAnsi="Garamond"/>
          <w:sz w:val="24"/>
          <w:szCs w:val="24"/>
        </w:rPr>
        <w:t xml:space="preserve"> the link between investor sentiment and </w:t>
      </w:r>
      <w:r w:rsidR="00C13339">
        <w:rPr>
          <w:rFonts w:ascii="Garamond" w:hAnsi="Garamond"/>
          <w:sz w:val="24"/>
          <w:szCs w:val="24"/>
        </w:rPr>
        <w:t xml:space="preserve">the </w:t>
      </w:r>
      <w:r w:rsidRPr="00E75964">
        <w:rPr>
          <w:rFonts w:ascii="Garamond" w:hAnsi="Garamond"/>
          <w:sz w:val="24"/>
          <w:szCs w:val="24"/>
        </w:rPr>
        <w:t>weekend effect using stock return</w:t>
      </w:r>
      <w:r w:rsidR="00C13339">
        <w:rPr>
          <w:rFonts w:ascii="Garamond" w:hAnsi="Garamond"/>
          <w:sz w:val="24"/>
          <w:szCs w:val="24"/>
        </w:rPr>
        <w:t>s</w:t>
      </w:r>
      <w:r w:rsidRPr="00E75964">
        <w:rPr>
          <w:rFonts w:ascii="Garamond" w:hAnsi="Garamond"/>
          <w:sz w:val="24"/>
          <w:szCs w:val="24"/>
        </w:rPr>
        <w:t xml:space="preserve"> from a market which is </w:t>
      </w:r>
      <w:r w:rsidR="001E18F4" w:rsidRPr="00E75964">
        <w:rPr>
          <w:rFonts w:ascii="Garamond" w:hAnsi="Garamond"/>
          <w:sz w:val="24"/>
          <w:szCs w:val="24"/>
        </w:rPr>
        <w:t>dominated</w:t>
      </w:r>
      <w:r w:rsidRPr="00E75964">
        <w:rPr>
          <w:rFonts w:ascii="Garamond" w:hAnsi="Garamond"/>
          <w:sz w:val="24"/>
          <w:szCs w:val="24"/>
        </w:rPr>
        <w:t xml:space="preserve"> by </w:t>
      </w:r>
      <w:r w:rsidR="001E18F4" w:rsidRPr="00E75964">
        <w:rPr>
          <w:rFonts w:ascii="Garamond" w:hAnsi="Garamond"/>
          <w:sz w:val="24"/>
          <w:szCs w:val="24"/>
        </w:rPr>
        <w:t>Muslim</w:t>
      </w:r>
      <w:r w:rsidRPr="00E75964">
        <w:rPr>
          <w:rFonts w:ascii="Garamond" w:hAnsi="Garamond"/>
          <w:sz w:val="24"/>
          <w:szCs w:val="24"/>
        </w:rPr>
        <w:t xml:space="preserve"> investors. </w:t>
      </w:r>
      <w:r w:rsidR="00C144A5" w:rsidRPr="00E75964">
        <w:rPr>
          <w:rFonts w:ascii="Garamond" w:hAnsi="Garamond"/>
          <w:sz w:val="24"/>
          <w:szCs w:val="24"/>
        </w:rPr>
        <w:t xml:space="preserve">Although </w:t>
      </w:r>
      <w:r w:rsidR="00C13339">
        <w:rPr>
          <w:rFonts w:ascii="Garamond" w:hAnsi="Garamond"/>
          <w:sz w:val="24"/>
          <w:szCs w:val="24"/>
        </w:rPr>
        <w:t xml:space="preserve">the </w:t>
      </w:r>
      <w:r w:rsidR="00C144A5" w:rsidRPr="00E75964">
        <w:rPr>
          <w:rFonts w:ascii="Garamond" w:hAnsi="Garamond"/>
          <w:sz w:val="24"/>
          <w:szCs w:val="24"/>
        </w:rPr>
        <w:t xml:space="preserve">weekend effect is a </w:t>
      </w:r>
      <w:r w:rsidR="001E18F4" w:rsidRPr="00E75964">
        <w:rPr>
          <w:rFonts w:ascii="Garamond" w:hAnsi="Garamond"/>
          <w:sz w:val="24"/>
          <w:szCs w:val="24"/>
        </w:rPr>
        <w:t>well-researched</w:t>
      </w:r>
      <w:r w:rsidR="00C144A5" w:rsidRPr="00E75964">
        <w:rPr>
          <w:rFonts w:ascii="Garamond" w:hAnsi="Garamond"/>
          <w:sz w:val="24"/>
          <w:szCs w:val="24"/>
        </w:rPr>
        <w:t xml:space="preserve"> topic, the consensus is far from conclusive. While </w:t>
      </w:r>
      <w:r w:rsidR="0073122B" w:rsidRPr="00E75964">
        <w:rPr>
          <w:rFonts w:ascii="Garamond" w:hAnsi="Garamond"/>
          <w:sz w:val="24"/>
          <w:szCs w:val="24"/>
        </w:rPr>
        <w:t xml:space="preserve">authors such as Hansen et al. (2005), Galai et al. (2008) and </w:t>
      </w:r>
      <w:r w:rsidR="00C144A5" w:rsidRPr="00E75964">
        <w:rPr>
          <w:rFonts w:ascii="Garamond" w:hAnsi="Garamond"/>
          <w:sz w:val="24"/>
          <w:szCs w:val="24"/>
        </w:rPr>
        <w:t>Philpot and Peterson (2011)</w:t>
      </w:r>
      <w:r w:rsidR="0073122B" w:rsidRPr="00E75964">
        <w:rPr>
          <w:rFonts w:ascii="Garamond" w:hAnsi="Garamond"/>
          <w:sz w:val="24"/>
          <w:szCs w:val="24"/>
        </w:rPr>
        <w:t xml:space="preserve"> </w:t>
      </w:r>
      <w:r w:rsidR="00C144A5" w:rsidRPr="00E75964">
        <w:rPr>
          <w:rFonts w:ascii="Garamond" w:hAnsi="Garamond"/>
          <w:sz w:val="24"/>
          <w:szCs w:val="24"/>
        </w:rPr>
        <w:t>conclude that calend</w:t>
      </w:r>
      <w:r w:rsidR="001E18F4" w:rsidRPr="00E75964">
        <w:rPr>
          <w:rFonts w:ascii="Garamond" w:hAnsi="Garamond"/>
          <w:sz w:val="24"/>
          <w:szCs w:val="24"/>
        </w:rPr>
        <w:t>a</w:t>
      </w:r>
      <w:r w:rsidR="00C144A5" w:rsidRPr="00E75964">
        <w:rPr>
          <w:rFonts w:ascii="Garamond" w:hAnsi="Garamond"/>
          <w:sz w:val="24"/>
          <w:szCs w:val="24"/>
        </w:rPr>
        <w:t xml:space="preserve">r anomalies such as </w:t>
      </w:r>
      <w:r w:rsidR="00C13339">
        <w:rPr>
          <w:rFonts w:ascii="Garamond" w:hAnsi="Garamond"/>
          <w:sz w:val="24"/>
          <w:szCs w:val="24"/>
        </w:rPr>
        <w:t xml:space="preserve">the </w:t>
      </w:r>
      <w:r w:rsidR="00C144A5" w:rsidRPr="00E75964">
        <w:rPr>
          <w:rFonts w:ascii="Garamond" w:hAnsi="Garamond"/>
          <w:sz w:val="24"/>
          <w:szCs w:val="24"/>
        </w:rPr>
        <w:t xml:space="preserve">weekend effect </w:t>
      </w:r>
      <w:r w:rsidR="00C13339">
        <w:rPr>
          <w:rFonts w:ascii="Garamond" w:hAnsi="Garamond"/>
          <w:sz w:val="24"/>
          <w:szCs w:val="24"/>
        </w:rPr>
        <w:t xml:space="preserve">have been </w:t>
      </w:r>
      <w:r w:rsidR="00C144A5" w:rsidRPr="00E75964">
        <w:rPr>
          <w:rFonts w:ascii="Garamond" w:hAnsi="Garamond"/>
          <w:sz w:val="24"/>
          <w:szCs w:val="24"/>
        </w:rPr>
        <w:t xml:space="preserve">gradually fading out in recent times, </w:t>
      </w:r>
      <w:r w:rsidR="0073122B" w:rsidRPr="00E12983">
        <w:rPr>
          <w:rFonts w:ascii="Garamond" w:hAnsi="Garamond"/>
          <w:sz w:val="24"/>
          <w:szCs w:val="24"/>
        </w:rPr>
        <w:t xml:space="preserve">Agrawal and </w:t>
      </w:r>
      <w:proofErr w:type="spellStart"/>
      <w:r w:rsidR="0073122B" w:rsidRPr="00E12983">
        <w:rPr>
          <w:rFonts w:ascii="Garamond" w:hAnsi="Garamond"/>
          <w:sz w:val="24"/>
          <w:szCs w:val="24"/>
        </w:rPr>
        <w:t>Tandon</w:t>
      </w:r>
      <w:proofErr w:type="spellEnd"/>
      <w:r w:rsidR="0073122B" w:rsidRPr="00E12983">
        <w:rPr>
          <w:rFonts w:ascii="Garamond" w:hAnsi="Garamond"/>
          <w:sz w:val="24"/>
          <w:szCs w:val="24"/>
        </w:rPr>
        <w:t xml:space="preserve"> (1994), </w:t>
      </w:r>
      <w:r w:rsidR="00804EBB">
        <w:rPr>
          <w:rFonts w:ascii="Garamond" w:hAnsi="Garamond"/>
          <w:sz w:val="24"/>
          <w:szCs w:val="24"/>
        </w:rPr>
        <w:t xml:space="preserve">Anwar </w:t>
      </w:r>
      <w:r w:rsidR="0073122B" w:rsidRPr="00E12983">
        <w:rPr>
          <w:rFonts w:ascii="Garamond" w:hAnsi="Garamond"/>
          <w:sz w:val="24"/>
          <w:szCs w:val="24"/>
        </w:rPr>
        <w:t xml:space="preserve">and </w:t>
      </w:r>
      <w:proofErr w:type="spellStart"/>
      <w:r w:rsidR="0073122B" w:rsidRPr="00E12983">
        <w:rPr>
          <w:rFonts w:ascii="Garamond" w:hAnsi="Garamond"/>
          <w:sz w:val="24"/>
          <w:szCs w:val="24"/>
        </w:rPr>
        <w:t>M</w:t>
      </w:r>
      <w:r w:rsidR="00804EBB">
        <w:rPr>
          <w:rFonts w:ascii="Garamond" w:hAnsi="Garamond"/>
          <w:sz w:val="24"/>
          <w:szCs w:val="24"/>
        </w:rPr>
        <w:t>ulyadi</w:t>
      </w:r>
      <w:proofErr w:type="spellEnd"/>
      <w:r w:rsidR="0073122B" w:rsidRPr="00E12983">
        <w:rPr>
          <w:rFonts w:ascii="Garamond" w:hAnsi="Garamond"/>
          <w:sz w:val="24"/>
          <w:szCs w:val="24"/>
        </w:rPr>
        <w:t xml:space="preserve"> (2012)</w:t>
      </w:r>
      <w:r w:rsidR="00C80204" w:rsidRPr="00E12983">
        <w:rPr>
          <w:rFonts w:ascii="Garamond" w:hAnsi="Garamond"/>
          <w:sz w:val="24"/>
          <w:szCs w:val="24"/>
        </w:rPr>
        <w:t xml:space="preserve">, </w:t>
      </w:r>
      <w:r w:rsidR="0073122B" w:rsidRPr="00E12983">
        <w:rPr>
          <w:rFonts w:ascii="Garamond" w:hAnsi="Garamond"/>
          <w:sz w:val="24"/>
          <w:szCs w:val="24"/>
        </w:rPr>
        <w:t xml:space="preserve">Zhang et al. (2017) </w:t>
      </w:r>
      <w:r w:rsidR="00C80204" w:rsidRPr="00E12983">
        <w:rPr>
          <w:rFonts w:ascii="Garamond" w:hAnsi="Garamond"/>
          <w:sz w:val="24"/>
          <w:szCs w:val="24"/>
        </w:rPr>
        <w:t>and Gkillas et al. (2021)</w:t>
      </w:r>
      <w:r w:rsidR="00C80204" w:rsidRPr="00E75964">
        <w:rPr>
          <w:rFonts w:ascii="Garamond" w:hAnsi="Garamond"/>
          <w:sz w:val="24"/>
          <w:szCs w:val="24"/>
        </w:rPr>
        <w:t xml:space="preserve"> </w:t>
      </w:r>
      <w:r w:rsidR="0073122B" w:rsidRPr="00E75964">
        <w:rPr>
          <w:rFonts w:ascii="Garamond" w:hAnsi="Garamond"/>
          <w:sz w:val="24"/>
          <w:szCs w:val="24"/>
        </w:rPr>
        <w:t xml:space="preserve">find evidence in support of </w:t>
      </w:r>
      <w:r w:rsidR="00C13339">
        <w:rPr>
          <w:rFonts w:ascii="Garamond" w:hAnsi="Garamond"/>
          <w:sz w:val="24"/>
          <w:szCs w:val="24"/>
        </w:rPr>
        <w:t xml:space="preserve">a </w:t>
      </w:r>
      <w:r w:rsidR="0073122B" w:rsidRPr="00E75964">
        <w:rPr>
          <w:rFonts w:ascii="Garamond" w:hAnsi="Garamond"/>
          <w:sz w:val="24"/>
          <w:szCs w:val="24"/>
        </w:rPr>
        <w:t xml:space="preserve">weekend effect. Boubaker et al. (2017) find some evidence of </w:t>
      </w:r>
      <w:r w:rsidR="00C13339">
        <w:rPr>
          <w:rFonts w:ascii="Garamond" w:hAnsi="Garamond"/>
          <w:sz w:val="24"/>
          <w:szCs w:val="24"/>
        </w:rPr>
        <w:t xml:space="preserve">a </w:t>
      </w:r>
      <w:r w:rsidR="0073122B" w:rsidRPr="00E75964">
        <w:rPr>
          <w:rFonts w:ascii="Garamond" w:hAnsi="Garamond"/>
          <w:sz w:val="24"/>
          <w:szCs w:val="24"/>
        </w:rPr>
        <w:t>weekend effect but point out that data and method may change these results. The authors (Boubaker et al., 2017) suggest do</w:t>
      </w:r>
      <w:r w:rsidR="00C13339">
        <w:rPr>
          <w:rFonts w:ascii="Garamond" w:hAnsi="Garamond"/>
          <w:sz w:val="24"/>
          <w:szCs w:val="24"/>
        </w:rPr>
        <w:t>ing</w:t>
      </w:r>
      <w:r w:rsidR="0073122B" w:rsidRPr="00E75964">
        <w:rPr>
          <w:rFonts w:ascii="Garamond" w:hAnsi="Garamond"/>
          <w:sz w:val="24"/>
          <w:szCs w:val="24"/>
        </w:rPr>
        <w:t xml:space="preserve"> further research on these market anomalies as the existing results and </w:t>
      </w:r>
      <w:r w:rsidR="00B36CE6" w:rsidRPr="00E75964">
        <w:rPr>
          <w:rFonts w:ascii="Garamond" w:hAnsi="Garamond"/>
          <w:sz w:val="24"/>
          <w:szCs w:val="24"/>
        </w:rPr>
        <w:t>theoretical explanations are not enough to understand this phenomenon.</w:t>
      </w:r>
      <w:r w:rsidR="00B36CE6" w:rsidRPr="00E75964">
        <w:rPr>
          <w:rFonts w:ascii="Garamond" w:hAnsi="Garamond"/>
          <w:color w:val="FF0000"/>
          <w:sz w:val="24"/>
          <w:szCs w:val="24"/>
        </w:rPr>
        <w:t xml:space="preserve"> </w:t>
      </w:r>
      <w:r w:rsidR="00697F51" w:rsidRPr="00E75964">
        <w:rPr>
          <w:rFonts w:ascii="Garamond" w:hAnsi="Garamond"/>
          <w:sz w:val="24"/>
          <w:szCs w:val="24"/>
        </w:rPr>
        <w:t>In this paper</w:t>
      </w:r>
      <w:r w:rsidR="003A54E2" w:rsidRPr="00E75964">
        <w:rPr>
          <w:rFonts w:ascii="Garamond" w:hAnsi="Garamond"/>
          <w:sz w:val="24"/>
          <w:szCs w:val="24"/>
        </w:rPr>
        <w:t>,</w:t>
      </w:r>
      <w:r w:rsidR="00697F51" w:rsidRPr="00E75964">
        <w:rPr>
          <w:rFonts w:ascii="Garamond" w:hAnsi="Garamond"/>
          <w:sz w:val="24"/>
          <w:szCs w:val="24"/>
        </w:rPr>
        <w:t xml:space="preserve"> we </w:t>
      </w:r>
      <w:r w:rsidR="00F91B40" w:rsidRPr="00E75964">
        <w:rPr>
          <w:rFonts w:ascii="Garamond" w:hAnsi="Garamond"/>
          <w:sz w:val="24"/>
          <w:szCs w:val="24"/>
        </w:rPr>
        <w:t>try to fill this</w:t>
      </w:r>
      <w:r w:rsidR="003A54E2" w:rsidRPr="00E75964">
        <w:rPr>
          <w:rFonts w:ascii="Garamond" w:hAnsi="Garamond"/>
          <w:sz w:val="24"/>
          <w:szCs w:val="24"/>
        </w:rPr>
        <w:t xml:space="preserve"> gap by </w:t>
      </w:r>
      <w:r w:rsidR="00697F51" w:rsidRPr="00E75964">
        <w:rPr>
          <w:rFonts w:ascii="Garamond" w:hAnsi="Garamond"/>
          <w:sz w:val="24"/>
          <w:szCs w:val="24"/>
        </w:rPr>
        <w:t xml:space="preserve">providing </w:t>
      </w:r>
      <w:r w:rsidR="00924380" w:rsidRPr="00E75964">
        <w:rPr>
          <w:rFonts w:ascii="Garamond" w:hAnsi="Garamond"/>
          <w:sz w:val="24"/>
          <w:szCs w:val="24"/>
        </w:rPr>
        <w:t xml:space="preserve">market and </w:t>
      </w:r>
      <w:r w:rsidR="00697F51" w:rsidRPr="00E75964">
        <w:rPr>
          <w:rFonts w:ascii="Garamond" w:hAnsi="Garamond"/>
          <w:sz w:val="24"/>
          <w:szCs w:val="24"/>
        </w:rPr>
        <w:t>firm</w:t>
      </w:r>
      <w:r w:rsidR="00D919CB" w:rsidRPr="00E75964">
        <w:rPr>
          <w:rFonts w:ascii="Garamond" w:hAnsi="Garamond"/>
          <w:sz w:val="24"/>
          <w:szCs w:val="24"/>
        </w:rPr>
        <w:t>-</w:t>
      </w:r>
      <w:r w:rsidR="00697F51" w:rsidRPr="00E75964">
        <w:rPr>
          <w:rFonts w:ascii="Garamond" w:hAnsi="Garamond"/>
          <w:sz w:val="24"/>
          <w:szCs w:val="24"/>
        </w:rPr>
        <w:t xml:space="preserve">level evidence of </w:t>
      </w:r>
      <w:r w:rsidR="00924380" w:rsidRPr="00E75964">
        <w:rPr>
          <w:rFonts w:ascii="Garamond" w:hAnsi="Garamond"/>
          <w:sz w:val="24"/>
          <w:szCs w:val="24"/>
        </w:rPr>
        <w:t>weekend sentiment</w:t>
      </w:r>
      <w:r w:rsidR="007675A3" w:rsidRPr="00E75964">
        <w:rPr>
          <w:rFonts w:ascii="Garamond" w:hAnsi="Garamond"/>
          <w:sz w:val="24"/>
          <w:szCs w:val="24"/>
        </w:rPr>
        <w:t xml:space="preserve"> from an Islamic emerging market</w:t>
      </w:r>
      <w:r w:rsidR="00924380" w:rsidRPr="00E75964">
        <w:rPr>
          <w:rFonts w:ascii="Garamond" w:hAnsi="Garamond"/>
          <w:sz w:val="24"/>
          <w:szCs w:val="24"/>
        </w:rPr>
        <w:t>,</w:t>
      </w:r>
      <w:r w:rsidR="00697F51" w:rsidRPr="00E75964">
        <w:rPr>
          <w:rFonts w:ascii="Garamond" w:hAnsi="Garamond"/>
          <w:sz w:val="24"/>
          <w:szCs w:val="24"/>
        </w:rPr>
        <w:t xml:space="preserve"> which will help </w:t>
      </w:r>
      <w:r w:rsidR="00924380" w:rsidRPr="00E75964">
        <w:rPr>
          <w:rFonts w:ascii="Garamond" w:hAnsi="Garamond"/>
          <w:sz w:val="24"/>
          <w:szCs w:val="24"/>
        </w:rPr>
        <w:t xml:space="preserve">local and global </w:t>
      </w:r>
      <w:r w:rsidR="00697F51" w:rsidRPr="00E75964">
        <w:rPr>
          <w:rFonts w:ascii="Garamond" w:hAnsi="Garamond"/>
          <w:sz w:val="24"/>
          <w:szCs w:val="24"/>
        </w:rPr>
        <w:t>investor</w:t>
      </w:r>
      <w:r w:rsidR="00F91B40" w:rsidRPr="00E75964">
        <w:rPr>
          <w:rFonts w:ascii="Garamond" w:hAnsi="Garamond"/>
          <w:sz w:val="24"/>
          <w:szCs w:val="24"/>
        </w:rPr>
        <w:t>s</w:t>
      </w:r>
      <w:r w:rsidR="00697F51" w:rsidRPr="00E75964">
        <w:rPr>
          <w:rFonts w:ascii="Garamond" w:hAnsi="Garamond"/>
          <w:sz w:val="24"/>
          <w:szCs w:val="24"/>
        </w:rPr>
        <w:t xml:space="preserve"> to </w:t>
      </w:r>
      <w:r w:rsidR="007675A3" w:rsidRPr="00E75964">
        <w:rPr>
          <w:rFonts w:ascii="Garamond" w:hAnsi="Garamond"/>
          <w:sz w:val="24"/>
          <w:szCs w:val="24"/>
        </w:rPr>
        <w:t xml:space="preserve">select optimum portfolios and </w:t>
      </w:r>
      <w:r w:rsidR="00697F51" w:rsidRPr="00E75964">
        <w:rPr>
          <w:rFonts w:ascii="Garamond" w:hAnsi="Garamond"/>
          <w:sz w:val="24"/>
          <w:szCs w:val="24"/>
        </w:rPr>
        <w:t>formulate investment strategies</w:t>
      </w:r>
      <w:r w:rsidR="00924380" w:rsidRPr="00E75964">
        <w:rPr>
          <w:rFonts w:ascii="Garamond" w:hAnsi="Garamond"/>
          <w:sz w:val="24"/>
          <w:szCs w:val="24"/>
        </w:rPr>
        <w:t xml:space="preserve"> </w:t>
      </w:r>
      <w:r w:rsidR="00D919CB" w:rsidRPr="00E75964">
        <w:rPr>
          <w:rFonts w:ascii="Garamond" w:hAnsi="Garamond"/>
          <w:sz w:val="24"/>
          <w:szCs w:val="24"/>
        </w:rPr>
        <w:t>to</w:t>
      </w:r>
      <w:r w:rsidR="00924380" w:rsidRPr="00E75964">
        <w:rPr>
          <w:rFonts w:ascii="Garamond" w:hAnsi="Garamond"/>
          <w:sz w:val="24"/>
          <w:szCs w:val="24"/>
        </w:rPr>
        <w:t xml:space="preserve"> earn higher returns.</w:t>
      </w:r>
      <w:r w:rsidR="00256366" w:rsidRPr="00E75964">
        <w:rPr>
          <w:rFonts w:ascii="Garamond" w:hAnsi="Garamond"/>
          <w:sz w:val="24"/>
          <w:szCs w:val="24"/>
        </w:rPr>
        <w:t xml:space="preserve"> More specifically, we look at a rapidly growing emerging Islamic market dominated by small private investors for new evidence on how </w:t>
      </w:r>
      <w:r w:rsidR="00F91B40" w:rsidRPr="00E75964">
        <w:rPr>
          <w:rFonts w:ascii="Garamond" w:hAnsi="Garamond"/>
          <w:sz w:val="24"/>
          <w:szCs w:val="24"/>
        </w:rPr>
        <w:t>investor</w:t>
      </w:r>
      <w:r w:rsidR="00256366" w:rsidRPr="00E75964">
        <w:rPr>
          <w:rFonts w:ascii="Garamond" w:hAnsi="Garamond"/>
          <w:sz w:val="24"/>
          <w:szCs w:val="24"/>
        </w:rPr>
        <w:t xml:space="preserve"> sentiment and the trading of different types of investors causes the weekend effect. </w:t>
      </w:r>
    </w:p>
    <w:p w14:paraId="0CC5F13C" w14:textId="45C7A140" w:rsidR="00CE65B6" w:rsidRPr="00E75964" w:rsidRDefault="00924380" w:rsidP="00CD604B">
      <w:pPr>
        <w:spacing w:line="360" w:lineRule="auto"/>
        <w:jc w:val="both"/>
        <w:rPr>
          <w:rFonts w:ascii="Garamond" w:hAnsi="Garamond"/>
          <w:sz w:val="24"/>
          <w:szCs w:val="24"/>
        </w:rPr>
      </w:pPr>
      <w:r w:rsidRPr="00E75964">
        <w:rPr>
          <w:rFonts w:ascii="Garamond" w:hAnsi="Garamond"/>
          <w:sz w:val="24"/>
          <w:szCs w:val="24"/>
        </w:rPr>
        <w:t>Market sentiment such as n</w:t>
      </w:r>
      <w:r w:rsidR="00CE65B6" w:rsidRPr="00E75964">
        <w:rPr>
          <w:rFonts w:ascii="Garamond" w:hAnsi="Garamond"/>
          <w:sz w:val="24"/>
          <w:szCs w:val="24"/>
        </w:rPr>
        <w:t xml:space="preserve">egative stock returns </w:t>
      </w:r>
      <w:r w:rsidR="00C93A84" w:rsidRPr="00E75964">
        <w:rPr>
          <w:rFonts w:ascii="Garamond" w:hAnsi="Garamond"/>
          <w:sz w:val="24"/>
          <w:szCs w:val="24"/>
        </w:rPr>
        <w:t xml:space="preserve">and higher variances </w:t>
      </w:r>
      <w:r w:rsidR="00CE65B6" w:rsidRPr="00E75964">
        <w:rPr>
          <w:rFonts w:ascii="Garamond" w:hAnsi="Garamond"/>
          <w:sz w:val="24"/>
          <w:szCs w:val="24"/>
        </w:rPr>
        <w:t xml:space="preserve">on Monday are one of the most puzzling empirical findings reported in finance (Wang et al., 1997). Two of the most credible explanations for this weekend effect from earlier studies are ‘information content theory’ and </w:t>
      </w:r>
      <w:r w:rsidR="00C11BBE" w:rsidRPr="00E75964">
        <w:rPr>
          <w:rFonts w:ascii="Garamond" w:hAnsi="Garamond"/>
          <w:sz w:val="24"/>
          <w:szCs w:val="24"/>
        </w:rPr>
        <w:t xml:space="preserve">the </w:t>
      </w:r>
      <w:r w:rsidR="00CE65B6" w:rsidRPr="00E75964">
        <w:rPr>
          <w:rFonts w:ascii="Garamond" w:hAnsi="Garamond"/>
          <w:sz w:val="24"/>
          <w:szCs w:val="24"/>
        </w:rPr>
        <w:lastRenderedPageBreak/>
        <w:t xml:space="preserve">‘information processing </w:t>
      </w:r>
      <w:proofErr w:type="gramStart"/>
      <w:r w:rsidR="00CE65B6" w:rsidRPr="00E75964">
        <w:rPr>
          <w:rFonts w:ascii="Garamond" w:hAnsi="Garamond"/>
          <w:sz w:val="24"/>
          <w:szCs w:val="24"/>
        </w:rPr>
        <w:t>hypothesis’</w:t>
      </w:r>
      <w:proofErr w:type="gramEnd"/>
      <w:r w:rsidR="00CE65B6" w:rsidRPr="00E75964">
        <w:rPr>
          <w:rFonts w:ascii="Garamond" w:hAnsi="Garamond"/>
          <w:sz w:val="24"/>
          <w:szCs w:val="24"/>
        </w:rPr>
        <w:t xml:space="preserve">. </w:t>
      </w:r>
      <w:r w:rsidR="00171647" w:rsidRPr="00E75964">
        <w:rPr>
          <w:rFonts w:ascii="Garamond" w:hAnsi="Garamond"/>
          <w:sz w:val="24"/>
          <w:szCs w:val="24"/>
        </w:rPr>
        <w:t xml:space="preserve">It has been argued that both the information content effect and information processing effect are the outcome of </w:t>
      </w:r>
      <w:r w:rsidR="00CE65B6" w:rsidRPr="00E75964">
        <w:rPr>
          <w:rFonts w:ascii="Garamond" w:hAnsi="Garamond"/>
          <w:sz w:val="24"/>
          <w:szCs w:val="24"/>
        </w:rPr>
        <w:t xml:space="preserve">trading activities of individual rather </w:t>
      </w:r>
      <w:r w:rsidR="00436F4E" w:rsidRPr="00E75964">
        <w:rPr>
          <w:rFonts w:ascii="Garamond" w:hAnsi="Garamond"/>
          <w:sz w:val="24"/>
          <w:szCs w:val="24"/>
        </w:rPr>
        <w:t xml:space="preserve">than </w:t>
      </w:r>
      <w:r w:rsidR="00CE65B6" w:rsidRPr="00E75964">
        <w:rPr>
          <w:rFonts w:ascii="Garamond" w:hAnsi="Garamond"/>
          <w:sz w:val="24"/>
          <w:szCs w:val="24"/>
        </w:rPr>
        <w:t>institutional investors</w:t>
      </w:r>
      <w:r w:rsidR="00362B5B" w:rsidRPr="00E75964">
        <w:rPr>
          <w:rFonts w:ascii="Garamond" w:hAnsi="Garamond"/>
          <w:sz w:val="24"/>
          <w:szCs w:val="24"/>
        </w:rPr>
        <w:t xml:space="preserve"> </w:t>
      </w:r>
      <w:r w:rsidR="005B74E4" w:rsidRPr="00E75964">
        <w:rPr>
          <w:rFonts w:ascii="Garamond" w:hAnsi="Garamond"/>
          <w:sz w:val="24"/>
          <w:szCs w:val="24"/>
        </w:rPr>
        <w:t>(Damodaran, 1989; Fortune, 1991; Choudhry, 2000; Lakonishok and Maberly, 1990; Abraham and Ikenberry, 1994)</w:t>
      </w:r>
      <w:r w:rsidR="00CE65B6" w:rsidRPr="00E75964">
        <w:rPr>
          <w:rFonts w:ascii="Garamond" w:hAnsi="Garamond"/>
          <w:sz w:val="24"/>
          <w:szCs w:val="24"/>
        </w:rPr>
        <w:t xml:space="preserve">. </w:t>
      </w:r>
      <w:r w:rsidR="00B45C72" w:rsidRPr="00E75964">
        <w:rPr>
          <w:rFonts w:ascii="Garamond" w:hAnsi="Garamond"/>
          <w:sz w:val="24"/>
          <w:szCs w:val="24"/>
        </w:rPr>
        <w:t xml:space="preserve">In addition, </w:t>
      </w:r>
      <w:r w:rsidR="00C82E37" w:rsidRPr="00E75964">
        <w:rPr>
          <w:rFonts w:ascii="Garamond" w:hAnsi="Garamond"/>
          <w:sz w:val="24"/>
          <w:szCs w:val="24"/>
        </w:rPr>
        <w:t>behavioural</w:t>
      </w:r>
      <w:r w:rsidR="00CE65B6" w:rsidRPr="00E75964">
        <w:rPr>
          <w:rFonts w:ascii="Garamond" w:hAnsi="Garamond"/>
          <w:sz w:val="24"/>
          <w:szCs w:val="24"/>
        </w:rPr>
        <w:t xml:space="preserve"> finance also provides support to the conjecture that </w:t>
      </w:r>
      <w:r w:rsidR="00436F4E" w:rsidRPr="00E75964">
        <w:rPr>
          <w:rFonts w:ascii="Garamond" w:hAnsi="Garamond"/>
          <w:sz w:val="24"/>
          <w:szCs w:val="24"/>
        </w:rPr>
        <w:t xml:space="preserve">an </w:t>
      </w:r>
      <w:r w:rsidR="00CE65B6" w:rsidRPr="00E75964">
        <w:rPr>
          <w:rFonts w:ascii="Garamond" w:hAnsi="Garamond"/>
          <w:sz w:val="24"/>
          <w:szCs w:val="24"/>
        </w:rPr>
        <w:t xml:space="preserve">individual’s moods and perceptions are subject to a Monday effect in the equity market (see Rystrom and Benson, 1989). </w:t>
      </w:r>
      <w:r w:rsidR="00171647" w:rsidRPr="00E75964">
        <w:rPr>
          <w:rFonts w:ascii="Garamond" w:hAnsi="Garamond"/>
          <w:sz w:val="24"/>
          <w:szCs w:val="24"/>
        </w:rPr>
        <w:t xml:space="preserve">However, </w:t>
      </w:r>
      <w:r w:rsidR="00CE65B6" w:rsidRPr="00E75964">
        <w:rPr>
          <w:rFonts w:ascii="Garamond" w:hAnsi="Garamond"/>
          <w:sz w:val="24"/>
          <w:szCs w:val="24"/>
        </w:rPr>
        <w:t xml:space="preserve">Sias and Starks (1995) </w:t>
      </w:r>
      <w:r w:rsidR="00171647" w:rsidRPr="00E75964">
        <w:rPr>
          <w:rFonts w:ascii="Garamond" w:hAnsi="Garamond"/>
          <w:sz w:val="24"/>
          <w:szCs w:val="24"/>
        </w:rPr>
        <w:t xml:space="preserve">and </w:t>
      </w:r>
      <w:r w:rsidR="00230C04" w:rsidRPr="00E75964">
        <w:rPr>
          <w:rFonts w:ascii="Garamond" w:hAnsi="Garamond"/>
          <w:sz w:val="24"/>
          <w:szCs w:val="24"/>
        </w:rPr>
        <w:t xml:space="preserve">Brockman and </w:t>
      </w:r>
      <w:r w:rsidR="00CE65B6" w:rsidRPr="00E75964">
        <w:rPr>
          <w:rFonts w:ascii="Garamond" w:hAnsi="Garamond"/>
          <w:sz w:val="24"/>
          <w:szCs w:val="24"/>
        </w:rPr>
        <w:t>Michayluk (1998)</w:t>
      </w:r>
      <w:r w:rsidR="00171647" w:rsidRPr="00E75964">
        <w:rPr>
          <w:rFonts w:ascii="Garamond" w:hAnsi="Garamond"/>
          <w:sz w:val="24"/>
          <w:szCs w:val="24"/>
        </w:rPr>
        <w:t xml:space="preserve"> provided evidence supporting the </w:t>
      </w:r>
      <w:r w:rsidR="00C13339">
        <w:rPr>
          <w:rFonts w:ascii="Garamond" w:hAnsi="Garamond"/>
          <w:sz w:val="24"/>
          <w:szCs w:val="24"/>
        </w:rPr>
        <w:t xml:space="preserve">idea that </w:t>
      </w:r>
      <w:r w:rsidR="00171647" w:rsidRPr="00E75964">
        <w:rPr>
          <w:rFonts w:ascii="Garamond" w:hAnsi="Garamond"/>
          <w:sz w:val="24"/>
          <w:szCs w:val="24"/>
        </w:rPr>
        <w:t xml:space="preserve">trading of institutional investors causes </w:t>
      </w:r>
      <w:r w:rsidR="00C11BBE" w:rsidRPr="00E75964">
        <w:rPr>
          <w:rFonts w:ascii="Garamond" w:hAnsi="Garamond"/>
          <w:sz w:val="24"/>
          <w:szCs w:val="24"/>
        </w:rPr>
        <w:t xml:space="preserve">the </w:t>
      </w:r>
      <w:r w:rsidR="00171647" w:rsidRPr="00E75964">
        <w:rPr>
          <w:rFonts w:ascii="Garamond" w:hAnsi="Garamond"/>
          <w:sz w:val="24"/>
          <w:szCs w:val="24"/>
        </w:rPr>
        <w:t>weekend effect.</w:t>
      </w:r>
    </w:p>
    <w:p w14:paraId="6399FA51" w14:textId="1681E7DF" w:rsidR="00217305"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While the trading </w:t>
      </w:r>
      <w:r w:rsidR="00C82E37" w:rsidRPr="00E75964">
        <w:rPr>
          <w:rFonts w:ascii="Garamond" w:hAnsi="Garamond"/>
          <w:sz w:val="24"/>
          <w:szCs w:val="24"/>
        </w:rPr>
        <w:t>behaviour</w:t>
      </w:r>
      <w:r w:rsidRPr="00E75964">
        <w:rPr>
          <w:rFonts w:ascii="Garamond" w:hAnsi="Garamond"/>
          <w:sz w:val="24"/>
          <w:szCs w:val="24"/>
        </w:rPr>
        <w:t xml:space="preserve"> of individual versus institutional investors as a reason for </w:t>
      </w:r>
      <w:r w:rsidR="00C13339">
        <w:rPr>
          <w:rFonts w:ascii="Garamond" w:hAnsi="Garamond"/>
          <w:sz w:val="24"/>
          <w:szCs w:val="24"/>
        </w:rPr>
        <w:t xml:space="preserve">the </w:t>
      </w:r>
      <w:r w:rsidRPr="00E75964">
        <w:rPr>
          <w:rFonts w:ascii="Garamond" w:hAnsi="Garamond"/>
          <w:sz w:val="24"/>
          <w:szCs w:val="24"/>
        </w:rPr>
        <w:t xml:space="preserve">Monday effect has been rigorously investigated for equity markets from developed countries, little or no substantiation has been documented in emerging </w:t>
      </w:r>
      <w:r w:rsidR="00171647" w:rsidRPr="00E75964">
        <w:rPr>
          <w:rFonts w:ascii="Garamond" w:hAnsi="Garamond"/>
          <w:sz w:val="24"/>
          <w:szCs w:val="24"/>
        </w:rPr>
        <w:t xml:space="preserve">Islamic </w:t>
      </w:r>
      <w:r w:rsidRPr="00E75964">
        <w:rPr>
          <w:rFonts w:ascii="Garamond" w:hAnsi="Garamond"/>
          <w:sz w:val="24"/>
          <w:szCs w:val="24"/>
        </w:rPr>
        <w:t>markets. This is possibly due to the difficulty of obtaining similar data for these markets</w:t>
      </w:r>
      <w:r w:rsidR="00436F4E" w:rsidRPr="00E75964">
        <w:rPr>
          <w:rFonts w:ascii="Garamond" w:hAnsi="Garamond"/>
          <w:sz w:val="24"/>
          <w:szCs w:val="24"/>
        </w:rPr>
        <w:t>.</w:t>
      </w:r>
      <w:r w:rsidRPr="00E75964">
        <w:rPr>
          <w:rFonts w:ascii="Garamond" w:hAnsi="Garamond"/>
          <w:sz w:val="24"/>
          <w:szCs w:val="24"/>
        </w:rPr>
        <w:t xml:space="preserve"> In this study</w:t>
      </w:r>
      <w:r w:rsidR="00346B35" w:rsidRPr="00E75964">
        <w:rPr>
          <w:rFonts w:ascii="Garamond" w:hAnsi="Garamond"/>
          <w:sz w:val="24"/>
          <w:szCs w:val="24"/>
        </w:rPr>
        <w:t>, therefore,</w:t>
      </w:r>
      <w:r w:rsidRPr="00E75964">
        <w:rPr>
          <w:rFonts w:ascii="Garamond" w:hAnsi="Garamond"/>
          <w:sz w:val="24"/>
          <w:szCs w:val="24"/>
        </w:rPr>
        <w:t xml:space="preserve"> we </w:t>
      </w:r>
      <w:r w:rsidR="00346B35" w:rsidRPr="00E75964">
        <w:rPr>
          <w:rFonts w:ascii="Garamond" w:hAnsi="Garamond"/>
          <w:sz w:val="24"/>
          <w:szCs w:val="24"/>
        </w:rPr>
        <w:t>have fill</w:t>
      </w:r>
      <w:r w:rsidR="00C11BBE" w:rsidRPr="00E75964">
        <w:rPr>
          <w:rFonts w:ascii="Garamond" w:hAnsi="Garamond"/>
          <w:sz w:val="24"/>
          <w:szCs w:val="24"/>
        </w:rPr>
        <w:t>ed</w:t>
      </w:r>
      <w:r w:rsidR="00346B35" w:rsidRPr="00E75964">
        <w:rPr>
          <w:rFonts w:ascii="Garamond" w:hAnsi="Garamond"/>
          <w:sz w:val="24"/>
          <w:szCs w:val="24"/>
        </w:rPr>
        <w:t xml:space="preserve"> the gap by </w:t>
      </w:r>
      <w:r w:rsidRPr="00E75964">
        <w:rPr>
          <w:rFonts w:ascii="Garamond" w:hAnsi="Garamond"/>
          <w:sz w:val="24"/>
          <w:szCs w:val="24"/>
        </w:rPr>
        <w:t>us</w:t>
      </w:r>
      <w:r w:rsidR="00346B35" w:rsidRPr="00E75964">
        <w:rPr>
          <w:rFonts w:ascii="Garamond" w:hAnsi="Garamond"/>
          <w:sz w:val="24"/>
          <w:szCs w:val="24"/>
        </w:rPr>
        <w:t>ing</w:t>
      </w:r>
      <w:r w:rsidRPr="00E75964">
        <w:rPr>
          <w:rFonts w:ascii="Garamond" w:hAnsi="Garamond"/>
          <w:sz w:val="24"/>
          <w:szCs w:val="24"/>
        </w:rPr>
        <w:t xml:space="preserve"> a new set of data from an emerging </w:t>
      </w:r>
      <w:r w:rsidR="00171647" w:rsidRPr="00E75964">
        <w:rPr>
          <w:rFonts w:ascii="Garamond" w:hAnsi="Garamond"/>
          <w:sz w:val="24"/>
          <w:szCs w:val="24"/>
        </w:rPr>
        <w:t xml:space="preserve">Islamic </w:t>
      </w:r>
      <w:r w:rsidRPr="00E75964">
        <w:rPr>
          <w:rFonts w:ascii="Garamond" w:hAnsi="Garamond"/>
          <w:sz w:val="24"/>
          <w:szCs w:val="24"/>
        </w:rPr>
        <w:t>market</w:t>
      </w:r>
      <w:r w:rsidR="00346B35" w:rsidRPr="00E75964">
        <w:rPr>
          <w:rFonts w:ascii="Garamond" w:hAnsi="Garamond"/>
          <w:sz w:val="24"/>
          <w:szCs w:val="24"/>
        </w:rPr>
        <w:t>,</w:t>
      </w:r>
      <w:r w:rsidRPr="00E75964">
        <w:rPr>
          <w:rFonts w:ascii="Garamond" w:hAnsi="Garamond"/>
          <w:sz w:val="24"/>
          <w:szCs w:val="24"/>
        </w:rPr>
        <w:t xml:space="preserve"> </w:t>
      </w:r>
      <w:r w:rsidR="00C11BBE" w:rsidRPr="00E75964">
        <w:rPr>
          <w:rFonts w:ascii="Garamond" w:hAnsi="Garamond"/>
          <w:sz w:val="24"/>
          <w:szCs w:val="24"/>
        </w:rPr>
        <w:t xml:space="preserve">the </w:t>
      </w:r>
      <w:r w:rsidR="005B74E4" w:rsidRPr="00E75964">
        <w:rPr>
          <w:rFonts w:ascii="Garamond" w:hAnsi="Garamond"/>
          <w:sz w:val="24"/>
          <w:szCs w:val="24"/>
        </w:rPr>
        <w:t xml:space="preserve">Dhaka Stock Exchange (DSE), </w:t>
      </w:r>
      <w:r w:rsidR="00346B35" w:rsidRPr="00E75964">
        <w:rPr>
          <w:rFonts w:ascii="Garamond" w:hAnsi="Garamond"/>
          <w:sz w:val="24"/>
          <w:szCs w:val="24"/>
        </w:rPr>
        <w:t>which</w:t>
      </w:r>
      <w:r w:rsidRPr="00E75964">
        <w:rPr>
          <w:rFonts w:ascii="Garamond" w:hAnsi="Garamond"/>
          <w:sz w:val="24"/>
          <w:szCs w:val="24"/>
        </w:rPr>
        <w:t xml:space="preserve"> allows us to investigate the impact of trading </w:t>
      </w:r>
      <w:r w:rsidR="00346B35" w:rsidRPr="00E75964">
        <w:rPr>
          <w:rFonts w:ascii="Garamond" w:hAnsi="Garamond"/>
          <w:sz w:val="24"/>
          <w:szCs w:val="24"/>
        </w:rPr>
        <w:t xml:space="preserve">patterns </w:t>
      </w:r>
      <w:r w:rsidRPr="00E75964">
        <w:rPr>
          <w:rFonts w:ascii="Garamond" w:hAnsi="Garamond"/>
          <w:sz w:val="24"/>
          <w:szCs w:val="24"/>
        </w:rPr>
        <w:t xml:space="preserve">of institutions and individuals </w:t>
      </w:r>
      <w:r w:rsidR="00C11BBE" w:rsidRPr="00E75964">
        <w:rPr>
          <w:rFonts w:ascii="Garamond" w:hAnsi="Garamond"/>
          <w:sz w:val="24"/>
          <w:szCs w:val="24"/>
        </w:rPr>
        <w:t xml:space="preserve">on </w:t>
      </w:r>
      <w:r w:rsidRPr="00E75964">
        <w:rPr>
          <w:rFonts w:ascii="Garamond" w:hAnsi="Garamond"/>
          <w:sz w:val="24"/>
          <w:szCs w:val="24"/>
        </w:rPr>
        <w:t xml:space="preserve">both equity returns and variance following the weekend, considering their </w:t>
      </w:r>
      <w:r w:rsidR="00346B35" w:rsidRPr="00E75964">
        <w:rPr>
          <w:rFonts w:ascii="Garamond" w:hAnsi="Garamond"/>
          <w:sz w:val="24"/>
          <w:szCs w:val="24"/>
        </w:rPr>
        <w:t xml:space="preserve">individual preference for </w:t>
      </w:r>
      <w:r w:rsidRPr="00E75964">
        <w:rPr>
          <w:rFonts w:ascii="Garamond" w:hAnsi="Garamond"/>
          <w:sz w:val="24"/>
          <w:szCs w:val="24"/>
        </w:rPr>
        <w:t>investment</w:t>
      </w:r>
      <w:r w:rsidR="00346B35" w:rsidRPr="00E75964">
        <w:rPr>
          <w:rFonts w:ascii="Garamond" w:hAnsi="Garamond"/>
          <w:sz w:val="24"/>
          <w:szCs w:val="24"/>
        </w:rPr>
        <w:t>.</w:t>
      </w:r>
      <w:r w:rsidR="00EF4347" w:rsidRPr="00E75964">
        <w:rPr>
          <w:rFonts w:ascii="Garamond" w:hAnsi="Garamond"/>
          <w:sz w:val="24"/>
          <w:szCs w:val="24"/>
        </w:rPr>
        <w:t xml:space="preserve"> </w:t>
      </w:r>
    </w:p>
    <w:p w14:paraId="55D74AD7" w14:textId="1EE75DD6" w:rsidR="00C13339" w:rsidRDefault="00C13339" w:rsidP="00CD604B">
      <w:pPr>
        <w:spacing w:line="360" w:lineRule="auto"/>
        <w:jc w:val="both"/>
        <w:rPr>
          <w:rFonts w:ascii="Garamond" w:hAnsi="Garamond"/>
          <w:sz w:val="24"/>
          <w:szCs w:val="24"/>
        </w:rPr>
      </w:pPr>
      <w:r>
        <w:rPr>
          <w:rFonts w:ascii="Garamond" w:hAnsi="Garamond"/>
          <w:sz w:val="24"/>
          <w:szCs w:val="24"/>
        </w:rPr>
        <w:t xml:space="preserve">The </w:t>
      </w:r>
      <w:r w:rsidR="0092754F" w:rsidRPr="00E75964">
        <w:rPr>
          <w:rFonts w:ascii="Garamond" w:hAnsi="Garamond"/>
          <w:sz w:val="24"/>
          <w:szCs w:val="24"/>
        </w:rPr>
        <w:t xml:space="preserve">DSE is one of the fastest growing equity markets of South </w:t>
      </w:r>
      <w:r w:rsidR="00EC0E91" w:rsidRPr="00E75964">
        <w:rPr>
          <w:rFonts w:ascii="Garamond" w:hAnsi="Garamond"/>
          <w:sz w:val="24"/>
          <w:szCs w:val="24"/>
        </w:rPr>
        <w:t>Asian region</w:t>
      </w:r>
      <w:r w:rsidR="0092754F" w:rsidRPr="00E75964">
        <w:rPr>
          <w:rFonts w:ascii="Garamond" w:hAnsi="Garamond"/>
          <w:sz w:val="24"/>
          <w:szCs w:val="24"/>
        </w:rPr>
        <w:t xml:space="preserve"> and named as one of the best performing markets in the world (</w:t>
      </w:r>
      <w:proofErr w:type="spellStart"/>
      <w:r w:rsidR="0092754F" w:rsidRPr="00E75964">
        <w:rPr>
          <w:rFonts w:ascii="Garamond" w:hAnsi="Garamond"/>
          <w:sz w:val="24"/>
          <w:szCs w:val="24"/>
        </w:rPr>
        <w:t>Rintoul</w:t>
      </w:r>
      <w:proofErr w:type="spellEnd"/>
      <w:r w:rsidR="0092754F" w:rsidRPr="00E75964">
        <w:rPr>
          <w:rFonts w:ascii="Garamond" w:hAnsi="Garamond"/>
          <w:sz w:val="24"/>
          <w:szCs w:val="24"/>
        </w:rPr>
        <w:t xml:space="preserve">, 2012). Yet, there is no study on </w:t>
      </w:r>
      <w:r w:rsidR="002A2548">
        <w:rPr>
          <w:rFonts w:ascii="Garamond" w:hAnsi="Garamond"/>
          <w:sz w:val="24"/>
          <w:szCs w:val="24"/>
        </w:rPr>
        <w:t xml:space="preserve">the </w:t>
      </w:r>
      <w:r w:rsidR="0092754F" w:rsidRPr="00E75964">
        <w:rPr>
          <w:rFonts w:ascii="Garamond" w:hAnsi="Garamond"/>
          <w:sz w:val="24"/>
          <w:szCs w:val="24"/>
        </w:rPr>
        <w:t>DSE that examines the information content and information processing hypothes</w:t>
      </w:r>
      <w:r w:rsidR="002A2548">
        <w:rPr>
          <w:rFonts w:ascii="Garamond" w:hAnsi="Garamond"/>
          <w:sz w:val="24"/>
          <w:szCs w:val="24"/>
        </w:rPr>
        <w:t>e</w:t>
      </w:r>
      <w:r w:rsidR="0092754F" w:rsidRPr="00E75964">
        <w:rPr>
          <w:rFonts w:ascii="Garamond" w:hAnsi="Garamond"/>
          <w:sz w:val="24"/>
          <w:szCs w:val="24"/>
        </w:rPr>
        <w:t>s using weekend return</w:t>
      </w:r>
      <w:r w:rsidR="002A2548">
        <w:rPr>
          <w:rFonts w:ascii="Garamond" w:hAnsi="Garamond"/>
          <w:sz w:val="24"/>
          <w:szCs w:val="24"/>
        </w:rPr>
        <w:t>s</w:t>
      </w:r>
      <w:r w:rsidR="0092754F" w:rsidRPr="00E75964">
        <w:rPr>
          <w:rFonts w:ascii="Garamond" w:hAnsi="Garamond"/>
          <w:sz w:val="24"/>
          <w:szCs w:val="24"/>
        </w:rPr>
        <w:t xml:space="preserve"> behaviour. Although there are several studies on </w:t>
      </w:r>
      <w:r>
        <w:rPr>
          <w:rFonts w:ascii="Garamond" w:hAnsi="Garamond"/>
          <w:sz w:val="24"/>
          <w:szCs w:val="24"/>
        </w:rPr>
        <w:t xml:space="preserve">the </w:t>
      </w:r>
      <w:r w:rsidR="0092754F" w:rsidRPr="00E75964">
        <w:rPr>
          <w:rFonts w:ascii="Garamond" w:hAnsi="Garamond"/>
          <w:sz w:val="24"/>
          <w:szCs w:val="24"/>
        </w:rPr>
        <w:t xml:space="preserve">DSE that examine </w:t>
      </w:r>
      <w:r>
        <w:rPr>
          <w:rFonts w:ascii="Garamond" w:hAnsi="Garamond"/>
          <w:sz w:val="24"/>
          <w:szCs w:val="24"/>
        </w:rPr>
        <w:t xml:space="preserve">the </w:t>
      </w:r>
      <w:r w:rsidR="0099294E" w:rsidRPr="00E75964">
        <w:rPr>
          <w:rFonts w:ascii="Garamond" w:hAnsi="Garamond"/>
          <w:sz w:val="24"/>
          <w:szCs w:val="24"/>
        </w:rPr>
        <w:t>time series behaviour of stock return</w:t>
      </w:r>
      <w:r>
        <w:rPr>
          <w:rFonts w:ascii="Garamond" w:hAnsi="Garamond"/>
          <w:sz w:val="24"/>
          <w:szCs w:val="24"/>
        </w:rPr>
        <w:t>s</w:t>
      </w:r>
      <w:r w:rsidR="0099294E" w:rsidRPr="00E75964">
        <w:rPr>
          <w:rFonts w:ascii="Garamond" w:hAnsi="Garamond"/>
          <w:sz w:val="24"/>
          <w:szCs w:val="24"/>
        </w:rPr>
        <w:t xml:space="preserve"> (Chowdhury, 1994), </w:t>
      </w:r>
      <w:r w:rsidR="0092754F" w:rsidRPr="00E75964">
        <w:rPr>
          <w:rFonts w:ascii="Garamond" w:hAnsi="Garamond"/>
          <w:sz w:val="24"/>
          <w:szCs w:val="24"/>
        </w:rPr>
        <w:t>market efficiency (Hassan and Chowdhury, 2008</w:t>
      </w:r>
      <w:r w:rsidR="00EC0E91" w:rsidRPr="00E75964">
        <w:rPr>
          <w:rFonts w:ascii="Garamond" w:hAnsi="Garamond"/>
          <w:sz w:val="24"/>
          <w:szCs w:val="24"/>
        </w:rPr>
        <w:t xml:space="preserve">), </w:t>
      </w:r>
      <w:r>
        <w:rPr>
          <w:rFonts w:ascii="Garamond" w:hAnsi="Garamond"/>
          <w:sz w:val="24"/>
          <w:szCs w:val="24"/>
        </w:rPr>
        <w:t xml:space="preserve">the </w:t>
      </w:r>
      <w:r w:rsidR="00EC0E91" w:rsidRPr="00E75964">
        <w:rPr>
          <w:rFonts w:ascii="Garamond" w:hAnsi="Garamond"/>
          <w:sz w:val="24"/>
          <w:szCs w:val="24"/>
        </w:rPr>
        <w:t>time</w:t>
      </w:r>
      <w:r w:rsidR="004F4A92" w:rsidRPr="00E75964">
        <w:rPr>
          <w:rFonts w:ascii="Garamond" w:hAnsi="Garamond"/>
          <w:sz w:val="24"/>
          <w:szCs w:val="24"/>
        </w:rPr>
        <w:t xml:space="preserve"> varying risk-return relationship (Basher et al., 2007)</w:t>
      </w:r>
      <w:r w:rsidR="00D524E8" w:rsidRPr="00E75964">
        <w:rPr>
          <w:rFonts w:ascii="Garamond" w:hAnsi="Garamond"/>
          <w:sz w:val="24"/>
          <w:szCs w:val="24"/>
        </w:rPr>
        <w:t xml:space="preserve"> and stock market liquidity (Chowdhury et al., 2018)</w:t>
      </w:r>
      <w:r w:rsidR="00AC753F" w:rsidRPr="00E75964">
        <w:rPr>
          <w:rFonts w:ascii="Garamond" w:hAnsi="Garamond"/>
          <w:sz w:val="24"/>
          <w:szCs w:val="24"/>
        </w:rPr>
        <w:t xml:space="preserve">, </w:t>
      </w:r>
      <w:r>
        <w:rPr>
          <w:rFonts w:ascii="Garamond" w:hAnsi="Garamond"/>
          <w:sz w:val="24"/>
          <w:szCs w:val="24"/>
        </w:rPr>
        <w:t xml:space="preserve">the </w:t>
      </w:r>
      <w:r w:rsidR="008836CB" w:rsidRPr="00E75964">
        <w:rPr>
          <w:rFonts w:ascii="Garamond" w:hAnsi="Garamond"/>
          <w:sz w:val="24"/>
          <w:szCs w:val="24"/>
        </w:rPr>
        <w:t xml:space="preserve">weekend return behaviour of </w:t>
      </w:r>
      <w:r>
        <w:rPr>
          <w:rFonts w:ascii="Garamond" w:hAnsi="Garamond"/>
          <w:sz w:val="24"/>
          <w:szCs w:val="24"/>
        </w:rPr>
        <w:t xml:space="preserve">the </w:t>
      </w:r>
      <w:r w:rsidR="008836CB" w:rsidRPr="00E75964">
        <w:rPr>
          <w:rFonts w:ascii="Garamond" w:hAnsi="Garamond"/>
          <w:sz w:val="24"/>
          <w:szCs w:val="24"/>
        </w:rPr>
        <w:t>DSE still remain</w:t>
      </w:r>
      <w:r>
        <w:rPr>
          <w:rFonts w:ascii="Garamond" w:hAnsi="Garamond"/>
          <w:sz w:val="24"/>
          <w:szCs w:val="24"/>
        </w:rPr>
        <w:t>s</w:t>
      </w:r>
      <w:r w:rsidR="008836CB" w:rsidRPr="00E75964">
        <w:rPr>
          <w:rFonts w:ascii="Garamond" w:hAnsi="Garamond"/>
          <w:sz w:val="24"/>
          <w:szCs w:val="24"/>
        </w:rPr>
        <w:t xml:space="preserve"> unexplored. Following this research gap, this study has</w:t>
      </w:r>
      <w:r w:rsidR="008836CB" w:rsidRPr="00E75964">
        <w:rPr>
          <w:rFonts w:ascii="Garamond" w:hAnsi="Garamond"/>
          <w:color w:val="FF0000"/>
          <w:sz w:val="24"/>
          <w:szCs w:val="24"/>
        </w:rPr>
        <w:t xml:space="preserve"> </w:t>
      </w:r>
      <w:r w:rsidR="00CE65B6" w:rsidRPr="00E75964">
        <w:rPr>
          <w:rFonts w:ascii="Garamond" w:hAnsi="Garamond"/>
          <w:sz w:val="24"/>
          <w:szCs w:val="24"/>
        </w:rPr>
        <w:t>investigate</w:t>
      </w:r>
      <w:r w:rsidR="008836CB" w:rsidRPr="00E75964">
        <w:rPr>
          <w:rFonts w:ascii="Garamond" w:hAnsi="Garamond"/>
          <w:sz w:val="24"/>
          <w:szCs w:val="24"/>
        </w:rPr>
        <w:t>d</w:t>
      </w:r>
      <w:r w:rsidR="00CE65B6" w:rsidRPr="00E75964">
        <w:rPr>
          <w:rFonts w:ascii="Garamond" w:hAnsi="Garamond"/>
          <w:sz w:val="24"/>
          <w:szCs w:val="24"/>
        </w:rPr>
        <w:t xml:space="preserve"> the information content and processing hypotheses for DSE</w:t>
      </w:r>
      <w:r w:rsidR="00843985" w:rsidRPr="00E75964">
        <w:rPr>
          <w:rFonts w:ascii="Garamond" w:hAnsi="Garamond"/>
          <w:sz w:val="24"/>
          <w:szCs w:val="24"/>
        </w:rPr>
        <w:t xml:space="preserve">, the main </w:t>
      </w:r>
      <w:r w:rsidR="00C82E37" w:rsidRPr="00E75964">
        <w:rPr>
          <w:rFonts w:ascii="Garamond" w:hAnsi="Garamond"/>
          <w:sz w:val="24"/>
          <w:szCs w:val="24"/>
        </w:rPr>
        <w:t xml:space="preserve">capital </w:t>
      </w:r>
      <w:r w:rsidR="00843985" w:rsidRPr="00E75964">
        <w:rPr>
          <w:rFonts w:ascii="Garamond" w:hAnsi="Garamond"/>
          <w:sz w:val="24"/>
          <w:szCs w:val="24"/>
        </w:rPr>
        <w:t>market</w:t>
      </w:r>
      <w:r w:rsidR="00CE65B6" w:rsidRPr="00E75964">
        <w:rPr>
          <w:rFonts w:ascii="Garamond" w:hAnsi="Garamond"/>
          <w:sz w:val="24"/>
          <w:szCs w:val="24"/>
        </w:rPr>
        <w:t xml:space="preserve"> of Bangladesh, which operates from Sunday to Thursday rather than the usual Monday-Friday </w:t>
      </w:r>
      <w:r w:rsidR="005B74E4" w:rsidRPr="00E75964">
        <w:rPr>
          <w:rFonts w:ascii="Garamond" w:hAnsi="Garamond"/>
          <w:sz w:val="24"/>
          <w:szCs w:val="24"/>
        </w:rPr>
        <w:t>for most of t</w:t>
      </w:r>
      <w:r w:rsidR="001358F3" w:rsidRPr="00E75964">
        <w:rPr>
          <w:rFonts w:ascii="Garamond" w:hAnsi="Garamond"/>
          <w:sz w:val="24"/>
          <w:szCs w:val="24"/>
        </w:rPr>
        <w:t>he developed countries that ha</w:t>
      </w:r>
      <w:r>
        <w:rPr>
          <w:rFonts w:ascii="Garamond" w:hAnsi="Garamond"/>
          <w:sz w:val="24"/>
          <w:szCs w:val="24"/>
        </w:rPr>
        <w:t>ve</w:t>
      </w:r>
      <w:r w:rsidR="005B74E4" w:rsidRPr="00E75964">
        <w:rPr>
          <w:rFonts w:ascii="Garamond" w:hAnsi="Garamond"/>
          <w:sz w:val="24"/>
          <w:szCs w:val="24"/>
        </w:rPr>
        <w:t xml:space="preserve"> been the prime attention of weekend effect studies</w:t>
      </w:r>
      <w:r w:rsidR="00CE65B6" w:rsidRPr="00E75964">
        <w:rPr>
          <w:rFonts w:ascii="Garamond" w:hAnsi="Garamond"/>
          <w:sz w:val="24"/>
          <w:szCs w:val="24"/>
        </w:rPr>
        <w:t xml:space="preserve">. </w:t>
      </w:r>
    </w:p>
    <w:p w14:paraId="3C1B483D" w14:textId="1B1F8FD3" w:rsidR="00CE65B6" w:rsidRPr="00E75964" w:rsidRDefault="00146938" w:rsidP="00CD604B">
      <w:pPr>
        <w:spacing w:line="360" w:lineRule="auto"/>
        <w:jc w:val="both"/>
        <w:rPr>
          <w:rFonts w:ascii="Garamond" w:hAnsi="Garamond"/>
          <w:sz w:val="24"/>
          <w:szCs w:val="24"/>
        </w:rPr>
      </w:pPr>
      <w:r w:rsidRPr="00E75964">
        <w:rPr>
          <w:rFonts w:ascii="Garamond" w:hAnsi="Garamond"/>
          <w:sz w:val="24"/>
          <w:szCs w:val="24"/>
        </w:rPr>
        <w:t xml:space="preserve">Our study is significantly different from previous studies and makes several contributions to the literature. </w:t>
      </w:r>
      <w:r w:rsidR="00CE65B6" w:rsidRPr="00E75964">
        <w:rPr>
          <w:rFonts w:ascii="Garamond" w:hAnsi="Garamond"/>
          <w:sz w:val="24"/>
          <w:szCs w:val="24"/>
        </w:rPr>
        <w:t xml:space="preserve">First, the day-of-the-week effect on Sunday provides an opportunity to add to the evidence that following the information advantage, stock returns and the volatility pattern shift in step with the change in trading days. Second, the trading </w:t>
      </w:r>
      <w:r w:rsidR="00F56E81" w:rsidRPr="00E75964">
        <w:rPr>
          <w:rFonts w:ascii="Garamond" w:hAnsi="Garamond"/>
          <w:sz w:val="24"/>
          <w:szCs w:val="24"/>
        </w:rPr>
        <w:t>behavio</w:t>
      </w:r>
      <w:r w:rsidRPr="00E75964">
        <w:rPr>
          <w:rFonts w:ascii="Garamond" w:hAnsi="Garamond"/>
          <w:sz w:val="24"/>
          <w:szCs w:val="24"/>
        </w:rPr>
        <w:t>u</w:t>
      </w:r>
      <w:r w:rsidR="00F56E81" w:rsidRPr="00E75964">
        <w:rPr>
          <w:rFonts w:ascii="Garamond" w:hAnsi="Garamond"/>
          <w:sz w:val="24"/>
          <w:szCs w:val="24"/>
        </w:rPr>
        <w:t>r</w:t>
      </w:r>
      <w:r w:rsidR="00CE65B6" w:rsidRPr="00E75964">
        <w:rPr>
          <w:rFonts w:ascii="Garamond" w:hAnsi="Garamond"/>
          <w:sz w:val="24"/>
          <w:szCs w:val="24"/>
        </w:rPr>
        <w:t xml:space="preserve"> of individual investors after the weekend and any positive Thursday-Sunday feedback effect should confirm that the information processing hypothesis holds irrespective of time, size, location and characteristics of </w:t>
      </w:r>
      <w:r w:rsidR="00CE65B6" w:rsidRPr="00E75964">
        <w:rPr>
          <w:rFonts w:ascii="Garamond" w:hAnsi="Garamond"/>
          <w:sz w:val="24"/>
          <w:szCs w:val="24"/>
        </w:rPr>
        <w:lastRenderedPageBreak/>
        <w:t>the equity market</w:t>
      </w:r>
      <w:r w:rsidR="00924380" w:rsidRPr="00E75964">
        <w:rPr>
          <w:rFonts w:ascii="Garamond" w:hAnsi="Garamond"/>
          <w:sz w:val="24"/>
          <w:szCs w:val="24"/>
        </w:rPr>
        <w:t xml:space="preserve"> (</w:t>
      </w:r>
      <w:r w:rsidR="00E14B5B" w:rsidRPr="00E75964">
        <w:rPr>
          <w:rFonts w:ascii="Garamond" w:hAnsi="Garamond"/>
          <w:sz w:val="24"/>
          <w:szCs w:val="24"/>
        </w:rPr>
        <w:t>i.e.,</w:t>
      </w:r>
      <w:r w:rsidR="00924380" w:rsidRPr="00E75964">
        <w:rPr>
          <w:rFonts w:ascii="Garamond" w:hAnsi="Garamond"/>
          <w:sz w:val="24"/>
          <w:szCs w:val="24"/>
        </w:rPr>
        <w:t xml:space="preserve"> both in conventional and Islamic)</w:t>
      </w:r>
      <w:r w:rsidR="00CE65B6" w:rsidRPr="00E75964">
        <w:rPr>
          <w:rFonts w:ascii="Garamond" w:hAnsi="Garamond"/>
          <w:sz w:val="24"/>
          <w:szCs w:val="24"/>
        </w:rPr>
        <w:t xml:space="preserve">. In this </w:t>
      </w:r>
      <w:r w:rsidR="00924380" w:rsidRPr="00E75964">
        <w:rPr>
          <w:rFonts w:ascii="Garamond" w:hAnsi="Garamond"/>
          <w:sz w:val="24"/>
          <w:szCs w:val="24"/>
        </w:rPr>
        <w:t xml:space="preserve">Islamic </w:t>
      </w:r>
      <w:r w:rsidR="00CE65B6" w:rsidRPr="00E75964">
        <w:rPr>
          <w:rFonts w:ascii="Garamond" w:hAnsi="Garamond"/>
          <w:sz w:val="24"/>
          <w:szCs w:val="24"/>
        </w:rPr>
        <w:t xml:space="preserve">equity market </w:t>
      </w:r>
      <w:r w:rsidR="00B06F84" w:rsidRPr="00E75964">
        <w:rPr>
          <w:rFonts w:ascii="Garamond" w:hAnsi="Garamond"/>
          <w:sz w:val="24"/>
          <w:szCs w:val="24"/>
        </w:rPr>
        <w:t xml:space="preserve">(DSE), </w:t>
      </w:r>
      <w:r w:rsidR="00CE65B6" w:rsidRPr="00E75964">
        <w:rPr>
          <w:rFonts w:ascii="Garamond" w:hAnsi="Garamond"/>
          <w:sz w:val="24"/>
          <w:szCs w:val="24"/>
        </w:rPr>
        <w:t>more than 99 percent</w:t>
      </w:r>
      <w:r w:rsidR="00436F4E" w:rsidRPr="00E75964">
        <w:rPr>
          <w:rFonts w:ascii="Garamond" w:hAnsi="Garamond"/>
          <w:sz w:val="24"/>
          <w:szCs w:val="24"/>
        </w:rPr>
        <w:t xml:space="preserve"> </w:t>
      </w:r>
      <w:r w:rsidR="00CE65B6" w:rsidRPr="00E75964">
        <w:rPr>
          <w:rFonts w:ascii="Garamond" w:hAnsi="Garamond"/>
          <w:sz w:val="24"/>
          <w:szCs w:val="24"/>
        </w:rPr>
        <w:t>are individual</w:t>
      </w:r>
      <w:r w:rsidR="004E1B4C" w:rsidRPr="00E75964">
        <w:rPr>
          <w:rFonts w:ascii="Garamond" w:hAnsi="Garamond"/>
          <w:sz w:val="24"/>
          <w:szCs w:val="24"/>
        </w:rPr>
        <w:t xml:space="preserve"> investors who hold an a</w:t>
      </w:r>
      <w:r w:rsidR="00CE65B6" w:rsidRPr="00E75964">
        <w:rPr>
          <w:rFonts w:ascii="Garamond" w:hAnsi="Garamond"/>
          <w:sz w:val="24"/>
          <w:szCs w:val="24"/>
        </w:rPr>
        <w:t xml:space="preserve">verage </w:t>
      </w:r>
      <w:r w:rsidR="004E1B4C" w:rsidRPr="00E75964">
        <w:rPr>
          <w:rFonts w:ascii="Garamond" w:hAnsi="Garamond"/>
          <w:sz w:val="24"/>
          <w:szCs w:val="24"/>
        </w:rPr>
        <w:t xml:space="preserve">of </w:t>
      </w:r>
      <w:r w:rsidR="00CE65B6" w:rsidRPr="00E75964">
        <w:rPr>
          <w:rFonts w:ascii="Garamond" w:hAnsi="Garamond"/>
          <w:sz w:val="24"/>
          <w:szCs w:val="24"/>
        </w:rPr>
        <w:t>4</w:t>
      </w:r>
      <w:r w:rsidR="003001AA" w:rsidRPr="00E75964">
        <w:rPr>
          <w:rFonts w:ascii="Garamond" w:hAnsi="Garamond"/>
          <w:sz w:val="24"/>
          <w:szCs w:val="24"/>
        </w:rPr>
        <w:t>2</w:t>
      </w:r>
      <w:r w:rsidR="00CE65B6" w:rsidRPr="00E75964">
        <w:rPr>
          <w:rFonts w:ascii="Garamond" w:hAnsi="Garamond"/>
          <w:sz w:val="24"/>
          <w:szCs w:val="24"/>
        </w:rPr>
        <w:t xml:space="preserve"> percent </w:t>
      </w:r>
      <w:r w:rsidR="006746F5" w:rsidRPr="00E75964">
        <w:rPr>
          <w:rFonts w:ascii="Garamond" w:hAnsi="Garamond"/>
          <w:sz w:val="24"/>
          <w:szCs w:val="24"/>
        </w:rPr>
        <w:t xml:space="preserve">of the </w:t>
      </w:r>
      <w:r w:rsidR="00CE65B6" w:rsidRPr="00E75964">
        <w:rPr>
          <w:rFonts w:ascii="Garamond" w:hAnsi="Garamond"/>
          <w:sz w:val="24"/>
          <w:szCs w:val="24"/>
        </w:rPr>
        <w:t xml:space="preserve">stocks </w:t>
      </w:r>
      <w:r w:rsidR="0068607C" w:rsidRPr="00E75964">
        <w:rPr>
          <w:rFonts w:ascii="Garamond" w:hAnsi="Garamond"/>
          <w:sz w:val="24"/>
          <w:szCs w:val="24"/>
        </w:rPr>
        <w:t xml:space="preserve">traded </w:t>
      </w:r>
      <w:r w:rsidR="00CE65B6" w:rsidRPr="00E75964">
        <w:rPr>
          <w:rFonts w:ascii="Garamond" w:hAnsi="Garamond"/>
          <w:sz w:val="24"/>
          <w:szCs w:val="24"/>
        </w:rPr>
        <w:t>o</w:t>
      </w:r>
      <w:r w:rsidR="0068607C" w:rsidRPr="00E75964">
        <w:rPr>
          <w:rFonts w:ascii="Garamond" w:hAnsi="Garamond"/>
          <w:sz w:val="24"/>
          <w:szCs w:val="24"/>
        </w:rPr>
        <w:t>n</w:t>
      </w:r>
      <w:r w:rsidR="00CE65B6" w:rsidRPr="00E75964">
        <w:rPr>
          <w:rFonts w:ascii="Garamond" w:hAnsi="Garamond"/>
          <w:sz w:val="24"/>
          <w:szCs w:val="24"/>
        </w:rPr>
        <w:t xml:space="preserve"> </w:t>
      </w:r>
      <w:r w:rsidR="0068607C" w:rsidRPr="00E75964">
        <w:rPr>
          <w:rFonts w:ascii="Garamond" w:hAnsi="Garamond"/>
          <w:sz w:val="24"/>
          <w:szCs w:val="24"/>
        </w:rPr>
        <w:t xml:space="preserve">the </w:t>
      </w:r>
      <w:r w:rsidR="00CE65B6" w:rsidRPr="00E75964">
        <w:rPr>
          <w:rFonts w:ascii="Garamond" w:hAnsi="Garamond"/>
          <w:sz w:val="24"/>
          <w:szCs w:val="24"/>
        </w:rPr>
        <w:t>DSE in 201</w:t>
      </w:r>
      <w:r w:rsidR="003001AA" w:rsidRPr="00E75964">
        <w:rPr>
          <w:rFonts w:ascii="Garamond" w:hAnsi="Garamond"/>
          <w:sz w:val="24"/>
          <w:szCs w:val="24"/>
        </w:rPr>
        <w:t>7</w:t>
      </w:r>
      <w:r w:rsidR="00CE65B6" w:rsidRPr="00E75964">
        <w:rPr>
          <w:rFonts w:ascii="Garamond" w:hAnsi="Garamond"/>
          <w:sz w:val="24"/>
          <w:szCs w:val="24"/>
        </w:rPr>
        <w:t xml:space="preserve">, whereas less than one percent </w:t>
      </w:r>
      <w:r w:rsidR="006746F5" w:rsidRPr="00E75964">
        <w:rPr>
          <w:rFonts w:ascii="Garamond" w:hAnsi="Garamond"/>
          <w:sz w:val="24"/>
          <w:szCs w:val="24"/>
        </w:rPr>
        <w:t xml:space="preserve">of these traders are </w:t>
      </w:r>
      <w:r w:rsidR="00CE65B6" w:rsidRPr="00E75964">
        <w:rPr>
          <w:rFonts w:ascii="Garamond" w:hAnsi="Garamond"/>
          <w:sz w:val="24"/>
          <w:szCs w:val="24"/>
        </w:rPr>
        <w:t xml:space="preserve">institutions </w:t>
      </w:r>
      <w:r w:rsidR="00E852C6" w:rsidRPr="00E75964">
        <w:rPr>
          <w:rFonts w:ascii="Garamond" w:hAnsi="Garamond"/>
          <w:sz w:val="24"/>
          <w:szCs w:val="24"/>
        </w:rPr>
        <w:t xml:space="preserve">and </w:t>
      </w:r>
      <w:r w:rsidR="00CE65B6" w:rsidRPr="00E75964">
        <w:rPr>
          <w:rFonts w:ascii="Garamond" w:hAnsi="Garamond"/>
          <w:sz w:val="24"/>
          <w:szCs w:val="24"/>
        </w:rPr>
        <w:t>hold around 1</w:t>
      </w:r>
      <w:r w:rsidR="003001AA" w:rsidRPr="00E75964">
        <w:rPr>
          <w:rFonts w:ascii="Garamond" w:hAnsi="Garamond"/>
          <w:sz w:val="24"/>
          <w:szCs w:val="24"/>
        </w:rPr>
        <w:t>8</w:t>
      </w:r>
      <w:r w:rsidR="00CE65B6" w:rsidRPr="00E75964">
        <w:rPr>
          <w:rFonts w:ascii="Garamond" w:hAnsi="Garamond"/>
          <w:sz w:val="24"/>
          <w:szCs w:val="24"/>
        </w:rPr>
        <w:t xml:space="preserve"> percent</w:t>
      </w:r>
      <w:r w:rsidR="00292DC5" w:rsidRPr="00E75964">
        <w:rPr>
          <w:rStyle w:val="FootnoteReference"/>
          <w:rFonts w:ascii="Garamond" w:hAnsi="Garamond"/>
          <w:sz w:val="24"/>
          <w:szCs w:val="24"/>
        </w:rPr>
        <w:footnoteReference w:id="1"/>
      </w:r>
      <w:r w:rsidR="00510EBE" w:rsidRPr="00E75964">
        <w:rPr>
          <w:rFonts w:ascii="Garamond" w:hAnsi="Garamond"/>
          <w:sz w:val="24"/>
          <w:szCs w:val="24"/>
        </w:rPr>
        <w:t xml:space="preserve"> </w:t>
      </w:r>
      <w:r w:rsidR="00436F4E" w:rsidRPr="00E75964">
        <w:rPr>
          <w:rFonts w:ascii="Garamond" w:hAnsi="Garamond"/>
          <w:sz w:val="24"/>
          <w:szCs w:val="24"/>
        </w:rPr>
        <w:t xml:space="preserve">of stocks </w:t>
      </w:r>
      <w:r w:rsidR="00510EBE" w:rsidRPr="00E75964">
        <w:rPr>
          <w:rFonts w:ascii="Garamond" w:hAnsi="Garamond"/>
          <w:sz w:val="24"/>
          <w:szCs w:val="24"/>
        </w:rPr>
        <w:t>(including foreign port</w:t>
      </w:r>
      <w:r w:rsidR="00E852C6" w:rsidRPr="00E75964">
        <w:rPr>
          <w:rFonts w:ascii="Garamond" w:hAnsi="Garamond"/>
          <w:sz w:val="24"/>
          <w:szCs w:val="24"/>
        </w:rPr>
        <w:t>f</w:t>
      </w:r>
      <w:r w:rsidR="0043038E" w:rsidRPr="00E75964">
        <w:rPr>
          <w:rFonts w:ascii="Garamond" w:hAnsi="Garamond"/>
          <w:sz w:val="24"/>
          <w:szCs w:val="24"/>
        </w:rPr>
        <w:t>ol</w:t>
      </w:r>
      <w:r w:rsidR="00E852C6" w:rsidRPr="00E75964">
        <w:rPr>
          <w:rFonts w:ascii="Garamond" w:hAnsi="Garamond"/>
          <w:sz w:val="24"/>
          <w:szCs w:val="24"/>
        </w:rPr>
        <w:t>io investment)</w:t>
      </w:r>
      <w:r w:rsidR="00CE65B6" w:rsidRPr="00E75964">
        <w:rPr>
          <w:rFonts w:ascii="Garamond" w:hAnsi="Garamond"/>
          <w:sz w:val="24"/>
          <w:szCs w:val="24"/>
        </w:rPr>
        <w:t xml:space="preserve">. Therefore, if </w:t>
      </w:r>
      <w:r w:rsidR="00292DC5" w:rsidRPr="00E75964">
        <w:rPr>
          <w:rFonts w:ascii="Garamond" w:hAnsi="Garamond"/>
          <w:sz w:val="24"/>
          <w:szCs w:val="24"/>
        </w:rPr>
        <w:t xml:space="preserve">the </w:t>
      </w:r>
      <w:r w:rsidR="00CE65B6" w:rsidRPr="00E75964">
        <w:rPr>
          <w:rFonts w:ascii="Garamond" w:hAnsi="Garamond"/>
          <w:sz w:val="24"/>
          <w:szCs w:val="24"/>
        </w:rPr>
        <w:t xml:space="preserve">weekend effect is a result of </w:t>
      </w:r>
      <w:r w:rsidR="00292DC5" w:rsidRPr="00E75964">
        <w:rPr>
          <w:rFonts w:ascii="Garamond" w:hAnsi="Garamond"/>
          <w:sz w:val="24"/>
          <w:szCs w:val="24"/>
        </w:rPr>
        <w:t xml:space="preserve">the </w:t>
      </w:r>
      <w:r w:rsidR="00CE65B6" w:rsidRPr="00E75964">
        <w:rPr>
          <w:rFonts w:ascii="Garamond" w:hAnsi="Garamond"/>
          <w:sz w:val="24"/>
          <w:szCs w:val="24"/>
        </w:rPr>
        <w:t xml:space="preserve">trading </w:t>
      </w:r>
      <w:r w:rsidR="00F56E81" w:rsidRPr="00E75964">
        <w:rPr>
          <w:rFonts w:ascii="Garamond" w:hAnsi="Garamond"/>
          <w:sz w:val="24"/>
          <w:szCs w:val="24"/>
        </w:rPr>
        <w:t>behavio</w:t>
      </w:r>
      <w:r w:rsidRPr="00E75964">
        <w:rPr>
          <w:rFonts w:ascii="Garamond" w:hAnsi="Garamond"/>
          <w:sz w:val="24"/>
          <w:szCs w:val="24"/>
        </w:rPr>
        <w:t>u</w:t>
      </w:r>
      <w:r w:rsidR="00F56E81" w:rsidRPr="00E75964">
        <w:rPr>
          <w:rFonts w:ascii="Garamond" w:hAnsi="Garamond"/>
          <w:sz w:val="24"/>
          <w:szCs w:val="24"/>
        </w:rPr>
        <w:t>r</w:t>
      </w:r>
      <w:r w:rsidR="00CE65B6" w:rsidRPr="00E75964">
        <w:rPr>
          <w:rFonts w:ascii="Garamond" w:hAnsi="Garamond"/>
          <w:sz w:val="24"/>
          <w:szCs w:val="24"/>
        </w:rPr>
        <w:t xml:space="preserve"> of investors then it </w:t>
      </w:r>
      <w:r w:rsidR="004E1B4C" w:rsidRPr="00E75964">
        <w:rPr>
          <w:rFonts w:ascii="Garamond" w:hAnsi="Garamond"/>
          <w:sz w:val="24"/>
          <w:szCs w:val="24"/>
        </w:rPr>
        <w:t>should</w:t>
      </w:r>
      <w:r w:rsidR="00CE65B6" w:rsidRPr="00E75964">
        <w:rPr>
          <w:rFonts w:ascii="Garamond" w:hAnsi="Garamond"/>
          <w:sz w:val="24"/>
          <w:szCs w:val="24"/>
        </w:rPr>
        <w:t xml:space="preserve"> be </w:t>
      </w:r>
      <w:r w:rsidR="00C82E37" w:rsidRPr="00E75964">
        <w:rPr>
          <w:rFonts w:ascii="Garamond" w:hAnsi="Garamond"/>
          <w:sz w:val="24"/>
          <w:szCs w:val="24"/>
        </w:rPr>
        <w:t xml:space="preserve">predominantly due to the trading of </w:t>
      </w:r>
      <w:r w:rsidR="00CE65B6" w:rsidRPr="00E75964">
        <w:rPr>
          <w:rFonts w:ascii="Garamond" w:hAnsi="Garamond"/>
          <w:sz w:val="24"/>
          <w:szCs w:val="24"/>
        </w:rPr>
        <w:t>individual</w:t>
      </w:r>
      <w:r w:rsidR="005E5D31" w:rsidRPr="00E75964">
        <w:rPr>
          <w:rFonts w:ascii="Garamond" w:hAnsi="Garamond"/>
          <w:sz w:val="24"/>
          <w:szCs w:val="24"/>
        </w:rPr>
        <w:t xml:space="preserve"> investors</w:t>
      </w:r>
      <w:r w:rsidR="00CE65B6" w:rsidRPr="00E75964">
        <w:rPr>
          <w:rFonts w:ascii="Garamond" w:hAnsi="Garamond"/>
          <w:sz w:val="24"/>
          <w:szCs w:val="24"/>
        </w:rPr>
        <w:t xml:space="preserve"> </w:t>
      </w:r>
      <w:r w:rsidR="00C82E37" w:rsidRPr="00E75964">
        <w:rPr>
          <w:rFonts w:ascii="Garamond" w:hAnsi="Garamond"/>
          <w:sz w:val="24"/>
          <w:szCs w:val="24"/>
        </w:rPr>
        <w:t>rather than institutional investors</w:t>
      </w:r>
      <w:r w:rsidR="00CE65B6" w:rsidRPr="00E75964">
        <w:rPr>
          <w:rFonts w:ascii="Garamond" w:hAnsi="Garamond"/>
          <w:sz w:val="24"/>
          <w:szCs w:val="24"/>
        </w:rPr>
        <w:t>.</w:t>
      </w:r>
      <w:r w:rsidR="00843985" w:rsidRPr="00E75964">
        <w:rPr>
          <w:rFonts w:ascii="Garamond" w:hAnsi="Garamond"/>
          <w:sz w:val="24"/>
          <w:szCs w:val="24"/>
        </w:rPr>
        <w:t xml:space="preserve"> </w:t>
      </w:r>
      <w:r w:rsidR="0060455A" w:rsidRPr="00E75964">
        <w:rPr>
          <w:rFonts w:ascii="Garamond" w:hAnsi="Garamond"/>
          <w:sz w:val="24"/>
          <w:szCs w:val="24"/>
        </w:rPr>
        <w:t>Third</w:t>
      </w:r>
      <w:r w:rsidR="00843985" w:rsidRPr="00E75964">
        <w:rPr>
          <w:rFonts w:ascii="Garamond" w:hAnsi="Garamond"/>
          <w:sz w:val="24"/>
          <w:szCs w:val="24"/>
        </w:rPr>
        <w:t>, Islam impose</w:t>
      </w:r>
      <w:r w:rsidR="00C11BBE" w:rsidRPr="00E75964">
        <w:rPr>
          <w:rFonts w:ascii="Garamond" w:hAnsi="Garamond"/>
          <w:sz w:val="24"/>
          <w:szCs w:val="24"/>
        </w:rPr>
        <w:t>s</w:t>
      </w:r>
      <w:r w:rsidR="00843985" w:rsidRPr="00E75964">
        <w:rPr>
          <w:rFonts w:ascii="Garamond" w:hAnsi="Garamond"/>
          <w:sz w:val="24"/>
          <w:szCs w:val="24"/>
        </w:rPr>
        <w:t xml:space="preserve"> several restrictions on individual investment choice, such as the prohibition o</w:t>
      </w:r>
      <w:r w:rsidR="00C11BBE" w:rsidRPr="00E75964">
        <w:rPr>
          <w:rFonts w:ascii="Garamond" w:hAnsi="Garamond"/>
          <w:sz w:val="24"/>
          <w:szCs w:val="24"/>
        </w:rPr>
        <w:t>n</w:t>
      </w:r>
      <w:r w:rsidR="00843985" w:rsidRPr="00E75964">
        <w:rPr>
          <w:rFonts w:ascii="Garamond" w:hAnsi="Garamond"/>
          <w:sz w:val="24"/>
          <w:szCs w:val="24"/>
        </w:rPr>
        <w:t xml:space="preserve"> investing in “sin stocks” and interest-bearing securities. </w:t>
      </w:r>
      <w:r w:rsidR="0060455A" w:rsidRPr="00E75964">
        <w:rPr>
          <w:rFonts w:ascii="Garamond" w:hAnsi="Garamond"/>
          <w:sz w:val="24"/>
          <w:szCs w:val="24"/>
        </w:rPr>
        <w:t>A</w:t>
      </w:r>
      <w:r w:rsidR="00843985" w:rsidRPr="00E75964">
        <w:rPr>
          <w:rFonts w:ascii="Garamond" w:hAnsi="Garamond"/>
          <w:sz w:val="24"/>
          <w:szCs w:val="24"/>
        </w:rPr>
        <w:t xml:space="preserve">s suggested </w:t>
      </w:r>
      <w:r w:rsidR="0060455A" w:rsidRPr="00E75964">
        <w:rPr>
          <w:rFonts w:ascii="Garamond" w:hAnsi="Garamond"/>
          <w:sz w:val="24"/>
          <w:szCs w:val="24"/>
        </w:rPr>
        <w:t>by Canepa and Ibnrubbian (2014),</w:t>
      </w:r>
      <w:r w:rsidR="00843985" w:rsidRPr="00E75964">
        <w:rPr>
          <w:rFonts w:ascii="Garamond" w:hAnsi="Garamond"/>
          <w:sz w:val="24"/>
          <w:szCs w:val="24"/>
        </w:rPr>
        <w:t xml:space="preserve"> </w:t>
      </w:r>
      <w:r w:rsidR="00C11BBE" w:rsidRPr="00E75964">
        <w:rPr>
          <w:rFonts w:ascii="Garamond" w:hAnsi="Garamond"/>
          <w:sz w:val="24"/>
          <w:szCs w:val="24"/>
        </w:rPr>
        <w:t xml:space="preserve">in </w:t>
      </w:r>
      <w:r w:rsidR="00843985" w:rsidRPr="00E75964">
        <w:rPr>
          <w:rFonts w:ascii="Garamond" w:hAnsi="Garamond"/>
          <w:sz w:val="24"/>
          <w:szCs w:val="24"/>
        </w:rPr>
        <w:t xml:space="preserve">countries </w:t>
      </w:r>
      <w:r w:rsidRPr="00E75964">
        <w:rPr>
          <w:rFonts w:ascii="Garamond" w:hAnsi="Garamond"/>
          <w:sz w:val="24"/>
          <w:szCs w:val="24"/>
        </w:rPr>
        <w:t>where</w:t>
      </w:r>
      <w:r w:rsidR="00843985" w:rsidRPr="00E75964">
        <w:rPr>
          <w:rFonts w:ascii="Garamond" w:hAnsi="Garamond"/>
          <w:sz w:val="24"/>
          <w:szCs w:val="24"/>
        </w:rPr>
        <w:t xml:space="preserve"> religion plays a heavy role (as in Bangladesh) in dictating individual </w:t>
      </w:r>
      <w:r w:rsidR="0060455A" w:rsidRPr="00E75964">
        <w:rPr>
          <w:rFonts w:ascii="Garamond" w:hAnsi="Garamond"/>
          <w:sz w:val="24"/>
          <w:szCs w:val="24"/>
        </w:rPr>
        <w:t xml:space="preserve">investors’ </w:t>
      </w:r>
      <w:r w:rsidR="00843985" w:rsidRPr="00E75964">
        <w:rPr>
          <w:rFonts w:ascii="Garamond" w:hAnsi="Garamond"/>
          <w:sz w:val="24"/>
          <w:szCs w:val="24"/>
        </w:rPr>
        <w:t>behavioural code and social norms</w:t>
      </w:r>
      <w:r w:rsidR="004D2A86">
        <w:rPr>
          <w:rFonts w:ascii="Garamond" w:hAnsi="Garamond"/>
          <w:sz w:val="24"/>
          <w:szCs w:val="24"/>
        </w:rPr>
        <w:t>,</w:t>
      </w:r>
      <w:r w:rsidR="00843985" w:rsidRPr="00E75964">
        <w:rPr>
          <w:rFonts w:ascii="Garamond" w:hAnsi="Garamond"/>
          <w:sz w:val="24"/>
          <w:szCs w:val="24"/>
        </w:rPr>
        <w:t xml:space="preserve"> portfolio selection </w:t>
      </w:r>
      <w:r w:rsidRPr="00E75964">
        <w:rPr>
          <w:rFonts w:ascii="Garamond" w:hAnsi="Garamond"/>
          <w:sz w:val="24"/>
          <w:szCs w:val="24"/>
        </w:rPr>
        <w:t>could be</w:t>
      </w:r>
      <w:r w:rsidR="00843985" w:rsidRPr="00E75964">
        <w:rPr>
          <w:rFonts w:ascii="Garamond" w:hAnsi="Garamond"/>
          <w:sz w:val="24"/>
          <w:szCs w:val="24"/>
        </w:rPr>
        <w:t xml:space="preserve"> affected.  </w:t>
      </w:r>
      <w:r w:rsidR="0060455A" w:rsidRPr="00E75964">
        <w:rPr>
          <w:rFonts w:ascii="Garamond" w:hAnsi="Garamond"/>
          <w:sz w:val="24"/>
          <w:szCs w:val="24"/>
        </w:rPr>
        <w:t xml:space="preserve">Therefore, the results of this paper provide helpful evidence to investors whether Islamic codes </w:t>
      </w:r>
      <w:r w:rsidR="006450E7" w:rsidRPr="00E75964">
        <w:rPr>
          <w:rFonts w:ascii="Garamond" w:hAnsi="Garamond"/>
          <w:sz w:val="24"/>
          <w:szCs w:val="24"/>
        </w:rPr>
        <w:t xml:space="preserve">and social norms alter the existing knowledge on </w:t>
      </w:r>
      <w:r w:rsidR="00C11BBE" w:rsidRPr="00E75964">
        <w:rPr>
          <w:rFonts w:ascii="Garamond" w:hAnsi="Garamond"/>
          <w:sz w:val="24"/>
          <w:szCs w:val="24"/>
        </w:rPr>
        <w:t xml:space="preserve">the </w:t>
      </w:r>
      <w:r w:rsidR="006450E7" w:rsidRPr="00E75964">
        <w:rPr>
          <w:rFonts w:ascii="Garamond" w:hAnsi="Garamond"/>
          <w:sz w:val="24"/>
          <w:szCs w:val="24"/>
        </w:rPr>
        <w:t>weekend effect.</w:t>
      </w:r>
    </w:p>
    <w:p w14:paraId="01BA5336" w14:textId="2A8AB61E" w:rsidR="007675A3" w:rsidRPr="00E75964" w:rsidRDefault="003A7710" w:rsidP="00CD604B">
      <w:pPr>
        <w:spacing w:line="360" w:lineRule="auto"/>
        <w:jc w:val="both"/>
        <w:rPr>
          <w:rFonts w:ascii="Garamond" w:hAnsi="Garamond"/>
          <w:sz w:val="24"/>
          <w:szCs w:val="24"/>
        </w:rPr>
      </w:pPr>
      <w:r w:rsidRPr="00E75964">
        <w:rPr>
          <w:rFonts w:ascii="Garamond" w:hAnsi="Garamond"/>
          <w:sz w:val="24"/>
          <w:szCs w:val="24"/>
        </w:rPr>
        <w:t>Fourth</w:t>
      </w:r>
      <w:r w:rsidR="00CE65B6" w:rsidRPr="00E75964">
        <w:rPr>
          <w:rFonts w:ascii="Garamond" w:hAnsi="Garamond"/>
          <w:sz w:val="24"/>
          <w:szCs w:val="24"/>
        </w:rPr>
        <w:t>, Bangladesh has distinctly different economic, institutional, and microstructural features compare</w:t>
      </w:r>
      <w:r w:rsidR="00C11BBE" w:rsidRPr="00E75964">
        <w:rPr>
          <w:rFonts w:ascii="Garamond" w:hAnsi="Garamond"/>
          <w:sz w:val="24"/>
          <w:szCs w:val="24"/>
        </w:rPr>
        <w:t>d</w:t>
      </w:r>
      <w:r w:rsidR="00CE65B6" w:rsidRPr="00E75964">
        <w:rPr>
          <w:rFonts w:ascii="Garamond" w:hAnsi="Garamond"/>
          <w:sz w:val="24"/>
          <w:szCs w:val="24"/>
        </w:rPr>
        <w:t xml:space="preserve"> to other emerging markets such as China, India or Brazil. For example, it has low integration with world markets; political institutions are very strong and they frequently intervene in the market, sometime for political gains; there is a </w:t>
      </w:r>
      <w:r w:rsidR="00E14B5B" w:rsidRPr="00E75964">
        <w:rPr>
          <w:rFonts w:ascii="Garamond" w:hAnsi="Garamond"/>
          <w:sz w:val="24"/>
          <w:szCs w:val="24"/>
        </w:rPr>
        <w:t>small-scale</w:t>
      </w:r>
      <w:r w:rsidR="00CE65B6" w:rsidRPr="00E75964">
        <w:rPr>
          <w:rFonts w:ascii="Garamond" w:hAnsi="Garamond"/>
          <w:sz w:val="24"/>
          <w:szCs w:val="24"/>
        </w:rPr>
        <w:t xml:space="preserve"> bond market, however, treasury bonds are only traded by institutions; most of the investors are Muslim and they prefer not to invest in fixed interest-earning assets, thus the stock market is a good alternative for them. Therefore, an investigation of returns and variance trend</w:t>
      </w:r>
      <w:r w:rsidR="00292DC5" w:rsidRPr="00E75964">
        <w:rPr>
          <w:rFonts w:ascii="Garamond" w:hAnsi="Garamond"/>
          <w:sz w:val="24"/>
          <w:szCs w:val="24"/>
        </w:rPr>
        <w:t>s</w:t>
      </w:r>
      <w:r w:rsidR="00CE65B6" w:rsidRPr="00E75964">
        <w:rPr>
          <w:rFonts w:ascii="Garamond" w:hAnsi="Garamond"/>
          <w:sz w:val="24"/>
          <w:szCs w:val="24"/>
        </w:rPr>
        <w:t xml:space="preserve"> for DSE can substantiate the reports of this market anomaly. Our evidence confirms the notion that the weekend effect is not just a feature of developed countries but also of emerging </w:t>
      </w:r>
      <w:r w:rsidR="00382488" w:rsidRPr="00E75964">
        <w:rPr>
          <w:rFonts w:ascii="Garamond" w:hAnsi="Garamond"/>
          <w:sz w:val="24"/>
          <w:szCs w:val="24"/>
        </w:rPr>
        <w:t xml:space="preserve">Islamic </w:t>
      </w:r>
      <w:r w:rsidR="00CE65B6" w:rsidRPr="00E75964">
        <w:rPr>
          <w:rFonts w:ascii="Garamond" w:hAnsi="Garamond"/>
          <w:sz w:val="24"/>
          <w:szCs w:val="24"/>
        </w:rPr>
        <w:t>stock markets. Finally, due to its economic progress</w:t>
      </w:r>
      <w:r w:rsidR="00256366" w:rsidRPr="00E75964">
        <w:rPr>
          <w:rStyle w:val="FootnoteReference"/>
          <w:rFonts w:ascii="Garamond" w:hAnsi="Garamond"/>
          <w:sz w:val="24"/>
          <w:szCs w:val="24"/>
        </w:rPr>
        <w:footnoteReference w:id="2"/>
      </w:r>
      <w:r w:rsidR="00CE65B6" w:rsidRPr="00E75964">
        <w:rPr>
          <w:rFonts w:ascii="Garamond" w:hAnsi="Garamond"/>
          <w:sz w:val="24"/>
          <w:szCs w:val="24"/>
        </w:rPr>
        <w:t xml:space="preserve"> and low integration with developed markets, Bangladesh could be a good diversification alternative for international investors. Knowing the confirmed presence of the ‘day-of-the-week’ effect will give advantages to foreign as well as domestic investors for setting their investment strategies in advance.</w:t>
      </w:r>
    </w:p>
    <w:p w14:paraId="1876D34C" w14:textId="6E279D39" w:rsidR="00CE65B6" w:rsidRPr="00E75964" w:rsidRDefault="007675A3" w:rsidP="00CD604B">
      <w:pPr>
        <w:spacing w:line="360" w:lineRule="auto"/>
        <w:jc w:val="both"/>
        <w:rPr>
          <w:rFonts w:ascii="Garamond" w:hAnsi="Garamond"/>
          <w:sz w:val="24"/>
          <w:szCs w:val="24"/>
        </w:rPr>
      </w:pPr>
      <w:r w:rsidRPr="00E75964">
        <w:rPr>
          <w:rFonts w:ascii="Garamond" w:hAnsi="Garamond"/>
          <w:sz w:val="24"/>
          <w:szCs w:val="24"/>
        </w:rPr>
        <w:t xml:space="preserve">Using daily market </w:t>
      </w:r>
      <w:r w:rsidR="00D20F56" w:rsidRPr="00E75964">
        <w:rPr>
          <w:rFonts w:ascii="Garamond" w:hAnsi="Garamond"/>
          <w:sz w:val="24"/>
          <w:szCs w:val="24"/>
        </w:rPr>
        <w:t xml:space="preserve">data </w:t>
      </w:r>
      <w:r w:rsidRPr="00E75964">
        <w:rPr>
          <w:rFonts w:ascii="Garamond" w:hAnsi="Garamond"/>
          <w:sz w:val="24"/>
          <w:szCs w:val="24"/>
        </w:rPr>
        <w:t xml:space="preserve">and </w:t>
      </w:r>
      <w:r w:rsidR="00D20F56" w:rsidRPr="00E75964">
        <w:rPr>
          <w:rFonts w:ascii="Garamond" w:hAnsi="Garamond"/>
          <w:sz w:val="24"/>
          <w:szCs w:val="24"/>
        </w:rPr>
        <w:t>firm level data from 270 firms,</w:t>
      </w:r>
      <w:r w:rsidRPr="00E75964">
        <w:rPr>
          <w:rFonts w:ascii="Garamond" w:hAnsi="Garamond"/>
          <w:sz w:val="24"/>
          <w:szCs w:val="24"/>
        </w:rPr>
        <w:t xml:space="preserve"> our major findings include - first, following </w:t>
      </w:r>
      <w:r w:rsidR="00C11BBE" w:rsidRPr="00E75964">
        <w:rPr>
          <w:rFonts w:ascii="Garamond" w:hAnsi="Garamond"/>
          <w:sz w:val="24"/>
          <w:szCs w:val="24"/>
        </w:rPr>
        <w:t xml:space="preserve">the </w:t>
      </w:r>
      <w:r w:rsidRPr="00E75964">
        <w:rPr>
          <w:rFonts w:ascii="Garamond" w:hAnsi="Garamond"/>
          <w:sz w:val="24"/>
          <w:szCs w:val="24"/>
        </w:rPr>
        <w:t>trading time hypothesis, weekend sentiment exist</w:t>
      </w:r>
      <w:r w:rsidR="00C11BBE" w:rsidRPr="00E75964">
        <w:rPr>
          <w:rFonts w:ascii="Garamond" w:hAnsi="Garamond"/>
          <w:sz w:val="24"/>
          <w:szCs w:val="24"/>
        </w:rPr>
        <w:t>s</w:t>
      </w:r>
      <w:r w:rsidRPr="00E75964">
        <w:rPr>
          <w:rFonts w:ascii="Garamond" w:hAnsi="Garamond"/>
          <w:sz w:val="24"/>
          <w:szCs w:val="24"/>
        </w:rPr>
        <w:t xml:space="preserve"> in market returns. Mean stock </w:t>
      </w:r>
      <w:r w:rsidRPr="00E75964">
        <w:rPr>
          <w:rFonts w:ascii="Garamond" w:hAnsi="Garamond"/>
          <w:sz w:val="24"/>
          <w:szCs w:val="24"/>
        </w:rPr>
        <w:lastRenderedPageBreak/>
        <w:t xml:space="preserve">returns are not the same across weekdays and </w:t>
      </w:r>
      <w:r w:rsidR="00BF573A" w:rsidRPr="00E75964">
        <w:rPr>
          <w:rFonts w:ascii="Garamond" w:hAnsi="Garamond"/>
          <w:sz w:val="24"/>
          <w:szCs w:val="24"/>
        </w:rPr>
        <w:t>the “</w:t>
      </w:r>
      <w:r w:rsidRPr="00E75964">
        <w:rPr>
          <w:rFonts w:ascii="Garamond" w:hAnsi="Garamond"/>
          <w:sz w:val="24"/>
          <w:szCs w:val="24"/>
        </w:rPr>
        <w:t>Sunday Effect</w:t>
      </w:r>
      <w:r w:rsidR="00C11BBE" w:rsidRPr="00E75964">
        <w:rPr>
          <w:rFonts w:ascii="Garamond" w:hAnsi="Garamond"/>
          <w:sz w:val="24"/>
          <w:szCs w:val="24"/>
        </w:rPr>
        <w:t>”</w:t>
      </w:r>
      <w:r w:rsidRPr="00E75964">
        <w:rPr>
          <w:rFonts w:ascii="Garamond" w:hAnsi="Garamond"/>
          <w:sz w:val="24"/>
          <w:szCs w:val="24"/>
        </w:rPr>
        <w:t xml:space="preserve"> is evident. Second, there are weekend and reverse mid-week effect</w:t>
      </w:r>
      <w:r w:rsidR="00C11BBE" w:rsidRPr="00E75964">
        <w:rPr>
          <w:rFonts w:ascii="Garamond" w:hAnsi="Garamond"/>
          <w:sz w:val="24"/>
          <w:szCs w:val="24"/>
        </w:rPr>
        <w:t>s</w:t>
      </w:r>
      <w:r w:rsidRPr="00E75964">
        <w:rPr>
          <w:rFonts w:ascii="Garamond" w:hAnsi="Garamond"/>
          <w:sz w:val="24"/>
          <w:szCs w:val="24"/>
        </w:rPr>
        <w:t xml:space="preserve"> identified in market volatility, which is linked to </w:t>
      </w:r>
      <w:r w:rsidR="00C11BBE" w:rsidRPr="00E75964">
        <w:rPr>
          <w:rFonts w:ascii="Garamond" w:hAnsi="Garamond"/>
          <w:sz w:val="24"/>
          <w:szCs w:val="24"/>
        </w:rPr>
        <w:t xml:space="preserve">the </w:t>
      </w:r>
      <w:r w:rsidRPr="00E75964">
        <w:rPr>
          <w:rFonts w:ascii="Garamond" w:hAnsi="Garamond"/>
          <w:sz w:val="24"/>
          <w:szCs w:val="24"/>
        </w:rPr>
        <w:t xml:space="preserve">trading behaviour of investors. Third, weekend sentiment is found </w:t>
      </w:r>
      <w:r w:rsidR="00C11BBE" w:rsidRPr="00E75964">
        <w:rPr>
          <w:rFonts w:ascii="Garamond" w:hAnsi="Garamond"/>
          <w:sz w:val="24"/>
          <w:szCs w:val="24"/>
        </w:rPr>
        <w:t xml:space="preserve">to be </w:t>
      </w:r>
      <w:r w:rsidRPr="00E75964">
        <w:rPr>
          <w:rFonts w:ascii="Garamond" w:hAnsi="Garamond"/>
          <w:sz w:val="24"/>
          <w:szCs w:val="24"/>
        </w:rPr>
        <w:t xml:space="preserve">prominent for smaller firms and firms with </w:t>
      </w:r>
      <w:r w:rsidR="00C11BBE" w:rsidRPr="00E75964">
        <w:rPr>
          <w:rFonts w:ascii="Garamond" w:hAnsi="Garamond"/>
          <w:sz w:val="24"/>
          <w:szCs w:val="24"/>
        </w:rPr>
        <w:t xml:space="preserve">a </w:t>
      </w:r>
      <w:r w:rsidRPr="00E75964">
        <w:rPr>
          <w:rFonts w:ascii="Garamond" w:hAnsi="Garamond"/>
          <w:sz w:val="24"/>
          <w:szCs w:val="24"/>
        </w:rPr>
        <w:t>low dividend yield, which support</w:t>
      </w:r>
      <w:r w:rsidR="00C11BBE" w:rsidRPr="00E75964">
        <w:rPr>
          <w:rFonts w:ascii="Garamond" w:hAnsi="Garamond"/>
          <w:sz w:val="24"/>
          <w:szCs w:val="24"/>
        </w:rPr>
        <w:t>s</w:t>
      </w:r>
      <w:r w:rsidRPr="00E75964">
        <w:rPr>
          <w:rFonts w:ascii="Garamond" w:hAnsi="Garamond"/>
          <w:sz w:val="24"/>
          <w:szCs w:val="24"/>
        </w:rPr>
        <w:t xml:space="preserve"> the argument that in a market dominated by individual investors the weekend effect is stronger for smaller firms than larger companies. Fo</w:t>
      </w:r>
      <w:r w:rsidR="00F91B40" w:rsidRPr="00E75964">
        <w:rPr>
          <w:rFonts w:ascii="Garamond" w:hAnsi="Garamond"/>
          <w:sz w:val="24"/>
          <w:szCs w:val="24"/>
        </w:rPr>
        <w:t>u</w:t>
      </w:r>
      <w:r w:rsidRPr="00E75964">
        <w:rPr>
          <w:rFonts w:ascii="Garamond" w:hAnsi="Garamond"/>
          <w:sz w:val="24"/>
          <w:szCs w:val="24"/>
        </w:rPr>
        <w:t xml:space="preserve">rth, our robustness test confirms that there is a positive feedback relationship between Sunday returns and the returns of </w:t>
      </w:r>
      <w:r w:rsidR="00C11BBE" w:rsidRPr="00E75964">
        <w:rPr>
          <w:rFonts w:ascii="Garamond" w:hAnsi="Garamond"/>
          <w:sz w:val="24"/>
          <w:szCs w:val="24"/>
        </w:rPr>
        <w:t xml:space="preserve">the </w:t>
      </w:r>
      <w:r w:rsidRPr="00E75964">
        <w:rPr>
          <w:rFonts w:ascii="Garamond" w:hAnsi="Garamond"/>
          <w:sz w:val="24"/>
          <w:szCs w:val="24"/>
        </w:rPr>
        <w:t xml:space="preserve">previous Thursday. The association is stronger for smaller and mid-size firms and we also document this feedback effect in variance. Finally, the return and volatility of Sunday during </w:t>
      </w:r>
      <w:r w:rsidR="00C11BBE" w:rsidRPr="00E75964">
        <w:rPr>
          <w:rFonts w:ascii="Garamond" w:hAnsi="Garamond"/>
          <w:sz w:val="24"/>
          <w:szCs w:val="24"/>
        </w:rPr>
        <w:t xml:space="preserve">the </w:t>
      </w:r>
      <w:r w:rsidRPr="00E75964">
        <w:rPr>
          <w:rFonts w:ascii="Garamond" w:hAnsi="Garamond"/>
          <w:sz w:val="24"/>
          <w:szCs w:val="24"/>
        </w:rPr>
        <w:t xml:space="preserve">Ramadan period are </w:t>
      </w:r>
      <w:r w:rsidR="00421365" w:rsidRPr="00E75964">
        <w:rPr>
          <w:rFonts w:ascii="Garamond" w:hAnsi="Garamond"/>
          <w:sz w:val="24"/>
          <w:szCs w:val="24"/>
        </w:rPr>
        <w:t xml:space="preserve">not statistically different </w:t>
      </w:r>
      <w:r w:rsidR="00C11BBE" w:rsidRPr="00E75964">
        <w:rPr>
          <w:rFonts w:ascii="Garamond" w:hAnsi="Garamond"/>
          <w:sz w:val="24"/>
          <w:szCs w:val="24"/>
        </w:rPr>
        <w:t>from</w:t>
      </w:r>
      <w:r w:rsidRPr="00E75964">
        <w:rPr>
          <w:rFonts w:ascii="Garamond" w:hAnsi="Garamond"/>
          <w:sz w:val="24"/>
          <w:szCs w:val="24"/>
        </w:rPr>
        <w:t xml:space="preserve"> non-Ramadan Sundays.</w:t>
      </w:r>
    </w:p>
    <w:p w14:paraId="2194D7B6" w14:textId="7584ABAB" w:rsidR="00CE65B6" w:rsidRPr="00E75964" w:rsidRDefault="00CE65B6" w:rsidP="00CD604B">
      <w:pPr>
        <w:spacing w:line="360" w:lineRule="auto"/>
        <w:jc w:val="both"/>
        <w:rPr>
          <w:rFonts w:ascii="Garamond" w:hAnsi="Garamond"/>
          <w:color w:val="000000" w:themeColor="text1"/>
          <w:sz w:val="24"/>
          <w:szCs w:val="24"/>
        </w:rPr>
      </w:pPr>
      <w:r w:rsidRPr="00E75964">
        <w:rPr>
          <w:rFonts w:ascii="Garamond" w:hAnsi="Garamond"/>
          <w:color w:val="000000" w:themeColor="text1"/>
          <w:sz w:val="24"/>
          <w:szCs w:val="24"/>
        </w:rPr>
        <w:t xml:space="preserve">The paper is divided into five sections. Section 2 reviews the existing literature for evidence of the impact of individuals versus institutions on </w:t>
      </w:r>
      <w:r w:rsidR="00E24D09" w:rsidRPr="00E75964">
        <w:rPr>
          <w:rFonts w:ascii="Garamond" w:hAnsi="Garamond"/>
          <w:color w:val="000000" w:themeColor="text1"/>
          <w:sz w:val="24"/>
          <w:szCs w:val="24"/>
        </w:rPr>
        <w:t xml:space="preserve">the </w:t>
      </w:r>
      <w:r w:rsidRPr="00E75964">
        <w:rPr>
          <w:rFonts w:ascii="Garamond" w:hAnsi="Garamond"/>
          <w:color w:val="000000" w:themeColor="text1"/>
          <w:sz w:val="24"/>
          <w:szCs w:val="24"/>
        </w:rPr>
        <w:t xml:space="preserve">weekend effect in line with </w:t>
      </w:r>
      <w:r w:rsidR="00292DC5" w:rsidRPr="00E75964">
        <w:rPr>
          <w:rFonts w:ascii="Garamond" w:hAnsi="Garamond"/>
          <w:color w:val="000000" w:themeColor="text1"/>
          <w:sz w:val="24"/>
          <w:szCs w:val="24"/>
        </w:rPr>
        <w:t xml:space="preserve">the </w:t>
      </w:r>
      <w:r w:rsidRPr="00E75964">
        <w:rPr>
          <w:rFonts w:ascii="Garamond" w:hAnsi="Garamond"/>
          <w:color w:val="000000" w:themeColor="text1"/>
          <w:sz w:val="24"/>
          <w:szCs w:val="24"/>
        </w:rPr>
        <w:t>information content and processing hypo</w:t>
      </w:r>
      <w:r w:rsidR="00292DC5" w:rsidRPr="00E75964">
        <w:rPr>
          <w:rFonts w:ascii="Garamond" w:hAnsi="Garamond"/>
          <w:color w:val="000000" w:themeColor="text1"/>
          <w:sz w:val="24"/>
          <w:szCs w:val="24"/>
        </w:rPr>
        <w:t>these</w:t>
      </w:r>
      <w:r w:rsidRPr="00E75964">
        <w:rPr>
          <w:rFonts w:ascii="Garamond" w:hAnsi="Garamond"/>
          <w:color w:val="000000" w:themeColor="text1"/>
          <w:sz w:val="24"/>
          <w:szCs w:val="24"/>
        </w:rPr>
        <w:t xml:space="preserve">s. Our data and methodology for investigating the weekend effect on returns and volatility are discussed in sections 3. Section </w:t>
      </w:r>
      <w:r w:rsidR="00241FDA" w:rsidRPr="00E75964">
        <w:rPr>
          <w:rFonts w:ascii="Garamond" w:hAnsi="Garamond"/>
          <w:color w:val="000000" w:themeColor="text1"/>
          <w:sz w:val="24"/>
          <w:szCs w:val="24"/>
        </w:rPr>
        <w:t>4</w:t>
      </w:r>
      <w:r w:rsidRPr="00E75964">
        <w:rPr>
          <w:rFonts w:ascii="Garamond" w:hAnsi="Garamond"/>
          <w:color w:val="000000" w:themeColor="text1"/>
          <w:sz w:val="24"/>
          <w:szCs w:val="24"/>
        </w:rPr>
        <w:t xml:space="preserve"> reports our empirical findings. Section </w:t>
      </w:r>
      <w:r w:rsidR="00241FDA" w:rsidRPr="00E75964">
        <w:rPr>
          <w:rFonts w:ascii="Garamond" w:hAnsi="Garamond"/>
          <w:color w:val="000000" w:themeColor="text1"/>
          <w:sz w:val="24"/>
          <w:szCs w:val="24"/>
        </w:rPr>
        <w:t>5</w:t>
      </w:r>
      <w:r w:rsidRPr="00E75964">
        <w:rPr>
          <w:rFonts w:ascii="Garamond" w:hAnsi="Garamond"/>
          <w:color w:val="000000" w:themeColor="text1"/>
          <w:sz w:val="24"/>
          <w:szCs w:val="24"/>
        </w:rPr>
        <w:t xml:space="preserve"> presents our conclusions based on the empirical findings.</w:t>
      </w:r>
    </w:p>
    <w:p w14:paraId="6624376F" w14:textId="77777777" w:rsidR="00CE65B6" w:rsidRPr="00E75964" w:rsidRDefault="00112B72" w:rsidP="00112B72">
      <w:pPr>
        <w:pStyle w:val="Heading1"/>
        <w:spacing w:after="200" w:line="360" w:lineRule="auto"/>
        <w:contextualSpacing/>
        <w:rPr>
          <w:rFonts w:ascii="Garamond" w:hAnsi="Garamond"/>
          <w:color w:val="auto"/>
          <w:sz w:val="24"/>
          <w:szCs w:val="24"/>
        </w:rPr>
      </w:pPr>
      <w:bookmarkStart w:id="1" w:name="_Toc413318942"/>
      <w:r w:rsidRPr="00E75964">
        <w:rPr>
          <w:rFonts w:ascii="Garamond" w:hAnsi="Garamond"/>
          <w:color w:val="auto"/>
          <w:sz w:val="24"/>
          <w:szCs w:val="24"/>
        </w:rPr>
        <w:t>2</w:t>
      </w:r>
      <w:r w:rsidR="00F32C63" w:rsidRPr="00E75964">
        <w:rPr>
          <w:rFonts w:ascii="Garamond" w:hAnsi="Garamond"/>
          <w:color w:val="auto"/>
          <w:sz w:val="24"/>
          <w:szCs w:val="24"/>
        </w:rPr>
        <w:t>.</w:t>
      </w:r>
      <w:r w:rsidRPr="00E75964">
        <w:rPr>
          <w:rFonts w:ascii="Garamond" w:hAnsi="Garamond"/>
          <w:color w:val="auto"/>
          <w:sz w:val="24"/>
          <w:szCs w:val="24"/>
        </w:rPr>
        <w:t xml:space="preserve"> </w:t>
      </w:r>
      <w:r w:rsidR="00CE65B6" w:rsidRPr="00E75964">
        <w:rPr>
          <w:rFonts w:ascii="Garamond" w:hAnsi="Garamond"/>
          <w:color w:val="auto"/>
          <w:sz w:val="24"/>
          <w:szCs w:val="24"/>
        </w:rPr>
        <w:t>Literature Review</w:t>
      </w:r>
      <w:bookmarkEnd w:id="1"/>
    </w:p>
    <w:p w14:paraId="166F80C2" w14:textId="77777777" w:rsidR="00CE65B6" w:rsidRPr="00E75964" w:rsidRDefault="00CE65B6" w:rsidP="00112B72">
      <w:pPr>
        <w:spacing w:line="360" w:lineRule="auto"/>
        <w:jc w:val="both"/>
        <w:rPr>
          <w:rFonts w:ascii="Garamond" w:hAnsi="Garamond"/>
          <w:sz w:val="24"/>
          <w:szCs w:val="24"/>
        </w:rPr>
      </w:pPr>
      <w:r w:rsidRPr="00E75964">
        <w:rPr>
          <w:rFonts w:ascii="Garamond" w:hAnsi="Garamond"/>
          <w:sz w:val="24"/>
          <w:szCs w:val="24"/>
        </w:rPr>
        <w:t>There are several calendar-based anomalies documented in the literature, such as the January effect, the weekend effect, the week of the month effect, the week of the year effect, the semi-monthly and turn-of-the-month effect, and the holiday effect. Nevertheless, some of the most anomalous empirical findings are associated with the distribution of daily stock returns through the week. This is the “day-of-the-week effect” or “weekend effect” (Jaffe and Westerfield, 1985), where stock returns are negative and returns variance is higher on Monday (</w:t>
      </w:r>
      <w:r w:rsidR="009A67C0" w:rsidRPr="00E75964">
        <w:rPr>
          <w:rFonts w:ascii="Garamond" w:hAnsi="Garamond"/>
          <w:sz w:val="24"/>
          <w:szCs w:val="24"/>
        </w:rPr>
        <w:t>see</w:t>
      </w:r>
      <w:r w:rsidRPr="00E75964">
        <w:rPr>
          <w:rFonts w:ascii="Garamond" w:hAnsi="Garamond"/>
          <w:sz w:val="24"/>
          <w:szCs w:val="24"/>
        </w:rPr>
        <w:t xml:space="preserve"> </w:t>
      </w:r>
      <w:r w:rsidR="00E852C6" w:rsidRPr="00E75964">
        <w:rPr>
          <w:rFonts w:ascii="Garamond" w:hAnsi="Garamond"/>
          <w:sz w:val="24"/>
          <w:szCs w:val="24"/>
        </w:rPr>
        <w:t xml:space="preserve">Fama, 1965; </w:t>
      </w:r>
      <w:r w:rsidRPr="00E75964">
        <w:rPr>
          <w:rFonts w:ascii="Garamond" w:hAnsi="Garamond"/>
          <w:sz w:val="24"/>
          <w:szCs w:val="24"/>
        </w:rPr>
        <w:t xml:space="preserve">French, 1980).   </w:t>
      </w:r>
    </w:p>
    <w:p w14:paraId="4EAB4760" w14:textId="72D52722" w:rsidR="00CE65B6" w:rsidRPr="00E75964" w:rsidRDefault="00CE65B6" w:rsidP="00CD604B">
      <w:pPr>
        <w:autoSpaceDE w:val="0"/>
        <w:autoSpaceDN w:val="0"/>
        <w:adjustRightInd w:val="0"/>
        <w:spacing w:line="360" w:lineRule="auto"/>
        <w:jc w:val="both"/>
        <w:rPr>
          <w:rFonts w:ascii="Garamond" w:hAnsi="Garamond"/>
          <w:sz w:val="24"/>
          <w:szCs w:val="24"/>
        </w:rPr>
      </w:pPr>
      <w:r w:rsidRPr="00E75964">
        <w:rPr>
          <w:rFonts w:ascii="Garamond" w:hAnsi="Garamond"/>
          <w:sz w:val="24"/>
          <w:szCs w:val="24"/>
        </w:rPr>
        <w:t xml:space="preserve">Researchers have tried to provide explanations to rationalize the weekend effect in both returns and volatility rather than simply defining </w:t>
      </w:r>
      <w:r w:rsidR="00292DC5" w:rsidRPr="00E75964">
        <w:rPr>
          <w:rFonts w:ascii="Garamond" w:hAnsi="Garamond"/>
          <w:sz w:val="24"/>
          <w:szCs w:val="24"/>
        </w:rPr>
        <w:t xml:space="preserve">it </w:t>
      </w:r>
      <w:r w:rsidRPr="00E75964">
        <w:rPr>
          <w:rFonts w:ascii="Garamond" w:hAnsi="Garamond"/>
          <w:sz w:val="24"/>
          <w:szCs w:val="24"/>
        </w:rPr>
        <w:t xml:space="preserve">as a market anomaly. For example, Lakonishok and Levi (1982) argue that the Monday effect is due to the delay between trading and settlement in stocks and in clearing checks. Dyl and Maberly (1988) suggest that managers of publicly owned firms may tend to delay announcements of bad news, or at least news that is not </w:t>
      </w:r>
      <w:r w:rsidR="00EC0E91" w:rsidRPr="00E75964">
        <w:rPr>
          <w:rFonts w:ascii="Garamond" w:hAnsi="Garamond"/>
          <w:sz w:val="24"/>
          <w:szCs w:val="24"/>
        </w:rPr>
        <w:t>favourable</w:t>
      </w:r>
      <w:r w:rsidRPr="00E75964">
        <w:rPr>
          <w:rFonts w:ascii="Garamond" w:hAnsi="Garamond"/>
          <w:sz w:val="24"/>
          <w:szCs w:val="24"/>
        </w:rPr>
        <w:t xml:space="preserve">, until the end of the week, after markets have closed. In </w:t>
      </w:r>
      <w:r w:rsidR="00320F51" w:rsidRPr="00E75964">
        <w:rPr>
          <w:rFonts w:ascii="Garamond" w:hAnsi="Garamond"/>
          <w:sz w:val="24"/>
          <w:szCs w:val="24"/>
        </w:rPr>
        <w:t>this</w:t>
      </w:r>
      <w:r w:rsidRPr="00E75964">
        <w:rPr>
          <w:rFonts w:ascii="Garamond" w:hAnsi="Garamond"/>
          <w:sz w:val="24"/>
          <w:szCs w:val="24"/>
        </w:rPr>
        <w:t xml:space="preserve"> line of thought, Damodaran (1989) shows a link between the disclosure of bad news and the weekend effect. Firms usually tend to announce bad news on Fridays and Damodaran (1989) suggests that delaying the announcement of bad news until then might cause the negative Monday returns. Fortune (1991) asserts that firms and governments release good news during market trading, when it is readily absorbed, and store up bad news until after the close on Friday, when investors cannot react until the Monday opening. </w:t>
      </w:r>
      <w:r w:rsidRPr="00E75964">
        <w:rPr>
          <w:rFonts w:ascii="Garamond" w:hAnsi="Garamond"/>
          <w:sz w:val="24"/>
          <w:szCs w:val="24"/>
        </w:rPr>
        <w:lastRenderedPageBreak/>
        <w:t xml:space="preserve">Focusing on the seasonality in volatility, Barclay </w:t>
      </w:r>
      <w:r w:rsidRPr="00E75964">
        <w:rPr>
          <w:rFonts w:ascii="Garamond" w:hAnsi="Garamond"/>
          <w:iCs/>
          <w:sz w:val="24"/>
          <w:szCs w:val="24"/>
        </w:rPr>
        <w:t>et al.</w:t>
      </w:r>
      <w:r w:rsidRPr="00E75964">
        <w:rPr>
          <w:rFonts w:ascii="Garamond" w:hAnsi="Garamond"/>
          <w:i/>
          <w:iCs/>
          <w:sz w:val="24"/>
          <w:szCs w:val="24"/>
        </w:rPr>
        <w:t xml:space="preserve"> </w:t>
      </w:r>
      <w:r w:rsidRPr="00E75964">
        <w:rPr>
          <w:rFonts w:ascii="Garamond" w:hAnsi="Garamond"/>
          <w:sz w:val="24"/>
          <w:szCs w:val="24"/>
        </w:rPr>
        <w:t>(1990) and Foster and Viswanathan (1990) add that stock returns variance should be highest on Mondays, when the informed trader has maximum information advantage. Variance should decline as the working week progresses as public information arrives. This decrease in the advantage of private information leads to lower returns variance on Fridays. According to Ho and Cheung (1994) volatility variation exists due to noise traders who usually do not trade based on the fundamental value of stocks, but rather trade for liquidity needs. To explain the day-of-the-week effect, Kyle (1985) reports that there is a structural link between trading volume and stock returns variances, particularly on Monday.</w:t>
      </w:r>
    </w:p>
    <w:p w14:paraId="1BDE10DC" w14:textId="5815B6B0" w:rsidR="00CE65B6" w:rsidRPr="00E75964" w:rsidRDefault="00CE65B6" w:rsidP="00CD604B">
      <w:pPr>
        <w:autoSpaceDE w:val="0"/>
        <w:autoSpaceDN w:val="0"/>
        <w:adjustRightInd w:val="0"/>
        <w:spacing w:line="360" w:lineRule="auto"/>
        <w:jc w:val="both"/>
        <w:rPr>
          <w:rFonts w:ascii="Garamond" w:hAnsi="Garamond"/>
          <w:sz w:val="24"/>
          <w:szCs w:val="24"/>
        </w:rPr>
      </w:pPr>
      <w:r w:rsidRPr="00E75964">
        <w:rPr>
          <w:rFonts w:ascii="Garamond" w:hAnsi="Garamond"/>
          <w:sz w:val="24"/>
          <w:szCs w:val="24"/>
        </w:rPr>
        <w:t xml:space="preserve">Investors’ trading patterns and the weekend effect are extensively examined in Lakonishok and Maberly (1990), Abraham and Ikenberry (1994), Kamara (1997), Chan et al. (2004), Brusa et al. (2005), and Venezia and Shapira (2007). For example, Lakonishok and Maberly (1990) explain that the higher level of trading activity by individual investors on Monday (particularly more selling transactions) creates this weekend effect. They claim that for sell decisions individuals are basically left on their own and there is a tendency to make decisions over the weekend. Abraham and Ikenberry (1994) provide additional support for this hypothesis using the CRSP equally-weighted index of NYSE and ASE firms over the period 1963 to 1991. They report </w:t>
      </w:r>
      <w:r w:rsidR="00E24D09" w:rsidRPr="00E75964">
        <w:rPr>
          <w:rFonts w:ascii="Garamond" w:hAnsi="Garamond"/>
          <w:sz w:val="24"/>
          <w:szCs w:val="24"/>
        </w:rPr>
        <w:t xml:space="preserve">that </w:t>
      </w:r>
      <w:r w:rsidRPr="00E75964">
        <w:rPr>
          <w:rFonts w:ascii="Garamond" w:hAnsi="Garamond"/>
          <w:sz w:val="24"/>
          <w:szCs w:val="24"/>
        </w:rPr>
        <w:t>selling pressure by individuals is not only higher on Mondays, but is substantially heavier following a decline in the market on the previous Friday. These findings are consistent with individual investors having a positive feedback trading strategy. Abraham and Ikenberry (1994) assert that the negative Monday returns are actually conditional upon the previous Friday’s returns. In addition, conditional returns appear to be a function of firm size, with small and medium sized firms exhibiting a stronger conditional effect than large firms. Kamara (1997) claims that individual trading is an important cause of the Monday effect and finds that its magnitude on the S&amp;P 500 declined significantly over the 1962-1993 period, when institutions greatly increased their trading activities. He reports that lower transaction costs and increasingly intensive collection of information reduced the risk of weekend surprises for institutions. Yet the marginal cost of transactions in the NYSE’s smallest capitalization stocks is not much lower for institutions than for individuals, and therefore the Monday effect exists for small capitalization stocks.</w:t>
      </w:r>
    </w:p>
    <w:p w14:paraId="31397960" w14:textId="4FB2AF6E"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In contrast to the previous findings on the US equity market, Sias and Starks (1995) find that stocks with higher institutional holdings exhibit a significant</w:t>
      </w:r>
      <w:r w:rsidR="00984FBE" w:rsidRPr="00E75964">
        <w:rPr>
          <w:rFonts w:ascii="Garamond" w:hAnsi="Garamond"/>
          <w:sz w:val="24"/>
          <w:szCs w:val="24"/>
        </w:rPr>
        <w:t>ly</w:t>
      </w:r>
      <w:r w:rsidRPr="00E75964">
        <w:rPr>
          <w:rFonts w:ascii="Garamond" w:hAnsi="Garamond"/>
          <w:sz w:val="24"/>
          <w:szCs w:val="24"/>
        </w:rPr>
        <w:t xml:space="preserve"> greater day-of-the-week conditional returns pattern than do stocks held primarily by individual investors. Their data consist of all firms listed on the NYSE for 15 years, from 1977 through 1991. They report two pieces of evidence that are consistent with the institutional investor hypothesis. First, stocks with large institutional holdings </w:t>
      </w:r>
      <w:r w:rsidRPr="00E75964">
        <w:rPr>
          <w:rFonts w:ascii="Garamond" w:hAnsi="Garamond"/>
          <w:sz w:val="24"/>
          <w:szCs w:val="24"/>
        </w:rPr>
        <w:lastRenderedPageBreak/>
        <w:t xml:space="preserve">exhibit significantly greater turnover on Monday and second, there is a strong positive feedback effect between Friday and Monday for stocks with higher institutional holdings. Chan et al. (2004) </w:t>
      </w:r>
      <w:r w:rsidR="00E14B5B" w:rsidRPr="00E75964">
        <w:rPr>
          <w:rFonts w:ascii="Garamond" w:hAnsi="Garamond"/>
          <w:sz w:val="24"/>
          <w:szCs w:val="24"/>
        </w:rPr>
        <w:t>take</w:t>
      </w:r>
      <w:r w:rsidRPr="00E75964">
        <w:rPr>
          <w:rFonts w:ascii="Garamond" w:hAnsi="Garamond"/>
          <w:sz w:val="24"/>
          <w:szCs w:val="24"/>
        </w:rPr>
        <w:t xml:space="preserve"> a large data set and re-examine the </w:t>
      </w:r>
      <w:r w:rsidR="00EC0E91" w:rsidRPr="00E75964">
        <w:rPr>
          <w:rFonts w:ascii="Garamond" w:hAnsi="Garamond"/>
          <w:sz w:val="24"/>
          <w:szCs w:val="24"/>
        </w:rPr>
        <w:t>behaviour</w:t>
      </w:r>
      <w:r w:rsidRPr="00E75964">
        <w:rPr>
          <w:rFonts w:ascii="Garamond" w:hAnsi="Garamond"/>
          <w:sz w:val="24"/>
          <w:szCs w:val="24"/>
        </w:rPr>
        <w:t xml:space="preserve"> of institutional and individual investors on the US markets concerning the Monday effect. Their sample includes all firms listed on the NYSE, Amex and NASDAQ during the period 1991–1998. They provide direct evidence that Monday seasonality is typically strong in stocks with low institutional holdings. The active participation of institutional investors may reduce the magnitude of the Monday effect.</w:t>
      </w:r>
    </w:p>
    <w:p w14:paraId="04F22D39" w14:textId="19F65981"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An interesting outcome is reported in Brusa et al. (2000 and 2005). They find a ‘traditional’ weekend effect and a ‘reverse’ weekend effect related to firm size. The ‘reverse’ weekend effect tends to be associated with large firms, whereas the ‘traditional’ weekend effect tends to be associated with small firms. They reach this conclusion by studying the CRSP value weighted index, NASDAQ, S&amp;P 500 and DIJA indices over the period 1963–1998. They also report a positive feedback effect in large firms</w:t>
      </w:r>
      <w:r w:rsidR="00E24D09" w:rsidRPr="00E75964">
        <w:rPr>
          <w:rFonts w:ascii="Garamond" w:hAnsi="Garamond"/>
          <w:sz w:val="24"/>
          <w:szCs w:val="24"/>
        </w:rPr>
        <w:t>.</w:t>
      </w:r>
      <w:r w:rsidRPr="00E75964">
        <w:rPr>
          <w:rFonts w:ascii="Garamond" w:hAnsi="Garamond"/>
          <w:sz w:val="24"/>
          <w:szCs w:val="24"/>
        </w:rPr>
        <w:t xml:space="preserve"> Monday returns follow Friday returns particularly when previous Friday returns are positive. They further find evidence that Monday returns are positively related to the volume of medium-sized and block </w:t>
      </w:r>
      <w:r w:rsidR="00EF3BFE" w:rsidRPr="00E75964">
        <w:rPr>
          <w:rFonts w:ascii="Garamond" w:hAnsi="Garamond"/>
          <w:sz w:val="24"/>
          <w:szCs w:val="24"/>
        </w:rPr>
        <w:t>transactions;</w:t>
      </w:r>
      <w:r w:rsidRPr="00E75964">
        <w:rPr>
          <w:rFonts w:ascii="Garamond" w:hAnsi="Garamond"/>
          <w:sz w:val="24"/>
          <w:szCs w:val="24"/>
        </w:rPr>
        <w:t xml:space="preserve"> however, they are negatively </w:t>
      </w:r>
      <w:r w:rsidR="00984FBE" w:rsidRPr="00E75964">
        <w:rPr>
          <w:rFonts w:ascii="Garamond" w:hAnsi="Garamond"/>
          <w:sz w:val="24"/>
          <w:szCs w:val="24"/>
        </w:rPr>
        <w:t xml:space="preserve">related </w:t>
      </w:r>
      <w:r w:rsidRPr="00E75964">
        <w:rPr>
          <w:rFonts w:ascii="Garamond" w:hAnsi="Garamond"/>
          <w:sz w:val="24"/>
          <w:szCs w:val="24"/>
        </w:rPr>
        <w:t xml:space="preserve">to odd-lot transactions. </w:t>
      </w:r>
    </w:p>
    <w:p w14:paraId="59BD92E9" w14:textId="78CB281A"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Venezia and Shapira (2007) categorize investors on the Israeli stock market into amateur and professional, and investigate their trading pattern after the weekend. Using data from 1994 to 1998, they find that the weekend influences both categories of investors but in opposite directions. Individuals increase both their buy and sell activities, and their propensity to sell is greater than their propensity to buy. Professionals, on the other hand, carry out fewer transactions with almost equal amount</w:t>
      </w:r>
      <w:r w:rsidR="00E24D09" w:rsidRPr="00E75964">
        <w:rPr>
          <w:rFonts w:ascii="Garamond" w:hAnsi="Garamond"/>
          <w:sz w:val="24"/>
          <w:szCs w:val="24"/>
        </w:rPr>
        <w:t>s</w:t>
      </w:r>
      <w:r w:rsidRPr="00E75964">
        <w:rPr>
          <w:rFonts w:ascii="Garamond" w:hAnsi="Garamond"/>
          <w:sz w:val="24"/>
          <w:szCs w:val="24"/>
        </w:rPr>
        <w:t xml:space="preserve"> of buying and selling.  </w:t>
      </w:r>
    </w:p>
    <w:p w14:paraId="58B9DF1E" w14:textId="24DA6F81"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In this empirical research we jointly investigate the weekend effect on return</w:t>
      </w:r>
      <w:r w:rsidR="004D2A86">
        <w:rPr>
          <w:rFonts w:ascii="Garamond" w:hAnsi="Garamond"/>
          <w:sz w:val="24"/>
          <w:szCs w:val="24"/>
        </w:rPr>
        <w:t>s</w:t>
      </w:r>
      <w:r w:rsidRPr="00E75964">
        <w:rPr>
          <w:rFonts w:ascii="Garamond" w:hAnsi="Garamond"/>
          <w:sz w:val="24"/>
          <w:szCs w:val="24"/>
        </w:rPr>
        <w:t xml:space="preserve"> and volatility and whether investors’ trading </w:t>
      </w:r>
      <w:r w:rsidR="008D70AF" w:rsidRPr="00E75964">
        <w:rPr>
          <w:rFonts w:ascii="Garamond" w:hAnsi="Garamond"/>
          <w:sz w:val="24"/>
          <w:szCs w:val="24"/>
        </w:rPr>
        <w:t>behaviour</w:t>
      </w:r>
      <w:r w:rsidRPr="00E75964">
        <w:rPr>
          <w:rFonts w:ascii="Garamond" w:hAnsi="Garamond"/>
          <w:sz w:val="24"/>
          <w:szCs w:val="24"/>
        </w:rPr>
        <w:t xml:space="preserve"> influences the effect using </w:t>
      </w:r>
      <w:r w:rsidR="00E24D09" w:rsidRPr="00E75964">
        <w:rPr>
          <w:rFonts w:ascii="Garamond" w:hAnsi="Garamond"/>
          <w:sz w:val="24"/>
          <w:szCs w:val="24"/>
        </w:rPr>
        <w:t xml:space="preserve">the </w:t>
      </w:r>
      <w:r w:rsidRPr="00E75964">
        <w:rPr>
          <w:rFonts w:ascii="Garamond" w:hAnsi="Garamond"/>
          <w:sz w:val="24"/>
          <w:szCs w:val="24"/>
        </w:rPr>
        <w:t xml:space="preserve">DSE all-share price index. </w:t>
      </w:r>
      <w:r w:rsidR="00E24D09" w:rsidRPr="00E75964">
        <w:rPr>
          <w:rFonts w:ascii="Garamond" w:hAnsi="Garamond"/>
          <w:sz w:val="24"/>
          <w:szCs w:val="24"/>
        </w:rPr>
        <w:t>In p</w:t>
      </w:r>
      <w:r w:rsidRPr="00E75964">
        <w:rPr>
          <w:rFonts w:ascii="Garamond" w:hAnsi="Garamond"/>
          <w:sz w:val="24"/>
          <w:szCs w:val="24"/>
        </w:rPr>
        <w:t xml:space="preserve">articular, our major interest </w:t>
      </w:r>
      <w:r w:rsidR="00984FBE" w:rsidRPr="00E75964">
        <w:rPr>
          <w:rFonts w:ascii="Garamond" w:hAnsi="Garamond"/>
          <w:sz w:val="24"/>
          <w:szCs w:val="24"/>
        </w:rPr>
        <w:t xml:space="preserve">is </w:t>
      </w:r>
      <w:r w:rsidRPr="00E75964">
        <w:rPr>
          <w:rFonts w:ascii="Garamond" w:hAnsi="Garamond"/>
          <w:sz w:val="24"/>
          <w:szCs w:val="24"/>
        </w:rPr>
        <w:t xml:space="preserve">to see how </w:t>
      </w:r>
      <w:r w:rsidR="00984FBE" w:rsidRPr="00E75964">
        <w:rPr>
          <w:rFonts w:ascii="Garamond" w:hAnsi="Garamond"/>
          <w:sz w:val="24"/>
          <w:szCs w:val="24"/>
        </w:rPr>
        <w:t xml:space="preserve">the </w:t>
      </w:r>
      <w:r w:rsidRPr="00E75964">
        <w:rPr>
          <w:rFonts w:ascii="Garamond" w:hAnsi="Garamond"/>
          <w:sz w:val="24"/>
          <w:szCs w:val="24"/>
        </w:rPr>
        <w:t>information content and processing hypothes</w:t>
      </w:r>
      <w:r w:rsidR="00984FBE" w:rsidRPr="00E75964">
        <w:rPr>
          <w:rFonts w:ascii="Garamond" w:hAnsi="Garamond"/>
          <w:sz w:val="24"/>
          <w:szCs w:val="24"/>
        </w:rPr>
        <w:t>e</w:t>
      </w:r>
      <w:r w:rsidRPr="00E75964">
        <w:rPr>
          <w:rFonts w:ascii="Garamond" w:hAnsi="Garamond"/>
          <w:sz w:val="24"/>
          <w:szCs w:val="24"/>
        </w:rPr>
        <w:t xml:space="preserve">s work in an equity market which is significantly different </w:t>
      </w:r>
      <w:r w:rsidR="00E24D09" w:rsidRPr="00E75964">
        <w:rPr>
          <w:rFonts w:ascii="Garamond" w:hAnsi="Garamond"/>
          <w:sz w:val="24"/>
          <w:szCs w:val="24"/>
        </w:rPr>
        <w:t>from</w:t>
      </w:r>
      <w:r w:rsidRPr="00E75964">
        <w:rPr>
          <w:rFonts w:ascii="Garamond" w:hAnsi="Garamond"/>
          <w:sz w:val="24"/>
          <w:szCs w:val="24"/>
        </w:rPr>
        <w:t xml:space="preserve"> other developed and emerging markets. We examine return</w:t>
      </w:r>
      <w:r w:rsidR="004D2A86">
        <w:rPr>
          <w:rFonts w:ascii="Garamond" w:hAnsi="Garamond"/>
          <w:sz w:val="24"/>
          <w:szCs w:val="24"/>
        </w:rPr>
        <w:t>s</w:t>
      </w:r>
      <w:r w:rsidRPr="00E75964">
        <w:rPr>
          <w:rFonts w:ascii="Garamond" w:hAnsi="Garamond"/>
          <w:sz w:val="24"/>
          <w:szCs w:val="24"/>
        </w:rPr>
        <w:t xml:space="preserve"> and variance jointly because</w:t>
      </w:r>
      <w:r w:rsidR="004D2A86">
        <w:rPr>
          <w:rFonts w:ascii="Garamond" w:hAnsi="Garamond"/>
          <w:sz w:val="24"/>
          <w:szCs w:val="24"/>
        </w:rPr>
        <w:t>,</w:t>
      </w:r>
      <w:r w:rsidRPr="00E75964">
        <w:rPr>
          <w:rFonts w:ascii="Garamond" w:hAnsi="Garamond"/>
          <w:sz w:val="24"/>
          <w:szCs w:val="24"/>
        </w:rPr>
        <w:t xml:space="preserve"> for rational financial investment decision making, returns constitute only one part of the decision process and risk-averse investors are interested to know the variations in volatility (Engle, 1993; and Charles, 2010). Our conditional variance approach overcomes the arguments related to characteristics of time series data, such as error distributions and asymmetry in volatility mentioned in Kiymaz and Berument (2003), Baker et al. (2008) and Charles (2010). In addition, findings from previous empirical studies are not conclusive whether return</w:t>
      </w:r>
      <w:r w:rsidR="004D2A86">
        <w:rPr>
          <w:rFonts w:ascii="Garamond" w:hAnsi="Garamond"/>
          <w:sz w:val="24"/>
          <w:szCs w:val="24"/>
        </w:rPr>
        <w:t>s</w:t>
      </w:r>
      <w:r w:rsidRPr="00E75964">
        <w:rPr>
          <w:rFonts w:ascii="Garamond" w:hAnsi="Garamond"/>
          <w:sz w:val="24"/>
          <w:szCs w:val="24"/>
        </w:rPr>
        <w:t xml:space="preserve"> and volatility on the opening day reflect the active participation of </w:t>
      </w:r>
      <w:r w:rsidRPr="00E75964">
        <w:rPr>
          <w:rFonts w:ascii="Garamond" w:hAnsi="Garamond"/>
          <w:sz w:val="24"/>
          <w:szCs w:val="24"/>
        </w:rPr>
        <w:lastRenderedPageBreak/>
        <w:t xml:space="preserve">institutional or individual investors, </w:t>
      </w:r>
      <w:r w:rsidR="00E14B5B" w:rsidRPr="00E75964">
        <w:rPr>
          <w:rFonts w:ascii="Garamond" w:hAnsi="Garamond"/>
          <w:sz w:val="24"/>
          <w:szCs w:val="24"/>
        </w:rPr>
        <w:t>e.g.,</w:t>
      </w:r>
      <w:r w:rsidRPr="00E75964">
        <w:rPr>
          <w:rFonts w:ascii="Garamond" w:hAnsi="Garamond"/>
          <w:sz w:val="24"/>
          <w:szCs w:val="24"/>
        </w:rPr>
        <w:t xml:space="preserve"> Sias and Starks (1995) and Chan et al. (2004). Therefore, for testing the information processing hypothesis and trading pattern </w:t>
      </w:r>
      <w:r w:rsidR="004D2A86">
        <w:rPr>
          <w:rFonts w:ascii="Garamond" w:hAnsi="Garamond"/>
          <w:sz w:val="24"/>
          <w:szCs w:val="24"/>
        </w:rPr>
        <w:t>we</w:t>
      </w:r>
      <w:r w:rsidRPr="00E75964">
        <w:rPr>
          <w:rFonts w:ascii="Garamond" w:hAnsi="Garamond"/>
          <w:sz w:val="24"/>
          <w:szCs w:val="24"/>
        </w:rPr>
        <w:t xml:space="preserve"> consider the </w:t>
      </w:r>
      <w:r w:rsidR="008D70AF" w:rsidRPr="00E75964">
        <w:rPr>
          <w:rFonts w:ascii="Garamond" w:hAnsi="Garamond"/>
          <w:sz w:val="24"/>
          <w:szCs w:val="24"/>
        </w:rPr>
        <w:t>behavioural</w:t>
      </w:r>
      <w:r w:rsidRPr="00E75964">
        <w:rPr>
          <w:rFonts w:ascii="Garamond" w:hAnsi="Garamond"/>
          <w:sz w:val="24"/>
          <w:szCs w:val="24"/>
        </w:rPr>
        <w:t xml:space="preserve"> preferences of investors by dividing the listed firms into size-based portfolios, where institutions tend to invest in larger and more liquid stocks (Kamara, 1997; Gompers and Metrick, 2001; and Chan et al., 2005). We also create portfolios based on dividend yield and link the presence of weekend effect and feedback effect </w:t>
      </w:r>
      <w:r w:rsidR="00E24D09" w:rsidRPr="00E75964">
        <w:rPr>
          <w:rFonts w:ascii="Garamond" w:hAnsi="Garamond"/>
          <w:sz w:val="24"/>
          <w:szCs w:val="24"/>
        </w:rPr>
        <w:t xml:space="preserve">on the </w:t>
      </w:r>
      <w:r w:rsidRPr="00E75964">
        <w:rPr>
          <w:rFonts w:ascii="Garamond" w:hAnsi="Garamond"/>
          <w:sz w:val="24"/>
          <w:szCs w:val="24"/>
        </w:rPr>
        <w:t>DSE with investors, since high yield</w:t>
      </w:r>
      <w:r w:rsidR="00E24D09" w:rsidRPr="00E75964">
        <w:rPr>
          <w:rFonts w:ascii="Garamond" w:hAnsi="Garamond"/>
          <w:sz w:val="24"/>
          <w:szCs w:val="24"/>
        </w:rPr>
        <w:t>s</w:t>
      </w:r>
      <w:r w:rsidRPr="00E75964">
        <w:rPr>
          <w:rFonts w:ascii="Garamond" w:hAnsi="Garamond"/>
          <w:sz w:val="24"/>
          <w:szCs w:val="24"/>
        </w:rPr>
        <w:t xml:space="preserve"> attract institutional investors (see Shleifer and Vishny, 1986; and Allen et al., 2000). </w:t>
      </w:r>
      <w:r w:rsidR="00E24D09" w:rsidRPr="00E75964">
        <w:rPr>
          <w:rFonts w:ascii="Garamond" w:hAnsi="Garamond"/>
          <w:sz w:val="24"/>
          <w:szCs w:val="24"/>
        </w:rPr>
        <w:t>Overall</w:t>
      </w:r>
      <w:r w:rsidRPr="00E75964">
        <w:rPr>
          <w:rFonts w:ascii="Garamond" w:hAnsi="Garamond"/>
          <w:sz w:val="24"/>
          <w:szCs w:val="24"/>
        </w:rPr>
        <w:t>, this is to confirm whether the effect is not only a feature of developed economies but can also exist in an emerging market such as Bangladesh</w:t>
      </w:r>
      <w:r w:rsidR="004D2A86">
        <w:rPr>
          <w:rFonts w:ascii="Garamond" w:hAnsi="Garamond"/>
          <w:sz w:val="24"/>
          <w:szCs w:val="24"/>
        </w:rPr>
        <w:t xml:space="preserve">. </w:t>
      </w:r>
      <w:r w:rsidRPr="00E75964">
        <w:rPr>
          <w:rFonts w:ascii="Garamond" w:hAnsi="Garamond"/>
          <w:sz w:val="24"/>
          <w:szCs w:val="24"/>
        </w:rPr>
        <w:t>The presence of the ‘Monday effect’ on Sunday will further validate the fact that information advantage theory and the information processing hypothesis work, irrespective of which days the stock market trades on.</w:t>
      </w:r>
    </w:p>
    <w:p w14:paraId="6DB16002" w14:textId="7BC69FBD" w:rsidR="00CE65B6" w:rsidRPr="00E75964" w:rsidRDefault="00F32C63" w:rsidP="00112B72">
      <w:pPr>
        <w:pStyle w:val="Heading1"/>
        <w:spacing w:after="200" w:line="360" w:lineRule="auto"/>
        <w:rPr>
          <w:rFonts w:ascii="Garamond" w:hAnsi="Garamond"/>
          <w:color w:val="auto"/>
          <w:sz w:val="24"/>
          <w:szCs w:val="24"/>
        </w:rPr>
      </w:pPr>
      <w:bookmarkStart w:id="2" w:name="_Toc413318943"/>
      <w:r w:rsidRPr="00E75964">
        <w:rPr>
          <w:rFonts w:ascii="Garamond" w:hAnsi="Garamond"/>
          <w:color w:val="auto"/>
          <w:sz w:val="24"/>
          <w:szCs w:val="24"/>
        </w:rPr>
        <w:t>3.</w:t>
      </w:r>
      <w:r w:rsidR="00112B72" w:rsidRPr="00E75964">
        <w:rPr>
          <w:rFonts w:ascii="Garamond" w:hAnsi="Garamond"/>
          <w:color w:val="auto"/>
          <w:sz w:val="24"/>
          <w:szCs w:val="24"/>
        </w:rPr>
        <w:t xml:space="preserve"> </w:t>
      </w:r>
      <w:r w:rsidR="00CE65B6" w:rsidRPr="00E75964">
        <w:rPr>
          <w:rFonts w:ascii="Garamond" w:hAnsi="Garamond"/>
          <w:color w:val="auto"/>
          <w:sz w:val="24"/>
          <w:szCs w:val="24"/>
        </w:rPr>
        <w:t>Data</w:t>
      </w:r>
      <w:bookmarkEnd w:id="2"/>
      <w:r w:rsidR="006E62A7" w:rsidRPr="00E75964">
        <w:rPr>
          <w:rFonts w:ascii="Garamond" w:hAnsi="Garamond"/>
          <w:color w:val="auto"/>
          <w:sz w:val="24"/>
          <w:szCs w:val="24"/>
        </w:rPr>
        <w:t xml:space="preserve"> and Methodology:</w:t>
      </w:r>
    </w:p>
    <w:p w14:paraId="0DEAFDAA" w14:textId="715AF198" w:rsidR="006E62A7" w:rsidRPr="00E75964" w:rsidRDefault="006E62A7" w:rsidP="006E62A7">
      <w:pPr>
        <w:rPr>
          <w:rFonts w:ascii="Garamond" w:hAnsi="Garamond"/>
          <w:b/>
          <w:bCs/>
          <w:sz w:val="24"/>
          <w:szCs w:val="24"/>
        </w:rPr>
      </w:pPr>
      <w:r w:rsidRPr="00E75964">
        <w:rPr>
          <w:rFonts w:ascii="Garamond" w:hAnsi="Garamond"/>
          <w:b/>
          <w:bCs/>
          <w:sz w:val="24"/>
          <w:szCs w:val="24"/>
        </w:rPr>
        <w:t>3.1. Data:</w:t>
      </w:r>
    </w:p>
    <w:p w14:paraId="51B8F95B" w14:textId="1D7264C1" w:rsidR="00D13E09" w:rsidRPr="00E75964" w:rsidRDefault="00CE65B6" w:rsidP="002F1908">
      <w:pPr>
        <w:spacing w:line="360" w:lineRule="auto"/>
        <w:jc w:val="both"/>
        <w:rPr>
          <w:rFonts w:ascii="Garamond" w:hAnsi="Garamond"/>
          <w:color w:val="FF0000"/>
          <w:sz w:val="24"/>
          <w:szCs w:val="24"/>
        </w:rPr>
      </w:pPr>
      <w:r w:rsidRPr="00E75964">
        <w:rPr>
          <w:rFonts w:ascii="Garamond" w:hAnsi="Garamond"/>
          <w:sz w:val="24"/>
          <w:szCs w:val="24"/>
        </w:rPr>
        <w:t xml:space="preserve">In this study we use </w:t>
      </w:r>
      <w:r w:rsidR="00984FBE" w:rsidRPr="00E75964">
        <w:rPr>
          <w:rFonts w:ascii="Garamond" w:hAnsi="Garamond"/>
          <w:sz w:val="24"/>
          <w:szCs w:val="24"/>
        </w:rPr>
        <w:t>four</w:t>
      </w:r>
      <w:r w:rsidRPr="00E75964">
        <w:rPr>
          <w:rFonts w:ascii="Garamond" w:hAnsi="Garamond"/>
          <w:sz w:val="24"/>
          <w:szCs w:val="24"/>
        </w:rPr>
        <w:t xml:space="preserve"> different daily observations, </w:t>
      </w:r>
      <w:r w:rsidR="00E14B5B" w:rsidRPr="00E75964">
        <w:rPr>
          <w:rFonts w:ascii="Garamond" w:hAnsi="Garamond"/>
          <w:sz w:val="24"/>
          <w:szCs w:val="24"/>
        </w:rPr>
        <w:t>i.e.,</w:t>
      </w:r>
      <w:r w:rsidRPr="00E75964">
        <w:rPr>
          <w:rFonts w:ascii="Garamond" w:hAnsi="Garamond"/>
          <w:sz w:val="24"/>
          <w:szCs w:val="24"/>
        </w:rPr>
        <w:t xml:space="preserve"> </w:t>
      </w:r>
      <w:r w:rsidR="00E24D09" w:rsidRPr="00E75964">
        <w:rPr>
          <w:rFonts w:ascii="Garamond" w:hAnsi="Garamond"/>
          <w:sz w:val="24"/>
          <w:szCs w:val="24"/>
        </w:rPr>
        <w:t xml:space="preserve">the </w:t>
      </w:r>
      <w:r w:rsidRPr="00E75964">
        <w:rPr>
          <w:rFonts w:ascii="Garamond" w:hAnsi="Garamond"/>
          <w:sz w:val="24"/>
          <w:szCs w:val="24"/>
        </w:rPr>
        <w:t>market index, stock price, market capitalization and dividend yield from January 1st</w:t>
      </w:r>
      <w:r w:rsidR="00B76497" w:rsidRPr="00E75964">
        <w:rPr>
          <w:rFonts w:ascii="Garamond" w:hAnsi="Garamond"/>
          <w:sz w:val="24"/>
          <w:szCs w:val="24"/>
        </w:rPr>
        <w:t xml:space="preserve"> 2002</w:t>
      </w:r>
      <w:r w:rsidRPr="00E75964">
        <w:rPr>
          <w:rFonts w:ascii="Garamond" w:hAnsi="Garamond"/>
          <w:sz w:val="24"/>
          <w:szCs w:val="24"/>
        </w:rPr>
        <w:t xml:space="preserve"> to </w:t>
      </w:r>
      <w:r w:rsidR="00CA1656" w:rsidRPr="00E75964">
        <w:rPr>
          <w:rFonts w:ascii="Garamond" w:hAnsi="Garamond"/>
          <w:sz w:val="24"/>
          <w:szCs w:val="24"/>
        </w:rPr>
        <w:t>June</w:t>
      </w:r>
      <w:r w:rsidRPr="00E75964">
        <w:rPr>
          <w:rFonts w:ascii="Garamond" w:hAnsi="Garamond"/>
          <w:sz w:val="24"/>
          <w:szCs w:val="24"/>
        </w:rPr>
        <w:t xml:space="preserve"> 3</w:t>
      </w:r>
      <w:r w:rsidR="00CA1656" w:rsidRPr="00E75964">
        <w:rPr>
          <w:rFonts w:ascii="Garamond" w:hAnsi="Garamond"/>
          <w:sz w:val="24"/>
          <w:szCs w:val="24"/>
        </w:rPr>
        <w:t>0</w:t>
      </w:r>
      <w:r w:rsidR="00CA1656" w:rsidRPr="00E75964">
        <w:rPr>
          <w:rFonts w:ascii="Garamond" w:hAnsi="Garamond"/>
          <w:sz w:val="24"/>
          <w:szCs w:val="24"/>
          <w:vertAlign w:val="superscript"/>
        </w:rPr>
        <w:t>th</w:t>
      </w:r>
      <w:r w:rsidR="00B76497" w:rsidRPr="00E75964">
        <w:rPr>
          <w:rFonts w:ascii="Garamond" w:hAnsi="Garamond"/>
          <w:sz w:val="24"/>
          <w:szCs w:val="24"/>
        </w:rPr>
        <w:t xml:space="preserve"> 2019</w:t>
      </w:r>
      <w:r w:rsidRPr="00E75964">
        <w:rPr>
          <w:rFonts w:ascii="Garamond" w:hAnsi="Garamond"/>
          <w:sz w:val="24"/>
          <w:szCs w:val="24"/>
        </w:rPr>
        <w:t xml:space="preserve">. All these data were collected from </w:t>
      </w:r>
      <w:r w:rsidR="00E14B5B" w:rsidRPr="00E75964">
        <w:rPr>
          <w:rFonts w:ascii="Garamond" w:hAnsi="Garamond"/>
          <w:sz w:val="24"/>
          <w:szCs w:val="24"/>
        </w:rPr>
        <w:t>DataStream</w:t>
      </w:r>
      <w:r w:rsidRPr="00E75964">
        <w:rPr>
          <w:rFonts w:ascii="Garamond" w:hAnsi="Garamond"/>
          <w:sz w:val="24"/>
          <w:szCs w:val="24"/>
        </w:rPr>
        <w:t xml:space="preserve">. We </w:t>
      </w:r>
      <w:r w:rsidR="00D13E09" w:rsidRPr="00E75964">
        <w:rPr>
          <w:rFonts w:ascii="Garamond" w:hAnsi="Garamond"/>
          <w:sz w:val="24"/>
          <w:szCs w:val="24"/>
        </w:rPr>
        <w:t>c</w:t>
      </w:r>
      <w:r w:rsidRPr="00E75964">
        <w:rPr>
          <w:rFonts w:ascii="Garamond" w:hAnsi="Garamond"/>
          <w:sz w:val="24"/>
          <w:szCs w:val="24"/>
        </w:rPr>
        <w:t xml:space="preserve">ollected the market capitalization and dividend yield </w:t>
      </w:r>
      <w:r w:rsidR="0003119A" w:rsidRPr="00E75964">
        <w:rPr>
          <w:rFonts w:ascii="Garamond" w:hAnsi="Garamond"/>
          <w:sz w:val="24"/>
          <w:szCs w:val="24"/>
        </w:rPr>
        <w:t xml:space="preserve">data </w:t>
      </w:r>
      <w:r w:rsidRPr="00E75964">
        <w:rPr>
          <w:rFonts w:ascii="Garamond" w:hAnsi="Garamond"/>
          <w:sz w:val="24"/>
          <w:szCs w:val="24"/>
        </w:rPr>
        <w:t>for all listed companies on the Dhaka Stock Exchange, which is 2</w:t>
      </w:r>
      <w:r w:rsidR="00DD52C4" w:rsidRPr="00E75964">
        <w:rPr>
          <w:rFonts w:ascii="Garamond" w:hAnsi="Garamond"/>
          <w:sz w:val="24"/>
          <w:szCs w:val="24"/>
        </w:rPr>
        <w:t>85</w:t>
      </w:r>
      <w:r w:rsidRPr="00E75964">
        <w:rPr>
          <w:rFonts w:ascii="Garamond" w:hAnsi="Garamond"/>
          <w:sz w:val="24"/>
          <w:szCs w:val="24"/>
        </w:rPr>
        <w:t xml:space="preserve"> firms over the sample period</w:t>
      </w:r>
      <w:r w:rsidR="00DD52C4" w:rsidRPr="00E75964">
        <w:rPr>
          <w:rFonts w:ascii="Garamond" w:hAnsi="Garamond"/>
          <w:sz w:val="24"/>
          <w:szCs w:val="24"/>
        </w:rPr>
        <w:t xml:space="preserve"> included in </w:t>
      </w:r>
      <w:r w:rsidR="00D13E09" w:rsidRPr="00E75964">
        <w:rPr>
          <w:rFonts w:ascii="Garamond" w:hAnsi="Garamond"/>
          <w:sz w:val="24"/>
          <w:szCs w:val="24"/>
        </w:rPr>
        <w:t xml:space="preserve">the </w:t>
      </w:r>
      <w:r w:rsidR="00DD52C4" w:rsidRPr="00E75964">
        <w:rPr>
          <w:rFonts w:ascii="Garamond" w:hAnsi="Garamond"/>
          <w:sz w:val="24"/>
          <w:szCs w:val="24"/>
        </w:rPr>
        <w:t>DSEX index</w:t>
      </w:r>
      <w:r w:rsidRPr="00E75964">
        <w:rPr>
          <w:rFonts w:ascii="Garamond" w:hAnsi="Garamond"/>
          <w:sz w:val="24"/>
          <w:szCs w:val="24"/>
        </w:rPr>
        <w:t>. Following the ‘information content theory’ and ‘information processing hypothesis’ we use the daily DSE All-Share</w:t>
      </w:r>
      <w:r w:rsidR="00B76497" w:rsidRPr="00E75964">
        <w:rPr>
          <w:rFonts w:ascii="Garamond" w:hAnsi="Garamond"/>
          <w:sz w:val="24"/>
          <w:szCs w:val="24"/>
        </w:rPr>
        <w:t xml:space="preserve"> Index</w:t>
      </w:r>
      <w:r w:rsidRPr="00E75964">
        <w:rPr>
          <w:rFonts w:ascii="Garamond" w:hAnsi="Garamond"/>
          <w:sz w:val="24"/>
          <w:szCs w:val="24"/>
        </w:rPr>
        <w:t xml:space="preserve"> </w:t>
      </w:r>
      <w:r w:rsidR="00CA1656" w:rsidRPr="00E75964">
        <w:rPr>
          <w:rFonts w:ascii="Garamond" w:hAnsi="Garamond"/>
          <w:sz w:val="24"/>
          <w:szCs w:val="24"/>
        </w:rPr>
        <w:t xml:space="preserve">from </w:t>
      </w:r>
      <w:r w:rsidR="00786549" w:rsidRPr="00E75964">
        <w:rPr>
          <w:rFonts w:ascii="Garamond" w:hAnsi="Garamond"/>
          <w:sz w:val="24"/>
          <w:szCs w:val="24"/>
        </w:rPr>
        <w:t>1</w:t>
      </w:r>
      <w:r w:rsidR="00786549" w:rsidRPr="00E75964">
        <w:rPr>
          <w:rFonts w:ascii="Garamond" w:hAnsi="Garamond"/>
          <w:sz w:val="24"/>
          <w:szCs w:val="24"/>
          <w:vertAlign w:val="superscript"/>
        </w:rPr>
        <w:t>st</w:t>
      </w:r>
      <w:r w:rsidR="00786549" w:rsidRPr="00E75964">
        <w:rPr>
          <w:rFonts w:ascii="Garamond" w:hAnsi="Garamond"/>
          <w:sz w:val="24"/>
          <w:szCs w:val="24"/>
        </w:rPr>
        <w:t xml:space="preserve"> </w:t>
      </w:r>
      <w:r w:rsidR="00B76497" w:rsidRPr="00E75964">
        <w:rPr>
          <w:rFonts w:ascii="Garamond" w:hAnsi="Garamond"/>
          <w:sz w:val="24"/>
          <w:szCs w:val="24"/>
        </w:rPr>
        <w:t>January</w:t>
      </w:r>
      <w:r w:rsidR="00786549" w:rsidRPr="00E75964">
        <w:rPr>
          <w:rFonts w:ascii="Garamond" w:hAnsi="Garamond"/>
          <w:sz w:val="24"/>
          <w:szCs w:val="24"/>
        </w:rPr>
        <w:t xml:space="preserve"> </w:t>
      </w:r>
      <w:r w:rsidR="00CA1656" w:rsidRPr="00E75964">
        <w:rPr>
          <w:rFonts w:ascii="Garamond" w:hAnsi="Garamond"/>
          <w:sz w:val="24"/>
          <w:szCs w:val="24"/>
        </w:rPr>
        <w:t>200</w:t>
      </w:r>
      <w:r w:rsidR="00B76497" w:rsidRPr="00E75964">
        <w:rPr>
          <w:rFonts w:ascii="Garamond" w:hAnsi="Garamond"/>
          <w:sz w:val="24"/>
          <w:szCs w:val="24"/>
        </w:rPr>
        <w:t>2</w:t>
      </w:r>
      <w:r w:rsidR="00CA1656" w:rsidRPr="00E75964">
        <w:rPr>
          <w:rFonts w:ascii="Garamond" w:hAnsi="Garamond"/>
          <w:sz w:val="24"/>
          <w:szCs w:val="24"/>
        </w:rPr>
        <w:t xml:space="preserve"> to </w:t>
      </w:r>
      <w:r w:rsidR="00D13E09" w:rsidRPr="00E75964">
        <w:rPr>
          <w:rFonts w:ascii="Garamond" w:hAnsi="Garamond"/>
          <w:sz w:val="24"/>
          <w:szCs w:val="24"/>
        </w:rPr>
        <w:t>27</w:t>
      </w:r>
      <w:r w:rsidR="00D13E09" w:rsidRPr="00E75964">
        <w:rPr>
          <w:rFonts w:ascii="Garamond" w:hAnsi="Garamond"/>
          <w:sz w:val="24"/>
          <w:szCs w:val="24"/>
          <w:vertAlign w:val="superscript"/>
        </w:rPr>
        <w:t>th</w:t>
      </w:r>
      <w:r w:rsidR="00D13E09" w:rsidRPr="00E75964">
        <w:rPr>
          <w:rFonts w:ascii="Garamond" w:hAnsi="Garamond"/>
          <w:sz w:val="24"/>
          <w:szCs w:val="24"/>
        </w:rPr>
        <w:t xml:space="preserve"> </w:t>
      </w:r>
      <w:r w:rsidR="00CA1656" w:rsidRPr="00E75964">
        <w:rPr>
          <w:rFonts w:ascii="Garamond" w:hAnsi="Garamond"/>
          <w:sz w:val="24"/>
          <w:szCs w:val="24"/>
        </w:rPr>
        <w:t xml:space="preserve">January 2013) and </w:t>
      </w:r>
      <w:r w:rsidR="00D13E09" w:rsidRPr="00E75964">
        <w:rPr>
          <w:rFonts w:ascii="Garamond" w:hAnsi="Garamond"/>
          <w:sz w:val="24"/>
          <w:szCs w:val="24"/>
        </w:rPr>
        <w:t xml:space="preserve">the </w:t>
      </w:r>
      <w:r w:rsidR="00CA1656" w:rsidRPr="00E75964">
        <w:rPr>
          <w:rFonts w:ascii="Garamond" w:hAnsi="Garamond"/>
          <w:sz w:val="24"/>
          <w:szCs w:val="24"/>
        </w:rPr>
        <w:t xml:space="preserve">DSEX </w:t>
      </w:r>
      <w:r w:rsidRPr="00E75964">
        <w:rPr>
          <w:rFonts w:ascii="Garamond" w:hAnsi="Garamond"/>
          <w:sz w:val="24"/>
          <w:szCs w:val="24"/>
        </w:rPr>
        <w:t xml:space="preserve">Index </w:t>
      </w:r>
      <w:r w:rsidR="00CA1656" w:rsidRPr="00E75964">
        <w:rPr>
          <w:rFonts w:ascii="Garamond" w:hAnsi="Garamond"/>
          <w:sz w:val="24"/>
          <w:szCs w:val="24"/>
        </w:rPr>
        <w:t xml:space="preserve">from </w:t>
      </w:r>
      <w:r w:rsidR="00D13E09" w:rsidRPr="00E75964">
        <w:rPr>
          <w:rFonts w:ascii="Garamond" w:hAnsi="Garamond"/>
          <w:sz w:val="24"/>
          <w:szCs w:val="24"/>
        </w:rPr>
        <w:t>28</w:t>
      </w:r>
      <w:r w:rsidR="00D13E09" w:rsidRPr="00E75964">
        <w:rPr>
          <w:rFonts w:ascii="Garamond" w:hAnsi="Garamond"/>
          <w:sz w:val="24"/>
          <w:szCs w:val="24"/>
          <w:vertAlign w:val="superscript"/>
        </w:rPr>
        <w:t>th</w:t>
      </w:r>
      <w:r w:rsidR="00D13E09" w:rsidRPr="00E75964">
        <w:rPr>
          <w:rFonts w:ascii="Garamond" w:hAnsi="Garamond"/>
          <w:sz w:val="24"/>
          <w:szCs w:val="24"/>
        </w:rPr>
        <w:t xml:space="preserve"> </w:t>
      </w:r>
      <w:r w:rsidR="00CA1656" w:rsidRPr="00E75964">
        <w:rPr>
          <w:rFonts w:ascii="Garamond" w:hAnsi="Garamond"/>
          <w:sz w:val="24"/>
          <w:szCs w:val="24"/>
        </w:rPr>
        <w:t xml:space="preserve">January 2013 to June </w:t>
      </w:r>
      <w:r w:rsidR="00BF5ECC" w:rsidRPr="00E75964">
        <w:rPr>
          <w:rFonts w:ascii="Garamond" w:hAnsi="Garamond"/>
          <w:sz w:val="24"/>
          <w:szCs w:val="24"/>
        </w:rPr>
        <w:t>28</w:t>
      </w:r>
      <w:r w:rsidR="00CA1656" w:rsidRPr="00E75964">
        <w:rPr>
          <w:rFonts w:ascii="Garamond" w:hAnsi="Garamond"/>
          <w:sz w:val="24"/>
          <w:szCs w:val="24"/>
          <w:vertAlign w:val="superscript"/>
        </w:rPr>
        <w:t>th</w:t>
      </w:r>
      <w:r w:rsidR="00CA1656" w:rsidRPr="00E75964">
        <w:rPr>
          <w:rFonts w:ascii="Garamond" w:hAnsi="Garamond"/>
          <w:sz w:val="24"/>
          <w:szCs w:val="24"/>
        </w:rPr>
        <w:t xml:space="preserve"> 201</w:t>
      </w:r>
      <w:r w:rsidR="00BF5ECC" w:rsidRPr="00E75964">
        <w:rPr>
          <w:rFonts w:ascii="Garamond" w:hAnsi="Garamond"/>
          <w:sz w:val="24"/>
          <w:szCs w:val="24"/>
        </w:rPr>
        <w:t>9</w:t>
      </w:r>
      <w:r w:rsidR="00CA1656" w:rsidRPr="00E75964">
        <w:rPr>
          <w:rFonts w:ascii="Garamond" w:hAnsi="Garamond"/>
          <w:sz w:val="24"/>
          <w:szCs w:val="24"/>
        </w:rPr>
        <w:t xml:space="preserve"> </w:t>
      </w:r>
      <w:r w:rsidRPr="00E75964">
        <w:rPr>
          <w:rFonts w:ascii="Garamond" w:hAnsi="Garamond"/>
          <w:sz w:val="24"/>
          <w:szCs w:val="24"/>
        </w:rPr>
        <w:t xml:space="preserve">to test the weekend effect and investors’ </w:t>
      </w:r>
      <w:r w:rsidR="00EC0E91" w:rsidRPr="00E75964">
        <w:rPr>
          <w:rFonts w:ascii="Garamond" w:hAnsi="Garamond"/>
          <w:sz w:val="24"/>
          <w:szCs w:val="24"/>
        </w:rPr>
        <w:t>behaviour</w:t>
      </w:r>
      <w:r w:rsidRPr="00E75964">
        <w:rPr>
          <w:rFonts w:ascii="Garamond" w:hAnsi="Garamond"/>
          <w:sz w:val="24"/>
          <w:szCs w:val="24"/>
        </w:rPr>
        <w:t xml:space="preserve"> on both returns and volatility. We calculate the returns series as the first difference in logarithms of the daily stock index.</w:t>
      </w:r>
      <w:r w:rsidR="00CD17A1" w:rsidRPr="00E75964">
        <w:rPr>
          <w:rFonts w:ascii="Garamond" w:hAnsi="Garamond"/>
          <w:sz w:val="24"/>
          <w:szCs w:val="24"/>
        </w:rPr>
        <w:t xml:space="preserve"> </w:t>
      </w:r>
    </w:p>
    <w:p w14:paraId="1780B11D" w14:textId="4B86A6DD" w:rsidR="00CE65B6" w:rsidRPr="00E75964" w:rsidRDefault="00027B6C" w:rsidP="00CD604B">
      <w:pPr>
        <w:spacing w:line="360" w:lineRule="auto"/>
        <w:jc w:val="both"/>
        <w:rPr>
          <w:rFonts w:ascii="Garamond" w:hAnsi="Garamond"/>
          <w:sz w:val="24"/>
          <w:szCs w:val="24"/>
        </w:rPr>
      </w:pPr>
      <w:r w:rsidRPr="00E75964">
        <w:rPr>
          <w:rFonts w:ascii="Garamond" w:hAnsi="Garamond"/>
          <w:sz w:val="24"/>
          <w:szCs w:val="24"/>
        </w:rPr>
        <w:t xml:space="preserve">Figure </w:t>
      </w:r>
      <w:r w:rsidR="00CE65B6" w:rsidRPr="00E75964">
        <w:rPr>
          <w:rFonts w:ascii="Garamond" w:hAnsi="Garamond"/>
          <w:sz w:val="24"/>
          <w:szCs w:val="24"/>
        </w:rPr>
        <w:t>1 summarizes the daily trend of information disclosure from various sources for the period January 200</w:t>
      </w:r>
      <w:r w:rsidR="00B76497" w:rsidRPr="00E75964">
        <w:rPr>
          <w:rFonts w:ascii="Garamond" w:hAnsi="Garamond"/>
          <w:sz w:val="24"/>
          <w:szCs w:val="24"/>
        </w:rPr>
        <w:t>2</w:t>
      </w:r>
      <w:r w:rsidR="00CE65B6" w:rsidRPr="00E75964">
        <w:rPr>
          <w:rFonts w:ascii="Garamond" w:hAnsi="Garamond"/>
          <w:sz w:val="24"/>
          <w:szCs w:val="24"/>
        </w:rPr>
        <w:t xml:space="preserve"> to </w:t>
      </w:r>
      <w:r w:rsidR="00934ADA" w:rsidRPr="00E75964">
        <w:rPr>
          <w:rFonts w:ascii="Garamond" w:hAnsi="Garamond"/>
          <w:sz w:val="24"/>
          <w:szCs w:val="24"/>
        </w:rPr>
        <w:t>June</w:t>
      </w:r>
      <w:r w:rsidR="00C75907" w:rsidRPr="00E75964">
        <w:rPr>
          <w:rFonts w:ascii="Garamond" w:hAnsi="Garamond"/>
          <w:sz w:val="24"/>
          <w:szCs w:val="24"/>
        </w:rPr>
        <w:t xml:space="preserve"> 201</w:t>
      </w:r>
      <w:r w:rsidR="00B76497" w:rsidRPr="00E75964">
        <w:rPr>
          <w:rFonts w:ascii="Garamond" w:hAnsi="Garamond"/>
          <w:sz w:val="24"/>
          <w:szCs w:val="24"/>
        </w:rPr>
        <w:t>9</w:t>
      </w:r>
      <w:r w:rsidR="00C75907" w:rsidRPr="00E75964">
        <w:rPr>
          <w:rFonts w:ascii="Garamond" w:hAnsi="Garamond"/>
          <w:sz w:val="24"/>
          <w:szCs w:val="24"/>
        </w:rPr>
        <w:t xml:space="preserve">.  We have identified </w:t>
      </w:r>
      <w:r w:rsidR="00CE65B6" w:rsidRPr="00E75964">
        <w:rPr>
          <w:rFonts w:ascii="Garamond" w:hAnsi="Garamond"/>
          <w:sz w:val="24"/>
          <w:szCs w:val="24"/>
        </w:rPr>
        <w:t xml:space="preserve">around one hundred information sources and categorized them into four major groups, namely the Security Exchange Commission, Government, Media and Newspapers, and announcements by firms. </w:t>
      </w:r>
      <w:r w:rsidR="00727693" w:rsidRPr="00E75964">
        <w:rPr>
          <w:rFonts w:ascii="Garamond" w:hAnsi="Garamond"/>
          <w:sz w:val="24"/>
          <w:szCs w:val="24"/>
        </w:rPr>
        <w:t>Using this Figure 1, w</w:t>
      </w:r>
      <w:r w:rsidR="00CE65B6" w:rsidRPr="00E75964">
        <w:rPr>
          <w:rFonts w:ascii="Garamond" w:hAnsi="Garamond"/>
          <w:sz w:val="24"/>
          <w:szCs w:val="24"/>
        </w:rPr>
        <w:t xml:space="preserve">e want to see the general trend of news and information release in Bangladesh that helps individual </w:t>
      </w:r>
      <w:proofErr w:type="gramStart"/>
      <w:r w:rsidR="00CE65B6" w:rsidRPr="00E75964">
        <w:rPr>
          <w:rFonts w:ascii="Garamond" w:hAnsi="Garamond"/>
          <w:sz w:val="24"/>
          <w:szCs w:val="24"/>
        </w:rPr>
        <w:t>investors</w:t>
      </w:r>
      <w:proofErr w:type="gramEnd"/>
      <w:r w:rsidR="00CE65B6" w:rsidRPr="00E75964">
        <w:rPr>
          <w:rFonts w:ascii="Garamond" w:hAnsi="Garamond"/>
          <w:sz w:val="24"/>
          <w:szCs w:val="24"/>
        </w:rPr>
        <w:t xml:space="preserve"> process news over the weekend and trade actively on Sunday with maximum information advantage. These news and information sources relate to earnings and dividend announcements, the national budget, changes in trading laws, market and company enquiry reports, margin loan rules, market and company level reports and analysis, announcements of the cash reserve ratio, bank rate, deposit rate, capital gain </w:t>
      </w:r>
      <w:r w:rsidR="00111741" w:rsidRPr="00E75964">
        <w:rPr>
          <w:rFonts w:ascii="Garamond" w:hAnsi="Garamond"/>
          <w:sz w:val="24"/>
          <w:szCs w:val="24"/>
        </w:rPr>
        <w:t>tax</w:t>
      </w:r>
      <w:r w:rsidR="00CE65B6" w:rsidRPr="00E75964">
        <w:rPr>
          <w:rFonts w:ascii="Garamond" w:hAnsi="Garamond"/>
          <w:sz w:val="24"/>
          <w:szCs w:val="24"/>
        </w:rPr>
        <w:t xml:space="preserve"> and personal tax.</w:t>
      </w:r>
    </w:p>
    <w:p w14:paraId="07BC40E2" w14:textId="77777777" w:rsidR="00E30A39" w:rsidRPr="00E75964" w:rsidRDefault="00E30A39" w:rsidP="00CD604B">
      <w:pPr>
        <w:spacing w:line="360" w:lineRule="auto"/>
        <w:jc w:val="both"/>
        <w:rPr>
          <w:rFonts w:ascii="Garamond" w:hAnsi="Garamond"/>
          <w:sz w:val="24"/>
          <w:szCs w:val="24"/>
        </w:rPr>
      </w:pPr>
    </w:p>
    <w:p w14:paraId="1E503DE6" w14:textId="77777777" w:rsidR="004D62C3" w:rsidRDefault="00027B6C" w:rsidP="004D62C3">
      <w:pPr>
        <w:spacing w:after="0" w:line="360" w:lineRule="auto"/>
        <w:rPr>
          <w:rFonts w:ascii="Garamond" w:hAnsi="Garamond"/>
          <w:b/>
          <w:sz w:val="24"/>
          <w:szCs w:val="24"/>
        </w:rPr>
      </w:pPr>
      <w:r w:rsidRPr="00E75964">
        <w:rPr>
          <w:rFonts w:ascii="Garamond" w:hAnsi="Garamond"/>
          <w:b/>
          <w:sz w:val="24"/>
          <w:szCs w:val="24"/>
        </w:rPr>
        <w:t xml:space="preserve">Figure </w:t>
      </w:r>
      <w:r w:rsidR="00CE65B6" w:rsidRPr="00E75964">
        <w:rPr>
          <w:rFonts w:ascii="Garamond" w:hAnsi="Garamond"/>
          <w:b/>
          <w:sz w:val="24"/>
          <w:szCs w:val="24"/>
        </w:rPr>
        <w:t>1</w:t>
      </w:r>
    </w:p>
    <w:p w14:paraId="3F1769B8" w14:textId="23CC0826" w:rsidR="00CE65B6" w:rsidRPr="004D62C3" w:rsidRDefault="00CE65B6" w:rsidP="004D62C3">
      <w:pPr>
        <w:spacing w:after="0" w:line="360" w:lineRule="auto"/>
        <w:rPr>
          <w:rFonts w:ascii="Garamond" w:hAnsi="Garamond"/>
          <w:sz w:val="24"/>
          <w:szCs w:val="24"/>
        </w:rPr>
      </w:pPr>
      <w:r w:rsidRPr="004D62C3">
        <w:rPr>
          <w:rFonts w:ascii="Garamond" w:hAnsi="Garamond"/>
          <w:sz w:val="24"/>
          <w:szCs w:val="24"/>
        </w:rPr>
        <w:t xml:space="preserve">Timings of </w:t>
      </w:r>
      <w:r w:rsidR="00B95820">
        <w:rPr>
          <w:rFonts w:ascii="Garamond" w:hAnsi="Garamond"/>
          <w:sz w:val="24"/>
          <w:szCs w:val="24"/>
        </w:rPr>
        <w:t>e</w:t>
      </w:r>
      <w:r w:rsidRPr="004D62C3">
        <w:rPr>
          <w:rFonts w:ascii="Garamond" w:hAnsi="Garamond"/>
          <w:sz w:val="24"/>
          <w:szCs w:val="24"/>
        </w:rPr>
        <w:t xml:space="preserve">conomic and </w:t>
      </w:r>
      <w:r w:rsidR="00B95820">
        <w:rPr>
          <w:rFonts w:ascii="Garamond" w:hAnsi="Garamond"/>
          <w:sz w:val="24"/>
          <w:szCs w:val="24"/>
        </w:rPr>
        <w:t>f</w:t>
      </w:r>
      <w:r w:rsidRPr="004D62C3">
        <w:rPr>
          <w:rFonts w:ascii="Garamond" w:hAnsi="Garamond"/>
          <w:sz w:val="24"/>
          <w:szCs w:val="24"/>
        </w:rPr>
        <w:t>inanc</w:t>
      </w:r>
      <w:r w:rsidR="00EF3BFE" w:rsidRPr="004D62C3">
        <w:rPr>
          <w:rFonts w:ascii="Garamond" w:hAnsi="Garamond"/>
          <w:sz w:val="24"/>
          <w:szCs w:val="24"/>
        </w:rPr>
        <w:t xml:space="preserve">ial </w:t>
      </w:r>
      <w:r w:rsidR="00B95820">
        <w:rPr>
          <w:rFonts w:ascii="Garamond" w:hAnsi="Garamond"/>
          <w:sz w:val="24"/>
          <w:szCs w:val="24"/>
        </w:rPr>
        <w:t>a</w:t>
      </w:r>
      <w:r w:rsidR="00EF3BFE" w:rsidRPr="004D62C3">
        <w:rPr>
          <w:rFonts w:ascii="Garamond" w:hAnsi="Garamond"/>
          <w:sz w:val="24"/>
          <w:szCs w:val="24"/>
        </w:rPr>
        <w:t>nnouncements in Bangladesh</w:t>
      </w:r>
      <w:r w:rsidR="00B95820">
        <w:rPr>
          <w:rFonts w:ascii="Garamond" w:hAnsi="Garamond"/>
          <w:sz w:val="24"/>
          <w:szCs w:val="24"/>
        </w:rPr>
        <w:t>.</w:t>
      </w:r>
    </w:p>
    <w:p w14:paraId="22E297E8" w14:textId="77777777" w:rsidR="00027B6C" w:rsidRPr="00E75964" w:rsidRDefault="00027B6C" w:rsidP="00027B6C">
      <w:pPr>
        <w:spacing w:line="240" w:lineRule="auto"/>
        <w:contextualSpacing/>
        <w:jc w:val="center"/>
        <w:rPr>
          <w:rFonts w:ascii="Garamond" w:hAnsi="Garamond"/>
          <w:sz w:val="24"/>
          <w:szCs w:val="24"/>
        </w:rPr>
      </w:pPr>
      <w:r w:rsidRPr="00E75964">
        <w:rPr>
          <w:noProof/>
        </w:rPr>
        <w:drawing>
          <wp:inline distT="0" distB="0" distL="0" distR="0" wp14:anchorId="2B0AE319" wp14:editId="6C0867DC">
            <wp:extent cx="4953000" cy="2943225"/>
            <wp:effectExtent l="0" t="0" r="0" b="9525"/>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2731E91-A4EB-4046-A579-C11E1D0D20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39255A" w14:textId="77777777" w:rsidR="00027B6C" w:rsidRPr="00E75964" w:rsidRDefault="00027B6C" w:rsidP="00754F60">
      <w:pPr>
        <w:spacing w:line="240" w:lineRule="auto"/>
        <w:contextualSpacing/>
        <w:jc w:val="both"/>
        <w:rPr>
          <w:rFonts w:ascii="Garamond" w:hAnsi="Garamond"/>
          <w:sz w:val="24"/>
          <w:szCs w:val="24"/>
        </w:rPr>
      </w:pPr>
    </w:p>
    <w:p w14:paraId="229F23C9" w14:textId="63F211BC" w:rsidR="00F42050" w:rsidRPr="00005BC5" w:rsidRDefault="00F42050" w:rsidP="00754F60">
      <w:pPr>
        <w:spacing w:line="240" w:lineRule="auto"/>
        <w:contextualSpacing/>
        <w:jc w:val="both"/>
        <w:rPr>
          <w:rFonts w:ascii="Garamond" w:hAnsi="Garamond"/>
          <w:szCs w:val="24"/>
        </w:rPr>
      </w:pPr>
      <w:r w:rsidRPr="00005BC5">
        <w:rPr>
          <w:rFonts w:ascii="Garamond" w:hAnsi="Garamond"/>
          <w:szCs w:val="24"/>
        </w:rPr>
        <w:t xml:space="preserve">Note: In this </w:t>
      </w:r>
      <w:r w:rsidR="005A5FAE" w:rsidRPr="00005BC5">
        <w:rPr>
          <w:rFonts w:ascii="Garamond" w:hAnsi="Garamond"/>
          <w:szCs w:val="24"/>
        </w:rPr>
        <w:t>stacked bar graph, each bar colour represents the percentage of information disclosure from each source per day.</w:t>
      </w:r>
    </w:p>
    <w:p w14:paraId="1E61DE97" w14:textId="0451103B" w:rsidR="00CE65B6" w:rsidRPr="00005BC5" w:rsidRDefault="00CE65B6" w:rsidP="00754F60">
      <w:pPr>
        <w:spacing w:line="240" w:lineRule="auto"/>
        <w:contextualSpacing/>
        <w:jc w:val="both"/>
        <w:rPr>
          <w:rFonts w:ascii="Garamond" w:hAnsi="Garamond"/>
          <w:szCs w:val="24"/>
        </w:rPr>
      </w:pPr>
      <w:r w:rsidRPr="00005BC5">
        <w:rPr>
          <w:rFonts w:ascii="Garamond" w:hAnsi="Garamond"/>
          <w:szCs w:val="24"/>
        </w:rPr>
        <w:t xml:space="preserve">Sources: </w:t>
      </w:r>
      <w:r w:rsidR="00397432" w:rsidRPr="00005BC5">
        <w:rPr>
          <w:rFonts w:ascii="Garamond" w:hAnsi="Garamond"/>
          <w:szCs w:val="24"/>
        </w:rPr>
        <w:t>Author’s calculation b</w:t>
      </w:r>
      <w:r w:rsidRPr="00005BC5">
        <w:rPr>
          <w:rFonts w:ascii="Garamond" w:hAnsi="Garamond"/>
          <w:szCs w:val="24"/>
        </w:rPr>
        <w:t>ased on information collected from Bangladesh Bank</w:t>
      </w:r>
      <w:r w:rsidR="00B66478" w:rsidRPr="00005BC5">
        <w:rPr>
          <w:rFonts w:ascii="Garamond" w:hAnsi="Garamond"/>
          <w:szCs w:val="24"/>
        </w:rPr>
        <w:t xml:space="preserve"> (BB)</w:t>
      </w:r>
      <w:r w:rsidRPr="00005BC5">
        <w:rPr>
          <w:rFonts w:ascii="Garamond" w:hAnsi="Garamond"/>
          <w:szCs w:val="24"/>
        </w:rPr>
        <w:t xml:space="preserve">, the National Board of Revenue, </w:t>
      </w:r>
      <w:proofErr w:type="gramStart"/>
      <w:r w:rsidRPr="00005BC5">
        <w:rPr>
          <w:rFonts w:ascii="Garamond" w:hAnsi="Garamond"/>
          <w:szCs w:val="24"/>
        </w:rPr>
        <w:t>the</w:t>
      </w:r>
      <w:proofErr w:type="gramEnd"/>
      <w:r w:rsidRPr="00005BC5">
        <w:rPr>
          <w:rFonts w:ascii="Garamond" w:hAnsi="Garamond"/>
          <w:szCs w:val="24"/>
        </w:rPr>
        <w:t xml:space="preserve"> Security Exchange Commission</w:t>
      </w:r>
      <w:r w:rsidR="00B66478" w:rsidRPr="00005BC5">
        <w:rPr>
          <w:rFonts w:ascii="Garamond" w:hAnsi="Garamond"/>
          <w:szCs w:val="24"/>
        </w:rPr>
        <w:t xml:space="preserve"> (SEC)</w:t>
      </w:r>
      <w:r w:rsidRPr="00005BC5">
        <w:rPr>
          <w:rFonts w:ascii="Garamond" w:hAnsi="Garamond"/>
          <w:szCs w:val="24"/>
        </w:rPr>
        <w:t>, the Dhaka Stock Exchange</w:t>
      </w:r>
      <w:r w:rsidR="00B66478" w:rsidRPr="00005BC5">
        <w:rPr>
          <w:rFonts w:ascii="Garamond" w:hAnsi="Garamond"/>
          <w:szCs w:val="24"/>
        </w:rPr>
        <w:t xml:space="preserve"> (DSE)</w:t>
      </w:r>
      <w:r w:rsidRPr="00005BC5">
        <w:rPr>
          <w:rFonts w:ascii="Garamond" w:hAnsi="Garamond"/>
          <w:szCs w:val="24"/>
        </w:rPr>
        <w:t>, The Daily Star, The Financial Express, television channels and annual reports.</w:t>
      </w:r>
      <w:r w:rsidR="00984FBE" w:rsidRPr="00005BC5">
        <w:rPr>
          <w:rFonts w:ascii="Garamond" w:hAnsi="Garamond"/>
          <w:szCs w:val="24"/>
        </w:rPr>
        <w:t xml:space="preserve"> All data are in percentage form.</w:t>
      </w:r>
      <w:r w:rsidR="004C64ED" w:rsidRPr="00005BC5">
        <w:rPr>
          <w:rFonts w:ascii="Garamond" w:hAnsi="Garamond"/>
          <w:szCs w:val="24"/>
        </w:rPr>
        <w:t xml:space="preserve"> </w:t>
      </w:r>
    </w:p>
    <w:p w14:paraId="2BA4F803" w14:textId="77777777" w:rsidR="00754F60" w:rsidRPr="00E75964" w:rsidRDefault="00754F60" w:rsidP="00754F60">
      <w:pPr>
        <w:spacing w:line="240" w:lineRule="auto"/>
        <w:contextualSpacing/>
        <w:jc w:val="both"/>
        <w:rPr>
          <w:rFonts w:ascii="Garamond" w:hAnsi="Garamond"/>
          <w:sz w:val="24"/>
          <w:szCs w:val="24"/>
        </w:rPr>
      </w:pPr>
    </w:p>
    <w:p w14:paraId="72CB448F" w14:textId="2EF334C8"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It is evident from </w:t>
      </w:r>
      <w:r w:rsidR="00027B6C" w:rsidRPr="00E75964">
        <w:rPr>
          <w:rFonts w:ascii="Garamond" w:hAnsi="Garamond"/>
          <w:sz w:val="24"/>
          <w:szCs w:val="24"/>
        </w:rPr>
        <w:t>Figure</w:t>
      </w:r>
      <w:r w:rsidRPr="00E75964">
        <w:rPr>
          <w:rFonts w:ascii="Garamond" w:hAnsi="Garamond"/>
          <w:sz w:val="24"/>
          <w:szCs w:val="24"/>
        </w:rPr>
        <w:t xml:space="preserve"> 1 that authorities release their information </w:t>
      </w:r>
      <w:r w:rsidR="00111741" w:rsidRPr="00E75964">
        <w:rPr>
          <w:rFonts w:ascii="Garamond" w:hAnsi="Garamond"/>
          <w:sz w:val="24"/>
          <w:szCs w:val="24"/>
        </w:rPr>
        <w:t xml:space="preserve">towards the end of the week and particularly </w:t>
      </w:r>
      <w:r w:rsidRPr="00E75964">
        <w:rPr>
          <w:rFonts w:ascii="Garamond" w:hAnsi="Garamond"/>
          <w:sz w:val="24"/>
          <w:szCs w:val="24"/>
        </w:rPr>
        <w:t>on Thursday</w:t>
      </w:r>
      <w:r w:rsidR="00F44DDA" w:rsidRPr="00E75964">
        <w:rPr>
          <w:rFonts w:ascii="Garamond" w:hAnsi="Garamond"/>
          <w:sz w:val="24"/>
          <w:szCs w:val="24"/>
        </w:rPr>
        <w:t xml:space="preserve"> with a </w:t>
      </w:r>
      <w:r w:rsidR="00111741" w:rsidRPr="00E75964">
        <w:rPr>
          <w:rFonts w:ascii="Garamond" w:hAnsi="Garamond"/>
          <w:sz w:val="24"/>
          <w:szCs w:val="24"/>
        </w:rPr>
        <w:t>few releases over the weekend</w:t>
      </w:r>
      <w:r w:rsidR="00027B6C" w:rsidRPr="00E75964">
        <w:rPr>
          <w:rFonts w:ascii="Garamond" w:hAnsi="Garamond"/>
          <w:sz w:val="24"/>
          <w:szCs w:val="24"/>
        </w:rPr>
        <w:t xml:space="preserve"> (Friday and Saturday)</w:t>
      </w:r>
      <w:r w:rsidRPr="00E75964">
        <w:rPr>
          <w:rFonts w:ascii="Garamond" w:hAnsi="Garamond"/>
          <w:sz w:val="24"/>
          <w:szCs w:val="24"/>
        </w:rPr>
        <w:t xml:space="preserve">, </w:t>
      </w:r>
      <w:r w:rsidR="00F44DDA" w:rsidRPr="00E75964">
        <w:rPr>
          <w:rFonts w:ascii="Garamond" w:hAnsi="Garamond"/>
          <w:sz w:val="24"/>
          <w:szCs w:val="24"/>
        </w:rPr>
        <w:t xml:space="preserve">although </w:t>
      </w:r>
      <w:r w:rsidRPr="00E75964">
        <w:rPr>
          <w:rFonts w:ascii="Garamond" w:hAnsi="Garamond"/>
          <w:sz w:val="24"/>
          <w:szCs w:val="24"/>
        </w:rPr>
        <w:t>investors cannot trade until Sunday.</w:t>
      </w:r>
      <w:r w:rsidR="00AF341D" w:rsidRPr="00E75964">
        <w:rPr>
          <w:rFonts w:ascii="Garamond" w:hAnsi="Garamond"/>
          <w:sz w:val="24"/>
          <w:szCs w:val="24"/>
        </w:rPr>
        <w:t xml:space="preserve"> For example, around forty per cent of firm level, governmental and central bank information come</w:t>
      </w:r>
      <w:r w:rsidR="004D2A86">
        <w:rPr>
          <w:rFonts w:ascii="Garamond" w:hAnsi="Garamond"/>
          <w:sz w:val="24"/>
          <w:szCs w:val="24"/>
        </w:rPr>
        <w:t>s</w:t>
      </w:r>
      <w:r w:rsidR="00AF341D" w:rsidRPr="00E75964">
        <w:rPr>
          <w:rFonts w:ascii="Garamond" w:hAnsi="Garamond"/>
          <w:sz w:val="24"/>
          <w:szCs w:val="24"/>
        </w:rPr>
        <w:t xml:space="preserve"> into </w:t>
      </w:r>
      <w:r w:rsidR="004D2A86">
        <w:rPr>
          <w:rFonts w:ascii="Garamond" w:hAnsi="Garamond"/>
          <w:sz w:val="24"/>
          <w:szCs w:val="24"/>
        </w:rPr>
        <w:t xml:space="preserve">the </w:t>
      </w:r>
      <w:r w:rsidR="00AF341D" w:rsidRPr="00E75964">
        <w:rPr>
          <w:rFonts w:ascii="Garamond" w:hAnsi="Garamond"/>
          <w:sz w:val="24"/>
          <w:szCs w:val="24"/>
        </w:rPr>
        <w:t>market on Thursday. Similarly, around thirty-four per cent of SEC and DSE related news are disclosed on Thursday. The media and newspaper</w:t>
      </w:r>
      <w:r w:rsidR="004D2A86">
        <w:rPr>
          <w:rFonts w:ascii="Garamond" w:hAnsi="Garamond"/>
          <w:sz w:val="24"/>
          <w:szCs w:val="24"/>
        </w:rPr>
        <w:t>s</w:t>
      </w:r>
      <w:r w:rsidR="00AF341D" w:rsidRPr="00E75964">
        <w:rPr>
          <w:rFonts w:ascii="Garamond" w:hAnsi="Garamond"/>
          <w:sz w:val="24"/>
          <w:szCs w:val="24"/>
        </w:rPr>
        <w:t xml:space="preserve">, however, publish market related articles and reports mostly on Friday (30%) and Saturday (19%). </w:t>
      </w:r>
      <w:r w:rsidRPr="00E75964">
        <w:rPr>
          <w:rFonts w:ascii="Garamond" w:hAnsi="Garamond"/>
          <w:sz w:val="24"/>
          <w:szCs w:val="24"/>
        </w:rPr>
        <w:t>We therefore conjecture that on Sunday individual investors should be more active and create a pattern of returns and volatility that differs from other weekdays.</w:t>
      </w:r>
    </w:p>
    <w:p w14:paraId="7B120800" w14:textId="0C098E1D"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Based on the data available from Central Depository Bangladesh Limited (CDBL), Table </w:t>
      </w:r>
      <w:r w:rsidR="00027B6C" w:rsidRPr="00E75964">
        <w:rPr>
          <w:rFonts w:ascii="Garamond" w:hAnsi="Garamond"/>
          <w:sz w:val="24"/>
          <w:szCs w:val="24"/>
        </w:rPr>
        <w:t>1</w:t>
      </w:r>
      <w:r w:rsidRPr="00E75964">
        <w:rPr>
          <w:rFonts w:ascii="Garamond" w:hAnsi="Garamond"/>
          <w:sz w:val="24"/>
          <w:szCs w:val="24"/>
        </w:rPr>
        <w:t xml:space="preserve"> gives us an idea of the number of domestic institutional and individual investors active </w:t>
      </w:r>
      <w:r w:rsidR="004D2A86">
        <w:rPr>
          <w:rFonts w:ascii="Garamond" w:hAnsi="Garamond"/>
          <w:sz w:val="24"/>
          <w:szCs w:val="24"/>
        </w:rPr>
        <w:t>o</w:t>
      </w:r>
      <w:r w:rsidRPr="00E75964">
        <w:rPr>
          <w:rFonts w:ascii="Garamond" w:hAnsi="Garamond"/>
          <w:sz w:val="24"/>
          <w:szCs w:val="24"/>
        </w:rPr>
        <w:t>n the Dhaka Stock Exchange from 2007 t</w:t>
      </w:r>
      <w:r w:rsidR="00D13E09" w:rsidRPr="00E75964">
        <w:rPr>
          <w:rFonts w:ascii="Garamond" w:hAnsi="Garamond"/>
          <w:sz w:val="24"/>
          <w:szCs w:val="24"/>
        </w:rPr>
        <w:t>o</w:t>
      </w:r>
      <w:r w:rsidRPr="00E75964">
        <w:rPr>
          <w:rFonts w:ascii="Garamond" w:hAnsi="Garamond"/>
          <w:sz w:val="24"/>
          <w:szCs w:val="24"/>
        </w:rPr>
        <w:t xml:space="preserve"> 201</w:t>
      </w:r>
      <w:r w:rsidR="00C55244" w:rsidRPr="00E75964">
        <w:rPr>
          <w:rFonts w:ascii="Garamond" w:hAnsi="Garamond"/>
          <w:sz w:val="24"/>
          <w:szCs w:val="24"/>
        </w:rPr>
        <w:t>9</w:t>
      </w:r>
      <w:r w:rsidRPr="00E75964">
        <w:rPr>
          <w:rFonts w:ascii="Garamond" w:hAnsi="Garamond"/>
          <w:sz w:val="24"/>
          <w:szCs w:val="24"/>
        </w:rPr>
        <w:t xml:space="preserve">. </w:t>
      </w:r>
    </w:p>
    <w:p w14:paraId="023CA60C" w14:textId="6BBAD5DA" w:rsidR="00EE65A7" w:rsidRPr="00E75964" w:rsidRDefault="00EE65A7" w:rsidP="00CD604B">
      <w:pPr>
        <w:spacing w:line="360" w:lineRule="auto"/>
        <w:jc w:val="both"/>
        <w:rPr>
          <w:rFonts w:ascii="Garamond" w:hAnsi="Garamond"/>
          <w:sz w:val="24"/>
          <w:szCs w:val="24"/>
        </w:rPr>
      </w:pPr>
    </w:p>
    <w:p w14:paraId="79AAEE93" w14:textId="2D8F8134" w:rsidR="00EE65A7" w:rsidRPr="00E75964" w:rsidRDefault="00EE65A7" w:rsidP="00CD604B">
      <w:pPr>
        <w:spacing w:line="360" w:lineRule="auto"/>
        <w:jc w:val="both"/>
        <w:rPr>
          <w:rFonts w:ascii="Garamond" w:hAnsi="Garamond"/>
          <w:sz w:val="24"/>
          <w:szCs w:val="24"/>
        </w:rPr>
      </w:pPr>
    </w:p>
    <w:p w14:paraId="755C6ED8" w14:textId="77777777" w:rsidR="00EE65A7" w:rsidRPr="00E75964" w:rsidRDefault="00EE65A7" w:rsidP="00CD604B">
      <w:pPr>
        <w:spacing w:line="360" w:lineRule="auto"/>
        <w:jc w:val="both"/>
        <w:rPr>
          <w:rFonts w:ascii="Garamond" w:hAnsi="Garamond"/>
          <w:sz w:val="24"/>
          <w:szCs w:val="24"/>
        </w:rPr>
      </w:pPr>
    </w:p>
    <w:p w14:paraId="29D7CC2B" w14:textId="77777777" w:rsidR="004D62C3" w:rsidRDefault="00CE65B6" w:rsidP="004D62C3">
      <w:pPr>
        <w:tabs>
          <w:tab w:val="left" w:pos="2011"/>
          <w:tab w:val="center" w:pos="4535"/>
        </w:tabs>
        <w:spacing w:after="0" w:line="360" w:lineRule="auto"/>
        <w:rPr>
          <w:rFonts w:ascii="Garamond" w:hAnsi="Garamond"/>
          <w:b/>
          <w:sz w:val="24"/>
          <w:szCs w:val="24"/>
        </w:rPr>
      </w:pPr>
      <w:r w:rsidRPr="00E75964">
        <w:rPr>
          <w:rFonts w:ascii="Garamond" w:hAnsi="Garamond"/>
          <w:b/>
          <w:sz w:val="24"/>
          <w:szCs w:val="24"/>
        </w:rPr>
        <w:t xml:space="preserve">Table </w:t>
      </w:r>
      <w:r w:rsidR="00027B6C" w:rsidRPr="00E75964">
        <w:rPr>
          <w:rFonts w:ascii="Garamond" w:hAnsi="Garamond"/>
          <w:b/>
          <w:sz w:val="24"/>
          <w:szCs w:val="24"/>
        </w:rPr>
        <w:t>1</w:t>
      </w:r>
    </w:p>
    <w:p w14:paraId="7DC9D11F" w14:textId="221EF29C" w:rsidR="00CE65B6" w:rsidRPr="004D62C3" w:rsidRDefault="00CE65B6" w:rsidP="004D62C3">
      <w:pPr>
        <w:tabs>
          <w:tab w:val="left" w:pos="2011"/>
          <w:tab w:val="center" w:pos="4535"/>
        </w:tabs>
        <w:spacing w:after="0" w:line="360" w:lineRule="auto"/>
        <w:rPr>
          <w:rFonts w:ascii="Garamond" w:hAnsi="Garamond"/>
          <w:sz w:val="24"/>
          <w:szCs w:val="24"/>
        </w:rPr>
      </w:pPr>
      <w:r w:rsidRPr="004D62C3">
        <w:rPr>
          <w:rFonts w:ascii="Garamond" w:hAnsi="Garamond"/>
          <w:sz w:val="24"/>
          <w:szCs w:val="24"/>
        </w:rPr>
        <w:t xml:space="preserve"> Number of </w:t>
      </w:r>
      <w:r w:rsidR="00B95820">
        <w:rPr>
          <w:rFonts w:ascii="Garamond" w:hAnsi="Garamond"/>
          <w:sz w:val="24"/>
          <w:szCs w:val="24"/>
        </w:rPr>
        <w:t>i</w:t>
      </w:r>
      <w:r w:rsidRPr="004D62C3">
        <w:rPr>
          <w:rFonts w:ascii="Garamond" w:hAnsi="Garamond"/>
          <w:sz w:val="24"/>
          <w:szCs w:val="24"/>
        </w:rPr>
        <w:t>nvestors on the DSE</w:t>
      </w:r>
      <w:r w:rsidR="00B95820">
        <w:rPr>
          <w:rFonts w:ascii="Garamond" w:hAnsi="Garamond"/>
          <w:sz w:val="24"/>
          <w:szCs w:val="24"/>
        </w:rPr>
        <w:t>.</w:t>
      </w:r>
    </w:p>
    <w:tbl>
      <w:tblPr>
        <w:tblW w:w="5000" w:type="pct"/>
        <w:jc w:val="center"/>
        <w:tblLook w:val="04A0" w:firstRow="1" w:lastRow="0" w:firstColumn="1" w:lastColumn="0" w:noHBand="0" w:noVBand="1"/>
      </w:tblPr>
      <w:tblGrid>
        <w:gridCol w:w="1341"/>
        <w:gridCol w:w="1697"/>
        <w:gridCol w:w="2074"/>
        <w:gridCol w:w="1842"/>
        <w:gridCol w:w="2073"/>
      </w:tblGrid>
      <w:tr w:rsidR="00D13E09" w:rsidRPr="00E75964" w14:paraId="113D3C19" w14:textId="77777777" w:rsidTr="008E36FF">
        <w:trPr>
          <w:trHeight w:val="300"/>
          <w:jc w:val="center"/>
        </w:trPr>
        <w:tc>
          <w:tcPr>
            <w:tcW w:w="743" w:type="pct"/>
            <w:tcBorders>
              <w:top w:val="single" w:sz="4" w:space="0" w:color="auto"/>
            </w:tcBorders>
            <w:shd w:val="clear" w:color="auto" w:fill="auto"/>
            <w:noWrap/>
            <w:vAlign w:val="bottom"/>
            <w:hideMark/>
          </w:tcPr>
          <w:p w14:paraId="57065364" w14:textId="6B7554E3" w:rsidR="00C55244" w:rsidRPr="00E75964" w:rsidRDefault="00C55244" w:rsidP="00C55244">
            <w:pPr>
              <w:spacing w:after="0" w:line="240" w:lineRule="auto"/>
              <w:jc w:val="center"/>
              <w:rPr>
                <w:rFonts w:ascii="Garamond" w:eastAsia="Times New Roman" w:hAnsi="Garamond" w:cs="Calibri"/>
                <w:sz w:val="24"/>
                <w:szCs w:val="24"/>
              </w:rPr>
            </w:pPr>
          </w:p>
        </w:tc>
        <w:tc>
          <w:tcPr>
            <w:tcW w:w="4257" w:type="pct"/>
            <w:gridSpan w:val="4"/>
            <w:tcBorders>
              <w:top w:val="single" w:sz="4" w:space="0" w:color="auto"/>
            </w:tcBorders>
            <w:shd w:val="clear" w:color="auto" w:fill="auto"/>
            <w:noWrap/>
            <w:vAlign w:val="bottom"/>
          </w:tcPr>
          <w:p w14:paraId="6879519F" w14:textId="3C9635B7" w:rsidR="00C55244" w:rsidRPr="00E75964" w:rsidRDefault="00C55244" w:rsidP="00C55244">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Number of Accounts in Operations</w:t>
            </w:r>
          </w:p>
        </w:tc>
      </w:tr>
      <w:tr w:rsidR="00D13E09" w:rsidRPr="00E75964" w14:paraId="7B737153" w14:textId="77777777" w:rsidTr="008E36FF">
        <w:trPr>
          <w:trHeight w:val="300"/>
          <w:jc w:val="center"/>
        </w:trPr>
        <w:tc>
          <w:tcPr>
            <w:tcW w:w="743" w:type="pct"/>
            <w:tcBorders>
              <w:bottom w:val="single" w:sz="4" w:space="0" w:color="auto"/>
            </w:tcBorders>
            <w:shd w:val="clear" w:color="auto" w:fill="auto"/>
            <w:noWrap/>
            <w:vAlign w:val="bottom"/>
          </w:tcPr>
          <w:p w14:paraId="7406CDCC" w14:textId="0F466C7F" w:rsidR="00C55244" w:rsidRPr="00E75964" w:rsidRDefault="00C55244" w:rsidP="00C55244">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Year</w:t>
            </w:r>
          </w:p>
        </w:tc>
        <w:tc>
          <w:tcPr>
            <w:tcW w:w="940" w:type="pct"/>
            <w:tcBorders>
              <w:bottom w:val="single" w:sz="4" w:space="0" w:color="auto"/>
            </w:tcBorders>
            <w:shd w:val="clear" w:color="auto" w:fill="auto"/>
            <w:noWrap/>
            <w:vAlign w:val="bottom"/>
          </w:tcPr>
          <w:p w14:paraId="4FFE09C5" w14:textId="77777777"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Individual</w:t>
            </w:r>
          </w:p>
          <w:p w14:paraId="4411F56F" w14:textId="21EA23C7"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Accounts</w:t>
            </w:r>
          </w:p>
        </w:tc>
        <w:tc>
          <w:tcPr>
            <w:tcW w:w="1149" w:type="pct"/>
            <w:tcBorders>
              <w:bottom w:val="single" w:sz="4" w:space="0" w:color="auto"/>
            </w:tcBorders>
            <w:shd w:val="clear" w:color="auto" w:fill="auto"/>
            <w:noWrap/>
            <w:vAlign w:val="bottom"/>
          </w:tcPr>
          <w:p w14:paraId="00017394" w14:textId="328D0D31"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Growth</w:t>
            </w:r>
            <w:r w:rsidR="008E36FF" w:rsidRPr="00E75964">
              <w:rPr>
                <w:rFonts w:ascii="Garamond" w:eastAsia="Times New Roman" w:hAnsi="Garamond" w:cs="Calibri"/>
                <w:sz w:val="24"/>
                <w:szCs w:val="24"/>
              </w:rPr>
              <w:t xml:space="preserve"> Rate</w:t>
            </w:r>
            <w:r w:rsidRPr="00E75964">
              <w:rPr>
                <w:rFonts w:ascii="Garamond" w:eastAsia="Times New Roman" w:hAnsi="Garamond" w:cs="Calibri"/>
                <w:sz w:val="24"/>
                <w:szCs w:val="24"/>
              </w:rPr>
              <w:t xml:space="preserve"> (%)</w:t>
            </w:r>
          </w:p>
        </w:tc>
        <w:tc>
          <w:tcPr>
            <w:tcW w:w="1020" w:type="pct"/>
            <w:tcBorders>
              <w:bottom w:val="single" w:sz="4" w:space="0" w:color="auto"/>
            </w:tcBorders>
            <w:shd w:val="clear" w:color="auto" w:fill="auto"/>
            <w:noWrap/>
            <w:vAlign w:val="bottom"/>
          </w:tcPr>
          <w:p w14:paraId="6537B85B" w14:textId="77777777"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Institutional</w:t>
            </w:r>
          </w:p>
          <w:p w14:paraId="52BB967C" w14:textId="07719938" w:rsidR="00C55244" w:rsidRPr="00E75964" w:rsidRDefault="004D62C3" w:rsidP="008E36FF">
            <w:pPr>
              <w:spacing w:after="0" w:line="240" w:lineRule="auto"/>
              <w:jc w:val="center"/>
              <w:rPr>
                <w:rFonts w:ascii="Garamond" w:eastAsia="Times New Roman" w:hAnsi="Garamond" w:cs="Calibri"/>
                <w:sz w:val="24"/>
                <w:szCs w:val="24"/>
              </w:rPr>
            </w:pPr>
            <w:r>
              <w:rPr>
                <w:rFonts w:ascii="Garamond" w:eastAsia="Times New Roman" w:hAnsi="Garamond" w:cs="Calibri"/>
                <w:sz w:val="24"/>
                <w:szCs w:val="24"/>
              </w:rPr>
              <w:t>Accounts</w:t>
            </w:r>
          </w:p>
        </w:tc>
        <w:tc>
          <w:tcPr>
            <w:tcW w:w="1149" w:type="pct"/>
            <w:tcBorders>
              <w:bottom w:val="single" w:sz="4" w:space="0" w:color="auto"/>
            </w:tcBorders>
            <w:shd w:val="clear" w:color="auto" w:fill="auto"/>
            <w:noWrap/>
            <w:vAlign w:val="bottom"/>
          </w:tcPr>
          <w:p w14:paraId="0188E2DA" w14:textId="220B0E9D"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Growth</w:t>
            </w:r>
            <w:r w:rsidR="008E36FF" w:rsidRPr="00E75964">
              <w:rPr>
                <w:rFonts w:ascii="Garamond" w:eastAsia="Times New Roman" w:hAnsi="Garamond" w:cs="Calibri"/>
                <w:sz w:val="24"/>
                <w:szCs w:val="24"/>
              </w:rPr>
              <w:t xml:space="preserve"> Rate</w:t>
            </w:r>
            <w:r w:rsidRPr="00E75964">
              <w:rPr>
                <w:rFonts w:ascii="Garamond" w:eastAsia="Times New Roman" w:hAnsi="Garamond" w:cs="Calibri"/>
                <w:sz w:val="24"/>
                <w:szCs w:val="24"/>
              </w:rPr>
              <w:t xml:space="preserve"> (%)</w:t>
            </w:r>
          </w:p>
        </w:tc>
      </w:tr>
      <w:tr w:rsidR="00D13E09" w:rsidRPr="00E75964" w14:paraId="73A54666" w14:textId="77777777" w:rsidTr="008E36FF">
        <w:trPr>
          <w:trHeight w:hRule="exact" w:val="315"/>
          <w:jc w:val="center"/>
        </w:trPr>
        <w:tc>
          <w:tcPr>
            <w:tcW w:w="743" w:type="pct"/>
            <w:tcBorders>
              <w:top w:val="single" w:sz="4" w:space="0" w:color="auto"/>
            </w:tcBorders>
            <w:shd w:val="clear" w:color="auto" w:fill="auto"/>
            <w:vAlign w:val="center"/>
            <w:hideMark/>
          </w:tcPr>
          <w:p w14:paraId="75373DCE" w14:textId="77777777" w:rsidR="00C55244" w:rsidRPr="00E75964" w:rsidRDefault="00C55244" w:rsidP="00C55244">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2007</w:t>
            </w:r>
          </w:p>
        </w:tc>
        <w:tc>
          <w:tcPr>
            <w:tcW w:w="940" w:type="pct"/>
            <w:tcBorders>
              <w:top w:val="single" w:sz="4" w:space="0" w:color="auto"/>
            </w:tcBorders>
            <w:shd w:val="clear" w:color="auto" w:fill="auto"/>
            <w:vAlign w:val="center"/>
            <w:hideMark/>
          </w:tcPr>
          <w:p w14:paraId="634B06EA" w14:textId="1D3C6C9D"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848</w:t>
            </w:r>
            <w:r w:rsidR="008E36FF" w:rsidRPr="00E75964">
              <w:rPr>
                <w:rFonts w:ascii="Garamond" w:eastAsia="Times New Roman" w:hAnsi="Garamond" w:cs="Calibri"/>
                <w:sz w:val="24"/>
                <w:szCs w:val="24"/>
              </w:rPr>
              <w:t>,</w:t>
            </w:r>
            <w:r w:rsidRPr="00E75964">
              <w:rPr>
                <w:rFonts w:ascii="Garamond" w:eastAsia="Times New Roman" w:hAnsi="Garamond" w:cs="Calibri"/>
                <w:sz w:val="24"/>
                <w:szCs w:val="24"/>
              </w:rPr>
              <w:t>808</w:t>
            </w:r>
          </w:p>
        </w:tc>
        <w:tc>
          <w:tcPr>
            <w:tcW w:w="1149" w:type="pct"/>
            <w:tcBorders>
              <w:top w:val="single" w:sz="4" w:space="0" w:color="auto"/>
            </w:tcBorders>
            <w:shd w:val="clear" w:color="auto" w:fill="auto"/>
            <w:noWrap/>
            <w:vAlign w:val="bottom"/>
            <w:hideMark/>
          </w:tcPr>
          <w:p w14:paraId="50551B3E" w14:textId="77777777" w:rsidR="00C55244" w:rsidRPr="00E75964" w:rsidRDefault="00C55244" w:rsidP="008E36FF">
            <w:pPr>
              <w:spacing w:after="0" w:line="240" w:lineRule="auto"/>
              <w:jc w:val="center"/>
              <w:rPr>
                <w:rFonts w:ascii="Garamond" w:eastAsia="Times New Roman" w:hAnsi="Garamond" w:cs="Calibri"/>
                <w:sz w:val="24"/>
                <w:szCs w:val="24"/>
              </w:rPr>
            </w:pPr>
          </w:p>
        </w:tc>
        <w:tc>
          <w:tcPr>
            <w:tcW w:w="1020" w:type="pct"/>
            <w:tcBorders>
              <w:top w:val="single" w:sz="4" w:space="0" w:color="auto"/>
            </w:tcBorders>
            <w:shd w:val="clear" w:color="auto" w:fill="auto"/>
            <w:noWrap/>
            <w:vAlign w:val="bottom"/>
            <w:hideMark/>
          </w:tcPr>
          <w:p w14:paraId="6C030A5D" w14:textId="5E98ACBE"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3671</w:t>
            </w:r>
          </w:p>
        </w:tc>
        <w:tc>
          <w:tcPr>
            <w:tcW w:w="1149" w:type="pct"/>
            <w:tcBorders>
              <w:top w:val="single" w:sz="4" w:space="0" w:color="auto"/>
            </w:tcBorders>
            <w:shd w:val="clear" w:color="auto" w:fill="auto"/>
            <w:noWrap/>
            <w:vAlign w:val="bottom"/>
            <w:hideMark/>
          </w:tcPr>
          <w:p w14:paraId="4BB180C1" w14:textId="77777777" w:rsidR="00C55244" w:rsidRPr="00E75964" w:rsidRDefault="00C55244" w:rsidP="008E36FF">
            <w:pPr>
              <w:spacing w:after="0" w:line="240" w:lineRule="auto"/>
              <w:jc w:val="center"/>
              <w:rPr>
                <w:rFonts w:ascii="Garamond" w:eastAsia="Times New Roman" w:hAnsi="Garamond" w:cs="Calibri"/>
                <w:sz w:val="24"/>
                <w:szCs w:val="24"/>
              </w:rPr>
            </w:pPr>
          </w:p>
        </w:tc>
      </w:tr>
      <w:tr w:rsidR="00D13E09" w:rsidRPr="00E75964" w14:paraId="6A0D9E00" w14:textId="77777777" w:rsidTr="008E36FF">
        <w:trPr>
          <w:trHeight w:hRule="exact" w:val="315"/>
          <w:jc w:val="center"/>
        </w:trPr>
        <w:tc>
          <w:tcPr>
            <w:tcW w:w="743" w:type="pct"/>
            <w:shd w:val="clear" w:color="auto" w:fill="auto"/>
            <w:vAlign w:val="center"/>
            <w:hideMark/>
          </w:tcPr>
          <w:p w14:paraId="268AB28A" w14:textId="77777777" w:rsidR="00C55244" w:rsidRPr="00E75964" w:rsidRDefault="00C55244" w:rsidP="00C55244">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2010</w:t>
            </w:r>
          </w:p>
        </w:tc>
        <w:tc>
          <w:tcPr>
            <w:tcW w:w="940" w:type="pct"/>
            <w:shd w:val="clear" w:color="auto" w:fill="auto"/>
            <w:vAlign w:val="center"/>
            <w:hideMark/>
          </w:tcPr>
          <w:p w14:paraId="31F018CC" w14:textId="7B8297BA"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1</w:t>
            </w:r>
            <w:r w:rsidR="008E36FF" w:rsidRPr="00E75964">
              <w:rPr>
                <w:rFonts w:ascii="Garamond" w:eastAsia="Times New Roman" w:hAnsi="Garamond" w:cs="Calibri"/>
                <w:sz w:val="24"/>
                <w:szCs w:val="24"/>
              </w:rPr>
              <w:t>,</w:t>
            </w:r>
            <w:r w:rsidRPr="00E75964">
              <w:rPr>
                <w:rFonts w:ascii="Garamond" w:eastAsia="Times New Roman" w:hAnsi="Garamond" w:cs="Calibri"/>
                <w:sz w:val="24"/>
                <w:szCs w:val="24"/>
              </w:rPr>
              <w:t>581</w:t>
            </w:r>
            <w:r w:rsidR="008E36FF" w:rsidRPr="00E75964">
              <w:rPr>
                <w:rFonts w:ascii="Garamond" w:eastAsia="Times New Roman" w:hAnsi="Garamond" w:cs="Calibri"/>
                <w:sz w:val="24"/>
                <w:szCs w:val="24"/>
              </w:rPr>
              <w:t>,</w:t>
            </w:r>
            <w:r w:rsidRPr="00E75964">
              <w:rPr>
                <w:rFonts w:ascii="Garamond" w:eastAsia="Times New Roman" w:hAnsi="Garamond" w:cs="Calibri"/>
                <w:sz w:val="24"/>
                <w:szCs w:val="24"/>
              </w:rPr>
              <w:t>505</w:t>
            </w:r>
          </w:p>
        </w:tc>
        <w:tc>
          <w:tcPr>
            <w:tcW w:w="1149" w:type="pct"/>
            <w:shd w:val="clear" w:color="auto" w:fill="auto"/>
            <w:noWrap/>
            <w:vAlign w:val="bottom"/>
            <w:hideMark/>
          </w:tcPr>
          <w:p w14:paraId="62F41A95" w14:textId="2E6B4623"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86.32</w:t>
            </w:r>
          </w:p>
        </w:tc>
        <w:tc>
          <w:tcPr>
            <w:tcW w:w="1020" w:type="pct"/>
            <w:shd w:val="clear" w:color="auto" w:fill="auto"/>
            <w:noWrap/>
            <w:vAlign w:val="bottom"/>
            <w:hideMark/>
          </w:tcPr>
          <w:p w14:paraId="49ACA31D" w14:textId="70C3F194"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5941</w:t>
            </w:r>
          </w:p>
        </w:tc>
        <w:tc>
          <w:tcPr>
            <w:tcW w:w="1149" w:type="pct"/>
            <w:shd w:val="clear" w:color="auto" w:fill="auto"/>
            <w:noWrap/>
            <w:vAlign w:val="bottom"/>
            <w:hideMark/>
          </w:tcPr>
          <w:p w14:paraId="7EFA7955" w14:textId="058890B3"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61.84</w:t>
            </w:r>
          </w:p>
        </w:tc>
      </w:tr>
      <w:tr w:rsidR="00D13E09" w:rsidRPr="00E75964" w14:paraId="577095CF" w14:textId="77777777" w:rsidTr="008E36FF">
        <w:trPr>
          <w:trHeight w:hRule="exact" w:val="315"/>
          <w:jc w:val="center"/>
        </w:trPr>
        <w:tc>
          <w:tcPr>
            <w:tcW w:w="743" w:type="pct"/>
            <w:shd w:val="clear" w:color="auto" w:fill="auto"/>
            <w:vAlign w:val="center"/>
            <w:hideMark/>
          </w:tcPr>
          <w:p w14:paraId="27734409" w14:textId="77777777" w:rsidR="00C55244" w:rsidRPr="00E75964" w:rsidRDefault="00C55244" w:rsidP="00C55244">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2013</w:t>
            </w:r>
          </w:p>
        </w:tc>
        <w:tc>
          <w:tcPr>
            <w:tcW w:w="940" w:type="pct"/>
            <w:shd w:val="clear" w:color="auto" w:fill="auto"/>
            <w:vAlign w:val="center"/>
            <w:hideMark/>
          </w:tcPr>
          <w:p w14:paraId="0C05E58A" w14:textId="12723A19"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1</w:t>
            </w:r>
            <w:r w:rsidR="008E36FF" w:rsidRPr="00E75964">
              <w:rPr>
                <w:rFonts w:ascii="Garamond" w:eastAsia="Times New Roman" w:hAnsi="Garamond" w:cs="Calibri"/>
                <w:sz w:val="24"/>
                <w:szCs w:val="24"/>
              </w:rPr>
              <w:t>,</w:t>
            </w:r>
            <w:r w:rsidRPr="00E75964">
              <w:rPr>
                <w:rFonts w:ascii="Garamond" w:eastAsia="Times New Roman" w:hAnsi="Garamond" w:cs="Calibri"/>
                <w:sz w:val="24"/>
                <w:szCs w:val="24"/>
              </w:rPr>
              <w:t>698</w:t>
            </w:r>
            <w:r w:rsidR="008E36FF" w:rsidRPr="00E75964">
              <w:rPr>
                <w:rFonts w:ascii="Garamond" w:eastAsia="Times New Roman" w:hAnsi="Garamond" w:cs="Calibri"/>
                <w:sz w:val="24"/>
                <w:szCs w:val="24"/>
              </w:rPr>
              <w:t>,</w:t>
            </w:r>
            <w:r w:rsidRPr="00E75964">
              <w:rPr>
                <w:rFonts w:ascii="Garamond" w:eastAsia="Times New Roman" w:hAnsi="Garamond" w:cs="Calibri"/>
                <w:sz w:val="24"/>
                <w:szCs w:val="24"/>
              </w:rPr>
              <w:t>117</w:t>
            </w:r>
          </w:p>
        </w:tc>
        <w:tc>
          <w:tcPr>
            <w:tcW w:w="1149" w:type="pct"/>
            <w:shd w:val="clear" w:color="auto" w:fill="auto"/>
            <w:noWrap/>
            <w:vAlign w:val="bottom"/>
            <w:hideMark/>
          </w:tcPr>
          <w:p w14:paraId="5943918F" w14:textId="646E7312"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7.37</w:t>
            </w:r>
          </w:p>
        </w:tc>
        <w:tc>
          <w:tcPr>
            <w:tcW w:w="1020" w:type="pct"/>
            <w:shd w:val="clear" w:color="auto" w:fill="auto"/>
            <w:noWrap/>
            <w:vAlign w:val="bottom"/>
            <w:hideMark/>
          </w:tcPr>
          <w:p w14:paraId="1033FE28" w14:textId="2E72D030"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7196</w:t>
            </w:r>
          </w:p>
        </w:tc>
        <w:tc>
          <w:tcPr>
            <w:tcW w:w="1149" w:type="pct"/>
            <w:shd w:val="clear" w:color="auto" w:fill="auto"/>
            <w:noWrap/>
            <w:vAlign w:val="bottom"/>
            <w:hideMark/>
          </w:tcPr>
          <w:p w14:paraId="35AA0AE4" w14:textId="6323CA70"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21.12</w:t>
            </w:r>
          </w:p>
        </w:tc>
      </w:tr>
      <w:tr w:rsidR="00D13E09" w:rsidRPr="00E75964" w14:paraId="591EC615" w14:textId="77777777" w:rsidTr="008E36FF">
        <w:trPr>
          <w:trHeight w:hRule="exact" w:val="315"/>
          <w:jc w:val="center"/>
        </w:trPr>
        <w:tc>
          <w:tcPr>
            <w:tcW w:w="743" w:type="pct"/>
            <w:shd w:val="clear" w:color="auto" w:fill="auto"/>
            <w:vAlign w:val="center"/>
            <w:hideMark/>
          </w:tcPr>
          <w:p w14:paraId="152FFCE5" w14:textId="77777777" w:rsidR="00C55244" w:rsidRPr="00E75964" w:rsidRDefault="00C55244" w:rsidP="00C55244">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2014</w:t>
            </w:r>
          </w:p>
        </w:tc>
        <w:tc>
          <w:tcPr>
            <w:tcW w:w="940" w:type="pct"/>
            <w:shd w:val="clear" w:color="auto" w:fill="auto"/>
            <w:vAlign w:val="center"/>
            <w:hideMark/>
          </w:tcPr>
          <w:p w14:paraId="6D0596BC" w14:textId="79DC38D9"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1</w:t>
            </w:r>
            <w:r w:rsidR="008E36FF" w:rsidRPr="00E75964">
              <w:rPr>
                <w:rFonts w:ascii="Garamond" w:eastAsia="Times New Roman" w:hAnsi="Garamond" w:cs="Calibri"/>
                <w:sz w:val="24"/>
                <w:szCs w:val="24"/>
              </w:rPr>
              <w:t>,</w:t>
            </w:r>
            <w:r w:rsidRPr="00E75964">
              <w:rPr>
                <w:rFonts w:ascii="Garamond" w:eastAsia="Times New Roman" w:hAnsi="Garamond" w:cs="Calibri"/>
                <w:sz w:val="24"/>
                <w:szCs w:val="24"/>
              </w:rPr>
              <w:t>871</w:t>
            </w:r>
            <w:r w:rsidR="008E36FF" w:rsidRPr="00E75964">
              <w:rPr>
                <w:rFonts w:ascii="Garamond" w:eastAsia="Times New Roman" w:hAnsi="Garamond" w:cs="Calibri"/>
                <w:sz w:val="24"/>
                <w:szCs w:val="24"/>
              </w:rPr>
              <w:t>,</w:t>
            </w:r>
            <w:r w:rsidRPr="00E75964">
              <w:rPr>
                <w:rFonts w:ascii="Garamond" w:eastAsia="Times New Roman" w:hAnsi="Garamond" w:cs="Calibri"/>
                <w:sz w:val="24"/>
                <w:szCs w:val="24"/>
              </w:rPr>
              <w:t>746</w:t>
            </w:r>
          </w:p>
        </w:tc>
        <w:tc>
          <w:tcPr>
            <w:tcW w:w="1149" w:type="pct"/>
            <w:shd w:val="clear" w:color="auto" w:fill="auto"/>
            <w:noWrap/>
            <w:vAlign w:val="bottom"/>
            <w:hideMark/>
          </w:tcPr>
          <w:p w14:paraId="0A749752" w14:textId="7C4168E1"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10.22</w:t>
            </w:r>
          </w:p>
        </w:tc>
        <w:tc>
          <w:tcPr>
            <w:tcW w:w="1020" w:type="pct"/>
            <w:shd w:val="clear" w:color="auto" w:fill="auto"/>
            <w:noWrap/>
            <w:vAlign w:val="bottom"/>
            <w:hideMark/>
          </w:tcPr>
          <w:p w14:paraId="35DDE35B" w14:textId="55AB707E"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8517</w:t>
            </w:r>
          </w:p>
        </w:tc>
        <w:tc>
          <w:tcPr>
            <w:tcW w:w="1149" w:type="pct"/>
            <w:shd w:val="clear" w:color="auto" w:fill="auto"/>
            <w:noWrap/>
            <w:vAlign w:val="bottom"/>
            <w:hideMark/>
          </w:tcPr>
          <w:p w14:paraId="1C67E73D" w14:textId="6F1A195B"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18.36</w:t>
            </w:r>
          </w:p>
        </w:tc>
      </w:tr>
      <w:tr w:rsidR="00D13E09" w:rsidRPr="00E75964" w14:paraId="7E620144" w14:textId="77777777" w:rsidTr="008E36FF">
        <w:trPr>
          <w:trHeight w:hRule="exact" w:val="315"/>
          <w:jc w:val="center"/>
        </w:trPr>
        <w:tc>
          <w:tcPr>
            <w:tcW w:w="743" w:type="pct"/>
            <w:shd w:val="clear" w:color="auto" w:fill="auto"/>
            <w:vAlign w:val="center"/>
            <w:hideMark/>
          </w:tcPr>
          <w:p w14:paraId="0CA1F2F1" w14:textId="77777777" w:rsidR="00C55244" w:rsidRPr="00E75964" w:rsidRDefault="00C55244" w:rsidP="00C55244">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2015</w:t>
            </w:r>
          </w:p>
        </w:tc>
        <w:tc>
          <w:tcPr>
            <w:tcW w:w="940" w:type="pct"/>
            <w:shd w:val="clear" w:color="auto" w:fill="auto"/>
            <w:vAlign w:val="center"/>
            <w:hideMark/>
          </w:tcPr>
          <w:p w14:paraId="3BF1BCD3" w14:textId="4628645E"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1</w:t>
            </w:r>
            <w:r w:rsidR="008E36FF" w:rsidRPr="00E75964">
              <w:rPr>
                <w:rFonts w:ascii="Garamond" w:eastAsia="Times New Roman" w:hAnsi="Garamond" w:cs="Calibri"/>
                <w:sz w:val="24"/>
                <w:szCs w:val="24"/>
              </w:rPr>
              <w:t>,</w:t>
            </w:r>
            <w:r w:rsidRPr="00E75964">
              <w:rPr>
                <w:rFonts w:ascii="Garamond" w:eastAsia="Times New Roman" w:hAnsi="Garamond" w:cs="Calibri"/>
                <w:sz w:val="24"/>
                <w:szCs w:val="24"/>
              </w:rPr>
              <w:t>989</w:t>
            </w:r>
            <w:r w:rsidR="008E36FF" w:rsidRPr="00E75964">
              <w:rPr>
                <w:rFonts w:ascii="Garamond" w:eastAsia="Times New Roman" w:hAnsi="Garamond" w:cs="Calibri"/>
                <w:sz w:val="24"/>
                <w:szCs w:val="24"/>
              </w:rPr>
              <w:t>,</w:t>
            </w:r>
            <w:r w:rsidRPr="00E75964">
              <w:rPr>
                <w:rFonts w:ascii="Garamond" w:eastAsia="Times New Roman" w:hAnsi="Garamond" w:cs="Calibri"/>
                <w:sz w:val="24"/>
                <w:szCs w:val="24"/>
              </w:rPr>
              <w:t>443</w:t>
            </w:r>
          </w:p>
        </w:tc>
        <w:tc>
          <w:tcPr>
            <w:tcW w:w="1149" w:type="pct"/>
            <w:shd w:val="clear" w:color="auto" w:fill="auto"/>
            <w:noWrap/>
            <w:vAlign w:val="bottom"/>
            <w:hideMark/>
          </w:tcPr>
          <w:p w14:paraId="43E5CA1C" w14:textId="74617CCA"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6.29</w:t>
            </w:r>
          </w:p>
        </w:tc>
        <w:tc>
          <w:tcPr>
            <w:tcW w:w="1020" w:type="pct"/>
            <w:shd w:val="clear" w:color="auto" w:fill="auto"/>
            <w:noWrap/>
            <w:vAlign w:val="bottom"/>
            <w:hideMark/>
          </w:tcPr>
          <w:p w14:paraId="61877DBE" w14:textId="10989922"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8743</w:t>
            </w:r>
          </w:p>
        </w:tc>
        <w:tc>
          <w:tcPr>
            <w:tcW w:w="1149" w:type="pct"/>
            <w:shd w:val="clear" w:color="auto" w:fill="auto"/>
            <w:noWrap/>
            <w:vAlign w:val="bottom"/>
            <w:hideMark/>
          </w:tcPr>
          <w:p w14:paraId="25EFDF9B" w14:textId="574B9CC3"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2.65</w:t>
            </w:r>
          </w:p>
        </w:tc>
      </w:tr>
      <w:tr w:rsidR="00D13E09" w:rsidRPr="00E75964" w14:paraId="2E8AAC98" w14:textId="77777777" w:rsidTr="008E36FF">
        <w:trPr>
          <w:trHeight w:hRule="exact" w:val="315"/>
          <w:jc w:val="center"/>
        </w:trPr>
        <w:tc>
          <w:tcPr>
            <w:tcW w:w="743" w:type="pct"/>
            <w:shd w:val="clear" w:color="auto" w:fill="auto"/>
            <w:vAlign w:val="center"/>
            <w:hideMark/>
          </w:tcPr>
          <w:p w14:paraId="10D7843E" w14:textId="77777777" w:rsidR="00C55244" w:rsidRPr="00E75964" w:rsidRDefault="00C55244" w:rsidP="00C55244">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2016</w:t>
            </w:r>
          </w:p>
        </w:tc>
        <w:tc>
          <w:tcPr>
            <w:tcW w:w="940" w:type="pct"/>
            <w:shd w:val="clear" w:color="auto" w:fill="auto"/>
            <w:vAlign w:val="center"/>
            <w:hideMark/>
          </w:tcPr>
          <w:p w14:paraId="36F8FFC9" w14:textId="74E0CB06"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1</w:t>
            </w:r>
            <w:r w:rsidR="008E36FF" w:rsidRPr="00E75964">
              <w:rPr>
                <w:rFonts w:ascii="Garamond" w:eastAsia="Times New Roman" w:hAnsi="Garamond" w:cs="Calibri"/>
                <w:sz w:val="24"/>
                <w:szCs w:val="24"/>
              </w:rPr>
              <w:t>,</w:t>
            </w:r>
            <w:r w:rsidRPr="00E75964">
              <w:rPr>
                <w:rFonts w:ascii="Garamond" w:eastAsia="Times New Roman" w:hAnsi="Garamond" w:cs="Calibri"/>
                <w:sz w:val="24"/>
                <w:szCs w:val="24"/>
              </w:rPr>
              <w:t>938</w:t>
            </w:r>
            <w:r w:rsidR="008E36FF" w:rsidRPr="00E75964">
              <w:rPr>
                <w:rFonts w:ascii="Garamond" w:eastAsia="Times New Roman" w:hAnsi="Garamond" w:cs="Calibri"/>
                <w:sz w:val="24"/>
                <w:szCs w:val="24"/>
              </w:rPr>
              <w:t>,</w:t>
            </w:r>
            <w:r w:rsidRPr="00E75964">
              <w:rPr>
                <w:rFonts w:ascii="Garamond" w:eastAsia="Times New Roman" w:hAnsi="Garamond" w:cs="Calibri"/>
                <w:sz w:val="24"/>
                <w:szCs w:val="24"/>
              </w:rPr>
              <w:t>406</w:t>
            </w:r>
          </w:p>
        </w:tc>
        <w:tc>
          <w:tcPr>
            <w:tcW w:w="1149" w:type="pct"/>
            <w:shd w:val="clear" w:color="auto" w:fill="auto"/>
            <w:noWrap/>
            <w:vAlign w:val="bottom"/>
            <w:hideMark/>
          </w:tcPr>
          <w:p w14:paraId="0979A3E1" w14:textId="5AFD57BA"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-2.57</w:t>
            </w:r>
          </w:p>
        </w:tc>
        <w:tc>
          <w:tcPr>
            <w:tcW w:w="1020" w:type="pct"/>
            <w:shd w:val="clear" w:color="auto" w:fill="auto"/>
            <w:noWrap/>
            <w:vAlign w:val="bottom"/>
            <w:hideMark/>
          </w:tcPr>
          <w:p w14:paraId="1A90AAC2" w14:textId="6D848B6F"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9056</w:t>
            </w:r>
          </w:p>
        </w:tc>
        <w:tc>
          <w:tcPr>
            <w:tcW w:w="1149" w:type="pct"/>
            <w:shd w:val="clear" w:color="auto" w:fill="auto"/>
            <w:noWrap/>
            <w:vAlign w:val="bottom"/>
            <w:hideMark/>
          </w:tcPr>
          <w:p w14:paraId="3AF39AE9" w14:textId="0AC9C37A"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3.58</w:t>
            </w:r>
          </w:p>
        </w:tc>
      </w:tr>
      <w:tr w:rsidR="00D13E09" w:rsidRPr="00E75964" w14:paraId="135C85F8" w14:textId="77777777" w:rsidTr="008E36FF">
        <w:trPr>
          <w:trHeight w:hRule="exact" w:val="315"/>
          <w:jc w:val="center"/>
        </w:trPr>
        <w:tc>
          <w:tcPr>
            <w:tcW w:w="743" w:type="pct"/>
            <w:shd w:val="clear" w:color="auto" w:fill="auto"/>
            <w:vAlign w:val="center"/>
            <w:hideMark/>
          </w:tcPr>
          <w:p w14:paraId="190C15CB" w14:textId="77777777" w:rsidR="00C55244" w:rsidRPr="00E75964" w:rsidRDefault="00C55244" w:rsidP="00C55244">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2017</w:t>
            </w:r>
          </w:p>
        </w:tc>
        <w:tc>
          <w:tcPr>
            <w:tcW w:w="940" w:type="pct"/>
            <w:shd w:val="clear" w:color="auto" w:fill="auto"/>
            <w:vAlign w:val="center"/>
            <w:hideMark/>
          </w:tcPr>
          <w:p w14:paraId="7FACC6A9" w14:textId="2A970138"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1</w:t>
            </w:r>
            <w:r w:rsidR="008E36FF" w:rsidRPr="00E75964">
              <w:rPr>
                <w:rFonts w:ascii="Garamond" w:eastAsia="Times New Roman" w:hAnsi="Garamond" w:cs="Calibri"/>
                <w:sz w:val="24"/>
                <w:szCs w:val="24"/>
              </w:rPr>
              <w:t>,</w:t>
            </w:r>
            <w:r w:rsidRPr="00E75964">
              <w:rPr>
                <w:rFonts w:ascii="Garamond" w:eastAsia="Times New Roman" w:hAnsi="Garamond" w:cs="Calibri"/>
                <w:sz w:val="24"/>
                <w:szCs w:val="24"/>
              </w:rPr>
              <w:t>837</w:t>
            </w:r>
            <w:r w:rsidR="008E36FF" w:rsidRPr="00E75964">
              <w:rPr>
                <w:rFonts w:ascii="Garamond" w:eastAsia="Times New Roman" w:hAnsi="Garamond" w:cs="Calibri"/>
                <w:sz w:val="24"/>
                <w:szCs w:val="24"/>
              </w:rPr>
              <w:t>,</w:t>
            </w:r>
            <w:r w:rsidRPr="00E75964">
              <w:rPr>
                <w:rFonts w:ascii="Garamond" w:eastAsia="Times New Roman" w:hAnsi="Garamond" w:cs="Calibri"/>
                <w:sz w:val="24"/>
                <w:szCs w:val="24"/>
              </w:rPr>
              <w:t>446</w:t>
            </w:r>
          </w:p>
        </w:tc>
        <w:tc>
          <w:tcPr>
            <w:tcW w:w="1149" w:type="pct"/>
            <w:shd w:val="clear" w:color="auto" w:fill="auto"/>
            <w:noWrap/>
            <w:vAlign w:val="bottom"/>
            <w:hideMark/>
          </w:tcPr>
          <w:p w14:paraId="224E5142" w14:textId="441B6EA2"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-5.21</w:t>
            </w:r>
          </w:p>
        </w:tc>
        <w:tc>
          <w:tcPr>
            <w:tcW w:w="1020" w:type="pct"/>
            <w:shd w:val="clear" w:color="auto" w:fill="auto"/>
            <w:noWrap/>
            <w:vAlign w:val="bottom"/>
            <w:hideMark/>
          </w:tcPr>
          <w:p w14:paraId="3190213A" w14:textId="65930161"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10061</w:t>
            </w:r>
          </w:p>
        </w:tc>
        <w:tc>
          <w:tcPr>
            <w:tcW w:w="1149" w:type="pct"/>
            <w:shd w:val="clear" w:color="auto" w:fill="auto"/>
            <w:noWrap/>
            <w:vAlign w:val="bottom"/>
            <w:hideMark/>
          </w:tcPr>
          <w:p w14:paraId="01577628" w14:textId="795CE29A"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11.10</w:t>
            </w:r>
          </w:p>
        </w:tc>
      </w:tr>
      <w:tr w:rsidR="00D13E09" w:rsidRPr="00E75964" w14:paraId="7C236EFC" w14:textId="77777777" w:rsidTr="008E36FF">
        <w:trPr>
          <w:trHeight w:val="315"/>
          <w:jc w:val="center"/>
        </w:trPr>
        <w:tc>
          <w:tcPr>
            <w:tcW w:w="743" w:type="pct"/>
            <w:shd w:val="clear" w:color="auto" w:fill="auto"/>
            <w:vAlign w:val="center"/>
            <w:hideMark/>
          </w:tcPr>
          <w:p w14:paraId="5F8C3FBA" w14:textId="77777777" w:rsidR="00C55244" w:rsidRPr="00E75964" w:rsidRDefault="00C55244" w:rsidP="00C55244">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2018</w:t>
            </w:r>
          </w:p>
        </w:tc>
        <w:tc>
          <w:tcPr>
            <w:tcW w:w="940" w:type="pct"/>
            <w:shd w:val="clear" w:color="auto" w:fill="auto"/>
            <w:vAlign w:val="center"/>
            <w:hideMark/>
          </w:tcPr>
          <w:p w14:paraId="2275B699" w14:textId="44352CC8"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1</w:t>
            </w:r>
            <w:r w:rsidR="008E36FF" w:rsidRPr="00E75964">
              <w:rPr>
                <w:rFonts w:ascii="Garamond" w:eastAsia="Times New Roman" w:hAnsi="Garamond" w:cs="Calibri"/>
                <w:sz w:val="24"/>
                <w:szCs w:val="24"/>
              </w:rPr>
              <w:t>,</w:t>
            </w:r>
            <w:r w:rsidRPr="00E75964">
              <w:rPr>
                <w:rFonts w:ascii="Garamond" w:eastAsia="Times New Roman" w:hAnsi="Garamond" w:cs="Calibri"/>
                <w:sz w:val="24"/>
                <w:szCs w:val="24"/>
              </w:rPr>
              <w:t>747</w:t>
            </w:r>
            <w:r w:rsidR="008E36FF" w:rsidRPr="00E75964">
              <w:rPr>
                <w:rFonts w:ascii="Garamond" w:eastAsia="Times New Roman" w:hAnsi="Garamond" w:cs="Calibri"/>
                <w:sz w:val="24"/>
                <w:szCs w:val="24"/>
              </w:rPr>
              <w:t>,</w:t>
            </w:r>
            <w:r w:rsidRPr="00E75964">
              <w:rPr>
                <w:rFonts w:ascii="Garamond" w:eastAsia="Times New Roman" w:hAnsi="Garamond" w:cs="Calibri"/>
                <w:sz w:val="24"/>
                <w:szCs w:val="24"/>
              </w:rPr>
              <w:t>406</w:t>
            </w:r>
          </w:p>
        </w:tc>
        <w:tc>
          <w:tcPr>
            <w:tcW w:w="1149" w:type="pct"/>
            <w:shd w:val="clear" w:color="auto" w:fill="auto"/>
            <w:noWrap/>
            <w:vAlign w:val="bottom"/>
            <w:hideMark/>
          </w:tcPr>
          <w:p w14:paraId="18EADCA8" w14:textId="6B70248D"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-4.90</w:t>
            </w:r>
          </w:p>
        </w:tc>
        <w:tc>
          <w:tcPr>
            <w:tcW w:w="1020" w:type="pct"/>
            <w:shd w:val="clear" w:color="auto" w:fill="auto"/>
            <w:noWrap/>
            <w:vAlign w:val="bottom"/>
            <w:hideMark/>
          </w:tcPr>
          <w:p w14:paraId="051FE10B" w14:textId="0F950622"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10485</w:t>
            </w:r>
          </w:p>
        </w:tc>
        <w:tc>
          <w:tcPr>
            <w:tcW w:w="1149" w:type="pct"/>
            <w:shd w:val="clear" w:color="auto" w:fill="auto"/>
            <w:noWrap/>
            <w:vAlign w:val="bottom"/>
            <w:hideMark/>
          </w:tcPr>
          <w:p w14:paraId="33090577" w14:textId="7B6E327D"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4.21</w:t>
            </w:r>
          </w:p>
        </w:tc>
      </w:tr>
      <w:tr w:rsidR="00D13E09" w:rsidRPr="00E75964" w14:paraId="76CBC58B" w14:textId="77777777" w:rsidTr="008E36FF">
        <w:trPr>
          <w:trHeight w:val="315"/>
          <w:jc w:val="center"/>
        </w:trPr>
        <w:tc>
          <w:tcPr>
            <w:tcW w:w="743" w:type="pct"/>
            <w:tcBorders>
              <w:bottom w:val="single" w:sz="4" w:space="0" w:color="auto"/>
            </w:tcBorders>
            <w:shd w:val="clear" w:color="auto" w:fill="auto"/>
            <w:vAlign w:val="center"/>
            <w:hideMark/>
          </w:tcPr>
          <w:p w14:paraId="7665A1B2" w14:textId="77777777" w:rsidR="00C55244" w:rsidRPr="00E75964" w:rsidRDefault="00C55244" w:rsidP="00C55244">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2019</w:t>
            </w:r>
          </w:p>
        </w:tc>
        <w:tc>
          <w:tcPr>
            <w:tcW w:w="940" w:type="pct"/>
            <w:tcBorders>
              <w:bottom w:val="single" w:sz="4" w:space="0" w:color="auto"/>
            </w:tcBorders>
            <w:shd w:val="clear" w:color="auto" w:fill="auto"/>
            <w:vAlign w:val="center"/>
            <w:hideMark/>
          </w:tcPr>
          <w:p w14:paraId="33F91616" w14:textId="773B39A2"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1</w:t>
            </w:r>
            <w:r w:rsidR="008E36FF" w:rsidRPr="00E75964">
              <w:rPr>
                <w:rFonts w:ascii="Garamond" w:eastAsia="Times New Roman" w:hAnsi="Garamond" w:cs="Calibri"/>
                <w:sz w:val="24"/>
                <w:szCs w:val="24"/>
              </w:rPr>
              <w:t>,</w:t>
            </w:r>
            <w:r w:rsidRPr="00E75964">
              <w:rPr>
                <w:rFonts w:ascii="Garamond" w:eastAsia="Times New Roman" w:hAnsi="Garamond" w:cs="Calibri"/>
                <w:sz w:val="24"/>
                <w:szCs w:val="24"/>
              </w:rPr>
              <w:t>769</w:t>
            </w:r>
            <w:r w:rsidR="008E36FF" w:rsidRPr="00E75964">
              <w:rPr>
                <w:rFonts w:ascii="Garamond" w:eastAsia="Times New Roman" w:hAnsi="Garamond" w:cs="Calibri"/>
                <w:sz w:val="24"/>
                <w:szCs w:val="24"/>
              </w:rPr>
              <w:t>,</w:t>
            </w:r>
            <w:r w:rsidRPr="00E75964">
              <w:rPr>
                <w:rFonts w:ascii="Garamond" w:eastAsia="Times New Roman" w:hAnsi="Garamond" w:cs="Calibri"/>
                <w:sz w:val="24"/>
                <w:szCs w:val="24"/>
              </w:rPr>
              <w:t>329</w:t>
            </w:r>
          </w:p>
        </w:tc>
        <w:tc>
          <w:tcPr>
            <w:tcW w:w="1149" w:type="pct"/>
            <w:tcBorders>
              <w:bottom w:val="single" w:sz="4" w:space="0" w:color="auto"/>
            </w:tcBorders>
            <w:shd w:val="clear" w:color="auto" w:fill="auto"/>
            <w:noWrap/>
            <w:vAlign w:val="bottom"/>
            <w:hideMark/>
          </w:tcPr>
          <w:p w14:paraId="75D11D89" w14:textId="48371E0C"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1.25</w:t>
            </w:r>
          </w:p>
        </w:tc>
        <w:tc>
          <w:tcPr>
            <w:tcW w:w="1020" w:type="pct"/>
            <w:tcBorders>
              <w:bottom w:val="single" w:sz="4" w:space="0" w:color="auto"/>
            </w:tcBorders>
            <w:shd w:val="clear" w:color="auto" w:fill="auto"/>
            <w:noWrap/>
            <w:vAlign w:val="bottom"/>
            <w:hideMark/>
          </w:tcPr>
          <w:p w14:paraId="7266FEE9" w14:textId="52B04F1B"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11863</w:t>
            </w:r>
          </w:p>
        </w:tc>
        <w:tc>
          <w:tcPr>
            <w:tcW w:w="1149" w:type="pct"/>
            <w:tcBorders>
              <w:bottom w:val="single" w:sz="4" w:space="0" w:color="auto"/>
            </w:tcBorders>
            <w:shd w:val="clear" w:color="auto" w:fill="auto"/>
            <w:noWrap/>
            <w:vAlign w:val="bottom"/>
            <w:hideMark/>
          </w:tcPr>
          <w:p w14:paraId="744E3172" w14:textId="4D93F20D" w:rsidR="00C55244" w:rsidRPr="00E75964" w:rsidRDefault="00C55244" w:rsidP="008E36FF">
            <w:pPr>
              <w:spacing w:after="0" w:line="240" w:lineRule="auto"/>
              <w:jc w:val="center"/>
              <w:rPr>
                <w:rFonts w:ascii="Garamond" w:eastAsia="Times New Roman" w:hAnsi="Garamond" w:cs="Calibri"/>
                <w:sz w:val="24"/>
                <w:szCs w:val="24"/>
              </w:rPr>
            </w:pPr>
            <w:r w:rsidRPr="00E75964">
              <w:rPr>
                <w:rFonts w:ascii="Garamond" w:eastAsia="Times New Roman" w:hAnsi="Garamond" w:cs="Calibri"/>
                <w:sz w:val="24"/>
                <w:szCs w:val="24"/>
              </w:rPr>
              <w:t>13.14</w:t>
            </w:r>
          </w:p>
        </w:tc>
      </w:tr>
    </w:tbl>
    <w:p w14:paraId="6CE5A6AB" w14:textId="245D745D" w:rsidR="00C743A6" w:rsidRPr="00005BC5" w:rsidRDefault="004D62C3" w:rsidP="00C743A6">
      <w:pPr>
        <w:spacing w:line="240" w:lineRule="auto"/>
        <w:contextualSpacing/>
        <w:jc w:val="both"/>
        <w:rPr>
          <w:rFonts w:ascii="Garamond" w:hAnsi="Garamond"/>
          <w:szCs w:val="24"/>
        </w:rPr>
      </w:pPr>
      <w:r w:rsidRPr="00005BC5">
        <w:rPr>
          <w:rFonts w:ascii="Garamond" w:hAnsi="Garamond"/>
          <w:szCs w:val="24"/>
        </w:rPr>
        <w:t>Note: T</w:t>
      </w:r>
      <w:r w:rsidR="00C743A6" w:rsidRPr="00005BC5">
        <w:rPr>
          <w:rFonts w:ascii="Garamond" w:hAnsi="Garamond"/>
          <w:szCs w:val="24"/>
        </w:rPr>
        <w:t>he institutional investors in Bangladesh are: Investment Corporation of Bangladesh, Schedule Banks, Me</w:t>
      </w:r>
      <w:r w:rsidR="00B34259" w:rsidRPr="00005BC5">
        <w:rPr>
          <w:rFonts w:ascii="Garamond" w:hAnsi="Garamond"/>
          <w:szCs w:val="24"/>
        </w:rPr>
        <w:t>rchant Banks, Bang</w:t>
      </w:r>
      <w:r w:rsidR="00C743A6" w:rsidRPr="00005BC5">
        <w:rPr>
          <w:rFonts w:ascii="Garamond" w:hAnsi="Garamond"/>
          <w:szCs w:val="24"/>
        </w:rPr>
        <w:t>l</w:t>
      </w:r>
      <w:r w:rsidR="00B34259" w:rsidRPr="00005BC5">
        <w:rPr>
          <w:rFonts w:ascii="Garamond" w:hAnsi="Garamond"/>
          <w:szCs w:val="24"/>
        </w:rPr>
        <w:t>a</w:t>
      </w:r>
      <w:r w:rsidR="00C743A6" w:rsidRPr="00005BC5">
        <w:rPr>
          <w:rFonts w:ascii="Garamond" w:hAnsi="Garamond"/>
          <w:szCs w:val="24"/>
        </w:rPr>
        <w:t>desh Development Bank Limited, Non-Bank Financial Institution, Insurance companies, Leasing companies, Pension funds, Provident funds, Postal savings schemes, Postal life insurance, Co-operative land mortgage banks, Employees insurance f</w:t>
      </w:r>
      <w:r w:rsidR="006A45E1" w:rsidRPr="00005BC5">
        <w:rPr>
          <w:rFonts w:ascii="Garamond" w:hAnsi="Garamond"/>
          <w:szCs w:val="24"/>
        </w:rPr>
        <w:t>u</w:t>
      </w:r>
      <w:r w:rsidR="00B34259" w:rsidRPr="00005BC5">
        <w:rPr>
          <w:rFonts w:ascii="Garamond" w:hAnsi="Garamond"/>
          <w:szCs w:val="24"/>
        </w:rPr>
        <w:t>n</w:t>
      </w:r>
      <w:r w:rsidR="0077232C" w:rsidRPr="00005BC5">
        <w:rPr>
          <w:rFonts w:ascii="Garamond" w:hAnsi="Garamond"/>
          <w:szCs w:val="24"/>
        </w:rPr>
        <w:t>ds and Securities deposits.</w:t>
      </w:r>
    </w:p>
    <w:p w14:paraId="351721DE" w14:textId="77777777" w:rsidR="004D62C3" w:rsidRPr="00005BC5" w:rsidRDefault="004D62C3" w:rsidP="004D62C3">
      <w:pPr>
        <w:spacing w:line="240" w:lineRule="auto"/>
        <w:contextualSpacing/>
        <w:jc w:val="both"/>
        <w:rPr>
          <w:rFonts w:ascii="Garamond" w:hAnsi="Garamond"/>
          <w:szCs w:val="24"/>
        </w:rPr>
      </w:pPr>
      <w:r w:rsidRPr="00005BC5">
        <w:rPr>
          <w:rFonts w:ascii="Garamond" w:hAnsi="Garamond"/>
          <w:szCs w:val="24"/>
        </w:rPr>
        <w:t>Source: Author’s calculation based on annual report of Central Depository Bangladesh Limited (CDBL)</w:t>
      </w:r>
    </w:p>
    <w:p w14:paraId="4CC20C67" w14:textId="77777777" w:rsidR="008E36FF" w:rsidRPr="00E75964" w:rsidRDefault="008E36FF" w:rsidP="00F35FAA">
      <w:pPr>
        <w:spacing w:line="360" w:lineRule="auto"/>
        <w:jc w:val="both"/>
        <w:rPr>
          <w:rFonts w:ascii="Garamond" w:hAnsi="Garamond"/>
          <w:sz w:val="24"/>
          <w:szCs w:val="24"/>
        </w:rPr>
      </w:pPr>
    </w:p>
    <w:p w14:paraId="22C1D4E3" w14:textId="77777777" w:rsidR="00D07CDC" w:rsidRDefault="00CE65B6" w:rsidP="00F35FAA">
      <w:pPr>
        <w:spacing w:line="360" w:lineRule="auto"/>
        <w:jc w:val="both"/>
        <w:rPr>
          <w:rFonts w:ascii="Garamond" w:hAnsi="Garamond"/>
          <w:sz w:val="24"/>
          <w:szCs w:val="24"/>
        </w:rPr>
      </w:pPr>
      <w:r w:rsidRPr="00E75964">
        <w:rPr>
          <w:rFonts w:ascii="Garamond" w:hAnsi="Garamond"/>
          <w:sz w:val="24"/>
          <w:szCs w:val="24"/>
        </w:rPr>
        <w:t xml:space="preserve">Table </w:t>
      </w:r>
      <w:r w:rsidR="00027B6C" w:rsidRPr="00E75964">
        <w:rPr>
          <w:rFonts w:ascii="Garamond" w:hAnsi="Garamond"/>
          <w:sz w:val="24"/>
          <w:szCs w:val="24"/>
        </w:rPr>
        <w:t>1</w:t>
      </w:r>
      <w:r w:rsidRPr="00E75964">
        <w:rPr>
          <w:rFonts w:ascii="Garamond" w:hAnsi="Garamond"/>
          <w:sz w:val="24"/>
          <w:szCs w:val="24"/>
        </w:rPr>
        <w:t xml:space="preserve"> shows clearly that the market is dominated by individual investors and there are only a few institutional investors trading in this equity market. Over the last </w:t>
      </w:r>
      <w:r w:rsidR="008E36FF" w:rsidRPr="00E75964">
        <w:rPr>
          <w:rFonts w:ascii="Garamond" w:hAnsi="Garamond"/>
          <w:sz w:val="24"/>
          <w:szCs w:val="24"/>
        </w:rPr>
        <w:t>nine</w:t>
      </w:r>
      <w:r w:rsidRPr="00E75964">
        <w:rPr>
          <w:rFonts w:ascii="Garamond" w:hAnsi="Garamond"/>
          <w:sz w:val="24"/>
          <w:szCs w:val="24"/>
        </w:rPr>
        <w:t xml:space="preserve"> years </w:t>
      </w:r>
      <w:r w:rsidR="00D07CDC">
        <w:rPr>
          <w:rFonts w:ascii="Garamond" w:hAnsi="Garamond"/>
          <w:sz w:val="24"/>
          <w:szCs w:val="24"/>
        </w:rPr>
        <w:t xml:space="preserve">the </w:t>
      </w:r>
      <w:r w:rsidRPr="00E75964">
        <w:rPr>
          <w:rFonts w:ascii="Garamond" w:hAnsi="Garamond"/>
          <w:sz w:val="24"/>
          <w:szCs w:val="24"/>
        </w:rPr>
        <w:t xml:space="preserve">total </w:t>
      </w:r>
      <w:r w:rsidR="00D07CDC">
        <w:rPr>
          <w:rFonts w:ascii="Garamond" w:hAnsi="Garamond"/>
          <w:sz w:val="24"/>
          <w:szCs w:val="24"/>
        </w:rPr>
        <w:t xml:space="preserve">number of </w:t>
      </w:r>
      <w:r w:rsidRPr="00E75964">
        <w:rPr>
          <w:rFonts w:ascii="Garamond" w:hAnsi="Garamond"/>
          <w:sz w:val="24"/>
          <w:szCs w:val="24"/>
        </w:rPr>
        <w:t xml:space="preserve">investors </w:t>
      </w:r>
      <w:r w:rsidR="00D07CDC">
        <w:rPr>
          <w:rFonts w:ascii="Garamond" w:hAnsi="Garamond"/>
          <w:sz w:val="24"/>
          <w:szCs w:val="24"/>
        </w:rPr>
        <w:t xml:space="preserve">has </w:t>
      </w:r>
      <w:r w:rsidRPr="00E75964">
        <w:rPr>
          <w:rFonts w:ascii="Garamond" w:hAnsi="Garamond"/>
          <w:sz w:val="24"/>
          <w:szCs w:val="24"/>
        </w:rPr>
        <w:t>more than doubled, from 0.85 million to 1.</w:t>
      </w:r>
      <w:r w:rsidR="008E36FF" w:rsidRPr="00E75964">
        <w:rPr>
          <w:rFonts w:ascii="Garamond" w:hAnsi="Garamond"/>
          <w:sz w:val="24"/>
          <w:szCs w:val="24"/>
        </w:rPr>
        <w:t>77</w:t>
      </w:r>
      <w:r w:rsidRPr="00E75964">
        <w:rPr>
          <w:rFonts w:ascii="Garamond" w:hAnsi="Garamond"/>
          <w:sz w:val="24"/>
          <w:szCs w:val="24"/>
        </w:rPr>
        <w:t xml:space="preserve"> million. </w:t>
      </w:r>
      <w:r w:rsidR="00EC0E91" w:rsidRPr="00E75964">
        <w:rPr>
          <w:rFonts w:ascii="Garamond" w:hAnsi="Garamond"/>
          <w:sz w:val="24"/>
          <w:szCs w:val="24"/>
        </w:rPr>
        <w:t>However,</w:t>
      </w:r>
      <w:r w:rsidRPr="00E75964">
        <w:rPr>
          <w:rFonts w:ascii="Garamond" w:hAnsi="Garamond"/>
          <w:sz w:val="24"/>
          <w:szCs w:val="24"/>
        </w:rPr>
        <w:t xml:space="preserve"> the vast majority of them </w:t>
      </w:r>
      <w:r w:rsidR="00D07CDC">
        <w:rPr>
          <w:rFonts w:ascii="Garamond" w:hAnsi="Garamond"/>
          <w:sz w:val="24"/>
          <w:szCs w:val="24"/>
        </w:rPr>
        <w:t>are</w:t>
      </w:r>
      <w:r w:rsidRPr="00E75964">
        <w:rPr>
          <w:rFonts w:ascii="Garamond" w:hAnsi="Garamond"/>
          <w:sz w:val="24"/>
          <w:szCs w:val="24"/>
        </w:rPr>
        <w:t xml:space="preserve"> individuals (</w:t>
      </w:r>
      <w:r w:rsidR="00CA1656" w:rsidRPr="00E75964">
        <w:rPr>
          <w:rFonts w:ascii="Garamond" w:hAnsi="Garamond"/>
          <w:sz w:val="24"/>
          <w:szCs w:val="24"/>
        </w:rPr>
        <w:t>99.</w:t>
      </w:r>
      <w:r w:rsidR="004D1F4E" w:rsidRPr="00E75964">
        <w:rPr>
          <w:rFonts w:ascii="Garamond" w:hAnsi="Garamond"/>
          <w:sz w:val="24"/>
          <w:szCs w:val="24"/>
        </w:rPr>
        <w:t>33</w:t>
      </w:r>
      <w:r w:rsidRPr="00E75964">
        <w:rPr>
          <w:rFonts w:ascii="Garamond" w:hAnsi="Garamond"/>
          <w:sz w:val="24"/>
          <w:szCs w:val="24"/>
        </w:rPr>
        <w:t>%)</w:t>
      </w:r>
      <w:r w:rsidR="00D13E09" w:rsidRPr="00E75964">
        <w:rPr>
          <w:rFonts w:ascii="Garamond" w:hAnsi="Garamond"/>
          <w:sz w:val="24"/>
          <w:szCs w:val="24"/>
        </w:rPr>
        <w:t>.</w:t>
      </w:r>
      <w:r w:rsidRPr="00E75964">
        <w:rPr>
          <w:rFonts w:ascii="Garamond" w:hAnsi="Garamond"/>
          <w:sz w:val="24"/>
          <w:szCs w:val="24"/>
        </w:rPr>
        <w:t xml:space="preserve"> </w:t>
      </w:r>
      <w:r w:rsidR="00D13E09" w:rsidRPr="00E75964">
        <w:rPr>
          <w:rFonts w:ascii="Garamond" w:hAnsi="Garamond"/>
          <w:sz w:val="24"/>
          <w:szCs w:val="24"/>
        </w:rPr>
        <w:t>O</w:t>
      </w:r>
      <w:r w:rsidRPr="00E75964">
        <w:rPr>
          <w:rFonts w:ascii="Garamond" w:hAnsi="Garamond"/>
          <w:sz w:val="24"/>
          <w:szCs w:val="24"/>
        </w:rPr>
        <w:t>nly 0.</w:t>
      </w:r>
      <w:r w:rsidR="004D1F4E" w:rsidRPr="00E75964">
        <w:rPr>
          <w:rFonts w:ascii="Garamond" w:hAnsi="Garamond"/>
          <w:sz w:val="24"/>
          <w:szCs w:val="24"/>
        </w:rPr>
        <w:t>67</w:t>
      </w:r>
      <w:r w:rsidRPr="00E75964">
        <w:rPr>
          <w:rFonts w:ascii="Garamond" w:hAnsi="Garamond"/>
          <w:sz w:val="24"/>
          <w:szCs w:val="24"/>
        </w:rPr>
        <w:t xml:space="preserve">% </w:t>
      </w:r>
      <w:r w:rsidR="00D07CDC">
        <w:rPr>
          <w:rFonts w:ascii="Garamond" w:hAnsi="Garamond"/>
          <w:sz w:val="24"/>
          <w:szCs w:val="24"/>
        </w:rPr>
        <w:t>we</w:t>
      </w:r>
      <w:r w:rsidR="00D13E09" w:rsidRPr="00E75964">
        <w:rPr>
          <w:rFonts w:ascii="Garamond" w:hAnsi="Garamond"/>
          <w:sz w:val="24"/>
          <w:szCs w:val="24"/>
        </w:rPr>
        <w:t>re</w:t>
      </w:r>
      <w:r w:rsidRPr="00E75964">
        <w:rPr>
          <w:rFonts w:ascii="Garamond" w:hAnsi="Garamond"/>
          <w:sz w:val="24"/>
          <w:szCs w:val="24"/>
        </w:rPr>
        <w:t xml:space="preserve"> institutional accounts in 201</w:t>
      </w:r>
      <w:r w:rsidR="004D1F4E" w:rsidRPr="00E75964">
        <w:rPr>
          <w:rFonts w:ascii="Garamond" w:hAnsi="Garamond"/>
          <w:sz w:val="24"/>
          <w:szCs w:val="24"/>
        </w:rPr>
        <w:t>9</w:t>
      </w:r>
      <w:r w:rsidRPr="00E75964">
        <w:rPr>
          <w:rFonts w:ascii="Garamond" w:hAnsi="Garamond"/>
          <w:sz w:val="24"/>
          <w:szCs w:val="24"/>
        </w:rPr>
        <w:t>. Th</w:t>
      </w:r>
      <w:r w:rsidR="00E24D09" w:rsidRPr="00E75964">
        <w:rPr>
          <w:rFonts w:ascii="Garamond" w:hAnsi="Garamond"/>
          <w:sz w:val="24"/>
          <w:szCs w:val="24"/>
        </w:rPr>
        <w:t>e</w:t>
      </w:r>
      <w:r w:rsidRPr="00E75964">
        <w:rPr>
          <w:rFonts w:ascii="Garamond" w:hAnsi="Garamond"/>
          <w:sz w:val="24"/>
          <w:szCs w:val="24"/>
        </w:rPr>
        <w:t>s</w:t>
      </w:r>
      <w:r w:rsidR="00E24D09" w:rsidRPr="00E75964">
        <w:rPr>
          <w:rFonts w:ascii="Garamond" w:hAnsi="Garamond"/>
          <w:sz w:val="24"/>
          <w:szCs w:val="24"/>
        </w:rPr>
        <w:t>e</w:t>
      </w:r>
      <w:r w:rsidRPr="00E75964">
        <w:rPr>
          <w:rFonts w:ascii="Garamond" w:hAnsi="Garamond"/>
          <w:sz w:val="24"/>
          <w:szCs w:val="24"/>
        </w:rPr>
        <w:t xml:space="preserve"> few institutional investors h</w:t>
      </w:r>
      <w:r w:rsidR="00D07CDC">
        <w:rPr>
          <w:rFonts w:ascii="Garamond" w:hAnsi="Garamond"/>
          <w:sz w:val="24"/>
          <w:szCs w:val="24"/>
        </w:rPr>
        <w:t>e</w:t>
      </w:r>
      <w:r w:rsidRPr="00E75964">
        <w:rPr>
          <w:rFonts w:ascii="Garamond" w:hAnsi="Garamond"/>
          <w:sz w:val="24"/>
          <w:szCs w:val="24"/>
        </w:rPr>
        <w:t>ld on average 1</w:t>
      </w:r>
      <w:r w:rsidR="00782000" w:rsidRPr="00E75964">
        <w:rPr>
          <w:rFonts w:ascii="Garamond" w:hAnsi="Garamond"/>
          <w:sz w:val="24"/>
          <w:szCs w:val="24"/>
        </w:rPr>
        <w:t>8</w:t>
      </w:r>
      <w:r w:rsidRPr="00E75964">
        <w:rPr>
          <w:rFonts w:ascii="Garamond" w:hAnsi="Garamond"/>
          <w:sz w:val="24"/>
          <w:szCs w:val="24"/>
        </w:rPr>
        <w:t xml:space="preserve"> percent </w:t>
      </w:r>
      <w:r w:rsidR="00E24D09" w:rsidRPr="00E75964">
        <w:rPr>
          <w:rFonts w:ascii="Garamond" w:hAnsi="Garamond"/>
          <w:sz w:val="24"/>
          <w:szCs w:val="24"/>
        </w:rPr>
        <w:t xml:space="preserve">of the </w:t>
      </w:r>
      <w:r w:rsidRPr="00E75964">
        <w:rPr>
          <w:rFonts w:ascii="Garamond" w:hAnsi="Garamond"/>
          <w:sz w:val="24"/>
          <w:szCs w:val="24"/>
        </w:rPr>
        <w:t xml:space="preserve">stocks traded </w:t>
      </w:r>
      <w:r w:rsidR="00E24D09" w:rsidRPr="00E75964">
        <w:rPr>
          <w:rFonts w:ascii="Garamond" w:hAnsi="Garamond"/>
          <w:sz w:val="24"/>
          <w:szCs w:val="24"/>
        </w:rPr>
        <w:t>o</w:t>
      </w:r>
      <w:r w:rsidRPr="00E75964">
        <w:rPr>
          <w:rFonts w:ascii="Garamond" w:hAnsi="Garamond"/>
          <w:sz w:val="24"/>
          <w:szCs w:val="24"/>
        </w:rPr>
        <w:t xml:space="preserve">n </w:t>
      </w:r>
      <w:r w:rsidR="00E24D09" w:rsidRPr="00E75964">
        <w:rPr>
          <w:rFonts w:ascii="Garamond" w:hAnsi="Garamond"/>
          <w:sz w:val="24"/>
          <w:szCs w:val="24"/>
        </w:rPr>
        <w:t xml:space="preserve">the </w:t>
      </w:r>
      <w:r w:rsidRPr="00E75964">
        <w:rPr>
          <w:rFonts w:ascii="Garamond" w:hAnsi="Garamond"/>
          <w:sz w:val="24"/>
          <w:szCs w:val="24"/>
        </w:rPr>
        <w:t>DSE in 201</w:t>
      </w:r>
      <w:r w:rsidR="00782000" w:rsidRPr="00E75964">
        <w:rPr>
          <w:rFonts w:ascii="Garamond" w:hAnsi="Garamond"/>
          <w:sz w:val="24"/>
          <w:szCs w:val="24"/>
        </w:rPr>
        <w:t>7</w:t>
      </w:r>
      <w:r w:rsidRPr="00E75964">
        <w:rPr>
          <w:rFonts w:ascii="Garamond" w:hAnsi="Garamond"/>
          <w:sz w:val="24"/>
          <w:szCs w:val="24"/>
        </w:rPr>
        <w:t>, whereas individual investors h</w:t>
      </w:r>
      <w:r w:rsidR="00D07CDC">
        <w:rPr>
          <w:rFonts w:ascii="Garamond" w:hAnsi="Garamond"/>
          <w:sz w:val="24"/>
          <w:szCs w:val="24"/>
        </w:rPr>
        <w:t>e</w:t>
      </w:r>
      <w:r w:rsidRPr="00E75964">
        <w:rPr>
          <w:rFonts w:ascii="Garamond" w:hAnsi="Garamond"/>
          <w:sz w:val="24"/>
          <w:szCs w:val="24"/>
        </w:rPr>
        <w:t>ld around 4</w:t>
      </w:r>
      <w:r w:rsidR="00782000" w:rsidRPr="00E75964">
        <w:rPr>
          <w:rFonts w:ascii="Garamond" w:hAnsi="Garamond"/>
          <w:sz w:val="24"/>
          <w:szCs w:val="24"/>
        </w:rPr>
        <w:t>2</w:t>
      </w:r>
      <w:r w:rsidRPr="00E75964">
        <w:rPr>
          <w:rFonts w:ascii="Garamond" w:hAnsi="Garamond"/>
          <w:sz w:val="24"/>
          <w:szCs w:val="24"/>
        </w:rPr>
        <w:t xml:space="preserve"> percent</w:t>
      </w:r>
      <w:r w:rsidR="00DF6939" w:rsidRPr="00E75964">
        <w:rPr>
          <w:rStyle w:val="FootnoteReference"/>
          <w:rFonts w:ascii="Garamond" w:hAnsi="Garamond"/>
          <w:sz w:val="24"/>
          <w:szCs w:val="24"/>
        </w:rPr>
        <w:footnoteReference w:id="3"/>
      </w:r>
      <w:r w:rsidRPr="00E75964">
        <w:rPr>
          <w:rFonts w:ascii="Garamond" w:hAnsi="Garamond"/>
          <w:sz w:val="24"/>
          <w:szCs w:val="24"/>
        </w:rPr>
        <w:t>. In developed stock markets a form of polarization between individual and institutional investors is evident, yet domination by individuals is fairly common in emerging market</w:t>
      </w:r>
      <w:r w:rsidR="000551CA" w:rsidRPr="00E75964">
        <w:rPr>
          <w:rFonts w:ascii="Garamond" w:hAnsi="Garamond"/>
          <w:sz w:val="24"/>
          <w:szCs w:val="24"/>
        </w:rPr>
        <w:t>s</w:t>
      </w:r>
      <w:r w:rsidRPr="00E75964">
        <w:rPr>
          <w:rFonts w:ascii="Garamond" w:hAnsi="Garamond"/>
          <w:sz w:val="24"/>
          <w:szCs w:val="24"/>
        </w:rPr>
        <w:t>. For example, Ng and Wu (2007) report</w:t>
      </w:r>
      <w:r w:rsidR="00D07CDC">
        <w:rPr>
          <w:rFonts w:ascii="Garamond" w:hAnsi="Garamond"/>
          <w:sz w:val="24"/>
          <w:szCs w:val="24"/>
        </w:rPr>
        <w:t>ed</w:t>
      </w:r>
      <w:r w:rsidRPr="00E75964">
        <w:rPr>
          <w:rFonts w:ascii="Garamond" w:hAnsi="Garamond"/>
          <w:sz w:val="24"/>
          <w:szCs w:val="24"/>
        </w:rPr>
        <w:t xml:space="preserve"> that on the Shanghai and Shenzhen Stock Exchange</w:t>
      </w:r>
      <w:r w:rsidR="009B4065" w:rsidRPr="00E75964">
        <w:rPr>
          <w:rFonts w:ascii="Garamond" w:hAnsi="Garamond"/>
          <w:sz w:val="24"/>
          <w:szCs w:val="24"/>
        </w:rPr>
        <w:t>s</w:t>
      </w:r>
      <w:r w:rsidRPr="00E75964">
        <w:rPr>
          <w:rFonts w:ascii="Garamond" w:hAnsi="Garamond"/>
          <w:sz w:val="24"/>
          <w:szCs w:val="24"/>
        </w:rPr>
        <w:t xml:space="preserve"> 99.5% of accounts belong</w:t>
      </w:r>
      <w:r w:rsidR="00D07CDC">
        <w:rPr>
          <w:rFonts w:ascii="Garamond" w:hAnsi="Garamond"/>
          <w:sz w:val="24"/>
          <w:szCs w:val="24"/>
        </w:rPr>
        <w:t>ed</w:t>
      </w:r>
      <w:r w:rsidRPr="00E75964">
        <w:rPr>
          <w:rFonts w:ascii="Garamond" w:hAnsi="Garamond"/>
          <w:sz w:val="24"/>
          <w:szCs w:val="24"/>
        </w:rPr>
        <w:t xml:space="preserve"> to individuals out of 68.8 million investors and </w:t>
      </w:r>
      <w:r w:rsidR="00E24D09" w:rsidRPr="00E75964">
        <w:rPr>
          <w:rFonts w:ascii="Garamond" w:hAnsi="Garamond"/>
          <w:sz w:val="24"/>
          <w:szCs w:val="24"/>
        </w:rPr>
        <w:t xml:space="preserve">they </w:t>
      </w:r>
      <w:r w:rsidRPr="00E75964">
        <w:rPr>
          <w:rFonts w:ascii="Garamond" w:hAnsi="Garamond"/>
          <w:sz w:val="24"/>
          <w:szCs w:val="24"/>
        </w:rPr>
        <w:t>h</w:t>
      </w:r>
      <w:r w:rsidR="00D07CDC">
        <w:rPr>
          <w:rFonts w:ascii="Garamond" w:hAnsi="Garamond"/>
          <w:sz w:val="24"/>
          <w:szCs w:val="24"/>
        </w:rPr>
        <w:t>e</w:t>
      </w:r>
      <w:r w:rsidRPr="00E75964">
        <w:rPr>
          <w:rFonts w:ascii="Garamond" w:hAnsi="Garamond"/>
          <w:sz w:val="24"/>
          <w:szCs w:val="24"/>
        </w:rPr>
        <w:t xml:space="preserve">ld about 80 percent of </w:t>
      </w:r>
      <w:r w:rsidR="00D07CDC">
        <w:rPr>
          <w:rFonts w:ascii="Garamond" w:hAnsi="Garamond"/>
          <w:sz w:val="24"/>
          <w:szCs w:val="24"/>
        </w:rPr>
        <w:t xml:space="preserve">the </w:t>
      </w:r>
      <w:r w:rsidRPr="00E75964">
        <w:rPr>
          <w:rFonts w:ascii="Garamond" w:hAnsi="Garamond"/>
          <w:sz w:val="24"/>
          <w:szCs w:val="24"/>
        </w:rPr>
        <w:t xml:space="preserve">total trade value of the sample. Conversely, in the US the mean percentage of institutional holdings of stocks traded in all three markets (NYSE, </w:t>
      </w:r>
      <w:r w:rsidRPr="00E75964">
        <w:rPr>
          <w:rFonts w:ascii="Garamond" w:hAnsi="Garamond"/>
          <w:sz w:val="24"/>
          <w:szCs w:val="24"/>
        </w:rPr>
        <w:lastRenderedPageBreak/>
        <w:t>Amex and NASDAQ) was 14.6% in 1981, 21.9% in 1990 and 31.0% in 1998 (see Chan et al., 2004). It ha</w:t>
      </w:r>
      <w:r w:rsidR="00D07CDC">
        <w:rPr>
          <w:rFonts w:ascii="Garamond" w:hAnsi="Garamond"/>
          <w:sz w:val="24"/>
          <w:szCs w:val="24"/>
        </w:rPr>
        <w:t>d</w:t>
      </w:r>
      <w:r w:rsidRPr="00E75964">
        <w:rPr>
          <w:rFonts w:ascii="Garamond" w:hAnsi="Garamond"/>
          <w:sz w:val="24"/>
          <w:szCs w:val="24"/>
        </w:rPr>
        <w:t xml:space="preserve"> further increased to 67 percent of all US stocks in 2010 (see Blume and Keim, 2012). This implies </w:t>
      </w:r>
      <w:r w:rsidR="000551CA" w:rsidRPr="00E75964">
        <w:rPr>
          <w:rFonts w:ascii="Garamond" w:hAnsi="Garamond"/>
          <w:sz w:val="24"/>
          <w:szCs w:val="24"/>
        </w:rPr>
        <w:t>that</w:t>
      </w:r>
      <w:r w:rsidRPr="00E75964">
        <w:rPr>
          <w:rFonts w:ascii="Garamond" w:hAnsi="Garamond"/>
          <w:sz w:val="24"/>
          <w:szCs w:val="24"/>
        </w:rPr>
        <w:t xml:space="preserve"> between developed and emerging equity market</w:t>
      </w:r>
      <w:r w:rsidR="00E24D09" w:rsidRPr="00E75964">
        <w:rPr>
          <w:rFonts w:ascii="Garamond" w:hAnsi="Garamond"/>
          <w:sz w:val="24"/>
          <w:szCs w:val="24"/>
        </w:rPr>
        <w:t>s</w:t>
      </w:r>
      <w:r w:rsidRPr="00E75964">
        <w:rPr>
          <w:rFonts w:ascii="Garamond" w:hAnsi="Garamond"/>
          <w:sz w:val="24"/>
          <w:szCs w:val="24"/>
        </w:rPr>
        <w:t xml:space="preserve">, </w:t>
      </w:r>
      <w:r w:rsidR="000551CA" w:rsidRPr="00E75964">
        <w:rPr>
          <w:rFonts w:ascii="Garamond" w:hAnsi="Garamond"/>
          <w:sz w:val="24"/>
          <w:szCs w:val="24"/>
        </w:rPr>
        <w:t xml:space="preserve">it is in the latter </w:t>
      </w:r>
      <w:r w:rsidR="00E24D09" w:rsidRPr="00E75964">
        <w:rPr>
          <w:rFonts w:ascii="Garamond" w:hAnsi="Garamond"/>
          <w:sz w:val="24"/>
          <w:szCs w:val="24"/>
        </w:rPr>
        <w:t xml:space="preserve">where </w:t>
      </w:r>
      <w:r w:rsidRPr="00E75964">
        <w:rPr>
          <w:rFonts w:ascii="Garamond" w:hAnsi="Garamond"/>
          <w:sz w:val="24"/>
          <w:szCs w:val="24"/>
        </w:rPr>
        <w:t xml:space="preserve">most of the investors are individual. Therefore, if investors’ trading </w:t>
      </w:r>
      <w:r w:rsidR="00EC0E91" w:rsidRPr="00E75964">
        <w:rPr>
          <w:rFonts w:ascii="Garamond" w:hAnsi="Garamond"/>
          <w:sz w:val="24"/>
          <w:szCs w:val="24"/>
        </w:rPr>
        <w:t>behaviour</w:t>
      </w:r>
      <w:r w:rsidRPr="00E75964">
        <w:rPr>
          <w:rFonts w:ascii="Garamond" w:hAnsi="Garamond"/>
          <w:sz w:val="24"/>
          <w:szCs w:val="24"/>
        </w:rPr>
        <w:t xml:space="preserve"> influences the price of any equity market then it should be evident on a </w:t>
      </w:r>
      <w:r w:rsidR="004C64ED" w:rsidRPr="00E75964">
        <w:rPr>
          <w:rFonts w:ascii="Garamond" w:hAnsi="Garamond"/>
          <w:sz w:val="24"/>
          <w:szCs w:val="24"/>
        </w:rPr>
        <w:t>recently emerging</w:t>
      </w:r>
      <w:r w:rsidRPr="00E75964">
        <w:rPr>
          <w:rFonts w:ascii="Garamond" w:hAnsi="Garamond"/>
          <w:sz w:val="24"/>
          <w:szCs w:val="24"/>
        </w:rPr>
        <w:t xml:space="preserve"> market such as the DSE.</w:t>
      </w:r>
      <w:r w:rsidR="00533EAB" w:rsidRPr="00E75964">
        <w:rPr>
          <w:rFonts w:ascii="Garamond" w:hAnsi="Garamond"/>
          <w:sz w:val="24"/>
          <w:szCs w:val="24"/>
        </w:rPr>
        <w:t xml:space="preserve"> </w:t>
      </w:r>
    </w:p>
    <w:p w14:paraId="196E3B86" w14:textId="4B0142CA" w:rsidR="00CE65B6" w:rsidRPr="00E75964" w:rsidRDefault="00533EAB" w:rsidP="00F35FAA">
      <w:pPr>
        <w:spacing w:line="360" w:lineRule="auto"/>
        <w:jc w:val="both"/>
        <w:rPr>
          <w:rFonts w:ascii="Garamond" w:hAnsi="Garamond"/>
          <w:sz w:val="24"/>
          <w:szCs w:val="24"/>
        </w:rPr>
      </w:pPr>
      <w:r w:rsidRPr="00E75964">
        <w:rPr>
          <w:rFonts w:ascii="Garamond" w:hAnsi="Garamond"/>
          <w:sz w:val="24"/>
          <w:szCs w:val="24"/>
        </w:rPr>
        <w:t>All our data has been tested to ensure</w:t>
      </w:r>
      <w:r w:rsidR="004C64ED" w:rsidRPr="00E75964">
        <w:rPr>
          <w:rFonts w:ascii="Garamond" w:hAnsi="Garamond"/>
          <w:sz w:val="24"/>
          <w:szCs w:val="24"/>
        </w:rPr>
        <w:t xml:space="preserve"> that</w:t>
      </w:r>
      <w:r w:rsidRPr="00E75964">
        <w:rPr>
          <w:rFonts w:ascii="Garamond" w:hAnsi="Garamond"/>
          <w:sz w:val="24"/>
          <w:szCs w:val="24"/>
        </w:rPr>
        <w:t xml:space="preserve"> there is no unit</w:t>
      </w:r>
      <w:r w:rsidR="00D07CDC">
        <w:rPr>
          <w:rFonts w:ascii="Garamond" w:hAnsi="Garamond"/>
          <w:sz w:val="24"/>
          <w:szCs w:val="24"/>
        </w:rPr>
        <w:t xml:space="preserve"> </w:t>
      </w:r>
      <w:r w:rsidRPr="00E75964">
        <w:rPr>
          <w:rFonts w:ascii="Garamond" w:hAnsi="Garamond"/>
          <w:sz w:val="24"/>
          <w:szCs w:val="24"/>
        </w:rPr>
        <w:t>root</w:t>
      </w:r>
      <w:r w:rsidR="004C64ED" w:rsidRPr="00E75964">
        <w:rPr>
          <w:rFonts w:ascii="Garamond" w:hAnsi="Garamond"/>
          <w:sz w:val="24"/>
          <w:szCs w:val="24"/>
        </w:rPr>
        <w:t xml:space="preserve"> in the time series</w:t>
      </w:r>
      <w:r w:rsidRPr="00E75964">
        <w:rPr>
          <w:rFonts w:ascii="Garamond" w:hAnsi="Garamond"/>
          <w:sz w:val="24"/>
          <w:szCs w:val="24"/>
        </w:rPr>
        <w:t xml:space="preserve">. Similarly, we winsorised our data by one per cent to </w:t>
      </w:r>
      <w:r w:rsidR="004C64ED" w:rsidRPr="00E75964">
        <w:rPr>
          <w:rFonts w:ascii="Garamond" w:hAnsi="Garamond"/>
          <w:sz w:val="24"/>
          <w:szCs w:val="24"/>
        </w:rPr>
        <w:t xml:space="preserve">avoid </w:t>
      </w:r>
      <w:r w:rsidRPr="00E75964">
        <w:rPr>
          <w:rFonts w:ascii="Garamond" w:hAnsi="Garamond"/>
          <w:sz w:val="24"/>
          <w:szCs w:val="24"/>
        </w:rPr>
        <w:t>outlier problems.</w:t>
      </w:r>
    </w:p>
    <w:p w14:paraId="34EE3DFA" w14:textId="46C792E3" w:rsidR="00CE65B6" w:rsidRPr="00E75964" w:rsidRDefault="006E62A7" w:rsidP="00112B72">
      <w:pPr>
        <w:pStyle w:val="Heading1"/>
        <w:spacing w:after="200" w:line="360" w:lineRule="auto"/>
        <w:rPr>
          <w:rFonts w:ascii="Garamond" w:hAnsi="Garamond"/>
          <w:color w:val="auto"/>
          <w:sz w:val="24"/>
          <w:szCs w:val="24"/>
        </w:rPr>
      </w:pPr>
      <w:bookmarkStart w:id="3" w:name="_Toc413318944"/>
      <w:r w:rsidRPr="00E75964">
        <w:rPr>
          <w:rFonts w:ascii="Garamond" w:hAnsi="Garamond"/>
          <w:color w:val="auto"/>
          <w:sz w:val="24"/>
          <w:szCs w:val="24"/>
        </w:rPr>
        <w:t>3.2</w:t>
      </w:r>
      <w:r w:rsidR="008B5793" w:rsidRPr="00E75964">
        <w:rPr>
          <w:rFonts w:ascii="Garamond" w:hAnsi="Garamond"/>
          <w:color w:val="auto"/>
          <w:sz w:val="24"/>
          <w:szCs w:val="24"/>
        </w:rPr>
        <w:t>.</w:t>
      </w:r>
      <w:r w:rsidR="00112B72" w:rsidRPr="00E75964">
        <w:rPr>
          <w:rFonts w:ascii="Garamond" w:hAnsi="Garamond"/>
          <w:color w:val="auto"/>
          <w:sz w:val="24"/>
          <w:szCs w:val="24"/>
        </w:rPr>
        <w:t xml:space="preserve"> </w:t>
      </w:r>
      <w:r w:rsidR="00CE65B6" w:rsidRPr="00E75964">
        <w:rPr>
          <w:rFonts w:ascii="Garamond" w:hAnsi="Garamond"/>
          <w:color w:val="auto"/>
          <w:sz w:val="24"/>
          <w:szCs w:val="24"/>
        </w:rPr>
        <w:t>Methodology</w:t>
      </w:r>
      <w:bookmarkEnd w:id="3"/>
    </w:p>
    <w:p w14:paraId="32CC5F70" w14:textId="0A6C0E23" w:rsidR="00CE65B6" w:rsidRPr="00E75964" w:rsidRDefault="00CE65B6" w:rsidP="00112B72">
      <w:pPr>
        <w:spacing w:line="360" w:lineRule="auto"/>
        <w:jc w:val="both"/>
        <w:rPr>
          <w:rFonts w:ascii="Garamond" w:hAnsi="Garamond"/>
          <w:sz w:val="24"/>
          <w:szCs w:val="24"/>
        </w:rPr>
      </w:pPr>
      <w:r w:rsidRPr="00E75964">
        <w:rPr>
          <w:rFonts w:ascii="Garamond" w:hAnsi="Garamond"/>
          <w:sz w:val="24"/>
          <w:szCs w:val="24"/>
        </w:rPr>
        <w:t xml:space="preserve">Many previous </w:t>
      </w:r>
      <w:r w:rsidR="000551CA" w:rsidRPr="00E75964">
        <w:rPr>
          <w:rFonts w:ascii="Garamond" w:hAnsi="Garamond"/>
          <w:sz w:val="24"/>
          <w:szCs w:val="24"/>
        </w:rPr>
        <w:t xml:space="preserve">studies </w:t>
      </w:r>
      <w:r w:rsidRPr="00E75964">
        <w:rPr>
          <w:rFonts w:ascii="Garamond" w:hAnsi="Garamond"/>
          <w:sz w:val="24"/>
          <w:szCs w:val="24"/>
        </w:rPr>
        <w:t>investigate</w:t>
      </w:r>
      <w:r w:rsidR="000551CA" w:rsidRPr="00E75964">
        <w:rPr>
          <w:rFonts w:ascii="Garamond" w:hAnsi="Garamond"/>
          <w:sz w:val="24"/>
          <w:szCs w:val="24"/>
        </w:rPr>
        <w:t>d</w:t>
      </w:r>
      <w:r w:rsidRPr="00E75964">
        <w:rPr>
          <w:rFonts w:ascii="Garamond" w:hAnsi="Garamond"/>
          <w:sz w:val="24"/>
          <w:szCs w:val="24"/>
        </w:rPr>
        <w:t xml:space="preserve"> the weekend effect by regressing returns on four daily dummy variables (</w:t>
      </w:r>
      <w:r w:rsidR="00E14B5B" w:rsidRPr="00E75964">
        <w:rPr>
          <w:rFonts w:ascii="Garamond" w:hAnsi="Garamond"/>
          <w:sz w:val="24"/>
          <w:szCs w:val="24"/>
        </w:rPr>
        <w:t>e.g.,</w:t>
      </w:r>
      <w:r w:rsidRPr="00E75964">
        <w:rPr>
          <w:rFonts w:ascii="Garamond" w:hAnsi="Garamond"/>
          <w:sz w:val="24"/>
          <w:szCs w:val="24"/>
        </w:rPr>
        <w:t xml:space="preserve"> French, 1980; Jaffe and Westerfield, 1985; Smirlock and Starks, 1986). However, the use of this methodology has two drawbacks and could give misleading inferences (</w:t>
      </w:r>
      <w:r w:rsidR="0068607C" w:rsidRPr="00E75964">
        <w:rPr>
          <w:rFonts w:ascii="Garamond" w:hAnsi="Garamond"/>
          <w:sz w:val="24"/>
          <w:szCs w:val="24"/>
        </w:rPr>
        <w:t>Kiymaz and Berument, 2003; Berument and Kiymaz, 2001</w:t>
      </w:r>
      <w:r w:rsidRPr="00E75964">
        <w:rPr>
          <w:rFonts w:ascii="Garamond" w:hAnsi="Garamond"/>
          <w:sz w:val="24"/>
          <w:szCs w:val="24"/>
        </w:rPr>
        <w:t>). First, errors in the model may be autocorrelated and second, error variance may be heteroskedastic. French</w:t>
      </w:r>
      <w:r w:rsidR="003D6CC9" w:rsidRPr="00E75964">
        <w:rPr>
          <w:rFonts w:ascii="Garamond" w:hAnsi="Garamond"/>
          <w:sz w:val="24"/>
          <w:szCs w:val="24"/>
        </w:rPr>
        <w:t xml:space="preserve"> et al.</w:t>
      </w:r>
      <w:r w:rsidRPr="00E75964">
        <w:rPr>
          <w:rFonts w:ascii="Garamond" w:hAnsi="Garamond"/>
          <w:sz w:val="24"/>
          <w:szCs w:val="24"/>
        </w:rPr>
        <w:t xml:space="preserve"> (1987) and Nelson (1991) also emphasize these characteristics of autocorrelation and conditional heteros</w:t>
      </w:r>
      <w:r w:rsidR="00111741" w:rsidRPr="00E75964">
        <w:rPr>
          <w:rFonts w:ascii="Garamond" w:hAnsi="Garamond"/>
          <w:sz w:val="24"/>
          <w:szCs w:val="24"/>
        </w:rPr>
        <w:t>c</w:t>
      </w:r>
      <w:r w:rsidRPr="00E75964">
        <w:rPr>
          <w:rFonts w:ascii="Garamond" w:hAnsi="Garamond"/>
          <w:sz w:val="24"/>
          <w:szCs w:val="24"/>
        </w:rPr>
        <w:t xml:space="preserve">edasticity. To address the first issue, we include lagged values of the returns in equation </w:t>
      </w:r>
      <w:r w:rsidR="00EF3BFE" w:rsidRPr="00E75964">
        <w:rPr>
          <w:rFonts w:ascii="Garamond" w:hAnsi="Garamond"/>
          <w:sz w:val="24"/>
          <w:szCs w:val="24"/>
        </w:rPr>
        <w:t>(</w:t>
      </w:r>
      <w:r w:rsidR="006B58F0">
        <w:rPr>
          <w:rFonts w:ascii="Garamond" w:hAnsi="Garamond"/>
          <w:sz w:val="24"/>
          <w:szCs w:val="24"/>
        </w:rPr>
        <w:t>1</w:t>
      </w:r>
      <w:r w:rsidRPr="00E75964">
        <w:rPr>
          <w:rFonts w:ascii="Garamond" w:hAnsi="Garamond"/>
          <w:sz w:val="24"/>
          <w:szCs w:val="24"/>
        </w:rPr>
        <w:t xml:space="preserve">). To avoid the second limitation, we </w:t>
      </w:r>
      <w:r w:rsidR="00EF3BFE" w:rsidRPr="00E75964">
        <w:rPr>
          <w:rFonts w:ascii="Garamond" w:hAnsi="Garamond"/>
          <w:sz w:val="24"/>
          <w:szCs w:val="24"/>
        </w:rPr>
        <w:t>allow</w:t>
      </w:r>
      <w:r w:rsidRPr="00E75964">
        <w:rPr>
          <w:rFonts w:ascii="Garamond" w:hAnsi="Garamond"/>
          <w:sz w:val="24"/>
          <w:szCs w:val="24"/>
        </w:rPr>
        <w:t xml:space="preserve"> th</w:t>
      </w:r>
      <w:r w:rsidR="000551CA" w:rsidRPr="00E75964">
        <w:rPr>
          <w:rFonts w:ascii="Garamond" w:hAnsi="Garamond"/>
          <w:sz w:val="24"/>
          <w:szCs w:val="24"/>
        </w:rPr>
        <w:t>e variance of errors to be time-</w:t>
      </w:r>
      <w:r w:rsidRPr="00E75964">
        <w:rPr>
          <w:rFonts w:ascii="Garamond" w:hAnsi="Garamond"/>
          <w:sz w:val="24"/>
          <w:szCs w:val="24"/>
        </w:rPr>
        <w:t xml:space="preserve">dependent. This conditional </w:t>
      </w:r>
      <w:r w:rsidR="00111741" w:rsidRPr="00E75964">
        <w:rPr>
          <w:rFonts w:ascii="Garamond" w:hAnsi="Garamond"/>
          <w:sz w:val="24"/>
          <w:szCs w:val="24"/>
        </w:rPr>
        <w:t>heteroscedasticity</w:t>
      </w:r>
      <w:r w:rsidRPr="00E75964">
        <w:rPr>
          <w:rFonts w:ascii="Garamond" w:hAnsi="Garamond"/>
          <w:sz w:val="24"/>
          <w:szCs w:val="24"/>
        </w:rPr>
        <w:t xml:space="preserve"> will capture any time variation in stock returns variance (Kiymaz and Berument, 2003</w:t>
      </w:r>
      <w:r w:rsidR="00E47F57" w:rsidRPr="00E75964">
        <w:rPr>
          <w:rFonts w:ascii="Garamond" w:hAnsi="Garamond"/>
          <w:sz w:val="24"/>
          <w:szCs w:val="24"/>
        </w:rPr>
        <w:t>; Berument and Kiymaz, 2001</w:t>
      </w:r>
      <w:r w:rsidRPr="00E75964">
        <w:rPr>
          <w:rFonts w:ascii="Garamond" w:hAnsi="Garamond"/>
          <w:sz w:val="24"/>
          <w:szCs w:val="24"/>
        </w:rPr>
        <w:t xml:space="preserve">). As Connolly (1989) mentions, there is much evidence that stock returns have time varying variance and many studies of market anomalies </w:t>
      </w:r>
      <w:r w:rsidR="00D07CDC">
        <w:rPr>
          <w:rFonts w:ascii="Garamond" w:hAnsi="Garamond"/>
          <w:sz w:val="24"/>
          <w:szCs w:val="24"/>
        </w:rPr>
        <w:t xml:space="preserve">have </w:t>
      </w:r>
      <w:r w:rsidRPr="00E75964">
        <w:rPr>
          <w:rFonts w:ascii="Garamond" w:hAnsi="Garamond"/>
          <w:sz w:val="24"/>
          <w:szCs w:val="24"/>
        </w:rPr>
        <w:t xml:space="preserve">failed to take that into consideration. </w:t>
      </w:r>
    </w:p>
    <w:p w14:paraId="65760754" w14:textId="77777777"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We therefore model our returns using the following stochastic model:</w:t>
      </w:r>
    </w:p>
    <w:p w14:paraId="7C0411D4" w14:textId="1F8A9D3C" w:rsidR="00CE65B6" w:rsidRPr="00E75964" w:rsidRDefault="004D62C3" w:rsidP="00CD604B">
      <w:pPr>
        <w:spacing w:line="360" w:lineRule="auto"/>
        <w:jc w:val="both"/>
        <w:rPr>
          <w:rFonts w:ascii="Garamond" w:hAnsi="Garamond"/>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3t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4</m:t>
            </m:r>
          </m:sub>
        </m:sSub>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4t</m:t>
            </m:r>
          </m:sub>
        </m:sSub>
        <m:r>
          <w:rPr>
            <w:rFonts w:ascii="Cambria Math" w:hAnsi="Cambria Math"/>
            <w:sz w:val="24"/>
            <w:szCs w:val="24"/>
          </w:rPr>
          <m:t>+</m:t>
        </m:r>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e>
        </m:nary>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t</m:t>
            </m:r>
          </m:sub>
        </m:sSub>
      </m:oMath>
      <w:r w:rsidR="00CE65B6" w:rsidRPr="00E75964">
        <w:rPr>
          <w:rFonts w:ascii="Garamond" w:hAnsi="Garamond"/>
          <w:sz w:val="24"/>
          <w:szCs w:val="24"/>
        </w:rPr>
        <w:t xml:space="preserve">    </w:t>
      </w:r>
      <w:r w:rsidR="00CE65B6" w:rsidRPr="00E75964">
        <w:rPr>
          <w:rFonts w:ascii="Garamond" w:hAnsi="Garamond"/>
          <w:sz w:val="24"/>
          <w:szCs w:val="24"/>
        </w:rPr>
        <w:tab/>
      </w:r>
      <w:r w:rsidR="006B58F0">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t>(</w:t>
      </w:r>
      <w:r w:rsidR="006B58F0">
        <w:rPr>
          <w:rFonts w:ascii="Garamond" w:hAnsi="Garamond"/>
          <w:sz w:val="24"/>
          <w:szCs w:val="24"/>
        </w:rPr>
        <w:t>1</w:t>
      </w:r>
      <w:r w:rsidR="00CE65B6" w:rsidRPr="00E75964">
        <w:rPr>
          <w:rFonts w:ascii="Garamond" w:hAnsi="Garamond"/>
          <w:sz w:val="24"/>
          <w:szCs w:val="24"/>
        </w:rPr>
        <w:t>)</w:t>
      </w:r>
    </w:p>
    <w:p w14:paraId="432CFCEF" w14:textId="1AD58859"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Where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m:t>
            </m:r>
          </m:sub>
        </m:sSub>
      </m:oMath>
      <w:r w:rsidRPr="00E75964">
        <w:rPr>
          <w:rFonts w:ascii="Garamond" w:hAnsi="Garamond"/>
          <w:sz w:val="24"/>
          <w:szCs w:val="24"/>
        </w:rPr>
        <w:t xml:space="preserve"> is the daily return,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3</m:t>
            </m:r>
          </m:sub>
        </m:sSub>
        <m:r>
          <w:rPr>
            <w:rFonts w:ascii="Cambria Math" w:hAnsi="Cambria Math"/>
            <w:sz w:val="24"/>
            <w:szCs w:val="24"/>
          </w:rPr>
          <m:t>,</m:t>
        </m:r>
      </m:oMath>
      <w:r w:rsidRPr="00E75964">
        <w:rPr>
          <w:rFonts w:ascii="Garamond" w:hAnsi="Garamond"/>
          <w:sz w:val="24"/>
          <w:szCs w:val="24"/>
        </w:rPr>
        <w:t xml:space="preserve"> and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4</m:t>
            </m:r>
          </m:sub>
        </m:sSub>
      </m:oMath>
      <w:r w:rsidRPr="00E75964">
        <w:rPr>
          <w:rFonts w:ascii="Garamond" w:hAnsi="Garamond"/>
          <w:sz w:val="24"/>
          <w:szCs w:val="24"/>
        </w:rPr>
        <w:t xml:space="preserve"> are dummy variables for Sunday, Monday, Wednesday and Thursday at time </w:t>
      </w:r>
      <w:r w:rsidRPr="00E75964">
        <w:rPr>
          <w:rFonts w:ascii="Garamond" w:hAnsi="Garamond"/>
          <w:i/>
          <w:sz w:val="24"/>
          <w:szCs w:val="24"/>
        </w:rPr>
        <w:t xml:space="preserve">t, </w:t>
      </w:r>
      <w:r w:rsidRPr="00E75964">
        <w:rPr>
          <w:rFonts w:ascii="Garamond" w:hAnsi="Garamond"/>
          <w:sz w:val="24"/>
          <w:szCs w:val="24"/>
        </w:rPr>
        <w:t xml:space="preserve">and </w:t>
      </w:r>
      <w:r w:rsidRPr="00E75964">
        <w:rPr>
          <w:rFonts w:ascii="Garamond" w:hAnsi="Garamond"/>
          <w:i/>
          <w:sz w:val="24"/>
          <w:szCs w:val="24"/>
        </w:rPr>
        <w:t>n</w:t>
      </w:r>
      <w:r w:rsidRPr="00E75964">
        <w:rPr>
          <w:rFonts w:ascii="Garamond" w:hAnsi="Garamond"/>
          <w:sz w:val="24"/>
          <w:szCs w:val="24"/>
        </w:rPr>
        <w:t xml:space="preserve"> is the lag </w:t>
      </w:r>
      <w:r w:rsidR="00864A85" w:rsidRPr="00E75964">
        <w:rPr>
          <w:rFonts w:ascii="Garamond" w:hAnsi="Garamond"/>
          <w:sz w:val="24"/>
          <w:szCs w:val="24"/>
        </w:rPr>
        <w:t>order</w:t>
      </w:r>
      <w:r w:rsidRPr="00E75964">
        <w:rPr>
          <w:rFonts w:ascii="Garamond" w:hAnsi="Garamond"/>
          <w:sz w:val="24"/>
          <w:szCs w:val="24"/>
        </w:rPr>
        <w:t xml:space="preserve">. </w:t>
      </w: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t</m:t>
            </m:r>
          </m:sub>
        </m:sSub>
      </m:oMath>
      <w:r w:rsidRPr="00E75964">
        <w:rPr>
          <w:rFonts w:ascii="Garamond" w:hAnsi="Garamond"/>
          <w:sz w:val="24"/>
          <w:szCs w:val="24"/>
        </w:rPr>
        <w:t xml:space="preserve"> </w:t>
      </w:r>
      <w:proofErr w:type="gramStart"/>
      <w:r w:rsidRPr="00E75964">
        <w:rPr>
          <w:rFonts w:ascii="Garamond" w:hAnsi="Garamond"/>
          <w:sz w:val="24"/>
          <w:szCs w:val="24"/>
        </w:rPr>
        <w:t>is</w:t>
      </w:r>
      <w:proofErr w:type="gramEnd"/>
      <w:r w:rsidRPr="00E75964">
        <w:rPr>
          <w:rFonts w:ascii="Garamond" w:hAnsi="Garamond"/>
          <w:sz w:val="24"/>
          <w:szCs w:val="24"/>
        </w:rPr>
        <w:t xml:space="preserve"> the error term that follows </w:t>
      </w:r>
      <w:r w:rsidR="00D13E09" w:rsidRPr="00E75964">
        <w:rPr>
          <w:rFonts w:ascii="Garamond" w:hAnsi="Garamond"/>
          <w:sz w:val="24"/>
          <w:szCs w:val="24"/>
        </w:rPr>
        <w:t>a</w:t>
      </w:r>
      <w:r w:rsidRPr="00E75964">
        <w:rPr>
          <w:rFonts w:ascii="Garamond" w:hAnsi="Garamond"/>
          <w:sz w:val="24"/>
          <w:szCs w:val="24"/>
        </w:rPr>
        <w:t xml:space="preserve"> G</w:t>
      </w:r>
      <w:r w:rsidR="00901B20" w:rsidRPr="00E75964">
        <w:rPr>
          <w:rFonts w:ascii="Garamond" w:hAnsi="Garamond"/>
          <w:sz w:val="24"/>
          <w:szCs w:val="24"/>
        </w:rPr>
        <w:t>aussian</w:t>
      </w:r>
      <w:r w:rsidRPr="00E75964">
        <w:rPr>
          <w:rFonts w:ascii="Garamond" w:hAnsi="Garamond"/>
          <w:sz w:val="24"/>
          <w:szCs w:val="24"/>
        </w:rPr>
        <w:t xml:space="preserve"> </w:t>
      </w:r>
      <w:r w:rsidR="00901B20" w:rsidRPr="00E75964">
        <w:rPr>
          <w:rFonts w:ascii="Garamond" w:hAnsi="Garamond"/>
          <w:sz w:val="24"/>
          <w:szCs w:val="24"/>
        </w:rPr>
        <w:t>process.</w:t>
      </w:r>
      <w:r w:rsidRPr="00E75964">
        <w:rPr>
          <w:rFonts w:ascii="Garamond" w:hAnsi="Garamond"/>
          <w:sz w:val="24"/>
          <w:szCs w:val="24"/>
        </w:rPr>
        <w:t xml:space="preserve"> The dummy variable for Tuesday is excluded from the equation to avoid the dummy variable trap. </w:t>
      </w:r>
      <w:r w:rsidR="00D07CDC">
        <w:rPr>
          <w:rFonts w:ascii="Garamond" w:hAnsi="Garamond"/>
          <w:sz w:val="24"/>
          <w:szCs w:val="24"/>
        </w:rPr>
        <w:t xml:space="preserve">We chose </w:t>
      </w:r>
      <w:r w:rsidRPr="00E75964">
        <w:rPr>
          <w:rFonts w:ascii="Garamond" w:hAnsi="Garamond"/>
          <w:sz w:val="24"/>
          <w:szCs w:val="24"/>
        </w:rPr>
        <w:t xml:space="preserve">Tuesday </w:t>
      </w:r>
      <w:r w:rsidR="00D07CDC">
        <w:rPr>
          <w:rFonts w:ascii="Garamond" w:hAnsi="Garamond"/>
          <w:sz w:val="24"/>
          <w:szCs w:val="24"/>
        </w:rPr>
        <w:t xml:space="preserve">because it </w:t>
      </w:r>
      <w:r w:rsidR="00111741" w:rsidRPr="00E75964">
        <w:rPr>
          <w:rFonts w:ascii="Garamond" w:hAnsi="Garamond"/>
          <w:sz w:val="24"/>
          <w:szCs w:val="24"/>
        </w:rPr>
        <w:t>is in</w:t>
      </w:r>
      <w:r w:rsidR="005E5D31" w:rsidRPr="00E75964">
        <w:rPr>
          <w:rFonts w:ascii="Garamond" w:hAnsi="Garamond"/>
          <w:sz w:val="24"/>
          <w:szCs w:val="24"/>
        </w:rPr>
        <w:t xml:space="preserve"> the</w:t>
      </w:r>
      <w:r w:rsidRPr="00E75964">
        <w:rPr>
          <w:rFonts w:ascii="Garamond" w:hAnsi="Garamond"/>
          <w:sz w:val="24"/>
          <w:szCs w:val="24"/>
        </w:rPr>
        <w:t xml:space="preserve"> middle of the </w:t>
      </w:r>
      <w:r w:rsidR="005E5D31" w:rsidRPr="00E75964">
        <w:rPr>
          <w:rFonts w:ascii="Garamond" w:hAnsi="Garamond"/>
          <w:sz w:val="24"/>
          <w:szCs w:val="24"/>
        </w:rPr>
        <w:t xml:space="preserve">trading </w:t>
      </w:r>
      <w:r w:rsidRPr="00E75964">
        <w:rPr>
          <w:rFonts w:ascii="Garamond" w:hAnsi="Garamond"/>
          <w:sz w:val="24"/>
          <w:szCs w:val="24"/>
        </w:rPr>
        <w:t xml:space="preserve">week and we are examining </w:t>
      </w:r>
      <w:r w:rsidR="00F73552" w:rsidRPr="00E75964">
        <w:rPr>
          <w:rFonts w:ascii="Garamond" w:hAnsi="Garamond"/>
          <w:sz w:val="24"/>
          <w:szCs w:val="24"/>
        </w:rPr>
        <w:t xml:space="preserve">the </w:t>
      </w:r>
      <w:r w:rsidRPr="00E75964">
        <w:rPr>
          <w:rFonts w:ascii="Garamond" w:hAnsi="Garamond"/>
          <w:sz w:val="24"/>
          <w:szCs w:val="24"/>
        </w:rPr>
        <w:t xml:space="preserve">trading pattern </w:t>
      </w:r>
      <w:r w:rsidR="000551CA" w:rsidRPr="00E75964">
        <w:rPr>
          <w:rFonts w:ascii="Garamond" w:hAnsi="Garamond"/>
          <w:sz w:val="24"/>
          <w:szCs w:val="24"/>
        </w:rPr>
        <w:t xml:space="preserve">around </w:t>
      </w:r>
      <w:r w:rsidRPr="00E75964">
        <w:rPr>
          <w:rFonts w:ascii="Garamond" w:hAnsi="Garamond"/>
          <w:sz w:val="24"/>
          <w:szCs w:val="24"/>
        </w:rPr>
        <w:t xml:space="preserve">the weekend. </w:t>
      </w:r>
    </w:p>
    <w:p w14:paraId="2FF02DAC" w14:textId="621FF590"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We next apply the generalized autoregressive conditional </w:t>
      </w:r>
      <w:r w:rsidR="00111741" w:rsidRPr="00E75964">
        <w:rPr>
          <w:rFonts w:ascii="Garamond" w:hAnsi="Garamond"/>
          <w:sz w:val="24"/>
          <w:szCs w:val="24"/>
        </w:rPr>
        <w:t>heteroscedasticity</w:t>
      </w:r>
      <w:r w:rsidRPr="00E75964">
        <w:rPr>
          <w:rFonts w:ascii="Garamond" w:hAnsi="Garamond"/>
          <w:sz w:val="24"/>
          <w:szCs w:val="24"/>
        </w:rPr>
        <w:t xml:space="preserve"> (GARCH) model to investigate the weekend effect in terms of volatility. The GARCH model, developed by Bollerslev (1986), has been a major tool to capture the three empirical features most often observed in stock </w:t>
      </w:r>
      <w:r w:rsidRPr="00E75964">
        <w:rPr>
          <w:rFonts w:ascii="Garamond" w:hAnsi="Garamond"/>
          <w:sz w:val="24"/>
          <w:szCs w:val="24"/>
        </w:rPr>
        <w:lastRenderedPageBreak/>
        <w:t>returns data: leptokurtosis, skewness and volatility</w:t>
      </w:r>
      <w:r w:rsidR="00D07CDC">
        <w:rPr>
          <w:rFonts w:ascii="Garamond" w:hAnsi="Garamond"/>
          <w:sz w:val="24"/>
          <w:szCs w:val="24"/>
        </w:rPr>
        <w:t xml:space="preserve"> </w:t>
      </w:r>
      <w:r w:rsidRPr="00E75964">
        <w:rPr>
          <w:rFonts w:ascii="Garamond" w:hAnsi="Garamond"/>
          <w:sz w:val="24"/>
          <w:szCs w:val="24"/>
        </w:rPr>
        <w:t xml:space="preserve">clustering. Here the assumption is that conditional variance,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m:t>
            </m:r>
          </m:sub>
        </m:sSub>
      </m:oMath>
      <w:r w:rsidRPr="00E75964">
        <w:rPr>
          <w:rFonts w:ascii="Garamond" w:hAnsi="Garamond"/>
          <w:sz w:val="24"/>
          <w:szCs w:val="24"/>
        </w:rPr>
        <w:t xml:space="preserve"> is a function of three terms – a constant (</w:t>
      </w:r>
      <m:oMath>
        <m:r>
          <w:rPr>
            <w:rFonts w:ascii="Cambria Math" w:hAnsi="Cambria Math"/>
            <w:sz w:val="24"/>
            <w:szCs w:val="24"/>
          </w:rPr>
          <m:t>ω</m:t>
        </m:r>
      </m:oMath>
      <w:r w:rsidRPr="00E75964">
        <w:rPr>
          <w:rFonts w:ascii="Garamond" w:hAnsi="Garamond"/>
          <w:sz w:val="24"/>
          <w:szCs w:val="24"/>
        </w:rPr>
        <w:t xml:space="preserve">), </w:t>
      </w:r>
      <w:r w:rsidR="000551CA" w:rsidRPr="00E75964">
        <w:rPr>
          <w:rFonts w:ascii="Garamond" w:hAnsi="Garamond"/>
          <w:sz w:val="24"/>
          <w:szCs w:val="24"/>
        </w:rPr>
        <w:t>shocks or news</w:t>
      </w:r>
      <w:r w:rsidR="00D07CDC">
        <w:rPr>
          <w:rFonts w:ascii="Garamond" w:hAnsi="Garamond"/>
          <w:sz w:val="24"/>
          <w:szCs w:val="24"/>
        </w:rPr>
        <w:t xml:space="preserve"> </w:t>
      </w:r>
      <w:r w:rsidR="000551CA" w:rsidRPr="00E75964">
        <w:rPr>
          <w:rFonts w:ascii="Garamond" w:hAnsi="Garamond"/>
          <w:sz w:val="24"/>
          <w:szCs w:val="24"/>
        </w:rPr>
        <w:t>impact</w:t>
      </w:r>
      <w:r w:rsidRPr="00E75964">
        <w:rPr>
          <w:rFonts w:ascii="Garamond" w:hAnsi="Garamond"/>
          <w:sz w:val="24"/>
          <w:szCs w:val="24"/>
        </w:rPr>
        <w:t xml:space="preserve"> from the previous period </w:t>
      </w:r>
      <m:oMath>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t-1</m:t>
                </m:r>
              </m:sub>
              <m:sup>
                <m:r>
                  <w:rPr>
                    <w:rFonts w:ascii="Cambria Math" w:hAnsi="Cambria Math"/>
                    <w:sz w:val="24"/>
                    <w:szCs w:val="24"/>
                  </w:rPr>
                  <m:t>2</m:t>
                </m:r>
              </m:sup>
            </m:sSubSup>
          </m:e>
        </m:d>
      </m:oMath>
      <w:r w:rsidRPr="00E75964">
        <w:rPr>
          <w:rFonts w:ascii="Garamond" w:hAnsi="Garamond"/>
          <w:sz w:val="24"/>
          <w:szCs w:val="24"/>
        </w:rPr>
        <w:t xml:space="preserve"> measured as the lag of the squared residual from the mean equation, and last period forecast </w:t>
      </w:r>
      <w:proofErr w:type="gramStart"/>
      <w:r w:rsidRPr="00E75964">
        <w:rPr>
          <w:rFonts w:ascii="Garamond" w:hAnsi="Garamond"/>
          <w:sz w:val="24"/>
          <w:szCs w:val="24"/>
        </w:rPr>
        <w:t xml:space="preserve">variance </w:t>
      </w:r>
      <w:proofErr w:type="gramEnd"/>
      <m:oMath>
        <m:d>
          <m:dPr>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t-1</m:t>
                </m:r>
              </m:sub>
              <m:sup>
                <m:r>
                  <w:rPr>
                    <w:rFonts w:ascii="Cambria Math" w:hAnsi="Cambria Math"/>
                    <w:sz w:val="24"/>
                    <w:szCs w:val="24"/>
                  </w:rPr>
                  <m:t>2</m:t>
                </m:r>
              </m:sup>
            </m:sSubSup>
          </m:e>
        </m:d>
      </m:oMath>
      <w:r w:rsidRPr="00E75964">
        <w:rPr>
          <w:rFonts w:ascii="Garamond" w:hAnsi="Garamond"/>
          <w:sz w:val="24"/>
          <w:szCs w:val="24"/>
        </w:rPr>
        <w:t>. A simple time varying variance model using a GARCH (1,</w:t>
      </w:r>
      <w:r w:rsidR="00B70892" w:rsidRPr="00E75964">
        <w:rPr>
          <w:rFonts w:ascii="Garamond" w:hAnsi="Garamond"/>
          <w:sz w:val="24"/>
          <w:szCs w:val="24"/>
        </w:rPr>
        <w:t xml:space="preserve"> </w:t>
      </w:r>
      <w:r w:rsidRPr="00E75964">
        <w:rPr>
          <w:rFonts w:ascii="Garamond" w:hAnsi="Garamond"/>
          <w:sz w:val="24"/>
          <w:szCs w:val="24"/>
        </w:rPr>
        <w:t>1) process is:</w:t>
      </w:r>
    </w:p>
    <w:p w14:paraId="2C14F8F3" w14:textId="276AFD05" w:rsidR="00CE65B6" w:rsidRPr="00E75964" w:rsidRDefault="004D62C3" w:rsidP="00CD604B">
      <w:pPr>
        <w:spacing w:line="360" w:lineRule="auto"/>
        <w:jc w:val="both"/>
        <w:rPr>
          <w:rFonts w:ascii="Garamond" w:hAnsi="Garamond"/>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m:t>
            </m:r>
          </m:sub>
        </m:sSub>
        <m:r>
          <w:rPr>
            <w:rFonts w:ascii="Cambria Math" w:hAnsi="Cambria Math"/>
            <w:sz w:val="24"/>
            <w:szCs w:val="24"/>
          </w:rPr>
          <m:t>=ω+α</m:t>
        </m:r>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+β</m:t>
        </m:r>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t-1</m:t>
            </m:r>
          </m:sub>
          <m:sup>
            <m:r>
              <w:rPr>
                <w:rFonts w:ascii="Cambria Math" w:hAnsi="Cambria Math"/>
                <w:sz w:val="24"/>
                <w:szCs w:val="24"/>
              </w:rPr>
              <m:t>2</m:t>
            </m:r>
          </m:sup>
        </m:sSubSup>
      </m:oMath>
      <w:r w:rsidR="00CE65B6" w:rsidRPr="00E75964">
        <w:rPr>
          <w:rFonts w:ascii="Garamond" w:hAnsi="Garamond"/>
          <w:sz w:val="24"/>
          <w:szCs w:val="24"/>
        </w:rPr>
        <w:t xml:space="preserve"> </w:t>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t>(</w:t>
      </w:r>
      <w:r w:rsidR="006B58F0">
        <w:rPr>
          <w:rFonts w:ascii="Garamond" w:hAnsi="Garamond"/>
          <w:sz w:val="24"/>
          <w:szCs w:val="24"/>
        </w:rPr>
        <w:t>2</w:t>
      </w:r>
      <w:r w:rsidR="00CE65B6" w:rsidRPr="00E75964">
        <w:rPr>
          <w:rFonts w:ascii="Garamond" w:hAnsi="Garamond"/>
          <w:sz w:val="24"/>
          <w:szCs w:val="24"/>
        </w:rPr>
        <w:t>)</w:t>
      </w:r>
    </w:p>
    <w:p w14:paraId="3B9F5779" w14:textId="4B43B436"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Engle (2001) states, “GARCH (1, 1) is the simplest and most robust of the family of volatility models” and it is also the most widely applied. We therefore use the GARCH (1, 1) model to investigate the weekend effect on volatility. However, many previous papers have included exogenous variables in the variance equation to check their significance for the </w:t>
      </w:r>
      <w:r w:rsidR="00D07CDC">
        <w:rPr>
          <w:rFonts w:ascii="Garamond" w:hAnsi="Garamond"/>
          <w:sz w:val="24"/>
          <w:szCs w:val="24"/>
        </w:rPr>
        <w:t xml:space="preserve">volatility of </w:t>
      </w:r>
      <w:r w:rsidRPr="00E75964">
        <w:rPr>
          <w:rFonts w:ascii="Garamond" w:hAnsi="Garamond"/>
          <w:sz w:val="24"/>
          <w:szCs w:val="24"/>
        </w:rPr>
        <w:t>returns (</w:t>
      </w:r>
      <w:r w:rsidR="00E14B5B" w:rsidRPr="00E75964">
        <w:rPr>
          <w:rFonts w:ascii="Garamond" w:hAnsi="Garamond"/>
          <w:sz w:val="24"/>
          <w:szCs w:val="24"/>
        </w:rPr>
        <w:t>e.g.,</w:t>
      </w:r>
      <w:r w:rsidRPr="00E75964">
        <w:rPr>
          <w:rFonts w:ascii="Garamond" w:hAnsi="Garamond"/>
          <w:sz w:val="24"/>
          <w:szCs w:val="24"/>
        </w:rPr>
        <w:t xml:space="preserve"> Choudhry, 2000; Balaban</w:t>
      </w:r>
      <w:r w:rsidR="0068607C" w:rsidRPr="00E75964">
        <w:rPr>
          <w:rFonts w:ascii="Garamond" w:hAnsi="Garamond"/>
          <w:sz w:val="24"/>
          <w:szCs w:val="24"/>
        </w:rPr>
        <w:t xml:space="preserve"> et al.</w:t>
      </w:r>
      <w:r w:rsidRPr="00E75964">
        <w:rPr>
          <w:rFonts w:ascii="Garamond" w:hAnsi="Garamond"/>
          <w:sz w:val="24"/>
          <w:szCs w:val="24"/>
        </w:rPr>
        <w:t xml:space="preserve">, 2001; Berument and Kiymaz, 2001 and 2003; Baker et al., 2008). Following those studies, some exogenous variables are </w:t>
      </w:r>
      <w:r w:rsidR="005E5D31" w:rsidRPr="00E75964">
        <w:rPr>
          <w:rFonts w:ascii="Garamond" w:hAnsi="Garamond"/>
          <w:sz w:val="24"/>
          <w:szCs w:val="24"/>
        </w:rPr>
        <w:t xml:space="preserve">also </w:t>
      </w:r>
      <w:r w:rsidRPr="00E75964">
        <w:rPr>
          <w:rFonts w:ascii="Garamond" w:hAnsi="Garamond"/>
          <w:sz w:val="24"/>
          <w:szCs w:val="24"/>
        </w:rPr>
        <w:t xml:space="preserve">allowed in </w:t>
      </w:r>
      <w:r w:rsidR="005E5D31" w:rsidRPr="00E75964">
        <w:rPr>
          <w:rFonts w:ascii="Garamond" w:hAnsi="Garamond"/>
          <w:sz w:val="24"/>
          <w:szCs w:val="24"/>
        </w:rPr>
        <w:t xml:space="preserve">our </w:t>
      </w:r>
      <w:r w:rsidRPr="00E75964">
        <w:rPr>
          <w:rFonts w:ascii="Garamond" w:hAnsi="Garamond"/>
          <w:sz w:val="24"/>
          <w:szCs w:val="24"/>
        </w:rPr>
        <w:t>GARCH (1, 1) model</w:t>
      </w:r>
      <w:r w:rsidR="005E5D31" w:rsidRPr="00E75964">
        <w:rPr>
          <w:rFonts w:ascii="Garamond" w:hAnsi="Garamond"/>
          <w:sz w:val="24"/>
          <w:szCs w:val="24"/>
        </w:rPr>
        <w:t xml:space="preserve"> to see their </w:t>
      </w:r>
      <w:r w:rsidRPr="00E75964">
        <w:rPr>
          <w:rFonts w:ascii="Garamond" w:hAnsi="Garamond"/>
          <w:sz w:val="24"/>
          <w:szCs w:val="24"/>
        </w:rPr>
        <w:t>possibl</w:t>
      </w:r>
      <w:r w:rsidR="005E5D31" w:rsidRPr="00E75964">
        <w:rPr>
          <w:rFonts w:ascii="Garamond" w:hAnsi="Garamond"/>
          <w:sz w:val="24"/>
          <w:szCs w:val="24"/>
        </w:rPr>
        <w:t>e</w:t>
      </w:r>
      <w:r w:rsidRPr="00E75964">
        <w:rPr>
          <w:rFonts w:ascii="Garamond" w:hAnsi="Garamond"/>
          <w:sz w:val="24"/>
          <w:szCs w:val="24"/>
        </w:rPr>
        <w:t xml:space="preserve"> </w:t>
      </w:r>
      <w:r w:rsidR="005E5D31" w:rsidRPr="00E75964">
        <w:rPr>
          <w:rFonts w:ascii="Garamond" w:hAnsi="Garamond"/>
          <w:sz w:val="24"/>
          <w:szCs w:val="24"/>
        </w:rPr>
        <w:t>e</w:t>
      </w:r>
      <w:r w:rsidRPr="00E75964">
        <w:rPr>
          <w:rFonts w:ascii="Garamond" w:hAnsi="Garamond"/>
          <w:sz w:val="24"/>
          <w:szCs w:val="24"/>
        </w:rPr>
        <w:t xml:space="preserve">ffect </w:t>
      </w:r>
      <w:r w:rsidR="005E5D31" w:rsidRPr="00E75964">
        <w:rPr>
          <w:rFonts w:ascii="Garamond" w:hAnsi="Garamond"/>
          <w:sz w:val="24"/>
          <w:szCs w:val="24"/>
        </w:rPr>
        <w:t xml:space="preserve">on </w:t>
      </w:r>
      <w:r w:rsidRPr="00E75964">
        <w:rPr>
          <w:rFonts w:ascii="Garamond" w:hAnsi="Garamond"/>
          <w:sz w:val="24"/>
          <w:szCs w:val="24"/>
        </w:rPr>
        <w:t xml:space="preserve">the variance. To be specific, </w:t>
      </w:r>
      <w:r w:rsidR="00FA1D7C" w:rsidRPr="00E75964">
        <w:rPr>
          <w:rFonts w:ascii="Garamond" w:hAnsi="Garamond"/>
          <w:sz w:val="24"/>
          <w:szCs w:val="24"/>
        </w:rPr>
        <w:t>t</w:t>
      </w:r>
      <w:r w:rsidR="00617055" w:rsidRPr="00E75964">
        <w:rPr>
          <w:rFonts w:ascii="Garamond" w:hAnsi="Garamond"/>
          <w:sz w:val="24"/>
          <w:szCs w:val="24"/>
        </w:rPr>
        <w:t>his study</w:t>
      </w:r>
      <w:r w:rsidR="008D70AF" w:rsidRPr="00E75964">
        <w:rPr>
          <w:rFonts w:ascii="Garamond" w:hAnsi="Garamond"/>
          <w:sz w:val="24"/>
          <w:szCs w:val="24"/>
        </w:rPr>
        <w:t xml:space="preserve"> allows </w:t>
      </w:r>
      <w:r w:rsidRPr="00E75964">
        <w:rPr>
          <w:rFonts w:ascii="Garamond" w:hAnsi="Garamond"/>
          <w:sz w:val="24"/>
          <w:szCs w:val="24"/>
        </w:rPr>
        <w:t xml:space="preserve">the conditional variance equation to change for each day of the week to check the weekend effect on volatility. </w:t>
      </w:r>
      <w:r w:rsidR="00EC0E91" w:rsidRPr="00E75964">
        <w:rPr>
          <w:rFonts w:ascii="Garamond" w:hAnsi="Garamond"/>
          <w:sz w:val="24"/>
          <w:szCs w:val="24"/>
        </w:rPr>
        <w:t>Thus,</w:t>
      </w:r>
      <w:r w:rsidRPr="00E75964">
        <w:rPr>
          <w:rFonts w:ascii="Garamond" w:hAnsi="Garamond"/>
          <w:sz w:val="24"/>
          <w:szCs w:val="24"/>
        </w:rPr>
        <w:t xml:space="preserve"> the specific GARCH (1,</w:t>
      </w:r>
      <w:r w:rsidR="00B70892" w:rsidRPr="00E75964">
        <w:rPr>
          <w:rFonts w:ascii="Garamond" w:hAnsi="Garamond"/>
          <w:sz w:val="24"/>
          <w:szCs w:val="24"/>
        </w:rPr>
        <w:t xml:space="preserve"> </w:t>
      </w:r>
      <w:r w:rsidRPr="00E75964">
        <w:rPr>
          <w:rFonts w:ascii="Garamond" w:hAnsi="Garamond"/>
          <w:sz w:val="24"/>
          <w:szCs w:val="24"/>
        </w:rPr>
        <w:t>1) model becomes:</w:t>
      </w:r>
    </w:p>
    <w:p w14:paraId="6AEB8496" w14:textId="31C2F701" w:rsidR="00CE65B6" w:rsidRPr="00E75964" w:rsidRDefault="004D62C3" w:rsidP="00CD604B">
      <w:pPr>
        <w:spacing w:line="360" w:lineRule="auto"/>
        <w:jc w:val="both"/>
        <w:rPr>
          <w:rFonts w:ascii="Garamond" w:hAnsi="Garamond"/>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m:t>
            </m:r>
          </m:sub>
        </m:sSub>
        <m:r>
          <w:rPr>
            <w:rFonts w:ascii="Cambria Math" w:hAnsi="Cambria Math"/>
            <w:sz w:val="24"/>
            <w:szCs w:val="24"/>
          </w:rPr>
          <m:t>=ω+α</m:t>
        </m:r>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+β</m:t>
        </m:r>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m=1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m</m:t>
                </m:r>
              </m:sub>
            </m:sSub>
          </m:e>
        </m:nary>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m</m:t>
            </m:r>
          </m:sub>
        </m:sSub>
      </m:oMath>
      <w:r w:rsidR="00CE65B6" w:rsidRPr="00E75964">
        <w:rPr>
          <w:rFonts w:ascii="Garamond" w:hAnsi="Garamond"/>
          <w:sz w:val="24"/>
          <w:szCs w:val="24"/>
        </w:rPr>
        <w:t xml:space="preserve"> </w:t>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t>(</w:t>
      </w:r>
      <w:r w:rsidR="006B58F0">
        <w:rPr>
          <w:rFonts w:ascii="Garamond" w:hAnsi="Garamond"/>
          <w:sz w:val="24"/>
          <w:szCs w:val="24"/>
        </w:rPr>
        <w:t>3</w:t>
      </w:r>
      <w:r w:rsidR="00EF3BFE" w:rsidRPr="00E75964">
        <w:rPr>
          <w:rFonts w:ascii="Garamond" w:hAnsi="Garamond"/>
          <w:sz w:val="24"/>
          <w:szCs w:val="24"/>
        </w:rPr>
        <w:t>)</w:t>
      </w:r>
    </w:p>
    <w:p w14:paraId="71172DCD" w14:textId="2F3E8E27" w:rsidR="00CE65B6" w:rsidRPr="00E75964" w:rsidRDefault="00CE65B6" w:rsidP="00B36F01">
      <w:pPr>
        <w:spacing w:line="360" w:lineRule="auto"/>
        <w:jc w:val="both"/>
        <w:rPr>
          <w:rFonts w:ascii="Garamond" w:hAnsi="Garamond"/>
          <w:sz w:val="24"/>
          <w:szCs w:val="24"/>
        </w:rPr>
      </w:pPr>
      <w:r w:rsidRPr="00E75964">
        <w:rPr>
          <w:rFonts w:ascii="Garamond" w:hAnsi="Garamond"/>
          <w:sz w:val="24"/>
          <w:szCs w:val="24"/>
        </w:rPr>
        <w:t xml:space="preserve">Where </w:t>
      </w:r>
      <w:r w:rsidRPr="00E75964">
        <w:rPr>
          <w:rFonts w:ascii="Garamond" w:hAnsi="Garamond"/>
          <w:i/>
          <w:sz w:val="24"/>
          <w:szCs w:val="24"/>
        </w:rPr>
        <w:t>D</w:t>
      </w:r>
      <w:r w:rsidRPr="00E75964">
        <w:rPr>
          <w:rFonts w:ascii="Garamond" w:hAnsi="Garamond"/>
          <w:sz w:val="24"/>
          <w:szCs w:val="24"/>
        </w:rPr>
        <w:t xml:space="preserve"> represents the exogenous variables</w:t>
      </w:r>
      <w:r w:rsidR="00293389" w:rsidRPr="00E75964">
        <w:rPr>
          <w:rFonts w:ascii="Garamond" w:hAnsi="Garamond"/>
          <w:sz w:val="24"/>
          <w:szCs w:val="24"/>
        </w:rPr>
        <w:t xml:space="preserve"> (i.e. dummy variables as in equation </w:t>
      </w:r>
      <w:r w:rsidR="00DC27C5">
        <w:rPr>
          <w:rFonts w:ascii="Garamond" w:hAnsi="Garamond"/>
          <w:sz w:val="24"/>
          <w:szCs w:val="24"/>
        </w:rPr>
        <w:t>1</w:t>
      </w:r>
      <w:r w:rsidR="00293389" w:rsidRPr="00E75964">
        <w:rPr>
          <w:rFonts w:ascii="Garamond" w:hAnsi="Garamond"/>
          <w:sz w:val="24"/>
          <w:szCs w:val="24"/>
        </w:rPr>
        <w:t>)</w:t>
      </w:r>
      <w:r w:rsidRPr="00E75964">
        <w:rPr>
          <w:rFonts w:ascii="Garamond" w:hAnsi="Garamond"/>
          <w:sz w:val="24"/>
          <w:szCs w:val="24"/>
        </w:rPr>
        <w:t xml:space="preserve">, particularly each weekday and </w:t>
      </w:r>
      <m:oMath>
        <m:r>
          <w:rPr>
            <w:rFonts w:ascii="Cambria Math" w:hAnsi="Cambria Math"/>
            <w:sz w:val="24"/>
            <w:szCs w:val="24"/>
          </w:rPr>
          <m:t>π</m:t>
        </m:r>
      </m:oMath>
      <w:r w:rsidRPr="00E75964">
        <w:rPr>
          <w:rFonts w:ascii="Garamond" w:hAnsi="Garamond"/>
          <w:sz w:val="24"/>
          <w:szCs w:val="24"/>
        </w:rPr>
        <w:t xml:space="preserve"> is the corresponding weight for </w:t>
      </w:r>
      <w:r w:rsidRPr="00E75964">
        <w:rPr>
          <w:rFonts w:ascii="Garamond" w:hAnsi="Garamond"/>
          <w:i/>
          <w:sz w:val="24"/>
          <w:szCs w:val="24"/>
        </w:rPr>
        <w:t>D</w:t>
      </w:r>
      <w:r w:rsidRPr="00E75964">
        <w:rPr>
          <w:rFonts w:ascii="Garamond" w:hAnsi="Garamond"/>
          <w:sz w:val="24"/>
          <w:szCs w:val="24"/>
        </w:rPr>
        <w:t xml:space="preserve">. Therefore, if </w:t>
      </w:r>
      <m:oMath>
        <m:r>
          <w:rPr>
            <w:rFonts w:ascii="Cambria Math" w:hAnsi="Cambria Math"/>
            <w:sz w:val="24"/>
            <w:szCs w:val="24"/>
          </w:rPr>
          <m:t>π</m:t>
        </m:r>
      </m:oMath>
      <w:r w:rsidRPr="00E75964">
        <w:rPr>
          <w:rFonts w:ascii="Garamond" w:hAnsi="Garamond"/>
          <w:sz w:val="24"/>
          <w:szCs w:val="24"/>
        </w:rPr>
        <w:t xml:space="preserve"> is found statistically significant for any weekday then we can assert that the weekend effect exists in </w:t>
      </w:r>
      <w:r w:rsidR="003A7E29" w:rsidRPr="00E75964">
        <w:rPr>
          <w:rFonts w:ascii="Garamond" w:hAnsi="Garamond"/>
          <w:sz w:val="24"/>
          <w:szCs w:val="24"/>
        </w:rPr>
        <w:t xml:space="preserve">the </w:t>
      </w:r>
      <w:r w:rsidRPr="00E75964">
        <w:rPr>
          <w:rFonts w:ascii="Garamond" w:hAnsi="Garamond"/>
          <w:sz w:val="24"/>
          <w:szCs w:val="24"/>
        </w:rPr>
        <w:t xml:space="preserve">variance equation. </w:t>
      </w:r>
      <w:r w:rsidR="00293389" w:rsidRPr="00E75964">
        <w:rPr>
          <w:rFonts w:ascii="Garamond" w:hAnsi="Garamond"/>
          <w:sz w:val="24"/>
          <w:szCs w:val="24"/>
        </w:rPr>
        <w:t>T</w:t>
      </w:r>
      <w:r w:rsidRPr="00E75964">
        <w:rPr>
          <w:rFonts w:ascii="Garamond" w:hAnsi="Garamond"/>
          <w:sz w:val="24"/>
          <w:szCs w:val="24"/>
        </w:rPr>
        <w:t xml:space="preserve">o increase the persistence </w:t>
      </w:r>
      <w:r w:rsidR="00397432" w:rsidRPr="00E75964">
        <w:rPr>
          <w:rFonts w:ascii="Garamond" w:hAnsi="Garamond"/>
          <w:sz w:val="24"/>
          <w:szCs w:val="24"/>
        </w:rPr>
        <w:t>of the</w:t>
      </w:r>
      <w:r w:rsidR="0054403F" w:rsidRPr="00E75964">
        <w:rPr>
          <w:rFonts w:ascii="Garamond" w:hAnsi="Garamond"/>
          <w:sz w:val="24"/>
          <w:szCs w:val="24"/>
        </w:rPr>
        <w:t xml:space="preserve"> </w:t>
      </w:r>
      <w:r w:rsidRPr="00E75964">
        <w:rPr>
          <w:rFonts w:ascii="Garamond" w:hAnsi="Garamond"/>
          <w:sz w:val="24"/>
          <w:szCs w:val="24"/>
        </w:rPr>
        <w:t>GARCH (1,</w:t>
      </w:r>
      <w:r w:rsidR="00510EBE" w:rsidRPr="00E75964">
        <w:rPr>
          <w:rFonts w:ascii="Garamond" w:hAnsi="Garamond"/>
          <w:sz w:val="24"/>
          <w:szCs w:val="24"/>
        </w:rPr>
        <w:t xml:space="preserve"> </w:t>
      </w:r>
      <w:r w:rsidRPr="00E75964">
        <w:rPr>
          <w:rFonts w:ascii="Garamond" w:hAnsi="Garamond"/>
          <w:sz w:val="24"/>
          <w:szCs w:val="24"/>
        </w:rPr>
        <w:t>1</w:t>
      </w:r>
      <w:r w:rsidR="00111741" w:rsidRPr="00E75964">
        <w:rPr>
          <w:rFonts w:ascii="Garamond" w:hAnsi="Garamond"/>
          <w:sz w:val="24"/>
          <w:szCs w:val="24"/>
        </w:rPr>
        <w:t>),</w:t>
      </w:r>
      <w:r w:rsidR="00293389" w:rsidRPr="00E75964">
        <w:rPr>
          <w:rFonts w:ascii="Garamond" w:hAnsi="Garamond"/>
          <w:sz w:val="24"/>
          <w:szCs w:val="24"/>
        </w:rPr>
        <w:t xml:space="preserve"> we have excluded </w:t>
      </w:r>
      <w:r w:rsidR="0054403F" w:rsidRPr="00E75964">
        <w:rPr>
          <w:rFonts w:ascii="Garamond" w:hAnsi="Garamond"/>
          <w:sz w:val="24"/>
          <w:szCs w:val="24"/>
        </w:rPr>
        <w:t>returns on any</w:t>
      </w:r>
      <w:r w:rsidR="00293389" w:rsidRPr="00E75964">
        <w:rPr>
          <w:rFonts w:ascii="Garamond" w:hAnsi="Garamond"/>
          <w:sz w:val="24"/>
          <w:szCs w:val="24"/>
        </w:rPr>
        <w:t xml:space="preserve"> structural break dates</w:t>
      </w:r>
      <w:r w:rsidR="0054403F" w:rsidRPr="00E75964">
        <w:rPr>
          <w:rFonts w:ascii="Garamond" w:hAnsi="Garamond"/>
          <w:sz w:val="24"/>
          <w:szCs w:val="24"/>
        </w:rPr>
        <w:t xml:space="preserve"> from our model</w:t>
      </w:r>
      <w:r w:rsidR="00D07CDC">
        <w:rPr>
          <w:rFonts w:ascii="Garamond" w:hAnsi="Garamond"/>
          <w:sz w:val="24"/>
          <w:szCs w:val="24"/>
        </w:rPr>
        <w:t>.</w:t>
      </w:r>
      <w:r w:rsidR="0054403F" w:rsidRPr="00E75964">
        <w:rPr>
          <w:rFonts w:ascii="Garamond" w:hAnsi="Garamond"/>
          <w:sz w:val="24"/>
          <w:szCs w:val="24"/>
        </w:rPr>
        <w:t xml:space="preserve"> </w:t>
      </w:r>
      <w:r w:rsidR="00D07CDC">
        <w:rPr>
          <w:rFonts w:ascii="Garamond" w:hAnsi="Garamond"/>
          <w:sz w:val="24"/>
          <w:szCs w:val="24"/>
        </w:rPr>
        <w:t>T</w:t>
      </w:r>
      <w:r w:rsidR="0054403F" w:rsidRPr="00E75964">
        <w:rPr>
          <w:rFonts w:ascii="Garamond" w:hAnsi="Garamond"/>
          <w:sz w:val="24"/>
          <w:szCs w:val="24"/>
        </w:rPr>
        <w:t xml:space="preserve">he Bai and </w:t>
      </w:r>
      <w:proofErr w:type="spellStart"/>
      <w:r w:rsidR="0054403F" w:rsidRPr="00E75964">
        <w:rPr>
          <w:rFonts w:ascii="Garamond" w:hAnsi="Garamond"/>
          <w:sz w:val="24"/>
          <w:szCs w:val="24"/>
        </w:rPr>
        <w:t>Perron</w:t>
      </w:r>
      <w:proofErr w:type="spellEnd"/>
      <w:r w:rsidR="0054403F" w:rsidRPr="00E75964">
        <w:rPr>
          <w:rFonts w:ascii="Garamond" w:hAnsi="Garamond"/>
          <w:sz w:val="24"/>
          <w:szCs w:val="24"/>
        </w:rPr>
        <w:t xml:space="preserve"> (1998) approach is used to determine the structural break in </w:t>
      </w:r>
      <w:r w:rsidR="00D07CDC">
        <w:rPr>
          <w:rFonts w:ascii="Garamond" w:hAnsi="Garamond"/>
          <w:sz w:val="24"/>
          <w:szCs w:val="24"/>
        </w:rPr>
        <w:t xml:space="preserve">the </w:t>
      </w:r>
      <w:r w:rsidR="0054403F" w:rsidRPr="00E75964">
        <w:rPr>
          <w:rFonts w:ascii="Garamond" w:hAnsi="Garamond"/>
          <w:sz w:val="24"/>
          <w:szCs w:val="24"/>
        </w:rPr>
        <w:t>return</w:t>
      </w:r>
      <w:r w:rsidR="00D07CDC">
        <w:rPr>
          <w:rFonts w:ascii="Garamond" w:hAnsi="Garamond"/>
          <w:sz w:val="24"/>
          <w:szCs w:val="24"/>
        </w:rPr>
        <w:t>s</w:t>
      </w:r>
      <w:r w:rsidR="0054403F" w:rsidRPr="00E75964">
        <w:rPr>
          <w:rFonts w:ascii="Garamond" w:hAnsi="Garamond"/>
          <w:sz w:val="24"/>
          <w:szCs w:val="24"/>
        </w:rPr>
        <w:t xml:space="preserve"> series.</w:t>
      </w:r>
      <w:r w:rsidR="00B36F01" w:rsidRPr="00E75964">
        <w:rPr>
          <w:rFonts w:ascii="Garamond" w:hAnsi="Garamond"/>
          <w:sz w:val="24"/>
          <w:szCs w:val="24"/>
        </w:rPr>
        <w:t xml:space="preserve"> </w:t>
      </w:r>
      <w:r w:rsidRPr="00E75964">
        <w:rPr>
          <w:rFonts w:ascii="Garamond" w:hAnsi="Garamond"/>
          <w:sz w:val="24"/>
          <w:szCs w:val="24"/>
        </w:rPr>
        <w:t>The study uses a GARCH process under the assumption that the conditional distribution of the error term,</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t</m:t>
            </m:r>
          </m:sub>
        </m:sSub>
      </m:oMath>
      <w:proofErr w:type="gramStart"/>
      <w:r w:rsidRPr="00E75964">
        <w:rPr>
          <w:rFonts w:ascii="Garamond" w:hAnsi="Garamond"/>
          <w:sz w:val="24"/>
          <w:szCs w:val="24"/>
        </w:rPr>
        <w:t>,</w:t>
      </w:r>
      <w:proofErr w:type="gramEnd"/>
      <w:r w:rsidRPr="00E75964">
        <w:rPr>
          <w:rFonts w:ascii="Garamond" w:hAnsi="Garamond"/>
          <w:sz w:val="24"/>
          <w:szCs w:val="24"/>
        </w:rPr>
        <w:t xml:space="preserve"> follows a </w:t>
      </w:r>
      <w:r w:rsidR="000B5EA8">
        <w:rPr>
          <w:rFonts w:ascii="Garamond" w:hAnsi="Garamond"/>
          <w:sz w:val="24"/>
          <w:szCs w:val="24"/>
        </w:rPr>
        <w:t>Gaussian error distribution</w:t>
      </w:r>
      <w:r w:rsidR="00B36F01" w:rsidRPr="00E75964">
        <w:rPr>
          <w:rFonts w:ascii="Garamond" w:hAnsi="Garamond"/>
          <w:sz w:val="24"/>
          <w:szCs w:val="24"/>
        </w:rPr>
        <w:t>.</w:t>
      </w:r>
    </w:p>
    <w:p w14:paraId="2144F401" w14:textId="556D5739"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To investigate the degree to which the weekend effect is related to firm size, we follow the methodology of Keim (1985) and Brusa et al. (2000). We initially divide all the listed firms on the DSE into ten deciles. We then create three sub-portfolios from them based on </w:t>
      </w:r>
      <w:r w:rsidR="00F73552" w:rsidRPr="00E75964">
        <w:rPr>
          <w:rFonts w:ascii="Garamond" w:hAnsi="Garamond"/>
          <w:sz w:val="24"/>
          <w:szCs w:val="24"/>
        </w:rPr>
        <w:t xml:space="preserve">reverse </w:t>
      </w:r>
      <w:r w:rsidRPr="00E75964">
        <w:rPr>
          <w:rFonts w:ascii="Garamond" w:hAnsi="Garamond"/>
          <w:sz w:val="24"/>
          <w:szCs w:val="24"/>
        </w:rPr>
        <w:t xml:space="preserve">ranking firms’ market values. The firms in the first and second deciles are the “smallest group”, the third to seventh deciles are the “medium sized group” and the last two deciles are the “largest group”. We apply the time varying conditional variance model to judge the significance of </w:t>
      </w:r>
      <w:r w:rsidR="003A7E29" w:rsidRPr="00E75964">
        <w:rPr>
          <w:rFonts w:ascii="Garamond" w:hAnsi="Garamond"/>
          <w:sz w:val="24"/>
          <w:szCs w:val="24"/>
        </w:rPr>
        <w:t xml:space="preserve">returns and volatility of </w:t>
      </w:r>
      <w:r w:rsidRPr="00E75964">
        <w:rPr>
          <w:rFonts w:ascii="Garamond" w:hAnsi="Garamond"/>
          <w:sz w:val="24"/>
          <w:szCs w:val="24"/>
        </w:rPr>
        <w:t>each value weighted sub-portfolio on Sunday. The returns equation is as follows:</w:t>
      </w:r>
    </w:p>
    <w:p w14:paraId="1020EB4D" w14:textId="67BD786F" w:rsidR="00716188" w:rsidRPr="00E75964" w:rsidRDefault="004D62C3" w:rsidP="00CD604B">
      <w:pPr>
        <w:spacing w:line="360" w:lineRule="auto"/>
        <w:jc w:val="both"/>
        <w:rPr>
          <w:rFonts w:ascii="Garamond" w:hAnsi="Garamond"/>
          <w:sz w:val="24"/>
          <w:szCs w:val="24"/>
        </w:rPr>
      </w:pPr>
      <m:oMath>
        <m:sSub>
          <m:sSubPr>
            <m:ctrlPr>
              <w:rPr>
                <w:rFonts w:ascii="Cambria Math" w:hAnsi="Cambria Math"/>
                <w:i/>
                <w:sz w:val="24"/>
                <w:szCs w:val="24"/>
              </w:rPr>
            </m:ctrlPr>
          </m:sSubPr>
          <m:e>
            <m:r>
              <w:rPr>
                <w:rFonts w:ascii="Cambria Math" w:hAnsi="Cambria Math"/>
                <w:sz w:val="24"/>
                <w:szCs w:val="24"/>
              </w:rPr>
              <m:t>RS</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4</m:t>
            </m:r>
          </m:sub>
        </m:sSub>
        <m:sSub>
          <m:sSubPr>
            <m:ctrlPr>
              <w:rPr>
                <w:rFonts w:ascii="Cambria Math" w:hAnsi="Cambria Math"/>
                <w:i/>
                <w:sz w:val="24"/>
                <w:szCs w:val="24"/>
              </w:rPr>
            </m:ctrlPr>
          </m:sSubPr>
          <m:e>
            <m:r>
              <w:rPr>
                <w:rFonts w:ascii="Cambria Math" w:hAnsi="Cambria Math"/>
                <w:sz w:val="24"/>
                <w:szCs w:val="24"/>
              </w:rPr>
              <m:t>RS</m:t>
            </m:r>
          </m:e>
          <m:sub>
            <m:r>
              <w:rPr>
                <w:rFonts w:ascii="Cambria Math" w:hAnsi="Cambria Math"/>
                <w:sz w:val="24"/>
                <w:szCs w:val="24"/>
              </w:rPr>
              <m:t>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t</m:t>
            </m:r>
          </m:sub>
        </m:sSub>
      </m:oMath>
      <w:r w:rsidR="00CE65B6" w:rsidRPr="00E75964">
        <w:rPr>
          <w:rFonts w:ascii="Garamond" w:hAnsi="Garamond"/>
          <w:sz w:val="24"/>
          <w:szCs w:val="24"/>
        </w:rPr>
        <w:t xml:space="preserve">    </w:t>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486E79" w:rsidRPr="00E75964">
        <w:rPr>
          <w:rFonts w:ascii="Garamond" w:hAnsi="Garamond"/>
          <w:sz w:val="24"/>
          <w:szCs w:val="24"/>
        </w:rPr>
        <w:tab/>
      </w:r>
      <w:r w:rsidR="00486E79" w:rsidRPr="00E75964">
        <w:rPr>
          <w:rFonts w:ascii="Garamond" w:hAnsi="Garamond"/>
          <w:sz w:val="24"/>
          <w:szCs w:val="24"/>
        </w:rPr>
        <w:tab/>
      </w:r>
      <w:r w:rsidR="00CE65B6" w:rsidRPr="00E75964">
        <w:rPr>
          <w:rFonts w:ascii="Garamond" w:hAnsi="Garamond"/>
          <w:sz w:val="24"/>
          <w:szCs w:val="24"/>
        </w:rPr>
        <w:t>(</w:t>
      </w:r>
      <w:r w:rsidR="006B58F0">
        <w:rPr>
          <w:rFonts w:ascii="Garamond" w:hAnsi="Garamond"/>
          <w:sz w:val="24"/>
          <w:szCs w:val="24"/>
        </w:rPr>
        <w:t>4</w:t>
      </w:r>
      <w:r w:rsidR="00CE65B6" w:rsidRPr="00E75964">
        <w:rPr>
          <w:rFonts w:ascii="Garamond" w:hAnsi="Garamond"/>
          <w:sz w:val="24"/>
          <w:szCs w:val="24"/>
        </w:rPr>
        <w:t>)</w:t>
      </w:r>
    </w:p>
    <w:p w14:paraId="6F4639DF" w14:textId="4A0A268D"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lastRenderedPageBreak/>
        <w:t xml:space="preserve">Where </w:t>
      </w:r>
      <m:oMath>
        <m:sSub>
          <m:sSubPr>
            <m:ctrlPr>
              <w:rPr>
                <w:rFonts w:ascii="Cambria Math" w:hAnsi="Cambria Math"/>
                <w:i/>
                <w:sz w:val="24"/>
                <w:szCs w:val="24"/>
              </w:rPr>
            </m:ctrlPr>
          </m:sSubPr>
          <m:e>
            <m:r>
              <w:rPr>
                <w:rFonts w:ascii="Cambria Math" w:hAnsi="Cambria Math"/>
                <w:sz w:val="24"/>
                <w:szCs w:val="24"/>
              </w:rPr>
              <m:t>RS</m:t>
            </m:r>
          </m:e>
          <m:sub>
            <m:r>
              <w:rPr>
                <w:rFonts w:ascii="Cambria Math" w:hAnsi="Cambria Math"/>
                <w:sz w:val="24"/>
                <w:szCs w:val="24"/>
              </w:rPr>
              <m:t>t</m:t>
            </m:r>
          </m:sub>
        </m:sSub>
      </m:oMath>
      <w:r w:rsidRPr="00E75964">
        <w:rPr>
          <w:rFonts w:ascii="Garamond" w:hAnsi="Garamond"/>
          <w:sz w:val="24"/>
          <w:szCs w:val="24"/>
        </w:rPr>
        <w:t xml:space="preserve"> is the Sunday return</w:t>
      </w:r>
      <w:r w:rsidR="00D6239B" w:rsidRPr="00E75964">
        <w:rPr>
          <w:rFonts w:ascii="Garamond" w:hAnsi="Garamond"/>
          <w:sz w:val="24"/>
          <w:szCs w:val="24"/>
        </w:rPr>
        <w:t>s</w:t>
      </w:r>
      <w:r w:rsidRPr="00E75964">
        <w:rPr>
          <w:rFonts w:ascii="Garamond" w:hAnsi="Garamond"/>
          <w:sz w:val="24"/>
          <w:szCs w:val="24"/>
        </w:rPr>
        <w:t xml:space="preserve">, </w:t>
      </w:r>
      <m:oMath>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i</m:t>
            </m:r>
          </m:sub>
        </m:sSub>
      </m:oMath>
      <w:r w:rsidRPr="00E75964">
        <w:rPr>
          <w:rFonts w:ascii="Garamond" w:hAnsi="Garamond"/>
          <w:sz w:val="24"/>
          <w:szCs w:val="24"/>
        </w:rPr>
        <w:t xml:space="preserve"> are the value weighted returns of the largest, mid-sized and smallest firms</w:t>
      </w:r>
      <w:r w:rsidR="00D6239B" w:rsidRPr="00E75964">
        <w:rPr>
          <w:rFonts w:ascii="Garamond" w:hAnsi="Garamond"/>
          <w:sz w:val="24"/>
          <w:szCs w:val="24"/>
        </w:rPr>
        <w:t xml:space="preserve"> respectively</w:t>
      </w:r>
      <w:r w:rsidRPr="00E75964">
        <w:rPr>
          <w:rFonts w:ascii="Garamond" w:hAnsi="Garamond"/>
          <w:sz w:val="24"/>
          <w:szCs w:val="24"/>
        </w:rPr>
        <w:t xml:space="preserve"> at time </w:t>
      </w:r>
      <w:r w:rsidRPr="00E75964">
        <w:rPr>
          <w:rFonts w:ascii="Garamond" w:hAnsi="Garamond"/>
          <w:i/>
          <w:sz w:val="24"/>
          <w:szCs w:val="24"/>
        </w:rPr>
        <w:t xml:space="preserve">t, </w:t>
      </w:r>
      <w:r w:rsidRPr="00E75964">
        <w:rPr>
          <w:rFonts w:ascii="Garamond" w:hAnsi="Garamond"/>
          <w:sz w:val="24"/>
          <w:szCs w:val="24"/>
        </w:rPr>
        <w:t xml:space="preserve">and </w:t>
      </w:r>
      <m:oMath>
        <m:sSub>
          <m:sSubPr>
            <m:ctrlPr>
              <w:rPr>
                <w:rFonts w:ascii="Cambria Math" w:hAnsi="Cambria Math"/>
                <w:i/>
                <w:sz w:val="24"/>
                <w:szCs w:val="24"/>
              </w:rPr>
            </m:ctrlPr>
          </m:sSubPr>
          <m:e>
            <m:r>
              <w:rPr>
                <w:rFonts w:ascii="Cambria Math" w:hAnsi="Cambria Math"/>
                <w:sz w:val="24"/>
                <w:szCs w:val="24"/>
              </w:rPr>
              <m:t>RS</m:t>
            </m:r>
          </m:e>
          <m:sub>
            <m:r>
              <w:rPr>
                <w:rFonts w:ascii="Cambria Math" w:hAnsi="Cambria Math"/>
                <w:sz w:val="24"/>
                <w:szCs w:val="24"/>
              </w:rPr>
              <m:t>t-1</m:t>
            </m:r>
          </m:sub>
        </m:sSub>
      </m:oMath>
      <w:r w:rsidRPr="00E75964">
        <w:rPr>
          <w:rFonts w:ascii="Garamond" w:hAnsi="Garamond"/>
          <w:sz w:val="24"/>
          <w:szCs w:val="24"/>
        </w:rPr>
        <w:t xml:space="preserve"> is the one period lag </w:t>
      </w:r>
      <w:r w:rsidR="003A7E29" w:rsidRPr="00E75964">
        <w:rPr>
          <w:rFonts w:ascii="Garamond" w:hAnsi="Garamond"/>
          <w:sz w:val="24"/>
          <w:szCs w:val="24"/>
        </w:rPr>
        <w:t xml:space="preserve">value </w:t>
      </w:r>
      <w:r w:rsidRPr="00E75964">
        <w:rPr>
          <w:rFonts w:ascii="Garamond" w:hAnsi="Garamond"/>
          <w:sz w:val="24"/>
          <w:szCs w:val="24"/>
        </w:rPr>
        <w:t xml:space="preserve">of Sunday returns to minimize the autocorrelation problem. </w:t>
      </w: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t</m:t>
            </m:r>
          </m:sub>
        </m:sSub>
      </m:oMath>
      <w:r w:rsidRPr="00E75964">
        <w:rPr>
          <w:rFonts w:ascii="Garamond" w:hAnsi="Garamond"/>
          <w:sz w:val="24"/>
          <w:szCs w:val="24"/>
        </w:rPr>
        <w:t xml:space="preserve"> </w:t>
      </w:r>
      <w:proofErr w:type="gramStart"/>
      <w:r w:rsidRPr="00E75964">
        <w:rPr>
          <w:rFonts w:ascii="Garamond" w:hAnsi="Garamond"/>
          <w:sz w:val="24"/>
          <w:szCs w:val="24"/>
        </w:rPr>
        <w:t>is</w:t>
      </w:r>
      <w:proofErr w:type="gramEnd"/>
      <w:r w:rsidRPr="00E75964">
        <w:rPr>
          <w:rFonts w:ascii="Garamond" w:hAnsi="Garamond"/>
          <w:sz w:val="24"/>
          <w:szCs w:val="24"/>
        </w:rPr>
        <w:t xml:space="preserve"> the error term that follows the </w:t>
      </w:r>
      <w:r w:rsidR="000B5EA8">
        <w:rPr>
          <w:rFonts w:ascii="Garamond" w:hAnsi="Garamond"/>
          <w:sz w:val="24"/>
          <w:szCs w:val="24"/>
        </w:rPr>
        <w:t>Gaussian error distribution</w:t>
      </w:r>
      <w:r w:rsidR="00B36F01" w:rsidRPr="00E75964">
        <w:rPr>
          <w:rFonts w:ascii="Garamond" w:hAnsi="Garamond"/>
          <w:sz w:val="24"/>
          <w:szCs w:val="24"/>
        </w:rPr>
        <w:t>,</w:t>
      </w:r>
      <w:r w:rsidRPr="00E75964">
        <w:rPr>
          <w:rFonts w:ascii="Garamond" w:hAnsi="Garamond"/>
          <w:sz w:val="24"/>
          <w:szCs w:val="24"/>
        </w:rPr>
        <w:t xml:space="preserve">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m:t>
            </m:r>
          </m:sub>
        </m:sSub>
        <m:r>
          <w:rPr>
            <w:rFonts w:ascii="Cambria Math" w:hAnsi="Cambria Math"/>
            <w:sz w:val="24"/>
            <w:szCs w:val="24"/>
          </w:rPr>
          <m:t xml:space="preserve"> </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0,</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m:t>
                    </m:r>
                  </m:sub>
                </m:sSub>
              </m:e>
            </m:d>
          </m:e>
        </m:d>
      </m:oMath>
      <w:r w:rsidRPr="00E75964">
        <w:rPr>
          <w:rFonts w:ascii="Garamond" w:hAnsi="Garamond"/>
          <w:sz w:val="24"/>
          <w:szCs w:val="24"/>
        </w:rPr>
        <w:t xml:space="preserve">. Based on the statistical significance of each sub-portfolio, </w:t>
      </w:r>
      <w:r w:rsidR="00E14B5B" w:rsidRPr="00E75964">
        <w:rPr>
          <w:rFonts w:ascii="Garamond" w:hAnsi="Garamond"/>
          <w:sz w:val="24"/>
          <w:szCs w:val="24"/>
        </w:rPr>
        <w:t>i.e.</w:t>
      </w:r>
      <w:proofErr w:type="gramStart"/>
      <w:r w:rsidR="00E14B5B" w:rsidRPr="00E75964">
        <w:rPr>
          <w:rFonts w:ascii="Garamond" w:hAnsi="Garamond"/>
          <w:sz w:val="24"/>
          <w:szCs w:val="24"/>
        </w:rPr>
        <w:t>,</w:t>
      </w:r>
      <w:r w:rsidRPr="00E75964">
        <w:rPr>
          <w:rFonts w:ascii="Garamond" w:hAnsi="Garamond"/>
          <w:sz w:val="24"/>
          <w:szCs w:val="24"/>
        </w:rPr>
        <w:t xml:space="preserve"> </w:t>
      </w:r>
      <w:proofErr w:type="gramEnd"/>
      <m:oMath>
        <m:r>
          <w:rPr>
            <w:rFonts w:ascii="Cambria Math" w:hAnsi="Cambria Math"/>
            <w:sz w:val="24"/>
            <w:szCs w:val="24"/>
          </w:rPr>
          <m:t>ψ</m:t>
        </m:r>
      </m:oMath>
      <w:r w:rsidRPr="00E75964">
        <w:rPr>
          <w:rFonts w:ascii="Garamond" w:hAnsi="Garamond"/>
          <w:sz w:val="24"/>
          <w:szCs w:val="24"/>
        </w:rPr>
        <w:t>, we should be able to assert which category of investors and their trading activities influence</w:t>
      </w:r>
      <w:r w:rsidR="00F73552" w:rsidRPr="00E75964">
        <w:rPr>
          <w:rFonts w:ascii="Garamond" w:hAnsi="Garamond"/>
          <w:sz w:val="24"/>
          <w:szCs w:val="24"/>
        </w:rPr>
        <w:t>s</w:t>
      </w:r>
      <w:r w:rsidRPr="00E75964">
        <w:rPr>
          <w:rFonts w:ascii="Garamond" w:hAnsi="Garamond"/>
          <w:sz w:val="24"/>
          <w:szCs w:val="24"/>
        </w:rPr>
        <w:t xml:space="preserve"> the Sunday returns. </w:t>
      </w:r>
    </w:p>
    <w:p w14:paraId="742715B9" w14:textId="77777777"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Next, we use a modified variance equation to examine how the volatility of each sub-portfolio affects the variance of Sunday returns:</w:t>
      </w:r>
    </w:p>
    <w:p w14:paraId="1A7941D6" w14:textId="43D4E992" w:rsidR="00CE65B6" w:rsidRPr="00E75964" w:rsidRDefault="004D62C3" w:rsidP="00CD604B">
      <w:pPr>
        <w:spacing w:line="360" w:lineRule="auto"/>
        <w:jc w:val="both"/>
        <w:rPr>
          <w:rFonts w:ascii="Garamond" w:hAnsi="Garamond"/>
          <w:sz w:val="24"/>
          <w:szCs w:val="24"/>
          <w:lang w:val="fr-FR"/>
        </w:rPr>
      </w:pPr>
      <m:oMath>
        <m:sSub>
          <m:sSubPr>
            <m:ctrlPr>
              <w:rPr>
                <w:rFonts w:ascii="Cambria Math" w:hAnsi="Cambria Math"/>
                <w:i/>
                <w:sz w:val="24"/>
                <w:szCs w:val="24"/>
              </w:rPr>
            </m:ctrlPr>
          </m:sSubPr>
          <m:e>
            <m:r>
              <w:rPr>
                <w:rFonts w:ascii="Cambria Math" w:hAnsi="Cambria Math"/>
                <w:sz w:val="24"/>
                <w:szCs w:val="24"/>
                <w:lang w:val="fr-FR"/>
              </w:rPr>
              <m:t>h</m:t>
            </m:r>
          </m:e>
          <m:sub>
            <m:r>
              <w:rPr>
                <w:rFonts w:ascii="Cambria Math" w:hAnsi="Cambria Math"/>
                <w:sz w:val="24"/>
                <w:szCs w:val="24"/>
              </w:rPr>
              <m:t>t</m:t>
            </m:r>
          </m:sub>
        </m:sSub>
        <m:r>
          <w:rPr>
            <w:rFonts w:ascii="Cambria Math" w:hAnsi="Cambria Math"/>
            <w:sz w:val="24"/>
            <w:szCs w:val="24"/>
            <w:lang w:val="fr-FR"/>
          </w:rPr>
          <m:t>=</m:t>
        </m:r>
        <m:r>
          <w:rPr>
            <w:rFonts w:ascii="Cambria Math" w:hAnsi="Cambria Math"/>
            <w:sz w:val="24"/>
            <w:szCs w:val="24"/>
          </w:rPr>
          <m:t>ω</m:t>
        </m:r>
        <m:r>
          <w:rPr>
            <w:rFonts w:ascii="Cambria Math" w:hAnsi="Cambria Math"/>
            <w:sz w:val="24"/>
            <w:szCs w:val="24"/>
            <w:lang w:val="fr-FR"/>
          </w:rPr>
          <m:t>+</m:t>
        </m:r>
        <m:r>
          <w:rPr>
            <w:rFonts w:ascii="Cambria Math" w:hAnsi="Cambria Math"/>
            <w:sz w:val="24"/>
            <w:szCs w:val="24"/>
          </w:rPr>
          <m:t>α</m:t>
        </m:r>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t</m:t>
            </m:r>
            <m:r>
              <w:rPr>
                <w:rFonts w:ascii="Cambria Math" w:hAnsi="Cambria Math"/>
                <w:sz w:val="24"/>
                <w:szCs w:val="24"/>
                <w:lang w:val="fr-FR"/>
              </w:rPr>
              <m:t>-1</m:t>
            </m:r>
          </m:sub>
          <m:sup>
            <m:r>
              <w:rPr>
                <w:rFonts w:ascii="Cambria Math" w:hAnsi="Cambria Math"/>
                <w:sz w:val="24"/>
                <w:szCs w:val="24"/>
                <w:lang w:val="fr-FR"/>
              </w:rPr>
              <m:t>2</m:t>
            </m:r>
          </m:sup>
        </m:sSubSup>
        <m:r>
          <w:rPr>
            <w:rFonts w:ascii="Cambria Math" w:hAnsi="Cambria Math"/>
            <w:sz w:val="24"/>
            <w:szCs w:val="24"/>
            <w:lang w:val="fr-FR"/>
          </w:rPr>
          <m:t>+</m:t>
        </m:r>
        <m:r>
          <w:rPr>
            <w:rFonts w:ascii="Cambria Math" w:hAnsi="Cambria Math"/>
            <w:sz w:val="24"/>
            <w:szCs w:val="24"/>
          </w:rPr>
          <m:t>β</m:t>
        </m:r>
        <m:sSubSup>
          <m:sSubSupPr>
            <m:ctrlPr>
              <w:rPr>
                <w:rFonts w:ascii="Cambria Math" w:hAnsi="Cambria Math"/>
                <w:i/>
                <w:sz w:val="24"/>
                <w:szCs w:val="24"/>
              </w:rPr>
            </m:ctrlPr>
          </m:sSubSupPr>
          <m:e>
            <m:r>
              <w:rPr>
                <w:rFonts w:ascii="Cambria Math" w:hAnsi="Cambria Math"/>
                <w:sz w:val="24"/>
                <w:szCs w:val="24"/>
                <w:lang w:val="fr-FR"/>
              </w:rPr>
              <m:t>h</m:t>
            </m:r>
          </m:e>
          <m:sub>
            <m:r>
              <w:rPr>
                <w:rFonts w:ascii="Cambria Math" w:hAnsi="Cambria Math"/>
                <w:sz w:val="24"/>
                <w:szCs w:val="24"/>
              </w:rPr>
              <m:t>t</m:t>
            </m:r>
            <m:r>
              <w:rPr>
                <w:rFonts w:ascii="Cambria Math" w:hAnsi="Cambria Math"/>
                <w:sz w:val="24"/>
                <w:szCs w:val="24"/>
                <w:lang w:val="fr-FR"/>
              </w:rPr>
              <m:t>-1</m:t>
            </m:r>
          </m:sub>
          <m:sup>
            <m:r>
              <w:rPr>
                <w:rFonts w:ascii="Cambria Math" w:hAnsi="Cambria Math"/>
                <w:sz w:val="24"/>
                <w:szCs w:val="24"/>
                <w:lang w:val="fr-FR"/>
              </w:rPr>
              <m:t>2</m:t>
            </m:r>
          </m:sup>
        </m:sSubSup>
        <m:r>
          <w:rPr>
            <w:rFonts w:ascii="Cambria Math" w:hAnsi="Cambria Math"/>
            <w:sz w:val="24"/>
            <w:szCs w:val="24"/>
            <w:lang w:val="fr-FR"/>
          </w:rPr>
          <m:t>+</m:t>
        </m:r>
        <m:nary>
          <m:naryPr>
            <m:chr m:val="∑"/>
            <m:limLoc m:val="undOvr"/>
            <m:ctrlPr>
              <w:rPr>
                <w:rFonts w:ascii="Cambria Math" w:hAnsi="Cambria Math"/>
                <w:i/>
                <w:sz w:val="24"/>
                <w:szCs w:val="24"/>
              </w:rPr>
            </m:ctrlPr>
          </m:naryPr>
          <m:sub>
            <m:r>
              <w:rPr>
                <w:rFonts w:ascii="Cambria Math" w:hAnsi="Cambria Math"/>
                <w:sz w:val="24"/>
                <w:szCs w:val="24"/>
                <w:lang w:val="fr-FR"/>
              </w:rPr>
              <m:t>i=1</m:t>
            </m:r>
          </m:sub>
          <m:sup>
            <m:r>
              <w:rPr>
                <w:rFonts w:ascii="Cambria Math" w:hAnsi="Cambria Math"/>
                <w:sz w:val="24"/>
                <w:szCs w:val="24"/>
              </w:rPr>
              <m:t>p</m:t>
            </m:r>
          </m:sup>
          <m:e>
            <m:sSub>
              <m:sSubPr>
                <m:ctrlPr>
                  <w:rPr>
                    <w:rFonts w:ascii="Cambria Math" w:hAnsi="Cambria Math"/>
                    <w:i/>
                    <w:sz w:val="24"/>
                    <w:szCs w:val="24"/>
                  </w:rPr>
                </m:ctrlPr>
              </m:sSubPr>
              <m:e>
                <m:r>
                  <w:rPr>
                    <w:rFonts w:ascii="Cambria Math" w:hAnsi="Cambria Math"/>
                    <w:sz w:val="24"/>
                    <w:szCs w:val="24"/>
                  </w:rPr>
                  <m:t>ξ</m:t>
                </m:r>
              </m:e>
              <m:sub>
                <m:r>
                  <w:rPr>
                    <w:rFonts w:ascii="Cambria Math" w:hAnsi="Cambria Math"/>
                    <w:sz w:val="24"/>
                    <w:szCs w:val="24"/>
                  </w:rPr>
                  <m:t>i</m:t>
                </m:r>
              </m:sub>
            </m:sSub>
          </m:e>
        </m:nary>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i</m:t>
            </m:r>
          </m:sub>
        </m:sSub>
      </m:oMath>
      <w:r w:rsidR="00CE65B6" w:rsidRPr="00E75964">
        <w:rPr>
          <w:rFonts w:ascii="Garamond" w:hAnsi="Garamond"/>
          <w:sz w:val="24"/>
          <w:szCs w:val="24"/>
          <w:lang w:val="fr-FR"/>
        </w:rPr>
        <w:t xml:space="preserve"> </w:t>
      </w:r>
      <w:r w:rsidR="00CE65B6" w:rsidRPr="00E75964">
        <w:rPr>
          <w:rFonts w:ascii="Garamond" w:hAnsi="Garamond"/>
          <w:sz w:val="24"/>
          <w:szCs w:val="24"/>
          <w:lang w:val="fr-FR"/>
        </w:rPr>
        <w:tab/>
      </w:r>
      <w:r w:rsidR="00CE65B6" w:rsidRPr="00E75964">
        <w:rPr>
          <w:rFonts w:ascii="Garamond" w:hAnsi="Garamond"/>
          <w:sz w:val="24"/>
          <w:szCs w:val="24"/>
          <w:lang w:val="fr-FR"/>
        </w:rPr>
        <w:tab/>
      </w:r>
      <w:r w:rsidR="00CE65B6" w:rsidRPr="00E75964">
        <w:rPr>
          <w:rFonts w:ascii="Garamond" w:hAnsi="Garamond"/>
          <w:sz w:val="24"/>
          <w:szCs w:val="24"/>
          <w:lang w:val="fr-FR"/>
        </w:rPr>
        <w:tab/>
      </w:r>
      <w:r w:rsidR="00CE65B6" w:rsidRPr="00E75964">
        <w:rPr>
          <w:rFonts w:ascii="Garamond" w:hAnsi="Garamond"/>
          <w:sz w:val="24"/>
          <w:szCs w:val="24"/>
          <w:lang w:val="fr-FR"/>
        </w:rPr>
        <w:tab/>
      </w:r>
      <w:r w:rsidR="00CE65B6" w:rsidRPr="00E75964">
        <w:rPr>
          <w:rFonts w:ascii="Garamond" w:hAnsi="Garamond"/>
          <w:sz w:val="24"/>
          <w:szCs w:val="24"/>
          <w:lang w:val="fr-FR"/>
        </w:rPr>
        <w:tab/>
      </w:r>
      <w:r w:rsidR="00CE65B6" w:rsidRPr="00E75964">
        <w:rPr>
          <w:rFonts w:ascii="Garamond" w:hAnsi="Garamond"/>
          <w:sz w:val="24"/>
          <w:szCs w:val="24"/>
          <w:lang w:val="fr-FR"/>
        </w:rPr>
        <w:tab/>
      </w:r>
      <w:r w:rsidR="00CE65B6" w:rsidRPr="00E75964">
        <w:rPr>
          <w:rFonts w:ascii="Garamond" w:hAnsi="Garamond"/>
          <w:sz w:val="24"/>
          <w:szCs w:val="24"/>
          <w:lang w:val="fr-FR"/>
        </w:rPr>
        <w:tab/>
        <w:t>(</w:t>
      </w:r>
      <w:r w:rsidR="006B58F0">
        <w:rPr>
          <w:rFonts w:ascii="Garamond" w:hAnsi="Garamond"/>
          <w:sz w:val="24"/>
          <w:szCs w:val="24"/>
          <w:lang w:val="fr-FR"/>
        </w:rPr>
        <w:t>5</w:t>
      </w:r>
      <w:r w:rsidR="00CE65B6" w:rsidRPr="00E75964">
        <w:rPr>
          <w:rFonts w:ascii="Garamond" w:hAnsi="Garamond"/>
          <w:sz w:val="24"/>
          <w:szCs w:val="24"/>
          <w:lang w:val="fr-FR"/>
        </w:rPr>
        <w:t>)</w:t>
      </w:r>
    </w:p>
    <w:p w14:paraId="38DF6A50" w14:textId="3C0810C5"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Where </w:t>
      </w:r>
      <m:oMath>
        <m:r>
          <w:rPr>
            <w:rFonts w:ascii="Cambria Math" w:hAnsi="Cambria Math"/>
            <w:sz w:val="24"/>
            <w:szCs w:val="24"/>
          </w:rPr>
          <m:t>ξ</m:t>
        </m:r>
      </m:oMath>
      <w:r w:rsidRPr="00E75964">
        <w:rPr>
          <w:rFonts w:ascii="Garamond" w:hAnsi="Garamond"/>
          <w:sz w:val="24"/>
          <w:szCs w:val="24"/>
        </w:rPr>
        <w:t xml:space="preserve"> is the exogenous variable, </w:t>
      </w:r>
      <w:r w:rsidR="00E14B5B" w:rsidRPr="00E75964">
        <w:rPr>
          <w:rFonts w:ascii="Garamond" w:hAnsi="Garamond"/>
          <w:sz w:val="24"/>
          <w:szCs w:val="24"/>
        </w:rPr>
        <w:t>i.e.,</w:t>
      </w:r>
      <w:r w:rsidRPr="00E75964">
        <w:rPr>
          <w:rFonts w:ascii="Garamond" w:hAnsi="Garamond"/>
          <w:sz w:val="24"/>
          <w:szCs w:val="24"/>
        </w:rPr>
        <w:t xml:space="preserve"> each sub-portfolio, and </w:t>
      </w:r>
      <m:oMath>
        <m:r>
          <w:rPr>
            <w:rFonts w:ascii="Cambria Math" w:hAnsi="Cambria Math"/>
            <w:sz w:val="24"/>
            <w:szCs w:val="24"/>
          </w:rPr>
          <m:t>π</m:t>
        </m:r>
      </m:oMath>
      <w:r w:rsidRPr="00E75964">
        <w:rPr>
          <w:rFonts w:ascii="Garamond" w:hAnsi="Garamond"/>
          <w:sz w:val="24"/>
          <w:szCs w:val="24"/>
        </w:rPr>
        <w:t xml:space="preserve"> is the corresponding coefficient. </w:t>
      </w:r>
      <w:r w:rsidR="000B5EA8">
        <w:rPr>
          <w:rFonts w:ascii="Garamond" w:hAnsi="Garamond"/>
          <w:sz w:val="24"/>
          <w:szCs w:val="24"/>
        </w:rPr>
        <w:t>I</w:t>
      </w:r>
      <w:r w:rsidRPr="00E75964">
        <w:rPr>
          <w:rFonts w:ascii="Garamond" w:hAnsi="Garamond"/>
          <w:sz w:val="24"/>
          <w:szCs w:val="24"/>
        </w:rPr>
        <w:t xml:space="preserve">f </w:t>
      </w:r>
      <m:oMath>
        <m:r>
          <w:rPr>
            <w:rFonts w:ascii="Cambria Math" w:hAnsi="Cambria Math"/>
            <w:sz w:val="24"/>
            <w:szCs w:val="24"/>
          </w:rPr>
          <m:t>π</m:t>
        </m:r>
      </m:oMath>
      <w:r w:rsidRPr="00E75964">
        <w:rPr>
          <w:rFonts w:ascii="Garamond" w:hAnsi="Garamond"/>
          <w:sz w:val="24"/>
          <w:szCs w:val="24"/>
        </w:rPr>
        <w:t xml:space="preserve"> is found to be statistically significant for any portfolio then we can state that the weekend effect on volatility is the result of </w:t>
      </w:r>
      <w:r w:rsidR="000B5EA8">
        <w:rPr>
          <w:rFonts w:ascii="Garamond" w:hAnsi="Garamond"/>
          <w:sz w:val="24"/>
          <w:szCs w:val="24"/>
        </w:rPr>
        <w:t xml:space="preserve">the </w:t>
      </w:r>
      <w:r w:rsidRPr="00E75964">
        <w:rPr>
          <w:rFonts w:ascii="Garamond" w:hAnsi="Garamond"/>
          <w:sz w:val="24"/>
          <w:szCs w:val="24"/>
        </w:rPr>
        <w:t xml:space="preserve">trading patterns of </w:t>
      </w:r>
      <w:r w:rsidR="006E1EB0" w:rsidRPr="00E75964">
        <w:rPr>
          <w:rFonts w:ascii="Garamond" w:hAnsi="Garamond"/>
          <w:sz w:val="24"/>
          <w:szCs w:val="24"/>
        </w:rPr>
        <w:t>a certain group of investors</w:t>
      </w:r>
      <w:r w:rsidR="00F73552" w:rsidRPr="00E75964">
        <w:rPr>
          <w:rFonts w:ascii="Garamond" w:hAnsi="Garamond"/>
          <w:sz w:val="24"/>
          <w:szCs w:val="24"/>
        </w:rPr>
        <w:t>,</w:t>
      </w:r>
      <w:r w:rsidR="006E1EB0" w:rsidRPr="00E75964">
        <w:rPr>
          <w:rFonts w:ascii="Garamond" w:hAnsi="Garamond"/>
          <w:sz w:val="24"/>
          <w:szCs w:val="24"/>
        </w:rPr>
        <w:t xml:space="preserve"> since investors have different preferences for risk</w:t>
      </w:r>
      <w:r w:rsidR="00680676" w:rsidRPr="00E75964">
        <w:rPr>
          <w:rFonts w:ascii="Garamond" w:hAnsi="Garamond"/>
          <w:sz w:val="24"/>
          <w:szCs w:val="24"/>
        </w:rPr>
        <w:t xml:space="preserve"> holding</w:t>
      </w:r>
      <w:r w:rsidR="006E1EB0" w:rsidRPr="00E75964">
        <w:rPr>
          <w:rFonts w:ascii="Garamond" w:hAnsi="Garamond"/>
          <w:sz w:val="24"/>
          <w:szCs w:val="24"/>
        </w:rPr>
        <w:t>.</w:t>
      </w:r>
    </w:p>
    <w:p w14:paraId="6DFE420C" w14:textId="60C531E2" w:rsidR="00CE65B6" w:rsidRPr="00E75964" w:rsidRDefault="00CE65B6" w:rsidP="00CD604B">
      <w:pPr>
        <w:spacing w:line="360" w:lineRule="auto"/>
        <w:jc w:val="both"/>
        <w:rPr>
          <w:rFonts w:ascii="Garamond" w:hAnsi="Garamond"/>
          <w:color w:val="FF0000"/>
          <w:sz w:val="24"/>
          <w:szCs w:val="24"/>
        </w:rPr>
      </w:pPr>
      <w:r w:rsidRPr="00E75964">
        <w:rPr>
          <w:rFonts w:ascii="Garamond" w:hAnsi="Garamond"/>
          <w:sz w:val="24"/>
          <w:szCs w:val="24"/>
        </w:rPr>
        <w:t>Further, we investigate how the dividend preference of equity investors influences the weekend effect. If individuals’ trading activity determines the pattern of returns and variance on Sunday then it should be reflected in lower dividend paying firms. Therefore</w:t>
      </w:r>
      <w:r w:rsidR="008D70AF" w:rsidRPr="00E75964">
        <w:rPr>
          <w:rFonts w:ascii="Garamond" w:hAnsi="Garamond"/>
          <w:sz w:val="24"/>
          <w:szCs w:val="24"/>
        </w:rPr>
        <w:t>,</w:t>
      </w:r>
      <w:r w:rsidRPr="00E75964">
        <w:rPr>
          <w:rFonts w:ascii="Garamond" w:hAnsi="Garamond"/>
          <w:sz w:val="24"/>
          <w:szCs w:val="24"/>
        </w:rPr>
        <w:t xml:space="preserve"> we further break down all the listed firms on the DSE into two portfolios (</w:t>
      </w:r>
      <w:r w:rsidR="00E14B5B" w:rsidRPr="00E75964">
        <w:rPr>
          <w:rFonts w:ascii="Garamond" w:hAnsi="Garamond"/>
          <w:sz w:val="24"/>
          <w:szCs w:val="24"/>
        </w:rPr>
        <w:t>i.e.,</w:t>
      </w:r>
      <w:r w:rsidRPr="00E75964">
        <w:rPr>
          <w:rFonts w:ascii="Garamond" w:hAnsi="Garamond"/>
          <w:sz w:val="24"/>
          <w:szCs w:val="24"/>
        </w:rPr>
        <w:t xml:space="preserve"> high and low dividend yield portfolios) based on the daily value weighted dividend yield from January 2000 to </w:t>
      </w:r>
      <w:r w:rsidR="00E47F57" w:rsidRPr="00E75964">
        <w:rPr>
          <w:rFonts w:ascii="Garamond" w:hAnsi="Garamond"/>
          <w:sz w:val="24"/>
          <w:szCs w:val="24"/>
        </w:rPr>
        <w:t>June</w:t>
      </w:r>
      <w:r w:rsidRPr="00E75964">
        <w:rPr>
          <w:rFonts w:ascii="Garamond" w:hAnsi="Garamond"/>
          <w:sz w:val="24"/>
          <w:szCs w:val="24"/>
        </w:rPr>
        <w:t xml:space="preserve"> 201</w:t>
      </w:r>
      <w:r w:rsidR="00E47F57" w:rsidRPr="00E75964">
        <w:rPr>
          <w:rFonts w:ascii="Garamond" w:hAnsi="Garamond"/>
          <w:sz w:val="24"/>
          <w:szCs w:val="24"/>
        </w:rPr>
        <w:t>7</w:t>
      </w:r>
      <w:r w:rsidRPr="00E75964">
        <w:rPr>
          <w:rFonts w:ascii="Garamond" w:hAnsi="Garamond"/>
          <w:sz w:val="24"/>
          <w:szCs w:val="24"/>
        </w:rPr>
        <w:t>. We use median dividend yield to define the categories, where high dividend yield firms have larger annual median dividend yields than low dividend yield firms. The use of the value weighted dividend yield helps us to control the size effect and make the estimation unbiased</w:t>
      </w:r>
      <w:r w:rsidR="00680676" w:rsidRPr="00E75964">
        <w:rPr>
          <w:rStyle w:val="FootnoteReference"/>
          <w:rFonts w:ascii="Garamond" w:hAnsi="Garamond"/>
          <w:sz w:val="24"/>
          <w:szCs w:val="24"/>
        </w:rPr>
        <w:footnoteReference w:id="4"/>
      </w:r>
      <w:r w:rsidRPr="00E75964">
        <w:rPr>
          <w:rFonts w:ascii="Garamond" w:hAnsi="Garamond"/>
          <w:sz w:val="24"/>
          <w:szCs w:val="24"/>
        </w:rPr>
        <w:t>. Finally, we run the time varying conditional variance model as stated in equations (</w:t>
      </w:r>
      <w:r w:rsidR="00DC27C5">
        <w:rPr>
          <w:rFonts w:ascii="Garamond" w:hAnsi="Garamond"/>
          <w:sz w:val="24"/>
          <w:szCs w:val="24"/>
        </w:rPr>
        <w:t>6</w:t>
      </w:r>
      <w:r w:rsidRPr="00E75964">
        <w:rPr>
          <w:rFonts w:ascii="Garamond" w:hAnsi="Garamond"/>
          <w:sz w:val="24"/>
          <w:szCs w:val="24"/>
        </w:rPr>
        <w:t>) and (</w:t>
      </w:r>
      <w:r w:rsidR="00DC27C5">
        <w:rPr>
          <w:rFonts w:ascii="Garamond" w:hAnsi="Garamond"/>
          <w:sz w:val="24"/>
          <w:szCs w:val="24"/>
        </w:rPr>
        <w:t>7</w:t>
      </w:r>
      <w:r w:rsidRPr="00E75964">
        <w:rPr>
          <w:rFonts w:ascii="Garamond" w:hAnsi="Garamond"/>
          <w:sz w:val="24"/>
          <w:szCs w:val="24"/>
        </w:rPr>
        <w:t>) for each portfolio to see which type of stock activity influences the returns and variance on Sunday:</w:t>
      </w:r>
    </w:p>
    <w:p w14:paraId="4E38AF09" w14:textId="72CF1EE6" w:rsidR="00CE65B6" w:rsidRPr="00E75964" w:rsidRDefault="004D62C3" w:rsidP="00CD604B">
      <w:pPr>
        <w:spacing w:line="360" w:lineRule="auto"/>
        <w:jc w:val="both"/>
        <w:rPr>
          <w:rFonts w:ascii="Garamond" w:hAnsi="Garamond"/>
          <w:sz w:val="24"/>
          <w:szCs w:val="24"/>
        </w:rPr>
      </w:pPr>
      <m:oMath>
        <m:sSub>
          <m:sSubPr>
            <m:ctrlPr>
              <w:rPr>
                <w:rFonts w:ascii="Cambria Math" w:hAnsi="Cambria Math"/>
                <w:i/>
                <w:sz w:val="24"/>
                <w:szCs w:val="24"/>
              </w:rPr>
            </m:ctrlPr>
          </m:sSubPr>
          <m:e>
            <m:r>
              <w:rPr>
                <w:rFonts w:ascii="Cambria Math" w:hAnsi="Cambria Math"/>
                <w:sz w:val="24"/>
                <w:szCs w:val="24"/>
              </w:rPr>
              <m:t>RS</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1t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2t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st-1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t</m:t>
            </m:r>
          </m:sub>
        </m:sSub>
      </m:oMath>
      <w:r w:rsidR="00CE65B6" w:rsidRPr="00E75964">
        <w:rPr>
          <w:rFonts w:ascii="Garamond" w:hAnsi="Garamond"/>
          <w:sz w:val="24"/>
          <w:szCs w:val="24"/>
        </w:rPr>
        <w:t xml:space="preserve">    </w:t>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486E79" w:rsidRPr="00E75964">
        <w:rPr>
          <w:rFonts w:ascii="Garamond" w:hAnsi="Garamond"/>
          <w:sz w:val="24"/>
          <w:szCs w:val="24"/>
        </w:rPr>
        <w:tab/>
      </w:r>
      <w:r w:rsidR="00CE65B6" w:rsidRPr="00E75964">
        <w:rPr>
          <w:rFonts w:ascii="Garamond" w:hAnsi="Garamond"/>
          <w:sz w:val="24"/>
          <w:szCs w:val="24"/>
        </w:rPr>
        <w:t>(</w:t>
      </w:r>
      <w:r w:rsidR="006B58F0">
        <w:rPr>
          <w:rFonts w:ascii="Garamond" w:hAnsi="Garamond"/>
          <w:sz w:val="24"/>
          <w:szCs w:val="24"/>
        </w:rPr>
        <w:t>6</w:t>
      </w:r>
      <w:r w:rsidR="00CE65B6" w:rsidRPr="00E75964">
        <w:rPr>
          <w:rFonts w:ascii="Garamond" w:hAnsi="Garamond"/>
          <w:sz w:val="24"/>
          <w:szCs w:val="24"/>
        </w:rPr>
        <w:t>)</w:t>
      </w:r>
    </w:p>
    <w:p w14:paraId="6F9FBCAA" w14:textId="62CB711E" w:rsidR="00CE65B6" w:rsidRPr="00E75964" w:rsidRDefault="004D62C3" w:rsidP="00CD604B">
      <w:pPr>
        <w:spacing w:line="360" w:lineRule="auto"/>
        <w:jc w:val="both"/>
        <w:rPr>
          <w:rFonts w:ascii="Garamond" w:hAnsi="Garamond"/>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m:t>
            </m:r>
          </m:sub>
        </m:sSub>
        <m:r>
          <w:rPr>
            <w:rFonts w:ascii="Cambria Math" w:hAnsi="Cambria Math"/>
            <w:sz w:val="24"/>
            <w:szCs w:val="24"/>
          </w:rPr>
          <m:t>=ω+α</m:t>
        </m:r>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+β</m:t>
        </m:r>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m=1</m:t>
            </m:r>
          </m:sub>
          <m:sup>
            <m:r>
              <w:rPr>
                <w:rFonts w:ascii="Cambria Math" w:hAnsi="Cambria Math"/>
                <w:sz w:val="24"/>
                <w:szCs w:val="24"/>
              </w:rPr>
              <m:t>q</m:t>
            </m:r>
          </m:sup>
          <m:e>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m</m:t>
                </m:r>
              </m:sub>
            </m:sSub>
          </m:e>
        </m:nary>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m</m:t>
            </m:r>
          </m:sub>
        </m:sSub>
      </m:oMath>
      <w:r w:rsidR="00E213FE" w:rsidRPr="00E75964">
        <w:rPr>
          <w:rFonts w:ascii="Garamond" w:hAnsi="Garamond"/>
          <w:sz w:val="24"/>
          <w:szCs w:val="24"/>
        </w:rPr>
        <w:t xml:space="preserve"> </w:t>
      </w:r>
      <w:r w:rsidR="00E213FE" w:rsidRPr="00E75964">
        <w:rPr>
          <w:rFonts w:ascii="Garamond" w:hAnsi="Garamond"/>
          <w:sz w:val="24"/>
          <w:szCs w:val="24"/>
        </w:rPr>
        <w:tab/>
      </w:r>
      <w:r w:rsidR="00E213FE" w:rsidRPr="00E75964">
        <w:rPr>
          <w:rFonts w:ascii="Garamond" w:hAnsi="Garamond"/>
          <w:sz w:val="24"/>
          <w:szCs w:val="24"/>
        </w:rPr>
        <w:tab/>
      </w:r>
      <w:r w:rsidR="00E213FE" w:rsidRPr="00E75964">
        <w:rPr>
          <w:rFonts w:ascii="Garamond" w:hAnsi="Garamond"/>
          <w:sz w:val="24"/>
          <w:szCs w:val="24"/>
        </w:rPr>
        <w:tab/>
      </w:r>
      <w:r w:rsidR="00E213FE" w:rsidRPr="00E75964">
        <w:rPr>
          <w:rFonts w:ascii="Garamond" w:hAnsi="Garamond"/>
          <w:sz w:val="24"/>
          <w:szCs w:val="24"/>
        </w:rPr>
        <w:tab/>
      </w:r>
      <w:r w:rsidR="00E213FE" w:rsidRPr="00E75964">
        <w:rPr>
          <w:rFonts w:ascii="Garamond" w:hAnsi="Garamond"/>
          <w:sz w:val="24"/>
          <w:szCs w:val="24"/>
        </w:rPr>
        <w:tab/>
      </w:r>
      <w:r w:rsidR="00E213FE" w:rsidRPr="00E75964">
        <w:rPr>
          <w:rFonts w:ascii="Garamond" w:hAnsi="Garamond"/>
          <w:sz w:val="24"/>
          <w:szCs w:val="24"/>
        </w:rPr>
        <w:tab/>
        <w:t xml:space="preserve">          </w:t>
      </w:r>
      <w:r w:rsidR="00486E79" w:rsidRPr="00E75964">
        <w:rPr>
          <w:rFonts w:ascii="Garamond" w:hAnsi="Garamond"/>
          <w:sz w:val="24"/>
          <w:szCs w:val="24"/>
        </w:rPr>
        <w:t>(</w:t>
      </w:r>
      <w:r w:rsidR="006B58F0">
        <w:rPr>
          <w:rFonts w:ascii="Garamond" w:hAnsi="Garamond"/>
          <w:sz w:val="24"/>
          <w:szCs w:val="24"/>
        </w:rPr>
        <w:t>7</w:t>
      </w:r>
      <w:r w:rsidR="00CE65B6" w:rsidRPr="00E75964">
        <w:rPr>
          <w:rFonts w:ascii="Garamond" w:hAnsi="Garamond"/>
          <w:sz w:val="24"/>
          <w:szCs w:val="24"/>
        </w:rPr>
        <w:t>)</w:t>
      </w:r>
    </w:p>
    <w:p w14:paraId="5E15C223" w14:textId="7DC79EA7" w:rsidR="00CE65B6" w:rsidRPr="00E75964" w:rsidRDefault="00111741" w:rsidP="00CD604B">
      <w:pPr>
        <w:spacing w:line="360" w:lineRule="auto"/>
        <w:jc w:val="both"/>
        <w:rPr>
          <w:rFonts w:ascii="Garamond" w:hAnsi="Garamond"/>
          <w:sz w:val="24"/>
          <w:szCs w:val="24"/>
        </w:rPr>
      </w:pPr>
      <w:proofErr w:type="gramStart"/>
      <w:r w:rsidRPr="00E75964">
        <w:rPr>
          <w:rFonts w:ascii="Garamond" w:hAnsi="Garamond"/>
          <w:sz w:val="24"/>
          <w:szCs w:val="24"/>
        </w:rPr>
        <w:lastRenderedPageBreak/>
        <w:t>w</w:t>
      </w:r>
      <w:r w:rsidR="00CE65B6" w:rsidRPr="00E75964">
        <w:rPr>
          <w:rFonts w:ascii="Garamond" w:hAnsi="Garamond"/>
          <w:sz w:val="24"/>
          <w:szCs w:val="24"/>
        </w:rPr>
        <w:t>here</w:t>
      </w:r>
      <w:proofErr w:type="gramEnd"/>
      <w:r w:rsidR="00CE65B6" w:rsidRPr="00E75964">
        <w:rPr>
          <w:rFonts w:ascii="Garamond" w:hAnsi="Garamond"/>
          <w:sz w:val="24"/>
          <w:szCs w:val="24"/>
        </w:rPr>
        <w:t xml:space="preserve"> </w:t>
      </w:r>
      <m:oMath>
        <m:sSub>
          <m:sSubPr>
            <m:ctrlPr>
              <w:rPr>
                <w:rFonts w:ascii="Cambria Math" w:hAnsi="Cambria Math"/>
                <w:i/>
                <w:sz w:val="24"/>
                <w:szCs w:val="24"/>
              </w:rPr>
            </m:ctrlPr>
          </m:sSubPr>
          <m:e>
            <m:r>
              <w:rPr>
                <w:rFonts w:ascii="Cambria Math" w:hAnsi="Cambria Math"/>
                <w:sz w:val="24"/>
                <w:szCs w:val="24"/>
              </w:rPr>
              <m:t>RS</m:t>
            </m:r>
          </m:e>
          <m:sub>
            <m:r>
              <w:rPr>
                <w:rFonts w:ascii="Cambria Math" w:hAnsi="Cambria Math"/>
                <w:sz w:val="24"/>
                <w:szCs w:val="24"/>
              </w:rPr>
              <m:t>t</m:t>
            </m:r>
          </m:sub>
        </m:sSub>
      </m:oMath>
      <w:r w:rsidR="00CE65B6" w:rsidRPr="00E75964">
        <w:rPr>
          <w:rFonts w:ascii="Garamond" w:hAnsi="Garamond"/>
          <w:sz w:val="24"/>
          <w:szCs w:val="24"/>
        </w:rPr>
        <w:t xml:space="preserve"> is the Sunday returns and </w:t>
      </w:r>
      <m:oMath>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1t</m:t>
            </m:r>
          </m:sub>
        </m:sSub>
      </m:oMath>
      <w:r w:rsidR="00AE3904" w:rsidRPr="00E75964">
        <w:rPr>
          <w:rFonts w:ascii="Garamond" w:hAnsi="Garamond"/>
          <w:sz w:val="24"/>
          <w:szCs w:val="24"/>
        </w:rPr>
        <w:t xml:space="preserve"> and</w:t>
      </w:r>
      <w:r w:rsidR="00486E79" w:rsidRPr="00E75964">
        <w:rPr>
          <w:rFonts w:ascii="Garamond" w:hAnsi="Garamond"/>
          <w:sz w:val="24"/>
          <w:szCs w:val="24"/>
        </w:rPr>
        <w:t xml:space="preserve"> </w:t>
      </w:r>
      <m:oMath>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2t</m:t>
            </m:r>
          </m:sub>
        </m:sSub>
      </m:oMath>
      <w:r w:rsidR="00CE65B6" w:rsidRPr="00E75964">
        <w:rPr>
          <w:rFonts w:ascii="Garamond" w:hAnsi="Garamond"/>
          <w:sz w:val="24"/>
          <w:szCs w:val="24"/>
        </w:rPr>
        <w:t xml:space="preserve"> are the portfolios (low and high</w:t>
      </w:r>
      <w:r w:rsidR="005A5F05" w:rsidRPr="00E75964">
        <w:rPr>
          <w:rFonts w:ascii="Garamond" w:hAnsi="Garamond"/>
          <w:sz w:val="24"/>
          <w:szCs w:val="24"/>
        </w:rPr>
        <w:t xml:space="preserve"> respectively</w:t>
      </w:r>
      <w:r w:rsidR="00CE65B6" w:rsidRPr="00E75964">
        <w:rPr>
          <w:rFonts w:ascii="Garamond" w:hAnsi="Garamond"/>
          <w:sz w:val="24"/>
          <w:szCs w:val="24"/>
        </w:rPr>
        <w:t>) based on dividend yields</w:t>
      </w:r>
      <w:r w:rsidR="00AE3904" w:rsidRPr="00E75964">
        <w:rPr>
          <w:rFonts w:ascii="Garamond" w:hAnsi="Garamond"/>
          <w:sz w:val="24"/>
          <w:szCs w:val="24"/>
        </w:rPr>
        <w:t>. In equation (</w:t>
      </w:r>
      <w:r w:rsidR="00DC27C5">
        <w:rPr>
          <w:rFonts w:ascii="Garamond" w:hAnsi="Garamond"/>
          <w:sz w:val="24"/>
          <w:szCs w:val="24"/>
        </w:rPr>
        <w:t>7</w:t>
      </w:r>
      <w:r w:rsidR="00AE3904" w:rsidRPr="00E75964">
        <w:rPr>
          <w:rFonts w:ascii="Garamond" w:hAnsi="Garamond"/>
          <w:sz w:val="24"/>
          <w:szCs w:val="24"/>
        </w:rPr>
        <w:t xml:space="preserve">),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m</m:t>
            </m:r>
          </m:sub>
        </m:sSub>
      </m:oMath>
      <w:r w:rsidR="00AE3904" w:rsidRPr="00E75964">
        <w:rPr>
          <w:rFonts w:ascii="Garamond" w:hAnsi="Garamond"/>
          <w:sz w:val="24"/>
          <w:szCs w:val="24"/>
        </w:rPr>
        <w:t xml:space="preserve"> represents the vector of portfolios with low and high yield dividend-paying firms</w:t>
      </w:r>
      <w:r w:rsidR="00CE65B6" w:rsidRPr="00E75964">
        <w:rPr>
          <w:rFonts w:ascii="Garamond" w:hAnsi="Garamond"/>
          <w:sz w:val="24"/>
          <w:szCs w:val="24"/>
        </w:rPr>
        <w:t xml:space="preserve">. To minimize the problem of autocorrelation between returns we use the one period lag of Sunday </w:t>
      </w:r>
      <w:proofErr w:type="gramStart"/>
      <w:r w:rsidR="00CE65B6" w:rsidRPr="00E75964">
        <w:rPr>
          <w:rFonts w:ascii="Garamond" w:hAnsi="Garamond"/>
          <w:sz w:val="24"/>
          <w:szCs w:val="24"/>
        </w:rPr>
        <w:t xml:space="preserve">returns </w:t>
      </w:r>
      <w:proofErr w:type="gramEnd"/>
      <m:oMath>
        <m:sSub>
          <m:sSubPr>
            <m:ctrlPr>
              <w:rPr>
                <w:rFonts w:ascii="Cambria Math" w:hAnsi="Cambria Math"/>
                <w:i/>
                <w:sz w:val="24"/>
                <w:szCs w:val="24"/>
              </w:rPr>
            </m:ctrlPr>
          </m:sSubPr>
          <m:e>
            <m:r>
              <w:rPr>
                <w:rFonts w:ascii="Cambria Math" w:hAnsi="Cambria Math"/>
                <w:sz w:val="24"/>
                <w:szCs w:val="24"/>
              </w:rPr>
              <m:t>RS</m:t>
            </m:r>
          </m:e>
          <m:sub>
            <m:r>
              <w:rPr>
                <w:rFonts w:ascii="Cambria Math" w:hAnsi="Cambria Math"/>
                <w:sz w:val="24"/>
                <w:szCs w:val="24"/>
              </w:rPr>
              <m:t>t-1</m:t>
            </m:r>
          </m:sub>
        </m:sSub>
      </m:oMath>
      <w:r w:rsidR="00CE65B6" w:rsidRPr="00E75964">
        <w:rPr>
          <w:rFonts w:ascii="Garamond" w:hAnsi="Garamond"/>
          <w:sz w:val="24"/>
          <w:szCs w:val="24"/>
        </w:rPr>
        <w:t xml:space="preserve">. We assume that the error term </w:t>
      </w: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t</m:t>
            </m:r>
          </m:sub>
        </m:sSub>
      </m:oMath>
      <w:r w:rsidR="00CE65B6" w:rsidRPr="00E75964">
        <w:rPr>
          <w:rFonts w:ascii="Garamond" w:hAnsi="Garamond"/>
          <w:sz w:val="24"/>
          <w:szCs w:val="24"/>
        </w:rPr>
        <w:t xml:space="preserve"> follows the </w:t>
      </w:r>
      <w:r w:rsidR="000B5EA8">
        <w:rPr>
          <w:rFonts w:ascii="Garamond" w:hAnsi="Garamond"/>
          <w:sz w:val="24"/>
          <w:szCs w:val="24"/>
        </w:rPr>
        <w:t>Gaussian error distribution</w:t>
      </w:r>
      <w:r w:rsidR="00CE65B6" w:rsidRPr="00E75964">
        <w:rPr>
          <w:rFonts w:ascii="Garamond" w:hAnsi="Garamond"/>
          <w:sz w:val="24"/>
          <w:szCs w:val="24"/>
        </w:rPr>
        <w:t xml:space="preserve">. Based on the statistical significance of each coefficient for the sub-portfolios, i.e. </w:t>
      </w:r>
      <m:oMath>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oMath>
      <w:r w:rsidR="00CE65B6" w:rsidRPr="00E75964">
        <w:rPr>
          <w:rFonts w:ascii="Garamond" w:hAnsi="Garamond"/>
          <w:sz w:val="24"/>
          <w:szCs w:val="24"/>
        </w:rPr>
        <w:t xml:space="preserve"> and </w:t>
      </w:r>
      <m:oMath>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2</m:t>
            </m:r>
          </m:sub>
        </m:sSub>
      </m:oMath>
      <w:r w:rsidR="00CE65B6" w:rsidRPr="00E75964">
        <w:rPr>
          <w:rFonts w:ascii="Garamond" w:hAnsi="Garamond"/>
          <w:sz w:val="24"/>
          <w:szCs w:val="24"/>
        </w:rPr>
        <w:t xml:space="preserve"> in the returns equation and </w:t>
      </w:r>
      <m:oMath>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m</m:t>
            </m:r>
          </m:sub>
        </m:sSub>
      </m:oMath>
      <w:r w:rsidR="00CE65B6" w:rsidRPr="00E75964">
        <w:rPr>
          <w:rFonts w:ascii="Garamond" w:hAnsi="Garamond"/>
          <w:sz w:val="24"/>
          <w:szCs w:val="24"/>
        </w:rPr>
        <w:t xml:space="preserve"> in the variance equation, we should be able to compare the influence of institutions’ and individuals’ trading patterns on Sunday. </w:t>
      </w:r>
    </w:p>
    <w:p w14:paraId="03C5A6A3" w14:textId="3603D2B6" w:rsidR="00CE65B6" w:rsidRPr="00E75964" w:rsidRDefault="006E62A7" w:rsidP="00112B72">
      <w:pPr>
        <w:pStyle w:val="Heading1"/>
        <w:spacing w:after="200" w:line="360" w:lineRule="auto"/>
        <w:contextualSpacing/>
        <w:rPr>
          <w:rFonts w:ascii="Garamond" w:hAnsi="Garamond"/>
          <w:color w:val="auto"/>
          <w:sz w:val="24"/>
          <w:szCs w:val="24"/>
        </w:rPr>
      </w:pPr>
      <w:bookmarkStart w:id="4" w:name="_Toc413318945"/>
      <w:r w:rsidRPr="00E75964">
        <w:rPr>
          <w:rFonts w:ascii="Garamond" w:hAnsi="Garamond"/>
          <w:color w:val="auto"/>
          <w:sz w:val="24"/>
          <w:szCs w:val="24"/>
        </w:rPr>
        <w:t>4</w:t>
      </w:r>
      <w:r w:rsidR="008B5793" w:rsidRPr="00E75964">
        <w:rPr>
          <w:rFonts w:ascii="Garamond" w:hAnsi="Garamond"/>
          <w:color w:val="auto"/>
          <w:sz w:val="24"/>
          <w:szCs w:val="24"/>
        </w:rPr>
        <w:t>.</w:t>
      </w:r>
      <w:r w:rsidR="00112B72" w:rsidRPr="00E75964">
        <w:rPr>
          <w:rFonts w:ascii="Garamond" w:hAnsi="Garamond"/>
          <w:color w:val="auto"/>
          <w:sz w:val="24"/>
          <w:szCs w:val="24"/>
        </w:rPr>
        <w:t xml:space="preserve"> </w:t>
      </w:r>
      <w:r w:rsidR="00CE65B6" w:rsidRPr="00E75964">
        <w:rPr>
          <w:rFonts w:ascii="Garamond" w:hAnsi="Garamond"/>
          <w:color w:val="auto"/>
          <w:sz w:val="24"/>
          <w:szCs w:val="24"/>
        </w:rPr>
        <w:t>Empirical Results</w:t>
      </w:r>
      <w:bookmarkEnd w:id="4"/>
    </w:p>
    <w:p w14:paraId="38D04F11" w14:textId="52387DEA" w:rsidR="00CE65B6" w:rsidRPr="00E75964" w:rsidRDefault="006E62A7" w:rsidP="00EE65A7">
      <w:pPr>
        <w:pStyle w:val="Heading2"/>
        <w:spacing w:after="200" w:line="360" w:lineRule="auto"/>
        <w:rPr>
          <w:rFonts w:ascii="Garamond" w:hAnsi="Garamond"/>
          <w:color w:val="auto"/>
          <w:sz w:val="24"/>
          <w:szCs w:val="24"/>
        </w:rPr>
      </w:pPr>
      <w:bookmarkStart w:id="5" w:name="_Toc413318946"/>
      <w:r w:rsidRPr="00E75964">
        <w:rPr>
          <w:rFonts w:ascii="Garamond" w:hAnsi="Garamond"/>
          <w:color w:val="auto"/>
          <w:sz w:val="24"/>
          <w:szCs w:val="24"/>
        </w:rPr>
        <w:t>4</w:t>
      </w:r>
      <w:r w:rsidR="00112B72" w:rsidRPr="00E75964">
        <w:rPr>
          <w:rFonts w:ascii="Garamond" w:hAnsi="Garamond"/>
          <w:color w:val="auto"/>
          <w:sz w:val="24"/>
          <w:szCs w:val="24"/>
        </w:rPr>
        <w:t xml:space="preserve">.1 </w:t>
      </w:r>
      <w:r w:rsidR="00CE65B6" w:rsidRPr="00E75964">
        <w:rPr>
          <w:rFonts w:ascii="Garamond" w:hAnsi="Garamond"/>
          <w:color w:val="auto"/>
          <w:sz w:val="24"/>
          <w:szCs w:val="24"/>
        </w:rPr>
        <w:t>Summary of the Data</w:t>
      </w:r>
      <w:bookmarkEnd w:id="5"/>
    </w:p>
    <w:p w14:paraId="2A75FEB7" w14:textId="1BB00E3D" w:rsidR="008637FC" w:rsidRPr="00E75964" w:rsidRDefault="00CE65B6" w:rsidP="006627D0">
      <w:pPr>
        <w:spacing w:line="360" w:lineRule="auto"/>
        <w:jc w:val="both"/>
        <w:rPr>
          <w:rFonts w:ascii="Garamond" w:hAnsi="Garamond"/>
          <w:color w:val="000000" w:themeColor="text1"/>
          <w:sz w:val="24"/>
          <w:szCs w:val="24"/>
        </w:rPr>
      </w:pPr>
      <w:r w:rsidRPr="00E75964">
        <w:rPr>
          <w:rFonts w:ascii="Garamond" w:hAnsi="Garamond"/>
          <w:color w:val="000000" w:themeColor="text1"/>
          <w:sz w:val="24"/>
          <w:szCs w:val="24"/>
        </w:rPr>
        <w:t xml:space="preserve">Table </w:t>
      </w:r>
      <w:r w:rsidR="00AE3904" w:rsidRPr="00E75964">
        <w:rPr>
          <w:rFonts w:ascii="Garamond" w:hAnsi="Garamond"/>
          <w:color w:val="000000" w:themeColor="text1"/>
          <w:sz w:val="24"/>
          <w:szCs w:val="24"/>
        </w:rPr>
        <w:t>2</w:t>
      </w:r>
      <w:r w:rsidRPr="00E75964">
        <w:rPr>
          <w:rFonts w:ascii="Garamond" w:hAnsi="Garamond"/>
          <w:color w:val="000000" w:themeColor="text1"/>
          <w:sz w:val="24"/>
          <w:szCs w:val="24"/>
        </w:rPr>
        <w:t xml:space="preserve"> presents the summary statistics of the daily returns generated from the DSE All-Share price index.  </w:t>
      </w:r>
    </w:p>
    <w:p w14:paraId="48220F88" w14:textId="77777777" w:rsidR="004D62C3" w:rsidRDefault="00CE65B6" w:rsidP="004D62C3">
      <w:pPr>
        <w:spacing w:after="0"/>
        <w:rPr>
          <w:rFonts w:ascii="Garamond" w:hAnsi="Garamond"/>
          <w:b/>
          <w:sz w:val="24"/>
          <w:szCs w:val="24"/>
        </w:rPr>
      </w:pPr>
      <w:r w:rsidRPr="00E75964">
        <w:rPr>
          <w:rFonts w:ascii="Garamond" w:hAnsi="Garamond"/>
          <w:b/>
          <w:sz w:val="24"/>
          <w:szCs w:val="24"/>
        </w:rPr>
        <w:t xml:space="preserve">Table </w:t>
      </w:r>
      <w:r w:rsidR="00AE3904" w:rsidRPr="00E75964">
        <w:rPr>
          <w:rFonts w:ascii="Garamond" w:hAnsi="Garamond"/>
          <w:b/>
          <w:sz w:val="24"/>
          <w:szCs w:val="24"/>
        </w:rPr>
        <w:t>2</w:t>
      </w:r>
    </w:p>
    <w:p w14:paraId="0BB98D86" w14:textId="2F68F7C6" w:rsidR="00CE65B6" w:rsidRPr="004D62C3" w:rsidRDefault="00CE65B6" w:rsidP="004D62C3">
      <w:pPr>
        <w:spacing w:after="0"/>
        <w:rPr>
          <w:rFonts w:ascii="Garamond" w:hAnsi="Garamond"/>
          <w:sz w:val="24"/>
          <w:szCs w:val="24"/>
        </w:rPr>
      </w:pPr>
      <w:r w:rsidRPr="004D62C3">
        <w:rPr>
          <w:rFonts w:ascii="Garamond" w:hAnsi="Garamond"/>
          <w:sz w:val="24"/>
          <w:szCs w:val="24"/>
        </w:rPr>
        <w:t xml:space="preserve">Summary </w:t>
      </w:r>
      <w:r w:rsidR="00B95820">
        <w:rPr>
          <w:rFonts w:ascii="Garamond" w:hAnsi="Garamond"/>
          <w:sz w:val="24"/>
          <w:szCs w:val="24"/>
        </w:rPr>
        <w:t>s</w:t>
      </w:r>
      <w:r w:rsidRPr="004D62C3">
        <w:rPr>
          <w:rFonts w:ascii="Garamond" w:hAnsi="Garamond"/>
          <w:sz w:val="24"/>
          <w:szCs w:val="24"/>
        </w:rPr>
        <w:t xml:space="preserve">tatistics of </w:t>
      </w:r>
      <w:r w:rsidR="00B95820">
        <w:rPr>
          <w:rFonts w:ascii="Garamond" w:hAnsi="Garamond"/>
          <w:sz w:val="24"/>
          <w:szCs w:val="24"/>
        </w:rPr>
        <w:t>d</w:t>
      </w:r>
      <w:r w:rsidRPr="004D62C3">
        <w:rPr>
          <w:rFonts w:ascii="Garamond" w:hAnsi="Garamond"/>
          <w:sz w:val="24"/>
          <w:szCs w:val="24"/>
        </w:rPr>
        <w:t xml:space="preserve">aily </w:t>
      </w:r>
      <w:r w:rsidR="00B95820">
        <w:rPr>
          <w:rFonts w:ascii="Garamond" w:hAnsi="Garamond"/>
          <w:sz w:val="24"/>
          <w:szCs w:val="24"/>
        </w:rPr>
        <w:t>r</w:t>
      </w:r>
      <w:r w:rsidRPr="004D62C3">
        <w:rPr>
          <w:rFonts w:ascii="Garamond" w:hAnsi="Garamond"/>
          <w:sz w:val="24"/>
          <w:szCs w:val="24"/>
        </w:rPr>
        <w:t>eturns on the DSE</w:t>
      </w:r>
      <w:r w:rsidR="00B95820">
        <w:rPr>
          <w:rFonts w:ascii="Garamond" w:hAnsi="Garamond"/>
          <w:sz w:val="24"/>
          <w:szCs w:val="24"/>
        </w:rPr>
        <w:t>.</w:t>
      </w:r>
    </w:p>
    <w:tbl>
      <w:tblPr>
        <w:tblW w:w="9963" w:type="dxa"/>
        <w:jc w:val="center"/>
        <w:tblLook w:val="04A0" w:firstRow="1" w:lastRow="0" w:firstColumn="1" w:lastColumn="0" w:noHBand="0" w:noVBand="1"/>
      </w:tblPr>
      <w:tblGrid>
        <w:gridCol w:w="1667"/>
        <w:gridCol w:w="1327"/>
        <w:gridCol w:w="1414"/>
        <w:gridCol w:w="1327"/>
        <w:gridCol w:w="1327"/>
        <w:gridCol w:w="1487"/>
        <w:gridCol w:w="1414"/>
      </w:tblGrid>
      <w:tr w:rsidR="00665A74" w:rsidRPr="00E75964" w14:paraId="187190C4" w14:textId="77777777" w:rsidTr="00B66478">
        <w:trPr>
          <w:trHeight w:val="300"/>
          <w:jc w:val="center"/>
        </w:trPr>
        <w:tc>
          <w:tcPr>
            <w:tcW w:w="1667" w:type="dxa"/>
            <w:tcBorders>
              <w:top w:val="single" w:sz="4" w:space="0" w:color="auto"/>
            </w:tcBorders>
            <w:shd w:val="clear" w:color="auto" w:fill="auto"/>
            <w:noWrap/>
            <w:vAlign w:val="bottom"/>
            <w:hideMark/>
          </w:tcPr>
          <w:p w14:paraId="6876F564" w14:textId="77777777" w:rsidR="00E00949" w:rsidRPr="00E75964" w:rsidRDefault="00E00949" w:rsidP="00E00949">
            <w:pPr>
              <w:spacing w:after="0" w:line="240" w:lineRule="auto"/>
              <w:rPr>
                <w:rFonts w:ascii="Garamond" w:eastAsia="Times New Roman" w:hAnsi="Garamond" w:cs="Times New Roman"/>
                <w:sz w:val="24"/>
                <w:szCs w:val="24"/>
                <w:lang w:bidi="bn-IN"/>
              </w:rPr>
            </w:pPr>
          </w:p>
        </w:tc>
        <w:tc>
          <w:tcPr>
            <w:tcW w:w="0" w:type="auto"/>
            <w:tcBorders>
              <w:top w:val="single" w:sz="4" w:space="0" w:color="auto"/>
            </w:tcBorders>
            <w:shd w:val="clear" w:color="auto" w:fill="auto"/>
            <w:noWrap/>
            <w:vAlign w:val="bottom"/>
            <w:hideMark/>
          </w:tcPr>
          <w:p w14:paraId="329EAF54" w14:textId="77777777"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All days</w:t>
            </w:r>
          </w:p>
          <w:p w14:paraId="36B0E182" w14:textId="31415676" w:rsidR="00B66478" w:rsidRPr="00E75964" w:rsidRDefault="00B66478" w:rsidP="00E00949">
            <w:pPr>
              <w:spacing w:after="0" w:line="240" w:lineRule="auto"/>
              <w:jc w:val="center"/>
              <w:rPr>
                <w:rFonts w:ascii="Garamond" w:eastAsia="Times New Roman" w:hAnsi="Garamond" w:cs="Calibri"/>
                <w:sz w:val="24"/>
                <w:szCs w:val="24"/>
                <w:lang w:bidi="bn-IN"/>
              </w:rPr>
            </w:pPr>
          </w:p>
        </w:tc>
        <w:tc>
          <w:tcPr>
            <w:tcW w:w="0" w:type="auto"/>
            <w:tcBorders>
              <w:top w:val="single" w:sz="4" w:space="0" w:color="auto"/>
            </w:tcBorders>
            <w:shd w:val="clear" w:color="auto" w:fill="auto"/>
            <w:noWrap/>
            <w:vAlign w:val="bottom"/>
            <w:hideMark/>
          </w:tcPr>
          <w:p w14:paraId="316C241A" w14:textId="77777777"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Sunday</w:t>
            </w:r>
          </w:p>
          <w:p w14:paraId="3AC80C72" w14:textId="0CB907C7" w:rsidR="00B66478" w:rsidRPr="00E75964" w:rsidRDefault="00B66478" w:rsidP="00E00949">
            <w:pPr>
              <w:spacing w:after="0" w:line="240" w:lineRule="auto"/>
              <w:jc w:val="center"/>
              <w:rPr>
                <w:rFonts w:ascii="Garamond" w:eastAsia="Times New Roman" w:hAnsi="Garamond" w:cs="Calibri"/>
                <w:sz w:val="24"/>
                <w:szCs w:val="24"/>
                <w:lang w:bidi="bn-IN"/>
              </w:rPr>
            </w:pPr>
          </w:p>
        </w:tc>
        <w:tc>
          <w:tcPr>
            <w:tcW w:w="0" w:type="auto"/>
            <w:tcBorders>
              <w:top w:val="single" w:sz="4" w:space="0" w:color="auto"/>
            </w:tcBorders>
            <w:shd w:val="clear" w:color="auto" w:fill="auto"/>
            <w:noWrap/>
            <w:vAlign w:val="bottom"/>
            <w:hideMark/>
          </w:tcPr>
          <w:p w14:paraId="6B00E057" w14:textId="77777777"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Monday</w:t>
            </w:r>
          </w:p>
          <w:p w14:paraId="2792518D" w14:textId="1CB1C5E0" w:rsidR="00B66478" w:rsidRPr="00E75964" w:rsidRDefault="00B66478" w:rsidP="00E00949">
            <w:pPr>
              <w:spacing w:after="0" w:line="240" w:lineRule="auto"/>
              <w:jc w:val="center"/>
              <w:rPr>
                <w:rFonts w:ascii="Garamond" w:eastAsia="Times New Roman" w:hAnsi="Garamond" w:cs="Calibri"/>
                <w:sz w:val="24"/>
                <w:szCs w:val="24"/>
                <w:lang w:bidi="bn-IN"/>
              </w:rPr>
            </w:pPr>
          </w:p>
        </w:tc>
        <w:tc>
          <w:tcPr>
            <w:tcW w:w="0" w:type="auto"/>
            <w:tcBorders>
              <w:top w:val="single" w:sz="4" w:space="0" w:color="auto"/>
            </w:tcBorders>
            <w:shd w:val="clear" w:color="auto" w:fill="auto"/>
            <w:noWrap/>
            <w:vAlign w:val="bottom"/>
            <w:hideMark/>
          </w:tcPr>
          <w:p w14:paraId="15864FE2" w14:textId="77777777"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Tuesday</w:t>
            </w:r>
          </w:p>
          <w:p w14:paraId="334F436C" w14:textId="1BAB4BC4" w:rsidR="00B66478" w:rsidRPr="00E75964" w:rsidRDefault="00B66478" w:rsidP="00E00949">
            <w:pPr>
              <w:spacing w:after="0" w:line="240" w:lineRule="auto"/>
              <w:jc w:val="center"/>
              <w:rPr>
                <w:rFonts w:ascii="Garamond" w:eastAsia="Times New Roman" w:hAnsi="Garamond" w:cs="Calibri"/>
                <w:sz w:val="24"/>
                <w:szCs w:val="24"/>
                <w:lang w:bidi="bn-IN"/>
              </w:rPr>
            </w:pPr>
          </w:p>
        </w:tc>
        <w:tc>
          <w:tcPr>
            <w:tcW w:w="0" w:type="auto"/>
            <w:tcBorders>
              <w:top w:val="single" w:sz="4" w:space="0" w:color="auto"/>
            </w:tcBorders>
            <w:shd w:val="clear" w:color="auto" w:fill="auto"/>
            <w:noWrap/>
            <w:vAlign w:val="bottom"/>
            <w:hideMark/>
          </w:tcPr>
          <w:p w14:paraId="66D0371D" w14:textId="77777777"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Wednesday</w:t>
            </w:r>
          </w:p>
          <w:p w14:paraId="02DA5EBB" w14:textId="5CB354FC" w:rsidR="00B66478" w:rsidRPr="00E75964" w:rsidRDefault="00B66478" w:rsidP="00E00949">
            <w:pPr>
              <w:spacing w:after="0" w:line="240" w:lineRule="auto"/>
              <w:jc w:val="center"/>
              <w:rPr>
                <w:rFonts w:ascii="Garamond" w:eastAsia="Times New Roman" w:hAnsi="Garamond" w:cs="Calibri"/>
                <w:sz w:val="24"/>
                <w:szCs w:val="24"/>
                <w:lang w:bidi="bn-IN"/>
              </w:rPr>
            </w:pPr>
          </w:p>
        </w:tc>
        <w:tc>
          <w:tcPr>
            <w:tcW w:w="0" w:type="auto"/>
            <w:tcBorders>
              <w:top w:val="single" w:sz="4" w:space="0" w:color="auto"/>
            </w:tcBorders>
            <w:shd w:val="clear" w:color="auto" w:fill="auto"/>
            <w:noWrap/>
            <w:vAlign w:val="bottom"/>
            <w:hideMark/>
          </w:tcPr>
          <w:p w14:paraId="7B85CEE5" w14:textId="77777777"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Thursday</w:t>
            </w:r>
          </w:p>
          <w:p w14:paraId="0E70CCE8" w14:textId="5CDF3F21" w:rsidR="00B66478" w:rsidRPr="00E75964" w:rsidRDefault="00B66478" w:rsidP="00E00949">
            <w:pPr>
              <w:spacing w:after="0" w:line="240" w:lineRule="auto"/>
              <w:jc w:val="center"/>
              <w:rPr>
                <w:rFonts w:ascii="Garamond" w:eastAsia="Times New Roman" w:hAnsi="Garamond" w:cs="Calibri"/>
                <w:sz w:val="24"/>
                <w:szCs w:val="24"/>
                <w:lang w:bidi="bn-IN"/>
              </w:rPr>
            </w:pPr>
          </w:p>
        </w:tc>
      </w:tr>
      <w:tr w:rsidR="00665A74" w:rsidRPr="00E75964" w14:paraId="33DED8EA" w14:textId="77777777" w:rsidTr="00B66478">
        <w:trPr>
          <w:trHeight w:val="300"/>
          <w:jc w:val="center"/>
        </w:trPr>
        <w:tc>
          <w:tcPr>
            <w:tcW w:w="1667" w:type="dxa"/>
            <w:tcBorders>
              <w:bottom w:val="single" w:sz="4" w:space="0" w:color="auto"/>
            </w:tcBorders>
            <w:shd w:val="clear" w:color="auto" w:fill="auto"/>
            <w:noWrap/>
            <w:vAlign w:val="bottom"/>
          </w:tcPr>
          <w:p w14:paraId="57CB6753" w14:textId="77777777" w:rsidR="00E00949" w:rsidRPr="00E75964" w:rsidRDefault="00E00949" w:rsidP="00E00949">
            <w:pPr>
              <w:spacing w:after="0" w:line="240" w:lineRule="auto"/>
              <w:rPr>
                <w:rFonts w:ascii="Garamond" w:eastAsia="Times New Roman" w:hAnsi="Garamond" w:cs="Times New Roman"/>
                <w:sz w:val="24"/>
                <w:szCs w:val="24"/>
                <w:lang w:bidi="bn-IN"/>
              </w:rPr>
            </w:pPr>
          </w:p>
        </w:tc>
        <w:tc>
          <w:tcPr>
            <w:tcW w:w="0" w:type="auto"/>
            <w:tcBorders>
              <w:bottom w:val="single" w:sz="4" w:space="0" w:color="auto"/>
            </w:tcBorders>
            <w:shd w:val="clear" w:color="auto" w:fill="auto"/>
            <w:noWrap/>
            <w:vAlign w:val="bottom"/>
          </w:tcPr>
          <w:p w14:paraId="3147B6DE" w14:textId="77777777" w:rsidR="00E00949" w:rsidRPr="00E75964" w:rsidRDefault="00E00949" w:rsidP="00E00949">
            <w:pPr>
              <w:spacing w:after="0" w:line="240" w:lineRule="auto"/>
              <w:jc w:val="center"/>
              <w:rPr>
                <w:rFonts w:ascii="Garamond" w:eastAsia="Times New Roman" w:hAnsi="Garamond" w:cs="Calibri"/>
                <w:sz w:val="24"/>
                <w:szCs w:val="24"/>
                <w:lang w:bidi="bn-IN"/>
              </w:rPr>
            </w:pPr>
          </w:p>
        </w:tc>
        <w:tc>
          <w:tcPr>
            <w:tcW w:w="0" w:type="auto"/>
            <w:tcBorders>
              <w:bottom w:val="single" w:sz="4" w:space="0" w:color="auto"/>
            </w:tcBorders>
            <w:shd w:val="clear" w:color="auto" w:fill="auto"/>
            <w:noWrap/>
            <w:vAlign w:val="bottom"/>
          </w:tcPr>
          <w:p w14:paraId="273F22B7" w14:textId="77777777" w:rsidR="00E00949" w:rsidRPr="00E75964" w:rsidRDefault="00E00949" w:rsidP="00E00949">
            <w:pPr>
              <w:spacing w:after="0" w:line="240" w:lineRule="auto"/>
              <w:jc w:val="center"/>
              <w:rPr>
                <w:rFonts w:ascii="Garamond" w:eastAsia="Times New Roman" w:hAnsi="Garamond" w:cs="Calibri"/>
                <w:sz w:val="24"/>
                <w:szCs w:val="24"/>
                <w:lang w:bidi="bn-IN"/>
              </w:rPr>
            </w:pPr>
          </w:p>
        </w:tc>
        <w:tc>
          <w:tcPr>
            <w:tcW w:w="0" w:type="auto"/>
            <w:tcBorders>
              <w:bottom w:val="single" w:sz="4" w:space="0" w:color="auto"/>
            </w:tcBorders>
            <w:shd w:val="clear" w:color="auto" w:fill="auto"/>
            <w:noWrap/>
            <w:vAlign w:val="bottom"/>
          </w:tcPr>
          <w:p w14:paraId="3C238592" w14:textId="77777777" w:rsidR="00E00949" w:rsidRPr="00E75964" w:rsidRDefault="00E00949" w:rsidP="00E00949">
            <w:pPr>
              <w:spacing w:after="0" w:line="240" w:lineRule="auto"/>
              <w:jc w:val="center"/>
              <w:rPr>
                <w:rFonts w:ascii="Garamond" w:eastAsia="Times New Roman" w:hAnsi="Garamond" w:cs="Calibri"/>
                <w:sz w:val="24"/>
                <w:szCs w:val="24"/>
                <w:lang w:bidi="bn-IN"/>
              </w:rPr>
            </w:pPr>
          </w:p>
        </w:tc>
        <w:tc>
          <w:tcPr>
            <w:tcW w:w="0" w:type="auto"/>
            <w:tcBorders>
              <w:bottom w:val="single" w:sz="4" w:space="0" w:color="auto"/>
            </w:tcBorders>
            <w:shd w:val="clear" w:color="auto" w:fill="auto"/>
            <w:noWrap/>
            <w:vAlign w:val="bottom"/>
          </w:tcPr>
          <w:p w14:paraId="39C809A2" w14:textId="77777777" w:rsidR="00E00949" w:rsidRPr="00E75964" w:rsidRDefault="00E00949" w:rsidP="00E00949">
            <w:pPr>
              <w:spacing w:after="0" w:line="240" w:lineRule="auto"/>
              <w:jc w:val="center"/>
              <w:rPr>
                <w:rFonts w:ascii="Garamond" w:eastAsia="Times New Roman" w:hAnsi="Garamond" w:cs="Calibri"/>
                <w:sz w:val="24"/>
                <w:szCs w:val="24"/>
                <w:lang w:bidi="bn-IN"/>
              </w:rPr>
            </w:pPr>
          </w:p>
        </w:tc>
        <w:tc>
          <w:tcPr>
            <w:tcW w:w="0" w:type="auto"/>
            <w:tcBorders>
              <w:bottom w:val="single" w:sz="4" w:space="0" w:color="auto"/>
            </w:tcBorders>
            <w:shd w:val="clear" w:color="auto" w:fill="auto"/>
            <w:noWrap/>
            <w:vAlign w:val="bottom"/>
          </w:tcPr>
          <w:p w14:paraId="4A264C4A" w14:textId="77777777" w:rsidR="00E00949" w:rsidRPr="00E75964" w:rsidRDefault="00E00949" w:rsidP="00E00949">
            <w:pPr>
              <w:spacing w:after="0" w:line="240" w:lineRule="auto"/>
              <w:jc w:val="center"/>
              <w:rPr>
                <w:rFonts w:ascii="Garamond" w:eastAsia="Times New Roman" w:hAnsi="Garamond" w:cs="Calibri"/>
                <w:sz w:val="24"/>
                <w:szCs w:val="24"/>
                <w:lang w:bidi="bn-IN"/>
              </w:rPr>
            </w:pPr>
          </w:p>
        </w:tc>
        <w:tc>
          <w:tcPr>
            <w:tcW w:w="0" w:type="auto"/>
            <w:tcBorders>
              <w:bottom w:val="single" w:sz="4" w:space="0" w:color="auto"/>
            </w:tcBorders>
            <w:shd w:val="clear" w:color="auto" w:fill="auto"/>
            <w:noWrap/>
            <w:vAlign w:val="bottom"/>
          </w:tcPr>
          <w:p w14:paraId="3A4994D1" w14:textId="77777777" w:rsidR="00E00949" w:rsidRPr="00E75964" w:rsidRDefault="00E00949" w:rsidP="00E00949">
            <w:pPr>
              <w:spacing w:after="0" w:line="240" w:lineRule="auto"/>
              <w:jc w:val="center"/>
              <w:rPr>
                <w:rFonts w:ascii="Garamond" w:eastAsia="Times New Roman" w:hAnsi="Garamond" w:cs="Calibri"/>
                <w:sz w:val="24"/>
                <w:szCs w:val="24"/>
                <w:lang w:bidi="bn-IN"/>
              </w:rPr>
            </w:pPr>
          </w:p>
        </w:tc>
      </w:tr>
      <w:tr w:rsidR="00665A74" w:rsidRPr="00E75964" w14:paraId="405D39E8" w14:textId="77777777" w:rsidTr="00B66478">
        <w:trPr>
          <w:trHeight w:val="300"/>
          <w:jc w:val="center"/>
        </w:trPr>
        <w:tc>
          <w:tcPr>
            <w:tcW w:w="1667" w:type="dxa"/>
            <w:tcBorders>
              <w:top w:val="single" w:sz="4" w:space="0" w:color="auto"/>
            </w:tcBorders>
            <w:shd w:val="clear" w:color="auto" w:fill="auto"/>
            <w:noWrap/>
            <w:vAlign w:val="bottom"/>
            <w:hideMark/>
          </w:tcPr>
          <w:p w14:paraId="07344B53" w14:textId="079A526A" w:rsidR="00E00949" w:rsidRPr="00E75964" w:rsidRDefault="00E00949" w:rsidP="00A26C2A">
            <w:pPr>
              <w:spacing w:after="0" w:line="240" w:lineRule="auto"/>
              <w:rPr>
                <w:rFonts w:ascii="Garamond" w:eastAsia="Times New Roman" w:hAnsi="Garamond" w:cs="Calibri"/>
                <w:sz w:val="24"/>
                <w:szCs w:val="24"/>
                <w:lang w:bidi="bn-IN"/>
              </w:rPr>
            </w:pPr>
            <w:r w:rsidRPr="00E75964">
              <w:rPr>
                <w:rFonts w:ascii="Garamond" w:eastAsia="Times New Roman" w:hAnsi="Garamond" w:cs="Calibri"/>
                <w:sz w:val="24"/>
                <w:szCs w:val="24"/>
                <w:lang w:bidi="bn-IN"/>
              </w:rPr>
              <w:t>Mean (%)</w:t>
            </w:r>
          </w:p>
        </w:tc>
        <w:tc>
          <w:tcPr>
            <w:tcW w:w="0" w:type="auto"/>
            <w:tcBorders>
              <w:top w:val="single" w:sz="4" w:space="0" w:color="auto"/>
            </w:tcBorders>
            <w:shd w:val="clear" w:color="auto" w:fill="auto"/>
            <w:noWrap/>
            <w:vAlign w:val="bottom"/>
            <w:hideMark/>
          </w:tcPr>
          <w:p w14:paraId="7C3A591C" w14:textId="5D7910A6"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0.0</w:t>
            </w:r>
            <w:r w:rsidR="000E4696" w:rsidRPr="00E75964">
              <w:rPr>
                <w:rFonts w:ascii="Garamond" w:eastAsia="Times New Roman" w:hAnsi="Garamond" w:cs="Calibri"/>
                <w:sz w:val="24"/>
                <w:szCs w:val="24"/>
                <w:lang w:bidi="bn-IN"/>
              </w:rPr>
              <w:t>41</w:t>
            </w:r>
            <w:r w:rsidR="0055331E" w:rsidRPr="00E75964">
              <w:rPr>
                <w:rFonts w:ascii="Garamond" w:eastAsia="Times New Roman" w:hAnsi="Garamond" w:cs="Calibri"/>
                <w:sz w:val="24"/>
                <w:szCs w:val="24"/>
                <w:lang w:bidi="bn-IN"/>
              </w:rPr>
              <w:t>4</w:t>
            </w:r>
            <w:r w:rsidRPr="00E75964">
              <w:rPr>
                <w:rFonts w:ascii="Garamond" w:eastAsia="Times New Roman" w:hAnsi="Garamond" w:cs="Calibri"/>
                <w:sz w:val="24"/>
                <w:szCs w:val="24"/>
                <w:lang w:bidi="bn-IN"/>
              </w:rPr>
              <w:t>***</w:t>
            </w:r>
          </w:p>
        </w:tc>
        <w:tc>
          <w:tcPr>
            <w:tcW w:w="0" w:type="auto"/>
            <w:tcBorders>
              <w:top w:val="single" w:sz="4" w:space="0" w:color="auto"/>
            </w:tcBorders>
            <w:shd w:val="clear" w:color="auto" w:fill="auto"/>
            <w:noWrap/>
            <w:vAlign w:val="bottom"/>
            <w:hideMark/>
          </w:tcPr>
          <w:p w14:paraId="65797C95" w14:textId="3244EDCA"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w:t>
            </w:r>
            <w:r w:rsidR="00F93801" w:rsidRPr="00E75964">
              <w:rPr>
                <w:rFonts w:ascii="Garamond" w:eastAsia="Times New Roman" w:hAnsi="Garamond" w:cs="Calibri"/>
                <w:sz w:val="24"/>
                <w:szCs w:val="24"/>
                <w:lang w:bidi="bn-IN"/>
              </w:rPr>
              <w:t>2</w:t>
            </w:r>
            <w:r w:rsidR="0055331E" w:rsidRPr="00E75964">
              <w:rPr>
                <w:rFonts w:ascii="Garamond" w:eastAsia="Times New Roman" w:hAnsi="Garamond" w:cs="Calibri"/>
                <w:sz w:val="24"/>
                <w:szCs w:val="24"/>
                <w:lang w:bidi="bn-IN"/>
              </w:rPr>
              <w:t>140</w:t>
            </w:r>
            <w:r w:rsidRPr="00E75964">
              <w:rPr>
                <w:rFonts w:ascii="Garamond" w:eastAsia="Times New Roman" w:hAnsi="Garamond" w:cs="Calibri"/>
                <w:sz w:val="24"/>
                <w:szCs w:val="24"/>
                <w:lang w:bidi="bn-IN"/>
              </w:rPr>
              <w:t>***</w:t>
            </w:r>
          </w:p>
        </w:tc>
        <w:tc>
          <w:tcPr>
            <w:tcW w:w="0" w:type="auto"/>
            <w:tcBorders>
              <w:top w:val="single" w:sz="4" w:space="0" w:color="auto"/>
            </w:tcBorders>
            <w:shd w:val="clear" w:color="auto" w:fill="auto"/>
            <w:noWrap/>
            <w:vAlign w:val="bottom"/>
            <w:hideMark/>
          </w:tcPr>
          <w:p w14:paraId="00AD5240" w14:textId="03ACA0CE"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w:t>
            </w:r>
            <w:r w:rsidR="001331AB" w:rsidRPr="00E75964">
              <w:rPr>
                <w:rFonts w:ascii="Garamond" w:eastAsia="Times New Roman" w:hAnsi="Garamond" w:cs="Calibri"/>
                <w:sz w:val="24"/>
                <w:szCs w:val="24"/>
                <w:lang w:bidi="bn-IN"/>
              </w:rPr>
              <w:t>24</w:t>
            </w:r>
            <w:r w:rsidR="0055331E" w:rsidRPr="00E75964">
              <w:rPr>
                <w:rFonts w:ascii="Garamond" w:eastAsia="Times New Roman" w:hAnsi="Garamond" w:cs="Calibri"/>
                <w:sz w:val="24"/>
                <w:szCs w:val="24"/>
                <w:lang w:bidi="bn-IN"/>
              </w:rPr>
              <w:t>43</w:t>
            </w:r>
            <w:r w:rsidRPr="00E75964">
              <w:rPr>
                <w:rFonts w:ascii="Garamond" w:eastAsia="Times New Roman" w:hAnsi="Garamond" w:cs="Calibri"/>
                <w:sz w:val="24"/>
                <w:szCs w:val="24"/>
                <w:lang w:bidi="bn-IN"/>
              </w:rPr>
              <w:t>***</w:t>
            </w:r>
          </w:p>
        </w:tc>
        <w:tc>
          <w:tcPr>
            <w:tcW w:w="0" w:type="auto"/>
            <w:tcBorders>
              <w:top w:val="single" w:sz="4" w:space="0" w:color="auto"/>
            </w:tcBorders>
            <w:shd w:val="clear" w:color="auto" w:fill="auto"/>
            <w:noWrap/>
            <w:vAlign w:val="bottom"/>
            <w:hideMark/>
          </w:tcPr>
          <w:p w14:paraId="143906DE" w14:textId="3FB06371"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w:t>
            </w:r>
            <w:r w:rsidR="001331AB" w:rsidRPr="00E75964">
              <w:rPr>
                <w:rFonts w:ascii="Garamond" w:eastAsia="Times New Roman" w:hAnsi="Garamond" w:cs="Calibri"/>
                <w:sz w:val="24"/>
                <w:szCs w:val="24"/>
                <w:lang w:bidi="bn-IN"/>
              </w:rPr>
              <w:t>050</w:t>
            </w:r>
            <w:r w:rsidR="0055331E" w:rsidRPr="00E75964">
              <w:rPr>
                <w:rFonts w:ascii="Garamond" w:eastAsia="Times New Roman" w:hAnsi="Garamond" w:cs="Calibri"/>
                <w:sz w:val="24"/>
                <w:szCs w:val="24"/>
                <w:lang w:bidi="bn-IN"/>
              </w:rPr>
              <w:t>5</w:t>
            </w:r>
            <w:r w:rsidRPr="00E75964">
              <w:rPr>
                <w:rFonts w:ascii="Garamond" w:eastAsia="Times New Roman" w:hAnsi="Garamond" w:cs="Calibri"/>
                <w:sz w:val="24"/>
                <w:szCs w:val="24"/>
                <w:lang w:bidi="bn-IN"/>
              </w:rPr>
              <w:t>***</w:t>
            </w:r>
          </w:p>
        </w:tc>
        <w:tc>
          <w:tcPr>
            <w:tcW w:w="0" w:type="auto"/>
            <w:tcBorders>
              <w:top w:val="single" w:sz="4" w:space="0" w:color="auto"/>
            </w:tcBorders>
            <w:shd w:val="clear" w:color="auto" w:fill="auto"/>
            <w:noWrap/>
            <w:vAlign w:val="bottom"/>
            <w:hideMark/>
          </w:tcPr>
          <w:p w14:paraId="6AC92D2B" w14:textId="08E73964"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w:t>
            </w:r>
            <w:r w:rsidR="001331AB" w:rsidRPr="00E75964">
              <w:rPr>
                <w:rFonts w:ascii="Garamond" w:eastAsia="Times New Roman" w:hAnsi="Garamond" w:cs="Calibri"/>
                <w:sz w:val="24"/>
                <w:szCs w:val="24"/>
                <w:lang w:bidi="bn-IN"/>
              </w:rPr>
              <w:t>1</w:t>
            </w:r>
            <w:r w:rsidR="0055331E" w:rsidRPr="00E75964">
              <w:rPr>
                <w:rFonts w:ascii="Garamond" w:eastAsia="Times New Roman" w:hAnsi="Garamond" w:cs="Calibri"/>
                <w:sz w:val="24"/>
                <w:szCs w:val="24"/>
                <w:lang w:bidi="bn-IN"/>
              </w:rPr>
              <w:t>808</w:t>
            </w:r>
            <w:r w:rsidRPr="00E75964">
              <w:rPr>
                <w:rFonts w:ascii="Garamond" w:eastAsia="Times New Roman" w:hAnsi="Garamond" w:cs="Calibri"/>
                <w:sz w:val="24"/>
                <w:szCs w:val="24"/>
                <w:lang w:bidi="bn-IN"/>
              </w:rPr>
              <w:t>***</w:t>
            </w:r>
          </w:p>
        </w:tc>
        <w:tc>
          <w:tcPr>
            <w:tcW w:w="0" w:type="auto"/>
            <w:tcBorders>
              <w:top w:val="single" w:sz="4" w:space="0" w:color="auto"/>
            </w:tcBorders>
            <w:shd w:val="clear" w:color="auto" w:fill="auto"/>
            <w:noWrap/>
            <w:vAlign w:val="bottom"/>
            <w:hideMark/>
          </w:tcPr>
          <w:p w14:paraId="42D6AAA4" w14:textId="48D3A75B" w:rsidR="00E00949" w:rsidRPr="00E75964" w:rsidRDefault="00B91D75"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-0.0</w:t>
            </w:r>
            <w:r w:rsidR="0055331E" w:rsidRPr="00E75964">
              <w:rPr>
                <w:rFonts w:ascii="Garamond" w:eastAsia="Times New Roman" w:hAnsi="Garamond" w:cs="Calibri"/>
                <w:sz w:val="24"/>
                <w:szCs w:val="24"/>
                <w:lang w:bidi="bn-IN"/>
              </w:rPr>
              <w:t>545</w:t>
            </w:r>
            <w:r w:rsidR="00E00949" w:rsidRPr="00E75964">
              <w:rPr>
                <w:rFonts w:ascii="Garamond" w:eastAsia="Times New Roman" w:hAnsi="Garamond" w:cs="Calibri"/>
                <w:sz w:val="24"/>
                <w:szCs w:val="24"/>
                <w:lang w:bidi="bn-IN"/>
              </w:rPr>
              <w:t>***</w:t>
            </w:r>
          </w:p>
        </w:tc>
      </w:tr>
      <w:tr w:rsidR="00665A74" w:rsidRPr="00E75964" w14:paraId="29355E32" w14:textId="77777777" w:rsidTr="00B66478">
        <w:trPr>
          <w:trHeight w:val="300"/>
          <w:jc w:val="center"/>
        </w:trPr>
        <w:tc>
          <w:tcPr>
            <w:tcW w:w="1667" w:type="dxa"/>
            <w:shd w:val="clear" w:color="auto" w:fill="auto"/>
            <w:noWrap/>
            <w:vAlign w:val="bottom"/>
            <w:hideMark/>
          </w:tcPr>
          <w:p w14:paraId="53835B70" w14:textId="46586AEC" w:rsidR="00E00949" w:rsidRPr="00E75964" w:rsidRDefault="00F93801" w:rsidP="00A26C2A">
            <w:pPr>
              <w:spacing w:after="0" w:line="240" w:lineRule="auto"/>
              <w:rPr>
                <w:rFonts w:ascii="Garamond" w:eastAsia="Times New Roman" w:hAnsi="Garamond" w:cs="Calibri"/>
                <w:sz w:val="24"/>
                <w:szCs w:val="24"/>
                <w:lang w:bidi="bn-IN"/>
              </w:rPr>
            </w:pPr>
            <w:r w:rsidRPr="00E75964">
              <w:rPr>
                <w:rFonts w:ascii="Garamond" w:eastAsia="Times New Roman" w:hAnsi="Garamond" w:cs="Calibri"/>
                <w:sz w:val="24"/>
                <w:szCs w:val="24"/>
                <w:lang w:bidi="bn-IN"/>
              </w:rPr>
              <w:t>M</w:t>
            </w:r>
            <w:r w:rsidR="00E00949" w:rsidRPr="00E75964">
              <w:rPr>
                <w:rFonts w:ascii="Garamond" w:eastAsia="Times New Roman" w:hAnsi="Garamond" w:cs="Calibri"/>
                <w:sz w:val="24"/>
                <w:szCs w:val="24"/>
                <w:lang w:bidi="bn-IN"/>
              </w:rPr>
              <w:t>edian (%)</w:t>
            </w:r>
          </w:p>
        </w:tc>
        <w:tc>
          <w:tcPr>
            <w:tcW w:w="0" w:type="auto"/>
            <w:shd w:val="clear" w:color="auto" w:fill="auto"/>
            <w:noWrap/>
            <w:vAlign w:val="bottom"/>
            <w:hideMark/>
          </w:tcPr>
          <w:p w14:paraId="7157AF93" w14:textId="77777777"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0.0000</w:t>
            </w:r>
          </w:p>
        </w:tc>
        <w:tc>
          <w:tcPr>
            <w:tcW w:w="0" w:type="auto"/>
            <w:shd w:val="clear" w:color="auto" w:fill="auto"/>
            <w:noWrap/>
            <w:vAlign w:val="bottom"/>
            <w:hideMark/>
          </w:tcPr>
          <w:p w14:paraId="4BF79D14" w14:textId="25763849" w:rsidR="00E00949" w:rsidRPr="00E75964" w:rsidRDefault="00F93801"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0.0000</w:t>
            </w:r>
          </w:p>
        </w:tc>
        <w:tc>
          <w:tcPr>
            <w:tcW w:w="0" w:type="auto"/>
            <w:shd w:val="clear" w:color="auto" w:fill="auto"/>
            <w:noWrap/>
            <w:vAlign w:val="bottom"/>
            <w:hideMark/>
          </w:tcPr>
          <w:p w14:paraId="7551D9B6" w14:textId="59A719F7"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0.0</w:t>
            </w:r>
            <w:r w:rsidR="001331AB" w:rsidRPr="00E75964">
              <w:rPr>
                <w:rFonts w:ascii="Garamond" w:eastAsia="Times New Roman" w:hAnsi="Garamond" w:cs="Calibri"/>
                <w:sz w:val="24"/>
                <w:szCs w:val="24"/>
                <w:lang w:bidi="bn-IN"/>
              </w:rPr>
              <w:t>0</w:t>
            </w:r>
            <w:r w:rsidR="0055331E" w:rsidRPr="00E75964">
              <w:rPr>
                <w:rFonts w:ascii="Garamond" w:eastAsia="Times New Roman" w:hAnsi="Garamond" w:cs="Calibri"/>
                <w:sz w:val="24"/>
                <w:szCs w:val="24"/>
                <w:lang w:bidi="bn-IN"/>
              </w:rPr>
              <w:t>03</w:t>
            </w:r>
          </w:p>
        </w:tc>
        <w:tc>
          <w:tcPr>
            <w:tcW w:w="0" w:type="auto"/>
            <w:shd w:val="clear" w:color="auto" w:fill="auto"/>
            <w:noWrap/>
            <w:vAlign w:val="bottom"/>
            <w:hideMark/>
          </w:tcPr>
          <w:p w14:paraId="601A05F7" w14:textId="47091F5F"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0.0</w:t>
            </w:r>
            <w:r w:rsidR="001331AB" w:rsidRPr="00E75964">
              <w:rPr>
                <w:rFonts w:ascii="Garamond" w:eastAsia="Times New Roman" w:hAnsi="Garamond" w:cs="Calibri"/>
                <w:sz w:val="24"/>
                <w:szCs w:val="24"/>
                <w:lang w:bidi="bn-IN"/>
              </w:rPr>
              <w:t>00</w:t>
            </w:r>
          </w:p>
        </w:tc>
        <w:tc>
          <w:tcPr>
            <w:tcW w:w="0" w:type="auto"/>
            <w:shd w:val="clear" w:color="auto" w:fill="auto"/>
            <w:noWrap/>
            <w:vAlign w:val="bottom"/>
            <w:hideMark/>
          </w:tcPr>
          <w:p w14:paraId="6163AF78" w14:textId="4CAC43CA"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0.0</w:t>
            </w:r>
            <w:r w:rsidR="001331AB" w:rsidRPr="00E75964">
              <w:rPr>
                <w:rFonts w:ascii="Garamond" w:eastAsia="Times New Roman" w:hAnsi="Garamond" w:cs="Calibri"/>
                <w:sz w:val="24"/>
                <w:szCs w:val="24"/>
                <w:lang w:bidi="bn-IN"/>
              </w:rPr>
              <w:t>0</w:t>
            </w:r>
            <w:r w:rsidR="0055331E" w:rsidRPr="00E75964">
              <w:rPr>
                <w:rFonts w:ascii="Garamond" w:eastAsia="Times New Roman" w:hAnsi="Garamond" w:cs="Calibri"/>
                <w:sz w:val="24"/>
                <w:szCs w:val="24"/>
                <w:lang w:bidi="bn-IN"/>
              </w:rPr>
              <w:t>0</w:t>
            </w:r>
            <w:r w:rsidR="001331AB" w:rsidRPr="00E75964">
              <w:rPr>
                <w:rFonts w:ascii="Garamond" w:eastAsia="Times New Roman" w:hAnsi="Garamond" w:cs="Calibri"/>
                <w:sz w:val="24"/>
                <w:szCs w:val="24"/>
                <w:lang w:bidi="bn-IN"/>
              </w:rPr>
              <w:t>2</w:t>
            </w:r>
          </w:p>
        </w:tc>
        <w:tc>
          <w:tcPr>
            <w:tcW w:w="0" w:type="auto"/>
            <w:shd w:val="clear" w:color="auto" w:fill="auto"/>
            <w:noWrap/>
            <w:vAlign w:val="bottom"/>
            <w:hideMark/>
          </w:tcPr>
          <w:p w14:paraId="484F6729" w14:textId="47E2802A" w:rsidR="00E00949" w:rsidRPr="00E75964" w:rsidRDefault="00B91D75"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0.0000</w:t>
            </w:r>
          </w:p>
        </w:tc>
      </w:tr>
      <w:tr w:rsidR="00665A74" w:rsidRPr="00E75964" w14:paraId="3D4A27D4" w14:textId="77777777" w:rsidTr="00B66478">
        <w:trPr>
          <w:trHeight w:val="300"/>
          <w:jc w:val="center"/>
        </w:trPr>
        <w:tc>
          <w:tcPr>
            <w:tcW w:w="1667" w:type="dxa"/>
            <w:shd w:val="clear" w:color="auto" w:fill="auto"/>
            <w:noWrap/>
            <w:vAlign w:val="bottom"/>
          </w:tcPr>
          <w:p w14:paraId="6FE062DC" w14:textId="4B8521AB" w:rsidR="001331AB" w:rsidRPr="00E75964" w:rsidRDefault="001331AB" w:rsidP="00A26C2A">
            <w:pPr>
              <w:spacing w:after="0" w:line="240" w:lineRule="auto"/>
              <w:rPr>
                <w:rFonts w:ascii="Garamond" w:eastAsia="Times New Roman" w:hAnsi="Garamond" w:cs="Calibri"/>
                <w:sz w:val="24"/>
                <w:szCs w:val="24"/>
                <w:lang w:bidi="bn-IN"/>
              </w:rPr>
            </w:pPr>
            <w:r w:rsidRPr="00E75964">
              <w:rPr>
                <w:rFonts w:ascii="Garamond" w:eastAsia="Times New Roman" w:hAnsi="Garamond" w:cs="Calibri"/>
                <w:sz w:val="24"/>
                <w:szCs w:val="24"/>
                <w:lang w:bidi="bn-IN"/>
              </w:rPr>
              <w:t>Max (%)</w:t>
            </w:r>
          </w:p>
        </w:tc>
        <w:tc>
          <w:tcPr>
            <w:tcW w:w="0" w:type="auto"/>
            <w:shd w:val="clear" w:color="auto" w:fill="auto"/>
            <w:noWrap/>
            <w:vAlign w:val="bottom"/>
          </w:tcPr>
          <w:p w14:paraId="0E3D9726" w14:textId="003EDB89" w:rsidR="001331AB" w:rsidRPr="00E75964" w:rsidRDefault="0055331E"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19</w:t>
            </w:r>
            <w:r w:rsidR="00B91D75" w:rsidRPr="00E75964">
              <w:rPr>
                <w:rFonts w:ascii="Garamond" w:eastAsia="Times New Roman" w:hAnsi="Garamond" w:cs="Calibri"/>
                <w:sz w:val="24"/>
                <w:szCs w:val="24"/>
                <w:lang w:bidi="bn-IN"/>
              </w:rPr>
              <w:t>.</w:t>
            </w:r>
            <w:r w:rsidRPr="00E75964">
              <w:rPr>
                <w:rFonts w:ascii="Garamond" w:eastAsia="Times New Roman" w:hAnsi="Garamond" w:cs="Calibri"/>
                <w:sz w:val="24"/>
                <w:szCs w:val="24"/>
                <w:lang w:bidi="bn-IN"/>
              </w:rPr>
              <w:t>1776</w:t>
            </w:r>
          </w:p>
        </w:tc>
        <w:tc>
          <w:tcPr>
            <w:tcW w:w="0" w:type="auto"/>
            <w:shd w:val="clear" w:color="auto" w:fill="auto"/>
            <w:noWrap/>
            <w:vAlign w:val="bottom"/>
          </w:tcPr>
          <w:p w14:paraId="6BDC3EC8" w14:textId="3AFA7CFC" w:rsidR="001331AB" w:rsidRPr="00E75964" w:rsidRDefault="00B91D75"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19.1776</w:t>
            </w:r>
          </w:p>
        </w:tc>
        <w:tc>
          <w:tcPr>
            <w:tcW w:w="0" w:type="auto"/>
            <w:shd w:val="clear" w:color="auto" w:fill="auto"/>
            <w:noWrap/>
            <w:vAlign w:val="bottom"/>
          </w:tcPr>
          <w:p w14:paraId="7B615E69" w14:textId="2E8C24CC" w:rsidR="001331AB" w:rsidRPr="00E75964" w:rsidRDefault="00B91D75"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14.2362</w:t>
            </w:r>
          </w:p>
        </w:tc>
        <w:tc>
          <w:tcPr>
            <w:tcW w:w="0" w:type="auto"/>
            <w:shd w:val="clear" w:color="auto" w:fill="auto"/>
            <w:noWrap/>
            <w:vAlign w:val="bottom"/>
          </w:tcPr>
          <w:p w14:paraId="616FE7BD" w14:textId="1DD8F968" w:rsidR="001331AB" w:rsidRPr="00E75964" w:rsidRDefault="001331AB"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6.9986</w:t>
            </w:r>
          </w:p>
        </w:tc>
        <w:tc>
          <w:tcPr>
            <w:tcW w:w="0" w:type="auto"/>
            <w:shd w:val="clear" w:color="auto" w:fill="auto"/>
            <w:noWrap/>
            <w:vAlign w:val="bottom"/>
          </w:tcPr>
          <w:p w14:paraId="1D1A38C5" w14:textId="00FDD534" w:rsidR="001331AB" w:rsidRPr="00E75964" w:rsidRDefault="001331AB"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5.3660</w:t>
            </w:r>
          </w:p>
        </w:tc>
        <w:tc>
          <w:tcPr>
            <w:tcW w:w="0" w:type="auto"/>
            <w:shd w:val="clear" w:color="auto" w:fill="auto"/>
            <w:noWrap/>
            <w:vAlign w:val="bottom"/>
          </w:tcPr>
          <w:p w14:paraId="1200A1C1" w14:textId="5719910A" w:rsidR="001331AB" w:rsidRPr="00E75964" w:rsidRDefault="0055331E"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3</w:t>
            </w:r>
            <w:r w:rsidR="00B91D75" w:rsidRPr="00E75964">
              <w:rPr>
                <w:rFonts w:ascii="Garamond" w:eastAsia="Times New Roman" w:hAnsi="Garamond" w:cs="Calibri"/>
                <w:sz w:val="24"/>
                <w:szCs w:val="24"/>
                <w:lang w:bidi="bn-IN"/>
              </w:rPr>
              <w:t>.</w:t>
            </w:r>
            <w:r w:rsidRPr="00E75964">
              <w:rPr>
                <w:rFonts w:ascii="Garamond" w:eastAsia="Times New Roman" w:hAnsi="Garamond" w:cs="Calibri"/>
                <w:sz w:val="24"/>
                <w:szCs w:val="24"/>
                <w:lang w:bidi="bn-IN"/>
              </w:rPr>
              <w:t>6847</w:t>
            </w:r>
          </w:p>
        </w:tc>
      </w:tr>
      <w:tr w:rsidR="00665A74" w:rsidRPr="00E75964" w14:paraId="28EC054F" w14:textId="77777777" w:rsidTr="00B66478">
        <w:trPr>
          <w:trHeight w:val="300"/>
          <w:jc w:val="center"/>
        </w:trPr>
        <w:tc>
          <w:tcPr>
            <w:tcW w:w="1667" w:type="dxa"/>
            <w:shd w:val="clear" w:color="auto" w:fill="auto"/>
            <w:noWrap/>
            <w:vAlign w:val="bottom"/>
          </w:tcPr>
          <w:p w14:paraId="4024C97F" w14:textId="02A693EA" w:rsidR="001331AB" w:rsidRPr="00E75964" w:rsidRDefault="001331AB" w:rsidP="00A26C2A">
            <w:pPr>
              <w:spacing w:after="0" w:line="240" w:lineRule="auto"/>
              <w:rPr>
                <w:rFonts w:ascii="Garamond" w:eastAsia="Times New Roman" w:hAnsi="Garamond" w:cs="Calibri"/>
                <w:sz w:val="24"/>
                <w:szCs w:val="24"/>
                <w:lang w:bidi="bn-IN"/>
              </w:rPr>
            </w:pPr>
            <w:r w:rsidRPr="00E75964">
              <w:rPr>
                <w:rFonts w:ascii="Garamond" w:eastAsia="Times New Roman" w:hAnsi="Garamond" w:cs="Calibri"/>
                <w:sz w:val="24"/>
                <w:szCs w:val="24"/>
                <w:lang w:bidi="bn-IN"/>
              </w:rPr>
              <w:t>Min (%)</w:t>
            </w:r>
          </w:p>
        </w:tc>
        <w:tc>
          <w:tcPr>
            <w:tcW w:w="0" w:type="auto"/>
            <w:shd w:val="clear" w:color="auto" w:fill="auto"/>
            <w:noWrap/>
            <w:vAlign w:val="bottom"/>
          </w:tcPr>
          <w:p w14:paraId="5E52EFF7" w14:textId="0CA7B01E" w:rsidR="001331AB" w:rsidRPr="00E75964" w:rsidRDefault="00B91D75"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-26.9068</w:t>
            </w:r>
          </w:p>
        </w:tc>
        <w:tc>
          <w:tcPr>
            <w:tcW w:w="0" w:type="auto"/>
            <w:shd w:val="clear" w:color="auto" w:fill="auto"/>
            <w:noWrap/>
            <w:vAlign w:val="bottom"/>
          </w:tcPr>
          <w:p w14:paraId="2ECCC6F9" w14:textId="780BC647" w:rsidR="001331AB" w:rsidRPr="00E75964" w:rsidRDefault="00B91D75"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-26.9068</w:t>
            </w:r>
          </w:p>
        </w:tc>
        <w:tc>
          <w:tcPr>
            <w:tcW w:w="0" w:type="auto"/>
            <w:shd w:val="clear" w:color="auto" w:fill="auto"/>
            <w:noWrap/>
            <w:vAlign w:val="bottom"/>
          </w:tcPr>
          <w:p w14:paraId="00FA1C0C" w14:textId="124F0AC8" w:rsidR="001331AB" w:rsidRPr="00E75964" w:rsidRDefault="00B91D75"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-7.3584</w:t>
            </w:r>
          </w:p>
        </w:tc>
        <w:tc>
          <w:tcPr>
            <w:tcW w:w="0" w:type="auto"/>
            <w:shd w:val="clear" w:color="auto" w:fill="auto"/>
            <w:noWrap/>
            <w:vAlign w:val="bottom"/>
          </w:tcPr>
          <w:p w14:paraId="1612A6D1" w14:textId="6E586D19" w:rsidR="001331AB" w:rsidRPr="00E75964" w:rsidRDefault="001331AB"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-6.4850</w:t>
            </w:r>
          </w:p>
        </w:tc>
        <w:tc>
          <w:tcPr>
            <w:tcW w:w="0" w:type="auto"/>
            <w:shd w:val="clear" w:color="auto" w:fill="auto"/>
            <w:noWrap/>
            <w:vAlign w:val="bottom"/>
          </w:tcPr>
          <w:p w14:paraId="64966B14" w14:textId="09DF83B8" w:rsidR="001331AB" w:rsidRPr="00E75964" w:rsidRDefault="001331AB"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-8.6612</w:t>
            </w:r>
          </w:p>
        </w:tc>
        <w:tc>
          <w:tcPr>
            <w:tcW w:w="0" w:type="auto"/>
            <w:shd w:val="clear" w:color="auto" w:fill="auto"/>
            <w:noWrap/>
            <w:vAlign w:val="bottom"/>
          </w:tcPr>
          <w:p w14:paraId="7996CAB9" w14:textId="4798CEFD" w:rsidR="001331AB" w:rsidRPr="00E75964" w:rsidRDefault="00B91D75"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-5.53</w:t>
            </w:r>
            <w:r w:rsidR="0055331E" w:rsidRPr="00E75964">
              <w:rPr>
                <w:rFonts w:ascii="Garamond" w:eastAsia="Times New Roman" w:hAnsi="Garamond" w:cs="Calibri"/>
                <w:sz w:val="24"/>
                <w:szCs w:val="24"/>
                <w:lang w:bidi="bn-IN"/>
              </w:rPr>
              <w:t>58</w:t>
            </w:r>
          </w:p>
        </w:tc>
      </w:tr>
      <w:tr w:rsidR="00665A74" w:rsidRPr="00E75964" w14:paraId="7EFF5396" w14:textId="77777777" w:rsidTr="00B66478">
        <w:trPr>
          <w:trHeight w:val="300"/>
          <w:jc w:val="center"/>
        </w:trPr>
        <w:tc>
          <w:tcPr>
            <w:tcW w:w="1667" w:type="dxa"/>
            <w:shd w:val="clear" w:color="auto" w:fill="auto"/>
            <w:noWrap/>
            <w:vAlign w:val="bottom"/>
            <w:hideMark/>
          </w:tcPr>
          <w:p w14:paraId="7F6B76E2" w14:textId="51BDFFD5" w:rsidR="00E00949" w:rsidRPr="00E75964" w:rsidRDefault="00F93801" w:rsidP="00A26C2A">
            <w:pPr>
              <w:spacing w:after="0" w:line="240" w:lineRule="auto"/>
              <w:rPr>
                <w:rFonts w:ascii="Garamond" w:eastAsia="Times New Roman" w:hAnsi="Garamond" w:cs="Calibri"/>
                <w:sz w:val="24"/>
                <w:szCs w:val="24"/>
                <w:lang w:bidi="bn-IN"/>
              </w:rPr>
            </w:pPr>
            <w:r w:rsidRPr="00E75964">
              <w:rPr>
                <w:rFonts w:ascii="Garamond" w:eastAsia="Times New Roman" w:hAnsi="Garamond" w:cs="Calibri"/>
                <w:sz w:val="24"/>
                <w:szCs w:val="24"/>
                <w:lang w:bidi="bn-IN"/>
              </w:rPr>
              <w:t>SD</w:t>
            </w:r>
            <w:r w:rsidR="00E00949" w:rsidRPr="00E75964">
              <w:rPr>
                <w:rFonts w:ascii="Garamond" w:eastAsia="Times New Roman" w:hAnsi="Garamond" w:cs="Calibri"/>
                <w:sz w:val="24"/>
                <w:szCs w:val="24"/>
                <w:lang w:bidi="bn-IN"/>
              </w:rPr>
              <w:t xml:space="preserve"> </w:t>
            </w:r>
          </w:p>
        </w:tc>
        <w:tc>
          <w:tcPr>
            <w:tcW w:w="0" w:type="auto"/>
            <w:shd w:val="clear" w:color="auto" w:fill="auto"/>
            <w:noWrap/>
            <w:vAlign w:val="bottom"/>
            <w:hideMark/>
          </w:tcPr>
          <w:p w14:paraId="58BCAA52" w14:textId="6B46D446"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0.014</w:t>
            </w:r>
            <w:r w:rsidR="000E4696" w:rsidRPr="00E75964">
              <w:rPr>
                <w:rFonts w:ascii="Garamond" w:eastAsia="Times New Roman" w:hAnsi="Garamond" w:cs="Calibri"/>
                <w:sz w:val="24"/>
                <w:szCs w:val="24"/>
                <w:lang w:bidi="bn-IN"/>
              </w:rPr>
              <w:t>8</w:t>
            </w:r>
            <w:r w:rsidRPr="00E75964">
              <w:rPr>
                <w:rFonts w:ascii="Garamond" w:eastAsia="Times New Roman" w:hAnsi="Garamond" w:cs="Calibri"/>
                <w:sz w:val="24"/>
                <w:szCs w:val="24"/>
                <w:lang w:bidi="bn-IN"/>
              </w:rPr>
              <w:t>***</w:t>
            </w:r>
          </w:p>
        </w:tc>
        <w:tc>
          <w:tcPr>
            <w:tcW w:w="0" w:type="auto"/>
            <w:shd w:val="clear" w:color="auto" w:fill="auto"/>
            <w:noWrap/>
            <w:vAlign w:val="bottom"/>
            <w:hideMark/>
          </w:tcPr>
          <w:p w14:paraId="58DEED1F" w14:textId="0EB5B147"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0.0</w:t>
            </w:r>
            <w:r w:rsidR="000E4696" w:rsidRPr="00E75964">
              <w:rPr>
                <w:rFonts w:ascii="Garamond" w:eastAsia="Times New Roman" w:hAnsi="Garamond" w:cs="Calibri"/>
                <w:sz w:val="24"/>
                <w:szCs w:val="24"/>
                <w:lang w:bidi="bn-IN"/>
              </w:rPr>
              <w:t>21</w:t>
            </w:r>
            <w:r w:rsidR="0055331E" w:rsidRPr="00E75964">
              <w:rPr>
                <w:rFonts w:ascii="Garamond" w:eastAsia="Times New Roman" w:hAnsi="Garamond" w:cs="Calibri"/>
                <w:sz w:val="24"/>
                <w:szCs w:val="24"/>
                <w:lang w:bidi="bn-IN"/>
              </w:rPr>
              <w:t>5</w:t>
            </w:r>
            <w:r w:rsidRPr="00E75964">
              <w:rPr>
                <w:rFonts w:ascii="Garamond" w:eastAsia="Times New Roman" w:hAnsi="Garamond" w:cs="Calibri"/>
                <w:sz w:val="24"/>
                <w:szCs w:val="24"/>
                <w:lang w:bidi="bn-IN"/>
              </w:rPr>
              <w:t>***</w:t>
            </w:r>
          </w:p>
        </w:tc>
        <w:tc>
          <w:tcPr>
            <w:tcW w:w="0" w:type="auto"/>
            <w:shd w:val="clear" w:color="auto" w:fill="auto"/>
            <w:noWrap/>
            <w:vAlign w:val="bottom"/>
            <w:hideMark/>
          </w:tcPr>
          <w:p w14:paraId="7B3B9639" w14:textId="4ADB268A"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0.014</w:t>
            </w:r>
            <w:r w:rsidR="0055331E" w:rsidRPr="00E75964">
              <w:rPr>
                <w:rFonts w:ascii="Garamond" w:eastAsia="Times New Roman" w:hAnsi="Garamond" w:cs="Calibri"/>
                <w:sz w:val="24"/>
                <w:szCs w:val="24"/>
                <w:lang w:bidi="bn-IN"/>
              </w:rPr>
              <w:t>3</w:t>
            </w:r>
            <w:r w:rsidRPr="00E75964">
              <w:rPr>
                <w:rFonts w:ascii="Garamond" w:eastAsia="Times New Roman" w:hAnsi="Garamond" w:cs="Calibri"/>
                <w:sz w:val="24"/>
                <w:szCs w:val="24"/>
                <w:lang w:bidi="bn-IN"/>
              </w:rPr>
              <w:t>***</w:t>
            </w:r>
          </w:p>
        </w:tc>
        <w:tc>
          <w:tcPr>
            <w:tcW w:w="0" w:type="auto"/>
            <w:shd w:val="clear" w:color="auto" w:fill="auto"/>
            <w:noWrap/>
            <w:vAlign w:val="bottom"/>
            <w:hideMark/>
          </w:tcPr>
          <w:p w14:paraId="37FF125A" w14:textId="3DC9C7C5"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0.01</w:t>
            </w:r>
            <w:r w:rsidR="0055331E" w:rsidRPr="00E75964">
              <w:rPr>
                <w:rFonts w:ascii="Garamond" w:eastAsia="Times New Roman" w:hAnsi="Garamond" w:cs="Calibri"/>
                <w:sz w:val="24"/>
                <w:szCs w:val="24"/>
                <w:lang w:bidi="bn-IN"/>
              </w:rPr>
              <w:t>09</w:t>
            </w:r>
            <w:r w:rsidRPr="00E75964">
              <w:rPr>
                <w:rFonts w:ascii="Garamond" w:eastAsia="Times New Roman" w:hAnsi="Garamond" w:cs="Calibri"/>
                <w:sz w:val="24"/>
                <w:szCs w:val="24"/>
                <w:lang w:bidi="bn-IN"/>
              </w:rPr>
              <w:t>***</w:t>
            </w:r>
          </w:p>
        </w:tc>
        <w:tc>
          <w:tcPr>
            <w:tcW w:w="0" w:type="auto"/>
            <w:shd w:val="clear" w:color="auto" w:fill="auto"/>
            <w:noWrap/>
            <w:vAlign w:val="bottom"/>
            <w:hideMark/>
          </w:tcPr>
          <w:p w14:paraId="4F6FD418" w14:textId="76E886AA"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0.0</w:t>
            </w:r>
            <w:r w:rsidR="0055331E" w:rsidRPr="00E75964">
              <w:rPr>
                <w:rFonts w:ascii="Garamond" w:eastAsia="Times New Roman" w:hAnsi="Garamond" w:cs="Calibri"/>
                <w:sz w:val="24"/>
                <w:szCs w:val="24"/>
                <w:lang w:bidi="bn-IN"/>
              </w:rPr>
              <w:t>104</w:t>
            </w:r>
            <w:r w:rsidRPr="00E75964">
              <w:rPr>
                <w:rFonts w:ascii="Garamond" w:eastAsia="Times New Roman" w:hAnsi="Garamond" w:cs="Calibri"/>
                <w:sz w:val="24"/>
                <w:szCs w:val="24"/>
                <w:lang w:bidi="bn-IN"/>
              </w:rPr>
              <w:t>***</w:t>
            </w:r>
          </w:p>
        </w:tc>
        <w:tc>
          <w:tcPr>
            <w:tcW w:w="0" w:type="auto"/>
            <w:shd w:val="clear" w:color="auto" w:fill="auto"/>
            <w:noWrap/>
            <w:vAlign w:val="bottom"/>
            <w:hideMark/>
          </w:tcPr>
          <w:p w14:paraId="10288EEA" w14:textId="36FFDDA9"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w:t>
            </w:r>
            <w:r w:rsidR="00B91D75" w:rsidRPr="00E75964">
              <w:rPr>
                <w:rFonts w:ascii="Garamond" w:eastAsia="Times New Roman" w:hAnsi="Garamond" w:cs="Calibri"/>
                <w:sz w:val="24"/>
                <w:szCs w:val="24"/>
                <w:lang w:bidi="bn-IN"/>
              </w:rPr>
              <w:t>0</w:t>
            </w:r>
            <w:r w:rsidR="0055331E" w:rsidRPr="00E75964">
              <w:rPr>
                <w:rFonts w:ascii="Garamond" w:eastAsia="Times New Roman" w:hAnsi="Garamond" w:cs="Calibri"/>
                <w:sz w:val="24"/>
                <w:szCs w:val="24"/>
                <w:lang w:bidi="bn-IN"/>
              </w:rPr>
              <w:t>069</w:t>
            </w:r>
            <w:r w:rsidRPr="00E75964">
              <w:rPr>
                <w:rFonts w:ascii="Garamond" w:eastAsia="Times New Roman" w:hAnsi="Garamond" w:cs="Calibri"/>
                <w:sz w:val="24"/>
                <w:szCs w:val="24"/>
                <w:lang w:bidi="bn-IN"/>
              </w:rPr>
              <w:t>***</w:t>
            </w:r>
          </w:p>
        </w:tc>
      </w:tr>
      <w:tr w:rsidR="00665A74" w:rsidRPr="00E75964" w14:paraId="6EE1172F" w14:textId="77777777" w:rsidTr="00B66478">
        <w:trPr>
          <w:trHeight w:val="300"/>
          <w:jc w:val="center"/>
        </w:trPr>
        <w:tc>
          <w:tcPr>
            <w:tcW w:w="1667" w:type="dxa"/>
            <w:shd w:val="clear" w:color="auto" w:fill="auto"/>
            <w:noWrap/>
            <w:vAlign w:val="bottom"/>
            <w:hideMark/>
          </w:tcPr>
          <w:p w14:paraId="2436A49E" w14:textId="490AC556" w:rsidR="00E00949" w:rsidRPr="00E75964" w:rsidRDefault="00E00949" w:rsidP="00A26C2A">
            <w:pPr>
              <w:spacing w:after="0" w:line="240" w:lineRule="auto"/>
              <w:rPr>
                <w:rFonts w:ascii="Garamond" w:eastAsia="Times New Roman" w:hAnsi="Garamond" w:cs="Calibri"/>
                <w:sz w:val="24"/>
                <w:szCs w:val="24"/>
                <w:lang w:bidi="bn-IN"/>
              </w:rPr>
            </w:pPr>
            <w:r w:rsidRPr="00E75964">
              <w:rPr>
                <w:rFonts w:ascii="Garamond" w:eastAsia="Times New Roman" w:hAnsi="Garamond" w:cs="Calibri"/>
                <w:sz w:val="24"/>
                <w:szCs w:val="24"/>
                <w:lang w:bidi="bn-IN"/>
              </w:rPr>
              <w:t>Skewness</w:t>
            </w:r>
          </w:p>
        </w:tc>
        <w:tc>
          <w:tcPr>
            <w:tcW w:w="0" w:type="auto"/>
            <w:shd w:val="clear" w:color="auto" w:fill="auto"/>
            <w:noWrap/>
            <w:vAlign w:val="bottom"/>
            <w:hideMark/>
          </w:tcPr>
          <w:p w14:paraId="5F561671" w14:textId="1E7F8CCB" w:rsidR="00E00949" w:rsidRPr="00E75964" w:rsidRDefault="0055331E"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-1</w:t>
            </w:r>
            <w:r w:rsidR="00E00949" w:rsidRPr="00E75964">
              <w:rPr>
                <w:rFonts w:ascii="Garamond" w:eastAsia="Times New Roman" w:hAnsi="Garamond" w:cs="Calibri"/>
                <w:sz w:val="24"/>
                <w:szCs w:val="24"/>
                <w:lang w:bidi="bn-IN"/>
              </w:rPr>
              <w:t>.</w:t>
            </w:r>
            <w:r w:rsidRPr="00E75964">
              <w:rPr>
                <w:rFonts w:ascii="Garamond" w:eastAsia="Times New Roman" w:hAnsi="Garamond" w:cs="Calibri"/>
                <w:sz w:val="24"/>
                <w:szCs w:val="24"/>
                <w:lang w:bidi="bn-IN"/>
              </w:rPr>
              <w:t>1942</w:t>
            </w:r>
          </w:p>
        </w:tc>
        <w:tc>
          <w:tcPr>
            <w:tcW w:w="0" w:type="auto"/>
            <w:shd w:val="clear" w:color="auto" w:fill="auto"/>
            <w:noWrap/>
            <w:vAlign w:val="bottom"/>
            <w:hideMark/>
          </w:tcPr>
          <w:p w14:paraId="04A7CD1D" w14:textId="5465973C"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w:t>
            </w:r>
            <w:r w:rsidR="000E4696" w:rsidRPr="00E75964">
              <w:rPr>
                <w:rFonts w:ascii="Garamond" w:eastAsia="Times New Roman" w:hAnsi="Garamond" w:cs="Calibri"/>
                <w:sz w:val="24"/>
                <w:szCs w:val="24"/>
                <w:lang w:bidi="bn-IN"/>
              </w:rPr>
              <w:t>2</w:t>
            </w:r>
            <w:r w:rsidRPr="00E75964">
              <w:rPr>
                <w:rFonts w:ascii="Garamond" w:eastAsia="Times New Roman" w:hAnsi="Garamond" w:cs="Calibri"/>
                <w:sz w:val="24"/>
                <w:szCs w:val="24"/>
                <w:lang w:bidi="bn-IN"/>
              </w:rPr>
              <w:t>.</w:t>
            </w:r>
            <w:r w:rsidR="0055331E" w:rsidRPr="00E75964">
              <w:rPr>
                <w:rFonts w:ascii="Garamond" w:eastAsia="Times New Roman" w:hAnsi="Garamond" w:cs="Calibri"/>
                <w:sz w:val="24"/>
                <w:szCs w:val="24"/>
                <w:lang w:bidi="bn-IN"/>
              </w:rPr>
              <w:t>2</w:t>
            </w:r>
            <w:r w:rsidRPr="00E75964">
              <w:rPr>
                <w:rFonts w:ascii="Garamond" w:eastAsia="Times New Roman" w:hAnsi="Garamond" w:cs="Calibri"/>
                <w:sz w:val="24"/>
                <w:szCs w:val="24"/>
                <w:lang w:bidi="bn-IN"/>
              </w:rPr>
              <w:t>6</w:t>
            </w:r>
            <w:r w:rsidR="0055331E" w:rsidRPr="00E75964">
              <w:rPr>
                <w:rFonts w:ascii="Garamond" w:eastAsia="Times New Roman" w:hAnsi="Garamond" w:cs="Calibri"/>
                <w:sz w:val="24"/>
                <w:szCs w:val="24"/>
                <w:lang w:bidi="bn-IN"/>
              </w:rPr>
              <w:t>56</w:t>
            </w:r>
          </w:p>
        </w:tc>
        <w:tc>
          <w:tcPr>
            <w:tcW w:w="0" w:type="auto"/>
            <w:shd w:val="clear" w:color="auto" w:fill="auto"/>
            <w:noWrap/>
            <w:vAlign w:val="bottom"/>
            <w:hideMark/>
          </w:tcPr>
          <w:p w14:paraId="34747FC4" w14:textId="70EF1BC1" w:rsidR="00E00949" w:rsidRPr="00E75964" w:rsidRDefault="001331AB"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2</w:t>
            </w:r>
            <w:r w:rsidR="00E00949" w:rsidRPr="00E75964">
              <w:rPr>
                <w:rFonts w:ascii="Garamond" w:eastAsia="Times New Roman" w:hAnsi="Garamond" w:cs="Calibri"/>
                <w:sz w:val="24"/>
                <w:szCs w:val="24"/>
                <w:lang w:bidi="bn-IN"/>
              </w:rPr>
              <w:t>.</w:t>
            </w:r>
            <w:r w:rsidR="0055331E" w:rsidRPr="00E75964">
              <w:rPr>
                <w:rFonts w:ascii="Garamond" w:eastAsia="Times New Roman" w:hAnsi="Garamond" w:cs="Calibri"/>
                <w:sz w:val="24"/>
                <w:szCs w:val="24"/>
                <w:lang w:bidi="bn-IN"/>
              </w:rPr>
              <w:t>9504</w:t>
            </w:r>
          </w:p>
        </w:tc>
        <w:tc>
          <w:tcPr>
            <w:tcW w:w="0" w:type="auto"/>
            <w:shd w:val="clear" w:color="auto" w:fill="auto"/>
            <w:noWrap/>
            <w:vAlign w:val="bottom"/>
            <w:hideMark/>
          </w:tcPr>
          <w:p w14:paraId="74565ED0" w14:textId="118ACCA4" w:rsidR="00E00949" w:rsidRPr="00E75964" w:rsidRDefault="001331AB"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w:t>
            </w:r>
            <w:r w:rsidR="00E00949" w:rsidRPr="00E75964">
              <w:rPr>
                <w:rFonts w:ascii="Garamond" w:eastAsia="Times New Roman" w:hAnsi="Garamond" w:cs="Calibri"/>
                <w:sz w:val="24"/>
                <w:szCs w:val="24"/>
                <w:lang w:bidi="bn-IN"/>
              </w:rPr>
              <w:t>.2</w:t>
            </w:r>
            <w:r w:rsidR="0055331E" w:rsidRPr="00E75964">
              <w:rPr>
                <w:rFonts w:ascii="Garamond" w:eastAsia="Times New Roman" w:hAnsi="Garamond" w:cs="Calibri"/>
                <w:sz w:val="24"/>
                <w:szCs w:val="24"/>
                <w:lang w:bidi="bn-IN"/>
              </w:rPr>
              <w:t>498</w:t>
            </w:r>
          </w:p>
        </w:tc>
        <w:tc>
          <w:tcPr>
            <w:tcW w:w="0" w:type="auto"/>
            <w:shd w:val="clear" w:color="auto" w:fill="auto"/>
            <w:noWrap/>
            <w:vAlign w:val="bottom"/>
            <w:hideMark/>
          </w:tcPr>
          <w:p w14:paraId="30803EE2" w14:textId="22C3A177"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w:t>
            </w:r>
            <w:r w:rsidR="00B91D75" w:rsidRPr="00E75964">
              <w:rPr>
                <w:rFonts w:ascii="Garamond" w:eastAsia="Times New Roman" w:hAnsi="Garamond" w:cs="Calibri"/>
                <w:sz w:val="24"/>
                <w:szCs w:val="24"/>
                <w:lang w:bidi="bn-IN"/>
              </w:rPr>
              <w:t>1</w:t>
            </w:r>
            <w:r w:rsidR="0055331E" w:rsidRPr="00E75964">
              <w:rPr>
                <w:rFonts w:ascii="Garamond" w:eastAsia="Times New Roman" w:hAnsi="Garamond" w:cs="Calibri"/>
                <w:sz w:val="24"/>
                <w:szCs w:val="24"/>
                <w:lang w:bidi="bn-IN"/>
              </w:rPr>
              <w:t>778</w:t>
            </w:r>
          </w:p>
        </w:tc>
        <w:tc>
          <w:tcPr>
            <w:tcW w:w="0" w:type="auto"/>
            <w:shd w:val="clear" w:color="auto" w:fill="auto"/>
            <w:noWrap/>
            <w:vAlign w:val="bottom"/>
            <w:hideMark/>
          </w:tcPr>
          <w:p w14:paraId="42F93E8A" w14:textId="06667D36" w:rsidR="00E00949" w:rsidRPr="00E75964" w:rsidRDefault="0055331E"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-0</w:t>
            </w:r>
            <w:r w:rsidR="00B91D75" w:rsidRPr="00E75964">
              <w:rPr>
                <w:rFonts w:ascii="Garamond" w:eastAsia="Times New Roman" w:hAnsi="Garamond" w:cs="Calibri"/>
                <w:sz w:val="24"/>
                <w:szCs w:val="24"/>
                <w:lang w:bidi="bn-IN"/>
              </w:rPr>
              <w:t>.</w:t>
            </w:r>
            <w:r w:rsidR="00CF3B02" w:rsidRPr="00E75964">
              <w:rPr>
                <w:rFonts w:ascii="Garamond" w:eastAsia="Times New Roman" w:hAnsi="Garamond" w:cs="Calibri"/>
                <w:sz w:val="24"/>
                <w:szCs w:val="24"/>
                <w:lang w:bidi="bn-IN"/>
              </w:rPr>
              <w:t>4878</w:t>
            </w:r>
          </w:p>
        </w:tc>
      </w:tr>
      <w:tr w:rsidR="00665A74" w:rsidRPr="00E75964" w14:paraId="3FA6CF4F" w14:textId="77777777" w:rsidTr="00B66478">
        <w:trPr>
          <w:trHeight w:val="300"/>
          <w:jc w:val="center"/>
        </w:trPr>
        <w:tc>
          <w:tcPr>
            <w:tcW w:w="1667" w:type="dxa"/>
            <w:shd w:val="clear" w:color="auto" w:fill="auto"/>
            <w:noWrap/>
            <w:vAlign w:val="bottom"/>
            <w:hideMark/>
          </w:tcPr>
          <w:p w14:paraId="4C436B39" w14:textId="3D4159C5" w:rsidR="00E00949" w:rsidRPr="00E75964" w:rsidRDefault="00E00949" w:rsidP="00A26C2A">
            <w:pPr>
              <w:spacing w:after="0" w:line="240" w:lineRule="auto"/>
              <w:rPr>
                <w:rFonts w:ascii="Garamond" w:eastAsia="Times New Roman" w:hAnsi="Garamond" w:cs="Calibri"/>
                <w:sz w:val="24"/>
                <w:szCs w:val="24"/>
                <w:lang w:bidi="bn-IN"/>
              </w:rPr>
            </w:pPr>
            <w:r w:rsidRPr="00E75964">
              <w:rPr>
                <w:rFonts w:ascii="Garamond" w:eastAsia="Times New Roman" w:hAnsi="Garamond" w:cs="Calibri"/>
                <w:sz w:val="24"/>
                <w:szCs w:val="24"/>
                <w:lang w:bidi="bn-IN"/>
              </w:rPr>
              <w:t>Kurtosis</w:t>
            </w:r>
          </w:p>
        </w:tc>
        <w:tc>
          <w:tcPr>
            <w:tcW w:w="0" w:type="auto"/>
            <w:shd w:val="clear" w:color="auto" w:fill="auto"/>
            <w:noWrap/>
            <w:vAlign w:val="bottom"/>
            <w:hideMark/>
          </w:tcPr>
          <w:p w14:paraId="51753B01" w14:textId="01A5FF0F" w:rsidR="00E00949" w:rsidRPr="00E75964" w:rsidRDefault="0055331E"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64</w:t>
            </w:r>
            <w:r w:rsidR="00E00949" w:rsidRPr="00E75964">
              <w:rPr>
                <w:rFonts w:ascii="Garamond" w:eastAsia="Times New Roman" w:hAnsi="Garamond" w:cs="Calibri"/>
                <w:sz w:val="24"/>
                <w:szCs w:val="24"/>
                <w:lang w:bidi="bn-IN"/>
              </w:rPr>
              <w:t>.</w:t>
            </w:r>
            <w:r w:rsidR="000E4696" w:rsidRPr="00E75964">
              <w:rPr>
                <w:rFonts w:ascii="Garamond" w:eastAsia="Times New Roman" w:hAnsi="Garamond" w:cs="Calibri"/>
                <w:sz w:val="24"/>
                <w:szCs w:val="24"/>
                <w:lang w:bidi="bn-IN"/>
              </w:rPr>
              <w:t>6</w:t>
            </w:r>
            <w:r w:rsidRPr="00E75964">
              <w:rPr>
                <w:rFonts w:ascii="Garamond" w:eastAsia="Times New Roman" w:hAnsi="Garamond" w:cs="Calibri"/>
                <w:sz w:val="24"/>
                <w:szCs w:val="24"/>
                <w:lang w:bidi="bn-IN"/>
              </w:rPr>
              <w:t>350</w:t>
            </w:r>
          </w:p>
        </w:tc>
        <w:tc>
          <w:tcPr>
            <w:tcW w:w="0" w:type="auto"/>
            <w:shd w:val="clear" w:color="auto" w:fill="auto"/>
            <w:noWrap/>
            <w:vAlign w:val="bottom"/>
            <w:hideMark/>
          </w:tcPr>
          <w:p w14:paraId="19657247" w14:textId="66C4B4FA" w:rsidR="00E00949" w:rsidRPr="00E75964" w:rsidRDefault="000E4696"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4</w:t>
            </w:r>
            <w:r w:rsidR="0055331E" w:rsidRPr="00E75964">
              <w:rPr>
                <w:rFonts w:ascii="Garamond" w:eastAsia="Times New Roman" w:hAnsi="Garamond" w:cs="Calibri"/>
                <w:sz w:val="24"/>
                <w:szCs w:val="24"/>
                <w:lang w:bidi="bn-IN"/>
              </w:rPr>
              <w:t>5</w:t>
            </w:r>
            <w:r w:rsidR="00E00949" w:rsidRPr="00E75964">
              <w:rPr>
                <w:rFonts w:ascii="Garamond" w:eastAsia="Times New Roman" w:hAnsi="Garamond" w:cs="Calibri"/>
                <w:sz w:val="24"/>
                <w:szCs w:val="24"/>
                <w:lang w:bidi="bn-IN"/>
              </w:rPr>
              <w:t>.</w:t>
            </w:r>
            <w:r w:rsidRPr="00E75964">
              <w:rPr>
                <w:rFonts w:ascii="Garamond" w:eastAsia="Times New Roman" w:hAnsi="Garamond" w:cs="Calibri"/>
                <w:sz w:val="24"/>
                <w:szCs w:val="24"/>
                <w:lang w:bidi="bn-IN"/>
              </w:rPr>
              <w:t>9</w:t>
            </w:r>
            <w:r w:rsidR="0055331E" w:rsidRPr="00E75964">
              <w:rPr>
                <w:rFonts w:ascii="Garamond" w:eastAsia="Times New Roman" w:hAnsi="Garamond" w:cs="Calibri"/>
                <w:sz w:val="24"/>
                <w:szCs w:val="24"/>
                <w:lang w:bidi="bn-IN"/>
              </w:rPr>
              <w:t>546</w:t>
            </w:r>
          </w:p>
        </w:tc>
        <w:tc>
          <w:tcPr>
            <w:tcW w:w="0" w:type="auto"/>
            <w:shd w:val="clear" w:color="auto" w:fill="auto"/>
            <w:noWrap/>
            <w:vAlign w:val="bottom"/>
            <w:hideMark/>
          </w:tcPr>
          <w:p w14:paraId="63DDCA42" w14:textId="7CC5B96C"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2</w:t>
            </w:r>
            <w:r w:rsidR="0055331E" w:rsidRPr="00E75964">
              <w:rPr>
                <w:rFonts w:ascii="Garamond" w:eastAsia="Times New Roman" w:hAnsi="Garamond" w:cs="Calibri"/>
                <w:sz w:val="24"/>
                <w:szCs w:val="24"/>
                <w:lang w:bidi="bn-IN"/>
              </w:rPr>
              <w:t>7</w:t>
            </w:r>
            <w:r w:rsidRPr="00E75964">
              <w:rPr>
                <w:rFonts w:ascii="Garamond" w:eastAsia="Times New Roman" w:hAnsi="Garamond" w:cs="Calibri"/>
                <w:sz w:val="24"/>
                <w:szCs w:val="24"/>
                <w:lang w:bidi="bn-IN"/>
              </w:rPr>
              <w:t>.</w:t>
            </w:r>
            <w:r w:rsidR="0055331E" w:rsidRPr="00E75964">
              <w:rPr>
                <w:rFonts w:ascii="Garamond" w:eastAsia="Times New Roman" w:hAnsi="Garamond" w:cs="Calibri"/>
                <w:sz w:val="24"/>
                <w:szCs w:val="24"/>
                <w:lang w:bidi="bn-IN"/>
              </w:rPr>
              <w:t>1</w:t>
            </w:r>
            <w:r w:rsidR="001331AB" w:rsidRPr="00E75964">
              <w:rPr>
                <w:rFonts w:ascii="Garamond" w:eastAsia="Times New Roman" w:hAnsi="Garamond" w:cs="Calibri"/>
                <w:sz w:val="24"/>
                <w:szCs w:val="24"/>
                <w:lang w:bidi="bn-IN"/>
              </w:rPr>
              <w:t>3</w:t>
            </w:r>
            <w:r w:rsidR="0055331E" w:rsidRPr="00E75964">
              <w:rPr>
                <w:rFonts w:ascii="Garamond" w:eastAsia="Times New Roman" w:hAnsi="Garamond" w:cs="Calibri"/>
                <w:sz w:val="24"/>
                <w:szCs w:val="24"/>
                <w:lang w:bidi="bn-IN"/>
              </w:rPr>
              <w:t>90</w:t>
            </w:r>
          </w:p>
        </w:tc>
        <w:tc>
          <w:tcPr>
            <w:tcW w:w="0" w:type="auto"/>
            <w:shd w:val="clear" w:color="auto" w:fill="auto"/>
            <w:noWrap/>
            <w:vAlign w:val="bottom"/>
            <w:hideMark/>
          </w:tcPr>
          <w:p w14:paraId="4EA53638" w14:textId="369B0E94" w:rsidR="00E00949" w:rsidRPr="00E75964" w:rsidRDefault="0055331E"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10</w:t>
            </w:r>
            <w:r w:rsidR="00E00949" w:rsidRPr="00E75964">
              <w:rPr>
                <w:rFonts w:ascii="Garamond" w:eastAsia="Times New Roman" w:hAnsi="Garamond" w:cs="Calibri"/>
                <w:sz w:val="24"/>
                <w:szCs w:val="24"/>
                <w:lang w:bidi="bn-IN"/>
              </w:rPr>
              <w:t>.</w:t>
            </w:r>
            <w:r w:rsidRPr="00E75964">
              <w:rPr>
                <w:rFonts w:ascii="Garamond" w:eastAsia="Times New Roman" w:hAnsi="Garamond" w:cs="Calibri"/>
                <w:sz w:val="24"/>
                <w:szCs w:val="24"/>
                <w:lang w:bidi="bn-IN"/>
              </w:rPr>
              <w:t>2839</w:t>
            </w:r>
          </w:p>
        </w:tc>
        <w:tc>
          <w:tcPr>
            <w:tcW w:w="0" w:type="auto"/>
            <w:shd w:val="clear" w:color="auto" w:fill="auto"/>
            <w:noWrap/>
            <w:vAlign w:val="bottom"/>
            <w:hideMark/>
          </w:tcPr>
          <w:p w14:paraId="331DDFEE" w14:textId="7774852D"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1</w:t>
            </w:r>
            <w:r w:rsidR="0055331E" w:rsidRPr="00E75964">
              <w:rPr>
                <w:rFonts w:ascii="Garamond" w:eastAsia="Times New Roman" w:hAnsi="Garamond" w:cs="Calibri"/>
                <w:sz w:val="24"/>
                <w:szCs w:val="24"/>
                <w:lang w:bidi="bn-IN"/>
              </w:rPr>
              <w:t>5</w:t>
            </w:r>
            <w:r w:rsidR="00B91D75" w:rsidRPr="00E75964">
              <w:rPr>
                <w:rFonts w:ascii="Garamond" w:eastAsia="Times New Roman" w:hAnsi="Garamond" w:cs="Calibri"/>
                <w:sz w:val="24"/>
                <w:szCs w:val="24"/>
                <w:lang w:bidi="bn-IN"/>
              </w:rPr>
              <w:t>.3</w:t>
            </w:r>
            <w:r w:rsidR="0055331E" w:rsidRPr="00E75964">
              <w:rPr>
                <w:rFonts w:ascii="Garamond" w:eastAsia="Times New Roman" w:hAnsi="Garamond" w:cs="Calibri"/>
                <w:sz w:val="24"/>
                <w:szCs w:val="24"/>
                <w:lang w:bidi="bn-IN"/>
              </w:rPr>
              <w:t>214</w:t>
            </w:r>
          </w:p>
        </w:tc>
        <w:tc>
          <w:tcPr>
            <w:tcW w:w="0" w:type="auto"/>
            <w:shd w:val="clear" w:color="auto" w:fill="auto"/>
            <w:noWrap/>
            <w:vAlign w:val="bottom"/>
            <w:hideMark/>
          </w:tcPr>
          <w:p w14:paraId="1C248248" w14:textId="32C9F6CD" w:rsidR="00E00949" w:rsidRPr="00E75964" w:rsidRDefault="00CF3B02"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12</w:t>
            </w:r>
            <w:r w:rsidR="00B91D75" w:rsidRPr="00E75964">
              <w:rPr>
                <w:rFonts w:ascii="Garamond" w:eastAsia="Times New Roman" w:hAnsi="Garamond" w:cs="Calibri"/>
                <w:sz w:val="24"/>
                <w:szCs w:val="24"/>
                <w:lang w:bidi="bn-IN"/>
              </w:rPr>
              <w:t>.</w:t>
            </w:r>
            <w:r w:rsidRPr="00E75964">
              <w:rPr>
                <w:rFonts w:ascii="Garamond" w:eastAsia="Times New Roman" w:hAnsi="Garamond" w:cs="Calibri"/>
                <w:sz w:val="24"/>
                <w:szCs w:val="24"/>
                <w:lang w:bidi="bn-IN"/>
              </w:rPr>
              <w:t>5829</w:t>
            </w:r>
          </w:p>
        </w:tc>
      </w:tr>
      <w:tr w:rsidR="00665A74" w:rsidRPr="00E75964" w14:paraId="3A6C3E88" w14:textId="77777777" w:rsidTr="00B66478">
        <w:trPr>
          <w:trHeight w:val="300"/>
          <w:jc w:val="center"/>
        </w:trPr>
        <w:tc>
          <w:tcPr>
            <w:tcW w:w="1667" w:type="dxa"/>
            <w:tcBorders>
              <w:bottom w:val="single" w:sz="4" w:space="0" w:color="auto"/>
            </w:tcBorders>
            <w:shd w:val="clear" w:color="auto" w:fill="auto"/>
            <w:noWrap/>
            <w:vAlign w:val="bottom"/>
            <w:hideMark/>
          </w:tcPr>
          <w:p w14:paraId="407B2483" w14:textId="0253E34F" w:rsidR="00E00949" w:rsidRPr="00E75964" w:rsidRDefault="00E00949" w:rsidP="00A26C2A">
            <w:pPr>
              <w:spacing w:after="0" w:line="240" w:lineRule="auto"/>
              <w:rPr>
                <w:rFonts w:ascii="Garamond" w:eastAsia="Times New Roman" w:hAnsi="Garamond" w:cs="Calibri"/>
                <w:sz w:val="24"/>
                <w:szCs w:val="24"/>
                <w:lang w:bidi="bn-IN"/>
              </w:rPr>
            </w:pPr>
            <w:r w:rsidRPr="00E75964">
              <w:rPr>
                <w:rFonts w:ascii="Garamond" w:eastAsia="Times New Roman" w:hAnsi="Garamond" w:cs="Calibri"/>
                <w:sz w:val="24"/>
                <w:szCs w:val="24"/>
                <w:lang w:bidi="bn-IN"/>
              </w:rPr>
              <w:t>Observations</w:t>
            </w:r>
          </w:p>
        </w:tc>
        <w:tc>
          <w:tcPr>
            <w:tcW w:w="0" w:type="auto"/>
            <w:tcBorders>
              <w:bottom w:val="single" w:sz="4" w:space="0" w:color="auto"/>
            </w:tcBorders>
            <w:shd w:val="clear" w:color="auto" w:fill="auto"/>
            <w:noWrap/>
            <w:vAlign w:val="bottom"/>
            <w:hideMark/>
          </w:tcPr>
          <w:p w14:paraId="4F349965" w14:textId="57D54E92"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4</w:t>
            </w:r>
            <w:r w:rsidR="000E4696" w:rsidRPr="00E75964">
              <w:rPr>
                <w:rFonts w:ascii="Garamond" w:eastAsia="Times New Roman" w:hAnsi="Garamond" w:cs="Calibri"/>
                <w:sz w:val="24"/>
                <w:szCs w:val="24"/>
                <w:lang w:bidi="bn-IN"/>
              </w:rPr>
              <w:t>565</w:t>
            </w:r>
          </w:p>
        </w:tc>
        <w:tc>
          <w:tcPr>
            <w:tcW w:w="0" w:type="auto"/>
            <w:tcBorders>
              <w:bottom w:val="single" w:sz="4" w:space="0" w:color="auto"/>
            </w:tcBorders>
            <w:shd w:val="clear" w:color="auto" w:fill="auto"/>
            <w:noWrap/>
            <w:vAlign w:val="bottom"/>
            <w:hideMark/>
          </w:tcPr>
          <w:p w14:paraId="2FED8F6F" w14:textId="447BE58F" w:rsidR="00E00949" w:rsidRPr="00E75964" w:rsidRDefault="000E4696"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913</w:t>
            </w:r>
          </w:p>
        </w:tc>
        <w:tc>
          <w:tcPr>
            <w:tcW w:w="0" w:type="auto"/>
            <w:tcBorders>
              <w:bottom w:val="single" w:sz="4" w:space="0" w:color="auto"/>
            </w:tcBorders>
            <w:shd w:val="clear" w:color="auto" w:fill="auto"/>
            <w:noWrap/>
            <w:vAlign w:val="bottom"/>
            <w:hideMark/>
          </w:tcPr>
          <w:p w14:paraId="47A463B3" w14:textId="3B2CF414" w:rsidR="00E00949" w:rsidRPr="00E75964" w:rsidRDefault="001331AB"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913</w:t>
            </w:r>
          </w:p>
        </w:tc>
        <w:tc>
          <w:tcPr>
            <w:tcW w:w="0" w:type="auto"/>
            <w:tcBorders>
              <w:bottom w:val="single" w:sz="4" w:space="0" w:color="auto"/>
            </w:tcBorders>
            <w:shd w:val="clear" w:color="auto" w:fill="auto"/>
            <w:noWrap/>
            <w:vAlign w:val="bottom"/>
            <w:hideMark/>
          </w:tcPr>
          <w:p w14:paraId="0891A3B8" w14:textId="5F873233" w:rsidR="00E00949" w:rsidRPr="00E75964" w:rsidRDefault="001331AB"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913</w:t>
            </w:r>
          </w:p>
        </w:tc>
        <w:tc>
          <w:tcPr>
            <w:tcW w:w="0" w:type="auto"/>
            <w:tcBorders>
              <w:bottom w:val="single" w:sz="4" w:space="0" w:color="auto"/>
            </w:tcBorders>
            <w:shd w:val="clear" w:color="auto" w:fill="auto"/>
            <w:noWrap/>
            <w:vAlign w:val="bottom"/>
            <w:hideMark/>
          </w:tcPr>
          <w:p w14:paraId="56428D94" w14:textId="7FAF3E04" w:rsidR="00E00949" w:rsidRPr="00E75964" w:rsidRDefault="00B91D75"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913</w:t>
            </w:r>
          </w:p>
        </w:tc>
        <w:tc>
          <w:tcPr>
            <w:tcW w:w="0" w:type="auto"/>
            <w:tcBorders>
              <w:bottom w:val="single" w:sz="4" w:space="0" w:color="auto"/>
            </w:tcBorders>
            <w:shd w:val="clear" w:color="auto" w:fill="auto"/>
            <w:noWrap/>
            <w:vAlign w:val="bottom"/>
            <w:hideMark/>
          </w:tcPr>
          <w:p w14:paraId="523E4865" w14:textId="77777777" w:rsidR="00E00949" w:rsidRPr="00E75964" w:rsidRDefault="00E00949" w:rsidP="00E00949">
            <w:pPr>
              <w:spacing w:after="0" w:line="240" w:lineRule="auto"/>
              <w:jc w:val="center"/>
              <w:rPr>
                <w:rFonts w:ascii="Garamond" w:eastAsia="Times New Roman" w:hAnsi="Garamond" w:cs="Calibri"/>
                <w:sz w:val="24"/>
                <w:szCs w:val="24"/>
                <w:lang w:bidi="bn-IN"/>
              </w:rPr>
            </w:pPr>
            <w:r w:rsidRPr="00E75964">
              <w:rPr>
                <w:rFonts w:ascii="Garamond" w:eastAsia="Times New Roman" w:hAnsi="Garamond" w:cs="Calibri"/>
                <w:sz w:val="24"/>
                <w:szCs w:val="24"/>
                <w:lang w:bidi="bn-IN"/>
              </w:rPr>
              <w:t>831</w:t>
            </w:r>
          </w:p>
        </w:tc>
      </w:tr>
    </w:tbl>
    <w:p w14:paraId="65A7BA33" w14:textId="78C49830" w:rsidR="00CE65B6" w:rsidRPr="00E75964" w:rsidRDefault="000B5EA8" w:rsidP="00E00949">
      <w:pPr>
        <w:autoSpaceDE w:val="0"/>
        <w:autoSpaceDN w:val="0"/>
        <w:adjustRightInd w:val="0"/>
        <w:spacing w:line="360" w:lineRule="auto"/>
        <w:rPr>
          <w:rFonts w:ascii="Garamond" w:hAnsi="Garamond" w:cs="Arial"/>
        </w:rPr>
      </w:pPr>
      <w:r>
        <w:rPr>
          <w:rFonts w:ascii="Garamond" w:hAnsi="Garamond"/>
          <w:color w:val="000000" w:themeColor="text1"/>
        </w:rPr>
        <w:t xml:space="preserve">Note: </w:t>
      </w:r>
      <w:r w:rsidR="00CE65B6" w:rsidRPr="00E75964">
        <w:rPr>
          <w:rFonts w:ascii="Garamond" w:hAnsi="Garamond"/>
          <w:color w:val="000000" w:themeColor="text1"/>
        </w:rPr>
        <w:t>***</w:t>
      </w:r>
      <w:r w:rsidR="001A7DD3" w:rsidRPr="00E75964">
        <w:rPr>
          <w:rFonts w:ascii="Garamond" w:hAnsi="Garamond"/>
          <w:color w:val="000000" w:themeColor="text1"/>
        </w:rPr>
        <w:t>, **, * denote</w:t>
      </w:r>
      <w:r w:rsidR="00CE65B6" w:rsidRPr="00E75964">
        <w:rPr>
          <w:rFonts w:ascii="Garamond" w:hAnsi="Garamond"/>
          <w:color w:val="000000" w:themeColor="text1"/>
        </w:rPr>
        <w:t xml:space="preserve"> </w:t>
      </w:r>
      <w:r w:rsidR="001A7DD3" w:rsidRPr="00E75964">
        <w:rPr>
          <w:rFonts w:ascii="Garamond" w:hAnsi="Garamond"/>
          <w:color w:val="000000" w:themeColor="text1"/>
        </w:rPr>
        <w:t>s</w:t>
      </w:r>
      <w:r w:rsidR="00CE65B6" w:rsidRPr="00E75964">
        <w:rPr>
          <w:rFonts w:ascii="Garamond" w:hAnsi="Garamond"/>
          <w:color w:val="000000" w:themeColor="text1"/>
        </w:rPr>
        <w:t>ignifican</w:t>
      </w:r>
      <w:r w:rsidR="001A7DD3" w:rsidRPr="00E75964">
        <w:rPr>
          <w:rFonts w:ascii="Garamond" w:hAnsi="Garamond"/>
          <w:color w:val="000000" w:themeColor="text1"/>
        </w:rPr>
        <w:t>ce</w:t>
      </w:r>
      <w:r w:rsidR="00CE65B6" w:rsidRPr="00E75964">
        <w:rPr>
          <w:rFonts w:ascii="Garamond" w:hAnsi="Garamond"/>
          <w:color w:val="000000" w:themeColor="text1"/>
        </w:rPr>
        <w:t xml:space="preserve"> at </w:t>
      </w:r>
      <w:r>
        <w:rPr>
          <w:rFonts w:ascii="Garamond" w:hAnsi="Garamond"/>
          <w:color w:val="000000" w:themeColor="text1"/>
        </w:rPr>
        <w:t xml:space="preserve">the </w:t>
      </w:r>
      <w:r w:rsidR="00CE65B6" w:rsidRPr="00E75964">
        <w:rPr>
          <w:rFonts w:ascii="Garamond" w:hAnsi="Garamond"/>
          <w:color w:val="000000" w:themeColor="text1"/>
        </w:rPr>
        <w:t>1%</w:t>
      </w:r>
      <w:r w:rsidR="001A7DD3" w:rsidRPr="00E75964">
        <w:rPr>
          <w:rFonts w:ascii="Garamond" w:hAnsi="Garamond"/>
          <w:color w:val="000000" w:themeColor="text1"/>
        </w:rPr>
        <w:t>, 5% and 10%</w:t>
      </w:r>
      <w:r w:rsidR="00CE65B6" w:rsidRPr="00E75964">
        <w:rPr>
          <w:rFonts w:ascii="Garamond" w:hAnsi="Garamond"/>
          <w:color w:val="000000" w:themeColor="text1"/>
        </w:rPr>
        <w:t xml:space="preserve"> level</w:t>
      </w:r>
      <w:r>
        <w:rPr>
          <w:rFonts w:ascii="Garamond" w:hAnsi="Garamond"/>
          <w:color w:val="000000" w:themeColor="text1"/>
        </w:rPr>
        <w:t>s respectively</w:t>
      </w:r>
    </w:p>
    <w:p w14:paraId="6E9F2BB6" w14:textId="17C629F5" w:rsidR="00CE65B6" w:rsidRPr="00E75964" w:rsidRDefault="00CE65B6" w:rsidP="00CD604B">
      <w:pPr>
        <w:spacing w:line="360" w:lineRule="auto"/>
        <w:jc w:val="both"/>
        <w:rPr>
          <w:rFonts w:ascii="Garamond" w:hAnsi="Garamond"/>
          <w:color w:val="000000" w:themeColor="text1"/>
          <w:sz w:val="24"/>
          <w:szCs w:val="24"/>
        </w:rPr>
      </w:pPr>
      <w:r w:rsidRPr="00E75964">
        <w:rPr>
          <w:rFonts w:ascii="Garamond" w:hAnsi="Garamond"/>
          <w:sz w:val="24"/>
          <w:szCs w:val="24"/>
        </w:rPr>
        <w:t xml:space="preserve">The average daily returns are negative for Sunday and </w:t>
      </w:r>
      <w:r w:rsidR="00665A74" w:rsidRPr="00E75964">
        <w:rPr>
          <w:rFonts w:ascii="Garamond" w:hAnsi="Garamond"/>
          <w:sz w:val="24"/>
          <w:szCs w:val="24"/>
        </w:rPr>
        <w:t>Thurs</w:t>
      </w:r>
      <w:r w:rsidRPr="00E75964">
        <w:rPr>
          <w:rFonts w:ascii="Garamond" w:hAnsi="Garamond"/>
          <w:sz w:val="24"/>
          <w:szCs w:val="24"/>
        </w:rPr>
        <w:t>day</w:t>
      </w:r>
      <w:r w:rsidR="000B5EA8">
        <w:rPr>
          <w:rFonts w:ascii="Garamond" w:hAnsi="Garamond"/>
          <w:sz w:val="24"/>
          <w:szCs w:val="24"/>
        </w:rPr>
        <w:t xml:space="preserve"> but </w:t>
      </w:r>
      <w:r w:rsidRPr="00E75964">
        <w:rPr>
          <w:rFonts w:ascii="Garamond" w:hAnsi="Garamond"/>
          <w:sz w:val="24"/>
          <w:szCs w:val="24"/>
        </w:rPr>
        <w:t xml:space="preserve">positive for </w:t>
      </w:r>
      <w:r w:rsidR="000B5EA8">
        <w:rPr>
          <w:rFonts w:ascii="Garamond" w:hAnsi="Garamond"/>
          <w:sz w:val="24"/>
          <w:szCs w:val="24"/>
        </w:rPr>
        <w:t xml:space="preserve">the </w:t>
      </w:r>
      <w:r w:rsidRPr="00E75964">
        <w:rPr>
          <w:rFonts w:ascii="Garamond" w:hAnsi="Garamond"/>
          <w:sz w:val="24"/>
          <w:szCs w:val="24"/>
        </w:rPr>
        <w:t xml:space="preserve">other </w:t>
      </w:r>
      <w:r w:rsidR="000B5EA8">
        <w:rPr>
          <w:rFonts w:ascii="Garamond" w:hAnsi="Garamond"/>
          <w:sz w:val="24"/>
          <w:szCs w:val="24"/>
        </w:rPr>
        <w:t xml:space="preserve">three </w:t>
      </w:r>
      <w:r w:rsidRPr="00E75964">
        <w:rPr>
          <w:rFonts w:ascii="Garamond" w:hAnsi="Garamond"/>
          <w:sz w:val="24"/>
          <w:szCs w:val="24"/>
        </w:rPr>
        <w:t xml:space="preserve">days of the week. The lowest </w:t>
      </w:r>
      <w:r w:rsidR="00665A74" w:rsidRPr="00E75964">
        <w:rPr>
          <w:rFonts w:ascii="Garamond" w:hAnsi="Garamond"/>
          <w:sz w:val="24"/>
          <w:szCs w:val="24"/>
        </w:rPr>
        <w:t xml:space="preserve">average </w:t>
      </w:r>
      <w:r w:rsidRPr="00E75964">
        <w:rPr>
          <w:rFonts w:ascii="Garamond" w:hAnsi="Garamond"/>
          <w:sz w:val="24"/>
          <w:szCs w:val="24"/>
        </w:rPr>
        <w:t xml:space="preserve">returns are </w:t>
      </w:r>
      <w:r w:rsidR="003D2507" w:rsidRPr="00E75964">
        <w:rPr>
          <w:rFonts w:ascii="Garamond" w:hAnsi="Garamond"/>
          <w:sz w:val="24"/>
          <w:szCs w:val="24"/>
        </w:rPr>
        <w:t xml:space="preserve">reported </w:t>
      </w:r>
      <w:r w:rsidRPr="00E75964">
        <w:rPr>
          <w:rFonts w:ascii="Garamond" w:hAnsi="Garamond"/>
          <w:sz w:val="24"/>
          <w:szCs w:val="24"/>
        </w:rPr>
        <w:t xml:space="preserve">on Sunday </w:t>
      </w:r>
      <w:r w:rsidR="003D2507" w:rsidRPr="00E75964">
        <w:rPr>
          <w:rFonts w:ascii="Garamond" w:hAnsi="Garamond"/>
          <w:sz w:val="24"/>
          <w:szCs w:val="24"/>
        </w:rPr>
        <w:t>(-0.</w:t>
      </w:r>
      <w:r w:rsidR="00665A74" w:rsidRPr="00E75964">
        <w:rPr>
          <w:rFonts w:ascii="Garamond" w:hAnsi="Garamond"/>
          <w:sz w:val="24"/>
          <w:szCs w:val="24"/>
        </w:rPr>
        <w:t>2</w:t>
      </w:r>
      <w:r w:rsidR="00CD17A1" w:rsidRPr="00E75964">
        <w:rPr>
          <w:rFonts w:ascii="Garamond" w:hAnsi="Garamond"/>
          <w:sz w:val="24"/>
          <w:szCs w:val="24"/>
        </w:rPr>
        <w:t>14</w:t>
      </w:r>
      <w:r w:rsidR="007E1500" w:rsidRPr="00E75964">
        <w:rPr>
          <w:rFonts w:ascii="Garamond" w:hAnsi="Garamond"/>
          <w:sz w:val="24"/>
          <w:szCs w:val="24"/>
        </w:rPr>
        <w:t>%</w:t>
      </w:r>
      <w:r w:rsidR="003D2507" w:rsidRPr="00E75964">
        <w:rPr>
          <w:rFonts w:ascii="Garamond" w:hAnsi="Garamond"/>
          <w:sz w:val="24"/>
          <w:szCs w:val="24"/>
        </w:rPr>
        <w:t xml:space="preserve">) </w:t>
      </w:r>
      <w:r w:rsidRPr="00E75964">
        <w:rPr>
          <w:rFonts w:ascii="Garamond" w:hAnsi="Garamond"/>
          <w:sz w:val="24"/>
          <w:szCs w:val="24"/>
        </w:rPr>
        <w:t xml:space="preserve">and the highest on </w:t>
      </w:r>
      <w:r w:rsidR="00665A74" w:rsidRPr="00E75964">
        <w:rPr>
          <w:rFonts w:ascii="Garamond" w:hAnsi="Garamond"/>
          <w:sz w:val="24"/>
          <w:szCs w:val="24"/>
        </w:rPr>
        <w:t>Mon</w:t>
      </w:r>
      <w:r w:rsidRPr="00E75964">
        <w:rPr>
          <w:rFonts w:ascii="Garamond" w:hAnsi="Garamond"/>
          <w:sz w:val="24"/>
          <w:szCs w:val="24"/>
        </w:rPr>
        <w:t>day</w:t>
      </w:r>
      <w:r w:rsidR="003D2507" w:rsidRPr="00E75964">
        <w:rPr>
          <w:rFonts w:ascii="Garamond" w:hAnsi="Garamond"/>
          <w:sz w:val="24"/>
          <w:szCs w:val="24"/>
        </w:rPr>
        <w:t xml:space="preserve"> (0.</w:t>
      </w:r>
      <w:r w:rsidR="00C473F2" w:rsidRPr="00E75964">
        <w:rPr>
          <w:rFonts w:ascii="Garamond" w:hAnsi="Garamond"/>
          <w:sz w:val="24"/>
          <w:szCs w:val="24"/>
        </w:rPr>
        <w:t>2</w:t>
      </w:r>
      <w:r w:rsidR="00665A74" w:rsidRPr="00E75964">
        <w:rPr>
          <w:rFonts w:ascii="Garamond" w:hAnsi="Garamond"/>
          <w:sz w:val="24"/>
          <w:szCs w:val="24"/>
        </w:rPr>
        <w:t>4</w:t>
      </w:r>
      <w:r w:rsidR="00CD17A1" w:rsidRPr="00E75964">
        <w:rPr>
          <w:rFonts w:ascii="Garamond" w:hAnsi="Garamond"/>
          <w:sz w:val="24"/>
          <w:szCs w:val="24"/>
        </w:rPr>
        <w:t>43</w:t>
      </w:r>
      <w:r w:rsidR="007E1500" w:rsidRPr="00E75964">
        <w:rPr>
          <w:rFonts w:ascii="Garamond" w:hAnsi="Garamond"/>
          <w:sz w:val="24"/>
          <w:szCs w:val="24"/>
        </w:rPr>
        <w:t>%</w:t>
      </w:r>
      <w:r w:rsidR="003D2507" w:rsidRPr="00E75964">
        <w:rPr>
          <w:rFonts w:ascii="Garamond" w:hAnsi="Garamond"/>
          <w:sz w:val="24"/>
          <w:szCs w:val="24"/>
        </w:rPr>
        <w:t>)</w:t>
      </w:r>
      <w:r w:rsidRPr="00E75964">
        <w:rPr>
          <w:rFonts w:ascii="Garamond" w:hAnsi="Garamond"/>
          <w:sz w:val="24"/>
          <w:szCs w:val="24"/>
        </w:rPr>
        <w:t xml:space="preserve">. </w:t>
      </w:r>
      <w:r w:rsidR="007E1500" w:rsidRPr="00E75964">
        <w:rPr>
          <w:rFonts w:ascii="Garamond" w:hAnsi="Garamond"/>
          <w:sz w:val="24"/>
          <w:szCs w:val="24"/>
        </w:rPr>
        <w:t xml:space="preserve">Sunday also has the most variable returns, with </w:t>
      </w:r>
      <w:r w:rsidR="002D3EB9" w:rsidRPr="00E75964">
        <w:rPr>
          <w:rFonts w:ascii="Garamond" w:hAnsi="Garamond"/>
          <w:sz w:val="24"/>
          <w:szCs w:val="24"/>
        </w:rPr>
        <w:t xml:space="preserve">the minimum (-26.91%) and maximum (19.18%) </w:t>
      </w:r>
      <w:r w:rsidR="007E1500" w:rsidRPr="00E75964">
        <w:rPr>
          <w:rFonts w:ascii="Garamond" w:hAnsi="Garamond"/>
          <w:sz w:val="24"/>
          <w:szCs w:val="24"/>
        </w:rPr>
        <w:t xml:space="preserve">daily </w:t>
      </w:r>
      <w:r w:rsidR="002D3EB9" w:rsidRPr="00E75964">
        <w:rPr>
          <w:rFonts w:ascii="Garamond" w:hAnsi="Garamond"/>
          <w:sz w:val="24"/>
          <w:szCs w:val="24"/>
        </w:rPr>
        <w:t xml:space="preserve">returns </w:t>
      </w:r>
      <w:r w:rsidR="007E1500" w:rsidRPr="00E75964">
        <w:rPr>
          <w:rFonts w:ascii="Garamond" w:hAnsi="Garamond"/>
          <w:sz w:val="24"/>
          <w:szCs w:val="24"/>
        </w:rPr>
        <w:t xml:space="preserve">in </w:t>
      </w:r>
      <w:r w:rsidR="002D3EB9" w:rsidRPr="00E75964">
        <w:rPr>
          <w:rFonts w:ascii="Garamond" w:hAnsi="Garamond"/>
          <w:sz w:val="24"/>
          <w:szCs w:val="24"/>
        </w:rPr>
        <w:t>our daily price dataset</w:t>
      </w:r>
      <w:r w:rsidR="007E1500" w:rsidRPr="00E75964">
        <w:rPr>
          <w:rFonts w:ascii="Garamond" w:hAnsi="Garamond"/>
          <w:sz w:val="24"/>
          <w:szCs w:val="24"/>
        </w:rPr>
        <w:t>.</w:t>
      </w:r>
      <w:r w:rsidR="002D3EB9" w:rsidRPr="00E75964">
        <w:rPr>
          <w:rFonts w:ascii="Garamond" w:hAnsi="Garamond"/>
          <w:sz w:val="24"/>
          <w:szCs w:val="24"/>
        </w:rPr>
        <w:t xml:space="preserve"> T</w:t>
      </w:r>
      <w:r w:rsidRPr="00E75964">
        <w:rPr>
          <w:rFonts w:ascii="Garamond" w:hAnsi="Garamond"/>
          <w:sz w:val="24"/>
          <w:szCs w:val="24"/>
        </w:rPr>
        <w:t xml:space="preserve">he </w:t>
      </w:r>
      <w:r w:rsidR="00665A74" w:rsidRPr="00E75964">
        <w:rPr>
          <w:rFonts w:ascii="Garamond" w:hAnsi="Garamond"/>
          <w:sz w:val="24"/>
          <w:szCs w:val="24"/>
        </w:rPr>
        <w:t xml:space="preserve">standard deviation </w:t>
      </w:r>
      <w:r w:rsidRPr="00E75964">
        <w:rPr>
          <w:rFonts w:ascii="Garamond" w:hAnsi="Garamond"/>
          <w:sz w:val="24"/>
          <w:szCs w:val="24"/>
        </w:rPr>
        <w:t>of returns is highest on Sunday</w:t>
      </w:r>
      <w:r w:rsidR="000B5EA8">
        <w:rPr>
          <w:rFonts w:ascii="Garamond" w:hAnsi="Garamond"/>
          <w:sz w:val="24"/>
          <w:szCs w:val="24"/>
        </w:rPr>
        <w:t xml:space="preserve"> too</w:t>
      </w:r>
      <w:r w:rsidRPr="00E75964">
        <w:rPr>
          <w:rFonts w:ascii="Garamond" w:hAnsi="Garamond"/>
          <w:sz w:val="24"/>
          <w:szCs w:val="24"/>
        </w:rPr>
        <w:t xml:space="preserve"> </w:t>
      </w:r>
      <w:r w:rsidR="003D2507" w:rsidRPr="00E75964">
        <w:rPr>
          <w:rFonts w:ascii="Garamond" w:hAnsi="Garamond"/>
          <w:sz w:val="24"/>
          <w:szCs w:val="24"/>
        </w:rPr>
        <w:t>(0.0</w:t>
      </w:r>
      <w:r w:rsidR="00665A74" w:rsidRPr="00E75964">
        <w:rPr>
          <w:rFonts w:ascii="Garamond" w:hAnsi="Garamond"/>
          <w:sz w:val="24"/>
          <w:szCs w:val="24"/>
        </w:rPr>
        <w:t>219</w:t>
      </w:r>
      <w:r w:rsidR="007E1500" w:rsidRPr="00E75964">
        <w:rPr>
          <w:rFonts w:ascii="Garamond" w:hAnsi="Garamond"/>
          <w:sz w:val="24"/>
          <w:szCs w:val="24"/>
        </w:rPr>
        <w:t>%</w:t>
      </w:r>
      <w:r w:rsidR="003D2507" w:rsidRPr="00E75964">
        <w:rPr>
          <w:rFonts w:ascii="Garamond" w:hAnsi="Garamond"/>
          <w:sz w:val="24"/>
          <w:szCs w:val="24"/>
        </w:rPr>
        <w:t>)</w:t>
      </w:r>
      <w:r w:rsidR="002D3EB9" w:rsidRPr="00E75964">
        <w:rPr>
          <w:rFonts w:ascii="Garamond" w:hAnsi="Garamond"/>
          <w:sz w:val="24"/>
          <w:szCs w:val="24"/>
        </w:rPr>
        <w:t xml:space="preserve">. </w:t>
      </w:r>
      <w:r w:rsidR="007E1500" w:rsidRPr="00E75964">
        <w:rPr>
          <w:rFonts w:ascii="Garamond" w:hAnsi="Garamond"/>
          <w:sz w:val="24"/>
          <w:szCs w:val="24"/>
        </w:rPr>
        <w:t xml:space="preserve">At the opposite end of the spectrum </w:t>
      </w:r>
      <w:r w:rsidR="002D3EB9" w:rsidRPr="00E75964">
        <w:rPr>
          <w:rFonts w:ascii="Garamond" w:hAnsi="Garamond"/>
          <w:sz w:val="24"/>
          <w:szCs w:val="24"/>
        </w:rPr>
        <w:t xml:space="preserve">the </w:t>
      </w:r>
      <w:r w:rsidRPr="00E75964">
        <w:rPr>
          <w:rFonts w:ascii="Garamond" w:hAnsi="Garamond"/>
          <w:sz w:val="24"/>
          <w:szCs w:val="24"/>
        </w:rPr>
        <w:t>lowest</w:t>
      </w:r>
      <w:r w:rsidR="002D3EB9" w:rsidRPr="00E75964">
        <w:rPr>
          <w:rFonts w:ascii="Garamond" w:hAnsi="Garamond"/>
          <w:sz w:val="24"/>
          <w:szCs w:val="24"/>
        </w:rPr>
        <w:t xml:space="preserve"> </w:t>
      </w:r>
      <w:r w:rsidR="007E1500" w:rsidRPr="00E75964">
        <w:rPr>
          <w:rFonts w:ascii="Garamond" w:hAnsi="Garamond"/>
          <w:sz w:val="24"/>
          <w:szCs w:val="24"/>
        </w:rPr>
        <w:t>standard deviation</w:t>
      </w:r>
      <w:r w:rsidR="002D3EB9" w:rsidRPr="00E75964">
        <w:rPr>
          <w:rFonts w:ascii="Garamond" w:hAnsi="Garamond"/>
          <w:sz w:val="24"/>
          <w:szCs w:val="24"/>
        </w:rPr>
        <w:t xml:space="preserve"> is</w:t>
      </w:r>
      <w:r w:rsidRPr="00E75964">
        <w:rPr>
          <w:rFonts w:ascii="Garamond" w:hAnsi="Garamond"/>
          <w:sz w:val="24"/>
          <w:szCs w:val="24"/>
        </w:rPr>
        <w:t xml:space="preserve"> on </w:t>
      </w:r>
      <w:r w:rsidR="00CD17A1" w:rsidRPr="00E75964">
        <w:rPr>
          <w:rFonts w:ascii="Garamond" w:hAnsi="Garamond"/>
          <w:sz w:val="24"/>
          <w:szCs w:val="24"/>
        </w:rPr>
        <w:t>Thurs</w:t>
      </w:r>
      <w:r w:rsidRPr="00E75964">
        <w:rPr>
          <w:rFonts w:ascii="Garamond" w:hAnsi="Garamond"/>
          <w:sz w:val="24"/>
          <w:szCs w:val="24"/>
        </w:rPr>
        <w:t>day</w:t>
      </w:r>
      <w:r w:rsidR="003D2507" w:rsidRPr="00E75964">
        <w:rPr>
          <w:rFonts w:ascii="Garamond" w:hAnsi="Garamond"/>
          <w:sz w:val="24"/>
          <w:szCs w:val="24"/>
        </w:rPr>
        <w:t xml:space="preserve"> (0.0</w:t>
      </w:r>
      <w:r w:rsidR="00665A74" w:rsidRPr="00E75964">
        <w:rPr>
          <w:rFonts w:ascii="Garamond" w:hAnsi="Garamond"/>
          <w:sz w:val="24"/>
          <w:szCs w:val="24"/>
        </w:rPr>
        <w:t>0</w:t>
      </w:r>
      <w:r w:rsidR="00CD17A1" w:rsidRPr="00E75964">
        <w:rPr>
          <w:rFonts w:ascii="Garamond" w:hAnsi="Garamond"/>
          <w:sz w:val="24"/>
          <w:szCs w:val="24"/>
        </w:rPr>
        <w:t>7</w:t>
      </w:r>
      <w:r w:rsidR="007E1500" w:rsidRPr="00E75964">
        <w:rPr>
          <w:rFonts w:ascii="Garamond" w:hAnsi="Garamond"/>
          <w:sz w:val="24"/>
          <w:szCs w:val="24"/>
        </w:rPr>
        <w:t>%</w:t>
      </w:r>
      <w:r w:rsidR="003D2507" w:rsidRPr="00E75964">
        <w:rPr>
          <w:rFonts w:ascii="Garamond" w:hAnsi="Garamond"/>
          <w:sz w:val="24"/>
          <w:szCs w:val="24"/>
        </w:rPr>
        <w:t>)</w:t>
      </w:r>
      <w:r w:rsidR="002D3EB9" w:rsidRPr="00E75964">
        <w:rPr>
          <w:rFonts w:ascii="Garamond" w:hAnsi="Garamond"/>
          <w:sz w:val="24"/>
          <w:szCs w:val="24"/>
        </w:rPr>
        <w:t>, where the maximum and minimum returns across the sample are lowest as well</w:t>
      </w:r>
      <w:r w:rsidRPr="00E75964">
        <w:rPr>
          <w:rFonts w:ascii="Garamond" w:hAnsi="Garamond"/>
          <w:sz w:val="24"/>
          <w:szCs w:val="24"/>
        </w:rPr>
        <w:t xml:space="preserve">. All these daily returns and </w:t>
      </w:r>
      <w:r w:rsidR="00665A74" w:rsidRPr="00E75964">
        <w:rPr>
          <w:rFonts w:ascii="Garamond" w:hAnsi="Garamond"/>
          <w:sz w:val="24"/>
          <w:szCs w:val="24"/>
        </w:rPr>
        <w:t>standard deviation</w:t>
      </w:r>
      <w:r w:rsidR="000B5EA8">
        <w:rPr>
          <w:rFonts w:ascii="Garamond" w:hAnsi="Garamond"/>
          <w:sz w:val="24"/>
          <w:szCs w:val="24"/>
        </w:rPr>
        <w:t>s</w:t>
      </w:r>
      <w:r w:rsidRPr="00E75964">
        <w:rPr>
          <w:rFonts w:ascii="Garamond" w:hAnsi="Garamond"/>
          <w:sz w:val="24"/>
          <w:szCs w:val="24"/>
        </w:rPr>
        <w:t xml:space="preserve"> are s</w:t>
      </w:r>
      <w:r w:rsidR="00E5799A" w:rsidRPr="00E75964">
        <w:rPr>
          <w:rFonts w:ascii="Garamond" w:hAnsi="Garamond"/>
          <w:sz w:val="24"/>
          <w:szCs w:val="24"/>
        </w:rPr>
        <w:t xml:space="preserve">tatistically </w:t>
      </w:r>
      <w:r w:rsidR="00E5799A" w:rsidRPr="00E75964">
        <w:rPr>
          <w:rFonts w:ascii="Garamond" w:hAnsi="Garamond"/>
          <w:color w:val="000000" w:themeColor="text1"/>
          <w:sz w:val="24"/>
          <w:szCs w:val="24"/>
        </w:rPr>
        <w:t>significant</w:t>
      </w:r>
      <w:r w:rsidR="00E16AB1" w:rsidRPr="00E75964">
        <w:rPr>
          <w:rFonts w:ascii="Garamond" w:hAnsi="Garamond"/>
          <w:color w:val="000000" w:themeColor="text1"/>
          <w:sz w:val="24"/>
          <w:szCs w:val="24"/>
        </w:rPr>
        <w:t>ly different, both from zero and from each other</w:t>
      </w:r>
      <w:r w:rsidR="00E5799A" w:rsidRPr="00E75964">
        <w:rPr>
          <w:rFonts w:ascii="Garamond" w:hAnsi="Garamond"/>
          <w:color w:val="000000" w:themeColor="text1"/>
          <w:sz w:val="24"/>
          <w:szCs w:val="24"/>
        </w:rPr>
        <w:t xml:space="preserve">. </w:t>
      </w:r>
      <w:r w:rsidRPr="00E75964">
        <w:rPr>
          <w:rFonts w:ascii="Garamond" w:hAnsi="Garamond"/>
          <w:color w:val="000000" w:themeColor="text1"/>
          <w:sz w:val="24"/>
          <w:szCs w:val="24"/>
        </w:rPr>
        <w:t xml:space="preserve">Similar findings are reported in many </w:t>
      </w:r>
      <w:r w:rsidRPr="00E75964">
        <w:rPr>
          <w:rFonts w:ascii="Garamond" w:hAnsi="Garamond"/>
          <w:sz w:val="24"/>
          <w:szCs w:val="24"/>
        </w:rPr>
        <w:t xml:space="preserve">existing studies, e.g. French (1980), Rogalski (1984) and Smirlock and Starks (1986). </w:t>
      </w:r>
      <w:r w:rsidR="007E1500" w:rsidRPr="00E75964">
        <w:rPr>
          <w:rFonts w:ascii="Garamond" w:hAnsi="Garamond"/>
          <w:sz w:val="24"/>
          <w:szCs w:val="24"/>
        </w:rPr>
        <w:t>T</w:t>
      </w:r>
      <w:r w:rsidRPr="00E75964">
        <w:rPr>
          <w:rFonts w:ascii="Garamond" w:hAnsi="Garamond"/>
          <w:sz w:val="24"/>
          <w:szCs w:val="24"/>
        </w:rPr>
        <w:t xml:space="preserve">he returns on the </w:t>
      </w:r>
      <w:r w:rsidRPr="00E75964">
        <w:rPr>
          <w:rFonts w:ascii="Garamond" w:hAnsi="Garamond"/>
          <w:sz w:val="24"/>
          <w:szCs w:val="24"/>
        </w:rPr>
        <w:lastRenderedPageBreak/>
        <w:t>first day of the trading week (Sunday) at -0.</w:t>
      </w:r>
      <w:r w:rsidR="00CD17A1" w:rsidRPr="00E75964">
        <w:rPr>
          <w:rFonts w:ascii="Garamond" w:hAnsi="Garamond"/>
          <w:sz w:val="24"/>
          <w:szCs w:val="24"/>
        </w:rPr>
        <w:t>2140</w:t>
      </w:r>
      <w:r w:rsidRPr="00E75964">
        <w:rPr>
          <w:rFonts w:ascii="Garamond" w:hAnsi="Garamond"/>
          <w:sz w:val="24"/>
          <w:szCs w:val="24"/>
        </w:rPr>
        <w:t xml:space="preserve">% </w:t>
      </w:r>
      <w:r w:rsidR="00F73552" w:rsidRPr="00E75964">
        <w:rPr>
          <w:rFonts w:ascii="Garamond" w:hAnsi="Garamond"/>
          <w:sz w:val="24"/>
          <w:szCs w:val="24"/>
        </w:rPr>
        <w:t>are</w:t>
      </w:r>
      <w:r w:rsidRPr="00E75964">
        <w:rPr>
          <w:rFonts w:ascii="Garamond" w:hAnsi="Garamond"/>
          <w:sz w:val="24"/>
          <w:szCs w:val="24"/>
        </w:rPr>
        <w:t xml:space="preserve"> m</w:t>
      </w:r>
      <w:r w:rsidR="007E1500" w:rsidRPr="00E75964">
        <w:rPr>
          <w:rFonts w:ascii="Garamond" w:hAnsi="Garamond"/>
          <w:sz w:val="24"/>
          <w:szCs w:val="24"/>
        </w:rPr>
        <w:t xml:space="preserve">uch worse </w:t>
      </w:r>
      <w:r w:rsidRPr="00E75964">
        <w:rPr>
          <w:rFonts w:ascii="Garamond" w:hAnsi="Garamond"/>
          <w:sz w:val="24"/>
          <w:szCs w:val="24"/>
        </w:rPr>
        <w:t>than on th</w:t>
      </w:r>
      <w:r w:rsidR="00C473F2" w:rsidRPr="00E75964">
        <w:rPr>
          <w:rFonts w:ascii="Garamond" w:hAnsi="Garamond"/>
          <w:sz w:val="24"/>
          <w:szCs w:val="24"/>
        </w:rPr>
        <w:t>e second day (Monday) of 0.</w:t>
      </w:r>
      <w:r w:rsidR="00CD17A1" w:rsidRPr="00E75964">
        <w:rPr>
          <w:rFonts w:ascii="Garamond" w:hAnsi="Garamond"/>
          <w:sz w:val="24"/>
          <w:szCs w:val="24"/>
        </w:rPr>
        <w:t>2443</w:t>
      </w:r>
      <w:r w:rsidRPr="00E75964">
        <w:rPr>
          <w:rFonts w:ascii="Garamond" w:hAnsi="Garamond"/>
          <w:sz w:val="24"/>
          <w:szCs w:val="24"/>
        </w:rPr>
        <w:t xml:space="preserve">%, which is also in line with the previous literature. Interestingly, Farag (2013) </w:t>
      </w:r>
      <w:r w:rsidRPr="00E75964">
        <w:rPr>
          <w:rFonts w:ascii="Garamond" w:hAnsi="Garamond"/>
          <w:color w:val="000000" w:themeColor="text1"/>
          <w:sz w:val="24"/>
          <w:szCs w:val="24"/>
        </w:rPr>
        <w:t xml:space="preserve">reports positive average returns on Sunday (the opening day) for the Egyptian market using the EGX 30 index. Similarly, Al-Loughani and Chappell (2001) find higher positive returns on Saturday (the opening day) for the Kuwait stock market using the KIC index. However, the returns variance of the EGX 30 index is highest on Sunday (Farag, 2013). Based on these results we can see that in comparison to the stock markets of other Islamic countries which do not operate from Monday to Friday, the </w:t>
      </w:r>
      <w:r w:rsidR="00EC0E91" w:rsidRPr="00E75964">
        <w:rPr>
          <w:rFonts w:ascii="Garamond" w:hAnsi="Garamond"/>
          <w:color w:val="000000" w:themeColor="text1"/>
          <w:sz w:val="24"/>
          <w:szCs w:val="24"/>
        </w:rPr>
        <w:t>behaviour</w:t>
      </w:r>
      <w:r w:rsidRPr="00E75964">
        <w:rPr>
          <w:rFonts w:ascii="Garamond" w:hAnsi="Garamond"/>
          <w:color w:val="000000" w:themeColor="text1"/>
          <w:sz w:val="24"/>
          <w:szCs w:val="24"/>
        </w:rPr>
        <w:t xml:space="preserve"> of the DSE is far more in line with developed equity markets. The Sunday effect does exist here too.</w:t>
      </w:r>
    </w:p>
    <w:p w14:paraId="6B5CE89D" w14:textId="76665C00" w:rsidR="0052394A" w:rsidRPr="00E75964" w:rsidRDefault="00CE65B6" w:rsidP="00CD604B">
      <w:pPr>
        <w:spacing w:line="360" w:lineRule="auto"/>
        <w:jc w:val="both"/>
        <w:rPr>
          <w:rFonts w:ascii="Garamond" w:hAnsi="Garamond"/>
          <w:color w:val="FF0000"/>
          <w:sz w:val="24"/>
          <w:szCs w:val="24"/>
        </w:rPr>
      </w:pPr>
      <w:r w:rsidRPr="00E75964">
        <w:rPr>
          <w:rFonts w:ascii="Garamond" w:hAnsi="Garamond"/>
          <w:sz w:val="24"/>
          <w:szCs w:val="24"/>
        </w:rPr>
        <w:t xml:space="preserve">Table </w:t>
      </w:r>
      <w:r w:rsidR="00AE3904" w:rsidRPr="00E75964">
        <w:rPr>
          <w:rFonts w:ascii="Garamond" w:hAnsi="Garamond"/>
          <w:sz w:val="24"/>
          <w:szCs w:val="24"/>
        </w:rPr>
        <w:t>2</w:t>
      </w:r>
      <w:r w:rsidRPr="00E75964">
        <w:rPr>
          <w:rFonts w:ascii="Garamond" w:hAnsi="Garamond"/>
          <w:sz w:val="24"/>
          <w:szCs w:val="24"/>
        </w:rPr>
        <w:t xml:space="preserve"> also shows that the daily returns are </w:t>
      </w:r>
      <w:r w:rsidR="00665A74" w:rsidRPr="00E75964">
        <w:rPr>
          <w:rFonts w:ascii="Garamond" w:hAnsi="Garamond"/>
          <w:sz w:val="24"/>
          <w:szCs w:val="24"/>
        </w:rPr>
        <w:t>posi</w:t>
      </w:r>
      <w:r w:rsidRPr="00E75964">
        <w:rPr>
          <w:rFonts w:ascii="Garamond" w:hAnsi="Garamond"/>
          <w:sz w:val="24"/>
          <w:szCs w:val="24"/>
        </w:rPr>
        <w:t xml:space="preserve">tively skewed except on </w:t>
      </w:r>
      <w:r w:rsidR="00665A74" w:rsidRPr="00E75964">
        <w:rPr>
          <w:rFonts w:ascii="Garamond" w:hAnsi="Garamond"/>
          <w:sz w:val="24"/>
          <w:szCs w:val="24"/>
        </w:rPr>
        <w:t>Sunda</w:t>
      </w:r>
      <w:r w:rsidR="00224439" w:rsidRPr="00E75964">
        <w:rPr>
          <w:rFonts w:ascii="Garamond" w:hAnsi="Garamond"/>
          <w:sz w:val="24"/>
          <w:szCs w:val="24"/>
        </w:rPr>
        <w:t>y</w:t>
      </w:r>
      <w:r w:rsidR="00DE4A22" w:rsidRPr="00E75964">
        <w:rPr>
          <w:rFonts w:ascii="Garamond" w:hAnsi="Garamond"/>
          <w:sz w:val="24"/>
          <w:szCs w:val="24"/>
        </w:rPr>
        <w:t xml:space="preserve"> and Thursday</w:t>
      </w:r>
      <w:r w:rsidRPr="00E75964">
        <w:rPr>
          <w:rFonts w:ascii="Garamond" w:hAnsi="Garamond"/>
          <w:sz w:val="24"/>
          <w:szCs w:val="24"/>
        </w:rPr>
        <w:t xml:space="preserve">. </w:t>
      </w:r>
      <w:r w:rsidRPr="00E75964">
        <w:rPr>
          <w:rFonts w:ascii="Garamond" w:hAnsi="Garamond"/>
          <w:color w:val="000000" w:themeColor="text1"/>
          <w:sz w:val="24"/>
          <w:szCs w:val="24"/>
        </w:rPr>
        <w:t>Each of the daily returns shows excess kurtosis, i.e. they are fat-tailed compared to the normal distribution. The Jarque-Bera (JB) test confirms the non-normal distribution of daily returns</w:t>
      </w:r>
      <w:r w:rsidR="00665A74" w:rsidRPr="00E75964">
        <w:rPr>
          <w:rFonts w:ascii="Garamond" w:hAnsi="Garamond"/>
          <w:color w:val="000000" w:themeColor="text1"/>
          <w:sz w:val="24"/>
          <w:szCs w:val="24"/>
        </w:rPr>
        <w:t xml:space="preserve"> (not reported)</w:t>
      </w:r>
      <w:r w:rsidRPr="00E75964">
        <w:rPr>
          <w:rFonts w:ascii="Garamond" w:hAnsi="Garamond"/>
          <w:color w:val="000000" w:themeColor="text1"/>
          <w:sz w:val="24"/>
          <w:szCs w:val="24"/>
        </w:rPr>
        <w:t xml:space="preserve">. </w:t>
      </w:r>
      <w:r w:rsidR="00EC0E91" w:rsidRPr="00E75964">
        <w:rPr>
          <w:rFonts w:ascii="Garamond" w:hAnsi="Garamond"/>
          <w:color w:val="000000" w:themeColor="text1"/>
          <w:sz w:val="24"/>
          <w:szCs w:val="24"/>
        </w:rPr>
        <w:t>Finally,</w:t>
      </w:r>
      <w:r w:rsidRPr="00E75964">
        <w:rPr>
          <w:rFonts w:ascii="Garamond" w:hAnsi="Garamond"/>
          <w:color w:val="000000" w:themeColor="text1"/>
          <w:sz w:val="24"/>
          <w:szCs w:val="24"/>
        </w:rPr>
        <w:t xml:space="preserve"> we run the LB (Ljung and Box, 1978) test for detecting possible autocorrelation in daily returns series </w:t>
      </w:r>
      <w:r w:rsidR="00510EBE" w:rsidRPr="00E75964">
        <w:rPr>
          <w:rFonts w:ascii="Garamond" w:hAnsi="Garamond"/>
          <w:color w:val="000000" w:themeColor="text1"/>
          <w:sz w:val="24"/>
          <w:szCs w:val="24"/>
        </w:rPr>
        <w:t>up to</w:t>
      </w:r>
      <w:r w:rsidRPr="00E75964">
        <w:rPr>
          <w:rFonts w:ascii="Garamond" w:hAnsi="Garamond"/>
          <w:color w:val="000000" w:themeColor="text1"/>
          <w:sz w:val="24"/>
          <w:szCs w:val="24"/>
        </w:rPr>
        <w:t xml:space="preserve"> </w:t>
      </w:r>
      <w:r w:rsidR="003D2507" w:rsidRPr="00E75964">
        <w:rPr>
          <w:rFonts w:ascii="Garamond" w:hAnsi="Garamond"/>
          <w:sz w:val="24"/>
          <w:szCs w:val="24"/>
        </w:rPr>
        <w:t>5</w:t>
      </w:r>
      <w:r w:rsidRPr="00E75964">
        <w:rPr>
          <w:rFonts w:ascii="Garamond" w:hAnsi="Garamond"/>
          <w:sz w:val="24"/>
          <w:szCs w:val="24"/>
        </w:rPr>
        <w:t xml:space="preserve"> </w:t>
      </w:r>
      <w:r w:rsidR="00A26C2A" w:rsidRPr="00E75964">
        <w:rPr>
          <w:rFonts w:ascii="Garamond" w:hAnsi="Garamond"/>
          <w:sz w:val="24"/>
          <w:szCs w:val="24"/>
        </w:rPr>
        <w:t>lags</w:t>
      </w:r>
      <w:r w:rsidRPr="00E75964">
        <w:rPr>
          <w:rFonts w:ascii="Garamond" w:hAnsi="Garamond"/>
          <w:color w:val="000000" w:themeColor="text1"/>
          <w:sz w:val="24"/>
          <w:szCs w:val="24"/>
        </w:rPr>
        <w:t xml:space="preserve"> (results are not reported). </w:t>
      </w:r>
      <w:r w:rsidRPr="00E75964">
        <w:rPr>
          <w:rFonts w:ascii="Garamond" w:hAnsi="Garamond"/>
          <w:sz w:val="24"/>
          <w:szCs w:val="24"/>
        </w:rPr>
        <w:t xml:space="preserve">The LB statistics are found </w:t>
      </w:r>
      <w:r w:rsidR="00F73552" w:rsidRPr="00E75964">
        <w:rPr>
          <w:rFonts w:ascii="Garamond" w:hAnsi="Garamond"/>
          <w:sz w:val="24"/>
          <w:szCs w:val="24"/>
        </w:rPr>
        <w:t xml:space="preserve">not to be </w:t>
      </w:r>
      <w:r w:rsidRPr="00E75964">
        <w:rPr>
          <w:rFonts w:ascii="Garamond" w:hAnsi="Garamond"/>
          <w:sz w:val="24"/>
          <w:szCs w:val="24"/>
        </w:rPr>
        <w:t xml:space="preserve">statistically significant for </w:t>
      </w:r>
      <w:r w:rsidR="00224439" w:rsidRPr="00E75964">
        <w:rPr>
          <w:rFonts w:ascii="Garamond" w:hAnsi="Garamond"/>
          <w:sz w:val="24"/>
          <w:szCs w:val="24"/>
        </w:rPr>
        <w:t>Sunday and Tuesday</w:t>
      </w:r>
      <w:r w:rsidR="00E00949" w:rsidRPr="00E75964">
        <w:rPr>
          <w:rFonts w:ascii="Garamond" w:hAnsi="Garamond"/>
          <w:sz w:val="24"/>
          <w:szCs w:val="24"/>
        </w:rPr>
        <w:t xml:space="preserve"> </w:t>
      </w:r>
      <w:r w:rsidR="00224439" w:rsidRPr="00E75964">
        <w:rPr>
          <w:rFonts w:ascii="Garamond" w:hAnsi="Garamond"/>
          <w:sz w:val="24"/>
          <w:szCs w:val="24"/>
        </w:rPr>
        <w:t>for any lag</w:t>
      </w:r>
      <w:r w:rsidR="00E00949" w:rsidRPr="00E75964">
        <w:rPr>
          <w:rFonts w:ascii="Garamond" w:hAnsi="Garamond"/>
          <w:sz w:val="24"/>
          <w:szCs w:val="24"/>
        </w:rPr>
        <w:t xml:space="preserve">. </w:t>
      </w:r>
      <w:r w:rsidRPr="00E75964">
        <w:rPr>
          <w:rFonts w:ascii="Garamond" w:hAnsi="Garamond"/>
          <w:sz w:val="24"/>
          <w:szCs w:val="24"/>
        </w:rPr>
        <w:t xml:space="preserve">This implies that there is no serial correlation between returns on these respective weekdays. Nevertheless, significant autocorrelations exist between the returns of </w:t>
      </w:r>
      <w:r w:rsidR="00224439" w:rsidRPr="00E75964">
        <w:rPr>
          <w:rFonts w:ascii="Garamond" w:hAnsi="Garamond"/>
          <w:sz w:val="24"/>
          <w:szCs w:val="24"/>
        </w:rPr>
        <w:t>Monday, Wedn</w:t>
      </w:r>
      <w:r w:rsidR="00E00949" w:rsidRPr="00E75964">
        <w:rPr>
          <w:rFonts w:ascii="Garamond" w:hAnsi="Garamond"/>
          <w:sz w:val="24"/>
          <w:szCs w:val="24"/>
        </w:rPr>
        <w:t>esday</w:t>
      </w:r>
      <w:r w:rsidR="00224439" w:rsidRPr="00E75964">
        <w:rPr>
          <w:rFonts w:ascii="Garamond" w:hAnsi="Garamond"/>
          <w:sz w:val="24"/>
          <w:szCs w:val="24"/>
        </w:rPr>
        <w:t xml:space="preserve"> and Thursday</w:t>
      </w:r>
      <w:r w:rsidRPr="00E75964">
        <w:rPr>
          <w:rFonts w:ascii="Garamond" w:hAnsi="Garamond"/>
          <w:sz w:val="24"/>
          <w:szCs w:val="24"/>
        </w:rPr>
        <w:t xml:space="preserve"> up to </w:t>
      </w:r>
      <w:r w:rsidR="00A26C2A" w:rsidRPr="00E75964">
        <w:rPr>
          <w:rFonts w:ascii="Garamond" w:hAnsi="Garamond"/>
          <w:sz w:val="24"/>
          <w:szCs w:val="24"/>
        </w:rPr>
        <w:t>one</w:t>
      </w:r>
      <w:r w:rsidR="003D2507" w:rsidRPr="00E75964">
        <w:rPr>
          <w:rFonts w:ascii="Garamond" w:hAnsi="Garamond"/>
          <w:sz w:val="24"/>
          <w:szCs w:val="24"/>
        </w:rPr>
        <w:t xml:space="preserve"> week.</w:t>
      </w:r>
    </w:p>
    <w:p w14:paraId="6654C6D8" w14:textId="3EF27EC0" w:rsidR="00CE65B6" w:rsidRPr="00E75964" w:rsidRDefault="006E62A7" w:rsidP="00EE65A7">
      <w:pPr>
        <w:pStyle w:val="Heading2"/>
        <w:spacing w:after="200" w:line="360" w:lineRule="auto"/>
        <w:rPr>
          <w:rFonts w:ascii="Garamond" w:hAnsi="Garamond"/>
          <w:color w:val="auto"/>
          <w:sz w:val="24"/>
          <w:szCs w:val="24"/>
        </w:rPr>
      </w:pPr>
      <w:bookmarkStart w:id="6" w:name="_Toc413318948"/>
      <w:r w:rsidRPr="00E75964">
        <w:rPr>
          <w:rFonts w:ascii="Garamond" w:hAnsi="Garamond"/>
          <w:color w:val="auto"/>
          <w:sz w:val="24"/>
          <w:szCs w:val="24"/>
        </w:rPr>
        <w:t>4</w:t>
      </w:r>
      <w:r w:rsidR="00F20D4C" w:rsidRPr="00E75964">
        <w:rPr>
          <w:rFonts w:ascii="Garamond" w:hAnsi="Garamond"/>
          <w:color w:val="auto"/>
          <w:sz w:val="24"/>
          <w:szCs w:val="24"/>
        </w:rPr>
        <w:t>.</w:t>
      </w:r>
      <w:r w:rsidR="00863F1F" w:rsidRPr="00E75964">
        <w:rPr>
          <w:rFonts w:ascii="Garamond" w:hAnsi="Garamond"/>
          <w:color w:val="auto"/>
          <w:sz w:val="24"/>
          <w:szCs w:val="24"/>
        </w:rPr>
        <w:t>2</w:t>
      </w:r>
      <w:r w:rsidR="00F20D4C" w:rsidRPr="00E75964">
        <w:rPr>
          <w:rFonts w:ascii="Garamond" w:hAnsi="Garamond"/>
          <w:color w:val="auto"/>
          <w:sz w:val="24"/>
          <w:szCs w:val="24"/>
        </w:rPr>
        <w:t xml:space="preserve"> </w:t>
      </w:r>
      <w:r w:rsidR="000C1759" w:rsidRPr="00E75964">
        <w:rPr>
          <w:rFonts w:ascii="Garamond" w:hAnsi="Garamond"/>
          <w:color w:val="auto"/>
          <w:sz w:val="24"/>
          <w:szCs w:val="24"/>
        </w:rPr>
        <w:t>Weekend Sentiment</w:t>
      </w:r>
      <w:r w:rsidR="00CE65B6" w:rsidRPr="00E75964">
        <w:rPr>
          <w:rFonts w:ascii="Garamond" w:hAnsi="Garamond"/>
          <w:color w:val="auto"/>
          <w:sz w:val="24"/>
          <w:szCs w:val="24"/>
        </w:rPr>
        <w:t xml:space="preserve"> </w:t>
      </w:r>
      <w:bookmarkEnd w:id="6"/>
      <w:r w:rsidR="000B5EA8">
        <w:rPr>
          <w:rFonts w:ascii="Garamond" w:hAnsi="Garamond"/>
          <w:color w:val="auto"/>
          <w:sz w:val="24"/>
          <w:szCs w:val="24"/>
        </w:rPr>
        <w:t>o</w:t>
      </w:r>
      <w:r w:rsidR="000C1759" w:rsidRPr="00E75964">
        <w:rPr>
          <w:rFonts w:ascii="Garamond" w:hAnsi="Garamond"/>
          <w:color w:val="auto"/>
          <w:sz w:val="24"/>
          <w:szCs w:val="24"/>
        </w:rPr>
        <w:t xml:space="preserve">n </w:t>
      </w:r>
      <w:r w:rsidR="000B5EA8">
        <w:rPr>
          <w:rFonts w:ascii="Garamond" w:hAnsi="Garamond"/>
          <w:color w:val="auto"/>
          <w:sz w:val="24"/>
          <w:szCs w:val="24"/>
        </w:rPr>
        <w:t xml:space="preserve">the </w:t>
      </w:r>
      <w:r w:rsidR="000C1759" w:rsidRPr="00E75964">
        <w:rPr>
          <w:rFonts w:ascii="Garamond" w:hAnsi="Garamond"/>
          <w:color w:val="auto"/>
          <w:sz w:val="24"/>
          <w:szCs w:val="24"/>
        </w:rPr>
        <w:t>DSE</w:t>
      </w:r>
    </w:p>
    <w:p w14:paraId="5D5D3764" w14:textId="77F573AC" w:rsidR="00CE65B6" w:rsidRPr="00E75964" w:rsidRDefault="00CE65B6" w:rsidP="00F20D4C">
      <w:pPr>
        <w:spacing w:line="360" w:lineRule="auto"/>
        <w:jc w:val="both"/>
        <w:rPr>
          <w:rFonts w:ascii="Garamond" w:hAnsi="Garamond"/>
          <w:sz w:val="24"/>
          <w:szCs w:val="24"/>
        </w:rPr>
      </w:pPr>
      <w:r w:rsidRPr="00E75964">
        <w:rPr>
          <w:rFonts w:ascii="Garamond" w:hAnsi="Garamond"/>
          <w:sz w:val="24"/>
          <w:szCs w:val="24"/>
        </w:rPr>
        <w:t xml:space="preserve">To investigate the validity of information content theory and </w:t>
      </w:r>
      <w:r w:rsidR="000B5EA8">
        <w:rPr>
          <w:rFonts w:ascii="Garamond" w:hAnsi="Garamond"/>
          <w:sz w:val="24"/>
          <w:szCs w:val="24"/>
        </w:rPr>
        <w:t xml:space="preserve">the </w:t>
      </w:r>
      <w:r w:rsidRPr="00E75964">
        <w:rPr>
          <w:rFonts w:ascii="Garamond" w:hAnsi="Garamond"/>
          <w:sz w:val="24"/>
          <w:szCs w:val="24"/>
        </w:rPr>
        <w:t xml:space="preserve">weekend effect on the DSE, we follow the procedure explained in </w:t>
      </w:r>
      <w:r w:rsidR="00A964C5" w:rsidRPr="00E75964">
        <w:rPr>
          <w:rFonts w:ascii="Garamond" w:hAnsi="Garamond"/>
          <w:sz w:val="24"/>
          <w:szCs w:val="24"/>
        </w:rPr>
        <w:t xml:space="preserve">the </w:t>
      </w:r>
      <w:r w:rsidRPr="00E75964">
        <w:rPr>
          <w:rFonts w:ascii="Garamond" w:hAnsi="Garamond"/>
          <w:sz w:val="24"/>
          <w:szCs w:val="24"/>
        </w:rPr>
        <w:t xml:space="preserve">literature, e.g. French (1980), Gibbons and Hess (1981), Jaffe and Westerfield (1985), </w:t>
      </w:r>
      <w:r w:rsidR="004B484B" w:rsidRPr="00E75964">
        <w:rPr>
          <w:rFonts w:ascii="Garamond" w:hAnsi="Garamond"/>
          <w:sz w:val="24"/>
          <w:szCs w:val="24"/>
        </w:rPr>
        <w:t xml:space="preserve">Berument and Kiymaz (2001), </w:t>
      </w:r>
      <w:r w:rsidRPr="00E75964">
        <w:rPr>
          <w:rFonts w:ascii="Garamond" w:hAnsi="Garamond"/>
          <w:sz w:val="24"/>
          <w:szCs w:val="24"/>
        </w:rPr>
        <w:t>Kiymaz and Berument (2003) and develop a regression model based on equation (</w:t>
      </w:r>
      <w:r w:rsidR="00DC27C5">
        <w:rPr>
          <w:rFonts w:ascii="Garamond" w:hAnsi="Garamond"/>
          <w:sz w:val="24"/>
          <w:szCs w:val="24"/>
        </w:rPr>
        <w:t>1</w:t>
      </w:r>
      <w:r w:rsidRPr="00E75964">
        <w:rPr>
          <w:rFonts w:ascii="Garamond" w:hAnsi="Garamond"/>
          <w:sz w:val="24"/>
          <w:szCs w:val="24"/>
        </w:rPr>
        <w:t>):</w:t>
      </w:r>
    </w:p>
    <w:p w14:paraId="5C22D8E2" w14:textId="7195078C" w:rsidR="00CE65B6" w:rsidRPr="00E75964" w:rsidRDefault="004D62C3" w:rsidP="00CD604B">
      <w:pPr>
        <w:spacing w:line="360" w:lineRule="auto"/>
        <w:jc w:val="both"/>
        <w:rPr>
          <w:rFonts w:ascii="Garamond" w:hAnsi="Garamond"/>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r>
          <w:rPr>
            <w:rFonts w:ascii="Cambria Math" w:hAnsi="Cambria Math"/>
            <w:sz w:val="24"/>
            <w:szCs w:val="24"/>
          </w:rPr>
          <m:t>Sun+</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2</m:t>
            </m:r>
          </m:sub>
        </m:sSub>
        <m:r>
          <w:rPr>
            <w:rFonts w:ascii="Cambria Math" w:hAnsi="Cambria Math"/>
            <w:sz w:val="24"/>
            <w:szCs w:val="24"/>
          </w:rPr>
          <m:t>Mon+</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3</m:t>
            </m:r>
          </m:sub>
        </m:sSub>
        <m:r>
          <w:rPr>
            <w:rFonts w:ascii="Cambria Math" w:hAnsi="Cambria Math"/>
            <w:sz w:val="24"/>
            <w:szCs w:val="24"/>
          </w:rPr>
          <m:t>Wed+</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4</m:t>
            </m:r>
          </m:sub>
        </m:sSub>
        <m:r>
          <w:rPr>
            <w:rFonts w:ascii="Cambria Math" w:hAnsi="Cambria Math"/>
            <w:sz w:val="24"/>
            <w:szCs w:val="24"/>
          </w:rPr>
          <m:t>Thu+</m:t>
        </m:r>
        <m:nary>
          <m:naryPr>
            <m:chr m:val="∑"/>
            <m:limLoc m:val="subSup"/>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i</m:t>
                </m:r>
              </m:sub>
            </m:sSub>
          </m:e>
        </m:nary>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t</m:t>
            </m:r>
          </m:sub>
        </m:sSub>
      </m:oMath>
      <w:r w:rsidR="00CE65B6" w:rsidRPr="00E75964">
        <w:rPr>
          <w:rFonts w:ascii="Garamond" w:hAnsi="Garamond"/>
          <w:sz w:val="24"/>
          <w:szCs w:val="24"/>
        </w:rPr>
        <w:t xml:space="preserve"> </w:t>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t>(</w:t>
      </w:r>
      <w:r w:rsidR="006B58F0">
        <w:rPr>
          <w:rFonts w:ascii="Garamond" w:hAnsi="Garamond"/>
          <w:sz w:val="24"/>
          <w:szCs w:val="24"/>
        </w:rPr>
        <w:t>8</w:t>
      </w:r>
      <w:r w:rsidR="00CE65B6" w:rsidRPr="00E75964">
        <w:rPr>
          <w:rFonts w:ascii="Garamond" w:hAnsi="Garamond"/>
          <w:sz w:val="24"/>
          <w:szCs w:val="24"/>
        </w:rPr>
        <w:t>)</w:t>
      </w:r>
    </w:p>
    <w:p w14:paraId="3FE742F9" w14:textId="73E602CC"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The results </w:t>
      </w:r>
      <w:r w:rsidR="00C51344" w:rsidRPr="00E75964">
        <w:rPr>
          <w:rFonts w:ascii="Garamond" w:hAnsi="Garamond"/>
          <w:sz w:val="24"/>
          <w:szCs w:val="24"/>
        </w:rPr>
        <w:t xml:space="preserve">in </w:t>
      </w:r>
      <w:r w:rsidRPr="00E75964">
        <w:rPr>
          <w:rFonts w:ascii="Garamond" w:hAnsi="Garamond"/>
          <w:sz w:val="24"/>
          <w:szCs w:val="24"/>
        </w:rPr>
        <w:t xml:space="preserve">column </w:t>
      </w:r>
      <w:r w:rsidR="00C51344" w:rsidRPr="00E75964">
        <w:rPr>
          <w:rFonts w:ascii="Garamond" w:hAnsi="Garamond"/>
          <w:sz w:val="24"/>
          <w:szCs w:val="24"/>
        </w:rPr>
        <w:t xml:space="preserve">(1) and (2) </w:t>
      </w:r>
      <w:r w:rsidRPr="00E75964">
        <w:rPr>
          <w:rFonts w:ascii="Garamond" w:hAnsi="Garamond"/>
          <w:sz w:val="24"/>
          <w:szCs w:val="24"/>
        </w:rPr>
        <w:t xml:space="preserve">of Table </w:t>
      </w:r>
      <w:r w:rsidR="00AE3904" w:rsidRPr="00E75964">
        <w:rPr>
          <w:rFonts w:ascii="Garamond" w:hAnsi="Garamond"/>
          <w:sz w:val="24"/>
          <w:szCs w:val="24"/>
        </w:rPr>
        <w:t>3</w:t>
      </w:r>
      <w:r w:rsidRPr="00E75964">
        <w:rPr>
          <w:rFonts w:ascii="Garamond" w:hAnsi="Garamond"/>
          <w:sz w:val="24"/>
          <w:szCs w:val="24"/>
        </w:rPr>
        <w:t xml:space="preserve"> shows the outcome of the OLS estimation in equation (</w:t>
      </w:r>
      <w:r w:rsidR="00DC27C5">
        <w:rPr>
          <w:rFonts w:ascii="Garamond" w:hAnsi="Garamond"/>
          <w:sz w:val="24"/>
          <w:szCs w:val="24"/>
        </w:rPr>
        <w:t>8</w:t>
      </w:r>
      <w:r w:rsidRPr="00E75964">
        <w:rPr>
          <w:rFonts w:ascii="Garamond" w:hAnsi="Garamond"/>
          <w:sz w:val="24"/>
          <w:szCs w:val="24"/>
        </w:rPr>
        <w:t xml:space="preserve">). </w:t>
      </w:r>
    </w:p>
    <w:p w14:paraId="1BB50994" w14:textId="77777777" w:rsidR="004D62C3" w:rsidRDefault="00CE65B6" w:rsidP="004D62C3">
      <w:pPr>
        <w:spacing w:after="0" w:line="360" w:lineRule="auto"/>
        <w:rPr>
          <w:rFonts w:ascii="Garamond" w:hAnsi="Garamond"/>
          <w:b/>
          <w:sz w:val="24"/>
          <w:szCs w:val="24"/>
        </w:rPr>
      </w:pPr>
      <w:r w:rsidRPr="00E75964">
        <w:rPr>
          <w:rFonts w:ascii="Garamond" w:hAnsi="Garamond"/>
          <w:sz w:val="24"/>
          <w:szCs w:val="24"/>
        </w:rPr>
        <w:br w:type="page"/>
      </w:r>
      <w:r w:rsidR="00883664" w:rsidRPr="00E75964">
        <w:rPr>
          <w:rFonts w:ascii="Garamond" w:hAnsi="Garamond"/>
          <w:b/>
          <w:sz w:val="24"/>
          <w:szCs w:val="24"/>
        </w:rPr>
        <w:lastRenderedPageBreak/>
        <w:t xml:space="preserve">Table </w:t>
      </w:r>
      <w:r w:rsidR="00AE3904" w:rsidRPr="00E75964">
        <w:rPr>
          <w:rFonts w:ascii="Garamond" w:hAnsi="Garamond"/>
          <w:b/>
          <w:sz w:val="24"/>
          <w:szCs w:val="24"/>
        </w:rPr>
        <w:t>3</w:t>
      </w:r>
    </w:p>
    <w:p w14:paraId="325D0D34" w14:textId="20456D5F" w:rsidR="00883664" w:rsidRPr="004D62C3" w:rsidRDefault="00883664" w:rsidP="004D62C3">
      <w:pPr>
        <w:spacing w:after="0" w:line="360" w:lineRule="auto"/>
        <w:rPr>
          <w:rFonts w:ascii="Garamond" w:hAnsi="Garamond"/>
          <w:sz w:val="24"/>
          <w:szCs w:val="24"/>
        </w:rPr>
      </w:pPr>
      <w:r w:rsidRPr="004D62C3">
        <w:rPr>
          <w:rFonts w:ascii="Garamond" w:hAnsi="Garamond"/>
          <w:sz w:val="24"/>
          <w:szCs w:val="24"/>
        </w:rPr>
        <w:t xml:space="preserve">Three </w:t>
      </w:r>
      <w:r w:rsidR="00B95820">
        <w:rPr>
          <w:rFonts w:ascii="Garamond" w:hAnsi="Garamond"/>
          <w:sz w:val="24"/>
          <w:szCs w:val="24"/>
        </w:rPr>
        <w:t>m</w:t>
      </w:r>
      <w:r w:rsidRPr="004D62C3">
        <w:rPr>
          <w:rFonts w:ascii="Garamond" w:hAnsi="Garamond"/>
          <w:sz w:val="24"/>
          <w:szCs w:val="24"/>
        </w:rPr>
        <w:t xml:space="preserve">odels of </w:t>
      </w:r>
      <w:r w:rsidR="00B95820">
        <w:rPr>
          <w:rFonts w:ascii="Garamond" w:hAnsi="Garamond"/>
          <w:sz w:val="24"/>
          <w:szCs w:val="24"/>
        </w:rPr>
        <w:t>d</w:t>
      </w:r>
      <w:r w:rsidRPr="004D62C3">
        <w:rPr>
          <w:rFonts w:ascii="Garamond" w:hAnsi="Garamond"/>
          <w:sz w:val="24"/>
          <w:szCs w:val="24"/>
        </w:rPr>
        <w:t xml:space="preserve">aily </w:t>
      </w:r>
      <w:r w:rsidR="00B95820">
        <w:rPr>
          <w:rFonts w:ascii="Garamond" w:hAnsi="Garamond"/>
          <w:sz w:val="24"/>
          <w:szCs w:val="24"/>
        </w:rPr>
        <w:t>r</w:t>
      </w:r>
      <w:r w:rsidRPr="004D62C3">
        <w:rPr>
          <w:rFonts w:ascii="Garamond" w:hAnsi="Garamond"/>
          <w:sz w:val="24"/>
          <w:szCs w:val="24"/>
        </w:rPr>
        <w:t xml:space="preserve">eturns and </w:t>
      </w:r>
      <w:r w:rsidR="00B95820">
        <w:rPr>
          <w:rFonts w:ascii="Garamond" w:hAnsi="Garamond"/>
          <w:sz w:val="24"/>
          <w:szCs w:val="24"/>
        </w:rPr>
        <w:t>v</w:t>
      </w:r>
      <w:r w:rsidRPr="004D62C3">
        <w:rPr>
          <w:rFonts w:ascii="Garamond" w:hAnsi="Garamond"/>
          <w:sz w:val="24"/>
          <w:szCs w:val="24"/>
        </w:rPr>
        <w:t>olatility on the DSE</w:t>
      </w:r>
      <w:r w:rsidR="00B95820">
        <w:rPr>
          <w:rFonts w:ascii="Garamond" w:hAnsi="Garamond"/>
          <w:sz w:val="24"/>
          <w:szCs w:val="24"/>
        </w:rPr>
        <w:t>.</w:t>
      </w:r>
    </w:p>
    <w:tbl>
      <w:tblPr>
        <w:tblW w:w="9456" w:type="dxa"/>
        <w:jc w:val="center"/>
        <w:tblLook w:val="04A0" w:firstRow="1" w:lastRow="0" w:firstColumn="1" w:lastColumn="0" w:noHBand="0" w:noVBand="1"/>
      </w:tblPr>
      <w:tblGrid>
        <w:gridCol w:w="1658"/>
        <w:gridCol w:w="1908"/>
        <w:gridCol w:w="1908"/>
        <w:gridCol w:w="1991"/>
        <w:gridCol w:w="1991"/>
      </w:tblGrid>
      <w:tr w:rsidR="00197800" w:rsidRPr="00E75964" w14:paraId="01FE1B7A" w14:textId="77777777" w:rsidTr="00920853">
        <w:trPr>
          <w:trHeight w:val="453"/>
          <w:jc w:val="center"/>
        </w:trPr>
        <w:tc>
          <w:tcPr>
            <w:tcW w:w="0" w:type="auto"/>
            <w:tcBorders>
              <w:top w:val="single" w:sz="4" w:space="0" w:color="auto"/>
            </w:tcBorders>
            <w:shd w:val="clear" w:color="auto" w:fill="auto"/>
            <w:vAlign w:val="center"/>
          </w:tcPr>
          <w:p w14:paraId="4788C7FE" w14:textId="77777777" w:rsidR="00197800" w:rsidRPr="00B95820" w:rsidRDefault="00197800" w:rsidP="0081432C">
            <w:pPr>
              <w:spacing w:line="240" w:lineRule="auto"/>
              <w:contextualSpacing/>
              <w:jc w:val="center"/>
              <w:rPr>
                <w:rFonts w:ascii="Garamond" w:hAnsi="Garamond"/>
                <w:sz w:val="24"/>
                <w:szCs w:val="24"/>
              </w:rPr>
            </w:pPr>
            <w:bookmarkStart w:id="7" w:name="_Hlk39580170"/>
          </w:p>
        </w:tc>
        <w:tc>
          <w:tcPr>
            <w:tcW w:w="0" w:type="auto"/>
            <w:tcBorders>
              <w:top w:val="single" w:sz="4" w:space="0" w:color="auto"/>
            </w:tcBorders>
            <w:vAlign w:val="center"/>
          </w:tcPr>
          <w:p w14:paraId="656D3303" w14:textId="4AA746B3" w:rsidR="00197800" w:rsidRPr="00B95820" w:rsidRDefault="00197800" w:rsidP="0081432C">
            <w:pPr>
              <w:spacing w:line="240" w:lineRule="auto"/>
              <w:contextualSpacing/>
              <w:jc w:val="center"/>
              <w:rPr>
                <w:rFonts w:ascii="Garamond" w:hAnsi="Garamond"/>
                <w:bCs/>
                <w:sz w:val="24"/>
                <w:szCs w:val="24"/>
              </w:rPr>
            </w:pPr>
            <w:r w:rsidRPr="00B95820">
              <w:rPr>
                <w:rFonts w:ascii="Garamond" w:hAnsi="Garamond"/>
                <w:bCs/>
                <w:sz w:val="24"/>
                <w:szCs w:val="24"/>
              </w:rPr>
              <w:t>(1)</w:t>
            </w:r>
          </w:p>
        </w:tc>
        <w:tc>
          <w:tcPr>
            <w:tcW w:w="0" w:type="auto"/>
            <w:tcBorders>
              <w:top w:val="single" w:sz="4" w:space="0" w:color="auto"/>
            </w:tcBorders>
            <w:shd w:val="clear" w:color="auto" w:fill="auto"/>
            <w:vAlign w:val="center"/>
          </w:tcPr>
          <w:p w14:paraId="294AEED4" w14:textId="470E0FC8" w:rsidR="00197800" w:rsidRPr="00B95820" w:rsidRDefault="00197800" w:rsidP="0081432C">
            <w:pPr>
              <w:spacing w:line="240" w:lineRule="auto"/>
              <w:contextualSpacing/>
              <w:jc w:val="center"/>
              <w:rPr>
                <w:rFonts w:ascii="Garamond" w:hAnsi="Garamond"/>
                <w:bCs/>
                <w:sz w:val="24"/>
                <w:szCs w:val="24"/>
              </w:rPr>
            </w:pPr>
            <w:r w:rsidRPr="00B95820">
              <w:rPr>
                <w:rFonts w:ascii="Garamond" w:hAnsi="Garamond"/>
                <w:bCs/>
                <w:sz w:val="24"/>
                <w:szCs w:val="24"/>
              </w:rPr>
              <w:t>(2)</w:t>
            </w:r>
          </w:p>
        </w:tc>
        <w:tc>
          <w:tcPr>
            <w:tcW w:w="1976" w:type="dxa"/>
            <w:tcBorders>
              <w:top w:val="single" w:sz="4" w:space="0" w:color="auto"/>
            </w:tcBorders>
            <w:shd w:val="clear" w:color="auto" w:fill="auto"/>
            <w:vAlign w:val="center"/>
          </w:tcPr>
          <w:p w14:paraId="3AB914B5" w14:textId="179FCA83" w:rsidR="00197800" w:rsidRPr="00B95820" w:rsidRDefault="00197800" w:rsidP="0081432C">
            <w:pPr>
              <w:spacing w:line="240" w:lineRule="auto"/>
              <w:contextualSpacing/>
              <w:jc w:val="center"/>
              <w:rPr>
                <w:rFonts w:ascii="Garamond" w:hAnsi="Garamond"/>
                <w:bCs/>
                <w:sz w:val="24"/>
                <w:szCs w:val="24"/>
              </w:rPr>
            </w:pPr>
            <w:r w:rsidRPr="00B95820">
              <w:rPr>
                <w:rFonts w:ascii="Garamond" w:hAnsi="Garamond"/>
                <w:bCs/>
                <w:sz w:val="24"/>
                <w:szCs w:val="24"/>
              </w:rPr>
              <w:t>(3)</w:t>
            </w:r>
          </w:p>
        </w:tc>
        <w:tc>
          <w:tcPr>
            <w:tcW w:w="1976" w:type="dxa"/>
            <w:tcBorders>
              <w:top w:val="single" w:sz="4" w:space="0" w:color="auto"/>
            </w:tcBorders>
            <w:shd w:val="clear" w:color="auto" w:fill="auto"/>
            <w:vAlign w:val="center"/>
          </w:tcPr>
          <w:p w14:paraId="0F63C80C" w14:textId="3B2590F5" w:rsidR="00197800" w:rsidRPr="00B95820" w:rsidRDefault="00197800" w:rsidP="0081432C">
            <w:pPr>
              <w:spacing w:line="240" w:lineRule="auto"/>
              <w:contextualSpacing/>
              <w:jc w:val="center"/>
              <w:rPr>
                <w:rFonts w:ascii="Garamond" w:hAnsi="Garamond"/>
                <w:bCs/>
                <w:sz w:val="24"/>
                <w:szCs w:val="24"/>
              </w:rPr>
            </w:pPr>
            <w:r w:rsidRPr="00B95820">
              <w:rPr>
                <w:rFonts w:ascii="Garamond" w:hAnsi="Garamond"/>
                <w:bCs/>
                <w:sz w:val="24"/>
                <w:szCs w:val="24"/>
              </w:rPr>
              <w:t>(4)</w:t>
            </w:r>
          </w:p>
        </w:tc>
      </w:tr>
      <w:tr w:rsidR="00197800" w:rsidRPr="00E75964" w14:paraId="0954CA7A" w14:textId="77777777" w:rsidTr="00920853">
        <w:trPr>
          <w:trHeight w:val="453"/>
          <w:jc w:val="center"/>
        </w:trPr>
        <w:tc>
          <w:tcPr>
            <w:tcW w:w="0" w:type="auto"/>
            <w:shd w:val="clear" w:color="auto" w:fill="auto"/>
            <w:vAlign w:val="center"/>
          </w:tcPr>
          <w:p w14:paraId="13CBCDAD" w14:textId="77777777" w:rsidR="00197800" w:rsidRPr="00B95820" w:rsidRDefault="00197800" w:rsidP="00197800">
            <w:pPr>
              <w:spacing w:line="240" w:lineRule="auto"/>
              <w:contextualSpacing/>
              <w:jc w:val="center"/>
              <w:rPr>
                <w:rFonts w:ascii="Garamond" w:hAnsi="Garamond"/>
                <w:sz w:val="24"/>
                <w:szCs w:val="24"/>
              </w:rPr>
            </w:pPr>
          </w:p>
        </w:tc>
        <w:tc>
          <w:tcPr>
            <w:tcW w:w="0" w:type="auto"/>
            <w:vAlign w:val="center"/>
          </w:tcPr>
          <w:p w14:paraId="0C9E1ECC" w14:textId="037A9FB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OLS</w:t>
            </w:r>
          </w:p>
        </w:tc>
        <w:tc>
          <w:tcPr>
            <w:tcW w:w="0" w:type="auto"/>
            <w:shd w:val="clear" w:color="auto" w:fill="auto"/>
            <w:vAlign w:val="center"/>
          </w:tcPr>
          <w:p w14:paraId="29102D63" w14:textId="124DE548"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OLS</w:t>
            </w:r>
          </w:p>
        </w:tc>
        <w:tc>
          <w:tcPr>
            <w:tcW w:w="1976" w:type="dxa"/>
            <w:shd w:val="clear" w:color="auto" w:fill="auto"/>
            <w:vAlign w:val="center"/>
          </w:tcPr>
          <w:p w14:paraId="6CA9E80F" w14:textId="2D3FEBB4" w:rsidR="00197800" w:rsidRPr="00B95820" w:rsidRDefault="000B3B9D" w:rsidP="00197800">
            <w:pPr>
              <w:spacing w:line="240" w:lineRule="auto"/>
              <w:contextualSpacing/>
              <w:jc w:val="center"/>
              <w:rPr>
                <w:rFonts w:ascii="Garamond" w:hAnsi="Garamond"/>
                <w:sz w:val="24"/>
                <w:szCs w:val="24"/>
              </w:rPr>
            </w:pPr>
            <w:r w:rsidRPr="00B95820">
              <w:rPr>
                <w:rFonts w:ascii="Garamond" w:hAnsi="Garamond"/>
                <w:sz w:val="24"/>
                <w:szCs w:val="24"/>
              </w:rPr>
              <w:t>GJR-</w:t>
            </w:r>
            <w:r w:rsidR="00197800" w:rsidRPr="00B95820">
              <w:rPr>
                <w:rFonts w:ascii="Garamond" w:hAnsi="Garamond"/>
                <w:sz w:val="24"/>
                <w:szCs w:val="24"/>
              </w:rPr>
              <w:t>GARCH</w:t>
            </w:r>
          </w:p>
        </w:tc>
        <w:tc>
          <w:tcPr>
            <w:tcW w:w="1976" w:type="dxa"/>
            <w:shd w:val="clear" w:color="auto" w:fill="auto"/>
            <w:vAlign w:val="center"/>
          </w:tcPr>
          <w:p w14:paraId="6831AB44" w14:textId="26DD55C1" w:rsidR="009425AD" w:rsidRPr="00B95820" w:rsidRDefault="009425AD" w:rsidP="00197800">
            <w:pPr>
              <w:spacing w:line="240" w:lineRule="auto"/>
              <w:contextualSpacing/>
              <w:jc w:val="center"/>
              <w:rPr>
                <w:rFonts w:ascii="Garamond" w:hAnsi="Garamond"/>
                <w:sz w:val="24"/>
                <w:szCs w:val="24"/>
              </w:rPr>
            </w:pPr>
            <w:r w:rsidRPr="00B95820">
              <w:rPr>
                <w:rFonts w:ascii="Garamond" w:hAnsi="Garamond"/>
                <w:sz w:val="24"/>
                <w:szCs w:val="24"/>
              </w:rPr>
              <w:t>Modified</w:t>
            </w:r>
          </w:p>
          <w:p w14:paraId="4D387106" w14:textId="1C3CEBE0" w:rsidR="00197800" w:rsidRPr="00B95820" w:rsidRDefault="00C3685D" w:rsidP="00197800">
            <w:pPr>
              <w:spacing w:line="240" w:lineRule="auto"/>
              <w:contextualSpacing/>
              <w:jc w:val="center"/>
              <w:rPr>
                <w:rFonts w:ascii="Garamond" w:hAnsi="Garamond"/>
                <w:sz w:val="24"/>
                <w:szCs w:val="24"/>
              </w:rPr>
            </w:pPr>
            <w:r w:rsidRPr="00B95820">
              <w:rPr>
                <w:rFonts w:ascii="Garamond" w:hAnsi="Garamond"/>
                <w:sz w:val="24"/>
                <w:szCs w:val="24"/>
              </w:rPr>
              <w:t>T</w:t>
            </w:r>
            <w:r w:rsidR="00197800" w:rsidRPr="00B95820">
              <w:rPr>
                <w:rFonts w:ascii="Garamond" w:hAnsi="Garamond"/>
                <w:sz w:val="24"/>
                <w:szCs w:val="24"/>
              </w:rPr>
              <w:t>GARCH</w:t>
            </w:r>
          </w:p>
        </w:tc>
      </w:tr>
      <w:tr w:rsidR="00920853" w:rsidRPr="00E75964" w14:paraId="67524B80" w14:textId="77777777" w:rsidTr="00920853">
        <w:trPr>
          <w:trHeight w:val="453"/>
          <w:jc w:val="center"/>
        </w:trPr>
        <w:tc>
          <w:tcPr>
            <w:tcW w:w="0" w:type="auto"/>
            <w:tcBorders>
              <w:bottom w:val="single" w:sz="4" w:space="0" w:color="auto"/>
            </w:tcBorders>
            <w:shd w:val="clear" w:color="auto" w:fill="auto"/>
            <w:vAlign w:val="center"/>
          </w:tcPr>
          <w:p w14:paraId="78E12510" w14:textId="737C955F" w:rsidR="00920853" w:rsidRPr="00B95820" w:rsidRDefault="00920853" w:rsidP="00920853">
            <w:pPr>
              <w:spacing w:line="240" w:lineRule="auto"/>
              <w:contextualSpacing/>
              <w:rPr>
                <w:rFonts w:ascii="Garamond" w:hAnsi="Garamond"/>
                <w:bCs/>
                <w:sz w:val="24"/>
                <w:szCs w:val="24"/>
              </w:rPr>
            </w:pPr>
          </w:p>
        </w:tc>
        <w:tc>
          <w:tcPr>
            <w:tcW w:w="0" w:type="auto"/>
            <w:tcBorders>
              <w:bottom w:val="single" w:sz="4" w:space="0" w:color="auto"/>
            </w:tcBorders>
            <w:vAlign w:val="center"/>
          </w:tcPr>
          <w:p w14:paraId="7057CFD2" w14:textId="019F7474" w:rsidR="00920853" w:rsidRPr="00B95820" w:rsidRDefault="00920853" w:rsidP="00197800">
            <w:pPr>
              <w:spacing w:line="240" w:lineRule="auto"/>
              <w:contextualSpacing/>
              <w:jc w:val="center"/>
              <w:rPr>
                <w:rFonts w:ascii="Garamond" w:hAnsi="Garamond"/>
                <w:bCs/>
                <w:sz w:val="24"/>
                <w:szCs w:val="24"/>
              </w:rPr>
            </w:pPr>
            <w:r w:rsidRPr="00B95820">
              <w:rPr>
                <w:rFonts w:ascii="Garamond" w:hAnsi="Garamond"/>
                <w:bCs/>
                <w:sz w:val="24"/>
                <w:szCs w:val="24"/>
              </w:rPr>
              <w:t>Market Returns</w:t>
            </w:r>
          </w:p>
        </w:tc>
        <w:tc>
          <w:tcPr>
            <w:tcW w:w="0" w:type="auto"/>
            <w:tcBorders>
              <w:bottom w:val="single" w:sz="4" w:space="0" w:color="auto"/>
            </w:tcBorders>
            <w:shd w:val="clear" w:color="auto" w:fill="auto"/>
            <w:vAlign w:val="center"/>
          </w:tcPr>
          <w:p w14:paraId="73CC929D" w14:textId="7F857B71" w:rsidR="00920853" w:rsidRPr="00B95820" w:rsidRDefault="00920853" w:rsidP="00197800">
            <w:pPr>
              <w:spacing w:line="240" w:lineRule="auto"/>
              <w:contextualSpacing/>
              <w:jc w:val="center"/>
              <w:rPr>
                <w:rFonts w:ascii="Garamond" w:hAnsi="Garamond"/>
                <w:bCs/>
                <w:sz w:val="24"/>
                <w:szCs w:val="24"/>
              </w:rPr>
            </w:pPr>
            <w:r w:rsidRPr="00B95820">
              <w:rPr>
                <w:rFonts w:ascii="Garamond" w:hAnsi="Garamond"/>
                <w:bCs/>
                <w:sz w:val="24"/>
                <w:szCs w:val="24"/>
              </w:rPr>
              <w:t>Market Returns</w:t>
            </w:r>
          </w:p>
        </w:tc>
        <w:tc>
          <w:tcPr>
            <w:tcW w:w="1976" w:type="dxa"/>
            <w:tcBorders>
              <w:bottom w:val="single" w:sz="4" w:space="0" w:color="auto"/>
            </w:tcBorders>
            <w:shd w:val="clear" w:color="auto" w:fill="auto"/>
            <w:vAlign w:val="center"/>
          </w:tcPr>
          <w:p w14:paraId="0A217D76" w14:textId="3EDDAB71" w:rsidR="00920853" w:rsidRPr="00B95820" w:rsidRDefault="00920853" w:rsidP="00197800">
            <w:pPr>
              <w:spacing w:line="240" w:lineRule="auto"/>
              <w:contextualSpacing/>
              <w:jc w:val="center"/>
              <w:rPr>
                <w:rFonts w:ascii="Garamond" w:hAnsi="Garamond"/>
                <w:bCs/>
                <w:sz w:val="24"/>
                <w:szCs w:val="24"/>
              </w:rPr>
            </w:pPr>
            <w:r w:rsidRPr="00B95820">
              <w:rPr>
                <w:rFonts w:ascii="Garamond" w:hAnsi="Garamond"/>
                <w:bCs/>
                <w:sz w:val="24"/>
                <w:szCs w:val="24"/>
              </w:rPr>
              <w:t>Market Returns</w:t>
            </w:r>
          </w:p>
        </w:tc>
        <w:tc>
          <w:tcPr>
            <w:tcW w:w="1976" w:type="dxa"/>
            <w:tcBorders>
              <w:bottom w:val="single" w:sz="4" w:space="0" w:color="auto"/>
            </w:tcBorders>
            <w:shd w:val="clear" w:color="auto" w:fill="auto"/>
            <w:vAlign w:val="center"/>
          </w:tcPr>
          <w:p w14:paraId="41D6C50D" w14:textId="5906DE99" w:rsidR="00920853" w:rsidRPr="00B95820" w:rsidRDefault="00920853" w:rsidP="00197800">
            <w:pPr>
              <w:spacing w:line="240" w:lineRule="auto"/>
              <w:contextualSpacing/>
              <w:jc w:val="center"/>
              <w:rPr>
                <w:rFonts w:ascii="Garamond" w:hAnsi="Garamond"/>
                <w:bCs/>
                <w:sz w:val="24"/>
                <w:szCs w:val="24"/>
              </w:rPr>
            </w:pPr>
            <w:r w:rsidRPr="00B95820">
              <w:rPr>
                <w:rFonts w:ascii="Garamond" w:hAnsi="Garamond"/>
                <w:bCs/>
                <w:sz w:val="24"/>
                <w:szCs w:val="24"/>
              </w:rPr>
              <w:t>Market Returns</w:t>
            </w:r>
          </w:p>
        </w:tc>
      </w:tr>
      <w:tr w:rsidR="00197800" w:rsidRPr="00E75964" w14:paraId="5D1291F0" w14:textId="77777777" w:rsidTr="00920853">
        <w:trPr>
          <w:jc w:val="center"/>
        </w:trPr>
        <w:tc>
          <w:tcPr>
            <w:tcW w:w="9456" w:type="dxa"/>
            <w:gridSpan w:val="5"/>
            <w:tcBorders>
              <w:top w:val="single" w:sz="4" w:space="0" w:color="auto"/>
            </w:tcBorders>
          </w:tcPr>
          <w:p w14:paraId="130E0FDE" w14:textId="77777777" w:rsidR="00920853" w:rsidRPr="00B95820" w:rsidRDefault="00920853" w:rsidP="00197800">
            <w:pPr>
              <w:spacing w:line="240" w:lineRule="auto"/>
              <w:contextualSpacing/>
              <w:rPr>
                <w:rFonts w:ascii="Garamond" w:hAnsi="Garamond"/>
                <w:sz w:val="24"/>
                <w:szCs w:val="24"/>
              </w:rPr>
            </w:pPr>
          </w:p>
          <w:p w14:paraId="0C70C3C2" w14:textId="23551B89" w:rsidR="00197800" w:rsidRPr="00B95820" w:rsidRDefault="00197800" w:rsidP="00197800">
            <w:pPr>
              <w:spacing w:line="240" w:lineRule="auto"/>
              <w:contextualSpacing/>
              <w:rPr>
                <w:rFonts w:ascii="Garamond" w:hAnsi="Garamond"/>
                <w:sz w:val="24"/>
                <w:szCs w:val="24"/>
              </w:rPr>
            </w:pPr>
            <w:r w:rsidRPr="00B95820">
              <w:rPr>
                <w:rFonts w:ascii="Garamond" w:hAnsi="Garamond"/>
                <w:sz w:val="24"/>
                <w:szCs w:val="24"/>
              </w:rPr>
              <w:t>Estimation of mean and volatility equation</w:t>
            </w:r>
          </w:p>
        </w:tc>
      </w:tr>
      <w:tr w:rsidR="00197800" w:rsidRPr="00E75964" w14:paraId="4B19F9CE" w14:textId="77777777" w:rsidTr="00920853">
        <w:trPr>
          <w:jc w:val="center"/>
        </w:trPr>
        <w:tc>
          <w:tcPr>
            <w:tcW w:w="9456" w:type="dxa"/>
            <w:gridSpan w:val="5"/>
          </w:tcPr>
          <w:p w14:paraId="2C759852" w14:textId="77777777" w:rsidR="00197800" w:rsidRPr="00B95820" w:rsidRDefault="00197800" w:rsidP="00197800">
            <w:pPr>
              <w:spacing w:line="240" w:lineRule="auto"/>
              <w:contextualSpacing/>
              <w:rPr>
                <w:rFonts w:ascii="Garamond" w:hAnsi="Garamond"/>
                <w:sz w:val="24"/>
                <w:szCs w:val="24"/>
              </w:rPr>
            </w:pPr>
          </w:p>
          <w:p w14:paraId="36613ACF" w14:textId="77777777" w:rsidR="00197800" w:rsidRPr="00B95820" w:rsidRDefault="00197800" w:rsidP="00197800">
            <w:pPr>
              <w:spacing w:line="240" w:lineRule="auto"/>
              <w:contextualSpacing/>
              <w:rPr>
                <w:rFonts w:ascii="Garamond" w:hAnsi="Garamond"/>
                <w:sz w:val="24"/>
                <w:szCs w:val="24"/>
              </w:rPr>
            </w:pPr>
            <w:r w:rsidRPr="00B95820">
              <w:rPr>
                <w:rFonts w:ascii="Garamond" w:hAnsi="Garamond"/>
                <w:sz w:val="24"/>
                <w:szCs w:val="24"/>
              </w:rPr>
              <w:t>Returns Equation</w:t>
            </w:r>
          </w:p>
        </w:tc>
      </w:tr>
      <w:tr w:rsidR="00197800" w:rsidRPr="00E75964" w14:paraId="07E1845F" w14:textId="77777777" w:rsidTr="00920853">
        <w:trPr>
          <w:jc w:val="center"/>
        </w:trPr>
        <w:tc>
          <w:tcPr>
            <w:tcW w:w="0" w:type="auto"/>
            <w:shd w:val="clear" w:color="auto" w:fill="auto"/>
          </w:tcPr>
          <w:p w14:paraId="3E912F2D"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Sunday</w:t>
            </w:r>
          </w:p>
        </w:tc>
        <w:tc>
          <w:tcPr>
            <w:tcW w:w="0" w:type="auto"/>
          </w:tcPr>
          <w:p w14:paraId="62CB94EE" w14:textId="7D548178"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-0.003</w:t>
            </w:r>
            <w:r w:rsidR="00080882" w:rsidRPr="00B95820">
              <w:rPr>
                <w:rFonts w:ascii="Garamond" w:hAnsi="Garamond"/>
                <w:sz w:val="24"/>
                <w:szCs w:val="24"/>
              </w:rPr>
              <w:t>314</w:t>
            </w:r>
            <w:r w:rsidRPr="00B95820">
              <w:rPr>
                <w:rFonts w:ascii="Garamond" w:hAnsi="Garamond"/>
                <w:sz w:val="24"/>
                <w:szCs w:val="24"/>
              </w:rPr>
              <w:t>***</w:t>
            </w:r>
          </w:p>
        </w:tc>
        <w:tc>
          <w:tcPr>
            <w:tcW w:w="0" w:type="auto"/>
            <w:shd w:val="clear" w:color="auto" w:fill="auto"/>
          </w:tcPr>
          <w:p w14:paraId="371D6885" w14:textId="5D6BA878" w:rsidR="00197800" w:rsidRPr="00B95820" w:rsidRDefault="00197800" w:rsidP="00920853">
            <w:pPr>
              <w:spacing w:line="240" w:lineRule="auto"/>
              <w:contextualSpacing/>
              <w:jc w:val="center"/>
              <w:rPr>
                <w:rFonts w:ascii="Garamond" w:hAnsi="Garamond"/>
                <w:sz w:val="24"/>
                <w:szCs w:val="24"/>
              </w:rPr>
            </w:pPr>
            <w:r w:rsidRPr="00B95820">
              <w:rPr>
                <w:rFonts w:ascii="Garamond" w:hAnsi="Garamond"/>
                <w:sz w:val="24"/>
                <w:szCs w:val="24"/>
              </w:rPr>
              <w:t>-0.0029</w:t>
            </w:r>
            <w:r w:rsidR="00080882" w:rsidRPr="00B95820">
              <w:rPr>
                <w:rFonts w:ascii="Garamond" w:hAnsi="Garamond"/>
                <w:sz w:val="24"/>
                <w:szCs w:val="24"/>
              </w:rPr>
              <w:t>20</w:t>
            </w:r>
            <w:r w:rsidRPr="00B95820">
              <w:rPr>
                <w:rFonts w:ascii="Garamond" w:hAnsi="Garamond"/>
                <w:sz w:val="24"/>
                <w:szCs w:val="24"/>
              </w:rPr>
              <w:t>***</w:t>
            </w:r>
          </w:p>
        </w:tc>
        <w:tc>
          <w:tcPr>
            <w:tcW w:w="1976" w:type="dxa"/>
            <w:shd w:val="clear" w:color="auto" w:fill="auto"/>
          </w:tcPr>
          <w:p w14:paraId="7E3F8C08" w14:textId="6751171C"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-0.00</w:t>
            </w:r>
            <w:r w:rsidR="00080882" w:rsidRPr="00B95820">
              <w:rPr>
                <w:rFonts w:ascii="Garamond" w:hAnsi="Garamond"/>
                <w:sz w:val="24"/>
                <w:szCs w:val="24"/>
              </w:rPr>
              <w:t>1</w:t>
            </w:r>
            <w:r w:rsidRPr="00B95820">
              <w:rPr>
                <w:rFonts w:ascii="Garamond" w:hAnsi="Garamond"/>
                <w:sz w:val="24"/>
                <w:szCs w:val="24"/>
              </w:rPr>
              <w:t>2</w:t>
            </w:r>
            <w:r w:rsidR="00080882" w:rsidRPr="00B95820">
              <w:rPr>
                <w:rFonts w:ascii="Garamond" w:hAnsi="Garamond"/>
                <w:sz w:val="24"/>
                <w:szCs w:val="24"/>
              </w:rPr>
              <w:t>23</w:t>
            </w:r>
            <w:r w:rsidRPr="00B95820">
              <w:rPr>
                <w:rFonts w:ascii="Garamond" w:hAnsi="Garamond"/>
                <w:sz w:val="24"/>
                <w:szCs w:val="24"/>
              </w:rPr>
              <w:t>**</w:t>
            </w:r>
          </w:p>
        </w:tc>
        <w:tc>
          <w:tcPr>
            <w:tcW w:w="1976" w:type="dxa"/>
            <w:shd w:val="clear" w:color="auto" w:fill="auto"/>
          </w:tcPr>
          <w:p w14:paraId="66EC0750" w14:textId="02021C51"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-0.00</w:t>
            </w:r>
            <w:r w:rsidR="003D576F" w:rsidRPr="00B95820">
              <w:rPr>
                <w:rFonts w:ascii="Garamond" w:hAnsi="Garamond"/>
                <w:sz w:val="24"/>
                <w:szCs w:val="24"/>
              </w:rPr>
              <w:t>2623</w:t>
            </w:r>
            <w:r w:rsidRPr="00B95820">
              <w:rPr>
                <w:rFonts w:ascii="Garamond" w:hAnsi="Garamond"/>
                <w:sz w:val="24"/>
                <w:szCs w:val="24"/>
              </w:rPr>
              <w:t>***</w:t>
            </w:r>
          </w:p>
        </w:tc>
      </w:tr>
      <w:tr w:rsidR="00197800" w:rsidRPr="00E75964" w14:paraId="2DF9DF22" w14:textId="77777777" w:rsidTr="00920853">
        <w:trPr>
          <w:jc w:val="center"/>
        </w:trPr>
        <w:tc>
          <w:tcPr>
            <w:tcW w:w="0" w:type="auto"/>
            <w:shd w:val="clear" w:color="auto" w:fill="auto"/>
          </w:tcPr>
          <w:p w14:paraId="719FF119"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Monday</w:t>
            </w:r>
          </w:p>
        </w:tc>
        <w:tc>
          <w:tcPr>
            <w:tcW w:w="0" w:type="auto"/>
          </w:tcPr>
          <w:p w14:paraId="1FF13BF4" w14:textId="77777777" w:rsidR="00197800" w:rsidRPr="00B95820" w:rsidRDefault="00197800" w:rsidP="00197800">
            <w:pPr>
              <w:spacing w:line="240" w:lineRule="auto"/>
              <w:contextualSpacing/>
              <w:jc w:val="center"/>
              <w:rPr>
                <w:rFonts w:ascii="Garamond" w:hAnsi="Garamond"/>
                <w:sz w:val="24"/>
                <w:szCs w:val="24"/>
              </w:rPr>
            </w:pPr>
          </w:p>
        </w:tc>
        <w:tc>
          <w:tcPr>
            <w:tcW w:w="0" w:type="auto"/>
            <w:shd w:val="clear" w:color="auto" w:fill="auto"/>
          </w:tcPr>
          <w:p w14:paraId="0495BA77" w14:textId="7B3303B5" w:rsidR="00197800" w:rsidRPr="00B95820" w:rsidRDefault="00197800" w:rsidP="00920853">
            <w:pPr>
              <w:spacing w:line="240" w:lineRule="auto"/>
              <w:contextualSpacing/>
              <w:jc w:val="center"/>
              <w:rPr>
                <w:rFonts w:ascii="Garamond" w:hAnsi="Garamond"/>
                <w:sz w:val="24"/>
                <w:szCs w:val="24"/>
              </w:rPr>
            </w:pPr>
            <w:r w:rsidRPr="00B95820">
              <w:rPr>
                <w:rFonts w:ascii="Garamond" w:hAnsi="Garamond"/>
                <w:sz w:val="24"/>
                <w:szCs w:val="24"/>
              </w:rPr>
              <w:t>0.001</w:t>
            </w:r>
            <w:r w:rsidR="00080882" w:rsidRPr="00B95820">
              <w:rPr>
                <w:rFonts w:ascii="Garamond" w:hAnsi="Garamond"/>
                <w:sz w:val="24"/>
                <w:szCs w:val="24"/>
              </w:rPr>
              <w:t>679</w:t>
            </w:r>
            <w:r w:rsidRPr="00B95820">
              <w:rPr>
                <w:rFonts w:ascii="Garamond" w:hAnsi="Garamond"/>
                <w:sz w:val="24"/>
                <w:szCs w:val="24"/>
              </w:rPr>
              <w:t>**</w:t>
            </w:r>
          </w:p>
        </w:tc>
        <w:tc>
          <w:tcPr>
            <w:tcW w:w="1976" w:type="dxa"/>
            <w:shd w:val="clear" w:color="auto" w:fill="auto"/>
          </w:tcPr>
          <w:p w14:paraId="7F1F0AE5" w14:textId="220EDB50"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0.001</w:t>
            </w:r>
            <w:r w:rsidR="00080882" w:rsidRPr="00B95820">
              <w:rPr>
                <w:rFonts w:ascii="Garamond" w:hAnsi="Garamond"/>
                <w:sz w:val="24"/>
                <w:szCs w:val="24"/>
              </w:rPr>
              <w:t>7</w:t>
            </w:r>
            <w:r w:rsidRPr="00B95820">
              <w:rPr>
                <w:rFonts w:ascii="Garamond" w:hAnsi="Garamond"/>
                <w:sz w:val="24"/>
                <w:szCs w:val="24"/>
              </w:rPr>
              <w:t>6</w:t>
            </w:r>
            <w:r w:rsidR="00080882" w:rsidRPr="00B95820">
              <w:rPr>
                <w:rFonts w:ascii="Garamond" w:hAnsi="Garamond"/>
                <w:sz w:val="24"/>
                <w:szCs w:val="24"/>
              </w:rPr>
              <w:t>2***</w:t>
            </w:r>
          </w:p>
        </w:tc>
        <w:tc>
          <w:tcPr>
            <w:tcW w:w="1976" w:type="dxa"/>
            <w:shd w:val="clear" w:color="auto" w:fill="auto"/>
          </w:tcPr>
          <w:p w14:paraId="64F1DEB6" w14:textId="3E2C4B59"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0.000</w:t>
            </w:r>
            <w:r w:rsidR="003D576F" w:rsidRPr="00B95820">
              <w:rPr>
                <w:rFonts w:ascii="Garamond" w:hAnsi="Garamond"/>
                <w:sz w:val="24"/>
                <w:szCs w:val="24"/>
              </w:rPr>
              <w:t>3</w:t>
            </w:r>
            <w:r w:rsidRPr="00B95820">
              <w:rPr>
                <w:rFonts w:ascii="Garamond" w:hAnsi="Garamond"/>
                <w:sz w:val="24"/>
                <w:szCs w:val="24"/>
              </w:rPr>
              <w:t>8</w:t>
            </w:r>
            <w:r w:rsidR="003D576F" w:rsidRPr="00B95820">
              <w:rPr>
                <w:rFonts w:ascii="Garamond" w:hAnsi="Garamond"/>
                <w:sz w:val="24"/>
                <w:szCs w:val="24"/>
              </w:rPr>
              <w:t>4</w:t>
            </w:r>
          </w:p>
        </w:tc>
      </w:tr>
      <w:tr w:rsidR="00197800" w:rsidRPr="00E75964" w14:paraId="3993A112" w14:textId="77777777" w:rsidTr="00920853">
        <w:trPr>
          <w:jc w:val="center"/>
        </w:trPr>
        <w:tc>
          <w:tcPr>
            <w:tcW w:w="0" w:type="auto"/>
            <w:shd w:val="clear" w:color="auto" w:fill="auto"/>
          </w:tcPr>
          <w:p w14:paraId="65F1EE38"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Wednesday</w:t>
            </w:r>
          </w:p>
        </w:tc>
        <w:tc>
          <w:tcPr>
            <w:tcW w:w="0" w:type="auto"/>
          </w:tcPr>
          <w:p w14:paraId="0D4CD681" w14:textId="77777777" w:rsidR="00197800" w:rsidRPr="00B95820" w:rsidRDefault="00197800" w:rsidP="00197800">
            <w:pPr>
              <w:spacing w:line="240" w:lineRule="auto"/>
              <w:contextualSpacing/>
              <w:jc w:val="center"/>
              <w:rPr>
                <w:rFonts w:ascii="Garamond" w:hAnsi="Garamond"/>
                <w:sz w:val="24"/>
                <w:szCs w:val="24"/>
              </w:rPr>
            </w:pPr>
          </w:p>
        </w:tc>
        <w:tc>
          <w:tcPr>
            <w:tcW w:w="0" w:type="auto"/>
            <w:shd w:val="clear" w:color="auto" w:fill="auto"/>
          </w:tcPr>
          <w:p w14:paraId="57CDC584" w14:textId="7A68A53D" w:rsidR="00197800" w:rsidRPr="00B95820" w:rsidRDefault="00197800" w:rsidP="00920853">
            <w:pPr>
              <w:spacing w:line="240" w:lineRule="auto"/>
              <w:contextualSpacing/>
              <w:jc w:val="center"/>
              <w:rPr>
                <w:rFonts w:ascii="Garamond" w:hAnsi="Garamond"/>
                <w:sz w:val="24"/>
                <w:szCs w:val="24"/>
              </w:rPr>
            </w:pPr>
            <w:r w:rsidRPr="00B95820">
              <w:rPr>
                <w:rFonts w:ascii="Garamond" w:hAnsi="Garamond"/>
                <w:sz w:val="24"/>
                <w:szCs w:val="24"/>
              </w:rPr>
              <w:t>0.00</w:t>
            </w:r>
            <w:r w:rsidR="00080882" w:rsidRPr="00B95820">
              <w:rPr>
                <w:rFonts w:ascii="Garamond" w:hAnsi="Garamond"/>
                <w:sz w:val="24"/>
                <w:szCs w:val="24"/>
              </w:rPr>
              <w:t>1045</w:t>
            </w:r>
          </w:p>
        </w:tc>
        <w:tc>
          <w:tcPr>
            <w:tcW w:w="1976" w:type="dxa"/>
            <w:shd w:val="clear" w:color="auto" w:fill="auto"/>
          </w:tcPr>
          <w:p w14:paraId="0C1F2AB4" w14:textId="326EC8A8"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0.001</w:t>
            </w:r>
            <w:r w:rsidR="00080882" w:rsidRPr="00B95820">
              <w:rPr>
                <w:rFonts w:ascii="Garamond" w:hAnsi="Garamond"/>
                <w:sz w:val="24"/>
                <w:szCs w:val="24"/>
              </w:rPr>
              <w:t>937***</w:t>
            </w:r>
          </w:p>
        </w:tc>
        <w:tc>
          <w:tcPr>
            <w:tcW w:w="1976" w:type="dxa"/>
            <w:shd w:val="clear" w:color="auto" w:fill="auto"/>
          </w:tcPr>
          <w:p w14:paraId="22B5F563" w14:textId="0F9CA28C"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0.0004</w:t>
            </w:r>
            <w:r w:rsidR="003D576F" w:rsidRPr="00B95820">
              <w:rPr>
                <w:rFonts w:ascii="Garamond" w:hAnsi="Garamond"/>
                <w:sz w:val="24"/>
                <w:szCs w:val="24"/>
              </w:rPr>
              <w:t>6</w:t>
            </w:r>
            <w:r w:rsidRPr="00B95820">
              <w:rPr>
                <w:rFonts w:ascii="Garamond" w:hAnsi="Garamond"/>
                <w:sz w:val="24"/>
                <w:szCs w:val="24"/>
              </w:rPr>
              <w:t>3</w:t>
            </w:r>
          </w:p>
        </w:tc>
      </w:tr>
      <w:tr w:rsidR="00197800" w:rsidRPr="00E75964" w14:paraId="5A335C34" w14:textId="77777777" w:rsidTr="00920853">
        <w:trPr>
          <w:jc w:val="center"/>
        </w:trPr>
        <w:tc>
          <w:tcPr>
            <w:tcW w:w="0" w:type="auto"/>
            <w:shd w:val="clear" w:color="auto" w:fill="auto"/>
          </w:tcPr>
          <w:p w14:paraId="6F96FBAA"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Thursday</w:t>
            </w:r>
          </w:p>
        </w:tc>
        <w:tc>
          <w:tcPr>
            <w:tcW w:w="0" w:type="auto"/>
          </w:tcPr>
          <w:p w14:paraId="0E419795" w14:textId="77777777" w:rsidR="00197800" w:rsidRPr="00B95820" w:rsidRDefault="00197800" w:rsidP="00197800">
            <w:pPr>
              <w:spacing w:line="240" w:lineRule="auto"/>
              <w:contextualSpacing/>
              <w:jc w:val="center"/>
              <w:rPr>
                <w:rFonts w:ascii="Garamond" w:hAnsi="Garamond"/>
                <w:sz w:val="24"/>
                <w:szCs w:val="24"/>
              </w:rPr>
            </w:pPr>
          </w:p>
        </w:tc>
        <w:tc>
          <w:tcPr>
            <w:tcW w:w="0" w:type="auto"/>
            <w:shd w:val="clear" w:color="auto" w:fill="auto"/>
          </w:tcPr>
          <w:p w14:paraId="0560D51F" w14:textId="1D837ADD" w:rsidR="00197800" w:rsidRPr="00B95820" w:rsidRDefault="00197800" w:rsidP="00920853">
            <w:pPr>
              <w:spacing w:line="240" w:lineRule="auto"/>
              <w:contextualSpacing/>
              <w:jc w:val="center"/>
              <w:rPr>
                <w:rFonts w:ascii="Garamond" w:hAnsi="Garamond"/>
                <w:sz w:val="24"/>
                <w:szCs w:val="24"/>
              </w:rPr>
            </w:pPr>
            <w:r w:rsidRPr="00B95820">
              <w:rPr>
                <w:rFonts w:ascii="Garamond" w:hAnsi="Garamond"/>
                <w:sz w:val="24"/>
                <w:szCs w:val="24"/>
              </w:rPr>
              <w:t>-0.00</w:t>
            </w:r>
            <w:r w:rsidR="00080882" w:rsidRPr="00B95820">
              <w:rPr>
                <w:rFonts w:ascii="Garamond" w:hAnsi="Garamond"/>
                <w:sz w:val="24"/>
                <w:szCs w:val="24"/>
              </w:rPr>
              <w:t>11</w:t>
            </w:r>
            <w:r w:rsidRPr="00B95820">
              <w:rPr>
                <w:rFonts w:ascii="Garamond" w:hAnsi="Garamond"/>
                <w:sz w:val="24"/>
                <w:szCs w:val="24"/>
              </w:rPr>
              <w:t>8</w:t>
            </w:r>
            <w:r w:rsidR="00080882" w:rsidRPr="00B95820">
              <w:rPr>
                <w:rFonts w:ascii="Garamond" w:hAnsi="Garamond"/>
                <w:sz w:val="24"/>
                <w:szCs w:val="24"/>
              </w:rPr>
              <w:t>1</w:t>
            </w:r>
            <w:r w:rsidR="00920853" w:rsidRPr="00B95820">
              <w:rPr>
                <w:rFonts w:ascii="Garamond" w:hAnsi="Garamond"/>
                <w:sz w:val="24"/>
                <w:szCs w:val="24"/>
              </w:rPr>
              <w:t>*</w:t>
            </w:r>
          </w:p>
        </w:tc>
        <w:tc>
          <w:tcPr>
            <w:tcW w:w="1976" w:type="dxa"/>
            <w:shd w:val="clear" w:color="auto" w:fill="auto"/>
          </w:tcPr>
          <w:p w14:paraId="6EDCBD42" w14:textId="4EC9E176"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-0.000</w:t>
            </w:r>
            <w:r w:rsidR="00080882" w:rsidRPr="00B95820">
              <w:rPr>
                <w:rFonts w:ascii="Garamond" w:hAnsi="Garamond"/>
                <w:sz w:val="24"/>
                <w:szCs w:val="24"/>
              </w:rPr>
              <w:t>499</w:t>
            </w:r>
          </w:p>
        </w:tc>
        <w:tc>
          <w:tcPr>
            <w:tcW w:w="1976" w:type="dxa"/>
            <w:shd w:val="clear" w:color="auto" w:fill="auto"/>
          </w:tcPr>
          <w:p w14:paraId="25557341" w14:textId="7914B8CB"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-0.000</w:t>
            </w:r>
            <w:r w:rsidR="003D576F" w:rsidRPr="00B95820">
              <w:rPr>
                <w:rFonts w:ascii="Garamond" w:hAnsi="Garamond"/>
                <w:sz w:val="24"/>
                <w:szCs w:val="24"/>
              </w:rPr>
              <w:t>025</w:t>
            </w:r>
          </w:p>
        </w:tc>
      </w:tr>
      <w:tr w:rsidR="00197800" w:rsidRPr="00E75964" w14:paraId="50B74D24" w14:textId="77777777" w:rsidTr="00920853">
        <w:trPr>
          <w:jc w:val="center"/>
        </w:trPr>
        <w:tc>
          <w:tcPr>
            <w:tcW w:w="0" w:type="auto"/>
            <w:shd w:val="clear" w:color="auto" w:fill="auto"/>
          </w:tcPr>
          <w:p w14:paraId="7F651DB0" w14:textId="3E370CD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Return</w:t>
            </w:r>
            <w:r w:rsidR="00080882" w:rsidRPr="00B95820">
              <w:rPr>
                <w:rFonts w:ascii="Garamond" w:hAnsi="Garamond"/>
                <w:sz w:val="24"/>
                <w:szCs w:val="24"/>
                <w:vertAlign w:val="subscript"/>
              </w:rPr>
              <w:t>t-1</w:t>
            </w:r>
            <w:r w:rsidR="00080882" w:rsidRPr="00B95820">
              <w:rPr>
                <w:rFonts w:ascii="Garamond" w:hAnsi="Garamond"/>
                <w:sz w:val="24"/>
                <w:szCs w:val="24"/>
              </w:rPr>
              <w:t xml:space="preserve"> </w:t>
            </w:r>
          </w:p>
        </w:tc>
        <w:tc>
          <w:tcPr>
            <w:tcW w:w="0" w:type="auto"/>
          </w:tcPr>
          <w:p w14:paraId="6530F13B" w14:textId="47D83A4C"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-0.04</w:t>
            </w:r>
            <w:r w:rsidR="00080882" w:rsidRPr="00B95820">
              <w:rPr>
                <w:rFonts w:ascii="Garamond" w:hAnsi="Garamond"/>
                <w:sz w:val="24"/>
                <w:szCs w:val="24"/>
              </w:rPr>
              <w:t>4784</w:t>
            </w:r>
            <w:r w:rsidRPr="00B95820">
              <w:rPr>
                <w:rFonts w:ascii="Garamond" w:hAnsi="Garamond"/>
                <w:sz w:val="24"/>
                <w:szCs w:val="24"/>
              </w:rPr>
              <w:t>***</w:t>
            </w:r>
          </w:p>
        </w:tc>
        <w:tc>
          <w:tcPr>
            <w:tcW w:w="0" w:type="auto"/>
            <w:shd w:val="clear" w:color="auto" w:fill="auto"/>
          </w:tcPr>
          <w:p w14:paraId="21A34DDC" w14:textId="2A5B1121" w:rsidR="00197800" w:rsidRPr="00B95820" w:rsidRDefault="00197800" w:rsidP="00920853">
            <w:pPr>
              <w:spacing w:line="240" w:lineRule="auto"/>
              <w:contextualSpacing/>
              <w:jc w:val="center"/>
              <w:rPr>
                <w:rFonts w:ascii="Garamond" w:hAnsi="Garamond"/>
                <w:sz w:val="24"/>
                <w:szCs w:val="24"/>
              </w:rPr>
            </w:pPr>
            <w:r w:rsidRPr="00B95820">
              <w:rPr>
                <w:rFonts w:ascii="Garamond" w:hAnsi="Garamond"/>
                <w:sz w:val="24"/>
                <w:szCs w:val="24"/>
              </w:rPr>
              <w:t>-0.03</w:t>
            </w:r>
            <w:r w:rsidR="00080882" w:rsidRPr="00B95820">
              <w:rPr>
                <w:rFonts w:ascii="Garamond" w:hAnsi="Garamond"/>
                <w:sz w:val="24"/>
                <w:szCs w:val="24"/>
              </w:rPr>
              <w:t>8</w:t>
            </w:r>
            <w:r w:rsidRPr="00B95820">
              <w:rPr>
                <w:rFonts w:ascii="Garamond" w:hAnsi="Garamond"/>
                <w:sz w:val="24"/>
                <w:szCs w:val="24"/>
              </w:rPr>
              <w:t>2</w:t>
            </w:r>
            <w:r w:rsidR="00080882" w:rsidRPr="00B95820">
              <w:rPr>
                <w:rFonts w:ascii="Garamond" w:hAnsi="Garamond"/>
                <w:sz w:val="24"/>
                <w:szCs w:val="24"/>
              </w:rPr>
              <w:t>23</w:t>
            </w:r>
            <w:r w:rsidRPr="00B95820">
              <w:rPr>
                <w:rFonts w:ascii="Garamond" w:hAnsi="Garamond"/>
                <w:sz w:val="24"/>
                <w:szCs w:val="24"/>
              </w:rPr>
              <w:t>**</w:t>
            </w:r>
          </w:p>
        </w:tc>
        <w:tc>
          <w:tcPr>
            <w:tcW w:w="1976" w:type="dxa"/>
            <w:shd w:val="clear" w:color="auto" w:fill="auto"/>
          </w:tcPr>
          <w:p w14:paraId="10EEBA34" w14:textId="4749DEAD"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w:t>
            </w:r>
            <w:r w:rsidR="00080882" w:rsidRPr="00B95820">
              <w:rPr>
                <w:rFonts w:ascii="Garamond" w:hAnsi="Garamond"/>
                <w:sz w:val="24"/>
                <w:szCs w:val="24"/>
              </w:rPr>
              <w:t>35978*</w:t>
            </w:r>
          </w:p>
        </w:tc>
        <w:tc>
          <w:tcPr>
            <w:tcW w:w="1976" w:type="dxa"/>
            <w:shd w:val="clear" w:color="auto" w:fill="auto"/>
          </w:tcPr>
          <w:p w14:paraId="316A2918" w14:textId="2745432B"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w:t>
            </w:r>
            <w:r w:rsidR="003D576F" w:rsidRPr="00B95820">
              <w:rPr>
                <w:rFonts w:ascii="Garamond" w:hAnsi="Garamond"/>
                <w:sz w:val="24"/>
                <w:szCs w:val="24"/>
              </w:rPr>
              <w:t>68270***</w:t>
            </w:r>
          </w:p>
        </w:tc>
      </w:tr>
      <w:tr w:rsidR="00197800" w:rsidRPr="00E75964" w14:paraId="21E56FBE" w14:textId="77777777" w:rsidTr="00920853">
        <w:trPr>
          <w:jc w:val="center"/>
        </w:trPr>
        <w:tc>
          <w:tcPr>
            <w:tcW w:w="0" w:type="auto"/>
            <w:shd w:val="clear" w:color="auto" w:fill="auto"/>
          </w:tcPr>
          <w:p w14:paraId="23174C99" w14:textId="73CE26E2"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Return</w:t>
            </w:r>
            <w:r w:rsidR="00080882" w:rsidRPr="00B95820">
              <w:rPr>
                <w:rFonts w:ascii="Garamond" w:hAnsi="Garamond"/>
                <w:sz w:val="24"/>
                <w:szCs w:val="24"/>
                <w:vertAlign w:val="subscript"/>
              </w:rPr>
              <w:t>t-2</w:t>
            </w:r>
            <w:r w:rsidR="00080882" w:rsidRPr="00B95820">
              <w:rPr>
                <w:rFonts w:ascii="Garamond" w:hAnsi="Garamond"/>
                <w:sz w:val="24"/>
                <w:szCs w:val="24"/>
              </w:rPr>
              <w:t xml:space="preserve"> </w:t>
            </w:r>
          </w:p>
        </w:tc>
        <w:tc>
          <w:tcPr>
            <w:tcW w:w="0" w:type="auto"/>
          </w:tcPr>
          <w:p w14:paraId="4FE26059" w14:textId="0D01694D"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0.04</w:t>
            </w:r>
            <w:r w:rsidR="00080882" w:rsidRPr="00B95820">
              <w:rPr>
                <w:rFonts w:ascii="Garamond" w:hAnsi="Garamond"/>
                <w:sz w:val="24"/>
                <w:szCs w:val="24"/>
              </w:rPr>
              <w:t>0772</w:t>
            </w:r>
            <w:r w:rsidRPr="00B95820">
              <w:rPr>
                <w:rFonts w:ascii="Garamond" w:hAnsi="Garamond"/>
                <w:sz w:val="24"/>
                <w:szCs w:val="24"/>
              </w:rPr>
              <w:t>***</w:t>
            </w:r>
          </w:p>
        </w:tc>
        <w:tc>
          <w:tcPr>
            <w:tcW w:w="0" w:type="auto"/>
            <w:shd w:val="clear" w:color="auto" w:fill="auto"/>
          </w:tcPr>
          <w:p w14:paraId="3A971D36" w14:textId="3DAC2560" w:rsidR="00197800" w:rsidRPr="00B95820" w:rsidRDefault="00197800" w:rsidP="00920853">
            <w:pPr>
              <w:spacing w:line="240" w:lineRule="auto"/>
              <w:contextualSpacing/>
              <w:jc w:val="center"/>
              <w:rPr>
                <w:rFonts w:ascii="Garamond" w:hAnsi="Garamond"/>
                <w:sz w:val="24"/>
                <w:szCs w:val="24"/>
              </w:rPr>
            </w:pPr>
            <w:r w:rsidRPr="00B95820">
              <w:rPr>
                <w:rFonts w:ascii="Garamond" w:hAnsi="Garamond"/>
                <w:sz w:val="24"/>
                <w:szCs w:val="24"/>
              </w:rPr>
              <w:t>0.04</w:t>
            </w:r>
            <w:r w:rsidR="00080882" w:rsidRPr="00B95820">
              <w:rPr>
                <w:rFonts w:ascii="Garamond" w:hAnsi="Garamond"/>
                <w:sz w:val="24"/>
                <w:szCs w:val="24"/>
              </w:rPr>
              <w:t>0044</w:t>
            </w:r>
            <w:r w:rsidRPr="00B95820">
              <w:rPr>
                <w:rFonts w:ascii="Garamond" w:hAnsi="Garamond"/>
                <w:sz w:val="24"/>
                <w:szCs w:val="24"/>
              </w:rPr>
              <w:t>***</w:t>
            </w:r>
          </w:p>
        </w:tc>
        <w:tc>
          <w:tcPr>
            <w:tcW w:w="1976" w:type="dxa"/>
            <w:shd w:val="clear" w:color="auto" w:fill="auto"/>
          </w:tcPr>
          <w:p w14:paraId="52486327" w14:textId="77777777" w:rsidR="00197800" w:rsidRPr="00B95820" w:rsidRDefault="00197800" w:rsidP="00197800">
            <w:pPr>
              <w:spacing w:line="240" w:lineRule="auto"/>
              <w:contextualSpacing/>
              <w:jc w:val="center"/>
              <w:rPr>
                <w:rFonts w:ascii="Garamond" w:hAnsi="Garamond"/>
                <w:sz w:val="24"/>
                <w:szCs w:val="24"/>
              </w:rPr>
            </w:pPr>
          </w:p>
        </w:tc>
        <w:tc>
          <w:tcPr>
            <w:tcW w:w="1976" w:type="dxa"/>
            <w:shd w:val="clear" w:color="auto" w:fill="auto"/>
          </w:tcPr>
          <w:p w14:paraId="3E10B466" w14:textId="77777777" w:rsidR="00197800" w:rsidRPr="00B95820" w:rsidRDefault="00197800" w:rsidP="00197800">
            <w:pPr>
              <w:spacing w:line="240" w:lineRule="auto"/>
              <w:contextualSpacing/>
              <w:jc w:val="center"/>
              <w:rPr>
                <w:rFonts w:ascii="Garamond" w:hAnsi="Garamond"/>
                <w:sz w:val="24"/>
                <w:szCs w:val="24"/>
              </w:rPr>
            </w:pPr>
          </w:p>
        </w:tc>
      </w:tr>
      <w:tr w:rsidR="00197800" w:rsidRPr="00E75964" w14:paraId="79C454F4" w14:textId="77777777" w:rsidTr="00920853">
        <w:trPr>
          <w:jc w:val="center"/>
        </w:trPr>
        <w:tc>
          <w:tcPr>
            <w:tcW w:w="0" w:type="auto"/>
            <w:shd w:val="clear" w:color="auto" w:fill="auto"/>
          </w:tcPr>
          <w:p w14:paraId="79FC98D2"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C</w:t>
            </w:r>
          </w:p>
        </w:tc>
        <w:tc>
          <w:tcPr>
            <w:tcW w:w="0" w:type="auto"/>
          </w:tcPr>
          <w:p w14:paraId="6A7FB775" w14:textId="263A7989"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0.001</w:t>
            </w:r>
            <w:r w:rsidR="00080882" w:rsidRPr="00B95820">
              <w:rPr>
                <w:rFonts w:ascii="Garamond" w:hAnsi="Garamond"/>
                <w:sz w:val="24"/>
                <w:szCs w:val="24"/>
              </w:rPr>
              <w:t>074</w:t>
            </w:r>
            <w:r w:rsidRPr="00B95820">
              <w:rPr>
                <w:rFonts w:ascii="Garamond" w:hAnsi="Garamond"/>
                <w:sz w:val="24"/>
                <w:szCs w:val="24"/>
              </w:rPr>
              <w:t>***</w:t>
            </w:r>
          </w:p>
        </w:tc>
        <w:tc>
          <w:tcPr>
            <w:tcW w:w="0" w:type="auto"/>
            <w:shd w:val="clear" w:color="auto" w:fill="auto"/>
          </w:tcPr>
          <w:p w14:paraId="40ADF76B" w14:textId="5A3558A8" w:rsidR="00197800" w:rsidRPr="00B95820" w:rsidRDefault="00197800" w:rsidP="00920853">
            <w:pPr>
              <w:spacing w:line="240" w:lineRule="auto"/>
              <w:contextualSpacing/>
              <w:jc w:val="center"/>
              <w:rPr>
                <w:rFonts w:ascii="Garamond" w:hAnsi="Garamond"/>
                <w:sz w:val="24"/>
                <w:szCs w:val="24"/>
              </w:rPr>
            </w:pPr>
            <w:r w:rsidRPr="00B95820">
              <w:rPr>
                <w:rFonts w:ascii="Garamond" w:hAnsi="Garamond"/>
                <w:sz w:val="24"/>
                <w:szCs w:val="24"/>
              </w:rPr>
              <w:t>0.000</w:t>
            </w:r>
            <w:r w:rsidR="00080882" w:rsidRPr="00B95820">
              <w:rPr>
                <w:rFonts w:ascii="Garamond" w:hAnsi="Garamond"/>
                <w:sz w:val="24"/>
                <w:szCs w:val="24"/>
              </w:rPr>
              <w:t>6</w:t>
            </w:r>
            <w:r w:rsidRPr="00B95820">
              <w:rPr>
                <w:rFonts w:ascii="Garamond" w:hAnsi="Garamond"/>
                <w:sz w:val="24"/>
                <w:szCs w:val="24"/>
              </w:rPr>
              <w:t>8</w:t>
            </w:r>
            <w:r w:rsidR="00080882" w:rsidRPr="00B95820">
              <w:rPr>
                <w:rFonts w:ascii="Garamond" w:hAnsi="Garamond"/>
                <w:sz w:val="24"/>
                <w:szCs w:val="24"/>
              </w:rPr>
              <w:t>5</w:t>
            </w:r>
          </w:p>
        </w:tc>
        <w:tc>
          <w:tcPr>
            <w:tcW w:w="1976" w:type="dxa"/>
            <w:shd w:val="clear" w:color="auto" w:fill="auto"/>
          </w:tcPr>
          <w:p w14:paraId="6CF99DA2" w14:textId="403B8AD5" w:rsidR="00197800" w:rsidRPr="00B95820" w:rsidRDefault="00080882" w:rsidP="00197800">
            <w:pPr>
              <w:spacing w:line="240" w:lineRule="auto"/>
              <w:contextualSpacing/>
              <w:jc w:val="center"/>
              <w:rPr>
                <w:rFonts w:ascii="Garamond" w:hAnsi="Garamond"/>
                <w:sz w:val="24"/>
                <w:szCs w:val="24"/>
              </w:rPr>
            </w:pPr>
            <w:r w:rsidRPr="00B95820">
              <w:rPr>
                <w:rFonts w:ascii="Garamond" w:hAnsi="Garamond"/>
                <w:sz w:val="24"/>
                <w:szCs w:val="24"/>
              </w:rPr>
              <w:t>-</w:t>
            </w:r>
            <w:r w:rsidR="00197800" w:rsidRPr="00B95820">
              <w:rPr>
                <w:rFonts w:ascii="Garamond" w:hAnsi="Garamond"/>
                <w:sz w:val="24"/>
                <w:szCs w:val="24"/>
              </w:rPr>
              <w:t>0.000</w:t>
            </w:r>
            <w:r w:rsidRPr="00B95820">
              <w:rPr>
                <w:rFonts w:ascii="Garamond" w:hAnsi="Garamond"/>
                <w:sz w:val="24"/>
                <w:szCs w:val="24"/>
              </w:rPr>
              <w:t>0</w:t>
            </w:r>
            <w:r w:rsidR="00197800" w:rsidRPr="00B95820">
              <w:rPr>
                <w:rFonts w:ascii="Garamond" w:hAnsi="Garamond"/>
                <w:sz w:val="24"/>
                <w:szCs w:val="24"/>
              </w:rPr>
              <w:t>2</w:t>
            </w:r>
            <w:r w:rsidRPr="00B95820">
              <w:rPr>
                <w:rFonts w:ascii="Garamond" w:hAnsi="Garamond"/>
                <w:sz w:val="24"/>
                <w:szCs w:val="24"/>
              </w:rPr>
              <w:t>08</w:t>
            </w:r>
          </w:p>
        </w:tc>
        <w:tc>
          <w:tcPr>
            <w:tcW w:w="1976" w:type="dxa"/>
            <w:shd w:val="clear" w:color="auto" w:fill="auto"/>
          </w:tcPr>
          <w:p w14:paraId="3F2140EB" w14:textId="44AC9AC8"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0.000</w:t>
            </w:r>
            <w:r w:rsidR="003D576F" w:rsidRPr="00B95820">
              <w:rPr>
                <w:rFonts w:ascii="Garamond" w:hAnsi="Garamond"/>
                <w:sz w:val="24"/>
                <w:szCs w:val="24"/>
              </w:rPr>
              <w:t>009</w:t>
            </w:r>
          </w:p>
        </w:tc>
      </w:tr>
      <w:tr w:rsidR="00197800" w:rsidRPr="00E75964" w14:paraId="32DEABDF" w14:textId="77777777" w:rsidTr="00920853">
        <w:trPr>
          <w:jc w:val="center"/>
        </w:trPr>
        <w:tc>
          <w:tcPr>
            <w:tcW w:w="9456" w:type="dxa"/>
            <w:gridSpan w:val="5"/>
          </w:tcPr>
          <w:p w14:paraId="7BFC0FD2" w14:textId="77777777" w:rsidR="00197800" w:rsidRPr="00B95820" w:rsidRDefault="00197800" w:rsidP="00197800">
            <w:pPr>
              <w:spacing w:line="240" w:lineRule="auto"/>
              <w:contextualSpacing/>
              <w:rPr>
                <w:rFonts w:ascii="Garamond" w:hAnsi="Garamond"/>
                <w:sz w:val="24"/>
                <w:szCs w:val="24"/>
              </w:rPr>
            </w:pPr>
          </w:p>
          <w:p w14:paraId="0FF7DCCF" w14:textId="77777777" w:rsidR="00197800" w:rsidRPr="00B95820" w:rsidRDefault="00197800" w:rsidP="00197800">
            <w:pPr>
              <w:spacing w:line="240" w:lineRule="auto"/>
              <w:contextualSpacing/>
              <w:rPr>
                <w:rFonts w:ascii="Garamond" w:hAnsi="Garamond"/>
                <w:sz w:val="24"/>
                <w:szCs w:val="24"/>
              </w:rPr>
            </w:pPr>
            <w:r w:rsidRPr="00B95820">
              <w:rPr>
                <w:rFonts w:ascii="Garamond" w:hAnsi="Garamond"/>
                <w:sz w:val="24"/>
                <w:szCs w:val="24"/>
              </w:rPr>
              <w:t>Volatility Equation</w:t>
            </w:r>
          </w:p>
        </w:tc>
      </w:tr>
      <w:tr w:rsidR="00197800" w:rsidRPr="00E75964" w14:paraId="1B06BBF8" w14:textId="77777777" w:rsidTr="00920853">
        <w:trPr>
          <w:trHeight w:val="304"/>
          <w:jc w:val="center"/>
        </w:trPr>
        <w:tc>
          <w:tcPr>
            <w:tcW w:w="0" w:type="auto"/>
            <w:shd w:val="clear" w:color="auto" w:fill="auto"/>
          </w:tcPr>
          <w:p w14:paraId="2374461B"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ω</w:t>
            </w:r>
          </w:p>
        </w:tc>
        <w:tc>
          <w:tcPr>
            <w:tcW w:w="0" w:type="auto"/>
          </w:tcPr>
          <w:p w14:paraId="3EB24736" w14:textId="77777777" w:rsidR="00197800" w:rsidRPr="00B95820" w:rsidRDefault="00197800" w:rsidP="00197800">
            <w:pPr>
              <w:spacing w:line="240" w:lineRule="auto"/>
              <w:contextualSpacing/>
              <w:jc w:val="center"/>
              <w:rPr>
                <w:rFonts w:ascii="Garamond" w:hAnsi="Garamond"/>
                <w:sz w:val="24"/>
                <w:szCs w:val="24"/>
              </w:rPr>
            </w:pPr>
          </w:p>
        </w:tc>
        <w:tc>
          <w:tcPr>
            <w:tcW w:w="0" w:type="auto"/>
            <w:shd w:val="clear" w:color="auto" w:fill="auto"/>
          </w:tcPr>
          <w:p w14:paraId="5862AE72" w14:textId="77777777" w:rsidR="00197800" w:rsidRPr="00B95820" w:rsidRDefault="00197800" w:rsidP="00197800">
            <w:pPr>
              <w:spacing w:line="240" w:lineRule="auto"/>
              <w:contextualSpacing/>
              <w:jc w:val="center"/>
              <w:rPr>
                <w:rFonts w:ascii="Garamond" w:hAnsi="Garamond"/>
                <w:sz w:val="24"/>
                <w:szCs w:val="24"/>
              </w:rPr>
            </w:pPr>
          </w:p>
        </w:tc>
        <w:tc>
          <w:tcPr>
            <w:tcW w:w="1976" w:type="dxa"/>
            <w:shd w:val="clear" w:color="auto" w:fill="auto"/>
          </w:tcPr>
          <w:p w14:paraId="5CCB1E5C" w14:textId="67DF530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0.000</w:t>
            </w:r>
            <w:r w:rsidR="00080882" w:rsidRPr="00B95820">
              <w:rPr>
                <w:rFonts w:ascii="Garamond" w:hAnsi="Garamond"/>
                <w:sz w:val="24"/>
                <w:szCs w:val="24"/>
              </w:rPr>
              <w:t>0</w:t>
            </w:r>
            <w:r w:rsidRPr="00B95820">
              <w:rPr>
                <w:rFonts w:ascii="Garamond" w:hAnsi="Garamond"/>
                <w:sz w:val="24"/>
                <w:szCs w:val="24"/>
              </w:rPr>
              <w:t>1</w:t>
            </w:r>
            <w:r w:rsidR="00080882" w:rsidRPr="00B95820">
              <w:rPr>
                <w:rFonts w:ascii="Garamond" w:hAnsi="Garamond"/>
                <w:sz w:val="24"/>
                <w:szCs w:val="24"/>
              </w:rPr>
              <w:t>1</w:t>
            </w:r>
            <w:r w:rsidRPr="00B95820">
              <w:rPr>
                <w:rFonts w:ascii="Garamond" w:hAnsi="Garamond"/>
                <w:sz w:val="24"/>
                <w:szCs w:val="24"/>
              </w:rPr>
              <w:t>***</w:t>
            </w:r>
          </w:p>
        </w:tc>
        <w:tc>
          <w:tcPr>
            <w:tcW w:w="1976" w:type="dxa"/>
            <w:shd w:val="clear" w:color="auto" w:fill="auto"/>
          </w:tcPr>
          <w:p w14:paraId="77588C2E" w14:textId="4ECC5388"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0.0001</w:t>
            </w:r>
            <w:r w:rsidR="003D576F" w:rsidRPr="00B95820">
              <w:rPr>
                <w:rFonts w:ascii="Garamond" w:hAnsi="Garamond"/>
                <w:sz w:val="24"/>
                <w:szCs w:val="24"/>
              </w:rPr>
              <w:t>08</w:t>
            </w:r>
            <w:r w:rsidRPr="00B95820">
              <w:rPr>
                <w:rFonts w:ascii="Garamond" w:hAnsi="Garamond"/>
                <w:sz w:val="24"/>
                <w:szCs w:val="24"/>
              </w:rPr>
              <w:t>***</w:t>
            </w:r>
          </w:p>
        </w:tc>
      </w:tr>
      <w:tr w:rsidR="00197800" w:rsidRPr="00E75964" w14:paraId="0AD8B7D0" w14:textId="77777777" w:rsidTr="00920853">
        <w:trPr>
          <w:jc w:val="center"/>
        </w:trPr>
        <w:tc>
          <w:tcPr>
            <w:tcW w:w="0" w:type="auto"/>
            <w:shd w:val="clear" w:color="auto" w:fill="auto"/>
          </w:tcPr>
          <w:p w14:paraId="6C65EB4A"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α</w:t>
            </w:r>
          </w:p>
        </w:tc>
        <w:tc>
          <w:tcPr>
            <w:tcW w:w="0" w:type="auto"/>
          </w:tcPr>
          <w:p w14:paraId="1D0059B1" w14:textId="77777777" w:rsidR="00197800" w:rsidRPr="00B95820" w:rsidRDefault="00197800" w:rsidP="00197800">
            <w:pPr>
              <w:spacing w:line="240" w:lineRule="auto"/>
              <w:contextualSpacing/>
              <w:jc w:val="center"/>
              <w:rPr>
                <w:rFonts w:ascii="Garamond" w:hAnsi="Garamond"/>
                <w:sz w:val="24"/>
                <w:szCs w:val="24"/>
              </w:rPr>
            </w:pPr>
          </w:p>
        </w:tc>
        <w:tc>
          <w:tcPr>
            <w:tcW w:w="0" w:type="auto"/>
            <w:shd w:val="clear" w:color="auto" w:fill="auto"/>
          </w:tcPr>
          <w:p w14:paraId="317D8CAE" w14:textId="77777777" w:rsidR="00197800" w:rsidRPr="00B95820" w:rsidRDefault="00197800" w:rsidP="00197800">
            <w:pPr>
              <w:spacing w:line="240" w:lineRule="auto"/>
              <w:contextualSpacing/>
              <w:jc w:val="center"/>
              <w:rPr>
                <w:rFonts w:ascii="Garamond" w:hAnsi="Garamond"/>
                <w:sz w:val="24"/>
                <w:szCs w:val="24"/>
              </w:rPr>
            </w:pPr>
          </w:p>
        </w:tc>
        <w:tc>
          <w:tcPr>
            <w:tcW w:w="1976" w:type="dxa"/>
            <w:shd w:val="clear" w:color="auto" w:fill="auto"/>
          </w:tcPr>
          <w:p w14:paraId="388ABD96" w14:textId="4AD1C429"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w:t>
            </w:r>
            <w:r w:rsidR="00080882" w:rsidRPr="00B95820">
              <w:rPr>
                <w:rFonts w:ascii="Garamond" w:hAnsi="Garamond"/>
                <w:sz w:val="24"/>
                <w:szCs w:val="24"/>
              </w:rPr>
              <w:t>029627</w:t>
            </w:r>
            <w:r w:rsidRPr="00B95820">
              <w:rPr>
                <w:rFonts w:ascii="Garamond" w:hAnsi="Garamond"/>
                <w:sz w:val="24"/>
                <w:szCs w:val="24"/>
              </w:rPr>
              <w:t>***</w:t>
            </w:r>
          </w:p>
        </w:tc>
        <w:tc>
          <w:tcPr>
            <w:tcW w:w="1976" w:type="dxa"/>
            <w:shd w:val="clear" w:color="auto" w:fill="auto"/>
          </w:tcPr>
          <w:p w14:paraId="3D97FD2F" w14:textId="30EDE78C" w:rsidR="00197800" w:rsidRPr="00B95820" w:rsidRDefault="00665A74" w:rsidP="00197800">
            <w:pPr>
              <w:spacing w:line="240" w:lineRule="auto"/>
              <w:contextualSpacing/>
              <w:jc w:val="center"/>
              <w:rPr>
                <w:rFonts w:ascii="Garamond" w:hAnsi="Garamond"/>
                <w:sz w:val="24"/>
                <w:szCs w:val="24"/>
              </w:rPr>
            </w:pPr>
            <w:r w:rsidRPr="00B95820">
              <w:rPr>
                <w:rFonts w:ascii="Garamond" w:hAnsi="Garamond"/>
                <w:sz w:val="24"/>
                <w:szCs w:val="24"/>
              </w:rPr>
              <w:t>0.</w:t>
            </w:r>
            <w:r w:rsidR="003D576F" w:rsidRPr="00B95820">
              <w:rPr>
                <w:rFonts w:ascii="Garamond" w:hAnsi="Garamond"/>
                <w:sz w:val="24"/>
                <w:szCs w:val="24"/>
              </w:rPr>
              <w:t>179379</w:t>
            </w:r>
            <w:r w:rsidRPr="00B95820">
              <w:rPr>
                <w:rFonts w:ascii="Garamond" w:hAnsi="Garamond"/>
                <w:sz w:val="24"/>
                <w:szCs w:val="24"/>
              </w:rPr>
              <w:t>***</w:t>
            </w:r>
          </w:p>
        </w:tc>
      </w:tr>
      <w:tr w:rsidR="00197800" w:rsidRPr="00E75964" w14:paraId="7FF5D687" w14:textId="77777777" w:rsidTr="00920853">
        <w:trPr>
          <w:jc w:val="center"/>
        </w:trPr>
        <w:tc>
          <w:tcPr>
            <w:tcW w:w="0" w:type="auto"/>
            <w:shd w:val="clear" w:color="auto" w:fill="auto"/>
          </w:tcPr>
          <w:p w14:paraId="371061D5"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β</w:t>
            </w:r>
          </w:p>
        </w:tc>
        <w:tc>
          <w:tcPr>
            <w:tcW w:w="0" w:type="auto"/>
          </w:tcPr>
          <w:p w14:paraId="0A85F5DC" w14:textId="77777777" w:rsidR="00197800" w:rsidRPr="00B95820" w:rsidRDefault="00197800" w:rsidP="00197800">
            <w:pPr>
              <w:spacing w:line="240" w:lineRule="auto"/>
              <w:contextualSpacing/>
              <w:jc w:val="center"/>
              <w:rPr>
                <w:rFonts w:ascii="Garamond" w:hAnsi="Garamond"/>
                <w:sz w:val="24"/>
                <w:szCs w:val="24"/>
              </w:rPr>
            </w:pPr>
          </w:p>
        </w:tc>
        <w:tc>
          <w:tcPr>
            <w:tcW w:w="0" w:type="auto"/>
            <w:shd w:val="clear" w:color="auto" w:fill="auto"/>
          </w:tcPr>
          <w:p w14:paraId="5035A55B" w14:textId="77777777" w:rsidR="00197800" w:rsidRPr="00B95820" w:rsidRDefault="00197800" w:rsidP="00197800">
            <w:pPr>
              <w:spacing w:line="240" w:lineRule="auto"/>
              <w:contextualSpacing/>
              <w:jc w:val="center"/>
              <w:rPr>
                <w:rFonts w:ascii="Garamond" w:hAnsi="Garamond"/>
                <w:sz w:val="24"/>
                <w:szCs w:val="24"/>
              </w:rPr>
            </w:pPr>
          </w:p>
        </w:tc>
        <w:tc>
          <w:tcPr>
            <w:tcW w:w="1976" w:type="dxa"/>
            <w:shd w:val="clear" w:color="auto" w:fill="auto"/>
          </w:tcPr>
          <w:p w14:paraId="351562E2" w14:textId="73ACE7D8"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w:t>
            </w:r>
            <w:r w:rsidR="00080882" w:rsidRPr="00B95820">
              <w:rPr>
                <w:rFonts w:ascii="Garamond" w:hAnsi="Garamond"/>
                <w:sz w:val="24"/>
                <w:szCs w:val="24"/>
              </w:rPr>
              <w:t>823107</w:t>
            </w:r>
            <w:r w:rsidRPr="00B95820">
              <w:rPr>
                <w:rFonts w:ascii="Garamond" w:hAnsi="Garamond"/>
                <w:sz w:val="24"/>
                <w:szCs w:val="24"/>
              </w:rPr>
              <w:t>***</w:t>
            </w:r>
          </w:p>
        </w:tc>
        <w:tc>
          <w:tcPr>
            <w:tcW w:w="1976" w:type="dxa"/>
            <w:shd w:val="clear" w:color="auto" w:fill="auto"/>
          </w:tcPr>
          <w:p w14:paraId="107F553E" w14:textId="375309B0"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w:t>
            </w:r>
            <w:r w:rsidR="003D576F" w:rsidRPr="00B95820">
              <w:rPr>
                <w:rFonts w:ascii="Garamond" w:hAnsi="Garamond"/>
                <w:sz w:val="24"/>
                <w:szCs w:val="24"/>
              </w:rPr>
              <w:t>737644*</w:t>
            </w:r>
            <w:r w:rsidRPr="00B95820">
              <w:rPr>
                <w:rFonts w:ascii="Garamond" w:hAnsi="Garamond"/>
                <w:sz w:val="24"/>
                <w:szCs w:val="24"/>
              </w:rPr>
              <w:t>**</w:t>
            </w:r>
          </w:p>
        </w:tc>
      </w:tr>
      <w:tr w:rsidR="00197800" w:rsidRPr="00E75964" w14:paraId="7D7DD528" w14:textId="77777777" w:rsidTr="00920853">
        <w:trPr>
          <w:jc w:val="center"/>
        </w:trPr>
        <w:tc>
          <w:tcPr>
            <w:tcW w:w="0" w:type="auto"/>
            <w:shd w:val="clear" w:color="auto" w:fill="auto"/>
          </w:tcPr>
          <w:p w14:paraId="1534034A"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γ</w:t>
            </w:r>
          </w:p>
        </w:tc>
        <w:tc>
          <w:tcPr>
            <w:tcW w:w="0" w:type="auto"/>
          </w:tcPr>
          <w:p w14:paraId="076EE64F" w14:textId="77777777" w:rsidR="00197800" w:rsidRPr="00B95820" w:rsidRDefault="00197800" w:rsidP="00197800">
            <w:pPr>
              <w:spacing w:line="240" w:lineRule="auto"/>
              <w:contextualSpacing/>
              <w:jc w:val="center"/>
              <w:rPr>
                <w:rFonts w:ascii="Garamond" w:hAnsi="Garamond"/>
                <w:sz w:val="24"/>
                <w:szCs w:val="24"/>
              </w:rPr>
            </w:pPr>
          </w:p>
        </w:tc>
        <w:tc>
          <w:tcPr>
            <w:tcW w:w="0" w:type="auto"/>
            <w:shd w:val="clear" w:color="auto" w:fill="auto"/>
          </w:tcPr>
          <w:p w14:paraId="44860F8F" w14:textId="77777777" w:rsidR="00197800" w:rsidRPr="00B95820" w:rsidRDefault="00197800" w:rsidP="00197800">
            <w:pPr>
              <w:spacing w:line="240" w:lineRule="auto"/>
              <w:contextualSpacing/>
              <w:jc w:val="center"/>
              <w:rPr>
                <w:rFonts w:ascii="Garamond" w:hAnsi="Garamond"/>
                <w:sz w:val="24"/>
                <w:szCs w:val="24"/>
              </w:rPr>
            </w:pPr>
          </w:p>
        </w:tc>
        <w:tc>
          <w:tcPr>
            <w:tcW w:w="1976" w:type="dxa"/>
            <w:shd w:val="clear" w:color="auto" w:fill="auto"/>
          </w:tcPr>
          <w:p w14:paraId="660FB6E4" w14:textId="42E0AA0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w:t>
            </w:r>
            <w:r w:rsidR="00080882" w:rsidRPr="00B95820">
              <w:rPr>
                <w:rFonts w:ascii="Garamond" w:hAnsi="Garamond"/>
                <w:sz w:val="24"/>
                <w:szCs w:val="24"/>
              </w:rPr>
              <w:t>245448</w:t>
            </w:r>
            <w:r w:rsidRPr="00B95820">
              <w:rPr>
                <w:rFonts w:ascii="Garamond" w:hAnsi="Garamond"/>
                <w:sz w:val="24"/>
                <w:szCs w:val="24"/>
              </w:rPr>
              <w:t>***</w:t>
            </w:r>
          </w:p>
        </w:tc>
        <w:tc>
          <w:tcPr>
            <w:tcW w:w="1976" w:type="dxa"/>
            <w:shd w:val="clear" w:color="auto" w:fill="auto"/>
          </w:tcPr>
          <w:p w14:paraId="03E82FC9" w14:textId="22AE4FD3"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w:t>
            </w:r>
            <w:r w:rsidR="003D576F" w:rsidRPr="00B95820">
              <w:rPr>
                <w:rFonts w:ascii="Garamond" w:hAnsi="Garamond"/>
                <w:sz w:val="24"/>
                <w:szCs w:val="24"/>
              </w:rPr>
              <w:t>097080</w:t>
            </w:r>
            <w:r w:rsidRPr="00B95820">
              <w:rPr>
                <w:rFonts w:ascii="Garamond" w:hAnsi="Garamond"/>
                <w:sz w:val="24"/>
                <w:szCs w:val="24"/>
              </w:rPr>
              <w:t>***</w:t>
            </w:r>
          </w:p>
        </w:tc>
      </w:tr>
      <w:tr w:rsidR="00197800" w:rsidRPr="00E75964" w14:paraId="5FC44DFA" w14:textId="77777777" w:rsidTr="00920853">
        <w:trPr>
          <w:jc w:val="center"/>
        </w:trPr>
        <w:tc>
          <w:tcPr>
            <w:tcW w:w="0" w:type="auto"/>
            <w:shd w:val="clear" w:color="auto" w:fill="auto"/>
          </w:tcPr>
          <w:p w14:paraId="3685FA96"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Sunday</w:t>
            </w:r>
          </w:p>
        </w:tc>
        <w:tc>
          <w:tcPr>
            <w:tcW w:w="0" w:type="auto"/>
          </w:tcPr>
          <w:p w14:paraId="4CEB1060" w14:textId="77777777" w:rsidR="00197800" w:rsidRPr="00B95820" w:rsidRDefault="00197800" w:rsidP="00197800">
            <w:pPr>
              <w:spacing w:line="240" w:lineRule="auto"/>
              <w:contextualSpacing/>
              <w:jc w:val="center"/>
              <w:rPr>
                <w:rFonts w:ascii="Garamond" w:hAnsi="Garamond"/>
                <w:sz w:val="24"/>
                <w:szCs w:val="24"/>
              </w:rPr>
            </w:pPr>
          </w:p>
        </w:tc>
        <w:tc>
          <w:tcPr>
            <w:tcW w:w="0" w:type="auto"/>
            <w:shd w:val="clear" w:color="auto" w:fill="auto"/>
          </w:tcPr>
          <w:p w14:paraId="70E02271" w14:textId="77777777" w:rsidR="00197800" w:rsidRPr="00B95820" w:rsidRDefault="00197800" w:rsidP="00197800">
            <w:pPr>
              <w:spacing w:line="240" w:lineRule="auto"/>
              <w:contextualSpacing/>
              <w:jc w:val="center"/>
              <w:rPr>
                <w:rFonts w:ascii="Garamond" w:hAnsi="Garamond"/>
                <w:sz w:val="24"/>
                <w:szCs w:val="24"/>
              </w:rPr>
            </w:pPr>
          </w:p>
        </w:tc>
        <w:tc>
          <w:tcPr>
            <w:tcW w:w="1976" w:type="dxa"/>
            <w:shd w:val="clear" w:color="auto" w:fill="auto"/>
          </w:tcPr>
          <w:p w14:paraId="619634A5" w14:textId="77777777" w:rsidR="00197800" w:rsidRPr="00B95820" w:rsidRDefault="00197800" w:rsidP="00197800">
            <w:pPr>
              <w:spacing w:line="240" w:lineRule="auto"/>
              <w:contextualSpacing/>
              <w:jc w:val="center"/>
              <w:rPr>
                <w:rFonts w:ascii="Garamond" w:hAnsi="Garamond"/>
                <w:sz w:val="24"/>
                <w:szCs w:val="24"/>
              </w:rPr>
            </w:pPr>
          </w:p>
        </w:tc>
        <w:tc>
          <w:tcPr>
            <w:tcW w:w="1976" w:type="dxa"/>
            <w:shd w:val="clear" w:color="auto" w:fill="auto"/>
          </w:tcPr>
          <w:p w14:paraId="5A6E97D9" w14:textId="1CBBDAD5"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0.000</w:t>
            </w:r>
            <w:r w:rsidR="003D576F" w:rsidRPr="00B95820">
              <w:rPr>
                <w:rFonts w:ascii="Garamond" w:hAnsi="Garamond"/>
                <w:sz w:val="24"/>
                <w:szCs w:val="24"/>
              </w:rPr>
              <w:t>127</w:t>
            </w:r>
            <w:r w:rsidRPr="00B95820">
              <w:rPr>
                <w:rFonts w:ascii="Garamond" w:hAnsi="Garamond"/>
                <w:sz w:val="24"/>
                <w:szCs w:val="24"/>
              </w:rPr>
              <w:t>***</w:t>
            </w:r>
          </w:p>
        </w:tc>
      </w:tr>
      <w:tr w:rsidR="00197800" w:rsidRPr="00E75964" w14:paraId="462BD3FA" w14:textId="77777777" w:rsidTr="00920853">
        <w:trPr>
          <w:jc w:val="center"/>
        </w:trPr>
        <w:tc>
          <w:tcPr>
            <w:tcW w:w="0" w:type="auto"/>
            <w:shd w:val="clear" w:color="auto" w:fill="auto"/>
          </w:tcPr>
          <w:p w14:paraId="08F04A1D"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Monday</w:t>
            </w:r>
          </w:p>
        </w:tc>
        <w:tc>
          <w:tcPr>
            <w:tcW w:w="0" w:type="auto"/>
          </w:tcPr>
          <w:p w14:paraId="0557E94B" w14:textId="77777777" w:rsidR="00197800" w:rsidRPr="00B95820" w:rsidRDefault="00197800" w:rsidP="00197800">
            <w:pPr>
              <w:spacing w:line="240" w:lineRule="auto"/>
              <w:contextualSpacing/>
              <w:jc w:val="center"/>
              <w:rPr>
                <w:rFonts w:ascii="Garamond" w:hAnsi="Garamond"/>
                <w:sz w:val="24"/>
                <w:szCs w:val="24"/>
              </w:rPr>
            </w:pPr>
          </w:p>
        </w:tc>
        <w:tc>
          <w:tcPr>
            <w:tcW w:w="0" w:type="auto"/>
            <w:shd w:val="clear" w:color="auto" w:fill="auto"/>
          </w:tcPr>
          <w:p w14:paraId="189DA2E9" w14:textId="77777777" w:rsidR="00197800" w:rsidRPr="00B95820" w:rsidRDefault="00197800" w:rsidP="00197800">
            <w:pPr>
              <w:spacing w:line="240" w:lineRule="auto"/>
              <w:contextualSpacing/>
              <w:jc w:val="center"/>
              <w:rPr>
                <w:rFonts w:ascii="Garamond" w:hAnsi="Garamond"/>
                <w:sz w:val="24"/>
                <w:szCs w:val="24"/>
              </w:rPr>
            </w:pPr>
          </w:p>
        </w:tc>
        <w:tc>
          <w:tcPr>
            <w:tcW w:w="1976" w:type="dxa"/>
            <w:shd w:val="clear" w:color="auto" w:fill="auto"/>
          </w:tcPr>
          <w:p w14:paraId="727F951D" w14:textId="77777777" w:rsidR="00197800" w:rsidRPr="00B95820" w:rsidRDefault="00197800" w:rsidP="00197800">
            <w:pPr>
              <w:spacing w:line="240" w:lineRule="auto"/>
              <w:contextualSpacing/>
              <w:jc w:val="center"/>
              <w:rPr>
                <w:rFonts w:ascii="Garamond" w:hAnsi="Garamond"/>
                <w:sz w:val="24"/>
                <w:szCs w:val="24"/>
              </w:rPr>
            </w:pPr>
          </w:p>
        </w:tc>
        <w:tc>
          <w:tcPr>
            <w:tcW w:w="1976" w:type="dxa"/>
            <w:shd w:val="clear" w:color="auto" w:fill="auto"/>
          </w:tcPr>
          <w:p w14:paraId="23887CE3" w14:textId="4FA7B761"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w:t>
            </w:r>
            <w:r w:rsidR="003D576F" w:rsidRPr="00B95820">
              <w:rPr>
                <w:rFonts w:ascii="Garamond" w:hAnsi="Garamond"/>
                <w:sz w:val="24"/>
                <w:szCs w:val="24"/>
              </w:rPr>
              <w:t>0.000224</w:t>
            </w:r>
            <w:r w:rsidRPr="00B95820">
              <w:rPr>
                <w:rFonts w:ascii="Garamond" w:hAnsi="Garamond"/>
                <w:sz w:val="24"/>
                <w:szCs w:val="24"/>
              </w:rPr>
              <w:t>*</w:t>
            </w:r>
            <w:r w:rsidR="003D576F" w:rsidRPr="00B95820">
              <w:rPr>
                <w:rFonts w:ascii="Garamond" w:hAnsi="Garamond"/>
                <w:sz w:val="24"/>
                <w:szCs w:val="24"/>
              </w:rPr>
              <w:t>**</w:t>
            </w:r>
          </w:p>
        </w:tc>
      </w:tr>
      <w:tr w:rsidR="00197800" w:rsidRPr="00E75964" w14:paraId="50DD7BB4" w14:textId="77777777" w:rsidTr="00920853">
        <w:trPr>
          <w:jc w:val="center"/>
        </w:trPr>
        <w:tc>
          <w:tcPr>
            <w:tcW w:w="0" w:type="auto"/>
            <w:shd w:val="clear" w:color="auto" w:fill="auto"/>
          </w:tcPr>
          <w:p w14:paraId="1A6FEA8D"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Wednesday</w:t>
            </w:r>
          </w:p>
        </w:tc>
        <w:tc>
          <w:tcPr>
            <w:tcW w:w="0" w:type="auto"/>
          </w:tcPr>
          <w:p w14:paraId="5285D6B3" w14:textId="77777777" w:rsidR="00197800" w:rsidRPr="00B95820" w:rsidRDefault="00197800" w:rsidP="00197800">
            <w:pPr>
              <w:spacing w:line="240" w:lineRule="auto"/>
              <w:contextualSpacing/>
              <w:jc w:val="center"/>
              <w:rPr>
                <w:rFonts w:ascii="Garamond" w:hAnsi="Garamond"/>
                <w:sz w:val="24"/>
                <w:szCs w:val="24"/>
              </w:rPr>
            </w:pPr>
          </w:p>
        </w:tc>
        <w:tc>
          <w:tcPr>
            <w:tcW w:w="0" w:type="auto"/>
            <w:shd w:val="clear" w:color="auto" w:fill="auto"/>
          </w:tcPr>
          <w:p w14:paraId="738A62B2" w14:textId="77777777" w:rsidR="00197800" w:rsidRPr="00B95820" w:rsidRDefault="00197800" w:rsidP="00197800">
            <w:pPr>
              <w:spacing w:line="240" w:lineRule="auto"/>
              <w:contextualSpacing/>
              <w:jc w:val="center"/>
              <w:rPr>
                <w:rFonts w:ascii="Garamond" w:hAnsi="Garamond"/>
                <w:sz w:val="24"/>
                <w:szCs w:val="24"/>
              </w:rPr>
            </w:pPr>
          </w:p>
        </w:tc>
        <w:tc>
          <w:tcPr>
            <w:tcW w:w="1976" w:type="dxa"/>
            <w:shd w:val="clear" w:color="auto" w:fill="auto"/>
          </w:tcPr>
          <w:p w14:paraId="1EF9466B" w14:textId="77777777" w:rsidR="00197800" w:rsidRPr="00B95820" w:rsidRDefault="00197800" w:rsidP="00197800">
            <w:pPr>
              <w:spacing w:line="240" w:lineRule="auto"/>
              <w:contextualSpacing/>
              <w:jc w:val="center"/>
              <w:rPr>
                <w:rFonts w:ascii="Garamond" w:hAnsi="Garamond"/>
                <w:sz w:val="24"/>
                <w:szCs w:val="24"/>
              </w:rPr>
            </w:pPr>
          </w:p>
        </w:tc>
        <w:tc>
          <w:tcPr>
            <w:tcW w:w="1976" w:type="dxa"/>
            <w:shd w:val="clear" w:color="auto" w:fill="auto"/>
          </w:tcPr>
          <w:p w14:paraId="5C0F452B" w14:textId="4B5864B0"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w:t>
            </w:r>
            <w:r w:rsidR="003D576F" w:rsidRPr="00B95820">
              <w:rPr>
                <w:rFonts w:ascii="Garamond" w:hAnsi="Garamond"/>
                <w:sz w:val="24"/>
                <w:szCs w:val="24"/>
              </w:rPr>
              <w:t>0.000219</w:t>
            </w:r>
            <w:r w:rsidRPr="00B95820">
              <w:rPr>
                <w:rFonts w:ascii="Garamond" w:hAnsi="Garamond"/>
                <w:sz w:val="24"/>
                <w:szCs w:val="24"/>
              </w:rPr>
              <w:t>*</w:t>
            </w:r>
            <w:r w:rsidR="003D576F" w:rsidRPr="00B95820">
              <w:rPr>
                <w:rFonts w:ascii="Garamond" w:hAnsi="Garamond"/>
                <w:sz w:val="24"/>
                <w:szCs w:val="24"/>
              </w:rPr>
              <w:t>**</w:t>
            </w:r>
          </w:p>
        </w:tc>
      </w:tr>
      <w:tr w:rsidR="00197800" w:rsidRPr="00E75964" w14:paraId="7AABF02D" w14:textId="77777777" w:rsidTr="00920853">
        <w:trPr>
          <w:jc w:val="center"/>
        </w:trPr>
        <w:tc>
          <w:tcPr>
            <w:tcW w:w="0" w:type="auto"/>
            <w:shd w:val="clear" w:color="auto" w:fill="auto"/>
          </w:tcPr>
          <w:p w14:paraId="5BDF969C"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Thursday</w:t>
            </w:r>
          </w:p>
        </w:tc>
        <w:tc>
          <w:tcPr>
            <w:tcW w:w="0" w:type="auto"/>
          </w:tcPr>
          <w:p w14:paraId="2BA1BFEE" w14:textId="77777777" w:rsidR="00197800" w:rsidRPr="00B95820" w:rsidRDefault="00197800" w:rsidP="00197800">
            <w:pPr>
              <w:spacing w:line="240" w:lineRule="auto"/>
              <w:contextualSpacing/>
              <w:jc w:val="center"/>
              <w:rPr>
                <w:rFonts w:ascii="Garamond" w:hAnsi="Garamond"/>
                <w:sz w:val="24"/>
                <w:szCs w:val="24"/>
              </w:rPr>
            </w:pPr>
          </w:p>
        </w:tc>
        <w:tc>
          <w:tcPr>
            <w:tcW w:w="0" w:type="auto"/>
            <w:shd w:val="clear" w:color="auto" w:fill="auto"/>
          </w:tcPr>
          <w:p w14:paraId="774CDE75" w14:textId="77777777" w:rsidR="00197800" w:rsidRPr="00B95820" w:rsidRDefault="00197800" w:rsidP="00197800">
            <w:pPr>
              <w:spacing w:line="240" w:lineRule="auto"/>
              <w:contextualSpacing/>
              <w:jc w:val="center"/>
              <w:rPr>
                <w:rFonts w:ascii="Garamond" w:hAnsi="Garamond"/>
                <w:sz w:val="24"/>
                <w:szCs w:val="24"/>
              </w:rPr>
            </w:pPr>
          </w:p>
        </w:tc>
        <w:tc>
          <w:tcPr>
            <w:tcW w:w="1976" w:type="dxa"/>
            <w:shd w:val="clear" w:color="auto" w:fill="auto"/>
          </w:tcPr>
          <w:p w14:paraId="5AFF15E7" w14:textId="77777777" w:rsidR="00197800" w:rsidRPr="00B95820" w:rsidRDefault="00197800" w:rsidP="00197800">
            <w:pPr>
              <w:spacing w:line="240" w:lineRule="auto"/>
              <w:contextualSpacing/>
              <w:jc w:val="center"/>
              <w:rPr>
                <w:rFonts w:ascii="Garamond" w:hAnsi="Garamond"/>
                <w:sz w:val="24"/>
                <w:szCs w:val="24"/>
              </w:rPr>
            </w:pPr>
          </w:p>
        </w:tc>
        <w:tc>
          <w:tcPr>
            <w:tcW w:w="1976" w:type="dxa"/>
            <w:shd w:val="clear" w:color="auto" w:fill="auto"/>
          </w:tcPr>
          <w:p w14:paraId="06F8323D" w14:textId="159CA259" w:rsidR="00197800" w:rsidRPr="00B95820" w:rsidRDefault="003D576F" w:rsidP="00197800">
            <w:pPr>
              <w:spacing w:line="240" w:lineRule="auto"/>
              <w:contextualSpacing/>
              <w:jc w:val="center"/>
              <w:rPr>
                <w:rFonts w:ascii="Garamond" w:hAnsi="Garamond"/>
                <w:sz w:val="24"/>
                <w:szCs w:val="24"/>
              </w:rPr>
            </w:pPr>
            <w:r w:rsidRPr="00B95820">
              <w:rPr>
                <w:rFonts w:ascii="Garamond" w:hAnsi="Garamond"/>
                <w:sz w:val="24"/>
                <w:szCs w:val="24"/>
              </w:rPr>
              <w:t>-</w:t>
            </w:r>
            <w:r w:rsidR="00197800" w:rsidRPr="00B95820">
              <w:rPr>
                <w:rFonts w:ascii="Garamond" w:hAnsi="Garamond"/>
                <w:sz w:val="24"/>
                <w:szCs w:val="24"/>
              </w:rPr>
              <w:t>0.0001</w:t>
            </w:r>
            <w:r w:rsidRPr="00B95820">
              <w:rPr>
                <w:rFonts w:ascii="Garamond" w:hAnsi="Garamond"/>
                <w:sz w:val="24"/>
                <w:szCs w:val="24"/>
              </w:rPr>
              <w:t>10***</w:t>
            </w:r>
          </w:p>
        </w:tc>
      </w:tr>
      <w:tr w:rsidR="00197800" w:rsidRPr="00E75964" w14:paraId="2660948C" w14:textId="77777777" w:rsidTr="00920853">
        <w:trPr>
          <w:jc w:val="center"/>
        </w:trPr>
        <w:tc>
          <w:tcPr>
            <w:tcW w:w="0" w:type="auto"/>
            <w:shd w:val="clear" w:color="auto" w:fill="auto"/>
          </w:tcPr>
          <w:p w14:paraId="3129DA05" w14:textId="77777777" w:rsidR="00197800" w:rsidRPr="00B95820" w:rsidRDefault="00197800" w:rsidP="00197800">
            <w:pPr>
              <w:spacing w:line="240" w:lineRule="auto"/>
              <w:contextualSpacing/>
              <w:jc w:val="both"/>
              <w:rPr>
                <w:rFonts w:ascii="Garamond" w:hAnsi="Garamond"/>
                <w:sz w:val="24"/>
                <w:szCs w:val="24"/>
              </w:rPr>
            </w:pPr>
          </w:p>
        </w:tc>
        <w:tc>
          <w:tcPr>
            <w:tcW w:w="0" w:type="auto"/>
          </w:tcPr>
          <w:p w14:paraId="2D9DCC68" w14:textId="77777777" w:rsidR="00197800" w:rsidRPr="00B95820" w:rsidRDefault="00197800" w:rsidP="00197800">
            <w:pPr>
              <w:spacing w:line="240" w:lineRule="auto"/>
              <w:contextualSpacing/>
              <w:jc w:val="center"/>
              <w:rPr>
                <w:rFonts w:ascii="Garamond" w:hAnsi="Garamond"/>
                <w:sz w:val="24"/>
                <w:szCs w:val="24"/>
              </w:rPr>
            </w:pPr>
          </w:p>
        </w:tc>
        <w:tc>
          <w:tcPr>
            <w:tcW w:w="0" w:type="auto"/>
            <w:shd w:val="clear" w:color="auto" w:fill="auto"/>
          </w:tcPr>
          <w:p w14:paraId="19B77C6A" w14:textId="77777777" w:rsidR="00197800" w:rsidRPr="00B95820" w:rsidRDefault="00197800" w:rsidP="00197800">
            <w:pPr>
              <w:spacing w:line="240" w:lineRule="auto"/>
              <w:contextualSpacing/>
              <w:jc w:val="center"/>
              <w:rPr>
                <w:rFonts w:ascii="Garamond" w:hAnsi="Garamond"/>
                <w:sz w:val="24"/>
                <w:szCs w:val="24"/>
              </w:rPr>
            </w:pPr>
          </w:p>
        </w:tc>
        <w:tc>
          <w:tcPr>
            <w:tcW w:w="1976" w:type="dxa"/>
            <w:shd w:val="clear" w:color="auto" w:fill="auto"/>
          </w:tcPr>
          <w:p w14:paraId="2F2C9EB0" w14:textId="77777777" w:rsidR="00197800" w:rsidRPr="00B95820" w:rsidRDefault="00197800" w:rsidP="00197800">
            <w:pPr>
              <w:spacing w:line="240" w:lineRule="auto"/>
              <w:contextualSpacing/>
              <w:jc w:val="center"/>
              <w:rPr>
                <w:rFonts w:ascii="Garamond" w:hAnsi="Garamond"/>
                <w:sz w:val="24"/>
                <w:szCs w:val="24"/>
              </w:rPr>
            </w:pPr>
          </w:p>
        </w:tc>
        <w:tc>
          <w:tcPr>
            <w:tcW w:w="1976" w:type="dxa"/>
            <w:shd w:val="clear" w:color="auto" w:fill="auto"/>
          </w:tcPr>
          <w:p w14:paraId="5DD097E8" w14:textId="77777777" w:rsidR="00197800" w:rsidRPr="00B95820" w:rsidRDefault="00197800" w:rsidP="00197800">
            <w:pPr>
              <w:spacing w:line="240" w:lineRule="auto"/>
              <w:contextualSpacing/>
              <w:jc w:val="center"/>
              <w:rPr>
                <w:rFonts w:ascii="Garamond" w:hAnsi="Garamond"/>
                <w:sz w:val="24"/>
                <w:szCs w:val="24"/>
              </w:rPr>
            </w:pPr>
          </w:p>
        </w:tc>
      </w:tr>
      <w:tr w:rsidR="00197800" w:rsidRPr="00E75964" w14:paraId="6670A4AC" w14:textId="77777777" w:rsidTr="00920853">
        <w:trPr>
          <w:jc w:val="center"/>
        </w:trPr>
        <w:tc>
          <w:tcPr>
            <w:tcW w:w="0" w:type="auto"/>
            <w:shd w:val="clear" w:color="auto" w:fill="auto"/>
          </w:tcPr>
          <w:p w14:paraId="622F7C99"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Log Likelihood</w:t>
            </w:r>
          </w:p>
        </w:tc>
        <w:tc>
          <w:tcPr>
            <w:tcW w:w="0" w:type="auto"/>
          </w:tcPr>
          <w:p w14:paraId="52CBED32" w14:textId="1372E3DB"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1</w:t>
            </w:r>
            <w:r w:rsidR="00080882" w:rsidRPr="00B95820">
              <w:rPr>
                <w:rFonts w:ascii="Garamond" w:hAnsi="Garamond"/>
                <w:sz w:val="24"/>
                <w:szCs w:val="24"/>
              </w:rPr>
              <w:t>3119.79</w:t>
            </w:r>
          </w:p>
        </w:tc>
        <w:tc>
          <w:tcPr>
            <w:tcW w:w="0" w:type="auto"/>
            <w:shd w:val="clear" w:color="auto" w:fill="auto"/>
          </w:tcPr>
          <w:p w14:paraId="74577B6A" w14:textId="7A59DD20"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1</w:t>
            </w:r>
            <w:r w:rsidR="00080882" w:rsidRPr="00B95820">
              <w:rPr>
                <w:rFonts w:ascii="Garamond" w:hAnsi="Garamond"/>
                <w:sz w:val="24"/>
                <w:szCs w:val="24"/>
              </w:rPr>
              <w:t>3130.10</w:t>
            </w:r>
          </w:p>
        </w:tc>
        <w:tc>
          <w:tcPr>
            <w:tcW w:w="1976" w:type="dxa"/>
            <w:shd w:val="clear" w:color="auto" w:fill="auto"/>
          </w:tcPr>
          <w:p w14:paraId="5B26930F" w14:textId="1EE94A7F"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1</w:t>
            </w:r>
            <w:r w:rsidR="00080882" w:rsidRPr="00B95820">
              <w:rPr>
                <w:rFonts w:ascii="Garamond" w:hAnsi="Garamond"/>
                <w:sz w:val="24"/>
                <w:szCs w:val="24"/>
              </w:rPr>
              <w:t>3809</w:t>
            </w:r>
            <w:r w:rsidRPr="00B95820">
              <w:rPr>
                <w:rFonts w:ascii="Garamond" w:hAnsi="Garamond"/>
                <w:sz w:val="24"/>
                <w:szCs w:val="24"/>
              </w:rPr>
              <w:t>.</w:t>
            </w:r>
            <w:r w:rsidR="00080882" w:rsidRPr="00B95820">
              <w:rPr>
                <w:rFonts w:ascii="Garamond" w:hAnsi="Garamond"/>
                <w:sz w:val="24"/>
                <w:szCs w:val="24"/>
              </w:rPr>
              <w:t>16</w:t>
            </w:r>
          </w:p>
        </w:tc>
        <w:tc>
          <w:tcPr>
            <w:tcW w:w="1976" w:type="dxa"/>
            <w:shd w:val="clear" w:color="auto" w:fill="auto"/>
          </w:tcPr>
          <w:p w14:paraId="71E48289" w14:textId="7E6039CC"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1</w:t>
            </w:r>
            <w:r w:rsidR="003D576F" w:rsidRPr="00B95820">
              <w:rPr>
                <w:rFonts w:ascii="Garamond" w:hAnsi="Garamond"/>
                <w:sz w:val="24"/>
                <w:szCs w:val="24"/>
              </w:rPr>
              <w:t>4336</w:t>
            </w:r>
            <w:r w:rsidRPr="00B95820">
              <w:rPr>
                <w:rFonts w:ascii="Garamond" w:hAnsi="Garamond"/>
                <w:sz w:val="24"/>
                <w:szCs w:val="24"/>
              </w:rPr>
              <w:t>.</w:t>
            </w:r>
            <w:r w:rsidR="003D576F" w:rsidRPr="00B95820">
              <w:rPr>
                <w:rFonts w:ascii="Garamond" w:hAnsi="Garamond"/>
                <w:sz w:val="24"/>
                <w:szCs w:val="24"/>
              </w:rPr>
              <w:t>78</w:t>
            </w:r>
          </w:p>
        </w:tc>
      </w:tr>
      <w:tr w:rsidR="00197800" w:rsidRPr="00E75964" w14:paraId="001BCD2C" w14:textId="77777777" w:rsidTr="00920853">
        <w:trPr>
          <w:jc w:val="center"/>
        </w:trPr>
        <w:tc>
          <w:tcPr>
            <w:tcW w:w="0" w:type="auto"/>
            <w:shd w:val="clear" w:color="auto" w:fill="auto"/>
          </w:tcPr>
          <w:p w14:paraId="0A6A51B3" w14:textId="77777777" w:rsidR="00197800" w:rsidRPr="00B95820" w:rsidRDefault="00197800" w:rsidP="00197800">
            <w:pPr>
              <w:spacing w:line="240" w:lineRule="auto"/>
              <w:contextualSpacing/>
              <w:jc w:val="both"/>
              <w:rPr>
                <w:rFonts w:ascii="Garamond" w:hAnsi="Garamond"/>
                <w:sz w:val="24"/>
                <w:szCs w:val="24"/>
              </w:rPr>
            </w:pPr>
          </w:p>
        </w:tc>
        <w:tc>
          <w:tcPr>
            <w:tcW w:w="0" w:type="auto"/>
          </w:tcPr>
          <w:p w14:paraId="2BCCF321" w14:textId="77777777" w:rsidR="00197800" w:rsidRPr="00B95820" w:rsidRDefault="00197800" w:rsidP="00197800">
            <w:pPr>
              <w:spacing w:line="240" w:lineRule="auto"/>
              <w:contextualSpacing/>
              <w:jc w:val="center"/>
              <w:rPr>
                <w:rFonts w:ascii="Garamond" w:hAnsi="Garamond"/>
                <w:sz w:val="24"/>
                <w:szCs w:val="24"/>
              </w:rPr>
            </w:pPr>
          </w:p>
        </w:tc>
        <w:tc>
          <w:tcPr>
            <w:tcW w:w="0" w:type="auto"/>
            <w:shd w:val="clear" w:color="auto" w:fill="auto"/>
          </w:tcPr>
          <w:p w14:paraId="70980E2E" w14:textId="77777777" w:rsidR="00197800" w:rsidRPr="00B95820" w:rsidRDefault="00197800" w:rsidP="00197800">
            <w:pPr>
              <w:spacing w:line="240" w:lineRule="auto"/>
              <w:contextualSpacing/>
              <w:jc w:val="center"/>
              <w:rPr>
                <w:rFonts w:ascii="Garamond" w:hAnsi="Garamond"/>
                <w:sz w:val="24"/>
                <w:szCs w:val="24"/>
              </w:rPr>
            </w:pPr>
          </w:p>
        </w:tc>
        <w:tc>
          <w:tcPr>
            <w:tcW w:w="1976" w:type="dxa"/>
            <w:shd w:val="clear" w:color="auto" w:fill="auto"/>
          </w:tcPr>
          <w:p w14:paraId="1464E8B5" w14:textId="77777777" w:rsidR="00197800" w:rsidRPr="00B95820" w:rsidRDefault="00197800" w:rsidP="00197800">
            <w:pPr>
              <w:spacing w:line="240" w:lineRule="auto"/>
              <w:contextualSpacing/>
              <w:jc w:val="center"/>
              <w:rPr>
                <w:rFonts w:ascii="Garamond" w:hAnsi="Garamond"/>
                <w:sz w:val="24"/>
                <w:szCs w:val="24"/>
              </w:rPr>
            </w:pPr>
          </w:p>
        </w:tc>
        <w:tc>
          <w:tcPr>
            <w:tcW w:w="1976" w:type="dxa"/>
            <w:shd w:val="clear" w:color="auto" w:fill="auto"/>
          </w:tcPr>
          <w:p w14:paraId="7E40341A" w14:textId="77777777" w:rsidR="00197800" w:rsidRPr="00B95820" w:rsidRDefault="00197800" w:rsidP="00197800">
            <w:pPr>
              <w:spacing w:line="240" w:lineRule="auto"/>
              <w:contextualSpacing/>
              <w:jc w:val="center"/>
              <w:rPr>
                <w:rFonts w:ascii="Garamond" w:hAnsi="Garamond"/>
                <w:sz w:val="24"/>
                <w:szCs w:val="24"/>
              </w:rPr>
            </w:pPr>
          </w:p>
        </w:tc>
      </w:tr>
      <w:tr w:rsidR="00197800" w:rsidRPr="00E75964" w14:paraId="7FA37789" w14:textId="77777777" w:rsidTr="00920853">
        <w:trPr>
          <w:jc w:val="center"/>
        </w:trPr>
        <w:tc>
          <w:tcPr>
            <w:tcW w:w="9456" w:type="dxa"/>
            <w:gridSpan w:val="5"/>
          </w:tcPr>
          <w:p w14:paraId="459AD10C" w14:textId="77777777" w:rsidR="00197800" w:rsidRPr="00B95820" w:rsidRDefault="00197800" w:rsidP="00197800">
            <w:pPr>
              <w:spacing w:line="240" w:lineRule="auto"/>
              <w:contextualSpacing/>
              <w:rPr>
                <w:rFonts w:ascii="Garamond" w:hAnsi="Garamond"/>
                <w:sz w:val="24"/>
                <w:szCs w:val="24"/>
              </w:rPr>
            </w:pPr>
            <w:r w:rsidRPr="00B95820">
              <w:rPr>
                <w:rFonts w:ascii="Garamond" w:hAnsi="Garamond"/>
                <w:sz w:val="24"/>
                <w:szCs w:val="24"/>
              </w:rPr>
              <w:t>Ljung-Box Q-Statistic</w:t>
            </w:r>
          </w:p>
          <w:p w14:paraId="5F529ED0" w14:textId="77777777" w:rsidR="00197800" w:rsidRPr="00B95820" w:rsidRDefault="00197800" w:rsidP="00197800">
            <w:pPr>
              <w:spacing w:line="240" w:lineRule="auto"/>
              <w:contextualSpacing/>
              <w:rPr>
                <w:rFonts w:ascii="Garamond" w:hAnsi="Garamond"/>
                <w:sz w:val="24"/>
                <w:szCs w:val="24"/>
              </w:rPr>
            </w:pPr>
          </w:p>
        </w:tc>
      </w:tr>
      <w:tr w:rsidR="00197800" w:rsidRPr="00E75964" w14:paraId="1CE60958" w14:textId="77777777" w:rsidTr="00920853">
        <w:trPr>
          <w:jc w:val="center"/>
        </w:trPr>
        <w:tc>
          <w:tcPr>
            <w:tcW w:w="0" w:type="auto"/>
            <w:shd w:val="clear" w:color="auto" w:fill="auto"/>
          </w:tcPr>
          <w:p w14:paraId="3D2DCB24"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2</w:t>
            </w:r>
          </w:p>
          <w:p w14:paraId="20D6EE09"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5</w:t>
            </w:r>
          </w:p>
          <w:p w14:paraId="70768D75"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10</w:t>
            </w:r>
          </w:p>
        </w:tc>
        <w:tc>
          <w:tcPr>
            <w:tcW w:w="0" w:type="auto"/>
          </w:tcPr>
          <w:p w14:paraId="0F1DB891"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0.0414(0.980)</w:t>
            </w:r>
          </w:p>
          <w:p w14:paraId="023E5E48"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2.1708(0.704)</w:t>
            </w:r>
          </w:p>
          <w:p w14:paraId="2DB3AE33"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13.080(0.109)</w:t>
            </w:r>
          </w:p>
          <w:p w14:paraId="612E9D4A" w14:textId="77777777" w:rsidR="00197800" w:rsidRPr="00B95820" w:rsidRDefault="00197800" w:rsidP="00197800">
            <w:pPr>
              <w:spacing w:line="240" w:lineRule="auto"/>
              <w:contextualSpacing/>
              <w:jc w:val="center"/>
              <w:rPr>
                <w:rFonts w:ascii="Garamond" w:hAnsi="Garamond"/>
                <w:sz w:val="24"/>
                <w:szCs w:val="24"/>
              </w:rPr>
            </w:pPr>
          </w:p>
        </w:tc>
        <w:tc>
          <w:tcPr>
            <w:tcW w:w="0" w:type="auto"/>
            <w:shd w:val="clear" w:color="auto" w:fill="auto"/>
          </w:tcPr>
          <w:p w14:paraId="54550AA8"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0.0033(0.998)</w:t>
            </w:r>
          </w:p>
          <w:p w14:paraId="5D86A2A6"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8.2860(0.141)</w:t>
            </w:r>
          </w:p>
          <w:p w14:paraId="111AAF6C"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13.633(0.136)</w:t>
            </w:r>
          </w:p>
        </w:tc>
        <w:tc>
          <w:tcPr>
            <w:tcW w:w="1976" w:type="dxa"/>
            <w:shd w:val="clear" w:color="auto" w:fill="auto"/>
          </w:tcPr>
          <w:p w14:paraId="47C8720A"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0.1113(0.946)</w:t>
            </w:r>
            <w:r w:rsidRPr="00B95820">
              <w:rPr>
                <w:rFonts w:ascii="Garamond" w:hAnsi="Garamond"/>
                <w:sz w:val="24"/>
                <w:szCs w:val="24"/>
                <w:vertAlign w:val="superscript"/>
              </w:rPr>
              <w:t>a</w:t>
            </w:r>
          </w:p>
          <w:p w14:paraId="6FCBBF20"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0.8878(0.971)</w:t>
            </w:r>
            <w:r w:rsidRPr="00B95820">
              <w:rPr>
                <w:rFonts w:ascii="Garamond" w:hAnsi="Garamond"/>
                <w:sz w:val="24"/>
                <w:szCs w:val="24"/>
                <w:vertAlign w:val="superscript"/>
              </w:rPr>
              <w:t>a</w:t>
            </w:r>
          </w:p>
          <w:p w14:paraId="76701220"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1.5240(0.999)</w:t>
            </w:r>
            <w:r w:rsidRPr="00B95820">
              <w:rPr>
                <w:rFonts w:ascii="Garamond" w:hAnsi="Garamond"/>
                <w:sz w:val="24"/>
                <w:szCs w:val="24"/>
                <w:vertAlign w:val="superscript"/>
              </w:rPr>
              <w:t>a</w:t>
            </w:r>
          </w:p>
        </w:tc>
        <w:tc>
          <w:tcPr>
            <w:tcW w:w="1976" w:type="dxa"/>
            <w:shd w:val="clear" w:color="auto" w:fill="auto"/>
          </w:tcPr>
          <w:p w14:paraId="44745E38" w14:textId="77777777" w:rsidR="00197800" w:rsidRPr="00B95820" w:rsidRDefault="00197800" w:rsidP="00197800">
            <w:pPr>
              <w:spacing w:line="240" w:lineRule="auto"/>
              <w:contextualSpacing/>
              <w:jc w:val="center"/>
              <w:rPr>
                <w:rFonts w:ascii="Garamond" w:hAnsi="Garamond"/>
                <w:sz w:val="24"/>
                <w:szCs w:val="24"/>
                <w:vertAlign w:val="superscript"/>
              </w:rPr>
            </w:pPr>
            <w:r w:rsidRPr="00B95820">
              <w:rPr>
                <w:rFonts w:ascii="Garamond" w:hAnsi="Garamond"/>
                <w:sz w:val="24"/>
                <w:szCs w:val="24"/>
              </w:rPr>
              <w:t>0.0860(0.958)</w:t>
            </w:r>
            <w:r w:rsidRPr="00B95820">
              <w:rPr>
                <w:rFonts w:ascii="Garamond" w:hAnsi="Garamond"/>
                <w:sz w:val="24"/>
                <w:szCs w:val="24"/>
                <w:vertAlign w:val="superscript"/>
              </w:rPr>
              <w:t>a</w:t>
            </w:r>
          </w:p>
          <w:p w14:paraId="3F4F6947" w14:textId="77777777" w:rsidR="00197800" w:rsidRPr="00B95820" w:rsidRDefault="00197800" w:rsidP="00197800">
            <w:pPr>
              <w:spacing w:line="240" w:lineRule="auto"/>
              <w:contextualSpacing/>
              <w:jc w:val="center"/>
              <w:rPr>
                <w:rFonts w:ascii="Garamond" w:hAnsi="Garamond"/>
                <w:sz w:val="24"/>
                <w:szCs w:val="24"/>
                <w:vertAlign w:val="superscript"/>
              </w:rPr>
            </w:pPr>
            <w:r w:rsidRPr="00B95820">
              <w:rPr>
                <w:rFonts w:ascii="Garamond" w:hAnsi="Garamond"/>
                <w:sz w:val="24"/>
                <w:szCs w:val="24"/>
              </w:rPr>
              <w:t>0.1975(0.999)</w:t>
            </w:r>
            <w:r w:rsidRPr="00B95820">
              <w:rPr>
                <w:rFonts w:ascii="Garamond" w:hAnsi="Garamond"/>
                <w:sz w:val="24"/>
                <w:szCs w:val="24"/>
                <w:vertAlign w:val="superscript"/>
              </w:rPr>
              <w:t>a</w:t>
            </w:r>
          </w:p>
          <w:p w14:paraId="6486A7F3"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0.4773(1.000)</w:t>
            </w:r>
            <w:r w:rsidRPr="00B95820">
              <w:rPr>
                <w:rFonts w:ascii="Garamond" w:hAnsi="Garamond"/>
                <w:sz w:val="24"/>
                <w:szCs w:val="24"/>
                <w:vertAlign w:val="superscript"/>
              </w:rPr>
              <w:t>a</w:t>
            </w:r>
          </w:p>
        </w:tc>
      </w:tr>
      <w:tr w:rsidR="00197800" w:rsidRPr="00E75964" w14:paraId="0989FE28" w14:textId="77777777" w:rsidTr="00920853">
        <w:trPr>
          <w:jc w:val="center"/>
        </w:trPr>
        <w:tc>
          <w:tcPr>
            <w:tcW w:w="9456" w:type="dxa"/>
            <w:gridSpan w:val="5"/>
          </w:tcPr>
          <w:p w14:paraId="4001364E" w14:textId="77777777" w:rsidR="00197800" w:rsidRPr="00B95820" w:rsidRDefault="00197800" w:rsidP="00197800">
            <w:pPr>
              <w:spacing w:line="240" w:lineRule="auto"/>
              <w:contextualSpacing/>
              <w:rPr>
                <w:rFonts w:ascii="Garamond" w:hAnsi="Garamond"/>
                <w:sz w:val="24"/>
                <w:szCs w:val="24"/>
              </w:rPr>
            </w:pPr>
            <w:r w:rsidRPr="00B95820">
              <w:rPr>
                <w:rFonts w:ascii="Garamond" w:hAnsi="Garamond"/>
                <w:sz w:val="24"/>
                <w:szCs w:val="24"/>
              </w:rPr>
              <w:t>Breusch-Godfrey Serial Correlation LM Test:</w:t>
            </w:r>
          </w:p>
          <w:p w14:paraId="098D372A" w14:textId="77777777" w:rsidR="00197800" w:rsidRPr="00B95820" w:rsidRDefault="00197800" w:rsidP="00197800">
            <w:pPr>
              <w:spacing w:line="240" w:lineRule="auto"/>
              <w:contextualSpacing/>
              <w:rPr>
                <w:rFonts w:ascii="Garamond" w:hAnsi="Garamond"/>
                <w:sz w:val="24"/>
                <w:szCs w:val="24"/>
              </w:rPr>
            </w:pPr>
          </w:p>
        </w:tc>
      </w:tr>
      <w:tr w:rsidR="00197800" w:rsidRPr="00E75964" w14:paraId="21A974B8" w14:textId="77777777" w:rsidTr="00920853">
        <w:trPr>
          <w:jc w:val="center"/>
        </w:trPr>
        <w:tc>
          <w:tcPr>
            <w:tcW w:w="0" w:type="auto"/>
            <w:shd w:val="clear" w:color="auto" w:fill="auto"/>
          </w:tcPr>
          <w:p w14:paraId="0DE80B58" w14:textId="77777777" w:rsidR="00197800" w:rsidRPr="00B95820" w:rsidRDefault="00197800" w:rsidP="00197800">
            <w:pPr>
              <w:spacing w:line="240" w:lineRule="auto"/>
              <w:contextualSpacing/>
              <w:jc w:val="both"/>
              <w:rPr>
                <w:rFonts w:ascii="Garamond" w:hAnsi="Garamond"/>
                <w:sz w:val="24"/>
                <w:szCs w:val="24"/>
              </w:rPr>
            </w:pPr>
          </w:p>
        </w:tc>
        <w:tc>
          <w:tcPr>
            <w:tcW w:w="0" w:type="auto"/>
          </w:tcPr>
          <w:p w14:paraId="1A07D509"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2.1769(0.1135)</w:t>
            </w:r>
          </w:p>
        </w:tc>
        <w:tc>
          <w:tcPr>
            <w:tcW w:w="0" w:type="auto"/>
            <w:shd w:val="clear" w:color="auto" w:fill="auto"/>
          </w:tcPr>
          <w:p w14:paraId="3984783C"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1.1620(0.3129)</w:t>
            </w:r>
          </w:p>
        </w:tc>
        <w:tc>
          <w:tcPr>
            <w:tcW w:w="1976" w:type="dxa"/>
            <w:shd w:val="clear" w:color="auto" w:fill="auto"/>
          </w:tcPr>
          <w:p w14:paraId="2A0577F4" w14:textId="77777777" w:rsidR="00197800" w:rsidRPr="00B95820" w:rsidRDefault="00197800" w:rsidP="00197800">
            <w:pPr>
              <w:spacing w:line="240" w:lineRule="auto"/>
              <w:contextualSpacing/>
              <w:rPr>
                <w:rFonts w:ascii="Garamond" w:hAnsi="Garamond"/>
                <w:sz w:val="24"/>
                <w:szCs w:val="24"/>
              </w:rPr>
            </w:pPr>
          </w:p>
        </w:tc>
        <w:tc>
          <w:tcPr>
            <w:tcW w:w="1976" w:type="dxa"/>
            <w:shd w:val="clear" w:color="auto" w:fill="auto"/>
          </w:tcPr>
          <w:p w14:paraId="2ED7A388" w14:textId="77777777" w:rsidR="00197800" w:rsidRPr="00B95820" w:rsidRDefault="00197800" w:rsidP="00197800">
            <w:pPr>
              <w:spacing w:line="240" w:lineRule="auto"/>
              <w:contextualSpacing/>
              <w:jc w:val="center"/>
              <w:rPr>
                <w:rFonts w:ascii="Garamond" w:hAnsi="Garamond"/>
                <w:sz w:val="24"/>
                <w:szCs w:val="24"/>
              </w:rPr>
            </w:pPr>
          </w:p>
        </w:tc>
      </w:tr>
      <w:tr w:rsidR="00197800" w:rsidRPr="00E75964" w14:paraId="6A8105AB" w14:textId="77777777" w:rsidTr="00920853">
        <w:trPr>
          <w:jc w:val="center"/>
        </w:trPr>
        <w:tc>
          <w:tcPr>
            <w:tcW w:w="9456" w:type="dxa"/>
            <w:gridSpan w:val="5"/>
          </w:tcPr>
          <w:p w14:paraId="7CEF884A" w14:textId="77777777" w:rsidR="00197800" w:rsidRPr="00B95820" w:rsidRDefault="00197800" w:rsidP="00197800">
            <w:pPr>
              <w:spacing w:line="240" w:lineRule="auto"/>
              <w:contextualSpacing/>
              <w:rPr>
                <w:rFonts w:ascii="Garamond" w:hAnsi="Garamond"/>
                <w:sz w:val="24"/>
                <w:szCs w:val="24"/>
              </w:rPr>
            </w:pPr>
            <w:r w:rsidRPr="00B95820">
              <w:rPr>
                <w:rFonts w:ascii="Garamond" w:hAnsi="Garamond"/>
                <w:sz w:val="24"/>
                <w:szCs w:val="24"/>
              </w:rPr>
              <w:t>ARCH-LM Test:</w:t>
            </w:r>
          </w:p>
          <w:p w14:paraId="0C4C69BC" w14:textId="77777777" w:rsidR="00197800" w:rsidRPr="00B95820" w:rsidRDefault="00197800" w:rsidP="00197800">
            <w:pPr>
              <w:spacing w:line="240" w:lineRule="auto"/>
              <w:contextualSpacing/>
              <w:rPr>
                <w:rFonts w:ascii="Garamond" w:hAnsi="Garamond"/>
                <w:sz w:val="24"/>
                <w:szCs w:val="24"/>
              </w:rPr>
            </w:pPr>
          </w:p>
        </w:tc>
      </w:tr>
      <w:tr w:rsidR="00197800" w:rsidRPr="00E75964" w14:paraId="09866BB4" w14:textId="77777777" w:rsidTr="00920853">
        <w:trPr>
          <w:jc w:val="center"/>
        </w:trPr>
        <w:tc>
          <w:tcPr>
            <w:tcW w:w="0" w:type="auto"/>
            <w:tcBorders>
              <w:bottom w:val="single" w:sz="4" w:space="0" w:color="auto"/>
            </w:tcBorders>
            <w:shd w:val="clear" w:color="auto" w:fill="auto"/>
          </w:tcPr>
          <w:p w14:paraId="72C3700C"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1</w:t>
            </w:r>
          </w:p>
          <w:p w14:paraId="4EAE7106"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5</w:t>
            </w:r>
          </w:p>
          <w:p w14:paraId="1532C5FA" w14:textId="77777777" w:rsidR="00197800" w:rsidRPr="00B95820" w:rsidRDefault="00197800" w:rsidP="00197800">
            <w:pPr>
              <w:spacing w:line="240" w:lineRule="auto"/>
              <w:contextualSpacing/>
              <w:jc w:val="both"/>
              <w:rPr>
                <w:rFonts w:ascii="Garamond" w:hAnsi="Garamond"/>
                <w:sz w:val="24"/>
                <w:szCs w:val="24"/>
              </w:rPr>
            </w:pPr>
            <w:r w:rsidRPr="00B95820">
              <w:rPr>
                <w:rFonts w:ascii="Garamond" w:hAnsi="Garamond"/>
                <w:sz w:val="24"/>
                <w:szCs w:val="24"/>
              </w:rPr>
              <w:t>10</w:t>
            </w:r>
          </w:p>
        </w:tc>
        <w:tc>
          <w:tcPr>
            <w:tcW w:w="0" w:type="auto"/>
            <w:tcBorders>
              <w:bottom w:val="single" w:sz="4" w:space="0" w:color="auto"/>
            </w:tcBorders>
          </w:tcPr>
          <w:p w14:paraId="57E1D6A5"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13.8376***(0.000)</w:t>
            </w:r>
          </w:p>
          <w:p w14:paraId="0DF45515"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4.0562***(0.001)</w:t>
            </w:r>
          </w:p>
          <w:p w14:paraId="7170B1A3"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2.6462***(0.003)</w:t>
            </w:r>
          </w:p>
        </w:tc>
        <w:tc>
          <w:tcPr>
            <w:tcW w:w="0" w:type="auto"/>
            <w:tcBorders>
              <w:bottom w:val="single" w:sz="4" w:space="0" w:color="auto"/>
            </w:tcBorders>
            <w:shd w:val="clear" w:color="auto" w:fill="auto"/>
          </w:tcPr>
          <w:p w14:paraId="0B5B9E19"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13.2573***(0.000)</w:t>
            </w:r>
          </w:p>
          <w:p w14:paraId="54CCDD81"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3.9380***(0.000)</w:t>
            </w:r>
          </w:p>
          <w:p w14:paraId="525A6F16"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2.5723***(0.000)</w:t>
            </w:r>
          </w:p>
        </w:tc>
        <w:tc>
          <w:tcPr>
            <w:tcW w:w="1976" w:type="dxa"/>
            <w:tcBorders>
              <w:bottom w:val="single" w:sz="4" w:space="0" w:color="auto"/>
            </w:tcBorders>
            <w:shd w:val="clear" w:color="auto" w:fill="auto"/>
          </w:tcPr>
          <w:p w14:paraId="726474EF" w14:textId="77777777" w:rsidR="00197800" w:rsidRPr="00B95820" w:rsidRDefault="00197800" w:rsidP="00197800">
            <w:pPr>
              <w:spacing w:line="240" w:lineRule="auto"/>
              <w:contextualSpacing/>
              <w:jc w:val="center"/>
              <w:rPr>
                <w:rFonts w:ascii="Garamond" w:hAnsi="Garamond"/>
                <w:sz w:val="24"/>
                <w:szCs w:val="24"/>
                <w:vertAlign w:val="superscript"/>
              </w:rPr>
            </w:pPr>
            <w:r w:rsidRPr="00B95820">
              <w:rPr>
                <w:rFonts w:ascii="Garamond" w:hAnsi="Garamond"/>
                <w:sz w:val="24"/>
                <w:szCs w:val="24"/>
              </w:rPr>
              <w:t>0.0652(0.799)</w:t>
            </w:r>
          </w:p>
          <w:p w14:paraId="12E6DBC7" w14:textId="77777777" w:rsidR="00197800" w:rsidRPr="00B95820" w:rsidRDefault="00197800" w:rsidP="00197800">
            <w:pPr>
              <w:spacing w:line="240" w:lineRule="auto"/>
              <w:contextualSpacing/>
              <w:jc w:val="center"/>
              <w:rPr>
                <w:rFonts w:ascii="Garamond" w:hAnsi="Garamond"/>
                <w:sz w:val="24"/>
                <w:szCs w:val="24"/>
                <w:vertAlign w:val="superscript"/>
              </w:rPr>
            </w:pPr>
            <w:r w:rsidRPr="00B95820">
              <w:rPr>
                <w:rFonts w:ascii="Garamond" w:hAnsi="Garamond"/>
                <w:sz w:val="24"/>
                <w:szCs w:val="24"/>
              </w:rPr>
              <w:t>0.1762(0.972)</w:t>
            </w:r>
          </w:p>
          <w:p w14:paraId="3D8A2AF3" w14:textId="77777777" w:rsidR="00197800" w:rsidRPr="00B95820" w:rsidRDefault="00197800" w:rsidP="00197800">
            <w:pPr>
              <w:spacing w:line="240" w:lineRule="auto"/>
              <w:contextualSpacing/>
              <w:jc w:val="center"/>
              <w:rPr>
                <w:rFonts w:ascii="Garamond" w:hAnsi="Garamond"/>
                <w:sz w:val="24"/>
                <w:szCs w:val="24"/>
                <w:vertAlign w:val="superscript"/>
              </w:rPr>
            </w:pPr>
            <w:r w:rsidRPr="00B95820">
              <w:rPr>
                <w:rFonts w:ascii="Garamond" w:hAnsi="Garamond"/>
                <w:sz w:val="24"/>
                <w:szCs w:val="24"/>
              </w:rPr>
              <w:t>0.1489(0.999)</w:t>
            </w:r>
          </w:p>
        </w:tc>
        <w:tc>
          <w:tcPr>
            <w:tcW w:w="1976" w:type="dxa"/>
            <w:tcBorders>
              <w:bottom w:val="single" w:sz="4" w:space="0" w:color="auto"/>
            </w:tcBorders>
            <w:shd w:val="clear" w:color="auto" w:fill="auto"/>
          </w:tcPr>
          <w:p w14:paraId="789E74F4" w14:textId="77777777" w:rsidR="00197800" w:rsidRPr="00B95820" w:rsidRDefault="00197800" w:rsidP="00197800">
            <w:pPr>
              <w:spacing w:line="240" w:lineRule="auto"/>
              <w:contextualSpacing/>
              <w:jc w:val="center"/>
              <w:rPr>
                <w:rFonts w:ascii="Garamond" w:hAnsi="Garamond"/>
                <w:sz w:val="24"/>
                <w:szCs w:val="24"/>
                <w:vertAlign w:val="superscript"/>
              </w:rPr>
            </w:pPr>
            <w:r w:rsidRPr="00B95820">
              <w:rPr>
                <w:rFonts w:ascii="Garamond" w:hAnsi="Garamond"/>
                <w:sz w:val="24"/>
                <w:szCs w:val="24"/>
              </w:rPr>
              <w:t>0.0722(0.788)</w:t>
            </w:r>
          </w:p>
          <w:p w14:paraId="71F9BC2F" w14:textId="77777777" w:rsidR="00197800" w:rsidRPr="00B95820" w:rsidRDefault="00197800" w:rsidP="00197800">
            <w:pPr>
              <w:spacing w:line="240" w:lineRule="auto"/>
              <w:contextualSpacing/>
              <w:jc w:val="center"/>
              <w:rPr>
                <w:rFonts w:ascii="Garamond" w:hAnsi="Garamond"/>
                <w:sz w:val="24"/>
                <w:szCs w:val="24"/>
                <w:vertAlign w:val="superscript"/>
              </w:rPr>
            </w:pPr>
            <w:r w:rsidRPr="00B95820">
              <w:rPr>
                <w:rFonts w:ascii="Garamond" w:hAnsi="Garamond"/>
                <w:sz w:val="24"/>
                <w:szCs w:val="24"/>
              </w:rPr>
              <w:t>0.0394(0.999)</w:t>
            </w:r>
          </w:p>
          <w:p w14:paraId="14B5478B" w14:textId="77777777" w:rsidR="00197800" w:rsidRPr="00B95820" w:rsidRDefault="00197800" w:rsidP="00197800">
            <w:pPr>
              <w:spacing w:line="240" w:lineRule="auto"/>
              <w:contextualSpacing/>
              <w:jc w:val="center"/>
              <w:rPr>
                <w:rFonts w:ascii="Garamond" w:hAnsi="Garamond"/>
                <w:sz w:val="24"/>
                <w:szCs w:val="24"/>
              </w:rPr>
            </w:pPr>
            <w:r w:rsidRPr="00B95820">
              <w:rPr>
                <w:rFonts w:ascii="Garamond" w:hAnsi="Garamond"/>
                <w:sz w:val="24"/>
                <w:szCs w:val="24"/>
              </w:rPr>
              <w:t>0.0473(1.000)</w:t>
            </w:r>
          </w:p>
        </w:tc>
      </w:tr>
    </w:tbl>
    <w:bookmarkEnd w:id="7"/>
    <w:p w14:paraId="0B219513" w14:textId="30A08871" w:rsidR="00B95820" w:rsidRDefault="00B95820" w:rsidP="00883664">
      <w:pPr>
        <w:spacing w:line="240" w:lineRule="auto"/>
        <w:contextualSpacing/>
        <w:jc w:val="both"/>
        <w:rPr>
          <w:rFonts w:ascii="Garamond" w:hAnsi="Garamond"/>
        </w:rPr>
      </w:pPr>
      <w:r>
        <w:rPr>
          <w:rFonts w:ascii="Garamond" w:hAnsi="Garamond"/>
        </w:rPr>
        <w:t xml:space="preserve">Note: </w:t>
      </w:r>
      <w:r w:rsidRPr="00E75964">
        <w:rPr>
          <w:rFonts w:ascii="Garamond" w:hAnsi="Garamond"/>
        </w:rPr>
        <w:t>***, ** and * denote significance at the 1%, 5% and 10% levels respectively</w:t>
      </w:r>
      <w:r>
        <w:rPr>
          <w:rFonts w:ascii="Garamond" w:hAnsi="Garamond"/>
        </w:rPr>
        <w:t>.</w:t>
      </w:r>
      <w:r w:rsidRPr="00E75964">
        <w:rPr>
          <w:rFonts w:ascii="Garamond" w:hAnsi="Garamond"/>
        </w:rPr>
        <w:t xml:space="preserve"> </w:t>
      </w:r>
      <w:r>
        <w:rPr>
          <w:rFonts w:ascii="Garamond" w:hAnsi="Garamond"/>
        </w:rPr>
        <w:t>S</w:t>
      </w:r>
      <w:r w:rsidRPr="00E75964">
        <w:rPr>
          <w:rFonts w:ascii="Garamond" w:hAnsi="Garamond"/>
        </w:rPr>
        <w:t xml:space="preserve">tandard error and probability are in [ ] and ( ) respectively. </w:t>
      </w:r>
    </w:p>
    <w:p w14:paraId="69CF988C" w14:textId="4DAACBBF" w:rsidR="00883664" w:rsidRPr="00E75964" w:rsidRDefault="00B95820" w:rsidP="00883664">
      <w:pPr>
        <w:spacing w:line="240" w:lineRule="auto"/>
        <w:contextualSpacing/>
        <w:jc w:val="both"/>
        <w:rPr>
          <w:rFonts w:ascii="Garamond" w:hAnsi="Garamond"/>
        </w:rPr>
      </w:pPr>
      <w:proofErr w:type="gramStart"/>
      <w:r w:rsidRPr="00E75964">
        <w:rPr>
          <w:rFonts w:ascii="Garamond" w:hAnsi="Garamond"/>
          <w:vertAlign w:val="superscript"/>
        </w:rPr>
        <w:t>a</w:t>
      </w:r>
      <w:proofErr w:type="gramEnd"/>
      <w:r w:rsidRPr="00E75964">
        <w:rPr>
          <w:rFonts w:ascii="Garamond" w:hAnsi="Garamond"/>
        </w:rPr>
        <w:t xml:space="preserve"> </w:t>
      </w:r>
      <w:r>
        <w:rPr>
          <w:rFonts w:ascii="Garamond" w:hAnsi="Garamond"/>
        </w:rPr>
        <w:t>standardized squared residuals</w:t>
      </w:r>
    </w:p>
    <w:p w14:paraId="77FAF545" w14:textId="4026FA4C" w:rsidR="00460C0F" w:rsidRPr="00E75964" w:rsidRDefault="00460C0F" w:rsidP="00883664">
      <w:pPr>
        <w:spacing w:line="360" w:lineRule="auto"/>
        <w:jc w:val="center"/>
        <w:rPr>
          <w:rFonts w:ascii="Garamond" w:hAnsi="Garamond"/>
          <w:color w:val="FF0000"/>
          <w:sz w:val="24"/>
          <w:szCs w:val="24"/>
        </w:rPr>
      </w:pPr>
    </w:p>
    <w:p w14:paraId="71A047B5" w14:textId="78447783" w:rsidR="00CE65B6" w:rsidRPr="00E75964" w:rsidRDefault="00883664" w:rsidP="00CD604B">
      <w:pPr>
        <w:spacing w:line="360" w:lineRule="auto"/>
        <w:jc w:val="both"/>
        <w:rPr>
          <w:rFonts w:ascii="Garamond" w:hAnsi="Garamond"/>
          <w:sz w:val="24"/>
          <w:szCs w:val="24"/>
        </w:rPr>
      </w:pPr>
      <w:r w:rsidRPr="00E75964">
        <w:rPr>
          <w:rFonts w:ascii="Garamond" w:hAnsi="Garamond"/>
          <w:sz w:val="24"/>
          <w:szCs w:val="24"/>
        </w:rPr>
        <w:lastRenderedPageBreak/>
        <w:t xml:space="preserve">The first column of results is an initial check </w:t>
      </w:r>
      <w:r w:rsidR="00764C64" w:rsidRPr="00E75964">
        <w:rPr>
          <w:rFonts w:ascii="Garamond" w:hAnsi="Garamond"/>
          <w:sz w:val="24"/>
          <w:szCs w:val="24"/>
        </w:rPr>
        <w:t xml:space="preserve">of the </w:t>
      </w:r>
      <w:r w:rsidRPr="00E75964">
        <w:rPr>
          <w:rFonts w:ascii="Garamond" w:hAnsi="Garamond"/>
          <w:sz w:val="24"/>
          <w:szCs w:val="24"/>
        </w:rPr>
        <w:t>weekend effect (</w:t>
      </w:r>
      <w:r w:rsidR="00764C64" w:rsidRPr="00E75964">
        <w:rPr>
          <w:rFonts w:ascii="Garamond" w:hAnsi="Garamond"/>
          <w:sz w:val="24"/>
          <w:szCs w:val="24"/>
        </w:rPr>
        <w:t>“Sunday versus the average of all other days”). There is indeed a highly significant weekend effect, i.e. returns on the first day of the trading week are significantly worse.</w:t>
      </w:r>
      <w:r w:rsidRPr="00E75964">
        <w:rPr>
          <w:rFonts w:ascii="Garamond" w:hAnsi="Garamond"/>
          <w:sz w:val="24"/>
          <w:szCs w:val="24"/>
        </w:rPr>
        <w:t xml:space="preserve"> </w:t>
      </w:r>
      <w:r w:rsidR="00764C64" w:rsidRPr="00E75964">
        <w:rPr>
          <w:rFonts w:ascii="Garamond" w:hAnsi="Garamond"/>
          <w:sz w:val="24"/>
          <w:szCs w:val="24"/>
        </w:rPr>
        <w:t xml:space="preserve">Our main </w:t>
      </w:r>
      <w:r w:rsidR="00F44DDA" w:rsidRPr="00E75964">
        <w:rPr>
          <w:rFonts w:ascii="Garamond" w:hAnsi="Garamond"/>
          <w:sz w:val="24"/>
          <w:szCs w:val="24"/>
        </w:rPr>
        <w:t xml:space="preserve">OLS </w:t>
      </w:r>
      <w:r w:rsidR="00764C64" w:rsidRPr="00E75964">
        <w:rPr>
          <w:rFonts w:ascii="Garamond" w:hAnsi="Garamond"/>
          <w:sz w:val="24"/>
          <w:szCs w:val="24"/>
        </w:rPr>
        <w:t>model is in the second results column</w:t>
      </w:r>
      <w:r w:rsidR="00C51344" w:rsidRPr="00E75964">
        <w:rPr>
          <w:rFonts w:ascii="Garamond" w:hAnsi="Garamond"/>
          <w:sz w:val="24"/>
          <w:szCs w:val="24"/>
        </w:rPr>
        <w:t xml:space="preserve"> (2)</w:t>
      </w:r>
      <w:r w:rsidR="00764C64" w:rsidRPr="00E75964">
        <w:rPr>
          <w:rFonts w:ascii="Garamond" w:hAnsi="Garamond"/>
          <w:sz w:val="24"/>
          <w:szCs w:val="24"/>
        </w:rPr>
        <w:t>. Res</w:t>
      </w:r>
      <w:r w:rsidR="00BD2D99" w:rsidRPr="00E75964">
        <w:rPr>
          <w:rFonts w:ascii="Garamond" w:hAnsi="Garamond"/>
          <w:sz w:val="24"/>
          <w:szCs w:val="24"/>
        </w:rPr>
        <w:t xml:space="preserve">ults show that </w:t>
      </w:r>
      <w:r w:rsidR="00CE65B6" w:rsidRPr="00E75964">
        <w:rPr>
          <w:rFonts w:ascii="Garamond" w:hAnsi="Garamond"/>
          <w:sz w:val="24"/>
          <w:szCs w:val="24"/>
        </w:rPr>
        <w:t>Sunday</w:t>
      </w:r>
      <w:r w:rsidR="006E4CD0" w:rsidRPr="00E75964">
        <w:rPr>
          <w:rStyle w:val="FootnoteReference"/>
          <w:rFonts w:ascii="Garamond" w:hAnsi="Garamond"/>
          <w:sz w:val="24"/>
          <w:szCs w:val="24"/>
        </w:rPr>
        <w:footnoteReference w:id="5"/>
      </w:r>
      <w:r w:rsidR="00CE65B6" w:rsidRPr="00E75964">
        <w:rPr>
          <w:rFonts w:ascii="Garamond" w:hAnsi="Garamond"/>
          <w:sz w:val="24"/>
          <w:szCs w:val="24"/>
        </w:rPr>
        <w:t xml:space="preserve"> has the most negative returns (-0.</w:t>
      </w:r>
      <w:r w:rsidR="004B484B" w:rsidRPr="00E75964">
        <w:rPr>
          <w:rFonts w:ascii="Garamond" w:hAnsi="Garamond"/>
          <w:sz w:val="24"/>
          <w:szCs w:val="24"/>
        </w:rPr>
        <w:t>29</w:t>
      </w:r>
      <w:r w:rsidR="00CE65B6" w:rsidRPr="00E75964">
        <w:rPr>
          <w:rFonts w:ascii="Garamond" w:hAnsi="Garamond"/>
          <w:sz w:val="24"/>
          <w:szCs w:val="24"/>
        </w:rPr>
        <w:t xml:space="preserve">%) which </w:t>
      </w:r>
      <w:r w:rsidR="004B484B" w:rsidRPr="00E75964">
        <w:rPr>
          <w:rFonts w:ascii="Garamond" w:hAnsi="Garamond"/>
          <w:sz w:val="24"/>
          <w:szCs w:val="24"/>
        </w:rPr>
        <w:t>is</w:t>
      </w:r>
      <w:r w:rsidR="00CE65B6" w:rsidRPr="00E75964">
        <w:rPr>
          <w:rFonts w:ascii="Garamond" w:hAnsi="Garamond"/>
          <w:sz w:val="24"/>
          <w:szCs w:val="24"/>
        </w:rPr>
        <w:t xml:space="preserve"> statistically significant at the 1% level, while </w:t>
      </w:r>
      <w:r w:rsidR="00C51344" w:rsidRPr="00E75964">
        <w:rPr>
          <w:rFonts w:ascii="Garamond" w:hAnsi="Garamond"/>
          <w:sz w:val="24"/>
          <w:szCs w:val="24"/>
        </w:rPr>
        <w:t>Mon</w:t>
      </w:r>
      <w:r w:rsidR="00CE65B6" w:rsidRPr="00E75964">
        <w:rPr>
          <w:rFonts w:ascii="Garamond" w:hAnsi="Garamond"/>
          <w:sz w:val="24"/>
          <w:szCs w:val="24"/>
        </w:rPr>
        <w:t>day has the highest positive returns (0.</w:t>
      </w:r>
      <w:r w:rsidR="00C51344" w:rsidRPr="00E75964">
        <w:rPr>
          <w:rFonts w:ascii="Garamond" w:hAnsi="Garamond"/>
          <w:sz w:val="24"/>
          <w:szCs w:val="24"/>
        </w:rPr>
        <w:t>1</w:t>
      </w:r>
      <w:r w:rsidR="00920853" w:rsidRPr="00E75964">
        <w:rPr>
          <w:rFonts w:ascii="Garamond" w:hAnsi="Garamond"/>
          <w:sz w:val="24"/>
          <w:szCs w:val="24"/>
        </w:rPr>
        <w:t>7</w:t>
      </w:r>
      <w:r w:rsidR="00CE65B6" w:rsidRPr="00E75964">
        <w:rPr>
          <w:rFonts w:ascii="Garamond" w:hAnsi="Garamond"/>
          <w:sz w:val="24"/>
          <w:szCs w:val="24"/>
        </w:rPr>
        <w:t>%)</w:t>
      </w:r>
      <w:r w:rsidR="000B5EA8">
        <w:rPr>
          <w:rFonts w:ascii="Garamond" w:hAnsi="Garamond"/>
          <w:sz w:val="24"/>
          <w:szCs w:val="24"/>
        </w:rPr>
        <w:t>,</w:t>
      </w:r>
      <w:r w:rsidR="00C51344" w:rsidRPr="00E75964">
        <w:rPr>
          <w:rFonts w:ascii="Garamond" w:hAnsi="Garamond"/>
          <w:sz w:val="24"/>
          <w:szCs w:val="24"/>
        </w:rPr>
        <w:t xml:space="preserve"> significant at </w:t>
      </w:r>
      <w:r w:rsidR="000B5EA8">
        <w:rPr>
          <w:rFonts w:ascii="Garamond" w:hAnsi="Garamond"/>
          <w:sz w:val="24"/>
          <w:szCs w:val="24"/>
        </w:rPr>
        <w:t xml:space="preserve">the </w:t>
      </w:r>
      <w:r w:rsidR="00C51344" w:rsidRPr="00E75964">
        <w:rPr>
          <w:rFonts w:ascii="Garamond" w:hAnsi="Garamond"/>
          <w:sz w:val="24"/>
          <w:szCs w:val="24"/>
        </w:rPr>
        <w:t>5% level.</w:t>
      </w:r>
      <w:r w:rsidR="00F44DDA" w:rsidRPr="00E75964">
        <w:rPr>
          <w:rFonts w:ascii="Garamond" w:hAnsi="Garamond"/>
          <w:sz w:val="24"/>
          <w:szCs w:val="24"/>
        </w:rPr>
        <w:t xml:space="preserve"> </w:t>
      </w:r>
      <w:r w:rsidR="00AE3904" w:rsidRPr="00E75964">
        <w:rPr>
          <w:rFonts w:ascii="Garamond" w:hAnsi="Garamond"/>
          <w:sz w:val="24"/>
          <w:szCs w:val="24"/>
        </w:rPr>
        <w:t>Figure 1</w:t>
      </w:r>
      <w:r w:rsidR="00F44DDA" w:rsidRPr="00E75964">
        <w:rPr>
          <w:rFonts w:ascii="Garamond" w:hAnsi="Garamond"/>
          <w:sz w:val="24"/>
          <w:szCs w:val="24"/>
        </w:rPr>
        <w:t xml:space="preserve"> shows a monotonic increase from Sunday to Thursday in the amount of information released daily, but it is clear that traders do not trade heavily </w:t>
      </w:r>
      <w:r w:rsidR="000B5EA8">
        <w:rPr>
          <w:rFonts w:ascii="Garamond" w:hAnsi="Garamond"/>
          <w:sz w:val="24"/>
          <w:szCs w:val="24"/>
        </w:rPr>
        <w:t xml:space="preserve">on </w:t>
      </w:r>
      <w:r w:rsidR="00F44DDA" w:rsidRPr="00E75964">
        <w:rPr>
          <w:rFonts w:ascii="Garamond" w:hAnsi="Garamond"/>
          <w:sz w:val="24"/>
          <w:szCs w:val="24"/>
        </w:rPr>
        <w:t xml:space="preserve">Thursday’s information before the </w:t>
      </w:r>
      <w:r w:rsidR="000B5EA8">
        <w:rPr>
          <w:rFonts w:ascii="Garamond" w:hAnsi="Garamond"/>
          <w:sz w:val="24"/>
          <w:szCs w:val="24"/>
        </w:rPr>
        <w:t xml:space="preserve">market </w:t>
      </w:r>
      <w:r w:rsidR="00F44DDA" w:rsidRPr="00E75964">
        <w:rPr>
          <w:rFonts w:ascii="Garamond" w:hAnsi="Garamond"/>
          <w:sz w:val="24"/>
          <w:szCs w:val="24"/>
        </w:rPr>
        <w:t>clos</w:t>
      </w:r>
      <w:r w:rsidR="000B5EA8">
        <w:rPr>
          <w:rFonts w:ascii="Garamond" w:hAnsi="Garamond"/>
          <w:sz w:val="24"/>
          <w:szCs w:val="24"/>
        </w:rPr>
        <w:t xml:space="preserve">es </w:t>
      </w:r>
      <w:r w:rsidR="00F44DDA" w:rsidRPr="00E75964">
        <w:rPr>
          <w:rFonts w:ascii="Garamond" w:hAnsi="Garamond"/>
          <w:sz w:val="24"/>
          <w:szCs w:val="24"/>
        </w:rPr>
        <w:t xml:space="preserve">that day. Instead, Sunday is significant, which means information rolls over the weekend and affects the opening day. </w:t>
      </w:r>
      <w:r w:rsidR="00CE65B6" w:rsidRPr="00E75964">
        <w:rPr>
          <w:rFonts w:ascii="Garamond" w:hAnsi="Garamond"/>
          <w:sz w:val="24"/>
          <w:szCs w:val="24"/>
        </w:rPr>
        <w:t xml:space="preserve">The findings are consistent with the results reported in Table </w:t>
      </w:r>
      <w:r w:rsidR="00AE3904" w:rsidRPr="00E75964">
        <w:rPr>
          <w:rFonts w:ascii="Garamond" w:hAnsi="Garamond"/>
          <w:sz w:val="24"/>
          <w:szCs w:val="24"/>
        </w:rPr>
        <w:t>2</w:t>
      </w:r>
      <w:r w:rsidR="00CE65B6" w:rsidRPr="00E75964">
        <w:rPr>
          <w:rFonts w:ascii="Garamond" w:hAnsi="Garamond"/>
          <w:sz w:val="24"/>
          <w:szCs w:val="24"/>
        </w:rPr>
        <w:t>. Indeed, significant</w:t>
      </w:r>
      <w:r w:rsidR="00BD2D99" w:rsidRPr="00E75964">
        <w:rPr>
          <w:rFonts w:ascii="Garamond" w:hAnsi="Garamond"/>
          <w:sz w:val="24"/>
          <w:szCs w:val="24"/>
        </w:rPr>
        <w:t>ly</w:t>
      </w:r>
      <w:r w:rsidR="00CE65B6" w:rsidRPr="00E75964">
        <w:rPr>
          <w:rFonts w:ascii="Garamond" w:hAnsi="Garamond"/>
          <w:sz w:val="24"/>
          <w:szCs w:val="24"/>
        </w:rPr>
        <w:t xml:space="preserve"> negative returns on the opening day </w:t>
      </w:r>
      <w:r w:rsidR="00BD2D99" w:rsidRPr="00E75964">
        <w:rPr>
          <w:rFonts w:ascii="Garamond" w:hAnsi="Garamond"/>
          <w:sz w:val="24"/>
          <w:szCs w:val="24"/>
        </w:rPr>
        <w:t>are</w:t>
      </w:r>
      <w:r w:rsidR="00CE65B6" w:rsidRPr="00E75964">
        <w:rPr>
          <w:rFonts w:ascii="Garamond" w:hAnsi="Garamond"/>
          <w:sz w:val="24"/>
          <w:szCs w:val="24"/>
        </w:rPr>
        <w:t xml:space="preserve"> evident in most of the equity markets in previous studies (see French, 1980; Keim and Stambaugh, 1984; Jaffe and Westerfield, 1985; Wang et al., 1997; Chia et al., 2008). </w:t>
      </w:r>
      <w:r w:rsidR="00BD2D99" w:rsidRPr="00E75964">
        <w:rPr>
          <w:rFonts w:ascii="Garamond" w:hAnsi="Garamond"/>
          <w:sz w:val="24"/>
          <w:szCs w:val="24"/>
        </w:rPr>
        <w:t>Using cross-sectional returns data</w:t>
      </w:r>
      <w:r w:rsidR="004B484B" w:rsidRPr="00E75964">
        <w:rPr>
          <w:rFonts w:ascii="Garamond" w:hAnsi="Garamond"/>
          <w:sz w:val="24"/>
          <w:szCs w:val="24"/>
        </w:rPr>
        <w:t>,</w:t>
      </w:r>
      <w:r w:rsidR="00BD2D99" w:rsidRPr="00E75964">
        <w:rPr>
          <w:rFonts w:ascii="Garamond" w:hAnsi="Garamond"/>
          <w:sz w:val="24"/>
          <w:szCs w:val="24"/>
        </w:rPr>
        <w:t xml:space="preserve"> </w:t>
      </w:r>
      <w:r w:rsidR="000F1F1C" w:rsidRPr="00E75964">
        <w:rPr>
          <w:rFonts w:ascii="Garamond" w:hAnsi="Garamond"/>
          <w:sz w:val="24"/>
          <w:szCs w:val="24"/>
        </w:rPr>
        <w:t>Chowdhury and Sharmin (2012) report a</w:t>
      </w:r>
      <w:r w:rsidR="00CE65B6" w:rsidRPr="00E75964">
        <w:rPr>
          <w:rFonts w:ascii="Garamond" w:hAnsi="Garamond"/>
          <w:sz w:val="24"/>
          <w:szCs w:val="24"/>
        </w:rPr>
        <w:t xml:space="preserve"> similar outcome for the DSE. Our results therefore confirm the idea that the weekend effect is not just a feature of the stock markets of the United States and other developed countries but also of emerging markets, as stated by Choudhry (2000). </w:t>
      </w:r>
      <w:r w:rsidR="00863F1F" w:rsidRPr="00E75964">
        <w:rPr>
          <w:rFonts w:ascii="Garamond" w:hAnsi="Garamond"/>
          <w:sz w:val="24"/>
          <w:szCs w:val="24"/>
        </w:rPr>
        <w:t>In addition, t</w:t>
      </w:r>
      <w:r w:rsidR="00CE65B6" w:rsidRPr="00E75964">
        <w:rPr>
          <w:rFonts w:ascii="Garamond" w:hAnsi="Garamond"/>
          <w:sz w:val="24"/>
          <w:szCs w:val="24"/>
        </w:rPr>
        <w:t>he null hypothesis that the day of the week dummy variables are jointly equal to zero is rejected using the Wald test (not reported).</w:t>
      </w:r>
    </w:p>
    <w:p w14:paraId="2CEBDD78" w14:textId="367FDDCA" w:rsidR="00863F1F" w:rsidRPr="00E75964" w:rsidRDefault="00CE65B6" w:rsidP="008F137F">
      <w:pPr>
        <w:spacing w:line="360" w:lineRule="auto"/>
        <w:jc w:val="both"/>
        <w:rPr>
          <w:rFonts w:ascii="Garamond" w:hAnsi="Garamond"/>
          <w:sz w:val="24"/>
          <w:szCs w:val="24"/>
        </w:rPr>
      </w:pPr>
      <w:r w:rsidRPr="00E75964">
        <w:rPr>
          <w:rFonts w:ascii="Garamond" w:hAnsi="Garamond"/>
          <w:sz w:val="24"/>
          <w:szCs w:val="24"/>
        </w:rPr>
        <w:lastRenderedPageBreak/>
        <w:t>The value</w:t>
      </w:r>
      <w:r w:rsidR="000B5EA8">
        <w:rPr>
          <w:rFonts w:ascii="Garamond" w:hAnsi="Garamond"/>
          <w:sz w:val="24"/>
          <w:szCs w:val="24"/>
        </w:rPr>
        <w:t>s</w:t>
      </w:r>
      <w:r w:rsidRPr="00E75964">
        <w:rPr>
          <w:rFonts w:ascii="Garamond" w:hAnsi="Garamond"/>
          <w:sz w:val="24"/>
          <w:szCs w:val="24"/>
        </w:rPr>
        <w:t xml:space="preserve"> of the </w:t>
      </w:r>
      <w:r w:rsidRPr="00E75964">
        <w:rPr>
          <w:rFonts w:ascii="Garamond" w:hAnsi="Garamond"/>
          <w:i/>
          <w:sz w:val="24"/>
          <w:szCs w:val="24"/>
        </w:rPr>
        <w:t>F</w:t>
      </w:r>
      <w:r w:rsidRPr="00E75964">
        <w:rPr>
          <w:rFonts w:ascii="Garamond" w:hAnsi="Garamond"/>
          <w:sz w:val="24"/>
          <w:szCs w:val="24"/>
        </w:rPr>
        <w:t xml:space="preserve"> statistic</w:t>
      </w:r>
      <w:r w:rsidR="00C51344" w:rsidRPr="00E75964">
        <w:rPr>
          <w:rFonts w:ascii="Garamond" w:hAnsi="Garamond"/>
          <w:sz w:val="24"/>
          <w:szCs w:val="24"/>
        </w:rPr>
        <w:t>s</w:t>
      </w:r>
      <w:r w:rsidRPr="00E75964">
        <w:rPr>
          <w:rFonts w:ascii="Garamond" w:hAnsi="Garamond"/>
          <w:sz w:val="24"/>
          <w:szCs w:val="24"/>
        </w:rPr>
        <w:t xml:space="preserve"> </w:t>
      </w:r>
      <w:r w:rsidR="000B5EA8">
        <w:rPr>
          <w:rFonts w:ascii="Garamond" w:hAnsi="Garamond"/>
          <w:sz w:val="24"/>
          <w:szCs w:val="24"/>
        </w:rPr>
        <w:t>are</w:t>
      </w:r>
      <w:r w:rsidRPr="00E75964">
        <w:rPr>
          <w:rFonts w:ascii="Garamond" w:hAnsi="Garamond"/>
          <w:sz w:val="24"/>
          <w:szCs w:val="24"/>
        </w:rPr>
        <w:t xml:space="preserve"> </w:t>
      </w:r>
      <w:r w:rsidR="00C51344" w:rsidRPr="00E75964">
        <w:rPr>
          <w:rFonts w:ascii="Garamond" w:hAnsi="Garamond"/>
          <w:sz w:val="24"/>
          <w:szCs w:val="24"/>
        </w:rPr>
        <w:t>1</w:t>
      </w:r>
      <w:r w:rsidR="00920853" w:rsidRPr="00E75964">
        <w:rPr>
          <w:rFonts w:ascii="Garamond" w:hAnsi="Garamond"/>
          <w:sz w:val="24"/>
          <w:szCs w:val="24"/>
        </w:rPr>
        <w:t>9</w:t>
      </w:r>
      <w:r w:rsidR="00C51344" w:rsidRPr="00E75964">
        <w:rPr>
          <w:rFonts w:ascii="Garamond" w:hAnsi="Garamond"/>
          <w:sz w:val="24"/>
          <w:szCs w:val="24"/>
        </w:rPr>
        <w:t>.</w:t>
      </w:r>
      <w:r w:rsidR="00920853" w:rsidRPr="00E75964">
        <w:rPr>
          <w:rFonts w:ascii="Garamond" w:hAnsi="Garamond"/>
          <w:sz w:val="24"/>
          <w:szCs w:val="24"/>
        </w:rPr>
        <w:t>14</w:t>
      </w:r>
      <w:r w:rsidR="00C51344" w:rsidRPr="00E75964">
        <w:rPr>
          <w:rFonts w:ascii="Garamond" w:hAnsi="Garamond"/>
          <w:sz w:val="24"/>
          <w:szCs w:val="24"/>
        </w:rPr>
        <w:t xml:space="preserve"> and 1</w:t>
      </w:r>
      <w:r w:rsidR="00920853" w:rsidRPr="00E75964">
        <w:rPr>
          <w:rFonts w:ascii="Garamond" w:hAnsi="Garamond"/>
          <w:sz w:val="24"/>
          <w:szCs w:val="24"/>
        </w:rPr>
        <w:t>3</w:t>
      </w:r>
      <w:r w:rsidRPr="00E75964">
        <w:rPr>
          <w:rFonts w:ascii="Garamond" w:hAnsi="Garamond"/>
          <w:sz w:val="24"/>
          <w:szCs w:val="24"/>
        </w:rPr>
        <w:t>.</w:t>
      </w:r>
      <w:r w:rsidR="00920853" w:rsidRPr="00E75964">
        <w:rPr>
          <w:rFonts w:ascii="Garamond" w:hAnsi="Garamond"/>
          <w:sz w:val="24"/>
          <w:szCs w:val="24"/>
        </w:rPr>
        <w:t>13</w:t>
      </w:r>
      <w:r w:rsidRPr="00E75964">
        <w:rPr>
          <w:rFonts w:ascii="Garamond" w:hAnsi="Garamond"/>
          <w:sz w:val="24"/>
          <w:szCs w:val="24"/>
        </w:rPr>
        <w:t xml:space="preserve"> with p</w:t>
      </w:r>
      <w:r w:rsidR="00DB6321" w:rsidRPr="00E75964">
        <w:rPr>
          <w:rFonts w:ascii="Garamond" w:hAnsi="Garamond"/>
          <w:sz w:val="24"/>
          <w:szCs w:val="24"/>
        </w:rPr>
        <w:t>-</w:t>
      </w:r>
      <w:r w:rsidR="00510EBE" w:rsidRPr="00E75964">
        <w:rPr>
          <w:rFonts w:ascii="Garamond" w:hAnsi="Garamond"/>
          <w:sz w:val="24"/>
          <w:szCs w:val="24"/>
        </w:rPr>
        <w:t>value</w:t>
      </w:r>
      <w:r w:rsidR="000B5EA8">
        <w:rPr>
          <w:rFonts w:ascii="Garamond" w:hAnsi="Garamond"/>
          <w:sz w:val="24"/>
          <w:szCs w:val="24"/>
        </w:rPr>
        <w:t>s</w:t>
      </w:r>
      <w:r w:rsidR="00DB6321" w:rsidRPr="00E75964">
        <w:rPr>
          <w:rFonts w:ascii="Garamond" w:hAnsi="Garamond"/>
          <w:sz w:val="24"/>
          <w:szCs w:val="24"/>
        </w:rPr>
        <w:t xml:space="preserve"> </w:t>
      </w:r>
      <w:r w:rsidR="000B5EA8">
        <w:rPr>
          <w:rFonts w:ascii="Garamond" w:hAnsi="Garamond"/>
          <w:sz w:val="24"/>
          <w:szCs w:val="24"/>
        </w:rPr>
        <w:t xml:space="preserve">close </w:t>
      </w:r>
      <w:r w:rsidRPr="00E75964">
        <w:rPr>
          <w:rFonts w:ascii="Garamond" w:hAnsi="Garamond"/>
          <w:sz w:val="24"/>
          <w:szCs w:val="24"/>
        </w:rPr>
        <w:t>to zero</w:t>
      </w:r>
      <w:r w:rsidR="000B5EA8">
        <w:rPr>
          <w:rFonts w:ascii="Garamond" w:hAnsi="Garamond"/>
          <w:sz w:val="24"/>
          <w:szCs w:val="24"/>
        </w:rPr>
        <w:t>,</w:t>
      </w:r>
      <w:r w:rsidRPr="00E75964">
        <w:rPr>
          <w:rFonts w:ascii="Garamond" w:hAnsi="Garamond"/>
          <w:sz w:val="24"/>
          <w:szCs w:val="24"/>
        </w:rPr>
        <w:t xml:space="preserve"> which implies overall significance of our model</w:t>
      </w:r>
      <w:r w:rsidR="000B5EA8">
        <w:rPr>
          <w:rFonts w:ascii="Garamond" w:hAnsi="Garamond"/>
          <w:sz w:val="24"/>
          <w:szCs w:val="24"/>
        </w:rPr>
        <w:t>s</w:t>
      </w:r>
      <w:r w:rsidR="00C51344" w:rsidRPr="00E75964">
        <w:rPr>
          <w:rFonts w:ascii="Garamond" w:hAnsi="Garamond"/>
          <w:sz w:val="24"/>
          <w:szCs w:val="24"/>
        </w:rPr>
        <w:t xml:space="preserve"> in column</w:t>
      </w:r>
      <w:r w:rsidR="000B5EA8">
        <w:rPr>
          <w:rFonts w:ascii="Garamond" w:hAnsi="Garamond"/>
          <w:sz w:val="24"/>
          <w:szCs w:val="24"/>
        </w:rPr>
        <w:t>s</w:t>
      </w:r>
      <w:r w:rsidR="00C51344" w:rsidRPr="00E75964">
        <w:rPr>
          <w:rFonts w:ascii="Garamond" w:hAnsi="Garamond"/>
          <w:sz w:val="24"/>
          <w:szCs w:val="24"/>
        </w:rPr>
        <w:t xml:space="preserve"> (1) and (2)</w:t>
      </w:r>
      <w:r w:rsidRPr="00E75964">
        <w:rPr>
          <w:rFonts w:ascii="Garamond" w:hAnsi="Garamond"/>
          <w:sz w:val="24"/>
          <w:szCs w:val="24"/>
        </w:rPr>
        <w:t xml:space="preserve">. We apply the Akaike Information Criterion (AIC) to determine the autoregressive order </w:t>
      </w:r>
      <m:oMath>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t-i</m:t>
                </m:r>
              </m:sub>
            </m:sSub>
          </m:e>
        </m:d>
      </m:oMath>
      <w:r w:rsidRPr="00E75964">
        <w:rPr>
          <w:rFonts w:ascii="Garamond" w:hAnsi="Garamond"/>
          <w:sz w:val="24"/>
          <w:szCs w:val="24"/>
        </w:rPr>
        <w:t xml:space="preserve"> as included in equation (</w:t>
      </w:r>
      <w:r w:rsidR="00DC27C5">
        <w:rPr>
          <w:rFonts w:ascii="Garamond" w:hAnsi="Garamond"/>
          <w:sz w:val="24"/>
          <w:szCs w:val="24"/>
        </w:rPr>
        <w:t>8</w:t>
      </w:r>
      <w:r w:rsidRPr="00E75964">
        <w:rPr>
          <w:rFonts w:ascii="Garamond" w:hAnsi="Garamond"/>
          <w:sz w:val="24"/>
          <w:szCs w:val="24"/>
        </w:rPr>
        <w:t>) to minimize the possible autocorrelation between returns. The Ljung-Box Q test also supports that, using up to ten lags, the null hypothesis (i.e. the residuals are not autocorrelated) is rejected. The value</w:t>
      </w:r>
      <w:r w:rsidR="000B5EA8">
        <w:rPr>
          <w:rFonts w:ascii="Garamond" w:hAnsi="Garamond"/>
          <w:sz w:val="24"/>
          <w:szCs w:val="24"/>
        </w:rPr>
        <w:t>s</w:t>
      </w:r>
      <w:r w:rsidRPr="00E75964">
        <w:rPr>
          <w:rFonts w:ascii="Garamond" w:hAnsi="Garamond"/>
          <w:sz w:val="24"/>
          <w:szCs w:val="24"/>
        </w:rPr>
        <w:t xml:space="preserve"> of the Breusch-Godfrey Serial Correlation LM Test </w:t>
      </w:r>
      <w:r w:rsidR="000B5EA8">
        <w:rPr>
          <w:rFonts w:ascii="Garamond" w:hAnsi="Garamond"/>
          <w:sz w:val="24"/>
          <w:szCs w:val="24"/>
        </w:rPr>
        <w:t>are</w:t>
      </w:r>
      <w:r w:rsidRPr="00E75964">
        <w:rPr>
          <w:rFonts w:ascii="Garamond" w:hAnsi="Garamond"/>
          <w:sz w:val="24"/>
          <w:szCs w:val="24"/>
        </w:rPr>
        <w:t xml:space="preserve"> </w:t>
      </w:r>
      <w:r w:rsidR="00B36F01" w:rsidRPr="00E75964">
        <w:rPr>
          <w:rFonts w:ascii="Garamond" w:hAnsi="Garamond"/>
          <w:sz w:val="24"/>
          <w:szCs w:val="24"/>
        </w:rPr>
        <w:t>2.18 and 1</w:t>
      </w:r>
      <w:r w:rsidRPr="00E75964">
        <w:rPr>
          <w:rFonts w:ascii="Garamond" w:hAnsi="Garamond"/>
          <w:sz w:val="24"/>
          <w:szCs w:val="24"/>
        </w:rPr>
        <w:t>.</w:t>
      </w:r>
      <w:r w:rsidR="00B36F01" w:rsidRPr="00E75964">
        <w:rPr>
          <w:rFonts w:ascii="Garamond" w:hAnsi="Garamond"/>
          <w:sz w:val="24"/>
          <w:szCs w:val="24"/>
        </w:rPr>
        <w:t>1</w:t>
      </w:r>
      <w:r w:rsidRPr="00E75964">
        <w:rPr>
          <w:rFonts w:ascii="Garamond" w:hAnsi="Garamond"/>
          <w:sz w:val="24"/>
          <w:szCs w:val="24"/>
        </w:rPr>
        <w:t>6, which again is not statistically significant at the 10 percent level. We therefore conclude that there is no serial correlation in the model. Finally</w:t>
      </w:r>
      <w:r w:rsidR="008D70AF" w:rsidRPr="00E75964">
        <w:rPr>
          <w:rFonts w:ascii="Garamond" w:hAnsi="Garamond"/>
          <w:sz w:val="24"/>
          <w:szCs w:val="24"/>
        </w:rPr>
        <w:t>,</w:t>
      </w:r>
      <w:r w:rsidRPr="00E75964">
        <w:rPr>
          <w:rFonts w:ascii="Garamond" w:hAnsi="Garamond"/>
          <w:sz w:val="24"/>
          <w:szCs w:val="24"/>
        </w:rPr>
        <w:t xml:space="preserve"> we perform the Lagrange Multiplier Autoregressive Conditional Heteroskedasticity test as suggested by Engle (1982) using up to ten lags. The result indicates the presence of an ARCH effect, i.e. va</w:t>
      </w:r>
      <w:r w:rsidR="0009774E" w:rsidRPr="00E75964">
        <w:rPr>
          <w:rFonts w:ascii="Garamond" w:hAnsi="Garamond"/>
          <w:sz w:val="24"/>
          <w:szCs w:val="24"/>
        </w:rPr>
        <w:t xml:space="preserve">riances are not homoscedastic. </w:t>
      </w:r>
      <w:r w:rsidRPr="00E75964">
        <w:rPr>
          <w:rFonts w:ascii="Garamond" w:hAnsi="Garamond"/>
          <w:sz w:val="24"/>
          <w:szCs w:val="24"/>
        </w:rPr>
        <w:t xml:space="preserve">Figure </w:t>
      </w:r>
      <w:r w:rsidR="00AB40C8" w:rsidRPr="00E75964">
        <w:rPr>
          <w:rFonts w:ascii="Garamond" w:hAnsi="Garamond"/>
          <w:sz w:val="24"/>
          <w:szCs w:val="24"/>
        </w:rPr>
        <w:t xml:space="preserve">2 </w:t>
      </w:r>
      <w:r w:rsidRPr="00E75964">
        <w:rPr>
          <w:rFonts w:ascii="Garamond" w:hAnsi="Garamond"/>
          <w:sz w:val="24"/>
          <w:szCs w:val="24"/>
        </w:rPr>
        <w:t>similarly indicates the presence of volatility clustering</w:t>
      </w:r>
      <w:r w:rsidR="00B36F01" w:rsidRPr="00E75964">
        <w:rPr>
          <w:rFonts w:ascii="Garamond" w:hAnsi="Garamond"/>
          <w:sz w:val="24"/>
          <w:szCs w:val="24"/>
        </w:rPr>
        <w:t xml:space="preserve"> of our model </w:t>
      </w:r>
      <w:r w:rsidR="00A00548" w:rsidRPr="00E75964">
        <w:rPr>
          <w:rFonts w:ascii="Garamond" w:hAnsi="Garamond"/>
          <w:sz w:val="24"/>
          <w:szCs w:val="24"/>
        </w:rPr>
        <w:t xml:space="preserve">shown </w:t>
      </w:r>
      <w:r w:rsidR="00B36F01" w:rsidRPr="00E75964">
        <w:rPr>
          <w:rFonts w:ascii="Garamond" w:hAnsi="Garamond"/>
          <w:sz w:val="24"/>
          <w:szCs w:val="24"/>
        </w:rPr>
        <w:t>in column (2)</w:t>
      </w:r>
      <w:r w:rsidR="00716188" w:rsidRPr="00E75964">
        <w:rPr>
          <w:rFonts w:ascii="Garamond" w:hAnsi="Garamond"/>
          <w:sz w:val="24"/>
          <w:szCs w:val="24"/>
        </w:rPr>
        <w:t xml:space="preserve"> of Table </w:t>
      </w:r>
      <w:r w:rsidR="00AE3904" w:rsidRPr="00E75964">
        <w:rPr>
          <w:rFonts w:ascii="Garamond" w:hAnsi="Garamond"/>
          <w:sz w:val="24"/>
          <w:szCs w:val="24"/>
        </w:rPr>
        <w:t>3</w:t>
      </w:r>
      <w:r w:rsidR="00716188" w:rsidRPr="00E75964">
        <w:rPr>
          <w:rFonts w:ascii="Garamond" w:hAnsi="Garamond"/>
          <w:sz w:val="24"/>
          <w:szCs w:val="24"/>
        </w:rPr>
        <w:t>.</w:t>
      </w:r>
    </w:p>
    <w:p w14:paraId="541A7730" w14:textId="77777777" w:rsidR="00B95820" w:rsidRDefault="00CE65B6" w:rsidP="00B95820">
      <w:pPr>
        <w:spacing w:after="0" w:line="360" w:lineRule="auto"/>
        <w:rPr>
          <w:rFonts w:ascii="Garamond" w:hAnsi="Garamond"/>
          <w:b/>
          <w:sz w:val="24"/>
          <w:szCs w:val="24"/>
        </w:rPr>
      </w:pPr>
      <w:r w:rsidRPr="00E75964">
        <w:rPr>
          <w:rFonts w:ascii="Garamond" w:hAnsi="Garamond"/>
          <w:b/>
          <w:sz w:val="24"/>
          <w:szCs w:val="24"/>
        </w:rPr>
        <w:t>Figure</w:t>
      </w:r>
      <w:r w:rsidR="00863F1F" w:rsidRPr="00E75964">
        <w:rPr>
          <w:rFonts w:ascii="Garamond" w:hAnsi="Garamond"/>
          <w:b/>
          <w:sz w:val="24"/>
          <w:szCs w:val="24"/>
        </w:rPr>
        <w:t xml:space="preserve"> </w:t>
      </w:r>
      <w:r w:rsidR="00AB40C8" w:rsidRPr="00E75964">
        <w:rPr>
          <w:rFonts w:ascii="Garamond" w:hAnsi="Garamond"/>
          <w:b/>
          <w:sz w:val="24"/>
          <w:szCs w:val="24"/>
        </w:rPr>
        <w:t>2</w:t>
      </w:r>
    </w:p>
    <w:p w14:paraId="6F9C2207" w14:textId="165B3FC3" w:rsidR="00CE65B6" w:rsidRPr="00B95820" w:rsidRDefault="00CE65B6" w:rsidP="00B95820">
      <w:pPr>
        <w:spacing w:after="0" w:line="360" w:lineRule="auto"/>
        <w:rPr>
          <w:rFonts w:ascii="Garamond" w:hAnsi="Garamond"/>
          <w:sz w:val="24"/>
          <w:szCs w:val="24"/>
        </w:rPr>
      </w:pPr>
      <w:r w:rsidRPr="00B95820">
        <w:rPr>
          <w:rFonts w:ascii="Garamond" w:hAnsi="Garamond"/>
          <w:sz w:val="24"/>
          <w:szCs w:val="24"/>
        </w:rPr>
        <w:t xml:space="preserve">Volatility Clustering of the OLS Model </w:t>
      </w:r>
      <w:r w:rsidR="0009774E" w:rsidRPr="00B95820">
        <w:rPr>
          <w:rFonts w:ascii="Garamond" w:hAnsi="Garamond"/>
          <w:sz w:val="24"/>
          <w:szCs w:val="24"/>
        </w:rPr>
        <w:t>of Daily Returns on the DSE</w:t>
      </w:r>
    </w:p>
    <w:p w14:paraId="53D253CA" w14:textId="5F5B401B" w:rsidR="00CE65B6" w:rsidRPr="00E75964" w:rsidRDefault="007E2017" w:rsidP="00197800">
      <w:pPr>
        <w:spacing w:line="360" w:lineRule="auto"/>
        <w:jc w:val="center"/>
        <w:rPr>
          <w:rFonts w:ascii="Garamond" w:hAnsi="Garamond"/>
          <w:b/>
          <w:sz w:val="24"/>
          <w:szCs w:val="24"/>
        </w:rPr>
      </w:pPr>
      <w:r>
        <w:rPr>
          <w:noProof/>
        </w:rPr>
        <w:object w:dxaOrig="8910" w:dyaOrig="5340" w14:anchorId="690DC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25pt;height:261pt;mso-width-percent:0;mso-height-percent:0;mso-width-percent:0;mso-height-percent:0" o:ole="">
            <v:imagedata r:id="rId9" o:title=""/>
          </v:shape>
          <o:OLEObject Type="Embed" ProgID="EViews.Workfile.2" ShapeID="_x0000_i1025" DrawAspect="Content" ObjectID="_1673454285" r:id="rId10"/>
        </w:object>
      </w:r>
    </w:p>
    <w:p w14:paraId="46E53FEE" w14:textId="3F10772D"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Given that both an ARCH effect (Table </w:t>
      </w:r>
      <w:r w:rsidR="00AE3904" w:rsidRPr="00E75964">
        <w:rPr>
          <w:rFonts w:ascii="Garamond" w:hAnsi="Garamond"/>
          <w:sz w:val="24"/>
          <w:szCs w:val="24"/>
        </w:rPr>
        <w:t>3</w:t>
      </w:r>
      <w:r w:rsidRPr="00E75964">
        <w:rPr>
          <w:rFonts w:ascii="Garamond" w:hAnsi="Garamond"/>
          <w:sz w:val="24"/>
          <w:szCs w:val="24"/>
        </w:rPr>
        <w:t xml:space="preserve">) and volatility clustering (Figure </w:t>
      </w:r>
      <w:r w:rsidR="00AE3904" w:rsidRPr="00E75964">
        <w:rPr>
          <w:rFonts w:ascii="Garamond" w:hAnsi="Garamond"/>
          <w:sz w:val="24"/>
          <w:szCs w:val="24"/>
        </w:rPr>
        <w:t>2</w:t>
      </w:r>
      <w:r w:rsidRPr="00E75964">
        <w:rPr>
          <w:rFonts w:ascii="Garamond" w:hAnsi="Garamond"/>
          <w:sz w:val="24"/>
          <w:szCs w:val="24"/>
        </w:rPr>
        <w:t>) are indicated, we apply two separate specifications for the returns and volatility equations to capture the weekend effect. First, we model the conditional variance of the returns equation as a GARCH (1,</w:t>
      </w:r>
      <w:r w:rsidR="00510EBE" w:rsidRPr="00E75964">
        <w:rPr>
          <w:rFonts w:ascii="Garamond" w:hAnsi="Garamond"/>
          <w:sz w:val="24"/>
          <w:szCs w:val="24"/>
        </w:rPr>
        <w:t xml:space="preserve"> </w:t>
      </w:r>
      <w:r w:rsidRPr="00E75964">
        <w:rPr>
          <w:rFonts w:ascii="Garamond" w:hAnsi="Garamond"/>
          <w:sz w:val="24"/>
          <w:szCs w:val="24"/>
        </w:rPr>
        <w:t xml:space="preserve">1) process (Equation </w:t>
      </w:r>
      <w:r w:rsidR="00DC27C5">
        <w:rPr>
          <w:rFonts w:ascii="Garamond" w:hAnsi="Garamond"/>
          <w:sz w:val="24"/>
          <w:szCs w:val="24"/>
        </w:rPr>
        <w:t>2</w:t>
      </w:r>
      <w:r w:rsidRPr="00E75964">
        <w:rPr>
          <w:rFonts w:ascii="Garamond" w:hAnsi="Garamond"/>
          <w:sz w:val="24"/>
          <w:szCs w:val="24"/>
        </w:rPr>
        <w:t>) and re-estimate the returns equation with the conditional variance to see the weekend effect in returns only. Second, we use a modified GARCH (1,</w:t>
      </w:r>
      <w:r w:rsidR="00510EBE" w:rsidRPr="00E75964">
        <w:rPr>
          <w:rFonts w:ascii="Garamond" w:hAnsi="Garamond"/>
          <w:sz w:val="24"/>
          <w:szCs w:val="24"/>
        </w:rPr>
        <w:t xml:space="preserve"> </w:t>
      </w:r>
      <w:r w:rsidRPr="00E75964">
        <w:rPr>
          <w:rFonts w:ascii="Garamond" w:hAnsi="Garamond"/>
          <w:sz w:val="24"/>
          <w:szCs w:val="24"/>
        </w:rPr>
        <w:t xml:space="preserve">1) process to investigate the weekend effect on both the returns and volatility equations by including daily dummies as exogenous variables (equation </w:t>
      </w:r>
      <w:r w:rsidR="00DC27C5">
        <w:rPr>
          <w:rFonts w:ascii="Garamond" w:hAnsi="Garamond"/>
          <w:sz w:val="24"/>
          <w:szCs w:val="24"/>
        </w:rPr>
        <w:t>3</w:t>
      </w:r>
      <w:r w:rsidRPr="00E75964">
        <w:rPr>
          <w:rFonts w:ascii="Garamond" w:hAnsi="Garamond"/>
          <w:sz w:val="24"/>
          <w:szCs w:val="24"/>
        </w:rPr>
        <w:t>).</w:t>
      </w:r>
    </w:p>
    <w:p w14:paraId="63D2553E" w14:textId="1E01D8D9"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lastRenderedPageBreak/>
        <w:t>One disadvantage of modelling the conditional variance as GARCH (1,</w:t>
      </w:r>
      <w:r w:rsidR="00510EBE" w:rsidRPr="00E75964">
        <w:rPr>
          <w:rFonts w:ascii="Garamond" w:hAnsi="Garamond"/>
          <w:sz w:val="24"/>
          <w:szCs w:val="24"/>
        </w:rPr>
        <w:t xml:space="preserve"> </w:t>
      </w:r>
      <w:r w:rsidRPr="00E75964">
        <w:rPr>
          <w:rFonts w:ascii="Garamond" w:hAnsi="Garamond"/>
          <w:sz w:val="24"/>
          <w:szCs w:val="24"/>
        </w:rPr>
        <w:t xml:space="preserve">1) with the day of the week dummies is the possibility of being too restrictive (Kiymaz and Berument, 2003). On the other hand, the </w:t>
      </w:r>
      <w:r w:rsidR="0009774E" w:rsidRPr="00E75964">
        <w:rPr>
          <w:rFonts w:ascii="Garamond" w:hAnsi="Garamond"/>
          <w:sz w:val="24"/>
          <w:szCs w:val="24"/>
        </w:rPr>
        <w:t>GARCH (1,</w:t>
      </w:r>
      <w:r w:rsidR="00510EBE" w:rsidRPr="00E75964">
        <w:rPr>
          <w:rFonts w:ascii="Garamond" w:hAnsi="Garamond"/>
          <w:sz w:val="24"/>
          <w:szCs w:val="24"/>
        </w:rPr>
        <w:t xml:space="preserve"> </w:t>
      </w:r>
      <w:r w:rsidRPr="00E75964">
        <w:rPr>
          <w:rFonts w:ascii="Garamond" w:hAnsi="Garamond"/>
          <w:sz w:val="24"/>
          <w:szCs w:val="24"/>
        </w:rPr>
        <w:t xml:space="preserve">1) specification requires </w:t>
      </w:r>
      <w:proofErr w:type="gramStart"/>
      <w:r w:rsidRPr="00E75964">
        <w:rPr>
          <w:rFonts w:ascii="Garamond" w:hAnsi="Garamond"/>
          <w:sz w:val="24"/>
          <w:szCs w:val="24"/>
        </w:rPr>
        <w:t xml:space="preserve">that </w:t>
      </w:r>
      <w:proofErr w:type="gramEnd"/>
      <m:oMath>
        <m:d>
          <m:dPr>
            <m:begChr m:val="|"/>
            <m:endChr m:val="|"/>
            <m:ctrlPr>
              <w:rPr>
                <w:rFonts w:ascii="Cambria Math" w:hAnsi="Cambria Math"/>
                <w:i/>
                <w:sz w:val="24"/>
                <w:szCs w:val="24"/>
              </w:rPr>
            </m:ctrlPr>
          </m:dPr>
          <m:e>
            <m:r>
              <w:rPr>
                <w:rFonts w:ascii="Cambria Math" w:hAnsi="Cambria Math"/>
                <w:sz w:val="24"/>
                <w:szCs w:val="24"/>
              </w:rPr>
              <m:t>α+β</m:t>
            </m:r>
          </m:e>
        </m:d>
        <m:r>
          <w:rPr>
            <w:rFonts w:ascii="Cambria Math" w:hAnsi="Cambria Math"/>
            <w:sz w:val="24"/>
            <w:szCs w:val="24"/>
          </w:rPr>
          <m:t>&lt;1</m:t>
        </m:r>
      </m:oMath>
      <w:r w:rsidRPr="00E75964">
        <w:rPr>
          <w:rFonts w:ascii="Garamond" w:hAnsi="Garamond"/>
          <w:sz w:val="24"/>
          <w:szCs w:val="24"/>
        </w:rPr>
        <w:t xml:space="preserve">, in order to prevent the equation variance </w:t>
      </w:r>
      <w:r w:rsidR="00DB6321" w:rsidRPr="00E75964">
        <w:rPr>
          <w:rFonts w:ascii="Garamond" w:hAnsi="Garamond"/>
          <w:sz w:val="24"/>
          <w:szCs w:val="24"/>
        </w:rPr>
        <w:t xml:space="preserve">from </w:t>
      </w:r>
      <w:r w:rsidRPr="00E75964">
        <w:rPr>
          <w:rFonts w:ascii="Garamond" w:hAnsi="Garamond"/>
          <w:sz w:val="24"/>
          <w:szCs w:val="24"/>
        </w:rPr>
        <w:t xml:space="preserve">exploding (Bollerslev, 1986). Furthermore, each of ω, α, and β has to be positive in order to satisfy the non-negativity of conditional variances for each given time </w:t>
      </w:r>
      <w:r w:rsidRPr="00E75964">
        <w:rPr>
          <w:rFonts w:ascii="Garamond" w:hAnsi="Garamond"/>
          <w:i/>
          <w:sz w:val="24"/>
          <w:szCs w:val="24"/>
        </w:rPr>
        <w:t xml:space="preserve">t </w:t>
      </w:r>
      <w:r w:rsidRPr="00E75964">
        <w:rPr>
          <w:rFonts w:ascii="Garamond" w:hAnsi="Garamond"/>
          <w:sz w:val="24"/>
          <w:szCs w:val="24"/>
        </w:rPr>
        <w:t>(Bollerslev, 1986).</w:t>
      </w:r>
    </w:p>
    <w:p w14:paraId="171D05D1" w14:textId="7158C467"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To capture the volatility clustering and conditional variance under the restrictions of being non-negative and non-explosive, we applied various GARCH models by including additional terms in the conditional variance equa</w:t>
      </w:r>
      <w:r w:rsidR="0009774E" w:rsidRPr="00E75964">
        <w:rPr>
          <w:rFonts w:ascii="Garamond" w:hAnsi="Garamond"/>
          <w:sz w:val="24"/>
          <w:szCs w:val="24"/>
        </w:rPr>
        <w:t>tion, e.g. GARCH (1,</w:t>
      </w:r>
      <w:r w:rsidR="00B70892" w:rsidRPr="00E75964">
        <w:rPr>
          <w:rFonts w:ascii="Garamond" w:hAnsi="Garamond"/>
          <w:sz w:val="24"/>
          <w:szCs w:val="24"/>
        </w:rPr>
        <w:t xml:space="preserve"> </w:t>
      </w:r>
      <w:r w:rsidR="0009774E" w:rsidRPr="00E75964">
        <w:rPr>
          <w:rFonts w:ascii="Garamond" w:hAnsi="Garamond"/>
          <w:sz w:val="24"/>
          <w:szCs w:val="24"/>
        </w:rPr>
        <w:t>1), GARCH (</w:t>
      </w:r>
      <w:r w:rsidRPr="00E75964">
        <w:rPr>
          <w:rFonts w:ascii="Garamond" w:hAnsi="Garamond"/>
          <w:sz w:val="24"/>
          <w:szCs w:val="24"/>
        </w:rPr>
        <w:t>2,</w:t>
      </w:r>
      <w:r w:rsidR="00B70892" w:rsidRPr="00E75964">
        <w:rPr>
          <w:rFonts w:ascii="Garamond" w:hAnsi="Garamond"/>
          <w:sz w:val="24"/>
          <w:szCs w:val="24"/>
        </w:rPr>
        <w:t xml:space="preserve"> </w:t>
      </w:r>
      <w:r w:rsidRPr="00E75964">
        <w:rPr>
          <w:rFonts w:ascii="Garamond" w:hAnsi="Garamond"/>
          <w:sz w:val="24"/>
          <w:szCs w:val="24"/>
        </w:rPr>
        <w:t>1), GARCH (2,</w:t>
      </w:r>
      <w:r w:rsidR="00B70892" w:rsidRPr="00E75964">
        <w:rPr>
          <w:rFonts w:ascii="Garamond" w:hAnsi="Garamond"/>
          <w:sz w:val="24"/>
          <w:szCs w:val="24"/>
        </w:rPr>
        <w:t xml:space="preserve"> </w:t>
      </w:r>
      <w:r w:rsidRPr="00E75964">
        <w:rPr>
          <w:rFonts w:ascii="Garamond" w:hAnsi="Garamond"/>
          <w:sz w:val="24"/>
          <w:szCs w:val="24"/>
        </w:rPr>
        <w:t>2), TGARCH, EGARCH, CGARCH, and PARCH for both</w:t>
      </w:r>
      <w:r w:rsidR="00DB6321" w:rsidRPr="00E75964">
        <w:rPr>
          <w:rFonts w:ascii="Garamond" w:hAnsi="Garamond"/>
          <w:sz w:val="24"/>
          <w:szCs w:val="24"/>
        </w:rPr>
        <w:t xml:space="preserve"> equations (</w:t>
      </w:r>
      <w:r w:rsidR="00DC27C5">
        <w:rPr>
          <w:rFonts w:ascii="Garamond" w:hAnsi="Garamond"/>
          <w:sz w:val="24"/>
          <w:szCs w:val="24"/>
        </w:rPr>
        <w:t>2</w:t>
      </w:r>
      <w:r w:rsidR="00DB6321" w:rsidRPr="00E75964">
        <w:rPr>
          <w:rFonts w:ascii="Garamond" w:hAnsi="Garamond"/>
          <w:sz w:val="24"/>
          <w:szCs w:val="24"/>
        </w:rPr>
        <w:t>) and (</w:t>
      </w:r>
      <w:r w:rsidR="00DC27C5">
        <w:rPr>
          <w:rFonts w:ascii="Garamond" w:hAnsi="Garamond"/>
          <w:sz w:val="24"/>
          <w:szCs w:val="24"/>
        </w:rPr>
        <w:t>3</w:t>
      </w:r>
      <w:r w:rsidR="00DB6321" w:rsidRPr="00E75964">
        <w:rPr>
          <w:rFonts w:ascii="Garamond" w:hAnsi="Garamond"/>
          <w:sz w:val="24"/>
          <w:szCs w:val="24"/>
        </w:rPr>
        <w:t>)</w:t>
      </w:r>
      <w:r w:rsidRPr="00E75964">
        <w:rPr>
          <w:rFonts w:ascii="Garamond" w:hAnsi="Garamond"/>
          <w:sz w:val="24"/>
          <w:szCs w:val="24"/>
        </w:rPr>
        <w:t>. The results are not reported here but we identified the Threshold GARCH (TGARCH or GJR-GARCH) as being the most appropriate under these restrictions. The rest of the models are either explosive</w:t>
      </w:r>
      <w:r w:rsidR="00DB6321" w:rsidRPr="00E75964">
        <w:rPr>
          <w:rFonts w:ascii="Garamond" w:hAnsi="Garamond"/>
          <w:sz w:val="24"/>
          <w:szCs w:val="24"/>
        </w:rPr>
        <w:t>, i.e</w:t>
      </w:r>
      <w:proofErr w:type="gramStart"/>
      <w:r w:rsidR="00DB6321" w:rsidRPr="00E75964">
        <w:rPr>
          <w:rFonts w:ascii="Garamond" w:hAnsi="Garamond"/>
          <w:sz w:val="24"/>
          <w:szCs w:val="24"/>
        </w:rPr>
        <w:t>.</w:t>
      </w:r>
      <w:r w:rsidRPr="00E75964">
        <w:rPr>
          <w:rFonts w:ascii="Garamond" w:hAnsi="Garamond"/>
          <w:sz w:val="24"/>
          <w:szCs w:val="24"/>
        </w:rPr>
        <w:t xml:space="preserve"> </w:t>
      </w:r>
      <w:proofErr w:type="gramEnd"/>
      <m:oMath>
        <m:d>
          <m:dPr>
            <m:begChr m:val="|"/>
            <m:endChr m:val="|"/>
            <m:ctrlPr>
              <w:rPr>
                <w:rFonts w:ascii="Cambria Math" w:hAnsi="Cambria Math"/>
                <w:i/>
                <w:sz w:val="24"/>
                <w:szCs w:val="24"/>
              </w:rPr>
            </m:ctrlPr>
          </m:dPr>
          <m:e>
            <m:r>
              <w:rPr>
                <w:rFonts w:ascii="Cambria Math" w:hAnsi="Cambria Math"/>
                <w:sz w:val="24"/>
                <w:szCs w:val="24"/>
              </w:rPr>
              <m:t>α+β</m:t>
            </m:r>
          </m:e>
        </m:d>
        <m:r>
          <w:rPr>
            <w:rFonts w:ascii="Cambria Math" w:hAnsi="Cambria Math"/>
            <w:sz w:val="24"/>
            <w:szCs w:val="24"/>
          </w:rPr>
          <m:t>&gt;1</m:t>
        </m:r>
      </m:oMath>
      <w:r w:rsidRPr="00E75964">
        <w:rPr>
          <w:rFonts w:ascii="Garamond" w:hAnsi="Garamond"/>
          <w:sz w:val="24"/>
          <w:szCs w:val="24"/>
        </w:rPr>
        <w:t xml:space="preserve">, fail to satisfy non-negativity or fail to capture the volatility clustering.  Nevertheless, it is important to mention that the findings </w:t>
      </w:r>
      <w:r w:rsidR="007F3C01" w:rsidRPr="00E75964">
        <w:rPr>
          <w:rFonts w:ascii="Garamond" w:hAnsi="Garamond"/>
          <w:sz w:val="24"/>
          <w:szCs w:val="24"/>
        </w:rPr>
        <w:t>on</w:t>
      </w:r>
      <w:r w:rsidRPr="00E75964">
        <w:rPr>
          <w:rFonts w:ascii="Garamond" w:hAnsi="Garamond"/>
          <w:sz w:val="24"/>
          <w:szCs w:val="24"/>
        </w:rPr>
        <w:t xml:space="preserve"> the weekend effect on the returns and volatility equations remain robust under each of the GARCH processes.</w:t>
      </w:r>
    </w:p>
    <w:p w14:paraId="4F74D1AE" w14:textId="77777777"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The GJR model is a simple extension of GARCH with an additional term added to account for possible asymmetries (see Glosten</w:t>
      </w:r>
      <w:r w:rsidR="00CA2F95" w:rsidRPr="00E75964">
        <w:rPr>
          <w:rFonts w:ascii="Garamond" w:hAnsi="Garamond"/>
          <w:sz w:val="24"/>
          <w:szCs w:val="24"/>
        </w:rPr>
        <w:t xml:space="preserve"> et al.</w:t>
      </w:r>
      <w:r w:rsidRPr="00E75964">
        <w:rPr>
          <w:rFonts w:ascii="Garamond" w:hAnsi="Garamond"/>
          <w:sz w:val="24"/>
          <w:szCs w:val="24"/>
        </w:rPr>
        <w:t>, 1993). The leveraging effect allows us to differentiate between good news (increased stock prices) and bad news (decreased stock prices). The conditional variance under the first specification, to see the weekend effect in returns, is now given by</w:t>
      </w:r>
    </w:p>
    <w:p w14:paraId="4F9CE73D" w14:textId="3B54939D" w:rsidR="00CE65B6" w:rsidRPr="00E75964" w:rsidRDefault="004D62C3" w:rsidP="00CD604B">
      <w:pPr>
        <w:spacing w:line="360" w:lineRule="auto"/>
        <w:jc w:val="both"/>
        <w:rPr>
          <w:rFonts w:ascii="Garamond" w:hAnsi="Garamond"/>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m:t>
            </m:r>
          </m:sub>
        </m:sSub>
        <m:r>
          <w:rPr>
            <w:rFonts w:ascii="Cambria Math" w:hAnsi="Cambria Math"/>
            <w:sz w:val="24"/>
            <w:szCs w:val="24"/>
          </w:rPr>
          <m:t>=ω+α</m:t>
        </m:r>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+β</m:t>
        </m:r>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+γ</m:t>
        </m:r>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t-1</m:t>
            </m:r>
          </m:sub>
          <m:sup>
            <m:r>
              <w:rPr>
                <w:rFonts w:ascii="Cambria Math" w:hAnsi="Cambria Math"/>
                <w:sz w:val="24"/>
                <w:szCs w:val="24"/>
              </w:rPr>
              <m:t>2</m:t>
            </m:r>
          </m:sup>
        </m:sSubSup>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t-1</m:t>
            </m:r>
          </m:sub>
        </m:sSub>
      </m:oMath>
      <w:r w:rsidR="00CE65B6" w:rsidRPr="00E75964">
        <w:rPr>
          <w:rFonts w:ascii="Garamond" w:hAnsi="Garamond"/>
          <w:sz w:val="24"/>
          <w:szCs w:val="24"/>
        </w:rPr>
        <w:t xml:space="preserve"> </w:t>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r>
      <w:r w:rsidR="00CE65B6" w:rsidRPr="00E75964">
        <w:rPr>
          <w:rFonts w:ascii="Garamond" w:hAnsi="Garamond"/>
          <w:sz w:val="24"/>
          <w:szCs w:val="24"/>
        </w:rPr>
        <w:tab/>
        <w:t>(</w:t>
      </w:r>
      <w:r w:rsidR="006B58F0">
        <w:rPr>
          <w:rFonts w:ascii="Garamond" w:hAnsi="Garamond"/>
          <w:sz w:val="24"/>
          <w:szCs w:val="24"/>
        </w:rPr>
        <w:t>9</w:t>
      </w:r>
      <w:r w:rsidR="00CE65B6" w:rsidRPr="00E75964">
        <w:rPr>
          <w:rFonts w:ascii="Garamond" w:hAnsi="Garamond"/>
          <w:sz w:val="24"/>
          <w:szCs w:val="24"/>
        </w:rPr>
        <w:t>)</w:t>
      </w:r>
    </w:p>
    <w:p w14:paraId="515FDFA2" w14:textId="0D57DA77"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Where </w:t>
      </w: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t-1</m:t>
            </m:r>
          </m:sub>
        </m:sSub>
        <m:r>
          <w:rPr>
            <w:rFonts w:ascii="Cambria Math" w:hAnsi="Cambria Math"/>
            <w:sz w:val="24"/>
            <w:szCs w:val="24"/>
          </w:rPr>
          <m:t xml:space="preserve">=1 </m:t>
        </m:r>
        <m:r>
          <m:rPr>
            <m:sty m:val="p"/>
          </m:rPr>
          <w:rPr>
            <w:rFonts w:ascii="Cambria Math" w:hAnsi="Cambria Math"/>
            <w:sz w:val="24"/>
            <w:szCs w:val="24"/>
          </w:rPr>
          <m:t>if</m:t>
        </m:r>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t-1</m:t>
            </m:r>
          </m:sub>
        </m:sSub>
        <m:r>
          <w:rPr>
            <w:rFonts w:ascii="Cambria Math" w:hAnsi="Cambria Math"/>
            <w:sz w:val="24"/>
            <w:szCs w:val="24"/>
          </w:rPr>
          <m:t xml:space="preserve">&lt;0 or </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t-1</m:t>
            </m:r>
          </m:sub>
        </m:sSub>
        <m:r>
          <w:rPr>
            <w:rFonts w:ascii="Cambria Math" w:hAnsi="Cambria Math"/>
            <w:sz w:val="24"/>
            <w:szCs w:val="24"/>
          </w:rPr>
          <m:t>=0</m:t>
        </m:r>
        <m:r>
          <m:rPr>
            <m:sty m:val="p"/>
          </m:rPr>
          <w:rPr>
            <w:rFonts w:ascii="Cambria Math" w:hAnsi="Cambria Math"/>
            <w:sz w:val="24"/>
            <w:szCs w:val="24"/>
          </w:rPr>
          <m:t xml:space="preserve">  </m:t>
        </m:r>
      </m:oMath>
      <w:r w:rsidRPr="00E75964">
        <w:rPr>
          <w:rFonts w:ascii="Garamond" w:hAnsi="Garamond"/>
          <w:sz w:val="24"/>
          <w:szCs w:val="24"/>
        </w:rPr>
        <w:t>otherwise</w:t>
      </w:r>
      <w:r w:rsidR="007F3C01" w:rsidRPr="00E75964">
        <w:rPr>
          <w:rFonts w:ascii="Garamond" w:hAnsi="Garamond"/>
          <w:sz w:val="24"/>
          <w:szCs w:val="24"/>
        </w:rPr>
        <w:t>.</w:t>
      </w:r>
    </w:p>
    <w:p w14:paraId="661326D6" w14:textId="46B5D0D8" w:rsidR="00CE65B6" w:rsidRPr="00E75964" w:rsidRDefault="00C3685D" w:rsidP="00CD604B">
      <w:pPr>
        <w:spacing w:line="360" w:lineRule="auto"/>
        <w:jc w:val="both"/>
        <w:rPr>
          <w:rFonts w:ascii="Garamond" w:hAnsi="Garamond"/>
          <w:sz w:val="24"/>
          <w:szCs w:val="24"/>
        </w:rPr>
      </w:pPr>
      <w:r w:rsidRPr="00E75964">
        <w:rPr>
          <w:rFonts w:ascii="Garamond" w:hAnsi="Garamond"/>
          <w:sz w:val="24"/>
          <w:szCs w:val="24"/>
        </w:rPr>
        <w:t>Here,</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m:t>
            </m:r>
          </m:sub>
        </m:sSub>
      </m:oMath>
      <w:r w:rsidRPr="00E75964">
        <w:rPr>
          <w:rFonts w:ascii="Garamond" w:hAnsi="Garamond"/>
          <w:sz w:val="24"/>
          <w:szCs w:val="24"/>
        </w:rPr>
        <w:t xml:space="preserve"> is still the conditional variance. </w:t>
      </w:r>
      <w:r w:rsidR="00CE65B6" w:rsidRPr="00E75964">
        <w:rPr>
          <w:rFonts w:ascii="Garamond" w:hAnsi="Garamond"/>
          <w:sz w:val="24"/>
          <w:szCs w:val="24"/>
        </w:rPr>
        <w:t>For a leveraging effect</w:t>
      </w:r>
      <w:proofErr w:type="gramStart"/>
      <w:r w:rsidR="00CE65B6" w:rsidRPr="00E75964">
        <w:rPr>
          <w:rFonts w:ascii="Garamond" w:hAnsi="Garamond"/>
          <w:sz w:val="24"/>
          <w:szCs w:val="24"/>
        </w:rPr>
        <w:t xml:space="preserve">, </w:t>
      </w:r>
      <w:proofErr w:type="gramEnd"/>
      <m:oMath>
        <m:r>
          <w:rPr>
            <w:rFonts w:ascii="Cambria Math" w:hAnsi="Cambria Math"/>
            <w:sz w:val="24"/>
            <w:szCs w:val="24"/>
          </w:rPr>
          <m:t>γ&gt;0</m:t>
        </m:r>
      </m:oMath>
      <w:r w:rsidR="00CE65B6" w:rsidRPr="00E75964">
        <w:rPr>
          <w:rFonts w:ascii="Garamond" w:hAnsi="Garamond"/>
          <w:sz w:val="24"/>
          <w:szCs w:val="24"/>
        </w:rPr>
        <w:t xml:space="preserve">, and the condition for non-negativity is </w:t>
      </w:r>
      <m:oMath>
        <m:r>
          <w:rPr>
            <w:rFonts w:ascii="Cambria Math" w:hAnsi="Cambria Math"/>
            <w:sz w:val="24"/>
            <w:szCs w:val="24"/>
          </w:rPr>
          <m:t>ω&gt;0,  α&gt;0</m:t>
        </m:r>
      </m:oMath>
      <w:r w:rsidR="00CE65B6" w:rsidRPr="00E75964">
        <w:rPr>
          <w:rFonts w:ascii="Garamond" w:hAnsi="Garamond"/>
          <w:sz w:val="24"/>
          <w:szCs w:val="24"/>
        </w:rPr>
        <w:t xml:space="preserve">, </w:t>
      </w:r>
      <m:oMath>
        <m:r>
          <w:rPr>
            <w:rFonts w:ascii="Cambria Math" w:hAnsi="Cambria Math"/>
            <w:sz w:val="24"/>
            <w:szCs w:val="24"/>
          </w:rPr>
          <m:t>β≥0</m:t>
        </m:r>
      </m:oMath>
      <w:r w:rsidR="00CE65B6" w:rsidRPr="00E75964">
        <w:rPr>
          <w:rFonts w:ascii="Garamond" w:hAnsi="Garamond"/>
          <w:sz w:val="24"/>
          <w:szCs w:val="24"/>
        </w:rPr>
        <w:t xml:space="preserve"> and </w:t>
      </w:r>
      <m:oMath>
        <m:r>
          <w:rPr>
            <w:rFonts w:ascii="Cambria Math" w:hAnsi="Cambria Math"/>
            <w:sz w:val="24"/>
            <w:szCs w:val="24"/>
          </w:rPr>
          <m:t>α+γ≥0</m:t>
        </m:r>
      </m:oMath>
      <w:r w:rsidR="00CE65B6" w:rsidRPr="00E75964">
        <w:rPr>
          <w:rFonts w:ascii="Garamond" w:hAnsi="Garamond"/>
          <w:sz w:val="24"/>
          <w:szCs w:val="24"/>
        </w:rPr>
        <w:t>.</w:t>
      </w:r>
    </w:p>
    <w:p w14:paraId="15A2543C" w14:textId="2F24D763" w:rsidR="00C3685D"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To examine the weekend effect on both returns and volatility we identified a modified GARCH process following the </w:t>
      </w:r>
      <w:r w:rsidR="00C3685D" w:rsidRPr="00E75964">
        <w:rPr>
          <w:rFonts w:ascii="Garamond" w:hAnsi="Garamond"/>
          <w:sz w:val="24"/>
          <w:szCs w:val="24"/>
        </w:rPr>
        <w:t>T</w:t>
      </w:r>
      <w:r w:rsidRPr="00E75964">
        <w:rPr>
          <w:rFonts w:ascii="Garamond" w:hAnsi="Garamond"/>
          <w:sz w:val="24"/>
          <w:szCs w:val="24"/>
        </w:rPr>
        <w:t>GARCH (1,</w:t>
      </w:r>
      <w:r w:rsidR="00E952CB" w:rsidRPr="00E75964">
        <w:rPr>
          <w:rFonts w:ascii="Garamond" w:hAnsi="Garamond"/>
          <w:sz w:val="24"/>
          <w:szCs w:val="24"/>
        </w:rPr>
        <w:t xml:space="preserve"> </w:t>
      </w:r>
      <w:r w:rsidRPr="00E75964">
        <w:rPr>
          <w:rFonts w:ascii="Garamond" w:hAnsi="Garamond"/>
          <w:sz w:val="24"/>
          <w:szCs w:val="24"/>
        </w:rPr>
        <w:t xml:space="preserve">1) model. </w:t>
      </w:r>
      <w:r w:rsidR="00C3685D" w:rsidRPr="00E75964">
        <w:rPr>
          <w:rFonts w:ascii="Garamond" w:hAnsi="Garamond"/>
          <w:sz w:val="24"/>
          <w:szCs w:val="24"/>
        </w:rPr>
        <w:t>T</w:t>
      </w:r>
      <w:r w:rsidRPr="00E75964">
        <w:rPr>
          <w:rFonts w:ascii="Garamond" w:hAnsi="Garamond"/>
          <w:sz w:val="24"/>
          <w:szCs w:val="24"/>
        </w:rPr>
        <w:t>he modified model i</w:t>
      </w:r>
      <w:r w:rsidR="00C3685D" w:rsidRPr="00E75964">
        <w:rPr>
          <w:rFonts w:ascii="Garamond" w:hAnsi="Garamond"/>
          <w:sz w:val="24"/>
          <w:szCs w:val="24"/>
        </w:rPr>
        <w:t>s</w:t>
      </w:r>
    </w:p>
    <w:p w14:paraId="09D75E94" w14:textId="3CC50F83" w:rsidR="00CE65B6" w:rsidRPr="00E75964" w:rsidRDefault="004D62C3" w:rsidP="00CD604B">
      <w:pPr>
        <w:spacing w:line="360" w:lineRule="auto"/>
        <w:jc w:val="both"/>
        <w:rPr>
          <w:rFonts w:ascii="Garamond" w:hAnsi="Garamond"/>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t</m:t>
            </m:r>
          </m:sub>
        </m:sSub>
        <m:r>
          <w:rPr>
            <w:rFonts w:ascii="Cambria Math" w:hAnsi="Cambria Math"/>
            <w:sz w:val="24"/>
            <w:szCs w:val="24"/>
          </w:rPr>
          <m:t>=ω+α</m:t>
        </m:r>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+β</m:t>
        </m:r>
        <m:sSubSup>
          <m:sSubSupPr>
            <m:ctrlPr>
              <w:rPr>
                <w:rFonts w:ascii="Cambria Math" w:hAnsi="Cambria Math"/>
                <w:i/>
                <w:sz w:val="24"/>
                <w:szCs w:val="24"/>
              </w:rPr>
            </m:ctrlPr>
          </m:sSubSupPr>
          <m:e>
            <m:r>
              <w:rPr>
                <w:rFonts w:ascii="Cambria Math" w:hAnsi="Cambria Math"/>
                <w:sz w:val="24"/>
                <w:szCs w:val="24"/>
              </w:rPr>
              <m:t>h</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+γ</m:t>
        </m:r>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t-1</m:t>
            </m:r>
          </m:sub>
          <m:sup>
            <m:r>
              <w:rPr>
                <w:rFonts w:ascii="Cambria Math" w:hAnsi="Cambria Math"/>
                <w:sz w:val="24"/>
                <w:szCs w:val="24"/>
              </w:rPr>
              <m:t>2</m:t>
            </m:r>
          </m:sup>
        </m:sSubSup>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t-1</m:t>
            </m:r>
          </m:sub>
        </m:sSub>
        <m:r>
          <w:rPr>
            <w:rFonts w:ascii="Cambria Math" w:hAnsi="Cambria Math"/>
            <w:sz w:val="24"/>
            <w:szCs w:val="24"/>
          </w:rPr>
          <m:t>+Sun</m:t>
        </m:r>
        <m:sSub>
          <m:sSubPr>
            <m:ctrlPr>
              <w:rPr>
                <w:rFonts w:ascii="Cambria Math" w:hAnsi="Cambria Math"/>
                <w:i/>
                <w:sz w:val="24"/>
                <w:szCs w:val="24"/>
              </w:rPr>
            </m:ctrlPr>
          </m:sSubPr>
          <m:e>
            <m:r>
              <w:rPr>
                <w:rFonts w:ascii="Cambria Math" w:hAnsi="Cambria Math"/>
                <w:sz w:val="24"/>
                <w:szCs w:val="24"/>
              </w:rPr>
              <m:t xml:space="preserve"> π</m:t>
            </m:r>
          </m:e>
          <m:sub>
            <m:r>
              <w:rPr>
                <w:rFonts w:ascii="Cambria Math" w:hAnsi="Cambria Math"/>
                <w:sz w:val="24"/>
                <w:szCs w:val="24"/>
              </w:rPr>
              <m:t>1</m:t>
            </m:r>
          </m:sub>
        </m:sSub>
        <m:r>
          <w:rPr>
            <w:rFonts w:ascii="Cambria Math" w:hAnsi="Cambria Math"/>
            <w:sz w:val="24"/>
            <w:szCs w:val="24"/>
          </w:rPr>
          <m:t xml:space="preserve">+Mon </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2</m:t>
            </m:r>
          </m:sub>
        </m:sSub>
        <m:r>
          <w:rPr>
            <w:rFonts w:ascii="Cambria Math" w:hAnsi="Cambria Math"/>
            <w:sz w:val="24"/>
            <w:szCs w:val="24"/>
          </w:rPr>
          <m:t xml:space="preserve">+Wed </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3</m:t>
            </m:r>
          </m:sub>
        </m:sSub>
        <m:r>
          <w:rPr>
            <w:rFonts w:ascii="Cambria Math" w:hAnsi="Cambria Math"/>
            <w:sz w:val="24"/>
            <w:szCs w:val="24"/>
          </w:rPr>
          <m:t xml:space="preserve">+Thu </m:t>
        </m:r>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4</m:t>
            </m:r>
          </m:sub>
        </m:sSub>
      </m:oMath>
      <w:r w:rsidR="00CE65B6" w:rsidRPr="00E75964">
        <w:rPr>
          <w:rFonts w:ascii="Garamond" w:hAnsi="Garamond"/>
          <w:sz w:val="24"/>
          <w:szCs w:val="24"/>
        </w:rPr>
        <w:t xml:space="preserve"> </w:t>
      </w:r>
      <w:r w:rsidR="00C3685D" w:rsidRPr="00E75964">
        <w:rPr>
          <w:rFonts w:ascii="Garamond" w:hAnsi="Garamond"/>
          <w:sz w:val="24"/>
          <w:szCs w:val="24"/>
        </w:rPr>
        <w:tab/>
      </w:r>
      <w:r w:rsidR="00C3685D" w:rsidRPr="00E75964">
        <w:rPr>
          <w:rFonts w:ascii="Garamond" w:hAnsi="Garamond"/>
          <w:sz w:val="24"/>
          <w:szCs w:val="24"/>
        </w:rPr>
        <w:tab/>
        <w:t>(</w:t>
      </w:r>
      <w:r w:rsidR="006B58F0">
        <w:rPr>
          <w:rFonts w:ascii="Garamond" w:hAnsi="Garamond"/>
          <w:sz w:val="24"/>
          <w:szCs w:val="24"/>
        </w:rPr>
        <w:t>10</w:t>
      </w:r>
      <w:r w:rsidR="00C3685D" w:rsidRPr="00E75964">
        <w:rPr>
          <w:rFonts w:ascii="Garamond" w:hAnsi="Garamond"/>
          <w:sz w:val="24"/>
          <w:szCs w:val="24"/>
        </w:rPr>
        <w:t>)</w:t>
      </w:r>
    </w:p>
    <w:p w14:paraId="2653FEB4" w14:textId="77F651F3" w:rsidR="00CE65B6" w:rsidRPr="00E75964" w:rsidRDefault="00A00548" w:rsidP="00CD604B">
      <w:pPr>
        <w:spacing w:line="360" w:lineRule="auto"/>
        <w:jc w:val="both"/>
        <w:rPr>
          <w:rFonts w:ascii="Garamond" w:hAnsi="Garamond"/>
          <w:sz w:val="24"/>
          <w:szCs w:val="24"/>
        </w:rPr>
      </w:pPr>
      <w:r w:rsidRPr="00E75964">
        <w:rPr>
          <w:rFonts w:ascii="Garamond" w:hAnsi="Garamond"/>
          <w:sz w:val="24"/>
          <w:szCs w:val="24"/>
        </w:rPr>
        <w:t>The d</w:t>
      </w:r>
      <w:r w:rsidR="00C3685D" w:rsidRPr="00E75964">
        <w:rPr>
          <w:rFonts w:ascii="Garamond" w:hAnsi="Garamond"/>
          <w:sz w:val="24"/>
          <w:szCs w:val="24"/>
        </w:rPr>
        <w:t xml:space="preserve">efinition </w:t>
      </w:r>
      <w:r w:rsidRPr="00E75964">
        <w:rPr>
          <w:rFonts w:ascii="Garamond" w:hAnsi="Garamond"/>
          <w:sz w:val="24"/>
          <w:szCs w:val="24"/>
        </w:rPr>
        <w:t xml:space="preserve">of </w:t>
      </w:r>
      <w:r w:rsidR="00C3685D" w:rsidRPr="00E75964">
        <w:rPr>
          <w:rFonts w:ascii="Garamond" w:hAnsi="Garamond"/>
          <w:sz w:val="24"/>
          <w:szCs w:val="24"/>
        </w:rPr>
        <w:t xml:space="preserve">and conditions </w:t>
      </w:r>
      <w:r w:rsidR="00716188" w:rsidRPr="00E75964">
        <w:rPr>
          <w:rFonts w:ascii="Garamond" w:hAnsi="Garamond"/>
          <w:sz w:val="24"/>
          <w:szCs w:val="24"/>
        </w:rPr>
        <w:t>in</w:t>
      </w:r>
      <w:r w:rsidR="00C3685D" w:rsidRPr="00E75964">
        <w:rPr>
          <w:rFonts w:ascii="Garamond" w:hAnsi="Garamond"/>
          <w:sz w:val="24"/>
          <w:szCs w:val="24"/>
        </w:rPr>
        <w:t xml:space="preserve"> model (</w:t>
      </w:r>
      <w:r w:rsidR="006B58F0">
        <w:rPr>
          <w:rFonts w:ascii="Garamond" w:hAnsi="Garamond"/>
          <w:sz w:val="24"/>
          <w:szCs w:val="24"/>
        </w:rPr>
        <w:t>10</w:t>
      </w:r>
      <w:r w:rsidR="00C3685D" w:rsidRPr="00E75964">
        <w:rPr>
          <w:rFonts w:ascii="Garamond" w:hAnsi="Garamond"/>
          <w:sz w:val="24"/>
          <w:szCs w:val="24"/>
        </w:rPr>
        <w:t xml:space="preserve">) </w:t>
      </w:r>
      <w:r w:rsidR="00716188" w:rsidRPr="00E75964">
        <w:rPr>
          <w:rFonts w:ascii="Garamond" w:hAnsi="Garamond"/>
          <w:sz w:val="24"/>
          <w:szCs w:val="24"/>
        </w:rPr>
        <w:t>remain</w:t>
      </w:r>
      <w:r w:rsidR="00C3685D" w:rsidRPr="00E75964">
        <w:rPr>
          <w:rFonts w:ascii="Garamond" w:hAnsi="Garamond"/>
          <w:sz w:val="24"/>
          <w:szCs w:val="24"/>
        </w:rPr>
        <w:t xml:space="preserve"> similar to equation (</w:t>
      </w:r>
      <w:r w:rsidR="006B58F0">
        <w:rPr>
          <w:rFonts w:ascii="Garamond" w:hAnsi="Garamond"/>
          <w:sz w:val="24"/>
          <w:szCs w:val="24"/>
        </w:rPr>
        <w:t>9</w:t>
      </w:r>
      <w:r w:rsidR="00C3685D" w:rsidRPr="00E75964">
        <w:rPr>
          <w:rFonts w:ascii="Garamond" w:hAnsi="Garamond"/>
          <w:sz w:val="24"/>
          <w:szCs w:val="24"/>
        </w:rPr>
        <w:t xml:space="preserve">). </w:t>
      </w:r>
      <w:r w:rsidR="00716188" w:rsidRPr="00E75964">
        <w:rPr>
          <w:rFonts w:ascii="Garamond" w:hAnsi="Garamond"/>
          <w:sz w:val="24"/>
          <w:szCs w:val="24"/>
        </w:rPr>
        <w:t>W</w:t>
      </w:r>
      <w:r w:rsidR="00C3685D" w:rsidRPr="00E75964">
        <w:rPr>
          <w:rFonts w:ascii="Garamond" w:hAnsi="Garamond"/>
          <w:sz w:val="24"/>
          <w:szCs w:val="24"/>
        </w:rPr>
        <w:t>e drop</w:t>
      </w:r>
      <w:r w:rsidR="00CE65B6" w:rsidRPr="00E75964">
        <w:rPr>
          <w:rFonts w:ascii="Garamond" w:hAnsi="Garamond"/>
          <w:sz w:val="24"/>
          <w:szCs w:val="24"/>
        </w:rPr>
        <w:t xml:space="preserve"> Tuesday </w:t>
      </w:r>
      <w:r w:rsidR="00C3685D" w:rsidRPr="00E75964">
        <w:rPr>
          <w:rFonts w:ascii="Garamond" w:hAnsi="Garamond"/>
          <w:sz w:val="24"/>
          <w:szCs w:val="24"/>
        </w:rPr>
        <w:t xml:space="preserve">from the model </w:t>
      </w:r>
      <w:r w:rsidR="00CE65B6" w:rsidRPr="00E75964">
        <w:rPr>
          <w:rFonts w:ascii="Garamond" w:hAnsi="Garamond"/>
          <w:sz w:val="24"/>
          <w:szCs w:val="24"/>
        </w:rPr>
        <w:t>to avoid the dummy variable trap</w:t>
      </w:r>
      <w:r w:rsidR="00C3685D" w:rsidRPr="00E75964">
        <w:rPr>
          <w:rFonts w:ascii="Garamond" w:hAnsi="Garamond"/>
          <w:sz w:val="24"/>
          <w:szCs w:val="24"/>
        </w:rPr>
        <w:t xml:space="preserve"> and also </w:t>
      </w:r>
      <w:r w:rsidR="00CE65B6" w:rsidRPr="00E75964">
        <w:rPr>
          <w:rFonts w:ascii="Garamond" w:hAnsi="Garamond"/>
          <w:sz w:val="24"/>
          <w:szCs w:val="24"/>
        </w:rPr>
        <w:t xml:space="preserve">assume that the conditional distribution of the error term follows the </w:t>
      </w:r>
      <w:r w:rsidR="000B5EA8">
        <w:rPr>
          <w:rFonts w:ascii="Garamond" w:hAnsi="Garamond"/>
          <w:sz w:val="24"/>
          <w:szCs w:val="24"/>
        </w:rPr>
        <w:t>Gaussian error distribution</w:t>
      </w:r>
      <w:r w:rsidR="00197800" w:rsidRPr="00E75964">
        <w:rPr>
          <w:rFonts w:ascii="Garamond" w:hAnsi="Garamond"/>
          <w:sz w:val="24"/>
          <w:szCs w:val="24"/>
        </w:rPr>
        <w:t>.</w:t>
      </w:r>
    </w:p>
    <w:p w14:paraId="7F5EF5EF" w14:textId="79989B32" w:rsidR="00CE65B6" w:rsidRPr="00E75964" w:rsidRDefault="00A00548" w:rsidP="00CD604B">
      <w:pPr>
        <w:spacing w:line="360" w:lineRule="auto"/>
        <w:jc w:val="both"/>
        <w:rPr>
          <w:rFonts w:ascii="Garamond" w:hAnsi="Garamond"/>
          <w:sz w:val="24"/>
          <w:szCs w:val="24"/>
        </w:rPr>
      </w:pPr>
      <w:r w:rsidRPr="00E75964">
        <w:rPr>
          <w:rFonts w:ascii="Garamond" w:hAnsi="Garamond"/>
          <w:sz w:val="24"/>
          <w:szCs w:val="24"/>
        </w:rPr>
        <w:lastRenderedPageBreak/>
        <w:t>C</w:t>
      </w:r>
      <w:r w:rsidR="00CE65B6" w:rsidRPr="00E75964">
        <w:rPr>
          <w:rFonts w:ascii="Garamond" w:hAnsi="Garamond"/>
          <w:sz w:val="24"/>
          <w:szCs w:val="24"/>
        </w:rPr>
        <w:t>olumn</w:t>
      </w:r>
      <w:r w:rsidR="00C57E03" w:rsidRPr="00E75964">
        <w:rPr>
          <w:rFonts w:ascii="Garamond" w:hAnsi="Garamond"/>
          <w:sz w:val="24"/>
          <w:szCs w:val="24"/>
        </w:rPr>
        <w:t xml:space="preserve"> (3)</w:t>
      </w:r>
      <w:r w:rsidR="00CE65B6" w:rsidRPr="00E75964">
        <w:rPr>
          <w:rFonts w:ascii="Garamond" w:hAnsi="Garamond"/>
          <w:sz w:val="24"/>
          <w:szCs w:val="24"/>
        </w:rPr>
        <w:t xml:space="preserve"> of Table </w:t>
      </w:r>
      <w:r w:rsidR="00AE3904" w:rsidRPr="00E75964">
        <w:rPr>
          <w:rFonts w:ascii="Garamond" w:hAnsi="Garamond"/>
          <w:sz w:val="24"/>
          <w:szCs w:val="24"/>
        </w:rPr>
        <w:t>3</w:t>
      </w:r>
      <w:r w:rsidR="00CE65B6" w:rsidRPr="00E75964">
        <w:rPr>
          <w:rFonts w:ascii="Garamond" w:hAnsi="Garamond"/>
          <w:sz w:val="24"/>
          <w:szCs w:val="24"/>
        </w:rPr>
        <w:t xml:space="preserve"> reports the results of our GJR-GARCH estimation. The time-varying conditional variance is allowed to follow a TGARCH specification to see the possible weekend effect on returns. The lowest returns are observed on Sunday (-0.</w:t>
      </w:r>
      <w:r w:rsidR="00181864" w:rsidRPr="00E75964">
        <w:rPr>
          <w:rFonts w:ascii="Garamond" w:hAnsi="Garamond"/>
          <w:sz w:val="24"/>
          <w:szCs w:val="24"/>
        </w:rPr>
        <w:t>1</w:t>
      </w:r>
      <w:r w:rsidR="00C57E03" w:rsidRPr="00E75964">
        <w:rPr>
          <w:rFonts w:ascii="Garamond" w:hAnsi="Garamond"/>
          <w:sz w:val="24"/>
          <w:szCs w:val="24"/>
        </w:rPr>
        <w:t>2</w:t>
      </w:r>
      <w:r w:rsidR="001A4A8E" w:rsidRPr="00E75964">
        <w:rPr>
          <w:rFonts w:ascii="Garamond" w:hAnsi="Garamond"/>
          <w:sz w:val="24"/>
          <w:szCs w:val="24"/>
        </w:rPr>
        <w:t>%</w:t>
      </w:r>
      <w:r w:rsidR="00CE65B6" w:rsidRPr="00E75964">
        <w:rPr>
          <w:rFonts w:ascii="Garamond" w:hAnsi="Garamond"/>
          <w:sz w:val="24"/>
          <w:szCs w:val="24"/>
        </w:rPr>
        <w:t xml:space="preserve">) and the highest returns on </w:t>
      </w:r>
      <w:r w:rsidR="00C57E03" w:rsidRPr="00E75964">
        <w:rPr>
          <w:rFonts w:ascii="Garamond" w:hAnsi="Garamond"/>
          <w:sz w:val="24"/>
          <w:szCs w:val="24"/>
        </w:rPr>
        <w:t>Wednes</w:t>
      </w:r>
      <w:r w:rsidR="00CE65B6" w:rsidRPr="00E75964">
        <w:rPr>
          <w:rFonts w:ascii="Garamond" w:hAnsi="Garamond"/>
          <w:sz w:val="24"/>
          <w:szCs w:val="24"/>
        </w:rPr>
        <w:t>day (0.</w:t>
      </w:r>
      <w:r w:rsidR="00C57E03" w:rsidRPr="00E75964">
        <w:rPr>
          <w:rFonts w:ascii="Garamond" w:hAnsi="Garamond"/>
          <w:sz w:val="24"/>
          <w:szCs w:val="24"/>
        </w:rPr>
        <w:t>1</w:t>
      </w:r>
      <w:r w:rsidRPr="00E75964">
        <w:rPr>
          <w:rFonts w:ascii="Garamond" w:hAnsi="Garamond"/>
          <w:sz w:val="24"/>
          <w:szCs w:val="24"/>
        </w:rPr>
        <w:t>9</w:t>
      </w:r>
      <w:r w:rsidR="00CE65B6" w:rsidRPr="00E75964">
        <w:rPr>
          <w:rFonts w:ascii="Garamond" w:hAnsi="Garamond"/>
          <w:sz w:val="24"/>
          <w:szCs w:val="24"/>
        </w:rPr>
        <w:t>%)</w:t>
      </w:r>
      <w:r w:rsidRPr="00E75964">
        <w:rPr>
          <w:rFonts w:ascii="Garamond" w:hAnsi="Garamond"/>
          <w:sz w:val="24"/>
          <w:szCs w:val="24"/>
        </w:rPr>
        <w:t>. T</w:t>
      </w:r>
      <w:r w:rsidR="00181864" w:rsidRPr="00E75964">
        <w:rPr>
          <w:rFonts w:ascii="Garamond" w:hAnsi="Garamond"/>
          <w:sz w:val="24"/>
          <w:szCs w:val="24"/>
        </w:rPr>
        <w:t xml:space="preserve">hey are also </w:t>
      </w:r>
      <w:r w:rsidR="00CE65B6" w:rsidRPr="00E75964">
        <w:rPr>
          <w:rFonts w:ascii="Garamond" w:hAnsi="Garamond"/>
          <w:sz w:val="24"/>
          <w:szCs w:val="24"/>
        </w:rPr>
        <w:t>statistically significant</w:t>
      </w:r>
      <w:r w:rsidR="00C57E03" w:rsidRPr="00E75964">
        <w:rPr>
          <w:rFonts w:ascii="Garamond" w:hAnsi="Garamond"/>
          <w:sz w:val="24"/>
          <w:szCs w:val="24"/>
        </w:rPr>
        <w:t xml:space="preserve"> in </w:t>
      </w:r>
      <w:r w:rsidRPr="00E75964">
        <w:rPr>
          <w:rFonts w:ascii="Garamond" w:hAnsi="Garamond"/>
          <w:sz w:val="24"/>
          <w:szCs w:val="24"/>
        </w:rPr>
        <w:t xml:space="preserve">the </w:t>
      </w:r>
      <w:r w:rsidR="00C57E03" w:rsidRPr="00E75964">
        <w:rPr>
          <w:rFonts w:ascii="Garamond" w:hAnsi="Garamond"/>
          <w:sz w:val="24"/>
          <w:szCs w:val="24"/>
        </w:rPr>
        <w:t>return</w:t>
      </w:r>
      <w:r w:rsidRPr="00E75964">
        <w:rPr>
          <w:rFonts w:ascii="Garamond" w:hAnsi="Garamond"/>
          <w:sz w:val="24"/>
          <w:szCs w:val="24"/>
        </w:rPr>
        <w:t>s</w:t>
      </w:r>
      <w:r w:rsidR="00C57E03" w:rsidRPr="00E75964">
        <w:rPr>
          <w:rFonts w:ascii="Garamond" w:hAnsi="Garamond"/>
          <w:sz w:val="24"/>
          <w:szCs w:val="24"/>
        </w:rPr>
        <w:t xml:space="preserve"> equation</w:t>
      </w:r>
      <w:r w:rsidR="00CE65B6" w:rsidRPr="00E75964">
        <w:rPr>
          <w:rFonts w:ascii="Garamond" w:hAnsi="Garamond"/>
          <w:sz w:val="24"/>
          <w:szCs w:val="24"/>
        </w:rPr>
        <w:t>. This finding is similar to our previous OLS estimation and is in line with existing literature. In the variance part, the estimated coefficients of the constant term, the coefficient of the lagged value of the square residual (0.</w:t>
      </w:r>
      <w:r w:rsidR="00181864" w:rsidRPr="00E75964">
        <w:rPr>
          <w:rFonts w:ascii="Garamond" w:hAnsi="Garamond"/>
          <w:sz w:val="24"/>
          <w:szCs w:val="24"/>
        </w:rPr>
        <w:t>03</w:t>
      </w:r>
      <w:r w:rsidR="00CE65B6" w:rsidRPr="00E75964">
        <w:rPr>
          <w:rFonts w:ascii="Garamond" w:hAnsi="Garamond"/>
          <w:sz w:val="24"/>
          <w:szCs w:val="24"/>
        </w:rPr>
        <w:t>) and the lagged value of the conditional variance (0.</w:t>
      </w:r>
      <w:r w:rsidR="00181864" w:rsidRPr="00E75964">
        <w:rPr>
          <w:rFonts w:ascii="Garamond" w:hAnsi="Garamond"/>
          <w:sz w:val="24"/>
          <w:szCs w:val="24"/>
        </w:rPr>
        <w:t>82</w:t>
      </w:r>
      <w:r w:rsidR="00CE65B6" w:rsidRPr="00E75964">
        <w:rPr>
          <w:rFonts w:ascii="Garamond" w:hAnsi="Garamond"/>
          <w:sz w:val="24"/>
          <w:szCs w:val="24"/>
        </w:rPr>
        <w:t xml:space="preserve">) are all statistically significant at the </w:t>
      </w:r>
      <w:r w:rsidR="001A4A8E" w:rsidRPr="00E75964">
        <w:rPr>
          <w:rFonts w:ascii="Garamond" w:hAnsi="Garamond"/>
          <w:sz w:val="24"/>
          <w:szCs w:val="24"/>
        </w:rPr>
        <w:t xml:space="preserve">1% </w:t>
      </w:r>
      <w:r w:rsidR="00CE65B6" w:rsidRPr="00E75964">
        <w:rPr>
          <w:rFonts w:ascii="Garamond" w:hAnsi="Garamond"/>
          <w:sz w:val="24"/>
          <w:szCs w:val="24"/>
        </w:rPr>
        <w:t>level. The sum of</w:t>
      </w:r>
      <m:oMath>
        <m:r>
          <w:rPr>
            <w:rFonts w:ascii="Cambria Math" w:hAnsi="Cambria Math"/>
            <w:sz w:val="24"/>
            <w:szCs w:val="24"/>
          </w:rPr>
          <m:t xml:space="preserve"> α</m:t>
        </m:r>
      </m:oMath>
      <w:r w:rsidR="00CE65B6" w:rsidRPr="00E75964">
        <w:rPr>
          <w:rFonts w:ascii="Garamond" w:hAnsi="Garamond"/>
          <w:sz w:val="24"/>
          <w:szCs w:val="24"/>
        </w:rPr>
        <w:t xml:space="preserve"> (ARCH term) and</w:t>
      </w:r>
      <m:oMath>
        <m:r>
          <w:rPr>
            <w:rFonts w:ascii="Cambria Math" w:hAnsi="Cambria Math"/>
            <w:sz w:val="24"/>
            <w:szCs w:val="24"/>
          </w:rPr>
          <m:t xml:space="preserve"> β</m:t>
        </m:r>
      </m:oMath>
      <w:r w:rsidR="00CE65B6" w:rsidRPr="00E75964">
        <w:rPr>
          <w:rFonts w:ascii="Garamond" w:hAnsi="Garamond"/>
          <w:sz w:val="24"/>
          <w:szCs w:val="24"/>
        </w:rPr>
        <w:t xml:space="preserve"> (GARCH term) implies </w:t>
      </w:r>
      <w:r w:rsidR="00455FCD">
        <w:rPr>
          <w:rFonts w:ascii="Garamond" w:hAnsi="Garamond"/>
          <w:sz w:val="24"/>
          <w:szCs w:val="24"/>
        </w:rPr>
        <w:t xml:space="preserve">a </w:t>
      </w:r>
      <w:r w:rsidR="00CE65B6" w:rsidRPr="00E75964">
        <w:rPr>
          <w:rFonts w:ascii="Garamond" w:hAnsi="Garamond"/>
          <w:sz w:val="24"/>
          <w:szCs w:val="24"/>
        </w:rPr>
        <w:t xml:space="preserve">persistent effect of shocks to the conditional variance. The asymmetry term </w:t>
      </w:r>
      <m:oMath>
        <m:r>
          <w:rPr>
            <w:rFonts w:ascii="Cambria Math" w:hAnsi="Cambria Math"/>
            <w:sz w:val="24"/>
            <w:szCs w:val="24"/>
          </w:rPr>
          <m:t>γ</m:t>
        </m:r>
      </m:oMath>
      <w:r w:rsidR="00CE65B6" w:rsidRPr="00E75964">
        <w:rPr>
          <w:rFonts w:ascii="Garamond" w:hAnsi="Garamond"/>
          <w:sz w:val="24"/>
          <w:szCs w:val="24"/>
        </w:rPr>
        <w:t xml:space="preserve"> is positive (0.</w:t>
      </w:r>
      <w:r w:rsidR="00181864" w:rsidRPr="00E75964">
        <w:rPr>
          <w:rFonts w:ascii="Garamond" w:hAnsi="Garamond"/>
          <w:sz w:val="24"/>
          <w:szCs w:val="24"/>
        </w:rPr>
        <w:t>25</w:t>
      </w:r>
      <w:r w:rsidR="00CE65B6" w:rsidRPr="00E75964">
        <w:rPr>
          <w:rFonts w:ascii="Garamond" w:hAnsi="Garamond"/>
          <w:sz w:val="24"/>
          <w:szCs w:val="24"/>
        </w:rPr>
        <w:t>) and significant, suggesting that bad news increases volatility</w:t>
      </w:r>
      <w:r w:rsidR="001A4A8E" w:rsidRPr="00E75964">
        <w:rPr>
          <w:rFonts w:ascii="Garamond" w:hAnsi="Garamond"/>
          <w:sz w:val="24"/>
          <w:szCs w:val="24"/>
        </w:rPr>
        <w:t xml:space="preserve"> </w:t>
      </w:r>
      <w:r w:rsidRPr="00E75964">
        <w:rPr>
          <w:rFonts w:ascii="Garamond" w:hAnsi="Garamond"/>
          <w:sz w:val="24"/>
          <w:szCs w:val="24"/>
        </w:rPr>
        <w:t xml:space="preserve">on the </w:t>
      </w:r>
      <w:r w:rsidR="001A4A8E" w:rsidRPr="00E75964">
        <w:rPr>
          <w:rFonts w:ascii="Garamond" w:hAnsi="Garamond"/>
          <w:sz w:val="24"/>
          <w:szCs w:val="24"/>
        </w:rPr>
        <w:t>DSE</w:t>
      </w:r>
      <w:r w:rsidR="00CE65B6" w:rsidRPr="00E75964">
        <w:rPr>
          <w:rFonts w:ascii="Garamond" w:hAnsi="Garamond"/>
          <w:sz w:val="24"/>
          <w:szCs w:val="24"/>
        </w:rPr>
        <w:t xml:space="preserve">. </w:t>
      </w:r>
      <w:r w:rsidR="00EC0E91" w:rsidRPr="00E75964">
        <w:rPr>
          <w:rFonts w:ascii="Garamond" w:hAnsi="Garamond"/>
          <w:sz w:val="24"/>
          <w:szCs w:val="24"/>
        </w:rPr>
        <w:t>Thus,</w:t>
      </w:r>
      <w:r w:rsidR="00CE65B6" w:rsidRPr="00E75964">
        <w:rPr>
          <w:rFonts w:ascii="Garamond" w:hAnsi="Garamond"/>
          <w:sz w:val="24"/>
          <w:szCs w:val="24"/>
        </w:rPr>
        <w:t xml:space="preserve"> negative shocks imply a higher next period conditional variance than positive shocks of the same </w:t>
      </w:r>
      <w:r w:rsidRPr="00E75964">
        <w:rPr>
          <w:rFonts w:ascii="Garamond" w:hAnsi="Garamond"/>
          <w:sz w:val="24"/>
          <w:szCs w:val="24"/>
        </w:rPr>
        <w:t>magnitude</w:t>
      </w:r>
      <w:r w:rsidR="00CE65B6" w:rsidRPr="00E75964">
        <w:rPr>
          <w:rFonts w:ascii="Garamond" w:hAnsi="Garamond"/>
          <w:sz w:val="24"/>
          <w:szCs w:val="24"/>
        </w:rPr>
        <w:t xml:space="preserve">.      </w:t>
      </w:r>
    </w:p>
    <w:p w14:paraId="790DDB04" w14:textId="1083723D"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Looking at the Ljung-Box Q statistics towards the bottom of the column, for standardized squared residuals we accept the null hypothesis that the residuals are not autocorrelated up to ten lags (Engle, 2001). Engle’s (1982) ARCH-LM test implies that there is no ARCH effect on the residuals. Indeed, allowing time varying variance in the estimation process provides more efficient estimates for the returns equation, which is in line with previous expectations (Enders, 1995; Berument and Kiymaz, 2001). The low standard errors</w:t>
      </w:r>
      <w:r w:rsidR="001A4A8E" w:rsidRPr="00E75964">
        <w:rPr>
          <w:rFonts w:ascii="Garamond" w:hAnsi="Garamond"/>
          <w:sz w:val="24"/>
          <w:szCs w:val="24"/>
        </w:rPr>
        <w:t xml:space="preserve"> (not reported)</w:t>
      </w:r>
      <w:r w:rsidRPr="00E75964">
        <w:rPr>
          <w:rFonts w:ascii="Garamond" w:hAnsi="Garamond"/>
          <w:sz w:val="24"/>
          <w:szCs w:val="24"/>
        </w:rPr>
        <w:t xml:space="preserve"> for the estimated parameters of the returns equation clearly explain that efficiency (Berument and Kiymaz, 2001). </w:t>
      </w:r>
      <w:r w:rsidR="00E14B5B" w:rsidRPr="00E75964">
        <w:rPr>
          <w:rFonts w:ascii="Garamond" w:hAnsi="Garamond"/>
          <w:sz w:val="24"/>
          <w:szCs w:val="24"/>
        </w:rPr>
        <w:t>Overall,</w:t>
      </w:r>
      <w:r w:rsidRPr="00E75964">
        <w:rPr>
          <w:rFonts w:ascii="Garamond" w:hAnsi="Garamond"/>
          <w:sz w:val="24"/>
          <w:szCs w:val="24"/>
        </w:rPr>
        <w:t xml:space="preserve"> the presence of the weekend effect is strongly evident on the DSE under this conditional variance structure.</w:t>
      </w:r>
    </w:p>
    <w:p w14:paraId="239818C6" w14:textId="31C4C355"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Finally, in our </w:t>
      </w:r>
      <w:r w:rsidR="00716188" w:rsidRPr="00E75964">
        <w:rPr>
          <w:rFonts w:ascii="Garamond" w:hAnsi="Garamond"/>
          <w:sz w:val="24"/>
          <w:szCs w:val="24"/>
        </w:rPr>
        <w:t>modified T</w:t>
      </w:r>
      <w:r w:rsidRPr="00E75964">
        <w:rPr>
          <w:rFonts w:ascii="Garamond" w:hAnsi="Garamond"/>
          <w:sz w:val="24"/>
          <w:szCs w:val="24"/>
        </w:rPr>
        <w:t>GARCH (1,</w:t>
      </w:r>
      <w:r w:rsidR="00E952CB" w:rsidRPr="00E75964">
        <w:rPr>
          <w:rFonts w:ascii="Garamond" w:hAnsi="Garamond"/>
          <w:sz w:val="24"/>
          <w:szCs w:val="24"/>
        </w:rPr>
        <w:t xml:space="preserve"> </w:t>
      </w:r>
      <w:r w:rsidRPr="00E75964">
        <w:rPr>
          <w:rFonts w:ascii="Garamond" w:hAnsi="Garamond"/>
          <w:sz w:val="24"/>
          <w:szCs w:val="24"/>
        </w:rPr>
        <w:t xml:space="preserve">1) model we allow the conditional variance of the returns to change for each day of the week. The objective is to see whether any weekday has an impact on volatility. Table </w:t>
      </w:r>
      <w:r w:rsidR="00AE3904" w:rsidRPr="00E75964">
        <w:rPr>
          <w:rFonts w:ascii="Garamond" w:hAnsi="Garamond"/>
          <w:sz w:val="24"/>
          <w:szCs w:val="24"/>
        </w:rPr>
        <w:t>3</w:t>
      </w:r>
      <w:r w:rsidRPr="00E75964">
        <w:rPr>
          <w:rFonts w:ascii="Garamond" w:hAnsi="Garamond"/>
          <w:sz w:val="24"/>
          <w:szCs w:val="24"/>
        </w:rPr>
        <w:t xml:space="preserve"> </w:t>
      </w:r>
      <w:r w:rsidR="00A00548" w:rsidRPr="00E75964">
        <w:rPr>
          <w:rFonts w:ascii="Garamond" w:hAnsi="Garamond"/>
          <w:sz w:val="24"/>
          <w:szCs w:val="24"/>
        </w:rPr>
        <w:t>shows</w:t>
      </w:r>
      <w:r w:rsidRPr="00E75964">
        <w:rPr>
          <w:rFonts w:ascii="Garamond" w:hAnsi="Garamond"/>
          <w:sz w:val="24"/>
          <w:szCs w:val="24"/>
        </w:rPr>
        <w:t xml:space="preserve"> the results of</w:t>
      </w:r>
      <w:r w:rsidR="00716188" w:rsidRPr="00E75964">
        <w:rPr>
          <w:rFonts w:ascii="Garamond" w:hAnsi="Garamond"/>
          <w:sz w:val="24"/>
          <w:szCs w:val="24"/>
        </w:rPr>
        <w:t xml:space="preserve"> </w:t>
      </w:r>
      <w:r w:rsidR="00A00548" w:rsidRPr="00E75964">
        <w:rPr>
          <w:rFonts w:ascii="Garamond" w:hAnsi="Garamond"/>
          <w:sz w:val="24"/>
          <w:szCs w:val="24"/>
        </w:rPr>
        <w:t xml:space="preserve">the </w:t>
      </w:r>
      <w:r w:rsidR="00716188" w:rsidRPr="00E75964">
        <w:rPr>
          <w:rFonts w:ascii="Garamond" w:hAnsi="Garamond"/>
          <w:sz w:val="24"/>
          <w:szCs w:val="24"/>
        </w:rPr>
        <w:t>modified</w:t>
      </w:r>
      <w:r w:rsidRPr="00E75964">
        <w:rPr>
          <w:rFonts w:ascii="Garamond" w:hAnsi="Garamond"/>
          <w:sz w:val="24"/>
          <w:szCs w:val="24"/>
        </w:rPr>
        <w:t xml:space="preserve"> </w:t>
      </w:r>
      <w:r w:rsidR="00716188" w:rsidRPr="00E75964">
        <w:rPr>
          <w:rFonts w:ascii="Garamond" w:hAnsi="Garamond"/>
          <w:sz w:val="24"/>
          <w:szCs w:val="24"/>
        </w:rPr>
        <w:t>T</w:t>
      </w:r>
      <w:r w:rsidRPr="00E75964">
        <w:rPr>
          <w:rFonts w:ascii="Garamond" w:hAnsi="Garamond"/>
          <w:sz w:val="24"/>
          <w:szCs w:val="24"/>
        </w:rPr>
        <w:t>GARCH (1,</w:t>
      </w:r>
      <w:r w:rsidR="00E952CB" w:rsidRPr="00E75964">
        <w:rPr>
          <w:rFonts w:ascii="Garamond" w:hAnsi="Garamond"/>
          <w:sz w:val="24"/>
          <w:szCs w:val="24"/>
        </w:rPr>
        <w:t xml:space="preserve"> </w:t>
      </w:r>
      <w:r w:rsidRPr="00E75964">
        <w:rPr>
          <w:rFonts w:ascii="Garamond" w:hAnsi="Garamond"/>
          <w:sz w:val="24"/>
          <w:szCs w:val="24"/>
        </w:rPr>
        <w:t xml:space="preserve">1) </w:t>
      </w:r>
      <w:r w:rsidR="00A00548" w:rsidRPr="00E75964">
        <w:rPr>
          <w:rFonts w:ascii="Garamond" w:hAnsi="Garamond"/>
          <w:sz w:val="24"/>
          <w:szCs w:val="24"/>
        </w:rPr>
        <w:t xml:space="preserve">model </w:t>
      </w:r>
      <w:r w:rsidRPr="00E75964">
        <w:rPr>
          <w:rFonts w:ascii="Garamond" w:hAnsi="Garamond"/>
          <w:sz w:val="24"/>
          <w:szCs w:val="24"/>
        </w:rPr>
        <w:t>in the rightmost column</w:t>
      </w:r>
      <w:r w:rsidR="00C57E03" w:rsidRPr="00E75964">
        <w:rPr>
          <w:rFonts w:ascii="Garamond" w:hAnsi="Garamond"/>
          <w:sz w:val="24"/>
          <w:szCs w:val="24"/>
        </w:rPr>
        <w:t xml:space="preserve"> (4)</w:t>
      </w:r>
      <w:r w:rsidRPr="00E75964">
        <w:rPr>
          <w:rFonts w:ascii="Garamond" w:hAnsi="Garamond"/>
          <w:sz w:val="24"/>
          <w:szCs w:val="24"/>
        </w:rPr>
        <w:t>. The returns and variance equations give similar outcomes. Sunday has the lowest returns of -0.</w:t>
      </w:r>
      <w:r w:rsidR="00716188" w:rsidRPr="00E75964">
        <w:rPr>
          <w:rFonts w:ascii="Garamond" w:hAnsi="Garamond"/>
          <w:sz w:val="24"/>
          <w:szCs w:val="24"/>
        </w:rPr>
        <w:t>26</w:t>
      </w:r>
      <w:r w:rsidRPr="00E75964">
        <w:rPr>
          <w:rFonts w:ascii="Garamond" w:hAnsi="Garamond"/>
          <w:sz w:val="24"/>
          <w:szCs w:val="24"/>
        </w:rPr>
        <w:t xml:space="preserve">%, which is statistically significant at the </w:t>
      </w:r>
      <w:r w:rsidR="00C57E03" w:rsidRPr="00E75964">
        <w:rPr>
          <w:rFonts w:ascii="Garamond" w:hAnsi="Garamond"/>
          <w:sz w:val="24"/>
          <w:szCs w:val="24"/>
        </w:rPr>
        <w:t>1</w:t>
      </w:r>
      <w:r w:rsidRPr="00E75964">
        <w:rPr>
          <w:rFonts w:ascii="Garamond" w:hAnsi="Garamond"/>
          <w:sz w:val="24"/>
          <w:szCs w:val="24"/>
        </w:rPr>
        <w:t>% level</w:t>
      </w:r>
      <w:r w:rsidR="00A00548" w:rsidRPr="00E75964">
        <w:rPr>
          <w:rFonts w:ascii="Garamond" w:hAnsi="Garamond"/>
          <w:sz w:val="24"/>
          <w:szCs w:val="24"/>
        </w:rPr>
        <w:t xml:space="preserve">, but none of the other daily returns are </w:t>
      </w:r>
      <w:r w:rsidRPr="00E75964">
        <w:rPr>
          <w:rFonts w:ascii="Garamond" w:hAnsi="Garamond"/>
          <w:sz w:val="24"/>
          <w:szCs w:val="24"/>
        </w:rPr>
        <w:t>statistically significant</w:t>
      </w:r>
      <w:r w:rsidR="00A00548" w:rsidRPr="00E75964">
        <w:rPr>
          <w:rFonts w:ascii="Garamond" w:hAnsi="Garamond"/>
          <w:sz w:val="24"/>
          <w:szCs w:val="24"/>
        </w:rPr>
        <w:t>.</w:t>
      </w:r>
      <w:r w:rsidRPr="00E75964">
        <w:rPr>
          <w:rFonts w:ascii="Garamond" w:hAnsi="Garamond"/>
          <w:sz w:val="24"/>
          <w:szCs w:val="24"/>
        </w:rPr>
        <w:t xml:space="preserve"> The standard errors are very low for each of the estimated coefficients </w:t>
      </w:r>
      <w:r w:rsidR="001A4A8E" w:rsidRPr="00E75964">
        <w:rPr>
          <w:rFonts w:ascii="Garamond" w:hAnsi="Garamond"/>
          <w:sz w:val="24"/>
          <w:szCs w:val="24"/>
        </w:rPr>
        <w:t>(not reported)</w:t>
      </w:r>
      <w:r w:rsidR="00455FCD">
        <w:rPr>
          <w:rFonts w:ascii="Garamond" w:hAnsi="Garamond"/>
          <w:sz w:val="24"/>
          <w:szCs w:val="24"/>
        </w:rPr>
        <w:t>. A</w:t>
      </w:r>
      <w:r w:rsidRPr="00E75964">
        <w:rPr>
          <w:rFonts w:ascii="Garamond" w:hAnsi="Garamond"/>
          <w:sz w:val="24"/>
          <w:szCs w:val="24"/>
        </w:rPr>
        <w:t xml:space="preserve">ll of these results are in line with our previous findings, </w:t>
      </w:r>
      <w:r w:rsidR="00E14B5B" w:rsidRPr="00E75964">
        <w:rPr>
          <w:rFonts w:ascii="Garamond" w:hAnsi="Garamond"/>
          <w:sz w:val="24"/>
          <w:szCs w:val="24"/>
        </w:rPr>
        <w:t>i.e.,</w:t>
      </w:r>
      <w:r w:rsidRPr="00E75964">
        <w:rPr>
          <w:rFonts w:ascii="Garamond" w:hAnsi="Garamond"/>
          <w:sz w:val="24"/>
          <w:szCs w:val="24"/>
        </w:rPr>
        <w:t xml:space="preserve"> our OLS estimation, </w:t>
      </w:r>
      <w:r w:rsidR="00646BC1" w:rsidRPr="00E75964">
        <w:rPr>
          <w:rFonts w:ascii="Garamond" w:hAnsi="Garamond"/>
          <w:sz w:val="24"/>
          <w:szCs w:val="24"/>
        </w:rPr>
        <w:t>GJR-</w:t>
      </w:r>
      <w:r w:rsidRPr="00E75964">
        <w:rPr>
          <w:rFonts w:ascii="Garamond" w:hAnsi="Garamond"/>
          <w:sz w:val="24"/>
          <w:szCs w:val="24"/>
        </w:rPr>
        <w:t xml:space="preserve">GARCH estimation and Table </w:t>
      </w:r>
      <w:r w:rsidR="00AE3904" w:rsidRPr="00E75964">
        <w:rPr>
          <w:rFonts w:ascii="Garamond" w:hAnsi="Garamond"/>
          <w:sz w:val="24"/>
          <w:szCs w:val="24"/>
        </w:rPr>
        <w:t>2</w:t>
      </w:r>
      <w:r w:rsidRPr="00E75964">
        <w:rPr>
          <w:rFonts w:ascii="Garamond" w:hAnsi="Garamond"/>
          <w:sz w:val="24"/>
          <w:szCs w:val="24"/>
        </w:rPr>
        <w:t>.</w:t>
      </w:r>
    </w:p>
    <w:p w14:paraId="1CFB2233" w14:textId="64865058"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We present the results for conditional variance in the middle of the rightmost column</w:t>
      </w:r>
      <w:r w:rsidR="000D4D1F" w:rsidRPr="00E75964">
        <w:rPr>
          <w:rFonts w:ascii="Garamond" w:hAnsi="Garamond"/>
          <w:sz w:val="24"/>
          <w:szCs w:val="24"/>
        </w:rPr>
        <w:t xml:space="preserve"> (4)</w:t>
      </w:r>
      <w:r w:rsidRPr="00E75964">
        <w:rPr>
          <w:rFonts w:ascii="Garamond" w:hAnsi="Garamond"/>
          <w:sz w:val="24"/>
          <w:szCs w:val="24"/>
        </w:rPr>
        <w:t xml:space="preserve"> in Table </w:t>
      </w:r>
      <w:r w:rsidR="00AE3904" w:rsidRPr="00E75964">
        <w:rPr>
          <w:rFonts w:ascii="Garamond" w:hAnsi="Garamond"/>
          <w:sz w:val="24"/>
          <w:szCs w:val="24"/>
        </w:rPr>
        <w:t>3</w:t>
      </w:r>
      <w:r w:rsidRPr="00E75964">
        <w:rPr>
          <w:rFonts w:ascii="Garamond" w:hAnsi="Garamond"/>
          <w:sz w:val="24"/>
          <w:szCs w:val="24"/>
        </w:rPr>
        <w:t xml:space="preserve">. The volatility is </w:t>
      </w:r>
      <w:r w:rsidR="000D4D1F" w:rsidRPr="00E75964">
        <w:rPr>
          <w:rFonts w:ascii="Garamond" w:hAnsi="Garamond"/>
          <w:sz w:val="24"/>
          <w:szCs w:val="24"/>
        </w:rPr>
        <w:t>positive</w:t>
      </w:r>
      <w:r w:rsidR="00455FCD">
        <w:rPr>
          <w:rFonts w:ascii="Garamond" w:hAnsi="Garamond"/>
          <w:sz w:val="24"/>
          <w:szCs w:val="24"/>
        </w:rPr>
        <w:t>ly</w:t>
      </w:r>
      <w:r w:rsidR="000D4D1F" w:rsidRPr="00E75964">
        <w:rPr>
          <w:rFonts w:ascii="Garamond" w:hAnsi="Garamond"/>
          <w:sz w:val="24"/>
          <w:szCs w:val="24"/>
        </w:rPr>
        <w:t xml:space="preserve"> influenced by Sunday and also </w:t>
      </w:r>
      <w:r w:rsidRPr="00E75964">
        <w:rPr>
          <w:rFonts w:ascii="Garamond" w:hAnsi="Garamond"/>
          <w:sz w:val="24"/>
          <w:szCs w:val="24"/>
        </w:rPr>
        <w:t xml:space="preserve">statistically significant in </w:t>
      </w:r>
      <w:r w:rsidR="00596C8E" w:rsidRPr="00E75964">
        <w:rPr>
          <w:rFonts w:ascii="Garamond" w:hAnsi="Garamond"/>
          <w:sz w:val="24"/>
          <w:szCs w:val="24"/>
        </w:rPr>
        <w:t xml:space="preserve">the </w:t>
      </w:r>
      <w:r w:rsidR="00646BC1" w:rsidRPr="00E75964">
        <w:rPr>
          <w:rFonts w:ascii="Garamond" w:hAnsi="Garamond"/>
          <w:sz w:val="24"/>
          <w:szCs w:val="24"/>
        </w:rPr>
        <w:t>modified T</w:t>
      </w:r>
      <w:r w:rsidRPr="00E75964">
        <w:rPr>
          <w:rFonts w:ascii="Garamond" w:hAnsi="Garamond"/>
          <w:sz w:val="24"/>
          <w:szCs w:val="24"/>
        </w:rPr>
        <w:t>GAR</w:t>
      </w:r>
      <w:r w:rsidR="007F3C01" w:rsidRPr="00E75964">
        <w:rPr>
          <w:rFonts w:ascii="Garamond" w:hAnsi="Garamond"/>
          <w:sz w:val="24"/>
          <w:szCs w:val="24"/>
        </w:rPr>
        <w:t>C</w:t>
      </w:r>
      <w:r w:rsidRPr="00E75964">
        <w:rPr>
          <w:rFonts w:ascii="Garamond" w:hAnsi="Garamond"/>
          <w:sz w:val="24"/>
          <w:szCs w:val="24"/>
        </w:rPr>
        <w:t>H (1,</w:t>
      </w:r>
      <w:r w:rsidR="00E952CB" w:rsidRPr="00E75964">
        <w:rPr>
          <w:rFonts w:ascii="Garamond" w:hAnsi="Garamond"/>
          <w:sz w:val="24"/>
          <w:szCs w:val="24"/>
        </w:rPr>
        <w:t xml:space="preserve"> </w:t>
      </w:r>
      <w:r w:rsidRPr="00E75964">
        <w:rPr>
          <w:rFonts w:ascii="Garamond" w:hAnsi="Garamond"/>
          <w:sz w:val="24"/>
          <w:szCs w:val="24"/>
        </w:rPr>
        <w:t xml:space="preserve">1) </w:t>
      </w:r>
      <w:r w:rsidR="00596C8E" w:rsidRPr="00E75964">
        <w:rPr>
          <w:rFonts w:ascii="Garamond" w:hAnsi="Garamond"/>
          <w:sz w:val="24"/>
          <w:szCs w:val="24"/>
        </w:rPr>
        <w:t>model</w:t>
      </w:r>
      <w:r w:rsidRPr="00E75964">
        <w:rPr>
          <w:rFonts w:ascii="Garamond" w:hAnsi="Garamond"/>
          <w:sz w:val="24"/>
          <w:szCs w:val="24"/>
        </w:rPr>
        <w:t xml:space="preserve"> </w:t>
      </w:r>
      <w:r w:rsidR="00596C8E" w:rsidRPr="00E75964">
        <w:rPr>
          <w:rFonts w:ascii="Garamond" w:hAnsi="Garamond"/>
          <w:sz w:val="24"/>
          <w:szCs w:val="24"/>
        </w:rPr>
        <w:t>at a</w:t>
      </w:r>
      <w:r w:rsidR="006B42E1" w:rsidRPr="00E75964">
        <w:rPr>
          <w:rFonts w:ascii="Garamond" w:hAnsi="Garamond"/>
          <w:sz w:val="24"/>
          <w:szCs w:val="24"/>
        </w:rPr>
        <w:t xml:space="preserve"> </w:t>
      </w:r>
      <w:r w:rsidRPr="00E75964">
        <w:rPr>
          <w:rFonts w:ascii="Garamond" w:hAnsi="Garamond"/>
          <w:sz w:val="24"/>
          <w:szCs w:val="24"/>
        </w:rPr>
        <w:t xml:space="preserve">1% level of </w:t>
      </w:r>
      <w:r w:rsidR="003552DF" w:rsidRPr="00E75964">
        <w:rPr>
          <w:rFonts w:ascii="Garamond" w:hAnsi="Garamond"/>
          <w:sz w:val="24"/>
          <w:szCs w:val="24"/>
        </w:rPr>
        <w:t>significance</w:t>
      </w:r>
      <w:r w:rsidRPr="00E75964">
        <w:rPr>
          <w:rFonts w:ascii="Garamond" w:hAnsi="Garamond"/>
          <w:sz w:val="24"/>
          <w:szCs w:val="24"/>
        </w:rPr>
        <w:t xml:space="preserve">. </w:t>
      </w:r>
      <w:r w:rsidR="00181864" w:rsidRPr="00E75964">
        <w:rPr>
          <w:rFonts w:ascii="Garamond" w:hAnsi="Garamond"/>
          <w:sz w:val="24"/>
          <w:szCs w:val="24"/>
        </w:rPr>
        <w:t>The coefficients of Monday</w:t>
      </w:r>
      <w:r w:rsidR="00596C8E" w:rsidRPr="00E75964">
        <w:rPr>
          <w:rFonts w:ascii="Garamond" w:hAnsi="Garamond"/>
          <w:sz w:val="24"/>
          <w:szCs w:val="24"/>
        </w:rPr>
        <w:t>,</w:t>
      </w:r>
      <w:r w:rsidR="00181864" w:rsidRPr="00E75964">
        <w:rPr>
          <w:rFonts w:ascii="Garamond" w:hAnsi="Garamond"/>
          <w:sz w:val="24"/>
          <w:szCs w:val="24"/>
        </w:rPr>
        <w:t xml:space="preserve"> </w:t>
      </w:r>
      <w:r w:rsidR="00646BC1" w:rsidRPr="00E75964">
        <w:rPr>
          <w:rFonts w:ascii="Garamond" w:hAnsi="Garamond"/>
          <w:sz w:val="24"/>
          <w:szCs w:val="24"/>
        </w:rPr>
        <w:t xml:space="preserve">Wednesday </w:t>
      </w:r>
      <w:r w:rsidR="00596C8E" w:rsidRPr="00E75964">
        <w:rPr>
          <w:rFonts w:ascii="Garamond" w:hAnsi="Garamond"/>
          <w:sz w:val="24"/>
          <w:szCs w:val="24"/>
        </w:rPr>
        <w:t xml:space="preserve">and Thursday </w:t>
      </w:r>
      <w:r w:rsidR="00181864" w:rsidRPr="00E75964">
        <w:rPr>
          <w:rFonts w:ascii="Garamond" w:hAnsi="Garamond"/>
          <w:sz w:val="24"/>
          <w:szCs w:val="24"/>
        </w:rPr>
        <w:t xml:space="preserve">are also statistically </w:t>
      </w:r>
      <w:r w:rsidR="00646BC1" w:rsidRPr="00E75964">
        <w:rPr>
          <w:rFonts w:ascii="Garamond" w:hAnsi="Garamond"/>
          <w:sz w:val="24"/>
          <w:szCs w:val="24"/>
        </w:rPr>
        <w:t>significant,</w:t>
      </w:r>
      <w:r w:rsidR="00181864" w:rsidRPr="00E75964">
        <w:rPr>
          <w:rFonts w:ascii="Garamond" w:hAnsi="Garamond"/>
          <w:sz w:val="24"/>
          <w:szCs w:val="24"/>
        </w:rPr>
        <w:t xml:space="preserve"> but they negatively affect market volatility. Therefore, our results indicate </w:t>
      </w:r>
      <w:r w:rsidR="00596C8E" w:rsidRPr="00E75964">
        <w:rPr>
          <w:rFonts w:ascii="Garamond" w:hAnsi="Garamond"/>
          <w:sz w:val="24"/>
          <w:szCs w:val="24"/>
        </w:rPr>
        <w:t xml:space="preserve">a </w:t>
      </w:r>
      <w:r w:rsidR="00181864" w:rsidRPr="00E75964">
        <w:rPr>
          <w:rFonts w:ascii="Garamond" w:hAnsi="Garamond"/>
          <w:sz w:val="24"/>
          <w:szCs w:val="24"/>
        </w:rPr>
        <w:t xml:space="preserve">significant rise in volatility on </w:t>
      </w:r>
      <w:r w:rsidR="00596C8E" w:rsidRPr="00E75964">
        <w:rPr>
          <w:rFonts w:ascii="Garamond" w:hAnsi="Garamond"/>
          <w:sz w:val="24"/>
          <w:szCs w:val="24"/>
        </w:rPr>
        <w:t xml:space="preserve">the </w:t>
      </w:r>
      <w:r w:rsidR="00181864" w:rsidRPr="00E75964">
        <w:rPr>
          <w:rFonts w:ascii="Garamond" w:hAnsi="Garamond"/>
          <w:sz w:val="24"/>
          <w:szCs w:val="24"/>
        </w:rPr>
        <w:t xml:space="preserve">opening day of the market. </w:t>
      </w:r>
      <w:r w:rsidRPr="00E75964">
        <w:rPr>
          <w:rFonts w:ascii="Garamond" w:hAnsi="Garamond"/>
          <w:sz w:val="24"/>
          <w:szCs w:val="24"/>
        </w:rPr>
        <w:t xml:space="preserve">A similar finding for the first day of trading is also reported in several earlier papers, </w:t>
      </w:r>
      <w:r w:rsidR="00E14B5B" w:rsidRPr="00E75964">
        <w:rPr>
          <w:rFonts w:ascii="Garamond" w:hAnsi="Garamond"/>
          <w:sz w:val="24"/>
          <w:szCs w:val="24"/>
        </w:rPr>
        <w:t>e.g.,</w:t>
      </w:r>
      <w:r w:rsidRPr="00E75964">
        <w:rPr>
          <w:rFonts w:ascii="Garamond" w:hAnsi="Garamond"/>
          <w:sz w:val="24"/>
          <w:szCs w:val="24"/>
        </w:rPr>
        <w:t xml:space="preserve"> for the US (Gibbons and </w:t>
      </w:r>
      <w:r w:rsidRPr="00E75964">
        <w:rPr>
          <w:rFonts w:ascii="Garamond" w:hAnsi="Garamond"/>
          <w:sz w:val="24"/>
          <w:szCs w:val="24"/>
        </w:rPr>
        <w:lastRenderedPageBreak/>
        <w:t>Hess, 1981), for Indonesia, Malaysia, South Korea, Philippines, Taiwan and Thailand (Choudhry, 2000), for the S&amp;P 500 (Berument and Kiymaz, 2001), and for Germany and Japan (Kiymaz and Berument, 2003). To explain the possible reason for the highest variance being on the opening day French and Roll (1986), Barclay et al. (1990) and Foster and Viswanathan (1990) claim that stock returns variance should be highest on Mondays because the informed trader has his maximum information advantage then. This supports the argument of information content theory.</w:t>
      </w:r>
    </w:p>
    <w:p w14:paraId="695BAFD4" w14:textId="6A319EBB"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We also see in the rightmost column </w:t>
      </w:r>
      <w:r w:rsidR="000D4D1F" w:rsidRPr="00E75964">
        <w:rPr>
          <w:rFonts w:ascii="Garamond" w:hAnsi="Garamond"/>
          <w:sz w:val="24"/>
          <w:szCs w:val="24"/>
        </w:rPr>
        <w:t xml:space="preserve">(4) </w:t>
      </w:r>
      <w:r w:rsidRPr="00E75964">
        <w:rPr>
          <w:rFonts w:ascii="Garamond" w:hAnsi="Garamond"/>
          <w:sz w:val="24"/>
          <w:szCs w:val="24"/>
        </w:rPr>
        <w:t xml:space="preserve">that the coefficients of the ARCH and GARCH terms are statistically significant. </w:t>
      </w:r>
      <w:r w:rsidR="00646BC1" w:rsidRPr="00E75964">
        <w:rPr>
          <w:rFonts w:ascii="Garamond" w:hAnsi="Garamond"/>
          <w:sz w:val="24"/>
          <w:szCs w:val="24"/>
        </w:rPr>
        <w:t>T</w:t>
      </w:r>
      <w:r w:rsidRPr="00E75964">
        <w:rPr>
          <w:rFonts w:ascii="Garamond" w:hAnsi="Garamond"/>
          <w:sz w:val="24"/>
          <w:szCs w:val="24"/>
        </w:rPr>
        <w:t xml:space="preserve">he sum of </w:t>
      </w:r>
      <m:oMath>
        <m:r>
          <w:rPr>
            <w:rFonts w:ascii="Cambria Math" w:hAnsi="Cambria Math"/>
            <w:sz w:val="24"/>
            <w:szCs w:val="24"/>
          </w:rPr>
          <m:t>α</m:t>
        </m:r>
      </m:oMath>
      <w:r w:rsidRPr="00E75964">
        <w:rPr>
          <w:rFonts w:ascii="Garamond" w:hAnsi="Garamond"/>
          <w:sz w:val="24"/>
          <w:szCs w:val="24"/>
        </w:rPr>
        <w:t xml:space="preserve"> and </w:t>
      </w:r>
      <m:oMath>
        <m:r>
          <w:rPr>
            <w:rFonts w:ascii="Cambria Math" w:hAnsi="Cambria Math"/>
            <w:sz w:val="24"/>
            <w:szCs w:val="24"/>
          </w:rPr>
          <m:t>β</m:t>
        </m:r>
      </m:oMath>
      <w:r w:rsidRPr="00E75964">
        <w:rPr>
          <w:rFonts w:ascii="Garamond" w:hAnsi="Garamond"/>
          <w:sz w:val="24"/>
          <w:szCs w:val="24"/>
        </w:rPr>
        <w:t xml:space="preserve"> is relatively </w:t>
      </w:r>
      <w:r w:rsidR="001B7743" w:rsidRPr="00E75964">
        <w:rPr>
          <w:rFonts w:ascii="Garamond" w:hAnsi="Garamond"/>
          <w:sz w:val="24"/>
          <w:szCs w:val="24"/>
        </w:rPr>
        <w:t>high</w:t>
      </w:r>
      <w:r w:rsidRPr="00E75964">
        <w:rPr>
          <w:rFonts w:ascii="Garamond" w:hAnsi="Garamond"/>
          <w:sz w:val="24"/>
          <w:szCs w:val="24"/>
        </w:rPr>
        <w:t xml:space="preserve"> (</w:t>
      </w:r>
      <w:r w:rsidR="00665A74" w:rsidRPr="00E75964">
        <w:rPr>
          <w:rFonts w:ascii="Garamond" w:hAnsi="Garamond"/>
          <w:sz w:val="24"/>
          <w:szCs w:val="24"/>
        </w:rPr>
        <w:t>0.</w:t>
      </w:r>
      <w:r w:rsidR="00646BC1" w:rsidRPr="00E75964">
        <w:rPr>
          <w:rFonts w:ascii="Garamond" w:hAnsi="Garamond"/>
          <w:sz w:val="24"/>
          <w:szCs w:val="24"/>
        </w:rPr>
        <w:t>1794</w:t>
      </w:r>
      <w:r w:rsidR="00665A74" w:rsidRPr="00E75964">
        <w:rPr>
          <w:rFonts w:ascii="Garamond" w:hAnsi="Garamond"/>
          <w:sz w:val="24"/>
          <w:szCs w:val="24"/>
        </w:rPr>
        <w:t xml:space="preserve"> and </w:t>
      </w:r>
      <w:r w:rsidRPr="00E75964">
        <w:rPr>
          <w:rFonts w:ascii="Garamond" w:hAnsi="Garamond"/>
          <w:sz w:val="24"/>
          <w:szCs w:val="24"/>
        </w:rPr>
        <w:t>0.</w:t>
      </w:r>
      <w:r w:rsidR="00646BC1" w:rsidRPr="00E75964">
        <w:rPr>
          <w:rFonts w:ascii="Garamond" w:hAnsi="Garamond"/>
          <w:sz w:val="24"/>
          <w:szCs w:val="24"/>
        </w:rPr>
        <w:t>7376</w:t>
      </w:r>
      <w:r w:rsidRPr="00E75964">
        <w:rPr>
          <w:rFonts w:ascii="Garamond" w:hAnsi="Garamond"/>
          <w:sz w:val="24"/>
          <w:szCs w:val="24"/>
        </w:rPr>
        <w:t xml:space="preserve"> respectively), meaning </w:t>
      </w:r>
      <w:r w:rsidR="00596C8E" w:rsidRPr="00E75964">
        <w:rPr>
          <w:rFonts w:ascii="Garamond" w:hAnsi="Garamond"/>
          <w:sz w:val="24"/>
          <w:szCs w:val="24"/>
        </w:rPr>
        <w:t xml:space="preserve">a </w:t>
      </w:r>
      <w:r w:rsidR="001B7743" w:rsidRPr="00E75964">
        <w:rPr>
          <w:rFonts w:ascii="Garamond" w:hAnsi="Garamond"/>
          <w:sz w:val="24"/>
          <w:szCs w:val="24"/>
        </w:rPr>
        <w:t>strong</w:t>
      </w:r>
      <w:r w:rsidR="00596C8E" w:rsidRPr="00E75964">
        <w:rPr>
          <w:rFonts w:ascii="Garamond" w:hAnsi="Garamond"/>
          <w:sz w:val="24"/>
          <w:szCs w:val="24"/>
        </w:rPr>
        <w:t xml:space="preserve">ly </w:t>
      </w:r>
      <w:r w:rsidRPr="00E75964">
        <w:rPr>
          <w:rFonts w:ascii="Garamond" w:hAnsi="Garamond"/>
          <w:sz w:val="24"/>
          <w:szCs w:val="24"/>
        </w:rPr>
        <w:t>persisten</w:t>
      </w:r>
      <w:r w:rsidR="00596C8E" w:rsidRPr="00E75964">
        <w:rPr>
          <w:rFonts w:ascii="Garamond" w:hAnsi="Garamond"/>
          <w:sz w:val="24"/>
          <w:szCs w:val="24"/>
        </w:rPr>
        <w:t>t</w:t>
      </w:r>
      <w:r w:rsidRPr="00E75964">
        <w:rPr>
          <w:rFonts w:ascii="Garamond" w:hAnsi="Garamond"/>
          <w:sz w:val="24"/>
          <w:szCs w:val="24"/>
        </w:rPr>
        <w:t xml:space="preserve"> </w:t>
      </w:r>
      <w:r w:rsidR="00646BC1" w:rsidRPr="00E75964">
        <w:rPr>
          <w:rFonts w:ascii="Garamond" w:hAnsi="Garamond"/>
          <w:sz w:val="24"/>
          <w:szCs w:val="24"/>
        </w:rPr>
        <w:t>shock on the conditional</w:t>
      </w:r>
      <w:r w:rsidRPr="00E75964">
        <w:rPr>
          <w:rFonts w:ascii="Garamond" w:hAnsi="Garamond"/>
          <w:sz w:val="24"/>
          <w:szCs w:val="24"/>
        </w:rPr>
        <w:t xml:space="preserve"> component. </w:t>
      </w:r>
      <w:r w:rsidR="00646BC1" w:rsidRPr="00E75964">
        <w:rPr>
          <w:rFonts w:ascii="Garamond" w:hAnsi="Garamond"/>
          <w:sz w:val="24"/>
          <w:szCs w:val="24"/>
        </w:rPr>
        <w:t xml:space="preserve">Similar to GJR-GARCH, the asymmetry term </w:t>
      </w:r>
      <m:oMath>
        <m:r>
          <w:rPr>
            <w:rFonts w:ascii="Cambria Math" w:hAnsi="Cambria Math"/>
            <w:sz w:val="24"/>
            <w:szCs w:val="24"/>
          </w:rPr>
          <m:t>γ</m:t>
        </m:r>
      </m:oMath>
      <w:r w:rsidR="00646BC1" w:rsidRPr="00E75964">
        <w:rPr>
          <w:rFonts w:ascii="Garamond" w:hAnsi="Garamond"/>
          <w:sz w:val="24"/>
          <w:szCs w:val="24"/>
        </w:rPr>
        <w:t xml:space="preserve"> is positive (0.10) and significant, suggesting that bad news increases volatility </w:t>
      </w:r>
      <w:r w:rsidR="00596C8E" w:rsidRPr="00E75964">
        <w:rPr>
          <w:rFonts w:ascii="Garamond" w:hAnsi="Garamond"/>
          <w:sz w:val="24"/>
          <w:szCs w:val="24"/>
        </w:rPr>
        <w:t xml:space="preserve">on the </w:t>
      </w:r>
      <w:r w:rsidR="00646BC1" w:rsidRPr="00E75964">
        <w:rPr>
          <w:rFonts w:ascii="Garamond" w:hAnsi="Garamond"/>
          <w:sz w:val="24"/>
          <w:szCs w:val="24"/>
        </w:rPr>
        <w:t xml:space="preserve">DSE. </w:t>
      </w:r>
      <w:r w:rsidRPr="00E75964">
        <w:rPr>
          <w:rFonts w:ascii="Garamond" w:hAnsi="Garamond"/>
          <w:sz w:val="24"/>
          <w:szCs w:val="24"/>
        </w:rPr>
        <w:t xml:space="preserve">The standard squared residual shows no autocorrelation between returns as the Ljung-Box Q statistics are insignificant, as is reported at the bottom of the rightmost column. Further, there is no remaining ARCH effect in residuals up to ten lags, which implies that the </w:t>
      </w:r>
      <w:r w:rsidR="00646BC1" w:rsidRPr="00E75964">
        <w:rPr>
          <w:rFonts w:ascii="Garamond" w:hAnsi="Garamond"/>
          <w:sz w:val="24"/>
          <w:szCs w:val="24"/>
        </w:rPr>
        <w:t>modified T</w:t>
      </w:r>
      <w:r w:rsidRPr="00E75964">
        <w:rPr>
          <w:rFonts w:ascii="Garamond" w:hAnsi="Garamond"/>
          <w:sz w:val="24"/>
          <w:szCs w:val="24"/>
        </w:rPr>
        <w:t>GARCH model successfully capture</w:t>
      </w:r>
      <w:r w:rsidR="003552DF" w:rsidRPr="00E75964">
        <w:rPr>
          <w:rFonts w:ascii="Garamond" w:hAnsi="Garamond"/>
          <w:sz w:val="24"/>
          <w:szCs w:val="24"/>
        </w:rPr>
        <w:t>s</w:t>
      </w:r>
      <w:r w:rsidRPr="00E75964">
        <w:rPr>
          <w:rFonts w:ascii="Garamond" w:hAnsi="Garamond"/>
          <w:sz w:val="24"/>
          <w:szCs w:val="24"/>
        </w:rPr>
        <w:t xml:space="preserve"> </w:t>
      </w:r>
      <w:r w:rsidR="00646BC1" w:rsidRPr="00E75964">
        <w:rPr>
          <w:rFonts w:ascii="Garamond" w:hAnsi="Garamond"/>
          <w:sz w:val="24"/>
          <w:szCs w:val="24"/>
        </w:rPr>
        <w:t xml:space="preserve">the </w:t>
      </w:r>
      <w:r w:rsidRPr="00E75964">
        <w:rPr>
          <w:rFonts w:ascii="Garamond" w:hAnsi="Garamond"/>
          <w:sz w:val="24"/>
          <w:szCs w:val="24"/>
        </w:rPr>
        <w:t xml:space="preserve">volatility clustering. </w:t>
      </w:r>
    </w:p>
    <w:p w14:paraId="7D7545C8" w14:textId="30512775"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In summary all three of the models that appear plausible (OLS, </w:t>
      </w:r>
      <w:r w:rsidR="00646BC1" w:rsidRPr="00E75964">
        <w:rPr>
          <w:rFonts w:ascii="Garamond" w:hAnsi="Garamond"/>
          <w:sz w:val="24"/>
          <w:szCs w:val="24"/>
        </w:rPr>
        <w:t>GJR-</w:t>
      </w:r>
      <w:r w:rsidRPr="00E75964">
        <w:rPr>
          <w:rFonts w:ascii="Garamond" w:hAnsi="Garamond"/>
          <w:sz w:val="24"/>
          <w:szCs w:val="24"/>
        </w:rPr>
        <w:t xml:space="preserve">GARCH and </w:t>
      </w:r>
      <w:r w:rsidR="00646BC1" w:rsidRPr="00E75964">
        <w:rPr>
          <w:rFonts w:ascii="Garamond" w:hAnsi="Garamond"/>
          <w:sz w:val="24"/>
          <w:szCs w:val="24"/>
        </w:rPr>
        <w:t>modified T</w:t>
      </w:r>
      <w:r w:rsidRPr="00E75964">
        <w:rPr>
          <w:rFonts w:ascii="Garamond" w:hAnsi="Garamond"/>
          <w:sz w:val="24"/>
          <w:szCs w:val="24"/>
        </w:rPr>
        <w:t xml:space="preserve">GARCH) clearly suggest the presence of a Sunday effect on both equity returns and volatility. </w:t>
      </w:r>
    </w:p>
    <w:p w14:paraId="17030DD5" w14:textId="647F7CB7" w:rsidR="00CE65B6" w:rsidRPr="00E75964" w:rsidRDefault="006E62A7" w:rsidP="00EE65A7">
      <w:pPr>
        <w:pStyle w:val="Heading2"/>
        <w:spacing w:after="200" w:line="360" w:lineRule="auto"/>
        <w:rPr>
          <w:rFonts w:ascii="Garamond" w:hAnsi="Garamond"/>
          <w:color w:val="auto"/>
          <w:sz w:val="24"/>
          <w:szCs w:val="24"/>
        </w:rPr>
      </w:pPr>
      <w:bookmarkStart w:id="8" w:name="_Toc413318949"/>
      <w:r w:rsidRPr="00E75964">
        <w:rPr>
          <w:rFonts w:ascii="Garamond" w:hAnsi="Garamond"/>
          <w:color w:val="auto"/>
          <w:sz w:val="24"/>
          <w:szCs w:val="24"/>
        </w:rPr>
        <w:t>4</w:t>
      </w:r>
      <w:r w:rsidR="00F20D4C" w:rsidRPr="00E75964">
        <w:rPr>
          <w:rFonts w:ascii="Garamond" w:hAnsi="Garamond"/>
          <w:color w:val="auto"/>
          <w:sz w:val="24"/>
          <w:szCs w:val="24"/>
        </w:rPr>
        <w:t>.</w:t>
      </w:r>
      <w:r w:rsidR="002D076A" w:rsidRPr="00E75964">
        <w:rPr>
          <w:rFonts w:ascii="Garamond" w:hAnsi="Garamond"/>
          <w:color w:val="auto"/>
          <w:sz w:val="24"/>
          <w:szCs w:val="24"/>
        </w:rPr>
        <w:t>3</w:t>
      </w:r>
      <w:r w:rsidR="00F20D4C" w:rsidRPr="00E75964">
        <w:rPr>
          <w:rFonts w:ascii="Garamond" w:hAnsi="Garamond"/>
          <w:color w:val="auto"/>
          <w:sz w:val="24"/>
          <w:szCs w:val="24"/>
        </w:rPr>
        <w:t xml:space="preserve"> </w:t>
      </w:r>
      <w:r w:rsidR="00C06278" w:rsidRPr="00E75964">
        <w:rPr>
          <w:rFonts w:ascii="Garamond" w:hAnsi="Garamond"/>
          <w:color w:val="auto"/>
          <w:sz w:val="24"/>
          <w:szCs w:val="24"/>
        </w:rPr>
        <w:t>F</w:t>
      </w:r>
      <w:r w:rsidR="000C1759" w:rsidRPr="00E75964">
        <w:rPr>
          <w:rFonts w:ascii="Garamond" w:hAnsi="Garamond"/>
          <w:color w:val="auto"/>
          <w:sz w:val="24"/>
          <w:szCs w:val="24"/>
        </w:rPr>
        <w:t xml:space="preserve">irm-level </w:t>
      </w:r>
      <w:r w:rsidR="00CE65B6" w:rsidRPr="00E75964">
        <w:rPr>
          <w:rFonts w:ascii="Garamond" w:hAnsi="Garamond"/>
          <w:color w:val="auto"/>
          <w:sz w:val="24"/>
          <w:szCs w:val="24"/>
        </w:rPr>
        <w:t xml:space="preserve">trading </w:t>
      </w:r>
      <w:r w:rsidR="00C06278" w:rsidRPr="00E75964">
        <w:rPr>
          <w:rFonts w:ascii="Garamond" w:hAnsi="Garamond"/>
          <w:color w:val="auto"/>
          <w:sz w:val="24"/>
          <w:szCs w:val="24"/>
        </w:rPr>
        <w:t>behaviour</w:t>
      </w:r>
      <w:bookmarkEnd w:id="8"/>
    </w:p>
    <w:p w14:paraId="6B3667BD" w14:textId="67959F51" w:rsidR="00CE65B6" w:rsidRPr="00E75964" w:rsidRDefault="00CE65B6" w:rsidP="00F20D4C">
      <w:pPr>
        <w:spacing w:line="360" w:lineRule="auto"/>
        <w:jc w:val="both"/>
        <w:rPr>
          <w:rFonts w:ascii="Garamond" w:hAnsi="Garamond"/>
          <w:sz w:val="24"/>
          <w:szCs w:val="24"/>
        </w:rPr>
      </w:pPr>
      <w:r w:rsidRPr="00E75964">
        <w:rPr>
          <w:rFonts w:ascii="Garamond" w:hAnsi="Garamond"/>
          <w:sz w:val="24"/>
          <w:szCs w:val="24"/>
        </w:rPr>
        <w:t xml:space="preserve">As suggested by Rystrom and Benson (1989), investors are influenced by moods, perceptions and emotions that are systematically different on the first day of trading. This assertion is at least as plausible as suggesting such ultra-rationality as, for example, investors being acutely sensitive to settlement procedures. Rystrom and Benson </w:t>
      </w:r>
      <w:r w:rsidR="003552DF" w:rsidRPr="00E75964">
        <w:rPr>
          <w:rFonts w:ascii="Garamond" w:hAnsi="Garamond"/>
          <w:sz w:val="24"/>
          <w:szCs w:val="24"/>
        </w:rPr>
        <w:t xml:space="preserve">(1989) </w:t>
      </w:r>
      <w:r w:rsidRPr="00E75964">
        <w:rPr>
          <w:rFonts w:ascii="Garamond" w:hAnsi="Garamond"/>
          <w:sz w:val="24"/>
          <w:szCs w:val="24"/>
        </w:rPr>
        <w:t xml:space="preserve">further assert that the moods of fundamental and technical analysts may be influenced by a pall of Monday depression and a beautiful stock in the glow of optimism on Friday may look more like </w:t>
      </w:r>
      <w:r w:rsidR="003552DF" w:rsidRPr="00E75964">
        <w:rPr>
          <w:rFonts w:ascii="Garamond" w:hAnsi="Garamond"/>
          <w:sz w:val="24"/>
          <w:szCs w:val="24"/>
        </w:rPr>
        <w:t xml:space="preserve">an </w:t>
      </w:r>
      <w:r w:rsidRPr="00E75964">
        <w:rPr>
          <w:rFonts w:ascii="Garamond" w:hAnsi="Garamond"/>
          <w:sz w:val="24"/>
          <w:szCs w:val="24"/>
        </w:rPr>
        <w:t xml:space="preserve">overvalued sell candidate in the gloom of Monday morning. Following this </w:t>
      </w:r>
      <w:r w:rsidR="00EC0E91" w:rsidRPr="00E75964">
        <w:rPr>
          <w:rFonts w:ascii="Garamond" w:hAnsi="Garamond"/>
          <w:sz w:val="24"/>
          <w:szCs w:val="24"/>
        </w:rPr>
        <w:t>behavioural</w:t>
      </w:r>
      <w:r w:rsidRPr="00E75964">
        <w:rPr>
          <w:rFonts w:ascii="Garamond" w:hAnsi="Garamond"/>
          <w:sz w:val="24"/>
          <w:szCs w:val="24"/>
        </w:rPr>
        <w:t xml:space="preserve"> finance line of thought, our objective is to</w:t>
      </w:r>
      <w:r w:rsidR="003552DF" w:rsidRPr="00E75964">
        <w:rPr>
          <w:rFonts w:ascii="Garamond" w:hAnsi="Garamond"/>
          <w:sz w:val="24"/>
          <w:szCs w:val="24"/>
        </w:rPr>
        <w:t xml:space="preserve"> find </w:t>
      </w:r>
      <w:r w:rsidR="00111741" w:rsidRPr="00E75964">
        <w:rPr>
          <w:rFonts w:ascii="Garamond" w:hAnsi="Garamond"/>
          <w:sz w:val="24"/>
          <w:szCs w:val="24"/>
        </w:rPr>
        <w:t>out the</w:t>
      </w:r>
      <w:r w:rsidRPr="00E75964">
        <w:rPr>
          <w:rFonts w:ascii="Garamond" w:hAnsi="Garamond"/>
          <w:sz w:val="24"/>
          <w:szCs w:val="24"/>
        </w:rPr>
        <w:t xml:space="preserve"> trading patterns of investors </w:t>
      </w:r>
      <w:r w:rsidR="003552DF" w:rsidRPr="00E75964">
        <w:rPr>
          <w:rFonts w:ascii="Garamond" w:hAnsi="Garamond"/>
          <w:sz w:val="24"/>
          <w:szCs w:val="24"/>
        </w:rPr>
        <w:t xml:space="preserve">or who moves the </w:t>
      </w:r>
      <w:r w:rsidR="00E952CB" w:rsidRPr="00E75964">
        <w:rPr>
          <w:rFonts w:ascii="Garamond" w:hAnsi="Garamond"/>
          <w:sz w:val="24"/>
          <w:szCs w:val="24"/>
        </w:rPr>
        <w:t>market</w:t>
      </w:r>
      <w:r w:rsidR="003552DF" w:rsidRPr="00E75964">
        <w:rPr>
          <w:rFonts w:ascii="Garamond" w:hAnsi="Garamond"/>
          <w:sz w:val="24"/>
          <w:szCs w:val="24"/>
        </w:rPr>
        <w:t xml:space="preserve"> </w:t>
      </w:r>
      <w:r w:rsidRPr="00E75964">
        <w:rPr>
          <w:rFonts w:ascii="Garamond" w:hAnsi="Garamond"/>
          <w:sz w:val="24"/>
          <w:szCs w:val="24"/>
        </w:rPr>
        <w:t xml:space="preserve">on the opening day of the DSE, which is Sunday. In particular we use firm size and dividend yield as proxies to determine which group of investors </w:t>
      </w:r>
      <w:r w:rsidR="003552DF" w:rsidRPr="00E75964">
        <w:rPr>
          <w:rFonts w:ascii="Garamond" w:hAnsi="Garamond"/>
          <w:sz w:val="24"/>
          <w:szCs w:val="24"/>
        </w:rPr>
        <w:t>(</w:t>
      </w:r>
      <w:r w:rsidR="00E14B5B" w:rsidRPr="00E75964">
        <w:rPr>
          <w:rFonts w:ascii="Garamond" w:hAnsi="Garamond"/>
          <w:sz w:val="24"/>
          <w:szCs w:val="24"/>
        </w:rPr>
        <w:t>i.e.,</w:t>
      </w:r>
      <w:r w:rsidR="003552DF" w:rsidRPr="00E75964">
        <w:rPr>
          <w:rFonts w:ascii="Garamond" w:hAnsi="Garamond"/>
          <w:sz w:val="24"/>
          <w:szCs w:val="24"/>
        </w:rPr>
        <w:t xml:space="preserve"> individuals </w:t>
      </w:r>
      <w:r w:rsidR="00E952CB" w:rsidRPr="00E75964">
        <w:rPr>
          <w:rFonts w:ascii="Garamond" w:hAnsi="Garamond"/>
          <w:sz w:val="24"/>
          <w:szCs w:val="24"/>
        </w:rPr>
        <w:t>or</w:t>
      </w:r>
      <w:r w:rsidR="003552DF" w:rsidRPr="00E75964">
        <w:rPr>
          <w:rFonts w:ascii="Garamond" w:hAnsi="Garamond"/>
          <w:sz w:val="24"/>
          <w:szCs w:val="24"/>
        </w:rPr>
        <w:t xml:space="preserve"> institutions) </w:t>
      </w:r>
      <w:r w:rsidRPr="00E75964">
        <w:rPr>
          <w:rFonts w:ascii="Garamond" w:hAnsi="Garamond"/>
          <w:sz w:val="24"/>
          <w:szCs w:val="24"/>
        </w:rPr>
        <w:t>is influencing the returns and volatility on Sunday.</w:t>
      </w:r>
    </w:p>
    <w:p w14:paraId="2136A2D1" w14:textId="1AD76535" w:rsidR="00CE65B6" w:rsidRPr="00E75964" w:rsidRDefault="00804DEB" w:rsidP="00CD604B">
      <w:pPr>
        <w:spacing w:line="360" w:lineRule="auto"/>
        <w:jc w:val="both"/>
        <w:rPr>
          <w:rFonts w:ascii="Garamond" w:hAnsi="Garamond"/>
          <w:sz w:val="24"/>
          <w:szCs w:val="24"/>
        </w:rPr>
      </w:pPr>
      <w:r w:rsidRPr="00E75964">
        <w:rPr>
          <w:rFonts w:ascii="Garamond" w:hAnsi="Garamond"/>
          <w:sz w:val="24"/>
          <w:szCs w:val="24"/>
        </w:rPr>
        <w:t xml:space="preserve">As stated in Section </w:t>
      </w:r>
      <w:r w:rsidR="00455FCD">
        <w:rPr>
          <w:rFonts w:ascii="Garamond" w:hAnsi="Garamond"/>
          <w:sz w:val="24"/>
          <w:szCs w:val="24"/>
        </w:rPr>
        <w:t>3</w:t>
      </w:r>
      <w:r w:rsidR="00CE65B6" w:rsidRPr="00E75964">
        <w:rPr>
          <w:rFonts w:ascii="Garamond" w:hAnsi="Garamond"/>
          <w:sz w:val="24"/>
          <w:szCs w:val="24"/>
        </w:rPr>
        <w:t xml:space="preserve">, in order to investigate the relationship between the weekend effect and firm size, we create ten portfolios using all DSE listed firms according to the ranking of their daily average market value. We then calculate value weighted daily mean returns for each of the ten portfolios. We also determine the standard deviation of the equity returns to see the volatility for each day. The results are in Table </w:t>
      </w:r>
      <w:r w:rsidR="00AE3904" w:rsidRPr="00E75964">
        <w:rPr>
          <w:rFonts w:ascii="Garamond" w:hAnsi="Garamond"/>
          <w:sz w:val="24"/>
          <w:szCs w:val="24"/>
        </w:rPr>
        <w:t>4</w:t>
      </w:r>
      <w:r w:rsidR="00CE65B6" w:rsidRPr="00E75964">
        <w:rPr>
          <w:rFonts w:ascii="Garamond" w:hAnsi="Garamond"/>
          <w:sz w:val="24"/>
          <w:szCs w:val="24"/>
        </w:rPr>
        <w:t xml:space="preserve">. </w:t>
      </w:r>
    </w:p>
    <w:p w14:paraId="5A4BF5CA" w14:textId="77777777" w:rsidR="00B95820" w:rsidRDefault="00CE65B6" w:rsidP="00B95820">
      <w:pPr>
        <w:spacing w:line="240" w:lineRule="auto"/>
        <w:contextualSpacing/>
        <w:rPr>
          <w:rFonts w:ascii="Garamond" w:hAnsi="Garamond"/>
          <w:b/>
          <w:sz w:val="24"/>
          <w:szCs w:val="24"/>
        </w:rPr>
      </w:pPr>
      <w:r w:rsidRPr="00E75964">
        <w:rPr>
          <w:rFonts w:ascii="Garamond" w:hAnsi="Garamond"/>
          <w:b/>
          <w:sz w:val="24"/>
          <w:szCs w:val="24"/>
        </w:rPr>
        <w:lastRenderedPageBreak/>
        <w:t xml:space="preserve">Table </w:t>
      </w:r>
      <w:r w:rsidR="00AE3904" w:rsidRPr="00E75964">
        <w:rPr>
          <w:rFonts w:ascii="Garamond" w:hAnsi="Garamond"/>
          <w:b/>
          <w:sz w:val="24"/>
          <w:szCs w:val="24"/>
        </w:rPr>
        <w:t>4</w:t>
      </w:r>
    </w:p>
    <w:p w14:paraId="4FAA5380" w14:textId="10DBCAB6" w:rsidR="00CE65B6" w:rsidRPr="00B95820" w:rsidRDefault="00912000" w:rsidP="00B95820">
      <w:pPr>
        <w:spacing w:line="240" w:lineRule="auto"/>
        <w:contextualSpacing/>
        <w:rPr>
          <w:rFonts w:ascii="Garamond" w:hAnsi="Garamond"/>
          <w:sz w:val="24"/>
          <w:szCs w:val="24"/>
        </w:rPr>
      </w:pPr>
      <w:r w:rsidRPr="00B95820">
        <w:rPr>
          <w:rFonts w:ascii="Garamond" w:hAnsi="Garamond"/>
          <w:sz w:val="24"/>
          <w:szCs w:val="24"/>
        </w:rPr>
        <w:t>Firm-</w:t>
      </w:r>
      <w:r w:rsidR="00B95820">
        <w:rPr>
          <w:rFonts w:ascii="Garamond" w:hAnsi="Garamond"/>
          <w:sz w:val="24"/>
          <w:szCs w:val="24"/>
        </w:rPr>
        <w:t>l</w:t>
      </w:r>
      <w:r w:rsidRPr="00B95820">
        <w:rPr>
          <w:rFonts w:ascii="Garamond" w:hAnsi="Garamond"/>
          <w:sz w:val="24"/>
          <w:szCs w:val="24"/>
        </w:rPr>
        <w:t xml:space="preserve">evel </w:t>
      </w:r>
      <w:r w:rsidR="00B95820">
        <w:rPr>
          <w:rFonts w:ascii="Garamond" w:hAnsi="Garamond"/>
          <w:sz w:val="24"/>
          <w:szCs w:val="24"/>
        </w:rPr>
        <w:t>d</w:t>
      </w:r>
      <w:r w:rsidR="00CE65B6" w:rsidRPr="00B95820">
        <w:rPr>
          <w:rFonts w:ascii="Garamond" w:hAnsi="Garamond"/>
          <w:sz w:val="24"/>
          <w:szCs w:val="24"/>
        </w:rPr>
        <w:t xml:space="preserve">aily </w:t>
      </w:r>
      <w:r w:rsidR="00B95820">
        <w:rPr>
          <w:rFonts w:ascii="Garamond" w:hAnsi="Garamond"/>
          <w:sz w:val="24"/>
          <w:szCs w:val="24"/>
        </w:rPr>
        <w:t>r</w:t>
      </w:r>
      <w:r w:rsidR="00CE65B6" w:rsidRPr="00B95820">
        <w:rPr>
          <w:rFonts w:ascii="Garamond" w:hAnsi="Garamond"/>
          <w:sz w:val="24"/>
          <w:szCs w:val="24"/>
        </w:rPr>
        <w:t xml:space="preserve">eturns and </w:t>
      </w:r>
      <w:r w:rsidR="00B95820">
        <w:rPr>
          <w:rFonts w:ascii="Garamond" w:hAnsi="Garamond"/>
          <w:sz w:val="24"/>
          <w:szCs w:val="24"/>
        </w:rPr>
        <w:t>s</w:t>
      </w:r>
      <w:r w:rsidR="00CE65B6" w:rsidRPr="00B95820">
        <w:rPr>
          <w:rFonts w:ascii="Garamond" w:hAnsi="Garamond"/>
          <w:sz w:val="24"/>
          <w:szCs w:val="24"/>
        </w:rPr>
        <w:t xml:space="preserve">tandard </w:t>
      </w:r>
      <w:r w:rsidR="00B95820">
        <w:rPr>
          <w:rFonts w:ascii="Garamond" w:hAnsi="Garamond"/>
          <w:sz w:val="24"/>
          <w:szCs w:val="24"/>
        </w:rPr>
        <w:t>d</w:t>
      </w:r>
      <w:r w:rsidR="00CE65B6" w:rsidRPr="00B95820">
        <w:rPr>
          <w:rFonts w:ascii="Garamond" w:hAnsi="Garamond"/>
          <w:sz w:val="24"/>
          <w:szCs w:val="24"/>
        </w:rPr>
        <w:t>eviations on the DSE</w:t>
      </w:r>
      <w:r w:rsidR="00B95820">
        <w:rPr>
          <w:rFonts w:ascii="Garamond" w:hAnsi="Garamond"/>
          <w:sz w:val="24"/>
          <w:szCs w:val="24"/>
        </w:rPr>
        <w:t xml:space="preserve"> g</w:t>
      </w:r>
      <w:r w:rsidR="00CE65B6" w:rsidRPr="00B95820">
        <w:rPr>
          <w:rFonts w:ascii="Garamond" w:hAnsi="Garamond"/>
          <w:sz w:val="24"/>
          <w:szCs w:val="24"/>
        </w:rPr>
        <w:t xml:space="preserve">rouping by </w:t>
      </w:r>
      <w:r w:rsidR="00B95820">
        <w:rPr>
          <w:rFonts w:ascii="Garamond" w:hAnsi="Garamond"/>
          <w:sz w:val="24"/>
          <w:szCs w:val="24"/>
        </w:rPr>
        <w:t>m</w:t>
      </w:r>
      <w:r w:rsidR="00CE65B6" w:rsidRPr="00B95820">
        <w:rPr>
          <w:rFonts w:ascii="Garamond" w:hAnsi="Garamond"/>
          <w:sz w:val="24"/>
          <w:szCs w:val="24"/>
        </w:rPr>
        <w:t xml:space="preserve">arket </w:t>
      </w:r>
      <w:r w:rsidR="00B95820">
        <w:rPr>
          <w:rFonts w:ascii="Garamond" w:hAnsi="Garamond"/>
          <w:sz w:val="24"/>
          <w:szCs w:val="24"/>
        </w:rPr>
        <w:t>v</w:t>
      </w:r>
      <w:r w:rsidR="00CE65B6" w:rsidRPr="00B95820">
        <w:rPr>
          <w:rFonts w:ascii="Garamond" w:hAnsi="Garamond"/>
          <w:sz w:val="24"/>
          <w:szCs w:val="24"/>
        </w:rPr>
        <w:t>alue</w:t>
      </w:r>
      <w:r w:rsidRPr="00B95820">
        <w:rPr>
          <w:rFonts w:ascii="Garamond" w:hAnsi="Garamond"/>
          <w:sz w:val="24"/>
          <w:szCs w:val="24"/>
        </w:rPr>
        <w:t xml:space="preserve"> </w:t>
      </w:r>
      <w:r w:rsidR="00B95820">
        <w:rPr>
          <w:rFonts w:ascii="Garamond" w:hAnsi="Garamond"/>
          <w:sz w:val="24"/>
          <w:szCs w:val="24"/>
        </w:rPr>
        <w:t>d</w:t>
      </w:r>
      <w:r w:rsidR="00CE65B6" w:rsidRPr="00B95820">
        <w:rPr>
          <w:rFonts w:ascii="Garamond" w:hAnsi="Garamond"/>
          <w:sz w:val="24"/>
          <w:szCs w:val="24"/>
        </w:rPr>
        <w:t>eciles</w:t>
      </w:r>
      <w:r w:rsidR="00B95820">
        <w:rPr>
          <w:rFonts w:ascii="Garamond" w:hAnsi="Garamond"/>
          <w:sz w:val="24"/>
          <w:szCs w:val="24"/>
        </w:rPr>
        <w:t>.</w:t>
      </w:r>
    </w:p>
    <w:p w14:paraId="54522752" w14:textId="77777777" w:rsidR="00E27D9D" w:rsidRPr="00E75964" w:rsidRDefault="00E27D9D" w:rsidP="00E27D9D">
      <w:pPr>
        <w:spacing w:line="240" w:lineRule="auto"/>
        <w:contextualSpacing/>
        <w:jc w:val="center"/>
        <w:rPr>
          <w:rFonts w:ascii="Garamond" w:hAnsi="Garamond"/>
          <w:b/>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1019"/>
        <w:gridCol w:w="1323"/>
        <w:gridCol w:w="1139"/>
        <w:gridCol w:w="1044"/>
        <w:gridCol w:w="1329"/>
        <w:gridCol w:w="1324"/>
        <w:gridCol w:w="916"/>
      </w:tblGrid>
      <w:tr w:rsidR="009E7DA2" w:rsidRPr="00B95820" w14:paraId="242FBEB3" w14:textId="77777777" w:rsidTr="00D13E09">
        <w:trPr>
          <w:trHeight w:val="438"/>
          <w:jc w:val="center"/>
        </w:trPr>
        <w:tc>
          <w:tcPr>
            <w:tcW w:w="520" w:type="pct"/>
            <w:tcBorders>
              <w:top w:val="single" w:sz="4" w:space="0" w:color="auto"/>
              <w:bottom w:val="single" w:sz="4" w:space="0" w:color="auto"/>
            </w:tcBorders>
          </w:tcPr>
          <w:p w14:paraId="0BCECCF7" w14:textId="2AB53976" w:rsidR="009E7DA2" w:rsidRPr="00B95820" w:rsidRDefault="009E7DA2" w:rsidP="00B95820">
            <w:pPr>
              <w:spacing w:after="200"/>
              <w:contextualSpacing/>
              <w:jc w:val="center"/>
              <w:rPr>
                <w:rFonts w:ascii="Garamond" w:hAnsi="Garamond"/>
                <w:sz w:val="24"/>
                <w:szCs w:val="24"/>
              </w:rPr>
            </w:pPr>
            <w:bookmarkStart w:id="9" w:name="_Hlk39584180"/>
            <w:r w:rsidRPr="00B95820">
              <w:rPr>
                <w:rFonts w:ascii="Garamond" w:hAnsi="Garamond"/>
                <w:sz w:val="24"/>
                <w:szCs w:val="24"/>
              </w:rPr>
              <w:t>Decile</w:t>
            </w:r>
          </w:p>
        </w:tc>
        <w:tc>
          <w:tcPr>
            <w:tcW w:w="568" w:type="pct"/>
            <w:tcBorders>
              <w:top w:val="single" w:sz="4" w:space="0" w:color="auto"/>
              <w:bottom w:val="single" w:sz="4" w:space="0" w:color="auto"/>
            </w:tcBorders>
          </w:tcPr>
          <w:p w14:paraId="1799D35C" w14:textId="77777777" w:rsidR="009E7DA2" w:rsidRPr="00B95820" w:rsidRDefault="009E7DA2" w:rsidP="00D13E09">
            <w:pPr>
              <w:spacing w:after="200"/>
              <w:contextualSpacing/>
              <w:jc w:val="center"/>
              <w:rPr>
                <w:rFonts w:ascii="Garamond" w:hAnsi="Garamond"/>
                <w:sz w:val="24"/>
                <w:szCs w:val="24"/>
              </w:rPr>
            </w:pPr>
          </w:p>
        </w:tc>
        <w:tc>
          <w:tcPr>
            <w:tcW w:w="736" w:type="pct"/>
            <w:tcBorders>
              <w:top w:val="single" w:sz="4" w:space="0" w:color="auto"/>
              <w:bottom w:val="single" w:sz="4" w:space="0" w:color="auto"/>
            </w:tcBorders>
          </w:tcPr>
          <w:p w14:paraId="034E29AC" w14:textId="77777777" w:rsidR="009E7DA2" w:rsidRPr="00B95820" w:rsidRDefault="009E7DA2" w:rsidP="00D13E09">
            <w:pPr>
              <w:spacing w:after="200"/>
              <w:contextualSpacing/>
              <w:jc w:val="center"/>
              <w:rPr>
                <w:rFonts w:ascii="Garamond" w:hAnsi="Garamond"/>
                <w:sz w:val="24"/>
                <w:szCs w:val="24"/>
              </w:rPr>
            </w:pPr>
            <w:r w:rsidRPr="00B95820">
              <w:rPr>
                <w:rFonts w:ascii="Garamond" w:hAnsi="Garamond"/>
                <w:sz w:val="24"/>
                <w:szCs w:val="24"/>
              </w:rPr>
              <w:t>Sunday</w:t>
            </w:r>
          </w:p>
          <w:p w14:paraId="68A15644" w14:textId="77777777" w:rsidR="009E7DA2" w:rsidRPr="00B95820" w:rsidRDefault="009E7DA2" w:rsidP="00D13E09">
            <w:pPr>
              <w:spacing w:after="200"/>
              <w:contextualSpacing/>
              <w:jc w:val="center"/>
              <w:rPr>
                <w:rFonts w:ascii="Garamond" w:hAnsi="Garamond"/>
                <w:sz w:val="24"/>
                <w:szCs w:val="24"/>
              </w:rPr>
            </w:pPr>
          </w:p>
        </w:tc>
        <w:tc>
          <w:tcPr>
            <w:tcW w:w="609" w:type="pct"/>
            <w:tcBorders>
              <w:top w:val="single" w:sz="4" w:space="0" w:color="auto"/>
              <w:bottom w:val="single" w:sz="4" w:space="0" w:color="auto"/>
            </w:tcBorders>
          </w:tcPr>
          <w:p w14:paraId="1077640C" w14:textId="77777777" w:rsidR="009E7DA2" w:rsidRPr="00B95820" w:rsidRDefault="009E7DA2" w:rsidP="00D13E09">
            <w:pPr>
              <w:spacing w:after="200"/>
              <w:contextualSpacing/>
              <w:jc w:val="center"/>
              <w:rPr>
                <w:rFonts w:ascii="Garamond" w:hAnsi="Garamond"/>
                <w:sz w:val="24"/>
                <w:szCs w:val="24"/>
              </w:rPr>
            </w:pPr>
            <w:r w:rsidRPr="00B95820">
              <w:rPr>
                <w:rFonts w:ascii="Garamond" w:hAnsi="Garamond"/>
                <w:sz w:val="24"/>
                <w:szCs w:val="24"/>
              </w:rPr>
              <w:t>Monday</w:t>
            </w:r>
          </w:p>
          <w:p w14:paraId="4F45D5B5" w14:textId="77777777" w:rsidR="009E7DA2" w:rsidRPr="00B95820" w:rsidRDefault="009E7DA2" w:rsidP="00D13E09">
            <w:pPr>
              <w:spacing w:after="200"/>
              <w:contextualSpacing/>
              <w:jc w:val="center"/>
              <w:rPr>
                <w:rFonts w:ascii="Garamond" w:hAnsi="Garamond"/>
                <w:sz w:val="24"/>
                <w:szCs w:val="24"/>
              </w:rPr>
            </w:pPr>
          </w:p>
        </w:tc>
        <w:tc>
          <w:tcPr>
            <w:tcW w:w="581" w:type="pct"/>
            <w:tcBorders>
              <w:top w:val="single" w:sz="4" w:space="0" w:color="auto"/>
              <w:bottom w:val="single" w:sz="4" w:space="0" w:color="auto"/>
            </w:tcBorders>
          </w:tcPr>
          <w:p w14:paraId="4524672E" w14:textId="77777777" w:rsidR="009E7DA2" w:rsidRPr="00B95820" w:rsidRDefault="009E7DA2" w:rsidP="00D13E09">
            <w:pPr>
              <w:spacing w:after="200"/>
              <w:contextualSpacing/>
              <w:jc w:val="center"/>
              <w:rPr>
                <w:rFonts w:ascii="Garamond" w:hAnsi="Garamond"/>
                <w:sz w:val="24"/>
                <w:szCs w:val="24"/>
              </w:rPr>
            </w:pPr>
            <w:r w:rsidRPr="00B95820">
              <w:rPr>
                <w:rFonts w:ascii="Garamond" w:hAnsi="Garamond"/>
                <w:sz w:val="24"/>
                <w:szCs w:val="24"/>
              </w:rPr>
              <w:t>Tuesday</w:t>
            </w:r>
          </w:p>
          <w:p w14:paraId="2097352B" w14:textId="77777777" w:rsidR="009E7DA2" w:rsidRPr="00B95820" w:rsidRDefault="009E7DA2" w:rsidP="00D13E09">
            <w:pPr>
              <w:spacing w:after="200"/>
              <w:contextualSpacing/>
              <w:jc w:val="center"/>
              <w:rPr>
                <w:rFonts w:ascii="Garamond" w:hAnsi="Garamond"/>
                <w:sz w:val="24"/>
                <w:szCs w:val="24"/>
              </w:rPr>
            </w:pPr>
          </w:p>
        </w:tc>
        <w:tc>
          <w:tcPr>
            <w:tcW w:w="739" w:type="pct"/>
            <w:tcBorders>
              <w:top w:val="single" w:sz="4" w:space="0" w:color="auto"/>
              <w:bottom w:val="single" w:sz="4" w:space="0" w:color="auto"/>
            </w:tcBorders>
          </w:tcPr>
          <w:p w14:paraId="63DF63D9" w14:textId="77777777" w:rsidR="009E7DA2" w:rsidRPr="00B95820" w:rsidRDefault="009E7DA2" w:rsidP="00D13E09">
            <w:pPr>
              <w:spacing w:after="200"/>
              <w:contextualSpacing/>
              <w:jc w:val="center"/>
              <w:rPr>
                <w:rFonts w:ascii="Garamond" w:hAnsi="Garamond"/>
                <w:sz w:val="24"/>
                <w:szCs w:val="24"/>
              </w:rPr>
            </w:pPr>
            <w:r w:rsidRPr="00B95820">
              <w:rPr>
                <w:rFonts w:ascii="Garamond" w:hAnsi="Garamond"/>
                <w:sz w:val="24"/>
                <w:szCs w:val="24"/>
              </w:rPr>
              <w:t>Wednesday</w:t>
            </w:r>
          </w:p>
          <w:p w14:paraId="0C0662A3" w14:textId="77777777" w:rsidR="009E7DA2" w:rsidRPr="00B95820" w:rsidRDefault="009E7DA2" w:rsidP="00D13E09">
            <w:pPr>
              <w:spacing w:after="200"/>
              <w:contextualSpacing/>
              <w:jc w:val="center"/>
              <w:rPr>
                <w:rFonts w:ascii="Garamond" w:hAnsi="Garamond"/>
                <w:sz w:val="24"/>
                <w:szCs w:val="24"/>
              </w:rPr>
            </w:pPr>
          </w:p>
        </w:tc>
        <w:tc>
          <w:tcPr>
            <w:tcW w:w="736" w:type="pct"/>
            <w:tcBorders>
              <w:top w:val="single" w:sz="4" w:space="0" w:color="auto"/>
              <w:bottom w:val="single" w:sz="4" w:space="0" w:color="auto"/>
            </w:tcBorders>
          </w:tcPr>
          <w:p w14:paraId="6C02C2C8" w14:textId="77777777" w:rsidR="009E7DA2" w:rsidRPr="00B95820" w:rsidRDefault="009E7DA2" w:rsidP="00D13E09">
            <w:pPr>
              <w:spacing w:after="200"/>
              <w:contextualSpacing/>
              <w:jc w:val="center"/>
              <w:rPr>
                <w:rFonts w:ascii="Garamond" w:hAnsi="Garamond"/>
                <w:sz w:val="24"/>
                <w:szCs w:val="24"/>
              </w:rPr>
            </w:pPr>
            <w:r w:rsidRPr="00B95820">
              <w:rPr>
                <w:rFonts w:ascii="Garamond" w:hAnsi="Garamond"/>
                <w:sz w:val="24"/>
                <w:szCs w:val="24"/>
              </w:rPr>
              <w:t>Thursday</w:t>
            </w:r>
          </w:p>
          <w:p w14:paraId="40F75C01" w14:textId="77777777" w:rsidR="009E7DA2" w:rsidRPr="00B95820" w:rsidRDefault="009E7DA2" w:rsidP="00D13E09">
            <w:pPr>
              <w:spacing w:after="200"/>
              <w:contextualSpacing/>
              <w:jc w:val="center"/>
              <w:rPr>
                <w:rFonts w:ascii="Garamond" w:hAnsi="Garamond"/>
                <w:sz w:val="24"/>
                <w:szCs w:val="24"/>
              </w:rPr>
            </w:pPr>
          </w:p>
        </w:tc>
        <w:tc>
          <w:tcPr>
            <w:tcW w:w="510" w:type="pct"/>
            <w:tcBorders>
              <w:top w:val="single" w:sz="4" w:space="0" w:color="auto"/>
              <w:bottom w:val="single" w:sz="4" w:space="0" w:color="auto"/>
            </w:tcBorders>
          </w:tcPr>
          <w:p w14:paraId="6C917B30" w14:textId="77777777" w:rsidR="009E7DA2" w:rsidRPr="00B95820" w:rsidRDefault="009E7DA2" w:rsidP="00D13E09">
            <w:pPr>
              <w:spacing w:after="200"/>
              <w:contextualSpacing/>
              <w:jc w:val="center"/>
              <w:rPr>
                <w:rFonts w:ascii="Garamond" w:hAnsi="Garamond"/>
                <w:sz w:val="24"/>
                <w:szCs w:val="24"/>
                <w:vertAlign w:val="superscript"/>
              </w:rPr>
            </w:pPr>
            <w:r w:rsidRPr="00B95820">
              <w:rPr>
                <w:rFonts w:ascii="Garamond" w:hAnsi="Garamond"/>
                <w:sz w:val="24"/>
                <w:szCs w:val="24"/>
              </w:rPr>
              <w:t>F</w:t>
            </w:r>
            <w:r w:rsidRPr="00B95820">
              <w:rPr>
                <w:rFonts w:ascii="Garamond" w:hAnsi="Garamond"/>
                <w:sz w:val="24"/>
                <w:szCs w:val="24"/>
                <w:vertAlign w:val="superscript"/>
              </w:rPr>
              <w:t xml:space="preserve"> a</w:t>
            </w:r>
          </w:p>
        </w:tc>
      </w:tr>
      <w:tr w:rsidR="009E7DA2" w:rsidRPr="00E75964" w14:paraId="11CAA643" w14:textId="77777777" w:rsidTr="00D13E09">
        <w:trPr>
          <w:jc w:val="center"/>
        </w:trPr>
        <w:tc>
          <w:tcPr>
            <w:tcW w:w="520" w:type="pct"/>
            <w:tcBorders>
              <w:top w:val="single" w:sz="4" w:space="0" w:color="auto"/>
            </w:tcBorders>
          </w:tcPr>
          <w:p w14:paraId="56B39FFC"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Small</w:t>
            </w:r>
          </w:p>
        </w:tc>
        <w:tc>
          <w:tcPr>
            <w:tcW w:w="568" w:type="pct"/>
            <w:tcBorders>
              <w:top w:val="single" w:sz="4" w:space="0" w:color="auto"/>
            </w:tcBorders>
          </w:tcPr>
          <w:p w14:paraId="440D60E9"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Mean</w:t>
            </w:r>
          </w:p>
        </w:tc>
        <w:tc>
          <w:tcPr>
            <w:tcW w:w="736" w:type="pct"/>
            <w:tcBorders>
              <w:top w:val="single" w:sz="4" w:space="0" w:color="auto"/>
            </w:tcBorders>
          </w:tcPr>
          <w:p w14:paraId="504BA6BB"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-0.1916***</w:t>
            </w:r>
          </w:p>
        </w:tc>
        <w:tc>
          <w:tcPr>
            <w:tcW w:w="609" w:type="pct"/>
            <w:tcBorders>
              <w:top w:val="single" w:sz="4" w:space="0" w:color="auto"/>
            </w:tcBorders>
          </w:tcPr>
          <w:p w14:paraId="014836D8"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-0.0005</w:t>
            </w:r>
          </w:p>
        </w:tc>
        <w:tc>
          <w:tcPr>
            <w:tcW w:w="581" w:type="pct"/>
            <w:tcBorders>
              <w:top w:val="single" w:sz="4" w:space="0" w:color="auto"/>
            </w:tcBorders>
          </w:tcPr>
          <w:p w14:paraId="4A6CA6F4"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0.0031</w:t>
            </w:r>
          </w:p>
        </w:tc>
        <w:tc>
          <w:tcPr>
            <w:tcW w:w="739" w:type="pct"/>
            <w:tcBorders>
              <w:top w:val="single" w:sz="4" w:space="0" w:color="auto"/>
            </w:tcBorders>
          </w:tcPr>
          <w:p w14:paraId="454DB81B" w14:textId="60CB74DE"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w:t>
            </w:r>
            <w:r w:rsidR="00690EDC" w:rsidRPr="00E75964">
              <w:rPr>
                <w:rFonts w:ascii="Garamond" w:hAnsi="Garamond"/>
                <w:sz w:val="24"/>
                <w:szCs w:val="24"/>
              </w:rPr>
              <w:t>4</w:t>
            </w:r>
            <w:r w:rsidRPr="00E75964">
              <w:rPr>
                <w:rFonts w:ascii="Garamond" w:hAnsi="Garamond"/>
                <w:sz w:val="24"/>
                <w:szCs w:val="24"/>
              </w:rPr>
              <w:t>01</w:t>
            </w:r>
          </w:p>
        </w:tc>
        <w:tc>
          <w:tcPr>
            <w:tcW w:w="736" w:type="pct"/>
            <w:tcBorders>
              <w:top w:val="single" w:sz="4" w:space="0" w:color="auto"/>
            </w:tcBorders>
          </w:tcPr>
          <w:p w14:paraId="519CC477" w14:textId="170C40AD"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w:t>
            </w:r>
            <w:r w:rsidR="00690EDC" w:rsidRPr="00E75964">
              <w:rPr>
                <w:rFonts w:ascii="Garamond" w:hAnsi="Garamond"/>
                <w:sz w:val="24"/>
                <w:szCs w:val="24"/>
              </w:rPr>
              <w:t>4</w:t>
            </w:r>
            <w:r w:rsidRPr="00E75964">
              <w:rPr>
                <w:rFonts w:ascii="Garamond" w:hAnsi="Garamond"/>
                <w:sz w:val="24"/>
                <w:szCs w:val="24"/>
              </w:rPr>
              <w:t>98*</w:t>
            </w:r>
          </w:p>
        </w:tc>
        <w:tc>
          <w:tcPr>
            <w:tcW w:w="510" w:type="pct"/>
            <w:tcBorders>
              <w:top w:val="single" w:sz="4" w:space="0" w:color="auto"/>
            </w:tcBorders>
          </w:tcPr>
          <w:p w14:paraId="0629EF36"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4.850</w:t>
            </w:r>
          </w:p>
        </w:tc>
      </w:tr>
      <w:tr w:rsidR="009E7DA2" w:rsidRPr="00E75964" w14:paraId="28FC4E83" w14:textId="77777777" w:rsidTr="00D13E09">
        <w:trPr>
          <w:jc w:val="center"/>
        </w:trPr>
        <w:tc>
          <w:tcPr>
            <w:tcW w:w="520" w:type="pct"/>
          </w:tcPr>
          <w:p w14:paraId="2659224C"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w:t>
            </w:r>
          </w:p>
        </w:tc>
        <w:tc>
          <w:tcPr>
            <w:tcW w:w="568" w:type="pct"/>
          </w:tcPr>
          <w:p w14:paraId="44857BCD"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SD</w:t>
            </w:r>
          </w:p>
        </w:tc>
        <w:tc>
          <w:tcPr>
            <w:tcW w:w="736" w:type="pct"/>
          </w:tcPr>
          <w:p w14:paraId="4FEB382B"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2.3131</w:t>
            </w:r>
          </w:p>
        </w:tc>
        <w:tc>
          <w:tcPr>
            <w:tcW w:w="609" w:type="pct"/>
          </w:tcPr>
          <w:p w14:paraId="0DD6BB84"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0.7661</w:t>
            </w:r>
          </w:p>
        </w:tc>
        <w:tc>
          <w:tcPr>
            <w:tcW w:w="581" w:type="pct"/>
          </w:tcPr>
          <w:p w14:paraId="01E46E08"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0.7641</w:t>
            </w:r>
          </w:p>
        </w:tc>
        <w:tc>
          <w:tcPr>
            <w:tcW w:w="739" w:type="pct"/>
          </w:tcPr>
          <w:p w14:paraId="335DC96D"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0.6244</w:t>
            </w:r>
          </w:p>
        </w:tc>
        <w:tc>
          <w:tcPr>
            <w:tcW w:w="736" w:type="pct"/>
          </w:tcPr>
          <w:p w14:paraId="30052DFF"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0.8984</w:t>
            </w:r>
          </w:p>
        </w:tc>
        <w:tc>
          <w:tcPr>
            <w:tcW w:w="510" w:type="pct"/>
          </w:tcPr>
          <w:p w14:paraId="51C2607C"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(0.000)</w:t>
            </w:r>
          </w:p>
        </w:tc>
      </w:tr>
      <w:tr w:rsidR="009E7DA2" w:rsidRPr="00E75964" w14:paraId="1C8A4FF0" w14:textId="77777777" w:rsidTr="00D13E09">
        <w:trPr>
          <w:jc w:val="center"/>
        </w:trPr>
        <w:tc>
          <w:tcPr>
            <w:tcW w:w="520" w:type="pct"/>
          </w:tcPr>
          <w:p w14:paraId="725CCCC8" w14:textId="77777777" w:rsidR="009E7DA2" w:rsidRPr="00E75964" w:rsidRDefault="009E7DA2" w:rsidP="00D13E09">
            <w:pPr>
              <w:spacing w:after="200"/>
              <w:contextualSpacing/>
              <w:jc w:val="center"/>
              <w:rPr>
                <w:rFonts w:ascii="Garamond" w:hAnsi="Garamond"/>
                <w:sz w:val="24"/>
                <w:szCs w:val="24"/>
              </w:rPr>
            </w:pPr>
          </w:p>
        </w:tc>
        <w:tc>
          <w:tcPr>
            <w:tcW w:w="568" w:type="pct"/>
          </w:tcPr>
          <w:p w14:paraId="6D2902A6" w14:textId="77777777" w:rsidR="009E7DA2" w:rsidRPr="00E75964" w:rsidRDefault="009E7DA2" w:rsidP="00D13E09">
            <w:pPr>
              <w:spacing w:after="200"/>
              <w:contextualSpacing/>
              <w:jc w:val="center"/>
              <w:rPr>
                <w:rFonts w:ascii="Garamond" w:hAnsi="Garamond"/>
                <w:sz w:val="24"/>
                <w:szCs w:val="24"/>
              </w:rPr>
            </w:pPr>
          </w:p>
        </w:tc>
        <w:tc>
          <w:tcPr>
            <w:tcW w:w="736" w:type="pct"/>
          </w:tcPr>
          <w:p w14:paraId="59578D05" w14:textId="77777777" w:rsidR="009E7DA2" w:rsidRPr="00E75964" w:rsidRDefault="009E7DA2" w:rsidP="00D13E09">
            <w:pPr>
              <w:spacing w:after="200"/>
              <w:contextualSpacing/>
              <w:jc w:val="center"/>
              <w:rPr>
                <w:rFonts w:ascii="Garamond" w:hAnsi="Garamond"/>
                <w:sz w:val="24"/>
                <w:szCs w:val="24"/>
              </w:rPr>
            </w:pPr>
          </w:p>
        </w:tc>
        <w:tc>
          <w:tcPr>
            <w:tcW w:w="609" w:type="pct"/>
          </w:tcPr>
          <w:p w14:paraId="0EC9D641" w14:textId="77777777" w:rsidR="009E7DA2" w:rsidRPr="00E75964" w:rsidRDefault="009E7DA2" w:rsidP="00D13E09">
            <w:pPr>
              <w:spacing w:after="200"/>
              <w:contextualSpacing/>
              <w:jc w:val="center"/>
              <w:rPr>
                <w:rFonts w:ascii="Garamond" w:hAnsi="Garamond"/>
                <w:sz w:val="24"/>
                <w:szCs w:val="24"/>
              </w:rPr>
            </w:pPr>
          </w:p>
        </w:tc>
        <w:tc>
          <w:tcPr>
            <w:tcW w:w="581" w:type="pct"/>
          </w:tcPr>
          <w:p w14:paraId="702D427E" w14:textId="77777777" w:rsidR="009E7DA2" w:rsidRPr="00E75964" w:rsidRDefault="009E7DA2" w:rsidP="00D13E09">
            <w:pPr>
              <w:spacing w:after="200"/>
              <w:contextualSpacing/>
              <w:jc w:val="center"/>
              <w:rPr>
                <w:rFonts w:ascii="Garamond" w:hAnsi="Garamond"/>
                <w:sz w:val="24"/>
                <w:szCs w:val="24"/>
              </w:rPr>
            </w:pPr>
          </w:p>
        </w:tc>
        <w:tc>
          <w:tcPr>
            <w:tcW w:w="739" w:type="pct"/>
          </w:tcPr>
          <w:p w14:paraId="135CD589" w14:textId="77777777" w:rsidR="009E7DA2" w:rsidRPr="00E75964" w:rsidRDefault="009E7DA2" w:rsidP="00D13E09">
            <w:pPr>
              <w:spacing w:after="200"/>
              <w:contextualSpacing/>
              <w:jc w:val="center"/>
              <w:rPr>
                <w:rFonts w:ascii="Garamond" w:hAnsi="Garamond"/>
                <w:sz w:val="24"/>
                <w:szCs w:val="24"/>
              </w:rPr>
            </w:pPr>
          </w:p>
        </w:tc>
        <w:tc>
          <w:tcPr>
            <w:tcW w:w="736" w:type="pct"/>
          </w:tcPr>
          <w:p w14:paraId="6B78A2B0" w14:textId="77777777" w:rsidR="009E7DA2" w:rsidRPr="00E75964" w:rsidRDefault="009E7DA2" w:rsidP="00D13E09">
            <w:pPr>
              <w:spacing w:after="200"/>
              <w:contextualSpacing/>
              <w:jc w:val="center"/>
              <w:rPr>
                <w:rFonts w:ascii="Garamond" w:hAnsi="Garamond"/>
                <w:sz w:val="24"/>
                <w:szCs w:val="24"/>
              </w:rPr>
            </w:pPr>
          </w:p>
        </w:tc>
        <w:tc>
          <w:tcPr>
            <w:tcW w:w="510" w:type="pct"/>
          </w:tcPr>
          <w:p w14:paraId="0E062371" w14:textId="77777777" w:rsidR="009E7DA2" w:rsidRPr="00E75964" w:rsidRDefault="009E7DA2" w:rsidP="00D13E09">
            <w:pPr>
              <w:spacing w:after="200"/>
              <w:contextualSpacing/>
              <w:jc w:val="center"/>
              <w:rPr>
                <w:rFonts w:ascii="Garamond" w:hAnsi="Garamond"/>
                <w:sz w:val="24"/>
                <w:szCs w:val="24"/>
              </w:rPr>
            </w:pPr>
          </w:p>
        </w:tc>
      </w:tr>
      <w:tr w:rsidR="009E7DA2" w:rsidRPr="00E75964" w14:paraId="553D57EF" w14:textId="77777777" w:rsidTr="00D13E09">
        <w:trPr>
          <w:jc w:val="center"/>
        </w:trPr>
        <w:tc>
          <w:tcPr>
            <w:tcW w:w="520" w:type="pct"/>
          </w:tcPr>
          <w:p w14:paraId="01297246"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2</w:t>
            </w:r>
          </w:p>
        </w:tc>
        <w:tc>
          <w:tcPr>
            <w:tcW w:w="568" w:type="pct"/>
          </w:tcPr>
          <w:p w14:paraId="2E1190DE"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Mean</w:t>
            </w:r>
          </w:p>
        </w:tc>
        <w:tc>
          <w:tcPr>
            <w:tcW w:w="736" w:type="pct"/>
          </w:tcPr>
          <w:p w14:paraId="72EF5948"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-0.1424***</w:t>
            </w:r>
          </w:p>
        </w:tc>
        <w:tc>
          <w:tcPr>
            <w:tcW w:w="609" w:type="pct"/>
          </w:tcPr>
          <w:p w14:paraId="6341132E"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0.0215</w:t>
            </w:r>
          </w:p>
        </w:tc>
        <w:tc>
          <w:tcPr>
            <w:tcW w:w="581" w:type="pct"/>
          </w:tcPr>
          <w:p w14:paraId="5289C339"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-0.0655</w:t>
            </w:r>
          </w:p>
        </w:tc>
        <w:tc>
          <w:tcPr>
            <w:tcW w:w="739" w:type="pct"/>
          </w:tcPr>
          <w:p w14:paraId="0A1330AF" w14:textId="6F7AE9D4"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w:t>
            </w:r>
            <w:r w:rsidR="00690EDC" w:rsidRPr="00E75964">
              <w:rPr>
                <w:rFonts w:ascii="Garamond" w:hAnsi="Garamond"/>
                <w:sz w:val="24"/>
                <w:szCs w:val="24"/>
              </w:rPr>
              <w:t>811</w:t>
            </w:r>
          </w:p>
        </w:tc>
        <w:tc>
          <w:tcPr>
            <w:tcW w:w="736" w:type="pct"/>
          </w:tcPr>
          <w:p w14:paraId="1D3F6E49" w14:textId="3A8A4A32"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w:t>
            </w:r>
            <w:r w:rsidR="00690EDC" w:rsidRPr="00E75964">
              <w:rPr>
                <w:rFonts w:ascii="Garamond" w:hAnsi="Garamond"/>
                <w:sz w:val="24"/>
                <w:szCs w:val="24"/>
              </w:rPr>
              <w:t>3</w:t>
            </w:r>
            <w:r w:rsidRPr="00E75964">
              <w:rPr>
                <w:rFonts w:ascii="Garamond" w:hAnsi="Garamond"/>
                <w:sz w:val="24"/>
                <w:szCs w:val="24"/>
              </w:rPr>
              <w:t>71</w:t>
            </w:r>
          </w:p>
        </w:tc>
        <w:tc>
          <w:tcPr>
            <w:tcW w:w="510" w:type="pct"/>
          </w:tcPr>
          <w:p w14:paraId="2576AFA7"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1.876</w:t>
            </w:r>
          </w:p>
        </w:tc>
      </w:tr>
      <w:tr w:rsidR="009E7DA2" w:rsidRPr="00E75964" w14:paraId="47D4FC47" w14:textId="77777777" w:rsidTr="00D13E09">
        <w:trPr>
          <w:jc w:val="center"/>
        </w:trPr>
        <w:tc>
          <w:tcPr>
            <w:tcW w:w="520" w:type="pct"/>
          </w:tcPr>
          <w:p w14:paraId="2D63437E" w14:textId="77777777" w:rsidR="009E7DA2" w:rsidRPr="00E75964" w:rsidRDefault="009E7DA2" w:rsidP="00D13E09">
            <w:pPr>
              <w:spacing w:after="200"/>
              <w:contextualSpacing/>
              <w:jc w:val="center"/>
              <w:rPr>
                <w:rFonts w:ascii="Garamond" w:hAnsi="Garamond"/>
                <w:sz w:val="24"/>
                <w:szCs w:val="24"/>
              </w:rPr>
            </w:pPr>
          </w:p>
        </w:tc>
        <w:tc>
          <w:tcPr>
            <w:tcW w:w="568" w:type="pct"/>
          </w:tcPr>
          <w:p w14:paraId="5421002E"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SD</w:t>
            </w:r>
          </w:p>
        </w:tc>
        <w:tc>
          <w:tcPr>
            <w:tcW w:w="736" w:type="pct"/>
          </w:tcPr>
          <w:p w14:paraId="1110C286" w14:textId="5349EA57" w:rsidR="009E7DA2" w:rsidRPr="00E75964" w:rsidRDefault="00745F0B" w:rsidP="00D13E09">
            <w:pPr>
              <w:spacing w:after="200"/>
              <w:contextualSpacing/>
              <w:jc w:val="center"/>
              <w:rPr>
                <w:rFonts w:ascii="Garamond" w:hAnsi="Garamond"/>
                <w:sz w:val="24"/>
                <w:szCs w:val="24"/>
              </w:rPr>
            </w:pPr>
            <w:r w:rsidRPr="00E75964">
              <w:rPr>
                <w:rFonts w:ascii="Garamond" w:hAnsi="Garamond"/>
                <w:sz w:val="24"/>
                <w:szCs w:val="24"/>
              </w:rPr>
              <w:t>2</w:t>
            </w:r>
            <w:r w:rsidR="009E7DA2" w:rsidRPr="00E75964">
              <w:rPr>
                <w:rFonts w:ascii="Garamond" w:hAnsi="Garamond"/>
                <w:sz w:val="24"/>
                <w:szCs w:val="24"/>
              </w:rPr>
              <w:t>.</w:t>
            </w:r>
            <w:r w:rsidRPr="00E75964">
              <w:rPr>
                <w:rFonts w:ascii="Garamond" w:hAnsi="Garamond"/>
                <w:sz w:val="24"/>
                <w:szCs w:val="24"/>
              </w:rPr>
              <w:t>0</w:t>
            </w:r>
            <w:r w:rsidR="009E7DA2" w:rsidRPr="00E75964">
              <w:rPr>
                <w:rFonts w:ascii="Garamond" w:hAnsi="Garamond"/>
                <w:sz w:val="24"/>
                <w:szCs w:val="24"/>
              </w:rPr>
              <w:t>1</w:t>
            </w:r>
            <w:r w:rsidRPr="00E75964">
              <w:rPr>
                <w:rFonts w:ascii="Garamond" w:hAnsi="Garamond"/>
                <w:sz w:val="24"/>
                <w:szCs w:val="24"/>
              </w:rPr>
              <w:t>89</w:t>
            </w:r>
          </w:p>
        </w:tc>
        <w:tc>
          <w:tcPr>
            <w:tcW w:w="609" w:type="pct"/>
          </w:tcPr>
          <w:p w14:paraId="4B03520A"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0.9388</w:t>
            </w:r>
          </w:p>
        </w:tc>
        <w:tc>
          <w:tcPr>
            <w:tcW w:w="581" w:type="pct"/>
          </w:tcPr>
          <w:p w14:paraId="596F2EC9"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1.1431</w:t>
            </w:r>
          </w:p>
        </w:tc>
        <w:tc>
          <w:tcPr>
            <w:tcW w:w="739" w:type="pct"/>
          </w:tcPr>
          <w:p w14:paraId="1962B71A"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1.4786</w:t>
            </w:r>
          </w:p>
        </w:tc>
        <w:tc>
          <w:tcPr>
            <w:tcW w:w="736" w:type="pct"/>
          </w:tcPr>
          <w:p w14:paraId="7B17315D"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1.0136</w:t>
            </w:r>
          </w:p>
        </w:tc>
        <w:tc>
          <w:tcPr>
            <w:tcW w:w="510" w:type="pct"/>
          </w:tcPr>
          <w:p w14:paraId="43CDC395"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(0.114)</w:t>
            </w:r>
          </w:p>
        </w:tc>
      </w:tr>
      <w:tr w:rsidR="009E7DA2" w:rsidRPr="00E75964" w14:paraId="25245AA0" w14:textId="77777777" w:rsidTr="00D13E09">
        <w:trPr>
          <w:jc w:val="center"/>
        </w:trPr>
        <w:tc>
          <w:tcPr>
            <w:tcW w:w="520" w:type="pct"/>
          </w:tcPr>
          <w:p w14:paraId="50DEFEC4" w14:textId="77777777" w:rsidR="009E7DA2" w:rsidRPr="00E75964" w:rsidRDefault="009E7DA2" w:rsidP="00D13E09">
            <w:pPr>
              <w:spacing w:after="200"/>
              <w:contextualSpacing/>
              <w:jc w:val="center"/>
              <w:rPr>
                <w:rFonts w:ascii="Garamond" w:hAnsi="Garamond"/>
                <w:sz w:val="24"/>
                <w:szCs w:val="24"/>
              </w:rPr>
            </w:pPr>
          </w:p>
        </w:tc>
        <w:tc>
          <w:tcPr>
            <w:tcW w:w="568" w:type="pct"/>
          </w:tcPr>
          <w:p w14:paraId="15E09047" w14:textId="77777777" w:rsidR="009E7DA2" w:rsidRPr="00E75964" w:rsidRDefault="009E7DA2" w:rsidP="00D13E09">
            <w:pPr>
              <w:spacing w:after="200"/>
              <w:contextualSpacing/>
              <w:jc w:val="center"/>
              <w:rPr>
                <w:rFonts w:ascii="Garamond" w:hAnsi="Garamond"/>
                <w:sz w:val="24"/>
                <w:szCs w:val="24"/>
              </w:rPr>
            </w:pPr>
          </w:p>
        </w:tc>
        <w:tc>
          <w:tcPr>
            <w:tcW w:w="736" w:type="pct"/>
          </w:tcPr>
          <w:p w14:paraId="630BBCEC" w14:textId="77777777" w:rsidR="009E7DA2" w:rsidRPr="00E75964" w:rsidRDefault="009E7DA2" w:rsidP="00D13E09">
            <w:pPr>
              <w:spacing w:after="200"/>
              <w:contextualSpacing/>
              <w:jc w:val="center"/>
              <w:rPr>
                <w:rFonts w:ascii="Garamond" w:hAnsi="Garamond"/>
                <w:sz w:val="24"/>
                <w:szCs w:val="24"/>
              </w:rPr>
            </w:pPr>
          </w:p>
        </w:tc>
        <w:tc>
          <w:tcPr>
            <w:tcW w:w="609" w:type="pct"/>
          </w:tcPr>
          <w:p w14:paraId="545B8E5D" w14:textId="77777777" w:rsidR="009E7DA2" w:rsidRPr="00E75964" w:rsidRDefault="009E7DA2" w:rsidP="00D13E09">
            <w:pPr>
              <w:spacing w:after="200"/>
              <w:contextualSpacing/>
              <w:jc w:val="center"/>
              <w:rPr>
                <w:rFonts w:ascii="Garamond" w:hAnsi="Garamond"/>
                <w:sz w:val="24"/>
                <w:szCs w:val="24"/>
              </w:rPr>
            </w:pPr>
          </w:p>
        </w:tc>
        <w:tc>
          <w:tcPr>
            <w:tcW w:w="581" w:type="pct"/>
          </w:tcPr>
          <w:p w14:paraId="57715D73" w14:textId="77777777" w:rsidR="009E7DA2" w:rsidRPr="00E75964" w:rsidRDefault="009E7DA2" w:rsidP="00D13E09">
            <w:pPr>
              <w:spacing w:after="200"/>
              <w:contextualSpacing/>
              <w:jc w:val="center"/>
              <w:rPr>
                <w:rFonts w:ascii="Garamond" w:hAnsi="Garamond"/>
                <w:sz w:val="24"/>
                <w:szCs w:val="24"/>
              </w:rPr>
            </w:pPr>
          </w:p>
        </w:tc>
        <w:tc>
          <w:tcPr>
            <w:tcW w:w="739" w:type="pct"/>
          </w:tcPr>
          <w:p w14:paraId="331AF28C" w14:textId="77777777" w:rsidR="009E7DA2" w:rsidRPr="00E75964" w:rsidRDefault="009E7DA2" w:rsidP="00D13E09">
            <w:pPr>
              <w:spacing w:after="200"/>
              <w:contextualSpacing/>
              <w:jc w:val="center"/>
              <w:rPr>
                <w:rFonts w:ascii="Garamond" w:hAnsi="Garamond"/>
                <w:sz w:val="24"/>
                <w:szCs w:val="24"/>
              </w:rPr>
            </w:pPr>
          </w:p>
        </w:tc>
        <w:tc>
          <w:tcPr>
            <w:tcW w:w="736" w:type="pct"/>
          </w:tcPr>
          <w:p w14:paraId="2BD7C2AC" w14:textId="77777777" w:rsidR="009E7DA2" w:rsidRPr="00E75964" w:rsidRDefault="009E7DA2" w:rsidP="00D13E09">
            <w:pPr>
              <w:spacing w:after="200"/>
              <w:contextualSpacing/>
              <w:jc w:val="center"/>
              <w:rPr>
                <w:rFonts w:ascii="Garamond" w:hAnsi="Garamond"/>
                <w:sz w:val="24"/>
                <w:szCs w:val="24"/>
              </w:rPr>
            </w:pPr>
          </w:p>
        </w:tc>
        <w:tc>
          <w:tcPr>
            <w:tcW w:w="510" w:type="pct"/>
          </w:tcPr>
          <w:p w14:paraId="0F5403D9" w14:textId="77777777" w:rsidR="009E7DA2" w:rsidRPr="00E75964" w:rsidRDefault="009E7DA2" w:rsidP="00D13E09">
            <w:pPr>
              <w:spacing w:after="200"/>
              <w:contextualSpacing/>
              <w:jc w:val="center"/>
              <w:rPr>
                <w:rFonts w:ascii="Garamond" w:hAnsi="Garamond"/>
                <w:sz w:val="24"/>
                <w:szCs w:val="24"/>
              </w:rPr>
            </w:pPr>
          </w:p>
        </w:tc>
      </w:tr>
      <w:tr w:rsidR="009E7DA2" w:rsidRPr="00E75964" w14:paraId="11C890FB" w14:textId="77777777" w:rsidTr="00D13E09">
        <w:trPr>
          <w:jc w:val="center"/>
        </w:trPr>
        <w:tc>
          <w:tcPr>
            <w:tcW w:w="520" w:type="pct"/>
          </w:tcPr>
          <w:p w14:paraId="7EB567D7"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3</w:t>
            </w:r>
          </w:p>
        </w:tc>
        <w:tc>
          <w:tcPr>
            <w:tcW w:w="568" w:type="pct"/>
          </w:tcPr>
          <w:p w14:paraId="105D9A65"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Mean</w:t>
            </w:r>
          </w:p>
        </w:tc>
        <w:tc>
          <w:tcPr>
            <w:tcW w:w="736" w:type="pct"/>
          </w:tcPr>
          <w:p w14:paraId="71F8CEC2"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-0.1234***</w:t>
            </w:r>
          </w:p>
        </w:tc>
        <w:tc>
          <w:tcPr>
            <w:tcW w:w="609" w:type="pct"/>
          </w:tcPr>
          <w:p w14:paraId="7120DFE9"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0.0546**</w:t>
            </w:r>
          </w:p>
        </w:tc>
        <w:tc>
          <w:tcPr>
            <w:tcW w:w="581" w:type="pct"/>
          </w:tcPr>
          <w:p w14:paraId="153ADC2B"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-0.0124</w:t>
            </w:r>
          </w:p>
        </w:tc>
        <w:tc>
          <w:tcPr>
            <w:tcW w:w="739" w:type="pct"/>
          </w:tcPr>
          <w:p w14:paraId="0E1D0E1A"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0.0566*</w:t>
            </w:r>
          </w:p>
        </w:tc>
        <w:tc>
          <w:tcPr>
            <w:tcW w:w="736" w:type="pct"/>
          </w:tcPr>
          <w:p w14:paraId="0BB2C2EE"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-0.0475**</w:t>
            </w:r>
          </w:p>
        </w:tc>
        <w:tc>
          <w:tcPr>
            <w:tcW w:w="510" w:type="pct"/>
          </w:tcPr>
          <w:p w14:paraId="63ECE2E0"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3.100</w:t>
            </w:r>
          </w:p>
        </w:tc>
      </w:tr>
      <w:tr w:rsidR="009E7DA2" w:rsidRPr="00E75964" w14:paraId="02361BF9" w14:textId="77777777" w:rsidTr="00D13E09">
        <w:trPr>
          <w:jc w:val="center"/>
        </w:trPr>
        <w:tc>
          <w:tcPr>
            <w:tcW w:w="520" w:type="pct"/>
          </w:tcPr>
          <w:p w14:paraId="566EAC59" w14:textId="77777777" w:rsidR="009E7DA2" w:rsidRPr="00E75964" w:rsidRDefault="009E7DA2" w:rsidP="00D13E09">
            <w:pPr>
              <w:spacing w:after="200"/>
              <w:contextualSpacing/>
              <w:jc w:val="center"/>
              <w:rPr>
                <w:rFonts w:ascii="Garamond" w:hAnsi="Garamond"/>
                <w:sz w:val="24"/>
                <w:szCs w:val="24"/>
              </w:rPr>
            </w:pPr>
          </w:p>
        </w:tc>
        <w:tc>
          <w:tcPr>
            <w:tcW w:w="568" w:type="pct"/>
          </w:tcPr>
          <w:p w14:paraId="6ED6B0E4"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SD</w:t>
            </w:r>
          </w:p>
        </w:tc>
        <w:tc>
          <w:tcPr>
            <w:tcW w:w="736" w:type="pct"/>
          </w:tcPr>
          <w:p w14:paraId="3D4CFD82"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1.8132</w:t>
            </w:r>
          </w:p>
        </w:tc>
        <w:tc>
          <w:tcPr>
            <w:tcW w:w="609" w:type="pct"/>
          </w:tcPr>
          <w:p w14:paraId="4DA6469B"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1.4438</w:t>
            </w:r>
          </w:p>
        </w:tc>
        <w:tc>
          <w:tcPr>
            <w:tcW w:w="581" w:type="pct"/>
          </w:tcPr>
          <w:p w14:paraId="7EEF951A"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1.0211</w:t>
            </w:r>
          </w:p>
        </w:tc>
        <w:tc>
          <w:tcPr>
            <w:tcW w:w="739" w:type="pct"/>
          </w:tcPr>
          <w:p w14:paraId="4837FCC2"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1.0922</w:t>
            </w:r>
          </w:p>
        </w:tc>
        <w:tc>
          <w:tcPr>
            <w:tcW w:w="736" w:type="pct"/>
          </w:tcPr>
          <w:p w14:paraId="26E87120"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1.1913</w:t>
            </w:r>
          </w:p>
        </w:tc>
        <w:tc>
          <w:tcPr>
            <w:tcW w:w="510" w:type="pct"/>
          </w:tcPr>
          <w:p w14:paraId="3E489983"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(0.016)</w:t>
            </w:r>
          </w:p>
        </w:tc>
      </w:tr>
      <w:tr w:rsidR="009E7DA2" w:rsidRPr="00E75964" w14:paraId="110D59D0" w14:textId="77777777" w:rsidTr="00D13E09">
        <w:trPr>
          <w:jc w:val="center"/>
        </w:trPr>
        <w:tc>
          <w:tcPr>
            <w:tcW w:w="520" w:type="pct"/>
          </w:tcPr>
          <w:p w14:paraId="70DBC9B7" w14:textId="77777777" w:rsidR="009E7DA2" w:rsidRPr="00E75964" w:rsidRDefault="009E7DA2" w:rsidP="00D13E09">
            <w:pPr>
              <w:spacing w:after="200"/>
              <w:contextualSpacing/>
              <w:jc w:val="center"/>
              <w:rPr>
                <w:rFonts w:ascii="Garamond" w:hAnsi="Garamond"/>
                <w:sz w:val="24"/>
                <w:szCs w:val="24"/>
              </w:rPr>
            </w:pPr>
          </w:p>
        </w:tc>
        <w:tc>
          <w:tcPr>
            <w:tcW w:w="568" w:type="pct"/>
          </w:tcPr>
          <w:p w14:paraId="3AD65C68" w14:textId="77777777" w:rsidR="009E7DA2" w:rsidRPr="00E75964" w:rsidRDefault="009E7DA2" w:rsidP="00D13E09">
            <w:pPr>
              <w:spacing w:after="200"/>
              <w:contextualSpacing/>
              <w:jc w:val="center"/>
              <w:rPr>
                <w:rFonts w:ascii="Garamond" w:hAnsi="Garamond"/>
                <w:sz w:val="24"/>
                <w:szCs w:val="24"/>
              </w:rPr>
            </w:pPr>
          </w:p>
        </w:tc>
        <w:tc>
          <w:tcPr>
            <w:tcW w:w="736" w:type="pct"/>
          </w:tcPr>
          <w:p w14:paraId="4CA3D3FA" w14:textId="77777777" w:rsidR="009E7DA2" w:rsidRPr="00E75964" w:rsidRDefault="009E7DA2" w:rsidP="00D13E09">
            <w:pPr>
              <w:spacing w:after="200"/>
              <w:contextualSpacing/>
              <w:jc w:val="center"/>
              <w:rPr>
                <w:rFonts w:ascii="Garamond" w:hAnsi="Garamond"/>
                <w:sz w:val="24"/>
                <w:szCs w:val="24"/>
              </w:rPr>
            </w:pPr>
          </w:p>
        </w:tc>
        <w:tc>
          <w:tcPr>
            <w:tcW w:w="609" w:type="pct"/>
          </w:tcPr>
          <w:p w14:paraId="440801A0" w14:textId="77777777" w:rsidR="009E7DA2" w:rsidRPr="00E75964" w:rsidRDefault="009E7DA2" w:rsidP="00D13E09">
            <w:pPr>
              <w:spacing w:after="200"/>
              <w:contextualSpacing/>
              <w:jc w:val="center"/>
              <w:rPr>
                <w:rFonts w:ascii="Garamond" w:hAnsi="Garamond"/>
                <w:sz w:val="24"/>
                <w:szCs w:val="24"/>
              </w:rPr>
            </w:pPr>
          </w:p>
        </w:tc>
        <w:tc>
          <w:tcPr>
            <w:tcW w:w="581" w:type="pct"/>
          </w:tcPr>
          <w:p w14:paraId="02332EDF" w14:textId="77777777" w:rsidR="009E7DA2" w:rsidRPr="00E75964" w:rsidRDefault="009E7DA2" w:rsidP="00D13E09">
            <w:pPr>
              <w:spacing w:after="200"/>
              <w:contextualSpacing/>
              <w:jc w:val="center"/>
              <w:rPr>
                <w:rFonts w:ascii="Garamond" w:hAnsi="Garamond"/>
                <w:sz w:val="24"/>
                <w:szCs w:val="24"/>
              </w:rPr>
            </w:pPr>
          </w:p>
        </w:tc>
        <w:tc>
          <w:tcPr>
            <w:tcW w:w="739" w:type="pct"/>
          </w:tcPr>
          <w:p w14:paraId="0099C907" w14:textId="77777777" w:rsidR="009E7DA2" w:rsidRPr="00E75964" w:rsidRDefault="009E7DA2" w:rsidP="00D13E09">
            <w:pPr>
              <w:spacing w:after="200"/>
              <w:contextualSpacing/>
              <w:jc w:val="center"/>
              <w:rPr>
                <w:rFonts w:ascii="Garamond" w:hAnsi="Garamond"/>
                <w:sz w:val="24"/>
                <w:szCs w:val="24"/>
              </w:rPr>
            </w:pPr>
          </w:p>
        </w:tc>
        <w:tc>
          <w:tcPr>
            <w:tcW w:w="736" w:type="pct"/>
          </w:tcPr>
          <w:p w14:paraId="26C1C4E0" w14:textId="77777777" w:rsidR="009E7DA2" w:rsidRPr="00E75964" w:rsidRDefault="009E7DA2" w:rsidP="00D13E09">
            <w:pPr>
              <w:spacing w:after="200"/>
              <w:contextualSpacing/>
              <w:jc w:val="center"/>
              <w:rPr>
                <w:rFonts w:ascii="Garamond" w:hAnsi="Garamond"/>
                <w:sz w:val="24"/>
                <w:szCs w:val="24"/>
              </w:rPr>
            </w:pPr>
          </w:p>
        </w:tc>
        <w:tc>
          <w:tcPr>
            <w:tcW w:w="510" w:type="pct"/>
          </w:tcPr>
          <w:p w14:paraId="72AA79BE" w14:textId="77777777" w:rsidR="009E7DA2" w:rsidRPr="00E75964" w:rsidRDefault="009E7DA2" w:rsidP="00D13E09">
            <w:pPr>
              <w:spacing w:after="200"/>
              <w:contextualSpacing/>
              <w:jc w:val="center"/>
              <w:rPr>
                <w:rFonts w:ascii="Garamond" w:hAnsi="Garamond"/>
                <w:sz w:val="24"/>
                <w:szCs w:val="24"/>
              </w:rPr>
            </w:pPr>
          </w:p>
        </w:tc>
      </w:tr>
      <w:tr w:rsidR="009E7DA2" w:rsidRPr="00E75964" w14:paraId="097E185A" w14:textId="77777777" w:rsidTr="00D13E09">
        <w:trPr>
          <w:jc w:val="center"/>
        </w:trPr>
        <w:tc>
          <w:tcPr>
            <w:tcW w:w="520" w:type="pct"/>
          </w:tcPr>
          <w:p w14:paraId="483B2C18"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4</w:t>
            </w:r>
          </w:p>
        </w:tc>
        <w:tc>
          <w:tcPr>
            <w:tcW w:w="568" w:type="pct"/>
          </w:tcPr>
          <w:p w14:paraId="21178304"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Mean</w:t>
            </w:r>
          </w:p>
        </w:tc>
        <w:tc>
          <w:tcPr>
            <w:tcW w:w="736" w:type="pct"/>
          </w:tcPr>
          <w:p w14:paraId="1E09F251"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-0.0782*</w:t>
            </w:r>
          </w:p>
        </w:tc>
        <w:tc>
          <w:tcPr>
            <w:tcW w:w="609" w:type="pct"/>
          </w:tcPr>
          <w:p w14:paraId="7EA1DA4C"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-0.0868</w:t>
            </w:r>
          </w:p>
        </w:tc>
        <w:tc>
          <w:tcPr>
            <w:tcW w:w="581" w:type="pct"/>
          </w:tcPr>
          <w:p w14:paraId="2240A3C0"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0.0435*</w:t>
            </w:r>
          </w:p>
        </w:tc>
        <w:tc>
          <w:tcPr>
            <w:tcW w:w="739" w:type="pct"/>
          </w:tcPr>
          <w:p w14:paraId="24D6C642"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0.0988***</w:t>
            </w:r>
          </w:p>
        </w:tc>
        <w:tc>
          <w:tcPr>
            <w:tcW w:w="736" w:type="pct"/>
          </w:tcPr>
          <w:p w14:paraId="5E808CB8"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-0.0051</w:t>
            </w:r>
          </w:p>
        </w:tc>
        <w:tc>
          <w:tcPr>
            <w:tcW w:w="510" w:type="pct"/>
          </w:tcPr>
          <w:p w14:paraId="04A35846"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1.385</w:t>
            </w:r>
          </w:p>
        </w:tc>
      </w:tr>
      <w:tr w:rsidR="009E7DA2" w:rsidRPr="00E75964" w14:paraId="5FAD0130" w14:textId="77777777" w:rsidTr="00D13E09">
        <w:trPr>
          <w:jc w:val="center"/>
        </w:trPr>
        <w:tc>
          <w:tcPr>
            <w:tcW w:w="520" w:type="pct"/>
          </w:tcPr>
          <w:p w14:paraId="4578DA89" w14:textId="77777777" w:rsidR="009E7DA2" w:rsidRPr="00E75964" w:rsidRDefault="009E7DA2" w:rsidP="00D13E09">
            <w:pPr>
              <w:spacing w:after="200"/>
              <w:contextualSpacing/>
              <w:jc w:val="center"/>
              <w:rPr>
                <w:rFonts w:ascii="Garamond" w:hAnsi="Garamond"/>
                <w:sz w:val="24"/>
                <w:szCs w:val="24"/>
              </w:rPr>
            </w:pPr>
          </w:p>
        </w:tc>
        <w:tc>
          <w:tcPr>
            <w:tcW w:w="568" w:type="pct"/>
          </w:tcPr>
          <w:p w14:paraId="48648931"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SD</w:t>
            </w:r>
          </w:p>
        </w:tc>
        <w:tc>
          <w:tcPr>
            <w:tcW w:w="736" w:type="pct"/>
          </w:tcPr>
          <w:p w14:paraId="53F00B52"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1.9478</w:t>
            </w:r>
          </w:p>
        </w:tc>
        <w:tc>
          <w:tcPr>
            <w:tcW w:w="609" w:type="pct"/>
          </w:tcPr>
          <w:p w14:paraId="3AEF1F8F"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1.8788</w:t>
            </w:r>
          </w:p>
        </w:tc>
        <w:tc>
          <w:tcPr>
            <w:tcW w:w="581" w:type="pct"/>
          </w:tcPr>
          <w:p w14:paraId="029A7177"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1.2146</w:t>
            </w:r>
          </w:p>
        </w:tc>
        <w:tc>
          <w:tcPr>
            <w:tcW w:w="739" w:type="pct"/>
          </w:tcPr>
          <w:p w14:paraId="79FFA4C3"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1.0987</w:t>
            </w:r>
          </w:p>
        </w:tc>
        <w:tc>
          <w:tcPr>
            <w:tcW w:w="736" w:type="pct"/>
          </w:tcPr>
          <w:p w14:paraId="5F60D86F"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1.0582</w:t>
            </w:r>
          </w:p>
        </w:tc>
        <w:tc>
          <w:tcPr>
            <w:tcW w:w="510" w:type="pct"/>
          </w:tcPr>
          <w:p w14:paraId="215BF404"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(0.239)</w:t>
            </w:r>
          </w:p>
        </w:tc>
      </w:tr>
      <w:tr w:rsidR="009E7DA2" w:rsidRPr="00E75964" w14:paraId="61346FD5" w14:textId="77777777" w:rsidTr="00D13E09">
        <w:trPr>
          <w:jc w:val="center"/>
        </w:trPr>
        <w:tc>
          <w:tcPr>
            <w:tcW w:w="520" w:type="pct"/>
          </w:tcPr>
          <w:p w14:paraId="0B137013" w14:textId="77777777" w:rsidR="009E7DA2" w:rsidRPr="00E75964" w:rsidRDefault="009E7DA2" w:rsidP="00D13E09">
            <w:pPr>
              <w:spacing w:after="200"/>
              <w:contextualSpacing/>
              <w:jc w:val="center"/>
              <w:rPr>
                <w:rFonts w:ascii="Garamond" w:hAnsi="Garamond"/>
                <w:sz w:val="24"/>
                <w:szCs w:val="24"/>
              </w:rPr>
            </w:pPr>
          </w:p>
        </w:tc>
        <w:tc>
          <w:tcPr>
            <w:tcW w:w="568" w:type="pct"/>
          </w:tcPr>
          <w:p w14:paraId="03BF3005" w14:textId="77777777" w:rsidR="009E7DA2" w:rsidRPr="00E75964" w:rsidRDefault="009E7DA2" w:rsidP="00D13E09">
            <w:pPr>
              <w:spacing w:after="200"/>
              <w:contextualSpacing/>
              <w:jc w:val="center"/>
              <w:rPr>
                <w:rFonts w:ascii="Garamond" w:hAnsi="Garamond"/>
                <w:sz w:val="24"/>
                <w:szCs w:val="24"/>
              </w:rPr>
            </w:pPr>
          </w:p>
        </w:tc>
        <w:tc>
          <w:tcPr>
            <w:tcW w:w="736" w:type="pct"/>
          </w:tcPr>
          <w:p w14:paraId="58A1DC3F" w14:textId="77777777" w:rsidR="009E7DA2" w:rsidRPr="00E75964" w:rsidRDefault="009E7DA2" w:rsidP="00D13E09">
            <w:pPr>
              <w:spacing w:after="200"/>
              <w:contextualSpacing/>
              <w:jc w:val="center"/>
              <w:rPr>
                <w:rFonts w:ascii="Garamond" w:hAnsi="Garamond"/>
                <w:sz w:val="24"/>
                <w:szCs w:val="24"/>
              </w:rPr>
            </w:pPr>
          </w:p>
        </w:tc>
        <w:tc>
          <w:tcPr>
            <w:tcW w:w="609" w:type="pct"/>
          </w:tcPr>
          <w:p w14:paraId="548B5213" w14:textId="77777777" w:rsidR="009E7DA2" w:rsidRPr="00E75964" w:rsidRDefault="009E7DA2" w:rsidP="00D13E09">
            <w:pPr>
              <w:spacing w:after="200"/>
              <w:contextualSpacing/>
              <w:jc w:val="center"/>
              <w:rPr>
                <w:rFonts w:ascii="Garamond" w:hAnsi="Garamond"/>
                <w:sz w:val="24"/>
                <w:szCs w:val="24"/>
              </w:rPr>
            </w:pPr>
          </w:p>
        </w:tc>
        <w:tc>
          <w:tcPr>
            <w:tcW w:w="581" w:type="pct"/>
          </w:tcPr>
          <w:p w14:paraId="7FD88009" w14:textId="77777777" w:rsidR="009E7DA2" w:rsidRPr="00E75964" w:rsidRDefault="009E7DA2" w:rsidP="00D13E09">
            <w:pPr>
              <w:spacing w:after="200"/>
              <w:contextualSpacing/>
              <w:jc w:val="center"/>
              <w:rPr>
                <w:rFonts w:ascii="Garamond" w:hAnsi="Garamond"/>
                <w:sz w:val="24"/>
                <w:szCs w:val="24"/>
              </w:rPr>
            </w:pPr>
          </w:p>
        </w:tc>
        <w:tc>
          <w:tcPr>
            <w:tcW w:w="739" w:type="pct"/>
          </w:tcPr>
          <w:p w14:paraId="2FB4D102" w14:textId="77777777" w:rsidR="009E7DA2" w:rsidRPr="00E75964" w:rsidRDefault="009E7DA2" w:rsidP="00D13E09">
            <w:pPr>
              <w:spacing w:after="200"/>
              <w:contextualSpacing/>
              <w:jc w:val="center"/>
              <w:rPr>
                <w:rFonts w:ascii="Garamond" w:hAnsi="Garamond"/>
                <w:sz w:val="24"/>
                <w:szCs w:val="24"/>
              </w:rPr>
            </w:pPr>
          </w:p>
        </w:tc>
        <w:tc>
          <w:tcPr>
            <w:tcW w:w="736" w:type="pct"/>
          </w:tcPr>
          <w:p w14:paraId="46C2F764" w14:textId="77777777" w:rsidR="009E7DA2" w:rsidRPr="00E75964" w:rsidRDefault="009E7DA2" w:rsidP="00D13E09">
            <w:pPr>
              <w:spacing w:after="200"/>
              <w:contextualSpacing/>
              <w:jc w:val="center"/>
              <w:rPr>
                <w:rFonts w:ascii="Garamond" w:hAnsi="Garamond"/>
                <w:sz w:val="24"/>
                <w:szCs w:val="24"/>
              </w:rPr>
            </w:pPr>
          </w:p>
        </w:tc>
        <w:tc>
          <w:tcPr>
            <w:tcW w:w="510" w:type="pct"/>
          </w:tcPr>
          <w:p w14:paraId="4099A3F9" w14:textId="77777777" w:rsidR="009E7DA2" w:rsidRPr="00E75964" w:rsidRDefault="009E7DA2" w:rsidP="00D13E09">
            <w:pPr>
              <w:spacing w:after="200"/>
              <w:contextualSpacing/>
              <w:jc w:val="center"/>
              <w:rPr>
                <w:rFonts w:ascii="Garamond" w:hAnsi="Garamond"/>
                <w:sz w:val="24"/>
                <w:szCs w:val="24"/>
              </w:rPr>
            </w:pPr>
          </w:p>
        </w:tc>
      </w:tr>
      <w:tr w:rsidR="009E7DA2" w:rsidRPr="00E75964" w14:paraId="0F1870D5" w14:textId="77777777" w:rsidTr="00D13E09">
        <w:trPr>
          <w:jc w:val="center"/>
        </w:trPr>
        <w:tc>
          <w:tcPr>
            <w:tcW w:w="520" w:type="pct"/>
          </w:tcPr>
          <w:p w14:paraId="33B31931"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5</w:t>
            </w:r>
          </w:p>
        </w:tc>
        <w:tc>
          <w:tcPr>
            <w:tcW w:w="568" w:type="pct"/>
          </w:tcPr>
          <w:p w14:paraId="78DA4C55"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Mean</w:t>
            </w:r>
          </w:p>
        </w:tc>
        <w:tc>
          <w:tcPr>
            <w:tcW w:w="736" w:type="pct"/>
          </w:tcPr>
          <w:p w14:paraId="69AF496B"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0.0964**</w:t>
            </w:r>
          </w:p>
        </w:tc>
        <w:tc>
          <w:tcPr>
            <w:tcW w:w="609" w:type="pct"/>
          </w:tcPr>
          <w:p w14:paraId="04A0877C"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0.1464**</w:t>
            </w:r>
          </w:p>
        </w:tc>
        <w:tc>
          <w:tcPr>
            <w:tcW w:w="581" w:type="pct"/>
          </w:tcPr>
          <w:p w14:paraId="1D7A4BF5" w14:textId="664D4205" w:rsidR="009E7DA2" w:rsidRPr="00E75964" w:rsidRDefault="00690EDC" w:rsidP="00D13E09">
            <w:pPr>
              <w:spacing w:after="200"/>
              <w:contextualSpacing/>
              <w:jc w:val="center"/>
              <w:rPr>
                <w:rFonts w:ascii="Garamond" w:hAnsi="Garamond"/>
                <w:sz w:val="24"/>
                <w:szCs w:val="24"/>
              </w:rPr>
            </w:pPr>
            <w:r w:rsidRPr="00E75964">
              <w:rPr>
                <w:rFonts w:ascii="Garamond" w:hAnsi="Garamond"/>
                <w:sz w:val="24"/>
                <w:szCs w:val="24"/>
              </w:rPr>
              <w:t>-</w:t>
            </w:r>
            <w:r w:rsidR="009E7DA2" w:rsidRPr="00E75964">
              <w:rPr>
                <w:rFonts w:ascii="Garamond" w:hAnsi="Garamond"/>
                <w:sz w:val="24"/>
                <w:szCs w:val="24"/>
              </w:rPr>
              <w:t>0.0487</w:t>
            </w:r>
          </w:p>
        </w:tc>
        <w:tc>
          <w:tcPr>
            <w:tcW w:w="739" w:type="pct"/>
          </w:tcPr>
          <w:p w14:paraId="77C0BA69"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0.0915*</w:t>
            </w:r>
          </w:p>
        </w:tc>
        <w:tc>
          <w:tcPr>
            <w:tcW w:w="736" w:type="pct"/>
          </w:tcPr>
          <w:p w14:paraId="37BC4821"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-0.0355**</w:t>
            </w:r>
          </w:p>
        </w:tc>
        <w:tc>
          <w:tcPr>
            <w:tcW w:w="510" w:type="pct"/>
          </w:tcPr>
          <w:p w14:paraId="4D27E8BD"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5.113</w:t>
            </w:r>
          </w:p>
        </w:tc>
      </w:tr>
      <w:tr w:rsidR="009E7DA2" w:rsidRPr="00E75964" w14:paraId="16ABF3C1" w14:textId="77777777" w:rsidTr="00D13E09">
        <w:trPr>
          <w:jc w:val="center"/>
        </w:trPr>
        <w:tc>
          <w:tcPr>
            <w:tcW w:w="520" w:type="pct"/>
          </w:tcPr>
          <w:p w14:paraId="37AD4A82" w14:textId="77777777" w:rsidR="009E7DA2" w:rsidRPr="00E75964" w:rsidRDefault="009E7DA2" w:rsidP="00D13E09">
            <w:pPr>
              <w:spacing w:after="200"/>
              <w:contextualSpacing/>
              <w:jc w:val="center"/>
              <w:rPr>
                <w:rFonts w:ascii="Garamond" w:hAnsi="Garamond"/>
                <w:sz w:val="24"/>
                <w:szCs w:val="24"/>
              </w:rPr>
            </w:pPr>
          </w:p>
        </w:tc>
        <w:tc>
          <w:tcPr>
            <w:tcW w:w="568" w:type="pct"/>
          </w:tcPr>
          <w:p w14:paraId="0E1040BC"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SD</w:t>
            </w:r>
          </w:p>
        </w:tc>
        <w:tc>
          <w:tcPr>
            <w:tcW w:w="736" w:type="pct"/>
          </w:tcPr>
          <w:p w14:paraId="2090282B"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1.2145</w:t>
            </w:r>
          </w:p>
        </w:tc>
        <w:tc>
          <w:tcPr>
            <w:tcW w:w="609" w:type="pct"/>
          </w:tcPr>
          <w:p w14:paraId="5561B21E"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1.4011</w:t>
            </w:r>
          </w:p>
        </w:tc>
        <w:tc>
          <w:tcPr>
            <w:tcW w:w="581" w:type="pct"/>
          </w:tcPr>
          <w:p w14:paraId="1FFB0117"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1.2234</w:t>
            </w:r>
          </w:p>
        </w:tc>
        <w:tc>
          <w:tcPr>
            <w:tcW w:w="739" w:type="pct"/>
          </w:tcPr>
          <w:p w14:paraId="7B65A12D"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1.0754</w:t>
            </w:r>
          </w:p>
        </w:tc>
        <w:tc>
          <w:tcPr>
            <w:tcW w:w="736" w:type="pct"/>
          </w:tcPr>
          <w:p w14:paraId="04E522AD"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1.4172</w:t>
            </w:r>
          </w:p>
        </w:tc>
        <w:tc>
          <w:tcPr>
            <w:tcW w:w="510" w:type="pct"/>
          </w:tcPr>
          <w:p w14:paraId="65700CE7"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(0.000)</w:t>
            </w:r>
          </w:p>
        </w:tc>
      </w:tr>
      <w:tr w:rsidR="009E7DA2" w:rsidRPr="00E75964" w14:paraId="3233F967" w14:textId="77777777" w:rsidTr="00D13E09">
        <w:trPr>
          <w:jc w:val="center"/>
        </w:trPr>
        <w:tc>
          <w:tcPr>
            <w:tcW w:w="520" w:type="pct"/>
          </w:tcPr>
          <w:p w14:paraId="5DB2F3ED" w14:textId="77777777" w:rsidR="009E7DA2" w:rsidRPr="00E75964" w:rsidRDefault="009E7DA2" w:rsidP="00D13E09">
            <w:pPr>
              <w:spacing w:after="200"/>
              <w:contextualSpacing/>
              <w:jc w:val="center"/>
              <w:rPr>
                <w:rFonts w:ascii="Garamond" w:hAnsi="Garamond"/>
                <w:sz w:val="24"/>
                <w:szCs w:val="24"/>
              </w:rPr>
            </w:pPr>
          </w:p>
        </w:tc>
        <w:tc>
          <w:tcPr>
            <w:tcW w:w="568" w:type="pct"/>
          </w:tcPr>
          <w:p w14:paraId="3544A982" w14:textId="77777777" w:rsidR="009E7DA2" w:rsidRPr="00E75964" w:rsidRDefault="009E7DA2" w:rsidP="00D13E09">
            <w:pPr>
              <w:spacing w:after="200"/>
              <w:contextualSpacing/>
              <w:jc w:val="center"/>
              <w:rPr>
                <w:rFonts w:ascii="Garamond" w:hAnsi="Garamond"/>
                <w:sz w:val="24"/>
                <w:szCs w:val="24"/>
              </w:rPr>
            </w:pPr>
          </w:p>
        </w:tc>
        <w:tc>
          <w:tcPr>
            <w:tcW w:w="736" w:type="pct"/>
          </w:tcPr>
          <w:p w14:paraId="2627B4F9" w14:textId="77777777" w:rsidR="009E7DA2" w:rsidRPr="00E75964" w:rsidRDefault="009E7DA2" w:rsidP="00D13E09">
            <w:pPr>
              <w:spacing w:after="200"/>
              <w:contextualSpacing/>
              <w:jc w:val="center"/>
              <w:rPr>
                <w:rFonts w:ascii="Garamond" w:hAnsi="Garamond"/>
                <w:sz w:val="24"/>
                <w:szCs w:val="24"/>
              </w:rPr>
            </w:pPr>
          </w:p>
        </w:tc>
        <w:tc>
          <w:tcPr>
            <w:tcW w:w="609" w:type="pct"/>
          </w:tcPr>
          <w:p w14:paraId="5C5678A4" w14:textId="77777777" w:rsidR="009E7DA2" w:rsidRPr="00E75964" w:rsidRDefault="009E7DA2" w:rsidP="00D13E09">
            <w:pPr>
              <w:spacing w:after="200"/>
              <w:contextualSpacing/>
              <w:jc w:val="center"/>
              <w:rPr>
                <w:rFonts w:ascii="Garamond" w:hAnsi="Garamond"/>
                <w:sz w:val="24"/>
                <w:szCs w:val="24"/>
              </w:rPr>
            </w:pPr>
          </w:p>
        </w:tc>
        <w:tc>
          <w:tcPr>
            <w:tcW w:w="581" w:type="pct"/>
          </w:tcPr>
          <w:p w14:paraId="7C5F10A7" w14:textId="77777777" w:rsidR="009E7DA2" w:rsidRPr="00E75964" w:rsidRDefault="009E7DA2" w:rsidP="00D13E09">
            <w:pPr>
              <w:spacing w:after="200"/>
              <w:contextualSpacing/>
              <w:jc w:val="center"/>
              <w:rPr>
                <w:rFonts w:ascii="Garamond" w:hAnsi="Garamond"/>
                <w:sz w:val="24"/>
                <w:szCs w:val="24"/>
              </w:rPr>
            </w:pPr>
          </w:p>
        </w:tc>
        <w:tc>
          <w:tcPr>
            <w:tcW w:w="739" w:type="pct"/>
          </w:tcPr>
          <w:p w14:paraId="660ED824" w14:textId="77777777" w:rsidR="009E7DA2" w:rsidRPr="00E75964" w:rsidRDefault="009E7DA2" w:rsidP="00D13E09">
            <w:pPr>
              <w:spacing w:after="200"/>
              <w:contextualSpacing/>
              <w:jc w:val="center"/>
              <w:rPr>
                <w:rFonts w:ascii="Garamond" w:hAnsi="Garamond"/>
                <w:sz w:val="24"/>
                <w:szCs w:val="24"/>
              </w:rPr>
            </w:pPr>
          </w:p>
        </w:tc>
        <w:tc>
          <w:tcPr>
            <w:tcW w:w="736" w:type="pct"/>
          </w:tcPr>
          <w:p w14:paraId="6286D87C" w14:textId="77777777" w:rsidR="009E7DA2" w:rsidRPr="00E75964" w:rsidRDefault="009E7DA2" w:rsidP="00D13E09">
            <w:pPr>
              <w:spacing w:after="200"/>
              <w:contextualSpacing/>
              <w:jc w:val="center"/>
              <w:rPr>
                <w:rFonts w:ascii="Garamond" w:hAnsi="Garamond"/>
                <w:sz w:val="24"/>
                <w:szCs w:val="24"/>
              </w:rPr>
            </w:pPr>
          </w:p>
        </w:tc>
        <w:tc>
          <w:tcPr>
            <w:tcW w:w="510" w:type="pct"/>
          </w:tcPr>
          <w:p w14:paraId="6A2BED1A" w14:textId="77777777" w:rsidR="009E7DA2" w:rsidRPr="00E75964" w:rsidRDefault="009E7DA2" w:rsidP="00D13E09">
            <w:pPr>
              <w:spacing w:after="200"/>
              <w:contextualSpacing/>
              <w:jc w:val="center"/>
              <w:rPr>
                <w:rFonts w:ascii="Garamond" w:hAnsi="Garamond"/>
                <w:sz w:val="24"/>
                <w:szCs w:val="24"/>
              </w:rPr>
            </w:pPr>
          </w:p>
        </w:tc>
      </w:tr>
      <w:tr w:rsidR="009E7DA2" w:rsidRPr="00E75964" w14:paraId="1482BC58" w14:textId="77777777" w:rsidTr="00D13E09">
        <w:trPr>
          <w:jc w:val="center"/>
        </w:trPr>
        <w:tc>
          <w:tcPr>
            <w:tcW w:w="520" w:type="pct"/>
          </w:tcPr>
          <w:p w14:paraId="0EF3C108"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6</w:t>
            </w:r>
          </w:p>
        </w:tc>
        <w:tc>
          <w:tcPr>
            <w:tcW w:w="568" w:type="pct"/>
          </w:tcPr>
          <w:p w14:paraId="384116DD"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Mean</w:t>
            </w:r>
          </w:p>
        </w:tc>
        <w:tc>
          <w:tcPr>
            <w:tcW w:w="736" w:type="pct"/>
          </w:tcPr>
          <w:p w14:paraId="3416F6A6"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0.0795**</w:t>
            </w:r>
          </w:p>
        </w:tc>
        <w:tc>
          <w:tcPr>
            <w:tcW w:w="609" w:type="pct"/>
          </w:tcPr>
          <w:p w14:paraId="70011A64"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0.1717**</w:t>
            </w:r>
          </w:p>
        </w:tc>
        <w:tc>
          <w:tcPr>
            <w:tcW w:w="581" w:type="pct"/>
          </w:tcPr>
          <w:p w14:paraId="755E513B"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0.0811**</w:t>
            </w:r>
          </w:p>
        </w:tc>
        <w:tc>
          <w:tcPr>
            <w:tcW w:w="739" w:type="pct"/>
          </w:tcPr>
          <w:p w14:paraId="3E5F3BA5"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0.0787</w:t>
            </w:r>
          </w:p>
        </w:tc>
        <w:tc>
          <w:tcPr>
            <w:tcW w:w="736" w:type="pct"/>
          </w:tcPr>
          <w:p w14:paraId="6680027B"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-0.0315*</w:t>
            </w:r>
          </w:p>
        </w:tc>
        <w:tc>
          <w:tcPr>
            <w:tcW w:w="510" w:type="pct"/>
          </w:tcPr>
          <w:p w14:paraId="57EC04D8"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2.879</w:t>
            </w:r>
          </w:p>
        </w:tc>
      </w:tr>
      <w:tr w:rsidR="009E7DA2" w:rsidRPr="00E75964" w14:paraId="76B20D4A" w14:textId="77777777" w:rsidTr="00D13E09">
        <w:trPr>
          <w:jc w:val="center"/>
        </w:trPr>
        <w:tc>
          <w:tcPr>
            <w:tcW w:w="520" w:type="pct"/>
          </w:tcPr>
          <w:p w14:paraId="768048B1" w14:textId="77777777" w:rsidR="009E7DA2" w:rsidRPr="00E75964" w:rsidRDefault="009E7DA2" w:rsidP="00D13E09">
            <w:pPr>
              <w:spacing w:after="200"/>
              <w:contextualSpacing/>
              <w:jc w:val="center"/>
              <w:rPr>
                <w:rFonts w:ascii="Garamond" w:hAnsi="Garamond"/>
                <w:sz w:val="24"/>
                <w:szCs w:val="24"/>
              </w:rPr>
            </w:pPr>
          </w:p>
        </w:tc>
        <w:tc>
          <w:tcPr>
            <w:tcW w:w="568" w:type="pct"/>
          </w:tcPr>
          <w:p w14:paraId="3271AE81"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SD</w:t>
            </w:r>
          </w:p>
        </w:tc>
        <w:tc>
          <w:tcPr>
            <w:tcW w:w="736" w:type="pct"/>
          </w:tcPr>
          <w:p w14:paraId="4E405C9C"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1.3154</w:t>
            </w:r>
          </w:p>
        </w:tc>
        <w:tc>
          <w:tcPr>
            <w:tcW w:w="609" w:type="pct"/>
          </w:tcPr>
          <w:p w14:paraId="162DAD08"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1.5629</w:t>
            </w:r>
          </w:p>
        </w:tc>
        <w:tc>
          <w:tcPr>
            <w:tcW w:w="581" w:type="pct"/>
          </w:tcPr>
          <w:p w14:paraId="7153D602"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1.1916</w:t>
            </w:r>
          </w:p>
        </w:tc>
        <w:tc>
          <w:tcPr>
            <w:tcW w:w="739" w:type="pct"/>
          </w:tcPr>
          <w:p w14:paraId="3845FD38"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1.0199</w:t>
            </w:r>
          </w:p>
        </w:tc>
        <w:tc>
          <w:tcPr>
            <w:tcW w:w="736" w:type="pct"/>
          </w:tcPr>
          <w:p w14:paraId="701015CC"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0.8249</w:t>
            </w:r>
          </w:p>
        </w:tc>
        <w:tc>
          <w:tcPr>
            <w:tcW w:w="510" w:type="pct"/>
          </w:tcPr>
          <w:p w14:paraId="342125C0"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(0.023)</w:t>
            </w:r>
          </w:p>
        </w:tc>
      </w:tr>
      <w:tr w:rsidR="009E7DA2" w:rsidRPr="00E75964" w14:paraId="19EC72E9" w14:textId="77777777" w:rsidTr="00D13E09">
        <w:trPr>
          <w:jc w:val="center"/>
        </w:trPr>
        <w:tc>
          <w:tcPr>
            <w:tcW w:w="520" w:type="pct"/>
          </w:tcPr>
          <w:p w14:paraId="27B4C838" w14:textId="77777777" w:rsidR="009E7DA2" w:rsidRPr="00E75964" w:rsidRDefault="009E7DA2" w:rsidP="00D13E09">
            <w:pPr>
              <w:spacing w:after="200"/>
              <w:contextualSpacing/>
              <w:jc w:val="center"/>
              <w:rPr>
                <w:rFonts w:ascii="Garamond" w:hAnsi="Garamond"/>
                <w:sz w:val="24"/>
                <w:szCs w:val="24"/>
              </w:rPr>
            </w:pPr>
          </w:p>
        </w:tc>
        <w:tc>
          <w:tcPr>
            <w:tcW w:w="568" w:type="pct"/>
          </w:tcPr>
          <w:p w14:paraId="5D71DB64" w14:textId="77777777" w:rsidR="009E7DA2" w:rsidRPr="00E75964" w:rsidRDefault="009E7DA2" w:rsidP="00D13E09">
            <w:pPr>
              <w:spacing w:after="200"/>
              <w:contextualSpacing/>
              <w:jc w:val="center"/>
              <w:rPr>
                <w:rFonts w:ascii="Garamond" w:hAnsi="Garamond"/>
                <w:sz w:val="24"/>
                <w:szCs w:val="24"/>
              </w:rPr>
            </w:pPr>
          </w:p>
        </w:tc>
        <w:tc>
          <w:tcPr>
            <w:tcW w:w="736" w:type="pct"/>
          </w:tcPr>
          <w:p w14:paraId="73FA7D5E" w14:textId="77777777" w:rsidR="009E7DA2" w:rsidRPr="00E75964" w:rsidRDefault="009E7DA2" w:rsidP="00D13E09">
            <w:pPr>
              <w:spacing w:after="200"/>
              <w:contextualSpacing/>
              <w:jc w:val="center"/>
              <w:rPr>
                <w:rFonts w:ascii="Garamond" w:hAnsi="Garamond"/>
                <w:sz w:val="24"/>
                <w:szCs w:val="24"/>
              </w:rPr>
            </w:pPr>
          </w:p>
        </w:tc>
        <w:tc>
          <w:tcPr>
            <w:tcW w:w="609" w:type="pct"/>
          </w:tcPr>
          <w:p w14:paraId="6BA86A85" w14:textId="77777777" w:rsidR="009E7DA2" w:rsidRPr="00E75964" w:rsidRDefault="009E7DA2" w:rsidP="00D13E09">
            <w:pPr>
              <w:spacing w:after="200"/>
              <w:contextualSpacing/>
              <w:jc w:val="center"/>
              <w:rPr>
                <w:rFonts w:ascii="Garamond" w:hAnsi="Garamond"/>
                <w:sz w:val="24"/>
                <w:szCs w:val="24"/>
              </w:rPr>
            </w:pPr>
          </w:p>
        </w:tc>
        <w:tc>
          <w:tcPr>
            <w:tcW w:w="581" w:type="pct"/>
          </w:tcPr>
          <w:p w14:paraId="370B5565" w14:textId="77777777" w:rsidR="009E7DA2" w:rsidRPr="00E75964" w:rsidRDefault="009E7DA2" w:rsidP="00D13E09">
            <w:pPr>
              <w:spacing w:after="200"/>
              <w:contextualSpacing/>
              <w:jc w:val="center"/>
              <w:rPr>
                <w:rFonts w:ascii="Garamond" w:hAnsi="Garamond"/>
                <w:sz w:val="24"/>
                <w:szCs w:val="24"/>
              </w:rPr>
            </w:pPr>
          </w:p>
        </w:tc>
        <w:tc>
          <w:tcPr>
            <w:tcW w:w="739" w:type="pct"/>
          </w:tcPr>
          <w:p w14:paraId="48D7DEE1" w14:textId="77777777" w:rsidR="009E7DA2" w:rsidRPr="00E75964" w:rsidRDefault="009E7DA2" w:rsidP="00D13E09">
            <w:pPr>
              <w:spacing w:after="200"/>
              <w:contextualSpacing/>
              <w:jc w:val="center"/>
              <w:rPr>
                <w:rFonts w:ascii="Garamond" w:hAnsi="Garamond"/>
                <w:sz w:val="24"/>
                <w:szCs w:val="24"/>
              </w:rPr>
            </w:pPr>
          </w:p>
        </w:tc>
        <w:tc>
          <w:tcPr>
            <w:tcW w:w="736" w:type="pct"/>
          </w:tcPr>
          <w:p w14:paraId="1C8E39C1" w14:textId="77777777" w:rsidR="009E7DA2" w:rsidRPr="00E75964" w:rsidRDefault="009E7DA2" w:rsidP="00D13E09">
            <w:pPr>
              <w:spacing w:after="200"/>
              <w:contextualSpacing/>
              <w:jc w:val="center"/>
              <w:rPr>
                <w:rFonts w:ascii="Garamond" w:hAnsi="Garamond"/>
                <w:sz w:val="24"/>
                <w:szCs w:val="24"/>
              </w:rPr>
            </w:pPr>
          </w:p>
        </w:tc>
        <w:tc>
          <w:tcPr>
            <w:tcW w:w="510" w:type="pct"/>
          </w:tcPr>
          <w:p w14:paraId="174A56B1" w14:textId="77777777" w:rsidR="009E7DA2" w:rsidRPr="00E75964" w:rsidRDefault="009E7DA2" w:rsidP="00D13E09">
            <w:pPr>
              <w:spacing w:after="200"/>
              <w:contextualSpacing/>
              <w:jc w:val="center"/>
              <w:rPr>
                <w:rFonts w:ascii="Garamond" w:hAnsi="Garamond"/>
                <w:sz w:val="24"/>
                <w:szCs w:val="24"/>
              </w:rPr>
            </w:pPr>
          </w:p>
        </w:tc>
      </w:tr>
      <w:tr w:rsidR="009E7DA2" w:rsidRPr="00E75964" w14:paraId="6CB10DF1" w14:textId="77777777" w:rsidTr="00D13E09">
        <w:trPr>
          <w:jc w:val="center"/>
        </w:trPr>
        <w:tc>
          <w:tcPr>
            <w:tcW w:w="520" w:type="pct"/>
          </w:tcPr>
          <w:p w14:paraId="1F010760"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7</w:t>
            </w:r>
          </w:p>
        </w:tc>
        <w:tc>
          <w:tcPr>
            <w:tcW w:w="568" w:type="pct"/>
          </w:tcPr>
          <w:p w14:paraId="0584A03B"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Mean</w:t>
            </w:r>
          </w:p>
        </w:tc>
        <w:tc>
          <w:tcPr>
            <w:tcW w:w="736" w:type="pct"/>
          </w:tcPr>
          <w:p w14:paraId="4C03AD4E"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-0.0467</w:t>
            </w:r>
          </w:p>
        </w:tc>
        <w:tc>
          <w:tcPr>
            <w:tcW w:w="609" w:type="pct"/>
          </w:tcPr>
          <w:p w14:paraId="441C7A2E"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0.1021*</w:t>
            </w:r>
          </w:p>
        </w:tc>
        <w:tc>
          <w:tcPr>
            <w:tcW w:w="581" w:type="pct"/>
          </w:tcPr>
          <w:p w14:paraId="1387FF52"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0.0922</w:t>
            </w:r>
          </w:p>
        </w:tc>
        <w:tc>
          <w:tcPr>
            <w:tcW w:w="739" w:type="pct"/>
          </w:tcPr>
          <w:p w14:paraId="635AA0A3"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0.0964**</w:t>
            </w:r>
          </w:p>
        </w:tc>
        <w:tc>
          <w:tcPr>
            <w:tcW w:w="736" w:type="pct"/>
          </w:tcPr>
          <w:p w14:paraId="26D181BB"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-0.0641***</w:t>
            </w:r>
          </w:p>
        </w:tc>
        <w:tc>
          <w:tcPr>
            <w:tcW w:w="510" w:type="pct"/>
          </w:tcPr>
          <w:p w14:paraId="4E6AA7B8"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2.699</w:t>
            </w:r>
          </w:p>
        </w:tc>
      </w:tr>
      <w:tr w:rsidR="009E7DA2" w:rsidRPr="00E75964" w14:paraId="66024D8C" w14:textId="77777777" w:rsidTr="00D13E09">
        <w:trPr>
          <w:jc w:val="center"/>
        </w:trPr>
        <w:tc>
          <w:tcPr>
            <w:tcW w:w="520" w:type="pct"/>
          </w:tcPr>
          <w:p w14:paraId="5F70B70F" w14:textId="77777777" w:rsidR="009E7DA2" w:rsidRPr="00E75964" w:rsidRDefault="009E7DA2" w:rsidP="00D13E09">
            <w:pPr>
              <w:spacing w:after="200"/>
              <w:contextualSpacing/>
              <w:jc w:val="center"/>
              <w:rPr>
                <w:rFonts w:ascii="Garamond" w:hAnsi="Garamond"/>
                <w:sz w:val="24"/>
                <w:szCs w:val="24"/>
              </w:rPr>
            </w:pPr>
          </w:p>
        </w:tc>
        <w:tc>
          <w:tcPr>
            <w:tcW w:w="568" w:type="pct"/>
          </w:tcPr>
          <w:p w14:paraId="022B927E"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SD</w:t>
            </w:r>
          </w:p>
        </w:tc>
        <w:tc>
          <w:tcPr>
            <w:tcW w:w="736" w:type="pct"/>
          </w:tcPr>
          <w:p w14:paraId="5C9FAFA8"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1.8416</w:t>
            </w:r>
          </w:p>
        </w:tc>
        <w:tc>
          <w:tcPr>
            <w:tcW w:w="609" w:type="pct"/>
          </w:tcPr>
          <w:p w14:paraId="7522AF99"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1.8313</w:t>
            </w:r>
          </w:p>
        </w:tc>
        <w:tc>
          <w:tcPr>
            <w:tcW w:w="581" w:type="pct"/>
          </w:tcPr>
          <w:p w14:paraId="4EB7832E"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1.6261</w:t>
            </w:r>
          </w:p>
        </w:tc>
        <w:tc>
          <w:tcPr>
            <w:tcW w:w="739" w:type="pct"/>
          </w:tcPr>
          <w:p w14:paraId="71306CA0"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1.9161</w:t>
            </w:r>
          </w:p>
        </w:tc>
        <w:tc>
          <w:tcPr>
            <w:tcW w:w="736" w:type="pct"/>
          </w:tcPr>
          <w:p w14:paraId="69C42C0F"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1.8749</w:t>
            </w:r>
          </w:p>
        </w:tc>
        <w:tc>
          <w:tcPr>
            <w:tcW w:w="510" w:type="pct"/>
          </w:tcPr>
          <w:p w14:paraId="25DB380F"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(0.031)</w:t>
            </w:r>
          </w:p>
        </w:tc>
      </w:tr>
      <w:tr w:rsidR="009E7DA2" w:rsidRPr="00E75964" w14:paraId="18013EE1" w14:textId="77777777" w:rsidTr="00D13E09">
        <w:trPr>
          <w:jc w:val="center"/>
        </w:trPr>
        <w:tc>
          <w:tcPr>
            <w:tcW w:w="520" w:type="pct"/>
          </w:tcPr>
          <w:p w14:paraId="0165D33F" w14:textId="77777777" w:rsidR="009E7DA2" w:rsidRPr="00E75964" w:rsidRDefault="009E7DA2" w:rsidP="00D13E09">
            <w:pPr>
              <w:spacing w:after="200"/>
              <w:contextualSpacing/>
              <w:jc w:val="center"/>
              <w:rPr>
                <w:rFonts w:ascii="Garamond" w:hAnsi="Garamond"/>
                <w:sz w:val="24"/>
                <w:szCs w:val="24"/>
              </w:rPr>
            </w:pPr>
          </w:p>
        </w:tc>
        <w:tc>
          <w:tcPr>
            <w:tcW w:w="568" w:type="pct"/>
          </w:tcPr>
          <w:p w14:paraId="3A65D421" w14:textId="77777777" w:rsidR="009E7DA2" w:rsidRPr="00E75964" w:rsidRDefault="009E7DA2" w:rsidP="00D13E09">
            <w:pPr>
              <w:spacing w:after="200"/>
              <w:contextualSpacing/>
              <w:jc w:val="center"/>
              <w:rPr>
                <w:rFonts w:ascii="Garamond" w:hAnsi="Garamond"/>
                <w:sz w:val="24"/>
                <w:szCs w:val="24"/>
              </w:rPr>
            </w:pPr>
          </w:p>
        </w:tc>
        <w:tc>
          <w:tcPr>
            <w:tcW w:w="736" w:type="pct"/>
          </w:tcPr>
          <w:p w14:paraId="6F87D153" w14:textId="77777777" w:rsidR="009E7DA2" w:rsidRPr="00E75964" w:rsidRDefault="009E7DA2" w:rsidP="00D13E09">
            <w:pPr>
              <w:spacing w:after="200"/>
              <w:contextualSpacing/>
              <w:jc w:val="center"/>
              <w:rPr>
                <w:rFonts w:ascii="Garamond" w:hAnsi="Garamond"/>
                <w:sz w:val="24"/>
                <w:szCs w:val="24"/>
              </w:rPr>
            </w:pPr>
          </w:p>
        </w:tc>
        <w:tc>
          <w:tcPr>
            <w:tcW w:w="609" w:type="pct"/>
          </w:tcPr>
          <w:p w14:paraId="48765291" w14:textId="77777777" w:rsidR="009E7DA2" w:rsidRPr="00E75964" w:rsidRDefault="009E7DA2" w:rsidP="00D13E09">
            <w:pPr>
              <w:spacing w:after="200"/>
              <w:contextualSpacing/>
              <w:jc w:val="center"/>
              <w:rPr>
                <w:rFonts w:ascii="Garamond" w:hAnsi="Garamond"/>
                <w:sz w:val="24"/>
                <w:szCs w:val="24"/>
              </w:rPr>
            </w:pPr>
          </w:p>
        </w:tc>
        <w:tc>
          <w:tcPr>
            <w:tcW w:w="581" w:type="pct"/>
          </w:tcPr>
          <w:p w14:paraId="7E4A506D" w14:textId="77777777" w:rsidR="009E7DA2" w:rsidRPr="00E75964" w:rsidRDefault="009E7DA2" w:rsidP="00D13E09">
            <w:pPr>
              <w:spacing w:after="200"/>
              <w:contextualSpacing/>
              <w:jc w:val="center"/>
              <w:rPr>
                <w:rFonts w:ascii="Garamond" w:hAnsi="Garamond"/>
                <w:sz w:val="24"/>
                <w:szCs w:val="24"/>
              </w:rPr>
            </w:pPr>
          </w:p>
        </w:tc>
        <w:tc>
          <w:tcPr>
            <w:tcW w:w="739" w:type="pct"/>
          </w:tcPr>
          <w:p w14:paraId="03FC57F1" w14:textId="77777777" w:rsidR="009E7DA2" w:rsidRPr="00E75964" w:rsidRDefault="009E7DA2" w:rsidP="00D13E09">
            <w:pPr>
              <w:spacing w:after="200"/>
              <w:contextualSpacing/>
              <w:jc w:val="center"/>
              <w:rPr>
                <w:rFonts w:ascii="Garamond" w:hAnsi="Garamond"/>
                <w:sz w:val="24"/>
                <w:szCs w:val="24"/>
              </w:rPr>
            </w:pPr>
          </w:p>
        </w:tc>
        <w:tc>
          <w:tcPr>
            <w:tcW w:w="736" w:type="pct"/>
          </w:tcPr>
          <w:p w14:paraId="02C67339" w14:textId="77777777" w:rsidR="009E7DA2" w:rsidRPr="00E75964" w:rsidRDefault="009E7DA2" w:rsidP="00D13E09">
            <w:pPr>
              <w:spacing w:after="200"/>
              <w:contextualSpacing/>
              <w:jc w:val="center"/>
              <w:rPr>
                <w:rFonts w:ascii="Garamond" w:hAnsi="Garamond"/>
                <w:sz w:val="24"/>
                <w:szCs w:val="24"/>
              </w:rPr>
            </w:pPr>
          </w:p>
        </w:tc>
        <w:tc>
          <w:tcPr>
            <w:tcW w:w="510" w:type="pct"/>
          </w:tcPr>
          <w:p w14:paraId="123F0DCD" w14:textId="77777777" w:rsidR="009E7DA2" w:rsidRPr="00E75964" w:rsidRDefault="009E7DA2" w:rsidP="00D13E09">
            <w:pPr>
              <w:spacing w:after="200"/>
              <w:contextualSpacing/>
              <w:jc w:val="center"/>
              <w:rPr>
                <w:rFonts w:ascii="Garamond" w:hAnsi="Garamond"/>
                <w:sz w:val="24"/>
                <w:szCs w:val="24"/>
              </w:rPr>
            </w:pPr>
          </w:p>
        </w:tc>
      </w:tr>
      <w:tr w:rsidR="009E7DA2" w:rsidRPr="00E75964" w14:paraId="04037471" w14:textId="77777777" w:rsidTr="00D13E09">
        <w:trPr>
          <w:jc w:val="center"/>
        </w:trPr>
        <w:tc>
          <w:tcPr>
            <w:tcW w:w="520" w:type="pct"/>
          </w:tcPr>
          <w:p w14:paraId="02D5FA36"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8</w:t>
            </w:r>
          </w:p>
        </w:tc>
        <w:tc>
          <w:tcPr>
            <w:tcW w:w="568" w:type="pct"/>
          </w:tcPr>
          <w:p w14:paraId="65EC8D22"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Mean</w:t>
            </w:r>
          </w:p>
        </w:tc>
        <w:tc>
          <w:tcPr>
            <w:tcW w:w="736" w:type="pct"/>
          </w:tcPr>
          <w:p w14:paraId="3EEF2EF1"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-0.0072</w:t>
            </w:r>
          </w:p>
        </w:tc>
        <w:tc>
          <w:tcPr>
            <w:tcW w:w="609" w:type="pct"/>
          </w:tcPr>
          <w:p w14:paraId="78E89902"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0.0732**</w:t>
            </w:r>
          </w:p>
        </w:tc>
        <w:tc>
          <w:tcPr>
            <w:tcW w:w="581" w:type="pct"/>
          </w:tcPr>
          <w:p w14:paraId="0E42CA2E" w14:textId="6CE3F561"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0.0667</w:t>
            </w:r>
            <w:r w:rsidR="00745F0B" w:rsidRPr="00E75964">
              <w:rPr>
                <w:rFonts w:ascii="Garamond" w:hAnsi="Garamond"/>
                <w:sz w:val="24"/>
                <w:szCs w:val="24"/>
              </w:rPr>
              <w:t>*</w:t>
            </w:r>
          </w:p>
        </w:tc>
        <w:tc>
          <w:tcPr>
            <w:tcW w:w="739" w:type="pct"/>
          </w:tcPr>
          <w:p w14:paraId="33530248"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0.1121*</w:t>
            </w:r>
          </w:p>
        </w:tc>
        <w:tc>
          <w:tcPr>
            <w:tcW w:w="736" w:type="pct"/>
          </w:tcPr>
          <w:p w14:paraId="128B4725"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0.0311</w:t>
            </w:r>
          </w:p>
        </w:tc>
        <w:tc>
          <w:tcPr>
            <w:tcW w:w="510" w:type="pct"/>
          </w:tcPr>
          <w:p w14:paraId="043518C2"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3.213</w:t>
            </w:r>
          </w:p>
        </w:tc>
      </w:tr>
      <w:tr w:rsidR="009E7DA2" w:rsidRPr="00E75964" w14:paraId="210D4471" w14:textId="77777777" w:rsidTr="00D13E09">
        <w:trPr>
          <w:jc w:val="center"/>
        </w:trPr>
        <w:tc>
          <w:tcPr>
            <w:tcW w:w="520" w:type="pct"/>
          </w:tcPr>
          <w:p w14:paraId="1396BBBD" w14:textId="77777777" w:rsidR="009E7DA2" w:rsidRPr="00E75964" w:rsidRDefault="009E7DA2" w:rsidP="00D13E09">
            <w:pPr>
              <w:spacing w:after="200"/>
              <w:contextualSpacing/>
              <w:jc w:val="center"/>
              <w:rPr>
                <w:rFonts w:ascii="Garamond" w:hAnsi="Garamond"/>
                <w:sz w:val="24"/>
                <w:szCs w:val="24"/>
              </w:rPr>
            </w:pPr>
          </w:p>
        </w:tc>
        <w:tc>
          <w:tcPr>
            <w:tcW w:w="568" w:type="pct"/>
          </w:tcPr>
          <w:p w14:paraId="18AD0D57"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SD</w:t>
            </w:r>
          </w:p>
        </w:tc>
        <w:tc>
          <w:tcPr>
            <w:tcW w:w="736" w:type="pct"/>
          </w:tcPr>
          <w:p w14:paraId="41E5879D"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1.1282</w:t>
            </w:r>
          </w:p>
        </w:tc>
        <w:tc>
          <w:tcPr>
            <w:tcW w:w="609" w:type="pct"/>
          </w:tcPr>
          <w:p w14:paraId="1D90770A"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1.6768</w:t>
            </w:r>
          </w:p>
        </w:tc>
        <w:tc>
          <w:tcPr>
            <w:tcW w:w="581" w:type="pct"/>
          </w:tcPr>
          <w:p w14:paraId="4A338EC7"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1.1011</w:t>
            </w:r>
          </w:p>
        </w:tc>
        <w:tc>
          <w:tcPr>
            <w:tcW w:w="739" w:type="pct"/>
          </w:tcPr>
          <w:p w14:paraId="36F94175"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1.9067</w:t>
            </w:r>
          </w:p>
        </w:tc>
        <w:tc>
          <w:tcPr>
            <w:tcW w:w="736" w:type="pct"/>
          </w:tcPr>
          <w:p w14:paraId="13510531"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1.388</w:t>
            </w:r>
          </w:p>
        </w:tc>
        <w:tc>
          <w:tcPr>
            <w:tcW w:w="510" w:type="pct"/>
          </w:tcPr>
          <w:p w14:paraId="2640DA8E"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(0.013)</w:t>
            </w:r>
          </w:p>
        </w:tc>
      </w:tr>
      <w:tr w:rsidR="009E7DA2" w:rsidRPr="00E75964" w14:paraId="23E009D2" w14:textId="77777777" w:rsidTr="00D13E09">
        <w:trPr>
          <w:jc w:val="center"/>
        </w:trPr>
        <w:tc>
          <w:tcPr>
            <w:tcW w:w="520" w:type="pct"/>
          </w:tcPr>
          <w:p w14:paraId="15076823" w14:textId="77777777" w:rsidR="009E7DA2" w:rsidRPr="00E75964" w:rsidRDefault="009E7DA2" w:rsidP="00D13E09">
            <w:pPr>
              <w:spacing w:after="200"/>
              <w:contextualSpacing/>
              <w:jc w:val="center"/>
              <w:rPr>
                <w:rFonts w:ascii="Garamond" w:hAnsi="Garamond"/>
                <w:sz w:val="24"/>
                <w:szCs w:val="24"/>
              </w:rPr>
            </w:pPr>
          </w:p>
        </w:tc>
        <w:tc>
          <w:tcPr>
            <w:tcW w:w="568" w:type="pct"/>
          </w:tcPr>
          <w:p w14:paraId="5832CC52" w14:textId="77777777" w:rsidR="009E7DA2" w:rsidRPr="00E75964" w:rsidRDefault="009E7DA2" w:rsidP="00D13E09">
            <w:pPr>
              <w:spacing w:after="200"/>
              <w:contextualSpacing/>
              <w:jc w:val="center"/>
              <w:rPr>
                <w:rFonts w:ascii="Garamond" w:hAnsi="Garamond"/>
                <w:sz w:val="24"/>
                <w:szCs w:val="24"/>
              </w:rPr>
            </w:pPr>
          </w:p>
        </w:tc>
        <w:tc>
          <w:tcPr>
            <w:tcW w:w="736" w:type="pct"/>
          </w:tcPr>
          <w:p w14:paraId="2FD55C2D" w14:textId="77777777" w:rsidR="009E7DA2" w:rsidRPr="00E75964" w:rsidRDefault="009E7DA2" w:rsidP="00D13E09">
            <w:pPr>
              <w:spacing w:after="200"/>
              <w:contextualSpacing/>
              <w:jc w:val="center"/>
              <w:rPr>
                <w:rFonts w:ascii="Garamond" w:hAnsi="Garamond"/>
                <w:sz w:val="24"/>
                <w:szCs w:val="24"/>
              </w:rPr>
            </w:pPr>
          </w:p>
        </w:tc>
        <w:tc>
          <w:tcPr>
            <w:tcW w:w="609" w:type="pct"/>
          </w:tcPr>
          <w:p w14:paraId="273E03E4" w14:textId="77777777" w:rsidR="009E7DA2" w:rsidRPr="00E75964" w:rsidRDefault="009E7DA2" w:rsidP="00D13E09">
            <w:pPr>
              <w:spacing w:after="200"/>
              <w:contextualSpacing/>
              <w:jc w:val="center"/>
              <w:rPr>
                <w:rFonts w:ascii="Garamond" w:hAnsi="Garamond"/>
                <w:sz w:val="24"/>
                <w:szCs w:val="24"/>
              </w:rPr>
            </w:pPr>
          </w:p>
        </w:tc>
        <w:tc>
          <w:tcPr>
            <w:tcW w:w="581" w:type="pct"/>
          </w:tcPr>
          <w:p w14:paraId="1127F7A1" w14:textId="77777777" w:rsidR="009E7DA2" w:rsidRPr="00E75964" w:rsidRDefault="009E7DA2" w:rsidP="00D13E09">
            <w:pPr>
              <w:spacing w:after="200"/>
              <w:contextualSpacing/>
              <w:jc w:val="center"/>
              <w:rPr>
                <w:rFonts w:ascii="Garamond" w:hAnsi="Garamond"/>
                <w:sz w:val="24"/>
                <w:szCs w:val="24"/>
              </w:rPr>
            </w:pPr>
          </w:p>
        </w:tc>
        <w:tc>
          <w:tcPr>
            <w:tcW w:w="739" w:type="pct"/>
          </w:tcPr>
          <w:p w14:paraId="45539F00" w14:textId="77777777" w:rsidR="009E7DA2" w:rsidRPr="00E75964" w:rsidRDefault="009E7DA2" w:rsidP="00D13E09">
            <w:pPr>
              <w:spacing w:after="200"/>
              <w:contextualSpacing/>
              <w:jc w:val="center"/>
              <w:rPr>
                <w:rFonts w:ascii="Garamond" w:hAnsi="Garamond"/>
                <w:sz w:val="24"/>
                <w:szCs w:val="24"/>
              </w:rPr>
            </w:pPr>
          </w:p>
        </w:tc>
        <w:tc>
          <w:tcPr>
            <w:tcW w:w="736" w:type="pct"/>
          </w:tcPr>
          <w:p w14:paraId="34078FBA" w14:textId="77777777" w:rsidR="009E7DA2" w:rsidRPr="00E75964" w:rsidRDefault="009E7DA2" w:rsidP="00D13E09">
            <w:pPr>
              <w:spacing w:after="200"/>
              <w:contextualSpacing/>
              <w:jc w:val="center"/>
              <w:rPr>
                <w:rFonts w:ascii="Garamond" w:hAnsi="Garamond"/>
                <w:sz w:val="24"/>
                <w:szCs w:val="24"/>
              </w:rPr>
            </w:pPr>
          </w:p>
        </w:tc>
        <w:tc>
          <w:tcPr>
            <w:tcW w:w="510" w:type="pct"/>
          </w:tcPr>
          <w:p w14:paraId="2121AC69" w14:textId="77777777" w:rsidR="009E7DA2" w:rsidRPr="00E75964" w:rsidRDefault="009E7DA2" w:rsidP="00D13E09">
            <w:pPr>
              <w:spacing w:after="200"/>
              <w:contextualSpacing/>
              <w:jc w:val="center"/>
              <w:rPr>
                <w:rFonts w:ascii="Garamond" w:hAnsi="Garamond"/>
                <w:sz w:val="24"/>
                <w:szCs w:val="24"/>
              </w:rPr>
            </w:pPr>
          </w:p>
        </w:tc>
      </w:tr>
      <w:tr w:rsidR="009E7DA2" w:rsidRPr="00E75964" w14:paraId="5AE52533" w14:textId="77777777" w:rsidTr="00D13E09">
        <w:trPr>
          <w:jc w:val="center"/>
        </w:trPr>
        <w:tc>
          <w:tcPr>
            <w:tcW w:w="520" w:type="pct"/>
          </w:tcPr>
          <w:p w14:paraId="64E57050"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9</w:t>
            </w:r>
          </w:p>
        </w:tc>
        <w:tc>
          <w:tcPr>
            <w:tcW w:w="568" w:type="pct"/>
          </w:tcPr>
          <w:p w14:paraId="5112A1A6"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Mean</w:t>
            </w:r>
          </w:p>
        </w:tc>
        <w:tc>
          <w:tcPr>
            <w:tcW w:w="736" w:type="pct"/>
          </w:tcPr>
          <w:p w14:paraId="52D04F6B"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0.1624</w:t>
            </w:r>
          </w:p>
        </w:tc>
        <w:tc>
          <w:tcPr>
            <w:tcW w:w="609" w:type="pct"/>
          </w:tcPr>
          <w:p w14:paraId="1C83AE37"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0.1211</w:t>
            </w:r>
          </w:p>
        </w:tc>
        <w:tc>
          <w:tcPr>
            <w:tcW w:w="581" w:type="pct"/>
          </w:tcPr>
          <w:p w14:paraId="02BF2E81"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-0.0390*</w:t>
            </w:r>
          </w:p>
        </w:tc>
        <w:tc>
          <w:tcPr>
            <w:tcW w:w="739" w:type="pct"/>
          </w:tcPr>
          <w:p w14:paraId="7B67B904"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0.0874***</w:t>
            </w:r>
          </w:p>
        </w:tc>
        <w:tc>
          <w:tcPr>
            <w:tcW w:w="736" w:type="pct"/>
          </w:tcPr>
          <w:p w14:paraId="5531CA76"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0.0752</w:t>
            </w:r>
          </w:p>
        </w:tc>
        <w:tc>
          <w:tcPr>
            <w:tcW w:w="510" w:type="pct"/>
          </w:tcPr>
          <w:p w14:paraId="7230F2F2"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0.897</w:t>
            </w:r>
          </w:p>
        </w:tc>
      </w:tr>
      <w:tr w:rsidR="009E7DA2" w:rsidRPr="00E75964" w14:paraId="38059CC1" w14:textId="77777777" w:rsidTr="00D13E09">
        <w:trPr>
          <w:jc w:val="center"/>
        </w:trPr>
        <w:tc>
          <w:tcPr>
            <w:tcW w:w="520" w:type="pct"/>
          </w:tcPr>
          <w:p w14:paraId="23D0F5F6" w14:textId="77777777" w:rsidR="009E7DA2" w:rsidRPr="00E75964" w:rsidRDefault="009E7DA2" w:rsidP="00D13E09">
            <w:pPr>
              <w:spacing w:after="200"/>
              <w:contextualSpacing/>
              <w:jc w:val="center"/>
              <w:rPr>
                <w:rFonts w:ascii="Garamond" w:hAnsi="Garamond"/>
                <w:sz w:val="24"/>
                <w:szCs w:val="24"/>
              </w:rPr>
            </w:pPr>
          </w:p>
        </w:tc>
        <w:tc>
          <w:tcPr>
            <w:tcW w:w="568" w:type="pct"/>
          </w:tcPr>
          <w:p w14:paraId="2278AF71"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SD</w:t>
            </w:r>
          </w:p>
        </w:tc>
        <w:tc>
          <w:tcPr>
            <w:tcW w:w="736" w:type="pct"/>
          </w:tcPr>
          <w:p w14:paraId="0AEF4A0F"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1.1271</w:t>
            </w:r>
          </w:p>
        </w:tc>
        <w:tc>
          <w:tcPr>
            <w:tcW w:w="609" w:type="pct"/>
          </w:tcPr>
          <w:p w14:paraId="18F8EA48"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1.4045</w:t>
            </w:r>
          </w:p>
        </w:tc>
        <w:tc>
          <w:tcPr>
            <w:tcW w:w="581" w:type="pct"/>
          </w:tcPr>
          <w:p w14:paraId="204094EA"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1.2866</w:t>
            </w:r>
          </w:p>
        </w:tc>
        <w:tc>
          <w:tcPr>
            <w:tcW w:w="739" w:type="pct"/>
          </w:tcPr>
          <w:p w14:paraId="689D96CB"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1.2367</w:t>
            </w:r>
          </w:p>
        </w:tc>
        <w:tc>
          <w:tcPr>
            <w:tcW w:w="736" w:type="pct"/>
          </w:tcPr>
          <w:p w14:paraId="00AED606"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1.6761</w:t>
            </w:r>
          </w:p>
        </w:tc>
        <w:tc>
          <w:tcPr>
            <w:tcW w:w="510" w:type="pct"/>
          </w:tcPr>
          <w:p w14:paraId="4E554359"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(0.466)</w:t>
            </w:r>
          </w:p>
        </w:tc>
      </w:tr>
      <w:tr w:rsidR="009E7DA2" w:rsidRPr="00E75964" w14:paraId="33C2D526" w14:textId="77777777" w:rsidTr="00D13E09">
        <w:trPr>
          <w:jc w:val="center"/>
        </w:trPr>
        <w:tc>
          <w:tcPr>
            <w:tcW w:w="520" w:type="pct"/>
          </w:tcPr>
          <w:p w14:paraId="4A5B5AE0" w14:textId="77777777" w:rsidR="009E7DA2" w:rsidRPr="00E75964" w:rsidRDefault="009E7DA2" w:rsidP="00D13E09">
            <w:pPr>
              <w:spacing w:after="200"/>
              <w:contextualSpacing/>
              <w:jc w:val="center"/>
              <w:rPr>
                <w:rFonts w:ascii="Garamond" w:hAnsi="Garamond"/>
                <w:sz w:val="24"/>
                <w:szCs w:val="24"/>
              </w:rPr>
            </w:pPr>
          </w:p>
        </w:tc>
        <w:tc>
          <w:tcPr>
            <w:tcW w:w="568" w:type="pct"/>
          </w:tcPr>
          <w:p w14:paraId="2DBA1725" w14:textId="77777777" w:rsidR="009E7DA2" w:rsidRPr="00E75964" w:rsidRDefault="009E7DA2" w:rsidP="00D13E09">
            <w:pPr>
              <w:spacing w:after="200"/>
              <w:contextualSpacing/>
              <w:jc w:val="center"/>
              <w:rPr>
                <w:rFonts w:ascii="Garamond" w:hAnsi="Garamond"/>
                <w:sz w:val="24"/>
                <w:szCs w:val="24"/>
              </w:rPr>
            </w:pPr>
          </w:p>
        </w:tc>
        <w:tc>
          <w:tcPr>
            <w:tcW w:w="736" w:type="pct"/>
          </w:tcPr>
          <w:p w14:paraId="5716C320" w14:textId="77777777" w:rsidR="009E7DA2" w:rsidRPr="00E75964" w:rsidRDefault="009E7DA2" w:rsidP="00D13E09">
            <w:pPr>
              <w:spacing w:after="200"/>
              <w:contextualSpacing/>
              <w:jc w:val="center"/>
              <w:rPr>
                <w:rFonts w:ascii="Garamond" w:hAnsi="Garamond"/>
                <w:sz w:val="24"/>
                <w:szCs w:val="24"/>
              </w:rPr>
            </w:pPr>
          </w:p>
        </w:tc>
        <w:tc>
          <w:tcPr>
            <w:tcW w:w="609" w:type="pct"/>
          </w:tcPr>
          <w:p w14:paraId="1F4896EB" w14:textId="77777777" w:rsidR="009E7DA2" w:rsidRPr="00E75964" w:rsidRDefault="009E7DA2" w:rsidP="00D13E09">
            <w:pPr>
              <w:spacing w:after="200"/>
              <w:contextualSpacing/>
              <w:jc w:val="center"/>
              <w:rPr>
                <w:rFonts w:ascii="Garamond" w:hAnsi="Garamond"/>
                <w:sz w:val="24"/>
                <w:szCs w:val="24"/>
              </w:rPr>
            </w:pPr>
          </w:p>
        </w:tc>
        <w:tc>
          <w:tcPr>
            <w:tcW w:w="581" w:type="pct"/>
          </w:tcPr>
          <w:p w14:paraId="3ED26540" w14:textId="77777777" w:rsidR="009E7DA2" w:rsidRPr="00E75964" w:rsidRDefault="009E7DA2" w:rsidP="00D13E09">
            <w:pPr>
              <w:spacing w:after="200"/>
              <w:contextualSpacing/>
              <w:jc w:val="center"/>
              <w:rPr>
                <w:rFonts w:ascii="Garamond" w:hAnsi="Garamond"/>
                <w:sz w:val="24"/>
                <w:szCs w:val="24"/>
              </w:rPr>
            </w:pPr>
          </w:p>
        </w:tc>
        <w:tc>
          <w:tcPr>
            <w:tcW w:w="739" w:type="pct"/>
          </w:tcPr>
          <w:p w14:paraId="288324B7" w14:textId="77777777" w:rsidR="009E7DA2" w:rsidRPr="00E75964" w:rsidRDefault="009E7DA2" w:rsidP="00D13E09">
            <w:pPr>
              <w:spacing w:after="200"/>
              <w:contextualSpacing/>
              <w:jc w:val="center"/>
              <w:rPr>
                <w:rFonts w:ascii="Garamond" w:hAnsi="Garamond"/>
                <w:sz w:val="24"/>
                <w:szCs w:val="24"/>
              </w:rPr>
            </w:pPr>
          </w:p>
        </w:tc>
        <w:tc>
          <w:tcPr>
            <w:tcW w:w="736" w:type="pct"/>
          </w:tcPr>
          <w:p w14:paraId="4A243980" w14:textId="77777777" w:rsidR="009E7DA2" w:rsidRPr="00E75964" w:rsidRDefault="009E7DA2" w:rsidP="00D13E09">
            <w:pPr>
              <w:spacing w:after="200"/>
              <w:contextualSpacing/>
              <w:jc w:val="center"/>
              <w:rPr>
                <w:rFonts w:ascii="Garamond" w:hAnsi="Garamond"/>
                <w:sz w:val="24"/>
                <w:szCs w:val="24"/>
              </w:rPr>
            </w:pPr>
          </w:p>
        </w:tc>
        <w:tc>
          <w:tcPr>
            <w:tcW w:w="510" w:type="pct"/>
          </w:tcPr>
          <w:p w14:paraId="6ABEC61A" w14:textId="77777777" w:rsidR="009E7DA2" w:rsidRPr="00E75964" w:rsidRDefault="009E7DA2" w:rsidP="00D13E09">
            <w:pPr>
              <w:spacing w:after="200"/>
              <w:contextualSpacing/>
              <w:jc w:val="center"/>
              <w:rPr>
                <w:rFonts w:ascii="Garamond" w:hAnsi="Garamond"/>
                <w:sz w:val="24"/>
                <w:szCs w:val="24"/>
              </w:rPr>
            </w:pPr>
          </w:p>
        </w:tc>
      </w:tr>
      <w:tr w:rsidR="009E7DA2" w:rsidRPr="00E75964" w14:paraId="39B83650" w14:textId="77777777" w:rsidTr="00D13E09">
        <w:trPr>
          <w:jc w:val="center"/>
        </w:trPr>
        <w:tc>
          <w:tcPr>
            <w:tcW w:w="520" w:type="pct"/>
          </w:tcPr>
          <w:p w14:paraId="5477D664"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Large</w:t>
            </w:r>
          </w:p>
        </w:tc>
        <w:tc>
          <w:tcPr>
            <w:tcW w:w="568" w:type="pct"/>
          </w:tcPr>
          <w:p w14:paraId="14688E07"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Mean</w:t>
            </w:r>
          </w:p>
        </w:tc>
        <w:tc>
          <w:tcPr>
            <w:tcW w:w="736" w:type="pct"/>
          </w:tcPr>
          <w:p w14:paraId="0A1D51E7"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0.1825**</w:t>
            </w:r>
          </w:p>
        </w:tc>
        <w:tc>
          <w:tcPr>
            <w:tcW w:w="609" w:type="pct"/>
          </w:tcPr>
          <w:p w14:paraId="21DBB69A"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0.1455***</w:t>
            </w:r>
          </w:p>
        </w:tc>
        <w:tc>
          <w:tcPr>
            <w:tcW w:w="581" w:type="pct"/>
          </w:tcPr>
          <w:p w14:paraId="04F907D1"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0.1041</w:t>
            </w:r>
          </w:p>
        </w:tc>
        <w:tc>
          <w:tcPr>
            <w:tcW w:w="739" w:type="pct"/>
          </w:tcPr>
          <w:p w14:paraId="60AD968B"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0.1066**</w:t>
            </w:r>
          </w:p>
        </w:tc>
        <w:tc>
          <w:tcPr>
            <w:tcW w:w="736" w:type="pct"/>
          </w:tcPr>
          <w:p w14:paraId="7E75467B"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0.0876</w:t>
            </w:r>
          </w:p>
        </w:tc>
        <w:tc>
          <w:tcPr>
            <w:tcW w:w="510" w:type="pct"/>
          </w:tcPr>
          <w:p w14:paraId="741DE3C7"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3.321</w:t>
            </w:r>
          </w:p>
        </w:tc>
      </w:tr>
      <w:tr w:rsidR="009E7DA2" w:rsidRPr="00E75964" w14:paraId="0A2C8C18" w14:textId="77777777" w:rsidTr="00D13E09">
        <w:trPr>
          <w:jc w:val="center"/>
        </w:trPr>
        <w:tc>
          <w:tcPr>
            <w:tcW w:w="520" w:type="pct"/>
            <w:tcBorders>
              <w:bottom w:val="single" w:sz="4" w:space="0" w:color="auto"/>
            </w:tcBorders>
          </w:tcPr>
          <w:p w14:paraId="6B087FFD"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10</w:t>
            </w:r>
          </w:p>
        </w:tc>
        <w:tc>
          <w:tcPr>
            <w:tcW w:w="568" w:type="pct"/>
            <w:tcBorders>
              <w:bottom w:val="single" w:sz="4" w:space="0" w:color="auto"/>
            </w:tcBorders>
          </w:tcPr>
          <w:p w14:paraId="40230073"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SD</w:t>
            </w:r>
          </w:p>
        </w:tc>
        <w:tc>
          <w:tcPr>
            <w:tcW w:w="736" w:type="pct"/>
            <w:tcBorders>
              <w:bottom w:val="single" w:sz="4" w:space="0" w:color="auto"/>
            </w:tcBorders>
          </w:tcPr>
          <w:p w14:paraId="19D51937"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1.7541</w:t>
            </w:r>
          </w:p>
        </w:tc>
        <w:tc>
          <w:tcPr>
            <w:tcW w:w="609" w:type="pct"/>
            <w:tcBorders>
              <w:bottom w:val="single" w:sz="4" w:space="0" w:color="auto"/>
            </w:tcBorders>
          </w:tcPr>
          <w:p w14:paraId="1F3519DD"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1.5199</w:t>
            </w:r>
          </w:p>
        </w:tc>
        <w:tc>
          <w:tcPr>
            <w:tcW w:w="581" w:type="pct"/>
            <w:tcBorders>
              <w:bottom w:val="single" w:sz="4" w:space="0" w:color="auto"/>
            </w:tcBorders>
          </w:tcPr>
          <w:p w14:paraId="532E06AE"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1.5531</w:t>
            </w:r>
          </w:p>
        </w:tc>
        <w:tc>
          <w:tcPr>
            <w:tcW w:w="739" w:type="pct"/>
            <w:tcBorders>
              <w:bottom w:val="single" w:sz="4" w:space="0" w:color="auto"/>
            </w:tcBorders>
          </w:tcPr>
          <w:p w14:paraId="27C3216C"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1.6833</w:t>
            </w:r>
          </w:p>
        </w:tc>
        <w:tc>
          <w:tcPr>
            <w:tcW w:w="736" w:type="pct"/>
            <w:tcBorders>
              <w:bottom w:val="single" w:sz="4" w:space="0" w:color="auto"/>
            </w:tcBorders>
          </w:tcPr>
          <w:p w14:paraId="03E5E868"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1.0987</w:t>
            </w:r>
          </w:p>
        </w:tc>
        <w:tc>
          <w:tcPr>
            <w:tcW w:w="510" w:type="pct"/>
            <w:tcBorders>
              <w:bottom w:val="single" w:sz="4" w:space="0" w:color="auto"/>
            </w:tcBorders>
          </w:tcPr>
          <w:p w14:paraId="26118BCA" w14:textId="77777777" w:rsidR="009E7DA2" w:rsidRPr="00E75964" w:rsidRDefault="009E7DA2" w:rsidP="00D13E09">
            <w:pPr>
              <w:spacing w:after="200"/>
              <w:contextualSpacing/>
              <w:jc w:val="center"/>
              <w:rPr>
                <w:rFonts w:ascii="Garamond" w:hAnsi="Garamond"/>
                <w:sz w:val="24"/>
                <w:szCs w:val="24"/>
              </w:rPr>
            </w:pPr>
            <w:r w:rsidRPr="00E75964">
              <w:rPr>
                <w:rFonts w:ascii="Garamond" w:hAnsi="Garamond"/>
                <w:sz w:val="24"/>
                <w:szCs w:val="24"/>
              </w:rPr>
              <w:t>(0.011)</w:t>
            </w:r>
          </w:p>
        </w:tc>
      </w:tr>
    </w:tbl>
    <w:bookmarkEnd w:id="9"/>
    <w:p w14:paraId="065DF3B4" w14:textId="4DFC95BA" w:rsidR="00CE65B6" w:rsidRPr="00E75964" w:rsidRDefault="00B95820" w:rsidP="00B95820">
      <w:pPr>
        <w:spacing w:line="240" w:lineRule="auto"/>
        <w:contextualSpacing/>
        <w:rPr>
          <w:rFonts w:ascii="Garamond" w:hAnsi="Garamond"/>
        </w:rPr>
      </w:pPr>
      <w:r>
        <w:rPr>
          <w:rFonts w:ascii="Garamond" w:hAnsi="Garamond"/>
        </w:rPr>
        <w:t xml:space="preserve">Note: </w:t>
      </w:r>
      <w:r w:rsidR="00CE65B6" w:rsidRPr="00E75964">
        <w:rPr>
          <w:rFonts w:ascii="Garamond" w:hAnsi="Garamond"/>
        </w:rPr>
        <w:t>All da</w:t>
      </w:r>
      <w:r w:rsidR="003552DF" w:rsidRPr="00E75964">
        <w:rPr>
          <w:rFonts w:ascii="Garamond" w:hAnsi="Garamond"/>
        </w:rPr>
        <w:t>ta are in percentage form.</w:t>
      </w:r>
      <w:r>
        <w:rPr>
          <w:rFonts w:ascii="Garamond" w:hAnsi="Garamond"/>
        </w:rPr>
        <w:t xml:space="preserve"> </w:t>
      </w:r>
      <w:r w:rsidR="00CA2F95" w:rsidRPr="00E75964">
        <w:rPr>
          <w:rFonts w:ascii="Garamond" w:hAnsi="Garamond"/>
        </w:rPr>
        <w:t>**</w:t>
      </w:r>
      <w:r w:rsidR="00CE65B6" w:rsidRPr="00E75964">
        <w:rPr>
          <w:rFonts w:ascii="Garamond" w:hAnsi="Garamond"/>
        </w:rPr>
        <w:t>*, ** and * indicate significance at the 1%, 5% and 1</w:t>
      </w:r>
      <w:r w:rsidR="00CA2F95" w:rsidRPr="00E75964">
        <w:rPr>
          <w:rFonts w:ascii="Garamond" w:hAnsi="Garamond"/>
        </w:rPr>
        <w:t>0</w:t>
      </w:r>
      <w:r w:rsidR="00CE65B6" w:rsidRPr="00E75964">
        <w:rPr>
          <w:rFonts w:ascii="Garamond" w:hAnsi="Garamond"/>
        </w:rPr>
        <w:t>% levels respectively.</w:t>
      </w:r>
      <w:r>
        <w:rPr>
          <w:rFonts w:ascii="Garamond" w:hAnsi="Garamond"/>
        </w:rPr>
        <w:t xml:space="preserve"> </w:t>
      </w:r>
      <w:r w:rsidRPr="00E75964">
        <w:rPr>
          <w:rFonts w:ascii="Garamond" w:hAnsi="Garamond"/>
        </w:rPr>
        <w:t>The standard deviations for each day in each decile are also statistically significant at the 1 percent level.</w:t>
      </w:r>
    </w:p>
    <w:p w14:paraId="07EAFF10" w14:textId="761D33E3" w:rsidR="00CE65B6" w:rsidRPr="00E75964" w:rsidRDefault="00CE65B6" w:rsidP="00B95820">
      <w:pPr>
        <w:spacing w:line="240" w:lineRule="auto"/>
        <w:contextualSpacing/>
        <w:rPr>
          <w:rFonts w:ascii="Garamond" w:hAnsi="Garamond"/>
        </w:rPr>
      </w:pPr>
      <w:proofErr w:type="gramStart"/>
      <w:r w:rsidRPr="00E75964">
        <w:rPr>
          <w:rFonts w:ascii="Garamond" w:hAnsi="Garamond"/>
          <w:vertAlign w:val="superscript"/>
        </w:rPr>
        <w:t>a</w:t>
      </w:r>
      <w:proofErr w:type="gramEnd"/>
      <w:r w:rsidRPr="00E75964">
        <w:rPr>
          <w:rFonts w:ascii="Garamond" w:hAnsi="Garamond"/>
          <w:vertAlign w:val="superscript"/>
        </w:rPr>
        <w:t xml:space="preserve"> </w:t>
      </w:r>
      <w:r w:rsidRPr="00E75964">
        <w:rPr>
          <w:rFonts w:ascii="Garamond" w:hAnsi="Garamond"/>
        </w:rPr>
        <w:t>Anova F-test with probability in ( ) that shows the results of a test for equality of means between the retur</w:t>
      </w:r>
      <w:r w:rsidR="00B95820">
        <w:rPr>
          <w:rFonts w:ascii="Garamond" w:hAnsi="Garamond"/>
        </w:rPr>
        <w:t>ns series of the five weekdays</w:t>
      </w:r>
    </w:p>
    <w:p w14:paraId="5D47B698" w14:textId="77777777" w:rsidR="00474EC0" w:rsidRPr="00E75964" w:rsidRDefault="00474EC0" w:rsidP="00CD604B">
      <w:pPr>
        <w:spacing w:line="360" w:lineRule="auto"/>
        <w:jc w:val="both"/>
        <w:rPr>
          <w:rFonts w:ascii="Garamond" w:hAnsi="Garamond"/>
          <w:sz w:val="24"/>
          <w:szCs w:val="24"/>
        </w:rPr>
      </w:pPr>
    </w:p>
    <w:p w14:paraId="2334BE63" w14:textId="64BB73F8"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The average returns on Sunday show an interesting pattern across firm size</w:t>
      </w:r>
      <w:r w:rsidR="005A3332" w:rsidRPr="00E75964">
        <w:rPr>
          <w:rFonts w:ascii="Garamond" w:hAnsi="Garamond"/>
          <w:sz w:val="24"/>
          <w:szCs w:val="24"/>
        </w:rPr>
        <w:t>s</w:t>
      </w:r>
      <w:r w:rsidRPr="00E75964">
        <w:rPr>
          <w:rFonts w:ascii="Garamond" w:hAnsi="Garamond"/>
          <w:sz w:val="24"/>
          <w:szCs w:val="24"/>
        </w:rPr>
        <w:t>. Mean returns on Sunday are negative for small firms (-0.</w:t>
      </w:r>
      <w:r w:rsidR="006B42E1" w:rsidRPr="00E75964">
        <w:rPr>
          <w:rFonts w:ascii="Garamond" w:hAnsi="Garamond"/>
          <w:sz w:val="24"/>
          <w:szCs w:val="24"/>
        </w:rPr>
        <w:t>1</w:t>
      </w:r>
      <w:r w:rsidR="003A438E" w:rsidRPr="00E75964">
        <w:rPr>
          <w:rFonts w:ascii="Garamond" w:hAnsi="Garamond"/>
          <w:sz w:val="24"/>
          <w:szCs w:val="24"/>
        </w:rPr>
        <w:t>92</w:t>
      </w:r>
      <w:r w:rsidRPr="00E75964">
        <w:rPr>
          <w:rFonts w:ascii="Garamond" w:hAnsi="Garamond"/>
          <w:sz w:val="24"/>
          <w:szCs w:val="24"/>
        </w:rPr>
        <w:t>%</w:t>
      </w:r>
      <w:r w:rsidR="003A438E" w:rsidRPr="00E75964">
        <w:rPr>
          <w:rFonts w:ascii="Garamond" w:hAnsi="Garamond"/>
          <w:sz w:val="24"/>
          <w:szCs w:val="24"/>
        </w:rPr>
        <w:t xml:space="preserve"> and</w:t>
      </w:r>
      <w:r w:rsidRPr="00E75964">
        <w:rPr>
          <w:rFonts w:ascii="Garamond" w:hAnsi="Garamond"/>
          <w:sz w:val="24"/>
          <w:szCs w:val="24"/>
        </w:rPr>
        <w:t xml:space="preserve"> -0.</w:t>
      </w:r>
      <w:r w:rsidR="003A438E" w:rsidRPr="00E75964">
        <w:rPr>
          <w:rFonts w:ascii="Garamond" w:hAnsi="Garamond"/>
          <w:sz w:val="24"/>
          <w:szCs w:val="24"/>
        </w:rPr>
        <w:t>1</w:t>
      </w:r>
      <w:r w:rsidR="006B42E1" w:rsidRPr="00E75964">
        <w:rPr>
          <w:rFonts w:ascii="Garamond" w:hAnsi="Garamond"/>
          <w:sz w:val="24"/>
          <w:szCs w:val="24"/>
        </w:rPr>
        <w:t>4</w:t>
      </w:r>
      <w:r w:rsidR="003A438E" w:rsidRPr="00E75964">
        <w:rPr>
          <w:rFonts w:ascii="Garamond" w:hAnsi="Garamond"/>
          <w:sz w:val="24"/>
          <w:szCs w:val="24"/>
        </w:rPr>
        <w:t>2</w:t>
      </w:r>
      <w:r w:rsidRPr="00E75964">
        <w:rPr>
          <w:rFonts w:ascii="Garamond" w:hAnsi="Garamond"/>
          <w:sz w:val="24"/>
          <w:szCs w:val="24"/>
        </w:rPr>
        <w:t>%</w:t>
      </w:r>
      <w:r w:rsidR="003A438E" w:rsidRPr="00E75964">
        <w:rPr>
          <w:rFonts w:ascii="Garamond" w:hAnsi="Garamond"/>
          <w:sz w:val="24"/>
          <w:szCs w:val="24"/>
        </w:rPr>
        <w:t xml:space="preserve"> </w:t>
      </w:r>
      <w:r w:rsidRPr="00E75964">
        <w:rPr>
          <w:rFonts w:ascii="Garamond" w:hAnsi="Garamond"/>
          <w:sz w:val="24"/>
          <w:szCs w:val="24"/>
        </w:rPr>
        <w:t xml:space="preserve">respectively for decile </w:t>
      </w:r>
      <w:r w:rsidR="005257D2" w:rsidRPr="00E75964">
        <w:rPr>
          <w:rFonts w:ascii="Garamond" w:hAnsi="Garamond"/>
          <w:sz w:val="24"/>
          <w:szCs w:val="24"/>
        </w:rPr>
        <w:t>1</w:t>
      </w:r>
      <w:r w:rsidR="003A438E" w:rsidRPr="00E75964">
        <w:rPr>
          <w:rFonts w:ascii="Garamond" w:hAnsi="Garamond"/>
          <w:sz w:val="24"/>
          <w:szCs w:val="24"/>
        </w:rPr>
        <w:t xml:space="preserve"> and</w:t>
      </w:r>
      <w:r w:rsidR="005257D2" w:rsidRPr="00E75964">
        <w:rPr>
          <w:rFonts w:ascii="Garamond" w:hAnsi="Garamond"/>
          <w:sz w:val="24"/>
          <w:szCs w:val="24"/>
        </w:rPr>
        <w:t xml:space="preserve"> </w:t>
      </w:r>
      <w:r w:rsidRPr="00E75964">
        <w:rPr>
          <w:rFonts w:ascii="Garamond" w:hAnsi="Garamond"/>
          <w:sz w:val="24"/>
          <w:szCs w:val="24"/>
        </w:rPr>
        <w:t xml:space="preserve">2) and </w:t>
      </w:r>
      <w:r w:rsidR="003A438E" w:rsidRPr="00E75964">
        <w:rPr>
          <w:rFonts w:ascii="Garamond" w:hAnsi="Garamond"/>
          <w:sz w:val="24"/>
          <w:szCs w:val="24"/>
        </w:rPr>
        <w:t>f</w:t>
      </w:r>
      <w:r w:rsidR="00D15875" w:rsidRPr="00E75964">
        <w:rPr>
          <w:rFonts w:ascii="Garamond" w:hAnsi="Garamond"/>
          <w:sz w:val="24"/>
          <w:szCs w:val="24"/>
        </w:rPr>
        <w:t>our</w:t>
      </w:r>
      <w:r w:rsidRPr="00E75964">
        <w:rPr>
          <w:rFonts w:ascii="Garamond" w:hAnsi="Garamond"/>
          <w:sz w:val="24"/>
          <w:szCs w:val="24"/>
        </w:rPr>
        <w:t xml:space="preserve"> of the mid-sized firms (deciles</w:t>
      </w:r>
      <w:r w:rsidR="005257D2" w:rsidRPr="00E75964">
        <w:rPr>
          <w:rFonts w:ascii="Garamond" w:hAnsi="Garamond"/>
          <w:sz w:val="24"/>
          <w:szCs w:val="24"/>
        </w:rPr>
        <w:t xml:space="preserve"> </w:t>
      </w:r>
      <w:r w:rsidR="003A438E" w:rsidRPr="00E75964">
        <w:rPr>
          <w:rFonts w:ascii="Garamond" w:hAnsi="Garamond"/>
          <w:sz w:val="24"/>
          <w:szCs w:val="24"/>
        </w:rPr>
        <w:t>3</w:t>
      </w:r>
      <w:r w:rsidR="005257D2" w:rsidRPr="00E75964">
        <w:rPr>
          <w:rFonts w:ascii="Garamond" w:hAnsi="Garamond"/>
          <w:sz w:val="24"/>
          <w:szCs w:val="24"/>
        </w:rPr>
        <w:t>,</w:t>
      </w:r>
      <w:r w:rsidRPr="00E75964">
        <w:rPr>
          <w:rFonts w:ascii="Garamond" w:hAnsi="Garamond"/>
          <w:sz w:val="24"/>
          <w:szCs w:val="24"/>
        </w:rPr>
        <w:t xml:space="preserve"> </w:t>
      </w:r>
      <w:r w:rsidR="003A438E" w:rsidRPr="00E75964">
        <w:rPr>
          <w:rFonts w:ascii="Garamond" w:hAnsi="Garamond"/>
          <w:sz w:val="24"/>
          <w:szCs w:val="24"/>
        </w:rPr>
        <w:t>4, 7</w:t>
      </w:r>
      <w:r w:rsidRPr="00E75964">
        <w:rPr>
          <w:rFonts w:ascii="Garamond" w:hAnsi="Garamond"/>
          <w:sz w:val="24"/>
          <w:szCs w:val="24"/>
        </w:rPr>
        <w:t xml:space="preserve"> and 8), but positive for the other deciles. </w:t>
      </w:r>
      <w:r w:rsidR="00251396" w:rsidRPr="00E75964">
        <w:rPr>
          <w:rFonts w:ascii="Garamond" w:hAnsi="Garamond"/>
          <w:sz w:val="24"/>
          <w:szCs w:val="24"/>
        </w:rPr>
        <w:t>Furthermore,</w:t>
      </w:r>
      <w:r w:rsidRPr="00E75964">
        <w:rPr>
          <w:rFonts w:ascii="Garamond" w:hAnsi="Garamond"/>
          <w:sz w:val="24"/>
          <w:szCs w:val="24"/>
        </w:rPr>
        <w:t xml:space="preserve"> the standard deviation for the smallest decile is highest on Sunday (</w:t>
      </w:r>
      <w:r w:rsidR="006B42E1" w:rsidRPr="00E75964">
        <w:rPr>
          <w:rFonts w:ascii="Garamond" w:hAnsi="Garamond"/>
          <w:sz w:val="24"/>
          <w:szCs w:val="24"/>
        </w:rPr>
        <w:t>2</w:t>
      </w:r>
      <w:r w:rsidR="005257D2" w:rsidRPr="00E75964">
        <w:rPr>
          <w:rFonts w:ascii="Garamond" w:hAnsi="Garamond"/>
          <w:sz w:val="24"/>
          <w:szCs w:val="24"/>
        </w:rPr>
        <w:t>.</w:t>
      </w:r>
      <w:r w:rsidR="009274F0" w:rsidRPr="00E75964">
        <w:rPr>
          <w:rFonts w:ascii="Garamond" w:hAnsi="Garamond"/>
          <w:sz w:val="24"/>
          <w:szCs w:val="24"/>
        </w:rPr>
        <w:t>3</w:t>
      </w:r>
      <w:r w:rsidR="005257D2" w:rsidRPr="00E75964">
        <w:rPr>
          <w:rFonts w:ascii="Garamond" w:hAnsi="Garamond"/>
          <w:sz w:val="24"/>
          <w:szCs w:val="24"/>
        </w:rPr>
        <w:t>1</w:t>
      </w:r>
      <w:r w:rsidRPr="00E75964">
        <w:rPr>
          <w:rFonts w:ascii="Garamond" w:hAnsi="Garamond"/>
          <w:sz w:val="24"/>
          <w:szCs w:val="24"/>
        </w:rPr>
        <w:t xml:space="preserve">%). The returns and standard deviation are also both statistically significant at the 1% level for this smallest decile. The negative mean returns and larger variance for small firms on Sunday </w:t>
      </w:r>
      <w:r w:rsidR="00AA1956" w:rsidRPr="00E75964">
        <w:rPr>
          <w:rFonts w:ascii="Garamond" w:hAnsi="Garamond"/>
          <w:sz w:val="24"/>
          <w:szCs w:val="24"/>
        </w:rPr>
        <w:t>are</w:t>
      </w:r>
      <w:r w:rsidRPr="00E75964">
        <w:rPr>
          <w:rFonts w:ascii="Garamond" w:hAnsi="Garamond"/>
          <w:sz w:val="24"/>
          <w:szCs w:val="24"/>
        </w:rPr>
        <w:t xml:space="preserve"> an indication of their importance in the weekend effect. </w:t>
      </w:r>
    </w:p>
    <w:p w14:paraId="39789549" w14:textId="0317CAB3"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lastRenderedPageBreak/>
        <w:t>For other weekdays, mean returns are negative for most of the deciles on T</w:t>
      </w:r>
      <w:r w:rsidR="005257D2" w:rsidRPr="00E75964">
        <w:rPr>
          <w:rFonts w:ascii="Garamond" w:hAnsi="Garamond"/>
          <w:sz w:val="24"/>
          <w:szCs w:val="24"/>
        </w:rPr>
        <w:t>hur</w:t>
      </w:r>
      <w:r w:rsidRPr="00E75964">
        <w:rPr>
          <w:rFonts w:ascii="Garamond" w:hAnsi="Garamond"/>
          <w:sz w:val="24"/>
          <w:szCs w:val="24"/>
        </w:rPr>
        <w:t xml:space="preserve">sday </w:t>
      </w:r>
      <w:r w:rsidR="00330D3E" w:rsidRPr="00E75964">
        <w:rPr>
          <w:rFonts w:ascii="Garamond" w:hAnsi="Garamond"/>
          <w:sz w:val="24"/>
          <w:szCs w:val="24"/>
        </w:rPr>
        <w:t>(</w:t>
      </w:r>
      <w:r w:rsidR="00E14B5B" w:rsidRPr="00E75964">
        <w:rPr>
          <w:rFonts w:ascii="Garamond" w:hAnsi="Garamond"/>
          <w:sz w:val="24"/>
          <w:szCs w:val="24"/>
        </w:rPr>
        <w:t>i.e.,</w:t>
      </w:r>
      <w:r w:rsidR="00330D3E" w:rsidRPr="00E75964">
        <w:rPr>
          <w:rFonts w:ascii="Garamond" w:hAnsi="Garamond"/>
          <w:sz w:val="24"/>
          <w:szCs w:val="24"/>
        </w:rPr>
        <w:t xml:space="preserve"> </w:t>
      </w:r>
      <w:r w:rsidR="005257D2" w:rsidRPr="00E75964">
        <w:rPr>
          <w:rFonts w:ascii="Garamond" w:hAnsi="Garamond"/>
          <w:sz w:val="24"/>
          <w:szCs w:val="24"/>
        </w:rPr>
        <w:t xml:space="preserve">decile 1 and </w:t>
      </w:r>
      <w:r w:rsidR="00330D3E" w:rsidRPr="00E75964">
        <w:rPr>
          <w:rFonts w:ascii="Garamond" w:hAnsi="Garamond"/>
          <w:sz w:val="24"/>
          <w:szCs w:val="24"/>
        </w:rPr>
        <w:t xml:space="preserve">from 3 through </w:t>
      </w:r>
      <w:r w:rsidR="00546BEF" w:rsidRPr="00E75964">
        <w:rPr>
          <w:rFonts w:ascii="Garamond" w:hAnsi="Garamond"/>
          <w:sz w:val="24"/>
          <w:szCs w:val="24"/>
        </w:rPr>
        <w:t xml:space="preserve">to </w:t>
      </w:r>
      <w:r w:rsidR="00B2497C" w:rsidRPr="00E75964">
        <w:rPr>
          <w:rFonts w:ascii="Garamond" w:hAnsi="Garamond"/>
          <w:sz w:val="24"/>
          <w:szCs w:val="24"/>
        </w:rPr>
        <w:t>7</w:t>
      </w:r>
      <w:r w:rsidR="00330D3E" w:rsidRPr="00E75964">
        <w:rPr>
          <w:rFonts w:ascii="Garamond" w:hAnsi="Garamond"/>
          <w:sz w:val="24"/>
          <w:szCs w:val="24"/>
        </w:rPr>
        <w:t xml:space="preserve">) </w:t>
      </w:r>
      <w:r w:rsidRPr="00E75964">
        <w:rPr>
          <w:rFonts w:ascii="Garamond" w:hAnsi="Garamond"/>
          <w:sz w:val="24"/>
          <w:szCs w:val="24"/>
        </w:rPr>
        <w:t xml:space="preserve">and </w:t>
      </w:r>
      <w:r w:rsidR="00745F0B" w:rsidRPr="00E75964">
        <w:rPr>
          <w:rFonts w:ascii="Garamond" w:hAnsi="Garamond"/>
          <w:sz w:val="24"/>
          <w:szCs w:val="24"/>
        </w:rPr>
        <w:t xml:space="preserve">four deciles of </w:t>
      </w:r>
      <w:r w:rsidRPr="00E75964">
        <w:rPr>
          <w:rFonts w:ascii="Garamond" w:hAnsi="Garamond"/>
          <w:sz w:val="24"/>
          <w:szCs w:val="24"/>
        </w:rPr>
        <w:t>T</w:t>
      </w:r>
      <w:r w:rsidR="00B2497C" w:rsidRPr="00E75964">
        <w:rPr>
          <w:rFonts w:ascii="Garamond" w:hAnsi="Garamond"/>
          <w:sz w:val="24"/>
          <w:szCs w:val="24"/>
        </w:rPr>
        <w:t>ues</w:t>
      </w:r>
      <w:r w:rsidRPr="00E75964">
        <w:rPr>
          <w:rFonts w:ascii="Garamond" w:hAnsi="Garamond"/>
          <w:sz w:val="24"/>
          <w:szCs w:val="24"/>
        </w:rPr>
        <w:t>day</w:t>
      </w:r>
      <w:r w:rsidR="00330D3E" w:rsidRPr="00E75964">
        <w:rPr>
          <w:rFonts w:ascii="Garamond" w:hAnsi="Garamond"/>
          <w:sz w:val="24"/>
          <w:szCs w:val="24"/>
        </w:rPr>
        <w:t xml:space="preserve"> (</w:t>
      </w:r>
      <w:r w:rsidR="00E14B5B" w:rsidRPr="00E75964">
        <w:rPr>
          <w:rFonts w:ascii="Garamond" w:hAnsi="Garamond"/>
          <w:sz w:val="24"/>
          <w:szCs w:val="24"/>
        </w:rPr>
        <w:t>i.e.,</w:t>
      </w:r>
      <w:r w:rsidR="00330D3E" w:rsidRPr="00E75964">
        <w:rPr>
          <w:rFonts w:ascii="Garamond" w:hAnsi="Garamond"/>
          <w:sz w:val="24"/>
          <w:szCs w:val="24"/>
        </w:rPr>
        <w:t xml:space="preserve"> </w:t>
      </w:r>
      <w:r w:rsidR="00B2497C" w:rsidRPr="00E75964">
        <w:rPr>
          <w:rFonts w:ascii="Garamond" w:hAnsi="Garamond"/>
          <w:sz w:val="24"/>
          <w:szCs w:val="24"/>
        </w:rPr>
        <w:t xml:space="preserve">decile 2, </w:t>
      </w:r>
      <w:r w:rsidR="00330D3E" w:rsidRPr="00E75964">
        <w:rPr>
          <w:rFonts w:ascii="Garamond" w:hAnsi="Garamond"/>
          <w:sz w:val="24"/>
          <w:szCs w:val="24"/>
        </w:rPr>
        <w:t>3</w:t>
      </w:r>
      <w:r w:rsidR="00745F0B" w:rsidRPr="00E75964">
        <w:rPr>
          <w:rFonts w:ascii="Garamond" w:hAnsi="Garamond"/>
          <w:sz w:val="24"/>
          <w:szCs w:val="24"/>
        </w:rPr>
        <w:t>, 5</w:t>
      </w:r>
      <w:r w:rsidR="00B2497C" w:rsidRPr="00E75964">
        <w:rPr>
          <w:rFonts w:ascii="Garamond" w:hAnsi="Garamond"/>
          <w:sz w:val="24"/>
          <w:szCs w:val="24"/>
        </w:rPr>
        <w:t xml:space="preserve"> and 9)</w:t>
      </w:r>
      <w:r w:rsidRPr="00E75964">
        <w:rPr>
          <w:rFonts w:ascii="Garamond" w:hAnsi="Garamond"/>
          <w:sz w:val="24"/>
          <w:szCs w:val="24"/>
        </w:rPr>
        <w:t xml:space="preserve">. Indeed, the returns pattern on Thursday </w:t>
      </w:r>
      <w:r w:rsidR="00B2497C" w:rsidRPr="00E75964">
        <w:rPr>
          <w:rFonts w:ascii="Garamond" w:hAnsi="Garamond"/>
          <w:sz w:val="24"/>
          <w:szCs w:val="24"/>
        </w:rPr>
        <w:t xml:space="preserve">and Sunday </w:t>
      </w:r>
      <w:r w:rsidRPr="00E75964">
        <w:rPr>
          <w:rFonts w:ascii="Garamond" w:hAnsi="Garamond"/>
          <w:sz w:val="24"/>
          <w:szCs w:val="24"/>
        </w:rPr>
        <w:t>strongly supports the information processing hypothesis. Th</w:t>
      </w:r>
      <w:r w:rsidR="00B2497C" w:rsidRPr="00E75964">
        <w:rPr>
          <w:rFonts w:ascii="Garamond" w:hAnsi="Garamond"/>
          <w:sz w:val="24"/>
          <w:szCs w:val="24"/>
        </w:rPr>
        <w:t>e</w:t>
      </w:r>
      <w:r w:rsidRPr="00E75964">
        <w:rPr>
          <w:rFonts w:ascii="Garamond" w:hAnsi="Garamond"/>
          <w:sz w:val="24"/>
          <w:szCs w:val="24"/>
        </w:rPr>
        <w:t xml:space="preserve"> hypothesis suggests that individuals will, in general, be more aggressive sellers of shares early in the trading week, particularly on Monday following declines in the market on the prior Friday (Abraham and Ikenberry, 1994). Hence a different returns pattern on Sunday may be following bad news released in the prior week, and this is particularly strong for smaller firms. </w:t>
      </w:r>
    </w:p>
    <w:p w14:paraId="79A03FA7" w14:textId="1398086F" w:rsidR="002B41F8" w:rsidRPr="00E75964" w:rsidRDefault="00CE65B6" w:rsidP="002B41F8">
      <w:pPr>
        <w:spacing w:line="360" w:lineRule="auto"/>
        <w:jc w:val="both"/>
        <w:rPr>
          <w:rFonts w:ascii="Garamond" w:hAnsi="Garamond"/>
          <w:sz w:val="24"/>
          <w:szCs w:val="24"/>
        </w:rPr>
      </w:pPr>
      <w:r w:rsidRPr="00E75964">
        <w:rPr>
          <w:rFonts w:ascii="Garamond" w:hAnsi="Garamond"/>
          <w:sz w:val="24"/>
          <w:szCs w:val="24"/>
        </w:rPr>
        <w:t xml:space="preserve">Surprisingly, on the other hand, the mean returns on </w:t>
      </w:r>
      <w:r w:rsidR="00C51504" w:rsidRPr="00E75964">
        <w:rPr>
          <w:rFonts w:ascii="Garamond" w:hAnsi="Garamond"/>
          <w:sz w:val="24"/>
          <w:szCs w:val="24"/>
        </w:rPr>
        <w:t xml:space="preserve">Monday and </w:t>
      </w:r>
      <w:r w:rsidRPr="00E75964">
        <w:rPr>
          <w:rFonts w:ascii="Garamond" w:hAnsi="Garamond"/>
          <w:sz w:val="24"/>
          <w:szCs w:val="24"/>
        </w:rPr>
        <w:t>Wednesday from the smallest to the largest portfolios are all positive and statistically significant except for deciles 1</w:t>
      </w:r>
      <w:r w:rsidR="00994BA8" w:rsidRPr="00E75964">
        <w:rPr>
          <w:rFonts w:ascii="Garamond" w:hAnsi="Garamond"/>
          <w:sz w:val="24"/>
          <w:szCs w:val="24"/>
        </w:rPr>
        <w:t xml:space="preserve"> and 4</w:t>
      </w:r>
      <w:r w:rsidR="00766FC0" w:rsidRPr="00E75964">
        <w:rPr>
          <w:rFonts w:ascii="Garamond" w:hAnsi="Garamond"/>
          <w:sz w:val="24"/>
          <w:szCs w:val="24"/>
        </w:rPr>
        <w:t xml:space="preserve"> of Monday</w:t>
      </w:r>
      <w:r w:rsidRPr="00E75964">
        <w:rPr>
          <w:rFonts w:ascii="Garamond" w:hAnsi="Garamond"/>
          <w:sz w:val="24"/>
          <w:szCs w:val="24"/>
        </w:rPr>
        <w:t xml:space="preserve"> and </w:t>
      </w:r>
      <w:r w:rsidR="00766FC0" w:rsidRPr="00E75964">
        <w:rPr>
          <w:rFonts w:ascii="Garamond" w:hAnsi="Garamond"/>
          <w:sz w:val="24"/>
          <w:szCs w:val="24"/>
        </w:rPr>
        <w:t xml:space="preserve">decile </w:t>
      </w:r>
      <w:r w:rsidR="00811E1B" w:rsidRPr="00E75964">
        <w:rPr>
          <w:rFonts w:ascii="Garamond" w:hAnsi="Garamond"/>
          <w:sz w:val="24"/>
          <w:szCs w:val="24"/>
        </w:rPr>
        <w:t>2</w:t>
      </w:r>
      <w:r w:rsidR="00766FC0" w:rsidRPr="00E75964">
        <w:rPr>
          <w:rFonts w:ascii="Garamond" w:hAnsi="Garamond"/>
          <w:sz w:val="24"/>
          <w:szCs w:val="24"/>
        </w:rPr>
        <w:t xml:space="preserve"> of Wednesday</w:t>
      </w:r>
      <w:r w:rsidRPr="00E75964">
        <w:rPr>
          <w:rFonts w:ascii="Garamond" w:hAnsi="Garamond"/>
          <w:sz w:val="24"/>
          <w:szCs w:val="24"/>
        </w:rPr>
        <w:t xml:space="preserve">, which are </w:t>
      </w:r>
      <w:r w:rsidR="00766FC0" w:rsidRPr="00E75964">
        <w:rPr>
          <w:rFonts w:ascii="Garamond" w:hAnsi="Garamond"/>
          <w:sz w:val="24"/>
          <w:szCs w:val="24"/>
        </w:rPr>
        <w:t>negative</w:t>
      </w:r>
      <w:r w:rsidRPr="00E75964">
        <w:rPr>
          <w:rFonts w:ascii="Garamond" w:hAnsi="Garamond"/>
          <w:sz w:val="24"/>
          <w:szCs w:val="24"/>
        </w:rPr>
        <w:t xml:space="preserve"> but not significant. </w:t>
      </w:r>
      <w:r w:rsidR="00665653" w:rsidRPr="00E75964">
        <w:rPr>
          <w:rFonts w:ascii="Garamond" w:hAnsi="Garamond" w:cs="Garamond"/>
          <w:sz w:val="24"/>
          <w:szCs w:val="24"/>
        </w:rPr>
        <w:t xml:space="preserve">The positive returns on Wednesday might indicate a possible ‘reverse mid-week effect’ on the DSE regardless of the size of the firms. </w:t>
      </w:r>
      <w:r w:rsidR="00665653" w:rsidRPr="00E75964">
        <w:rPr>
          <w:rFonts w:ascii="Garamond" w:hAnsi="Garamond" w:cs="Times New Roman"/>
          <w:sz w:val="24"/>
          <w:szCs w:val="24"/>
        </w:rPr>
        <w:t xml:space="preserve">However, Wednesday is </w:t>
      </w:r>
      <w:r w:rsidR="00994BA8" w:rsidRPr="00E75964">
        <w:rPr>
          <w:rFonts w:ascii="Garamond" w:hAnsi="Garamond" w:cs="Times New Roman"/>
          <w:sz w:val="24"/>
          <w:szCs w:val="24"/>
        </w:rPr>
        <w:t xml:space="preserve">only statistically significant in </w:t>
      </w:r>
      <w:r w:rsidR="00546BEF" w:rsidRPr="00E75964">
        <w:rPr>
          <w:rFonts w:ascii="Garamond" w:hAnsi="Garamond" w:cs="Times New Roman"/>
          <w:sz w:val="24"/>
          <w:szCs w:val="24"/>
        </w:rPr>
        <w:t xml:space="preserve">the </w:t>
      </w:r>
      <w:r w:rsidR="00994BA8" w:rsidRPr="00E75964">
        <w:rPr>
          <w:rFonts w:ascii="Garamond" w:hAnsi="Garamond" w:cs="Times New Roman"/>
          <w:sz w:val="24"/>
          <w:szCs w:val="24"/>
        </w:rPr>
        <w:t xml:space="preserve">GJR-GARCH model </w:t>
      </w:r>
      <w:r w:rsidR="00546BEF" w:rsidRPr="00E75964">
        <w:rPr>
          <w:rFonts w:ascii="Garamond" w:hAnsi="Garamond" w:cs="Times New Roman"/>
          <w:sz w:val="24"/>
          <w:szCs w:val="24"/>
        </w:rPr>
        <w:t xml:space="preserve">and is </w:t>
      </w:r>
      <w:r w:rsidR="00665653" w:rsidRPr="00E75964">
        <w:rPr>
          <w:rFonts w:ascii="Garamond" w:hAnsi="Garamond" w:cs="Times New Roman"/>
          <w:sz w:val="24"/>
          <w:szCs w:val="24"/>
        </w:rPr>
        <w:t xml:space="preserve">not significant in our OLS and </w:t>
      </w:r>
      <w:r w:rsidR="00994BA8" w:rsidRPr="00E75964">
        <w:rPr>
          <w:rFonts w:ascii="Garamond" w:hAnsi="Garamond" w:cs="Times New Roman"/>
          <w:sz w:val="24"/>
          <w:szCs w:val="24"/>
        </w:rPr>
        <w:t>modified T</w:t>
      </w:r>
      <w:r w:rsidR="00665653" w:rsidRPr="00E75964">
        <w:rPr>
          <w:rFonts w:ascii="Garamond" w:hAnsi="Garamond" w:cs="Times New Roman"/>
          <w:sz w:val="24"/>
          <w:szCs w:val="24"/>
        </w:rPr>
        <w:t xml:space="preserve">GARCH models, as reported in Table </w:t>
      </w:r>
      <w:r w:rsidR="00412D9C" w:rsidRPr="00E75964">
        <w:rPr>
          <w:rFonts w:ascii="Garamond" w:hAnsi="Garamond" w:cs="Times New Roman"/>
          <w:sz w:val="24"/>
          <w:szCs w:val="24"/>
        </w:rPr>
        <w:t>3</w:t>
      </w:r>
      <w:r w:rsidRPr="00E75964">
        <w:rPr>
          <w:rFonts w:ascii="Garamond" w:hAnsi="Garamond"/>
          <w:sz w:val="24"/>
          <w:szCs w:val="24"/>
        </w:rPr>
        <w:t>. For the US equity market, Brusa et al. (2000 and 2005) find a “reverse weekend effect” on Monday, particularly for large firms. They report mean returns being negative for smaller firms on Sunday but significantly positive for larger firms. However, on the DSE equity returns on Wednesday are positive across all sizes of firms</w:t>
      </w:r>
      <w:r w:rsidR="003D576F" w:rsidRPr="00E75964">
        <w:rPr>
          <w:rFonts w:ascii="Garamond" w:hAnsi="Garamond"/>
          <w:sz w:val="24"/>
          <w:szCs w:val="24"/>
        </w:rPr>
        <w:t xml:space="preserve"> except the </w:t>
      </w:r>
      <w:r w:rsidR="00811E1B" w:rsidRPr="00E75964">
        <w:rPr>
          <w:rFonts w:ascii="Garamond" w:hAnsi="Garamond"/>
          <w:sz w:val="24"/>
          <w:szCs w:val="24"/>
        </w:rPr>
        <w:t xml:space="preserve">second </w:t>
      </w:r>
      <w:r w:rsidR="003D576F" w:rsidRPr="00E75964">
        <w:rPr>
          <w:rFonts w:ascii="Garamond" w:hAnsi="Garamond"/>
          <w:sz w:val="24"/>
          <w:szCs w:val="24"/>
        </w:rPr>
        <w:t>smallest decile</w:t>
      </w:r>
      <w:r w:rsidRPr="00E75964">
        <w:rPr>
          <w:rFonts w:ascii="Garamond" w:hAnsi="Garamond"/>
          <w:sz w:val="24"/>
          <w:szCs w:val="24"/>
        </w:rPr>
        <w:t xml:space="preserve">. </w:t>
      </w:r>
      <w:r w:rsidR="001676A1" w:rsidRPr="00E75964">
        <w:rPr>
          <w:rFonts w:ascii="Garamond" w:hAnsi="Garamond"/>
          <w:sz w:val="24"/>
          <w:szCs w:val="24"/>
        </w:rPr>
        <w:t>Hence, the market shows sign</w:t>
      </w:r>
      <w:r w:rsidR="00455FCD">
        <w:rPr>
          <w:rFonts w:ascii="Garamond" w:hAnsi="Garamond"/>
          <w:sz w:val="24"/>
          <w:szCs w:val="24"/>
        </w:rPr>
        <w:t>s</w:t>
      </w:r>
      <w:r w:rsidR="001676A1" w:rsidRPr="00E75964">
        <w:rPr>
          <w:rFonts w:ascii="Garamond" w:hAnsi="Garamond"/>
          <w:sz w:val="24"/>
          <w:szCs w:val="24"/>
        </w:rPr>
        <w:t xml:space="preserve"> of </w:t>
      </w:r>
      <w:r w:rsidR="00455FCD">
        <w:rPr>
          <w:rFonts w:ascii="Garamond" w:hAnsi="Garamond"/>
          <w:sz w:val="24"/>
          <w:szCs w:val="24"/>
        </w:rPr>
        <w:t xml:space="preserve">a </w:t>
      </w:r>
      <w:r w:rsidRPr="00E75964">
        <w:rPr>
          <w:rFonts w:ascii="Garamond" w:hAnsi="Garamond"/>
          <w:sz w:val="24"/>
          <w:szCs w:val="24"/>
        </w:rPr>
        <w:t>“reverse mid-week effect”</w:t>
      </w:r>
      <w:r w:rsidR="001676A1" w:rsidRPr="00E75964">
        <w:rPr>
          <w:rFonts w:ascii="Garamond" w:hAnsi="Garamond"/>
          <w:sz w:val="24"/>
          <w:szCs w:val="24"/>
        </w:rPr>
        <w:t>, which could be</w:t>
      </w:r>
      <w:r w:rsidRPr="00E75964">
        <w:rPr>
          <w:rFonts w:ascii="Garamond" w:hAnsi="Garamond"/>
          <w:sz w:val="24"/>
          <w:szCs w:val="24"/>
        </w:rPr>
        <w:t xml:space="preserve"> </w:t>
      </w:r>
      <w:r w:rsidR="002B41F8" w:rsidRPr="00E75964">
        <w:rPr>
          <w:rFonts w:ascii="Garamond" w:hAnsi="Garamond"/>
          <w:sz w:val="24"/>
          <w:szCs w:val="24"/>
        </w:rPr>
        <w:t>due</w:t>
      </w:r>
      <w:r w:rsidRPr="00E75964">
        <w:rPr>
          <w:rFonts w:ascii="Garamond" w:hAnsi="Garamond"/>
          <w:sz w:val="24"/>
          <w:szCs w:val="24"/>
        </w:rPr>
        <w:t xml:space="preserve"> to the trading volume. </w:t>
      </w:r>
      <w:r w:rsidR="001676A1" w:rsidRPr="00E75964">
        <w:rPr>
          <w:rFonts w:ascii="Garamond" w:hAnsi="Garamond"/>
          <w:sz w:val="24"/>
          <w:szCs w:val="24"/>
        </w:rPr>
        <w:t xml:space="preserve">We, therefore, </w:t>
      </w:r>
      <w:r w:rsidR="00412D9C" w:rsidRPr="00E75964">
        <w:rPr>
          <w:rFonts w:ascii="Garamond" w:hAnsi="Garamond"/>
          <w:sz w:val="24"/>
          <w:szCs w:val="24"/>
        </w:rPr>
        <w:t xml:space="preserve">report the </w:t>
      </w:r>
      <w:r w:rsidR="00994BA8" w:rsidRPr="00E75964">
        <w:rPr>
          <w:rFonts w:ascii="Garamond" w:hAnsi="Garamond"/>
          <w:sz w:val="24"/>
          <w:szCs w:val="24"/>
        </w:rPr>
        <w:t>median</w:t>
      </w:r>
      <w:r w:rsidRPr="00E75964">
        <w:rPr>
          <w:rFonts w:ascii="Garamond" w:hAnsi="Garamond"/>
          <w:sz w:val="24"/>
          <w:szCs w:val="24"/>
        </w:rPr>
        <w:t xml:space="preserve"> trading volume</w:t>
      </w:r>
      <w:r w:rsidR="00412D9C" w:rsidRPr="00E75964">
        <w:rPr>
          <w:rFonts w:ascii="Garamond" w:hAnsi="Garamond"/>
          <w:sz w:val="24"/>
          <w:szCs w:val="24"/>
        </w:rPr>
        <w:t xml:space="preserve"> of DSE </w:t>
      </w:r>
      <w:r w:rsidR="001676A1" w:rsidRPr="00E75964">
        <w:rPr>
          <w:rFonts w:ascii="Garamond" w:hAnsi="Garamond"/>
          <w:sz w:val="24"/>
          <w:szCs w:val="24"/>
        </w:rPr>
        <w:t xml:space="preserve">in Figure 3, </w:t>
      </w:r>
      <w:r w:rsidR="00412D9C" w:rsidRPr="00E75964">
        <w:rPr>
          <w:rFonts w:ascii="Garamond" w:hAnsi="Garamond"/>
          <w:sz w:val="24"/>
          <w:szCs w:val="24"/>
        </w:rPr>
        <w:t>and it shows that the median number of trade</w:t>
      </w:r>
      <w:r w:rsidR="001676A1" w:rsidRPr="00E75964">
        <w:rPr>
          <w:rFonts w:ascii="Garamond" w:hAnsi="Garamond"/>
          <w:sz w:val="24"/>
          <w:szCs w:val="24"/>
        </w:rPr>
        <w:t>s</w:t>
      </w:r>
      <w:r w:rsidRPr="00E75964">
        <w:rPr>
          <w:rFonts w:ascii="Garamond" w:hAnsi="Garamond"/>
          <w:sz w:val="24"/>
          <w:szCs w:val="24"/>
        </w:rPr>
        <w:t xml:space="preserve"> is highest on Wednesday</w:t>
      </w:r>
      <w:r w:rsidR="002B41F8" w:rsidRPr="00E75964">
        <w:rPr>
          <w:rFonts w:ascii="Garamond" w:hAnsi="Garamond"/>
          <w:sz w:val="24"/>
          <w:szCs w:val="24"/>
        </w:rPr>
        <w:t xml:space="preserve"> as expected</w:t>
      </w:r>
      <w:r w:rsidRPr="00E75964">
        <w:rPr>
          <w:rFonts w:ascii="Garamond" w:hAnsi="Garamond"/>
          <w:sz w:val="24"/>
          <w:szCs w:val="24"/>
        </w:rPr>
        <w:t xml:space="preserve">. </w:t>
      </w:r>
      <w:r w:rsidR="001676A1" w:rsidRPr="00E75964">
        <w:rPr>
          <w:rFonts w:ascii="Garamond" w:hAnsi="Garamond"/>
          <w:sz w:val="24"/>
          <w:szCs w:val="24"/>
        </w:rPr>
        <w:t>Consequently</w:t>
      </w:r>
      <w:r w:rsidR="00412D9C" w:rsidRPr="00E75964">
        <w:rPr>
          <w:rFonts w:ascii="Garamond" w:hAnsi="Garamond"/>
          <w:sz w:val="24"/>
          <w:szCs w:val="24"/>
        </w:rPr>
        <w:t>, the DSE display</w:t>
      </w:r>
      <w:r w:rsidR="001676A1" w:rsidRPr="00E75964">
        <w:rPr>
          <w:rFonts w:ascii="Garamond" w:hAnsi="Garamond"/>
          <w:sz w:val="24"/>
          <w:szCs w:val="24"/>
        </w:rPr>
        <w:t>s</w:t>
      </w:r>
      <w:r w:rsidR="00412D9C" w:rsidRPr="00E75964">
        <w:rPr>
          <w:rFonts w:ascii="Garamond" w:hAnsi="Garamond"/>
          <w:sz w:val="24"/>
          <w:szCs w:val="24"/>
        </w:rPr>
        <w:t xml:space="preserve"> a tendency of “mid-week effect” like many other markets. For example, in their paper Chordia et al. (2001) documented t</w:t>
      </w:r>
      <w:r w:rsidRPr="00E75964">
        <w:rPr>
          <w:rFonts w:ascii="Garamond" w:hAnsi="Garamond"/>
          <w:sz w:val="24"/>
          <w:szCs w:val="24"/>
        </w:rPr>
        <w:t xml:space="preserve">his </w:t>
      </w:r>
      <w:r w:rsidR="00412D9C" w:rsidRPr="00E75964">
        <w:rPr>
          <w:rFonts w:ascii="Garamond" w:hAnsi="Garamond"/>
          <w:sz w:val="24"/>
          <w:szCs w:val="24"/>
        </w:rPr>
        <w:t xml:space="preserve">kind </w:t>
      </w:r>
      <w:r w:rsidR="00455FCD">
        <w:rPr>
          <w:rFonts w:ascii="Garamond" w:hAnsi="Garamond"/>
          <w:sz w:val="24"/>
          <w:szCs w:val="24"/>
        </w:rPr>
        <w:t xml:space="preserve">of </w:t>
      </w:r>
      <w:r w:rsidR="00412D9C" w:rsidRPr="00E75964">
        <w:rPr>
          <w:rFonts w:ascii="Garamond" w:hAnsi="Garamond"/>
          <w:sz w:val="24"/>
          <w:szCs w:val="24"/>
        </w:rPr>
        <w:t xml:space="preserve">market </w:t>
      </w:r>
      <w:r w:rsidR="001676A1" w:rsidRPr="00E75964">
        <w:rPr>
          <w:rFonts w:ascii="Garamond" w:hAnsi="Garamond"/>
          <w:sz w:val="24"/>
          <w:szCs w:val="24"/>
        </w:rPr>
        <w:t>characteristic and</w:t>
      </w:r>
      <w:r w:rsidR="00412D9C" w:rsidRPr="00E75964">
        <w:rPr>
          <w:rFonts w:ascii="Garamond" w:hAnsi="Garamond"/>
          <w:sz w:val="24"/>
          <w:szCs w:val="24"/>
        </w:rPr>
        <w:t xml:space="preserve"> suggest</w:t>
      </w:r>
      <w:r w:rsidR="002B41F8" w:rsidRPr="00E75964">
        <w:rPr>
          <w:rFonts w:ascii="Garamond" w:hAnsi="Garamond"/>
          <w:sz w:val="24"/>
          <w:szCs w:val="24"/>
        </w:rPr>
        <w:t>ed</w:t>
      </w:r>
      <w:r w:rsidR="00412D9C" w:rsidRPr="00E75964">
        <w:rPr>
          <w:rFonts w:ascii="Garamond" w:hAnsi="Garamond"/>
          <w:sz w:val="24"/>
          <w:szCs w:val="24"/>
        </w:rPr>
        <w:t xml:space="preserve"> </w:t>
      </w:r>
      <w:r w:rsidRPr="00E75964">
        <w:rPr>
          <w:rFonts w:ascii="Garamond" w:hAnsi="Garamond"/>
          <w:sz w:val="24"/>
          <w:szCs w:val="24"/>
        </w:rPr>
        <w:t xml:space="preserve">that trading activity </w:t>
      </w:r>
      <w:r w:rsidR="00412D9C" w:rsidRPr="00E75964">
        <w:rPr>
          <w:rFonts w:ascii="Garamond" w:hAnsi="Garamond"/>
          <w:sz w:val="24"/>
          <w:szCs w:val="24"/>
        </w:rPr>
        <w:t xml:space="preserve">could </w:t>
      </w:r>
      <w:r w:rsidRPr="00E75964">
        <w:rPr>
          <w:rFonts w:ascii="Garamond" w:hAnsi="Garamond"/>
          <w:sz w:val="24"/>
          <w:szCs w:val="24"/>
        </w:rPr>
        <w:t xml:space="preserve">be higher in </w:t>
      </w:r>
      <w:r w:rsidR="00994BA8" w:rsidRPr="00E75964">
        <w:rPr>
          <w:rFonts w:ascii="Garamond" w:hAnsi="Garamond"/>
          <w:sz w:val="24"/>
          <w:szCs w:val="24"/>
        </w:rPr>
        <w:t xml:space="preserve">the </w:t>
      </w:r>
      <w:r w:rsidRPr="00E75964">
        <w:rPr>
          <w:rFonts w:ascii="Garamond" w:hAnsi="Garamond"/>
          <w:sz w:val="24"/>
          <w:szCs w:val="24"/>
        </w:rPr>
        <w:t>mid</w:t>
      </w:r>
      <w:r w:rsidR="00994BA8" w:rsidRPr="00E75964">
        <w:rPr>
          <w:rFonts w:ascii="Garamond" w:hAnsi="Garamond"/>
          <w:sz w:val="24"/>
          <w:szCs w:val="24"/>
        </w:rPr>
        <w:t xml:space="preserve">dle of the </w:t>
      </w:r>
      <w:r w:rsidRPr="00E75964">
        <w:rPr>
          <w:rFonts w:ascii="Garamond" w:hAnsi="Garamond"/>
          <w:sz w:val="24"/>
          <w:szCs w:val="24"/>
        </w:rPr>
        <w:t>week</w:t>
      </w:r>
      <w:r w:rsidR="00412D9C" w:rsidRPr="00E75964">
        <w:rPr>
          <w:rFonts w:ascii="Garamond" w:hAnsi="Garamond"/>
          <w:sz w:val="24"/>
          <w:szCs w:val="24"/>
        </w:rPr>
        <w:t xml:space="preserve"> and </w:t>
      </w:r>
      <w:r w:rsidR="00455FCD">
        <w:rPr>
          <w:rFonts w:ascii="Garamond" w:hAnsi="Garamond"/>
          <w:sz w:val="24"/>
          <w:szCs w:val="24"/>
        </w:rPr>
        <w:t xml:space="preserve">the </w:t>
      </w:r>
      <w:r w:rsidR="00412D9C" w:rsidRPr="00E75964">
        <w:rPr>
          <w:rFonts w:ascii="Garamond" w:hAnsi="Garamond"/>
          <w:sz w:val="24"/>
          <w:szCs w:val="24"/>
        </w:rPr>
        <w:t>market might show</w:t>
      </w:r>
      <w:r w:rsidR="00455FCD">
        <w:rPr>
          <w:rFonts w:ascii="Garamond" w:hAnsi="Garamond"/>
          <w:sz w:val="24"/>
          <w:szCs w:val="24"/>
        </w:rPr>
        <w:t xml:space="preserve"> a</w:t>
      </w:r>
      <w:r w:rsidR="00412D9C" w:rsidRPr="00E75964">
        <w:rPr>
          <w:rFonts w:ascii="Garamond" w:hAnsi="Garamond"/>
          <w:sz w:val="24"/>
          <w:szCs w:val="24"/>
        </w:rPr>
        <w:t xml:space="preserve"> “reverse mid-week effect”</w:t>
      </w:r>
      <w:r w:rsidRPr="00E75964">
        <w:rPr>
          <w:rFonts w:ascii="Garamond" w:hAnsi="Garamond"/>
          <w:sz w:val="24"/>
          <w:szCs w:val="24"/>
        </w:rPr>
        <w:t>.</w:t>
      </w:r>
    </w:p>
    <w:p w14:paraId="45969D44" w14:textId="77777777" w:rsidR="002B41F8" w:rsidRPr="00E75964" w:rsidRDefault="002B41F8">
      <w:pPr>
        <w:rPr>
          <w:rFonts w:ascii="Garamond" w:hAnsi="Garamond" w:cs="Arial"/>
          <w:b/>
          <w:sz w:val="24"/>
          <w:szCs w:val="24"/>
        </w:rPr>
      </w:pPr>
      <w:r w:rsidRPr="00E75964">
        <w:rPr>
          <w:rFonts w:ascii="Garamond" w:hAnsi="Garamond" w:cs="Arial"/>
          <w:b/>
          <w:sz w:val="24"/>
          <w:szCs w:val="24"/>
        </w:rPr>
        <w:br w:type="page"/>
      </w:r>
    </w:p>
    <w:p w14:paraId="354DA222" w14:textId="77777777" w:rsidR="00B95820" w:rsidRDefault="00412D9C" w:rsidP="00B95820">
      <w:pPr>
        <w:spacing w:after="0" w:line="360" w:lineRule="auto"/>
        <w:rPr>
          <w:rFonts w:ascii="Garamond" w:hAnsi="Garamond" w:cs="Arial"/>
          <w:b/>
          <w:sz w:val="24"/>
          <w:szCs w:val="24"/>
        </w:rPr>
      </w:pPr>
      <w:r w:rsidRPr="00E75964">
        <w:rPr>
          <w:rFonts w:ascii="Garamond" w:hAnsi="Garamond" w:cs="Arial"/>
          <w:b/>
          <w:sz w:val="24"/>
          <w:szCs w:val="24"/>
        </w:rPr>
        <w:lastRenderedPageBreak/>
        <w:t>Figure</w:t>
      </w:r>
      <w:r w:rsidR="00CE65B6" w:rsidRPr="00E75964">
        <w:rPr>
          <w:rFonts w:ascii="Garamond" w:hAnsi="Garamond" w:cs="Arial"/>
          <w:b/>
          <w:sz w:val="24"/>
          <w:szCs w:val="24"/>
        </w:rPr>
        <w:t xml:space="preserve"> </w:t>
      </w:r>
      <w:r w:rsidRPr="00E75964">
        <w:rPr>
          <w:rFonts w:ascii="Garamond" w:hAnsi="Garamond" w:cs="Arial"/>
          <w:b/>
          <w:sz w:val="24"/>
          <w:szCs w:val="24"/>
        </w:rPr>
        <w:t>3</w:t>
      </w:r>
    </w:p>
    <w:p w14:paraId="4B26DD11" w14:textId="7742854F" w:rsidR="00CE65B6" w:rsidRPr="00B95820" w:rsidRDefault="00546BEF" w:rsidP="00B95820">
      <w:pPr>
        <w:spacing w:after="0" w:line="360" w:lineRule="auto"/>
        <w:rPr>
          <w:rFonts w:ascii="Garamond" w:hAnsi="Garamond" w:cs="Arial"/>
          <w:sz w:val="24"/>
          <w:szCs w:val="24"/>
        </w:rPr>
      </w:pPr>
      <w:r w:rsidRPr="00B95820">
        <w:rPr>
          <w:rFonts w:ascii="Garamond" w:hAnsi="Garamond" w:cs="Arial"/>
          <w:sz w:val="24"/>
          <w:szCs w:val="24"/>
        </w:rPr>
        <w:t xml:space="preserve">Median </w:t>
      </w:r>
      <w:r w:rsidR="00B95820" w:rsidRPr="00B95820">
        <w:rPr>
          <w:rFonts w:ascii="Garamond" w:hAnsi="Garamond" w:cs="Arial"/>
          <w:sz w:val="24"/>
          <w:szCs w:val="24"/>
        </w:rPr>
        <w:t>d</w:t>
      </w:r>
      <w:r w:rsidR="00CE65B6" w:rsidRPr="00B95820">
        <w:rPr>
          <w:rFonts w:ascii="Garamond" w:hAnsi="Garamond" w:cs="Arial"/>
          <w:sz w:val="24"/>
          <w:szCs w:val="24"/>
        </w:rPr>
        <w:t xml:space="preserve">aily </w:t>
      </w:r>
      <w:r w:rsidR="00B95820" w:rsidRPr="00B95820">
        <w:rPr>
          <w:rFonts w:ascii="Garamond" w:hAnsi="Garamond" w:cs="Arial"/>
          <w:sz w:val="24"/>
          <w:szCs w:val="24"/>
        </w:rPr>
        <w:t>t</w:t>
      </w:r>
      <w:r w:rsidR="00CE65B6" w:rsidRPr="00B95820">
        <w:rPr>
          <w:rFonts w:ascii="Garamond" w:hAnsi="Garamond" w:cs="Arial"/>
          <w:sz w:val="24"/>
          <w:szCs w:val="24"/>
        </w:rPr>
        <w:t xml:space="preserve">rading </w:t>
      </w:r>
      <w:r w:rsidR="00B95820" w:rsidRPr="00B95820">
        <w:rPr>
          <w:rFonts w:ascii="Garamond" w:hAnsi="Garamond" w:cs="Arial"/>
          <w:sz w:val="24"/>
          <w:szCs w:val="24"/>
        </w:rPr>
        <w:t>v</w:t>
      </w:r>
      <w:r w:rsidR="00CE65B6" w:rsidRPr="00B95820">
        <w:rPr>
          <w:rFonts w:ascii="Garamond" w:hAnsi="Garamond" w:cs="Arial"/>
          <w:sz w:val="24"/>
          <w:szCs w:val="24"/>
        </w:rPr>
        <w:t>olume on the DSE</w:t>
      </w:r>
      <w:r w:rsidR="00B95820">
        <w:rPr>
          <w:rFonts w:ascii="Garamond" w:hAnsi="Garamond" w:cs="Arial"/>
          <w:sz w:val="24"/>
          <w:szCs w:val="24"/>
        </w:rPr>
        <w:t>.</w:t>
      </w:r>
    </w:p>
    <w:p w14:paraId="522B8D9B" w14:textId="36F5C2A9" w:rsidR="00CE65B6" w:rsidRPr="00E75964" w:rsidRDefault="00AB40C8" w:rsidP="00AB40C8">
      <w:pPr>
        <w:spacing w:line="360" w:lineRule="auto"/>
        <w:jc w:val="center"/>
        <w:rPr>
          <w:rFonts w:ascii="Garamond" w:hAnsi="Garamond"/>
        </w:rPr>
      </w:pPr>
      <w:r w:rsidRPr="00E75964">
        <w:rPr>
          <w:noProof/>
        </w:rPr>
        <w:drawing>
          <wp:inline distT="0" distB="0" distL="0" distR="0" wp14:anchorId="1B7FF0D5" wp14:editId="43C9FCD8">
            <wp:extent cx="4572000" cy="2743200"/>
            <wp:effectExtent l="0" t="0" r="0" b="0"/>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1DB46732-ED67-4DCB-9307-DC9B3767AC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E4571C" w14:textId="781333A7"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To further examine the extent to which firm size is related to the weekend effect, we categorize our observed firms into three sub-portfolios based on the smallest 20%, mid-sized 60% and largest 20%. We then apply a time-varying conditional variance model to assess the significance of each portfolio on Sunday returns and volatility. The first half of Table </w:t>
      </w:r>
      <w:r w:rsidR="002B41F8" w:rsidRPr="00E75964">
        <w:rPr>
          <w:rFonts w:ascii="Garamond" w:hAnsi="Garamond"/>
          <w:sz w:val="24"/>
          <w:szCs w:val="24"/>
        </w:rPr>
        <w:t>5</w:t>
      </w:r>
      <w:r w:rsidRPr="00E75964">
        <w:rPr>
          <w:rFonts w:ascii="Garamond" w:hAnsi="Garamond"/>
          <w:sz w:val="24"/>
          <w:szCs w:val="24"/>
        </w:rPr>
        <w:t xml:space="preserve"> summarizes the mean returns and standard deviation for these sub-portfolios. </w:t>
      </w:r>
    </w:p>
    <w:p w14:paraId="4770571F" w14:textId="77777777" w:rsidR="00B95820" w:rsidRDefault="00CE65B6" w:rsidP="00B95820">
      <w:pPr>
        <w:spacing w:line="240" w:lineRule="auto"/>
        <w:contextualSpacing/>
        <w:rPr>
          <w:rFonts w:ascii="Garamond" w:hAnsi="Garamond"/>
          <w:b/>
          <w:sz w:val="24"/>
          <w:szCs w:val="24"/>
        </w:rPr>
      </w:pPr>
      <w:r w:rsidRPr="00E75964">
        <w:rPr>
          <w:rFonts w:ascii="Garamond" w:hAnsi="Garamond"/>
          <w:b/>
          <w:sz w:val="24"/>
          <w:szCs w:val="24"/>
        </w:rPr>
        <w:t xml:space="preserve">Table </w:t>
      </w:r>
      <w:r w:rsidR="002B41F8" w:rsidRPr="00E75964">
        <w:rPr>
          <w:rFonts w:ascii="Garamond" w:hAnsi="Garamond"/>
          <w:b/>
          <w:sz w:val="24"/>
          <w:szCs w:val="24"/>
        </w:rPr>
        <w:t>5</w:t>
      </w:r>
    </w:p>
    <w:p w14:paraId="62E2F82E" w14:textId="7281C445" w:rsidR="00CE65B6" w:rsidRPr="00B95820" w:rsidRDefault="00CE65B6" w:rsidP="00B95820">
      <w:pPr>
        <w:spacing w:line="240" w:lineRule="auto"/>
        <w:contextualSpacing/>
        <w:rPr>
          <w:rFonts w:ascii="Garamond" w:hAnsi="Garamond"/>
          <w:sz w:val="24"/>
          <w:szCs w:val="24"/>
        </w:rPr>
      </w:pPr>
      <w:r w:rsidRPr="00B95820">
        <w:rPr>
          <w:rFonts w:ascii="Garamond" w:hAnsi="Garamond"/>
          <w:sz w:val="24"/>
          <w:szCs w:val="24"/>
        </w:rPr>
        <w:t xml:space="preserve">DSE </w:t>
      </w:r>
      <w:r w:rsidR="00B95820">
        <w:rPr>
          <w:rFonts w:ascii="Garamond" w:hAnsi="Garamond"/>
          <w:sz w:val="24"/>
          <w:szCs w:val="24"/>
        </w:rPr>
        <w:t>m</w:t>
      </w:r>
      <w:r w:rsidRPr="00B95820">
        <w:rPr>
          <w:rFonts w:ascii="Garamond" w:hAnsi="Garamond"/>
          <w:sz w:val="24"/>
          <w:szCs w:val="24"/>
        </w:rPr>
        <w:t xml:space="preserve">ean </w:t>
      </w:r>
      <w:r w:rsidR="00B95820">
        <w:rPr>
          <w:rFonts w:ascii="Garamond" w:hAnsi="Garamond"/>
          <w:sz w:val="24"/>
          <w:szCs w:val="24"/>
        </w:rPr>
        <w:t>r</w:t>
      </w:r>
      <w:r w:rsidRPr="00B95820">
        <w:rPr>
          <w:rFonts w:ascii="Garamond" w:hAnsi="Garamond"/>
          <w:sz w:val="24"/>
          <w:szCs w:val="24"/>
        </w:rPr>
        <w:t xml:space="preserve">eturns and </w:t>
      </w:r>
      <w:r w:rsidR="00B95820">
        <w:rPr>
          <w:rFonts w:ascii="Garamond" w:hAnsi="Garamond"/>
          <w:sz w:val="24"/>
          <w:szCs w:val="24"/>
        </w:rPr>
        <w:t>s</w:t>
      </w:r>
      <w:r w:rsidRPr="00B95820">
        <w:rPr>
          <w:rFonts w:ascii="Garamond" w:hAnsi="Garamond"/>
          <w:sz w:val="24"/>
          <w:szCs w:val="24"/>
        </w:rPr>
        <w:t xml:space="preserve">tandard </w:t>
      </w:r>
      <w:r w:rsidR="00B95820">
        <w:rPr>
          <w:rFonts w:ascii="Garamond" w:hAnsi="Garamond"/>
          <w:sz w:val="24"/>
          <w:szCs w:val="24"/>
        </w:rPr>
        <w:t>d</w:t>
      </w:r>
      <w:r w:rsidRPr="00B95820">
        <w:rPr>
          <w:rFonts w:ascii="Garamond" w:hAnsi="Garamond"/>
          <w:sz w:val="24"/>
          <w:szCs w:val="24"/>
        </w:rPr>
        <w:t xml:space="preserve">eviations for </w:t>
      </w:r>
      <w:r w:rsidR="00B95820">
        <w:rPr>
          <w:rFonts w:ascii="Garamond" w:hAnsi="Garamond"/>
          <w:sz w:val="24"/>
          <w:szCs w:val="24"/>
        </w:rPr>
        <w:t>p</w:t>
      </w:r>
      <w:r w:rsidRPr="00B95820">
        <w:rPr>
          <w:rFonts w:ascii="Garamond" w:hAnsi="Garamond"/>
          <w:sz w:val="24"/>
          <w:szCs w:val="24"/>
        </w:rPr>
        <w:t>ortfolios</w:t>
      </w:r>
      <w:r w:rsidR="00B95820">
        <w:rPr>
          <w:rFonts w:ascii="Garamond" w:hAnsi="Garamond"/>
          <w:sz w:val="24"/>
          <w:szCs w:val="24"/>
        </w:rPr>
        <w:t xml:space="preserve"> g</w:t>
      </w:r>
      <w:r w:rsidRPr="00B95820">
        <w:rPr>
          <w:rFonts w:ascii="Garamond" w:hAnsi="Garamond"/>
          <w:sz w:val="24"/>
          <w:szCs w:val="24"/>
        </w:rPr>
        <w:t xml:space="preserve">rouped by </w:t>
      </w:r>
      <w:r w:rsidR="00B95820">
        <w:rPr>
          <w:rFonts w:ascii="Garamond" w:hAnsi="Garamond"/>
          <w:sz w:val="24"/>
          <w:szCs w:val="24"/>
        </w:rPr>
        <w:t>s</w:t>
      </w:r>
      <w:r w:rsidRPr="00B95820">
        <w:rPr>
          <w:rFonts w:ascii="Garamond" w:hAnsi="Garamond"/>
          <w:sz w:val="24"/>
          <w:szCs w:val="24"/>
        </w:rPr>
        <w:t xml:space="preserve">ize and </w:t>
      </w:r>
      <w:r w:rsidR="00B95820">
        <w:rPr>
          <w:rFonts w:ascii="Garamond" w:hAnsi="Garamond"/>
          <w:sz w:val="24"/>
          <w:szCs w:val="24"/>
        </w:rPr>
        <w:t>d</w:t>
      </w:r>
      <w:r w:rsidRPr="00B95820">
        <w:rPr>
          <w:rFonts w:ascii="Garamond" w:hAnsi="Garamond"/>
          <w:sz w:val="24"/>
          <w:szCs w:val="24"/>
        </w:rPr>
        <w:t xml:space="preserve">ividend </w:t>
      </w:r>
      <w:r w:rsidR="00B95820">
        <w:rPr>
          <w:rFonts w:ascii="Garamond" w:hAnsi="Garamond"/>
          <w:sz w:val="24"/>
          <w:szCs w:val="24"/>
        </w:rPr>
        <w:t>y</w:t>
      </w:r>
      <w:r w:rsidRPr="00B95820">
        <w:rPr>
          <w:rFonts w:ascii="Garamond" w:hAnsi="Garamond"/>
          <w:sz w:val="24"/>
          <w:szCs w:val="24"/>
        </w:rPr>
        <w:t>ield</w:t>
      </w:r>
      <w:r w:rsidR="00B95820">
        <w:rPr>
          <w:rFonts w:ascii="Garamond" w:hAnsi="Garamond"/>
          <w:sz w:val="24"/>
          <w:szCs w:val="24"/>
        </w:rPr>
        <w:t>.</w:t>
      </w:r>
    </w:p>
    <w:p w14:paraId="3857E2B0" w14:textId="77777777" w:rsidR="00474EC0" w:rsidRPr="00E75964" w:rsidRDefault="00474EC0" w:rsidP="00474EC0">
      <w:pPr>
        <w:spacing w:line="240" w:lineRule="auto"/>
        <w:contextualSpacing/>
        <w:jc w:val="center"/>
        <w:rPr>
          <w:rFonts w:ascii="Garamond" w:hAnsi="Garamond"/>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1197"/>
        <w:gridCol w:w="1282"/>
        <w:gridCol w:w="1276"/>
        <w:gridCol w:w="1261"/>
        <w:gridCol w:w="1367"/>
        <w:gridCol w:w="1286"/>
      </w:tblGrid>
      <w:tr w:rsidR="000C207C" w:rsidRPr="00455FCD" w14:paraId="0F20F639" w14:textId="77777777" w:rsidTr="001B7743">
        <w:trPr>
          <w:trHeight w:val="414"/>
          <w:jc w:val="center"/>
        </w:trPr>
        <w:tc>
          <w:tcPr>
            <w:tcW w:w="1370" w:type="dxa"/>
            <w:tcBorders>
              <w:top w:val="single" w:sz="4" w:space="0" w:color="auto"/>
              <w:bottom w:val="single" w:sz="4" w:space="0" w:color="auto"/>
            </w:tcBorders>
          </w:tcPr>
          <w:p w14:paraId="1EA05BF2" w14:textId="77777777" w:rsidR="00CE65B6" w:rsidRPr="00455FCD" w:rsidRDefault="00CE65B6" w:rsidP="00474EC0">
            <w:pPr>
              <w:spacing w:after="200"/>
              <w:contextualSpacing/>
              <w:rPr>
                <w:rFonts w:ascii="Garamond" w:hAnsi="Garamond"/>
                <w:sz w:val="24"/>
                <w:szCs w:val="24"/>
              </w:rPr>
            </w:pPr>
            <w:bookmarkStart w:id="10" w:name="_Hlk39586283"/>
            <w:r w:rsidRPr="00455FCD">
              <w:rPr>
                <w:rFonts w:ascii="Garamond" w:hAnsi="Garamond"/>
                <w:sz w:val="24"/>
                <w:szCs w:val="24"/>
              </w:rPr>
              <w:t>Portfolio(s)</w:t>
            </w:r>
          </w:p>
        </w:tc>
        <w:tc>
          <w:tcPr>
            <w:tcW w:w="1272" w:type="dxa"/>
            <w:tcBorders>
              <w:top w:val="single" w:sz="4" w:space="0" w:color="auto"/>
              <w:bottom w:val="single" w:sz="4" w:space="0" w:color="auto"/>
            </w:tcBorders>
          </w:tcPr>
          <w:p w14:paraId="08F41CDF" w14:textId="77777777" w:rsidR="00CE65B6" w:rsidRPr="00455FCD" w:rsidRDefault="00CE65B6" w:rsidP="00474EC0">
            <w:pPr>
              <w:spacing w:after="200"/>
              <w:contextualSpacing/>
              <w:rPr>
                <w:rFonts w:ascii="Garamond" w:hAnsi="Garamond"/>
                <w:sz w:val="24"/>
                <w:szCs w:val="24"/>
              </w:rPr>
            </w:pPr>
          </w:p>
        </w:tc>
        <w:tc>
          <w:tcPr>
            <w:tcW w:w="1305" w:type="dxa"/>
            <w:tcBorders>
              <w:top w:val="single" w:sz="4" w:space="0" w:color="auto"/>
              <w:bottom w:val="single" w:sz="4" w:space="0" w:color="auto"/>
            </w:tcBorders>
          </w:tcPr>
          <w:p w14:paraId="59EC57A0"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Sunday</w:t>
            </w:r>
          </w:p>
          <w:p w14:paraId="18045534" w14:textId="6055E2D8" w:rsidR="001B7743" w:rsidRPr="00455FCD" w:rsidRDefault="001B7743" w:rsidP="00474EC0">
            <w:pPr>
              <w:spacing w:after="200"/>
              <w:contextualSpacing/>
              <w:rPr>
                <w:rFonts w:ascii="Garamond" w:hAnsi="Garamond"/>
                <w:sz w:val="24"/>
                <w:szCs w:val="24"/>
              </w:rPr>
            </w:pPr>
          </w:p>
        </w:tc>
        <w:tc>
          <w:tcPr>
            <w:tcW w:w="1298" w:type="dxa"/>
            <w:tcBorders>
              <w:top w:val="single" w:sz="4" w:space="0" w:color="auto"/>
              <w:bottom w:val="single" w:sz="4" w:space="0" w:color="auto"/>
            </w:tcBorders>
          </w:tcPr>
          <w:p w14:paraId="79457C96"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Monday</w:t>
            </w:r>
          </w:p>
        </w:tc>
        <w:tc>
          <w:tcPr>
            <w:tcW w:w="1305" w:type="dxa"/>
            <w:tcBorders>
              <w:top w:val="single" w:sz="4" w:space="0" w:color="auto"/>
              <w:bottom w:val="single" w:sz="4" w:space="0" w:color="auto"/>
            </w:tcBorders>
          </w:tcPr>
          <w:p w14:paraId="79C97861"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Tuesday</w:t>
            </w:r>
          </w:p>
        </w:tc>
        <w:tc>
          <w:tcPr>
            <w:tcW w:w="1382" w:type="dxa"/>
            <w:tcBorders>
              <w:top w:val="single" w:sz="4" w:space="0" w:color="auto"/>
              <w:bottom w:val="single" w:sz="4" w:space="0" w:color="auto"/>
            </w:tcBorders>
          </w:tcPr>
          <w:p w14:paraId="411C250A"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Wednesday</w:t>
            </w:r>
          </w:p>
        </w:tc>
        <w:tc>
          <w:tcPr>
            <w:tcW w:w="1310" w:type="dxa"/>
            <w:tcBorders>
              <w:top w:val="single" w:sz="4" w:space="0" w:color="auto"/>
              <w:bottom w:val="single" w:sz="4" w:space="0" w:color="auto"/>
            </w:tcBorders>
          </w:tcPr>
          <w:p w14:paraId="6FC5B796"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Thursday</w:t>
            </w:r>
          </w:p>
        </w:tc>
      </w:tr>
      <w:tr w:rsidR="00CE65B6" w:rsidRPr="00455FCD" w14:paraId="59DA849B" w14:textId="77777777" w:rsidTr="001B7743">
        <w:trPr>
          <w:trHeight w:val="421"/>
          <w:jc w:val="center"/>
        </w:trPr>
        <w:tc>
          <w:tcPr>
            <w:tcW w:w="9242" w:type="dxa"/>
            <w:gridSpan w:val="7"/>
            <w:tcBorders>
              <w:top w:val="single" w:sz="4" w:space="0" w:color="auto"/>
            </w:tcBorders>
          </w:tcPr>
          <w:p w14:paraId="7E929E94"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Based on the size of firms</w:t>
            </w:r>
          </w:p>
        </w:tc>
      </w:tr>
      <w:tr w:rsidR="000C207C" w:rsidRPr="00455FCD" w14:paraId="6A4E68AF" w14:textId="77777777" w:rsidTr="001B7743">
        <w:trPr>
          <w:jc w:val="center"/>
        </w:trPr>
        <w:tc>
          <w:tcPr>
            <w:tcW w:w="1370" w:type="dxa"/>
          </w:tcPr>
          <w:p w14:paraId="2F1E1D6E"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Small</w:t>
            </w:r>
          </w:p>
        </w:tc>
        <w:tc>
          <w:tcPr>
            <w:tcW w:w="1272" w:type="dxa"/>
          </w:tcPr>
          <w:p w14:paraId="315BC6C0"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Mean</w:t>
            </w:r>
          </w:p>
        </w:tc>
        <w:tc>
          <w:tcPr>
            <w:tcW w:w="1305" w:type="dxa"/>
          </w:tcPr>
          <w:p w14:paraId="28E479A9" w14:textId="4D543B11"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-0.1</w:t>
            </w:r>
            <w:r w:rsidR="00A215BD" w:rsidRPr="00455FCD">
              <w:rPr>
                <w:rFonts w:ascii="Garamond" w:hAnsi="Garamond"/>
                <w:sz w:val="24"/>
                <w:szCs w:val="24"/>
              </w:rPr>
              <w:t>6</w:t>
            </w:r>
            <w:r w:rsidR="000C207C" w:rsidRPr="00455FCD">
              <w:rPr>
                <w:rFonts w:ascii="Garamond" w:hAnsi="Garamond"/>
                <w:sz w:val="24"/>
                <w:szCs w:val="24"/>
              </w:rPr>
              <w:t>36</w:t>
            </w:r>
            <w:r w:rsidRPr="00455FCD">
              <w:rPr>
                <w:rFonts w:ascii="Garamond" w:hAnsi="Garamond"/>
                <w:sz w:val="24"/>
                <w:szCs w:val="24"/>
              </w:rPr>
              <w:t>***</w:t>
            </w:r>
          </w:p>
        </w:tc>
        <w:tc>
          <w:tcPr>
            <w:tcW w:w="1298" w:type="dxa"/>
          </w:tcPr>
          <w:p w14:paraId="601C0DED" w14:textId="3F734EC7"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0.00</w:t>
            </w:r>
            <w:r w:rsidR="001214A5" w:rsidRPr="00455FCD">
              <w:rPr>
                <w:rFonts w:ascii="Garamond" w:hAnsi="Garamond"/>
                <w:sz w:val="24"/>
                <w:szCs w:val="24"/>
              </w:rPr>
              <w:t>57</w:t>
            </w:r>
          </w:p>
        </w:tc>
        <w:tc>
          <w:tcPr>
            <w:tcW w:w="1305" w:type="dxa"/>
          </w:tcPr>
          <w:p w14:paraId="2F4F2C84" w14:textId="76B623E0" w:rsidR="00CE65B6" w:rsidRPr="00455FCD" w:rsidRDefault="001214A5" w:rsidP="007557E5">
            <w:pPr>
              <w:spacing w:after="200"/>
              <w:contextualSpacing/>
              <w:jc w:val="center"/>
              <w:rPr>
                <w:rFonts w:ascii="Garamond" w:hAnsi="Garamond"/>
                <w:sz w:val="24"/>
                <w:szCs w:val="24"/>
              </w:rPr>
            </w:pPr>
            <w:r w:rsidRPr="00455FCD">
              <w:rPr>
                <w:rFonts w:ascii="Garamond" w:hAnsi="Garamond"/>
                <w:sz w:val="24"/>
                <w:szCs w:val="24"/>
              </w:rPr>
              <w:t>-</w:t>
            </w:r>
            <w:r w:rsidR="00CE65B6" w:rsidRPr="00455FCD">
              <w:rPr>
                <w:rFonts w:ascii="Garamond" w:hAnsi="Garamond"/>
                <w:sz w:val="24"/>
                <w:szCs w:val="24"/>
              </w:rPr>
              <w:t>0.01</w:t>
            </w:r>
            <w:r w:rsidR="007841C8" w:rsidRPr="00455FCD">
              <w:rPr>
                <w:rFonts w:ascii="Garamond" w:hAnsi="Garamond"/>
                <w:sz w:val="24"/>
                <w:szCs w:val="24"/>
              </w:rPr>
              <w:t>9</w:t>
            </w:r>
            <w:r w:rsidR="000C207C" w:rsidRPr="00455FCD">
              <w:rPr>
                <w:rFonts w:ascii="Garamond" w:hAnsi="Garamond"/>
                <w:sz w:val="24"/>
                <w:szCs w:val="24"/>
              </w:rPr>
              <w:t>1</w:t>
            </w:r>
          </w:p>
        </w:tc>
        <w:tc>
          <w:tcPr>
            <w:tcW w:w="1382" w:type="dxa"/>
          </w:tcPr>
          <w:p w14:paraId="0B6BA19E" w14:textId="07FB4F9D"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0.0</w:t>
            </w:r>
            <w:r w:rsidR="00811E1B" w:rsidRPr="00455FCD">
              <w:rPr>
                <w:rFonts w:ascii="Garamond" w:hAnsi="Garamond"/>
                <w:sz w:val="24"/>
                <w:szCs w:val="24"/>
              </w:rPr>
              <w:t>0</w:t>
            </w:r>
            <w:r w:rsidRPr="00455FCD">
              <w:rPr>
                <w:rFonts w:ascii="Garamond" w:hAnsi="Garamond"/>
                <w:sz w:val="24"/>
                <w:szCs w:val="24"/>
              </w:rPr>
              <w:t>4</w:t>
            </w:r>
            <w:r w:rsidR="00C10828" w:rsidRPr="00455FCD">
              <w:rPr>
                <w:rFonts w:ascii="Garamond" w:hAnsi="Garamond"/>
                <w:sz w:val="24"/>
                <w:szCs w:val="24"/>
              </w:rPr>
              <w:t>7</w:t>
            </w:r>
          </w:p>
        </w:tc>
        <w:tc>
          <w:tcPr>
            <w:tcW w:w="1310" w:type="dxa"/>
          </w:tcPr>
          <w:p w14:paraId="3B23DFD3" w14:textId="7F25E238"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-0.0</w:t>
            </w:r>
            <w:r w:rsidR="00F07883" w:rsidRPr="00455FCD">
              <w:rPr>
                <w:rFonts w:ascii="Garamond" w:hAnsi="Garamond"/>
                <w:sz w:val="24"/>
                <w:szCs w:val="24"/>
              </w:rPr>
              <w:t>1</w:t>
            </w:r>
            <w:r w:rsidR="000B09F7" w:rsidRPr="00455FCD">
              <w:rPr>
                <w:rFonts w:ascii="Garamond" w:hAnsi="Garamond"/>
                <w:sz w:val="24"/>
                <w:szCs w:val="24"/>
              </w:rPr>
              <w:t>35</w:t>
            </w:r>
            <w:r w:rsidR="00F07883" w:rsidRPr="00455FCD">
              <w:rPr>
                <w:rFonts w:ascii="Garamond" w:hAnsi="Garamond"/>
                <w:sz w:val="24"/>
                <w:szCs w:val="24"/>
              </w:rPr>
              <w:t>**</w:t>
            </w:r>
          </w:p>
        </w:tc>
      </w:tr>
      <w:tr w:rsidR="000C207C" w:rsidRPr="00455FCD" w14:paraId="3D97D94D" w14:textId="77777777" w:rsidTr="001B7743">
        <w:trPr>
          <w:jc w:val="center"/>
        </w:trPr>
        <w:tc>
          <w:tcPr>
            <w:tcW w:w="1370" w:type="dxa"/>
          </w:tcPr>
          <w:p w14:paraId="5D12E2E8" w14:textId="77777777" w:rsidR="00CE65B6" w:rsidRPr="00455FCD" w:rsidRDefault="00CE65B6" w:rsidP="00474EC0">
            <w:pPr>
              <w:spacing w:after="200"/>
              <w:contextualSpacing/>
              <w:rPr>
                <w:rFonts w:ascii="Garamond" w:hAnsi="Garamond"/>
                <w:sz w:val="24"/>
                <w:szCs w:val="24"/>
              </w:rPr>
            </w:pPr>
          </w:p>
        </w:tc>
        <w:tc>
          <w:tcPr>
            <w:tcW w:w="1272" w:type="dxa"/>
          </w:tcPr>
          <w:p w14:paraId="3897B63F"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Std. Dev.</w:t>
            </w:r>
          </w:p>
        </w:tc>
        <w:tc>
          <w:tcPr>
            <w:tcW w:w="1305" w:type="dxa"/>
          </w:tcPr>
          <w:p w14:paraId="2F37722B" w14:textId="3A1B074D"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1.</w:t>
            </w:r>
            <w:r w:rsidR="005E40E9" w:rsidRPr="00455FCD">
              <w:rPr>
                <w:rFonts w:ascii="Garamond" w:hAnsi="Garamond"/>
                <w:sz w:val="24"/>
                <w:szCs w:val="24"/>
              </w:rPr>
              <w:t>8</w:t>
            </w:r>
            <w:r w:rsidR="00F07883" w:rsidRPr="00455FCD">
              <w:rPr>
                <w:rFonts w:ascii="Garamond" w:hAnsi="Garamond"/>
                <w:sz w:val="24"/>
                <w:szCs w:val="24"/>
              </w:rPr>
              <w:t>445</w:t>
            </w:r>
          </w:p>
        </w:tc>
        <w:tc>
          <w:tcPr>
            <w:tcW w:w="1298" w:type="dxa"/>
          </w:tcPr>
          <w:p w14:paraId="7D23A8F2" w14:textId="392CDC6F"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0.5</w:t>
            </w:r>
            <w:r w:rsidR="007841C8" w:rsidRPr="00455FCD">
              <w:rPr>
                <w:rFonts w:ascii="Garamond" w:hAnsi="Garamond"/>
                <w:sz w:val="24"/>
                <w:szCs w:val="24"/>
              </w:rPr>
              <w:t>9</w:t>
            </w:r>
            <w:r w:rsidR="000C207C" w:rsidRPr="00455FCD">
              <w:rPr>
                <w:rFonts w:ascii="Garamond" w:hAnsi="Garamond"/>
                <w:sz w:val="24"/>
                <w:szCs w:val="24"/>
              </w:rPr>
              <w:t>73</w:t>
            </w:r>
          </w:p>
        </w:tc>
        <w:tc>
          <w:tcPr>
            <w:tcW w:w="1305" w:type="dxa"/>
          </w:tcPr>
          <w:p w14:paraId="5C153723" w14:textId="2C2A6195"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w:t>
            </w:r>
            <w:r w:rsidR="000C207C" w:rsidRPr="00455FCD">
              <w:rPr>
                <w:rFonts w:ascii="Garamond" w:hAnsi="Garamond"/>
                <w:sz w:val="24"/>
                <w:szCs w:val="24"/>
              </w:rPr>
              <w:t>7</w:t>
            </w:r>
            <w:r w:rsidR="007841C8" w:rsidRPr="00455FCD">
              <w:rPr>
                <w:rFonts w:ascii="Garamond" w:hAnsi="Garamond"/>
                <w:sz w:val="24"/>
                <w:szCs w:val="24"/>
              </w:rPr>
              <w:t>64</w:t>
            </w:r>
            <w:r w:rsidRPr="00455FCD">
              <w:rPr>
                <w:rFonts w:ascii="Garamond" w:hAnsi="Garamond"/>
                <w:sz w:val="24"/>
                <w:szCs w:val="24"/>
              </w:rPr>
              <w:t>1</w:t>
            </w:r>
          </w:p>
        </w:tc>
        <w:tc>
          <w:tcPr>
            <w:tcW w:w="1382" w:type="dxa"/>
          </w:tcPr>
          <w:p w14:paraId="34F110DC" w14:textId="29ACAC8B"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w:t>
            </w:r>
            <w:r w:rsidR="00C10828" w:rsidRPr="00455FCD">
              <w:rPr>
                <w:rFonts w:ascii="Garamond" w:hAnsi="Garamond"/>
                <w:sz w:val="24"/>
                <w:szCs w:val="24"/>
              </w:rPr>
              <w:t>6247</w:t>
            </w:r>
          </w:p>
        </w:tc>
        <w:tc>
          <w:tcPr>
            <w:tcW w:w="1310" w:type="dxa"/>
          </w:tcPr>
          <w:p w14:paraId="1F2084EA" w14:textId="55BD0863"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0.6</w:t>
            </w:r>
            <w:r w:rsidR="005010D5" w:rsidRPr="00455FCD">
              <w:rPr>
                <w:rFonts w:ascii="Garamond" w:hAnsi="Garamond"/>
                <w:sz w:val="24"/>
                <w:szCs w:val="24"/>
              </w:rPr>
              <w:t>35</w:t>
            </w:r>
            <w:r w:rsidR="007557E5" w:rsidRPr="00455FCD">
              <w:rPr>
                <w:rFonts w:ascii="Garamond" w:hAnsi="Garamond"/>
                <w:sz w:val="24"/>
                <w:szCs w:val="24"/>
              </w:rPr>
              <w:t>0</w:t>
            </w:r>
          </w:p>
        </w:tc>
      </w:tr>
      <w:tr w:rsidR="000C207C" w:rsidRPr="00455FCD" w14:paraId="116D4499" w14:textId="77777777" w:rsidTr="001B7743">
        <w:trPr>
          <w:jc w:val="center"/>
        </w:trPr>
        <w:tc>
          <w:tcPr>
            <w:tcW w:w="1370" w:type="dxa"/>
          </w:tcPr>
          <w:p w14:paraId="05784614"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Mid-size</w:t>
            </w:r>
          </w:p>
        </w:tc>
        <w:tc>
          <w:tcPr>
            <w:tcW w:w="1272" w:type="dxa"/>
          </w:tcPr>
          <w:p w14:paraId="72251E57"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Mean</w:t>
            </w:r>
          </w:p>
        </w:tc>
        <w:tc>
          <w:tcPr>
            <w:tcW w:w="1305" w:type="dxa"/>
          </w:tcPr>
          <w:p w14:paraId="1509EED6" w14:textId="03393EF0" w:rsidR="00CE65B6" w:rsidRPr="00455FCD" w:rsidRDefault="00F07883" w:rsidP="007557E5">
            <w:pPr>
              <w:spacing w:after="200"/>
              <w:contextualSpacing/>
              <w:jc w:val="center"/>
              <w:rPr>
                <w:rFonts w:ascii="Garamond" w:hAnsi="Garamond"/>
                <w:sz w:val="24"/>
                <w:szCs w:val="24"/>
              </w:rPr>
            </w:pPr>
            <w:r w:rsidRPr="00455FCD">
              <w:rPr>
                <w:rFonts w:ascii="Garamond" w:hAnsi="Garamond"/>
                <w:sz w:val="24"/>
                <w:szCs w:val="24"/>
              </w:rPr>
              <w:t>-</w:t>
            </w:r>
            <w:r w:rsidR="00CE65B6" w:rsidRPr="00455FCD">
              <w:rPr>
                <w:rFonts w:ascii="Garamond" w:hAnsi="Garamond"/>
                <w:sz w:val="24"/>
                <w:szCs w:val="24"/>
              </w:rPr>
              <w:t>0.</w:t>
            </w:r>
            <w:r w:rsidRPr="00455FCD">
              <w:rPr>
                <w:rFonts w:ascii="Garamond" w:hAnsi="Garamond"/>
                <w:sz w:val="24"/>
                <w:szCs w:val="24"/>
              </w:rPr>
              <w:t>0</w:t>
            </w:r>
            <w:r w:rsidR="000C207C" w:rsidRPr="00455FCD">
              <w:rPr>
                <w:rFonts w:ascii="Garamond" w:hAnsi="Garamond"/>
                <w:sz w:val="24"/>
                <w:szCs w:val="24"/>
              </w:rPr>
              <w:t>4</w:t>
            </w:r>
            <w:r w:rsidRPr="00455FCD">
              <w:rPr>
                <w:rFonts w:ascii="Garamond" w:hAnsi="Garamond"/>
                <w:sz w:val="24"/>
                <w:szCs w:val="24"/>
              </w:rPr>
              <w:t>63*</w:t>
            </w:r>
          </w:p>
        </w:tc>
        <w:tc>
          <w:tcPr>
            <w:tcW w:w="1298" w:type="dxa"/>
          </w:tcPr>
          <w:p w14:paraId="391C4BB4" w14:textId="11335C31"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0.0</w:t>
            </w:r>
            <w:r w:rsidR="001214A5" w:rsidRPr="00455FCD">
              <w:rPr>
                <w:rFonts w:ascii="Garamond" w:hAnsi="Garamond"/>
                <w:sz w:val="24"/>
                <w:szCs w:val="24"/>
              </w:rPr>
              <w:t>78</w:t>
            </w:r>
            <w:r w:rsidR="007841C8" w:rsidRPr="00455FCD">
              <w:rPr>
                <w:rFonts w:ascii="Garamond" w:hAnsi="Garamond"/>
                <w:sz w:val="24"/>
                <w:szCs w:val="24"/>
              </w:rPr>
              <w:t>3</w:t>
            </w:r>
            <w:r w:rsidR="001214A5" w:rsidRPr="00455FCD">
              <w:rPr>
                <w:rFonts w:ascii="Garamond" w:hAnsi="Garamond"/>
                <w:sz w:val="24"/>
                <w:szCs w:val="24"/>
              </w:rPr>
              <w:t>*</w:t>
            </w:r>
          </w:p>
        </w:tc>
        <w:tc>
          <w:tcPr>
            <w:tcW w:w="1305" w:type="dxa"/>
          </w:tcPr>
          <w:p w14:paraId="0D910891" w14:textId="71ABF5DE"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0.0</w:t>
            </w:r>
            <w:r w:rsidR="007841C8" w:rsidRPr="00455FCD">
              <w:rPr>
                <w:rFonts w:ascii="Garamond" w:hAnsi="Garamond"/>
                <w:sz w:val="24"/>
                <w:szCs w:val="24"/>
              </w:rPr>
              <w:t>5</w:t>
            </w:r>
            <w:r w:rsidR="00F07883" w:rsidRPr="00455FCD">
              <w:rPr>
                <w:rFonts w:ascii="Garamond" w:hAnsi="Garamond"/>
                <w:sz w:val="24"/>
                <w:szCs w:val="24"/>
              </w:rPr>
              <w:t>2</w:t>
            </w:r>
            <w:r w:rsidR="007841C8" w:rsidRPr="00455FCD">
              <w:rPr>
                <w:rFonts w:ascii="Garamond" w:hAnsi="Garamond"/>
                <w:sz w:val="24"/>
                <w:szCs w:val="24"/>
              </w:rPr>
              <w:t>3</w:t>
            </w:r>
            <w:r w:rsidRPr="00455FCD">
              <w:rPr>
                <w:rFonts w:ascii="Garamond" w:hAnsi="Garamond"/>
                <w:sz w:val="24"/>
                <w:szCs w:val="24"/>
              </w:rPr>
              <w:t>*</w:t>
            </w:r>
          </w:p>
        </w:tc>
        <w:tc>
          <w:tcPr>
            <w:tcW w:w="1382" w:type="dxa"/>
          </w:tcPr>
          <w:p w14:paraId="100263CB" w14:textId="11C0283E"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0.1</w:t>
            </w:r>
            <w:r w:rsidR="00C10828" w:rsidRPr="00455FCD">
              <w:rPr>
                <w:rFonts w:ascii="Garamond" w:hAnsi="Garamond"/>
                <w:sz w:val="24"/>
                <w:szCs w:val="24"/>
              </w:rPr>
              <w:t>2</w:t>
            </w:r>
            <w:r w:rsidR="007557E5" w:rsidRPr="00455FCD">
              <w:rPr>
                <w:rFonts w:ascii="Garamond" w:hAnsi="Garamond"/>
                <w:sz w:val="24"/>
                <w:szCs w:val="24"/>
              </w:rPr>
              <w:t>2</w:t>
            </w:r>
            <w:r w:rsidR="00C10828" w:rsidRPr="00455FCD">
              <w:rPr>
                <w:rFonts w:ascii="Garamond" w:hAnsi="Garamond"/>
                <w:sz w:val="24"/>
                <w:szCs w:val="24"/>
              </w:rPr>
              <w:t>3</w:t>
            </w:r>
          </w:p>
        </w:tc>
        <w:tc>
          <w:tcPr>
            <w:tcW w:w="1310" w:type="dxa"/>
          </w:tcPr>
          <w:p w14:paraId="46BB104D" w14:textId="1519A8A4" w:rsidR="00CE65B6" w:rsidRPr="00455FCD" w:rsidRDefault="00F07883" w:rsidP="007557E5">
            <w:pPr>
              <w:spacing w:after="200"/>
              <w:contextualSpacing/>
              <w:jc w:val="center"/>
              <w:rPr>
                <w:rFonts w:ascii="Garamond" w:hAnsi="Garamond"/>
                <w:sz w:val="24"/>
                <w:szCs w:val="24"/>
              </w:rPr>
            </w:pPr>
            <w:r w:rsidRPr="00455FCD">
              <w:rPr>
                <w:rFonts w:ascii="Garamond" w:hAnsi="Garamond"/>
                <w:sz w:val="24"/>
                <w:szCs w:val="24"/>
              </w:rPr>
              <w:t>-</w:t>
            </w:r>
            <w:r w:rsidR="00CE65B6" w:rsidRPr="00455FCD">
              <w:rPr>
                <w:rFonts w:ascii="Garamond" w:hAnsi="Garamond"/>
                <w:sz w:val="24"/>
                <w:szCs w:val="24"/>
              </w:rPr>
              <w:t>0.0</w:t>
            </w:r>
            <w:r w:rsidR="005010D5" w:rsidRPr="00455FCD">
              <w:rPr>
                <w:rFonts w:ascii="Garamond" w:hAnsi="Garamond"/>
                <w:sz w:val="24"/>
                <w:szCs w:val="24"/>
              </w:rPr>
              <w:t>216</w:t>
            </w:r>
            <w:r w:rsidRPr="00455FCD">
              <w:rPr>
                <w:rFonts w:ascii="Garamond" w:hAnsi="Garamond"/>
                <w:sz w:val="24"/>
                <w:szCs w:val="24"/>
              </w:rPr>
              <w:t>*</w:t>
            </w:r>
          </w:p>
        </w:tc>
      </w:tr>
      <w:tr w:rsidR="000C207C" w:rsidRPr="00455FCD" w14:paraId="6895C0E1" w14:textId="77777777" w:rsidTr="001B7743">
        <w:trPr>
          <w:jc w:val="center"/>
        </w:trPr>
        <w:tc>
          <w:tcPr>
            <w:tcW w:w="1370" w:type="dxa"/>
          </w:tcPr>
          <w:p w14:paraId="27ED6744" w14:textId="77777777" w:rsidR="00CE65B6" w:rsidRPr="00455FCD" w:rsidRDefault="00CE65B6" w:rsidP="00474EC0">
            <w:pPr>
              <w:spacing w:after="200"/>
              <w:contextualSpacing/>
              <w:rPr>
                <w:rFonts w:ascii="Garamond" w:hAnsi="Garamond"/>
                <w:sz w:val="24"/>
                <w:szCs w:val="24"/>
              </w:rPr>
            </w:pPr>
          </w:p>
        </w:tc>
        <w:tc>
          <w:tcPr>
            <w:tcW w:w="1272" w:type="dxa"/>
          </w:tcPr>
          <w:p w14:paraId="599F72B2"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Std. Dev.</w:t>
            </w:r>
          </w:p>
        </w:tc>
        <w:tc>
          <w:tcPr>
            <w:tcW w:w="1305" w:type="dxa"/>
          </w:tcPr>
          <w:p w14:paraId="54FFEC15" w14:textId="26FE7894"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w:t>
            </w:r>
            <w:r w:rsidR="00F07883" w:rsidRPr="00455FCD">
              <w:rPr>
                <w:rFonts w:ascii="Garamond" w:hAnsi="Garamond"/>
                <w:sz w:val="24"/>
                <w:szCs w:val="24"/>
              </w:rPr>
              <w:t>8</w:t>
            </w:r>
            <w:r w:rsidRPr="00455FCD">
              <w:rPr>
                <w:rFonts w:ascii="Garamond" w:hAnsi="Garamond"/>
                <w:sz w:val="24"/>
                <w:szCs w:val="24"/>
              </w:rPr>
              <w:t>8</w:t>
            </w:r>
            <w:r w:rsidR="00F07883" w:rsidRPr="00455FCD">
              <w:rPr>
                <w:rFonts w:ascii="Garamond" w:hAnsi="Garamond"/>
                <w:sz w:val="24"/>
                <w:szCs w:val="24"/>
              </w:rPr>
              <w:t>62</w:t>
            </w:r>
          </w:p>
        </w:tc>
        <w:tc>
          <w:tcPr>
            <w:tcW w:w="1298" w:type="dxa"/>
          </w:tcPr>
          <w:p w14:paraId="7910BE2A" w14:textId="56548E9E"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1.</w:t>
            </w:r>
            <w:r w:rsidR="00FB68BF" w:rsidRPr="00455FCD">
              <w:rPr>
                <w:rFonts w:ascii="Garamond" w:hAnsi="Garamond"/>
                <w:sz w:val="24"/>
                <w:szCs w:val="24"/>
              </w:rPr>
              <w:t>3</w:t>
            </w:r>
            <w:r w:rsidRPr="00455FCD">
              <w:rPr>
                <w:rFonts w:ascii="Garamond" w:hAnsi="Garamond"/>
                <w:sz w:val="24"/>
                <w:szCs w:val="24"/>
              </w:rPr>
              <w:t>3</w:t>
            </w:r>
            <w:r w:rsidR="00FB68BF" w:rsidRPr="00455FCD">
              <w:rPr>
                <w:rFonts w:ascii="Garamond" w:hAnsi="Garamond"/>
                <w:sz w:val="24"/>
                <w:szCs w:val="24"/>
              </w:rPr>
              <w:t>3</w:t>
            </w:r>
            <w:r w:rsidR="007841C8" w:rsidRPr="00455FCD">
              <w:rPr>
                <w:rFonts w:ascii="Garamond" w:hAnsi="Garamond"/>
                <w:sz w:val="24"/>
                <w:szCs w:val="24"/>
              </w:rPr>
              <w:t>1</w:t>
            </w:r>
          </w:p>
        </w:tc>
        <w:tc>
          <w:tcPr>
            <w:tcW w:w="1305" w:type="dxa"/>
          </w:tcPr>
          <w:p w14:paraId="125C379D" w14:textId="78D51CE0"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0.9</w:t>
            </w:r>
            <w:r w:rsidR="00FB68BF" w:rsidRPr="00455FCD">
              <w:rPr>
                <w:rFonts w:ascii="Garamond" w:hAnsi="Garamond"/>
                <w:sz w:val="24"/>
                <w:szCs w:val="24"/>
              </w:rPr>
              <w:t>671</w:t>
            </w:r>
          </w:p>
        </w:tc>
        <w:tc>
          <w:tcPr>
            <w:tcW w:w="1382" w:type="dxa"/>
          </w:tcPr>
          <w:p w14:paraId="76CE3A4E" w14:textId="728294C9"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1.</w:t>
            </w:r>
            <w:r w:rsidR="00C10828" w:rsidRPr="00455FCD">
              <w:rPr>
                <w:rFonts w:ascii="Garamond" w:hAnsi="Garamond"/>
                <w:sz w:val="24"/>
                <w:szCs w:val="24"/>
              </w:rPr>
              <w:t>0</w:t>
            </w:r>
            <w:r w:rsidRPr="00455FCD">
              <w:rPr>
                <w:rFonts w:ascii="Garamond" w:hAnsi="Garamond"/>
                <w:sz w:val="24"/>
                <w:szCs w:val="24"/>
              </w:rPr>
              <w:t>4</w:t>
            </w:r>
            <w:r w:rsidR="007557E5" w:rsidRPr="00455FCD">
              <w:rPr>
                <w:rFonts w:ascii="Garamond" w:hAnsi="Garamond"/>
                <w:sz w:val="24"/>
                <w:szCs w:val="24"/>
              </w:rPr>
              <w:t>4</w:t>
            </w:r>
            <w:r w:rsidR="00C10828" w:rsidRPr="00455FCD">
              <w:rPr>
                <w:rFonts w:ascii="Garamond" w:hAnsi="Garamond"/>
                <w:sz w:val="24"/>
                <w:szCs w:val="24"/>
              </w:rPr>
              <w:t>6</w:t>
            </w:r>
          </w:p>
        </w:tc>
        <w:tc>
          <w:tcPr>
            <w:tcW w:w="1310" w:type="dxa"/>
          </w:tcPr>
          <w:p w14:paraId="609FABFC" w14:textId="4DF3B918"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1.</w:t>
            </w:r>
            <w:r w:rsidR="005010D5" w:rsidRPr="00455FCD">
              <w:rPr>
                <w:rFonts w:ascii="Garamond" w:hAnsi="Garamond"/>
                <w:sz w:val="24"/>
                <w:szCs w:val="24"/>
              </w:rPr>
              <w:t>0876</w:t>
            </w:r>
          </w:p>
        </w:tc>
      </w:tr>
      <w:tr w:rsidR="000C207C" w:rsidRPr="00455FCD" w14:paraId="3C5AA28E" w14:textId="77777777" w:rsidTr="001B7743">
        <w:trPr>
          <w:jc w:val="center"/>
        </w:trPr>
        <w:tc>
          <w:tcPr>
            <w:tcW w:w="1370" w:type="dxa"/>
          </w:tcPr>
          <w:p w14:paraId="54156BE0"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Large</w:t>
            </w:r>
          </w:p>
        </w:tc>
        <w:tc>
          <w:tcPr>
            <w:tcW w:w="1272" w:type="dxa"/>
          </w:tcPr>
          <w:p w14:paraId="54D85F0B"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Mean</w:t>
            </w:r>
          </w:p>
        </w:tc>
        <w:tc>
          <w:tcPr>
            <w:tcW w:w="1305" w:type="dxa"/>
          </w:tcPr>
          <w:p w14:paraId="0BC30DB4" w14:textId="1EE39E1E"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w:t>
            </w:r>
            <w:r w:rsidR="00A215BD" w:rsidRPr="00455FCD">
              <w:rPr>
                <w:rFonts w:ascii="Garamond" w:hAnsi="Garamond"/>
                <w:sz w:val="24"/>
                <w:szCs w:val="24"/>
              </w:rPr>
              <w:t>14</w:t>
            </w:r>
            <w:r w:rsidRPr="00455FCD">
              <w:rPr>
                <w:rFonts w:ascii="Garamond" w:hAnsi="Garamond"/>
                <w:sz w:val="24"/>
                <w:szCs w:val="24"/>
              </w:rPr>
              <w:t>9</w:t>
            </w:r>
            <w:r w:rsidR="007841C8" w:rsidRPr="00455FCD">
              <w:rPr>
                <w:rFonts w:ascii="Garamond" w:hAnsi="Garamond"/>
                <w:sz w:val="24"/>
                <w:szCs w:val="24"/>
              </w:rPr>
              <w:t>5</w:t>
            </w:r>
            <w:r w:rsidRPr="00455FCD">
              <w:rPr>
                <w:rFonts w:ascii="Garamond" w:hAnsi="Garamond"/>
                <w:sz w:val="24"/>
                <w:szCs w:val="24"/>
              </w:rPr>
              <w:t>**</w:t>
            </w:r>
          </w:p>
        </w:tc>
        <w:tc>
          <w:tcPr>
            <w:tcW w:w="1298" w:type="dxa"/>
          </w:tcPr>
          <w:p w14:paraId="54F16AA9" w14:textId="0E7D9B9A"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0.1</w:t>
            </w:r>
            <w:r w:rsidR="00C10828" w:rsidRPr="00455FCD">
              <w:rPr>
                <w:rFonts w:ascii="Garamond" w:hAnsi="Garamond"/>
                <w:sz w:val="24"/>
                <w:szCs w:val="24"/>
              </w:rPr>
              <w:t>1</w:t>
            </w:r>
            <w:r w:rsidRPr="00455FCD">
              <w:rPr>
                <w:rFonts w:ascii="Garamond" w:hAnsi="Garamond"/>
                <w:sz w:val="24"/>
                <w:szCs w:val="24"/>
              </w:rPr>
              <w:t>3</w:t>
            </w:r>
            <w:r w:rsidR="007841C8" w:rsidRPr="00455FCD">
              <w:rPr>
                <w:rFonts w:ascii="Garamond" w:hAnsi="Garamond"/>
                <w:sz w:val="24"/>
                <w:szCs w:val="24"/>
              </w:rPr>
              <w:t>1</w:t>
            </w:r>
            <w:r w:rsidRPr="00455FCD">
              <w:rPr>
                <w:rFonts w:ascii="Garamond" w:hAnsi="Garamond"/>
                <w:sz w:val="24"/>
                <w:szCs w:val="24"/>
              </w:rPr>
              <w:t>***</w:t>
            </w:r>
          </w:p>
        </w:tc>
        <w:tc>
          <w:tcPr>
            <w:tcW w:w="1305" w:type="dxa"/>
          </w:tcPr>
          <w:p w14:paraId="4C95BF0B" w14:textId="581776EA"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0.0</w:t>
            </w:r>
            <w:r w:rsidR="00A215BD" w:rsidRPr="00455FCD">
              <w:rPr>
                <w:rFonts w:ascii="Garamond" w:hAnsi="Garamond"/>
                <w:sz w:val="24"/>
                <w:szCs w:val="24"/>
              </w:rPr>
              <w:t>4</w:t>
            </w:r>
            <w:r w:rsidR="007841C8" w:rsidRPr="00455FCD">
              <w:rPr>
                <w:rFonts w:ascii="Garamond" w:hAnsi="Garamond"/>
                <w:sz w:val="24"/>
                <w:szCs w:val="24"/>
              </w:rPr>
              <w:t>0</w:t>
            </w:r>
            <w:r w:rsidRPr="00455FCD">
              <w:rPr>
                <w:rFonts w:ascii="Garamond" w:hAnsi="Garamond"/>
                <w:sz w:val="24"/>
                <w:szCs w:val="24"/>
              </w:rPr>
              <w:t>5</w:t>
            </w:r>
          </w:p>
        </w:tc>
        <w:tc>
          <w:tcPr>
            <w:tcW w:w="1382" w:type="dxa"/>
          </w:tcPr>
          <w:p w14:paraId="27CEE72F" w14:textId="21F547FB"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0.1</w:t>
            </w:r>
            <w:r w:rsidR="00A215BD" w:rsidRPr="00455FCD">
              <w:rPr>
                <w:rFonts w:ascii="Garamond" w:hAnsi="Garamond"/>
                <w:sz w:val="24"/>
                <w:szCs w:val="24"/>
              </w:rPr>
              <w:t>1</w:t>
            </w:r>
            <w:r w:rsidR="007557E5" w:rsidRPr="00455FCD">
              <w:rPr>
                <w:rFonts w:ascii="Garamond" w:hAnsi="Garamond"/>
                <w:sz w:val="24"/>
                <w:szCs w:val="24"/>
              </w:rPr>
              <w:t>62</w:t>
            </w:r>
            <w:r w:rsidRPr="00455FCD">
              <w:rPr>
                <w:rFonts w:ascii="Garamond" w:hAnsi="Garamond"/>
                <w:sz w:val="24"/>
                <w:szCs w:val="24"/>
              </w:rPr>
              <w:t>***</w:t>
            </w:r>
          </w:p>
        </w:tc>
        <w:tc>
          <w:tcPr>
            <w:tcW w:w="1310" w:type="dxa"/>
          </w:tcPr>
          <w:p w14:paraId="4787B5EA" w14:textId="66FB19C4"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0.0</w:t>
            </w:r>
            <w:r w:rsidR="00A215BD" w:rsidRPr="00455FCD">
              <w:rPr>
                <w:rFonts w:ascii="Garamond" w:hAnsi="Garamond"/>
                <w:sz w:val="24"/>
                <w:szCs w:val="24"/>
              </w:rPr>
              <w:t>4</w:t>
            </w:r>
            <w:r w:rsidR="007557E5" w:rsidRPr="00455FCD">
              <w:rPr>
                <w:rFonts w:ascii="Garamond" w:hAnsi="Garamond"/>
                <w:sz w:val="24"/>
                <w:szCs w:val="24"/>
              </w:rPr>
              <w:t>78</w:t>
            </w:r>
          </w:p>
        </w:tc>
      </w:tr>
      <w:tr w:rsidR="000C207C" w:rsidRPr="00455FCD" w14:paraId="532E4DC3" w14:textId="77777777" w:rsidTr="001B7743">
        <w:trPr>
          <w:jc w:val="center"/>
        </w:trPr>
        <w:tc>
          <w:tcPr>
            <w:tcW w:w="1370" w:type="dxa"/>
          </w:tcPr>
          <w:p w14:paraId="7C1B0589" w14:textId="77777777" w:rsidR="00CE65B6" w:rsidRPr="00455FCD" w:rsidRDefault="00CE65B6" w:rsidP="00474EC0">
            <w:pPr>
              <w:spacing w:after="200"/>
              <w:contextualSpacing/>
              <w:rPr>
                <w:rFonts w:ascii="Garamond" w:hAnsi="Garamond"/>
                <w:sz w:val="24"/>
                <w:szCs w:val="24"/>
              </w:rPr>
            </w:pPr>
          </w:p>
        </w:tc>
        <w:tc>
          <w:tcPr>
            <w:tcW w:w="1272" w:type="dxa"/>
          </w:tcPr>
          <w:p w14:paraId="33B064D0"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Std. Dev.</w:t>
            </w:r>
          </w:p>
        </w:tc>
        <w:tc>
          <w:tcPr>
            <w:tcW w:w="1305" w:type="dxa"/>
          </w:tcPr>
          <w:p w14:paraId="111845C6" w14:textId="0D420072"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1.</w:t>
            </w:r>
            <w:r w:rsidR="00FB68BF" w:rsidRPr="00455FCD">
              <w:rPr>
                <w:rFonts w:ascii="Garamond" w:hAnsi="Garamond"/>
                <w:sz w:val="24"/>
                <w:szCs w:val="24"/>
              </w:rPr>
              <w:t>0</w:t>
            </w:r>
            <w:r w:rsidR="00F07883" w:rsidRPr="00455FCD">
              <w:rPr>
                <w:rFonts w:ascii="Garamond" w:hAnsi="Garamond"/>
                <w:sz w:val="24"/>
                <w:szCs w:val="24"/>
              </w:rPr>
              <w:t>7</w:t>
            </w:r>
            <w:r w:rsidR="001214A5" w:rsidRPr="00455FCD">
              <w:rPr>
                <w:rFonts w:ascii="Garamond" w:hAnsi="Garamond"/>
                <w:sz w:val="24"/>
                <w:szCs w:val="24"/>
              </w:rPr>
              <w:t>9</w:t>
            </w:r>
            <w:r w:rsidR="00F07883" w:rsidRPr="00455FCD">
              <w:rPr>
                <w:rFonts w:ascii="Garamond" w:hAnsi="Garamond"/>
                <w:sz w:val="24"/>
                <w:szCs w:val="24"/>
              </w:rPr>
              <w:t>6</w:t>
            </w:r>
          </w:p>
        </w:tc>
        <w:tc>
          <w:tcPr>
            <w:tcW w:w="1298" w:type="dxa"/>
          </w:tcPr>
          <w:p w14:paraId="6B3977F9" w14:textId="54C4D976"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1.</w:t>
            </w:r>
            <w:r w:rsidR="00C10828" w:rsidRPr="00455FCD">
              <w:rPr>
                <w:rFonts w:ascii="Garamond" w:hAnsi="Garamond"/>
                <w:sz w:val="24"/>
                <w:szCs w:val="24"/>
              </w:rPr>
              <w:t>4</w:t>
            </w:r>
            <w:r w:rsidR="00C46B45" w:rsidRPr="00455FCD">
              <w:rPr>
                <w:rFonts w:ascii="Garamond" w:hAnsi="Garamond"/>
                <w:sz w:val="24"/>
                <w:szCs w:val="24"/>
              </w:rPr>
              <w:t>3</w:t>
            </w:r>
            <w:r w:rsidR="007841C8" w:rsidRPr="00455FCD">
              <w:rPr>
                <w:rFonts w:ascii="Garamond" w:hAnsi="Garamond"/>
                <w:sz w:val="24"/>
                <w:szCs w:val="24"/>
              </w:rPr>
              <w:t>5</w:t>
            </w:r>
            <w:r w:rsidR="00C10828" w:rsidRPr="00455FCD">
              <w:rPr>
                <w:rFonts w:ascii="Garamond" w:hAnsi="Garamond"/>
                <w:sz w:val="24"/>
                <w:szCs w:val="24"/>
              </w:rPr>
              <w:t>6</w:t>
            </w:r>
          </w:p>
        </w:tc>
        <w:tc>
          <w:tcPr>
            <w:tcW w:w="1305" w:type="dxa"/>
          </w:tcPr>
          <w:p w14:paraId="16BC6A65" w14:textId="0827DF01"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1.</w:t>
            </w:r>
            <w:r w:rsidR="00C10828" w:rsidRPr="00455FCD">
              <w:rPr>
                <w:rFonts w:ascii="Garamond" w:hAnsi="Garamond"/>
                <w:sz w:val="24"/>
                <w:szCs w:val="24"/>
              </w:rPr>
              <w:t>067</w:t>
            </w:r>
            <w:r w:rsidR="007841C8" w:rsidRPr="00455FCD">
              <w:rPr>
                <w:rFonts w:ascii="Garamond" w:hAnsi="Garamond"/>
                <w:sz w:val="24"/>
                <w:szCs w:val="24"/>
              </w:rPr>
              <w:t>6</w:t>
            </w:r>
          </w:p>
        </w:tc>
        <w:tc>
          <w:tcPr>
            <w:tcW w:w="1382" w:type="dxa"/>
          </w:tcPr>
          <w:p w14:paraId="554A5D90" w14:textId="6F8C412A"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1.</w:t>
            </w:r>
            <w:r w:rsidR="000B09F7" w:rsidRPr="00455FCD">
              <w:rPr>
                <w:rFonts w:ascii="Garamond" w:hAnsi="Garamond"/>
                <w:sz w:val="24"/>
                <w:szCs w:val="24"/>
              </w:rPr>
              <w:t>1</w:t>
            </w:r>
            <w:r w:rsidR="00C10828" w:rsidRPr="00455FCD">
              <w:rPr>
                <w:rFonts w:ascii="Garamond" w:hAnsi="Garamond"/>
                <w:sz w:val="24"/>
                <w:szCs w:val="24"/>
              </w:rPr>
              <w:t>4</w:t>
            </w:r>
            <w:r w:rsidRPr="00455FCD">
              <w:rPr>
                <w:rFonts w:ascii="Garamond" w:hAnsi="Garamond"/>
                <w:sz w:val="24"/>
                <w:szCs w:val="24"/>
              </w:rPr>
              <w:t>7</w:t>
            </w:r>
            <w:r w:rsidR="007557E5" w:rsidRPr="00455FCD">
              <w:rPr>
                <w:rFonts w:ascii="Garamond" w:hAnsi="Garamond"/>
                <w:sz w:val="24"/>
                <w:szCs w:val="24"/>
              </w:rPr>
              <w:t>1</w:t>
            </w:r>
          </w:p>
        </w:tc>
        <w:tc>
          <w:tcPr>
            <w:tcW w:w="1310" w:type="dxa"/>
          </w:tcPr>
          <w:p w14:paraId="20F431FC" w14:textId="43FC67C9"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1.</w:t>
            </w:r>
            <w:r w:rsidR="005010D5" w:rsidRPr="00455FCD">
              <w:rPr>
                <w:rFonts w:ascii="Garamond" w:hAnsi="Garamond"/>
                <w:sz w:val="24"/>
                <w:szCs w:val="24"/>
              </w:rPr>
              <w:t>0</w:t>
            </w:r>
            <w:r w:rsidR="000B09F7" w:rsidRPr="00455FCD">
              <w:rPr>
                <w:rFonts w:ascii="Garamond" w:hAnsi="Garamond"/>
                <w:sz w:val="24"/>
                <w:szCs w:val="24"/>
              </w:rPr>
              <w:t>015</w:t>
            </w:r>
          </w:p>
        </w:tc>
      </w:tr>
      <w:tr w:rsidR="00CE65B6" w:rsidRPr="00455FCD" w14:paraId="17E59F92" w14:textId="77777777" w:rsidTr="001B7743">
        <w:trPr>
          <w:trHeight w:val="437"/>
          <w:jc w:val="center"/>
        </w:trPr>
        <w:tc>
          <w:tcPr>
            <w:tcW w:w="9242" w:type="dxa"/>
            <w:gridSpan w:val="7"/>
          </w:tcPr>
          <w:p w14:paraId="326A1B0A" w14:textId="77777777" w:rsidR="00CE65B6" w:rsidRPr="00455FCD" w:rsidRDefault="00CE65B6" w:rsidP="00474EC0">
            <w:pPr>
              <w:spacing w:after="200"/>
              <w:contextualSpacing/>
              <w:rPr>
                <w:rFonts w:ascii="Garamond" w:hAnsi="Garamond"/>
                <w:sz w:val="24"/>
                <w:szCs w:val="24"/>
              </w:rPr>
            </w:pPr>
          </w:p>
          <w:p w14:paraId="2B9C295F"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Based on Dividend Yield</w:t>
            </w:r>
          </w:p>
          <w:p w14:paraId="20EBFA14" w14:textId="77777777" w:rsidR="00CE65B6" w:rsidRPr="00455FCD" w:rsidRDefault="00CE65B6" w:rsidP="00474EC0">
            <w:pPr>
              <w:spacing w:after="200"/>
              <w:contextualSpacing/>
              <w:rPr>
                <w:rFonts w:ascii="Garamond" w:hAnsi="Garamond"/>
                <w:sz w:val="24"/>
                <w:szCs w:val="24"/>
              </w:rPr>
            </w:pPr>
          </w:p>
        </w:tc>
      </w:tr>
      <w:tr w:rsidR="000C207C" w:rsidRPr="00455FCD" w14:paraId="7B75EBBE" w14:textId="77777777" w:rsidTr="001B7743">
        <w:trPr>
          <w:jc w:val="center"/>
        </w:trPr>
        <w:tc>
          <w:tcPr>
            <w:tcW w:w="1370" w:type="dxa"/>
          </w:tcPr>
          <w:p w14:paraId="5F275065"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Low</w:t>
            </w:r>
          </w:p>
        </w:tc>
        <w:tc>
          <w:tcPr>
            <w:tcW w:w="1272" w:type="dxa"/>
          </w:tcPr>
          <w:p w14:paraId="024420EA"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Mean</w:t>
            </w:r>
          </w:p>
        </w:tc>
        <w:tc>
          <w:tcPr>
            <w:tcW w:w="1305" w:type="dxa"/>
          </w:tcPr>
          <w:p w14:paraId="0AAF6BE8" w14:textId="0C40E173"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-0.0</w:t>
            </w:r>
            <w:r w:rsidR="00C10828" w:rsidRPr="00455FCD">
              <w:rPr>
                <w:rFonts w:ascii="Garamond" w:hAnsi="Garamond"/>
                <w:sz w:val="24"/>
                <w:szCs w:val="24"/>
              </w:rPr>
              <w:t>8</w:t>
            </w:r>
            <w:r w:rsidR="006267F1" w:rsidRPr="00455FCD">
              <w:rPr>
                <w:rFonts w:ascii="Garamond" w:hAnsi="Garamond"/>
                <w:sz w:val="24"/>
                <w:szCs w:val="24"/>
              </w:rPr>
              <w:t>79</w:t>
            </w:r>
            <w:r w:rsidRPr="00455FCD">
              <w:rPr>
                <w:rFonts w:ascii="Garamond" w:hAnsi="Garamond"/>
                <w:sz w:val="24"/>
                <w:szCs w:val="24"/>
              </w:rPr>
              <w:t>*</w:t>
            </w:r>
            <w:r w:rsidR="00C46B45" w:rsidRPr="00455FCD">
              <w:rPr>
                <w:rFonts w:ascii="Garamond" w:hAnsi="Garamond"/>
                <w:sz w:val="24"/>
                <w:szCs w:val="24"/>
              </w:rPr>
              <w:t>*</w:t>
            </w:r>
          </w:p>
        </w:tc>
        <w:tc>
          <w:tcPr>
            <w:tcW w:w="1298" w:type="dxa"/>
          </w:tcPr>
          <w:p w14:paraId="06CB4DEC" w14:textId="581423AE"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0.0</w:t>
            </w:r>
            <w:r w:rsidR="00C10828" w:rsidRPr="00455FCD">
              <w:rPr>
                <w:rFonts w:ascii="Garamond" w:hAnsi="Garamond"/>
                <w:sz w:val="24"/>
                <w:szCs w:val="24"/>
              </w:rPr>
              <w:t>4</w:t>
            </w:r>
            <w:r w:rsidR="00FB68BF" w:rsidRPr="00455FCD">
              <w:rPr>
                <w:rFonts w:ascii="Garamond" w:hAnsi="Garamond"/>
                <w:sz w:val="24"/>
                <w:szCs w:val="24"/>
              </w:rPr>
              <w:t>1</w:t>
            </w:r>
            <w:r w:rsidR="007557E5" w:rsidRPr="00455FCD">
              <w:rPr>
                <w:rFonts w:ascii="Garamond" w:hAnsi="Garamond"/>
                <w:sz w:val="24"/>
                <w:szCs w:val="24"/>
              </w:rPr>
              <w:t>7</w:t>
            </w:r>
          </w:p>
        </w:tc>
        <w:tc>
          <w:tcPr>
            <w:tcW w:w="1305" w:type="dxa"/>
          </w:tcPr>
          <w:p w14:paraId="40790867" w14:textId="17753D7F"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0.0</w:t>
            </w:r>
            <w:r w:rsidR="00FB68BF" w:rsidRPr="00455FCD">
              <w:rPr>
                <w:rFonts w:ascii="Garamond" w:hAnsi="Garamond"/>
                <w:sz w:val="24"/>
                <w:szCs w:val="24"/>
              </w:rPr>
              <w:t>3</w:t>
            </w:r>
            <w:r w:rsidR="007557E5" w:rsidRPr="00455FCD">
              <w:rPr>
                <w:rFonts w:ascii="Garamond" w:hAnsi="Garamond"/>
                <w:sz w:val="24"/>
                <w:szCs w:val="24"/>
              </w:rPr>
              <w:t>4</w:t>
            </w:r>
            <w:r w:rsidR="00FB68BF" w:rsidRPr="00455FCD">
              <w:rPr>
                <w:rFonts w:ascii="Garamond" w:hAnsi="Garamond"/>
                <w:sz w:val="24"/>
                <w:szCs w:val="24"/>
              </w:rPr>
              <w:t>0</w:t>
            </w:r>
          </w:p>
        </w:tc>
        <w:tc>
          <w:tcPr>
            <w:tcW w:w="1382" w:type="dxa"/>
          </w:tcPr>
          <w:p w14:paraId="7E443268" w14:textId="4AD3EC63"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w:t>
            </w:r>
            <w:r w:rsidR="00C10828" w:rsidRPr="00455FCD">
              <w:rPr>
                <w:rFonts w:ascii="Garamond" w:hAnsi="Garamond"/>
                <w:sz w:val="24"/>
                <w:szCs w:val="24"/>
              </w:rPr>
              <w:t>04</w:t>
            </w:r>
            <w:r w:rsidR="00F07883" w:rsidRPr="00455FCD">
              <w:rPr>
                <w:rFonts w:ascii="Garamond" w:hAnsi="Garamond"/>
                <w:sz w:val="24"/>
                <w:szCs w:val="24"/>
              </w:rPr>
              <w:t>11</w:t>
            </w:r>
          </w:p>
        </w:tc>
        <w:tc>
          <w:tcPr>
            <w:tcW w:w="1310" w:type="dxa"/>
          </w:tcPr>
          <w:p w14:paraId="194EB4AC" w14:textId="1AF808A4" w:rsidR="00CE65B6" w:rsidRPr="00455FCD" w:rsidRDefault="00F07883" w:rsidP="007557E5">
            <w:pPr>
              <w:spacing w:after="200"/>
              <w:contextualSpacing/>
              <w:jc w:val="center"/>
              <w:rPr>
                <w:rFonts w:ascii="Garamond" w:hAnsi="Garamond"/>
                <w:sz w:val="24"/>
                <w:szCs w:val="24"/>
              </w:rPr>
            </w:pPr>
            <w:r w:rsidRPr="00455FCD">
              <w:rPr>
                <w:rFonts w:ascii="Garamond" w:hAnsi="Garamond"/>
                <w:sz w:val="24"/>
                <w:szCs w:val="24"/>
              </w:rPr>
              <w:t>-</w:t>
            </w:r>
            <w:r w:rsidR="00CE65B6" w:rsidRPr="00455FCD">
              <w:rPr>
                <w:rFonts w:ascii="Garamond" w:hAnsi="Garamond"/>
                <w:sz w:val="24"/>
                <w:szCs w:val="24"/>
              </w:rPr>
              <w:t>0.0</w:t>
            </w:r>
            <w:r w:rsidRPr="00455FCD">
              <w:rPr>
                <w:rFonts w:ascii="Garamond" w:hAnsi="Garamond"/>
                <w:sz w:val="24"/>
                <w:szCs w:val="24"/>
              </w:rPr>
              <w:t>310***</w:t>
            </w:r>
          </w:p>
        </w:tc>
      </w:tr>
      <w:tr w:rsidR="000C207C" w:rsidRPr="00455FCD" w14:paraId="42EEB185" w14:textId="77777777" w:rsidTr="001B7743">
        <w:trPr>
          <w:jc w:val="center"/>
        </w:trPr>
        <w:tc>
          <w:tcPr>
            <w:tcW w:w="1370" w:type="dxa"/>
          </w:tcPr>
          <w:p w14:paraId="75E1E03D" w14:textId="77777777" w:rsidR="00CE65B6" w:rsidRPr="00455FCD" w:rsidRDefault="00CE65B6" w:rsidP="00474EC0">
            <w:pPr>
              <w:spacing w:after="200"/>
              <w:contextualSpacing/>
              <w:rPr>
                <w:rFonts w:ascii="Garamond" w:hAnsi="Garamond"/>
                <w:sz w:val="24"/>
                <w:szCs w:val="24"/>
              </w:rPr>
            </w:pPr>
          </w:p>
        </w:tc>
        <w:tc>
          <w:tcPr>
            <w:tcW w:w="1272" w:type="dxa"/>
          </w:tcPr>
          <w:p w14:paraId="75648D0D"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Std. Dev.</w:t>
            </w:r>
          </w:p>
        </w:tc>
        <w:tc>
          <w:tcPr>
            <w:tcW w:w="1305" w:type="dxa"/>
          </w:tcPr>
          <w:p w14:paraId="2D842688" w14:textId="1F704C88"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1.</w:t>
            </w:r>
            <w:r w:rsidR="00571008" w:rsidRPr="00455FCD">
              <w:rPr>
                <w:rFonts w:ascii="Garamond" w:hAnsi="Garamond"/>
                <w:sz w:val="24"/>
                <w:szCs w:val="24"/>
              </w:rPr>
              <w:t>3</w:t>
            </w:r>
            <w:r w:rsidR="006267F1" w:rsidRPr="00455FCD">
              <w:rPr>
                <w:rFonts w:ascii="Garamond" w:hAnsi="Garamond"/>
                <w:sz w:val="24"/>
                <w:szCs w:val="24"/>
              </w:rPr>
              <w:t>244</w:t>
            </w:r>
          </w:p>
        </w:tc>
        <w:tc>
          <w:tcPr>
            <w:tcW w:w="1298" w:type="dxa"/>
          </w:tcPr>
          <w:p w14:paraId="41C6FE28" w14:textId="5091C221"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1.</w:t>
            </w:r>
            <w:r w:rsidR="000B09F7" w:rsidRPr="00455FCD">
              <w:rPr>
                <w:rFonts w:ascii="Garamond" w:hAnsi="Garamond"/>
                <w:sz w:val="24"/>
                <w:szCs w:val="24"/>
              </w:rPr>
              <w:t>1</w:t>
            </w:r>
            <w:r w:rsidR="00FB68BF" w:rsidRPr="00455FCD">
              <w:rPr>
                <w:rFonts w:ascii="Garamond" w:hAnsi="Garamond"/>
                <w:sz w:val="24"/>
                <w:szCs w:val="24"/>
              </w:rPr>
              <w:t>6</w:t>
            </w:r>
            <w:r w:rsidR="000B09F7" w:rsidRPr="00455FCD">
              <w:rPr>
                <w:rFonts w:ascii="Garamond" w:hAnsi="Garamond"/>
                <w:sz w:val="24"/>
                <w:szCs w:val="24"/>
              </w:rPr>
              <w:t>42</w:t>
            </w:r>
          </w:p>
        </w:tc>
        <w:tc>
          <w:tcPr>
            <w:tcW w:w="1305" w:type="dxa"/>
          </w:tcPr>
          <w:p w14:paraId="0A111AB4" w14:textId="3AF76601"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w:t>
            </w:r>
            <w:r w:rsidR="00FB68BF" w:rsidRPr="00455FCD">
              <w:rPr>
                <w:rFonts w:ascii="Garamond" w:hAnsi="Garamond"/>
                <w:sz w:val="24"/>
                <w:szCs w:val="24"/>
              </w:rPr>
              <w:t>688</w:t>
            </w:r>
            <w:r w:rsidRPr="00455FCD">
              <w:rPr>
                <w:rFonts w:ascii="Garamond" w:hAnsi="Garamond"/>
                <w:sz w:val="24"/>
                <w:szCs w:val="24"/>
              </w:rPr>
              <w:t>7</w:t>
            </w:r>
          </w:p>
        </w:tc>
        <w:tc>
          <w:tcPr>
            <w:tcW w:w="1382" w:type="dxa"/>
          </w:tcPr>
          <w:p w14:paraId="4D3A1A85" w14:textId="2D2803B7"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w:t>
            </w:r>
            <w:r w:rsidR="000B09F7" w:rsidRPr="00455FCD">
              <w:rPr>
                <w:rFonts w:ascii="Garamond" w:hAnsi="Garamond"/>
                <w:sz w:val="24"/>
                <w:szCs w:val="24"/>
              </w:rPr>
              <w:t>6</w:t>
            </w:r>
            <w:r w:rsidR="007557E5" w:rsidRPr="00455FCD">
              <w:rPr>
                <w:rFonts w:ascii="Garamond" w:hAnsi="Garamond"/>
                <w:sz w:val="24"/>
                <w:szCs w:val="24"/>
              </w:rPr>
              <w:t>6</w:t>
            </w:r>
            <w:r w:rsidR="000B09F7" w:rsidRPr="00455FCD">
              <w:rPr>
                <w:rFonts w:ascii="Garamond" w:hAnsi="Garamond"/>
                <w:sz w:val="24"/>
                <w:szCs w:val="24"/>
              </w:rPr>
              <w:t>49</w:t>
            </w:r>
          </w:p>
        </w:tc>
        <w:tc>
          <w:tcPr>
            <w:tcW w:w="1310" w:type="dxa"/>
          </w:tcPr>
          <w:p w14:paraId="491843D2" w14:textId="27ECFE1F"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w:t>
            </w:r>
            <w:r w:rsidR="00AC0C31" w:rsidRPr="00455FCD">
              <w:rPr>
                <w:rFonts w:ascii="Garamond" w:hAnsi="Garamond"/>
                <w:sz w:val="24"/>
                <w:szCs w:val="24"/>
              </w:rPr>
              <w:t>6</w:t>
            </w:r>
            <w:r w:rsidR="00F07883" w:rsidRPr="00455FCD">
              <w:rPr>
                <w:rFonts w:ascii="Garamond" w:hAnsi="Garamond"/>
                <w:sz w:val="24"/>
                <w:szCs w:val="24"/>
              </w:rPr>
              <w:t>54</w:t>
            </w:r>
            <w:r w:rsidR="00AC0C31" w:rsidRPr="00455FCD">
              <w:rPr>
                <w:rFonts w:ascii="Garamond" w:hAnsi="Garamond"/>
                <w:sz w:val="24"/>
                <w:szCs w:val="24"/>
              </w:rPr>
              <w:t>4</w:t>
            </w:r>
          </w:p>
        </w:tc>
      </w:tr>
      <w:tr w:rsidR="000C207C" w:rsidRPr="00455FCD" w14:paraId="4A873DA1" w14:textId="77777777" w:rsidTr="001B7743">
        <w:trPr>
          <w:jc w:val="center"/>
        </w:trPr>
        <w:tc>
          <w:tcPr>
            <w:tcW w:w="1370" w:type="dxa"/>
          </w:tcPr>
          <w:p w14:paraId="5A1D1A2D"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High</w:t>
            </w:r>
          </w:p>
        </w:tc>
        <w:tc>
          <w:tcPr>
            <w:tcW w:w="1272" w:type="dxa"/>
          </w:tcPr>
          <w:p w14:paraId="2982088A"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Mean</w:t>
            </w:r>
          </w:p>
        </w:tc>
        <w:tc>
          <w:tcPr>
            <w:tcW w:w="1305" w:type="dxa"/>
          </w:tcPr>
          <w:p w14:paraId="7C8E67F3" w14:textId="02250057"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w:t>
            </w:r>
            <w:r w:rsidR="000B09F7" w:rsidRPr="00455FCD">
              <w:rPr>
                <w:rFonts w:ascii="Garamond" w:hAnsi="Garamond"/>
                <w:sz w:val="24"/>
                <w:szCs w:val="24"/>
              </w:rPr>
              <w:t>11</w:t>
            </w:r>
            <w:r w:rsidR="001214A5" w:rsidRPr="00455FCD">
              <w:rPr>
                <w:rFonts w:ascii="Garamond" w:hAnsi="Garamond"/>
                <w:sz w:val="24"/>
                <w:szCs w:val="24"/>
              </w:rPr>
              <w:t>54</w:t>
            </w:r>
          </w:p>
        </w:tc>
        <w:tc>
          <w:tcPr>
            <w:tcW w:w="1298" w:type="dxa"/>
          </w:tcPr>
          <w:p w14:paraId="7E36E2F7" w14:textId="3B2C3902"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w:t>
            </w:r>
            <w:r w:rsidR="000B09F7" w:rsidRPr="00455FCD">
              <w:rPr>
                <w:rFonts w:ascii="Garamond" w:hAnsi="Garamond"/>
                <w:sz w:val="24"/>
                <w:szCs w:val="24"/>
              </w:rPr>
              <w:t>10</w:t>
            </w:r>
            <w:r w:rsidR="00C10828" w:rsidRPr="00455FCD">
              <w:rPr>
                <w:rFonts w:ascii="Garamond" w:hAnsi="Garamond"/>
                <w:sz w:val="24"/>
                <w:szCs w:val="24"/>
              </w:rPr>
              <w:t>18</w:t>
            </w:r>
            <w:r w:rsidRPr="00455FCD">
              <w:rPr>
                <w:rFonts w:ascii="Garamond" w:hAnsi="Garamond"/>
                <w:sz w:val="24"/>
                <w:szCs w:val="24"/>
              </w:rPr>
              <w:t>***</w:t>
            </w:r>
          </w:p>
        </w:tc>
        <w:tc>
          <w:tcPr>
            <w:tcW w:w="1305" w:type="dxa"/>
          </w:tcPr>
          <w:p w14:paraId="1AAE0A28" w14:textId="3CCF0F22"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0.0</w:t>
            </w:r>
            <w:r w:rsidR="000B09F7" w:rsidRPr="00455FCD">
              <w:rPr>
                <w:rFonts w:ascii="Garamond" w:hAnsi="Garamond"/>
                <w:sz w:val="24"/>
                <w:szCs w:val="24"/>
              </w:rPr>
              <w:t>6</w:t>
            </w:r>
            <w:r w:rsidR="00FB68BF" w:rsidRPr="00455FCD">
              <w:rPr>
                <w:rFonts w:ascii="Garamond" w:hAnsi="Garamond"/>
                <w:sz w:val="24"/>
                <w:szCs w:val="24"/>
              </w:rPr>
              <w:t>5</w:t>
            </w:r>
            <w:r w:rsidRPr="00455FCD">
              <w:rPr>
                <w:rFonts w:ascii="Garamond" w:hAnsi="Garamond"/>
                <w:sz w:val="24"/>
                <w:szCs w:val="24"/>
              </w:rPr>
              <w:t>2</w:t>
            </w:r>
          </w:p>
        </w:tc>
        <w:tc>
          <w:tcPr>
            <w:tcW w:w="1382" w:type="dxa"/>
          </w:tcPr>
          <w:p w14:paraId="21C84DB7" w14:textId="1B4D2325"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w:t>
            </w:r>
            <w:r w:rsidR="000B09F7" w:rsidRPr="00455FCD">
              <w:rPr>
                <w:rFonts w:ascii="Garamond" w:hAnsi="Garamond"/>
                <w:sz w:val="24"/>
                <w:szCs w:val="24"/>
              </w:rPr>
              <w:t>0987</w:t>
            </w:r>
            <w:r w:rsidRPr="00455FCD">
              <w:rPr>
                <w:rFonts w:ascii="Garamond" w:hAnsi="Garamond"/>
                <w:sz w:val="24"/>
                <w:szCs w:val="24"/>
              </w:rPr>
              <w:t>***</w:t>
            </w:r>
          </w:p>
        </w:tc>
        <w:tc>
          <w:tcPr>
            <w:tcW w:w="1310" w:type="dxa"/>
          </w:tcPr>
          <w:p w14:paraId="1C5A2D44" w14:textId="27A25091"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-0.0</w:t>
            </w:r>
            <w:r w:rsidR="000B09F7" w:rsidRPr="00455FCD">
              <w:rPr>
                <w:rFonts w:ascii="Garamond" w:hAnsi="Garamond"/>
                <w:sz w:val="24"/>
                <w:szCs w:val="24"/>
              </w:rPr>
              <w:t>0</w:t>
            </w:r>
            <w:r w:rsidR="00FB68BF" w:rsidRPr="00455FCD">
              <w:rPr>
                <w:rFonts w:ascii="Garamond" w:hAnsi="Garamond"/>
                <w:sz w:val="24"/>
                <w:szCs w:val="24"/>
              </w:rPr>
              <w:t>33</w:t>
            </w:r>
          </w:p>
        </w:tc>
      </w:tr>
      <w:tr w:rsidR="000C207C" w:rsidRPr="00455FCD" w14:paraId="51E27124" w14:textId="77777777" w:rsidTr="001B7743">
        <w:trPr>
          <w:jc w:val="center"/>
        </w:trPr>
        <w:tc>
          <w:tcPr>
            <w:tcW w:w="1370" w:type="dxa"/>
            <w:tcBorders>
              <w:bottom w:val="single" w:sz="4" w:space="0" w:color="auto"/>
            </w:tcBorders>
          </w:tcPr>
          <w:p w14:paraId="41541E9B" w14:textId="77777777" w:rsidR="00CE65B6" w:rsidRPr="00455FCD" w:rsidRDefault="00CE65B6" w:rsidP="00474EC0">
            <w:pPr>
              <w:spacing w:after="200"/>
              <w:contextualSpacing/>
              <w:rPr>
                <w:rFonts w:ascii="Garamond" w:hAnsi="Garamond"/>
                <w:sz w:val="24"/>
                <w:szCs w:val="24"/>
              </w:rPr>
            </w:pPr>
          </w:p>
        </w:tc>
        <w:tc>
          <w:tcPr>
            <w:tcW w:w="1272" w:type="dxa"/>
            <w:tcBorders>
              <w:bottom w:val="single" w:sz="4" w:space="0" w:color="auto"/>
            </w:tcBorders>
          </w:tcPr>
          <w:p w14:paraId="53270756" w14:textId="77777777" w:rsidR="00CE65B6" w:rsidRPr="00455FCD" w:rsidRDefault="00CE65B6" w:rsidP="00474EC0">
            <w:pPr>
              <w:spacing w:after="200"/>
              <w:contextualSpacing/>
              <w:rPr>
                <w:rFonts w:ascii="Garamond" w:hAnsi="Garamond"/>
                <w:sz w:val="24"/>
                <w:szCs w:val="24"/>
              </w:rPr>
            </w:pPr>
            <w:r w:rsidRPr="00455FCD">
              <w:rPr>
                <w:rFonts w:ascii="Garamond" w:hAnsi="Garamond"/>
                <w:sz w:val="24"/>
                <w:szCs w:val="24"/>
              </w:rPr>
              <w:t>Std. Dev.</w:t>
            </w:r>
          </w:p>
        </w:tc>
        <w:tc>
          <w:tcPr>
            <w:tcW w:w="1305" w:type="dxa"/>
            <w:tcBorders>
              <w:bottom w:val="single" w:sz="4" w:space="0" w:color="auto"/>
            </w:tcBorders>
          </w:tcPr>
          <w:p w14:paraId="1B513EB8" w14:textId="35FFEC79" w:rsidR="00CE65B6" w:rsidRPr="00455FCD" w:rsidRDefault="00FB68BF" w:rsidP="007557E5">
            <w:pPr>
              <w:spacing w:after="200"/>
              <w:contextualSpacing/>
              <w:jc w:val="center"/>
              <w:rPr>
                <w:rFonts w:ascii="Garamond" w:hAnsi="Garamond"/>
                <w:sz w:val="24"/>
                <w:szCs w:val="24"/>
              </w:rPr>
            </w:pPr>
            <w:r w:rsidRPr="00455FCD">
              <w:rPr>
                <w:rFonts w:ascii="Garamond" w:hAnsi="Garamond"/>
                <w:sz w:val="24"/>
                <w:szCs w:val="24"/>
              </w:rPr>
              <w:t>1</w:t>
            </w:r>
            <w:r w:rsidR="00CE65B6" w:rsidRPr="00455FCD">
              <w:rPr>
                <w:rFonts w:ascii="Garamond" w:hAnsi="Garamond"/>
                <w:sz w:val="24"/>
                <w:szCs w:val="24"/>
              </w:rPr>
              <w:t>.</w:t>
            </w:r>
            <w:r w:rsidRPr="00455FCD">
              <w:rPr>
                <w:rFonts w:ascii="Garamond" w:hAnsi="Garamond"/>
                <w:sz w:val="24"/>
                <w:szCs w:val="24"/>
              </w:rPr>
              <w:t>01</w:t>
            </w:r>
            <w:r w:rsidR="00CE65B6" w:rsidRPr="00455FCD">
              <w:rPr>
                <w:rFonts w:ascii="Garamond" w:hAnsi="Garamond"/>
                <w:sz w:val="24"/>
                <w:szCs w:val="24"/>
              </w:rPr>
              <w:t>9</w:t>
            </w:r>
            <w:r w:rsidR="007557E5" w:rsidRPr="00455FCD">
              <w:rPr>
                <w:rFonts w:ascii="Garamond" w:hAnsi="Garamond"/>
                <w:sz w:val="24"/>
                <w:szCs w:val="24"/>
              </w:rPr>
              <w:t>6</w:t>
            </w:r>
          </w:p>
        </w:tc>
        <w:tc>
          <w:tcPr>
            <w:tcW w:w="1298" w:type="dxa"/>
            <w:tcBorders>
              <w:bottom w:val="single" w:sz="4" w:space="0" w:color="auto"/>
            </w:tcBorders>
          </w:tcPr>
          <w:p w14:paraId="16DFCF78" w14:textId="4E4AE663"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1.</w:t>
            </w:r>
            <w:r w:rsidR="000B09F7" w:rsidRPr="00455FCD">
              <w:rPr>
                <w:rFonts w:ascii="Garamond" w:hAnsi="Garamond"/>
                <w:sz w:val="24"/>
                <w:szCs w:val="24"/>
              </w:rPr>
              <w:t>1435</w:t>
            </w:r>
          </w:p>
        </w:tc>
        <w:tc>
          <w:tcPr>
            <w:tcW w:w="1305" w:type="dxa"/>
            <w:tcBorders>
              <w:bottom w:val="single" w:sz="4" w:space="0" w:color="auto"/>
            </w:tcBorders>
          </w:tcPr>
          <w:p w14:paraId="2326F208" w14:textId="5A57580D"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w:t>
            </w:r>
            <w:r w:rsidR="00FB68BF" w:rsidRPr="00455FCD">
              <w:rPr>
                <w:rFonts w:ascii="Garamond" w:hAnsi="Garamond"/>
                <w:sz w:val="24"/>
                <w:szCs w:val="24"/>
              </w:rPr>
              <w:t>9</w:t>
            </w:r>
            <w:r w:rsidR="007557E5" w:rsidRPr="00455FCD">
              <w:rPr>
                <w:rFonts w:ascii="Garamond" w:hAnsi="Garamond"/>
                <w:sz w:val="24"/>
                <w:szCs w:val="24"/>
              </w:rPr>
              <w:t>9</w:t>
            </w:r>
            <w:r w:rsidRPr="00455FCD">
              <w:rPr>
                <w:rFonts w:ascii="Garamond" w:hAnsi="Garamond"/>
                <w:sz w:val="24"/>
                <w:szCs w:val="24"/>
              </w:rPr>
              <w:t>7</w:t>
            </w:r>
            <w:r w:rsidR="00FB68BF" w:rsidRPr="00455FCD">
              <w:rPr>
                <w:rFonts w:ascii="Garamond" w:hAnsi="Garamond"/>
                <w:sz w:val="24"/>
                <w:szCs w:val="24"/>
              </w:rPr>
              <w:t>6</w:t>
            </w:r>
          </w:p>
        </w:tc>
        <w:tc>
          <w:tcPr>
            <w:tcW w:w="1382" w:type="dxa"/>
            <w:tcBorders>
              <w:bottom w:val="single" w:sz="4" w:space="0" w:color="auto"/>
            </w:tcBorders>
          </w:tcPr>
          <w:p w14:paraId="281FE2AB" w14:textId="6F1077A7" w:rsidR="00CE65B6" w:rsidRPr="00455FCD" w:rsidRDefault="00CE65B6" w:rsidP="007557E5">
            <w:pPr>
              <w:spacing w:after="200"/>
              <w:contextualSpacing/>
              <w:jc w:val="center"/>
              <w:rPr>
                <w:rFonts w:ascii="Garamond" w:hAnsi="Garamond"/>
                <w:sz w:val="24"/>
                <w:szCs w:val="24"/>
              </w:rPr>
            </w:pPr>
            <w:r w:rsidRPr="00455FCD">
              <w:rPr>
                <w:rFonts w:ascii="Garamond" w:hAnsi="Garamond"/>
                <w:sz w:val="24"/>
                <w:szCs w:val="24"/>
              </w:rPr>
              <w:t>0.</w:t>
            </w:r>
            <w:r w:rsidR="00FB68BF" w:rsidRPr="00455FCD">
              <w:rPr>
                <w:rFonts w:ascii="Garamond" w:hAnsi="Garamond"/>
                <w:sz w:val="24"/>
                <w:szCs w:val="24"/>
              </w:rPr>
              <w:t>9873</w:t>
            </w:r>
          </w:p>
        </w:tc>
        <w:tc>
          <w:tcPr>
            <w:tcW w:w="1310" w:type="dxa"/>
            <w:tcBorders>
              <w:bottom w:val="single" w:sz="4" w:space="0" w:color="auto"/>
            </w:tcBorders>
          </w:tcPr>
          <w:p w14:paraId="6A4771B7" w14:textId="24E4B5A8" w:rsidR="00CE65B6" w:rsidRPr="00455FCD" w:rsidRDefault="000B09F7" w:rsidP="007557E5">
            <w:pPr>
              <w:spacing w:after="200"/>
              <w:contextualSpacing/>
              <w:jc w:val="center"/>
              <w:rPr>
                <w:rFonts w:ascii="Garamond" w:hAnsi="Garamond"/>
                <w:sz w:val="24"/>
                <w:szCs w:val="24"/>
              </w:rPr>
            </w:pPr>
            <w:r w:rsidRPr="00455FCD">
              <w:rPr>
                <w:rFonts w:ascii="Garamond" w:hAnsi="Garamond"/>
                <w:sz w:val="24"/>
                <w:szCs w:val="24"/>
              </w:rPr>
              <w:t>0</w:t>
            </w:r>
            <w:r w:rsidR="00CE65B6" w:rsidRPr="00455FCD">
              <w:rPr>
                <w:rFonts w:ascii="Garamond" w:hAnsi="Garamond"/>
                <w:sz w:val="24"/>
                <w:szCs w:val="24"/>
              </w:rPr>
              <w:t>.</w:t>
            </w:r>
            <w:r w:rsidR="00FB68BF" w:rsidRPr="00455FCD">
              <w:rPr>
                <w:rFonts w:ascii="Garamond" w:hAnsi="Garamond"/>
                <w:sz w:val="24"/>
                <w:szCs w:val="24"/>
              </w:rPr>
              <w:t>722</w:t>
            </w:r>
            <w:r w:rsidRPr="00455FCD">
              <w:rPr>
                <w:rFonts w:ascii="Garamond" w:hAnsi="Garamond"/>
                <w:sz w:val="24"/>
                <w:szCs w:val="24"/>
              </w:rPr>
              <w:t>3</w:t>
            </w:r>
          </w:p>
        </w:tc>
      </w:tr>
    </w:tbl>
    <w:bookmarkEnd w:id="10"/>
    <w:p w14:paraId="65EB9CFA" w14:textId="2AA66912" w:rsidR="00CE65B6" w:rsidRPr="00E75964" w:rsidRDefault="00455FCD" w:rsidP="00474EC0">
      <w:pPr>
        <w:spacing w:line="240" w:lineRule="auto"/>
        <w:contextualSpacing/>
        <w:rPr>
          <w:rFonts w:ascii="Garamond" w:hAnsi="Garamond"/>
        </w:rPr>
      </w:pPr>
      <w:r>
        <w:rPr>
          <w:rFonts w:ascii="Garamond" w:hAnsi="Garamond"/>
        </w:rPr>
        <w:t xml:space="preserve">Note: </w:t>
      </w:r>
      <w:r w:rsidR="00CE65B6" w:rsidRPr="00E75964">
        <w:rPr>
          <w:rFonts w:ascii="Garamond" w:hAnsi="Garamond"/>
        </w:rPr>
        <w:t>All data are in percent.</w:t>
      </w:r>
      <w:r>
        <w:rPr>
          <w:rFonts w:ascii="Garamond" w:hAnsi="Garamond"/>
        </w:rPr>
        <w:t xml:space="preserve"> </w:t>
      </w:r>
      <w:r w:rsidR="00CA2F95" w:rsidRPr="00E75964">
        <w:rPr>
          <w:rFonts w:ascii="Garamond" w:hAnsi="Garamond"/>
        </w:rPr>
        <w:t>**</w:t>
      </w:r>
      <w:r w:rsidR="00CE65B6" w:rsidRPr="00E75964">
        <w:rPr>
          <w:rFonts w:ascii="Garamond" w:hAnsi="Garamond"/>
        </w:rPr>
        <w:t>*, ** and * indicate significance at the 1%, 5% and 1</w:t>
      </w:r>
      <w:r w:rsidR="00CA2F95" w:rsidRPr="00E75964">
        <w:rPr>
          <w:rFonts w:ascii="Garamond" w:hAnsi="Garamond"/>
        </w:rPr>
        <w:t>0</w:t>
      </w:r>
      <w:r w:rsidR="00CE65B6" w:rsidRPr="00E75964">
        <w:rPr>
          <w:rFonts w:ascii="Garamond" w:hAnsi="Garamond"/>
        </w:rPr>
        <w:t xml:space="preserve">% levels respectively. The standard deviations for each portfolio are found </w:t>
      </w:r>
      <w:r>
        <w:rPr>
          <w:rFonts w:ascii="Garamond" w:hAnsi="Garamond"/>
        </w:rPr>
        <w:t xml:space="preserve">to be </w:t>
      </w:r>
      <w:r w:rsidR="00CE65B6" w:rsidRPr="00E75964">
        <w:rPr>
          <w:rFonts w:ascii="Garamond" w:hAnsi="Garamond"/>
        </w:rPr>
        <w:t xml:space="preserve">statistically significant at </w:t>
      </w:r>
      <w:r>
        <w:rPr>
          <w:rFonts w:ascii="Garamond" w:hAnsi="Garamond"/>
        </w:rPr>
        <w:t xml:space="preserve">the </w:t>
      </w:r>
      <w:r w:rsidR="00CE65B6" w:rsidRPr="00E75964">
        <w:rPr>
          <w:rFonts w:ascii="Garamond" w:hAnsi="Garamond"/>
        </w:rPr>
        <w:t>1 percent level.</w:t>
      </w:r>
    </w:p>
    <w:p w14:paraId="1AF20774" w14:textId="77777777" w:rsidR="00CE65B6" w:rsidRPr="00E75964" w:rsidRDefault="00CE65B6" w:rsidP="00CD604B">
      <w:pPr>
        <w:spacing w:line="360" w:lineRule="auto"/>
        <w:jc w:val="both"/>
        <w:rPr>
          <w:rFonts w:ascii="Garamond" w:hAnsi="Garamond"/>
          <w:sz w:val="24"/>
          <w:szCs w:val="24"/>
        </w:rPr>
      </w:pPr>
    </w:p>
    <w:p w14:paraId="52149E71" w14:textId="0E59B4FF" w:rsidR="00CE65B6" w:rsidRPr="00E75964" w:rsidRDefault="001214A5" w:rsidP="00CD604B">
      <w:pPr>
        <w:spacing w:line="360" w:lineRule="auto"/>
        <w:jc w:val="both"/>
        <w:rPr>
          <w:rFonts w:ascii="Garamond" w:hAnsi="Garamond"/>
          <w:sz w:val="24"/>
          <w:szCs w:val="24"/>
        </w:rPr>
      </w:pPr>
      <w:r w:rsidRPr="00E75964">
        <w:rPr>
          <w:rFonts w:ascii="Garamond" w:hAnsi="Garamond"/>
          <w:sz w:val="24"/>
          <w:szCs w:val="24"/>
        </w:rPr>
        <w:t>T</w:t>
      </w:r>
      <w:r w:rsidR="00CE65B6" w:rsidRPr="00E75964">
        <w:rPr>
          <w:rFonts w:ascii="Garamond" w:hAnsi="Garamond"/>
          <w:sz w:val="24"/>
          <w:szCs w:val="24"/>
        </w:rPr>
        <w:t xml:space="preserve">he returns </w:t>
      </w:r>
      <w:r w:rsidRPr="00E75964">
        <w:rPr>
          <w:rFonts w:ascii="Garamond" w:hAnsi="Garamond"/>
          <w:sz w:val="24"/>
          <w:szCs w:val="24"/>
        </w:rPr>
        <w:t xml:space="preserve">of </w:t>
      </w:r>
      <w:r w:rsidR="00546BEF" w:rsidRPr="00E75964">
        <w:rPr>
          <w:rFonts w:ascii="Garamond" w:hAnsi="Garamond"/>
          <w:sz w:val="24"/>
          <w:szCs w:val="24"/>
        </w:rPr>
        <w:t xml:space="preserve">the </w:t>
      </w:r>
      <w:r w:rsidRPr="00E75964">
        <w:rPr>
          <w:rFonts w:ascii="Garamond" w:hAnsi="Garamond"/>
          <w:sz w:val="24"/>
          <w:szCs w:val="24"/>
        </w:rPr>
        <w:t xml:space="preserve">smallest 20 percent and mid-sized portfolios </w:t>
      </w:r>
      <w:r w:rsidR="00CE65B6" w:rsidRPr="00E75964">
        <w:rPr>
          <w:rFonts w:ascii="Garamond" w:hAnsi="Garamond"/>
          <w:sz w:val="24"/>
          <w:szCs w:val="24"/>
        </w:rPr>
        <w:t>are negative (-0.1</w:t>
      </w:r>
      <w:r w:rsidR="000B09F7" w:rsidRPr="00E75964">
        <w:rPr>
          <w:rFonts w:ascii="Garamond" w:hAnsi="Garamond"/>
          <w:sz w:val="24"/>
          <w:szCs w:val="24"/>
        </w:rPr>
        <w:t>6</w:t>
      </w:r>
      <w:r w:rsidR="000C207C" w:rsidRPr="00E75964">
        <w:rPr>
          <w:rFonts w:ascii="Garamond" w:hAnsi="Garamond"/>
          <w:sz w:val="24"/>
          <w:szCs w:val="24"/>
        </w:rPr>
        <w:t>36</w:t>
      </w:r>
      <w:r w:rsidR="00CE65B6" w:rsidRPr="00E75964">
        <w:rPr>
          <w:rFonts w:ascii="Garamond" w:hAnsi="Garamond"/>
          <w:sz w:val="24"/>
          <w:szCs w:val="24"/>
        </w:rPr>
        <w:t>%</w:t>
      </w:r>
      <w:r w:rsidRPr="00E75964">
        <w:rPr>
          <w:rFonts w:ascii="Garamond" w:hAnsi="Garamond"/>
          <w:sz w:val="24"/>
          <w:szCs w:val="24"/>
        </w:rPr>
        <w:t xml:space="preserve"> and -0.0</w:t>
      </w:r>
      <w:r w:rsidR="009B22C4" w:rsidRPr="00E75964">
        <w:rPr>
          <w:rFonts w:ascii="Garamond" w:hAnsi="Garamond"/>
          <w:sz w:val="24"/>
          <w:szCs w:val="24"/>
        </w:rPr>
        <w:t>463</w:t>
      </w:r>
      <w:r w:rsidR="000C207C" w:rsidRPr="00E75964">
        <w:rPr>
          <w:rFonts w:ascii="Garamond" w:hAnsi="Garamond"/>
          <w:sz w:val="24"/>
          <w:szCs w:val="24"/>
        </w:rPr>
        <w:t>%</w:t>
      </w:r>
      <w:r w:rsidR="00CE65B6" w:rsidRPr="00E75964">
        <w:rPr>
          <w:rFonts w:ascii="Garamond" w:hAnsi="Garamond"/>
          <w:sz w:val="24"/>
          <w:szCs w:val="24"/>
        </w:rPr>
        <w:t>)</w:t>
      </w:r>
      <w:r w:rsidR="009B22C4" w:rsidRPr="00E75964">
        <w:rPr>
          <w:rFonts w:ascii="Garamond" w:hAnsi="Garamond"/>
          <w:sz w:val="24"/>
          <w:szCs w:val="24"/>
        </w:rPr>
        <w:t xml:space="preserve"> on Sunday</w:t>
      </w:r>
      <w:r w:rsidR="00CE65B6" w:rsidRPr="00E75964">
        <w:rPr>
          <w:rFonts w:ascii="Garamond" w:hAnsi="Garamond"/>
          <w:sz w:val="24"/>
          <w:szCs w:val="24"/>
        </w:rPr>
        <w:t xml:space="preserve"> and statistically significant at the 1% </w:t>
      </w:r>
      <w:r w:rsidR="000C207C" w:rsidRPr="00E75964">
        <w:rPr>
          <w:rFonts w:ascii="Garamond" w:hAnsi="Garamond"/>
          <w:sz w:val="24"/>
          <w:szCs w:val="24"/>
        </w:rPr>
        <w:t xml:space="preserve">and 5% </w:t>
      </w:r>
      <w:r w:rsidR="00CE65B6" w:rsidRPr="00E75964">
        <w:rPr>
          <w:rFonts w:ascii="Garamond" w:hAnsi="Garamond"/>
          <w:sz w:val="24"/>
          <w:szCs w:val="24"/>
        </w:rPr>
        <w:t>level</w:t>
      </w:r>
      <w:r w:rsidR="00455FCD">
        <w:rPr>
          <w:rFonts w:ascii="Garamond" w:hAnsi="Garamond"/>
          <w:sz w:val="24"/>
          <w:szCs w:val="24"/>
        </w:rPr>
        <w:t>s</w:t>
      </w:r>
      <w:r w:rsidR="00CE65B6" w:rsidRPr="00E75964">
        <w:rPr>
          <w:rFonts w:ascii="Garamond" w:hAnsi="Garamond"/>
          <w:sz w:val="24"/>
          <w:szCs w:val="24"/>
        </w:rPr>
        <w:t xml:space="preserve">. However, for the largest portfolios mean returns are positive </w:t>
      </w:r>
      <w:r w:rsidR="009B22C4" w:rsidRPr="00E75964">
        <w:rPr>
          <w:rFonts w:ascii="Garamond" w:hAnsi="Garamond"/>
          <w:sz w:val="24"/>
          <w:szCs w:val="24"/>
        </w:rPr>
        <w:t xml:space="preserve">on this opening day </w:t>
      </w:r>
      <w:r w:rsidR="00CE65B6" w:rsidRPr="00E75964">
        <w:rPr>
          <w:rFonts w:ascii="Garamond" w:hAnsi="Garamond"/>
          <w:sz w:val="24"/>
          <w:szCs w:val="24"/>
        </w:rPr>
        <w:t>(0.</w:t>
      </w:r>
      <w:r w:rsidR="000B09F7" w:rsidRPr="00E75964">
        <w:rPr>
          <w:rFonts w:ascii="Garamond" w:hAnsi="Garamond"/>
          <w:sz w:val="24"/>
          <w:szCs w:val="24"/>
        </w:rPr>
        <w:t>14</w:t>
      </w:r>
      <w:r w:rsidR="00C46B45" w:rsidRPr="00E75964">
        <w:rPr>
          <w:rFonts w:ascii="Garamond" w:hAnsi="Garamond"/>
          <w:sz w:val="24"/>
          <w:szCs w:val="24"/>
        </w:rPr>
        <w:t>9</w:t>
      </w:r>
      <w:r w:rsidR="000B09F7" w:rsidRPr="00E75964">
        <w:rPr>
          <w:rFonts w:ascii="Garamond" w:hAnsi="Garamond"/>
          <w:sz w:val="24"/>
          <w:szCs w:val="24"/>
        </w:rPr>
        <w:t>5</w:t>
      </w:r>
      <w:r w:rsidR="00CE65B6" w:rsidRPr="00E75964">
        <w:rPr>
          <w:rFonts w:ascii="Garamond" w:hAnsi="Garamond"/>
          <w:sz w:val="24"/>
          <w:szCs w:val="24"/>
        </w:rPr>
        <w:t xml:space="preserve"> percent)</w:t>
      </w:r>
      <w:r w:rsidR="000C207C" w:rsidRPr="00E75964">
        <w:rPr>
          <w:rFonts w:ascii="Garamond" w:hAnsi="Garamond"/>
          <w:sz w:val="24"/>
          <w:szCs w:val="24"/>
        </w:rPr>
        <w:t>, which is also</w:t>
      </w:r>
      <w:r w:rsidR="00CE65B6" w:rsidRPr="00E75964">
        <w:rPr>
          <w:rFonts w:ascii="Garamond" w:hAnsi="Garamond"/>
          <w:sz w:val="24"/>
          <w:szCs w:val="24"/>
        </w:rPr>
        <w:t xml:space="preserve"> </w:t>
      </w:r>
      <w:r w:rsidR="000C207C" w:rsidRPr="00E75964">
        <w:rPr>
          <w:rFonts w:ascii="Garamond" w:hAnsi="Garamond"/>
          <w:sz w:val="24"/>
          <w:szCs w:val="24"/>
        </w:rPr>
        <w:t>st</w:t>
      </w:r>
      <w:r w:rsidR="00CE65B6" w:rsidRPr="00E75964">
        <w:rPr>
          <w:rFonts w:ascii="Garamond" w:hAnsi="Garamond"/>
          <w:sz w:val="24"/>
          <w:szCs w:val="24"/>
        </w:rPr>
        <w:t>atistically significant. Th</w:t>
      </w:r>
      <w:r w:rsidR="000C207C" w:rsidRPr="00E75964">
        <w:rPr>
          <w:rFonts w:ascii="Garamond" w:hAnsi="Garamond"/>
          <w:sz w:val="24"/>
          <w:szCs w:val="24"/>
        </w:rPr>
        <w:t>e</w:t>
      </w:r>
      <w:r w:rsidR="00CE65B6" w:rsidRPr="00E75964">
        <w:rPr>
          <w:rFonts w:ascii="Garamond" w:hAnsi="Garamond"/>
          <w:sz w:val="24"/>
          <w:szCs w:val="24"/>
        </w:rPr>
        <w:t>s</w:t>
      </w:r>
      <w:r w:rsidR="000C207C" w:rsidRPr="00E75964">
        <w:rPr>
          <w:rFonts w:ascii="Garamond" w:hAnsi="Garamond"/>
          <w:sz w:val="24"/>
          <w:szCs w:val="24"/>
        </w:rPr>
        <w:t>e</w:t>
      </w:r>
      <w:r w:rsidR="00CE65B6" w:rsidRPr="00E75964">
        <w:rPr>
          <w:rFonts w:ascii="Garamond" w:hAnsi="Garamond"/>
          <w:sz w:val="24"/>
          <w:szCs w:val="24"/>
        </w:rPr>
        <w:t xml:space="preserve"> result</w:t>
      </w:r>
      <w:r w:rsidR="000C207C" w:rsidRPr="00E75964">
        <w:rPr>
          <w:rFonts w:ascii="Garamond" w:hAnsi="Garamond"/>
          <w:sz w:val="24"/>
          <w:szCs w:val="24"/>
        </w:rPr>
        <w:t>s</w:t>
      </w:r>
      <w:r w:rsidR="00FB68BF" w:rsidRPr="00E75964">
        <w:rPr>
          <w:rFonts w:ascii="Garamond" w:hAnsi="Garamond"/>
          <w:sz w:val="24"/>
          <w:szCs w:val="24"/>
        </w:rPr>
        <w:t>, therefore, further</w:t>
      </w:r>
      <w:r w:rsidR="00CE65B6" w:rsidRPr="00E75964">
        <w:rPr>
          <w:rFonts w:ascii="Garamond" w:hAnsi="Garamond"/>
          <w:sz w:val="24"/>
          <w:szCs w:val="24"/>
        </w:rPr>
        <w:t xml:space="preserve"> lend weight to our hypothesis that substantial trading of smaller firms is what influences the Sunday returns to be negative. For the US equity market Abraham and Ikenberry (1994) and Brusa et al. (2000, 2005) also report that mean returns of smaller portfolios are negative on Monday and claim </w:t>
      </w:r>
      <w:r w:rsidR="00455FCD">
        <w:rPr>
          <w:rFonts w:ascii="Garamond" w:hAnsi="Garamond"/>
          <w:sz w:val="24"/>
          <w:szCs w:val="24"/>
        </w:rPr>
        <w:t xml:space="preserve">that </w:t>
      </w:r>
      <w:r w:rsidR="00CE65B6" w:rsidRPr="00E75964">
        <w:rPr>
          <w:rFonts w:ascii="Garamond" w:hAnsi="Garamond"/>
          <w:sz w:val="24"/>
          <w:szCs w:val="24"/>
        </w:rPr>
        <w:t xml:space="preserve">this is due to the trading pattern of individual investors. The mean returns of the smallest 20 percent of firms are also negative on </w:t>
      </w:r>
      <w:r w:rsidR="000C207C" w:rsidRPr="00E75964">
        <w:rPr>
          <w:rFonts w:ascii="Garamond" w:hAnsi="Garamond"/>
          <w:sz w:val="24"/>
          <w:szCs w:val="24"/>
        </w:rPr>
        <w:t>Tues</w:t>
      </w:r>
      <w:r w:rsidR="00CE65B6" w:rsidRPr="00E75964">
        <w:rPr>
          <w:rFonts w:ascii="Garamond" w:hAnsi="Garamond"/>
          <w:sz w:val="24"/>
          <w:szCs w:val="24"/>
        </w:rPr>
        <w:t>day (-0.0</w:t>
      </w:r>
      <w:r w:rsidR="000C207C" w:rsidRPr="00E75964">
        <w:rPr>
          <w:rFonts w:ascii="Garamond" w:hAnsi="Garamond"/>
          <w:sz w:val="24"/>
          <w:szCs w:val="24"/>
        </w:rPr>
        <w:t>1</w:t>
      </w:r>
      <w:r w:rsidR="00FB68BF" w:rsidRPr="00E75964">
        <w:rPr>
          <w:rFonts w:ascii="Garamond" w:hAnsi="Garamond"/>
          <w:sz w:val="24"/>
          <w:szCs w:val="24"/>
        </w:rPr>
        <w:t>9</w:t>
      </w:r>
      <w:r w:rsidR="00CE65B6" w:rsidRPr="00E75964">
        <w:rPr>
          <w:rFonts w:ascii="Garamond" w:hAnsi="Garamond"/>
          <w:sz w:val="24"/>
          <w:szCs w:val="24"/>
        </w:rPr>
        <w:t>%) and Thursday (-0.0</w:t>
      </w:r>
      <w:r w:rsidR="009B22C4" w:rsidRPr="00E75964">
        <w:rPr>
          <w:rFonts w:ascii="Garamond" w:hAnsi="Garamond"/>
          <w:sz w:val="24"/>
          <w:szCs w:val="24"/>
        </w:rPr>
        <w:t>135</w:t>
      </w:r>
      <w:r w:rsidR="00CE65B6" w:rsidRPr="00E75964">
        <w:rPr>
          <w:rFonts w:ascii="Garamond" w:hAnsi="Garamond"/>
          <w:sz w:val="24"/>
          <w:szCs w:val="24"/>
        </w:rPr>
        <w:t xml:space="preserve">%) although </w:t>
      </w:r>
      <w:r w:rsidR="000C207C" w:rsidRPr="00E75964">
        <w:rPr>
          <w:rFonts w:ascii="Garamond" w:hAnsi="Garamond"/>
          <w:sz w:val="24"/>
          <w:szCs w:val="24"/>
        </w:rPr>
        <w:t>only Thursday’s mean returns</w:t>
      </w:r>
      <w:r w:rsidR="00CE65B6" w:rsidRPr="00E75964">
        <w:rPr>
          <w:rFonts w:ascii="Garamond" w:hAnsi="Garamond"/>
          <w:sz w:val="24"/>
          <w:szCs w:val="24"/>
        </w:rPr>
        <w:t xml:space="preserve"> </w:t>
      </w:r>
      <w:r w:rsidR="00455FCD">
        <w:rPr>
          <w:rFonts w:ascii="Garamond" w:hAnsi="Garamond"/>
          <w:sz w:val="24"/>
          <w:szCs w:val="24"/>
        </w:rPr>
        <w:t>are</w:t>
      </w:r>
      <w:r w:rsidR="000C207C" w:rsidRPr="00E75964">
        <w:rPr>
          <w:rFonts w:ascii="Garamond" w:hAnsi="Garamond"/>
          <w:sz w:val="24"/>
          <w:szCs w:val="24"/>
        </w:rPr>
        <w:t xml:space="preserve"> </w:t>
      </w:r>
      <w:r w:rsidR="00CE65B6" w:rsidRPr="00E75964">
        <w:rPr>
          <w:rFonts w:ascii="Garamond" w:hAnsi="Garamond"/>
          <w:sz w:val="24"/>
          <w:szCs w:val="24"/>
        </w:rPr>
        <w:t xml:space="preserve">statistically significant. </w:t>
      </w:r>
      <w:r w:rsidR="00FB68BF" w:rsidRPr="00E75964">
        <w:rPr>
          <w:rFonts w:ascii="Garamond" w:hAnsi="Garamond"/>
          <w:sz w:val="24"/>
          <w:szCs w:val="24"/>
        </w:rPr>
        <w:t xml:space="preserve">Beside Sunday, </w:t>
      </w:r>
      <w:r w:rsidR="00CE65B6" w:rsidRPr="00E75964">
        <w:rPr>
          <w:rFonts w:ascii="Garamond" w:hAnsi="Garamond"/>
          <w:sz w:val="24"/>
          <w:szCs w:val="24"/>
        </w:rPr>
        <w:t xml:space="preserve">the </w:t>
      </w:r>
      <w:r w:rsidR="009B22C4" w:rsidRPr="00E75964">
        <w:rPr>
          <w:rFonts w:ascii="Garamond" w:hAnsi="Garamond"/>
          <w:sz w:val="24"/>
          <w:szCs w:val="24"/>
        </w:rPr>
        <w:t xml:space="preserve">mean returns are only negative for </w:t>
      </w:r>
      <w:r w:rsidR="00546BEF" w:rsidRPr="00E75964">
        <w:rPr>
          <w:rFonts w:ascii="Garamond" w:hAnsi="Garamond"/>
          <w:sz w:val="24"/>
          <w:szCs w:val="24"/>
        </w:rPr>
        <w:t xml:space="preserve">the </w:t>
      </w:r>
      <w:r w:rsidR="009B22C4" w:rsidRPr="00E75964">
        <w:rPr>
          <w:rFonts w:ascii="Garamond" w:hAnsi="Garamond"/>
          <w:sz w:val="24"/>
          <w:szCs w:val="24"/>
        </w:rPr>
        <w:t>mid-sized portfolio on Thursday (-0.0216%)</w:t>
      </w:r>
      <w:r w:rsidR="00455FCD">
        <w:rPr>
          <w:rFonts w:ascii="Garamond" w:hAnsi="Garamond"/>
          <w:sz w:val="24"/>
          <w:szCs w:val="24"/>
        </w:rPr>
        <w:t>. T</w:t>
      </w:r>
      <w:r w:rsidR="00CE65B6" w:rsidRPr="00E75964">
        <w:rPr>
          <w:rFonts w:ascii="Garamond" w:hAnsi="Garamond"/>
          <w:sz w:val="24"/>
          <w:szCs w:val="24"/>
        </w:rPr>
        <w:t xml:space="preserve">hey are positive for other weekdays. The results on </w:t>
      </w:r>
      <w:r w:rsidR="00FB68BF" w:rsidRPr="00E75964">
        <w:rPr>
          <w:rFonts w:ascii="Garamond" w:hAnsi="Garamond"/>
          <w:sz w:val="24"/>
          <w:szCs w:val="24"/>
        </w:rPr>
        <w:t xml:space="preserve">Monday and </w:t>
      </w:r>
      <w:r w:rsidR="00CE65B6" w:rsidRPr="00E75964">
        <w:rPr>
          <w:rFonts w:ascii="Garamond" w:hAnsi="Garamond"/>
          <w:sz w:val="24"/>
          <w:szCs w:val="24"/>
        </w:rPr>
        <w:t xml:space="preserve">Wednesday for the three sub-portfolios are similar to those reported in Table </w:t>
      </w:r>
      <w:r w:rsidR="00804DEB" w:rsidRPr="00E75964">
        <w:rPr>
          <w:rFonts w:ascii="Garamond" w:hAnsi="Garamond"/>
          <w:sz w:val="24"/>
          <w:szCs w:val="24"/>
        </w:rPr>
        <w:t>5</w:t>
      </w:r>
      <w:r w:rsidR="00CE65B6" w:rsidRPr="00E75964">
        <w:rPr>
          <w:rFonts w:ascii="Garamond" w:hAnsi="Garamond"/>
          <w:sz w:val="24"/>
          <w:szCs w:val="24"/>
        </w:rPr>
        <w:t xml:space="preserve">, </w:t>
      </w:r>
      <w:r w:rsidR="00E14B5B" w:rsidRPr="00E75964">
        <w:rPr>
          <w:rFonts w:ascii="Garamond" w:hAnsi="Garamond"/>
          <w:sz w:val="24"/>
          <w:szCs w:val="24"/>
        </w:rPr>
        <w:t>i.e.</w:t>
      </w:r>
      <w:r w:rsidR="00CE65B6" w:rsidRPr="00E75964">
        <w:rPr>
          <w:rFonts w:ascii="Garamond" w:hAnsi="Garamond"/>
          <w:sz w:val="24"/>
          <w:szCs w:val="24"/>
        </w:rPr>
        <w:t xml:space="preserve"> mean returns are all positive and </w:t>
      </w:r>
      <w:r w:rsidR="00FB68BF" w:rsidRPr="00E75964">
        <w:rPr>
          <w:rFonts w:ascii="Garamond" w:hAnsi="Garamond"/>
          <w:sz w:val="24"/>
          <w:szCs w:val="24"/>
        </w:rPr>
        <w:t xml:space="preserve">many of those are </w:t>
      </w:r>
      <w:r w:rsidR="00CE65B6" w:rsidRPr="00E75964">
        <w:rPr>
          <w:rFonts w:ascii="Garamond" w:hAnsi="Garamond"/>
          <w:sz w:val="24"/>
          <w:szCs w:val="24"/>
        </w:rPr>
        <w:t xml:space="preserve">significant at </w:t>
      </w:r>
      <w:r w:rsidR="00FB68BF" w:rsidRPr="00E75964">
        <w:rPr>
          <w:rFonts w:ascii="Garamond" w:hAnsi="Garamond"/>
          <w:sz w:val="24"/>
          <w:szCs w:val="24"/>
        </w:rPr>
        <w:t>different</w:t>
      </w:r>
      <w:r w:rsidR="00CE65B6" w:rsidRPr="00E75964">
        <w:rPr>
          <w:rFonts w:ascii="Garamond" w:hAnsi="Garamond"/>
          <w:sz w:val="24"/>
          <w:szCs w:val="24"/>
        </w:rPr>
        <w:t xml:space="preserve"> level. The standard deviation of the smallest portfolio is the highest (1.</w:t>
      </w:r>
      <w:r w:rsidR="00571008" w:rsidRPr="00E75964">
        <w:rPr>
          <w:rFonts w:ascii="Garamond" w:hAnsi="Garamond"/>
          <w:sz w:val="24"/>
          <w:szCs w:val="24"/>
        </w:rPr>
        <w:t>6445%</w:t>
      </w:r>
      <w:r w:rsidR="00CE65B6" w:rsidRPr="00E75964">
        <w:rPr>
          <w:rFonts w:ascii="Garamond" w:hAnsi="Garamond"/>
          <w:sz w:val="24"/>
          <w:szCs w:val="24"/>
        </w:rPr>
        <w:t>) on Sunday compared to t</w:t>
      </w:r>
      <w:r w:rsidR="00546BEF" w:rsidRPr="00E75964">
        <w:rPr>
          <w:rFonts w:ascii="Garamond" w:hAnsi="Garamond"/>
          <w:sz w:val="24"/>
          <w:szCs w:val="24"/>
        </w:rPr>
        <w:t>he other portfolios on that day.</w:t>
      </w:r>
      <w:r w:rsidR="00CE65B6" w:rsidRPr="00E75964">
        <w:rPr>
          <w:rFonts w:ascii="Garamond" w:hAnsi="Garamond"/>
          <w:sz w:val="24"/>
          <w:szCs w:val="24"/>
        </w:rPr>
        <w:t xml:space="preserve"> </w:t>
      </w:r>
      <w:r w:rsidR="00546BEF" w:rsidRPr="00E75964">
        <w:rPr>
          <w:rFonts w:ascii="Garamond" w:hAnsi="Garamond"/>
          <w:sz w:val="24"/>
          <w:szCs w:val="24"/>
        </w:rPr>
        <w:t>I</w:t>
      </w:r>
      <w:r w:rsidR="00CE65B6" w:rsidRPr="00E75964">
        <w:rPr>
          <w:rFonts w:ascii="Garamond" w:hAnsi="Garamond"/>
          <w:sz w:val="24"/>
          <w:szCs w:val="24"/>
        </w:rPr>
        <w:t xml:space="preserve">t is </w:t>
      </w:r>
      <w:r w:rsidR="00546BEF" w:rsidRPr="00E75964">
        <w:rPr>
          <w:rFonts w:ascii="Garamond" w:hAnsi="Garamond"/>
          <w:sz w:val="24"/>
          <w:szCs w:val="24"/>
        </w:rPr>
        <w:t xml:space="preserve">also </w:t>
      </w:r>
      <w:r w:rsidR="00CE65B6" w:rsidRPr="00E75964">
        <w:rPr>
          <w:rFonts w:ascii="Garamond" w:hAnsi="Garamond"/>
          <w:sz w:val="24"/>
          <w:szCs w:val="24"/>
        </w:rPr>
        <w:t>higher than the standard deviations on any other weekdays for that sub-portfolio. This further indicates that the weekend effect is probably caused by trading in smaller firms.</w:t>
      </w:r>
    </w:p>
    <w:p w14:paraId="7C0F42D1" w14:textId="22814918"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The second half of Table </w:t>
      </w:r>
      <w:r w:rsidR="002B41F8" w:rsidRPr="00E75964">
        <w:rPr>
          <w:rFonts w:ascii="Garamond" w:hAnsi="Garamond"/>
          <w:sz w:val="24"/>
          <w:szCs w:val="24"/>
        </w:rPr>
        <w:t>5</w:t>
      </w:r>
      <w:r w:rsidRPr="00E75964">
        <w:rPr>
          <w:rFonts w:ascii="Garamond" w:hAnsi="Garamond"/>
          <w:sz w:val="24"/>
          <w:szCs w:val="24"/>
        </w:rPr>
        <w:t xml:space="preserve"> shows the mean returns and standard deviations of portfolios based on dividend yield. We divide all the listed firms on DSE into two groups based on their median value of daily dividend yield over the observed sample period. Each group – low DY and high DY - include 50% of all listed firms. Then we calculate value weighted mean returns and standard deviations and apply the conditional variance approach to capture the association between investors’ trading </w:t>
      </w:r>
      <w:r w:rsidR="00EC0E91" w:rsidRPr="00E75964">
        <w:rPr>
          <w:rFonts w:ascii="Garamond" w:hAnsi="Garamond"/>
          <w:sz w:val="24"/>
          <w:szCs w:val="24"/>
        </w:rPr>
        <w:t>behaviour</w:t>
      </w:r>
      <w:r w:rsidRPr="00E75964">
        <w:rPr>
          <w:rFonts w:ascii="Garamond" w:hAnsi="Garamond"/>
          <w:sz w:val="24"/>
          <w:szCs w:val="24"/>
        </w:rPr>
        <w:t xml:space="preserve"> and weekend effect. </w:t>
      </w:r>
      <w:r w:rsidR="00546BEF" w:rsidRPr="00E75964">
        <w:rPr>
          <w:rFonts w:ascii="Garamond" w:hAnsi="Garamond"/>
          <w:sz w:val="24"/>
          <w:szCs w:val="24"/>
        </w:rPr>
        <w:t xml:space="preserve">As for </w:t>
      </w:r>
      <w:r w:rsidRPr="00E75964">
        <w:rPr>
          <w:rFonts w:ascii="Garamond" w:hAnsi="Garamond"/>
          <w:sz w:val="24"/>
          <w:szCs w:val="24"/>
        </w:rPr>
        <w:t xml:space="preserve">firm size, we document some interesting patterns in mean returns when grouping </w:t>
      </w:r>
      <w:r w:rsidR="0025296C" w:rsidRPr="00E75964">
        <w:rPr>
          <w:rFonts w:ascii="Garamond" w:hAnsi="Garamond"/>
          <w:sz w:val="24"/>
          <w:szCs w:val="24"/>
        </w:rPr>
        <w:t xml:space="preserve">stocks </w:t>
      </w:r>
      <w:r w:rsidRPr="00E75964">
        <w:rPr>
          <w:rFonts w:ascii="Garamond" w:hAnsi="Garamond"/>
          <w:sz w:val="24"/>
          <w:szCs w:val="24"/>
        </w:rPr>
        <w:t xml:space="preserve">by dividend yield. First, </w:t>
      </w:r>
      <w:r w:rsidR="00546BEF" w:rsidRPr="00E75964">
        <w:rPr>
          <w:rFonts w:ascii="Garamond" w:hAnsi="Garamond"/>
          <w:sz w:val="24"/>
          <w:szCs w:val="24"/>
        </w:rPr>
        <w:t>returns are</w:t>
      </w:r>
      <w:r w:rsidRPr="00E75964">
        <w:rPr>
          <w:rFonts w:ascii="Garamond" w:hAnsi="Garamond"/>
          <w:sz w:val="24"/>
          <w:szCs w:val="24"/>
        </w:rPr>
        <w:t xml:space="preserve"> negative (-0.0</w:t>
      </w:r>
      <w:r w:rsidR="009B22C4" w:rsidRPr="00E75964">
        <w:rPr>
          <w:rFonts w:ascii="Garamond" w:hAnsi="Garamond"/>
          <w:sz w:val="24"/>
          <w:szCs w:val="24"/>
        </w:rPr>
        <w:t>8</w:t>
      </w:r>
      <w:r w:rsidR="00571008" w:rsidRPr="00E75964">
        <w:rPr>
          <w:rFonts w:ascii="Garamond" w:hAnsi="Garamond"/>
          <w:sz w:val="24"/>
          <w:szCs w:val="24"/>
        </w:rPr>
        <w:t>79</w:t>
      </w:r>
      <w:r w:rsidRPr="00E75964">
        <w:rPr>
          <w:rFonts w:ascii="Garamond" w:hAnsi="Garamond"/>
          <w:sz w:val="24"/>
          <w:szCs w:val="24"/>
        </w:rPr>
        <w:t xml:space="preserve">%) and significant at the </w:t>
      </w:r>
      <w:r w:rsidR="009B22C4" w:rsidRPr="00E75964">
        <w:rPr>
          <w:rFonts w:ascii="Garamond" w:hAnsi="Garamond"/>
          <w:sz w:val="24"/>
          <w:szCs w:val="24"/>
        </w:rPr>
        <w:t>1</w:t>
      </w:r>
      <w:r w:rsidRPr="00E75964">
        <w:rPr>
          <w:rFonts w:ascii="Garamond" w:hAnsi="Garamond"/>
          <w:sz w:val="24"/>
          <w:szCs w:val="24"/>
        </w:rPr>
        <w:t>% level for low DY companies on Sunday. Second, the mean returns of the high DY portfolio on Sunday are positive</w:t>
      </w:r>
      <w:r w:rsidR="00546BEF" w:rsidRPr="00E75964">
        <w:rPr>
          <w:rFonts w:ascii="Garamond" w:hAnsi="Garamond"/>
          <w:sz w:val="24"/>
          <w:szCs w:val="24"/>
        </w:rPr>
        <w:t xml:space="preserve"> but</w:t>
      </w:r>
      <w:r w:rsidRPr="00E75964">
        <w:rPr>
          <w:rFonts w:ascii="Garamond" w:hAnsi="Garamond"/>
          <w:sz w:val="24"/>
          <w:szCs w:val="24"/>
        </w:rPr>
        <w:t xml:space="preserve"> not significant. Third, the mean returns on </w:t>
      </w:r>
      <w:r w:rsidR="00571008" w:rsidRPr="00E75964">
        <w:rPr>
          <w:rFonts w:ascii="Garamond" w:hAnsi="Garamond"/>
          <w:sz w:val="24"/>
          <w:szCs w:val="24"/>
        </w:rPr>
        <w:t xml:space="preserve">Monday, Tuesday and </w:t>
      </w:r>
      <w:r w:rsidRPr="00E75964">
        <w:rPr>
          <w:rFonts w:ascii="Garamond" w:hAnsi="Garamond"/>
          <w:sz w:val="24"/>
          <w:szCs w:val="24"/>
        </w:rPr>
        <w:t xml:space="preserve">Wednesday are significantly positive for both groups. Finally, </w:t>
      </w:r>
      <w:r w:rsidR="00455FCD">
        <w:rPr>
          <w:rFonts w:ascii="Garamond" w:hAnsi="Garamond"/>
          <w:sz w:val="24"/>
          <w:szCs w:val="24"/>
        </w:rPr>
        <w:t xml:space="preserve">the </w:t>
      </w:r>
      <w:r w:rsidRPr="00E75964">
        <w:rPr>
          <w:rFonts w:ascii="Garamond" w:hAnsi="Garamond"/>
          <w:sz w:val="24"/>
          <w:szCs w:val="24"/>
        </w:rPr>
        <w:t xml:space="preserve">standard deviation is higher on </w:t>
      </w:r>
      <w:r w:rsidR="00571008" w:rsidRPr="00E75964">
        <w:rPr>
          <w:rFonts w:ascii="Garamond" w:hAnsi="Garamond"/>
          <w:sz w:val="24"/>
          <w:szCs w:val="24"/>
        </w:rPr>
        <w:t xml:space="preserve">Sunday for Low-DY and </w:t>
      </w:r>
      <w:r w:rsidRPr="00E75964">
        <w:rPr>
          <w:rFonts w:ascii="Garamond" w:hAnsi="Garamond"/>
          <w:sz w:val="24"/>
          <w:szCs w:val="24"/>
        </w:rPr>
        <w:t xml:space="preserve">Monday for </w:t>
      </w:r>
      <w:r w:rsidR="00571008" w:rsidRPr="00E75964">
        <w:rPr>
          <w:rFonts w:ascii="Garamond" w:hAnsi="Garamond"/>
          <w:sz w:val="24"/>
          <w:szCs w:val="24"/>
        </w:rPr>
        <w:t xml:space="preserve">High-DY </w:t>
      </w:r>
      <w:r w:rsidRPr="00E75964">
        <w:rPr>
          <w:rFonts w:ascii="Garamond" w:hAnsi="Garamond"/>
          <w:sz w:val="24"/>
          <w:szCs w:val="24"/>
        </w:rPr>
        <w:t>portfolios.</w:t>
      </w:r>
    </w:p>
    <w:p w14:paraId="70835019" w14:textId="54DDE8DF"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We report the results of the conditional variance models, designed to capture the influence of investors’ trading </w:t>
      </w:r>
      <w:r w:rsidR="00EC0E91" w:rsidRPr="00E75964">
        <w:rPr>
          <w:rFonts w:ascii="Garamond" w:hAnsi="Garamond"/>
          <w:sz w:val="24"/>
          <w:szCs w:val="24"/>
        </w:rPr>
        <w:t>behaviour</w:t>
      </w:r>
      <w:r w:rsidRPr="00E75964">
        <w:rPr>
          <w:rFonts w:ascii="Garamond" w:hAnsi="Garamond"/>
          <w:sz w:val="24"/>
          <w:szCs w:val="24"/>
        </w:rPr>
        <w:t xml:space="preserve"> on the weekend effect</w:t>
      </w:r>
      <w:r w:rsidR="00E546C7" w:rsidRPr="00E75964">
        <w:rPr>
          <w:rFonts w:ascii="Garamond" w:hAnsi="Garamond"/>
          <w:sz w:val="24"/>
          <w:szCs w:val="24"/>
        </w:rPr>
        <w:t xml:space="preserve"> (on the Sunday return)</w:t>
      </w:r>
      <w:r w:rsidRPr="00E75964">
        <w:rPr>
          <w:rFonts w:ascii="Garamond" w:hAnsi="Garamond"/>
          <w:sz w:val="24"/>
          <w:szCs w:val="24"/>
        </w:rPr>
        <w:t xml:space="preserve">, in Table </w:t>
      </w:r>
      <w:r w:rsidR="002B41F8" w:rsidRPr="00E75964">
        <w:rPr>
          <w:rFonts w:ascii="Garamond" w:hAnsi="Garamond"/>
          <w:sz w:val="24"/>
          <w:szCs w:val="24"/>
        </w:rPr>
        <w:t>6</w:t>
      </w:r>
      <w:r w:rsidRPr="00E75964">
        <w:rPr>
          <w:rFonts w:ascii="Garamond" w:hAnsi="Garamond"/>
          <w:sz w:val="24"/>
          <w:szCs w:val="24"/>
        </w:rPr>
        <w:t>. The first and second results columns present the outcome for portfolios based on firm size; the results for portfolios based on dividend yields are in the third and fourth results columns. We use the GARCH (1,</w:t>
      </w:r>
      <w:r w:rsidR="00E952CB" w:rsidRPr="00E75964">
        <w:rPr>
          <w:rFonts w:ascii="Garamond" w:hAnsi="Garamond"/>
          <w:sz w:val="24"/>
          <w:szCs w:val="24"/>
        </w:rPr>
        <w:t xml:space="preserve"> </w:t>
      </w:r>
      <w:r w:rsidRPr="00E75964">
        <w:rPr>
          <w:rFonts w:ascii="Garamond" w:hAnsi="Garamond"/>
          <w:sz w:val="24"/>
          <w:szCs w:val="24"/>
        </w:rPr>
        <w:t>1) and modified GARCH (1,</w:t>
      </w:r>
      <w:r w:rsidR="00E952CB" w:rsidRPr="00E75964">
        <w:rPr>
          <w:rFonts w:ascii="Garamond" w:hAnsi="Garamond"/>
          <w:sz w:val="24"/>
          <w:szCs w:val="24"/>
        </w:rPr>
        <w:t xml:space="preserve"> </w:t>
      </w:r>
      <w:r w:rsidRPr="00E75964">
        <w:rPr>
          <w:rFonts w:ascii="Garamond" w:hAnsi="Garamond"/>
          <w:sz w:val="24"/>
          <w:szCs w:val="24"/>
        </w:rPr>
        <w:t>1) models as stated in equation</w:t>
      </w:r>
      <w:r w:rsidR="00455FCD">
        <w:rPr>
          <w:rFonts w:ascii="Garamond" w:hAnsi="Garamond"/>
          <w:sz w:val="24"/>
          <w:szCs w:val="24"/>
        </w:rPr>
        <w:t>s</w:t>
      </w:r>
      <w:r w:rsidRPr="00E75964">
        <w:rPr>
          <w:rFonts w:ascii="Garamond" w:hAnsi="Garamond"/>
          <w:sz w:val="24"/>
          <w:szCs w:val="24"/>
        </w:rPr>
        <w:t xml:space="preserve"> (</w:t>
      </w:r>
      <w:r w:rsidR="006B58F0">
        <w:rPr>
          <w:rFonts w:ascii="Garamond" w:hAnsi="Garamond"/>
          <w:sz w:val="24"/>
          <w:szCs w:val="24"/>
        </w:rPr>
        <w:t>2</w:t>
      </w:r>
      <w:r w:rsidRPr="00E75964">
        <w:rPr>
          <w:rFonts w:ascii="Garamond" w:hAnsi="Garamond"/>
          <w:sz w:val="24"/>
          <w:szCs w:val="24"/>
        </w:rPr>
        <w:t>) and (</w:t>
      </w:r>
      <w:r w:rsidR="00DC27C5">
        <w:rPr>
          <w:rFonts w:ascii="Garamond" w:hAnsi="Garamond"/>
          <w:sz w:val="24"/>
          <w:szCs w:val="24"/>
        </w:rPr>
        <w:t>5</w:t>
      </w:r>
      <w:r w:rsidRPr="00E75964">
        <w:rPr>
          <w:rFonts w:ascii="Garamond" w:hAnsi="Garamond"/>
          <w:sz w:val="24"/>
          <w:szCs w:val="24"/>
        </w:rPr>
        <w:t xml:space="preserve">) for firm size. </w:t>
      </w:r>
      <w:r w:rsidRPr="00E75964">
        <w:rPr>
          <w:rFonts w:ascii="Garamond" w:hAnsi="Garamond"/>
          <w:sz w:val="24"/>
          <w:szCs w:val="24"/>
        </w:rPr>
        <w:lastRenderedPageBreak/>
        <w:t>However due to non-negativity and non-explosive restrictions we apply a modified TGARCH (1,</w:t>
      </w:r>
      <w:r w:rsidR="00E952CB" w:rsidRPr="00E75964">
        <w:rPr>
          <w:rFonts w:ascii="Garamond" w:hAnsi="Garamond"/>
          <w:sz w:val="24"/>
          <w:szCs w:val="24"/>
        </w:rPr>
        <w:t xml:space="preserve"> </w:t>
      </w:r>
      <w:r w:rsidRPr="00E75964">
        <w:rPr>
          <w:rFonts w:ascii="Garamond" w:hAnsi="Garamond"/>
          <w:sz w:val="24"/>
          <w:szCs w:val="24"/>
        </w:rPr>
        <w:t>1) or GJR-GARCH (1,</w:t>
      </w:r>
      <w:r w:rsidR="00E952CB" w:rsidRPr="00E75964">
        <w:rPr>
          <w:rFonts w:ascii="Garamond" w:hAnsi="Garamond"/>
          <w:sz w:val="24"/>
          <w:szCs w:val="24"/>
        </w:rPr>
        <w:t xml:space="preserve"> </w:t>
      </w:r>
      <w:r w:rsidRPr="00E75964">
        <w:rPr>
          <w:rFonts w:ascii="Garamond" w:hAnsi="Garamond"/>
          <w:sz w:val="24"/>
          <w:szCs w:val="24"/>
        </w:rPr>
        <w:t>1) model as stated in equation (</w:t>
      </w:r>
      <w:r w:rsidR="00DC27C5">
        <w:rPr>
          <w:rFonts w:ascii="Garamond" w:hAnsi="Garamond"/>
          <w:sz w:val="24"/>
          <w:szCs w:val="24"/>
        </w:rPr>
        <w:t>9</w:t>
      </w:r>
      <w:r w:rsidRPr="00E75964">
        <w:rPr>
          <w:rFonts w:ascii="Garamond" w:hAnsi="Garamond"/>
          <w:sz w:val="24"/>
          <w:szCs w:val="24"/>
        </w:rPr>
        <w:t>) for dividend yield. The modified GARCH (1,</w:t>
      </w:r>
      <w:r w:rsidR="00E952CB" w:rsidRPr="00E75964">
        <w:rPr>
          <w:rFonts w:ascii="Garamond" w:hAnsi="Garamond"/>
          <w:sz w:val="24"/>
          <w:szCs w:val="24"/>
        </w:rPr>
        <w:t xml:space="preserve"> </w:t>
      </w:r>
      <w:r w:rsidRPr="00E75964">
        <w:rPr>
          <w:rFonts w:ascii="Garamond" w:hAnsi="Garamond"/>
          <w:sz w:val="24"/>
          <w:szCs w:val="24"/>
        </w:rPr>
        <w:t>1) and TGARCH (1,</w:t>
      </w:r>
      <w:r w:rsidR="00E952CB" w:rsidRPr="00E75964">
        <w:rPr>
          <w:rFonts w:ascii="Garamond" w:hAnsi="Garamond"/>
          <w:sz w:val="24"/>
          <w:szCs w:val="24"/>
        </w:rPr>
        <w:t xml:space="preserve"> </w:t>
      </w:r>
      <w:r w:rsidRPr="00E75964">
        <w:rPr>
          <w:rFonts w:ascii="Garamond" w:hAnsi="Garamond"/>
          <w:sz w:val="24"/>
          <w:szCs w:val="24"/>
        </w:rPr>
        <w:t>1) approach allow us to include exogenous variables in the variance equation to check the significance of each portfolio’s effect on volatility. Indeed, they help to substantiate our conjecture that the trading activities of individual investors determine the weekend effect on both returns and volatility.</w:t>
      </w:r>
    </w:p>
    <w:p w14:paraId="78A4B8CD" w14:textId="77777777" w:rsidR="00CE65B6" w:rsidRPr="00E75964" w:rsidRDefault="00CE65B6" w:rsidP="00CD604B">
      <w:pPr>
        <w:spacing w:line="360" w:lineRule="auto"/>
        <w:rPr>
          <w:rFonts w:ascii="Garamond" w:hAnsi="Garamond"/>
          <w:b/>
          <w:sz w:val="24"/>
          <w:szCs w:val="24"/>
        </w:rPr>
      </w:pPr>
      <w:r w:rsidRPr="00E75964">
        <w:rPr>
          <w:rFonts w:ascii="Garamond" w:hAnsi="Garamond"/>
          <w:b/>
          <w:sz w:val="24"/>
          <w:szCs w:val="24"/>
        </w:rPr>
        <w:br w:type="page"/>
      </w:r>
    </w:p>
    <w:p w14:paraId="649EB26B" w14:textId="77777777" w:rsidR="00B95820" w:rsidRDefault="00CE65B6" w:rsidP="00B95820">
      <w:pPr>
        <w:spacing w:line="240" w:lineRule="auto"/>
        <w:contextualSpacing/>
        <w:rPr>
          <w:rFonts w:ascii="Garamond" w:hAnsi="Garamond"/>
          <w:b/>
          <w:sz w:val="24"/>
          <w:szCs w:val="24"/>
        </w:rPr>
      </w:pPr>
      <w:r w:rsidRPr="00E75964">
        <w:rPr>
          <w:rFonts w:ascii="Garamond" w:hAnsi="Garamond"/>
          <w:b/>
          <w:sz w:val="24"/>
          <w:szCs w:val="24"/>
        </w:rPr>
        <w:lastRenderedPageBreak/>
        <w:t xml:space="preserve">Table </w:t>
      </w:r>
      <w:r w:rsidR="002B41F8" w:rsidRPr="00E75964">
        <w:rPr>
          <w:rFonts w:ascii="Garamond" w:hAnsi="Garamond"/>
          <w:b/>
          <w:sz w:val="24"/>
          <w:szCs w:val="24"/>
        </w:rPr>
        <w:t>6</w:t>
      </w:r>
    </w:p>
    <w:p w14:paraId="1639FAF1" w14:textId="27E110C7" w:rsidR="00CE65B6" w:rsidRPr="00B95820" w:rsidRDefault="00CE65B6" w:rsidP="00B95820">
      <w:pPr>
        <w:spacing w:line="240" w:lineRule="auto"/>
        <w:contextualSpacing/>
        <w:rPr>
          <w:rFonts w:ascii="Garamond" w:hAnsi="Garamond"/>
          <w:sz w:val="24"/>
          <w:szCs w:val="24"/>
        </w:rPr>
      </w:pPr>
      <w:r w:rsidRPr="00B95820">
        <w:rPr>
          <w:rFonts w:ascii="Garamond" w:hAnsi="Garamond"/>
          <w:sz w:val="24"/>
          <w:szCs w:val="24"/>
        </w:rPr>
        <w:t xml:space="preserve">Alternate </w:t>
      </w:r>
      <w:r w:rsidR="00B95820">
        <w:rPr>
          <w:rFonts w:ascii="Garamond" w:hAnsi="Garamond"/>
          <w:sz w:val="24"/>
          <w:szCs w:val="24"/>
        </w:rPr>
        <w:t>m</w:t>
      </w:r>
      <w:r w:rsidRPr="00B95820">
        <w:rPr>
          <w:rFonts w:ascii="Garamond" w:hAnsi="Garamond"/>
          <w:sz w:val="24"/>
          <w:szCs w:val="24"/>
        </w:rPr>
        <w:t xml:space="preserve">odels of </w:t>
      </w:r>
      <w:r w:rsidR="00B95820">
        <w:rPr>
          <w:rFonts w:ascii="Garamond" w:hAnsi="Garamond"/>
          <w:sz w:val="24"/>
          <w:szCs w:val="24"/>
        </w:rPr>
        <w:t>r</w:t>
      </w:r>
      <w:r w:rsidRPr="00B95820">
        <w:rPr>
          <w:rFonts w:ascii="Garamond" w:hAnsi="Garamond"/>
          <w:sz w:val="24"/>
          <w:szCs w:val="24"/>
        </w:rPr>
        <w:t xml:space="preserve">eturns and </w:t>
      </w:r>
      <w:r w:rsidR="00B95820">
        <w:rPr>
          <w:rFonts w:ascii="Garamond" w:hAnsi="Garamond"/>
          <w:sz w:val="24"/>
          <w:szCs w:val="24"/>
        </w:rPr>
        <w:t>v</w:t>
      </w:r>
      <w:r w:rsidRPr="00B95820">
        <w:rPr>
          <w:rFonts w:ascii="Garamond" w:hAnsi="Garamond"/>
          <w:sz w:val="24"/>
          <w:szCs w:val="24"/>
        </w:rPr>
        <w:t xml:space="preserve">olatility on the DSE, </w:t>
      </w:r>
      <w:r w:rsidR="00B95820">
        <w:rPr>
          <w:rFonts w:ascii="Garamond" w:hAnsi="Garamond"/>
          <w:sz w:val="24"/>
          <w:szCs w:val="24"/>
        </w:rPr>
        <w:t>g</w:t>
      </w:r>
      <w:r w:rsidRPr="00B95820">
        <w:rPr>
          <w:rFonts w:ascii="Garamond" w:hAnsi="Garamond"/>
          <w:sz w:val="24"/>
          <w:szCs w:val="24"/>
        </w:rPr>
        <w:t xml:space="preserve">rouping </w:t>
      </w:r>
      <w:r w:rsidR="00B95820">
        <w:rPr>
          <w:rFonts w:ascii="Garamond" w:hAnsi="Garamond"/>
          <w:sz w:val="24"/>
          <w:szCs w:val="24"/>
        </w:rPr>
        <w:t>p</w:t>
      </w:r>
      <w:r w:rsidRPr="00B95820">
        <w:rPr>
          <w:rFonts w:ascii="Garamond" w:hAnsi="Garamond"/>
          <w:sz w:val="24"/>
          <w:szCs w:val="24"/>
        </w:rPr>
        <w:t xml:space="preserve">ortfolios by </w:t>
      </w:r>
      <w:r w:rsidR="00B95820">
        <w:rPr>
          <w:rFonts w:ascii="Garamond" w:hAnsi="Garamond"/>
          <w:sz w:val="24"/>
          <w:szCs w:val="24"/>
        </w:rPr>
        <w:t>s</w:t>
      </w:r>
      <w:r w:rsidRPr="00B95820">
        <w:rPr>
          <w:rFonts w:ascii="Garamond" w:hAnsi="Garamond"/>
          <w:sz w:val="24"/>
          <w:szCs w:val="24"/>
        </w:rPr>
        <w:t xml:space="preserve">ize and </w:t>
      </w:r>
      <w:r w:rsidR="00B95820">
        <w:rPr>
          <w:rFonts w:ascii="Garamond" w:hAnsi="Garamond"/>
          <w:sz w:val="24"/>
          <w:szCs w:val="24"/>
        </w:rPr>
        <w:t>d</w:t>
      </w:r>
      <w:r w:rsidRPr="00B95820">
        <w:rPr>
          <w:rFonts w:ascii="Garamond" w:hAnsi="Garamond"/>
          <w:sz w:val="24"/>
          <w:szCs w:val="24"/>
        </w:rPr>
        <w:t xml:space="preserve">ividend </w:t>
      </w:r>
      <w:r w:rsidR="00B95820">
        <w:rPr>
          <w:rFonts w:ascii="Garamond" w:hAnsi="Garamond"/>
          <w:sz w:val="24"/>
          <w:szCs w:val="24"/>
        </w:rPr>
        <w:t>y</w:t>
      </w:r>
      <w:r w:rsidRPr="00B95820">
        <w:rPr>
          <w:rFonts w:ascii="Garamond" w:hAnsi="Garamond"/>
          <w:sz w:val="24"/>
          <w:szCs w:val="24"/>
        </w:rPr>
        <w:t>ield</w:t>
      </w:r>
      <w:r w:rsidR="008E6BA8">
        <w:rPr>
          <w:rFonts w:ascii="Garamond" w:hAnsi="Garamond"/>
          <w:sz w:val="24"/>
          <w:szCs w:val="24"/>
        </w:rPr>
        <w:t>.</w:t>
      </w:r>
    </w:p>
    <w:p w14:paraId="495C9CF5" w14:textId="77777777" w:rsidR="00474EC0" w:rsidRPr="00E75964" w:rsidRDefault="00474EC0" w:rsidP="00474EC0">
      <w:pPr>
        <w:spacing w:line="240" w:lineRule="auto"/>
        <w:contextualSpacing/>
        <w:jc w:val="center"/>
        <w:rPr>
          <w:rFonts w:ascii="Garamond" w:hAnsi="Garamond"/>
          <w:b/>
          <w:sz w:val="24"/>
          <w:szCs w:val="24"/>
        </w:rPr>
      </w:pPr>
    </w:p>
    <w:tbl>
      <w:tblPr>
        <w:tblW w:w="5000" w:type="pct"/>
        <w:jc w:val="center"/>
        <w:tblLook w:val="04A0" w:firstRow="1" w:lastRow="0" w:firstColumn="1" w:lastColumn="0" w:noHBand="0" w:noVBand="1"/>
      </w:tblPr>
      <w:tblGrid>
        <w:gridCol w:w="1844"/>
        <w:gridCol w:w="1639"/>
        <w:gridCol w:w="20"/>
        <w:gridCol w:w="1619"/>
        <w:gridCol w:w="1701"/>
        <w:gridCol w:w="2204"/>
      </w:tblGrid>
      <w:tr w:rsidR="00E546C7" w:rsidRPr="00E75964" w14:paraId="3E091F07" w14:textId="52D3A077" w:rsidTr="00E20015">
        <w:trPr>
          <w:trHeight w:val="296"/>
          <w:jc w:val="center"/>
        </w:trPr>
        <w:tc>
          <w:tcPr>
            <w:tcW w:w="1021" w:type="pct"/>
            <w:tcBorders>
              <w:top w:val="single" w:sz="4" w:space="0" w:color="auto"/>
            </w:tcBorders>
            <w:shd w:val="clear" w:color="auto" w:fill="auto"/>
          </w:tcPr>
          <w:p w14:paraId="00FE3FB2" w14:textId="77777777" w:rsidR="00E546C7" w:rsidRPr="00E75964" w:rsidRDefault="00E546C7" w:rsidP="006606C3">
            <w:pPr>
              <w:spacing w:line="240" w:lineRule="auto"/>
              <w:contextualSpacing/>
              <w:jc w:val="center"/>
              <w:rPr>
                <w:rFonts w:ascii="Garamond" w:hAnsi="Garamond"/>
                <w:bCs/>
                <w:sz w:val="24"/>
                <w:szCs w:val="24"/>
              </w:rPr>
            </w:pPr>
            <w:bookmarkStart w:id="11" w:name="_Hlk39664147"/>
          </w:p>
        </w:tc>
        <w:tc>
          <w:tcPr>
            <w:tcW w:w="919" w:type="pct"/>
            <w:gridSpan w:val="2"/>
            <w:tcBorders>
              <w:top w:val="single" w:sz="4" w:space="0" w:color="auto"/>
            </w:tcBorders>
            <w:shd w:val="clear" w:color="auto" w:fill="auto"/>
          </w:tcPr>
          <w:p w14:paraId="34DE373A" w14:textId="58B40532" w:rsidR="00E546C7" w:rsidRPr="00E75964" w:rsidRDefault="00E546C7" w:rsidP="006606C3">
            <w:pPr>
              <w:tabs>
                <w:tab w:val="left" w:pos="1803"/>
              </w:tabs>
              <w:spacing w:line="240" w:lineRule="auto"/>
              <w:contextualSpacing/>
              <w:jc w:val="center"/>
              <w:rPr>
                <w:rFonts w:ascii="Garamond" w:hAnsi="Garamond"/>
                <w:bCs/>
                <w:sz w:val="24"/>
                <w:szCs w:val="24"/>
              </w:rPr>
            </w:pPr>
            <w:r w:rsidRPr="00E75964">
              <w:rPr>
                <w:rFonts w:ascii="Garamond" w:hAnsi="Garamond"/>
                <w:bCs/>
                <w:sz w:val="24"/>
                <w:szCs w:val="24"/>
              </w:rPr>
              <w:t>(1)</w:t>
            </w:r>
          </w:p>
        </w:tc>
        <w:tc>
          <w:tcPr>
            <w:tcW w:w="897" w:type="pct"/>
            <w:tcBorders>
              <w:top w:val="single" w:sz="4" w:space="0" w:color="auto"/>
            </w:tcBorders>
            <w:shd w:val="clear" w:color="auto" w:fill="auto"/>
          </w:tcPr>
          <w:p w14:paraId="5CC500AA" w14:textId="61BD1547" w:rsidR="00E546C7" w:rsidRPr="00E75964" w:rsidRDefault="00E546C7" w:rsidP="006606C3">
            <w:pPr>
              <w:tabs>
                <w:tab w:val="left" w:pos="1803"/>
              </w:tabs>
              <w:spacing w:line="240" w:lineRule="auto"/>
              <w:contextualSpacing/>
              <w:jc w:val="center"/>
              <w:rPr>
                <w:rFonts w:ascii="Garamond" w:hAnsi="Garamond"/>
                <w:bCs/>
                <w:sz w:val="24"/>
                <w:szCs w:val="24"/>
              </w:rPr>
            </w:pPr>
            <w:r w:rsidRPr="00E75964">
              <w:rPr>
                <w:rFonts w:ascii="Garamond" w:hAnsi="Garamond"/>
                <w:bCs/>
                <w:sz w:val="24"/>
                <w:szCs w:val="24"/>
              </w:rPr>
              <w:t>(2)</w:t>
            </w:r>
          </w:p>
        </w:tc>
        <w:tc>
          <w:tcPr>
            <w:tcW w:w="942" w:type="pct"/>
            <w:tcBorders>
              <w:top w:val="single" w:sz="4" w:space="0" w:color="auto"/>
            </w:tcBorders>
            <w:shd w:val="clear" w:color="auto" w:fill="auto"/>
          </w:tcPr>
          <w:p w14:paraId="4BF98250" w14:textId="14FDA72B" w:rsidR="00E546C7" w:rsidRPr="00E75964" w:rsidRDefault="00E546C7" w:rsidP="006606C3">
            <w:pPr>
              <w:spacing w:line="240" w:lineRule="auto"/>
              <w:contextualSpacing/>
              <w:jc w:val="center"/>
              <w:rPr>
                <w:rFonts w:ascii="Garamond" w:hAnsi="Garamond"/>
                <w:bCs/>
                <w:sz w:val="24"/>
                <w:szCs w:val="24"/>
              </w:rPr>
            </w:pPr>
            <w:r w:rsidRPr="00E75964">
              <w:rPr>
                <w:rFonts w:ascii="Garamond" w:hAnsi="Garamond"/>
                <w:bCs/>
                <w:sz w:val="24"/>
                <w:szCs w:val="24"/>
              </w:rPr>
              <w:t>(3)</w:t>
            </w:r>
          </w:p>
        </w:tc>
        <w:tc>
          <w:tcPr>
            <w:tcW w:w="1221" w:type="pct"/>
            <w:tcBorders>
              <w:top w:val="single" w:sz="4" w:space="0" w:color="auto"/>
            </w:tcBorders>
            <w:shd w:val="clear" w:color="auto" w:fill="auto"/>
          </w:tcPr>
          <w:p w14:paraId="1BBFDAE9" w14:textId="7DEC3B9F" w:rsidR="00E546C7" w:rsidRPr="00E75964" w:rsidRDefault="00E546C7" w:rsidP="006606C3">
            <w:pPr>
              <w:spacing w:line="240" w:lineRule="auto"/>
              <w:contextualSpacing/>
              <w:jc w:val="center"/>
              <w:rPr>
                <w:rFonts w:ascii="Garamond" w:hAnsi="Garamond"/>
                <w:bCs/>
                <w:sz w:val="24"/>
                <w:szCs w:val="24"/>
              </w:rPr>
            </w:pPr>
            <w:r w:rsidRPr="00E75964">
              <w:rPr>
                <w:rFonts w:ascii="Garamond" w:hAnsi="Garamond"/>
                <w:bCs/>
                <w:sz w:val="24"/>
                <w:szCs w:val="24"/>
              </w:rPr>
              <w:t>(4)</w:t>
            </w:r>
          </w:p>
        </w:tc>
      </w:tr>
      <w:tr w:rsidR="00E546C7" w:rsidRPr="00455FCD" w14:paraId="6C66B1EF" w14:textId="69592BE2" w:rsidTr="00E20015">
        <w:trPr>
          <w:trHeight w:val="296"/>
          <w:jc w:val="center"/>
        </w:trPr>
        <w:tc>
          <w:tcPr>
            <w:tcW w:w="1021" w:type="pct"/>
            <w:shd w:val="clear" w:color="auto" w:fill="auto"/>
          </w:tcPr>
          <w:p w14:paraId="372839E9" w14:textId="77777777" w:rsidR="00E546C7" w:rsidRPr="00455FCD" w:rsidRDefault="00E546C7" w:rsidP="006606C3">
            <w:pPr>
              <w:spacing w:line="240" w:lineRule="auto"/>
              <w:contextualSpacing/>
              <w:jc w:val="center"/>
              <w:rPr>
                <w:rFonts w:ascii="Garamond" w:hAnsi="Garamond"/>
                <w:sz w:val="24"/>
                <w:szCs w:val="24"/>
              </w:rPr>
            </w:pPr>
          </w:p>
        </w:tc>
        <w:tc>
          <w:tcPr>
            <w:tcW w:w="1816" w:type="pct"/>
            <w:gridSpan w:val="3"/>
            <w:shd w:val="clear" w:color="auto" w:fill="auto"/>
          </w:tcPr>
          <w:p w14:paraId="1D427644" w14:textId="205A61A7" w:rsidR="00E546C7" w:rsidRPr="00455FCD" w:rsidRDefault="00E546C7" w:rsidP="00455FCD">
            <w:pPr>
              <w:tabs>
                <w:tab w:val="left" w:pos="1803"/>
              </w:tabs>
              <w:spacing w:line="240" w:lineRule="auto"/>
              <w:contextualSpacing/>
              <w:jc w:val="center"/>
              <w:rPr>
                <w:rFonts w:ascii="Garamond" w:hAnsi="Garamond"/>
                <w:sz w:val="24"/>
                <w:szCs w:val="24"/>
              </w:rPr>
            </w:pPr>
            <w:r w:rsidRPr="00455FCD">
              <w:rPr>
                <w:rFonts w:ascii="Garamond" w:hAnsi="Garamond"/>
                <w:sz w:val="24"/>
                <w:szCs w:val="24"/>
              </w:rPr>
              <w:t>Firm Size Portfolios</w:t>
            </w:r>
          </w:p>
        </w:tc>
        <w:tc>
          <w:tcPr>
            <w:tcW w:w="2163" w:type="pct"/>
            <w:gridSpan w:val="2"/>
            <w:shd w:val="clear" w:color="auto" w:fill="auto"/>
          </w:tcPr>
          <w:p w14:paraId="1CF57969" w14:textId="240C46F0" w:rsidR="00E546C7" w:rsidRPr="00455FCD" w:rsidRDefault="00E546C7" w:rsidP="00455FCD">
            <w:pPr>
              <w:spacing w:line="240" w:lineRule="auto"/>
              <w:contextualSpacing/>
              <w:jc w:val="center"/>
              <w:rPr>
                <w:rFonts w:ascii="Garamond" w:hAnsi="Garamond"/>
                <w:sz w:val="24"/>
                <w:szCs w:val="24"/>
              </w:rPr>
            </w:pPr>
            <w:r w:rsidRPr="00455FCD">
              <w:rPr>
                <w:rFonts w:ascii="Garamond" w:hAnsi="Garamond"/>
                <w:sz w:val="24"/>
                <w:szCs w:val="24"/>
              </w:rPr>
              <w:t xml:space="preserve">Dividend Yield </w:t>
            </w:r>
            <w:r w:rsidR="00455FCD">
              <w:rPr>
                <w:rFonts w:ascii="Garamond" w:hAnsi="Garamond"/>
                <w:sz w:val="24"/>
                <w:szCs w:val="24"/>
              </w:rPr>
              <w:t>Portfolios</w:t>
            </w:r>
          </w:p>
        </w:tc>
      </w:tr>
      <w:tr w:rsidR="00702179" w:rsidRPr="00455FCD" w14:paraId="74550AAA" w14:textId="77777777" w:rsidTr="00E20015">
        <w:trPr>
          <w:trHeight w:val="296"/>
          <w:jc w:val="center"/>
        </w:trPr>
        <w:tc>
          <w:tcPr>
            <w:tcW w:w="1021" w:type="pct"/>
            <w:shd w:val="clear" w:color="auto" w:fill="auto"/>
          </w:tcPr>
          <w:p w14:paraId="7EF8172C" w14:textId="77777777" w:rsidR="00702179" w:rsidRPr="00455FCD" w:rsidRDefault="00702179" w:rsidP="006606C3">
            <w:pPr>
              <w:spacing w:line="240" w:lineRule="auto"/>
              <w:contextualSpacing/>
              <w:jc w:val="center"/>
              <w:rPr>
                <w:rFonts w:ascii="Garamond" w:hAnsi="Garamond"/>
                <w:sz w:val="24"/>
                <w:szCs w:val="24"/>
              </w:rPr>
            </w:pPr>
          </w:p>
        </w:tc>
        <w:tc>
          <w:tcPr>
            <w:tcW w:w="908" w:type="pct"/>
            <w:shd w:val="clear" w:color="auto" w:fill="auto"/>
          </w:tcPr>
          <w:p w14:paraId="1C9A95C0" w14:textId="77777777" w:rsidR="004A3151" w:rsidRPr="00455FCD" w:rsidRDefault="004A3151" w:rsidP="006606C3">
            <w:pPr>
              <w:spacing w:line="240" w:lineRule="auto"/>
              <w:contextualSpacing/>
              <w:jc w:val="center"/>
              <w:rPr>
                <w:rFonts w:ascii="Garamond" w:hAnsi="Garamond"/>
                <w:sz w:val="24"/>
                <w:szCs w:val="24"/>
              </w:rPr>
            </w:pPr>
          </w:p>
          <w:p w14:paraId="0E9DE5B4" w14:textId="0D520B53" w:rsidR="00702179" w:rsidRPr="00455FCD" w:rsidRDefault="00702179" w:rsidP="006606C3">
            <w:pPr>
              <w:spacing w:line="240" w:lineRule="auto"/>
              <w:contextualSpacing/>
              <w:jc w:val="center"/>
              <w:rPr>
                <w:rFonts w:ascii="Garamond" w:hAnsi="Garamond"/>
                <w:sz w:val="24"/>
                <w:szCs w:val="24"/>
              </w:rPr>
            </w:pPr>
            <w:r w:rsidRPr="00455FCD">
              <w:rPr>
                <w:rFonts w:ascii="Garamond" w:hAnsi="Garamond"/>
                <w:sz w:val="24"/>
                <w:szCs w:val="24"/>
              </w:rPr>
              <w:t>GARCH</w:t>
            </w:r>
          </w:p>
        </w:tc>
        <w:tc>
          <w:tcPr>
            <w:tcW w:w="908" w:type="pct"/>
            <w:gridSpan w:val="2"/>
            <w:shd w:val="clear" w:color="auto" w:fill="auto"/>
          </w:tcPr>
          <w:p w14:paraId="29E71F1D" w14:textId="46D6CA9F" w:rsidR="004A3151" w:rsidRPr="00455FCD" w:rsidRDefault="004A3151" w:rsidP="006606C3">
            <w:pPr>
              <w:spacing w:line="240" w:lineRule="auto"/>
              <w:contextualSpacing/>
              <w:jc w:val="center"/>
              <w:rPr>
                <w:rFonts w:ascii="Garamond" w:hAnsi="Garamond"/>
                <w:sz w:val="24"/>
                <w:szCs w:val="24"/>
              </w:rPr>
            </w:pPr>
            <w:r w:rsidRPr="00455FCD">
              <w:rPr>
                <w:rFonts w:ascii="Garamond" w:hAnsi="Garamond"/>
                <w:sz w:val="24"/>
                <w:szCs w:val="24"/>
              </w:rPr>
              <w:t>Modified</w:t>
            </w:r>
          </w:p>
          <w:p w14:paraId="5A81E176" w14:textId="1F89263A" w:rsidR="00702179" w:rsidRPr="00455FCD" w:rsidRDefault="00702179" w:rsidP="006606C3">
            <w:pPr>
              <w:spacing w:line="240" w:lineRule="auto"/>
              <w:contextualSpacing/>
              <w:jc w:val="center"/>
              <w:rPr>
                <w:rFonts w:ascii="Garamond" w:hAnsi="Garamond"/>
                <w:sz w:val="24"/>
                <w:szCs w:val="24"/>
              </w:rPr>
            </w:pPr>
            <w:r w:rsidRPr="00455FCD">
              <w:rPr>
                <w:rFonts w:ascii="Garamond" w:hAnsi="Garamond"/>
                <w:sz w:val="24"/>
                <w:szCs w:val="24"/>
              </w:rPr>
              <w:t>GARCH</w:t>
            </w:r>
          </w:p>
        </w:tc>
        <w:tc>
          <w:tcPr>
            <w:tcW w:w="942" w:type="pct"/>
            <w:shd w:val="clear" w:color="auto" w:fill="auto"/>
          </w:tcPr>
          <w:p w14:paraId="6170F542" w14:textId="77777777" w:rsidR="004A3151" w:rsidRPr="00455FCD" w:rsidRDefault="004A3151" w:rsidP="006606C3">
            <w:pPr>
              <w:spacing w:line="240" w:lineRule="auto"/>
              <w:contextualSpacing/>
              <w:jc w:val="center"/>
              <w:rPr>
                <w:rFonts w:ascii="Garamond" w:hAnsi="Garamond"/>
                <w:sz w:val="24"/>
                <w:szCs w:val="24"/>
              </w:rPr>
            </w:pPr>
          </w:p>
          <w:p w14:paraId="43B3591D" w14:textId="6B8C45F3" w:rsidR="00702179" w:rsidRPr="00455FCD" w:rsidRDefault="00702179" w:rsidP="006606C3">
            <w:pPr>
              <w:spacing w:line="240" w:lineRule="auto"/>
              <w:contextualSpacing/>
              <w:jc w:val="center"/>
              <w:rPr>
                <w:rFonts w:ascii="Garamond" w:hAnsi="Garamond"/>
                <w:sz w:val="24"/>
                <w:szCs w:val="24"/>
              </w:rPr>
            </w:pPr>
            <w:r w:rsidRPr="00455FCD">
              <w:rPr>
                <w:rFonts w:ascii="Garamond" w:hAnsi="Garamond"/>
                <w:sz w:val="24"/>
                <w:szCs w:val="24"/>
              </w:rPr>
              <w:t>GARCH</w:t>
            </w:r>
          </w:p>
        </w:tc>
        <w:tc>
          <w:tcPr>
            <w:tcW w:w="1221" w:type="pct"/>
          </w:tcPr>
          <w:p w14:paraId="52136B4C" w14:textId="767EA7D6" w:rsidR="004A3151" w:rsidRPr="00455FCD" w:rsidRDefault="004A3151" w:rsidP="006606C3">
            <w:pPr>
              <w:spacing w:line="240" w:lineRule="auto"/>
              <w:contextualSpacing/>
              <w:jc w:val="center"/>
              <w:rPr>
                <w:rFonts w:ascii="Garamond" w:hAnsi="Garamond"/>
                <w:sz w:val="24"/>
                <w:szCs w:val="24"/>
              </w:rPr>
            </w:pPr>
            <w:r w:rsidRPr="00455FCD">
              <w:rPr>
                <w:rFonts w:ascii="Garamond" w:hAnsi="Garamond"/>
                <w:sz w:val="24"/>
                <w:szCs w:val="24"/>
              </w:rPr>
              <w:t>Modified</w:t>
            </w:r>
          </w:p>
          <w:p w14:paraId="526E80EE" w14:textId="7F647508" w:rsidR="00702179" w:rsidRPr="00455FCD" w:rsidRDefault="004A3151" w:rsidP="006606C3">
            <w:pPr>
              <w:spacing w:line="240" w:lineRule="auto"/>
              <w:contextualSpacing/>
              <w:jc w:val="center"/>
              <w:rPr>
                <w:rFonts w:ascii="Garamond" w:hAnsi="Garamond"/>
                <w:sz w:val="24"/>
                <w:szCs w:val="24"/>
              </w:rPr>
            </w:pPr>
            <w:r w:rsidRPr="00455FCD">
              <w:rPr>
                <w:rFonts w:ascii="Garamond" w:hAnsi="Garamond"/>
                <w:sz w:val="24"/>
                <w:szCs w:val="24"/>
              </w:rPr>
              <w:t>T</w:t>
            </w:r>
            <w:r w:rsidR="00702179" w:rsidRPr="00455FCD">
              <w:rPr>
                <w:rFonts w:ascii="Garamond" w:hAnsi="Garamond"/>
                <w:sz w:val="24"/>
                <w:szCs w:val="24"/>
              </w:rPr>
              <w:t>GARCH</w:t>
            </w:r>
          </w:p>
        </w:tc>
      </w:tr>
      <w:tr w:rsidR="00E20015" w:rsidRPr="00455FCD" w14:paraId="4F3F340C" w14:textId="77777777" w:rsidTr="00E20015">
        <w:trPr>
          <w:trHeight w:val="296"/>
          <w:jc w:val="center"/>
        </w:trPr>
        <w:tc>
          <w:tcPr>
            <w:tcW w:w="1021" w:type="pct"/>
            <w:tcBorders>
              <w:bottom w:val="single" w:sz="4" w:space="0" w:color="auto"/>
            </w:tcBorders>
            <w:shd w:val="clear" w:color="auto" w:fill="auto"/>
          </w:tcPr>
          <w:p w14:paraId="015C22A7" w14:textId="603B93F8" w:rsidR="00E20015" w:rsidRPr="00455FCD" w:rsidRDefault="00E20015" w:rsidP="006606C3">
            <w:pPr>
              <w:spacing w:line="240" w:lineRule="auto"/>
              <w:contextualSpacing/>
              <w:rPr>
                <w:rFonts w:ascii="Garamond" w:hAnsi="Garamond"/>
                <w:sz w:val="24"/>
                <w:szCs w:val="24"/>
              </w:rPr>
            </w:pPr>
          </w:p>
        </w:tc>
        <w:tc>
          <w:tcPr>
            <w:tcW w:w="908" w:type="pct"/>
            <w:tcBorders>
              <w:bottom w:val="single" w:sz="4" w:space="0" w:color="auto"/>
            </w:tcBorders>
            <w:shd w:val="clear" w:color="auto" w:fill="auto"/>
          </w:tcPr>
          <w:p w14:paraId="46AA030F" w14:textId="4BECDB63" w:rsidR="00E20015" w:rsidRPr="00455FCD" w:rsidRDefault="00E20015" w:rsidP="006606C3">
            <w:pPr>
              <w:spacing w:line="240" w:lineRule="auto"/>
              <w:contextualSpacing/>
              <w:jc w:val="center"/>
              <w:rPr>
                <w:rFonts w:ascii="Garamond" w:hAnsi="Garamond"/>
                <w:sz w:val="24"/>
                <w:szCs w:val="24"/>
              </w:rPr>
            </w:pPr>
            <w:r w:rsidRPr="00455FCD">
              <w:rPr>
                <w:rFonts w:ascii="Garamond" w:hAnsi="Garamond"/>
                <w:sz w:val="24"/>
                <w:szCs w:val="24"/>
              </w:rPr>
              <w:t>Sunday</w:t>
            </w:r>
          </w:p>
        </w:tc>
        <w:tc>
          <w:tcPr>
            <w:tcW w:w="908" w:type="pct"/>
            <w:gridSpan w:val="2"/>
            <w:tcBorders>
              <w:bottom w:val="single" w:sz="4" w:space="0" w:color="auto"/>
            </w:tcBorders>
            <w:shd w:val="clear" w:color="auto" w:fill="auto"/>
          </w:tcPr>
          <w:p w14:paraId="03443E9B" w14:textId="58A9489E" w:rsidR="00E20015" w:rsidRPr="00455FCD" w:rsidRDefault="00E20015" w:rsidP="006606C3">
            <w:pPr>
              <w:spacing w:line="240" w:lineRule="auto"/>
              <w:contextualSpacing/>
              <w:jc w:val="center"/>
              <w:rPr>
                <w:rFonts w:ascii="Garamond" w:hAnsi="Garamond"/>
                <w:sz w:val="24"/>
                <w:szCs w:val="24"/>
              </w:rPr>
            </w:pPr>
            <w:r w:rsidRPr="00455FCD">
              <w:rPr>
                <w:rFonts w:ascii="Garamond" w:hAnsi="Garamond"/>
                <w:sz w:val="24"/>
                <w:szCs w:val="24"/>
              </w:rPr>
              <w:t>Sunday</w:t>
            </w:r>
          </w:p>
        </w:tc>
        <w:tc>
          <w:tcPr>
            <w:tcW w:w="942" w:type="pct"/>
            <w:tcBorders>
              <w:bottom w:val="single" w:sz="4" w:space="0" w:color="auto"/>
            </w:tcBorders>
            <w:shd w:val="clear" w:color="auto" w:fill="auto"/>
          </w:tcPr>
          <w:p w14:paraId="6C226B51" w14:textId="19447140" w:rsidR="00E20015" w:rsidRPr="00455FCD" w:rsidRDefault="00E20015" w:rsidP="006606C3">
            <w:pPr>
              <w:spacing w:line="240" w:lineRule="auto"/>
              <w:contextualSpacing/>
              <w:jc w:val="center"/>
              <w:rPr>
                <w:rFonts w:ascii="Garamond" w:hAnsi="Garamond"/>
                <w:sz w:val="24"/>
                <w:szCs w:val="24"/>
              </w:rPr>
            </w:pPr>
            <w:r w:rsidRPr="00455FCD">
              <w:rPr>
                <w:rFonts w:ascii="Garamond" w:hAnsi="Garamond"/>
                <w:sz w:val="24"/>
                <w:szCs w:val="24"/>
              </w:rPr>
              <w:t>Sunday</w:t>
            </w:r>
          </w:p>
        </w:tc>
        <w:tc>
          <w:tcPr>
            <w:tcW w:w="1221" w:type="pct"/>
            <w:tcBorders>
              <w:bottom w:val="single" w:sz="4" w:space="0" w:color="auto"/>
            </w:tcBorders>
          </w:tcPr>
          <w:p w14:paraId="7F7BE64E" w14:textId="3C4AC6AA" w:rsidR="00E20015" w:rsidRPr="00455FCD" w:rsidRDefault="00E20015" w:rsidP="006606C3">
            <w:pPr>
              <w:spacing w:line="240" w:lineRule="auto"/>
              <w:contextualSpacing/>
              <w:jc w:val="center"/>
              <w:rPr>
                <w:rFonts w:ascii="Garamond" w:hAnsi="Garamond"/>
                <w:sz w:val="24"/>
                <w:szCs w:val="24"/>
              </w:rPr>
            </w:pPr>
            <w:r w:rsidRPr="00455FCD">
              <w:rPr>
                <w:rFonts w:ascii="Garamond" w:hAnsi="Garamond"/>
                <w:sz w:val="24"/>
                <w:szCs w:val="24"/>
              </w:rPr>
              <w:t>Sunday</w:t>
            </w:r>
          </w:p>
        </w:tc>
      </w:tr>
      <w:tr w:rsidR="00702179" w:rsidRPr="00455FCD" w14:paraId="1B70F878" w14:textId="77777777" w:rsidTr="00E20015">
        <w:trPr>
          <w:trHeight w:val="296"/>
          <w:jc w:val="center"/>
        </w:trPr>
        <w:tc>
          <w:tcPr>
            <w:tcW w:w="1021" w:type="pct"/>
            <w:tcBorders>
              <w:top w:val="single" w:sz="4" w:space="0" w:color="auto"/>
            </w:tcBorders>
            <w:shd w:val="clear" w:color="auto" w:fill="auto"/>
          </w:tcPr>
          <w:p w14:paraId="7D8724A6" w14:textId="24B1873F" w:rsidR="00702179" w:rsidRPr="00455FCD" w:rsidRDefault="00702179" w:rsidP="00702179">
            <w:pPr>
              <w:spacing w:line="240" w:lineRule="auto"/>
              <w:contextualSpacing/>
              <w:jc w:val="both"/>
              <w:rPr>
                <w:rFonts w:ascii="Garamond" w:hAnsi="Garamond"/>
                <w:sz w:val="24"/>
                <w:szCs w:val="24"/>
              </w:rPr>
            </w:pPr>
          </w:p>
        </w:tc>
        <w:tc>
          <w:tcPr>
            <w:tcW w:w="908" w:type="pct"/>
            <w:tcBorders>
              <w:top w:val="single" w:sz="4" w:space="0" w:color="auto"/>
            </w:tcBorders>
            <w:shd w:val="clear" w:color="auto" w:fill="auto"/>
          </w:tcPr>
          <w:p w14:paraId="4495EF1D" w14:textId="77777777" w:rsidR="00702179" w:rsidRPr="00455FCD" w:rsidRDefault="00702179" w:rsidP="00702179">
            <w:pPr>
              <w:spacing w:line="240" w:lineRule="auto"/>
              <w:contextualSpacing/>
              <w:rPr>
                <w:rFonts w:ascii="Garamond" w:hAnsi="Garamond"/>
                <w:sz w:val="24"/>
                <w:szCs w:val="24"/>
              </w:rPr>
            </w:pPr>
          </w:p>
        </w:tc>
        <w:tc>
          <w:tcPr>
            <w:tcW w:w="908" w:type="pct"/>
            <w:gridSpan w:val="2"/>
            <w:tcBorders>
              <w:top w:val="single" w:sz="4" w:space="0" w:color="auto"/>
            </w:tcBorders>
            <w:shd w:val="clear" w:color="auto" w:fill="auto"/>
          </w:tcPr>
          <w:p w14:paraId="4702FA49" w14:textId="77777777" w:rsidR="00702179" w:rsidRPr="00455FCD" w:rsidRDefault="00702179" w:rsidP="00702179">
            <w:pPr>
              <w:spacing w:line="240" w:lineRule="auto"/>
              <w:contextualSpacing/>
              <w:jc w:val="center"/>
              <w:rPr>
                <w:rFonts w:ascii="Garamond" w:hAnsi="Garamond"/>
                <w:sz w:val="24"/>
                <w:szCs w:val="24"/>
              </w:rPr>
            </w:pPr>
          </w:p>
        </w:tc>
        <w:tc>
          <w:tcPr>
            <w:tcW w:w="942" w:type="pct"/>
            <w:tcBorders>
              <w:top w:val="single" w:sz="4" w:space="0" w:color="auto"/>
            </w:tcBorders>
            <w:shd w:val="clear" w:color="auto" w:fill="auto"/>
          </w:tcPr>
          <w:p w14:paraId="584898B0" w14:textId="77777777" w:rsidR="00702179" w:rsidRPr="00455FCD" w:rsidRDefault="00702179" w:rsidP="00702179">
            <w:pPr>
              <w:spacing w:line="240" w:lineRule="auto"/>
              <w:contextualSpacing/>
              <w:rPr>
                <w:rFonts w:ascii="Garamond" w:hAnsi="Garamond"/>
                <w:sz w:val="24"/>
                <w:szCs w:val="24"/>
              </w:rPr>
            </w:pPr>
          </w:p>
        </w:tc>
        <w:tc>
          <w:tcPr>
            <w:tcW w:w="1221" w:type="pct"/>
            <w:tcBorders>
              <w:top w:val="single" w:sz="4" w:space="0" w:color="auto"/>
            </w:tcBorders>
          </w:tcPr>
          <w:p w14:paraId="74166D6E" w14:textId="77777777" w:rsidR="00702179" w:rsidRPr="00455FCD" w:rsidRDefault="00702179" w:rsidP="00702179">
            <w:pPr>
              <w:spacing w:line="240" w:lineRule="auto"/>
              <w:contextualSpacing/>
              <w:jc w:val="center"/>
              <w:rPr>
                <w:rFonts w:ascii="Garamond" w:hAnsi="Garamond"/>
                <w:sz w:val="24"/>
                <w:szCs w:val="24"/>
              </w:rPr>
            </w:pPr>
          </w:p>
        </w:tc>
      </w:tr>
      <w:tr w:rsidR="00702179" w:rsidRPr="00455FCD" w14:paraId="325D77C3" w14:textId="77777777" w:rsidTr="00E546C7">
        <w:trPr>
          <w:jc w:val="center"/>
        </w:trPr>
        <w:tc>
          <w:tcPr>
            <w:tcW w:w="3779" w:type="pct"/>
            <w:gridSpan w:val="5"/>
            <w:shd w:val="clear" w:color="auto" w:fill="auto"/>
          </w:tcPr>
          <w:p w14:paraId="57F8CF76" w14:textId="77777777" w:rsidR="00702179" w:rsidRPr="00455FCD" w:rsidRDefault="00702179" w:rsidP="00702179">
            <w:pPr>
              <w:spacing w:line="240" w:lineRule="auto"/>
              <w:contextualSpacing/>
              <w:rPr>
                <w:rFonts w:ascii="Garamond" w:hAnsi="Garamond"/>
                <w:sz w:val="24"/>
                <w:szCs w:val="24"/>
              </w:rPr>
            </w:pPr>
            <w:r w:rsidRPr="00455FCD">
              <w:rPr>
                <w:rFonts w:ascii="Garamond" w:hAnsi="Garamond"/>
                <w:sz w:val="24"/>
                <w:szCs w:val="24"/>
              </w:rPr>
              <w:t>Estimation of mean and volatility equation</w:t>
            </w:r>
          </w:p>
        </w:tc>
        <w:tc>
          <w:tcPr>
            <w:tcW w:w="1221" w:type="pct"/>
          </w:tcPr>
          <w:p w14:paraId="7F3BC0B9" w14:textId="77777777" w:rsidR="00702179" w:rsidRPr="00455FCD" w:rsidRDefault="00702179" w:rsidP="00702179">
            <w:pPr>
              <w:spacing w:line="240" w:lineRule="auto"/>
              <w:contextualSpacing/>
              <w:rPr>
                <w:rFonts w:ascii="Garamond" w:hAnsi="Garamond"/>
                <w:sz w:val="24"/>
                <w:szCs w:val="24"/>
              </w:rPr>
            </w:pPr>
          </w:p>
        </w:tc>
      </w:tr>
      <w:tr w:rsidR="00702179" w:rsidRPr="00455FCD" w14:paraId="05977A82" w14:textId="77777777" w:rsidTr="00E546C7">
        <w:trPr>
          <w:jc w:val="center"/>
        </w:trPr>
        <w:tc>
          <w:tcPr>
            <w:tcW w:w="3779" w:type="pct"/>
            <w:gridSpan w:val="5"/>
            <w:shd w:val="clear" w:color="auto" w:fill="auto"/>
          </w:tcPr>
          <w:p w14:paraId="46C845BD" w14:textId="77777777" w:rsidR="00702179" w:rsidRPr="00455FCD" w:rsidRDefault="00702179" w:rsidP="00702179">
            <w:pPr>
              <w:spacing w:line="240" w:lineRule="auto"/>
              <w:contextualSpacing/>
              <w:rPr>
                <w:rFonts w:ascii="Garamond" w:hAnsi="Garamond"/>
                <w:sz w:val="24"/>
                <w:szCs w:val="24"/>
              </w:rPr>
            </w:pPr>
          </w:p>
          <w:p w14:paraId="0C282B98" w14:textId="77777777" w:rsidR="00702179" w:rsidRPr="00455FCD" w:rsidRDefault="00702179" w:rsidP="00702179">
            <w:pPr>
              <w:spacing w:line="240" w:lineRule="auto"/>
              <w:contextualSpacing/>
              <w:rPr>
                <w:rFonts w:ascii="Garamond" w:hAnsi="Garamond"/>
                <w:sz w:val="24"/>
                <w:szCs w:val="24"/>
              </w:rPr>
            </w:pPr>
            <w:r w:rsidRPr="00455FCD">
              <w:rPr>
                <w:rFonts w:ascii="Garamond" w:hAnsi="Garamond"/>
                <w:sz w:val="24"/>
                <w:szCs w:val="24"/>
              </w:rPr>
              <w:t>Returns Equation</w:t>
            </w:r>
          </w:p>
        </w:tc>
        <w:tc>
          <w:tcPr>
            <w:tcW w:w="1221" w:type="pct"/>
          </w:tcPr>
          <w:p w14:paraId="7C1D2814" w14:textId="77777777" w:rsidR="00702179" w:rsidRPr="00455FCD" w:rsidRDefault="00702179" w:rsidP="00702179">
            <w:pPr>
              <w:spacing w:line="240" w:lineRule="auto"/>
              <w:contextualSpacing/>
              <w:rPr>
                <w:rFonts w:ascii="Garamond" w:hAnsi="Garamond"/>
                <w:sz w:val="24"/>
                <w:szCs w:val="24"/>
              </w:rPr>
            </w:pPr>
          </w:p>
        </w:tc>
      </w:tr>
      <w:tr w:rsidR="00702179" w:rsidRPr="00455FCD" w14:paraId="3DDB41A6" w14:textId="77777777" w:rsidTr="00E546C7">
        <w:trPr>
          <w:jc w:val="center"/>
        </w:trPr>
        <w:tc>
          <w:tcPr>
            <w:tcW w:w="3779" w:type="pct"/>
            <w:gridSpan w:val="5"/>
            <w:shd w:val="clear" w:color="auto" w:fill="auto"/>
          </w:tcPr>
          <w:p w14:paraId="1F438ECB" w14:textId="77777777" w:rsidR="00702179" w:rsidRPr="00455FCD" w:rsidRDefault="00702179" w:rsidP="00702179">
            <w:pPr>
              <w:spacing w:line="240" w:lineRule="auto"/>
              <w:contextualSpacing/>
              <w:rPr>
                <w:rFonts w:ascii="Garamond" w:hAnsi="Garamond"/>
                <w:sz w:val="24"/>
                <w:szCs w:val="24"/>
              </w:rPr>
            </w:pPr>
          </w:p>
        </w:tc>
        <w:tc>
          <w:tcPr>
            <w:tcW w:w="1221" w:type="pct"/>
          </w:tcPr>
          <w:p w14:paraId="7DC9B2BF" w14:textId="77777777" w:rsidR="00702179" w:rsidRPr="00455FCD" w:rsidRDefault="00702179" w:rsidP="00702179">
            <w:pPr>
              <w:spacing w:line="240" w:lineRule="auto"/>
              <w:contextualSpacing/>
              <w:rPr>
                <w:rFonts w:ascii="Garamond" w:hAnsi="Garamond"/>
                <w:sz w:val="24"/>
                <w:szCs w:val="24"/>
              </w:rPr>
            </w:pPr>
          </w:p>
        </w:tc>
      </w:tr>
      <w:tr w:rsidR="00702179" w:rsidRPr="00455FCD" w14:paraId="3190046B" w14:textId="77777777" w:rsidTr="00E546C7">
        <w:trPr>
          <w:jc w:val="center"/>
        </w:trPr>
        <w:tc>
          <w:tcPr>
            <w:tcW w:w="1021" w:type="pct"/>
            <w:shd w:val="clear" w:color="auto" w:fill="auto"/>
          </w:tcPr>
          <w:p w14:paraId="1F724550"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Small</w:t>
            </w:r>
          </w:p>
        </w:tc>
        <w:tc>
          <w:tcPr>
            <w:tcW w:w="908" w:type="pct"/>
            <w:shd w:val="clear" w:color="auto" w:fill="auto"/>
          </w:tcPr>
          <w:p w14:paraId="7DD9D6E4" w14:textId="1CE16816"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w:t>
            </w:r>
            <w:r w:rsidR="00E546C7" w:rsidRPr="00455FCD">
              <w:rPr>
                <w:rFonts w:ascii="Garamond" w:hAnsi="Garamond"/>
                <w:sz w:val="24"/>
                <w:szCs w:val="24"/>
              </w:rPr>
              <w:t>26716</w:t>
            </w:r>
            <w:r w:rsidRPr="00455FCD">
              <w:rPr>
                <w:rFonts w:ascii="Garamond" w:hAnsi="Garamond"/>
                <w:sz w:val="24"/>
                <w:szCs w:val="24"/>
              </w:rPr>
              <w:t>***</w:t>
            </w:r>
          </w:p>
        </w:tc>
        <w:tc>
          <w:tcPr>
            <w:tcW w:w="908" w:type="pct"/>
            <w:gridSpan w:val="2"/>
            <w:shd w:val="clear" w:color="auto" w:fill="auto"/>
          </w:tcPr>
          <w:p w14:paraId="2915D7F3" w14:textId="318C689D"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w:t>
            </w:r>
            <w:r w:rsidR="00E546C7" w:rsidRPr="00455FCD">
              <w:rPr>
                <w:rFonts w:ascii="Garamond" w:hAnsi="Garamond"/>
                <w:sz w:val="24"/>
                <w:szCs w:val="24"/>
              </w:rPr>
              <w:t>87185</w:t>
            </w:r>
          </w:p>
        </w:tc>
        <w:tc>
          <w:tcPr>
            <w:tcW w:w="942" w:type="pct"/>
            <w:shd w:val="clear" w:color="auto" w:fill="auto"/>
          </w:tcPr>
          <w:p w14:paraId="460A4724" w14:textId="77777777" w:rsidR="00702179" w:rsidRPr="00455FCD" w:rsidRDefault="00702179" w:rsidP="00702179">
            <w:pPr>
              <w:spacing w:line="240" w:lineRule="auto"/>
              <w:contextualSpacing/>
              <w:jc w:val="center"/>
              <w:rPr>
                <w:rFonts w:ascii="Garamond" w:hAnsi="Garamond"/>
                <w:sz w:val="24"/>
                <w:szCs w:val="24"/>
              </w:rPr>
            </w:pPr>
          </w:p>
        </w:tc>
        <w:tc>
          <w:tcPr>
            <w:tcW w:w="1221" w:type="pct"/>
          </w:tcPr>
          <w:p w14:paraId="1357FCF5" w14:textId="77777777" w:rsidR="00702179" w:rsidRPr="00455FCD" w:rsidRDefault="00702179" w:rsidP="00702179">
            <w:pPr>
              <w:spacing w:line="240" w:lineRule="auto"/>
              <w:contextualSpacing/>
              <w:jc w:val="center"/>
              <w:rPr>
                <w:rFonts w:ascii="Garamond" w:hAnsi="Garamond"/>
                <w:sz w:val="24"/>
                <w:szCs w:val="24"/>
              </w:rPr>
            </w:pPr>
          </w:p>
        </w:tc>
      </w:tr>
      <w:tr w:rsidR="00702179" w:rsidRPr="00455FCD" w14:paraId="6BB36114" w14:textId="77777777" w:rsidTr="00E546C7">
        <w:trPr>
          <w:jc w:val="center"/>
        </w:trPr>
        <w:tc>
          <w:tcPr>
            <w:tcW w:w="1021" w:type="pct"/>
            <w:shd w:val="clear" w:color="auto" w:fill="auto"/>
          </w:tcPr>
          <w:p w14:paraId="7D06464C"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Mid-size</w:t>
            </w:r>
          </w:p>
        </w:tc>
        <w:tc>
          <w:tcPr>
            <w:tcW w:w="908" w:type="pct"/>
            <w:shd w:val="clear" w:color="auto" w:fill="auto"/>
          </w:tcPr>
          <w:p w14:paraId="74C3D21C" w14:textId="10B12AB5" w:rsidR="00702179" w:rsidRPr="00455FCD" w:rsidRDefault="00E546C7" w:rsidP="00702179">
            <w:pPr>
              <w:spacing w:line="240" w:lineRule="auto"/>
              <w:contextualSpacing/>
              <w:jc w:val="center"/>
              <w:rPr>
                <w:rFonts w:ascii="Garamond" w:hAnsi="Garamond"/>
                <w:sz w:val="24"/>
                <w:szCs w:val="24"/>
              </w:rPr>
            </w:pPr>
            <w:r w:rsidRPr="00455FCD">
              <w:rPr>
                <w:rFonts w:ascii="Garamond" w:hAnsi="Garamond"/>
                <w:sz w:val="24"/>
                <w:szCs w:val="24"/>
              </w:rPr>
              <w:t>0.022381</w:t>
            </w:r>
          </w:p>
        </w:tc>
        <w:tc>
          <w:tcPr>
            <w:tcW w:w="908" w:type="pct"/>
            <w:gridSpan w:val="2"/>
            <w:shd w:val="clear" w:color="auto" w:fill="auto"/>
          </w:tcPr>
          <w:p w14:paraId="176069CB" w14:textId="11AED31C" w:rsidR="00702179" w:rsidRPr="00455FCD" w:rsidRDefault="00E546C7" w:rsidP="00702179">
            <w:pPr>
              <w:spacing w:line="240" w:lineRule="auto"/>
              <w:contextualSpacing/>
              <w:jc w:val="center"/>
              <w:rPr>
                <w:rFonts w:ascii="Garamond" w:hAnsi="Garamond"/>
                <w:sz w:val="24"/>
                <w:szCs w:val="24"/>
              </w:rPr>
            </w:pPr>
            <w:r w:rsidRPr="00455FCD">
              <w:rPr>
                <w:rFonts w:ascii="Garamond" w:hAnsi="Garamond"/>
                <w:sz w:val="24"/>
                <w:szCs w:val="24"/>
              </w:rPr>
              <w:t>0.046288</w:t>
            </w:r>
          </w:p>
        </w:tc>
        <w:tc>
          <w:tcPr>
            <w:tcW w:w="942" w:type="pct"/>
            <w:shd w:val="clear" w:color="auto" w:fill="auto"/>
          </w:tcPr>
          <w:p w14:paraId="68C760B1" w14:textId="77777777" w:rsidR="00702179" w:rsidRPr="00455FCD" w:rsidRDefault="00702179" w:rsidP="00702179">
            <w:pPr>
              <w:spacing w:line="240" w:lineRule="auto"/>
              <w:contextualSpacing/>
              <w:jc w:val="center"/>
              <w:rPr>
                <w:rFonts w:ascii="Garamond" w:hAnsi="Garamond"/>
                <w:sz w:val="24"/>
                <w:szCs w:val="24"/>
              </w:rPr>
            </w:pPr>
          </w:p>
        </w:tc>
        <w:tc>
          <w:tcPr>
            <w:tcW w:w="1221" w:type="pct"/>
          </w:tcPr>
          <w:p w14:paraId="43D55F3C" w14:textId="77777777" w:rsidR="00702179" w:rsidRPr="00455FCD" w:rsidRDefault="00702179" w:rsidP="00702179">
            <w:pPr>
              <w:spacing w:line="240" w:lineRule="auto"/>
              <w:contextualSpacing/>
              <w:jc w:val="center"/>
              <w:rPr>
                <w:rFonts w:ascii="Garamond" w:hAnsi="Garamond"/>
                <w:sz w:val="24"/>
                <w:szCs w:val="24"/>
              </w:rPr>
            </w:pPr>
          </w:p>
        </w:tc>
      </w:tr>
      <w:tr w:rsidR="00702179" w:rsidRPr="00455FCD" w14:paraId="3DA2DF73" w14:textId="77777777" w:rsidTr="00E546C7">
        <w:trPr>
          <w:jc w:val="center"/>
        </w:trPr>
        <w:tc>
          <w:tcPr>
            <w:tcW w:w="1021" w:type="pct"/>
            <w:shd w:val="clear" w:color="auto" w:fill="auto"/>
          </w:tcPr>
          <w:p w14:paraId="5BA025C3"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Large</w:t>
            </w:r>
          </w:p>
        </w:tc>
        <w:tc>
          <w:tcPr>
            <w:tcW w:w="908" w:type="pct"/>
            <w:shd w:val="clear" w:color="auto" w:fill="auto"/>
          </w:tcPr>
          <w:p w14:paraId="29D5A074" w14:textId="26A81F29" w:rsidR="00702179" w:rsidRPr="00455FCD" w:rsidRDefault="00E546C7" w:rsidP="00702179">
            <w:pPr>
              <w:spacing w:line="240" w:lineRule="auto"/>
              <w:contextualSpacing/>
              <w:jc w:val="center"/>
              <w:rPr>
                <w:rFonts w:ascii="Garamond" w:hAnsi="Garamond"/>
                <w:sz w:val="24"/>
                <w:szCs w:val="24"/>
              </w:rPr>
            </w:pPr>
            <w:r w:rsidRPr="00455FCD">
              <w:rPr>
                <w:rFonts w:ascii="Garamond" w:hAnsi="Garamond"/>
                <w:sz w:val="24"/>
                <w:szCs w:val="24"/>
              </w:rPr>
              <w:t>0.019122</w:t>
            </w:r>
          </w:p>
        </w:tc>
        <w:tc>
          <w:tcPr>
            <w:tcW w:w="908" w:type="pct"/>
            <w:gridSpan w:val="2"/>
            <w:shd w:val="clear" w:color="auto" w:fill="auto"/>
          </w:tcPr>
          <w:p w14:paraId="03794A3A" w14:textId="15784511" w:rsidR="00702179" w:rsidRPr="00455FCD" w:rsidRDefault="00E546C7" w:rsidP="00702179">
            <w:pPr>
              <w:spacing w:line="240" w:lineRule="auto"/>
              <w:contextualSpacing/>
              <w:jc w:val="center"/>
              <w:rPr>
                <w:rFonts w:ascii="Garamond" w:hAnsi="Garamond"/>
                <w:sz w:val="24"/>
                <w:szCs w:val="24"/>
              </w:rPr>
            </w:pPr>
            <w:r w:rsidRPr="00455FCD">
              <w:rPr>
                <w:rFonts w:ascii="Garamond" w:hAnsi="Garamond"/>
                <w:sz w:val="24"/>
                <w:szCs w:val="24"/>
              </w:rPr>
              <w:t>0.000607</w:t>
            </w:r>
          </w:p>
        </w:tc>
        <w:tc>
          <w:tcPr>
            <w:tcW w:w="942" w:type="pct"/>
            <w:shd w:val="clear" w:color="auto" w:fill="auto"/>
          </w:tcPr>
          <w:p w14:paraId="5F213C81" w14:textId="77777777" w:rsidR="00702179" w:rsidRPr="00455FCD" w:rsidRDefault="00702179" w:rsidP="00702179">
            <w:pPr>
              <w:spacing w:line="240" w:lineRule="auto"/>
              <w:contextualSpacing/>
              <w:jc w:val="center"/>
              <w:rPr>
                <w:rFonts w:ascii="Garamond" w:hAnsi="Garamond"/>
                <w:sz w:val="24"/>
                <w:szCs w:val="24"/>
              </w:rPr>
            </w:pPr>
          </w:p>
        </w:tc>
        <w:tc>
          <w:tcPr>
            <w:tcW w:w="1221" w:type="pct"/>
          </w:tcPr>
          <w:p w14:paraId="191B0BDD" w14:textId="77777777" w:rsidR="00702179" w:rsidRPr="00455FCD" w:rsidRDefault="00702179" w:rsidP="00702179">
            <w:pPr>
              <w:spacing w:line="240" w:lineRule="auto"/>
              <w:contextualSpacing/>
              <w:jc w:val="center"/>
              <w:rPr>
                <w:rFonts w:ascii="Garamond" w:hAnsi="Garamond"/>
                <w:sz w:val="24"/>
                <w:szCs w:val="24"/>
              </w:rPr>
            </w:pPr>
          </w:p>
        </w:tc>
      </w:tr>
      <w:tr w:rsidR="00702179" w:rsidRPr="00455FCD" w14:paraId="0F8CD970" w14:textId="77777777" w:rsidTr="00E546C7">
        <w:trPr>
          <w:jc w:val="center"/>
        </w:trPr>
        <w:tc>
          <w:tcPr>
            <w:tcW w:w="1021" w:type="pct"/>
            <w:shd w:val="clear" w:color="auto" w:fill="auto"/>
          </w:tcPr>
          <w:p w14:paraId="2C63012A"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Low yield</w:t>
            </w:r>
          </w:p>
        </w:tc>
        <w:tc>
          <w:tcPr>
            <w:tcW w:w="908" w:type="pct"/>
            <w:shd w:val="clear" w:color="auto" w:fill="auto"/>
          </w:tcPr>
          <w:p w14:paraId="6D307F8C" w14:textId="77777777" w:rsidR="00702179" w:rsidRPr="00455FCD" w:rsidRDefault="00702179" w:rsidP="00702179">
            <w:pPr>
              <w:spacing w:line="240" w:lineRule="auto"/>
              <w:contextualSpacing/>
              <w:jc w:val="center"/>
              <w:rPr>
                <w:rFonts w:ascii="Garamond" w:hAnsi="Garamond"/>
                <w:sz w:val="24"/>
                <w:szCs w:val="24"/>
              </w:rPr>
            </w:pPr>
          </w:p>
        </w:tc>
        <w:tc>
          <w:tcPr>
            <w:tcW w:w="908" w:type="pct"/>
            <w:gridSpan w:val="2"/>
            <w:shd w:val="clear" w:color="auto" w:fill="auto"/>
          </w:tcPr>
          <w:p w14:paraId="789A0F26" w14:textId="77777777" w:rsidR="00702179" w:rsidRPr="00455FCD" w:rsidRDefault="00702179" w:rsidP="00702179">
            <w:pPr>
              <w:spacing w:line="240" w:lineRule="auto"/>
              <w:contextualSpacing/>
              <w:jc w:val="center"/>
              <w:rPr>
                <w:rFonts w:ascii="Garamond" w:hAnsi="Garamond"/>
                <w:sz w:val="24"/>
                <w:szCs w:val="24"/>
              </w:rPr>
            </w:pPr>
          </w:p>
        </w:tc>
        <w:tc>
          <w:tcPr>
            <w:tcW w:w="942" w:type="pct"/>
            <w:shd w:val="clear" w:color="auto" w:fill="auto"/>
          </w:tcPr>
          <w:p w14:paraId="49441738" w14:textId="38C31CDF" w:rsidR="00702179" w:rsidRPr="00455FCD" w:rsidRDefault="0001375F" w:rsidP="00702179">
            <w:pPr>
              <w:spacing w:line="240" w:lineRule="auto"/>
              <w:contextualSpacing/>
              <w:jc w:val="center"/>
              <w:rPr>
                <w:rFonts w:ascii="Garamond" w:hAnsi="Garamond"/>
                <w:sz w:val="24"/>
                <w:szCs w:val="24"/>
              </w:rPr>
            </w:pPr>
            <w:r w:rsidRPr="00455FCD">
              <w:rPr>
                <w:rFonts w:ascii="Garamond" w:hAnsi="Garamond"/>
                <w:sz w:val="24"/>
                <w:szCs w:val="24"/>
              </w:rPr>
              <w:t>-0.054381***</w:t>
            </w:r>
          </w:p>
        </w:tc>
        <w:tc>
          <w:tcPr>
            <w:tcW w:w="1221" w:type="pct"/>
          </w:tcPr>
          <w:p w14:paraId="543BA745" w14:textId="15C137C9"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w:t>
            </w:r>
            <w:r w:rsidR="0001375F" w:rsidRPr="00455FCD">
              <w:rPr>
                <w:rFonts w:ascii="Garamond" w:hAnsi="Garamond"/>
                <w:sz w:val="24"/>
                <w:szCs w:val="24"/>
              </w:rPr>
              <w:t>0.069350</w:t>
            </w:r>
          </w:p>
        </w:tc>
      </w:tr>
      <w:tr w:rsidR="00702179" w:rsidRPr="00455FCD" w14:paraId="5362A6B2" w14:textId="77777777" w:rsidTr="00E546C7">
        <w:trPr>
          <w:jc w:val="center"/>
        </w:trPr>
        <w:tc>
          <w:tcPr>
            <w:tcW w:w="1021" w:type="pct"/>
            <w:shd w:val="clear" w:color="auto" w:fill="auto"/>
          </w:tcPr>
          <w:p w14:paraId="297E4939"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High yield</w:t>
            </w:r>
          </w:p>
        </w:tc>
        <w:tc>
          <w:tcPr>
            <w:tcW w:w="908" w:type="pct"/>
            <w:shd w:val="clear" w:color="auto" w:fill="auto"/>
          </w:tcPr>
          <w:p w14:paraId="6CCBD7A3" w14:textId="77777777" w:rsidR="00702179" w:rsidRPr="00455FCD" w:rsidRDefault="00702179" w:rsidP="00702179">
            <w:pPr>
              <w:spacing w:line="240" w:lineRule="auto"/>
              <w:contextualSpacing/>
              <w:jc w:val="center"/>
              <w:rPr>
                <w:rFonts w:ascii="Garamond" w:hAnsi="Garamond"/>
                <w:sz w:val="24"/>
                <w:szCs w:val="24"/>
              </w:rPr>
            </w:pPr>
          </w:p>
        </w:tc>
        <w:tc>
          <w:tcPr>
            <w:tcW w:w="908" w:type="pct"/>
            <w:gridSpan w:val="2"/>
            <w:shd w:val="clear" w:color="auto" w:fill="auto"/>
          </w:tcPr>
          <w:p w14:paraId="631C7070" w14:textId="77777777" w:rsidR="00702179" w:rsidRPr="00455FCD" w:rsidRDefault="00702179" w:rsidP="00702179">
            <w:pPr>
              <w:spacing w:line="240" w:lineRule="auto"/>
              <w:contextualSpacing/>
              <w:jc w:val="center"/>
              <w:rPr>
                <w:rFonts w:ascii="Garamond" w:hAnsi="Garamond"/>
                <w:sz w:val="24"/>
                <w:szCs w:val="24"/>
              </w:rPr>
            </w:pPr>
          </w:p>
        </w:tc>
        <w:tc>
          <w:tcPr>
            <w:tcW w:w="942" w:type="pct"/>
            <w:shd w:val="clear" w:color="auto" w:fill="auto"/>
          </w:tcPr>
          <w:p w14:paraId="55126C00" w14:textId="7D4A4E64" w:rsidR="00702179" w:rsidRPr="00455FCD" w:rsidRDefault="0001375F" w:rsidP="00702179">
            <w:pPr>
              <w:spacing w:line="240" w:lineRule="auto"/>
              <w:contextualSpacing/>
              <w:jc w:val="center"/>
              <w:rPr>
                <w:rFonts w:ascii="Garamond" w:hAnsi="Garamond"/>
                <w:sz w:val="24"/>
                <w:szCs w:val="24"/>
              </w:rPr>
            </w:pPr>
            <w:r w:rsidRPr="00455FCD">
              <w:rPr>
                <w:rFonts w:ascii="Garamond" w:hAnsi="Garamond"/>
                <w:sz w:val="24"/>
                <w:szCs w:val="24"/>
              </w:rPr>
              <w:t>-0.021523***</w:t>
            </w:r>
          </w:p>
        </w:tc>
        <w:tc>
          <w:tcPr>
            <w:tcW w:w="1221" w:type="pct"/>
          </w:tcPr>
          <w:p w14:paraId="3EC62ABF" w14:textId="3085CCF9" w:rsidR="00702179" w:rsidRPr="00455FCD" w:rsidRDefault="0001375F" w:rsidP="00702179">
            <w:pPr>
              <w:spacing w:line="240" w:lineRule="auto"/>
              <w:contextualSpacing/>
              <w:jc w:val="center"/>
              <w:rPr>
                <w:rFonts w:ascii="Garamond" w:hAnsi="Garamond"/>
                <w:sz w:val="24"/>
                <w:szCs w:val="24"/>
              </w:rPr>
            </w:pPr>
            <w:r w:rsidRPr="00455FCD">
              <w:rPr>
                <w:rFonts w:ascii="Garamond" w:hAnsi="Garamond"/>
                <w:sz w:val="24"/>
                <w:szCs w:val="24"/>
              </w:rPr>
              <w:t>0.023690</w:t>
            </w:r>
          </w:p>
        </w:tc>
      </w:tr>
      <w:tr w:rsidR="00702179" w:rsidRPr="00455FCD" w14:paraId="260F9A5F" w14:textId="77777777" w:rsidTr="00E546C7">
        <w:trPr>
          <w:jc w:val="center"/>
        </w:trPr>
        <w:tc>
          <w:tcPr>
            <w:tcW w:w="1021" w:type="pct"/>
            <w:shd w:val="clear" w:color="auto" w:fill="auto"/>
          </w:tcPr>
          <w:p w14:paraId="0AA1D52E"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Return(-1)</w:t>
            </w:r>
          </w:p>
        </w:tc>
        <w:tc>
          <w:tcPr>
            <w:tcW w:w="908" w:type="pct"/>
            <w:shd w:val="clear" w:color="auto" w:fill="auto"/>
          </w:tcPr>
          <w:p w14:paraId="7D7C095E" w14:textId="5493F3DB"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w:t>
            </w:r>
            <w:r w:rsidR="00E546C7" w:rsidRPr="00455FCD">
              <w:rPr>
                <w:rFonts w:ascii="Garamond" w:hAnsi="Garamond"/>
                <w:sz w:val="24"/>
                <w:szCs w:val="24"/>
              </w:rPr>
              <w:t>06726</w:t>
            </w:r>
            <w:r w:rsidRPr="00455FCD">
              <w:rPr>
                <w:rFonts w:ascii="Garamond" w:hAnsi="Garamond"/>
                <w:sz w:val="24"/>
                <w:szCs w:val="24"/>
              </w:rPr>
              <w:t>**</w:t>
            </w:r>
          </w:p>
        </w:tc>
        <w:tc>
          <w:tcPr>
            <w:tcW w:w="908" w:type="pct"/>
            <w:gridSpan w:val="2"/>
            <w:shd w:val="clear" w:color="auto" w:fill="auto"/>
          </w:tcPr>
          <w:p w14:paraId="1A805C2D" w14:textId="4FE50EDD"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0.02</w:t>
            </w:r>
            <w:r w:rsidR="00E546C7" w:rsidRPr="00455FCD">
              <w:rPr>
                <w:rFonts w:ascii="Garamond" w:hAnsi="Garamond"/>
                <w:sz w:val="24"/>
                <w:szCs w:val="24"/>
              </w:rPr>
              <w:t>248</w:t>
            </w:r>
            <w:r w:rsidR="00E20015" w:rsidRPr="00455FCD">
              <w:rPr>
                <w:rFonts w:ascii="Garamond" w:hAnsi="Garamond"/>
                <w:sz w:val="24"/>
                <w:szCs w:val="24"/>
              </w:rPr>
              <w:t>2</w:t>
            </w:r>
            <w:r w:rsidRPr="00455FCD">
              <w:rPr>
                <w:rFonts w:ascii="Garamond" w:hAnsi="Garamond"/>
                <w:sz w:val="24"/>
                <w:szCs w:val="24"/>
              </w:rPr>
              <w:t>***</w:t>
            </w:r>
          </w:p>
        </w:tc>
        <w:tc>
          <w:tcPr>
            <w:tcW w:w="942" w:type="pct"/>
            <w:shd w:val="clear" w:color="auto" w:fill="auto"/>
          </w:tcPr>
          <w:p w14:paraId="495CFC18" w14:textId="25F8FA67"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0.022755</w:t>
            </w:r>
          </w:p>
        </w:tc>
        <w:tc>
          <w:tcPr>
            <w:tcW w:w="1221" w:type="pct"/>
          </w:tcPr>
          <w:p w14:paraId="0F400514" w14:textId="46A1D9F5"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0.014966***</w:t>
            </w:r>
          </w:p>
        </w:tc>
      </w:tr>
      <w:tr w:rsidR="00702179" w:rsidRPr="00455FCD" w14:paraId="0A91F473" w14:textId="77777777" w:rsidTr="00E546C7">
        <w:trPr>
          <w:jc w:val="center"/>
        </w:trPr>
        <w:tc>
          <w:tcPr>
            <w:tcW w:w="1021" w:type="pct"/>
            <w:shd w:val="clear" w:color="auto" w:fill="auto"/>
          </w:tcPr>
          <w:p w14:paraId="3FA1FAA4"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C</w:t>
            </w:r>
          </w:p>
        </w:tc>
        <w:tc>
          <w:tcPr>
            <w:tcW w:w="908" w:type="pct"/>
            <w:shd w:val="clear" w:color="auto" w:fill="auto"/>
          </w:tcPr>
          <w:p w14:paraId="44192E09" w14:textId="6EBB0823"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-0.00</w:t>
            </w:r>
            <w:r w:rsidR="00E546C7" w:rsidRPr="00455FCD">
              <w:rPr>
                <w:rFonts w:ascii="Garamond" w:hAnsi="Garamond"/>
                <w:sz w:val="24"/>
                <w:szCs w:val="24"/>
              </w:rPr>
              <w:t>0821</w:t>
            </w:r>
            <w:r w:rsidRPr="00455FCD">
              <w:rPr>
                <w:rFonts w:ascii="Garamond" w:hAnsi="Garamond"/>
                <w:sz w:val="24"/>
                <w:szCs w:val="24"/>
              </w:rPr>
              <w:t>***</w:t>
            </w:r>
          </w:p>
        </w:tc>
        <w:tc>
          <w:tcPr>
            <w:tcW w:w="908" w:type="pct"/>
            <w:gridSpan w:val="2"/>
            <w:shd w:val="clear" w:color="auto" w:fill="auto"/>
          </w:tcPr>
          <w:p w14:paraId="1507DB8D" w14:textId="680FCE2F"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-0.00</w:t>
            </w:r>
            <w:r w:rsidR="00E20015" w:rsidRPr="00455FCD">
              <w:rPr>
                <w:rFonts w:ascii="Garamond" w:hAnsi="Garamond"/>
                <w:sz w:val="24"/>
                <w:szCs w:val="24"/>
              </w:rPr>
              <w:t>01051</w:t>
            </w:r>
          </w:p>
        </w:tc>
        <w:tc>
          <w:tcPr>
            <w:tcW w:w="942" w:type="pct"/>
            <w:shd w:val="clear" w:color="auto" w:fill="auto"/>
          </w:tcPr>
          <w:p w14:paraId="697E6040" w14:textId="20DB2E31"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-0.000769***</w:t>
            </w:r>
          </w:p>
        </w:tc>
        <w:tc>
          <w:tcPr>
            <w:tcW w:w="1221" w:type="pct"/>
          </w:tcPr>
          <w:p w14:paraId="303F61A6" w14:textId="75763324"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-0.000648***</w:t>
            </w:r>
          </w:p>
        </w:tc>
      </w:tr>
      <w:tr w:rsidR="00702179" w:rsidRPr="00455FCD" w14:paraId="7C70AD9E" w14:textId="77777777" w:rsidTr="00E546C7">
        <w:trPr>
          <w:jc w:val="center"/>
        </w:trPr>
        <w:tc>
          <w:tcPr>
            <w:tcW w:w="3779" w:type="pct"/>
            <w:gridSpan w:val="5"/>
            <w:shd w:val="clear" w:color="auto" w:fill="auto"/>
          </w:tcPr>
          <w:p w14:paraId="1C5B9CC5" w14:textId="77777777" w:rsidR="00702179" w:rsidRPr="00455FCD" w:rsidRDefault="00702179" w:rsidP="00702179">
            <w:pPr>
              <w:spacing w:line="240" w:lineRule="auto"/>
              <w:contextualSpacing/>
              <w:rPr>
                <w:rFonts w:ascii="Garamond" w:hAnsi="Garamond"/>
                <w:sz w:val="24"/>
                <w:szCs w:val="24"/>
              </w:rPr>
            </w:pPr>
          </w:p>
          <w:p w14:paraId="019A05DD" w14:textId="77777777" w:rsidR="00702179" w:rsidRPr="00455FCD" w:rsidRDefault="00702179" w:rsidP="00702179">
            <w:pPr>
              <w:spacing w:line="240" w:lineRule="auto"/>
              <w:contextualSpacing/>
              <w:rPr>
                <w:rFonts w:ascii="Garamond" w:hAnsi="Garamond"/>
                <w:sz w:val="24"/>
                <w:szCs w:val="24"/>
              </w:rPr>
            </w:pPr>
            <w:r w:rsidRPr="00455FCD">
              <w:rPr>
                <w:rFonts w:ascii="Garamond" w:hAnsi="Garamond"/>
                <w:sz w:val="24"/>
                <w:szCs w:val="24"/>
              </w:rPr>
              <w:t>Volatility Equation</w:t>
            </w:r>
          </w:p>
        </w:tc>
        <w:tc>
          <w:tcPr>
            <w:tcW w:w="1221" w:type="pct"/>
          </w:tcPr>
          <w:p w14:paraId="0CDFB007" w14:textId="77777777" w:rsidR="00702179" w:rsidRPr="00455FCD" w:rsidRDefault="00702179" w:rsidP="00702179">
            <w:pPr>
              <w:spacing w:line="240" w:lineRule="auto"/>
              <w:contextualSpacing/>
              <w:rPr>
                <w:rFonts w:ascii="Garamond" w:hAnsi="Garamond"/>
                <w:sz w:val="24"/>
                <w:szCs w:val="24"/>
              </w:rPr>
            </w:pPr>
          </w:p>
        </w:tc>
      </w:tr>
      <w:tr w:rsidR="00702179" w:rsidRPr="00455FCD" w14:paraId="53B37B5C" w14:textId="77777777" w:rsidTr="00E546C7">
        <w:trPr>
          <w:jc w:val="center"/>
        </w:trPr>
        <w:tc>
          <w:tcPr>
            <w:tcW w:w="3779" w:type="pct"/>
            <w:gridSpan w:val="5"/>
            <w:shd w:val="clear" w:color="auto" w:fill="auto"/>
          </w:tcPr>
          <w:p w14:paraId="09C19122" w14:textId="77777777" w:rsidR="00702179" w:rsidRPr="00455FCD" w:rsidRDefault="00702179" w:rsidP="00702179">
            <w:pPr>
              <w:spacing w:line="240" w:lineRule="auto"/>
              <w:contextualSpacing/>
              <w:rPr>
                <w:rFonts w:ascii="Garamond" w:hAnsi="Garamond"/>
                <w:sz w:val="24"/>
                <w:szCs w:val="24"/>
              </w:rPr>
            </w:pPr>
          </w:p>
        </w:tc>
        <w:tc>
          <w:tcPr>
            <w:tcW w:w="1221" w:type="pct"/>
          </w:tcPr>
          <w:p w14:paraId="61E9717C" w14:textId="77777777" w:rsidR="00702179" w:rsidRPr="00455FCD" w:rsidRDefault="00702179" w:rsidP="00702179">
            <w:pPr>
              <w:spacing w:line="240" w:lineRule="auto"/>
              <w:contextualSpacing/>
              <w:rPr>
                <w:rFonts w:ascii="Garamond" w:hAnsi="Garamond"/>
                <w:sz w:val="24"/>
                <w:szCs w:val="24"/>
              </w:rPr>
            </w:pPr>
          </w:p>
        </w:tc>
      </w:tr>
      <w:tr w:rsidR="00702179" w:rsidRPr="00455FCD" w14:paraId="10605056" w14:textId="77777777" w:rsidTr="00E546C7">
        <w:trPr>
          <w:jc w:val="center"/>
        </w:trPr>
        <w:tc>
          <w:tcPr>
            <w:tcW w:w="1021" w:type="pct"/>
            <w:shd w:val="clear" w:color="auto" w:fill="auto"/>
          </w:tcPr>
          <w:p w14:paraId="2790660B"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ω</w:t>
            </w:r>
          </w:p>
        </w:tc>
        <w:tc>
          <w:tcPr>
            <w:tcW w:w="908" w:type="pct"/>
            <w:shd w:val="clear" w:color="auto" w:fill="auto"/>
          </w:tcPr>
          <w:p w14:paraId="69A783DE" w14:textId="61CC1B5A" w:rsidR="00702179" w:rsidRPr="00455FCD" w:rsidRDefault="00E546C7" w:rsidP="00702179">
            <w:pPr>
              <w:spacing w:line="240" w:lineRule="auto"/>
              <w:contextualSpacing/>
              <w:jc w:val="center"/>
              <w:rPr>
                <w:rFonts w:ascii="Garamond" w:hAnsi="Garamond"/>
                <w:sz w:val="24"/>
                <w:szCs w:val="24"/>
              </w:rPr>
            </w:pPr>
            <w:r w:rsidRPr="00455FCD">
              <w:rPr>
                <w:rFonts w:ascii="Garamond" w:hAnsi="Garamond"/>
                <w:sz w:val="24"/>
                <w:szCs w:val="24"/>
              </w:rPr>
              <w:t>0.000184</w:t>
            </w:r>
            <w:r w:rsidR="00702179" w:rsidRPr="00455FCD">
              <w:rPr>
                <w:rFonts w:ascii="Garamond" w:hAnsi="Garamond"/>
                <w:sz w:val="24"/>
                <w:szCs w:val="24"/>
              </w:rPr>
              <w:t>***</w:t>
            </w:r>
          </w:p>
        </w:tc>
        <w:tc>
          <w:tcPr>
            <w:tcW w:w="908" w:type="pct"/>
            <w:gridSpan w:val="2"/>
            <w:shd w:val="clear" w:color="auto" w:fill="auto"/>
          </w:tcPr>
          <w:p w14:paraId="5A7ACD9D" w14:textId="6414D883"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0.000</w:t>
            </w:r>
            <w:r w:rsidR="00E20015" w:rsidRPr="00455FCD">
              <w:rPr>
                <w:rFonts w:ascii="Garamond" w:hAnsi="Garamond"/>
                <w:sz w:val="24"/>
                <w:szCs w:val="24"/>
              </w:rPr>
              <w:t>463</w:t>
            </w:r>
            <w:r w:rsidRPr="00455FCD">
              <w:rPr>
                <w:rFonts w:ascii="Garamond" w:hAnsi="Garamond"/>
                <w:sz w:val="24"/>
                <w:szCs w:val="24"/>
              </w:rPr>
              <w:t>*</w:t>
            </w:r>
          </w:p>
        </w:tc>
        <w:tc>
          <w:tcPr>
            <w:tcW w:w="942" w:type="pct"/>
            <w:shd w:val="clear" w:color="auto" w:fill="auto"/>
          </w:tcPr>
          <w:p w14:paraId="342EE471" w14:textId="57B94CC3"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0.000183***</w:t>
            </w:r>
          </w:p>
        </w:tc>
        <w:tc>
          <w:tcPr>
            <w:tcW w:w="1221" w:type="pct"/>
          </w:tcPr>
          <w:p w14:paraId="05FE85D1" w14:textId="21DB675C"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0.000469**</w:t>
            </w:r>
          </w:p>
        </w:tc>
      </w:tr>
      <w:tr w:rsidR="00702179" w:rsidRPr="00455FCD" w14:paraId="11671B8A" w14:textId="77777777" w:rsidTr="00E546C7">
        <w:trPr>
          <w:jc w:val="center"/>
        </w:trPr>
        <w:tc>
          <w:tcPr>
            <w:tcW w:w="1021" w:type="pct"/>
            <w:shd w:val="clear" w:color="auto" w:fill="auto"/>
          </w:tcPr>
          <w:p w14:paraId="59F6A990"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α</w:t>
            </w:r>
          </w:p>
        </w:tc>
        <w:tc>
          <w:tcPr>
            <w:tcW w:w="908" w:type="pct"/>
            <w:shd w:val="clear" w:color="auto" w:fill="auto"/>
          </w:tcPr>
          <w:p w14:paraId="66D3ED99" w14:textId="349E5E76" w:rsidR="00702179" w:rsidRPr="00455FCD" w:rsidRDefault="00E546C7" w:rsidP="00702179">
            <w:pPr>
              <w:spacing w:line="240" w:lineRule="auto"/>
              <w:contextualSpacing/>
              <w:jc w:val="center"/>
              <w:rPr>
                <w:rFonts w:ascii="Garamond" w:hAnsi="Garamond"/>
                <w:sz w:val="24"/>
                <w:szCs w:val="24"/>
              </w:rPr>
            </w:pPr>
            <w:r w:rsidRPr="00455FCD">
              <w:rPr>
                <w:rFonts w:ascii="Garamond" w:hAnsi="Garamond"/>
                <w:sz w:val="24"/>
                <w:szCs w:val="24"/>
              </w:rPr>
              <w:t>0.</w:t>
            </w:r>
            <w:r w:rsidR="00D025C7" w:rsidRPr="00455FCD">
              <w:rPr>
                <w:rFonts w:ascii="Garamond" w:hAnsi="Garamond"/>
                <w:sz w:val="24"/>
                <w:szCs w:val="24"/>
              </w:rPr>
              <w:t>3</w:t>
            </w:r>
            <w:r w:rsidRPr="00455FCD">
              <w:rPr>
                <w:rFonts w:ascii="Garamond" w:hAnsi="Garamond"/>
                <w:sz w:val="24"/>
                <w:szCs w:val="24"/>
              </w:rPr>
              <w:t>49857</w:t>
            </w:r>
            <w:r w:rsidR="00702179" w:rsidRPr="00455FCD">
              <w:rPr>
                <w:rFonts w:ascii="Garamond" w:hAnsi="Garamond"/>
                <w:sz w:val="24"/>
                <w:szCs w:val="24"/>
              </w:rPr>
              <w:t>*</w:t>
            </w:r>
            <w:r w:rsidRPr="00455FCD">
              <w:rPr>
                <w:rFonts w:ascii="Garamond" w:hAnsi="Garamond"/>
                <w:sz w:val="24"/>
                <w:szCs w:val="24"/>
              </w:rPr>
              <w:t>*</w:t>
            </w:r>
          </w:p>
        </w:tc>
        <w:tc>
          <w:tcPr>
            <w:tcW w:w="908" w:type="pct"/>
            <w:gridSpan w:val="2"/>
            <w:shd w:val="clear" w:color="auto" w:fill="auto"/>
          </w:tcPr>
          <w:p w14:paraId="6B4F032F" w14:textId="59E5762B" w:rsidR="00702179" w:rsidRPr="00455FCD" w:rsidRDefault="00E20015" w:rsidP="00702179">
            <w:pPr>
              <w:spacing w:line="240" w:lineRule="auto"/>
              <w:contextualSpacing/>
              <w:jc w:val="center"/>
              <w:rPr>
                <w:rFonts w:ascii="Garamond" w:hAnsi="Garamond"/>
                <w:sz w:val="24"/>
                <w:szCs w:val="24"/>
              </w:rPr>
            </w:pPr>
            <w:r w:rsidRPr="00455FCD">
              <w:rPr>
                <w:rFonts w:ascii="Garamond" w:hAnsi="Garamond"/>
                <w:sz w:val="24"/>
                <w:szCs w:val="24"/>
              </w:rPr>
              <w:t>0.</w:t>
            </w:r>
            <w:r w:rsidR="00D025C7" w:rsidRPr="00455FCD">
              <w:rPr>
                <w:rFonts w:ascii="Garamond" w:hAnsi="Garamond"/>
                <w:sz w:val="24"/>
                <w:szCs w:val="24"/>
              </w:rPr>
              <w:t>3</w:t>
            </w:r>
            <w:r w:rsidRPr="00455FCD">
              <w:rPr>
                <w:rFonts w:ascii="Garamond" w:hAnsi="Garamond"/>
                <w:sz w:val="24"/>
                <w:szCs w:val="24"/>
              </w:rPr>
              <w:t>36720**</w:t>
            </w:r>
          </w:p>
        </w:tc>
        <w:tc>
          <w:tcPr>
            <w:tcW w:w="942" w:type="pct"/>
            <w:shd w:val="clear" w:color="auto" w:fill="auto"/>
          </w:tcPr>
          <w:p w14:paraId="513A24E6" w14:textId="2D58D33D"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w:t>
            </w:r>
            <w:r w:rsidR="00D025C7" w:rsidRPr="00455FCD">
              <w:rPr>
                <w:rFonts w:ascii="Garamond" w:hAnsi="Garamond"/>
                <w:sz w:val="24"/>
                <w:szCs w:val="24"/>
              </w:rPr>
              <w:t>35</w:t>
            </w:r>
            <w:r w:rsidRPr="00455FCD">
              <w:rPr>
                <w:rFonts w:ascii="Garamond" w:hAnsi="Garamond"/>
                <w:sz w:val="24"/>
                <w:szCs w:val="24"/>
              </w:rPr>
              <w:t>9855**</w:t>
            </w:r>
          </w:p>
        </w:tc>
        <w:tc>
          <w:tcPr>
            <w:tcW w:w="1221" w:type="pct"/>
          </w:tcPr>
          <w:p w14:paraId="3EA66B17" w14:textId="02070CDD"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0.36765</w:t>
            </w:r>
            <w:r w:rsidR="00D025C7" w:rsidRPr="00455FCD">
              <w:rPr>
                <w:rFonts w:ascii="Garamond" w:hAnsi="Garamond"/>
                <w:sz w:val="24"/>
                <w:szCs w:val="24"/>
              </w:rPr>
              <w:t>1</w:t>
            </w:r>
            <w:r w:rsidRPr="00455FCD">
              <w:rPr>
                <w:rFonts w:ascii="Garamond" w:hAnsi="Garamond"/>
                <w:sz w:val="24"/>
                <w:szCs w:val="24"/>
              </w:rPr>
              <w:t>*</w:t>
            </w:r>
          </w:p>
        </w:tc>
      </w:tr>
      <w:tr w:rsidR="00702179" w:rsidRPr="00455FCD" w14:paraId="7F07FFD8" w14:textId="77777777" w:rsidTr="00E546C7">
        <w:trPr>
          <w:jc w:val="center"/>
        </w:trPr>
        <w:tc>
          <w:tcPr>
            <w:tcW w:w="1021" w:type="pct"/>
            <w:shd w:val="clear" w:color="auto" w:fill="auto"/>
          </w:tcPr>
          <w:p w14:paraId="3B9829DE"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β</w:t>
            </w:r>
          </w:p>
        </w:tc>
        <w:tc>
          <w:tcPr>
            <w:tcW w:w="908" w:type="pct"/>
            <w:shd w:val="clear" w:color="auto" w:fill="auto"/>
          </w:tcPr>
          <w:p w14:paraId="578AEDFB" w14:textId="1C32579A"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w:t>
            </w:r>
            <w:r w:rsidR="00E546C7" w:rsidRPr="00455FCD">
              <w:rPr>
                <w:rFonts w:ascii="Garamond" w:hAnsi="Garamond"/>
                <w:sz w:val="24"/>
                <w:szCs w:val="24"/>
              </w:rPr>
              <w:t>599857</w:t>
            </w:r>
            <w:r w:rsidRPr="00455FCD">
              <w:rPr>
                <w:rFonts w:ascii="Garamond" w:hAnsi="Garamond"/>
                <w:sz w:val="24"/>
                <w:szCs w:val="24"/>
              </w:rPr>
              <w:t>***</w:t>
            </w:r>
          </w:p>
        </w:tc>
        <w:tc>
          <w:tcPr>
            <w:tcW w:w="908" w:type="pct"/>
            <w:gridSpan w:val="2"/>
            <w:shd w:val="clear" w:color="auto" w:fill="auto"/>
          </w:tcPr>
          <w:p w14:paraId="07D8A934" w14:textId="6417FD42"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w:t>
            </w:r>
            <w:r w:rsidR="00E20015" w:rsidRPr="00455FCD">
              <w:rPr>
                <w:rFonts w:ascii="Garamond" w:hAnsi="Garamond"/>
                <w:sz w:val="24"/>
                <w:szCs w:val="24"/>
              </w:rPr>
              <w:t>565989</w:t>
            </w:r>
            <w:r w:rsidRPr="00455FCD">
              <w:rPr>
                <w:rFonts w:ascii="Garamond" w:hAnsi="Garamond"/>
                <w:sz w:val="24"/>
                <w:szCs w:val="24"/>
              </w:rPr>
              <w:t>***</w:t>
            </w:r>
          </w:p>
        </w:tc>
        <w:tc>
          <w:tcPr>
            <w:tcW w:w="942" w:type="pct"/>
            <w:shd w:val="clear" w:color="auto" w:fill="auto"/>
          </w:tcPr>
          <w:p w14:paraId="1DDFDC67" w14:textId="522DD449"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0.599855***</w:t>
            </w:r>
          </w:p>
        </w:tc>
        <w:tc>
          <w:tcPr>
            <w:tcW w:w="1221" w:type="pct"/>
          </w:tcPr>
          <w:p w14:paraId="30170AD9" w14:textId="03911C96"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0.571262***</w:t>
            </w:r>
          </w:p>
        </w:tc>
      </w:tr>
      <w:tr w:rsidR="00702179" w:rsidRPr="00455FCD" w14:paraId="3D8BBEEA" w14:textId="77777777" w:rsidTr="00E546C7">
        <w:trPr>
          <w:jc w:val="center"/>
        </w:trPr>
        <w:tc>
          <w:tcPr>
            <w:tcW w:w="1021" w:type="pct"/>
            <w:shd w:val="clear" w:color="auto" w:fill="auto"/>
          </w:tcPr>
          <w:p w14:paraId="70EEF993"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γ</w:t>
            </w:r>
          </w:p>
        </w:tc>
        <w:tc>
          <w:tcPr>
            <w:tcW w:w="908" w:type="pct"/>
            <w:shd w:val="clear" w:color="auto" w:fill="auto"/>
          </w:tcPr>
          <w:p w14:paraId="1AE98333" w14:textId="77777777" w:rsidR="00702179" w:rsidRPr="00455FCD" w:rsidRDefault="00702179" w:rsidP="00702179">
            <w:pPr>
              <w:spacing w:line="240" w:lineRule="auto"/>
              <w:contextualSpacing/>
              <w:jc w:val="center"/>
              <w:rPr>
                <w:rFonts w:ascii="Garamond" w:hAnsi="Garamond"/>
                <w:sz w:val="24"/>
                <w:szCs w:val="24"/>
              </w:rPr>
            </w:pPr>
          </w:p>
        </w:tc>
        <w:tc>
          <w:tcPr>
            <w:tcW w:w="908" w:type="pct"/>
            <w:gridSpan w:val="2"/>
            <w:shd w:val="clear" w:color="auto" w:fill="auto"/>
          </w:tcPr>
          <w:p w14:paraId="0B5B0CAE" w14:textId="77777777" w:rsidR="00702179" w:rsidRPr="00455FCD" w:rsidRDefault="00702179" w:rsidP="00702179">
            <w:pPr>
              <w:spacing w:line="240" w:lineRule="auto"/>
              <w:contextualSpacing/>
              <w:jc w:val="center"/>
              <w:rPr>
                <w:rFonts w:ascii="Garamond" w:hAnsi="Garamond"/>
                <w:sz w:val="24"/>
                <w:szCs w:val="24"/>
              </w:rPr>
            </w:pPr>
          </w:p>
        </w:tc>
        <w:tc>
          <w:tcPr>
            <w:tcW w:w="942" w:type="pct"/>
            <w:shd w:val="clear" w:color="auto" w:fill="auto"/>
          </w:tcPr>
          <w:p w14:paraId="3F0217D3" w14:textId="77777777" w:rsidR="00702179" w:rsidRPr="00455FCD" w:rsidRDefault="00702179" w:rsidP="00702179">
            <w:pPr>
              <w:spacing w:line="240" w:lineRule="auto"/>
              <w:contextualSpacing/>
              <w:jc w:val="center"/>
              <w:rPr>
                <w:rFonts w:ascii="Garamond" w:hAnsi="Garamond"/>
                <w:sz w:val="24"/>
                <w:szCs w:val="24"/>
              </w:rPr>
            </w:pPr>
          </w:p>
        </w:tc>
        <w:tc>
          <w:tcPr>
            <w:tcW w:w="1221" w:type="pct"/>
          </w:tcPr>
          <w:p w14:paraId="4E58BE5C" w14:textId="4CA8C958"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0.053073</w:t>
            </w:r>
          </w:p>
        </w:tc>
      </w:tr>
      <w:tr w:rsidR="00702179" w:rsidRPr="00455FCD" w14:paraId="6E38EC6D" w14:textId="77777777" w:rsidTr="00E546C7">
        <w:trPr>
          <w:jc w:val="center"/>
        </w:trPr>
        <w:tc>
          <w:tcPr>
            <w:tcW w:w="1021" w:type="pct"/>
            <w:shd w:val="clear" w:color="auto" w:fill="auto"/>
          </w:tcPr>
          <w:p w14:paraId="3527FBA3"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Small</w:t>
            </w:r>
          </w:p>
        </w:tc>
        <w:tc>
          <w:tcPr>
            <w:tcW w:w="908" w:type="pct"/>
            <w:shd w:val="clear" w:color="auto" w:fill="auto"/>
          </w:tcPr>
          <w:p w14:paraId="59ED73E1" w14:textId="77777777" w:rsidR="00702179" w:rsidRPr="00455FCD" w:rsidRDefault="00702179" w:rsidP="00702179">
            <w:pPr>
              <w:spacing w:line="240" w:lineRule="auto"/>
              <w:contextualSpacing/>
              <w:jc w:val="center"/>
              <w:rPr>
                <w:rFonts w:ascii="Garamond" w:hAnsi="Garamond"/>
                <w:sz w:val="24"/>
                <w:szCs w:val="24"/>
              </w:rPr>
            </w:pPr>
          </w:p>
        </w:tc>
        <w:tc>
          <w:tcPr>
            <w:tcW w:w="908" w:type="pct"/>
            <w:gridSpan w:val="2"/>
            <w:shd w:val="clear" w:color="auto" w:fill="auto"/>
          </w:tcPr>
          <w:p w14:paraId="05836C83" w14:textId="74A29599"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0.00</w:t>
            </w:r>
            <w:r w:rsidR="00E20015" w:rsidRPr="00455FCD">
              <w:rPr>
                <w:rFonts w:ascii="Garamond" w:hAnsi="Garamond"/>
                <w:sz w:val="24"/>
                <w:szCs w:val="24"/>
              </w:rPr>
              <w:t>4419</w:t>
            </w:r>
            <w:r w:rsidRPr="00455FCD">
              <w:rPr>
                <w:rFonts w:ascii="Garamond" w:hAnsi="Garamond"/>
                <w:sz w:val="24"/>
                <w:szCs w:val="24"/>
              </w:rPr>
              <w:t>*</w:t>
            </w:r>
          </w:p>
        </w:tc>
        <w:tc>
          <w:tcPr>
            <w:tcW w:w="942" w:type="pct"/>
            <w:shd w:val="clear" w:color="auto" w:fill="auto"/>
          </w:tcPr>
          <w:p w14:paraId="1DE6950A" w14:textId="77777777" w:rsidR="00702179" w:rsidRPr="00455FCD" w:rsidRDefault="00702179" w:rsidP="00702179">
            <w:pPr>
              <w:spacing w:line="240" w:lineRule="auto"/>
              <w:contextualSpacing/>
              <w:jc w:val="center"/>
              <w:rPr>
                <w:rFonts w:ascii="Garamond" w:hAnsi="Garamond"/>
                <w:sz w:val="24"/>
                <w:szCs w:val="24"/>
              </w:rPr>
            </w:pPr>
          </w:p>
        </w:tc>
        <w:tc>
          <w:tcPr>
            <w:tcW w:w="1221" w:type="pct"/>
          </w:tcPr>
          <w:p w14:paraId="31F063FF" w14:textId="77777777" w:rsidR="00702179" w:rsidRPr="00455FCD" w:rsidRDefault="00702179" w:rsidP="00702179">
            <w:pPr>
              <w:spacing w:line="240" w:lineRule="auto"/>
              <w:contextualSpacing/>
              <w:jc w:val="center"/>
              <w:rPr>
                <w:rFonts w:ascii="Garamond" w:hAnsi="Garamond"/>
                <w:sz w:val="24"/>
                <w:szCs w:val="24"/>
              </w:rPr>
            </w:pPr>
          </w:p>
        </w:tc>
      </w:tr>
      <w:tr w:rsidR="00702179" w:rsidRPr="00455FCD" w14:paraId="5637C2C5" w14:textId="77777777" w:rsidTr="00E546C7">
        <w:trPr>
          <w:jc w:val="center"/>
        </w:trPr>
        <w:tc>
          <w:tcPr>
            <w:tcW w:w="1021" w:type="pct"/>
            <w:shd w:val="clear" w:color="auto" w:fill="auto"/>
          </w:tcPr>
          <w:p w14:paraId="18D2F3AE"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Mid-size</w:t>
            </w:r>
          </w:p>
        </w:tc>
        <w:tc>
          <w:tcPr>
            <w:tcW w:w="908" w:type="pct"/>
            <w:shd w:val="clear" w:color="auto" w:fill="auto"/>
          </w:tcPr>
          <w:p w14:paraId="6FDB2B35" w14:textId="77777777" w:rsidR="00702179" w:rsidRPr="00455FCD" w:rsidRDefault="00702179" w:rsidP="00702179">
            <w:pPr>
              <w:spacing w:line="240" w:lineRule="auto"/>
              <w:contextualSpacing/>
              <w:jc w:val="center"/>
              <w:rPr>
                <w:rFonts w:ascii="Garamond" w:hAnsi="Garamond"/>
                <w:sz w:val="24"/>
                <w:szCs w:val="24"/>
              </w:rPr>
            </w:pPr>
          </w:p>
        </w:tc>
        <w:tc>
          <w:tcPr>
            <w:tcW w:w="908" w:type="pct"/>
            <w:gridSpan w:val="2"/>
            <w:shd w:val="clear" w:color="auto" w:fill="auto"/>
          </w:tcPr>
          <w:p w14:paraId="461577A8" w14:textId="687D06D3" w:rsidR="00702179" w:rsidRPr="00455FCD" w:rsidRDefault="00E20015" w:rsidP="00702179">
            <w:pPr>
              <w:spacing w:line="240" w:lineRule="auto"/>
              <w:contextualSpacing/>
              <w:jc w:val="center"/>
              <w:rPr>
                <w:rFonts w:ascii="Garamond" w:hAnsi="Garamond"/>
                <w:sz w:val="24"/>
                <w:szCs w:val="24"/>
              </w:rPr>
            </w:pPr>
            <w:r w:rsidRPr="00455FCD">
              <w:rPr>
                <w:rFonts w:ascii="Garamond" w:hAnsi="Garamond"/>
                <w:sz w:val="24"/>
                <w:szCs w:val="24"/>
              </w:rPr>
              <w:t>-</w:t>
            </w:r>
            <w:r w:rsidR="00702179" w:rsidRPr="00455FCD">
              <w:rPr>
                <w:rFonts w:ascii="Garamond" w:hAnsi="Garamond"/>
                <w:sz w:val="24"/>
                <w:szCs w:val="24"/>
              </w:rPr>
              <w:t>0.0</w:t>
            </w:r>
            <w:r w:rsidRPr="00455FCD">
              <w:rPr>
                <w:rFonts w:ascii="Garamond" w:hAnsi="Garamond"/>
                <w:sz w:val="24"/>
                <w:szCs w:val="24"/>
              </w:rPr>
              <w:t>02384</w:t>
            </w:r>
          </w:p>
        </w:tc>
        <w:tc>
          <w:tcPr>
            <w:tcW w:w="942" w:type="pct"/>
            <w:shd w:val="clear" w:color="auto" w:fill="auto"/>
          </w:tcPr>
          <w:p w14:paraId="409C34FC" w14:textId="77777777" w:rsidR="00702179" w:rsidRPr="00455FCD" w:rsidRDefault="00702179" w:rsidP="00702179">
            <w:pPr>
              <w:spacing w:line="240" w:lineRule="auto"/>
              <w:contextualSpacing/>
              <w:jc w:val="center"/>
              <w:rPr>
                <w:rFonts w:ascii="Garamond" w:hAnsi="Garamond"/>
                <w:sz w:val="24"/>
                <w:szCs w:val="24"/>
              </w:rPr>
            </w:pPr>
          </w:p>
        </w:tc>
        <w:tc>
          <w:tcPr>
            <w:tcW w:w="1221" w:type="pct"/>
          </w:tcPr>
          <w:p w14:paraId="43A96FED" w14:textId="77777777" w:rsidR="00702179" w:rsidRPr="00455FCD" w:rsidRDefault="00702179" w:rsidP="00702179">
            <w:pPr>
              <w:spacing w:line="240" w:lineRule="auto"/>
              <w:contextualSpacing/>
              <w:jc w:val="center"/>
              <w:rPr>
                <w:rFonts w:ascii="Garamond" w:hAnsi="Garamond"/>
                <w:sz w:val="24"/>
                <w:szCs w:val="24"/>
              </w:rPr>
            </w:pPr>
          </w:p>
        </w:tc>
      </w:tr>
      <w:tr w:rsidR="00702179" w:rsidRPr="00455FCD" w14:paraId="7100F471" w14:textId="77777777" w:rsidTr="00E546C7">
        <w:trPr>
          <w:jc w:val="center"/>
        </w:trPr>
        <w:tc>
          <w:tcPr>
            <w:tcW w:w="1021" w:type="pct"/>
            <w:shd w:val="clear" w:color="auto" w:fill="auto"/>
          </w:tcPr>
          <w:p w14:paraId="3437DA15"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Large</w:t>
            </w:r>
          </w:p>
        </w:tc>
        <w:tc>
          <w:tcPr>
            <w:tcW w:w="908" w:type="pct"/>
            <w:shd w:val="clear" w:color="auto" w:fill="auto"/>
          </w:tcPr>
          <w:p w14:paraId="5DB61B4A" w14:textId="77777777" w:rsidR="00702179" w:rsidRPr="00455FCD" w:rsidRDefault="00702179" w:rsidP="00702179">
            <w:pPr>
              <w:spacing w:line="240" w:lineRule="auto"/>
              <w:contextualSpacing/>
              <w:jc w:val="center"/>
              <w:rPr>
                <w:rFonts w:ascii="Garamond" w:hAnsi="Garamond"/>
                <w:sz w:val="24"/>
                <w:szCs w:val="24"/>
              </w:rPr>
            </w:pPr>
          </w:p>
        </w:tc>
        <w:tc>
          <w:tcPr>
            <w:tcW w:w="908" w:type="pct"/>
            <w:gridSpan w:val="2"/>
            <w:shd w:val="clear" w:color="auto" w:fill="auto"/>
          </w:tcPr>
          <w:p w14:paraId="2E41C08C" w14:textId="1C52092B" w:rsidR="00702179" w:rsidRPr="00455FCD" w:rsidRDefault="0001375F" w:rsidP="00702179">
            <w:pPr>
              <w:spacing w:line="240" w:lineRule="auto"/>
              <w:contextualSpacing/>
              <w:jc w:val="center"/>
              <w:rPr>
                <w:rFonts w:ascii="Garamond" w:hAnsi="Garamond"/>
                <w:sz w:val="24"/>
                <w:szCs w:val="24"/>
              </w:rPr>
            </w:pPr>
            <w:r w:rsidRPr="00455FCD">
              <w:rPr>
                <w:rFonts w:ascii="Garamond" w:hAnsi="Garamond"/>
                <w:sz w:val="24"/>
                <w:szCs w:val="24"/>
              </w:rPr>
              <w:t>-</w:t>
            </w:r>
            <w:r w:rsidR="00702179" w:rsidRPr="00455FCD">
              <w:rPr>
                <w:rFonts w:ascii="Garamond" w:hAnsi="Garamond"/>
                <w:sz w:val="24"/>
                <w:szCs w:val="24"/>
              </w:rPr>
              <w:t>0.00</w:t>
            </w:r>
            <w:r w:rsidR="00E20015" w:rsidRPr="00455FCD">
              <w:rPr>
                <w:rFonts w:ascii="Garamond" w:hAnsi="Garamond"/>
                <w:sz w:val="24"/>
                <w:szCs w:val="24"/>
              </w:rPr>
              <w:t>2991***</w:t>
            </w:r>
          </w:p>
        </w:tc>
        <w:tc>
          <w:tcPr>
            <w:tcW w:w="942" w:type="pct"/>
            <w:shd w:val="clear" w:color="auto" w:fill="auto"/>
          </w:tcPr>
          <w:p w14:paraId="2B848C75" w14:textId="77777777" w:rsidR="00702179" w:rsidRPr="00455FCD" w:rsidRDefault="00702179" w:rsidP="00702179">
            <w:pPr>
              <w:spacing w:line="240" w:lineRule="auto"/>
              <w:contextualSpacing/>
              <w:jc w:val="center"/>
              <w:rPr>
                <w:rFonts w:ascii="Garamond" w:hAnsi="Garamond"/>
                <w:sz w:val="24"/>
                <w:szCs w:val="24"/>
              </w:rPr>
            </w:pPr>
          </w:p>
        </w:tc>
        <w:tc>
          <w:tcPr>
            <w:tcW w:w="1221" w:type="pct"/>
          </w:tcPr>
          <w:p w14:paraId="170D36EE" w14:textId="77777777" w:rsidR="00702179" w:rsidRPr="00455FCD" w:rsidRDefault="00702179" w:rsidP="00702179">
            <w:pPr>
              <w:spacing w:line="240" w:lineRule="auto"/>
              <w:contextualSpacing/>
              <w:jc w:val="center"/>
              <w:rPr>
                <w:rFonts w:ascii="Garamond" w:hAnsi="Garamond"/>
                <w:sz w:val="24"/>
                <w:szCs w:val="24"/>
              </w:rPr>
            </w:pPr>
          </w:p>
        </w:tc>
      </w:tr>
      <w:tr w:rsidR="00702179" w:rsidRPr="00455FCD" w14:paraId="1E7821DA" w14:textId="77777777" w:rsidTr="00E546C7">
        <w:trPr>
          <w:jc w:val="center"/>
        </w:trPr>
        <w:tc>
          <w:tcPr>
            <w:tcW w:w="1021" w:type="pct"/>
            <w:shd w:val="clear" w:color="auto" w:fill="auto"/>
          </w:tcPr>
          <w:p w14:paraId="4CAE84CB"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Low yield</w:t>
            </w:r>
          </w:p>
        </w:tc>
        <w:tc>
          <w:tcPr>
            <w:tcW w:w="908" w:type="pct"/>
            <w:shd w:val="clear" w:color="auto" w:fill="auto"/>
          </w:tcPr>
          <w:p w14:paraId="5E292F65" w14:textId="77777777" w:rsidR="00702179" w:rsidRPr="00455FCD" w:rsidRDefault="00702179" w:rsidP="00702179">
            <w:pPr>
              <w:spacing w:line="240" w:lineRule="auto"/>
              <w:contextualSpacing/>
              <w:jc w:val="center"/>
              <w:rPr>
                <w:rFonts w:ascii="Garamond" w:hAnsi="Garamond"/>
                <w:sz w:val="24"/>
                <w:szCs w:val="24"/>
              </w:rPr>
            </w:pPr>
          </w:p>
        </w:tc>
        <w:tc>
          <w:tcPr>
            <w:tcW w:w="908" w:type="pct"/>
            <w:gridSpan w:val="2"/>
            <w:shd w:val="clear" w:color="auto" w:fill="auto"/>
          </w:tcPr>
          <w:p w14:paraId="6D0C12C0" w14:textId="77777777" w:rsidR="00702179" w:rsidRPr="00455FCD" w:rsidRDefault="00702179" w:rsidP="00702179">
            <w:pPr>
              <w:spacing w:line="240" w:lineRule="auto"/>
              <w:contextualSpacing/>
              <w:jc w:val="center"/>
              <w:rPr>
                <w:rFonts w:ascii="Garamond" w:hAnsi="Garamond"/>
                <w:sz w:val="24"/>
                <w:szCs w:val="24"/>
              </w:rPr>
            </w:pPr>
          </w:p>
        </w:tc>
        <w:tc>
          <w:tcPr>
            <w:tcW w:w="942" w:type="pct"/>
            <w:shd w:val="clear" w:color="auto" w:fill="auto"/>
          </w:tcPr>
          <w:p w14:paraId="03384085" w14:textId="77777777" w:rsidR="00702179" w:rsidRPr="00455FCD" w:rsidRDefault="00702179" w:rsidP="00702179">
            <w:pPr>
              <w:spacing w:line="240" w:lineRule="auto"/>
              <w:contextualSpacing/>
              <w:jc w:val="center"/>
              <w:rPr>
                <w:rFonts w:ascii="Garamond" w:hAnsi="Garamond"/>
                <w:sz w:val="24"/>
                <w:szCs w:val="24"/>
              </w:rPr>
            </w:pPr>
          </w:p>
        </w:tc>
        <w:tc>
          <w:tcPr>
            <w:tcW w:w="1221" w:type="pct"/>
          </w:tcPr>
          <w:p w14:paraId="200FF008" w14:textId="176DCCDD"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0.020143***</w:t>
            </w:r>
          </w:p>
        </w:tc>
      </w:tr>
      <w:tr w:rsidR="00702179" w:rsidRPr="00455FCD" w14:paraId="7F67690C" w14:textId="77777777" w:rsidTr="00E546C7">
        <w:trPr>
          <w:jc w:val="center"/>
        </w:trPr>
        <w:tc>
          <w:tcPr>
            <w:tcW w:w="1021" w:type="pct"/>
            <w:shd w:val="clear" w:color="auto" w:fill="auto"/>
          </w:tcPr>
          <w:p w14:paraId="01B7627E"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High yield</w:t>
            </w:r>
          </w:p>
        </w:tc>
        <w:tc>
          <w:tcPr>
            <w:tcW w:w="908" w:type="pct"/>
            <w:shd w:val="clear" w:color="auto" w:fill="auto"/>
          </w:tcPr>
          <w:p w14:paraId="734A3B62" w14:textId="77777777" w:rsidR="00702179" w:rsidRPr="00455FCD" w:rsidRDefault="00702179" w:rsidP="00702179">
            <w:pPr>
              <w:spacing w:line="240" w:lineRule="auto"/>
              <w:contextualSpacing/>
              <w:jc w:val="center"/>
              <w:rPr>
                <w:rFonts w:ascii="Garamond" w:hAnsi="Garamond"/>
                <w:sz w:val="24"/>
                <w:szCs w:val="24"/>
              </w:rPr>
            </w:pPr>
          </w:p>
        </w:tc>
        <w:tc>
          <w:tcPr>
            <w:tcW w:w="908" w:type="pct"/>
            <w:gridSpan w:val="2"/>
            <w:shd w:val="clear" w:color="auto" w:fill="auto"/>
          </w:tcPr>
          <w:p w14:paraId="01D526FA" w14:textId="77777777" w:rsidR="00702179" w:rsidRPr="00455FCD" w:rsidRDefault="00702179" w:rsidP="00702179">
            <w:pPr>
              <w:spacing w:line="240" w:lineRule="auto"/>
              <w:contextualSpacing/>
              <w:jc w:val="center"/>
              <w:rPr>
                <w:rFonts w:ascii="Garamond" w:hAnsi="Garamond"/>
                <w:sz w:val="24"/>
                <w:szCs w:val="24"/>
              </w:rPr>
            </w:pPr>
          </w:p>
        </w:tc>
        <w:tc>
          <w:tcPr>
            <w:tcW w:w="942" w:type="pct"/>
            <w:shd w:val="clear" w:color="auto" w:fill="auto"/>
          </w:tcPr>
          <w:p w14:paraId="6944FF7D" w14:textId="77777777" w:rsidR="00702179" w:rsidRPr="00455FCD" w:rsidRDefault="00702179" w:rsidP="00702179">
            <w:pPr>
              <w:spacing w:line="240" w:lineRule="auto"/>
              <w:contextualSpacing/>
              <w:jc w:val="center"/>
              <w:rPr>
                <w:rFonts w:ascii="Garamond" w:hAnsi="Garamond"/>
                <w:sz w:val="24"/>
                <w:szCs w:val="24"/>
              </w:rPr>
            </w:pPr>
          </w:p>
        </w:tc>
        <w:tc>
          <w:tcPr>
            <w:tcW w:w="1221" w:type="pct"/>
          </w:tcPr>
          <w:p w14:paraId="170A40DF" w14:textId="51C955FF"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0.012733</w:t>
            </w:r>
          </w:p>
        </w:tc>
      </w:tr>
      <w:tr w:rsidR="00702179" w:rsidRPr="00455FCD" w14:paraId="1DB07F9A" w14:textId="77777777" w:rsidTr="00E546C7">
        <w:trPr>
          <w:jc w:val="center"/>
        </w:trPr>
        <w:tc>
          <w:tcPr>
            <w:tcW w:w="1021" w:type="pct"/>
            <w:shd w:val="clear" w:color="auto" w:fill="auto"/>
          </w:tcPr>
          <w:p w14:paraId="3D3600D9" w14:textId="77777777" w:rsidR="00702179" w:rsidRPr="00455FCD" w:rsidRDefault="00702179" w:rsidP="00702179">
            <w:pPr>
              <w:spacing w:line="240" w:lineRule="auto"/>
              <w:contextualSpacing/>
              <w:jc w:val="both"/>
              <w:rPr>
                <w:rFonts w:ascii="Garamond" w:hAnsi="Garamond"/>
                <w:sz w:val="24"/>
                <w:szCs w:val="24"/>
              </w:rPr>
            </w:pPr>
          </w:p>
        </w:tc>
        <w:tc>
          <w:tcPr>
            <w:tcW w:w="908" w:type="pct"/>
            <w:shd w:val="clear" w:color="auto" w:fill="auto"/>
          </w:tcPr>
          <w:p w14:paraId="5BCB58AD" w14:textId="77777777" w:rsidR="00702179" w:rsidRPr="00455FCD" w:rsidRDefault="00702179" w:rsidP="00702179">
            <w:pPr>
              <w:spacing w:line="240" w:lineRule="auto"/>
              <w:contextualSpacing/>
              <w:jc w:val="center"/>
              <w:rPr>
                <w:rFonts w:ascii="Garamond" w:hAnsi="Garamond"/>
                <w:sz w:val="24"/>
                <w:szCs w:val="24"/>
              </w:rPr>
            </w:pPr>
          </w:p>
        </w:tc>
        <w:tc>
          <w:tcPr>
            <w:tcW w:w="908" w:type="pct"/>
            <w:gridSpan w:val="2"/>
            <w:shd w:val="clear" w:color="auto" w:fill="auto"/>
          </w:tcPr>
          <w:p w14:paraId="2315C881" w14:textId="77777777" w:rsidR="00702179" w:rsidRPr="00455FCD" w:rsidRDefault="00702179" w:rsidP="00702179">
            <w:pPr>
              <w:spacing w:line="240" w:lineRule="auto"/>
              <w:contextualSpacing/>
              <w:jc w:val="center"/>
              <w:rPr>
                <w:rFonts w:ascii="Garamond" w:hAnsi="Garamond"/>
                <w:sz w:val="24"/>
                <w:szCs w:val="24"/>
              </w:rPr>
            </w:pPr>
          </w:p>
        </w:tc>
        <w:tc>
          <w:tcPr>
            <w:tcW w:w="942" w:type="pct"/>
            <w:shd w:val="clear" w:color="auto" w:fill="auto"/>
          </w:tcPr>
          <w:p w14:paraId="15B9C6AC" w14:textId="77777777" w:rsidR="00702179" w:rsidRPr="00455FCD" w:rsidRDefault="00702179" w:rsidP="00702179">
            <w:pPr>
              <w:spacing w:line="240" w:lineRule="auto"/>
              <w:contextualSpacing/>
              <w:jc w:val="center"/>
              <w:rPr>
                <w:rFonts w:ascii="Garamond" w:hAnsi="Garamond"/>
                <w:sz w:val="24"/>
                <w:szCs w:val="24"/>
              </w:rPr>
            </w:pPr>
          </w:p>
        </w:tc>
        <w:tc>
          <w:tcPr>
            <w:tcW w:w="1221" w:type="pct"/>
          </w:tcPr>
          <w:p w14:paraId="130764BE" w14:textId="77777777" w:rsidR="00702179" w:rsidRPr="00455FCD" w:rsidRDefault="00702179" w:rsidP="00702179">
            <w:pPr>
              <w:spacing w:line="240" w:lineRule="auto"/>
              <w:contextualSpacing/>
              <w:jc w:val="center"/>
              <w:rPr>
                <w:rFonts w:ascii="Garamond" w:hAnsi="Garamond"/>
                <w:sz w:val="24"/>
                <w:szCs w:val="24"/>
              </w:rPr>
            </w:pPr>
          </w:p>
        </w:tc>
      </w:tr>
      <w:tr w:rsidR="00702179" w:rsidRPr="00455FCD" w14:paraId="77FE92E4" w14:textId="77777777" w:rsidTr="00E546C7">
        <w:trPr>
          <w:jc w:val="center"/>
        </w:trPr>
        <w:tc>
          <w:tcPr>
            <w:tcW w:w="1021" w:type="pct"/>
            <w:shd w:val="clear" w:color="auto" w:fill="auto"/>
          </w:tcPr>
          <w:p w14:paraId="171C01BA"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Log Likelihood</w:t>
            </w:r>
          </w:p>
        </w:tc>
        <w:tc>
          <w:tcPr>
            <w:tcW w:w="908" w:type="pct"/>
            <w:shd w:val="clear" w:color="auto" w:fill="auto"/>
          </w:tcPr>
          <w:p w14:paraId="287AFAB0" w14:textId="403BC884" w:rsidR="00702179" w:rsidRPr="00455FCD" w:rsidRDefault="00E546C7" w:rsidP="00702179">
            <w:pPr>
              <w:spacing w:line="240" w:lineRule="auto"/>
              <w:contextualSpacing/>
              <w:jc w:val="center"/>
              <w:rPr>
                <w:rFonts w:ascii="Garamond" w:hAnsi="Garamond"/>
                <w:sz w:val="24"/>
                <w:szCs w:val="24"/>
              </w:rPr>
            </w:pPr>
            <w:r w:rsidRPr="00455FCD">
              <w:rPr>
                <w:rFonts w:ascii="Garamond" w:hAnsi="Garamond"/>
                <w:sz w:val="24"/>
                <w:szCs w:val="24"/>
              </w:rPr>
              <w:t>1592.765</w:t>
            </w:r>
          </w:p>
        </w:tc>
        <w:tc>
          <w:tcPr>
            <w:tcW w:w="908" w:type="pct"/>
            <w:gridSpan w:val="2"/>
            <w:shd w:val="clear" w:color="auto" w:fill="auto"/>
          </w:tcPr>
          <w:p w14:paraId="10EFFBAC" w14:textId="3D289719" w:rsidR="00702179" w:rsidRPr="00455FCD" w:rsidRDefault="00E20015" w:rsidP="00702179">
            <w:pPr>
              <w:spacing w:line="240" w:lineRule="auto"/>
              <w:contextualSpacing/>
              <w:jc w:val="center"/>
              <w:rPr>
                <w:rFonts w:ascii="Garamond" w:hAnsi="Garamond"/>
                <w:sz w:val="24"/>
                <w:szCs w:val="24"/>
              </w:rPr>
            </w:pPr>
            <w:r w:rsidRPr="00455FCD">
              <w:rPr>
                <w:rFonts w:ascii="Garamond" w:hAnsi="Garamond"/>
                <w:sz w:val="24"/>
                <w:szCs w:val="24"/>
              </w:rPr>
              <w:t>1548.499</w:t>
            </w:r>
          </w:p>
        </w:tc>
        <w:tc>
          <w:tcPr>
            <w:tcW w:w="942" w:type="pct"/>
            <w:shd w:val="clear" w:color="auto" w:fill="auto"/>
          </w:tcPr>
          <w:p w14:paraId="61969EC5" w14:textId="1D8F952B"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1592.734</w:t>
            </w:r>
          </w:p>
        </w:tc>
        <w:tc>
          <w:tcPr>
            <w:tcW w:w="1221" w:type="pct"/>
          </w:tcPr>
          <w:p w14:paraId="6A55C8A0" w14:textId="2E52D9AA"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1544.230</w:t>
            </w:r>
          </w:p>
        </w:tc>
      </w:tr>
      <w:tr w:rsidR="00702179" w:rsidRPr="00455FCD" w14:paraId="05D2D2D6" w14:textId="77777777" w:rsidTr="00E546C7">
        <w:trPr>
          <w:jc w:val="center"/>
        </w:trPr>
        <w:tc>
          <w:tcPr>
            <w:tcW w:w="1021" w:type="pct"/>
            <w:shd w:val="clear" w:color="auto" w:fill="auto"/>
          </w:tcPr>
          <w:p w14:paraId="7C561CD3" w14:textId="77777777" w:rsidR="00702179" w:rsidRPr="00455FCD" w:rsidRDefault="00702179" w:rsidP="00702179">
            <w:pPr>
              <w:spacing w:line="240" w:lineRule="auto"/>
              <w:contextualSpacing/>
              <w:jc w:val="both"/>
              <w:rPr>
                <w:rFonts w:ascii="Garamond" w:hAnsi="Garamond"/>
                <w:sz w:val="24"/>
                <w:szCs w:val="24"/>
              </w:rPr>
            </w:pPr>
          </w:p>
        </w:tc>
        <w:tc>
          <w:tcPr>
            <w:tcW w:w="908" w:type="pct"/>
            <w:shd w:val="clear" w:color="auto" w:fill="auto"/>
          </w:tcPr>
          <w:p w14:paraId="0E9CCF5B" w14:textId="77777777" w:rsidR="00702179" w:rsidRPr="00455FCD" w:rsidRDefault="00702179" w:rsidP="00702179">
            <w:pPr>
              <w:spacing w:line="240" w:lineRule="auto"/>
              <w:contextualSpacing/>
              <w:jc w:val="center"/>
              <w:rPr>
                <w:rFonts w:ascii="Garamond" w:hAnsi="Garamond"/>
                <w:sz w:val="24"/>
                <w:szCs w:val="24"/>
              </w:rPr>
            </w:pPr>
          </w:p>
        </w:tc>
        <w:tc>
          <w:tcPr>
            <w:tcW w:w="908" w:type="pct"/>
            <w:gridSpan w:val="2"/>
            <w:shd w:val="clear" w:color="auto" w:fill="auto"/>
          </w:tcPr>
          <w:p w14:paraId="30CB7D8C" w14:textId="77777777" w:rsidR="00702179" w:rsidRPr="00455FCD" w:rsidRDefault="00702179" w:rsidP="00702179">
            <w:pPr>
              <w:spacing w:line="240" w:lineRule="auto"/>
              <w:contextualSpacing/>
              <w:jc w:val="center"/>
              <w:rPr>
                <w:rFonts w:ascii="Garamond" w:hAnsi="Garamond"/>
                <w:sz w:val="24"/>
                <w:szCs w:val="24"/>
              </w:rPr>
            </w:pPr>
          </w:p>
        </w:tc>
        <w:tc>
          <w:tcPr>
            <w:tcW w:w="942" w:type="pct"/>
            <w:shd w:val="clear" w:color="auto" w:fill="auto"/>
          </w:tcPr>
          <w:p w14:paraId="099C3323" w14:textId="77777777" w:rsidR="00702179" w:rsidRPr="00455FCD" w:rsidRDefault="00702179" w:rsidP="00702179">
            <w:pPr>
              <w:spacing w:line="240" w:lineRule="auto"/>
              <w:contextualSpacing/>
              <w:jc w:val="center"/>
              <w:rPr>
                <w:rFonts w:ascii="Garamond" w:hAnsi="Garamond"/>
                <w:sz w:val="24"/>
                <w:szCs w:val="24"/>
              </w:rPr>
            </w:pPr>
          </w:p>
        </w:tc>
        <w:tc>
          <w:tcPr>
            <w:tcW w:w="1221" w:type="pct"/>
          </w:tcPr>
          <w:p w14:paraId="48627FEF" w14:textId="77777777" w:rsidR="00702179" w:rsidRPr="00455FCD" w:rsidRDefault="00702179" w:rsidP="00702179">
            <w:pPr>
              <w:spacing w:line="240" w:lineRule="auto"/>
              <w:contextualSpacing/>
              <w:jc w:val="center"/>
              <w:rPr>
                <w:rFonts w:ascii="Garamond" w:hAnsi="Garamond"/>
                <w:sz w:val="24"/>
                <w:szCs w:val="24"/>
              </w:rPr>
            </w:pPr>
          </w:p>
        </w:tc>
      </w:tr>
      <w:tr w:rsidR="00702179" w:rsidRPr="00455FCD" w14:paraId="02A7ADEA" w14:textId="77777777" w:rsidTr="00E546C7">
        <w:trPr>
          <w:jc w:val="center"/>
        </w:trPr>
        <w:tc>
          <w:tcPr>
            <w:tcW w:w="3779" w:type="pct"/>
            <w:gridSpan w:val="5"/>
            <w:shd w:val="clear" w:color="auto" w:fill="auto"/>
          </w:tcPr>
          <w:p w14:paraId="03EF1B83" w14:textId="77777777" w:rsidR="00702179" w:rsidRPr="00455FCD" w:rsidRDefault="00702179" w:rsidP="00702179">
            <w:pPr>
              <w:spacing w:line="240" w:lineRule="auto"/>
              <w:contextualSpacing/>
              <w:rPr>
                <w:rFonts w:ascii="Garamond" w:hAnsi="Garamond"/>
                <w:sz w:val="24"/>
                <w:szCs w:val="24"/>
              </w:rPr>
            </w:pPr>
            <w:r w:rsidRPr="00455FCD">
              <w:rPr>
                <w:rFonts w:ascii="Garamond" w:hAnsi="Garamond"/>
                <w:sz w:val="24"/>
                <w:szCs w:val="24"/>
              </w:rPr>
              <w:t>Ljung-Box Q-Statistic</w:t>
            </w:r>
          </w:p>
        </w:tc>
        <w:tc>
          <w:tcPr>
            <w:tcW w:w="1221" w:type="pct"/>
          </w:tcPr>
          <w:p w14:paraId="06FF13CF" w14:textId="77777777" w:rsidR="00702179" w:rsidRPr="00455FCD" w:rsidRDefault="00702179" w:rsidP="00702179">
            <w:pPr>
              <w:spacing w:line="240" w:lineRule="auto"/>
              <w:contextualSpacing/>
              <w:rPr>
                <w:rFonts w:ascii="Garamond" w:hAnsi="Garamond"/>
                <w:sz w:val="24"/>
                <w:szCs w:val="24"/>
              </w:rPr>
            </w:pPr>
          </w:p>
        </w:tc>
      </w:tr>
      <w:tr w:rsidR="00702179" w:rsidRPr="00455FCD" w14:paraId="026D1F83" w14:textId="77777777" w:rsidTr="00E546C7">
        <w:trPr>
          <w:jc w:val="center"/>
        </w:trPr>
        <w:tc>
          <w:tcPr>
            <w:tcW w:w="3779" w:type="pct"/>
            <w:gridSpan w:val="5"/>
            <w:shd w:val="clear" w:color="auto" w:fill="auto"/>
          </w:tcPr>
          <w:p w14:paraId="75C7A8F2" w14:textId="77777777" w:rsidR="00702179" w:rsidRPr="00455FCD" w:rsidRDefault="00702179" w:rsidP="00702179">
            <w:pPr>
              <w:spacing w:line="240" w:lineRule="auto"/>
              <w:contextualSpacing/>
              <w:rPr>
                <w:rFonts w:ascii="Garamond" w:hAnsi="Garamond"/>
                <w:sz w:val="24"/>
                <w:szCs w:val="24"/>
              </w:rPr>
            </w:pPr>
          </w:p>
        </w:tc>
        <w:tc>
          <w:tcPr>
            <w:tcW w:w="1221" w:type="pct"/>
          </w:tcPr>
          <w:p w14:paraId="07A93BF0" w14:textId="77777777" w:rsidR="00702179" w:rsidRPr="00455FCD" w:rsidRDefault="00702179" w:rsidP="00702179">
            <w:pPr>
              <w:spacing w:line="240" w:lineRule="auto"/>
              <w:contextualSpacing/>
              <w:rPr>
                <w:rFonts w:ascii="Garamond" w:hAnsi="Garamond"/>
                <w:sz w:val="24"/>
                <w:szCs w:val="24"/>
              </w:rPr>
            </w:pPr>
          </w:p>
        </w:tc>
      </w:tr>
      <w:tr w:rsidR="00702179" w:rsidRPr="00455FCD" w14:paraId="4F7D6425" w14:textId="77777777" w:rsidTr="00E546C7">
        <w:trPr>
          <w:jc w:val="center"/>
        </w:trPr>
        <w:tc>
          <w:tcPr>
            <w:tcW w:w="1021" w:type="pct"/>
            <w:shd w:val="clear" w:color="auto" w:fill="auto"/>
          </w:tcPr>
          <w:p w14:paraId="2F5E9658"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LB</w:t>
            </w:r>
            <w:r w:rsidRPr="00455FCD">
              <w:rPr>
                <w:rFonts w:ascii="Garamond" w:hAnsi="Garamond"/>
                <w:sz w:val="24"/>
                <w:szCs w:val="24"/>
                <w:vertAlign w:val="superscript"/>
              </w:rPr>
              <w:t>2</w:t>
            </w:r>
            <w:r w:rsidRPr="00455FCD">
              <w:rPr>
                <w:rFonts w:ascii="Garamond" w:hAnsi="Garamond"/>
                <w:sz w:val="24"/>
                <w:szCs w:val="24"/>
              </w:rPr>
              <w:t xml:space="preserve"> (1)</w:t>
            </w:r>
          </w:p>
        </w:tc>
        <w:tc>
          <w:tcPr>
            <w:tcW w:w="908" w:type="pct"/>
            <w:shd w:val="clear" w:color="auto" w:fill="auto"/>
          </w:tcPr>
          <w:p w14:paraId="5ABA78D3" w14:textId="1D431CF9"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0.04</w:t>
            </w:r>
            <w:r w:rsidR="00E546C7" w:rsidRPr="00455FCD">
              <w:rPr>
                <w:rFonts w:ascii="Garamond" w:hAnsi="Garamond"/>
                <w:sz w:val="24"/>
                <w:szCs w:val="24"/>
              </w:rPr>
              <w:t>73</w:t>
            </w:r>
            <w:r w:rsidRPr="00455FCD">
              <w:rPr>
                <w:rFonts w:ascii="Garamond" w:hAnsi="Garamond"/>
                <w:sz w:val="24"/>
                <w:szCs w:val="24"/>
              </w:rPr>
              <w:t xml:space="preserve"> (0.8</w:t>
            </w:r>
            <w:r w:rsidR="00E546C7" w:rsidRPr="00455FCD">
              <w:rPr>
                <w:rFonts w:ascii="Garamond" w:hAnsi="Garamond"/>
                <w:sz w:val="24"/>
                <w:szCs w:val="24"/>
              </w:rPr>
              <w:t>28</w:t>
            </w:r>
            <w:r w:rsidRPr="00455FCD">
              <w:rPr>
                <w:rFonts w:ascii="Garamond" w:hAnsi="Garamond"/>
                <w:sz w:val="24"/>
                <w:szCs w:val="24"/>
              </w:rPr>
              <w:t>)</w:t>
            </w:r>
          </w:p>
        </w:tc>
        <w:tc>
          <w:tcPr>
            <w:tcW w:w="908" w:type="pct"/>
            <w:gridSpan w:val="2"/>
            <w:shd w:val="clear" w:color="auto" w:fill="auto"/>
          </w:tcPr>
          <w:p w14:paraId="3EBA12BD" w14:textId="2E01FFD2"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w:t>
            </w:r>
            <w:r w:rsidR="00E20015" w:rsidRPr="00455FCD">
              <w:rPr>
                <w:rFonts w:ascii="Garamond" w:hAnsi="Garamond"/>
                <w:sz w:val="24"/>
                <w:szCs w:val="24"/>
              </w:rPr>
              <w:t>123</w:t>
            </w:r>
            <w:r w:rsidRPr="00455FCD">
              <w:rPr>
                <w:rFonts w:ascii="Garamond" w:hAnsi="Garamond"/>
                <w:sz w:val="24"/>
                <w:szCs w:val="24"/>
              </w:rPr>
              <w:t xml:space="preserve"> (0.</w:t>
            </w:r>
            <w:r w:rsidR="00E20015" w:rsidRPr="00455FCD">
              <w:rPr>
                <w:rFonts w:ascii="Garamond" w:hAnsi="Garamond"/>
                <w:sz w:val="24"/>
                <w:szCs w:val="24"/>
              </w:rPr>
              <w:t>912</w:t>
            </w:r>
            <w:r w:rsidRPr="00455FCD">
              <w:rPr>
                <w:rFonts w:ascii="Garamond" w:hAnsi="Garamond"/>
                <w:sz w:val="24"/>
                <w:szCs w:val="24"/>
              </w:rPr>
              <w:t>)</w:t>
            </w:r>
          </w:p>
        </w:tc>
        <w:tc>
          <w:tcPr>
            <w:tcW w:w="942" w:type="pct"/>
            <w:shd w:val="clear" w:color="auto" w:fill="auto"/>
          </w:tcPr>
          <w:p w14:paraId="036DBF92" w14:textId="4443DA34"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0.0457 (0.831)</w:t>
            </w:r>
          </w:p>
        </w:tc>
        <w:tc>
          <w:tcPr>
            <w:tcW w:w="1221" w:type="pct"/>
          </w:tcPr>
          <w:p w14:paraId="245AEE87" w14:textId="3F9B891D"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0.0002 (0.987)</w:t>
            </w:r>
          </w:p>
        </w:tc>
      </w:tr>
      <w:tr w:rsidR="00702179" w:rsidRPr="00455FCD" w14:paraId="1E6F2877" w14:textId="77777777" w:rsidTr="00E546C7">
        <w:trPr>
          <w:jc w:val="center"/>
        </w:trPr>
        <w:tc>
          <w:tcPr>
            <w:tcW w:w="1021" w:type="pct"/>
            <w:shd w:val="clear" w:color="auto" w:fill="auto"/>
          </w:tcPr>
          <w:p w14:paraId="1877B4A3"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LB</w:t>
            </w:r>
            <w:r w:rsidRPr="00455FCD">
              <w:rPr>
                <w:rFonts w:ascii="Garamond" w:hAnsi="Garamond"/>
                <w:sz w:val="24"/>
                <w:szCs w:val="24"/>
                <w:vertAlign w:val="superscript"/>
              </w:rPr>
              <w:t>2</w:t>
            </w:r>
            <w:r w:rsidRPr="00455FCD">
              <w:rPr>
                <w:rFonts w:ascii="Garamond" w:hAnsi="Garamond"/>
                <w:sz w:val="24"/>
                <w:szCs w:val="24"/>
              </w:rPr>
              <w:t xml:space="preserve"> (5)</w:t>
            </w:r>
          </w:p>
        </w:tc>
        <w:tc>
          <w:tcPr>
            <w:tcW w:w="908" w:type="pct"/>
            <w:shd w:val="clear" w:color="auto" w:fill="auto"/>
          </w:tcPr>
          <w:p w14:paraId="435998D9" w14:textId="1223DF19"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0.1</w:t>
            </w:r>
            <w:r w:rsidR="00E546C7" w:rsidRPr="00455FCD">
              <w:rPr>
                <w:rFonts w:ascii="Garamond" w:hAnsi="Garamond"/>
                <w:sz w:val="24"/>
                <w:szCs w:val="24"/>
              </w:rPr>
              <w:t>892</w:t>
            </w:r>
            <w:r w:rsidRPr="00455FCD">
              <w:rPr>
                <w:rFonts w:ascii="Garamond" w:hAnsi="Garamond"/>
                <w:sz w:val="24"/>
                <w:szCs w:val="24"/>
              </w:rPr>
              <w:t xml:space="preserve"> (0.999)</w:t>
            </w:r>
          </w:p>
        </w:tc>
        <w:tc>
          <w:tcPr>
            <w:tcW w:w="908" w:type="pct"/>
            <w:gridSpan w:val="2"/>
            <w:shd w:val="clear" w:color="auto" w:fill="auto"/>
          </w:tcPr>
          <w:p w14:paraId="5F49892F" w14:textId="361F8B44" w:rsidR="00702179" w:rsidRPr="00455FCD" w:rsidRDefault="00E20015" w:rsidP="00702179">
            <w:pPr>
              <w:spacing w:line="240" w:lineRule="auto"/>
              <w:contextualSpacing/>
              <w:jc w:val="center"/>
              <w:rPr>
                <w:rFonts w:ascii="Garamond" w:hAnsi="Garamond"/>
                <w:sz w:val="24"/>
                <w:szCs w:val="24"/>
              </w:rPr>
            </w:pPr>
            <w:r w:rsidRPr="00455FCD">
              <w:rPr>
                <w:rFonts w:ascii="Garamond" w:hAnsi="Garamond"/>
                <w:sz w:val="24"/>
                <w:szCs w:val="24"/>
              </w:rPr>
              <w:t>1.5679</w:t>
            </w:r>
            <w:r w:rsidR="00702179" w:rsidRPr="00455FCD">
              <w:rPr>
                <w:rFonts w:ascii="Garamond" w:hAnsi="Garamond"/>
                <w:sz w:val="24"/>
                <w:szCs w:val="24"/>
              </w:rPr>
              <w:t xml:space="preserve"> (0.9</w:t>
            </w:r>
            <w:r w:rsidRPr="00455FCD">
              <w:rPr>
                <w:rFonts w:ascii="Garamond" w:hAnsi="Garamond"/>
                <w:sz w:val="24"/>
                <w:szCs w:val="24"/>
              </w:rPr>
              <w:t>05</w:t>
            </w:r>
            <w:r w:rsidR="00702179" w:rsidRPr="00455FCD">
              <w:rPr>
                <w:rFonts w:ascii="Garamond" w:hAnsi="Garamond"/>
                <w:sz w:val="24"/>
                <w:szCs w:val="24"/>
              </w:rPr>
              <w:t>)</w:t>
            </w:r>
          </w:p>
        </w:tc>
        <w:tc>
          <w:tcPr>
            <w:tcW w:w="942" w:type="pct"/>
            <w:shd w:val="clear" w:color="auto" w:fill="auto"/>
          </w:tcPr>
          <w:p w14:paraId="2320AD70" w14:textId="10FFA51A"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0.1867 (0.999)</w:t>
            </w:r>
          </w:p>
        </w:tc>
        <w:tc>
          <w:tcPr>
            <w:tcW w:w="1221" w:type="pct"/>
          </w:tcPr>
          <w:p w14:paraId="37AA619A" w14:textId="707D7A96"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1.2942 (0.936)</w:t>
            </w:r>
          </w:p>
        </w:tc>
      </w:tr>
      <w:tr w:rsidR="00702179" w:rsidRPr="00455FCD" w14:paraId="765B4129" w14:textId="77777777" w:rsidTr="00E546C7">
        <w:trPr>
          <w:jc w:val="center"/>
        </w:trPr>
        <w:tc>
          <w:tcPr>
            <w:tcW w:w="1021" w:type="pct"/>
            <w:shd w:val="clear" w:color="auto" w:fill="auto"/>
          </w:tcPr>
          <w:p w14:paraId="297016B4"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LB</w:t>
            </w:r>
            <w:r w:rsidRPr="00455FCD">
              <w:rPr>
                <w:rFonts w:ascii="Garamond" w:hAnsi="Garamond"/>
                <w:sz w:val="24"/>
                <w:szCs w:val="24"/>
                <w:vertAlign w:val="superscript"/>
              </w:rPr>
              <w:t>2</w:t>
            </w:r>
            <w:r w:rsidRPr="00455FCD">
              <w:rPr>
                <w:rFonts w:ascii="Garamond" w:hAnsi="Garamond"/>
                <w:sz w:val="24"/>
                <w:szCs w:val="24"/>
              </w:rPr>
              <w:t xml:space="preserve"> (10)</w:t>
            </w:r>
          </w:p>
        </w:tc>
        <w:tc>
          <w:tcPr>
            <w:tcW w:w="908" w:type="pct"/>
            <w:shd w:val="clear" w:color="auto" w:fill="auto"/>
          </w:tcPr>
          <w:p w14:paraId="4C23B714" w14:textId="5BCAA948"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w:t>
            </w:r>
            <w:r w:rsidR="00E546C7" w:rsidRPr="00455FCD">
              <w:rPr>
                <w:rFonts w:ascii="Garamond" w:hAnsi="Garamond"/>
                <w:sz w:val="24"/>
                <w:szCs w:val="24"/>
              </w:rPr>
              <w:t>3060</w:t>
            </w:r>
            <w:r w:rsidRPr="00455FCD">
              <w:rPr>
                <w:rFonts w:ascii="Garamond" w:hAnsi="Garamond"/>
                <w:sz w:val="24"/>
                <w:szCs w:val="24"/>
              </w:rPr>
              <w:t xml:space="preserve"> (1.000)</w:t>
            </w:r>
          </w:p>
        </w:tc>
        <w:tc>
          <w:tcPr>
            <w:tcW w:w="908" w:type="pct"/>
            <w:gridSpan w:val="2"/>
            <w:shd w:val="clear" w:color="auto" w:fill="auto"/>
          </w:tcPr>
          <w:p w14:paraId="1133633E" w14:textId="79BE4846" w:rsidR="00702179" w:rsidRPr="00455FCD" w:rsidRDefault="00E20015" w:rsidP="00702179">
            <w:pPr>
              <w:spacing w:line="240" w:lineRule="auto"/>
              <w:contextualSpacing/>
              <w:jc w:val="center"/>
              <w:rPr>
                <w:rFonts w:ascii="Garamond" w:hAnsi="Garamond"/>
                <w:sz w:val="24"/>
                <w:szCs w:val="24"/>
              </w:rPr>
            </w:pPr>
            <w:r w:rsidRPr="00455FCD">
              <w:rPr>
                <w:rFonts w:ascii="Garamond" w:hAnsi="Garamond"/>
                <w:sz w:val="24"/>
                <w:szCs w:val="24"/>
              </w:rPr>
              <w:t>1.6558</w:t>
            </w:r>
            <w:r w:rsidR="00702179" w:rsidRPr="00455FCD">
              <w:rPr>
                <w:rFonts w:ascii="Garamond" w:hAnsi="Garamond"/>
                <w:sz w:val="24"/>
                <w:szCs w:val="24"/>
              </w:rPr>
              <w:t xml:space="preserve"> (</w:t>
            </w:r>
            <w:r w:rsidRPr="00455FCD">
              <w:rPr>
                <w:rFonts w:ascii="Garamond" w:hAnsi="Garamond"/>
                <w:sz w:val="24"/>
                <w:szCs w:val="24"/>
              </w:rPr>
              <w:t>0.998</w:t>
            </w:r>
            <w:r w:rsidR="00702179" w:rsidRPr="00455FCD">
              <w:rPr>
                <w:rFonts w:ascii="Garamond" w:hAnsi="Garamond"/>
                <w:sz w:val="24"/>
                <w:szCs w:val="24"/>
              </w:rPr>
              <w:t>)</w:t>
            </w:r>
          </w:p>
        </w:tc>
        <w:tc>
          <w:tcPr>
            <w:tcW w:w="942" w:type="pct"/>
            <w:shd w:val="clear" w:color="auto" w:fill="auto"/>
          </w:tcPr>
          <w:p w14:paraId="7B73075A" w14:textId="42509482"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0.3054 (1.000)</w:t>
            </w:r>
          </w:p>
        </w:tc>
        <w:tc>
          <w:tcPr>
            <w:tcW w:w="1221" w:type="pct"/>
          </w:tcPr>
          <w:p w14:paraId="06EE12FE" w14:textId="45F80994"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1.3746 (0.999)</w:t>
            </w:r>
          </w:p>
        </w:tc>
      </w:tr>
      <w:tr w:rsidR="00702179" w:rsidRPr="00455FCD" w14:paraId="65E4DE06" w14:textId="77777777" w:rsidTr="00E546C7">
        <w:trPr>
          <w:jc w:val="center"/>
        </w:trPr>
        <w:tc>
          <w:tcPr>
            <w:tcW w:w="3779" w:type="pct"/>
            <w:gridSpan w:val="5"/>
            <w:shd w:val="clear" w:color="auto" w:fill="auto"/>
          </w:tcPr>
          <w:p w14:paraId="25DFA627" w14:textId="77777777" w:rsidR="00702179" w:rsidRPr="00455FCD" w:rsidRDefault="00702179" w:rsidP="00702179">
            <w:pPr>
              <w:spacing w:line="240" w:lineRule="auto"/>
              <w:contextualSpacing/>
              <w:rPr>
                <w:rFonts w:ascii="Garamond" w:hAnsi="Garamond"/>
                <w:sz w:val="24"/>
                <w:szCs w:val="24"/>
              </w:rPr>
            </w:pPr>
          </w:p>
        </w:tc>
        <w:tc>
          <w:tcPr>
            <w:tcW w:w="1221" w:type="pct"/>
          </w:tcPr>
          <w:p w14:paraId="0FF5DB25" w14:textId="77777777" w:rsidR="00702179" w:rsidRPr="00455FCD" w:rsidRDefault="00702179" w:rsidP="00702179">
            <w:pPr>
              <w:spacing w:line="240" w:lineRule="auto"/>
              <w:contextualSpacing/>
              <w:rPr>
                <w:rFonts w:ascii="Garamond" w:hAnsi="Garamond"/>
                <w:sz w:val="24"/>
                <w:szCs w:val="24"/>
              </w:rPr>
            </w:pPr>
          </w:p>
        </w:tc>
      </w:tr>
      <w:tr w:rsidR="00702179" w:rsidRPr="00455FCD" w14:paraId="164D34CA" w14:textId="77777777" w:rsidTr="00E546C7">
        <w:trPr>
          <w:jc w:val="center"/>
        </w:trPr>
        <w:tc>
          <w:tcPr>
            <w:tcW w:w="3779" w:type="pct"/>
            <w:gridSpan w:val="5"/>
            <w:shd w:val="clear" w:color="auto" w:fill="auto"/>
          </w:tcPr>
          <w:p w14:paraId="1826863E" w14:textId="77777777" w:rsidR="00702179" w:rsidRPr="00455FCD" w:rsidRDefault="00702179" w:rsidP="00702179">
            <w:pPr>
              <w:spacing w:line="240" w:lineRule="auto"/>
              <w:contextualSpacing/>
              <w:rPr>
                <w:rFonts w:ascii="Garamond" w:hAnsi="Garamond"/>
                <w:sz w:val="24"/>
                <w:szCs w:val="24"/>
              </w:rPr>
            </w:pPr>
            <w:r w:rsidRPr="00455FCD">
              <w:rPr>
                <w:rFonts w:ascii="Garamond" w:hAnsi="Garamond"/>
                <w:sz w:val="24"/>
                <w:szCs w:val="24"/>
              </w:rPr>
              <w:t>ARCH-LM Test:</w:t>
            </w:r>
          </w:p>
        </w:tc>
        <w:tc>
          <w:tcPr>
            <w:tcW w:w="1221" w:type="pct"/>
          </w:tcPr>
          <w:p w14:paraId="18F8A7E1" w14:textId="77777777" w:rsidR="00702179" w:rsidRPr="00455FCD" w:rsidRDefault="00702179" w:rsidP="00702179">
            <w:pPr>
              <w:spacing w:line="240" w:lineRule="auto"/>
              <w:contextualSpacing/>
              <w:rPr>
                <w:rFonts w:ascii="Garamond" w:hAnsi="Garamond"/>
                <w:sz w:val="24"/>
                <w:szCs w:val="24"/>
              </w:rPr>
            </w:pPr>
          </w:p>
        </w:tc>
      </w:tr>
      <w:tr w:rsidR="00702179" w:rsidRPr="00455FCD" w14:paraId="23FE7568" w14:textId="77777777" w:rsidTr="00E546C7">
        <w:trPr>
          <w:jc w:val="center"/>
        </w:trPr>
        <w:tc>
          <w:tcPr>
            <w:tcW w:w="3779" w:type="pct"/>
            <w:gridSpan w:val="5"/>
            <w:shd w:val="clear" w:color="auto" w:fill="auto"/>
          </w:tcPr>
          <w:p w14:paraId="2AEED8E4" w14:textId="77777777" w:rsidR="00702179" w:rsidRPr="00455FCD" w:rsidRDefault="00702179" w:rsidP="00702179">
            <w:pPr>
              <w:spacing w:line="240" w:lineRule="auto"/>
              <w:contextualSpacing/>
              <w:rPr>
                <w:rFonts w:ascii="Garamond" w:hAnsi="Garamond"/>
                <w:sz w:val="24"/>
                <w:szCs w:val="24"/>
              </w:rPr>
            </w:pPr>
          </w:p>
        </w:tc>
        <w:tc>
          <w:tcPr>
            <w:tcW w:w="1221" w:type="pct"/>
          </w:tcPr>
          <w:p w14:paraId="28035C73" w14:textId="77777777" w:rsidR="00702179" w:rsidRPr="00455FCD" w:rsidRDefault="00702179" w:rsidP="00702179">
            <w:pPr>
              <w:spacing w:line="240" w:lineRule="auto"/>
              <w:contextualSpacing/>
              <w:rPr>
                <w:rFonts w:ascii="Garamond" w:hAnsi="Garamond"/>
                <w:sz w:val="24"/>
                <w:szCs w:val="24"/>
              </w:rPr>
            </w:pPr>
          </w:p>
        </w:tc>
      </w:tr>
      <w:tr w:rsidR="00702179" w:rsidRPr="00455FCD" w14:paraId="60766EE5" w14:textId="77777777" w:rsidTr="00E546C7">
        <w:trPr>
          <w:trHeight w:val="238"/>
          <w:jc w:val="center"/>
        </w:trPr>
        <w:tc>
          <w:tcPr>
            <w:tcW w:w="1021" w:type="pct"/>
            <w:shd w:val="clear" w:color="auto" w:fill="auto"/>
          </w:tcPr>
          <w:p w14:paraId="73EAD126"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1</w:t>
            </w:r>
          </w:p>
        </w:tc>
        <w:tc>
          <w:tcPr>
            <w:tcW w:w="908" w:type="pct"/>
            <w:shd w:val="clear" w:color="auto" w:fill="auto"/>
          </w:tcPr>
          <w:p w14:paraId="12668BC1" w14:textId="0795D004"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0.04</w:t>
            </w:r>
            <w:r w:rsidR="00E546C7" w:rsidRPr="00455FCD">
              <w:rPr>
                <w:rFonts w:ascii="Garamond" w:hAnsi="Garamond"/>
                <w:sz w:val="24"/>
                <w:szCs w:val="24"/>
              </w:rPr>
              <w:t>67</w:t>
            </w:r>
            <w:r w:rsidRPr="00455FCD">
              <w:rPr>
                <w:rFonts w:ascii="Garamond" w:hAnsi="Garamond"/>
                <w:sz w:val="24"/>
                <w:szCs w:val="24"/>
              </w:rPr>
              <w:t xml:space="preserve"> (0.8</w:t>
            </w:r>
            <w:r w:rsidR="00E546C7" w:rsidRPr="00455FCD">
              <w:rPr>
                <w:rFonts w:ascii="Garamond" w:hAnsi="Garamond"/>
                <w:sz w:val="24"/>
                <w:szCs w:val="24"/>
              </w:rPr>
              <w:t>23</w:t>
            </w:r>
            <w:r w:rsidRPr="00455FCD">
              <w:rPr>
                <w:rFonts w:ascii="Garamond" w:hAnsi="Garamond"/>
                <w:sz w:val="24"/>
                <w:szCs w:val="24"/>
              </w:rPr>
              <w:t>)</w:t>
            </w:r>
          </w:p>
        </w:tc>
        <w:tc>
          <w:tcPr>
            <w:tcW w:w="908" w:type="pct"/>
            <w:gridSpan w:val="2"/>
            <w:shd w:val="clear" w:color="auto" w:fill="auto"/>
          </w:tcPr>
          <w:p w14:paraId="030C22CA" w14:textId="4F08EFFC"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0.012</w:t>
            </w:r>
            <w:r w:rsidR="00E20015" w:rsidRPr="00455FCD">
              <w:rPr>
                <w:rFonts w:ascii="Garamond" w:hAnsi="Garamond"/>
                <w:sz w:val="24"/>
                <w:szCs w:val="24"/>
              </w:rPr>
              <w:t>2</w:t>
            </w:r>
            <w:r w:rsidRPr="00455FCD">
              <w:rPr>
                <w:rFonts w:ascii="Garamond" w:hAnsi="Garamond"/>
                <w:sz w:val="24"/>
                <w:szCs w:val="24"/>
              </w:rPr>
              <w:t xml:space="preserve"> (0.</w:t>
            </w:r>
            <w:r w:rsidR="00E20015" w:rsidRPr="00455FCD">
              <w:rPr>
                <w:rFonts w:ascii="Garamond" w:hAnsi="Garamond"/>
                <w:sz w:val="24"/>
                <w:szCs w:val="24"/>
              </w:rPr>
              <w:t>9</w:t>
            </w:r>
            <w:r w:rsidRPr="00455FCD">
              <w:rPr>
                <w:rFonts w:ascii="Garamond" w:hAnsi="Garamond"/>
                <w:sz w:val="24"/>
                <w:szCs w:val="24"/>
              </w:rPr>
              <w:t>1</w:t>
            </w:r>
            <w:r w:rsidR="00E20015" w:rsidRPr="00455FCD">
              <w:rPr>
                <w:rFonts w:ascii="Garamond" w:hAnsi="Garamond"/>
                <w:sz w:val="24"/>
                <w:szCs w:val="24"/>
              </w:rPr>
              <w:t>2</w:t>
            </w:r>
            <w:r w:rsidRPr="00455FCD">
              <w:rPr>
                <w:rFonts w:ascii="Garamond" w:hAnsi="Garamond"/>
                <w:sz w:val="24"/>
                <w:szCs w:val="24"/>
              </w:rPr>
              <w:t>)</w:t>
            </w:r>
          </w:p>
        </w:tc>
        <w:tc>
          <w:tcPr>
            <w:tcW w:w="942" w:type="pct"/>
            <w:shd w:val="clear" w:color="auto" w:fill="auto"/>
          </w:tcPr>
          <w:p w14:paraId="039F514A" w14:textId="348B8E07"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0.0453 (0.832)</w:t>
            </w:r>
          </w:p>
        </w:tc>
        <w:tc>
          <w:tcPr>
            <w:tcW w:w="1221" w:type="pct"/>
          </w:tcPr>
          <w:p w14:paraId="11FE3651" w14:textId="26BF986B"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0.0002 (0.987)</w:t>
            </w:r>
          </w:p>
        </w:tc>
      </w:tr>
      <w:tr w:rsidR="00702179" w:rsidRPr="00455FCD" w14:paraId="0CE1B27B" w14:textId="77777777" w:rsidTr="00E546C7">
        <w:trPr>
          <w:trHeight w:val="270"/>
          <w:jc w:val="center"/>
        </w:trPr>
        <w:tc>
          <w:tcPr>
            <w:tcW w:w="1021" w:type="pct"/>
            <w:shd w:val="clear" w:color="auto" w:fill="auto"/>
          </w:tcPr>
          <w:p w14:paraId="3A8941F6"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5</w:t>
            </w:r>
          </w:p>
        </w:tc>
        <w:tc>
          <w:tcPr>
            <w:tcW w:w="908" w:type="pct"/>
            <w:shd w:val="clear" w:color="auto" w:fill="auto"/>
          </w:tcPr>
          <w:p w14:paraId="3EB458C7" w14:textId="39D52325"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0.03</w:t>
            </w:r>
            <w:r w:rsidR="00E546C7" w:rsidRPr="00455FCD">
              <w:rPr>
                <w:rFonts w:ascii="Garamond" w:hAnsi="Garamond"/>
                <w:sz w:val="24"/>
                <w:szCs w:val="24"/>
              </w:rPr>
              <w:t>78</w:t>
            </w:r>
            <w:r w:rsidRPr="00455FCD">
              <w:rPr>
                <w:rFonts w:ascii="Garamond" w:hAnsi="Garamond"/>
                <w:sz w:val="24"/>
                <w:szCs w:val="24"/>
              </w:rPr>
              <w:t xml:space="preserve"> (0.999)</w:t>
            </w:r>
          </w:p>
        </w:tc>
        <w:tc>
          <w:tcPr>
            <w:tcW w:w="908" w:type="pct"/>
            <w:gridSpan w:val="2"/>
            <w:shd w:val="clear" w:color="auto" w:fill="auto"/>
          </w:tcPr>
          <w:p w14:paraId="27BE9F0A" w14:textId="206E0B21"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w:t>
            </w:r>
            <w:r w:rsidR="00E20015" w:rsidRPr="00455FCD">
              <w:rPr>
                <w:rFonts w:ascii="Garamond" w:hAnsi="Garamond"/>
                <w:sz w:val="24"/>
                <w:szCs w:val="24"/>
              </w:rPr>
              <w:t xml:space="preserve">3066 </w:t>
            </w:r>
            <w:r w:rsidRPr="00455FCD">
              <w:rPr>
                <w:rFonts w:ascii="Garamond" w:hAnsi="Garamond"/>
                <w:sz w:val="24"/>
                <w:szCs w:val="24"/>
              </w:rPr>
              <w:t>(0.9</w:t>
            </w:r>
            <w:r w:rsidR="00E20015" w:rsidRPr="00455FCD">
              <w:rPr>
                <w:rFonts w:ascii="Garamond" w:hAnsi="Garamond"/>
                <w:sz w:val="24"/>
                <w:szCs w:val="24"/>
              </w:rPr>
              <w:t>09</w:t>
            </w:r>
            <w:r w:rsidRPr="00455FCD">
              <w:rPr>
                <w:rFonts w:ascii="Garamond" w:hAnsi="Garamond"/>
                <w:sz w:val="24"/>
                <w:szCs w:val="24"/>
              </w:rPr>
              <w:t>)</w:t>
            </w:r>
          </w:p>
        </w:tc>
        <w:tc>
          <w:tcPr>
            <w:tcW w:w="942" w:type="pct"/>
            <w:shd w:val="clear" w:color="auto" w:fill="auto"/>
          </w:tcPr>
          <w:p w14:paraId="56E806D1" w14:textId="74ABD9D8"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0.0373 (0.999)</w:t>
            </w:r>
          </w:p>
        </w:tc>
        <w:tc>
          <w:tcPr>
            <w:tcW w:w="1221" w:type="pct"/>
          </w:tcPr>
          <w:p w14:paraId="1E5A6502" w14:textId="23803C46"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0.2524 (0.939)</w:t>
            </w:r>
          </w:p>
        </w:tc>
      </w:tr>
      <w:tr w:rsidR="00702179" w:rsidRPr="00455FCD" w14:paraId="7A3C58F2" w14:textId="77777777" w:rsidTr="00E546C7">
        <w:trPr>
          <w:trHeight w:val="270"/>
          <w:jc w:val="center"/>
        </w:trPr>
        <w:tc>
          <w:tcPr>
            <w:tcW w:w="1021" w:type="pct"/>
            <w:tcBorders>
              <w:bottom w:val="single" w:sz="4" w:space="0" w:color="auto"/>
            </w:tcBorders>
            <w:shd w:val="clear" w:color="auto" w:fill="auto"/>
          </w:tcPr>
          <w:p w14:paraId="4988C75D" w14:textId="77777777" w:rsidR="00702179" w:rsidRPr="00455FCD" w:rsidRDefault="00702179" w:rsidP="00702179">
            <w:pPr>
              <w:spacing w:line="240" w:lineRule="auto"/>
              <w:contextualSpacing/>
              <w:jc w:val="both"/>
              <w:rPr>
                <w:rFonts w:ascii="Garamond" w:hAnsi="Garamond"/>
                <w:sz w:val="24"/>
                <w:szCs w:val="24"/>
              </w:rPr>
            </w:pPr>
            <w:r w:rsidRPr="00455FCD">
              <w:rPr>
                <w:rFonts w:ascii="Garamond" w:hAnsi="Garamond"/>
                <w:sz w:val="24"/>
                <w:szCs w:val="24"/>
              </w:rPr>
              <w:t>10</w:t>
            </w:r>
          </w:p>
        </w:tc>
        <w:tc>
          <w:tcPr>
            <w:tcW w:w="908" w:type="pct"/>
            <w:tcBorders>
              <w:bottom w:val="single" w:sz="4" w:space="0" w:color="auto"/>
            </w:tcBorders>
            <w:shd w:val="clear" w:color="auto" w:fill="auto"/>
          </w:tcPr>
          <w:p w14:paraId="1F551AD8" w14:textId="3691B651"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0.03</w:t>
            </w:r>
            <w:r w:rsidR="00E546C7" w:rsidRPr="00455FCD">
              <w:rPr>
                <w:rFonts w:ascii="Garamond" w:hAnsi="Garamond"/>
                <w:sz w:val="24"/>
                <w:szCs w:val="24"/>
              </w:rPr>
              <w:t>08</w:t>
            </w:r>
            <w:r w:rsidRPr="00455FCD">
              <w:rPr>
                <w:rFonts w:ascii="Garamond" w:hAnsi="Garamond"/>
                <w:sz w:val="24"/>
                <w:szCs w:val="24"/>
              </w:rPr>
              <w:t xml:space="preserve"> (1.000)</w:t>
            </w:r>
          </w:p>
        </w:tc>
        <w:tc>
          <w:tcPr>
            <w:tcW w:w="908" w:type="pct"/>
            <w:gridSpan w:val="2"/>
            <w:tcBorders>
              <w:bottom w:val="single" w:sz="4" w:space="0" w:color="auto"/>
            </w:tcBorders>
            <w:shd w:val="clear" w:color="auto" w:fill="auto"/>
          </w:tcPr>
          <w:p w14:paraId="1EF3A511" w14:textId="280D4496"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w:t>
            </w:r>
            <w:r w:rsidR="00E20015" w:rsidRPr="00455FCD">
              <w:rPr>
                <w:rFonts w:ascii="Garamond" w:hAnsi="Garamond"/>
                <w:sz w:val="24"/>
                <w:szCs w:val="24"/>
              </w:rPr>
              <w:t>1589</w:t>
            </w:r>
            <w:r w:rsidRPr="00455FCD">
              <w:rPr>
                <w:rFonts w:ascii="Garamond" w:hAnsi="Garamond"/>
                <w:sz w:val="24"/>
                <w:szCs w:val="24"/>
              </w:rPr>
              <w:t xml:space="preserve"> (</w:t>
            </w:r>
            <w:r w:rsidR="00E20015" w:rsidRPr="00455FCD">
              <w:rPr>
                <w:rFonts w:ascii="Garamond" w:hAnsi="Garamond"/>
                <w:sz w:val="24"/>
                <w:szCs w:val="24"/>
              </w:rPr>
              <w:t>0</w:t>
            </w:r>
            <w:r w:rsidRPr="00455FCD">
              <w:rPr>
                <w:rFonts w:ascii="Garamond" w:hAnsi="Garamond"/>
                <w:sz w:val="24"/>
                <w:szCs w:val="24"/>
              </w:rPr>
              <w:t>.</w:t>
            </w:r>
            <w:r w:rsidR="00E20015" w:rsidRPr="00455FCD">
              <w:rPr>
                <w:rFonts w:ascii="Garamond" w:hAnsi="Garamond"/>
                <w:sz w:val="24"/>
                <w:szCs w:val="24"/>
              </w:rPr>
              <w:t>999</w:t>
            </w:r>
            <w:r w:rsidRPr="00455FCD">
              <w:rPr>
                <w:rFonts w:ascii="Garamond" w:hAnsi="Garamond"/>
                <w:sz w:val="24"/>
                <w:szCs w:val="24"/>
              </w:rPr>
              <w:t>)</w:t>
            </w:r>
          </w:p>
        </w:tc>
        <w:tc>
          <w:tcPr>
            <w:tcW w:w="942" w:type="pct"/>
            <w:tcBorders>
              <w:bottom w:val="single" w:sz="4" w:space="0" w:color="auto"/>
            </w:tcBorders>
            <w:shd w:val="clear" w:color="auto" w:fill="auto"/>
          </w:tcPr>
          <w:p w14:paraId="0410336E" w14:textId="22F93317"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0.03078(1.000)</w:t>
            </w:r>
          </w:p>
        </w:tc>
        <w:tc>
          <w:tcPr>
            <w:tcW w:w="1221" w:type="pct"/>
            <w:tcBorders>
              <w:bottom w:val="single" w:sz="4" w:space="0" w:color="auto"/>
            </w:tcBorders>
          </w:tcPr>
          <w:p w14:paraId="7C91A38D" w14:textId="4E6B12C4" w:rsidR="00702179" w:rsidRPr="00455FCD" w:rsidRDefault="00702179" w:rsidP="00702179">
            <w:pPr>
              <w:spacing w:line="240" w:lineRule="auto"/>
              <w:contextualSpacing/>
              <w:jc w:val="center"/>
              <w:rPr>
                <w:rFonts w:ascii="Garamond" w:hAnsi="Garamond"/>
                <w:sz w:val="24"/>
                <w:szCs w:val="24"/>
              </w:rPr>
            </w:pPr>
            <w:r w:rsidRPr="00455FCD">
              <w:rPr>
                <w:rFonts w:ascii="Garamond" w:hAnsi="Garamond"/>
                <w:sz w:val="24"/>
                <w:szCs w:val="24"/>
              </w:rPr>
              <w:t>0.1312 (0.999)</w:t>
            </w:r>
          </w:p>
        </w:tc>
      </w:tr>
      <w:tr w:rsidR="00702179" w:rsidRPr="00455FCD" w14:paraId="56C2933F" w14:textId="77777777" w:rsidTr="00E546C7">
        <w:trPr>
          <w:trHeight w:val="270"/>
          <w:jc w:val="center"/>
        </w:trPr>
        <w:tc>
          <w:tcPr>
            <w:tcW w:w="1021" w:type="pct"/>
            <w:tcBorders>
              <w:top w:val="single" w:sz="4" w:space="0" w:color="auto"/>
            </w:tcBorders>
            <w:shd w:val="clear" w:color="auto" w:fill="auto"/>
          </w:tcPr>
          <w:p w14:paraId="782D3E83" w14:textId="77777777" w:rsidR="00702179" w:rsidRPr="00455FCD" w:rsidRDefault="00702179" w:rsidP="00702179">
            <w:pPr>
              <w:spacing w:line="240" w:lineRule="auto"/>
              <w:contextualSpacing/>
              <w:jc w:val="both"/>
              <w:rPr>
                <w:rFonts w:ascii="Garamond" w:hAnsi="Garamond"/>
                <w:sz w:val="24"/>
                <w:szCs w:val="24"/>
              </w:rPr>
            </w:pPr>
          </w:p>
        </w:tc>
        <w:tc>
          <w:tcPr>
            <w:tcW w:w="908" w:type="pct"/>
            <w:tcBorders>
              <w:top w:val="single" w:sz="4" w:space="0" w:color="auto"/>
            </w:tcBorders>
            <w:shd w:val="clear" w:color="auto" w:fill="auto"/>
          </w:tcPr>
          <w:p w14:paraId="7AC41881" w14:textId="77777777" w:rsidR="00702179" w:rsidRPr="00455FCD" w:rsidRDefault="00702179" w:rsidP="00702179">
            <w:pPr>
              <w:spacing w:line="240" w:lineRule="auto"/>
              <w:contextualSpacing/>
              <w:jc w:val="center"/>
              <w:rPr>
                <w:rFonts w:ascii="Garamond" w:hAnsi="Garamond"/>
                <w:sz w:val="24"/>
                <w:szCs w:val="24"/>
              </w:rPr>
            </w:pPr>
          </w:p>
        </w:tc>
        <w:tc>
          <w:tcPr>
            <w:tcW w:w="908" w:type="pct"/>
            <w:gridSpan w:val="2"/>
            <w:tcBorders>
              <w:top w:val="single" w:sz="4" w:space="0" w:color="auto"/>
            </w:tcBorders>
            <w:shd w:val="clear" w:color="auto" w:fill="auto"/>
          </w:tcPr>
          <w:p w14:paraId="4FED02E0" w14:textId="77777777" w:rsidR="00702179" w:rsidRPr="00455FCD" w:rsidRDefault="00702179" w:rsidP="00702179">
            <w:pPr>
              <w:spacing w:line="240" w:lineRule="auto"/>
              <w:contextualSpacing/>
              <w:jc w:val="center"/>
              <w:rPr>
                <w:rFonts w:ascii="Garamond" w:hAnsi="Garamond"/>
                <w:sz w:val="24"/>
                <w:szCs w:val="24"/>
              </w:rPr>
            </w:pPr>
          </w:p>
        </w:tc>
        <w:tc>
          <w:tcPr>
            <w:tcW w:w="942" w:type="pct"/>
            <w:tcBorders>
              <w:top w:val="single" w:sz="4" w:space="0" w:color="auto"/>
            </w:tcBorders>
            <w:shd w:val="clear" w:color="auto" w:fill="auto"/>
          </w:tcPr>
          <w:p w14:paraId="52942883" w14:textId="77777777" w:rsidR="00702179" w:rsidRPr="00455FCD" w:rsidRDefault="00702179" w:rsidP="00702179">
            <w:pPr>
              <w:spacing w:line="240" w:lineRule="auto"/>
              <w:contextualSpacing/>
              <w:jc w:val="center"/>
              <w:rPr>
                <w:rFonts w:ascii="Garamond" w:hAnsi="Garamond"/>
                <w:sz w:val="24"/>
                <w:szCs w:val="24"/>
              </w:rPr>
            </w:pPr>
          </w:p>
        </w:tc>
        <w:tc>
          <w:tcPr>
            <w:tcW w:w="1221" w:type="pct"/>
            <w:tcBorders>
              <w:top w:val="single" w:sz="4" w:space="0" w:color="auto"/>
            </w:tcBorders>
          </w:tcPr>
          <w:p w14:paraId="18E2FAF7" w14:textId="77777777" w:rsidR="00702179" w:rsidRPr="00455FCD" w:rsidRDefault="00702179" w:rsidP="00702179">
            <w:pPr>
              <w:spacing w:line="240" w:lineRule="auto"/>
              <w:contextualSpacing/>
              <w:jc w:val="center"/>
              <w:rPr>
                <w:rFonts w:ascii="Garamond" w:hAnsi="Garamond"/>
                <w:color w:val="7030A0"/>
                <w:sz w:val="24"/>
                <w:szCs w:val="24"/>
              </w:rPr>
            </w:pPr>
          </w:p>
        </w:tc>
      </w:tr>
    </w:tbl>
    <w:bookmarkEnd w:id="11"/>
    <w:p w14:paraId="3444D5D6" w14:textId="5217E920" w:rsidR="00CE65B6" w:rsidRPr="00E75964" w:rsidRDefault="008E6BA8" w:rsidP="00E546C7">
      <w:pPr>
        <w:spacing w:line="240" w:lineRule="auto"/>
        <w:contextualSpacing/>
        <w:jc w:val="both"/>
        <w:rPr>
          <w:rFonts w:ascii="Garamond" w:hAnsi="Garamond"/>
        </w:rPr>
      </w:pPr>
      <w:r>
        <w:rPr>
          <w:rFonts w:ascii="Garamond" w:hAnsi="Garamond"/>
        </w:rPr>
        <w:t xml:space="preserve">Note: </w:t>
      </w:r>
      <w:r w:rsidR="00CA2F95" w:rsidRPr="00E75964">
        <w:rPr>
          <w:rFonts w:ascii="Garamond" w:hAnsi="Garamond"/>
        </w:rPr>
        <w:t>**</w:t>
      </w:r>
      <w:r w:rsidR="00CE65B6" w:rsidRPr="00E75964">
        <w:rPr>
          <w:rFonts w:ascii="Garamond" w:hAnsi="Garamond"/>
        </w:rPr>
        <w:t>*, ** and * denote significance at the 1%, 5% and 1</w:t>
      </w:r>
      <w:r w:rsidR="00CA2F95" w:rsidRPr="00E75964">
        <w:rPr>
          <w:rFonts w:ascii="Garamond" w:hAnsi="Garamond"/>
        </w:rPr>
        <w:t>0</w:t>
      </w:r>
      <w:r w:rsidR="00CE65B6" w:rsidRPr="00E75964">
        <w:rPr>
          <w:rFonts w:ascii="Garamond" w:hAnsi="Garamond"/>
        </w:rPr>
        <w:t xml:space="preserve">% levels respectively. </w:t>
      </w:r>
      <w:r w:rsidR="00D35E8F" w:rsidRPr="00E75964">
        <w:rPr>
          <w:rFonts w:ascii="Garamond" w:hAnsi="Garamond"/>
        </w:rPr>
        <w:t>P</w:t>
      </w:r>
      <w:r w:rsidR="00CE65B6" w:rsidRPr="00E75964">
        <w:rPr>
          <w:rFonts w:ascii="Garamond" w:hAnsi="Garamond"/>
        </w:rPr>
        <w:t xml:space="preserve">robabilities are in </w:t>
      </w:r>
      <w:r w:rsidR="00E952CB" w:rsidRPr="00E75964">
        <w:rPr>
          <w:rFonts w:ascii="Garamond" w:hAnsi="Garamond"/>
        </w:rPr>
        <w:t>bracket</w:t>
      </w:r>
      <w:r w:rsidR="00AA1956" w:rsidRPr="00E75964">
        <w:rPr>
          <w:rFonts w:ascii="Garamond" w:hAnsi="Garamond"/>
        </w:rPr>
        <w:t>s</w:t>
      </w:r>
      <w:r w:rsidR="00CE65B6" w:rsidRPr="00E75964">
        <w:rPr>
          <w:rFonts w:ascii="Garamond" w:hAnsi="Garamond"/>
        </w:rPr>
        <w:t>.</w:t>
      </w:r>
    </w:p>
    <w:p w14:paraId="54571639" w14:textId="77777777" w:rsidR="00E546C7" w:rsidRPr="00E75964" w:rsidRDefault="00E546C7" w:rsidP="00E546C7">
      <w:pPr>
        <w:spacing w:line="240" w:lineRule="auto"/>
        <w:contextualSpacing/>
        <w:jc w:val="both"/>
        <w:rPr>
          <w:rFonts w:ascii="Garamond" w:hAnsi="Garamond"/>
        </w:rPr>
      </w:pPr>
    </w:p>
    <w:p w14:paraId="4FCC4CCE" w14:textId="59C07D7B" w:rsidR="00CE65B6" w:rsidRPr="00E75964" w:rsidRDefault="00CE65B6" w:rsidP="00804DEB">
      <w:pPr>
        <w:spacing w:line="360" w:lineRule="auto"/>
        <w:jc w:val="both"/>
        <w:rPr>
          <w:rFonts w:ascii="Garamond" w:hAnsi="Garamond"/>
          <w:sz w:val="24"/>
          <w:szCs w:val="24"/>
        </w:rPr>
      </w:pPr>
      <w:r w:rsidRPr="00E75964">
        <w:rPr>
          <w:rFonts w:ascii="Garamond" w:hAnsi="Garamond"/>
          <w:sz w:val="24"/>
          <w:szCs w:val="24"/>
        </w:rPr>
        <w:lastRenderedPageBreak/>
        <w:t xml:space="preserve">The first results column of Table </w:t>
      </w:r>
      <w:r w:rsidR="002B41F8" w:rsidRPr="00E75964">
        <w:rPr>
          <w:rFonts w:ascii="Garamond" w:hAnsi="Garamond"/>
          <w:sz w:val="24"/>
          <w:szCs w:val="24"/>
        </w:rPr>
        <w:t>6</w:t>
      </w:r>
      <w:r w:rsidRPr="00E75964">
        <w:rPr>
          <w:rFonts w:ascii="Garamond" w:hAnsi="Garamond"/>
          <w:sz w:val="24"/>
          <w:szCs w:val="24"/>
        </w:rPr>
        <w:t xml:space="preserve"> shows that the negative Sunday returns are driven by small firms (-</w:t>
      </w:r>
      <w:r w:rsidR="00E20015" w:rsidRPr="00E75964">
        <w:rPr>
          <w:rFonts w:ascii="Garamond" w:hAnsi="Garamond"/>
          <w:sz w:val="24"/>
          <w:szCs w:val="24"/>
        </w:rPr>
        <w:t>2</w:t>
      </w:r>
      <w:r w:rsidRPr="00E75964">
        <w:rPr>
          <w:rFonts w:ascii="Garamond" w:hAnsi="Garamond"/>
          <w:sz w:val="24"/>
          <w:szCs w:val="24"/>
        </w:rPr>
        <w:t>.</w:t>
      </w:r>
      <w:r w:rsidR="00E20015" w:rsidRPr="00E75964">
        <w:rPr>
          <w:rFonts w:ascii="Garamond" w:hAnsi="Garamond"/>
          <w:sz w:val="24"/>
          <w:szCs w:val="24"/>
        </w:rPr>
        <w:t>672</w:t>
      </w:r>
      <w:r w:rsidRPr="00E75964">
        <w:rPr>
          <w:rFonts w:ascii="Garamond" w:hAnsi="Garamond"/>
          <w:sz w:val="24"/>
          <w:szCs w:val="24"/>
        </w:rPr>
        <w:t xml:space="preserve">%, significant at 1%). The coefficients for the mid-sized 60 percent and largest 20 percent are positive but are not statistically significant. According to this model, the Sunday returns on the DSE are not only influenced largely by smaller firms but the negative returns are solely due to them. On the other hand, in the modified model (results column </w:t>
      </w:r>
      <w:r w:rsidR="006606C3" w:rsidRPr="00E75964">
        <w:rPr>
          <w:rFonts w:ascii="Garamond" w:hAnsi="Garamond"/>
          <w:sz w:val="24"/>
          <w:szCs w:val="24"/>
        </w:rPr>
        <w:t>(2)</w:t>
      </w:r>
      <w:r w:rsidRPr="00E75964">
        <w:rPr>
          <w:rFonts w:ascii="Garamond" w:hAnsi="Garamond"/>
          <w:sz w:val="24"/>
          <w:szCs w:val="24"/>
        </w:rPr>
        <w:t>) the returns are not significant for any portfolio. Nevertheless</w:t>
      </w:r>
      <w:r w:rsidR="006606C3" w:rsidRPr="00E75964">
        <w:rPr>
          <w:rFonts w:ascii="Garamond" w:hAnsi="Garamond"/>
          <w:sz w:val="24"/>
          <w:szCs w:val="24"/>
        </w:rPr>
        <w:t>,</w:t>
      </w:r>
      <w:r w:rsidRPr="00E75964">
        <w:rPr>
          <w:rFonts w:ascii="Garamond" w:hAnsi="Garamond"/>
          <w:sz w:val="24"/>
          <w:szCs w:val="24"/>
        </w:rPr>
        <w:t xml:space="preserve"> </w:t>
      </w:r>
      <w:r w:rsidR="006606C3" w:rsidRPr="00E75964">
        <w:rPr>
          <w:rFonts w:ascii="Garamond" w:hAnsi="Garamond"/>
          <w:sz w:val="24"/>
          <w:szCs w:val="24"/>
        </w:rPr>
        <w:t xml:space="preserve">smaller firms are affecting Sunday’s returns negatively and </w:t>
      </w:r>
      <w:r w:rsidRPr="00E75964">
        <w:rPr>
          <w:rFonts w:ascii="Garamond" w:hAnsi="Garamond"/>
          <w:sz w:val="24"/>
          <w:szCs w:val="24"/>
        </w:rPr>
        <w:t>the highest volatility still belongs to the smallest portfolio (0.</w:t>
      </w:r>
      <w:r w:rsidR="0001375F" w:rsidRPr="00E75964">
        <w:rPr>
          <w:rFonts w:ascii="Garamond" w:hAnsi="Garamond"/>
          <w:sz w:val="24"/>
          <w:szCs w:val="24"/>
        </w:rPr>
        <w:t>442</w:t>
      </w:r>
      <w:r w:rsidRPr="00E75964">
        <w:rPr>
          <w:rFonts w:ascii="Garamond" w:hAnsi="Garamond"/>
          <w:sz w:val="24"/>
          <w:szCs w:val="24"/>
        </w:rPr>
        <w:t>%)</w:t>
      </w:r>
      <w:r w:rsidR="006606C3" w:rsidRPr="00E75964">
        <w:rPr>
          <w:rFonts w:ascii="Garamond" w:hAnsi="Garamond"/>
          <w:sz w:val="24"/>
          <w:szCs w:val="24"/>
        </w:rPr>
        <w:t>, which</w:t>
      </w:r>
      <w:r w:rsidRPr="00E75964">
        <w:rPr>
          <w:rFonts w:ascii="Garamond" w:hAnsi="Garamond"/>
          <w:sz w:val="24"/>
          <w:szCs w:val="24"/>
        </w:rPr>
        <w:t xml:space="preserve"> is statistically significant. These findings are consistent with our previous results from Table </w:t>
      </w:r>
      <w:r w:rsidR="002B41F8" w:rsidRPr="00E75964">
        <w:rPr>
          <w:rFonts w:ascii="Garamond" w:hAnsi="Garamond"/>
          <w:sz w:val="24"/>
          <w:szCs w:val="24"/>
        </w:rPr>
        <w:t>5</w:t>
      </w:r>
      <w:r w:rsidRPr="00E75964">
        <w:rPr>
          <w:rFonts w:ascii="Garamond" w:hAnsi="Garamond"/>
          <w:sz w:val="24"/>
          <w:szCs w:val="24"/>
        </w:rPr>
        <w:t>: the trading</w:t>
      </w:r>
      <w:r w:rsidR="006606C3" w:rsidRPr="00E75964">
        <w:rPr>
          <w:rFonts w:ascii="Garamond" w:hAnsi="Garamond"/>
          <w:sz w:val="24"/>
          <w:szCs w:val="24"/>
        </w:rPr>
        <w:t xml:space="preserve"> </w:t>
      </w:r>
      <w:r w:rsidRPr="00E75964">
        <w:rPr>
          <w:rFonts w:ascii="Garamond" w:hAnsi="Garamond"/>
          <w:sz w:val="24"/>
          <w:szCs w:val="24"/>
        </w:rPr>
        <w:t xml:space="preserve">activity in smaller firms causes the negative equity returns and increased volatility on Sunday. The estimated coefficients of the constant term, the lagged value of the square residuals and the lagged value of the conditional variance are all statistically significant in both models. However, the sum of the ARCH term and the GARCH term implies </w:t>
      </w:r>
      <w:r w:rsidR="006606C3" w:rsidRPr="00E75964">
        <w:rPr>
          <w:rFonts w:ascii="Garamond" w:hAnsi="Garamond"/>
          <w:sz w:val="24"/>
          <w:szCs w:val="24"/>
        </w:rPr>
        <w:t>low</w:t>
      </w:r>
      <w:r w:rsidRPr="00E75964">
        <w:rPr>
          <w:rFonts w:ascii="Garamond" w:hAnsi="Garamond"/>
          <w:sz w:val="24"/>
          <w:szCs w:val="24"/>
        </w:rPr>
        <w:t xml:space="preserve"> persistence of shocks to the conditional variance (</w:t>
      </w:r>
      <w:r w:rsidR="00E14B5B" w:rsidRPr="00E75964">
        <w:rPr>
          <w:rFonts w:ascii="Garamond" w:hAnsi="Garamond"/>
          <w:sz w:val="24"/>
          <w:szCs w:val="24"/>
        </w:rPr>
        <w:t>i.e.,</w:t>
      </w:r>
      <w:r w:rsidRPr="00E75964">
        <w:rPr>
          <w:rFonts w:ascii="Garamond" w:hAnsi="Garamond"/>
          <w:sz w:val="24"/>
          <w:szCs w:val="24"/>
        </w:rPr>
        <w:t xml:space="preserve"> 0.</w:t>
      </w:r>
      <w:r w:rsidR="0001375F" w:rsidRPr="00E75964">
        <w:rPr>
          <w:rFonts w:ascii="Garamond" w:hAnsi="Garamond"/>
          <w:sz w:val="24"/>
          <w:szCs w:val="24"/>
        </w:rPr>
        <w:t>7496</w:t>
      </w:r>
      <w:r w:rsidRPr="00E75964">
        <w:rPr>
          <w:rFonts w:ascii="Garamond" w:hAnsi="Garamond"/>
          <w:sz w:val="24"/>
          <w:szCs w:val="24"/>
        </w:rPr>
        <w:t xml:space="preserve"> and 0.</w:t>
      </w:r>
      <w:r w:rsidR="0001375F" w:rsidRPr="00E75964">
        <w:rPr>
          <w:rFonts w:ascii="Garamond" w:hAnsi="Garamond"/>
          <w:sz w:val="24"/>
          <w:szCs w:val="24"/>
        </w:rPr>
        <w:t>7026</w:t>
      </w:r>
      <w:r w:rsidRPr="00E75964">
        <w:rPr>
          <w:rFonts w:ascii="Garamond" w:hAnsi="Garamond"/>
          <w:sz w:val="24"/>
          <w:szCs w:val="24"/>
        </w:rPr>
        <w:t xml:space="preserve"> respectively in the GARCH and modified GARCH models).</w:t>
      </w:r>
    </w:p>
    <w:p w14:paraId="6BAB6CE9" w14:textId="00F693D6"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On the other hand</w:t>
      </w:r>
      <w:r w:rsidR="00302E67" w:rsidRPr="00E75964">
        <w:rPr>
          <w:rFonts w:ascii="Garamond" w:hAnsi="Garamond"/>
          <w:sz w:val="24"/>
          <w:szCs w:val="24"/>
        </w:rPr>
        <w:t>,</w:t>
      </w:r>
      <w:r w:rsidRPr="00E75964">
        <w:rPr>
          <w:rFonts w:ascii="Garamond" w:hAnsi="Garamond"/>
          <w:sz w:val="24"/>
          <w:szCs w:val="24"/>
        </w:rPr>
        <w:t xml:space="preserve"> both dividend yield portfolios are statistically significant in the returns equation presented in column </w:t>
      </w:r>
      <w:r w:rsidR="006606C3" w:rsidRPr="00E75964">
        <w:rPr>
          <w:rFonts w:ascii="Garamond" w:hAnsi="Garamond"/>
          <w:sz w:val="24"/>
          <w:szCs w:val="24"/>
        </w:rPr>
        <w:t xml:space="preserve">(3) </w:t>
      </w:r>
      <w:r w:rsidRPr="00E75964">
        <w:rPr>
          <w:rFonts w:ascii="Garamond" w:hAnsi="Garamond"/>
          <w:sz w:val="24"/>
          <w:szCs w:val="24"/>
        </w:rPr>
        <w:t xml:space="preserve">of Table </w:t>
      </w:r>
      <w:r w:rsidR="002B41F8" w:rsidRPr="00E75964">
        <w:rPr>
          <w:rFonts w:ascii="Garamond" w:hAnsi="Garamond"/>
          <w:sz w:val="24"/>
          <w:szCs w:val="24"/>
        </w:rPr>
        <w:t>6</w:t>
      </w:r>
      <w:r w:rsidRPr="00E75964">
        <w:rPr>
          <w:rFonts w:ascii="Garamond" w:hAnsi="Garamond"/>
          <w:sz w:val="24"/>
          <w:szCs w:val="24"/>
        </w:rPr>
        <w:t xml:space="preserve">. However, it is evident that Sunday returns are largely dragged down by the low DY firms, </w:t>
      </w:r>
      <w:r w:rsidR="00E14B5B" w:rsidRPr="00E75964">
        <w:rPr>
          <w:rFonts w:ascii="Garamond" w:hAnsi="Garamond"/>
          <w:sz w:val="24"/>
          <w:szCs w:val="24"/>
        </w:rPr>
        <w:t>i.e.,</w:t>
      </w:r>
      <w:r w:rsidRPr="00E75964">
        <w:rPr>
          <w:rFonts w:ascii="Garamond" w:hAnsi="Garamond"/>
          <w:sz w:val="24"/>
          <w:szCs w:val="24"/>
        </w:rPr>
        <w:t xml:space="preserve"> with returns of -</w:t>
      </w:r>
      <w:r w:rsidR="0001375F" w:rsidRPr="00E75964">
        <w:rPr>
          <w:rFonts w:ascii="Garamond" w:hAnsi="Garamond"/>
          <w:sz w:val="24"/>
          <w:szCs w:val="24"/>
        </w:rPr>
        <w:t>5</w:t>
      </w:r>
      <w:r w:rsidRPr="00E75964">
        <w:rPr>
          <w:rFonts w:ascii="Garamond" w:hAnsi="Garamond"/>
          <w:sz w:val="24"/>
          <w:szCs w:val="24"/>
        </w:rPr>
        <w:t>.</w:t>
      </w:r>
      <w:r w:rsidR="0001375F" w:rsidRPr="00E75964">
        <w:rPr>
          <w:rFonts w:ascii="Garamond" w:hAnsi="Garamond"/>
          <w:sz w:val="24"/>
          <w:szCs w:val="24"/>
        </w:rPr>
        <w:t>44</w:t>
      </w:r>
      <w:r w:rsidRPr="00E75964">
        <w:rPr>
          <w:rFonts w:ascii="Garamond" w:hAnsi="Garamond"/>
          <w:sz w:val="24"/>
          <w:szCs w:val="24"/>
        </w:rPr>
        <w:t>% and -</w:t>
      </w:r>
      <w:r w:rsidR="0001375F" w:rsidRPr="00E75964">
        <w:rPr>
          <w:rFonts w:ascii="Garamond" w:hAnsi="Garamond"/>
          <w:sz w:val="24"/>
          <w:szCs w:val="24"/>
        </w:rPr>
        <w:t>6</w:t>
      </w:r>
      <w:r w:rsidRPr="00E75964">
        <w:rPr>
          <w:rFonts w:ascii="Garamond" w:hAnsi="Garamond"/>
          <w:sz w:val="24"/>
          <w:szCs w:val="24"/>
        </w:rPr>
        <w:t>.</w:t>
      </w:r>
      <w:r w:rsidR="0001375F" w:rsidRPr="00E75964">
        <w:rPr>
          <w:rFonts w:ascii="Garamond" w:hAnsi="Garamond"/>
          <w:sz w:val="24"/>
          <w:szCs w:val="24"/>
        </w:rPr>
        <w:t>9</w:t>
      </w:r>
      <w:r w:rsidR="00276D95" w:rsidRPr="00E75964">
        <w:rPr>
          <w:rFonts w:ascii="Garamond" w:hAnsi="Garamond"/>
          <w:sz w:val="24"/>
          <w:szCs w:val="24"/>
        </w:rPr>
        <w:t>4</w:t>
      </w:r>
      <w:r w:rsidRPr="00E75964">
        <w:rPr>
          <w:rFonts w:ascii="Garamond" w:hAnsi="Garamond"/>
          <w:sz w:val="24"/>
          <w:szCs w:val="24"/>
        </w:rPr>
        <w:t>% respectively in the GARCH (1,</w:t>
      </w:r>
      <w:r w:rsidR="00E952CB" w:rsidRPr="00E75964">
        <w:rPr>
          <w:rFonts w:ascii="Garamond" w:hAnsi="Garamond"/>
          <w:sz w:val="24"/>
          <w:szCs w:val="24"/>
        </w:rPr>
        <w:t xml:space="preserve"> </w:t>
      </w:r>
      <w:r w:rsidRPr="00E75964">
        <w:rPr>
          <w:rFonts w:ascii="Garamond" w:hAnsi="Garamond"/>
          <w:sz w:val="24"/>
          <w:szCs w:val="24"/>
        </w:rPr>
        <w:t xml:space="preserve">1) and the modified </w:t>
      </w:r>
      <w:r w:rsidR="006606C3" w:rsidRPr="00E75964">
        <w:rPr>
          <w:rFonts w:ascii="Garamond" w:hAnsi="Garamond"/>
          <w:sz w:val="24"/>
          <w:szCs w:val="24"/>
        </w:rPr>
        <w:t>T</w:t>
      </w:r>
      <w:r w:rsidRPr="00E75964">
        <w:rPr>
          <w:rFonts w:ascii="Garamond" w:hAnsi="Garamond"/>
          <w:sz w:val="24"/>
          <w:szCs w:val="24"/>
        </w:rPr>
        <w:t>GARCH (1,</w:t>
      </w:r>
      <w:r w:rsidR="00E952CB" w:rsidRPr="00E75964">
        <w:rPr>
          <w:rFonts w:ascii="Garamond" w:hAnsi="Garamond"/>
          <w:sz w:val="24"/>
          <w:szCs w:val="24"/>
        </w:rPr>
        <w:t xml:space="preserve"> </w:t>
      </w:r>
      <w:r w:rsidRPr="00E75964">
        <w:rPr>
          <w:rFonts w:ascii="Garamond" w:hAnsi="Garamond"/>
          <w:sz w:val="24"/>
          <w:szCs w:val="24"/>
        </w:rPr>
        <w:t>1) models. The high DY portfolio influences the Sunday</w:t>
      </w:r>
      <w:r w:rsidR="006606C3" w:rsidRPr="00E75964">
        <w:rPr>
          <w:rFonts w:ascii="Garamond" w:hAnsi="Garamond"/>
          <w:sz w:val="24"/>
          <w:szCs w:val="24"/>
        </w:rPr>
        <w:t>’s</w:t>
      </w:r>
      <w:r w:rsidRPr="00E75964">
        <w:rPr>
          <w:rFonts w:ascii="Garamond" w:hAnsi="Garamond"/>
          <w:sz w:val="24"/>
          <w:szCs w:val="24"/>
        </w:rPr>
        <w:t xml:space="preserve"> returns negatively (-2</w:t>
      </w:r>
      <w:r w:rsidR="0001375F" w:rsidRPr="00E75964">
        <w:rPr>
          <w:rFonts w:ascii="Garamond" w:hAnsi="Garamond"/>
          <w:sz w:val="24"/>
          <w:szCs w:val="24"/>
        </w:rPr>
        <w:t>.15</w:t>
      </w:r>
      <w:r w:rsidRPr="00E75964">
        <w:rPr>
          <w:rFonts w:ascii="Garamond" w:hAnsi="Garamond"/>
          <w:sz w:val="24"/>
          <w:szCs w:val="24"/>
        </w:rPr>
        <w:t>%) in the GARCH (1,</w:t>
      </w:r>
      <w:r w:rsidR="00E952CB" w:rsidRPr="00E75964">
        <w:rPr>
          <w:rFonts w:ascii="Garamond" w:hAnsi="Garamond"/>
          <w:sz w:val="24"/>
          <w:szCs w:val="24"/>
        </w:rPr>
        <w:t xml:space="preserve"> </w:t>
      </w:r>
      <w:r w:rsidRPr="00E75964">
        <w:rPr>
          <w:rFonts w:ascii="Garamond" w:hAnsi="Garamond"/>
          <w:sz w:val="24"/>
          <w:szCs w:val="24"/>
        </w:rPr>
        <w:t>1) model and positively (+</w:t>
      </w:r>
      <w:r w:rsidR="0001375F" w:rsidRPr="00E75964">
        <w:rPr>
          <w:rFonts w:ascii="Garamond" w:hAnsi="Garamond"/>
          <w:sz w:val="24"/>
          <w:szCs w:val="24"/>
        </w:rPr>
        <w:t>2.37</w:t>
      </w:r>
      <w:r w:rsidRPr="00E75964">
        <w:rPr>
          <w:rFonts w:ascii="Garamond" w:hAnsi="Garamond"/>
          <w:sz w:val="24"/>
          <w:szCs w:val="24"/>
        </w:rPr>
        <w:t>%) in the modified TGARCH (1,</w:t>
      </w:r>
      <w:r w:rsidR="00E952CB" w:rsidRPr="00E75964">
        <w:rPr>
          <w:rFonts w:ascii="Garamond" w:hAnsi="Garamond"/>
          <w:sz w:val="24"/>
          <w:szCs w:val="24"/>
        </w:rPr>
        <w:t xml:space="preserve"> </w:t>
      </w:r>
      <w:r w:rsidRPr="00E75964">
        <w:rPr>
          <w:rFonts w:ascii="Garamond" w:hAnsi="Garamond"/>
          <w:sz w:val="24"/>
          <w:szCs w:val="24"/>
        </w:rPr>
        <w:t>1). In the variance equation (column</w:t>
      </w:r>
      <w:r w:rsidR="006606C3" w:rsidRPr="00E75964">
        <w:rPr>
          <w:rFonts w:ascii="Garamond" w:hAnsi="Garamond"/>
          <w:sz w:val="24"/>
          <w:szCs w:val="24"/>
        </w:rPr>
        <w:t xml:space="preserve"> (4) </w:t>
      </w:r>
      <w:r w:rsidRPr="00E75964">
        <w:rPr>
          <w:rFonts w:ascii="Garamond" w:hAnsi="Garamond"/>
          <w:sz w:val="24"/>
          <w:szCs w:val="24"/>
        </w:rPr>
        <w:t xml:space="preserve">of Table </w:t>
      </w:r>
      <w:r w:rsidR="00EF27B6" w:rsidRPr="00E75964">
        <w:rPr>
          <w:rFonts w:ascii="Garamond" w:hAnsi="Garamond"/>
          <w:sz w:val="24"/>
          <w:szCs w:val="24"/>
        </w:rPr>
        <w:t>8</w:t>
      </w:r>
      <w:r w:rsidRPr="00E75964">
        <w:rPr>
          <w:rFonts w:ascii="Garamond" w:hAnsi="Garamond"/>
          <w:sz w:val="24"/>
          <w:szCs w:val="24"/>
        </w:rPr>
        <w:t xml:space="preserve">), we see the highest (and significant) volatility of </w:t>
      </w:r>
      <w:r w:rsidR="0001375F" w:rsidRPr="00E75964">
        <w:rPr>
          <w:rFonts w:ascii="Garamond" w:hAnsi="Garamond"/>
          <w:sz w:val="24"/>
          <w:szCs w:val="24"/>
        </w:rPr>
        <w:t>2</w:t>
      </w:r>
      <w:r w:rsidRPr="00E75964">
        <w:rPr>
          <w:rFonts w:ascii="Garamond" w:hAnsi="Garamond"/>
          <w:sz w:val="24"/>
          <w:szCs w:val="24"/>
        </w:rPr>
        <w:t>.</w:t>
      </w:r>
      <w:r w:rsidR="0001375F" w:rsidRPr="00E75964">
        <w:rPr>
          <w:rFonts w:ascii="Garamond" w:hAnsi="Garamond"/>
          <w:sz w:val="24"/>
          <w:szCs w:val="24"/>
        </w:rPr>
        <w:t>01</w:t>
      </w:r>
      <w:r w:rsidRPr="00E75964">
        <w:rPr>
          <w:rFonts w:ascii="Garamond" w:hAnsi="Garamond"/>
          <w:sz w:val="24"/>
          <w:szCs w:val="24"/>
        </w:rPr>
        <w:t xml:space="preserve">% </w:t>
      </w:r>
      <w:r w:rsidR="00E952CB" w:rsidRPr="00E75964">
        <w:rPr>
          <w:rFonts w:ascii="Garamond" w:hAnsi="Garamond"/>
          <w:sz w:val="24"/>
          <w:szCs w:val="24"/>
        </w:rPr>
        <w:t>occurring</w:t>
      </w:r>
      <w:r w:rsidRPr="00E75964">
        <w:rPr>
          <w:rFonts w:ascii="Garamond" w:hAnsi="Garamond"/>
          <w:sz w:val="24"/>
          <w:szCs w:val="24"/>
        </w:rPr>
        <w:t xml:space="preserve"> with the low DY portfolio. The high yield firms have a </w:t>
      </w:r>
      <w:r w:rsidR="0001375F" w:rsidRPr="00E75964">
        <w:rPr>
          <w:rFonts w:ascii="Garamond" w:hAnsi="Garamond"/>
          <w:sz w:val="24"/>
          <w:szCs w:val="24"/>
        </w:rPr>
        <w:t>positive</w:t>
      </w:r>
      <w:r w:rsidRPr="00E75964">
        <w:rPr>
          <w:rFonts w:ascii="Garamond" w:hAnsi="Garamond"/>
          <w:sz w:val="24"/>
          <w:szCs w:val="24"/>
        </w:rPr>
        <w:t xml:space="preserve"> effect on Sunday returns volatility (</w:t>
      </w:r>
      <w:r w:rsidR="00E14B5B" w:rsidRPr="00E75964">
        <w:rPr>
          <w:rFonts w:ascii="Garamond" w:hAnsi="Garamond"/>
          <w:sz w:val="24"/>
          <w:szCs w:val="24"/>
        </w:rPr>
        <w:t>i.e.,</w:t>
      </w:r>
      <w:r w:rsidRPr="00E75964">
        <w:rPr>
          <w:rFonts w:ascii="Garamond" w:hAnsi="Garamond"/>
          <w:sz w:val="24"/>
          <w:szCs w:val="24"/>
        </w:rPr>
        <w:t xml:space="preserve"> </w:t>
      </w:r>
      <w:r w:rsidR="0001375F" w:rsidRPr="00E75964">
        <w:rPr>
          <w:rFonts w:ascii="Garamond" w:hAnsi="Garamond"/>
          <w:sz w:val="24"/>
          <w:szCs w:val="24"/>
        </w:rPr>
        <w:t>1</w:t>
      </w:r>
      <w:r w:rsidRPr="00E75964">
        <w:rPr>
          <w:rFonts w:ascii="Garamond" w:hAnsi="Garamond"/>
          <w:sz w:val="24"/>
          <w:szCs w:val="24"/>
        </w:rPr>
        <w:t>.</w:t>
      </w:r>
      <w:r w:rsidR="0001375F" w:rsidRPr="00E75964">
        <w:rPr>
          <w:rFonts w:ascii="Garamond" w:hAnsi="Garamond"/>
          <w:sz w:val="24"/>
          <w:szCs w:val="24"/>
        </w:rPr>
        <w:t>27</w:t>
      </w:r>
      <w:r w:rsidRPr="00E75964">
        <w:rPr>
          <w:rFonts w:ascii="Garamond" w:hAnsi="Garamond"/>
          <w:sz w:val="24"/>
          <w:szCs w:val="24"/>
        </w:rPr>
        <w:t xml:space="preserve">%) </w:t>
      </w:r>
      <w:r w:rsidR="00455FCD">
        <w:rPr>
          <w:rFonts w:ascii="Garamond" w:hAnsi="Garamond"/>
          <w:sz w:val="24"/>
          <w:szCs w:val="24"/>
        </w:rPr>
        <w:t>but this is n</w:t>
      </w:r>
      <w:r w:rsidRPr="00E75964">
        <w:rPr>
          <w:rFonts w:ascii="Garamond" w:hAnsi="Garamond"/>
          <w:sz w:val="24"/>
          <w:szCs w:val="24"/>
        </w:rPr>
        <w:t xml:space="preserve">ot </w:t>
      </w:r>
      <w:r w:rsidR="006606C3" w:rsidRPr="00E75964">
        <w:rPr>
          <w:rFonts w:ascii="Garamond" w:hAnsi="Garamond"/>
          <w:sz w:val="24"/>
          <w:szCs w:val="24"/>
        </w:rPr>
        <w:t xml:space="preserve">statistically </w:t>
      </w:r>
      <w:r w:rsidRPr="00E75964">
        <w:rPr>
          <w:rFonts w:ascii="Garamond" w:hAnsi="Garamond"/>
          <w:sz w:val="24"/>
          <w:szCs w:val="24"/>
        </w:rPr>
        <w:t>significant. Th</w:t>
      </w:r>
      <w:r w:rsidR="006606C3" w:rsidRPr="00E75964">
        <w:rPr>
          <w:rFonts w:ascii="Garamond" w:hAnsi="Garamond"/>
          <w:sz w:val="24"/>
          <w:szCs w:val="24"/>
        </w:rPr>
        <w:t>ese</w:t>
      </w:r>
      <w:r w:rsidRPr="00E75964">
        <w:rPr>
          <w:rFonts w:ascii="Garamond" w:hAnsi="Garamond"/>
          <w:sz w:val="24"/>
          <w:szCs w:val="24"/>
        </w:rPr>
        <w:t xml:space="preserve"> finding</w:t>
      </w:r>
      <w:r w:rsidR="006606C3" w:rsidRPr="00E75964">
        <w:rPr>
          <w:rFonts w:ascii="Garamond" w:hAnsi="Garamond"/>
          <w:sz w:val="24"/>
          <w:szCs w:val="24"/>
        </w:rPr>
        <w:t>s</w:t>
      </w:r>
      <w:r w:rsidRPr="00E75964">
        <w:rPr>
          <w:rFonts w:ascii="Garamond" w:hAnsi="Garamond"/>
          <w:sz w:val="24"/>
          <w:szCs w:val="24"/>
        </w:rPr>
        <w:t xml:space="preserve"> </w:t>
      </w:r>
      <w:r w:rsidR="006606C3" w:rsidRPr="00E75964">
        <w:rPr>
          <w:rFonts w:ascii="Garamond" w:hAnsi="Garamond"/>
          <w:sz w:val="24"/>
          <w:szCs w:val="24"/>
        </w:rPr>
        <w:t>are</w:t>
      </w:r>
      <w:r w:rsidRPr="00E75964">
        <w:rPr>
          <w:rFonts w:ascii="Garamond" w:hAnsi="Garamond"/>
          <w:sz w:val="24"/>
          <w:szCs w:val="24"/>
        </w:rPr>
        <w:t xml:space="preserve"> also in line with our previous findings and implies that the weekend effect on returns and volatility is due to the trading </w:t>
      </w:r>
      <w:r w:rsidR="00EC0E91" w:rsidRPr="00E75964">
        <w:rPr>
          <w:rFonts w:ascii="Garamond" w:hAnsi="Garamond"/>
          <w:sz w:val="24"/>
          <w:szCs w:val="24"/>
        </w:rPr>
        <w:t>behaviour</w:t>
      </w:r>
      <w:r w:rsidRPr="00E75964">
        <w:rPr>
          <w:rFonts w:ascii="Garamond" w:hAnsi="Garamond"/>
          <w:sz w:val="24"/>
          <w:szCs w:val="24"/>
        </w:rPr>
        <w:t xml:space="preserve"> of individual investors on the DSE, as displayed in low dividend yield firms. Nonetheless, the sum of α (ARCH term) and β (GARCH term) show </w:t>
      </w:r>
      <w:r w:rsidR="00D025C7" w:rsidRPr="00E75964">
        <w:rPr>
          <w:rFonts w:ascii="Garamond" w:hAnsi="Garamond"/>
          <w:sz w:val="24"/>
          <w:szCs w:val="24"/>
        </w:rPr>
        <w:t>strong</w:t>
      </w:r>
      <w:r w:rsidRPr="00E75964">
        <w:rPr>
          <w:rFonts w:ascii="Garamond" w:hAnsi="Garamond"/>
          <w:sz w:val="24"/>
          <w:szCs w:val="24"/>
        </w:rPr>
        <w:t xml:space="preserve"> persisten</w:t>
      </w:r>
      <w:r w:rsidR="0025296C" w:rsidRPr="00E75964">
        <w:rPr>
          <w:rFonts w:ascii="Garamond" w:hAnsi="Garamond"/>
          <w:sz w:val="24"/>
          <w:szCs w:val="24"/>
        </w:rPr>
        <w:t>t</w:t>
      </w:r>
      <w:r w:rsidRPr="00E75964">
        <w:rPr>
          <w:rFonts w:ascii="Garamond" w:hAnsi="Garamond"/>
          <w:sz w:val="24"/>
          <w:szCs w:val="24"/>
        </w:rPr>
        <w:t xml:space="preserve"> effect of </w:t>
      </w:r>
      <w:r w:rsidR="00455FCD">
        <w:rPr>
          <w:rFonts w:ascii="Garamond" w:hAnsi="Garamond"/>
          <w:sz w:val="24"/>
          <w:szCs w:val="24"/>
        </w:rPr>
        <w:t>shocks to conditional variance.</w:t>
      </w:r>
    </w:p>
    <w:p w14:paraId="2A7E28B9" w14:textId="347E18EE"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We run several specification tests and report them at the end of Table </w:t>
      </w:r>
      <w:r w:rsidR="002B41F8" w:rsidRPr="00E75964">
        <w:rPr>
          <w:rFonts w:ascii="Garamond" w:hAnsi="Garamond"/>
          <w:sz w:val="24"/>
          <w:szCs w:val="24"/>
        </w:rPr>
        <w:t>6</w:t>
      </w:r>
      <w:r w:rsidRPr="00E75964">
        <w:rPr>
          <w:rFonts w:ascii="Garamond" w:hAnsi="Garamond"/>
          <w:sz w:val="24"/>
          <w:szCs w:val="24"/>
        </w:rPr>
        <w:t>. The Ljung-Box Q statistics check the adequacy of conditional returns and the validity of the conditional variance equation. For standardized residuals (LB) and squared residuals (LB</w:t>
      </w:r>
      <w:r w:rsidRPr="00E75964">
        <w:rPr>
          <w:rFonts w:ascii="Garamond" w:hAnsi="Garamond"/>
          <w:sz w:val="24"/>
          <w:szCs w:val="24"/>
          <w:vertAlign w:val="superscript"/>
        </w:rPr>
        <w:t>2</w:t>
      </w:r>
      <w:r w:rsidRPr="00E75964">
        <w:rPr>
          <w:rFonts w:ascii="Garamond" w:hAnsi="Garamond"/>
          <w:sz w:val="24"/>
          <w:szCs w:val="24"/>
        </w:rPr>
        <w:t xml:space="preserve">) the null hypothesis </w:t>
      </w:r>
      <w:r w:rsidR="00AA1956" w:rsidRPr="00E75964">
        <w:rPr>
          <w:rFonts w:ascii="Garamond" w:hAnsi="Garamond"/>
          <w:sz w:val="24"/>
          <w:szCs w:val="24"/>
        </w:rPr>
        <w:t xml:space="preserve">is </w:t>
      </w:r>
      <w:r w:rsidRPr="00E75964">
        <w:rPr>
          <w:rFonts w:ascii="Garamond" w:hAnsi="Garamond"/>
          <w:sz w:val="24"/>
          <w:szCs w:val="24"/>
        </w:rPr>
        <w:t>that the residuals are not serially correlated</w:t>
      </w:r>
      <w:r w:rsidR="0025296C" w:rsidRPr="00E75964">
        <w:rPr>
          <w:rFonts w:ascii="Garamond" w:hAnsi="Garamond"/>
          <w:sz w:val="24"/>
          <w:szCs w:val="24"/>
        </w:rPr>
        <w:t xml:space="preserve"> (result</w:t>
      </w:r>
      <w:r w:rsidR="00AA1956" w:rsidRPr="00E75964">
        <w:rPr>
          <w:rFonts w:ascii="Garamond" w:hAnsi="Garamond"/>
          <w:sz w:val="24"/>
          <w:szCs w:val="24"/>
        </w:rPr>
        <w:t>s</w:t>
      </w:r>
      <w:r w:rsidR="0025296C" w:rsidRPr="00E75964">
        <w:rPr>
          <w:rFonts w:ascii="Garamond" w:hAnsi="Garamond"/>
          <w:sz w:val="24"/>
          <w:szCs w:val="24"/>
        </w:rPr>
        <w:t xml:space="preserve"> </w:t>
      </w:r>
      <w:r w:rsidR="00AA1956" w:rsidRPr="00E75964">
        <w:rPr>
          <w:rFonts w:ascii="Garamond" w:hAnsi="Garamond"/>
          <w:sz w:val="24"/>
          <w:szCs w:val="24"/>
        </w:rPr>
        <w:t>are</w:t>
      </w:r>
      <w:r w:rsidRPr="00E75964">
        <w:rPr>
          <w:rFonts w:ascii="Garamond" w:hAnsi="Garamond"/>
          <w:sz w:val="24"/>
          <w:szCs w:val="24"/>
        </w:rPr>
        <w:t xml:space="preserve"> </w:t>
      </w:r>
      <w:r w:rsidR="0025296C" w:rsidRPr="00E75964">
        <w:rPr>
          <w:rFonts w:ascii="Garamond" w:hAnsi="Garamond"/>
          <w:sz w:val="24"/>
          <w:szCs w:val="24"/>
        </w:rPr>
        <w:t>reported</w:t>
      </w:r>
      <w:r w:rsidRPr="00E75964">
        <w:rPr>
          <w:rFonts w:ascii="Garamond" w:hAnsi="Garamond"/>
          <w:sz w:val="24"/>
          <w:szCs w:val="24"/>
        </w:rPr>
        <w:t xml:space="preserve"> up to 1</w:t>
      </w:r>
      <w:r w:rsidR="007A2EEB" w:rsidRPr="00E75964">
        <w:rPr>
          <w:rFonts w:ascii="Garamond" w:hAnsi="Garamond"/>
          <w:sz w:val="24"/>
          <w:szCs w:val="24"/>
        </w:rPr>
        <w:t>0</w:t>
      </w:r>
      <w:r w:rsidRPr="00E75964">
        <w:rPr>
          <w:rFonts w:ascii="Garamond" w:hAnsi="Garamond"/>
          <w:sz w:val="24"/>
          <w:szCs w:val="24"/>
        </w:rPr>
        <w:t xml:space="preserve"> lags</w:t>
      </w:r>
      <w:r w:rsidR="0025296C" w:rsidRPr="00E75964">
        <w:rPr>
          <w:rFonts w:ascii="Garamond" w:hAnsi="Garamond"/>
          <w:sz w:val="24"/>
          <w:szCs w:val="24"/>
        </w:rPr>
        <w:t>)</w:t>
      </w:r>
      <w:r w:rsidRPr="00E75964">
        <w:rPr>
          <w:rFonts w:ascii="Garamond" w:hAnsi="Garamond"/>
          <w:sz w:val="24"/>
          <w:szCs w:val="24"/>
        </w:rPr>
        <w:t xml:space="preserve">. Engle’s ARCH-LM test shows that there is no ARCH effect in the residuals, because the test result is close to zero. Finally, the Wald test confirms that the coefficients of the returns and variance equations for all four models are significantly different from zero. </w:t>
      </w:r>
    </w:p>
    <w:p w14:paraId="44ED0145" w14:textId="796C4EF4"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lastRenderedPageBreak/>
        <w:t xml:space="preserve">Our findings strengthen the assertions of </w:t>
      </w:r>
      <w:proofErr w:type="spellStart"/>
      <w:r w:rsidRPr="00E75964">
        <w:rPr>
          <w:rFonts w:ascii="Garamond" w:hAnsi="Garamond"/>
          <w:sz w:val="24"/>
          <w:szCs w:val="24"/>
        </w:rPr>
        <w:t>K</w:t>
      </w:r>
      <w:r w:rsidR="00105278">
        <w:rPr>
          <w:rFonts w:ascii="Garamond" w:hAnsi="Garamond"/>
          <w:sz w:val="24"/>
          <w:szCs w:val="24"/>
        </w:rPr>
        <w:t>e</w:t>
      </w:r>
      <w:r w:rsidRPr="00E75964">
        <w:rPr>
          <w:rFonts w:ascii="Garamond" w:hAnsi="Garamond"/>
          <w:sz w:val="24"/>
          <w:szCs w:val="24"/>
        </w:rPr>
        <w:t>im</w:t>
      </w:r>
      <w:proofErr w:type="spellEnd"/>
      <w:r w:rsidRPr="00E75964">
        <w:rPr>
          <w:rFonts w:ascii="Garamond" w:hAnsi="Garamond"/>
          <w:sz w:val="24"/>
          <w:szCs w:val="24"/>
        </w:rPr>
        <w:t xml:space="preserve"> and </w:t>
      </w:r>
      <w:proofErr w:type="spellStart"/>
      <w:r w:rsidRPr="00E75964">
        <w:rPr>
          <w:rFonts w:ascii="Garamond" w:hAnsi="Garamond"/>
          <w:sz w:val="24"/>
          <w:szCs w:val="24"/>
        </w:rPr>
        <w:t>Stambaugh</w:t>
      </w:r>
      <w:proofErr w:type="spellEnd"/>
      <w:r w:rsidRPr="00E75964">
        <w:rPr>
          <w:rFonts w:ascii="Garamond" w:hAnsi="Garamond"/>
          <w:sz w:val="24"/>
          <w:szCs w:val="24"/>
        </w:rPr>
        <w:t xml:space="preserve"> (1984), Gibbon and Hess (1981), and Brusa et al. (2000, 2005) that the weekend effect is stronger for small firms than large firms</w:t>
      </w:r>
      <w:r w:rsidR="0025296C" w:rsidRPr="00E75964">
        <w:rPr>
          <w:rStyle w:val="FootnoteReference"/>
          <w:rFonts w:ascii="Garamond" w:hAnsi="Garamond"/>
          <w:sz w:val="24"/>
          <w:szCs w:val="24"/>
        </w:rPr>
        <w:footnoteReference w:id="6"/>
      </w:r>
      <w:r w:rsidRPr="00E75964">
        <w:rPr>
          <w:rFonts w:ascii="Garamond" w:hAnsi="Garamond"/>
          <w:sz w:val="24"/>
          <w:szCs w:val="24"/>
        </w:rPr>
        <w:t xml:space="preserve">. This is consistent with the conjecture of Osborne (1962), Ritter (1988), Lakonishok and Maberly (1990), Abraham and Ikenberry (1994) and Kamara (1997) that a weekly variation in trading activity by individuals is an important cause of the day-of-the-week effect. Lakonishok et al. (1992), Blume and Zeldes (1993) and Barber and Odean (2005) suggest that individual investors generally have greater holdings in small firms. Our results, therefore, suggests two different perspectives on the Bangladesh stock market. First, the information processing hypothesis is probably effective here: individual investors use their weekends to gather and process information and become active players on Sunday. Second, because this market is largely dominated by individual investors, the weekend effect strongly exhibits itself in smaller firms’ stock prices. </w:t>
      </w:r>
      <w:r w:rsidR="00455FCD">
        <w:rPr>
          <w:rFonts w:ascii="Garamond" w:hAnsi="Garamond"/>
          <w:sz w:val="24"/>
          <w:szCs w:val="24"/>
        </w:rPr>
        <w:t>The fact that i</w:t>
      </w:r>
      <w:r w:rsidRPr="00E75964">
        <w:rPr>
          <w:rFonts w:ascii="Garamond" w:hAnsi="Garamond"/>
          <w:sz w:val="24"/>
          <w:szCs w:val="24"/>
        </w:rPr>
        <w:t>ndividuals demonstrat</w:t>
      </w:r>
      <w:r w:rsidR="00455FCD">
        <w:rPr>
          <w:rFonts w:ascii="Garamond" w:hAnsi="Garamond"/>
          <w:sz w:val="24"/>
          <w:szCs w:val="24"/>
        </w:rPr>
        <w:t>e</w:t>
      </w:r>
      <w:r w:rsidRPr="00E75964">
        <w:rPr>
          <w:rFonts w:ascii="Garamond" w:hAnsi="Garamond"/>
          <w:sz w:val="24"/>
          <w:szCs w:val="24"/>
        </w:rPr>
        <w:t xml:space="preserve"> this particular </w:t>
      </w:r>
      <w:r w:rsidR="00EC0E91" w:rsidRPr="00E75964">
        <w:rPr>
          <w:rFonts w:ascii="Garamond" w:hAnsi="Garamond"/>
          <w:sz w:val="24"/>
          <w:szCs w:val="24"/>
        </w:rPr>
        <w:t>behaviour</w:t>
      </w:r>
      <w:r w:rsidRPr="00E75964">
        <w:rPr>
          <w:rFonts w:ascii="Garamond" w:hAnsi="Garamond"/>
          <w:sz w:val="24"/>
          <w:szCs w:val="24"/>
        </w:rPr>
        <w:t xml:space="preserve"> on Sunday may be due to several reasons, such as liquidity needs or rebalancing (Abraham and Ikenberry, 1994), an absence of brokerage firms (Miller, 1988; Lakonishok and Maberly, 1990), less participation by institutional investors as they set their strategic plans (Osborne, 1962), and a low-cost advantage over trading of smaller firms (Kamara, 1997). </w:t>
      </w:r>
    </w:p>
    <w:p w14:paraId="53569985" w14:textId="03578531" w:rsidR="00CE65B6" w:rsidRPr="00E75964" w:rsidRDefault="006E62A7" w:rsidP="006E62A7">
      <w:pPr>
        <w:pStyle w:val="Heading2"/>
        <w:spacing w:after="200" w:line="360" w:lineRule="auto"/>
        <w:rPr>
          <w:rFonts w:ascii="Garamond" w:hAnsi="Garamond"/>
          <w:color w:val="auto"/>
          <w:sz w:val="24"/>
          <w:szCs w:val="24"/>
        </w:rPr>
      </w:pPr>
      <w:bookmarkStart w:id="12" w:name="_Toc413318950"/>
      <w:r w:rsidRPr="00E75964">
        <w:rPr>
          <w:rFonts w:ascii="Garamond" w:hAnsi="Garamond"/>
          <w:color w:val="auto"/>
          <w:sz w:val="24"/>
          <w:szCs w:val="24"/>
        </w:rPr>
        <w:t>4</w:t>
      </w:r>
      <w:r w:rsidR="0029494E" w:rsidRPr="00E75964">
        <w:rPr>
          <w:rFonts w:ascii="Garamond" w:hAnsi="Garamond"/>
          <w:color w:val="auto"/>
          <w:sz w:val="24"/>
          <w:szCs w:val="24"/>
        </w:rPr>
        <w:t>.</w:t>
      </w:r>
      <w:r w:rsidR="00EF27B6" w:rsidRPr="00E75964">
        <w:rPr>
          <w:rFonts w:ascii="Garamond" w:hAnsi="Garamond"/>
          <w:color w:val="auto"/>
          <w:sz w:val="24"/>
          <w:szCs w:val="24"/>
        </w:rPr>
        <w:t>4</w:t>
      </w:r>
      <w:r w:rsidR="0029494E" w:rsidRPr="00E75964">
        <w:rPr>
          <w:rFonts w:ascii="Garamond" w:hAnsi="Garamond"/>
          <w:color w:val="auto"/>
          <w:sz w:val="24"/>
          <w:szCs w:val="24"/>
        </w:rPr>
        <w:t xml:space="preserve"> </w:t>
      </w:r>
      <w:r w:rsidR="000C1759" w:rsidRPr="00E75964">
        <w:rPr>
          <w:rFonts w:ascii="Garamond" w:hAnsi="Garamond"/>
          <w:color w:val="auto"/>
          <w:sz w:val="24"/>
          <w:szCs w:val="24"/>
        </w:rPr>
        <w:t>Robustness Check</w:t>
      </w:r>
      <w:bookmarkEnd w:id="12"/>
      <w:r w:rsidR="00302E67" w:rsidRPr="00E75964">
        <w:rPr>
          <w:rFonts w:ascii="Garamond" w:hAnsi="Garamond"/>
          <w:color w:val="auto"/>
          <w:sz w:val="24"/>
          <w:szCs w:val="24"/>
        </w:rPr>
        <w:t>s</w:t>
      </w:r>
      <w:r w:rsidR="008B59F1" w:rsidRPr="00E75964">
        <w:rPr>
          <w:rFonts w:ascii="Garamond" w:hAnsi="Garamond"/>
          <w:color w:val="auto"/>
          <w:sz w:val="24"/>
          <w:szCs w:val="24"/>
        </w:rPr>
        <w:t xml:space="preserve"> </w:t>
      </w:r>
      <w:r w:rsidR="00302E67" w:rsidRPr="00E75964">
        <w:rPr>
          <w:rFonts w:ascii="Garamond" w:hAnsi="Garamond"/>
          <w:color w:val="auto"/>
          <w:sz w:val="24"/>
          <w:szCs w:val="24"/>
        </w:rPr>
        <w:t>for</w:t>
      </w:r>
      <w:r w:rsidR="008B59F1" w:rsidRPr="00E75964">
        <w:rPr>
          <w:rFonts w:ascii="Garamond" w:hAnsi="Garamond"/>
          <w:color w:val="auto"/>
          <w:sz w:val="24"/>
          <w:szCs w:val="24"/>
        </w:rPr>
        <w:t xml:space="preserve"> market sentiment</w:t>
      </w:r>
    </w:p>
    <w:p w14:paraId="3C4C5AE8" w14:textId="44E5A10F" w:rsidR="00CE65B6" w:rsidRPr="00E75964" w:rsidRDefault="00CE65B6" w:rsidP="0029494E">
      <w:pPr>
        <w:spacing w:line="360" w:lineRule="auto"/>
        <w:jc w:val="both"/>
        <w:rPr>
          <w:rFonts w:ascii="Garamond" w:hAnsi="Garamond" w:cs="Arial"/>
          <w:sz w:val="24"/>
          <w:szCs w:val="24"/>
        </w:rPr>
      </w:pPr>
      <w:r w:rsidRPr="00E75964">
        <w:rPr>
          <w:rFonts w:ascii="Garamond" w:hAnsi="Garamond"/>
          <w:sz w:val="24"/>
          <w:szCs w:val="24"/>
        </w:rPr>
        <w:t>It is empirically proven that first order serial correlation in daily returns is not equal across weekdays. For example, several early researchers document a higher correlation between Monday and the previous Friday (Keim and Stambaugh, 1984; Bessembinder and Hertzel, 1993; Abraham and Ikenberry, 1994; Brusa et al., 2000 and 2005). In an extensive study on returns autocorrelation, Bessembinder and Hertzel (1993) found an unusually high correlation for at least 100 years between Monday’s returns and the prior Friday’s return</w:t>
      </w:r>
      <w:r w:rsidR="00AA1956" w:rsidRPr="00E75964">
        <w:rPr>
          <w:rFonts w:ascii="Garamond" w:hAnsi="Garamond"/>
          <w:sz w:val="24"/>
          <w:szCs w:val="24"/>
        </w:rPr>
        <w:t>s</w:t>
      </w:r>
      <w:r w:rsidRPr="00E75964">
        <w:rPr>
          <w:rFonts w:ascii="Garamond" w:hAnsi="Garamond"/>
          <w:sz w:val="24"/>
          <w:szCs w:val="24"/>
        </w:rPr>
        <w:t xml:space="preserve">. Using the CRSP equally-weighted index of NYSE and ASE firms, Abraham and Ikenberry (1994) also report that the highest positive </w:t>
      </w:r>
      <w:r w:rsidRPr="00E75964">
        <w:rPr>
          <w:rFonts w:ascii="Garamond" w:hAnsi="Garamond"/>
          <w:sz w:val="24"/>
          <w:szCs w:val="24"/>
        </w:rPr>
        <w:lastRenderedPageBreak/>
        <w:t>correlation is between Friday and subsequent Monday returns. Scholes and Williams (1977) claim that t</w:t>
      </w:r>
      <w:r w:rsidRPr="00E75964">
        <w:rPr>
          <w:rFonts w:ascii="Garamond" w:hAnsi="Garamond" w:cs="Arial"/>
          <w:sz w:val="24"/>
          <w:szCs w:val="24"/>
        </w:rPr>
        <w:t xml:space="preserve">his first-order serial correlation in daily returns may be due to non-synchronous trading. </w:t>
      </w:r>
    </w:p>
    <w:p w14:paraId="58485D15" w14:textId="374CDB89" w:rsidR="00CE65B6" w:rsidRPr="00E75964" w:rsidRDefault="00CE65B6" w:rsidP="00CD604B">
      <w:pPr>
        <w:spacing w:line="360" w:lineRule="auto"/>
        <w:jc w:val="both"/>
        <w:rPr>
          <w:rFonts w:ascii="Garamond" w:hAnsi="Garamond"/>
          <w:sz w:val="24"/>
          <w:szCs w:val="24"/>
        </w:rPr>
      </w:pPr>
      <w:r w:rsidRPr="00E75964">
        <w:rPr>
          <w:rFonts w:ascii="Garamond" w:hAnsi="Garamond" w:cs="Arial"/>
          <w:sz w:val="24"/>
          <w:szCs w:val="24"/>
        </w:rPr>
        <w:t>However, Keim and Stambaugh (1984), Jaf</w:t>
      </w:r>
      <w:r w:rsidR="00D07613" w:rsidRPr="00E75964">
        <w:rPr>
          <w:rFonts w:ascii="Garamond" w:hAnsi="Garamond" w:cs="Arial"/>
          <w:sz w:val="24"/>
          <w:szCs w:val="24"/>
        </w:rPr>
        <w:t>f</w:t>
      </w:r>
      <w:r w:rsidRPr="00E75964">
        <w:rPr>
          <w:rFonts w:ascii="Garamond" w:hAnsi="Garamond" w:cs="Arial"/>
          <w:sz w:val="24"/>
          <w:szCs w:val="24"/>
        </w:rPr>
        <w:t xml:space="preserve">e and Westerfield (1985) and Bessembinder and Hertzel (1993) contend that measurement errors in stock index returns that arise from non-synchronous trading cannot explain the high correlation observed in Friday-Monday returns. Abraham and Ikenberry (1994) provide a natural explanation for this returns correlation. They assert that it is a delayed response of individual investors to the information revealed on the previous trading day. Lakonishok et al. (1992), </w:t>
      </w:r>
      <w:r w:rsidRPr="00E75964">
        <w:rPr>
          <w:rFonts w:ascii="Garamond" w:hAnsi="Garamond"/>
          <w:sz w:val="24"/>
          <w:szCs w:val="24"/>
        </w:rPr>
        <w:t xml:space="preserve">Brusa et al. (2005) and Venezia and Shapira (2007) also link this feedback relationship to the weekend </w:t>
      </w:r>
      <w:r w:rsidR="00EC0E91" w:rsidRPr="00E75964">
        <w:rPr>
          <w:rFonts w:ascii="Garamond" w:hAnsi="Garamond"/>
          <w:sz w:val="24"/>
          <w:szCs w:val="24"/>
        </w:rPr>
        <w:t>behaviour</w:t>
      </w:r>
      <w:r w:rsidRPr="00E75964">
        <w:rPr>
          <w:rFonts w:ascii="Garamond" w:hAnsi="Garamond"/>
          <w:sz w:val="24"/>
          <w:szCs w:val="24"/>
        </w:rPr>
        <w:t xml:space="preserve"> of investors. They assert that the conditional weekend effect is the result of the differential trading patterns of institutional and individual investors. </w:t>
      </w:r>
    </w:p>
    <w:p w14:paraId="6B27D08F" w14:textId="679CEA57" w:rsidR="00CE65B6" w:rsidRPr="00E75964" w:rsidRDefault="00CE65B6" w:rsidP="00CD604B">
      <w:pPr>
        <w:spacing w:line="360" w:lineRule="auto"/>
        <w:jc w:val="both"/>
        <w:rPr>
          <w:rFonts w:ascii="Garamond" w:hAnsi="Garamond" w:cs="Arial"/>
          <w:sz w:val="24"/>
          <w:szCs w:val="24"/>
        </w:rPr>
      </w:pPr>
      <w:r w:rsidRPr="00E75964">
        <w:rPr>
          <w:rFonts w:ascii="Garamond" w:hAnsi="Garamond"/>
          <w:sz w:val="24"/>
          <w:szCs w:val="24"/>
        </w:rPr>
        <w:t>In this section, following the influence of individual investors on the weekend effect, we</w:t>
      </w:r>
      <w:r w:rsidR="000C1759" w:rsidRPr="00E75964">
        <w:rPr>
          <w:rFonts w:ascii="Garamond" w:hAnsi="Garamond"/>
          <w:sz w:val="24"/>
          <w:szCs w:val="24"/>
        </w:rPr>
        <w:t xml:space="preserve"> further check the robustness of the relationship by</w:t>
      </w:r>
      <w:r w:rsidRPr="00E75964">
        <w:rPr>
          <w:rFonts w:ascii="Garamond" w:hAnsi="Garamond"/>
          <w:sz w:val="24"/>
          <w:szCs w:val="24"/>
        </w:rPr>
        <w:t xml:space="preserve"> analys</w:t>
      </w:r>
      <w:r w:rsidR="000C1759" w:rsidRPr="00E75964">
        <w:rPr>
          <w:rFonts w:ascii="Garamond" w:hAnsi="Garamond"/>
          <w:sz w:val="24"/>
          <w:szCs w:val="24"/>
        </w:rPr>
        <w:t>ing</w:t>
      </w:r>
      <w:r w:rsidRPr="00E75964">
        <w:rPr>
          <w:rFonts w:ascii="Garamond" w:hAnsi="Garamond"/>
          <w:sz w:val="24"/>
          <w:szCs w:val="24"/>
        </w:rPr>
        <w:t xml:space="preserve"> the correlation between Thursday-Sunday returns. Using firm-level evidence we explore whether the weekend effect is driven by the trading </w:t>
      </w:r>
      <w:r w:rsidR="00EC0E91" w:rsidRPr="00E75964">
        <w:rPr>
          <w:rFonts w:ascii="Garamond" w:hAnsi="Garamond"/>
          <w:sz w:val="24"/>
          <w:szCs w:val="24"/>
        </w:rPr>
        <w:t>behaviour</w:t>
      </w:r>
      <w:r w:rsidRPr="00E75964">
        <w:rPr>
          <w:rFonts w:ascii="Garamond" w:hAnsi="Garamond"/>
          <w:sz w:val="24"/>
          <w:szCs w:val="24"/>
        </w:rPr>
        <w:t xml:space="preserve"> of individual investors. We conjecture that in Bangladesh the Thursday-Sunday returns autocorrelation should be higher for smaller firms, where individual investors have greater holdings.</w:t>
      </w:r>
    </w:p>
    <w:p w14:paraId="7178E74C" w14:textId="473857F1" w:rsidR="00F44591"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To test this hypothesis, we calculate the contemporaneous correlations between Sunday returns and variance and the returns and variance of the previous Thursday. We divide all the listed firms into small, mid-sized and large groups similar to the previous section. We report the results in Table </w:t>
      </w:r>
      <w:r w:rsidR="002B41F8" w:rsidRPr="00E75964">
        <w:rPr>
          <w:rFonts w:ascii="Garamond" w:hAnsi="Garamond"/>
          <w:sz w:val="24"/>
          <w:szCs w:val="24"/>
        </w:rPr>
        <w:t>7</w:t>
      </w:r>
      <w:r w:rsidRPr="00E75964">
        <w:rPr>
          <w:rFonts w:ascii="Garamond" w:hAnsi="Garamond"/>
          <w:sz w:val="24"/>
          <w:szCs w:val="24"/>
        </w:rPr>
        <w:t xml:space="preserve">, where the first three results columns show the correlations between returns and results columns four to six show the correlations between variances. </w:t>
      </w:r>
    </w:p>
    <w:p w14:paraId="108DCE8D" w14:textId="648F3DCC" w:rsidR="00CE65B6" w:rsidRPr="00E75964" w:rsidRDefault="00F44591" w:rsidP="002B41F8">
      <w:pPr>
        <w:rPr>
          <w:rFonts w:ascii="Garamond" w:hAnsi="Garamond"/>
          <w:sz w:val="24"/>
          <w:szCs w:val="24"/>
        </w:rPr>
      </w:pPr>
      <w:r w:rsidRPr="00E75964">
        <w:rPr>
          <w:rFonts w:ascii="Garamond" w:hAnsi="Garamond"/>
          <w:sz w:val="24"/>
          <w:szCs w:val="24"/>
        </w:rPr>
        <w:br w:type="page"/>
      </w:r>
    </w:p>
    <w:p w14:paraId="23E4D39A" w14:textId="77777777" w:rsidR="008E6BA8" w:rsidRDefault="00CE65B6" w:rsidP="008E6BA8">
      <w:pPr>
        <w:spacing w:line="240" w:lineRule="auto"/>
        <w:contextualSpacing/>
        <w:rPr>
          <w:rFonts w:ascii="Garamond" w:hAnsi="Garamond" w:cs="Arial"/>
          <w:b/>
          <w:sz w:val="24"/>
          <w:szCs w:val="24"/>
        </w:rPr>
      </w:pPr>
      <w:r w:rsidRPr="00E75964">
        <w:rPr>
          <w:rFonts w:ascii="Garamond" w:hAnsi="Garamond" w:cs="Arial"/>
          <w:b/>
          <w:sz w:val="24"/>
          <w:szCs w:val="24"/>
        </w:rPr>
        <w:lastRenderedPageBreak/>
        <w:t xml:space="preserve">Table </w:t>
      </w:r>
      <w:r w:rsidR="002B41F8" w:rsidRPr="00E75964">
        <w:rPr>
          <w:rFonts w:ascii="Garamond" w:hAnsi="Garamond" w:cs="Arial"/>
          <w:b/>
          <w:sz w:val="24"/>
          <w:szCs w:val="24"/>
        </w:rPr>
        <w:t>7</w:t>
      </w:r>
    </w:p>
    <w:p w14:paraId="41B17BA9" w14:textId="0E12BBF9" w:rsidR="00CE65B6" w:rsidRPr="008E6BA8" w:rsidRDefault="00CE65B6" w:rsidP="008E6BA8">
      <w:pPr>
        <w:spacing w:line="240" w:lineRule="auto"/>
        <w:contextualSpacing/>
        <w:rPr>
          <w:rFonts w:ascii="Garamond" w:hAnsi="Garamond" w:cs="Arial"/>
          <w:sz w:val="24"/>
          <w:szCs w:val="24"/>
        </w:rPr>
      </w:pPr>
      <w:r w:rsidRPr="008E6BA8">
        <w:rPr>
          <w:rFonts w:ascii="Garamond" w:hAnsi="Garamond" w:cs="Arial"/>
          <w:sz w:val="24"/>
          <w:szCs w:val="24"/>
        </w:rPr>
        <w:t xml:space="preserve">Thursday-Sunday </w:t>
      </w:r>
      <w:r w:rsidR="008E6BA8">
        <w:rPr>
          <w:rFonts w:ascii="Garamond" w:hAnsi="Garamond" w:cs="Arial"/>
          <w:sz w:val="24"/>
          <w:szCs w:val="24"/>
        </w:rPr>
        <w:t>c</w:t>
      </w:r>
      <w:r w:rsidRPr="008E6BA8">
        <w:rPr>
          <w:rFonts w:ascii="Garamond" w:hAnsi="Garamond" w:cs="Arial"/>
          <w:sz w:val="24"/>
          <w:szCs w:val="24"/>
        </w:rPr>
        <w:t xml:space="preserve">orrelations between </w:t>
      </w:r>
      <w:r w:rsidR="008E6BA8">
        <w:rPr>
          <w:rFonts w:ascii="Garamond" w:hAnsi="Garamond" w:cs="Arial"/>
          <w:sz w:val="24"/>
          <w:szCs w:val="24"/>
        </w:rPr>
        <w:t>r</w:t>
      </w:r>
      <w:r w:rsidRPr="008E6BA8">
        <w:rPr>
          <w:rFonts w:ascii="Garamond" w:hAnsi="Garamond" w:cs="Arial"/>
          <w:sz w:val="24"/>
          <w:szCs w:val="24"/>
        </w:rPr>
        <w:t xml:space="preserve">eturns and </w:t>
      </w:r>
      <w:r w:rsidR="008E6BA8">
        <w:rPr>
          <w:rFonts w:ascii="Garamond" w:hAnsi="Garamond" w:cs="Arial"/>
          <w:sz w:val="24"/>
          <w:szCs w:val="24"/>
        </w:rPr>
        <w:t>v</w:t>
      </w:r>
      <w:r w:rsidRPr="008E6BA8">
        <w:rPr>
          <w:rFonts w:ascii="Garamond" w:hAnsi="Garamond" w:cs="Arial"/>
          <w:sz w:val="24"/>
          <w:szCs w:val="24"/>
        </w:rPr>
        <w:t>olatility</w:t>
      </w:r>
      <w:r w:rsidR="008E6BA8">
        <w:rPr>
          <w:rFonts w:ascii="Garamond" w:hAnsi="Garamond" w:cs="Arial"/>
          <w:sz w:val="24"/>
          <w:szCs w:val="24"/>
        </w:rPr>
        <w:t xml:space="preserve"> </w:t>
      </w:r>
      <w:r w:rsidRPr="008E6BA8">
        <w:rPr>
          <w:rFonts w:ascii="Garamond" w:hAnsi="Garamond" w:cs="Arial"/>
          <w:sz w:val="24"/>
          <w:szCs w:val="24"/>
        </w:rPr>
        <w:t xml:space="preserve">for </w:t>
      </w:r>
      <w:r w:rsidR="008E6BA8">
        <w:rPr>
          <w:rFonts w:ascii="Garamond" w:hAnsi="Garamond" w:cs="Arial"/>
          <w:sz w:val="24"/>
          <w:szCs w:val="24"/>
        </w:rPr>
        <w:t>s</w:t>
      </w:r>
      <w:r w:rsidRPr="008E6BA8">
        <w:rPr>
          <w:rFonts w:ascii="Garamond" w:hAnsi="Garamond" w:cs="Arial"/>
          <w:sz w:val="24"/>
          <w:szCs w:val="24"/>
        </w:rPr>
        <w:t xml:space="preserve">ize </w:t>
      </w:r>
      <w:r w:rsidR="008E6BA8">
        <w:rPr>
          <w:rFonts w:ascii="Garamond" w:hAnsi="Garamond" w:cs="Arial"/>
          <w:sz w:val="24"/>
          <w:szCs w:val="24"/>
        </w:rPr>
        <w:t>p</w:t>
      </w:r>
      <w:r w:rsidRPr="008E6BA8">
        <w:rPr>
          <w:rFonts w:ascii="Garamond" w:hAnsi="Garamond" w:cs="Arial"/>
          <w:sz w:val="24"/>
          <w:szCs w:val="24"/>
        </w:rPr>
        <w:t>ortfolios on the DSE</w:t>
      </w:r>
      <w:r w:rsidR="008E6BA8">
        <w:rPr>
          <w:rFonts w:ascii="Garamond" w:hAnsi="Garamond" w:cs="Arial"/>
          <w:sz w:val="24"/>
          <w:szCs w:val="24"/>
        </w:rPr>
        <w:t>.</w:t>
      </w:r>
    </w:p>
    <w:p w14:paraId="50E1D02B" w14:textId="77777777" w:rsidR="001D5DA1" w:rsidRPr="00E75964" w:rsidRDefault="001D5DA1" w:rsidP="008E6BA8">
      <w:pPr>
        <w:autoSpaceDE w:val="0"/>
        <w:autoSpaceDN w:val="0"/>
        <w:adjustRightInd w:val="0"/>
        <w:spacing w:line="240" w:lineRule="auto"/>
        <w:contextualSpacing/>
        <w:rPr>
          <w:rFonts w:ascii="Garamond" w:hAnsi="Garamond" w:cs="Arial"/>
          <w:b/>
          <w:sz w:val="24"/>
          <w:szCs w:val="24"/>
        </w:rPr>
      </w:pPr>
    </w:p>
    <w:tbl>
      <w:tblPr>
        <w:tblW w:w="5000" w:type="pct"/>
        <w:jc w:val="center"/>
        <w:tblCellMar>
          <w:left w:w="0" w:type="dxa"/>
          <w:right w:w="0" w:type="dxa"/>
        </w:tblCellMar>
        <w:tblLook w:val="0000" w:firstRow="0" w:lastRow="0" w:firstColumn="0" w:lastColumn="0" w:noHBand="0" w:noVBand="0"/>
      </w:tblPr>
      <w:tblGrid>
        <w:gridCol w:w="274"/>
        <w:gridCol w:w="1132"/>
        <w:gridCol w:w="1132"/>
        <w:gridCol w:w="1071"/>
        <w:gridCol w:w="1094"/>
        <w:gridCol w:w="1486"/>
        <w:gridCol w:w="1401"/>
        <w:gridCol w:w="1437"/>
      </w:tblGrid>
      <w:tr w:rsidR="004B0F47" w:rsidRPr="00455FCD" w14:paraId="393E2B96" w14:textId="77777777" w:rsidTr="004B0F47">
        <w:trPr>
          <w:trHeight w:val="335"/>
          <w:jc w:val="center"/>
        </w:trPr>
        <w:tc>
          <w:tcPr>
            <w:tcW w:w="5000" w:type="pct"/>
            <w:gridSpan w:val="8"/>
            <w:tcBorders>
              <w:top w:val="single" w:sz="4" w:space="0" w:color="auto"/>
            </w:tcBorders>
          </w:tcPr>
          <w:p w14:paraId="01FBF04B" w14:textId="77777777" w:rsidR="00CE65B6" w:rsidRPr="00455FCD" w:rsidRDefault="00CE65B6" w:rsidP="001D5DA1">
            <w:pPr>
              <w:autoSpaceDE w:val="0"/>
              <w:autoSpaceDN w:val="0"/>
              <w:adjustRightInd w:val="0"/>
              <w:spacing w:line="240" w:lineRule="auto"/>
              <w:ind w:right="10"/>
              <w:contextualSpacing/>
              <w:jc w:val="center"/>
              <w:rPr>
                <w:rFonts w:ascii="Garamond" w:hAnsi="Garamond" w:cs="Arial"/>
              </w:rPr>
            </w:pPr>
            <w:r w:rsidRPr="00455FCD">
              <w:rPr>
                <w:rFonts w:ascii="Garamond" w:hAnsi="Garamond" w:cs="Arial"/>
              </w:rPr>
              <w:t>Thursday</w:t>
            </w:r>
          </w:p>
        </w:tc>
      </w:tr>
      <w:tr w:rsidR="004B0F47" w:rsidRPr="00455FCD" w14:paraId="29162FF6" w14:textId="77777777" w:rsidTr="004B0F47">
        <w:trPr>
          <w:trHeight w:val="335"/>
          <w:jc w:val="center"/>
        </w:trPr>
        <w:tc>
          <w:tcPr>
            <w:tcW w:w="152" w:type="pct"/>
          </w:tcPr>
          <w:p w14:paraId="211AF822" w14:textId="77777777" w:rsidR="00CE65B6" w:rsidRPr="00455FCD" w:rsidRDefault="00CE65B6" w:rsidP="001D5DA1">
            <w:pPr>
              <w:autoSpaceDE w:val="0"/>
              <w:autoSpaceDN w:val="0"/>
              <w:adjustRightInd w:val="0"/>
              <w:spacing w:line="240" w:lineRule="auto"/>
              <w:contextualSpacing/>
              <w:jc w:val="center"/>
              <w:rPr>
                <w:rFonts w:ascii="Garamond" w:hAnsi="Garamond" w:cs="Arial"/>
              </w:rPr>
            </w:pPr>
          </w:p>
        </w:tc>
        <w:tc>
          <w:tcPr>
            <w:tcW w:w="627" w:type="pct"/>
          </w:tcPr>
          <w:p w14:paraId="22ADE447" w14:textId="77777777" w:rsidR="00CE65B6" w:rsidRPr="00455FCD" w:rsidRDefault="00CE65B6" w:rsidP="001D5DA1">
            <w:pPr>
              <w:autoSpaceDE w:val="0"/>
              <w:autoSpaceDN w:val="0"/>
              <w:adjustRightInd w:val="0"/>
              <w:spacing w:line="240" w:lineRule="auto"/>
              <w:contextualSpacing/>
              <w:jc w:val="center"/>
              <w:rPr>
                <w:rFonts w:ascii="Garamond" w:hAnsi="Garamond" w:cs="Arial"/>
              </w:rPr>
            </w:pPr>
          </w:p>
        </w:tc>
        <w:tc>
          <w:tcPr>
            <w:tcW w:w="1826" w:type="pct"/>
            <w:gridSpan w:val="3"/>
          </w:tcPr>
          <w:p w14:paraId="041B4CEA" w14:textId="77777777" w:rsidR="00CE65B6" w:rsidRPr="00455FCD" w:rsidRDefault="00CE65B6" w:rsidP="001D5DA1">
            <w:pPr>
              <w:autoSpaceDE w:val="0"/>
              <w:autoSpaceDN w:val="0"/>
              <w:adjustRightInd w:val="0"/>
              <w:spacing w:line="240" w:lineRule="auto"/>
              <w:ind w:right="10"/>
              <w:contextualSpacing/>
              <w:jc w:val="center"/>
              <w:rPr>
                <w:rFonts w:ascii="Garamond" w:hAnsi="Garamond" w:cs="Arial"/>
              </w:rPr>
            </w:pPr>
            <w:r w:rsidRPr="00455FCD">
              <w:rPr>
                <w:rFonts w:ascii="Garamond" w:hAnsi="Garamond" w:cs="Arial"/>
              </w:rPr>
              <w:t>Correlation between returns</w:t>
            </w:r>
          </w:p>
        </w:tc>
        <w:tc>
          <w:tcPr>
            <w:tcW w:w="2395" w:type="pct"/>
            <w:gridSpan w:val="3"/>
          </w:tcPr>
          <w:p w14:paraId="26626DAC" w14:textId="77777777" w:rsidR="00CE65B6" w:rsidRPr="00455FCD" w:rsidRDefault="00CE65B6" w:rsidP="001D5DA1">
            <w:pPr>
              <w:autoSpaceDE w:val="0"/>
              <w:autoSpaceDN w:val="0"/>
              <w:adjustRightInd w:val="0"/>
              <w:spacing w:line="240" w:lineRule="auto"/>
              <w:ind w:right="10"/>
              <w:contextualSpacing/>
              <w:jc w:val="center"/>
              <w:rPr>
                <w:rFonts w:ascii="Garamond" w:hAnsi="Garamond" w:cs="Arial"/>
              </w:rPr>
            </w:pPr>
            <w:r w:rsidRPr="00455FCD">
              <w:rPr>
                <w:rFonts w:ascii="Garamond" w:hAnsi="Garamond" w:cs="Arial"/>
              </w:rPr>
              <w:t>Correlation between variance</w:t>
            </w:r>
          </w:p>
        </w:tc>
      </w:tr>
      <w:tr w:rsidR="004B0F47" w:rsidRPr="00455FCD" w14:paraId="60CC12FA" w14:textId="77777777" w:rsidTr="004B0F47">
        <w:trPr>
          <w:trHeight w:val="225"/>
          <w:jc w:val="center"/>
        </w:trPr>
        <w:tc>
          <w:tcPr>
            <w:tcW w:w="152" w:type="pct"/>
            <w:tcBorders>
              <w:bottom w:val="single" w:sz="4" w:space="0" w:color="auto"/>
            </w:tcBorders>
          </w:tcPr>
          <w:p w14:paraId="533AA6FD" w14:textId="77777777" w:rsidR="00CE65B6" w:rsidRPr="00455FCD" w:rsidRDefault="00CE65B6" w:rsidP="001D5DA1">
            <w:pPr>
              <w:autoSpaceDE w:val="0"/>
              <w:autoSpaceDN w:val="0"/>
              <w:adjustRightInd w:val="0"/>
              <w:spacing w:line="240" w:lineRule="auto"/>
              <w:contextualSpacing/>
              <w:rPr>
                <w:rFonts w:ascii="Garamond" w:hAnsi="Garamond" w:cs="Arial"/>
              </w:rPr>
            </w:pPr>
          </w:p>
        </w:tc>
        <w:tc>
          <w:tcPr>
            <w:tcW w:w="627" w:type="pct"/>
            <w:tcBorders>
              <w:bottom w:val="single" w:sz="4" w:space="0" w:color="auto"/>
            </w:tcBorders>
            <w:vAlign w:val="bottom"/>
          </w:tcPr>
          <w:p w14:paraId="0C2521B6" w14:textId="77777777" w:rsidR="00CE65B6" w:rsidRPr="00455FCD" w:rsidRDefault="00CE65B6" w:rsidP="001D5DA1">
            <w:pPr>
              <w:autoSpaceDE w:val="0"/>
              <w:autoSpaceDN w:val="0"/>
              <w:adjustRightInd w:val="0"/>
              <w:spacing w:line="240" w:lineRule="auto"/>
              <w:contextualSpacing/>
              <w:rPr>
                <w:rFonts w:ascii="Garamond" w:hAnsi="Garamond" w:cs="Arial"/>
              </w:rPr>
            </w:pPr>
          </w:p>
        </w:tc>
        <w:tc>
          <w:tcPr>
            <w:tcW w:w="627" w:type="pct"/>
            <w:tcBorders>
              <w:bottom w:val="single" w:sz="4" w:space="0" w:color="auto"/>
            </w:tcBorders>
            <w:vAlign w:val="bottom"/>
          </w:tcPr>
          <w:p w14:paraId="078B08E1" w14:textId="77777777" w:rsidR="00CE65B6" w:rsidRPr="00455FCD" w:rsidRDefault="00CE65B6" w:rsidP="001D5DA1">
            <w:pPr>
              <w:autoSpaceDE w:val="0"/>
              <w:autoSpaceDN w:val="0"/>
              <w:adjustRightInd w:val="0"/>
              <w:spacing w:line="240" w:lineRule="auto"/>
              <w:ind w:right="10"/>
              <w:contextualSpacing/>
              <w:jc w:val="center"/>
              <w:rPr>
                <w:rFonts w:ascii="Garamond" w:hAnsi="Garamond" w:cs="Arial"/>
              </w:rPr>
            </w:pPr>
            <w:r w:rsidRPr="00455FCD">
              <w:rPr>
                <w:rFonts w:ascii="Garamond" w:hAnsi="Garamond" w:cs="Arial"/>
              </w:rPr>
              <w:t>Smallest</w:t>
            </w:r>
          </w:p>
        </w:tc>
        <w:tc>
          <w:tcPr>
            <w:tcW w:w="593" w:type="pct"/>
            <w:tcBorders>
              <w:bottom w:val="single" w:sz="4" w:space="0" w:color="auto"/>
            </w:tcBorders>
            <w:vAlign w:val="bottom"/>
          </w:tcPr>
          <w:p w14:paraId="7BE05755" w14:textId="77777777" w:rsidR="00CE65B6" w:rsidRPr="00455FCD" w:rsidRDefault="00CE65B6" w:rsidP="001D5DA1">
            <w:pPr>
              <w:autoSpaceDE w:val="0"/>
              <w:autoSpaceDN w:val="0"/>
              <w:adjustRightInd w:val="0"/>
              <w:spacing w:line="240" w:lineRule="auto"/>
              <w:ind w:right="10"/>
              <w:contextualSpacing/>
              <w:jc w:val="center"/>
              <w:rPr>
                <w:rFonts w:ascii="Garamond" w:hAnsi="Garamond" w:cs="Arial"/>
              </w:rPr>
            </w:pPr>
            <w:r w:rsidRPr="00455FCD">
              <w:rPr>
                <w:rFonts w:ascii="Garamond" w:hAnsi="Garamond" w:cs="Arial"/>
              </w:rPr>
              <w:t>Mid-size</w:t>
            </w:r>
          </w:p>
        </w:tc>
        <w:tc>
          <w:tcPr>
            <w:tcW w:w="606" w:type="pct"/>
            <w:tcBorders>
              <w:bottom w:val="single" w:sz="4" w:space="0" w:color="auto"/>
            </w:tcBorders>
            <w:vAlign w:val="bottom"/>
          </w:tcPr>
          <w:p w14:paraId="68834F8A" w14:textId="77777777" w:rsidR="00CE65B6" w:rsidRPr="00455FCD" w:rsidRDefault="00CE65B6" w:rsidP="001D5DA1">
            <w:pPr>
              <w:autoSpaceDE w:val="0"/>
              <w:autoSpaceDN w:val="0"/>
              <w:adjustRightInd w:val="0"/>
              <w:spacing w:line="240" w:lineRule="auto"/>
              <w:ind w:right="10"/>
              <w:contextualSpacing/>
              <w:jc w:val="center"/>
              <w:rPr>
                <w:rFonts w:ascii="Garamond" w:hAnsi="Garamond" w:cs="Arial"/>
              </w:rPr>
            </w:pPr>
            <w:r w:rsidRPr="00455FCD">
              <w:rPr>
                <w:rFonts w:ascii="Garamond" w:hAnsi="Garamond" w:cs="Arial"/>
              </w:rPr>
              <w:t>Largest</w:t>
            </w:r>
          </w:p>
        </w:tc>
        <w:tc>
          <w:tcPr>
            <w:tcW w:w="823" w:type="pct"/>
            <w:tcBorders>
              <w:bottom w:val="single" w:sz="4" w:space="0" w:color="auto"/>
            </w:tcBorders>
            <w:vAlign w:val="bottom"/>
          </w:tcPr>
          <w:p w14:paraId="108F3E1F" w14:textId="77777777" w:rsidR="00CE65B6" w:rsidRPr="00455FCD" w:rsidRDefault="00CE65B6" w:rsidP="001D5DA1">
            <w:pPr>
              <w:autoSpaceDE w:val="0"/>
              <w:autoSpaceDN w:val="0"/>
              <w:adjustRightInd w:val="0"/>
              <w:spacing w:line="240" w:lineRule="auto"/>
              <w:ind w:right="10"/>
              <w:contextualSpacing/>
              <w:jc w:val="center"/>
              <w:rPr>
                <w:rFonts w:ascii="Garamond" w:hAnsi="Garamond" w:cs="Arial"/>
              </w:rPr>
            </w:pPr>
            <w:r w:rsidRPr="00455FCD">
              <w:rPr>
                <w:rFonts w:ascii="Garamond" w:hAnsi="Garamond" w:cs="Arial"/>
              </w:rPr>
              <w:t>Smallest</w:t>
            </w:r>
          </w:p>
        </w:tc>
        <w:tc>
          <w:tcPr>
            <w:tcW w:w="776" w:type="pct"/>
            <w:tcBorders>
              <w:bottom w:val="single" w:sz="4" w:space="0" w:color="auto"/>
            </w:tcBorders>
            <w:vAlign w:val="bottom"/>
          </w:tcPr>
          <w:p w14:paraId="624EEEB2" w14:textId="77777777" w:rsidR="00CE65B6" w:rsidRPr="00455FCD" w:rsidRDefault="00CE65B6" w:rsidP="001D5DA1">
            <w:pPr>
              <w:autoSpaceDE w:val="0"/>
              <w:autoSpaceDN w:val="0"/>
              <w:adjustRightInd w:val="0"/>
              <w:spacing w:line="240" w:lineRule="auto"/>
              <w:ind w:right="10"/>
              <w:contextualSpacing/>
              <w:jc w:val="center"/>
              <w:rPr>
                <w:rFonts w:ascii="Garamond" w:hAnsi="Garamond" w:cs="Arial"/>
              </w:rPr>
            </w:pPr>
            <w:r w:rsidRPr="00455FCD">
              <w:rPr>
                <w:rFonts w:ascii="Garamond" w:hAnsi="Garamond" w:cs="Arial"/>
              </w:rPr>
              <w:t>Mid-size</w:t>
            </w:r>
          </w:p>
        </w:tc>
        <w:tc>
          <w:tcPr>
            <w:tcW w:w="796" w:type="pct"/>
            <w:tcBorders>
              <w:bottom w:val="single" w:sz="4" w:space="0" w:color="auto"/>
            </w:tcBorders>
            <w:vAlign w:val="bottom"/>
          </w:tcPr>
          <w:p w14:paraId="09280ECA" w14:textId="77777777" w:rsidR="00CE65B6" w:rsidRPr="00455FCD" w:rsidRDefault="00CE65B6" w:rsidP="001D5DA1">
            <w:pPr>
              <w:autoSpaceDE w:val="0"/>
              <w:autoSpaceDN w:val="0"/>
              <w:adjustRightInd w:val="0"/>
              <w:spacing w:line="240" w:lineRule="auto"/>
              <w:ind w:right="10"/>
              <w:contextualSpacing/>
              <w:jc w:val="center"/>
              <w:rPr>
                <w:rFonts w:ascii="Garamond" w:hAnsi="Garamond" w:cs="Arial"/>
              </w:rPr>
            </w:pPr>
            <w:r w:rsidRPr="00455FCD">
              <w:rPr>
                <w:rFonts w:ascii="Garamond" w:hAnsi="Garamond" w:cs="Arial"/>
              </w:rPr>
              <w:t>Largest</w:t>
            </w:r>
          </w:p>
        </w:tc>
      </w:tr>
      <w:tr w:rsidR="004B0F47" w:rsidRPr="00455FCD" w14:paraId="13412440" w14:textId="77777777" w:rsidTr="004B0F47">
        <w:trPr>
          <w:trHeight w:val="225"/>
          <w:jc w:val="center"/>
        </w:trPr>
        <w:tc>
          <w:tcPr>
            <w:tcW w:w="152" w:type="pct"/>
            <w:tcBorders>
              <w:top w:val="single" w:sz="4" w:space="0" w:color="auto"/>
            </w:tcBorders>
          </w:tcPr>
          <w:p w14:paraId="1000F87C" w14:textId="77777777" w:rsidR="00CE65B6" w:rsidRPr="00455FCD" w:rsidRDefault="00CE65B6" w:rsidP="001D5DA1">
            <w:pPr>
              <w:autoSpaceDE w:val="0"/>
              <w:autoSpaceDN w:val="0"/>
              <w:adjustRightInd w:val="0"/>
              <w:spacing w:line="240" w:lineRule="auto"/>
              <w:contextualSpacing/>
              <w:rPr>
                <w:rFonts w:ascii="Garamond" w:hAnsi="Garamond" w:cs="Arial"/>
              </w:rPr>
            </w:pPr>
          </w:p>
        </w:tc>
        <w:tc>
          <w:tcPr>
            <w:tcW w:w="627" w:type="pct"/>
            <w:tcBorders>
              <w:top w:val="single" w:sz="4" w:space="0" w:color="auto"/>
            </w:tcBorders>
            <w:vAlign w:val="bottom"/>
          </w:tcPr>
          <w:p w14:paraId="10496399" w14:textId="77777777" w:rsidR="00CE65B6" w:rsidRPr="00455FCD" w:rsidRDefault="00CE65B6" w:rsidP="001D5DA1">
            <w:pPr>
              <w:autoSpaceDE w:val="0"/>
              <w:autoSpaceDN w:val="0"/>
              <w:adjustRightInd w:val="0"/>
              <w:spacing w:line="240" w:lineRule="auto"/>
              <w:contextualSpacing/>
              <w:rPr>
                <w:rFonts w:ascii="Garamond" w:hAnsi="Garamond" w:cs="Arial"/>
              </w:rPr>
            </w:pPr>
          </w:p>
        </w:tc>
        <w:tc>
          <w:tcPr>
            <w:tcW w:w="627" w:type="pct"/>
            <w:tcBorders>
              <w:top w:val="single" w:sz="4" w:space="0" w:color="auto"/>
            </w:tcBorders>
            <w:vAlign w:val="bottom"/>
          </w:tcPr>
          <w:p w14:paraId="6A7EA10C" w14:textId="77777777" w:rsidR="00CE65B6" w:rsidRPr="00455FCD" w:rsidRDefault="00CE65B6" w:rsidP="001D5DA1">
            <w:pPr>
              <w:autoSpaceDE w:val="0"/>
              <w:autoSpaceDN w:val="0"/>
              <w:adjustRightInd w:val="0"/>
              <w:spacing w:line="240" w:lineRule="auto"/>
              <w:ind w:right="10"/>
              <w:contextualSpacing/>
              <w:jc w:val="center"/>
              <w:rPr>
                <w:rFonts w:ascii="Garamond" w:hAnsi="Garamond" w:cs="Arial"/>
              </w:rPr>
            </w:pPr>
          </w:p>
        </w:tc>
        <w:tc>
          <w:tcPr>
            <w:tcW w:w="593" w:type="pct"/>
            <w:tcBorders>
              <w:top w:val="single" w:sz="4" w:space="0" w:color="auto"/>
            </w:tcBorders>
            <w:vAlign w:val="bottom"/>
          </w:tcPr>
          <w:p w14:paraId="16F5399B" w14:textId="77777777" w:rsidR="00CE65B6" w:rsidRPr="00455FCD" w:rsidRDefault="00CE65B6" w:rsidP="001D5DA1">
            <w:pPr>
              <w:autoSpaceDE w:val="0"/>
              <w:autoSpaceDN w:val="0"/>
              <w:adjustRightInd w:val="0"/>
              <w:spacing w:line="240" w:lineRule="auto"/>
              <w:ind w:right="10"/>
              <w:contextualSpacing/>
              <w:jc w:val="center"/>
              <w:rPr>
                <w:rFonts w:ascii="Garamond" w:hAnsi="Garamond" w:cs="Arial"/>
              </w:rPr>
            </w:pPr>
          </w:p>
        </w:tc>
        <w:tc>
          <w:tcPr>
            <w:tcW w:w="606" w:type="pct"/>
            <w:tcBorders>
              <w:top w:val="single" w:sz="4" w:space="0" w:color="auto"/>
            </w:tcBorders>
            <w:vAlign w:val="bottom"/>
          </w:tcPr>
          <w:p w14:paraId="58AFA688" w14:textId="77777777" w:rsidR="00CE65B6" w:rsidRPr="00455FCD" w:rsidRDefault="00CE65B6" w:rsidP="001D5DA1">
            <w:pPr>
              <w:autoSpaceDE w:val="0"/>
              <w:autoSpaceDN w:val="0"/>
              <w:adjustRightInd w:val="0"/>
              <w:spacing w:line="240" w:lineRule="auto"/>
              <w:ind w:right="10"/>
              <w:contextualSpacing/>
              <w:jc w:val="center"/>
              <w:rPr>
                <w:rFonts w:ascii="Garamond" w:hAnsi="Garamond" w:cs="Arial"/>
              </w:rPr>
            </w:pPr>
          </w:p>
        </w:tc>
        <w:tc>
          <w:tcPr>
            <w:tcW w:w="823" w:type="pct"/>
            <w:tcBorders>
              <w:top w:val="single" w:sz="4" w:space="0" w:color="auto"/>
            </w:tcBorders>
            <w:vAlign w:val="bottom"/>
          </w:tcPr>
          <w:p w14:paraId="65948439" w14:textId="77777777" w:rsidR="00CE65B6" w:rsidRPr="00455FCD" w:rsidRDefault="00CE65B6" w:rsidP="001D5DA1">
            <w:pPr>
              <w:autoSpaceDE w:val="0"/>
              <w:autoSpaceDN w:val="0"/>
              <w:adjustRightInd w:val="0"/>
              <w:spacing w:line="240" w:lineRule="auto"/>
              <w:ind w:right="10"/>
              <w:contextualSpacing/>
              <w:jc w:val="center"/>
              <w:rPr>
                <w:rFonts w:ascii="Garamond" w:hAnsi="Garamond" w:cs="Arial"/>
              </w:rPr>
            </w:pPr>
          </w:p>
        </w:tc>
        <w:tc>
          <w:tcPr>
            <w:tcW w:w="776" w:type="pct"/>
            <w:tcBorders>
              <w:top w:val="single" w:sz="4" w:space="0" w:color="auto"/>
            </w:tcBorders>
            <w:vAlign w:val="bottom"/>
          </w:tcPr>
          <w:p w14:paraId="0DA1703A" w14:textId="77777777" w:rsidR="00CE65B6" w:rsidRPr="00455FCD" w:rsidRDefault="00CE65B6" w:rsidP="001D5DA1">
            <w:pPr>
              <w:autoSpaceDE w:val="0"/>
              <w:autoSpaceDN w:val="0"/>
              <w:adjustRightInd w:val="0"/>
              <w:spacing w:line="240" w:lineRule="auto"/>
              <w:ind w:right="10"/>
              <w:contextualSpacing/>
              <w:jc w:val="center"/>
              <w:rPr>
                <w:rFonts w:ascii="Garamond" w:hAnsi="Garamond" w:cs="Arial"/>
              </w:rPr>
            </w:pPr>
          </w:p>
        </w:tc>
        <w:tc>
          <w:tcPr>
            <w:tcW w:w="796" w:type="pct"/>
            <w:tcBorders>
              <w:top w:val="single" w:sz="4" w:space="0" w:color="auto"/>
            </w:tcBorders>
            <w:vAlign w:val="bottom"/>
          </w:tcPr>
          <w:p w14:paraId="055B1BAB" w14:textId="77777777" w:rsidR="00CE65B6" w:rsidRPr="00455FCD" w:rsidRDefault="00CE65B6" w:rsidP="001D5DA1">
            <w:pPr>
              <w:autoSpaceDE w:val="0"/>
              <w:autoSpaceDN w:val="0"/>
              <w:adjustRightInd w:val="0"/>
              <w:spacing w:line="240" w:lineRule="auto"/>
              <w:ind w:right="10"/>
              <w:contextualSpacing/>
              <w:jc w:val="center"/>
              <w:rPr>
                <w:rFonts w:ascii="Garamond" w:hAnsi="Garamond" w:cs="Arial"/>
              </w:rPr>
            </w:pPr>
          </w:p>
        </w:tc>
      </w:tr>
      <w:tr w:rsidR="004B0F47" w:rsidRPr="00455FCD" w14:paraId="56B36395" w14:textId="77777777" w:rsidTr="004B0F47">
        <w:trPr>
          <w:trHeight w:val="225"/>
          <w:jc w:val="center"/>
        </w:trPr>
        <w:tc>
          <w:tcPr>
            <w:tcW w:w="152" w:type="pct"/>
            <w:vMerge w:val="restart"/>
            <w:textDirection w:val="btLr"/>
          </w:tcPr>
          <w:p w14:paraId="45185669" w14:textId="77777777" w:rsidR="00CE65B6" w:rsidRPr="00455FCD" w:rsidRDefault="00CE65B6" w:rsidP="001D5DA1">
            <w:pPr>
              <w:autoSpaceDE w:val="0"/>
              <w:autoSpaceDN w:val="0"/>
              <w:adjustRightInd w:val="0"/>
              <w:spacing w:line="240" w:lineRule="auto"/>
              <w:ind w:left="113" w:right="113"/>
              <w:contextualSpacing/>
              <w:jc w:val="center"/>
              <w:rPr>
                <w:rFonts w:ascii="Garamond" w:hAnsi="Garamond" w:cs="Arial"/>
              </w:rPr>
            </w:pPr>
            <w:r w:rsidRPr="00455FCD">
              <w:rPr>
                <w:rFonts w:ascii="Garamond" w:hAnsi="Garamond" w:cs="Arial"/>
              </w:rPr>
              <w:t>Sunday</w:t>
            </w:r>
          </w:p>
        </w:tc>
        <w:tc>
          <w:tcPr>
            <w:tcW w:w="627" w:type="pct"/>
            <w:vAlign w:val="bottom"/>
          </w:tcPr>
          <w:p w14:paraId="51B7C599" w14:textId="77777777" w:rsidR="00CE65B6" w:rsidRPr="00455FCD" w:rsidRDefault="00CE65B6" w:rsidP="001D5DA1">
            <w:pPr>
              <w:autoSpaceDE w:val="0"/>
              <w:autoSpaceDN w:val="0"/>
              <w:adjustRightInd w:val="0"/>
              <w:spacing w:line="240" w:lineRule="auto"/>
              <w:contextualSpacing/>
              <w:jc w:val="center"/>
              <w:rPr>
                <w:rFonts w:ascii="Garamond" w:hAnsi="Garamond" w:cs="Arial"/>
              </w:rPr>
            </w:pPr>
            <w:r w:rsidRPr="00455FCD">
              <w:rPr>
                <w:rFonts w:ascii="Garamond" w:hAnsi="Garamond" w:cs="Arial"/>
              </w:rPr>
              <w:t>Smallest</w:t>
            </w:r>
          </w:p>
        </w:tc>
        <w:tc>
          <w:tcPr>
            <w:tcW w:w="627" w:type="pct"/>
            <w:vAlign w:val="bottom"/>
          </w:tcPr>
          <w:p w14:paraId="1224550D" w14:textId="75ECFAA2" w:rsidR="00CE65B6" w:rsidRPr="00455FCD" w:rsidRDefault="00CE65B6" w:rsidP="004B0F47">
            <w:pPr>
              <w:autoSpaceDE w:val="0"/>
              <w:autoSpaceDN w:val="0"/>
              <w:adjustRightInd w:val="0"/>
              <w:spacing w:line="240" w:lineRule="auto"/>
              <w:ind w:right="10"/>
              <w:contextualSpacing/>
              <w:jc w:val="center"/>
              <w:rPr>
                <w:rFonts w:ascii="Garamond" w:hAnsi="Garamond" w:cs="Arial"/>
              </w:rPr>
            </w:pPr>
            <w:r w:rsidRPr="00455FCD">
              <w:rPr>
                <w:rFonts w:ascii="Garamond" w:hAnsi="Garamond" w:cs="Arial"/>
              </w:rPr>
              <w:t>0.2</w:t>
            </w:r>
            <w:r w:rsidR="006C563D" w:rsidRPr="00455FCD">
              <w:rPr>
                <w:rFonts w:ascii="Garamond" w:hAnsi="Garamond" w:cs="Arial"/>
              </w:rPr>
              <w:t>2</w:t>
            </w:r>
            <w:r w:rsidRPr="00455FCD">
              <w:rPr>
                <w:rFonts w:ascii="Garamond" w:hAnsi="Garamond" w:cs="Arial"/>
              </w:rPr>
              <w:t>7</w:t>
            </w:r>
            <w:r w:rsidR="006C563D" w:rsidRPr="00455FCD">
              <w:rPr>
                <w:rFonts w:ascii="Garamond" w:hAnsi="Garamond" w:cs="Arial"/>
              </w:rPr>
              <w:t>8</w:t>
            </w:r>
            <w:r w:rsidRPr="00455FCD">
              <w:rPr>
                <w:rFonts w:ascii="Garamond" w:hAnsi="Garamond" w:cs="Arial"/>
              </w:rPr>
              <w:t>***</w:t>
            </w:r>
          </w:p>
        </w:tc>
        <w:tc>
          <w:tcPr>
            <w:tcW w:w="593" w:type="pct"/>
            <w:vAlign w:val="bottom"/>
          </w:tcPr>
          <w:p w14:paraId="16DF9EBB" w14:textId="5479EDDC" w:rsidR="00CE65B6" w:rsidRPr="00455FCD" w:rsidRDefault="00CE65B6" w:rsidP="004B0F47">
            <w:pPr>
              <w:autoSpaceDE w:val="0"/>
              <w:autoSpaceDN w:val="0"/>
              <w:adjustRightInd w:val="0"/>
              <w:spacing w:line="240" w:lineRule="auto"/>
              <w:ind w:right="10"/>
              <w:contextualSpacing/>
              <w:jc w:val="center"/>
              <w:rPr>
                <w:rFonts w:ascii="Garamond" w:hAnsi="Garamond" w:cs="Arial"/>
              </w:rPr>
            </w:pPr>
            <w:r w:rsidRPr="00455FCD">
              <w:rPr>
                <w:rFonts w:ascii="Garamond" w:hAnsi="Garamond" w:cs="Arial"/>
              </w:rPr>
              <w:t>0.0</w:t>
            </w:r>
            <w:r w:rsidR="006C563D" w:rsidRPr="00455FCD">
              <w:rPr>
                <w:rFonts w:ascii="Garamond" w:hAnsi="Garamond" w:cs="Arial"/>
              </w:rPr>
              <w:t>856</w:t>
            </w:r>
            <w:r w:rsidRPr="00455FCD">
              <w:rPr>
                <w:rFonts w:ascii="Garamond" w:hAnsi="Garamond" w:cs="Arial"/>
              </w:rPr>
              <w:t>**</w:t>
            </w:r>
          </w:p>
        </w:tc>
        <w:tc>
          <w:tcPr>
            <w:tcW w:w="606" w:type="pct"/>
            <w:vAlign w:val="bottom"/>
          </w:tcPr>
          <w:p w14:paraId="1BD91898" w14:textId="2B3052CA" w:rsidR="00CE65B6" w:rsidRPr="00455FCD" w:rsidRDefault="00CE65B6" w:rsidP="004B0F47">
            <w:pPr>
              <w:autoSpaceDE w:val="0"/>
              <w:autoSpaceDN w:val="0"/>
              <w:adjustRightInd w:val="0"/>
              <w:spacing w:line="240" w:lineRule="auto"/>
              <w:ind w:right="10"/>
              <w:contextualSpacing/>
              <w:jc w:val="center"/>
              <w:rPr>
                <w:rFonts w:ascii="Garamond" w:hAnsi="Garamond" w:cs="Arial"/>
              </w:rPr>
            </w:pPr>
            <w:r w:rsidRPr="00455FCD">
              <w:rPr>
                <w:rFonts w:ascii="Garamond" w:hAnsi="Garamond" w:cs="Arial"/>
              </w:rPr>
              <w:t>0.0</w:t>
            </w:r>
            <w:r w:rsidR="006C563D" w:rsidRPr="00455FCD">
              <w:rPr>
                <w:rFonts w:ascii="Garamond" w:hAnsi="Garamond" w:cs="Arial"/>
              </w:rPr>
              <w:t>628</w:t>
            </w:r>
          </w:p>
        </w:tc>
        <w:tc>
          <w:tcPr>
            <w:tcW w:w="823" w:type="pct"/>
            <w:vAlign w:val="bottom"/>
          </w:tcPr>
          <w:p w14:paraId="72913C95" w14:textId="1F3AF500" w:rsidR="00CE65B6" w:rsidRPr="00455FCD" w:rsidRDefault="00CE65B6" w:rsidP="004B0F47">
            <w:pPr>
              <w:autoSpaceDE w:val="0"/>
              <w:autoSpaceDN w:val="0"/>
              <w:adjustRightInd w:val="0"/>
              <w:spacing w:line="240" w:lineRule="auto"/>
              <w:ind w:right="10"/>
              <w:contextualSpacing/>
              <w:jc w:val="center"/>
              <w:rPr>
                <w:rFonts w:ascii="Garamond" w:hAnsi="Garamond" w:cs="Arial"/>
              </w:rPr>
            </w:pPr>
            <w:r w:rsidRPr="00455FCD">
              <w:rPr>
                <w:rFonts w:ascii="Garamond" w:hAnsi="Garamond" w:cs="Arial"/>
              </w:rPr>
              <w:t>0.</w:t>
            </w:r>
            <w:r w:rsidR="00836D9B" w:rsidRPr="00455FCD">
              <w:rPr>
                <w:rFonts w:ascii="Garamond" w:hAnsi="Garamond" w:cs="Arial"/>
              </w:rPr>
              <w:t>2</w:t>
            </w:r>
            <w:r w:rsidR="006C563D" w:rsidRPr="00455FCD">
              <w:rPr>
                <w:rFonts w:ascii="Garamond" w:hAnsi="Garamond" w:cs="Arial"/>
              </w:rPr>
              <w:t>436</w:t>
            </w:r>
            <w:r w:rsidRPr="00455FCD">
              <w:rPr>
                <w:rFonts w:ascii="Garamond" w:hAnsi="Garamond" w:cs="Arial"/>
              </w:rPr>
              <w:t>***</w:t>
            </w:r>
          </w:p>
        </w:tc>
        <w:tc>
          <w:tcPr>
            <w:tcW w:w="776" w:type="pct"/>
            <w:vAlign w:val="bottom"/>
          </w:tcPr>
          <w:p w14:paraId="48CE1744" w14:textId="536988F6" w:rsidR="00CE65B6" w:rsidRPr="00455FCD" w:rsidRDefault="00CE65B6" w:rsidP="004B0F47">
            <w:pPr>
              <w:autoSpaceDE w:val="0"/>
              <w:autoSpaceDN w:val="0"/>
              <w:adjustRightInd w:val="0"/>
              <w:spacing w:line="240" w:lineRule="auto"/>
              <w:ind w:right="10"/>
              <w:contextualSpacing/>
              <w:jc w:val="center"/>
              <w:rPr>
                <w:rFonts w:ascii="Garamond" w:hAnsi="Garamond" w:cs="Arial"/>
              </w:rPr>
            </w:pPr>
            <w:r w:rsidRPr="00455FCD">
              <w:rPr>
                <w:rFonts w:ascii="Garamond" w:hAnsi="Garamond" w:cs="Arial"/>
              </w:rPr>
              <w:t>0.0</w:t>
            </w:r>
            <w:r w:rsidR="00836D9B" w:rsidRPr="00455FCD">
              <w:rPr>
                <w:rFonts w:ascii="Garamond" w:hAnsi="Garamond" w:cs="Arial"/>
              </w:rPr>
              <w:t>9</w:t>
            </w:r>
            <w:r w:rsidR="006C563D" w:rsidRPr="00455FCD">
              <w:rPr>
                <w:rFonts w:ascii="Garamond" w:hAnsi="Garamond" w:cs="Arial"/>
              </w:rPr>
              <w:t>33</w:t>
            </w:r>
            <w:r w:rsidRPr="00455FCD">
              <w:rPr>
                <w:rFonts w:ascii="Garamond" w:hAnsi="Garamond" w:cs="Arial"/>
              </w:rPr>
              <w:t>**</w:t>
            </w:r>
          </w:p>
        </w:tc>
        <w:tc>
          <w:tcPr>
            <w:tcW w:w="796" w:type="pct"/>
            <w:vAlign w:val="bottom"/>
          </w:tcPr>
          <w:p w14:paraId="255F5E5A" w14:textId="05B4F0BE" w:rsidR="00CE65B6" w:rsidRPr="00455FCD" w:rsidRDefault="00CE65B6" w:rsidP="004B0F47">
            <w:pPr>
              <w:autoSpaceDE w:val="0"/>
              <w:autoSpaceDN w:val="0"/>
              <w:adjustRightInd w:val="0"/>
              <w:spacing w:line="240" w:lineRule="auto"/>
              <w:ind w:right="10"/>
              <w:contextualSpacing/>
              <w:jc w:val="center"/>
              <w:rPr>
                <w:rFonts w:ascii="Garamond" w:hAnsi="Garamond" w:cs="Arial"/>
              </w:rPr>
            </w:pPr>
            <w:r w:rsidRPr="00455FCD">
              <w:rPr>
                <w:rFonts w:ascii="Garamond" w:hAnsi="Garamond" w:cs="Arial"/>
              </w:rPr>
              <w:t>0.0</w:t>
            </w:r>
            <w:r w:rsidR="006C563D" w:rsidRPr="00455FCD">
              <w:rPr>
                <w:rFonts w:ascii="Garamond" w:hAnsi="Garamond" w:cs="Arial"/>
              </w:rPr>
              <w:t>722</w:t>
            </w:r>
          </w:p>
        </w:tc>
      </w:tr>
      <w:tr w:rsidR="004B0F47" w:rsidRPr="00E75964" w14:paraId="326D8169" w14:textId="77777777" w:rsidTr="004B0F47">
        <w:trPr>
          <w:trHeight w:val="225"/>
          <w:jc w:val="center"/>
        </w:trPr>
        <w:tc>
          <w:tcPr>
            <w:tcW w:w="152" w:type="pct"/>
            <w:vMerge/>
          </w:tcPr>
          <w:p w14:paraId="3B003082" w14:textId="77777777" w:rsidR="00CE65B6" w:rsidRPr="00E75964" w:rsidRDefault="00CE65B6" w:rsidP="001D5DA1">
            <w:pPr>
              <w:autoSpaceDE w:val="0"/>
              <w:autoSpaceDN w:val="0"/>
              <w:adjustRightInd w:val="0"/>
              <w:spacing w:line="240" w:lineRule="auto"/>
              <w:contextualSpacing/>
              <w:jc w:val="center"/>
              <w:rPr>
                <w:rFonts w:ascii="Garamond" w:hAnsi="Garamond" w:cs="Arial"/>
              </w:rPr>
            </w:pPr>
          </w:p>
        </w:tc>
        <w:tc>
          <w:tcPr>
            <w:tcW w:w="627" w:type="pct"/>
            <w:vAlign w:val="bottom"/>
          </w:tcPr>
          <w:p w14:paraId="1151BBDA" w14:textId="77777777" w:rsidR="00CE65B6" w:rsidRPr="00E75964" w:rsidRDefault="00CE65B6" w:rsidP="001D5DA1">
            <w:pPr>
              <w:autoSpaceDE w:val="0"/>
              <w:autoSpaceDN w:val="0"/>
              <w:adjustRightInd w:val="0"/>
              <w:spacing w:line="240" w:lineRule="auto"/>
              <w:contextualSpacing/>
              <w:jc w:val="center"/>
              <w:rPr>
                <w:rFonts w:ascii="Garamond" w:hAnsi="Garamond" w:cs="Arial"/>
              </w:rPr>
            </w:pPr>
          </w:p>
        </w:tc>
        <w:tc>
          <w:tcPr>
            <w:tcW w:w="627" w:type="pct"/>
            <w:vAlign w:val="bottom"/>
          </w:tcPr>
          <w:p w14:paraId="07A05EC2" w14:textId="347A6F24"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w:t>
            </w:r>
            <w:r w:rsidR="00836D9B" w:rsidRPr="00E75964">
              <w:rPr>
                <w:rFonts w:ascii="Garamond" w:hAnsi="Garamond" w:cs="Arial"/>
              </w:rPr>
              <w:t>6</w:t>
            </w:r>
            <w:r w:rsidRPr="00E75964">
              <w:rPr>
                <w:rFonts w:ascii="Garamond" w:hAnsi="Garamond" w:cs="Arial"/>
              </w:rPr>
              <w:t>.</w:t>
            </w:r>
            <w:r w:rsidR="006C563D" w:rsidRPr="00E75964">
              <w:rPr>
                <w:rFonts w:ascii="Garamond" w:hAnsi="Garamond" w:cs="Arial"/>
              </w:rPr>
              <w:t>2</w:t>
            </w:r>
            <w:r w:rsidR="00836D9B" w:rsidRPr="00E75964">
              <w:rPr>
                <w:rFonts w:ascii="Garamond" w:hAnsi="Garamond" w:cs="Arial"/>
              </w:rPr>
              <w:t>1</w:t>
            </w:r>
            <w:r w:rsidR="006C563D" w:rsidRPr="00E75964">
              <w:rPr>
                <w:rFonts w:ascii="Garamond" w:hAnsi="Garamond" w:cs="Arial"/>
              </w:rPr>
              <w:t>45</w:t>
            </w:r>
            <w:r w:rsidRPr="00E75964">
              <w:rPr>
                <w:rFonts w:ascii="Garamond" w:hAnsi="Garamond" w:cs="Arial"/>
              </w:rPr>
              <w:t>]</w:t>
            </w:r>
          </w:p>
        </w:tc>
        <w:tc>
          <w:tcPr>
            <w:tcW w:w="593" w:type="pct"/>
            <w:vAlign w:val="bottom"/>
          </w:tcPr>
          <w:p w14:paraId="2E5FF3AC" w14:textId="200775D3"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[2.</w:t>
            </w:r>
            <w:r w:rsidR="006C563D" w:rsidRPr="00E75964">
              <w:rPr>
                <w:rFonts w:ascii="Garamond" w:hAnsi="Garamond" w:cs="Arial"/>
              </w:rPr>
              <w:t>7</w:t>
            </w:r>
            <w:r w:rsidR="00836D9B" w:rsidRPr="00E75964">
              <w:rPr>
                <w:rFonts w:ascii="Garamond" w:hAnsi="Garamond" w:cs="Arial"/>
              </w:rPr>
              <w:t>6</w:t>
            </w:r>
            <w:r w:rsidR="006C563D" w:rsidRPr="00E75964">
              <w:rPr>
                <w:rFonts w:ascii="Garamond" w:hAnsi="Garamond" w:cs="Arial"/>
              </w:rPr>
              <w:t>34</w:t>
            </w:r>
            <w:r w:rsidRPr="00E75964">
              <w:rPr>
                <w:rFonts w:ascii="Garamond" w:hAnsi="Garamond" w:cs="Arial"/>
              </w:rPr>
              <w:t>]</w:t>
            </w:r>
          </w:p>
        </w:tc>
        <w:tc>
          <w:tcPr>
            <w:tcW w:w="606" w:type="pct"/>
            <w:vAlign w:val="bottom"/>
          </w:tcPr>
          <w:p w14:paraId="3213D3FE" w14:textId="5E6E4D23"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w:t>
            </w:r>
            <w:r w:rsidR="00B314C1" w:rsidRPr="00E75964">
              <w:rPr>
                <w:rFonts w:ascii="Garamond" w:hAnsi="Garamond" w:cs="Arial"/>
              </w:rPr>
              <w:t>0</w:t>
            </w:r>
            <w:r w:rsidRPr="00E75964">
              <w:rPr>
                <w:rFonts w:ascii="Garamond" w:hAnsi="Garamond" w:cs="Arial"/>
              </w:rPr>
              <w:t>.</w:t>
            </w:r>
            <w:r w:rsidR="006C563D" w:rsidRPr="00E75964">
              <w:rPr>
                <w:rFonts w:ascii="Garamond" w:hAnsi="Garamond" w:cs="Arial"/>
              </w:rPr>
              <w:t>1153</w:t>
            </w:r>
            <w:r w:rsidRPr="00E75964">
              <w:rPr>
                <w:rFonts w:ascii="Garamond" w:hAnsi="Garamond" w:cs="Arial"/>
              </w:rPr>
              <w:t>]</w:t>
            </w:r>
          </w:p>
        </w:tc>
        <w:tc>
          <w:tcPr>
            <w:tcW w:w="823" w:type="pct"/>
            <w:vAlign w:val="bottom"/>
          </w:tcPr>
          <w:p w14:paraId="3DB88E31" w14:textId="71958762"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w:t>
            </w:r>
            <w:r w:rsidR="006C563D" w:rsidRPr="00E75964">
              <w:rPr>
                <w:rFonts w:ascii="Garamond" w:hAnsi="Garamond" w:cs="Arial"/>
              </w:rPr>
              <w:t>4</w:t>
            </w:r>
            <w:r w:rsidRPr="00E75964">
              <w:rPr>
                <w:rFonts w:ascii="Garamond" w:hAnsi="Garamond" w:cs="Arial"/>
              </w:rPr>
              <w:t>.</w:t>
            </w:r>
            <w:r w:rsidR="00836D9B" w:rsidRPr="00E75964">
              <w:rPr>
                <w:rFonts w:ascii="Garamond" w:hAnsi="Garamond" w:cs="Arial"/>
              </w:rPr>
              <w:t>8</w:t>
            </w:r>
            <w:r w:rsidR="006C563D" w:rsidRPr="00E75964">
              <w:rPr>
                <w:rFonts w:ascii="Garamond" w:hAnsi="Garamond" w:cs="Arial"/>
              </w:rPr>
              <w:t>95</w:t>
            </w:r>
            <w:r w:rsidR="00836D9B" w:rsidRPr="00E75964">
              <w:rPr>
                <w:rFonts w:ascii="Garamond" w:hAnsi="Garamond" w:cs="Arial"/>
              </w:rPr>
              <w:t>6</w:t>
            </w:r>
            <w:r w:rsidRPr="00E75964">
              <w:rPr>
                <w:rFonts w:ascii="Garamond" w:hAnsi="Garamond" w:cs="Arial"/>
              </w:rPr>
              <w:t>]</w:t>
            </w:r>
          </w:p>
        </w:tc>
        <w:tc>
          <w:tcPr>
            <w:tcW w:w="776" w:type="pct"/>
            <w:vAlign w:val="bottom"/>
          </w:tcPr>
          <w:p w14:paraId="6C33BC40" w14:textId="4B7D7171"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w:t>
            </w:r>
            <w:r w:rsidR="006C563D" w:rsidRPr="00E75964">
              <w:rPr>
                <w:rFonts w:ascii="Garamond" w:hAnsi="Garamond" w:cs="Arial"/>
              </w:rPr>
              <w:t>2</w:t>
            </w:r>
            <w:r w:rsidRPr="00E75964">
              <w:rPr>
                <w:rFonts w:ascii="Garamond" w:hAnsi="Garamond" w:cs="Arial"/>
              </w:rPr>
              <w:t>.</w:t>
            </w:r>
            <w:r w:rsidR="008739DC" w:rsidRPr="00E75964">
              <w:rPr>
                <w:rFonts w:ascii="Garamond" w:hAnsi="Garamond" w:cs="Arial"/>
              </w:rPr>
              <w:t>5</w:t>
            </w:r>
            <w:r w:rsidRPr="00E75964">
              <w:rPr>
                <w:rFonts w:ascii="Garamond" w:hAnsi="Garamond" w:cs="Arial"/>
              </w:rPr>
              <w:t>96</w:t>
            </w:r>
            <w:r w:rsidR="00836D9B" w:rsidRPr="00E75964">
              <w:rPr>
                <w:rFonts w:ascii="Garamond" w:hAnsi="Garamond" w:cs="Arial"/>
              </w:rPr>
              <w:t>0</w:t>
            </w:r>
            <w:r w:rsidRPr="00E75964">
              <w:rPr>
                <w:rFonts w:ascii="Garamond" w:hAnsi="Garamond" w:cs="Arial"/>
              </w:rPr>
              <w:t>]</w:t>
            </w:r>
          </w:p>
        </w:tc>
        <w:tc>
          <w:tcPr>
            <w:tcW w:w="796" w:type="pct"/>
            <w:vAlign w:val="bottom"/>
          </w:tcPr>
          <w:p w14:paraId="17C9C3E9" w14:textId="61741644"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w:t>
            </w:r>
            <w:r w:rsidR="006C563D" w:rsidRPr="00E75964">
              <w:rPr>
                <w:rFonts w:ascii="Garamond" w:hAnsi="Garamond" w:cs="Arial"/>
              </w:rPr>
              <w:t>1</w:t>
            </w:r>
            <w:r w:rsidRPr="00E75964">
              <w:rPr>
                <w:rFonts w:ascii="Garamond" w:hAnsi="Garamond" w:cs="Arial"/>
              </w:rPr>
              <w:t>.</w:t>
            </w:r>
            <w:r w:rsidR="006C563D" w:rsidRPr="00E75964">
              <w:rPr>
                <w:rFonts w:ascii="Garamond" w:hAnsi="Garamond" w:cs="Arial"/>
              </w:rPr>
              <w:t>5</w:t>
            </w:r>
            <w:r w:rsidR="00836D9B" w:rsidRPr="00E75964">
              <w:rPr>
                <w:rFonts w:ascii="Garamond" w:hAnsi="Garamond" w:cs="Arial"/>
              </w:rPr>
              <w:t>5</w:t>
            </w:r>
            <w:r w:rsidR="006C563D" w:rsidRPr="00E75964">
              <w:rPr>
                <w:rFonts w:ascii="Garamond" w:hAnsi="Garamond" w:cs="Arial"/>
              </w:rPr>
              <w:t>77</w:t>
            </w:r>
            <w:r w:rsidRPr="00E75964">
              <w:rPr>
                <w:rFonts w:ascii="Garamond" w:hAnsi="Garamond" w:cs="Arial"/>
              </w:rPr>
              <w:t>]</w:t>
            </w:r>
          </w:p>
        </w:tc>
      </w:tr>
      <w:tr w:rsidR="004B0F47" w:rsidRPr="00E75964" w14:paraId="1122A206" w14:textId="77777777" w:rsidTr="004B0F47">
        <w:trPr>
          <w:trHeight w:val="225"/>
          <w:jc w:val="center"/>
        </w:trPr>
        <w:tc>
          <w:tcPr>
            <w:tcW w:w="152" w:type="pct"/>
            <w:vMerge/>
          </w:tcPr>
          <w:p w14:paraId="2E0A62BA" w14:textId="77777777" w:rsidR="00CE65B6" w:rsidRPr="00E75964" w:rsidRDefault="00CE65B6" w:rsidP="001D5DA1">
            <w:pPr>
              <w:autoSpaceDE w:val="0"/>
              <w:autoSpaceDN w:val="0"/>
              <w:adjustRightInd w:val="0"/>
              <w:spacing w:line="240" w:lineRule="auto"/>
              <w:contextualSpacing/>
              <w:jc w:val="center"/>
              <w:rPr>
                <w:rFonts w:ascii="Garamond" w:hAnsi="Garamond" w:cs="Arial"/>
              </w:rPr>
            </w:pPr>
          </w:p>
        </w:tc>
        <w:tc>
          <w:tcPr>
            <w:tcW w:w="627" w:type="pct"/>
            <w:vAlign w:val="bottom"/>
          </w:tcPr>
          <w:p w14:paraId="5F7A3B48" w14:textId="77777777" w:rsidR="00CE65B6" w:rsidRPr="00E75964" w:rsidRDefault="00CE65B6" w:rsidP="001D5DA1">
            <w:pPr>
              <w:autoSpaceDE w:val="0"/>
              <w:autoSpaceDN w:val="0"/>
              <w:adjustRightInd w:val="0"/>
              <w:spacing w:line="240" w:lineRule="auto"/>
              <w:contextualSpacing/>
              <w:jc w:val="center"/>
              <w:rPr>
                <w:rFonts w:ascii="Garamond" w:hAnsi="Garamond" w:cs="Arial"/>
              </w:rPr>
            </w:pPr>
          </w:p>
        </w:tc>
        <w:tc>
          <w:tcPr>
            <w:tcW w:w="627" w:type="pct"/>
            <w:vAlign w:val="bottom"/>
          </w:tcPr>
          <w:p w14:paraId="6F411E75" w14:textId="77777777" w:rsidR="00CE65B6" w:rsidRPr="00E75964" w:rsidRDefault="00CE65B6" w:rsidP="004B0F47">
            <w:pPr>
              <w:autoSpaceDE w:val="0"/>
              <w:autoSpaceDN w:val="0"/>
              <w:adjustRightInd w:val="0"/>
              <w:spacing w:line="240" w:lineRule="auto"/>
              <w:ind w:right="10"/>
              <w:contextualSpacing/>
              <w:jc w:val="center"/>
              <w:rPr>
                <w:rFonts w:ascii="Garamond" w:hAnsi="Garamond" w:cs="Arial"/>
              </w:rPr>
            </w:pPr>
          </w:p>
        </w:tc>
        <w:tc>
          <w:tcPr>
            <w:tcW w:w="593" w:type="pct"/>
            <w:vAlign w:val="bottom"/>
          </w:tcPr>
          <w:p w14:paraId="303A5E86" w14:textId="77777777" w:rsidR="00CE65B6" w:rsidRPr="00E75964" w:rsidRDefault="00CE65B6" w:rsidP="004B0F47">
            <w:pPr>
              <w:autoSpaceDE w:val="0"/>
              <w:autoSpaceDN w:val="0"/>
              <w:adjustRightInd w:val="0"/>
              <w:spacing w:line="240" w:lineRule="auto"/>
              <w:ind w:right="10"/>
              <w:contextualSpacing/>
              <w:jc w:val="center"/>
              <w:rPr>
                <w:rFonts w:ascii="Garamond" w:hAnsi="Garamond" w:cs="Arial"/>
              </w:rPr>
            </w:pPr>
          </w:p>
        </w:tc>
        <w:tc>
          <w:tcPr>
            <w:tcW w:w="606" w:type="pct"/>
            <w:vAlign w:val="bottom"/>
          </w:tcPr>
          <w:p w14:paraId="4A49036F" w14:textId="77777777" w:rsidR="00CE65B6" w:rsidRPr="00E75964" w:rsidRDefault="00CE65B6" w:rsidP="004B0F47">
            <w:pPr>
              <w:autoSpaceDE w:val="0"/>
              <w:autoSpaceDN w:val="0"/>
              <w:adjustRightInd w:val="0"/>
              <w:spacing w:line="240" w:lineRule="auto"/>
              <w:ind w:right="10"/>
              <w:contextualSpacing/>
              <w:jc w:val="center"/>
              <w:rPr>
                <w:rFonts w:ascii="Garamond" w:hAnsi="Garamond" w:cs="Arial"/>
              </w:rPr>
            </w:pPr>
          </w:p>
        </w:tc>
        <w:tc>
          <w:tcPr>
            <w:tcW w:w="823" w:type="pct"/>
            <w:vAlign w:val="bottom"/>
          </w:tcPr>
          <w:p w14:paraId="6E15A179" w14:textId="77777777" w:rsidR="00CE65B6" w:rsidRPr="00E75964" w:rsidRDefault="00CE65B6" w:rsidP="004B0F47">
            <w:pPr>
              <w:autoSpaceDE w:val="0"/>
              <w:autoSpaceDN w:val="0"/>
              <w:adjustRightInd w:val="0"/>
              <w:spacing w:line="240" w:lineRule="auto"/>
              <w:ind w:right="10"/>
              <w:contextualSpacing/>
              <w:jc w:val="center"/>
              <w:rPr>
                <w:rFonts w:ascii="Garamond" w:hAnsi="Garamond" w:cs="Arial"/>
              </w:rPr>
            </w:pPr>
          </w:p>
        </w:tc>
        <w:tc>
          <w:tcPr>
            <w:tcW w:w="776" w:type="pct"/>
            <w:vAlign w:val="bottom"/>
          </w:tcPr>
          <w:p w14:paraId="4EE08B3A" w14:textId="77777777" w:rsidR="00CE65B6" w:rsidRPr="00E75964" w:rsidRDefault="00CE65B6" w:rsidP="004B0F47">
            <w:pPr>
              <w:autoSpaceDE w:val="0"/>
              <w:autoSpaceDN w:val="0"/>
              <w:adjustRightInd w:val="0"/>
              <w:spacing w:line="240" w:lineRule="auto"/>
              <w:ind w:right="10"/>
              <w:contextualSpacing/>
              <w:jc w:val="center"/>
              <w:rPr>
                <w:rFonts w:ascii="Garamond" w:hAnsi="Garamond" w:cs="Arial"/>
              </w:rPr>
            </w:pPr>
          </w:p>
        </w:tc>
        <w:tc>
          <w:tcPr>
            <w:tcW w:w="796" w:type="pct"/>
            <w:vAlign w:val="bottom"/>
          </w:tcPr>
          <w:p w14:paraId="174A1C0B" w14:textId="77777777" w:rsidR="00CE65B6" w:rsidRPr="00E75964" w:rsidRDefault="00CE65B6" w:rsidP="004B0F47">
            <w:pPr>
              <w:autoSpaceDE w:val="0"/>
              <w:autoSpaceDN w:val="0"/>
              <w:adjustRightInd w:val="0"/>
              <w:spacing w:line="240" w:lineRule="auto"/>
              <w:ind w:right="10"/>
              <w:contextualSpacing/>
              <w:jc w:val="center"/>
              <w:rPr>
                <w:rFonts w:ascii="Garamond" w:hAnsi="Garamond" w:cs="Arial"/>
              </w:rPr>
            </w:pPr>
          </w:p>
        </w:tc>
      </w:tr>
      <w:tr w:rsidR="004B0F47" w:rsidRPr="00E75964" w14:paraId="27752A33" w14:textId="77777777" w:rsidTr="004B0F47">
        <w:trPr>
          <w:trHeight w:val="225"/>
          <w:jc w:val="center"/>
        </w:trPr>
        <w:tc>
          <w:tcPr>
            <w:tcW w:w="152" w:type="pct"/>
            <w:vMerge/>
          </w:tcPr>
          <w:p w14:paraId="78AE735A" w14:textId="77777777" w:rsidR="00CE65B6" w:rsidRPr="00E75964" w:rsidRDefault="00CE65B6" w:rsidP="001D5DA1">
            <w:pPr>
              <w:autoSpaceDE w:val="0"/>
              <w:autoSpaceDN w:val="0"/>
              <w:adjustRightInd w:val="0"/>
              <w:spacing w:line="240" w:lineRule="auto"/>
              <w:contextualSpacing/>
              <w:jc w:val="center"/>
              <w:rPr>
                <w:rFonts w:ascii="Garamond" w:hAnsi="Garamond" w:cs="Arial"/>
              </w:rPr>
            </w:pPr>
          </w:p>
        </w:tc>
        <w:tc>
          <w:tcPr>
            <w:tcW w:w="627" w:type="pct"/>
            <w:vAlign w:val="bottom"/>
          </w:tcPr>
          <w:p w14:paraId="578C4638" w14:textId="77777777" w:rsidR="00CE65B6" w:rsidRPr="00E75964" w:rsidRDefault="00CE65B6" w:rsidP="001D5DA1">
            <w:pPr>
              <w:autoSpaceDE w:val="0"/>
              <w:autoSpaceDN w:val="0"/>
              <w:adjustRightInd w:val="0"/>
              <w:spacing w:line="240" w:lineRule="auto"/>
              <w:contextualSpacing/>
              <w:jc w:val="center"/>
              <w:rPr>
                <w:rFonts w:ascii="Garamond" w:hAnsi="Garamond" w:cs="Arial"/>
              </w:rPr>
            </w:pPr>
            <w:r w:rsidRPr="00E75964">
              <w:rPr>
                <w:rFonts w:ascii="Garamond" w:hAnsi="Garamond" w:cs="Arial"/>
              </w:rPr>
              <w:t>Mid-size</w:t>
            </w:r>
          </w:p>
        </w:tc>
        <w:tc>
          <w:tcPr>
            <w:tcW w:w="627" w:type="pct"/>
            <w:vAlign w:val="bottom"/>
          </w:tcPr>
          <w:p w14:paraId="3B6EBC5E" w14:textId="18D403A2" w:rsidR="00CE65B6" w:rsidRPr="00E75964" w:rsidRDefault="00CE65B6" w:rsidP="004B0F47">
            <w:pPr>
              <w:autoSpaceDE w:val="0"/>
              <w:autoSpaceDN w:val="0"/>
              <w:adjustRightInd w:val="0"/>
              <w:spacing w:line="240" w:lineRule="auto"/>
              <w:contextualSpacing/>
              <w:jc w:val="center"/>
              <w:rPr>
                <w:rFonts w:ascii="Garamond" w:hAnsi="Garamond" w:cs="Arial"/>
              </w:rPr>
            </w:pPr>
            <w:r w:rsidRPr="00E75964">
              <w:rPr>
                <w:rFonts w:ascii="Garamond" w:hAnsi="Garamond" w:cs="Arial"/>
              </w:rPr>
              <w:t>0.</w:t>
            </w:r>
            <w:r w:rsidR="006C563D" w:rsidRPr="00E75964">
              <w:rPr>
                <w:rFonts w:ascii="Garamond" w:hAnsi="Garamond" w:cs="Arial"/>
              </w:rPr>
              <w:t>0876</w:t>
            </w:r>
            <w:r w:rsidRPr="00E75964">
              <w:rPr>
                <w:rFonts w:ascii="Garamond" w:hAnsi="Garamond" w:cs="Arial"/>
              </w:rPr>
              <w:t>*</w:t>
            </w:r>
            <w:r w:rsidR="009B22C4" w:rsidRPr="00E75964">
              <w:rPr>
                <w:rFonts w:ascii="Garamond" w:hAnsi="Garamond" w:cs="Arial"/>
              </w:rPr>
              <w:t>*</w:t>
            </w:r>
          </w:p>
        </w:tc>
        <w:tc>
          <w:tcPr>
            <w:tcW w:w="593" w:type="pct"/>
            <w:vAlign w:val="bottom"/>
          </w:tcPr>
          <w:p w14:paraId="223D3CD0" w14:textId="73A30253" w:rsidR="00CE65B6" w:rsidRPr="00E75964" w:rsidRDefault="00CE65B6" w:rsidP="004B0F47">
            <w:pPr>
              <w:autoSpaceDE w:val="0"/>
              <w:autoSpaceDN w:val="0"/>
              <w:adjustRightInd w:val="0"/>
              <w:spacing w:line="240" w:lineRule="auto"/>
              <w:contextualSpacing/>
              <w:jc w:val="center"/>
              <w:rPr>
                <w:rFonts w:ascii="Garamond" w:hAnsi="Garamond" w:cs="Arial"/>
              </w:rPr>
            </w:pPr>
            <w:r w:rsidRPr="00E75964">
              <w:rPr>
                <w:rFonts w:ascii="Garamond" w:hAnsi="Garamond" w:cs="Arial"/>
              </w:rPr>
              <w:t>0.1</w:t>
            </w:r>
            <w:r w:rsidR="006C563D" w:rsidRPr="00E75964">
              <w:rPr>
                <w:rFonts w:ascii="Garamond" w:hAnsi="Garamond" w:cs="Arial"/>
              </w:rPr>
              <w:t>416</w:t>
            </w:r>
            <w:r w:rsidRPr="00E75964">
              <w:rPr>
                <w:rFonts w:ascii="Garamond" w:hAnsi="Garamond" w:cs="Arial"/>
              </w:rPr>
              <w:t>***</w:t>
            </w:r>
          </w:p>
        </w:tc>
        <w:tc>
          <w:tcPr>
            <w:tcW w:w="606" w:type="pct"/>
            <w:vAlign w:val="bottom"/>
          </w:tcPr>
          <w:p w14:paraId="2252C929" w14:textId="35A6CEA1" w:rsidR="00CE65B6" w:rsidRPr="00E75964" w:rsidRDefault="00CE65B6" w:rsidP="004B0F47">
            <w:pPr>
              <w:autoSpaceDE w:val="0"/>
              <w:autoSpaceDN w:val="0"/>
              <w:adjustRightInd w:val="0"/>
              <w:spacing w:line="240" w:lineRule="auto"/>
              <w:contextualSpacing/>
              <w:jc w:val="center"/>
              <w:rPr>
                <w:rFonts w:ascii="Garamond" w:hAnsi="Garamond" w:cs="Arial"/>
              </w:rPr>
            </w:pPr>
            <w:r w:rsidRPr="00E75964">
              <w:rPr>
                <w:rFonts w:ascii="Garamond" w:hAnsi="Garamond" w:cs="Arial"/>
              </w:rPr>
              <w:t>0.01</w:t>
            </w:r>
            <w:r w:rsidR="006C563D" w:rsidRPr="00E75964">
              <w:rPr>
                <w:rFonts w:ascii="Garamond" w:hAnsi="Garamond" w:cs="Arial"/>
              </w:rPr>
              <w:t>38</w:t>
            </w:r>
          </w:p>
        </w:tc>
        <w:tc>
          <w:tcPr>
            <w:tcW w:w="823" w:type="pct"/>
            <w:vAlign w:val="bottom"/>
          </w:tcPr>
          <w:p w14:paraId="5CFBFC50" w14:textId="4B0A38E8" w:rsidR="00CE65B6" w:rsidRPr="00E75964" w:rsidRDefault="00CE65B6" w:rsidP="004B0F47">
            <w:pPr>
              <w:autoSpaceDE w:val="0"/>
              <w:autoSpaceDN w:val="0"/>
              <w:adjustRightInd w:val="0"/>
              <w:spacing w:line="240" w:lineRule="auto"/>
              <w:contextualSpacing/>
              <w:jc w:val="center"/>
              <w:rPr>
                <w:rFonts w:ascii="Garamond" w:hAnsi="Garamond" w:cs="Arial"/>
              </w:rPr>
            </w:pPr>
            <w:r w:rsidRPr="00E75964">
              <w:rPr>
                <w:rFonts w:ascii="Garamond" w:hAnsi="Garamond" w:cs="Arial"/>
              </w:rPr>
              <w:t>0.</w:t>
            </w:r>
            <w:r w:rsidR="006C563D" w:rsidRPr="00E75964">
              <w:rPr>
                <w:rFonts w:ascii="Garamond" w:hAnsi="Garamond" w:cs="Arial"/>
              </w:rPr>
              <w:t>10</w:t>
            </w:r>
            <w:r w:rsidR="00836D9B" w:rsidRPr="00E75964">
              <w:rPr>
                <w:rFonts w:ascii="Garamond" w:hAnsi="Garamond" w:cs="Arial"/>
              </w:rPr>
              <w:t>9</w:t>
            </w:r>
            <w:r w:rsidR="006C563D" w:rsidRPr="00E75964">
              <w:rPr>
                <w:rFonts w:ascii="Garamond" w:hAnsi="Garamond" w:cs="Arial"/>
              </w:rPr>
              <w:t>6</w:t>
            </w:r>
            <w:r w:rsidRPr="00E75964">
              <w:rPr>
                <w:rFonts w:ascii="Garamond" w:hAnsi="Garamond" w:cs="Arial"/>
              </w:rPr>
              <w:t>*</w:t>
            </w:r>
            <w:r w:rsidR="008739DC" w:rsidRPr="00E75964">
              <w:rPr>
                <w:rFonts w:ascii="Garamond" w:hAnsi="Garamond" w:cs="Arial"/>
              </w:rPr>
              <w:t>*</w:t>
            </w:r>
          </w:p>
        </w:tc>
        <w:tc>
          <w:tcPr>
            <w:tcW w:w="776" w:type="pct"/>
            <w:vAlign w:val="bottom"/>
          </w:tcPr>
          <w:p w14:paraId="4A0B81C6" w14:textId="0C6B35EC" w:rsidR="00CE65B6" w:rsidRPr="00E75964" w:rsidRDefault="00CE65B6" w:rsidP="004B0F47">
            <w:pPr>
              <w:autoSpaceDE w:val="0"/>
              <w:autoSpaceDN w:val="0"/>
              <w:adjustRightInd w:val="0"/>
              <w:spacing w:line="240" w:lineRule="auto"/>
              <w:contextualSpacing/>
              <w:jc w:val="center"/>
              <w:rPr>
                <w:rFonts w:ascii="Garamond" w:hAnsi="Garamond" w:cs="Arial"/>
              </w:rPr>
            </w:pPr>
            <w:r w:rsidRPr="00E75964">
              <w:rPr>
                <w:rFonts w:ascii="Garamond" w:hAnsi="Garamond" w:cs="Arial"/>
              </w:rPr>
              <w:t>0.12</w:t>
            </w:r>
            <w:r w:rsidR="006C563D" w:rsidRPr="00E75964">
              <w:rPr>
                <w:rFonts w:ascii="Garamond" w:hAnsi="Garamond" w:cs="Arial"/>
              </w:rPr>
              <w:t>3</w:t>
            </w:r>
            <w:r w:rsidR="00836D9B" w:rsidRPr="00E75964">
              <w:rPr>
                <w:rFonts w:ascii="Garamond" w:hAnsi="Garamond" w:cs="Arial"/>
              </w:rPr>
              <w:t>3</w:t>
            </w:r>
            <w:r w:rsidRPr="00E75964">
              <w:rPr>
                <w:rFonts w:ascii="Garamond" w:hAnsi="Garamond" w:cs="Arial"/>
              </w:rPr>
              <w:t>***</w:t>
            </w:r>
          </w:p>
        </w:tc>
        <w:tc>
          <w:tcPr>
            <w:tcW w:w="796" w:type="pct"/>
            <w:vAlign w:val="bottom"/>
          </w:tcPr>
          <w:p w14:paraId="367E544F" w14:textId="024B00FD" w:rsidR="00CE65B6" w:rsidRPr="00E75964" w:rsidRDefault="00CE65B6" w:rsidP="004B0F47">
            <w:pPr>
              <w:autoSpaceDE w:val="0"/>
              <w:autoSpaceDN w:val="0"/>
              <w:adjustRightInd w:val="0"/>
              <w:spacing w:line="240" w:lineRule="auto"/>
              <w:contextualSpacing/>
              <w:jc w:val="center"/>
              <w:rPr>
                <w:rFonts w:ascii="Garamond" w:hAnsi="Garamond" w:cs="Arial"/>
              </w:rPr>
            </w:pPr>
            <w:r w:rsidRPr="00E75964">
              <w:rPr>
                <w:rFonts w:ascii="Garamond" w:hAnsi="Garamond" w:cs="Arial"/>
              </w:rPr>
              <w:t>-0.03</w:t>
            </w:r>
            <w:r w:rsidR="00836D9B" w:rsidRPr="00E75964">
              <w:rPr>
                <w:rFonts w:ascii="Garamond" w:hAnsi="Garamond" w:cs="Arial"/>
              </w:rPr>
              <w:t>4</w:t>
            </w:r>
            <w:r w:rsidR="006C563D" w:rsidRPr="00E75964">
              <w:rPr>
                <w:rFonts w:ascii="Garamond" w:hAnsi="Garamond" w:cs="Arial"/>
              </w:rPr>
              <w:t>2</w:t>
            </w:r>
          </w:p>
        </w:tc>
      </w:tr>
      <w:tr w:rsidR="004B0F47" w:rsidRPr="00E75964" w14:paraId="187CB274" w14:textId="77777777" w:rsidTr="004B0F47">
        <w:trPr>
          <w:trHeight w:val="225"/>
          <w:jc w:val="center"/>
        </w:trPr>
        <w:tc>
          <w:tcPr>
            <w:tcW w:w="152" w:type="pct"/>
            <w:vMerge/>
          </w:tcPr>
          <w:p w14:paraId="54E0B5A7" w14:textId="77777777" w:rsidR="00CE65B6" w:rsidRPr="00E75964" w:rsidRDefault="00CE65B6" w:rsidP="001D5DA1">
            <w:pPr>
              <w:autoSpaceDE w:val="0"/>
              <w:autoSpaceDN w:val="0"/>
              <w:adjustRightInd w:val="0"/>
              <w:spacing w:line="240" w:lineRule="auto"/>
              <w:contextualSpacing/>
              <w:jc w:val="center"/>
              <w:rPr>
                <w:rFonts w:ascii="Garamond" w:hAnsi="Garamond" w:cs="Arial"/>
              </w:rPr>
            </w:pPr>
          </w:p>
        </w:tc>
        <w:tc>
          <w:tcPr>
            <w:tcW w:w="627" w:type="pct"/>
            <w:vAlign w:val="bottom"/>
          </w:tcPr>
          <w:p w14:paraId="4BA59A50" w14:textId="77777777" w:rsidR="00CE65B6" w:rsidRPr="00E75964" w:rsidRDefault="00CE65B6" w:rsidP="001D5DA1">
            <w:pPr>
              <w:autoSpaceDE w:val="0"/>
              <w:autoSpaceDN w:val="0"/>
              <w:adjustRightInd w:val="0"/>
              <w:spacing w:line="240" w:lineRule="auto"/>
              <w:contextualSpacing/>
              <w:jc w:val="center"/>
              <w:rPr>
                <w:rFonts w:ascii="Garamond" w:hAnsi="Garamond" w:cs="Arial"/>
              </w:rPr>
            </w:pPr>
          </w:p>
        </w:tc>
        <w:tc>
          <w:tcPr>
            <w:tcW w:w="627" w:type="pct"/>
            <w:vAlign w:val="bottom"/>
          </w:tcPr>
          <w:p w14:paraId="2B1DD651" w14:textId="796410D7"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w:t>
            </w:r>
            <w:r w:rsidR="006C563D" w:rsidRPr="00E75964">
              <w:rPr>
                <w:rFonts w:ascii="Garamond" w:hAnsi="Garamond" w:cs="Arial"/>
              </w:rPr>
              <w:t>2</w:t>
            </w:r>
            <w:r w:rsidRPr="00E75964">
              <w:rPr>
                <w:rFonts w:ascii="Garamond" w:hAnsi="Garamond" w:cs="Arial"/>
              </w:rPr>
              <w:t>.</w:t>
            </w:r>
            <w:r w:rsidR="006C563D" w:rsidRPr="00E75964">
              <w:rPr>
                <w:rFonts w:ascii="Garamond" w:hAnsi="Garamond" w:cs="Arial"/>
              </w:rPr>
              <w:t>0</w:t>
            </w:r>
            <w:r w:rsidR="00836D9B" w:rsidRPr="00E75964">
              <w:rPr>
                <w:rFonts w:ascii="Garamond" w:hAnsi="Garamond" w:cs="Arial"/>
              </w:rPr>
              <w:t>6</w:t>
            </w:r>
            <w:r w:rsidR="006C563D" w:rsidRPr="00E75964">
              <w:rPr>
                <w:rFonts w:ascii="Garamond" w:hAnsi="Garamond" w:cs="Arial"/>
              </w:rPr>
              <w:t>44</w:t>
            </w:r>
            <w:r w:rsidRPr="00E75964">
              <w:rPr>
                <w:rFonts w:ascii="Garamond" w:hAnsi="Garamond" w:cs="Arial"/>
              </w:rPr>
              <w:t>]</w:t>
            </w:r>
          </w:p>
        </w:tc>
        <w:tc>
          <w:tcPr>
            <w:tcW w:w="593" w:type="pct"/>
            <w:vAlign w:val="bottom"/>
          </w:tcPr>
          <w:p w14:paraId="32B3A071" w14:textId="294176A3"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w:t>
            </w:r>
            <w:r w:rsidR="006C563D" w:rsidRPr="00E75964">
              <w:rPr>
                <w:rFonts w:ascii="Garamond" w:hAnsi="Garamond" w:cs="Arial"/>
              </w:rPr>
              <w:t>3</w:t>
            </w:r>
            <w:r w:rsidRPr="00E75964">
              <w:rPr>
                <w:rFonts w:ascii="Garamond" w:hAnsi="Garamond" w:cs="Arial"/>
              </w:rPr>
              <w:t>.8</w:t>
            </w:r>
            <w:r w:rsidR="006C563D" w:rsidRPr="00E75964">
              <w:rPr>
                <w:rFonts w:ascii="Garamond" w:hAnsi="Garamond" w:cs="Arial"/>
              </w:rPr>
              <w:t>978</w:t>
            </w:r>
            <w:r w:rsidRPr="00E75964">
              <w:rPr>
                <w:rFonts w:ascii="Garamond" w:hAnsi="Garamond" w:cs="Arial"/>
              </w:rPr>
              <w:t>]</w:t>
            </w:r>
          </w:p>
        </w:tc>
        <w:tc>
          <w:tcPr>
            <w:tcW w:w="606" w:type="pct"/>
            <w:vAlign w:val="bottom"/>
          </w:tcPr>
          <w:p w14:paraId="301EDFAD" w14:textId="7B01CBC4"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[0.</w:t>
            </w:r>
            <w:r w:rsidR="006C563D" w:rsidRPr="00E75964">
              <w:rPr>
                <w:rFonts w:ascii="Garamond" w:hAnsi="Garamond" w:cs="Arial"/>
              </w:rPr>
              <w:t>76</w:t>
            </w:r>
            <w:r w:rsidR="00836D9B" w:rsidRPr="00E75964">
              <w:rPr>
                <w:rFonts w:ascii="Garamond" w:hAnsi="Garamond" w:cs="Arial"/>
              </w:rPr>
              <w:t>5</w:t>
            </w:r>
            <w:r w:rsidR="006C563D" w:rsidRPr="00E75964">
              <w:rPr>
                <w:rFonts w:ascii="Garamond" w:hAnsi="Garamond" w:cs="Arial"/>
              </w:rPr>
              <w:t>5</w:t>
            </w:r>
            <w:r w:rsidRPr="00E75964">
              <w:rPr>
                <w:rFonts w:ascii="Garamond" w:hAnsi="Garamond" w:cs="Arial"/>
              </w:rPr>
              <w:t>]</w:t>
            </w:r>
          </w:p>
        </w:tc>
        <w:tc>
          <w:tcPr>
            <w:tcW w:w="823" w:type="pct"/>
            <w:vAlign w:val="bottom"/>
          </w:tcPr>
          <w:p w14:paraId="2B77B469" w14:textId="67C6A73A"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w:t>
            </w:r>
            <w:r w:rsidR="006C563D" w:rsidRPr="00E75964">
              <w:rPr>
                <w:rFonts w:ascii="Garamond" w:hAnsi="Garamond" w:cs="Arial"/>
              </w:rPr>
              <w:t>2</w:t>
            </w:r>
            <w:r w:rsidRPr="00E75964">
              <w:rPr>
                <w:rFonts w:ascii="Garamond" w:hAnsi="Garamond" w:cs="Arial"/>
              </w:rPr>
              <w:t>.</w:t>
            </w:r>
            <w:r w:rsidR="006C563D" w:rsidRPr="00E75964">
              <w:rPr>
                <w:rFonts w:ascii="Garamond" w:hAnsi="Garamond" w:cs="Arial"/>
              </w:rPr>
              <w:t>232</w:t>
            </w:r>
            <w:r w:rsidR="008739DC" w:rsidRPr="00E75964">
              <w:rPr>
                <w:rFonts w:ascii="Garamond" w:hAnsi="Garamond" w:cs="Arial"/>
              </w:rPr>
              <w:t>1</w:t>
            </w:r>
            <w:r w:rsidRPr="00E75964">
              <w:rPr>
                <w:rFonts w:ascii="Garamond" w:hAnsi="Garamond" w:cs="Arial"/>
              </w:rPr>
              <w:t>]</w:t>
            </w:r>
          </w:p>
        </w:tc>
        <w:tc>
          <w:tcPr>
            <w:tcW w:w="776" w:type="pct"/>
            <w:vAlign w:val="bottom"/>
          </w:tcPr>
          <w:p w14:paraId="2A50DB57" w14:textId="395B6553"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[5.</w:t>
            </w:r>
            <w:r w:rsidR="006C563D" w:rsidRPr="00E75964">
              <w:rPr>
                <w:rFonts w:ascii="Garamond" w:hAnsi="Garamond" w:cs="Arial"/>
              </w:rPr>
              <w:t>1</w:t>
            </w:r>
            <w:r w:rsidR="00836D9B" w:rsidRPr="00E75964">
              <w:rPr>
                <w:rFonts w:ascii="Garamond" w:hAnsi="Garamond" w:cs="Arial"/>
              </w:rPr>
              <w:t>6</w:t>
            </w:r>
            <w:r w:rsidR="006C563D" w:rsidRPr="00E75964">
              <w:rPr>
                <w:rFonts w:ascii="Garamond" w:hAnsi="Garamond" w:cs="Arial"/>
              </w:rPr>
              <w:t>63</w:t>
            </w:r>
            <w:r w:rsidRPr="00E75964">
              <w:rPr>
                <w:rFonts w:ascii="Garamond" w:hAnsi="Garamond" w:cs="Arial"/>
              </w:rPr>
              <w:t>]</w:t>
            </w:r>
          </w:p>
        </w:tc>
        <w:tc>
          <w:tcPr>
            <w:tcW w:w="796" w:type="pct"/>
            <w:vAlign w:val="bottom"/>
          </w:tcPr>
          <w:p w14:paraId="7AFB5F1C" w14:textId="6EFD2FE1"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[-0.</w:t>
            </w:r>
            <w:r w:rsidR="006C563D" w:rsidRPr="00E75964">
              <w:rPr>
                <w:rFonts w:ascii="Garamond" w:hAnsi="Garamond" w:cs="Arial"/>
              </w:rPr>
              <w:t>3</w:t>
            </w:r>
            <w:r w:rsidR="00836D9B" w:rsidRPr="00E75964">
              <w:rPr>
                <w:rFonts w:ascii="Garamond" w:hAnsi="Garamond" w:cs="Arial"/>
              </w:rPr>
              <w:t>2</w:t>
            </w:r>
            <w:r w:rsidR="006C563D" w:rsidRPr="00E75964">
              <w:rPr>
                <w:rFonts w:ascii="Garamond" w:hAnsi="Garamond" w:cs="Arial"/>
              </w:rPr>
              <w:t>6</w:t>
            </w:r>
            <w:r w:rsidR="00836D9B" w:rsidRPr="00E75964">
              <w:rPr>
                <w:rFonts w:ascii="Garamond" w:hAnsi="Garamond" w:cs="Arial"/>
              </w:rPr>
              <w:t>6</w:t>
            </w:r>
            <w:r w:rsidRPr="00E75964">
              <w:rPr>
                <w:rFonts w:ascii="Garamond" w:hAnsi="Garamond" w:cs="Arial"/>
              </w:rPr>
              <w:t>]</w:t>
            </w:r>
          </w:p>
        </w:tc>
      </w:tr>
      <w:tr w:rsidR="004B0F47" w:rsidRPr="00E75964" w14:paraId="7270E13C" w14:textId="77777777" w:rsidTr="004B0F47">
        <w:trPr>
          <w:trHeight w:val="225"/>
          <w:jc w:val="center"/>
        </w:trPr>
        <w:tc>
          <w:tcPr>
            <w:tcW w:w="152" w:type="pct"/>
            <w:vMerge/>
          </w:tcPr>
          <w:p w14:paraId="02D6DA98" w14:textId="77777777" w:rsidR="00CE65B6" w:rsidRPr="00E75964" w:rsidRDefault="00CE65B6" w:rsidP="001D5DA1">
            <w:pPr>
              <w:autoSpaceDE w:val="0"/>
              <w:autoSpaceDN w:val="0"/>
              <w:adjustRightInd w:val="0"/>
              <w:spacing w:line="240" w:lineRule="auto"/>
              <w:contextualSpacing/>
              <w:jc w:val="center"/>
              <w:rPr>
                <w:rFonts w:ascii="Garamond" w:hAnsi="Garamond" w:cs="Arial"/>
              </w:rPr>
            </w:pPr>
          </w:p>
        </w:tc>
        <w:tc>
          <w:tcPr>
            <w:tcW w:w="627" w:type="pct"/>
            <w:vAlign w:val="bottom"/>
          </w:tcPr>
          <w:p w14:paraId="078CB384" w14:textId="77777777" w:rsidR="00CE65B6" w:rsidRPr="00E75964" w:rsidRDefault="00CE65B6" w:rsidP="001D5DA1">
            <w:pPr>
              <w:autoSpaceDE w:val="0"/>
              <w:autoSpaceDN w:val="0"/>
              <w:adjustRightInd w:val="0"/>
              <w:spacing w:line="240" w:lineRule="auto"/>
              <w:contextualSpacing/>
              <w:jc w:val="center"/>
              <w:rPr>
                <w:rFonts w:ascii="Garamond" w:hAnsi="Garamond" w:cs="Arial"/>
              </w:rPr>
            </w:pPr>
          </w:p>
        </w:tc>
        <w:tc>
          <w:tcPr>
            <w:tcW w:w="627" w:type="pct"/>
            <w:vAlign w:val="bottom"/>
          </w:tcPr>
          <w:p w14:paraId="3BCF8E92" w14:textId="77777777" w:rsidR="00CE65B6" w:rsidRPr="00E75964" w:rsidRDefault="00CE65B6" w:rsidP="004B0F47">
            <w:pPr>
              <w:autoSpaceDE w:val="0"/>
              <w:autoSpaceDN w:val="0"/>
              <w:adjustRightInd w:val="0"/>
              <w:spacing w:line="240" w:lineRule="auto"/>
              <w:ind w:right="10"/>
              <w:contextualSpacing/>
              <w:jc w:val="center"/>
              <w:rPr>
                <w:rFonts w:ascii="Garamond" w:hAnsi="Garamond" w:cs="Arial"/>
              </w:rPr>
            </w:pPr>
          </w:p>
        </w:tc>
        <w:tc>
          <w:tcPr>
            <w:tcW w:w="593" w:type="pct"/>
            <w:vAlign w:val="bottom"/>
          </w:tcPr>
          <w:p w14:paraId="249D49AD" w14:textId="77777777" w:rsidR="00CE65B6" w:rsidRPr="00E75964" w:rsidRDefault="00CE65B6" w:rsidP="004B0F47">
            <w:pPr>
              <w:autoSpaceDE w:val="0"/>
              <w:autoSpaceDN w:val="0"/>
              <w:adjustRightInd w:val="0"/>
              <w:spacing w:line="240" w:lineRule="auto"/>
              <w:ind w:right="10"/>
              <w:contextualSpacing/>
              <w:jc w:val="center"/>
              <w:rPr>
                <w:rFonts w:ascii="Garamond" w:hAnsi="Garamond" w:cs="Arial"/>
              </w:rPr>
            </w:pPr>
          </w:p>
        </w:tc>
        <w:tc>
          <w:tcPr>
            <w:tcW w:w="606" w:type="pct"/>
            <w:vAlign w:val="bottom"/>
          </w:tcPr>
          <w:p w14:paraId="412049D0" w14:textId="77777777" w:rsidR="00CE65B6" w:rsidRPr="00E75964" w:rsidRDefault="00CE65B6" w:rsidP="004B0F47">
            <w:pPr>
              <w:autoSpaceDE w:val="0"/>
              <w:autoSpaceDN w:val="0"/>
              <w:adjustRightInd w:val="0"/>
              <w:spacing w:line="240" w:lineRule="auto"/>
              <w:ind w:right="10"/>
              <w:contextualSpacing/>
              <w:jc w:val="center"/>
              <w:rPr>
                <w:rFonts w:ascii="Garamond" w:hAnsi="Garamond" w:cs="Arial"/>
              </w:rPr>
            </w:pPr>
          </w:p>
        </w:tc>
        <w:tc>
          <w:tcPr>
            <w:tcW w:w="823" w:type="pct"/>
            <w:vAlign w:val="bottom"/>
          </w:tcPr>
          <w:p w14:paraId="0EBC93D9" w14:textId="77777777" w:rsidR="00CE65B6" w:rsidRPr="00E75964" w:rsidRDefault="00CE65B6" w:rsidP="004B0F47">
            <w:pPr>
              <w:autoSpaceDE w:val="0"/>
              <w:autoSpaceDN w:val="0"/>
              <w:adjustRightInd w:val="0"/>
              <w:spacing w:line="240" w:lineRule="auto"/>
              <w:ind w:right="10"/>
              <w:contextualSpacing/>
              <w:jc w:val="center"/>
              <w:rPr>
                <w:rFonts w:ascii="Garamond" w:hAnsi="Garamond" w:cs="Arial"/>
              </w:rPr>
            </w:pPr>
          </w:p>
        </w:tc>
        <w:tc>
          <w:tcPr>
            <w:tcW w:w="776" w:type="pct"/>
            <w:vAlign w:val="bottom"/>
          </w:tcPr>
          <w:p w14:paraId="738092CB" w14:textId="77777777" w:rsidR="00CE65B6" w:rsidRPr="00E75964" w:rsidRDefault="00CE65B6" w:rsidP="004B0F47">
            <w:pPr>
              <w:autoSpaceDE w:val="0"/>
              <w:autoSpaceDN w:val="0"/>
              <w:adjustRightInd w:val="0"/>
              <w:spacing w:line="240" w:lineRule="auto"/>
              <w:ind w:right="10"/>
              <w:contextualSpacing/>
              <w:jc w:val="center"/>
              <w:rPr>
                <w:rFonts w:ascii="Garamond" w:hAnsi="Garamond" w:cs="Arial"/>
              </w:rPr>
            </w:pPr>
          </w:p>
        </w:tc>
        <w:tc>
          <w:tcPr>
            <w:tcW w:w="796" w:type="pct"/>
            <w:vAlign w:val="bottom"/>
          </w:tcPr>
          <w:p w14:paraId="268C60F8" w14:textId="77777777" w:rsidR="00CE65B6" w:rsidRPr="00E75964" w:rsidRDefault="00CE65B6" w:rsidP="004B0F47">
            <w:pPr>
              <w:autoSpaceDE w:val="0"/>
              <w:autoSpaceDN w:val="0"/>
              <w:adjustRightInd w:val="0"/>
              <w:spacing w:line="240" w:lineRule="auto"/>
              <w:ind w:right="10"/>
              <w:contextualSpacing/>
              <w:jc w:val="center"/>
              <w:rPr>
                <w:rFonts w:ascii="Garamond" w:hAnsi="Garamond" w:cs="Arial"/>
              </w:rPr>
            </w:pPr>
          </w:p>
        </w:tc>
      </w:tr>
      <w:tr w:rsidR="004B0F47" w:rsidRPr="00E75964" w14:paraId="1263E144" w14:textId="77777777" w:rsidTr="004B0F47">
        <w:trPr>
          <w:trHeight w:val="225"/>
          <w:jc w:val="center"/>
        </w:trPr>
        <w:tc>
          <w:tcPr>
            <w:tcW w:w="152" w:type="pct"/>
            <w:vMerge/>
          </w:tcPr>
          <w:p w14:paraId="6F7D9E26" w14:textId="77777777" w:rsidR="00CE65B6" w:rsidRPr="00E75964" w:rsidRDefault="00CE65B6" w:rsidP="001D5DA1">
            <w:pPr>
              <w:autoSpaceDE w:val="0"/>
              <w:autoSpaceDN w:val="0"/>
              <w:adjustRightInd w:val="0"/>
              <w:spacing w:line="240" w:lineRule="auto"/>
              <w:contextualSpacing/>
              <w:jc w:val="center"/>
              <w:rPr>
                <w:rFonts w:ascii="Garamond" w:hAnsi="Garamond" w:cs="Arial"/>
              </w:rPr>
            </w:pPr>
          </w:p>
        </w:tc>
        <w:tc>
          <w:tcPr>
            <w:tcW w:w="627" w:type="pct"/>
            <w:vAlign w:val="bottom"/>
          </w:tcPr>
          <w:p w14:paraId="4129129D" w14:textId="77777777" w:rsidR="00CE65B6" w:rsidRPr="00E75964" w:rsidRDefault="00CE65B6" w:rsidP="001D5DA1">
            <w:pPr>
              <w:autoSpaceDE w:val="0"/>
              <w:autoSpaceDN w:val="0"/>
              <w:adjustRightInd w:val="0"/>
              <w:spacing w:line="240" w:lineRule="auto"/>
              <w:contextualSpacing/>
              <w:jc w:val="center"/>
              <w:rPr>
                <w:rFonts w:ascii="Garamond" w:hAnsi="Garamond" w:cs="Arial"/>
              </w:rPr>
            </w:pPr>
            <w:r w:rsidRPr="00E75964">
              <w:rPr>
                <w:rFonts w:ascii="Garamond" w:hAnsi="Garamond" w:cs="Arial"/>
              </w:rPr>
              <w:t>Largest</w:t>
            </w:r>
          </w:p>
        </w:tc>
        <w:tc>
          <w:tcPr>
            <w:tcW w:w="627" w:type="pct"/>
            <w:vAlign w:val="bottom"/>
          </w:tcPr>
          <w:p w14:paraId="5FBBDFC8" w14:textId="7CBE2D1A"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0.</w:t>
            </w:r>
            <w:r w:rsidR="006C563D" w:rsidRPr="00E75964">
              <w:rPr>
                <w:rFonts w:ascii="Garamond" w:hAnsi="Garamond" w:cs="Arial"/>
              </w:rPr>
              <w:t>06</w:t>
            </w:r>
            <w:r w:rsidR="00836D9B" w:rsidRPr="00E75964">
              <w:rPr>
                <w:rFonts w:ascii="Garamond" w:hAnsi="Garamond" w:cs="Arial"/>
              </w:rPr>
              <w:t>5</w:t>
            </w:r>
            <w:r w:rsidR="006C563D" w:rsidRPr="00E75964">
              <w:rPr>
                <w:rFonts w:ascii="Garamond" w:hAnsi="Garamond" w:cs="Arial"/>
              </w:rPr>
              <w:t>8</w:t>
            </w:r>
          </w:p>
        </w:tc>
        <w:tc>
          <w:tcPr>
            <w:tcW w:w="593" w:type="pct"/>
            <w:vAlign w:val="bottom"/>
          </w:tcPr>
          <w:p w14:paraId="4584F830" w14:textId="77DC57E6"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0.0</w:t>
            </w:r>
            <w:r w:rsidR="006C563D" w:rsidRPr="00E75964">
              <w:rPr>
                <w:rFonts w:ascii="Garamond" w:hAnsi="Garamond" w:cs="Arial"/>
              </w:rPr>
              <w:t>2</w:t>
            </w:r>
            <w:r w:rsidR="00836D9B" w:rsidRPr="00E75964">
              <w:rPr>
                <w:rFonts w:ascii="Garamond" w:hAnsi="Garamond" w:cs="Arial"/>
              </w:rPr>
              <w:t>5</w:t>
            </w:r>
            <w:r w:rsidR="006C563D" w:rsidRPr="00E75964">
              <w:rPr>
                <w:rFonts w:ascii="Garamond" w:hAnsi="Garamond" w:cs="Arial"/>
              </w:rPr>
              <w:t>9</w:t>
            </w:r>
            <w:r w:rsidR="004B0F47" w:rsidRPr="00E75964">
              <w:rPr>
                <w:rFonts w:ascii="Garamond" w:hAnsi="Garamond" w:cs="Arial"/>
              </w:rPr>
              <w:t>*</w:t>
            </w:r>
          </w:p>
        </w:tc>
        <w:tc>
          <w:tcPr>
            <w:tcW w:w="606" w:type="pct"/>
            <w:vAlign w:val="bottom"/>
          </w:tcPr>
          <w:p w14:paraId="19321EEF" w14:textId="12324D06"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-0.00</w:t>
            </w:r>
            <w:r w:rsidR="006C563D" w:rsidRPr="00E75964">
              <w:rPr>
                <w:rFonts w:ascii="Garamond" w:hAnsi="Garamond" w:cs="Arial"/>
              </w:rPr>
              <w:t>2</w:t>
            </w:r>
            <w:r w:rsidR="00836D9B" w:rsidRPr="00E75964">
              <w:rPr>
                <w:rFonts w:ascii="Garamond" w:hAnsi="Garamond" w:cs="Arial"/>
              </w:rPr>
              <w:t>2</w:t>
            </w:r>
          </w:p>
        </w:tc>
        <w:tc>
          <w:tcPr>
            <w:tcW w:w="823" w:type="pct"/>
            <w:vAlign w:val="bottom"/>
          </w:tcPr>
          <w:p w14:paraId="32D973F8" w14:textId="156EFACB"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0.</w:t>
            </w:r>
            <w:r w:rsidR="006C563D" w:rsidRPr="00E75964">
              <w:rPr>
                <w:rFonts w:ascii="Garamond" w:hAnsi="Garamond" w:cs="Arial"/>
              </w:rPr>
              <w:t>0471</w:t>
            </w:r>
          </w:p>
        </w:tc>
        <w:tc>
          <w:tcPr>
            <w:tcW w:w="776" w:type="pct"/>
            <w:vAlign w:val="bottom"/>
          </w:tcPr>
          <w:p w14:paraId="5B42ACF6" w14:textId="4AEE452F"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0.0</w:t>
            </w:r>
            <w:r w:rsidR="006C563D" w:rsidRPr="00E75964">
              <w:rPr>
                <w:rFonts w:ascii="Garamond" w:hAnsi="Garamond" w:cs="Arial"/>
              </w:rPr>
              <w:t>246</w:t>
            </w:r>
            <w:r w:rsidR="004B0F47" w:rsidRPr="00E75964">
              <w:rPr>
                <w:rFonts w:ascii="Garamond" w:hAnsi="Garamond" w:cs="Arial"/>
              </w:rPr>
              <w:t>*</w:t>
            </w:r>
          </w:p>
        </w:tc>
        <w:tc>
          <w:tcPr>
            <w:tcW w:w="796" w:type="pct"/>
            <w:vAlign w:val="bottom"/>
          </w:tcPr>
          <w:p w14:paraId="27F2383A" w14:textId="4CD7EDF4" w:rsidR="00CE65B6" w:rsidRPr="00E75964" w:rsidRDefault="00CE65B6" w:rsidP="004B0F47">
            <w:pPr>
              <w:autoSpaceDE w:val="0"/>
              <w:autoSpaceDN w:val="0"/>
              <w:adjustRightInd w:val="0"/>
              <w:spacing w:line="240" w:lineRule="auto"/>
              <w:ind w:right="10"/>
              <w:contextualSpacing/>
              <w:jc w:val="center"/>
              <w:rPr>
                <w:rFonts w:ascii="Garamond" w:hAnsi="Garamond" w:cs="Arial"/>
              </w:rPr>
            </w:pPr>
            <w:r w:rsidRPr="00E75964">
              <w:rPr>
                <w:rFonts w:ascii="Garamond" w:hAnsi="Garamond" w:cs="Arial"/>
              </w:rPr>
              <w:t>0.02</w:t>
            </w:r>
            <w:r w:rsidR="006C563D" w:rsidRPr="00E75964">
              <w:rPr>
                <w:rFonts w:ascii="Garamond" w:hAnsi="Garamond" w:cs="Arial"/>
              </w:rPr>
              <w:t>3</w:t>
            </w:r>
            <w:r w:rsidR="00836D9B" w:rsidRPr="00E75964">
              <w:rPr>
                <w:rFonts w:ascii="Garamond" w:hAnsi="Garamond" w:cs="Arial"/>
              </w:rPr>
              <w:t>0</w:t>
            </w:r>
          </w:p>
        </w:tc>
      </w:tr>
      <w:tr w:rsidR="004B0F47" w:rsidRPr="00E75964" w14:paraId="327DE5FD" w14:textId="77777777" w:rsidTr="004B0F47">
        <w:trPr>
          <w:trHeight w:val="225"/>
          <w:jc w:val="center"/>
        </w:trPr>
        <w:tc>
          <w:tcPr>
            <w:tcW w:w="152" w:type="pct"/>
            <w:vMerge/>
            <w:tcBorders>
              <w:bottom w:val="single" w:sz="4" w:space="0" w:color="auto"/>
            </w:tcBorders>
          </w:tcPr>
          <w:p w14:paraId="1CC5992A" w14:textId="77777777" w:rsidR="00CE65B6" w:rsidRPr="00E75964" w:rsidRDefault="00CE65B6" w:rsidP="001D5DA1">
            <w:pPr>
              <w:autoSpaceDE w:val="0"/>
              <w:autoSpaceDN w:val="0"/>
              <w:adjustRightInd w:val="0"/>
              <w:spacing w:line="240" w:lineRule="auto"/>
              <w:contextualSpacing/>
              <w:jc w:val="center"/>
              <w:rPr>
                <w:rFonts w:ascii="Garamond" w:hAnsi="Garamond" w:cs="Arial"/>
              </w:rPr>
            </w:pPr>
          </w:p>
        </w:tc>
        <w:tc>
          <w:tcPr>
            <w:tcW w:w="627" w:type="pct"/>
            <w:tcBorders>
              <w:bottom w:val="single" w:sz="4" w:space="0" w:color="auto"/>
            </w:tcBorders>
            <w:vAlign w:val="bottom"/>
          </w:tcPr>
          <w:p w14:paraId="6391A138" w14:textId="77777777" w:rsidR="00CE65B6" w:rsidRPr="00E75964" w:rsidRDefault="00CE65B6" w:rsidP="001D5DA1">
            <w:pPr>
              <w:autoSpaceDE w:val="0"/>
              <w:autoSpaceDN w:val="0"/>
              <w:adjustRightInd w:val="0"/>
              <w:spacing w:line="240" w:lineRule="auto"/>
              <w:contextualSpacing/>
              <w:jc w:val="center"/>
              <w:rPr>
                <w:rFonts w:ascii="Garamond" w:hAnsi="Garamond" w:cs="Arial"/>
              </w:rPr>
            </w:pPr>
          </w:p>
        </w:tc>
        <w:tc>
          <w:tcPr>
            <w:tcW w:w="627" w:type="pct"/>
            <w:tcBorders>
              <w:bottom w:val="single" w:sz="4" w:space="0" w:color="auto"/>
            </w:tcBorders>
            <w:vAlign w:val="bottom"/>
          </w:tcPr>
          <w:p w14:paraId="64E2CDB0" w14:textId="5DAFEB82" w:rsidR="00CE65B6" w:rsidRPr="00E75964" w:rsidRDefault="00CE65B6" w:rsidP="004B0F47">
            <w:pPr>
              <w:autoSpaceDE w:val="0"/>
              <w:autoSpaceDN w:val="0"/>
              <w:adjustRightInd w:val="0"/>
              <w:spacing w:line="240" w:lineRule="auto"/>
              <w:contextualSpacing/>
              <w:jc w:val="center"/>
              <w:rPr>
                <w:rFonts w:ascii="Garamond" w:hAnsi="Garamond" w:cs="Arial"/>
              </w:rPr>
            </w:pPr>
            <w:r w:rsidRPr="00E75964">
              <w:rPr>
                <w:rFonts w:ascii="Garamond" w:hAnsi="Garamond" w:cs="Arial"/>
              </w:rPr>
              <w:t>[1.</w:t>
            </w:r>
            <w:r w:rsidR="006C563D" w:rsidRPr="00E75964">
              <w:rPr>
                <w:rFonts w:ascii="Garamond" w:hAnsi="Garamond" w:cs="Arial"/>
              </w:rPr>
              <w:t>4</w:t>
            </w:r>
            <w:r w:rsidR="00836D9B" w:rsidRPr="00E75964">
              <w:rPr>
                <w:rFonts w:ascii="Garamond" w:hAnsi="Garamond" w:cs="Arial"/>
              </w:rPr>
              <w:t>8</w:t>
            </w:r>
            <w:r w:rsidR="006C563D" w:rsidRPr="00E75964">
              <w:rPr>
                <w:rFonts w:ascii="Garamond" w:hAnsi="Garamond" w:cs="Arial"/>
              </w:rPr>
              <w:t>44</w:t>
            </w:r>
            <w:r w:rsidRPr="00E75964">
              <w:rPr>
                <w:rFonts w:ascii="Garamond" w:hAnsi="Garamond" w:cs="Arial"/>
              </w:rPr>
              <w:t>]</w:t>
            </w:r>
          </w:p>
        </w:tc>
        <w:tc>
          <w:tcPr>
            <w:tcW w:w="593" w:type="pct"/>
            <w:tcBorders>
              <w:bottom w:val="single" w:sz="4" w:space="0" w:color="auto"/>
            </w:tcBorders>
            <w:vAlign w:val="bottom"/>
          </w:tcPr>
          <w:p w14:paraId="6BF9CBCD" w14:textId="7E03EE5D" w:rsidR="00CE65B6" w:rsidRPr="00E75964" w:rsidRDefault="00CE65B6" w:rsidP="004B0F47">
            <w:pPr>
              <w:autoSpaceDE w:val="0"/>
              <w:autoSpaceDN w:val="0"/>
              <w:adjustRightInd w:val="0"/>
              <w:spacing w:line="240" w:lineRule="auto"/>
              <w:contextualSpacing/>
              <w:jc w:val="center"/>
              <w:rPr>
                <w:rFonts w:ascii="Garamond" w:hAnsi="Garamond" w:cs="Arial"/>
              </w:rPr>
            </w:pPr>
            <w:r w:rsidRPr="00E75964">
              <w:rPr>
                <w:rFonts w:ascii="Garamond" w:hAnsi="Garamond" w:cs="Arial"/>
              </w:rPr>
              <w:t>[</w:t>
            </w:r>
            <w:r w:rsidR="004B0F47" w:rsidRPr="00E75964">
              <w:rPr>
                <w:rFonts w:ascii="Garamond" w:hAnsi="Garamond" w:cs="Arial"/>
              </w:rPr>
              <w:t>1</w:t>
            </w:r>
            <w:r w:rsidRPr="00E75964">
              <w:rPr>
                <w:rFonts w:ascii="Garamond" w:hAnsi="Garamond" w:cs="Arial"/>
              </w:rPr>
              <w:t>.</w:t>
            </w:r>
            <w:r w:rsidR="006C563D" w:rsidRPr="00E75964">
              <w:rPr>
                <w:rFonts w:ascii="Garamond" w:hAnsi="Garamond" w:cs="Arial"/>
              </w:rPr>
              <w:t>7</w:t>
            </w:r>
            <w:r w:rsidR="00836D9B" w:rsidRPr="00E75964">
              <w:rPr>
                <w:rFonts w:ascii="Garamond" w:hAnsi="Garamond" w:cs="Arial"/>
              </w:rPr>
              <w:t>6</w:t>
            </w:r>
            <w:r w:rsidR="006C563D" w:rsidRPr="00E75964">
              <w:rPr>
                <w:rFonts w:ascii="Garamond" w:hAnsi="Garamond" w:cs="Arial"/>
              </w:rPr>
              <w:t>84</w:t>
            </w:r>
            <w:r w:rsidRPr="00E75964">
              <w:rPr>
                <w:rFonts w:ascii="Garamond" w:hAnsi="Garamond" w:cs="Arial"/>
              </w:rPr>
              <w:t>]</w:t>
            </w:r>
          </w:p>
        </w:tc>
        <w:tc>
          <w:tcPr>
            <w:tcW w:w="606" w:type="pct"/>
            <w:tcBorders>
              <w:bottom w:val="single" w:sz="4" w:space="0" w:color="auto"/>
            </w:tcBorders>
            <w:vAlign w:val="bottom"/>
          </w:tcPr>
          <w:p w14:paraId="690C62C5" w14:textId="2E5C55E1" w:rsidR="00CE65B6" w:rsidRPr="00E75964" w:rsidRDefault="00CE65B6" w:rsidP="004B0F47">
            <w:pPr>
              <w:autoSpaceDE w:val="0"/>
              <w:autoSpaceDN w:val="0"/>
              <w:adjustRightInd w:val="0"/>
              <w:spacing w:line="240" w:lineRule="auto"/>
              <w:contextualSpacing/>
              <w:jc w:val="center"/>
              <w:rPr>
                <w:rFonts w:ascii="Garamond" w:hAnsi="Garamond" w:cs="Arial"/>
              </w:rPr>
            </w:pPr>
            <w:r w:rsidRPr="00E75964">
              <w:rPr>
                <w:rFonts w:ascii="Garamond" w:hAnsi="Garamond" w:cs="Arial"/>
              </w:rPr>
              <w:t>[-0.</w:t>
            </w:r>
            <w:r w:rsidR="006C563D" w:rsidRPr="00E75964">
              <w:rPr>
                <w:rFonts w:ascii="Garamond" w:hAnsi="Garamond" w:cs="Arial"/>
              </w:rPr>
              <w:t>7764</w:t>
            </w:r>
            <w:r w:rsidRPr="00E75964">
              <w:rPr>
                <w:rFonts w:ascii="Garamond" w:hAnsi="Garamond" w:cs="Arial"/>
              </w:rPr>
              <w:t>]</w:t>
            </w:r>
          </w:p>
        </w:tc>
        <w:tc>
          <w:tcPr>
            <w:tcW w:w="823" w:type="pct"/>
            <w:tcBorders>
              <w:bottom w:val="single" w:sz="4" w:space="0" w:color="auto"/>
            </w:tcBorders>
            <w:vAlign w:val="bottom"/>
          </w:tcPr>
          <w:p w14:paraId="1B35FD9B" w14:textId="28FAF393" w:rsidR="00CE65B6" w:rsidRPr="00E75964" w:rsidRDefault="00CE65B6" w:rsidP="004B0F47">
            <w:pPr>
              <w:autoSpaceDE w:val="0"/>
              <w:autoSpaceDN w:val="0"/>
              <w:adjustRightInd w:val="0"/>
              <w:spacing w:line="240" w:lineRule="auto"/>
              <w:contextualSpacing/>
              <w:jc w:val="center"/>
              <w:rPr>
                <w:rFonts w:ascii="Garamond" w:hAnsi="Garamond" w:cs="Arial"/>
              </w:rPr>
            </w:pPr>
            <w:r w:rsidRPr="00E75964">
              <w:rPr>
                <w:rFonts w:ascii="Garamond" w:hAnsi="Garamond" w:cs="Arial"/>
              </w:rPr>
              <w:t>[1.</w:t>
            </w:r>
            <w:r w:rsidR="006C563D" w:rsidRPr="00E75964">
              <w:rPr>
                <w:rFonts w:ascii="Garamond" w:hAnsi="Garamond" w:cs="Arial"/>
              </w:rPr>
              <w:t>4</w:t>
            </w:r>
            <w:r w:rsidRPr="00E75964">
              <w:rPr>
                <w:rFonts w:ascii="Garamond" w:hAnsi="Garamond" w:cs="Arial"/>
              </w:rPr>
              <w:t>2</w:t>
            </w:r>
            <w:r w:rsidR="006C563D" w:rsidRPr="00E75964">
              <w:rPr>
                <w:rFonts w:ascii="Garamond" w:hAnsi="Garamond" w:cs="Arial"/>
              </w:rPr>
              <w:t>61</w:t>
            </w:r>
            <w:r w:rsidRPr="00E75964">
              <w:rPr>
                <w:rFonts w:ascii="Garamond" w:hAnsi="Garamond" w:cs="Arial"/>
              </w:rPr>
              <w:t>]</w:t>
            </w:r>
          </w:p>
        </w:tc>
        <w:tc>
          <w:tcPr>
            <w:tcW w:w="776" w:type="pct"/>
            <w:tcBorders>
              <w:bottom w:val="single" w:sz="4" w:space="0" w:color="auto"/>
            </w:tcBorders>
            <w:vAlign w:val="bottom"/>
          </w:tcPr>
          <w:p w14:paraId="014ED537" w14:textId="363C8605" w:rsidR="00CE65B6" w:rsidRPr="00E75964" w:rsidRDefault="00CE65B6" w:rsidP="004B0F47">
            <w:pPr>
              <w:autoSpaceDE w:val="0"/>
              <w:autoSpaceDN w:val="0"/>
              <w:adjustRightInd w:val="0"/>
              <w:spacing w:line="240" w:lineRule="auto"/>
              <w:contextualSpacing/>
              <w:jc w:val="center"/>
              <w:rPr>
                <w:rFonts w:ascii="Garamond" w:hAnsi="Garamond" w:cs="Arial"/>
              </w:rPr>
            </w:pPr>
            <w:r w:rsidRPr="00E75964">
              <w:rPr>
                <w:rFonts w:ascii="Garamond" w:hAnsi="Garamond" w:cs="Arial"/>
              </w:rPr>
              <w:t>[</w:t>
            </w:r>
            <w:r w:rsidR="004B0F47" w:rsidRPr="00E75964">
              <w:rPr>
                <w:rFonts w:ascii="Garamond" w:hAnsi="Garamond" w:cs="Arial"/>
              </w:rPr>
              <w:t>1</w:t>
            </w:r>
            <w:r w:rsidRPr="00E75964">
              <w:rPr>
                <w:rFonts w:ascii="Garamond" w:hAnsi="Garamond" w:cs="Arial"/>
              </w:rPr>
              <w:t>.</w:t>
            </w:r>
            <w:r w:rsidR="006C563D" w:rsidRPr="00E75964">
              <w:rPr>
                <w:rFonts w:ascii="Garamond" w:hAnsi="Garamond" w:cs="Arial"/>
              </w:rPr>
              <w:t>8</w:t>
            </w:r>
            <w:r w:rsidR="00836D9B" w:rsidRPr="00E75964">
              <w:rPr>
                <w:rFonts w:ascii="Garamond" w:hAnsi="Garamond" w:cs="Arial"/>
              </w:rPr>
              <w:t>74</w:t>
            </w:r>
            <w:r w:rsidR="006C563D" w:rsidRPr="00E75964">
              <w:rPr>
                <w:rFonts w:ascii="Garamond" w:hAnsi="Garamond" w:cs="Arial"/>
              </w:rPr>
              <w:t>7</w:t>
            </w:r>
            <w:r w:rsidRPr="00E75964">
              <w:rPr>
                <w:rFonts w:ascii="Garamond" w:hAnsi="Garamond" w:cs="Arial"/>
              </w:rPr>
              <w:t>]</w:t>
            </w:r>
          </w:p>
        </w:tc>
        <w:tc>
          <w:tcPr>
            <w:tcW w:w="796" w:type="pct"/>
            <w:tcBorders>
              <w:bottom w:val="single" w:sz="4" w:space="0" w:color="auto"/>
            </w:tcBorders>
            <w:vAlign w:val="bottom"/>
          </w:tcPr>
          <w:p w14:paraId="48565168" w14:textId="12D0777F" w:rsidR="00CE65B6" w:rsidRPr="00E75964" w:rsidRDefault="00CE65B6" w:rsidP="004B0F47">
            <w:pPr>
              <w:autoSpaceDE w:val="0"/>
              <w:autoSpaceDN w:val="0"/>
              <w:adjustRightInd w:val="0"/>
              <w:spacing w:line="240" w:lineRule="auto"/>
              <w:contextualSpacing/>
              <w:jc w:val="center"/>
              <w:rPr>
                <w:rFonts w:ascii="Garamond" w:hAnsi="Garamond" w:cs="Arial"/>
              </w:rPr>
            </w:pPr>
            <w:r w:rsidRPr="00E75964">
              <w:rPr>
                <w:rFonts w:ascii="Garamond" w:hAnsi="Garamond" w:cs="Arial"/>
              </w:rPr>
              <w:t>[0.6</w:t>
            </w:r>
            <w:r w:rsidR="006C563D" w:rsidRPr="00E75964">
              <w:rPr>
                <w:rFonts w:ascii="Garamond" w:hAnsi="Garamond" w:cs="Arial"/>
              </w:rPr>
              <w:t>3</w:t>
            </w:r>
            <w:r w:rsidR="00836D9B" w:rsidRPr="00E75964">
              <w:rPr>
                <w:rFonts w:ascii="Garamond" w:hAnsi="Garamond" w:cs="Arial"/>
              </w:rPr>
              <w:t>8</w:t>
            </w:r>
            <w:r w:rsidR="006C563D" w:rsidRPr="00E75964">
              <w:rPr>
                <w:rFonts w:ascii="Garamond" w:hAnsi="Garamond" w:cs="Arial"/>
              </w:rPr>
              <w:t>3</w:t>
            </w:r>
            <w:r w:rsidRPr="00E75964">
              <w:rPr>
                <w:rFonts w:ascii="Garamond" w:hAnsi="Garamond" w:cs="Arial"/>
              </w:rPr>
              <w:t>]</w:t>
            </w:r>
          </w:p>
        </w:tc>
      </w:tr>
    </w:tbl>
    <w:p w14:paraId="22ECECBC" w14:textId="7FC201B1" w:rsidR="00CE65B6" w:rsidRPr="00E75964" w:rsidRDefault="008E6BA8" w:rsidP="00CD604B">
      <w:pPr>
        <w:spacing w:line="360" w:lineRule="auto"/>
        <w:jc w:val="both"/>
        <w:rPr>
          <w:rFonts w:ascii="Garamond" w:hAnsi="Garamond" w:cs="Arial"/>
        </w:rPr>
      </w:pPr>
      <w:r>
        <w:rPr>
          <w:rFonts w:ascii="Garamond" w:hAnsi="Garamond" w:cs="Arial"/>
        </w:rPr>
        <w:t xml:space="preserve">Note: </w:t>
      </w:r>
      <w:r w:rsidR="00D52E2E" w:rsidRPr="00E75964">
        <w:rPr>
          <w:rFonts w:ascii="Garamond" w:hAnsi="Garamond" w:cs="Arial"/>
        </w:rPr>
        <w:t>**</w:t>
      </w:r>
      <w:r w:rsidR="00DB6321" w:rsidRPr="00E75964">
        <w:rPr>
          <w:rFonts w:ascii="Garamond" w:hAnsi="Garamond" w:cs="Arial"/>
        </w:rPr>
        <w:t xml:space="preserve">*, </w:t>
      </w:r>
      <w:r w:rsidR="00CE65B6" w:rsidRPr="00E75964">
        <w:rPr>
          <w:rFonts w:ascii="Garamond" w:hAnsi="Garamond" w:cs="Arial"/>
        </w:rPr>
        <w:t xml:space="preserve">** and * indicate significance at the </w:t>
      </w:r>
      <w:r w:rsidR="00DB6321" w:rsidRPr="00E75964">
        <w:rPr>
          <w:rFonts w:ascii="Garamond" w:hAnsi="Garamond" w:cs="Arial"/>
        </w:rPr>
        <w:t xml:space="preserve">1%, </w:t>
      </w:r>
      <w:r w:rsidR="00CE65B6" w:rsidRPr="00E75964">
        <w:rPr>
          <w:rFonts w:ascii="Garamond" w:hAnsi="Garamond" w:cs="Arial"/>
        </w:rPr>
        <w:t>5% and 1</w:t>
      </w:r>
      <w:r w:rsidR="00D52E2E" w:rsidRPr="00E75964">
        <w:rPr>
          <w:rFonts w:ascii="Garamond" w:hAnsi="Garamond" w:cs="Arial"/>
        </w:rPr>
        <w:t>0</w:t>
      </w:r>
      <w:r w:rsidR="00CE65B6" w:rsidRPr="00E75964">
        <w:rPr>
          <w:rFonts w:ascii="Garamond" w:hAnsi="Garamond" w:cs="Arial"/>
        </w:rPr>
        <w:t xml:space="preserve">% levels respectively. </w:t>
      </w:r>
      <w:proofErr w:type="gramStart"/>
      <w:r w:rsidR="00CE65B6" w:rsidRPr="00E75964">
        <w:rPr>
          <w:rFonts w:ascii="Garamond" w:hAnsi="Garamond" w:cs="Arial"/>
        </w:rPr>
        <w:t>t-statistics</w:t>
      </w:r>
      <w:proofErr w:type="gramEnd"/>
      <w:r w:rsidR="00CE65B6" w:rsidRPr="00E75964">
        <w:rPr>
          <w:rFonts w:ascii="Garamond" w:hAnsi="Garamond" w:cs="Arial"/>
        </w:rPr>
        <w:t xml:space="preserve"> are in [ ]</w:t>
      </w:r>
    </w:p>
    <w:p w14:paraId="7642A942" w14:textId="4158CFD7"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As expected, the highest and significantly positive Thursday-Sunday contemporaneous correlation (0.2</w:t>
      </w:r>
      <w:r w:rsidR="00B314C1" w:rsidRPr="00E75964">
        <w:rPr>
          <w:rFonts w:ascii="Garamond" w:hAnsi="Garamond"/>
          <w:sz w:val="24"/>
          <w:szCs w:val="24"/>
        </w:rPr>
        <w:t>2</w:t>
      </w:r>
      <w:r w:rsidRPr="00E75964">
        <w:rPr>
          <w:rFonts w:ascii="Garamond" w:hAnsi="Garamond"/>
          <w:sz w:val="24"/>
          <w:szCs w:val="24"/>
        </w:rPr>
        <w:t>7</w:t>
      </w:r>
      <w:r w:rsidR="00B314C1" w:rsidRPr="00E75964">
        <w:rPr>
          <w:rFonts w:ascii="Garamond" w:hAnsi="Garamond"/>
          <w:sz w:val="24"/>
          <w:szCs w:val="24"/>
        </w:rPr>
        <w:t>8</w:t>
      </w:r>
      <w:r w:rsidRPr="00E75964">
        <w:rPr>
          <w:rFonts w:ascii="Garamond" w:hAnsi="Garamond"/>
          <w:sz w:val="24"/>
          <w:szCs w:val="24"/>
        </w:rPr>
        <w:t xml:space="preserve">) is between returns for the smallest firms. Surprisingly, the Sunday returns of the smallest group is also significantly correlated with the Thursday returns of the mid-sized </w:t>
      </w:r>
      <w:r w:rsidR="00455FCD">
        <w:rPr>
          <w:rFonts w:ascii="Garamond" w:hAnsi="Garamond"/>
          <w:sz w:val="24"/>
          <w:szCs w:val="24"/>
        </w:rPr>
        <w:t xml:space="preserve">firms </w:t>
      </w:r>
      <w:r w:rsidRPr="00E75964">
        <w:rPr>
          <w:rFonts w:ascii="Garamond" w:hAnsi="Garamond"/>
          <w:sz w:val="24"/>
          <w:szCs w:val="24"/>
        </w:rPr>
        <w:t>(0.0</w:t>
      </w:r>
      <w:r w:rsidR="00B314C1" w:rsidRPr="00E75964">
        <w:rPr>
          <w:rFonts w:ascii="Garamond" w:hAnsi="Garamond"/>
          <w:sz w:val="24"/>
          <w:szCs w:val="24"/>
        </w:rPr>
        <w:t>856</w:t>
      </w:r>
      <w:r w:rsidRPr="00E75964">
        <w:rPr>
          <w:rFonts w:ascii="Garamond" w:hAnsi="Garamond"/>
          <w:sz w:val="24"/>
          <w:szCs w:val="24"/>
        </w:rPr>
        <w:t>)</w:t>
      </w:r>
      <w:r w:rsidR="00B314C1" w:rsidRPr="00E75964">
        <w:rPr>
          <w:rFonts w:ascii="Garamond" w:hAnsi="Garamond"/>
          <w:sz w:val="24"/>
          <w:szCs w:val="24"/>
        </w:rPr>
        <w:t>.</w:t>
      </w:r>
      <w:r w:rsidRPr="00E75964">
        <w:rPr>
          <w:rFonts w:ascii="Garamond" w:hAnsi="Garamond"/>
          <w:sz w:val="24"/>
          <w:szCs w:val="24"/>
        </w:rPr>
        <w:t xml:space="preserve"> There is a strong Thursday-Sunday positive returns correlation (0.1</w:t>
      </w:r>
      <w:r w:rsidR="00B314C1" w:rsidRPr="00E75964">
        <w:rPr>
          <w:rFonts w:ascii="Garamond" w:hAnsi="Garamond"/>
          <w:sz w:val="24"/>
          <w:szCs w:val="24"/>
        </w:rPr>
        <w:t>416</w:t>
      </w:r>
      <w:r w:rsidRPr="00E75964">
        <w:rPr>
          <w:rFonts w:ascii="Garamond" w:hAnsi="Garamond"/>
          <w:sz w:val="24"/>
          <w:szCs w:val="24"/>
        </w:rPr>
        <w:t xml:space="preserve">) between mid-sized firms as well. The Sunday </w:t>
      </w:r>
      <w:r w:rsidR="001D5DA1" w:rsidRPr="00E75964">
        <w:rPr>
          <w:rFonts w:ascii="Garamond" w:hAnsi="Garamond"/>
          <w:sz w:val="24"/>
          <w:szCs w:val="24"/>
        </w:rPr>
        <w:t>returns of mid-sized firms are</w:t>
      </w:r>
      <w:r w:rsidRPr="00E75964">
        <w:rPr>
          <w:rFonts w:ascii="Garamond" w:hAnsi="Garamond"/>
          <w:sz w:val="24"/>
          <w:szCs w:val="24"/>
        </w:rPr>
        <w:t xml:space="preserve"> also influenced by the smallest group (0.0</w:t>
      </w:r>
      <w:r w:rsidR="00EE0241" w:rsidRPr="00E75964">
        <w:rPr>
          <w:rFonts w:ascii="Garamond" w:hAnsi="Garamond"/>
          <w:sz w:val="24"/>
          <w:szCs w:val="24"/>
        </w:rPr>
        <w:t>8</w:t>
      </w:r>
      <w:r w:rsidR="00B314C1" w:rsidRPr="00E75964">
        <w:rPr>
          <w:rFonts w:ascii="Garamond" w:hAnsi="Garamond"/>
          <w:sz w:val="24"/>
          <w:szCs w:val="24"/>
        </w:rPr>
        <w:t>76</w:t>
      </w:r>
      <w:r w:rsidRPr="00E75964">
        <w:rPr>
          <w:rFonts w:ascii="Garamond" w:hAnsi="Garamond"/>
          <w:sz w:val="24"/>
          <w:szCs w:val="24"/>
        </w:rPr>
        <w:t xml:space="preserve">) </w:t>
      </w:r>
      <w:r w:rsidR="00004364" w:rsidRPr="00E75964">
        <w:rPr>
          <w:rFonts w:ascii="Garamond" w:hAnsi="Garamond"/>
          <w:sz w:val="24"/>
          <w:szCs w:val="24"/>
        </w:rPr>
        <w:t>o</w:t>
      </w:r>
      <w:r w:rsidR="00455FCD">
        <w:rPr>
          <w:rFonts w:ascii="Garamond" w:hAnsi="Garamond"/>
          <w:sz w:val="24"/>
          <w:szCs w:val="24"/>
        </w:rPr>
        <w:t>n</w:t>
      </w:r>
      <w:r w:rsidR="00004364" w:rsidRPr="00E75964">
        <w:rPr>
          <w:rFonts w:ascii="Garamond" w:hAnsi="Garamond"/>
          <w:sz w:val="24"/>
          <w:szCs w:val="24"/>
        </w:rPr>
        <w:t xml:space="preserve"> Thursday </w:t>
      </w:r>
      <w:r w:rsidRPr="00E75964">
        <w:rPr>
          <w:rFonts w:ascii="Garamond" w:hAnsi="Garamond"/>
          <w:sz w:val="24"/>
          <w:szCs w:val="24"/>
        </w:rPr>
        <w:t xml:space="preserve">and this is statistically significant at the </w:t>
      </w:r>
      <w:r w:rsidR="00004364" w:rsidRPr="00E75964">
        <w:rPr>
          <w:rFonts w:ascii="Garamond" w:hAnsi="Garamond"/>
          <w:sz w:val="24"/>
          <w:szCs w:val="24"/>
        </w:rPr>
        <w:t>5</w:t>
      </w:r>
      <w:r w:rsidRPr="00E75964">
        <w:rPr>
          <w:rFonts w:ascii="Garamond" w:hAnsi="Garamond"/>
          <w:sz w:val="24"/>
          <w:szCs w:val="24"/>
        </w:rPr>
        <w:t xml:space="preserve">% level. The Thursday-Sunday returns for the largest firms are barely correlated and </w:t>
      </w:r>
      <w:r w:rsidR="00AA1956" w:rsidRPr="00E75964">
        <w:rPr>
          <w:rFonts w:ascii="Garamond" w:hAnsi="Garamond"/>
          <w:sz w:val="24"/>
          <w:szCs w:val="24"/>
        </w:rPr>
        <w:t xml:space="preserve">the correlation </w:t>
      </w:r>
      <w:r w:rsidRPr="00E75964">
        <w:rPr>
          <w:rFonts w:ascii="Garamond" w:hAnsi="Garamond"/>
          <w:sz w:val="24"/>
          <w:szCs w:val="24"/>
        </w:rPr>
        <w:t>is not statistically significant.</w:t>
      </w:r>
    </w:p>
    <w:p w14:paraId="76643552" w14:textId="072A543C"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Conversely, we use the residuals from the returns models of each firm-size portfolio to determine the contemporaneous correlation between the variances of Thursday-Sunday returns. The results are very much consistent with those </w:t>
      </w:r>
      <w:r w:rsidR="00AA1956" w:rsidRPr="00E75964">
        <w:rPr>
          <w:rFonts w:ascii="Garamond" w:hAnsi="Garamond"/>
          <w:sz w:val="24"/>
          <w:szCs w:val="24"/>
        </w:rPr>
        <w:t>o</w:t>
      </w:r>
      <w:r w:rsidRPr="00E75964">
        <w:rPr>
          <w:rFonts w:ascii="Garamond" w:hAnsi="Garamond"/>
          <w:sz w:val="24"/>
          <w:szCs w:val="24"/>
        </w:rPr>
        <w:t>f the returns: the highest and significant positive correlation is found in the smallest group (0.</w:t>
      </w:r>
      <w:r w:rsidR="00EE0241" w:rsidRPr="00E75964">
        <w:rPr>
          <w:rFonts w:ascii="Garamond" w:hAnsi="Garamond"/>
          <w:sz w:val="24"/>
          <w:szCs w:val="24"/>
        </w:rPr>
        <w:t>2</w:t>
      </w:r>
      <w:r w:rsidR="00B314C1" w:rsidRPr="00E75964">
        <w:rPr>
          <w:rFonts w:ascii="Garamond" w:hAnsi="Garamond"/>
          <w:sz w:val="24"/>
          <w:szCs w:val="24"/>
        </w:rPr>
        <w:t>436</w:t>
      </w:r>
      <w:r w:rsidRPr="00E75964">
        <w:rPr>
          <w:rFonts w:ascii="Garamond" w:hAnsi="Garamond"/>
          <w:sz w:val="24"/>
          <w:szCs w:val="24"/>
        </w:rPr>
        <w:t>) and then between mid-sized firms (0.12</w:t>
      </w:r>
      <w:r w:rsidR="00B314C1" w:rsidRPr="00E75964">
        <w:rPr>
          <w:rFonts w:ascii="Garamond" w:hAnsi="Garamond"/>
          <w:sz w:val="24"/>
          <w:szCs w:val="24"/>
        </w:rPr>
        <w:t>3</w:t>
      </w:r>
      <w:r w:rsidR="00EE0241" w:rsidRPr="00E75964">
        <w:rPr>
          <w:rFonts w:ascii="Garamond" w:hAnsi="Garamond"/>
          <w:sz w:val="24"/>
          <w:szCs w:val="24"/>
        </w:rPr>
        <w:t>3</w:t>
      </w:r>
      <w:r w:rsidRPr="00E75964">
        <w:rPr>
          <w:rFonts w:ascii="Garamond" w:hAnsi="Garamond"/>
          <w:sz w:val="24"/>
          <w:szCs w:val="24"/>
        </w:rPr>
        <w:t>). The correlation between the variance</w:t>
      </w:r>
      <w:r w:rsidR="00AA1956" w:rsidRPr="00E75964">
        <w:rPr>
          <w:rFonts w:ascii="Garamond" w:hAnsi="Garamond"/>
          <w:sz w:val="24"/>
          <w:szCs w:val="24"/>
        </w:rPr>
        <w:t>s</w:t>
      </w:r>
      <w:r w:rsidRPr="00E75964">
        <w:rPr>
          <w:rFonts w:ascii="Garamond" w:hAnsi="Garamond"/>
          <w:sz w:val="24"/>
          <w:szCs w:val="24"/>
        </w:rPr>
        <w:t xml:space="preserve"> of the largest firms is again very </w:t>
      </w:r>
      <w:r w:rsidR="008739DC" w:rsidRPr="00E75964">
        <w:rPr>
          <w:rFonts w:ascii="Garamond" w:hAnsi="Garamond"/>
          <w:sz w:val="24"/>
          <w:szCs w:val="24"/>
        </w:rPr>
        <w:t>low</w:t>
      </w:r>
      <w:r w:rsidRPr="00E75964">
        <w:rPr>
          <w:rFonts w:ascii="Garamond" w:hAnsi="Garamond"/>
          <w:sz w:val="24"/>
          <w:szCs w:val="24"/>
        </w:rPr>
        <w:t xml:space="preserve"> and not statistically significant. The variance of the smallest portfolio is positively influenced by the variance of mid-sized</w:t>
      </w:r>
      <w:r w:rsidR="00455FCD">
        <w:rPr>
          <w:rFonts w:ascii="Garamond" w:hAnsi="Garamond"/>
          <w:sz w:val="24"/>
          <w:szCs w:val="24"/>
        </w:rPr>
        <w:t xml:space="preserve"> firms</w:t>
      </w:r>
      <w:r w:rsidRPr="00E75964">
        <w:rPr>
          <w:rFonts w:ascii="Garamond" w:hAnsi="Garamond"/>
          <w:sz w:val="24"/>
          <w:szCs w:val="24"/>
        </w:rPr>
        <w:t xml:space="preserve"> (0.0</w:t>
      </w:r>
      <w:r w:rsidR="00EE0241" w:rsidRPr="00E75964">
        <w:rPr>
          <w:rFonts w:ascii="Garamond" w:hAnsi="Garamond"/>
          <w:sz w:val="24"/>
          <w:szCs w:val="24"/>
        </w:rPr>
        <w:t>9</w:t>
      </w:r>
      <w:r w:rsidR="008739DC" w:rsidRPr="00E75964">
        <w:rPr>
          <w:rFonts w:ascii="Garamond" w:hAnsi="Garamond"/>
          <w:sz w:val="24"/>
          <w:szCs w:val="24"/>
        </w:rPr>
        <w:t>33</w:t>
      </w:r>
      <w:r w:rsidRPr="00E75964">
        <w:rPr>
          <w:rFonts w:ascii="Garamond" w:hAnsi="Garamond"/>
          <w:sz w:val="24"/>
          <w:szCs w:val="24"/>
        </w:rPr>
        <w:t>)</w:t>
      </w:r>
      <w:r w:rsidR="008739DC" w:rsidRPr="00E75964">
        <w:rPr>
          <w:rFonts w:ascii="Garamond" w:hAnsi="Garamond"/>
          <w:sz w:val="24"/>
          <w:szCs w:val="24"/>
        </w:rPr>
        <w:t xml:space="preserve"> as well</w:t>
      </w:r>
      <w:r w:rsidRPr="00E75964">
        <w:rPr>
          <w:rFonts w:ascii="Garamond" w:hAnsi="Garamond"/>
          <w:sz w:val="24"/>
          <w:szCs w:val="24"/>
        </w:rPr>
        <w:t>. Finally, the Sunday returns variance for mid-sized firms is positively correlated (0.</w:t>
      </w:r>
      <w:r w:rsidR="008739DC" w:rsidRPr="00E75964">
        <w:rPr>
          <w:rFonts w:ascii="Garamond" w:hAnsi="Garamond"/>
          <w:sz w:val="24"/>
          <w:szCs w:val="24"/>
        </w:rPr>
        <w:t>1096</w:t>
      </w:r>
      <w:r w:rsidRPr="00E75964">
        <w:rPr>
          <w:rFonts w:ascii="Garamond" w:hAnsi="Garamond"/>
          <w:sz w:val="24"/>
          <w:szCs w:val="24"/>
        </w:rPr>
        <w:t xml:space="preserve">) with the smallest firms and it is significant at the </w:t>
      </w:r>
      <w:r w:rsidR="008739DC" w:rsidRPr="00E75964">
        <w:rPr>
          <w:rFonts w:ascii="Garamond" w:hAnsi="Garamond"/>
          <w:sz w:val="24"/>
          <w:szCs w:val="24"/>
        </w:rPr>
        <w:t>5</w:t>
      </w:r>
      <w:r w:rsidRPr="00E75964">
        <w:rPr>
          <w:rFonts w:ascii="Garamond" w:hAnsi="Garamond"/>
          <w:sz w:val="24"/>
          <w:szCs w:val="24"/>
        </w:rPr>
        <w:t xml:space="preserve">% level. These contemporaneous correlation results for the DSE are similar to those of Abraham and Ikenberry (1994). They report a positive correlation between Monday returns and the returns from the previous Friday, and it is particularly strong for small and mid-sized stocks. </w:t>
      </w:r>
    </w:p>
    <w:p w14:paraId="7D5E7DCD" w14:textId="1261721A" w:rsidR="00F44591" w:rsidRPr="00E75964" w:rsidRDefault="00CE65B6" w:rsidP="00CD604B">
      <w:pPr>
        <w:spacing w:line="360" w:lineRule="auto"/>
        <w:jc w:val="both"/>
        <w:rPr>
          <w:rFonts w:ascii="Garamond" w:hAnsi="Garamond" w:cs="Arial"/>
          <w:sz w:val="24"/>
          <w:szCs w:val="24"/>
        </w:rPr>
      </w:pPr>
      <w:r w:rsidRPr="00E75964">
        <w:rPr>
          <w:rFonts w:ascii="Garamond" w:hAnsi="Garamond" w:cs="Arial"/>
          <w:sz w:val="24"/>
          <w:szCs w:val="24"/>
        </w:rPr>
        <w:t>We extend the analysis by dividing firms into ten deciles and focusing on the firm-level characteristics. We create unconditional and conditional Sunday proportions following the methodology suggested in Brusa et al. (2000). Here the unconditional proportion represents the total number of positive and negative returns on Sunday. Th</w:t>
      </w:r>
      <w:r w:rsidR="00D07613" w:rsidRPr="00E75964">
        <w:rPr>
          <w:rFonts w:ascii="Garamond" w:hAnsi="Garamond" w:cs="Arial"/>
          <w:sz w:val="24"/>
          <w:szCs w:val="24"/>
        </w:rPr>
        <w:t>e</w:t>
      </w:r>
      <w:r w:rsidRPr="00E75964">
        <w:rPr>
          <w:rFonts w:ascii="Garamond" w:hAnsi="Garamond" w:cs="Arial"/>
          <w:sz w:val="24"/>
          <w:szCs w:val="24"/>
        </w:rPr>
        <w:t>s</w:t>
      </w:r>
      <w:r w:rsidR="00D07613" w:rsidRPr="00E75964">
        <w:rPr>
          <w:rFonts w:ascii="Garamond" w:hAnsi="Garamond" w:cs="Arial"/>
          <w:sz w:val="24"/>
          <w:szCs w:val="24"/>
        </w:rPr>
        <w:t>e</w:t>
      </w:r>
      <w:r w:rsidRPr="00E75964">
        <w:rPr>
          <w:rFonts w:ascii="Garamond" w:hAnsi="Garamond" w:cs="Arial"/>
          <w:sz w:val="24"/>
          <w:szCs w:val="24"/>
        </w:rPr>
        <w:t xml:space="preserve"> </w:t>
      </w:r>
      <w:r w:rsidR="00D07613" w:rsidRPr="00E75964">
        <w:rPr>
          <w:rFonts w:ascii="Garamond" w:hAnsi="Garamond" w:cs="Arial"/>
          <w:sz w:val="24"/>
          <w:szCs w:val="24"/>
        </w:rPr>
        <w:t xml:space="preserve">results are </w:t>
      </w:r>
      <w:r w:rsidRPr="00E75964">
        <w:rPr>
          <w:rFonts w:ascii="Garamond" w:hAnsi="Garamond" w:cs="Arial"/>
          <w:sz w:val="24"/>
          <w:szCs w:val="24"/>
        </w:rPr>
        <w:t>reported in columns</w:t>
      </w:r>
      <w:r w:rsidR="00D07613" w:rsidRPr="00E75964">
        <w:rPr>
          <w:rFonts w:ascii="Garamond" w:hAnsi="Garamond" w:cs="Arial"/>
          <w:sz w:val="24"/>
          <w:szCs w:val="24"/>
        </w:rPr>
        <w:t xml:space="preserve"> </w:t>
      </w:r>
      <w:r w:rsidR="00184188" w:rsidRPr="00E75964">
        <w:rPr>
          <w:rFonts w:ascii="Garamond" w:hAnsi="Garamond" w:cs="Arial"/>
          <w:sz w:val="24"/>
          <w:szCs w:val="24"/>
        </w:rPr>
        <w:lastRenderedPageBreak/>
        <w:t>(1)</w:t>
      </w:r>
      <w:r w:rsidR="00D07613" w:rsidRPr="00E75964">
        <w:rPr>
          <w:rFonts w:ascii="Garamond" w:hAnsi="Garamond" w:cs="Arial"/>
          <w:sz w:val="24"/>
          <w:szCs w:val="24"/>
        </w:rPr>
        <w:t xml:space="preserve"> and </w:t>
      </w:r>
      <w:r w:rsidR="00184188" w:rsidRPr="00E75964">
        <w:rPr>
          <w:rFonts w:ascii="Garamond" w:hAnsi="Garamond" w:cs="Arial"/>
          <w:sz w:val="24"/>
          <w:szCs w:val="24"/>
        </w:rPr>
        <w:t>(2)</w:t>
      </w:r>
      <w:r w:rsidRPr="00E75964">
        <w:rPr>
          <w:rFonts w:ascii="Garamond" w:hAnsi="Garamond" w:cs="Arial"/>
          <w:sz w:val="24"/>
          <w:szCs w:val="24"/>
        </w:rPr>
        <w:t xml:space="preserve"> of Table </w:t>
      </w:r>
      <w:r w:rsidR="002B41F8" w:rsidRPr="00E75964">
        <w:rPr>
          <w:rFonts w:ascii="Garamond" w:hAnsi="Garamond" w:cs="Arial"/>
          <w:sz w:val="24"/>
          <w:szCs w:val="24"/>
        </w:rPr>
        <w:t>8</w:t>
      </w:r>
      <w:r w:rsidRPr="00E75964">
        <w:rPr>
          <w:rFonts w:ascii="Garamond" w:hAnsi="Garamond" w:cs="Arial"/>
          <w:sz w:val="24"/>
          <w:szCs w:val="24"/>
        </w:rPr>
        <w:t xml:space="preserve">. </w:t>
      </w:r>
      <w:r w:rsidR="001D5DA1" w:rsidRPr="00E75964">
        <w:rPr>
          <w:rFonts w:ascii="Garamond" w:hAnsi="Garamond" w:cs="Arial"/>
          <w:sz w:val="24"/>
          <w:szCs w:val="24"/>
        </w:rPr>
        <w:t>The r</w:t>
      </w:r>
      <w:r w:rsidRPr="00E75964">
        <w:rPr>
          <w:rFonts w:ascii="Garamond" w:hAnsi="Garamond" w:cs="Arial"/>
          <w:sz w:val="24"/>
          <w:szCs w:val="24"/>
        </w:rPr>
        <w:t xml:space="preserve">esults </w:t>
      </w:r>
      <w:r w:rsidR="00D07613" w:rsidRPr="00E75964">
        <w:rPr>
          <w:rFonts w:ascii="Garamond" w:hAnsi="Garamond" w:cs="Arial"/>
          <w:sz w:val="24"/>
          <w:szCs w:val="24"/>
        </w:rPr>
        <w:t xml:space="preserve">in </w:t>
      </w:r>
      <w:r w:rsidRPr="00E75964">
        <w:rPr>
          <w:rFonts w:ascii="Garamond" w:hAnsi="Garamond" w:cs="Arial"/>
          <w:sz w:val="24"/>
          <w:szCs w:val="24"/>
        </w:rPr>
        <w:t xml:space="preserve">column </w:t>
      </w:r>
      <w:r w:rsidR="00184188" w:rsidRPr="00E75964">
        <w:rPr>
          <w:rFonts w:ascii="Garamond" w:hAnsi="Garamond" w:cs="Arial"/>
          <w:sz w:val="24"/>
          <w:szCs w:val="24"/>
        </w:rPr>
        <w:t>(3)</w:t>
      </w:r>
      <w:r w:rsidRPr="00E75964">
        <w:rPr>
          <w:rFonts w:ascii="Garamond" w:hAnsi="Garamond" w:cs="Arial"/>
          <w:sz w:val="24"/>
          <w:szCs w:val="24"/>
        </w:rPr>
        <w:t xml:space="preserve"> and </w:t>
      </w:r>
      <w:r w:rsidR="00184188" w:rsidRPr="00E75964">
        <w:rPr>
          <w:rFonts w:ascii="Garamond" w:hAnsi="Garamond" w:cs="Arial"/>
          <w:sz w:val="24"/>
          <w:szCs w:val="24"/>
        </w:rPr>
        <w:t>(4)</w:t>
      </w:r>
      <w:r w:rsidRPr="00E75964">
        <w:rPr>
          <w:rFonts w:ascii="Garamond" w:hAnsi="Garamond" w:cs="Arial"/>
          <w:sz w:val="24"/>
          <w:szCs w:val="24"/>
        </w:rPr>
        <w:t xml:space="preserve"> show the conditional Sunday proportion</w:t>
      </w:r>
      <w:r w:rsidR="001D5DA1" w:rsidRPr="00E75964">
        <w:rPr>
          <w:rFonts w:ascii="Garamond" w:hAnsi="Garamond" w:cs="Arial"/>
          <w:sz w:val="24"/>
          <w:szCs w:val="24"/>
        </w:rPr>
        <w:t>.</w:t>
      </w:r>
      <w:r w:rsidRPr="00E75964">
        <w:rPr>
          <w:rFonts w:ascii="Garamond" w:hAnsi="Garamond" w:cs="Arial"/>
          <w:sz w:val="24"/>
          <w:szCs w:val="24"/>
        </w:rPr>
        <w:t xml:space="preserve"> </w:t>
      </w:r>
      <w:r w:rsidR="001D5DA1" w:rsidRPr="00E75964">
        <w:rPr>
          <w:rFonts w:ascii="Garamond" w:hAnsi="Garamond" w:cs="Arial"/>
          <w:sz w:val="24"/>
          <w:szCs w:val="24"/>
        </w:rPr>
        <w:t xml:space="preserve">It </w:t>
      </w:r>
      <w:r w:rsidRPr="00E75964">
        <w:rPr>
          <w:rFonts w:ascii="Garamond" w:hAnsi="Garamond" w:cs="Arial"/>
          <w:sz w:val="24"/>
          <w:szCs w:val="24"/>
        </w:rPr>
        <w:t>represent</w:t>
      </w:r>
      <w:r w:rsidR="00AA1956" w:rsidRPr="00E75964">
        <w:rPr>
          <w:rFonts w:ascii="Garamond" w:hAnsi="Garamond" w:cs="Arial"/>
          <w:sz w:val="24"/>
          <w:szCs w:val="24"/>
        </w:rPr>
        <w:t>s</w:t>
      </w:r>
      <w:r w:rsidRPr="00E75964">
        <w:rPr>
          <w:rFonts w:ascii="Garamond" w:hAnsi="Garamond" w:cs="Arial"/>
          <w:sz w:val="24"/>
          <w:szCs w:val="24"/>
        </w:rPr>
        <w:t xml:space="preserve"> the </w:t>
      </w:r>
      <w:r w:rsidR="00433ADF" w:rsidRPr="00E75964">
        <w:rPr>
          <w:rFonts w:ascii="Garamond" w:hAnsi="Garamond" w:cs="Arial"/>
          <w:sz w:val="24"/>
          <w:szCs w:val="24"/>
        </w:rPr>
        <w:t>number</w:t>
      </w:r>
      <w:r w:rsidRPr="00E75964">
        <w:rPr>
          <w:rFonts w:ascii="Garamond" w:hAnsi="Garamond" w:cs="Arial"/>
          <w:sz w:val="24"/>
          <w:szCs w:val="24"/>
        </w:rPr>
        <w:t xml:space="preserve"> of </w:t>
      </w:r>
      <w:r w:rsidR="00433ADF" w:rsidRPr="00E75964">
        <w:rPr>
          <w:rFonts w:ascii="Garamond" w:hAnsi="Garamond" w:cs="Arial"/>
          <w:sz w:val="24"/>
          <w:szCs w:val="24"/>
        </w:rPr>
        <w:t xml:space="preserve">positive (negative) </w:t>
      </w:r>
      <w:r w:rsidRPr="00E75964">
        <w:rPr>
          <w:rFonts w:ascii="Garamond" w:hAnsi="Garamond" w:cs="Arial"/>
          <w:sz w:val="24"/>
          <w:szCs w:val="24"/>
        </w:rPr>
        <w:t xml:space="preserve">Sunday returns given </w:t>
      </w:r>
      <w:r w:rsidR="001D5DA1" w:rsidRPr="00E75964">
        <w:rPr>
          <w:rFonts w:ascii="Garamond" w:hAnsi="Garamond" w:cs="Arial"/>
          <w:sz w:val="24"/>
          <w:szCs w:val="24"/>
        </w:rPr>
        <w:t xml:space="preserve">that </w:t>
      </w:r>
      <w:r w:rsidRPr="00E75964">
        <w:rPr>
          <w:rFonts w:ascii="Garamond" w:hAnsi="Garamond" w:cs="Arial"/>
          <w:sz w:val="24"/>
          <w:szCs w:val="24"/>
        </w:rPr>
        <w:t xml:space="preserve">the preceding Thursday return </w:t>
      </w:r>
      <w:r w:rsidR="00B063BF" w:rsidRPr="00E75964">
        <w:rPr>
          <w:rFonts w:ascii="Garamond" w:hAnsi="Garamond" w:cs="Arial"/>
          <w:sz w:val="24"/>
          <w:szCs w:val="24"/>
        </w:rPr>
        <w:t>is</w:t>
      </w:r>
      <w:r w:rsidRPr="00E75964">
        <w:rPr>
          <w:rFonts w:ascii="Garamond" w:hAnsi="Garamond" w:cs="Arial"/>
          <w:sz w:val="24"/>
          <w:szCs w:val="24"/>
        </w:rPr>
        <w:t xml:space="preserve"> positive (negative). The statistics for unconditional and conditional independence are given in results column </w:t>
      </w:r>
      <w:r w:rsidR="00184188" w:rsidRPr="00E75964">
        <w:rPr>
          <w:rFonts w:ascii="Garamond" w:hAnsi="Garamond" w:cs="Arial"/>
          <w:sz w:val="24"/>
          <w:szCs w:val="24"/>
        </w:rPr>
        <w:t>(5)</w:t>
      </w:r>
      <w:r w:rsidRPr="00E75964">
        <w:rPr>
          <w:rFonts w:ascii="Garamond" w:hAnsi="Garamond" w:cs="Arial"/>
          <w:sz w:val="24"/>
          <w:szCs w:val="24"/>
        </w:rPr>
        <w:t xml:space="preserve">. To check the independence we split the Thursday-Sunday returns series into positive-positive, negative-negative, positive-negative and negative-positive categories and calculate Pearson’s </w:t>
      </w:r>
      <m:oMath>
        <m:sSup>
          <m:sSupPr>
            <m:ctrlPr>
              <w:rPr>
                <w:rFonts w:ascii="Cambria Math" w:hAnsi="Cambria Math" w:cs="Arial"/>
                <w:i/>
                <w:sz w:val="24"/>
                <w:szCs w:val="24"/>
              </w:rPr>
            </m:ctrlPr>
          </m:sSupPr>
          <m:e>
            <m:r>
              <w:rPr>
                <w:rFonts w:ascii="Cambria Math" w:hAnsi="Cambria Math" w:cs="Arial"/>
                <w:sz w:val="24"/>
                <w:szCs w:val="24"/>
              </w:rPr>
              <m:t>χ</m:t>
            </m:r>
          </m:e>
          <m:sup>
            <m:r>
              <w:rPr>
                <w:rFonts w:ascii="Cambria Math" w:hAnsi="Cambria Math" w:cs="Arial"/>
                <w:sz w:val="24"/>
                <w:szCs w:val="24"/>
              </w:rPr>
              <m:t>2</m:t>
            </m:r>
          </m:sup>
        </m:sSup>
      </m:oMath>
      <w:r w:rsidRPr="00E75964">
        <w:rPr>
          <w:rFonts w:ascii="Garamond" w:hAnsi="Garamond" w:cs="Arial"/>
          <w:sz w:val="24"/>
          <w:szCs w:val="24"/>
        </w:rPr>
        <w:t xml:space="preserve"> and the Phi Coefficient. Pearson’s </w:t>
      </w:r>
      <m:oMath>
        <m:sSup>
          <m:sSupPr>
            <m:ctrlPr>
              <w:rPr>
                <w:rFonts w:ascii="Cambria Math" w:hAnsi="Cambria Math" w:cs="Arial"/>
                <w:i/>
                <w:sz w:val="24"/>
                <w:szCs w:val="24"/>
              </w:rPr>
            </m:ctrlPr>
          </m:sSupPr>
          <m:e>
            <m:r>
              <w:rPr>
                <w:rFonts w:ascii="Cambria Math" w:hAnsi="Cambria Math" w:cs="Arial"/>
                <w:sz w:val="24"/>
                <w:szCs w:val="24"/>
              </w:rPr>
              <m:t>χ</m:t>
            </m:r>
          </m:e>
          <m:sup>
            <m:r>
              <w:rPr>
                <w:rFonts w:ascii="Cambria Math" w:hAnsi="Cambria Math" w:cs="Arial"/>
                <w:sz w:val="24"/>
                <w:szCs w:val="24"/>
              </w:rPr>
              <m:t>2</m:t>
            </m:r>
          </m:sup>
        </m:sSup>
      </m:oMath>
      <w:r w:rsidRPr="00E75964">
        <w:rPr>
          <w:rFonts w:ascii="Garamond" w:hAnsi="Garamond" w:cs="Arial"/>
          <w:sz w:val="24"/>
          <w:szCs w:val="24"/>
        </w:rPr>
        <w:t xml:space="preserve"> is used to measure overall unconditional independence and the Phi Coefficient is to measure conditional independence, i.e. the association between the Thursday and Sunday returns series. While the correlation coefficient only measures the linear association between series, the nonparametric Phi Coefficient is robust to departures from linearity. Finally, the </w:t>
      </w:r>
      <w:r w:rsidR="0029494E" w:rsidRPr="00E75964">
        <w:rPr>
          <w:rFonts w:ascii="Garamond" w:hAnsi="Garamond" w:cs="Arial"/>
          <w:i/>
          <w:sz w:val="24"/>
          <w:szCs w:val="24"/>
        </w:rPr>
        <w:t>z</w:t>
      </w:r>
      <w:r w:rsidR="0029494E" w:rsidRPr="00E75964">
        <w:rPr>
          <w:rFonts w:ascii="Garamond" w:hAnsi="Garamond" w:cs="Arial"/>
          <w:sz w:val="24"/>
          <w:szCs w:val="24"/>
        </w:rPr>
        <w:t>-</w:t>
      </w:r>
      <w:r w:rsidRPr="00E75964">
        <w:rPr>
          <w:rFonts w:ascii="Garamond" w:hAnsi="Garamond" w:cs="Arial"/>
          <w:sz w:val="24"/>
          <w:szCs w:val="24"/>
        </w:rPr>
        <w:t>statistics</w:t>
      </w:r>
      <w:r w:rsidR="00D07613" w:rsidRPr="00E75964">
        <w:rPr>
          <w:rFonts w:ascii="Garamond" w:hAnsi="Garamond" w:cs="Arial"/>
          <w:sz w:val="24"/>
          <w:szCs w:val="24"/>
        </w:rPr>
        <w:t>,</w:t>
      </w:r>
      <w:r w:rsidRPr="00E75964">
        <w:rPr>
          <w:rFonts w:ascii="Garamond" w:hAnsi="Garamond" w:cs="Arial"/>
          <w:sz w:val="24"/>
          <w:szCs w:val="24"/>
        </w:rPr>
        <w:t xml:space="preserve"> at the bottom of each decile’s cell in columns </w:t>
      </w:r>
      <w:r w:rsidR="00184188" w:rsidRPr="00E75964">
        <w:rPr>
          <w:rFonts w:ascii="Garamond" w:hAnsi="Garamond" w:cs="Arial"/>
          <w:sz w:val="24"/>
          <w:szCs w:val="24"/>
        </w:rPr>
        <w:t>(3)</w:t>
      </w:r>
      <w:r w:rsidRPr="00E75964">
        <w:rPr>
          <w:rFonts w:ascii="Garamond" w:hAnsi="Garamond" w:cs="Arial"/>
          <w:sz w:val="24"/>
          <w:szCs w:val="24"/>
        </w:rPr>
        <w:t xml:space="preserve"> and </w:t>
      </w:r>
      <w:r w:rsidR="00184188" w:rsidRPr="00E75964">
        <w:rPr>
          <w:rFonts w:ascii="Garamond" w:hAnsi="Garamond" w:cs="Arial"/>
          <w:sz w:val="24"/>
          <w:szCs w:val="24"/>
        </w:rPr>
        <w:t>(4)</w:t>
      </w:r>
      <w:r w:rsidR="00D07613" w:rsidRPr="00E75964">
        <w:rPr>
          <w:rFonts w:ascii="Garamond" w:hAnsi="Garamond" w:cs="Arial"/>
          <w:sz w:val="24"/>
          <w:szCs w:val="24"/>
        </w:rPr>
        <w:t>,</w:t>
      </w:r>
      <w:r w:rsidRPr="00E75964">
        <w:rPr>
          <w:rFonts w:ascii="Garamond" w:hAnsi="Garamond" w:cs="Arial"/>
          <w:sz w:val="24"/>
          <w:szCs w:val="24"/>
        </w:rPr>
        <w:t xml:space="preserve"> test whether the conditional positive (negative) proportions are significantly different from the unconditional positive (negative) proportion, given that the preceding Thursday returns were positive (negative).</w:t>
      </w:r>
    </w:p>
    <w:p w14:paraId="0A4AADB0" w14:textId="77777777" w:rsidR="00F44591" w:rsidRPr="00E75964" w:rsidRDefault="00F44591">
      <w:pPr>
        <w:rPr>
          <w:rFonts w:ascii="Garamond" w:hAnsi="Garamond" w:cs="Arial"/>
          <w:sz w:val="24"/>
          <w:szCs w:val="24"/>
        </w:rPr>
      </w:pPr>
      <w:r w:rsidRPr="00E75964">
        <w:rPr>
          <w:rFonts w:ascii="Garamond" w:hAnsi="Garamond" w:cs="Arial"/>
          <w:sz w:val="24"/>
          <w:szCs w:val="24"/>
        </w:rPr>
        <w:br w:type="page"/>
      </w:r>
    </w:p>
    <w:p w14:paraId="60EE8059" w14:textId="77777777" w:rsidR="00CE65B6" w:rsidRPr="00E75964" w:rsidRDefault="00CE65B6" w:rsidP="00CD604B">
      <w:pPr>
        <w:spacing w:line="360" w:lineRule="auto"/>
        <w:jc w:val="both"/>
        <w:rPr>
          <w:rFonts w:ascii="Garamond" w:hAnsi="Garamond" w:cs="Arial"/>
          <w:sz w:val="24"/>
          <w:szCs w:val="24"/>
        </w:rPr>
      </w:pPr>
    </w:p>
    <w:p w14:paraId="537B4A15" w14:textId="77777777" w:rsidR="008E6BA8" w:rsidRDefault="0029494E" w:rsidP="008E6BA8">
      <w:pPr>
        <w:spacing w:after="0"/>
        <w:rPr>
          <w:rFonts w:ascii="Garamond" w:hAnsi="Garamond" w:cs="Arial"/>
          <w:b/>
          <w:sz w:val="24"/>
          <w:szCs w:val="24"/>
        </w:rPr>
      </w:pPr>
      <w:r w:rsidRPr="00E75964">
        <w:rPr>
          <w:rFonts w:ascii="Garamond" w:hAnsi="Garamond" w:cs="Arial"/>
          <w:b/>
          <w:sz w:val="24"/>
          <w:szCs w:val="24"/>
        </w:rPr>
        <w:t xml:space="preserve">Table </w:t>
      </w:r>
      <w:r w:rsidR="002B41F8" w:rsidRPr="00E75964">
        <w:rPr>
          <w:rFonts w:ascii="Garamond" w:hAnsi="Garamond" w:cs="Arial"/>
          <w:b/>
          <w:sz w:val="24"/>
          <w:szCs w:val="24"/>
        </w:rPr>
        <w:t>8</w:t>
      </w:r>
    </w:p>
    <w:p w14:paraId="2D0D1AC8" w14:textId="332ABB6C" w:rsidR="00CE65B6" w:rsidRPr="008E6BA8" w:rsidRDefault="00CE65B6" w:rsidP="008E6BA8">
      <w:pPr>
        <w:spacing w:after="0"/>
        <w:rPr>
          <w:rFonts w:ascii="Garamond" w:hAnsi="Garamond" w:cs="Arial"/>
          <w:sz w:val="24"/>
          <w:szCs w:val="24"/>
        </w:rPr>
      </w:pPr>
      <w:r w:rsidRPr="008E6BA8">
        <w:rPr>
          <w:rFonts w:ascii="Garamond" w:hAnsi="Garamond" w:cs="Arial"/>
          <w:sz w:val="24"/>
          <w:szCs w:val="24"/>
        </w:rPr>
        <w:t xml:space="preserve">Conditional and </w:t>
      </w:r>
      <w:r w:rsidR="008E6BA8" w:rsidRPr="008E6BA8">
        <w:rPr>
          <w:rFonts w:ascii="Garamond" w:hAnsi="Garamond" w:cs="Arial"/>
          <w:sz w:val="24"/>
          <w:szCs w:val="24"/>
        </w:rPr>
        <w:t>u</w:t>
      </w:r>
      <w:r w:rsidRPr="008E6BA8">
        <w:rPr>
          <w:rFonts w:ascii="Garamond" w:hAnsi="Garamond" w:cs="Arial"/>
          <w:sz w:val="24"/>
          <w:szCs w:val="24"/>
        </w:rPr>
        <w:t xml:space="preserve">nconditional </w:t>
      </w:r>
      <w:r w:rsidR="008E6BA8" w:rsidRPr="008E6BA8">
        <w:rPr>
          <w:rFonts w:ascii="Garamond" w:hAnsi="Garamond" w:cs="Arial"/>
          <w:sz w:val="24"/>
          <w:szCs w:val="24"/>
        </w:rPr>
        <w:t>p</w:t>
      </w:r>
      <w:r w:rsidRPr="008E6BA8">
        <w:rPr>
          <w:rFonts w:ascii="Garamond" w:hAnsi="Garamond" w:cs="Arial"/>
          <w:sz w:val="24"/>
          <w:szCs w:val="24"/>
        </w:rPr>
        <w:t xml:space="preserve">roportions of Sunday </w:t>
      </w:r>
      <w:r w:rsidR="008E6BA8" w:rsidRPr="008E6BA8">
        <w:rPr>
          <w:rFonts w:ascii="Garamond" w:hAnsi="Garamond" w:cs="Arial"/>
          <w:sz w:val="24"/>
          <w:szCs w:val="24"/>
        </w:rPr>
        <w:t>r</w:t>
      </w:r>
      <w:r w:rsidRPr="008E6BA8">
        <w:rPr>
          <w:rFonts w:ascii="Garamond" w:hAnsi="Garamond" w:cs="Arial"/>
          <w:sz w:val="24"/>
          <w:szCs w:val="24"/>
        </w:rPr>
        <w:t>eturns on the DSE</w:t>
      </w:r>
      <w:r w:rsidR="008E6BA8" w:rsidRPr="008E6BA8">
        <w:rPr>
          <w:rFonts w:ascii="Garamond" w:hAnsi="Garamond" w:cs="Arial"/>
          <w:sz w:val="24"/>
          <w:szCs w:val="24"/>
        </w:rPr>
        <w:t>.</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419"/>
        <w:gridCol w:w="1229"/>
        <w:gridCol w:w="36"/>
        <w:gridCol w:w="1246"/>
        <w:gridCol w:w="1190"/>
        <w:gridCol w:w="40"/>
        <w:gridCol w:w="1283"/>
        <w:gridCol w:w="2046"/>
      </w:tblGrid>
      <w:tr w:rsidR="00184188" w:rsidRPr="00E75964" w14:paraId="1A558790" w14:textId="77777777" w:rsidTr="00CD4F2E">
        <w:trPr>
          <w:trHeight w:hRule="exact" w:val="401"/>
        </w:trPr>
        <w:tc>
          <w:tcPr>
            <w:tcW w:w="1069" w:type="dxa"/>
            <w:tcBorders>
              <w:top w:val="single" w:sz="4" w:space="0" w:color="auto"/>
            </w:tcBorders>
          </w:tcPr>
          <w:p w14:paraId="6AC9477D" w14:textId="0151C36B" w:rsidR="00184188" w:rsidRPr="00E75964" w:rsidRDefault="00184188" w:rsidP="00FB263D">
            <w:pPr>
              <w:spacing w:after="200"/>
              <w:contextualSpacing/>
              <w:jc w:val="center"/>
              <w:rPr>
                <w:rFonts w:ascii="Garamond" w:hAnsi="Garamond" w:cs="Arial"/>
                <w:b/>
                <w:sz w:val="24"/>
                <w:szCs w:val="24"/>
              </w:rPr>
            </w:pPr>
            <w:bookmarkStart w:id="13" w:name="_Hlk39589694"/>
          </w:p>
        </w:tc>
        <w:tc>
          <w:tcPr>
            <w:tcW w:w="1419" w:type="dxa"/>
            <w:tcBorders>
              <w:top w:val="single" w:sz="4" w:space="0" w:color="auto"/>
            </w:tcBorders>
          </w:tcPr>
          <w:p w14:paraId="46C888A3" w14:textId="77777777" w:rsidR="00184188" w:rsidRPr="00E75964" w:rsidRDefault="00184188" w:rsidP="00FB263D">
            <w:pPr>
              <w:spacing w:after="200"/>
              <w:contextualSpacing/>
              <w:jc w:val="center"/>
              <w:rPr>
                <w:rFonts w:ascii="Garamond" w:hAnsi="Garamond" w:cs="Arial"/>
                <w:b/>
                <w:sz w:val="24"/>
                <w:szCs w:val="24"/>
              </w:rPr>
            </w:pPr>
          </w:p>
        </w:tc>
        <w:tc>
          <w:tcPr>
            <w:tcW w:w="1265" w:type="dxa"/>
            <w:gridSpan w:val="2"/>
            <w:tcBorders>
              <w:top w:val="single" w:sz="4" w:space="0" w:color="auto"/>
            </w:tcBorders>
          </w:tcPr>
          <w:p w14:paraId="163E11EF" w14:textId="627E41C7" w:rsidR="00184188" w:rsidRPr="00E75964" w:rsidRDefault="00184188" w:rsidP="00FB263D">
            <w:pPr>
              <w:spacing w:after="200"/>
              <w:contextualSpacing/>
              <w:jc w:val="center"/>
              <w:rPr>
                <w:rFonts w:ascii="Garamond" w:hAnsi="Garamond" w:cs="Arial"/>
                <w:bCs/>
                <w:sz w:val="24"/>
                <w:szCs w:val="24"/>
              </w:rPr>
            </w:pPr>
            <w:r w:rsidRPr="00E75964">
              <w:rPr>
                <w:rFonts w:ascii="Garamond" w:hAnsi="Garamond" w:cs="Arial"/>
                <w:bCs/>
                <w:sz w:val="24"/>
                <w:szCs w:val="24"/>
              </w:rPr>
              <w:t>(1)</w:t>
            </w:r>
          </w:p>
        </w:tc>
        <w:tc>
          <w:tcPr>
            <w:tcW w:w="1246" w:type="dxa"/>
            <w:tcBorders>
              <w:top w:val="single" w:sz="4" w:space="0" w:color="auto"/>
            </w:tcBorders>
          </w:tcPr>
          <w:p w14:paraId="55695574" w14:textId="4562AE7A" w:rsidR="00184188" w:rsidRPr="00E75964" w:rsidRDefault="00184188" w:rsidP="00FB263D">
            <w:pPr>
              <w:contextualSpacing/>
              <w:jc w:val="center"/>
              <w:rPr>
                <w:rFonts w:ascii="Garamond" w:hAnsi="Garamond" w:cs="Arial"/>
                <w:bCs/>
                <w:sz w:val="24"/>
                <w:szCs w:val="24"/>
              </w:rPr>
            </w:pPr>
            <w:r w:rsidRPr="00E75964">
              <w:rPr>
                <w:rFonts w:ascii="Garamond" w:hAnsi="Garamond" w:cs="Arial"/>
                <w:bCs/>
                <w:sz w:val="24"/>
                <w:szCs w:val="24"/>
              </w:rPr>
              <w:t>(2)</w:t>
            </w:r>
          </w:p>
        </w:tc>
        <w:tc>
          <w:tcPr>
            <w:tcW w:w="1190" w:type="dxa"/>
            <w:tcBorders>
              <w:top w:val="single" w:sz="4" w:space="0" w:color="auto"/>
            </w:tcBorders>
          </w:tcPr>
          <w:p w14:paraId="2BE2B73E" w14:textId="6115F8A2" w:rsidR="00184188" w:rsidRPr="00E75964" w:rsidRDefault="00184188" w:rsidP="00FB263D">
            <w:pPr>
              <w:spacing w:after="200"/>
              <w:contextualSpacing/>
              <w:jc w:val="center"/>
              <w:rPr>
                <w:rFonts w:ascii="Garamond" w:hAnsi="Garamond" w:cs="Arial"/>
                <w:bCs/>
                <w:sz w:val="24"/>
                <w:szCs w:val="24"/>
              </w:rPr>
            </w:pPr>
            <w:r w:rsidRPr="00E75964">
              <w:rPr>
                <w:rFonts w:ascii="Garamond" w:hAnsi="Garamond" w:cs="Arial"/>
                <w:bCs/>
                <w:sz w:val="24"/>
                <w:szCs w:val="24"/>
              </w:rPr>
              <w:t>(3)</w:t>
            </w:r>
          </w:p>
        </w:tc>
        <w:tc>
          <w:tcPr>
            <w:tcW w:w="1323" w:type="dxa"/>
            <w:gridSpan w:val="2"/>
            <w:tcBorders>
              <w:top w:val="single" w:sz="4" w:space="0" w:color="auto"/>
            </w:tcBorders>
          </w:tcPr>
          <w:p w14:paraId="06D0ECDC" w14:textId="2254300D" w:rsidR="00184188" w:rsidRPr="00E75964" w:rsidRDefault="00184188" w:rsidP="00FB263D">
            <w:pPr>
              <w:contextualSpacing/>
              <w:jc w:val="center"/>
              <w:rPr>
                <w:rFonts w:ascii="Garamond" w:hAnsi="Garamond" w:cs="Arial"/>
                <w:bCs/>
                <w:sz w:val="24"/>
                <w:szCs w:val="24"/>
              </w:rPr>
            </w:pPr>
            <w:r w:rsidRPr="00E75964">
              <w:rPr>
                <w:rFonts w:ascii="Garamond" w:hAnsi="Garamond" w:cs="Arial"/>
                <w:bCs/>
                <w:sz w:val="24"/>
                <w:szCs w:val="24"/>
              </w:rPr>
              <w:t>(4)</w:t>
            </w:r>
          </w:p>
        </w:tc>
        <w:tc>
          <w:tcPr>
            <w:tcW w:w="2046" w:type="dxa"/>
            <w:tcBorders>
              <w:top w:val="single" w:sz="4" w:space="0" w:color="auto"/>
            </w:tcBorders>
          </w:tcPr>
          <w:p w14:paraId="339C9D91" w14:textId="58D860AD" w:rsidR="00184188" w:rsidRPr="00E75964" w:rsidRDefault="00184188" w:rsidP="00FB263D">
            <w:pPr>
              <w:spacing w:after="200"/>
              <w:contextualSpacing/>
              <w:jc w:val="center"/>
              <w:rPr>
                <w:rFonts w:ascii="Garamond" w:hAnsi="Garamond" w:cs="Arial"/>
                <w:bCs/>
                <w:sz w:val="24"/>
                <w:szCs w:val="24"/>
              </w:rPr>
            </w:pPr>
            <w:r w:rsidRPr="00E75964">
              <w:rPr>
                <w:rFonts w:ascii="Garamond" w:hAnsi="Garamond" w:cs="Arial"/>
                <w:bCs/>
                <w:sz w:val="24"/>
                <w:szCs w:val="24"/>
              </w:rPr>
              <w:t>(5)</w:t>
            </w:r>
          </w:p>
        </w:tc>
      </w:tr>
      <w:tr w:rsidR="00184188" w:rsidRPr="00E75964" w14:paraId="4E7F5C47" w14:textId="77777777" w:rsidTr="00CD4F2E">
        <w:trPr>
          <w:trHeight w:hRule="exact" w:val="813"/>
        </w:trPr>
        <w:tc>
          <w:tcPr>
            <w:tcW w:w="1069" w:type="dxa"/>
          </w:tcPr>
          <w:p w14:paraId="74A09774" w14:textId="4552067C" w:rsidR="00184188" w:rsidRPr="00E75964" w:rsidRDefault="00184188" w:rsidP="00184188">
            <w:pPr>
              <w:contextualSpacing/>
              <w:jc w:val="center"/>
              <w:rPr>
                <w:rFonts w:ascii="Garamond" w:hAnsi="Garamond" w:cs="Arial"/>
                <w:b/>
                <w:sz w:val="24"/>
                <w:szCs w:val="24"/>
              </w:rPr>
            </w:pPr>
          </w:p>
        </w:tc>
        <w:tc>
          <w:tcPr>
            <w:tcW w:w="1419" w:type="dxa"/>
          </w:tcPr>
          <w:p w14:paraId="4FDF41EA" w14:textId="77777777" w:rsidR="00184188" w:rsidRPr="00E75964" w:rsidRDefault="00184188" w:rsidP="00184188">
            <w:pPr>
              <w:contextualSpacing/>
              <w:jc w:val="center"/>
              <w:rPr>
                <w:rFonts w:ascii="Garamond" w:hAnsi="Garamond" w:cs="Arial"/>
                <w:b/>
                <w:sz w:val="24"/>
                <w:szCs w:val="24"/>
              </w:rPr>
            </w:pPr>
          </w:p>
        </w:tc>
        <w:tc>
          <w:tcPr>
            <w:tcW w:w="2511" w:type="dxa"/>
            <w:gridSpan w:val="3"/>
          </w:tcPr>
          <w:p w14:paraId="32B74CE2" w14:textId="77777777" w:rsidR="00184188" w:rsidRPr="00E75964" w:rsidRDefault="00184188" w:rsidP="00184188">
            <w:pPr>
              <w:spacing w:after="200"/>
              <w:contextualSpacing/>
              <w:jc w:val="center"/>
              <w:rPr>
                <w:rFonts w:ascii="Garamond" w:hAnsi="Garamond" w:cs="Arial"/>
                <w:b/>
                <w:sz w:val="24"/>
                <w:szCs w:val="24"/>
              </w:rPr>
            </w:pPr>
            <w:r w:rsidRPr="00E75964">
              <w:rPr>
                <w:rFonts w:ascii="Garamond" w:hAnsi="Garamond" w:cs="Arial"/>
                <w:b/>
                <w:sz w:val="24"/>
                <w:szCs w:val="24"/>
              </w:rPr>
              <w:t>Unconditional Sunday</w:t>
            </w:r>
          </w:p>
          <w:p w14:paraId="42F08E4A" w14:textId="3D0D5344" w:rsidR="00184188" w:rsidRPr="00E75964" w:rsidRDefault="00184188" w:rsidP="00184188">
            <w:pPr>
              <w:contextualSpacing/>
              <w:jc w:val="center"/>
              <w:rPr>
                <w:rFonts w:ascii="Garamond" w:hAnsi="Garamond" w:cs="Arial"/>
                <w:b/>
                <w:sz w:val="24"/>
                <w:szCs w:val="24"/>
              </w:rPr>
            </w:pPr>
            <w:r w:rsidRPr="00E75964">
              <w:rPr>
                <w:rFonts w:ascii="Garamond" w:hAnsi="Garamond" w:cs="Arial"/>
                <w:b/>
                <w:sz w:val="24"/>
                <w:szCs w:val="24"/>
              </w:rPr>
              <w:t>proportions</w:t>
            </w:r>
          </w:p>
        </w:tc>
        <w:tc>
          <w:tcPr>
            <w:tcW w:w="2513" w:type="dxa"/>
            <w:gridSpan w:val="3"/>
          </w:tcPr>
          <w:p w14:paraId="43403763" w14:textId="77777777" w:rsidR="00184188" w:rsidRPr="00E75964" w:rsidRDefault="00184188" w:rsidP="00184188">
            <w:pPr>
              <w:spacing w:after="200"/>
              <w:contextualSpacing/>
              <w:jc w:val="center"/>
              <w:rPr>
                <w:rFonts w:ascii="Garamond" w:hAnsi="Garamond" w:cs="Arial"/>
                <w:b/>
                <w:sz w:val="24"/>
                <w:szCs w:val="24"/>
              </w:rPr>
            </w:pPr>
            <w:r w:rsidRPr="00E75964">
              <w:rPr>
                <w:rFonts w:ascii="Garamond" w:hAnsi="Garamond" w:cs="Arial"/>
                <w:b/>
                <w:sz w:val="24"/>
                <w:szCs w:val="24"/>
              </w:rPr>
              <w:t>Conditional Sunday</w:t>
            </w:r>
          </w:p>
          <w:p w14:paraId="218F9662" w14:textId="1199A915" w:rsidR="00184188" w:rsidRPr="00E75964" w:rsidRDefault="00184188" w:rsidP="00184188">
            <w:pPr>
              <w:contextualSpacing/>
              <w:jc w:val="center"/>
              <w:rPr>
                <w:rFonts w:ascii="Garamond" w:hAnsi="Garamond" w:cs="Arial"/>
                <w:b/>
                <w:sz w:val="24"/>
                <w:szCs w:val="24"/>
              </w:rPr>
            </w:pPr>
            <w:r w:rsidRPr="00E75964">
              <w:rPr>
                <w:rFonts w:ascii="Garamond" w:hAnsi="Garamond" w:cs="Arial"/>
                <w:b/>
                <w:sz w:val="24"/>
                <w:szCs w:val="24"/>
              </w:rPr>
              <w:t>proportions</w:t>
            </w:r>
          </w:p>
        </w:tc>
        <w:tc>
          <w:tcPr>
            <w:tcW w:w="2046" w:type="dxa"/>
          </w:tcPr>
          <w:p w14:paraId="1C88FDDA" w14:textId="2A888DFC" w:rsidR="00184188" w:rsidRPr="00E75964" w:rsidRDefault="00184188" w:rsidP="00184188">
            <w:pPr>
              <w:contextualSpacing/>
              <w:jc w:val="center"/>
              <w:rPr>
                <w:rFonts w:ascii="Garamond" w:hAnsi="Garamond" w:cs="Arial"/>
                <w:b/>
                <w:sz w:val="24"/>
                <w:szCs w:val="24"/>
              </w:rPr>
            </w:pPr>
            <w:r w:rsidRPr="00E75964">
              <w:rPr>
                <w:rFonts w:ascii="Garamond" w:hAnsi="Garamond" w:cs="Arial"/>
                <w:b/>
                <w:sz w:val="24"/>
                <w:szCs w:val="24"/>
              </w:rPr>
              <w:t>Uncondition</w:t>
            </w:r>
            <w:r w:rsidR="008E6BA8">
              <w:rPr>
                <w:rFonts w:ascii="Garamond" w:hAnsi="Garamond" w:cs="Arial"/>
                <w:b/>
                <w:sz w:val="24"/>
                <w:szCs w:val="24"/>
              </w:rPr>
              <w:t>al and conditional independence</w:t>
            </w:r>
          </w:p>
        </w:tc>
      </w:tr>
      <w:tr w:rsidR="00184188" w:rsidRPr="00E75964" w14:paraId="1DF3D229" w14:textId="77777777" w:rsidTr="00CD4F2E">
        <w:trPr>
          <w:trHeight w:hRule="exact" w:val="284"/>
        </w:trPr>
        <w:tc>
          <w:tcPr>
            <w:tcW w:w="1069" w:type="dxa"/>
            <w:tcBorders>
              <w:bottom w:val="single" w:sz="4" w:space="0" w:color="auto"/>
            </w:tcBorders>
          </w:tcPr>
          <w:p w14:paraId="5E3E6884" w14:textId="77777777" w:rsidR="00184188" w:rsidRPr="00E75964" w:rsidRDefault="00184188" w:rsidP="00184188">
            <w:pPr>
              <w:spacing w:after="200"/>
              <w:contextualSpacing/>
              <w:jc w:val="both"/>
              <w:rPr>
                <w:rFonts w:ascii="Garamond" w:hAnsi="Garamond" w:cs="Arial"/>
                <w:b/>
                <w:sz w:val="24"/>
                <w:szCs w:val="24"/>
              </w:rPr>
            </w:pPr>
          </w:p>
        </w:tc>
        <w:tc>
          <w:tcPr>
            <w:tcW w:w="1419" w:type="dxa"/>
            <w:tcBorders>
              <w:bottom w:val="single" w:sz="4" w:space="0" w:color="auto"/>
            </w:tcBorders>
          </w:tcPr>
          <w:p w14:paraId="1B3C7B8D" w14:textId="77777777" w:rsidR="00184188" w:rsidRPr="00E75964" w:rsidRDefault="00184188" w:rsidP="00184188">
            <w:pPr>
              <w:spacing w:after="200"/>
              <w:contextualSpacing/>
              <w:jc w:val="both"/>
              <w:rPr>
                <w:rFonts w:ascii="Garamond" w:hAnsi="Garamond" w:cs="Arial"/>
                <w:b/>
                <w:sz w:val="24"/>
                <w:szCs w:val="24"/>
              </w:rPr>
            </w:pPr>
          </w:p>
        </w:tc>
        <w:tc>
          <w:tcPr>
            <w:tcW w:w="1229" w:type="dxa"/>
            <w:tcBorders>
              <w:bottom w:val="single" w:sz="4" w:space="0" w:color="auto"/>
            </w:tcBorders>
          </w:tcPr>
          <w:p w14:paraId="7A5CA3C4" w14:textId="77777777" w:rsidR="00184188" w:rsidRPr="00E75964" w:rsidRDefault="00184188" w:rsidP="00184188">
            <w:pPr>
              <w:spacing w:after="200"/>
              <w:contextualSpacing/>
              <w:jc w:val="both"/>
              <w:rPr>
                <w:rFonts w:ascii="Garamond" w:hAnsi="Garamond" w:cs="Arial"/>
                <w:b/>
                <w:sz w:val="24"/>
                <w:szCs w:val="24"/>
              </w:rPr>
            </w:pPr>
            <w:r w:rsidRPr="00E75964">
              <w:rPr>
                <w:rFonts w:ascii="Garamond" w:hAnsi="Garamond" w:cs="Arial"/>
                <w:b/>
                <w:sz w:val="24"/>
                <w:szCs w:val="24"/>
              </w:rPr>
              <w:t>Positive</w:t>
            </w:r>
          </w:p>
        </w:tc>
        <w:tc>
          <w:tcPr>
            <w:tcW w:w="1282" w:type="dxa"/>
            <w:gridSpan w:val="2"/>
            <w:tcBorders>
              <w:bottom w:val="single" w:sz="4" w:space="0" w:color="auto"/>
            </w:tcBorders>
          </w:tcPr>
          <w:p w14:paraId="4F038459" w14:textId="77777777" w:rsidR="00184188" w:rsidRPr="00E75964" w:rsidRDefault="00184188" w:rsidP="00184188">
            <w:pPr>
              <w:spacing w:after="200"/>
              <w:contextualSpacing/>
              <w:jc w:val="both"/>
              <w:rPr>
                <w:rFonts w:ascii="Garamond" w:hAnsi="Garamond" w:cs="Arial"/>
                <w:b/>
                <w:sz w:val="24"/>
                <w:szCs w:val="24"/>
              </w:rPr>
            </w:pPr>
            <w:r w:rsidRPr="00E75964">
              <w:rPr>
                <w:rFonts w:ascii="Garamond" w:hAnsi="Garamond" w:cs="Arial"/>
                <w:b/>
                <w:sz w:val="24"/>
                <w:szCs w:val="24"/>
              </w:rPr>
              <w:t>Negative</w:t>
            </w:r>
          </w:p>
        </w:tc>
        <w:tc>
          <w:tcPr>
            <w:tcW w:w="1230" w:type="dxa"/>
            <w:gridSpan w:val="2"/>
            <w:tcBorders>
              <w:bottom w:val="single" w:sz="4" w:space="0" w:color="auto"/>
            </w:tcBorders>
          </w:tcPr>
          <w:p w14:paraId="54F924C5" w14:textId="77777777" w:rsidR="00184188" w:rsidRPr="00E75964" w:rsidRDefault="00184188" w:rsidP="00184188">
            <w:pPr>
              <w:spacing w:after="200"/>
              <w:contextualSpacing/>
              <w:jc w:val="both"/>
              <w:rPr>
                <w:rFonts w:ascii="Garamond" w:hAnsi="Garamond" w:cs="Arial"/>
                <w:b/>
                <w:sz w:val="24"/>
                <w:szCs w:val="24"/>
              </w:rPr>
            </w:pPr>
            <w:r w:rsidRPr="00E75964">
              <w:rPr>
                <w:rFonts w:ascii="Garamond" w:hAnsi="Garamond" w:cs="Arial"/>
                <w:b/>
                <w:sz w:val="24"/>
                <w:szCs w:val="24"/>
              </w:rPr>
              <w:t>Positive</w:t>
            </w:r>
          </w:p>
        </w:tc>
        <w:tc>
          <w:tcPr>
            <w:tcW w:w="1283" w:type="dxa"/>
            <w:tcBorders>
              <w:bottom w:val="single" w:sz="4" w:space="0" w:color="auto"/>
            </w:tcBorders>
          </w:tcPr>
          <w:p w14:paraId="75047C9E" w14:textId="77777777" w:rsidR="00184188" w:rsidRPr="00E75964" w:rsidRDefault="00184188" w:rsidP="00184188">
            <w:pPr>
              <w:spacing w:after="200"/>
              <w:contextualSpacing/>
              <w:jc w:val="both"/>
              <w:rPr>
                <w:rFonts w:ascii="Garamond" w:hAnsi="Garamond" w:cs="Arial"/>
                <w:b/>
                <w:sz w:val="24"/>
                <w:szCs w:val="24"/>
              </w:rPr>
            </w:pPr>
            <w:r w:rsidRPr="00E75964">
              <w:rPr>
                <w:rFonts w:ascii="Garamond" w:hAnsi="Garamond" w:cs="Arial"/>
                <w:b/>
                <w:sz w:val="24"/>
                <w:szCs w:val="24"/>
              </w:rPr>
              <w:t>Negative</w:t>
            </w:r>
          </w:p>
        </w:tc>
        <w:tc>
          <w:tcPr>
            <w:tcW w:w="2046" w:type="dxa"/>
            <w:tcBorders>
              <w:bottom w:val="single" w:sz="4" w:space="0" w:color="auto"/>
            </w:tcBorders>
          </w:tcPr>
          <w:p w14:paraId="482DBE8C" w14:textId="77777777" w:rsidR="00184188" w:rsidRPr="00E75964" w:rsidRDefault="00184188" w:rsidP="00184188">
            <w:pPr>
              <w:spacing w:after="200"/>
              <w:contextualSpacing/>
              <w:rPr>
                <w:rFonts w:ascii="Garamond" w:hAnsi="Garamond" w:cs="Arial"/>
                <w:b/>
                <w:sz w:val="24"/>
                <w:szCs w:val="24"/>
              </w:rPr>
            </w:pPr>
          </w:p>
        </w:tc>
      </w:tr>
      <w:tr w:rsidR="00184188" w:rsidRPr="00E75964" w14:paraId="6E0CB0C8" w14:textId="77777777" w:rsidTr="00CD4F2E">
        <w:trPr>
          <w:trHeight w:hRule="exact" w:val="284"/>
        </w:trPr>
        <w:tc>
          <w:tcPr>
            <w:tcW w:w="1069" w:type="dxa"/>
            <w:tcBorders>
              <w:top w:val="single" w:sz="4" w:space="0" w:color="auto"/>
            </w:tcBorders>
          </w:tcPr>
          <w:p w14:paraId="2DD22572" w14:textId="77777777" w:rsidR="00184188" w:rsidRPr="00E75964" w:rsidRDefault="00184188" w:rsidP="00184188">
            <w:pPr>
              <w:spacing w:after="200"/>
              <w:contextualSpacing/>
              <w:jc w:val="both"/>
              <w:rPr>
                <w:rFonts w:ascii="Garamond" w:hAnsi="Garamond" w:cs="Arial"/>
                <w:b/>
                <w:sz w:val="24"/>
                <w:szCs w:val="24"/>
              </w:rPr>
            </w:pPr>
            <w:r w:rsidRPr="00E75964">
              <w:rPr>
                <w:rFonts w:ascii="Garamond" w:hAnsi="Garamond" w:cs="Arial"/>
                <w:b/>
                <w:sz w:val="24"/>
                <w:szCs w:val="24"/>
              </w:rPr>
              <w:t>Smallest</w:t>
            </w:r>
          </w:p>
        </w:tc>
        <w:tc>
          <w:tcPr>
            <w:tcW w:w="1419" w:type="dxa"/>
            <w:tcBorders>
              <w:top w:val="single" w:sz="4" w:space="0" w:color="auto"/>
            </w:tcBorders>
          </w:tcPr>
          <w:p w14:paraId="71F342E1"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No. of Obs.</w:t>
            </w:r>
          </w:p>
        </w:tc>
        <w:tc>
          <w:tcPr>
            <w:tcW w:w="1229" w:type="dxa"/>
            <w:tcBorders>
              <w:top w:val="single" w:sz="4" w:space="0" w:color="auto"/>
            </w:tcBorders>
            <w:shd w:val="clear" w:color="auto" w:fill="auto"/>
          </w:tcPr>
          <w:p w14:paraId="1C59A1FC" w14:textId="6E6A628A" w:rsidR="00184188" w:rsidRPr="00E75964" w:rsidRDefault="00CD4F2E" w:rsidP="00184188">
            <w:pPr>
              <w:spacing w:after="200"/>
              <w:contextualSpacing/>
              <w:jc w:val="center"/>
              <w:rPr>
                <w:rFonts w:ascii="Garamond" w:hAnsi="Garamond" w:cs="Arial"/>
                <w:sz w:val="24"/>
                <w:szCs w:val="24"/>
              </w:rPr>
            </w:pPr>
            <w:r w:rsidRPr="00E75964">
              <w:rPr>
                <w:rFonts w:ascii="Garamond" w:hAnsi="Garamond" w:cs="Arial"/>
                <w:sz w:val="24"/>
                <w:szCs w:val="24"/>
              </w:rPr>
              <w:t>390</w:t>
            </w:r>
          </w:p>
        </w:tc>
        <w:tc>
          <w:tcPr>
            <w:tcW w:w="1282" w:type="dxa"/>
            <w:gridSpan w:val="2"/>
            <w:tcBorders>
              <w:top w:val="single" w:sz="4" w:space="0" w:color="auto"/>
            </w:tcBorders>
            <w:shd w:val="clear" w:color="auto" w:fill="auto"/>
          </w:tcPr>
          <w:p w14:paraId="35A7F7EB" w14:textId="78B09054" w:rsidR="00184188" w:rsidRPr="00E75964" w:rsidRDefault="00CD4F2E" w:rsidP="00184188">
            <w:pPr>
              <w:spacing w:after="200"/>
              <w:contextualSpacing/>
              <w:jc w:val="center"/>
              <w:rPr>
                <w:rFonts w:ascii="Garamond" w:hAnsi="Garamond" w:cs="Arial"/>
                <w:sz w:val="24"/>
                <w:szCs w:val="24"/>
              </w:rPr>
            </w:pPr>
            <w:r w:rsidRPr="00E75964">
              <w:rPr>
                <w:rFonts w:ascii="Garamond" w:hAnsi="Garamond" w:cs="Arial"/>
                <w:sz w:val="24"/>
                <w:szCs w:val="24"/>
              </w:rPr>
              <w:t>523</w:t>
            </w:r>
          </w:p>
        </w:tc>
        <w:tc>
          <w:tcPr>
            <w:tcW w:w="1230" w:type="dxa"/>
            <w:gridSpan w:val="2"/>
            <w:tcBorders>
              <w:top w:val="single" w:sz="4" w:space="0" w:color="auto"/>
            </w:tcBorders>
            <w:shd w:val="clear" w:color="auto" w:fill="auto"/>
          </w:tcPr>
          <w:p w14:paraId="07DED521" w14:textId="230526CC"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3</w:t>
            </w:r>
            <w:r w:rsidR="00E41172" w:rsidRPr="00E75964">
              <w:rPr>
                <w:rFonts w:ascii="Garamond" w:hAnsi="Garamond" w:cs="Arial"/>
                <w:sz w:val="24"/>
                <w:szCs w:val="24"/>
              </w:rPr>
              <w:t>8</w:t>
            </w:r>
            <w:r w:rsidRPr="00E75964">
              <w:rPr>
                <w:rFonts w:ascii="Garamond" w:hAnsi="Garamond" w:cs="Arial"/>
                <w:sz w:val="24"/>
                <w:szCs w:val="24"/>
              </w:rPr>
              <w:t>5</w:t>
            </w:r>
          </w:p>
        </w:tc>
        <w:tc>
          <w:tcPr>
            <w:tcW w:w="1283" w:type="dxa"/>
            <w:tcBorders>
              <w:top w:val="single" w:sz="4" w:space="0" w:color="auto"/>
            </w:tcBorders>
            <w:shd w:val="clear" w:color="auto" w:fill="auto"/>
          </w:tcPr>
          <w:p w14:paraId="0AA315E7" w14:textId="72BF8312" w:rsidR="00184188" w:rsidRPr="00E75964" w:rsidRDefault="00990E90" w:rsidP="00184188">
            <w:pPr>
              <w:spacing w:after="200"/>
              <w:contextualSpacing/>
              <w:jc w:val="center"/>
              <w:rPr>
                <w:rFonts w:ascii="Garamond" w:hAnsi="Garamond" w:cs="Arial"/>
                <w:sz w:val="24"/>
                <w:szCs w:val="24"/>
              </w:rPr>
            </w:pPr>
            <w:r w:rsidRPr="00E75964">
              <w:rPr>
                <w:rFonts w:ascii="Garamond" w:hAnsi="Garamond" w:cs="Arial"/>
                <w:sz w:val="24"/>
                <w:szCs w:val="24"/>
              </w:rPr>
              <w:t>401</w:t>
            </w:r>
          </w:p>
        </w:tc>
        <w:tc>
          <w:tcPr>
            <w:tcW w:w="2046" w:type="dxa"/>
            <w:tcBorders>
              <w:top w:val="single" w:sz="4" w:space="0" w:color="auto"/>
            </w:tcBorders>
            <w:shd w:val="clear" w:color="auto" w:fill="auto"/>
          </w:tcPr>
          <w:p w14:paraId="2D8BFA43" w14:textId="6BD02183"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w:t>
            </w:r>
            <w:r w:rsidR="000B0BE7" w:rsidRPr="00E75964">
              <w:rPr>
                <w:rFonts w:ascii="Garamond" w:hAnsi="Garamond" w:cs="Arial"/>
                <w:sz w:val="24"/>
                <w:szCs w:val="24"/>
              </w:rPr>
              <w:t>24</w:t>
            </w:r>
            <w:r w:rsidR="00E41172" w:rsidRPr="00E75964">
              <w:rPr>
                <w:rFonts w:ascii="Garamond" w:hAnsi="Garamond" w:cs="Arial"/>
                <w:sz w:val="24"/>
                <w:szCs w:val="24"/>
              </w:rPr>
              <w:t>4</w:t>
            </w:r>
            <w:r w:rsidRPr="00E75964">
              <w:rPr>
                <w:rFonts w:ascii="Garamond" w:hAnsi="Garamond" w:cs="Arial"/>
                <w:sz w:val="24"/>
                <w:szCs w:val="24"/>
              </w:rPr>
              <w:t>.1</w:t>
            </w:r>
            <w:r w:rsidR="00E41172" w:rsidRPr="00E75964">
              <w:rPr>
                <w:rFonts w:ascii="Garamond" w:hAnsi="Garamond" w:cs="Arial"/>
                <w:sz w:val="24"/>
                <w:szCs w:val="24"/>
              </w:rPr>
              <w:t>5</w:t>
            </w:r>
            <w:r w:rsidRPr="00E75964">
              <w:rPr>
                <w:rFonts w:ascii="Garamond" w:hAnsi="Garamond" w:cs="Arial"/>
                <w:sz w:val="24"/>
                <w:szCs w:val="24"/>
              </w:rPr>
              <w:t>]***</w:t>
            </w:r>
          </w:p>
        </w:tc>
      </w:tr>
      <w:tr w:rsidR="00184188" w:rsidRPr="00E75964" w14:paraId="30CE207F" w14:textId="77777777" w:rsidTr="00CD4F2E">
        <w:trPr>
          <w:trHeight w:hRule="exact" w:val="284"/>
        </w:trPr>
        <w:tc>
          <w:tcPr>
            <w:tcW w:w="1069" w:type="dxa"/>
          </w:tcPr>
          <w:p w14:paraId="77E6DDB1" w14:textId="77777777" w:rsidR="00184188" w:rsidRPr="00E75964" w:rsidRDefault="00184188" w:rsidP="00184188">
            <w:pPr>
              <w:spacing w:after="200"/>
              <w:contextualSpacing/>
              <w:jc w:val="both"/>
              <w:rPr>
                <w:rFonts w:ascii="Garamond" w:hAnsi="Garamond" w:cs="Arial"/>
                <w:b/>
                <w:sz w:val="24"/>
                <w:szCs w:val="24"/>
              </w:rPr>
            </w:pPr>
            <w:r w:rsidRPr="00E75964">
              <w:rPr>
                <w:rFonts w:ascii="Garamond" w:hAnsi="Garamond" w:cs="Arial"/>
                <w:b/>
                <w:sz w:val="24"/>
                <w:szCs w:val="24"/>
              </w:rPr>
              <w:t>1</w:t>
            </w:r>
          </w:p>
        </w:tc>
        <w:tc>
          <w:tcPr>
            <w:tcW w:w="1419" w:type="dxa"/>
          </w:tcPr>
          <w:p w14:paraId="6ED3C503"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Proportion</w:t>
            </w:r>
          </w:p>
        </w:tc>
        <w:tc>
          <w:tcPr>
            <w:tcW w:w="1229" w:type="dxa"/>
            <w:shd w:val="clear" w:color="auto" w:fill="auto"/>
          </w:tcPr>
          <w:p w14:paraId="4D39EBB7" w14:textId="6963C29F" w:rsidR="00184188" w:rsidRPr="00E75964" w:rsidRDefault="00736199" w:rsidP="00184188">
            <w:pPr>
              <w:spacing w:after="200"/>
              <w:contextualSpacing/>
              <w:jc w:val="center"/>
              <w:rPr>
                <w:rFonts w:ascii="Garamond" w:hAnsi="Garamond" w:cs="Arial"/>
                <w:sz w:val="24"/>
                <w:szCs w:val="24"/>
              </w:rPr>
            </w:pPr>
            <w:r w:rsidRPr="00E75964">
              <w:rPr>
                <w:rFonts w:ascii="Garamond" w:hAnsi="Garamond" w:cs="Arial"/>
                <w:sz w:val="24"/>
                <w:szCs w:val="24"/>
              </w:rPr>
              <w:t>4</w:t>
            </w:r>
            <w:r w:rsidR="00CD4F2E" w:rsidRPr="00E75964">
              <w:rPr>
                <w:rFonts w:ascii="Garamond" w:hAnsi="Garamond" w:cs="Arial"/>
                <w:sz w:val="24"/>
                <w:szCs w:val="24"/>
              </w:rPr>
              <w:t>2.72</w:t>
            </w:r>
          </w:p>
        </w:tc>
        <w:tc>
          <w:tcPr>
            <w:tcW w:w="1282" w:type="dxa"/>
            <w:gridSpan w:val="2"/>
            <w:shd w:val="clear" w:color="auto" w:fill="auto"/>
          </w:tcPr>
          <w:p w14:paraId="4214AD69" w14:textId="3473D786" w:rsidR="00184188" w:rsidRPr="00E75964" w:rsidRDefault="00CD4F2E" w:rsidP="00184188">
            <w:pPr>
              <w:spacing w:after="200"/>
              <w:contextualSpacing/>
              <w:jc w:val="center"/>
              <w:rPr>
                <w:rFonts w:ascii="Garamond" w:hAnsi="Garamond" w:cs="Arial"/>
                <w:sz w:val="24"/>
                <w:szCs w:val="24"/>
              </w:rPr>
            </w:pPr>
            <w:r w:rsidRPr="00E75964">
              <w:rPr>
                <w:rFonts w:ascii="Garamond" w:hAnsi="Garamond" w:cs="Arial"/>
                <w:sz w:val="24"/>
                <w:szCs w:val="24"/>
              </w:rPr>
              <w:t>57.28</w:t>
            </w:r>
          </w:p>
        </w:tc>
        <w:tc>
          <w:tcPr>
            <w:tcW w:w="1230" w:type="dxa"/>
            <w:gridSpan w:val="2"/>
            <w:shd w:val="clear" w:color="auto" w:fill="auto"/>
          </w:tcPr>
          <w:p w14:paraId="2E4D7E7F" w14:textId="256632BF" w:rsidR="00184188" w:rsidRPr="00E75964" w:rsidRDefault="00E41172" w:rsidP="00184188">
            <w:pPr>
              <w:spacing w:after="200"/>
              <w:contextualSpacing/>
              <w:jc w:val="center"/>
              <w:rPr>
                <w:rFonts w:ascii="Garamond" w:hAnsi="Garamond" w:cs="Arial"/>
                <w:sz w:val="24"/>
                <w:szCs w:val="24"/>
              </w:rPr>
            </w:pPr>
            <w:r w:rsidRPr="00E75964">
              <w:rPr>
                <w:rFonts w:ascii="Garamond" w:hAnsi="Garamond" w:cs="Arial"/>
                <w:sz w:val="24"/>
                <w:szCs w:val="24"/>
              </w:rPr>
              <w:t>51</w:t>
            </w:r>
            <w:r w:rsidR="00184188" w:rsidRPr="00E75964">
              <w:rPr>
                <w:rFonts w:ascii="Garamond" w:hAnsi="Garamond" w:cs="Arial"/>
                <w:sz w:val="24"/>
                <w:szCs w:val="24"/>
              </w:rPr>
              <w:t>.</w:t>
            </w:r>
            <w:r w:rsidRPr="00E75964">
              <w:rPr>
                <w:rFonts w:ascii="Garamond" w:hAnsi="Garamond" w:cs="Arial"/>
                <w:sz w:val="24"/>
                <w:szCs w:val="24"/>
              </w:rPr>
              <w:t>53</w:t>
            </w:r>
          </w:p>
        </w:tc>
        <w:tc>
          <w:tcPr>
            <w:tcW w:w="1283" w:type="dxa"/>
            <w:shd w:val="clear" w:color="auto" w:fill="auto"/>
          </w:tcPr>
          <w:p w14:paraId="6DFA9072" w14:textId="3ACE8D16"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5</w:t>
            </w:r>
            <w:r w:rsidR="00E41172" w:rsidRPr="00E75964">
              <w:rPr>
                <w:rFonts w:ascii="Garamond" w:hAnsi="Garamond" w:cs="Arial"/>
                <w:sz w:val="24"/>
                <w:szCs w:val="24"/>
              </w:rPr>
              <w:t>5</w:t>
            </w:r>
            <w:r w:rsidRPr="00E75964">
              <w:rPr>
                <w:rFonts w:ascii="Garamond" w:hAnsi="Garamond" w:cs="Arial"/>
                <w:sz w:val="24"/>
                <w:szCs w:val="24"/>
              </w:rPr>
              <w:t>.45</w:t>
            </w:r>
          </w:p>
        </w:tc>
        <w:tc>
          <w:tcPr>
            <w:tcW w:w="2046" w:type="dxa"/>
            <w:shd w:val="clear" w:color="auto" w:fill="auto"/>
          </w:tcPr>
          <w:p w14:paraId="40845C1A" w14:textId="57AB6769"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(0.</w:t>
            </w:r>
            <w:r w:rsidR="000B0BE7" w:rsidRPr="00E75964">
              <w:rPr>
                <w:rFonts w:ascii="Garamond" w:hAnsi="Garamond" w:cs="Arial"/>
                <w:sz w:val="24"/>
                <w:szCs w:val="24"/>
              </w:rPr>
              <w:t>58</w:t>
            </w:r>
            <w:r w:rsidRPr="00E75964">
              <w:rPr>
                <w:rFonts w:ascii="Garamond" w:hAnsi="Garamond" w:cs="Arial"/>
                <w:sz w:val="24"/>
                <w:szCs w:val="24"/>
              </w:rPr>
              <w:t>)</w:t>
            </w:r>
          </w:p>
        </w:tc>
      </w:tr>
      <w:tr w:rsidR="00184188" w:rsidRPr="00E75964" w14:paraId="0BBF955B" w14:textId="77777777" w:rsidTr="00CD4F2E">
        <w:trPr>
          <w:trHeight w:hRule="exact" w:val="284"/>
        </w:trPr>
        <w:tc>
          <w:tcPr>
            <w:tcW w:w="1069" w:type="dxa"/>
          </w:tcPr>
          <w:p w14:paraId="6EC173D0" w14:textId="77777777" w:rsidR="00184188" w:rsidRPr="00E75964" w:rsidRDefault="00184188" w:rsidP="00184188">
            <w:pPr>
              <w:spacing w:after="200"/>
              <w:contextualSpacing/>
              <w:jc w:val="both"/>
              <w:rPr>
                <w:rFonts w:ascii="Garamond" w:hAnsi="Garamond" w:cs="Arial"/>
                <w:b/>
                <w:sz w:val="24"/>
                <w:szCs w:val="24"/>
              </w:rPr>
            </w:pPr>
          </w:p>
        </w:tc>
        <w:tc>
          <w:tcPr>
            <w:tcW w:w="1419" w:type="dxa"/>
          </w:tcPr>
          <w:p w14:paraId="0E84DDF0"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z-statistic</w:t>
            </w:r>
          </w:p>
        </w:tc>
        <w:tc>
          <w:tcPr>
            <w:tcW w:w="1229" w:type="dxa"/>
            <w:shd w:val="clear" w:color="auto" w:fill="auto"/>
          </w:tcPr>
          <w:p w14:paraId="1A42FEE8" w14:textId="77777777" w:rsidR="00184188" w:rsidRPr="00E75964" w:rsidRDefault="00184188" w:rsidP="00184188">
            <w:pPr>
              <w:spacing w:after="200"/>
              <w:contextualSpacing/>
              <w:jc w:val="center"/>
              <w:rPr>
                <w:rFonts w:ascii="Garamond" w:hAnsi="Garamond" w:cs="Arial"/>
                <w:sz w:val="24"/>
                <w:szCs w:val="24"/>
              </w:rPr>
            </w:pPr>
          </w:p>
        </w:tc>
        <w:tc>
          <w:tcPr>
            <w:tcW w:w="1282" w:type="dxa"/>
            <w:gridSpan w:val="2"/>
            <w:shd w:val="clear" w:color="auto" w:fill="auto"/>
          </w:tcPr>
          <w:p w14:paraId="1739BF09" w14:textId="77777777" w:rsidR="00184188" w:rsidRPr="00E75964" w:rsidRDefault="00184188" w:rsidP="00184188">
            <w:pPr>
              <w:spacing w:after="200"/>
              <w:contextualSpacing/>
              <w:jc w:val="center"/>
              <w:rPr>
                <w:rFonts w:ascii="Garamond" w:hAnsi="Garamond" w:cs="Arial"/>
                <w:sz w:val="24"/>
                <w:szCs w:val="24"/>
              </w:rPr>
            </w:pPr>
          </w:p>
        </w:tc>
        <w:tc>
          <w:tcPr>
            <w:tcW w:w="1230" w:type="dxa"/>
            <w:gridSpan w:val="2"/>
            <w:shd w:val="clear" w:color="auto" w:fill="auto"/>
          </w:tcPr>
          <w:p w14:paraId="1D626AF4" w14:textId="01E64CB2"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2.</w:t>
            </w:r>
            <w:r w:rsidR="00E41172" w:rsidRPr="00E75964">
              <w:rPr>
                <w:rFonts w:ascii="Garamond" w:hAnsi="Garamond" w:cs="Arial"/>
                <w:sz w:val="24"/>
                <w:szCs w:val="24"/>
              </w:rPr>
              <w:t>48</w:t>
            </w:r>
            <w:r w:rsidRPr="00E75964">
              <w:rPr>
                <w:rFonts w:ascii="Garamond" w:hAnsi="Garamond" w:cs="Arial"/>
                <w:sz w:val="24"/>
                <w:szCs w:val="24"/>
              </w:rPr>
              <w:t>**</w:t>
            </w:r>
          </w:p>
        </w:tc>
        <w:tc>
          <w:tcPr>
            <w:tcW w:w="1283" w:type="dxa"/>
            <w:shd w:val="clear" w:color="auto" w:fill="auto"/>
          </w:tcPr>
          <w:p w14:paraId="63ADCC55" w14:textId="141FA22B" w:rsidR="00184188" w:rsidRPr="00E75964" w:rsidRDefault="00E41172" w:rsidP="00184188">
            <w:pPr>
              <w:spacing w:after="200"/>
              <w:contextualSpacing/>
              <w:jc w:val="center"/>
              <w:rPr>
                <w:rFonts w:ascii="Garamond" w:hAnsi="Garamond" w:cs="Arial"/>
                <w:sz w:val="24"/>
                <w:szCs w:val="24"/>
              </w:rPr>
            </w:pPr>
            <w:r w:rsidRPr="00E75964">
              <w:rPr>
                <w:rFonts w:ascii="Garamond" w:hAnsi="Garamond" w:cs="Arial"/>
                <w:sz w:val="24"/>
                <w:szCs w:val="24"/>
              </w:rPr>
              <w:t>1</w:t>
            </w:r>
            <w:r w:rsidR="00184188" w:rsidRPr="00E75964">
              <w:rPr>
                <w:rFonts w:ascii="Garamond" w:hAnsi="Garamond" w:cs="Arial"/>
                <w:sz w:val="24"/>
                <w:szCs w:val="24"/>
              </w:rPr>
              <w:t>.</w:t>
            </w:r>
            <w:r w:rsidRPr="00E75964">
              <w:rPr>
                <w:rFonts w:ascii="Garamond" w:hAnsi="Garamond" w:cs="Arial"/>
                <w:sz w:val="24"/>
                <w:szCs w:val="24"/>
              </w:rPr>
              <w:t>98</w:t>
            </w:r>
            <w:r w:rsidR="00184188" w:rsidRPr="00E75964">
              <w:rPr>
                <w:rFonts w:ascii="Garamond" w:hAnsi="Garamond" w:cs="Arial"/>
                <w:sz w:val="24"/>
                <w:szCs w:val="24"/>
              </w:rPr>
              <w:t>**</w:t>
            </w:r>
          </w:p>
        </w:tc>
        <w:tc>
          <w:tcPr>
            <w:tcW w:w="2046" w:type="dxa"/>
            <w:shd w:val="clear" w:color="auto" w:fill="auto"/>
          </w:tcPr>
          <w:p w14:paraId="1D84D3D7" w14:textId="77777777" w:rsidR="00184188" w:rsidRPr="00E75964" w:rsidRDefault="00184188" w:rsidP="00184188">
            <w:pPr>
              <w:spacing w:after="200"/>
              <w:contextualSpacing/>
              <w:jc w:val="center"/>
              <w:rPr>
                <w:rFonts w:ascii="Garamond" w:hAnsi="Garamond" w:cs="Arial"/>
                <w:sz w:val="24"/>
                <w:szCs w:val="24"/>
              </w:rPr>
            </w:pPr>
          </w:p>
        </w:tc>
      </w:tr>
      <w:tr w:rsidR="00184188" w:rsidRPr="00E75964" w14:paraId="39DEDF16" w14:textId="77777777" w:rsidTr="00CD4F2E">
        <w:trPr>
          <w:trHeight w:hRule="exact" w:val="284"/>
        </w:trPr>
        <w:tc>
          <w:tcPr>
            <w:tcW w:w="1069" w:type="dxa"/>
          </w:tcPr>
          <w:p w14:paraId="4FD18B04" w14:textId="77777777" w:rsidR="00184188" w:rsidRPr="00E75964" w:rsidRDefault="00184188" w:rsidP="00184188">
            <w:pPr>
              <w:spacing w:after="200"/>
              <w:contextualSpacing/>
              <w:jc w:val="both"/>
              <w:rPr>
                <w:rFonts w:ascii="Garamond" w:hAnsi="Garamond" w:cs="Arial"/>
                <w:b/>
                <w:sz w:val="24"/>
                <w:szCs w:val="24"/>
              </w:rPr>
            </w:pPr>
            <w:r w:rsidRPr="00E75964">
              <w:rPr>
                <w:rFonts w:ascii="Garamond" w:hAnsi="Garamond" w:cs="Arial"/>
                <w:b/>
                <w:sz w:val="24"/>
                <w:szCs w:val="24"/>
              </w:rPr>
              <w:t>2</w:t>
            </w:r>
          </w:p>
        </w:tc>
        <w:tc>
          <w:tcPr>
            <w:tcW w:w="1419" w:type="dxa"/>
          </w:tcPr>
          <w:p w14:paraId="34CEF2D1"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Obs.</w:t>
            </w:r>
          </w:p>
        </w:tc>
        <w:tc>
          <w:tcPr>
            <w:tcW w:w="1229" w:type="dxa"/>
          </w:tcPr>
          <w:p w14:paraId="02461804" w14:textId="33D30663" w:rsidR="00184188" w:rsidRPr="00E75964" w:rsidRDefault="00736199" w:rsidP="00184188">
            <w:pPr>
              <w:spacing w:after="200"/>
              <w:contextualSpacing/>
              <w:jc w:val="center"/>
              <w:rPr>
                <w:rFonts w:ascii="Garamond" w:hAnsi="Garamond" w:cs="Arial"/>
                <w:sz w:val="24"/>
                <w:szCs w:val="24"/>
              </w:rPr>
            </w:pPr>
            <w:r w:rsidRPr="00E75964">
              <w:rPr>
                <w:rFonts w:ascii="Garamond" w:hAnsi="Garamond" w:cs="Arial"/>
                <w:sz w:val="24"/>
                <w:szCs w:val="24"/>
              </w:rPr>
              <w:t>41</w:t>
            </w:r>
            <w:r w:rsidR="00184188" w:rsidRPr="00E75964">
              <w:rPr>
                <w:rFonts w:ascii="Garamond" w:hAnsi="Garamond" w:cs="Arial"/>
                <w:sz w:val="24"/>
                <w:szCs w:val="24"/>
              </w:rPr>
              <w:t>7</w:t>
            </w:r>
          </w:p>
        </w:tc>
        <w:tc>
          <w:tcPr>
            <w:tcW w:w="1282" w:type="dxa"/>
            <w:gridSpan w:val="2"/>
          </w:tcPr>
          <w:p w14:paraId="56140DFF" w14:textId="3CF44566" w:rsidR="00184188" w:rsidRPr="00E75964" w:rsidRDefault="00736199" w:rsidP="00184188">
            <w:pPr>
              <w:spacing w:after="200"/>
              <w:contextualSpacing/>
              <w:jc w:val="center"/>
              <w:rPr>
                <w:rFonts w:ascii="Garamond" w:hAnsi="Garamond" w:cs="Arial"/>
                <w:sz w:val="24"/>
                <w:szCs w:val="24"/>
              </w:rPr>
            </w:pPr>
            <w:r w:rsidRPr="00E75964">
              <w:rPr>
                <w:rFonts w:ascii="Garamond" w:hAnsi="Garamond" w:cs="Arial"/>
                <w:sz w:val="24"/>
                <w:szCs w:val="24"/>
              </w:rPr>
              <w:t>496</w:t>
            </w:r>
          </w:p>
        </w:tc>
        <w:tc>
          <w:tcPr>
            <w:tcW w:w="1230" w:type="dxa"/>
            <w:gridSpan w:val="2"/>
          </w:tcPr>
          <w:p w14:paraId="5A69C07C" w14:textId="45509B6B" w:rsidR="00184188" w:rsidRPr="00E75964" w:rsidRDefault="00736199" w:rsidP="00184188">
            <w:pPr>
              <w:spacing w:after="200"/>
              <w:contextualSpacing/>
              <w:jc w:val="center"/>
              <w:rPr>
                <w:rFonts w:ascii="Garamond" w:hAnsi="Garamond" w:cs="Arial"/>
                <w:sz w:val="24"/>
                <w:szCs w:val="24"/>
              </w:rPr>
            </w:pPr>
            <w:r w:rsidRPr="00E75964">
              <w:rPr>
                <w:rFonts w:ascii="Garamond" w:hAnsi="Garamond" w:cs="Arial"/>
                <w:sz w:val="24"/>
                <w:szCs w:val="24"/>
              </w:rPr>
              <w:t>347</w:t>
            </w:r>
          </w:p>
        </w:tc>
        <w:tc>
          <w:tcPr>
            <w:tcW w:w="1283" w:type="dxa"/>
          </w:tcPr>
          <w:p w14:paraId="260A4584" w14:textId="399019F4" w:rsidR="00184188" w:rsidRPr="00E75964" w:rsidRDefault="00736199" w:rsidP="00184188">
            <w:pPr>
              <w:spacing w:after="200"/>
              <w:contextualSpacing/>
              <w:jc w:val="center"/>
              <w:rPr>
                <w:rFonts w:ascii="Garamond" w:hAnsi="Garamond" w:cs="Arial"/>
                <w:sz w:val="24"/>
                <w:szCs w:val="24"/>
              </w:rPr>
            </w:pPr>
            <w:r w:rsidRPr="00E75964">
              <w:rPr>
                <w:rFonts w:ascii="Garamond" w:hAnsi="Garamond" w:cs="Arial"/>
                <w:sz w:val="24"/>
                <w:szCs w:val="24"/>
              </w:rPr>
              <w:t>3</w:t>
            </w:r>
            <w:r w:rsidR="00990E90" w:rsidRPr="00E75964">
              <w:rPr>
                <w:rFonts w:ascii="Garamond" w:hAnsi="Garamond" w:cs="Arial"/>
                <w:sz w:val="24"/>
                <w:szCs w:val="24"/>
              </w:rPr>
              <w:t>88</w:t>
            </w:r>
          </w:p>
        </w:tc>
        <w:tc>
          <w:tcPr>
            <w:tcW w:w="2046" w:type="dxa"/>
          </w:tcPr>
          <w:p w14:paraId="7319A514" w14:textId="0893EAD9"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[1</w:t>
            </w:r>
            <w:r w:rsidR="00736199" w:rsidRPr="00E75964">
              <w:rPr>
                <w:rFonts w:ascii="Garamond" w:hAnsi="Garamond" w:cs="Arial"/>
                <w:sz w:val="24"/>
                <w:szCs w:val="24"/>
              </w:rPr>
              <w:t>1</w:t>
            </w:r>
            <w:r w:rsidRPr="00E75964">
              <w:rPr>
                <w:rFonts w:ascii="Garamond" w:hAnsi="Garamond" w:cs="Arial"/>
                <w:sz w:val="24"/>
                <w:szCs w:val="24"/>
              </w:rPr>
              <w:t>.</w:t>
            </w:r>
            <w:r w:rsidR="00736199" w:rsidRPr="00E75964">
              <w:rPr>
                <w:rFonts w:ascii="Garamond" w:hAnsi="Garamond" w:cs="Arial"/>
                <w:sz w:val="24"/>
                <w:szCs w:val="24"/>
              </w:rPr>
              <w:t>98</w:t>
            </w:r>
            <w:r w:rsidRPr="00E75964">
              <w:rPr>
                <w:rFonts w:ascii="Garamond" w:hAnsi="Garamond" w:cs="Arial"/>
                <w:sz w:val="24"/>
                <w:szCs w:val="24"/>
              </w:rPr>
              <w:t>]***</w:t>
            </w:r>
          </w:p>
        </w:tc>
      </w:tr>
      <w:tr w:rsidR="00184188" w:rsidRPr="00E75964" w14:paraId="46C26B76" w14:textId="77777777" w:rsidTr="00CD4F2E">
        <w:trPr>
          <w:trHeight w:hRule="exact" w:val="284"/>
        </w:trPr>
        <w:tc>
          <w:tcPr>
            <w:tcW w:w="1069" w:type="dxa"/>
          </w:tcPr>
          <w:p w14:paraId="36211B58" w14:textId="77777777" w:rsidR="00184188" w:rsidRPr="00E75964" w:rsidRDefault="00184188" w:rsidP="00184188">
            <w:pPr>
              <w:spacing w:after="200"/>
              <w:contextualSpacing/>
              <w:jc w:val="both"/>
              <w:rPr>
                <w:rFonts w:ascii="Garamond" w:hAnsi="Garamond" w:cs="Arial"/>
                <w:b/>
                <w:sz w:val="24"/>
                <w:szCs w:val="24"/>
              </w:rPr>
            </w:pPr>
          </w:p>
        </w:tc>
        <w:tc>
          <w:tcPr>
            <w:tcW w:w="1419" w:type="dxa"/>
          </w:tcPr>
          <w:p w14:paraId="2F22DC55"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Proportion</w:t>
            </w:r>
          </w:p>
        </w:tc>
        <w:tc>
          <w:tcPr>
            <w:tcW w:w="1229" w:type="dxa"/>
          </w:tcPr>
          <w:p w14:paraId="676B68CA" w14:textId="000FF804"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4</w:t>
            </w:r>
            <w:r w:rsidR="00736199" w:rsidRPr="00E75964">
              <w:rPr>
                <w:rFonts w:ascii="Garamond" w:hAnsi="Garamond" w:cs="Arial"/>
                <w:sz w:val="24"/>
                <w:szCs w:val="24"/>
              </w:rPr>
              <w:t>5</w:t>
            </w:r>
            <w:r w:rsidRPr="00E75964">
              <w:rPr>
                <w:rFonts w:ascii="Garamond" w:hAnsi="Garamond" w:cs="Arial"/>
                <w:sz w:val="24"/>
                <w:szCs w:val="24"/>
              </w:rPr>
              <w:t>.</w:t>
            </w:r>
            <w:r w:rsidR="00736199" w:rsidRPr="00E75964">
              <w:rPr>
                <w:rFonts w:ascii="Garamond" w:hAnsi="Garamond" w:cs="Arial"/>
                <w:sz w:val="24"/>
                <w:szCs w:val="24"/>
              </w:rPr>
              <w:t>6</w:t>
            </w:r>
            <w:r w:rsidRPr="00E75964">
              <w:rPr>
                <w:rFonts w:ascii="Garamond" w:hAnsi="Garamond" w:cs="Arial"/>
                <w:sz w:val="24"/>
                <w:szCs w:val="24"/>
              </w:rPr>
              <w:t>7</w:t>
            </w:r>
          </w:p>
        </w:tc>
        <w:tc>
          <w:tcPr>
            <w:tcW w:w="1282" w:type="dxa"/>
            <w:gridSpan w:val="2"/>
          </w:tcPr>
          <w:p w14:paraId="1EA00B44" w14:textId="5B28D6BE"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5</w:t>
            </w:r>
            <w:r w:rsidR="00736199" w:rsidRPr="00E75964">
              <w:rPr>
                <w:rFonts w:ascii="Garamond" w:hAnsi="Garamond" w:cs="Arial"/>
                <w:sz w:val="24"/>
                <w:szCs w:val="24"/>
              </w:rPr>
              <w:t>4</w:t>
            </w:r>
            <w:r w:rsidRPr="00E75964">
              <w:rPr>
                <w:rFonts w:ascii="Garamond" w:hAnsi="Garamond" w:cs="Arial"/>
                <w:sz w:val="24"/>
                <w:szCs w:val="24"/>
              </w:rPr>
              <w:t>.</w:t>
            </w:r>
            <w:r w:rsidR="00736199" w:rsidRPr="00E75964">
              <w:rPr>
                <w:rFonts w:ascii="Garamond" w:hAnsi="Garamond" w:cs="Arial"/>
                <w:sz w:val="24"/>
                <w:szCs w:val="24"/>
              </w:rPr>
              <w:t>33</w:t>
            </w:r>
          </w:p>
        </w:tc>
        <w:tc>
          <w:tcPr>
            <w:tcW w:w="1230" w:type="dxa"/>
            <w:gridSpan w:val="2"/>
          </w:tcPr>
          <w:p w14:paraId="7CDCE92B" w14:textId="386BD7F3"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5</w:t>
            </w:r>
            <w:r w:rsidR="00736199" w:rsidRPr="00E75964">
              <w:rPr>
                <w:rFonts w:ascii="Garamond" w:hAnsi="Garamond" w:cs="Arial"/>
                <w:sz w:val="24"/>
                <w:szCs w:val="24"/>
              </w:rPr>
              <w:t>4</w:t>
            </w:r>
            <w:r w:rsidRPr="00E75964">
              <w:rPr>
                <w:rFonts w:ascii="Garamond" w:hAnsi="Garamond" w:cs="Arial"/>
                <w:sz w:val="24"/>
                <w:szCs w:val="24"/>
              </w:rPr>
              <w:t>.</w:t>
            </w:r>
            <w:r w:rsidR="00736199" w:rsidRPr="00E75964">
              <w:rPr>
                <w:rFonts w:ascii="Garamond" w:hAnsi="Garamond" w:cs="Arial"/>
                <w:sz w:val="24"/>
                <w:szCs w:val="24"/>
              </w:rPr>
              <w:t>67</w:t>
            </w:r>
          </w:p>
        </w:tc>
        <w:tc>
          <w:tcPr>
            <w:tcW w:w="1283" w:type="dxa"/>
          </w:tcPr>
          <w:p w14:paraId="41EA2309" w14:textId="09BB6DA6"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5</w:t>
            </w:r>
            <w:r w:rsidR="00990E90" w:rsidRPr="00E75964">
              <w:rPr>
                <w:rFonts w:ascii="Garamond" w:hAnsi="Garamond" w:cs="Arial"/>
                <w:sz w:val="24"/>
                <w:szCs w:val="24"/>
              </w:rPr>
              <w:t>7</w:t>
            </w:r>
            <w:r w:rsidRPr="00E75964">
              <w:rPr>
                <w:rFonts w:ascii="Garamond" w:hAnsi="Garamond" w:cs="Arial"/>
                <w:sz w:val="24"/>
                <w:szCs w:val="24"/>
              </w:rPr>
              <w:t>.</w:t>
            </w:r>
            <w:r w:rsidR="00736199" w:rsidRPr="00E75964">
              <w:rPr>
                <w:rFonts w:ascii="Garamond" w:hAnsi="Garamond" w:cs="Arial"/>
                <w:sz w:val="24"/>
                <w:szCs w:val="24"/>
              </w:rPr>
              <w:t>36</w:t>
            </w:r>
          </w:p>
        </w:tc>
        <w:tc>
          <w:tcPr>
            <w:tcW w:w="2046" w:type="dxa"/>
          </w:tcPr>
          <w:p w14:paraId="4E4EF965" w14:textId="34481691"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(0.1</w:t>
            </w:r>
            <w:r w:rsidR="00736199" w:rsidRPr="00E75964">
              <w:rPr>
                <w:rFonts w:ascii="Garamond" w:hAnsi="Garamond" w:cs="Arial"/>
                <w:sz w:val="24"/>
                <w:szCs w:val="24"/>
              </w:rPr>
              <w:t>6</w:t>
            </w:r>
            <w:r w:rsidRPr="00E75964">
              <w:rPr>
                <w:rFonts w:ascii="Garamond" w:hAnsi="Garamond" w:cs="Arial"/>
                <w:sz w:val="24"/>
                <w:szCs w:val="24"/>
              </w:rPr>
              <w:t>)</w:t>
            </w:r>
          </w:p>
        </w:tc>
      </w:tr>
      <w:tr w:rsidR="00184188" w:rsidRPr="00E75964" w14:paraId="39023568" w14:textId="77777777" w:rsidTr="00CD4F2E">
        <w:trPr>
          <w:trHeight w:hRule="exact" w:val="284"/>
        </w:trPr>
        <w:tc>
          <w:tcPr>
            <w:tcW w:w="1069" w:type="dxa"/>
          </w:tcPr>
          <w:p w14:paraId="2BA16A8E" w14:textId="77777777" w:rsidR="00184188" w:rsidRPr="00E75964" w:rsidRDefault="00184188" w:rsidP="00184188">
            <w:pPr>
              <w:spacing w:after="200"/>
              <w:contextualSpacing/>
              <w:jc w:val="both"/>
              <w:rPr>
                <w:rFonts w:ascii="Garamond" w:hAnsi="Garamond" w:cs="Arial"/>
                <w:b/>
                <w:sz w:val="24"/>
                <w:szCs w:val="24"/>
              </w:rPr>
            </w:pPr>
          </w:p>
        </w:tc>
        <w:tc>
          <w:tcPr>
            <w:tcW w:w="1419" w:type="dxa"/>
          </w:tcPr>
          <w:p w14:paraId="6A819782"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z-statistic</w:t>
            </w:r>
          </w:p>
        </w:tc>
        <w:tc>
          <w:tcPr>
            <w:tcW w:w="1229" w:type="dxa"/>
          </w:tcPr>
          <w:p w14:paraId="089E52D6" w14:textId="77777777" w:rsidR="00184188" w:rsidRPr="00E75964" w:rsidRDefault="00184188" w:rsidP="00184188">
            <w:pPr>
              <w:spacing w:after="200"/>
              <w:contextualSpacing/>
              <w:jc w:val="center"/>
              <w:rPr>
                <w:rFonts w:ascii="Garamond" w:hAnsi="Garamond" w:cs="Arial"/>
                <w:sz w:val="24"/>
                <w:szCs w:val="24"/>
              </w:rPr>
            </w:pPr>
          </w:p>
        </w:tc>
        <w:tc>
          <w:tcPr>
            <w:tcW w:w="1282" w:type="dxa"/>
            <w:gridSpan w:val="2"/>
          </w:tcPr>
          <w:p w14:paraId="3CDC91D7" w14:textId="77777777" w:rsidR="00184188" w:rsidRPr="00E75964" w:rsidRDefault="00184188" w:rsidP="00184188">
            <w:pPr>
              <w:spacing w:after="200"/>
              <w:contextualSpacing/>
              <w:jc w:val="center"/>
              <w:rPr>
                <w:rFonts w:ascii="Garamond" w:hAnsi="Garamond" w:cs="Arial"/>
                <w:sz w:val="24"/>
                <w:szCs w:val="24"/>
              </w:rPr>
            </w:pPr>
          </w:p>
        </w:tc>
        <w:tc>
          <w:tcPr>
            <w:tcW w:w="1230" w:type="dxa"/>
            <w:gridSpan w:val="2"/>
          </w:tcPr>
          <w:p w14:paraId="74D3C47C" w14:textId="73DD134B" w:rsidR="00184188" w:rsidRPr="00E75964" w:rsidRDefault="00736199" w:rsidP="00184188">
            <w:pPr>
              <w:spacing w:after="200"/>
              <w:contextualSpacing/>
              <w:jc w:val="center"/>
              <w:rPr>
                <w:rFonts w:ascii="Garamond" w:hAnsi="Garamond" w:cs="Arial"/>
                <w:sz w:val="24"/>
                <w:szCs w:val="24"/>
              </w:rPr>
            </w:pPr>
            <w:r w:rsidRPr="00E75964">
              <w:rPr>
                <w:rFonts w:ascii="Garamond" w:hAnsi="Garamond" w:cs="Arial"/>
                <w:sz w:val="24"/>
                <w:szCs w:val="24"/>
              </w:rPr>
              <w:t>1</w:t>
            </w:r>
            <w:r w:rsidR="00184188" w:rsidRPr="00E75964">
              <w:rPr>
                <w:rFonts w:ascii="Garamond" w:hAnsi="Garamond" w:cs="Arial"/>
                <w:sz w:val="24"/>
                <w:szCs w:val="24"/>
              </w:rPr>
              <w:t>.8</w:t>
            </w:r>
            <w:r w:rsidRPr="00E75964">
              <w:rPr>
                <w:rFonts w:ascii="Garamond" w:hAnsi="Garamond" w:cs="Arial"/>
                <w:sz w:val="24"/>
                <w:szCs w:val="24"/>
              </w:rPr>
              <w:t>7</w:t>
            </w:r>
            <w:r w:rsidR="00184188" w:rsidRPr="00E75964">
              <w:rPr>
                <w:rFonts w:ascii="Garamond" w:hAnsi="Garamond" w:cs="Arial"/>
                <w:sz w:val="24"/>
                <w:szCs w:val="24"/>
              </w:rPr>
              <w:t>*</w:t>
            </w:r>
          </w:p>
        </w:tc>
        <w:tc>
          <w:tcPr>
            <w:tcW w:w="1283" w:type="dxa"/>
          </w:tcPr>
          <w:p w14:paraId="7B25D203" w14:textId="54F09843"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2.</w:t>
            </w:r>
            <w:r w:rsidR="00736199" w:rsidRPr="00E75964">
              <w:rPr>
                <w:rFonts w:ascii="Garamond" w:hAnsi="Garamond" w:cs="Arial"/>
                <w:sz w:val="24"/>
                <w:szCs w:val="24"/>
              </w:rPr>
              <w:t>35</w:t>
            </w:r>
            <w:r w:rsidRPr="00E75964">
              <w:rPr>
                <w:rFonts w:ascii="Garamond" w:hAnsi="Garamond" w:cs="Arial"/>
                <w:sz w:val="24"/>
                <w:szCs w:val="24"/>
              </w:rPr>
              <w:t>**</w:t>
            </w:r>
          </w:p>
        </w:tc>
        <w:tc>
          <w:tcPr>
            <w:tcW w:w="2046" w:type="dxa"/>
          </w:tcPr>
          <w:p w14:paraId="74F6BECA" w14:textId="77777777" w:rsidR="00184188" w:rsidRPr="00E75964" w:rsidRDefault="00184188" w:rsidP="00184188">
            <w:pPr>
              <w:spacing w:after="200"/>
              <w:contextualSpacing/>
              <w:jc w:val="center"/>
              <w:rPr>
                <w:rFonts w:ascii="Garamond" w:hAnsi="Garamond" w:cs="Arial"/>
                <w:sz w:val="24"/>
                <w:szCs w:val="24"/>
              </w:rPr>
            </w:pPr>
          </w:p>
        </w:tc>
      </w:tr>
      <w:tr w:rsidR="00184188" w:rsidRPr="00E75964" w14:paraId="490ED687" w14:textId="77777777" w:rsidTr="00CD4F2E">
        <w:trPr>
          <w:trHeight w:hRule="exact" w:val="284"/>
        </w:trPr>
        <w:tc>
          <w:tcPr>
            <w:tcW w:w="1069" w:type="dxa"/>
          </w:tcPr>
          <w:p w14:paraId="24C7B185" w14:textId="77777777" w:rsidR="00184188" w:rsidRPr="00E75964" w:rsidRDefault="00184188" w:rsidP="00184188">
            <w:pPr>
              <w:spacing w:after="200"/>
              <w:contextualSpacing/>
              <w:jc w:val="both"/>
              <w:rPr>
                <w:rFonts w:ascii="Garamond" w:hAnsi="Garamond" w:cs="Arial"/>
                <w:b/>
                <w:sz w:val="24"/>
                <w:szCs w:val="24"/>
              </w:rPr>
            </w:pPr>
            <w:r w:rsidRPr="00E75964">
              <w:rPr>
                <w:rFonts w:ascii="Garamond" w:hAnsi="Garamond" w:cs="Arial"/>
                <w:b/>
                <w:sz w:val="24"/>
                <w:szCs w:val="24"/>
              </w:rPr>
              <w:t>3</w:t>
            </w:r>
          </w:p>
        </w:tc>
        <w:tc>
          <w:tcPr>
            <w:tcW w:w="1419" w:type="dxa"/>
          </w:tcPr>
          <w:p w14:paraId="1BF213E2"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Obs.</w:t>
            </w:r>
          </w:p>
        </w:tc>
        <w:tc>
          <w:tcPr>
            <w:tcW w:w="1229" w:type="dxa"/>
          </w:tcPr>
          <w:p w14:paraId="30F19367" w14:textId="7F64FC16"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4</w:t>
            </w:r>
            <w:r w:rsidR="00CD4F2E" w:rsidRPr="00E75964">
              <w:rPr>
                <w:rFonts w:ascii="Garamond" w:hAnsi="Garamond" w:cs="Arial"/>
                <w:sz w:val="24"/>
                <w:szCs w:val="24"/>
              </w:rPr>
              <w:t>43</w:t>
            </w:r>
          </w:p>
        </w:tc>
        <w:tc>
          <w:tcPr>
            <w:tcW w:w="1282" w:type="dxa"/>
            <w:gridSpan w:val="2"/>
          </w:tcPr>
          <w:p w14:paraId="3EB0A924" w14:textId="2209FC4D" w:rsidR="00184188" w:rsidRPr="00E75964" w:rsidRDefault="00CD4F2E" w:rsidP="00184188">
            <w:pPr>
              <w:spacing w:after="200"/>
              <w:contextualSpacing/>
              <w:jc w:val="center"/>
              <w:rPr>
                <w:rFonts w:ascii="Garamond" w:hAnsi="Garamond" w:cs="Arial"/>
                <w:sz w:val="24"/>
                <w:szCs w:val="24"/>
              </w:rPr>
            </w:pPr>
            <w:r w:rsidRPr="00E75964">
              <w:rPr>
                <w:rFonts w:ascii="Garamond" w:hAnsi="Garamond" w:cs="Arial"/>
                <w:sz w:val="24"/>
                <w:szCs w:val="24"/>
              </w:rPr>
              <w:t>470</w:t>
            </w:r>
          </w:p>
        </w:tc>
        <w:tc>
          <w:tcPr>
            <w:tcW w:w="1230" w:type="dxa"/>
            <w:gridSpan w:val="2"/>
          </w:tcPr>
          <w:p w14:paraId="1A5591F0" w14:textId="7960F334"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3</w:t>
            </w:r>
            <w:r w:rsidR="00736199" w:rsidRPr="00E75964">
              <w:rPr>
                <w:rFonts w:ascii="Garamond" w:hAnsi="Garamond" w:cs="Arial"/>
                <w:sz w:val="24"/>
                <w:szCs w:val="24"/>
              </w:rPr>
              <w:t>3</w:t>
            </w:r>
            <w:r w:rsidRPr="00E75964">
              <w:rPr>
                <w:rFonts w:ascii="Garamond" w:hAnsi="Garamond" w:cs="Arial"/>
                <w:sz w:val="24"/>
                <w:szCs w:val="24"/>
              </w:rPr>
              <w:t>1</w:t>
            </w:r>
          </w:p>
        </w:tc>
        <w:tc>
          <w:tcPr>
            <w:tcW w:w="1283" w:type="dxa"/>
          </w:tcPr>
          <w:p w14:paraId="5FCC5F14" w14:textId="62EE5EB2" w:rsidR="00184188" w:rsidRPr="00E75964" w:rsidRDefault="00736199" w:rsidP="00184188">
            <w:pPr>
              <w:spacing w:after="200"/>
              <w:contextualSpacing/>
              <w:jc w:val="center"/>
              <w:rPr>
                <w:rFonts w:ascii="Garamond" w:hAnsi="Garamond" w:cs="Arial"/>
                <w:sz w:val="24"/>
                <w:szCs w:val="24"/>
              </w:rPr>
            </w:pPr>
            <w:r w:rsidRPr="00E75964">
              <w:rPr>
                <w:rFonts w:ascii="Garamond" w:hAnsi="Garamond" w:cs="Arial"/>
                <w:sz w:val="24"/>
                <w:szCs w:val="24"/>
              </w:rPr>
              <w:t>3</w:t>
            </w:r>
            <w:r w:rsidR="00990E90" w:rsidRPr="00E75964">
              <w:rPr>
                <w:rFonts w:ascii="Garamond" w:hAnsi="Garamond" w:cs="Arial"/>
                <w:sz w:val="24"/>
                <w:szCs w:val="24"/>
              </w:rPr>
              <w:t>5</w:t>
            </w:r>
            <w:r w:rsidRPr="00E75964">
              <w:rPr>
                <w:rFonts w:ascii="Garamond" w:hAnsi="Garamond" w:cs="Arial"/>
                <w:sz w:val="24"/>
                <w:szCs w:val="24"/>
              </w:rPr>
              <w:t>1</w:t>
            </w:r>
          </w:p>
        </w:tc>
        <w:tc>
          <w:tcPr>
            <w:tcW w:w="2046" w:type="dxa"/>
          </w:tcPr>
          <w:p w14:paraId="3E6879A0" w14:textId="42BF9E93"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[8</w:t>
            </w:r>
            <w:r w:rsidR="00736199" w:rsidRPr="00E75964">
              <w:rPr>
                <w:rFonts w:ascii="Garamond" w:hAnsi="Garamond" w:cs="Arial"/>
                <w:sz w:val="24"/>
                <w:szCs w:val="24"/>
              </w:rPr>
              <w:t>1</w:t>
            </w:r>
            <w:r w:rsidRPr="00E75964">
              <w:rPr>
                <w:rFonts w:ascii="Garamond" w:hAnsi="Garamond" w:cs="Arial"/>
                <w:sz w:val="24"/>
                <w:szCs w:val="24"/>
              </w:rPr>
              <w:t>.</w:t>
            </w:r>
            <w:r w:rsidR="00736199" w:rsidRPr="00E75964">
              <w:rPr>
                <w:rFonts w:ascii="Garamond" w:hAnsi="Garamond" w:cs="Arial"/>
                <w:sz w:val="24"/>
                <w:szCs w:val="24"/>
              </w:rPr>
              <w:t>36</w:t>
            </w:r>
            <w:r w:rsidRPr="00E75964">
              <w:rPr>
                <w:rFonts w:ascii="Garamond" w:hAnsi="Garamond" w:cs="Arial"/>
                <w:sz w:val="24"/>
                <w:szCs w:val="24"/>
              </w:rPr>
              <w:t>]***</w:t>
            </w:r>
          </w:p>
        </w:tc>
      </w:tr>
      <w:tr w:rsidR="00184188" w:rsidRPr="00E75964" w14:paraId="5A75092B" w14:textId="77777777" w:rsidTr="00CD4F2E">
        <w:trPr>
          <w:trHeight w:hRule="exact" w:val="284"/>
        </w:trPr>
        <w:tc>
          <w:tcPr>
            <w:tcW w:w="1069" w:type="dxa"/>
          </w:tcPr>
          <w:p w14:paraId="5948C5FE" w14:textId="77777777" w:rsidR="00184188" w:rsidRPr="00E75964" w:rsidRDefault="00184188" w:rsidP="00184188">
            <w:pPr>
              <w:spacing w:after="200"/>
              <w:contextualSpacing/>
              <w:jc w:val="both"/>
              <w:rPr>
                <w:rFonts w:ascii="Garamond" w:hAnsi="Garamond" w:cs="Arial"/>
                <w:b/>
                <w:sz w:val="24"/>
                <w:szCs w:val="24"/>
              </w:rPr>
            </w:pPr>
          </w:p>
        </w:tc>
        <w:tc>
          <w:tcPr>
            <w:tcW w:w="1419" w:type="dxa"/>
          </w:tcPr>
          <w:p w14:paraId="57E09004"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Proportion</w:t>
            </w:r>
          </w:p>
        </w:tc>
        <w:tc>
          <w:tcPr>
            <w:tcW w:w="1229" w:type="dxa"/>
          </w:tcPr>
          <w:p w14:paraId="5D01D520" w14:textId="47FDE096" w:rsidR="00184188" w:rsidRPr="00E75964" w:rsidRDefault="00CD4F2E" w:rsidP="00184188">
            <w:pPr>
              <w:spacing w:after="200"/>
              <w:contextualSpacing/>
              <w:jc w:val="center"/>
              <w:rPr>
                <w:rFonts w:ascii="Garamond" w:hAnsi="Garamond" w:cs="Arial"/>
                <w:sz w:val="24"/>
                <w:szCs w:val="24"/>
              </w:rPr>
            </w:pPr>
            <w:r w:rsidRPr="00E75964">
              <w:rPr>
                <w:rFonts w:ascii="Garamond" w:hAnsi="Garamond" w:cs="Arial"/>
                <w:sz w:val="24"/>
                <w:szCs w:val="24"/>
              </w:rPr>
              <w:t>48.52</w:t>
            </w:r>
          </w:p>
        </w:tc>
        <w:tc>
          <w:tcPr>
            <w:tcW w:w="1282" w:type="dxa"/>
            <w:gridSpan w:val="2"/>
          </w:tcPr>
          <w:p w14:paraId="2A5A0724" w14:textId="38A003FD" w:rsidR="00184188" w:rsidRPr="00E75964" w:rsidRDefault="00CD4F2E" w:rsidP="00184188">
            <w:pPr>
              <w:spacing w:after="200"/>
              <w:contextualSpacing/>
              <w:jc w:val="center"/>
              <w:rPr>
                <w:rFonts w:ascii="Garamond" w:hAnsi="Garamond" w:cs="Arial"/>
                <w:sz w:val="24"/>
                <w:szCs w:val="24"/>
              </w:rPr>
            </w:pPr>
            <w:r w:rsidRPr="00E75964">
              <w:rPr>
                <w:rFonts w:ascii="Garamond" w:hAnsi="Garamond" w:cs="Arial"/>
                <w:sz w:val="24"/>
                <w:szCs w:val="24"/>
              </w:rPr>
              <w:t>51.48</w:t>
            </w:r>
          </w:p>
        </w:tc>
        <w:tc>
          <w:tcPr>
            <w:tcW w:w="1230" w:type="dxa"/>
            <w:gridSpan w:val="2"/>
          </w:tcPr>
          <w:p w14:paraId="5AD0B3BD" w14:textId="41E3C958" w:rsidR="00184188" w:rsidRPr="00E75964" w:rsidRDefault="00736199" w:rsidP="00184188">
            <w:pPr>
              <w:spacing w:after="200"/>
              <w:contextualSpacing/>
              <w:jc w:val="center"/>
              <w:rPr>
                <w:rFonts w:ascii="Garamond" w:hAnsi="Garamond" w:cs="Arial"/>
                <w:sz w:val="24"/>
                <w:szCs w:val="24"/>
              </w:rPr>
            </w:pPr>
            <w:r w:rsidRPr="00E75964">
              <w:rPr>
                <w:rFonts w:ascii="Garamond" w:hAnsi="Garamond" w:cs="Arial"/>
                <w:sz w:val="24"/>
                <w:szCs w:val="24"/>
              </w:rPr>
              <w:t>49</w:t>
            </w:r>
            <w:r w:rsidR="00184188" w:rsidRPr="00E75964">
              <w:rPr>
                <w:rFonts w:ascii="Garamond" w:hAnsi="Garamond" w:cs="Arial"/>
                <w:sz w:val="24"/>
                <w:szCs w:val="24"/>
              </w:rPr>
              <w:t>.</w:t>
            </w:r>
            <w:r w:rsidRPr="00E75964">
              <w:rPr>
                <w:rFonts w:ascii="Garamond" w:hAnsi="Garamond" w:cs="Arial"/>
                <w:sz w:val="24"/>
                <w:szCs w:val="24"/>
              </w:rPr>
              <w:t>23</w:t>
            </w:r>
          </w:p>
        </w:tc>
        <w:tc>
          <w:tcPr>
            <w:tcW w:w="1283" w:type="dxa"/>
          </w:tcPr>
          <w:p w14:paraId="138C3454" w14:textId="615805D8" w:rsidR="00184188" w:rsidRPr="00E75964" w:rsidRDefault="00990E90" w:rsidP="00184188">
            <w:pPr>
              <w:spacing w:after="200"/>
              <w:contextualSpacing/>
              <w:jc w:val="center"/>
              <w:rPr>
                <w:rFonts w:ascii="Garamond" w:hAnsi="Garamond" w:cs="Arial"/>
                <w:sz w:val="24"/>
                <w:szCs w:val="24"/>
              </w:rPr>
            </w:pPr>
            <w:r w:rsidRPr="00E75964">
              <w:rPr>
                <w:rFonts w:ascii="Garamond" w:hAnsi="Garamond" w:cs="Arial"/>
                <w:sz w:val="24"/>
                <w:szCs w:val="24"/>
              </w:rPr>
              <w:t>50</w:t>
            </w:r>
            <w:r w:rsidR="00184188" w:rsidRPr="00E75964">
              <w:rPr>
                <w:rFonts w:ascii="Garamond" w:hAnsi="Garamond" w:cs="Arial"/>
                <w:sz w:val="24"/>
                <w:szCs w:val="24"/>
              </w:rPr>
              <w:t>.</w:t>
            </w:r>
            <w:r w:rsidR="00736199" w:rsidRPr="00E75964">
              <w:rPr>
                <w:rFonts w:ascii="Garamond" w:hAnsi="Garamond" w:cs="Arial"/>
                <w:sz w:val="24"/>
                <w:szCs w:val="24"/>
              </w:rPr>
              <w:t>61</w:t>
            </w:r>
          </w:p>
        </w:tc>
        <w:tc>
          <w:tcPr>
            <w:tcW w:w="2046" w:type="dxa"/>
          </w:tcPr>
          <w:p w14:paraId="04C025C1" w14:textId="38554AF7"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(0.</w:t>
            </w:r>
            <w:r w:rsidR="00736199" w:rsidRPr="00E75964">
              <w:rPr>
                <w:rFonts w:ascii="Garamond" w:hAnsi="Garamond" w:cs="Arial"/>
                <w:sz w:val="24"/>
                <w:szCs w:val="24"/>
              </w:rPr>
              <w:t>41</w:t>
            </w:r>
            <w:r w:rsidRPr="00E75964">
              <w:rPr>
                <w:rFonts w:ascii="Garamond" w:hAnsi="Garamond" w:cs="Arial"/>
                <w:sz w:val="24"/>
                <w:szCs w:val="24"/>
              </w:rPr>
              <w:t>)</w:t>
            </w:r>
          </w:p>
        </w:tc>
      </w:tr>
      <w:tr w:rsidR="00184188" w:rsidRPr="00E75964" w14:paraId="3FDC94C6" w14:textId="77777777" w:rsidTr="00CD4F2E">
        <w:trPr>
          <w:trHeight w:hRule="exact" w:val="284"/>
        </w:trPr>
        <w:tc>
          <w:tcPr>
            <w:tcW w:w="1069" w:type="dxa"/>
          </w:tcPr>
          <w:p w14:paraId="56EDAF54" w14:textId="77777777" w:rsidR="00184188" w:rsidRPr="00E75964" w:rsidRDefault="00184188" w:rsidP="00184188">
            <w:pPr>
              <w:spacing w:after="200"/>
              <w:contextualSpacing/>
              <w:jc w:val="both"/>
              <w:rPr>
                <w:rFonts w:ascii="Garamond" w:hAnsi="Garamond" w:cs="Arial"/>
                <w:b/>
                <w:sz w:val="24"/>
                <w:szCs w:val="24"/>
              </w:rPr>
            </w:pPr>
          </w:p>
        </w:tc>
        <w:tc>
          <w:tcPr>
            <w:tcW w:w="1419" w:type="dxa"/>
          </w:tcPr>
          <w:p w14:paraId="776C1B41"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z-statistic</w:t>
            </w:r>
          </w:p>
        </w:tc>
        <w:tc>
          <w:tcPr>
            <w:tcW w:w="1229" w:type="dxa"/>
          </w:tcPr>
          <w:p w14:paraId="095E827B" w14:textId="77777777" w:rsidR="00184188" w:rsidRPr="00E75964" w:rsidRDefault="00184188" w:rsidP="00184188">
            <w:pPr>
              <w:spacing w:after="200"/>
              <w:contextualSpacing/>
              <w:jc w:val="center"/>
              <w:rPr>
                <w:rFonts w:ascii="Garamond" w:hAnsi="Garamond" w:cs="Arial"/>
                <w:sz w:val="24"/>
                <w:szCs w:val="24"/>
              </w:rPr>
            </w:pPr>
          </w:p>
        </w:tc>
        <w:tc>
          <w:tcPr>
            <w:tcW w:w="1282" w:type="dxa"/>
            <w:gridSpan w:val="2"/>
          </w:tcPr>
          <w:p w14:paraId="09C05186" w14:textId="77777777" w:rsidR="00184188" w:rsidRPr="00E75964" w:rsidRDefault="00184188" w:rsidP="00184188">
            <w:pPr>
              <w:spacing w:after="200"/>
              <w:contextualSpacing/>
              <w:jc w:val="center"/>
              <w:rPr>
                <w:rFonts w:ascii="Garamond" w:hAnsi="Garamond" w:cs="Arial"/>
                <w:sz w:val="24"/>
                <w:szCs w:val="24"/>
              </w:rPr>
            </w:pPr>
          </w:p>
        </w:tc>
        <w:tc>
          <w:tcPr>
            <w:tcW w:w="1230" w:type="dxa"/>
            <w:gridSpan w:val="2"/>
          </w:tcPr>
          <w:p w14:paraId="320434EF" w14:textId="1AB78400"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2.</w:t>
            </w:r>
            <w:r w:rsidR="00736199" w:rsidRPr="00E75964">
              <w:rPr>
                <w:rFonts w:ascii="Garamond" w:hAnsi="Garamond" w:cs="Arial"/>
                <w:sz w:val="24"/>
                <w:szCs w:val="24"/>
              </w:rPr>
              <w:t>02</w:t>
            </w:r>
            <w:r w:rsidRPr="00E75964">
              <w:rPr>
                <w:rFonts w:ascii="Garamond" w:hAnsi="Garamond" w:cs="Arial"/>
                <w:sz w:val="24"/>
                <w:szCs w:val="24"/>
              </w:rPr>
              <w:t>**</w:t>
            </w:r>
          </w:p>
        </w:tc>
        <w:tc>
          <w:tcPr>
            <w:tcW w:w="1283" w:type="dxa"/>
          </w:tcPr>
          <w:p w14:paraId="666F7197" w14:textId="46E3C1F2"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2.0</w:t>
            </w:r>
            <w:r w:rsidR="00736199" w:rsidRPr="00E75964">
              <w:rPr>
                <w:rFonts w:ascii="Garamond" w:hAnsi="Garamond" w:cs="Arial"/>
                <w:sz w:val="24"/>
                <w:szCs w:val="24"/>
              </w:rPr>
              <w:t>6</w:t>
            </w:r>
            <w:r w:rsidRPr="00E75964">
              <w:rPr>
                <w:rFonts w:ascii="Garamond" w:hAnsi="Garamond" w:cs="Arial"/>
                <w:sz w:val="24"/>
                <w:szCs w:val="24"/>
              </w:rPr>
              <w:t>**</w:t>
            </w:r>
          </w:p>
        </w:tc>
        <w:tc>
          <w:tcPr>
            <w:tcW w:w="2046" w:type="dxa"/>
          </w:tcPr>
          <w:p w14:paraId="5C65939B" w14:textId="77777777" w:rsidR="00184188" w:rsidRPr="00E75964" w:rsidRDefault="00184188" w:rsidP="00184188">
            <w:pPr>
              <w:spacing w:after="200"/>
              <w:contextualSpacing/>
              <w:jc w:val="center"/>
              <w:rPr>
                <w:rFonts w:ascii="Garamond" w:hAnsi="Garamond" w:cs="Arial"/>
                <w:sz w:val="24"/>
                <w:szCs w:val="24"/>
              </w:rPr>
            </w:pPr>
          </w:p>
        </w:tc>
      </w:tr>
      <w:tr w:rsidR="00184188" w:rsidRPr="00E75964" w14:paraId="15F0260E" w14:textId="77777777" w:rsidTr="00CD4F2E">
        <w:trPr>
          <w:trHeight w:hRule="exact" w:val="284"/>
        </w:trPr>
        <w:tc>
          <w:tcPr>
            <w:tcW w:w="1069" w:type="dxa"/>
          </w:tcPr>
          <w:p w14:paraId="0C444640" w14:textId="77777777" w:rsidR="00184188" w:rsidRPr="00E75964" w:rsidRDefault="00184188" w:rsidP="00184188">
            <w:pPr>
              <w:spacing w:after="200"/>
              <w:contextualSpacing/>
              <w:jc w:val="both"/>
              <w:rPr>
                <w:rFonts w:ascii="Garamond" w:hAnsi="Garamond" w:cs="Arial"/>
                <w:b/>
                <w:sz w:val="24"/>
                <w:szCs w:val="24"/>
              </w:rPr>
            </w:pPr>
            <w:r w:rsidRPr="00E75964">
              <w:rPr>
                <w:rFonts w:ascii="Garamond" w:hAnsi="Garamond" w:cs="Arial"/>
                <w:b/>
                <w:sz w:val="24"/>
                <w:szCs w:val="24"/>
              </w:rPr>
              <w:t>4</w:t>
            </w:r>
          </w:p>
        </w:tc>
        <w:tc>
          <w:tcPr>
            <w:tcW w:w="1419" w:type="dxa"/>
          </w:tcPr>
          <w:p w14:paraId="3247C251"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Obs.</w:t>
            </w:r>
          </w:p>
        </w:tc>
        <w:tc>
          <w:tcPr>
            <w:tcW w:w="1229" w:type="dxa"/>
          </w:tcPr>
          <w:p w14:paraId="05F678B1" w14:textId="6AD3078D" w:rsidR="00184188" w:rsidRPr="00E75964" w:rsidRDefault="00F6337E" w:rsidP="00F6337E">
            <w:pPr>
              <w:spacing w:after="200"/>
              <w:contextualSpacing/>
              <w:jc w:val="center"/>
              <w:rPr>
                <w:rFonts w:ascii="Garamond" w:hAnsi="Garamond" w:cs="Arial"/>
                <w:sz w:val="24"/>
                <w:szCs w:val="24"/>
              </w:rPr>
            </w:pPr>
            <w:r w:rsidRPr="00E75964">
              <w:rPr>
                <w:rFonts w:ascii="Garamond" w:hAnsi="Garamond" w:cs="Arial"/>
                <w:sz w:val="24"/>
                <w:szCs w:val="24"/>
              </w:rPr>
              <w:t>4</w:t>
            </w:r>
            <w:r w:rsidR="00CD4F2E" w:rsidRPr="00E75964">
              <w:rPr>
                <w:rFonts w:ascii="Garamond" w:hAnsi="Garamond" w:cs="Arial"/>
                <w:sz w:val="24"/>
                <w:szCs w:val="24"/>
              </w:rPr>
              <w:t>1</w:t>
            </w:r>
            <w:r w:rsidRPr="00E75964">
              <w:rPr>
                <w:rFonts w:ascii="Garamond" w:hAnsi="Garamond" w:cs="Arial"/>
                <w:sz w:val="24"/>
                <w:szCs w:val="24"/>
              </w:rPr>
              <w:t>5</w:t>
            </w:r>
          </w:p>
        </w:tc>
        <w:tc>
          <w:tcPr>
            <w:tcW w:w="1282" w:type="dxa"/>
            <w:gridSpan w:val="2"/>
          </w:tcPr>
          <w:p w14:paraId="5B80DAEB" w14:textId="698A22B2" w:rsidR="00184188" w:rsidRPr="00E75964" w:rsidRDefault="00F6337E" w:rsidP="00184188">
            <w:pPr>
              <w:spacing w:after="200"/>
              <w:contextualSpacing/>
              <w:jc w:val="center"/>
              <w:rPr>
                <w:rFonts w:ascii="Garamond" w:hAnsi="Garamond" w:cs="Arial"/>
                <w:sz w:val="24"/>
                <w:szCs w:val="24"/>
              </w:rPr>
            </w:pPr>
            <w:r w:rsidRPr="00E75964">
              <w:rPr>
                <w:rFonts w:ascii="Garamond" w:hAnsi="Garamond" w:cs="Arial"/>
                <w:sz w:val="24"/>
                <w:szCs w:val="24"/>
              </w:rPr>
              <w:t>4</w:t>
            </w:r>
            <w:r w:rsidR="00CD4F2E" w:rsidRPr="00E75964">
              <w:rPr>
                <w:rFonts w:ascii="Garamond" w:hAnsi="Garamond" w:cs="Arial"/>
                <w:sz w:val="24"/>
                <w:szCs w:val="24"/>
              </w:rPr>
              <w:t>9</w:t>
            </w:r>
            <w:r w:rsidRPr="00E75964">
              <w:rPr>
                <w:rFonts w:ascii="Garamond" w:hAnsi="Garamond" w:cs="Arial"/>
                <w:sz w:val="24"/>
                <w:szCs w:val="24"/>
              </w:rPr>
              <w:t>8</w:t>
            </w:r>
          </w:p>
        </w:tc>
        <w:tc>
          <w:tcPr>
            <w:tcW w:w="1230" w:type="dxa"/>
            <w:gridSpan w:val="2"/>
          </w:tcPr>
          <w:p w14:paraId="795B412F" w14:textId="5AE0EBF8" w:rsidR="00184188" w:rsidRPr="00E75964" w:rsidRDefault="0037123B" w:rsidP="00184188">
            <w:pPr>
              <w:spacing w:after="200"/>
              <w:contextualSpacing/>
              <w:jc w:val="center"/>
              <w:rPr>
                <w:rFonts w:ascii="Garamond" w:hAnsi="Garamond" w:cs="Arial"/>
                <w:sz w:val="24"/>
                <w:szCs w:val="24"/>
              </w:rPr>
            </w:pPr>
            <w:r w:rsidRPr="00E75964">
              <w:rPr>
                <w:rFonts w:ascii="Garamond" w:hAnsi="Garamond" w:cs="Arial"/>
                <w:sz w:val="24"/>
                <w:szCs w:val="24"/>
              </w:rPr>
              <w:t>30</w:t>
            </w:r>
            <w:r w:rsidR="00184188" w:rsidRPr="00E75964">
              <w:rPr>
                <w:rFonts w:ascii="Garamond" w:hAnsi="Garamond" w:cs="Arial"/>
                <w:sz w:val="24"/>
                <w:szCs w:val="24"/>
              </w:rPr>
              <w:t>9</w:t>
            </w:r>
          </w:p>
        </w:tc>
        <w:tc>
          <w:tcPr>
            <w:tcW w:w="1283" w:type="dxa"/>
          </w:tcPr>
          <w:p w14:paraId="3CE0A3C8" w14:textId="2A93F245" w:rsidR="00184188" w:rsidRPr="00E75964" w:rsidRDefault="0037123B" w:rsidP="00184188">
            <w:pPr>
              <w:spacing w:after="200"/>
              <w:contextualSpacing/>
              <w:jc w:val="center"/>
              <w:rPr>
                <w:rFonts w:ascii="Garamond" w:hAnsi="Garamond" w:cs="Arial"/>
                <w:sz w:val="24"/>
                <w:szCs w:val="24"/>
              </w:rPr>
            </w:pPr>
            <w:r w:rsidRPr="00E75964">
              <w:rPr>
                <w:rFonts w:ascii="Garamond" w:hAnsi="Garamond" w:cs="Arial"/>
                <w:sz w:val="24"/>
                <w:szCs w:val="24"/>
              </w:rPr>
              <w:t>311</w:t>
            </w:r>
          </w:p>
        </w:tc>
        <w:tc>
          <w:tcPr>
            <w:tcW w:w="2046" w:type="dxa"/>
          </w:tcPr>
          <w:p w14:paraId="10F8054D" w14:textId="69154D27"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w:t>
            </w:r>
            <w:r w:rsidR="000B0BE7" w:rsidRPr="00E75964">
              <w:rPr>
                <w:rFonts w:ascii="Garamond" w:hAnsi="Garamond" w:cs="Arial"/>
                <w:sz w:val="24"/>
                <w:szCs w:val="24"/>
              </w:rPr>
              <w:t>234</w:t>
            </w:r>
            <w:r w:rsidRPr="00E75964">
              <w:rPr>
                <w:rFonts w:ascii="Garamond" w:hAnsi="Garamond" w:cs="Arial"/>
                <w:sz w:val="24"/>
                <w:szCs w:val="24"/>
              </w:rPr>
              <w:t>.16]</w:t>
            </w:r>
            <w:r w:rsidR="0037123B" w:rsidRPr="00E75964">
              <w:rPr>
                <w:rFonts w:ascii="Garamond" w:hAnsi="Garamond" w:cs="Arial"/>
                <w:sz w:val="24"/>
                <w:szCs w:val="24"/>
              </w:rPr>
              <w:t>***</w:t>
            </w:r>
          </w:p>
        </w:tc>
      </w:tr>
      <w:tr w:rsidR="00184188" w:rsidRPr="00E75964" w14:paraId="6DC0BC4D" w14:textId="77777777" w:rsidTr="00CD4F2E">
        <w:trPr>
          <w:trHeight w:hRule="exact" w:val="284"/>
        </w:trPr>
        <w:tc>
          <w:tcPr>
            <w:tcW w:w="1069" w:type="dxa"/>
          </w:tcPr>
          <w:p w14:paraId="38F09AB6" w14:textId="77777777" w:rsidR="00184188" w:rsidRPr="00E75964" w:rsidRDefault="00184188" w:rsidP="00184188">
            <w:pPr>
              <w:spacing w:after="200"/>
              <w:contextualSpacing/>
              <w:jc w:val="both"/>
              <w:rPr>
                <w:rFonts w:ascii="Garamond" w:hAnsi="Garamond" w:cs="Arial"/>
                <w:b/>
                <w:sz w:val="24"/>
                <w:szCs w:val="24"/>
              </w:rPr>
            </w:pPr>
          </w:p>
        </w:tc>
        <w:tc>
          <w:tcPr>
            <w:tcW w:w="1419" w:type="dxa"/>
          </w:tcPr>
          <w:p w14:paraId="016C17BB"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Proportion</w:t>
            </w:r>
          </w:p>
        </w:tc>
        <w:tc>
          <w:tcPr>
            <w:tcW w:w="1229" w:type="dxa"/>
          </w:tcPr>
          <w:p w14:paraId="2AD70BB8" w14:textId="70C3AD45" w:rsidR="00184188" w:rsidRPr="00E75964" w:rsidRDefault="00F6337E" w:rsidP="00184188">
            <w:pPr>
              <w:spacing w:after="200"/>
              <w:contextualSpacing/>
              <w:jc w:val="center"/>
              <w:rPr>
                <w:rFonts w:ascii="Garamond" w:hAnsi="Garamond" w:cs="Arial"/>
                <w:sz w:val="24"/>
                <w:szCs w:val="24"/>
              </w:rPr>
            </w:pPr>
            <w:r w:rsidRPr="00E75964">
              <w:rPr>
                <w:rFonts w:ascii="Garamond" w:hAnsi="Garamond" w:cs="Arial"/>
                <w:sz w:val="24"/>
                <w:szCs w:val="24"/>
              </w:rPr>
              <w:t>4</w:t>
            </w:r>
            <w:r w:rsidR="00CD4F2E" w:rsidRPr="00E75964">
              <w:rPr>
                <w:rFonts w:ascii="Garamond" w:hAnsi="Garamond" w:cs="Arial"/>
                <w:sz w:val="24"/>
                <w:szCs w:val="24"/>
              </w:rPr>
              <w:t>5</w:t>
            </w:r>
            <w:r w:rsidRPr="00E75964">
              <w:rPr>
                <w:rFonts w:ascii="Garamond" w:hAnsi="Garamond" w:cs="Arial"/>
                <w:sz w:val="24"/>
                <w:szCs w:val="24"/>
              </w:rPr>
              <w:t>.</w:t>
            </w:r>
            <w:r w:rsidR="00CD4F2E" w:rsidRPr="00E75964">
              <w:rPr>
                <w:rFonts w:ascii="Garamond" w:hAnsi="Garamond" w:cs="Arial"/>
                <w:sz w:val="24"/>
                <w:szCs w:val="24"/>
              </w:rPr>
              <w:t>45</w:t>
            </w:r>
          </w:p>
        </w:tc>
        <w:tc>
          <w:tcPr>
            <w:tcW w:w="1282" w:type="dxa"/>
            <w:gridSpan w:val="2"/>
          </w:tcPr>
          <w:p w14:paraId="16E960D2" w14:textId="3698213D" w:rsidR="00184188" w:rsidRPr="00E75964" w:rsidRDefault="00F6337E" w:rsidP="00184188">
            <w:pPr>
              <w:spacing w:after="200"/>
              <w:contextualSpacing/>
              <w:jc w:val="center"/>
              <w:rPr>
                <w:rFonts w:ascii="Garamond" w:hAnsi="Garamond" w:cs="Arial"/>
                <w:sz w:val="24"/>
                <w:szCs w:val="24"/>
              </w:rPr>
            </w:pPr>
            <w:r w:rsidRPr="00E75964">
              <w:rPr>
                <w:rFonts w:ascii="Garamond" w:hAnsi="Garamond" w:cs="Arial"/>
                <w:sz w:val="24"/>
                <w:szCs w:val="24"/>
              </w:rPr>
              <w:t>5</w:t>
            </w:r>
            <w:r w:rsidR="00CD4F2E" w:rsidRPr="00E75964">
              <w:rPr>
                <w:rFonts w:ascii="Garamond" w:hAnsi="Garamond" w:cs="Arial"/>
                <w:sz w:val="24"/>
                <w:szCs w:val="24"/>
              </w:rPr>
              <w:t>4</w:t>
            </w:r>
            <w:r w:rsidR="00184188" w:rsidRPr="00E75964">
              <w:rPr>
                <w:rFonts w:ascii="Garamond" w:hAnsi="Garamond" w:cs="Arial"/>
                <w:sz w:val="24"/>
                <w:szCs w:val="24"/>
              </w:rPr>
              <w:t>.</w:t>
            </w:r>
            <w:r w:rsidR="00CD4F2E" w:rsidRPr="00E75964">
              <w:rPr>
                <w:rFonts w:ascii="Garamond" w:hAnsi="Garamond" w:cs="Arial"/>
                <w:sz w:val="24"/>
                <w:szCs w:val="24"/>
              </w:rPr>
              <w:t>55</w:t>
            </w:r>
          </w:p>
        </w:tc>
        <w:tc>
          <w:tcPr>
            <w:tcW w:w="1230" w:type="dxa"/>
            <w:gridSpan w:val="2"/>
          </w:tcPr>
          <w:p w14:paraId="12342881" w14:textId="20629FEE"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5</w:t>
            </w:r>
            <w:r w:rsidR="0037123B" w:rsidRPr="00E75964">
              <w:rPr>
                <w:rFonts w:ascii="Garamond" w:hAnsi="Garamond" w:cs="Arial"/>
                <w:sz w:val="24"/>
                <w:szCs w:val="24"/>
              </w:rPr>
              <w:t>1</w:t>
            </w:r>
            <w:r w:rsidRPr="00E75964">
              <w:rPr>
                <w:rFonts w:ascii="Garamond" w:hAnsi="Garamond" w:cs="Arial"/>
                <w:sz w:val="24"/>
                <w:szCs w:val="24"/>
              </w:rPr>
              <w:t>.</w:t>
            </w:r>
            <w:r w:rsidR="0037123B" w:rsidRPr="00E75964">
              <w:rPr>
                <w:rFonts w:ascii="Garamond" w:hAnsi="Garamond" w:cs="Arial"/>
                <w:sz w:val="24"/>
                <w:szCs w:val="24"/>
              </w:rPr>
              <w:t>27</w:t>
            </w:r>
          </w:p>
        </w:tc>
        <w:tc>
          <w:tcPr>
            <w:tcW w:w="1283" w:type="dxa"/>
          </w:tcPr>
          <w:p w14:paraId="76028E47" w14:textId="11D63621" w:rsidR="00184188" w:rsidRPr="00E75964" w:rsidRDefault="0037123B" w:rsidP="00184188">
            <w:pPr>
              <w:spacing w:after="200"/>
              <w:contextualSpacing/>
              <w:jc w:val="center"/>
              <w:rPr>
                <w:rFonts w:ascii="Garamond" w:hAnsi="Garamond" w:cs="Arial"/>
                <w:sz w:val="24"/>
                <w:szCs w:val="24"/>
              </w:rPr>
            </w:pPr>
            <w:r w:rsidRPr="00E75964">
              <w:rPr>
                <w:rFonts w:ascii="Garamond" w:hAnsi="Garamond" w:cs="Arial"/>
                <w:sz w:val="24"/>
                <w:szCs w:val="24"/>
              </w:rPr>
              <w:t>50</w:t>
            </w:r>
            <w:r w:rsidR="00184188" w:rsidRPr="00E75964">
              <w:rPr>
                <w:rFonts w:ascii="Garamond" w:hAnsi="Garamond" w:cs="Arial"/>
                <w:sz w:val="24"/>
                <w:szCs w:val="24"/>
              </w:rPr>
              <w:t>.</w:t>
            </w:r>
            <w:r w:rsidRPr="00E75964">
              <w:rPr>
                <w:rFonts w:ascii="Garamond" w:hAnsi="Garamond" w:cs="Arial"/>
                <w:sz w:val="24"/>
                <w:szCs w:val="24"/>
              </w:rPr>
              <w:t>60</w:t>
            </w:r>
          </w:p>
        </w:tc>
        <w:tc>
          <w:tcPr>
            <w:tcW w:w="2046" w:type="dxa"/>
          </w:tcPr>
          <w:p w14:paraId="5B191ED5" w14:textId="67C4A727"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(0.</w:t>
            </w:r>
            <w:r w:rsidR="000B0BE7" w:rsidRPr="00E75964">
              <w:rPr>
                <w:rFonts w:ascii="Garamond" w:hAnsi="Garamond" w:cs="Arial"/>
                <w:sz w:val="24"/>
                <w:szCs w:val="24"/>
              </w:rPr>
              <w:t>5</w:t>
            </w:r>
            <w:r w:rsidR="0037123B" w:rsidRPr="00E75964">
              <w:rPr>
                <w:rFonts w:ascii="Garamond" w:hAnsi="Garamond" w:cs="Arial"/>
                <w:sz w:val="24"/>
                <w:szCs w:val="24"/>
              </w:rPr>
              <w:t>7</w:t>
            </w:r>
            <w:r w:rsidRPr="00E75964">
              <w:rPr>
                <w:rFonts w:ascii="Garamond" w:hAnsi="Garamond" w:cs="Arial"/>
                <w:sz w:val="24"/>
                <w:szCs w:val="24"/>
              </w:rPr>
              <w:t>)</w:t>
            </w:r>
          </w:p>
        </w:tc>
      </w:tr>
      <w:tr w:rsidR="00184188" w:rsidRPr="00E75964" w14:paraId="7C0BDCDB" w14:textId="77777777" w:rsidTr="00CD4F2E">
        <w:trPr>
          <w:trHeight w:hRule="exact" w:val="284"/>
        </w:trPr>
        <w:tc>
          <w:tcPr>
            <w:tcW w:w="1069" w:type="dxa"/>
          </w:tcPr>
          <w:p w14:paraId="1604B788" w14:textId="77777777" w:rsidR="00184188" w:rsidRPr="00E75964" w:rsidRDefault="00184188" w:rsidP="00184188">
            <w:pPr>
              <w:spacing w:after="200"/>
              <w:contextualSpacing/>
              <w:jc w:val="both"/>
              <w:rPr>
                <w:rFonts w:ascii="Garamond" w:hAnsi="Garamond" w:cs="Arial"/>
                <w:b/>
                <w:sz w:val="24"/>
                <w:szCs w:val="24"/>
              </w:rPr>
            </w:pPr>
          </w:p>
        </w:tc>
        <w:tc>
          <w:tcPr>
            <w:tcW w:w="1419" w:type="dxa"/>
          </w:tcPr>
          <w:p w14:paraId="4E01A310"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z-statistic</w:t>
            </w:r>
          </w:p>
        </w:tc>
        <w:tc>
          <w:tcPr>
            <w:tcW w:w="1229" w:type="dxa"/>
          </w:tcPr>
          <w:p w14:paraId="2FD981AB" w14:textId="77777777" w:rsidR="00184188" w:rsidRPr="00E75964" w:rsidRDefault="00184188" w:rsidP="00184188">
            <w:pPr>
              <w:spacing w:after="200"/>
              <w:contextualSpacing/>
              <w:jc w:val="center"/>
              <w:rPr>
                <w:rFonts w:ascii="Garamond" w:hAnsi="Garamond" w:cs="Arial"/>
                <w:sz w:val="24"/>
                <w:szCs w:val="24"/>
              </w:rPr>
            </w:pPr>
          </w:p>
        </w:tc>
        <w:tc>
          <w:tcPr>
            <w:tcW w:w="1282" w:type="dxa"/>
            <w:gridSpan w:val="2"/>
          </w:tcPr>
          <w:p w14:paraId="46504354" w14:textId="77777777" w:rsidR="00184188" w:rsidRPr="00E75964" w:rsidRDefault="00184188" w:rsidP="00184188">
            <w:pPr>
              <w:spacing w:after="200"/>
              <w:contextualSpacing/>
              <w:jc w:val="center"/>
              <w:rPr>
                <w:rFonts w:ascii="Garamond" w:hAnsi="Garamond" w:cs="Arial"/>
                <w:sz w:val="24"/>
                <w:szCs w:val="24"/>
              </w:rPr>
            </w:pPr>
          </w:p>
        </w:tc>
        <w:tc>
          <w:tcPr>
            <w:tcW w:w="1230" w:type="dxa"/>
            <w:gridSpan w:val="2"/>
          </w:tcPr>
          <w:p w14:paraId="1033CEED" w14:textId="493DF2BF"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1.</w:t>
            </w:r>
            <w:r w:rsidR="0037123B" w:rsidRPr="00E75964">
              <w:rPr>
                <w:rFonts w:ascii="Garamond" w:hAnsi="Garamond" w:cs="Arial"/>
                <w:sz w:val="24"/>
                <w:szCs w:val="24"/>
              </w:rPr>
              <w:t>95**</w:t>
            </w:r>
          </w:p>
        </w:tc>
        <w:tc>
          <w:tcPr>
            <w:tcW w:w="1283" w:type="dxa"/>
          </w:tcPr>
          <w:p w14:paraId="2E9612AB" w14:textId="60638229" w:rsidR="00184188" w:rsidRPr="00E75964" w:rsidRDefault="0037123B" w:rsidP="00184188">
            <w:pPr>
              <w:spacing w:after="200"/>
              <w:contextualSpacing/>
              <w:jc w:val="center"/>
              <w:rPr>
                <w:rFonts w:ascii="Garamond" w:hAnsi="Garamond" w:cs="Arial"/>
                <w:sz w:val="24"/>
                <w:szCs w:val="24"/>
              </w:rPr>
            </w:pPr>
            <w:r w:rsidRPr="00E75964">
              <w:rPr>
                <w:rFonts w:ascii="Garamond" w:hAnsi="Garamond" w:cs="Arial"/>
                <w:sz w:val="24"/>
                <w:szCs w:val="24"/>
              </w:rPr>
              <w:t>2</w:t>
            </w:r>
            <w:r w:rsidR="00184188" w:rsidRPr="00E75964">
              <w:rPr>
                <w:rFonts w:ascii="Garamond" w:hAnsi="Garamond" w:cs="Arial"/>
                <w:sz w:val="24"/>
                <w:szCs w:val="24"/>
              </w:rPr>
              <w:t>.1</w:t>
            </w:r>
            <w:r w:rsidRPr="00E75964">
              <w:rPr>
                <w:rFonts w:ascii="Garamond" w:hAnsi="Garamond" w:cs="Arial"/>
                <w:sz w:val="24"/>
                <w:szCs w:val="24"/>
              </w:rPr>
              <w:t>1**</w:t>
            </w:r>
          </w:p>
        </w:tc>
        <w:tc>
          <w:tcPr>
            <w:tcW w:w="2046" w:type="dxa"/>
          </w:tcPr>
          <w:p w14:paraId="4E570948" w14:textId="77777777" w:rsidR="00184188" w:rsidRPr="00E75964" w:rsidRDefault="00184188" w:rsidP="00184188">
            <w:pPr>
              <w:spacing w:after="200"/>
              <w:contextualSpacing/>
              <w:jc w:val="center"/>
              <w:rPr>
                <w:rFonts w:ascii="Garamond" w:hAnsi="Garamond" w:cs="Arial"/>
                <w:sz w:val="24"/>
                <w:szCs w:val="24"/>
              </w:rPr>
            </w:pPr>
          </w:p>
        </w:tc>
      </w:tr>
      <w:tr w:rsidR="00184188" w:rsidRPr="00E75964" w14:paraId="43FBECDC" w14:textId="77777777" w:rsidTr="00CD4F2E">
        <w:trPr>
          <w:trHeight w:hRule="exact" w:val="284"/>
        </w:trPr>
        <w:tc>
          <w:tcPr>
            <w:tcW w:w="1069" w:type="dxa"/>
          </w:tcPr>
          <w:p w14:paraId="6E24A542" w14:textId="77777777" w:rsidR="00184188" w:rsidRPr="00E75964" w:rsidRDefault="00184188" w:rsidP="00184188">
            <w:pPr>
              <w:spacing w:after="200"/>
              <w:contextualSpacing/>
              <w:jc w:val="both"/>
              <w:rPr>
                <w:rFonts w:ascii="Garamond" w:hAnsi="Garamond" w:cs="Arial"/>
                <w:b/>
                <w:sz w:val="24"/>
                <w:szCs w:val="24"/>
              </w:rPr>
            </w:pPr>
            <w:r w:rsidRPr="00E75964">
              <w:rPr>
                <w:rFonts w:ascii="Garamond" w:hAnsi="Garamond" w:cs="Arial"/>
                <w:b/>
                <w:sz w:val="24"/>
                <w:szCs w:val="24"/>
              </w:rPr>
              <w:t>5</w:t>
            </w:r>
          </w:p>
        </w:tc>
        <w:tc>
          <w:tcPr>
            <w:tcW w:w="1419" w:type="dxa"/>
          </w:tcPr>
          <w:p w14:paraId="0EE4BDCE"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Obs.</w:t>
            </w:r>
          </w:p>
        </w:tc>
        <w:tc>
          <w:tcPr>
            <w:tcW w:w="1229" w:type="dxa"/>
          </w:tcPr>
          <w:p w14:paraId="78523FCE" w14:textId="58A59846" w:rsidR="00184188" w:rsidRPr="00E75964" w:rsidRDefault="00F6337E" w:rsidP="00184188">
            <w:pPr>
              <w:spacing w:after="200"/>
              <w:contextualSpacing/>
              <w:jc w:val="center"/>
              <w:rPr>
                <w:rFonts w:ascii="Garamond" w:hAnsi="Garamond" w:cs="Arial"/>
                <w:sz w:val="24"/>
                <w:szCs w:val="24"/>
              </w:rPr>
            </w:pPr>
            <w:r w:rsidRPr="00E75964">
              <w:rPr>
                <w:rFonts w:ascii="Garamond" w:hAnsi="Garamond" w:cs="Arial"/>
                <w:sz w:val="24"/>
                <w:szCs w:val="24"/>
              </w:rPr>
              <w:t>441</w:t>
            </w:r>
          </w:p>
        </w:tc>
        <w:tc>
          <w:tcPr>
            <w:tcW w:w="1282" w:type="dxa"/>
            <w:gridSpan w:val="2"/>
          </w:tcPr>
          <w:p w14:paraId="0666B5FB" w14:textId="15E265C8" w:rsidR="00184188" w:rsidRPr="00E75964" w:rsidRDefault="0037123B" w:rsidP="00184188">
            <w:pPr>
              <w:spacing w:after="200"/>
              <w:contextualSpacing/>
              <w:jc w:val="center"/>
              <w:rPr>
                <w:rFonts w:ascii="Garamond" w:hAnsi="Garamond" w:cs="Arial"/>
                <w:sz w:val="24"/>
                <w:szCs w:val="24"/>
              </w:rPr>
            </w:pPr>
            <w:r w:rsidRPr="00E75964">
              <w:rPr>
                <w:rFonts w:ascii="Garamond" w:hAnsi="Garamond" w:cs="Arial"/>
                <w:sz w:val="24"/>
                <w:szCs w:val="24"/>
              </w:rPr>
              <w:t>4</w:t>
            </w:r>
            <w:r w:rsidR="00CD4F2E" w:rsidRPr="00E75964">
              <w:rPr>
                <w:rFonts w:ascii="Garamond" w:hAnsi="Garamond" w:cs="Arial"/>
                <w:sz w:val="24"/>
                <w:szCs w:val="24"/>
              </w:rPr>
              <w:t>7</w:t>
            </w:r>
            <w:r w:rsidRPr="00E75964">
              <w:rPr>
                <w:rFonts w:ascii="Garamond" w:hAnsi="Garamond" w:cs="Arial"/>
                <w:sz w:val="24"/>
                <w:szCs w:val="24"/>
              </w:rPr>
              <w:t>2</w:t>
            </w:r>
          </w:p>
        </w:tc>
        <w:tc>
          <w:tcPr>
            <w:tcW w:w="1230" w:type="dxa"/>
            <w:gridSpan w:val="2"/>
          </w:tcPr>
          <w:p w14:paraId="2D600047" w14:textId="11B94578" w:rsidR="00184188" w:rsidRPr="00E75964" w:rsidRDefault="0037123B" w:rsidP="00184188">
            <w:pPr>
              <w:spacing w:after="200"/>
              <w:contextualSpacing/>
              <w:jc w:val="center"/>
              <w:rPr>
                <w:rFonts w:ascii="Garamond" w:hAnsi="Garamond" w:cs="Arial"/>
                <w:sz w:val="24"/>
                <w:szCs w:val="24"/>
              </w:rPr>
            </w:pPr>
            <w:r w:rsidRPr="00E75964">
              <w:rPr>
                <w:rFonts w:ascii="Garamond" w:hAnsi="Garamond" w:cs="Arial"/>
                <w:sz w:val="24"/>
                <w:szCs w:val="24"/>
              </w:rPr>
              <w:t>387</w:t>
            </w:r>
          </w:p>
        </w:tc>
        <w:tc>
          <w:tcPr>
            <w:tcW w:w="1283" w:type="dxa"/>
          </w:tcPr>
          <w:p w14:paraId="56F77012" w14:textId="0F8B280A" w:rsidR="00184188" w:rsidRPr="00E75964" w:rsidRDefault="0037123B" w:rsidP="00184188">
            <w:pPr>
              <w:spacing w:after="200"/>
              <w:contextualSpacing/>
              <w:jc w:val="center"/>
              <w:rPr>
                <w:rFonts w:ascii="Garamond" w:hAnsi="Garamond" w:cs="Arial"/>
                <w:sz w:val="24"/>
                <w:szCs w:val="24"/>
              </w:rPr>
            </w:pPr>
            <w:r w:rsidRPr="00E75964">
              <w:rPr>
                <w:rFonts w:ascii="Garamond" w:hAnsi="Garamond" w:cs="Arial"/>
                <w:sz w:val="24"/>
                <w:szCs w:val="24"/>
              </w:rPr>
              <w:t>3</w:t>
            </w:r>
            <w:r w:rsidR="00184188" w:rsidRPr="00E75964">
              <w:rPr>
                <w:rFonts w:ascii="Garamond" w:hAnsi="Garamond" w:cs="Arial"/>
                <w:sz w:val="24"/>
                <w:szCs w:val="24"/>
              </w:rPr>
              <w:t>58</w:t>
            </w:r>
          </w:p>
        </w:tc>
        <w:tc>
          <w:tcPr>
            <w:tcW w:w="2046" w:type="dxa"/>
          </w:tcPr>
          <w:p w14:paraId="6D9338EE" w14:textId="74126BC1"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w:t>
            </w:r>
            <w:r w:rsidR="00EC69C2" w:rsidRPr="00E75964">
              <w:rPr>
                <w:rFonts w:ascii="Garamond" w:hAnsi="Garamond" w:cs="Arial"/>
                <w:sz w:val="24"/>
                <w:szCs w:val="24"/>
              </w:rPr>
              <w:t>13</w:t>
            </w:r>
            <w:r w:rsidRPr="00E75964">
              <w:rPr>
                <w:rFonts w:ascii="Garamond" w:hAnsi="Garamond" w:cs="Arial"/>
                <w:sz w:val="24"/>
                <w:szCs w:val="24"/>
              </w:rPr>
              <w:t>.</w:t>
            </w:r>
            <w:r w:rsidR="00EC69C2" w:rsidRPr="00E75964">
              <w:rPr>
                <w:rFonts w:ascii="Garamond" w:hAnsi="Garamond" w:cs="Arial"/>
                <w:sz w:val="24"/>
                <w:szCs w:val="24"/>
              </w:rPr>
              <w:t>48</w:t>
            </w:r>
            <w:r w:rsidRPr="00E75964">
              <w:rPr>
                <w:rFonts w:ascii="Garamond" w:hAnsi="Garamond" w:cs="Arial"/>
                <w:sz w:val="24"/>
                <w:szCs w:val="24"/>
              </w:rPr>
              <w:t>]</w:t>
            </w:r>
            <w:r w:rsidR="00EC69C2" w:rsidRPr="00E75964">
              <w:rPr>
                <w:rFonts w:ascii="Garamond" w:hAnsi="Garamond" w:cs="Arial"/>
                <w:sz w:val="24"/>
                <w:szCs w:val="24"/>
              </w:rPr>
              <w:t>***</w:t>
            </w:r>
          </w:p>
        </w:tc>
      </w:tr>
      <w:tr w:rsidR="00184188" w:rsidRPr="00E75964" w14:paraId="2348AA2D" w14:textId="77777777" w:rsidTr="00CD4F2E">
        <w:trPr>
          <w:trHeight w:hRule="exact" w:val="284"/>
        </w:trPr>
        <w:tc>
          <w:tcPr>
            <w:tcW w:w="1069" w:type="dxa"/>
          </w:tcPr>
          <w:p w14:paraId="32BA8B11" w14:textId="77777777" w:rsidR="00184188" w:rsidRPr="00E75964" w:rsidRDefault="00184188" w:rsidP="00184188">
            <w:pPr>
              <w:spacing w:after="200"/>
              <w:contextualSpacing/>
              <w:jc w:val="both"/>
              <w:rPr>
                <w:rFonts w:ascii="Garamond" w:hAnsi="Garamond" w:cs="Arial"/>
                <w:b/>
                <w:sz w:val="24"/>
                <w:szCs w:val="24"/>
              </w:rPr>
            </w:pPr>
          </w:p>
        </w:tc>
        <w:tc>
          <w:tcPr>
            <w:tcW w:w="1419" w:type="dxa"/>
          </w:tcPr>
          <w:p w14:paraId="3975C82B"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Proportion</w:t>
            </w:r>
          </w:p>
        </w:tc>
        <w:tc>
          <w:tcPr>
            <w:tcW w:w="1229" w:type="dxa"/>
          </w:tcPr>
          <w:p w14:paraId="768CEDEA" w14:textId="1EE675B3" w:rsidR="00184188" w:rsidRPr="00E75964" w:rsidRDefault="00CD4F2E" w:rsidP="00184188">
            <w:pPr>
              <w:spacing w:after="200"/>
              <w:contextualSpacing/>
              <w:jc w:val="center"/>
              <w:rPr>
                <w:rFonts w:ascii="Garamond" w:hAnsi="Garamond" w:cs="Arial"/>
                <w:sz w:val="24"/>
                <w:szCs w:val="24"/>
              </w:rPr>
            </w:pPr>
            <w:r w:rsidRPr="00E75964">
              <w:rPr>
                <w:rFonts w:ascii="Garamond" w:hAnsi="Garamond" w:cs="Arial"/>
                <w:sz w:val="24"/>
                <w:szCs w:val="24"/>
              </w:rPr>
              <w:t>48.30</w:t>
            </w:r>
          </w:p>
        </w:tc>
        <w:tc>
          <w:tcPr>
            <w:tcW w:w="1282" w:type="dxa"/>
            <w:gridSpan w:val="2"/>
          </w:tcPr>
          <w:p w14:paraId="1790111D" w14:textId="3E3EBFCD" w:rsidR="00184188" w:rsidRPr="00E75964" w:rsidRDefault="00CD4F2E" w:rsidP="00184188">
            <w:pPr>
              <w:spacing w:after="200"/>
              <w:contextualSpacing/>
              <w:jc w:val="center"/>
              <w:rPr>
                <w:rFonts w:ascii="Garamond" w:hAnsi="Garamond" w:cs="Arial"/>
                <w:sz w:val="24"/>
                <w:szCs w:val="24"/>
              </w:rPr>
            </w:pPr>
            <w:r w:rsidRPr="00E75964">
              <w:rPr>
                <w:rFonts w:ascii="Garamond" w:hAnsi="Garamond" w:cs="Arial"/>
                <w:sz w:val="24"/>
                <w:szCs w:val="24"/>
              </w:rPr>
              <w:t>51</w:t>
            </w:r>
            <w:r w:rsidR="00184188" w:rsidRPr="00E75964">
              <w:rPr>
                <w:rFonts w:ascii="Garamond" w:hAnsi="Garamond" w:cs="Arial"/>
                <w:sz w:val="24"/>
                <w:szCs w:val="24"/>
              </w:rPr>
              <w:t>.</w:t>
            </w:r>
            <w:r w:rsidRPr="00E75964">
              <w:rPr>
                <w:rFonts w:ascii="Garamond" w:hAnsi="Garamond" w:cs="Arial"/>
                <w:sz w:val="24"/>
                <w:szCs w:val="24"/>
              </w:rPr>
              <w:t>70</w:t>
            </w:r>
          </w:p>
        </w:tc>
        <w:tc>
          <w:tcPr>
            <w:tcW w:w="1230" w:type="dxa"/>
            <w:gridSpan w:val="2"/>
          </w:tcPr>
          <w:p w14:paraId="0CED369E" w14:textId="6CE6EC1C"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5</w:t>
            </w:r>
            <w:r w:rsidR="0037123B" w:rsidRPr="00E75964">
              <w:rPr>
                <w:rFonts w:ascii="Garamond" w:hAnsi="Garamond" w:cs="Arial"/>
                <w:sz w:val="24"/>
                <w:szCs w:val="24"/>
              </w:rPr>
              <w:t>5</w:t>
            </w:r>
            <w:r w:rsidRPr="00E75964">
              <w:rPr>
                <w:rFonts w:ascii="Garamond" w:hAnsi="Garamond" w:cs="Arial"/>
                <w:sz w:val="24"/>
                <w:szCs w:val="24"/>
              </w:rPr>
              <w:t>.</w:t>
            </w:r>
            <w:r w:rsidR="0037123B" w:rsidRPr="00E75964">
              <w:rPr>
                <w:rFonts w:ascii="Garamond" w:hAnsi="Garamond" w:cs="Arial"/>
                <w:sz w:val="24"/>
                <w:szCs w:val="24"/>
              </w:rPr>
              <w:t>38</w:t>
            </w:r>
          </w:p>
        </w:tc>
        <w:tc>
          <w:tcPr>
            <w:tcW w:w="1283" w:type="dxa"/>
          </w:tcPr>
          <w:p w14:paraId="0354FDE7" w14:textId="693950F1" w:rsidR="00184188" w:rsidRPr="00E75964" w:rsidRDefault="0037123B" w:rsidP="00184188">
            <w:pPr>
              <w:spacing w:after="200"/>
              <w:contextualSpacing/>
              <w:jc w:val="center"/>
              <w:rPr>
                <w:rFonts w:ascii="Garamond" w:hAnsi="Garamond" w:cs="Arial"/>
                <w:sz w:val="24"/>
                <w:szCs w:val="24"/>
              </w:rPr>
            </w:pPr>
            <w:r w:rsidRPr="00E75964">
              <w:rPr>
                <w:rFonts w:ascii="Garamond" w:hAnsi="Garamond" w:cs="Arial"/>
                <w:sz w:val="24"/>
                <w:szCs w:val="24"/>
              </w:rPr>
              <w:t>51</w:t>
            </w:r>
            <w:r w:rsidR="00184188" w:rsidRPr="00E75964">
              <w:rPr>
                <w:rFonts w:ascii="Garamond" w:hAnsi="Garamond" w:cs="Arial"/>
                <w:sz w:val="24"/>
                <w:szCs w:val="24"/>
              </w:rPr>
              <w:t>.</w:t>
            </w:r>
            <w:r w:rsidRPr="00E75964">
              <w:rPr>
                <w:rFonts w:ascii="Garamond" w:hAnsi="Garamond" w:cs="Arial"/>
                <w:sz w:val="24"/>
                <w:szCs w:val="24"/>
              </w:rPr>
              <w:t>41</w:t>
            </w:r>
          </w:p>
        </w:tc>
        <w:tc>
          <w:tcPr>
            <w:tcW w:w="2046" w:type="dxa"/>
          </w:tcPr>
          <w:p w14:paraId="6E9D4ABA" w14:textId="3682E813"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(0.0</w:t>
            </w:r>
            <w:r w:rsidR="0037123B" w:rsidRPr="00E75964">
              <w:rPr>
                <w:rFonts w:ascii="Garamond" w:hAnsi="Garamond" w:cs="Arial"/>
                <w:sz w:val="24"/>
                <w:szCs w:val="24"/>
              </w:rPr>
              <w:t>7</w:t>
            </w:r>
            <w:r w:rsidRPr="00E75964">
              <w:rPr>
                <w:rFonts w:ascii="Garamond" w:hAnsi="Garamond" w:cs="Arial"/>
                <w:sz w:val="24"/>
                <w:szCs w:val="24"/>
              </w:rPr>
              <w:t>)</w:t>
            </w:r>
          </w:p>
        </w:tc>
      </w:tr>
      <w:tr w:rsidR="00184188" w:rsidRPr="00E75964" w14:paraId="2EAEFBF3" w14:textId="77777777" w:rsidTr="00CD4F2E">
        <w:trPr>
          <w:trHeight w:hRule="exact" w:val="284"/>
        </w:trPr>
        <w:tc>
          <w:tcPr>
            <w:tcW w:w="1069" w:type="dxa"/>
          </w:tcPr>
          <w:p w14:paraId="35B53A6B" w14:textId="77777777" w:rsidR="00184188" w:rsidRPr="00E75964" w:rsidRDefault="00184188" w:rsidP="00184188">
            <w:pPr>
              <w:spacing w:after="200"/>
              <w:contextualSpacing/>
              <w:jc w:val="both"/>
              <w:rPr>
                <w:rFonts w:ascii="Garamond" w:hAnsi="Garamond" w:cs="Arial"/>
                <w:b/>
                <w:sz w:val="24"/>
                <w:szCs w:val="24"/>
              </w:rPr>
            </w:pPr>
          </w:p>
        </w:tc>
        <w:tc>
          <w:tcPr>
            <w:tcW w:w="1419" w:type="dxa"/>
          </w:tcPr>
          <w:p w14:paraId="048EEBF3"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z-statistic</w:t>
            </w:r>
          </w:p>
        </w:tc>
        <w:tc>
          <w:tcPr>
            <w:tcW w:w="1229" w:type="dxa"/>
          </w:tcPr>
          <w:p w14:paraId="79FE6AEB" w14:textId="77777777" w:rsidR="00184188" w:rsidRPr="00E75964" w:rsidRDefault="00184188" w:rsidP="00184188">
            <w:pPr>
              <w:spacing w:after="200"/>
              <w:contextualSpacing/>
              <w:jc w:val="center"/>
              <w:rPr>
                <w:rFonts w:ascii="Garamond" w:hAnsi="Garamond" w:cs="Arial"/>
                <w:sz w:val="24"/>
                <w:szCs w:val="24"/>
              </w:rPr>
            </w:pPr>
          </w:p>
        </w:tc>
        <w:tc>
          <w:tcPr>
            <w:tcW w:w="1282" w:type="dxa"/>
            <w:gridSpan w:val="2"/>
          </w:tcPr>
          <w:p w14:paraId="3058A891" w14:textId="77777777" w:rsidR="00184188" w:rsidRPr="00E75964" w:rsidRDefault="00184188" w:rsidP="00184188">
            <w:pPr>
              <w:spacing w:after="200"/>
              <w:contextualSpacing/>
              <w:jc w:val="center"/>
              <w:rPr>
                <w:rFonts w:ascii="Garamond" w:hAnsi="Garamond" w:cs="Arial"/>
                <w:sz w:val="24"/>
                <w:szCs w:val="24"/>
              </w:rPr>
            </w:pPr>
          </w:p>
        </w:tc>
        <w:tc>
          <w:tcPr>
            <w:tcW w:w="1230" w:type="dxa"/>
            <w:gridSpan w:val="2"/>
          </w:tcPr>
          <w:p w14:paraId="54478B6E" w14:textId="187053AB" w:rsidR="00184188" w:rsidRPr="00E75964" w:rsidRDefault="00EC69C2" w:rsidP="00184188">
            <w:pPr>
              <w:spacing w:after="200"/>
              <w:contextualSpacing/>
              <w:jc w:val="center"/>
              <w:rPr>
                <w:rFonts w:ascii="Garamond" w:hAnsi="Garamond" w:cs="Arial"/>
                <w:sz w:val="24"/>
                <w:szCs w:val="24"/>
              </w:rPr>
            </w:pPr>
            <w:r w:rsidRPr="00E75964">
              <w:rPr>
                <w:rFonts w:ascii="Garamond" w:hAnsi="Garamond" w:cs="Arial"/>
                <w:sz w:val="24"/>
                <w:szCs w:val="24"/>
              </w:rPr>
              <w:t>2</w:t>
            </w:r>
            <w:r w:rsidR="00184188" w:rsidRPr="00E75964">
              <w:rPr>
                <w:rFonts w:ascii="Garamond" w:hAnsi="Garamond" w:cs="Arial"/>
                <w:sz w:val="24"/>
                <w:szCs w:val="24"/>
              </w:rPr>
              <w:t>.</w:t>
            </w:r>
            <w:r w:rsidR="0037123B" w:rsidRPr="00E75964">
              <w:rPr>
                <w:rFonts w:ascii="Garamond" w:hAnsi="Garamond" w:cs="Arial"/>
                <w:sz w:val="24"/>
                <w:szCs w:val="24"/>
              </w:rPr>
              <w:t>0</w:t>
            </w:r>
            <w:r w:rsidR="00184188" w:rsidRPr="00E75964">
              <w:rPr>
                <w:rFonts w:ascii="Garamond" w:hAnsi="Garamond" w:cs="Arial"/>
                <w:sz w:val="24"/>
                <w:szCs w:val="24"/>
              </w:rPr>
              <w:t>3</w:t>
            </w:r>
            <w:r w:rsidRPr="00E75964">
              <w:rPr>
                <w:rFonts w:ascii="Garamond" w:hAnsi="Garamond" w:cs="Arial"/>
                <w:sz w:val="24"/>
                <w:szCs w:val="24"/>
              </w:rPr>
              <w:t>*</w:t>
            </w:r>
          </w:p>
        </w:tc>
        <w:tc>
          <w:tcPr>
            <w:tcW w:w="1283" w:type="dxa"/>
          </w:tcPr>
          <w:p w14:paraId="57BCE31C" w14:textId="6018A7AE" w:rsidR="00184188" w:rsidRPr="00E75964" w:rsidRDefault="00EC69C2" w:rsidP="00184188">
            <w:pPr>
              <w:spacing w:after="200"/>
              <w:contextualSpacing/>
              <w:jc w:val="center"/>
              <w:rPr>
                <w:rFonts w:ascii="Garamond" w:hAnsi="Garamond" w:cs="Arial"/>
                <w:sz w:val="24"/>
                <w:szCs w:val="24"/>
              </w:rPr>
            </w:pPr>
            <w:r w:rsidRPr="00E75964">
              <w:rPr>
                <w:rFonts w:ascii="Garamond" w:hAnsi="Garamond" w:cs="Arial"/>
                <w:sz w:val="24"/>
                <w:szCs w:val="24"/>
              </w:rPr>
              <w:t>2</w:t>
            </w:r>
            <w:r w:rsidR="00184188" w:rsidRPr="00E75964">
              <w:rPr>
                <w:rFonts w:ascii="Garamond" w:hAnsi="Garamond" w:cs="Arial"/>
                <w:sz w:val="24"/>
                <w:szCs w:val="24"/>
              </w:rPr>
              <w:t>.</w:t>
            </w:r>
            <w:r w:rsidRPr="00E75964">
              <w:rPr>
                <w:rFonts w:ascii="Garamond" w:hAnsi="Garamond" w:cs="Arial"/>
                <w:sz w:val="24"/>
                <w:szCs w:val="24"/>
              </w:rPr>
              <w:t>8</w:t>
            </w:r>
            <w:r w:rsidR="0037123B" w:rsidRPr="00E75964">
              <w:rPr>
                <w:rFonts w:ascii="Garamond" w:hAnsi="Garamond" w:cs="Arial"/>
                <w:sz w:val="24"/>
                <w:szCs w:val="24"/>
              </w:rPr>
              <w:t>6</w:t>
            </w:r>
            <w:r w:rsidRPr="00E75964">
              <w:rPr>
                <w:rFonts w:ascii="Garamond" w:hAnsi="Garamond" w:cs="Arial"/>
                <w:sz w:val="24"/>
                <w:szCs w:val="24"/>
              </w:rPr>
              <w:t>***</w:t>
            </w:r>
          </w:p>
        </w:tc>
        <w:tc>
          <w:tcPr>
            <w:tcW w:w="2046" w:type="dxa"/>
          </w:tcPr>
          <w:p w14:paraId="04619572" w14:textId="77777777" w:rsidR="00184188" w:rsidRPr="00E75964" w:rsidRDefault="00184188" w:rsidP="00184188">
            <w:pPr>
              <w:spacing w:after="200"/>
              <w:contextualSpacing/>
              <w:jc w:val="center"/>
              <w:rPr>
                <w:rFonts w:ascii="Garamond" w:hAnsi="Garamond" w:cs="Arial"/>
                <w:sz w:val="24"/>
                <w:szCs w:val="24"/>
              </w:rPr>
            </w:pPr>
          </w:p>
        </w:tc>
      </w:tr>
      <w:tr w:rsidR="00184188" w:rsidRPr="00E75964" w14:paraId="3B1C922B" w14:textId="77777777" w:rsidTr="00CD4F2E">
        <w:trPr>
          <w:trHeight w:hRule="exact" w:val="284"/>
        </w:trPr>
        <w:tc>
          <w:tcPr>
            <w:tcW w:w="1069" w:type="dxa"/>
          </w:tcPr>
          <w:p w14:paraId="0A046256" w14:textId="77777777" w:rsidR="00184188" w:rsidRPr="00E75964" w:rsidRDefault="00184188" w:rsidP="00184188">
            <w:pPr>
              <w:spacing w:after="200"/>
              <w:contextualSpacing/>
              <w:jc w:val="both"/>
              <w:rPr>
                <w:rFonts w:ascii="Garamond" w:hAnsi="Garamond" w:cs="Arial"/>
                <w:b/>
                <w:sz w:val="24"/>
                <w:szCs w:val="24"/>
              </w:rPr>
            </w:pPr>
            <w:r w:rsidRPr="00E75964">
              <w:rPr>
                <w:rFonts w:ascii="Garamond" w:hAnsi="Garamond" w:cs="Arial"/>
                <w:b/>
                <w:sz w:val="24"/>
                <w:szCs w:val="24"/>
              </w:rPr>
              <w:t>6</w:t>
            </w:r>
          </w:p>
        </w:tc>
        <w:tc>
          <w:tcPr>
            <w:tcW w:w="1419" w:type="dxa"/>
          </w:tcPr>
          <w:p w14:paraId="653D348A"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Obs.</w:t>
            </w:r>
          </w:p>
        </w:tc>
        <w:tc>
          <w:tcPr>
            <w:tcW w:w="1229" w:type="dxa"/>
            <w:shd w:val="clear" w:color="auto" w:fill="auto"/>
          </w:tcPr>
          <w:p w14:paraId="78156DEB" w14:textId="5E157A07" w:rsidR="00184188" w:rsidRPr="00E75964" w:rsidRDefault="00990E90" w:rsidP="00184188">
            <w:pPr>
              <w:spacing w:after="200"/>
              <w:contextualSpacing/>
              <w:jc w:val="center"/>
              <w:rPr>
                <w:rFonts w:ascii="Garamond" w:hAnsi="Garamond" w:cs="Arial"/>
                <w:sz w:val="24"/>
                <w:szCs w:val="24"/>
              </w:rPr>
            </w:pPr>
            <w:r w:rsidRPr="00E75964">
              <w:rPr>
                <w:rFonts w:ascii="Garamond" w:hAnsi="Garamond" w:cs="Arial"/>
                <w:sz w:val="24"/>
                <w:szCs w:val="24"/>
              </w:rPr>
              <w:t>518</w:t>
            </w:r>
          </w:p>
        </w:tc>
        <w:tc>
          <w:tcPr>
            <w:tcW w:w="1282" w:type="dxa"/>
            <w:gridSpan w:val="2"/>
            <w:shd w:val="clear" w:color="auto" w:fill="auto"/>
          </w:tcPr>
          <w:p w14:paraId="6926BDC4" w14:textId="124EF2AB" w:rsidR="00184188" w:rsidRPr="00E75964" w:rsidRDefault="00990E90" w:rsidP="00184188">
            <w:pPr>
              <w:spacing w:after="200"/>
              <w:contextualSpacing/>
              <w:jc w:val="center"/>
              <w:rPr>
                <w:rFonts w:ascii="Garamond" w:hAnsi="Garamond" w:cs="Arial"/>
                <w:sz w:val="24"/>
                <w:szCs w:val="24"/>
              </w:rPr>
            </w:pPr>
            <w:r w:rsidRPr="00E75964">
              <w:rPr>
                <w:rFonts w:ascii="Garamond" w:hAnsi="Garamond" w:cs="Arial"/>
                <w:sz w:val="24"/>
                <w:szCs w:val="24"/>
              </w:rPr>
              <w:t>395</w:t>
            </w:r>
          </w:p>
        </w:tc>
        <w:tc>
          <w:tcPr>
            <w:tcW w:w="1230" w:type="dxa"/>
            <w:gridSpan w:val="2"/>
            <w:shd w:val="clear" w:color="auto" w:fill="auto"/>
          </w:tcPr>
          <w:p w14:paraId="0E4AE98A" w14:textId="160BFC23" w:rsidR="00184188" w:rsidRPr="00E75964" w:rsidRDefault="00990E90" w:rsidP="00184188">
            <w:pPr>
              <w:spacing w:after="200"/>
              <w:contextualSpacing/>
              <w:jc w:val="center"/>
              <w:rPr>
                <w:rFonts w:ascii="Garamond" w:hAnsi="Garamond" w:cs="Arial"/>
                <w:sz w:val="24"/>
                <w:szCs w:val="24"/>
              </w:rPr>
            </w:pPr>
            <w:r w:rsidRPr="00E75964">
              <w:rPr>
                <w:rFonts w:ascii="Garamond" w:hAnsi="Garamond" w:cs="Arial"/>
                <w:sz w:val="24"/>
                <w:szCs w:val="24"/>
              </w:rPr>
              <w:t>412</w:t>
            </w:r>
          </w:p>
        </w:tc>
        <w:tc>
          <w:tcPr>
            <w:tcW w:w="1283" w:type="dxa"/>
            <w:shd w:val="clear" w:color="auto" w:fill="auto"/>
          </w:tcPr>
          <w:p w14:paraId="6AEE04BC" w14:textId="3EF88BE8" w:rsidR="00184188" w:rsidRPr="00E75964" w:rsidRDefault="00990E90" w:rsidP="00184188">
            <w:pPr>
              <w:spacing w:after="200"/>
              <w:contextualSpacing/>
              <w:jc w:val="center"/>
              <w:rPr>
                <w:rFonts w:ascii="Garamond" w:hAnsi="Garamond" w:cs="Arial"/>
                <w:sz w:val="24"/>
                <w:szCs w:val="24"/>
              </w:rPr>
            </w:pPr>
            <w:r w:rsidRPr="00E75964">
              <w:rPr>
                <w:rFonts w:ascii="Garamond" w:hAnsi="Garamond" w:cs="Arial"/>
                <w:sz w:val="24"/>
                <w:szCs w:val="24"/>
              </w:rPr>
              <w:t>307</w:t>
            </w:r>
          </w:p>
        </w:tc>
        <w:tc>
          <w:tcPr>
            <w:tcW w:w="2046" w:type="dxa"/>
            <w:shd w:val="clear" w:color="auto" w:fill="auto"/>
          </w:tcPr>
          <w:p w14:paraId="48388394" w14:textId="3507CF6F"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w:t>
            </w:r>
            <w:r w:rsidR="00EC69C2" w:rsidRPr="00E75964">
              <w:rPr>
                <w:rFonts w:ascii="Garamond" w:hAnsi="Garamond" w:cs="Arial"/>
                <w:sz w:val="24"/>
                <w:szCs w:val="24"/>
              </w:rPr>
              <w:t>4</w:t>
            </w:r>
            <w:r w:rsidRPr="00E75964">
              <w:rPr>
                <w:rFonts w:ascii="Garamond" w:hAnsi="Garamond" w:cs="Arial"/>
                <w:sz w:val="24"/>
                <w:szCs w:val="24"/>
              </w:rPr>
              <w:t>.</w:t>
            </w:r>
            <w:r w:rsidR="00990E90" w:rsidRPr="00E75964">
              <w:rPr>
                <w:rFonts w:ascii="Garamond" w:hAnsi="Garamond" w:cs="Arial"/>
                <w:sz w:val="24"/>
                <w:szCs w:val="24"/>
              </w:rPr>
              <w:t>35</w:t>
            </w:r>
            <w:r w:rsidRPr="00E75964">
              <w:rPr>
                <w:rFonts w:ascii="Garamond" w:hAnsi="Garamond" w:cs="Arial"/>
                <w:sz w:val="24"/>
                <w:szCs w:val="24"/>
              </w:rPr>
              <w:t>]</w:t>
            </w:r>
          </w:p>
        </w:tc>
      </w:tr>
      <w:tr w:rsidR="00184188" w:rsidRPr="00E75964" w14:paraId="5D834977" w14:textId="77777777" w:rsidTr="00CD4F2E">
        <w:trPr>
          <w:trHeight w:hRule="exact" w:val="284"/>
        </w:trPr>
        <w:tc>
          <w:tcPr>
            <w:tcW w:w="1069" w:type="dxa"/>
          </w:tcPr>
          <w:p w14:paraId="52204773" w14:textId="77777777" w:rsidR="00184188" w:rsidRPr="00E75964" w:rsidRDefault="00184188" w:rsidP="00184188">
            <w:pPr>
              <w:spacing w:after="200"/>
              <w:contextualSpacing/>
              <w:jc w:val="both"/>
              <w:rPr>
                <w:rFonts w:ascii="Garamond" w:hAnsi="Garamond" w:cs="Arial"/>
                <w:b/>
                <w:sz w:val="24"/>
                <w:szCs w:val="24"/>
              </w:rPr>
            </w:pPr>
          </w:p>
        </w:tc>
        <w:tc>
          <w:tcPr>
            <w:tcW w:w="1419" w:type="dxa"/>
          </w:tcPr>
          <w:p w14:paraId="3B61D9B9"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Proportion</w:t>
            </w:r>
          </w:p>
        </w:tc>
        <w:tc>
          <w:tcPr>
            <w:tcW w:w="1229" w:type="dxa"/>
            <w:shd w:val="clear" w:color="auto" w:fill="auto"/>
          </w:tcPr>
          <w:p w14:paraId="33EA6AF8" w14:textId="4892742E"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5</w:t>
            </w:r>
            <w:r w:rsidR="00990E90" w:rsidRPr="00E75964">
              <w:rPr>
                <w:rFonts w:ascii="Garamond" w:hAnsi="Garamond" w:cs="Arial"/>
                <w:sz w:val="24"/>
                <w:szCs w:val="24"/>
              </w:rPr>
              <w:t>6.74</w:t>
            </w:r>
          </w:p>
        </w:tc>
        <w:tc>
          <w:tcPr>
            <w:tcW w:w="1282" w:type="dxa"/>
            <w:gridSpan w:val="2"/>
            <w:shd w:val="clear" w:color="auto" w:fill="auto"/>
          </w:tcPr>
          <w:p w14:paraId="431680FD" w14:textId="7AFE96CE"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4</w:t>
            </w:r>
            <w:r w:rsidR="00990E90" w:rsidRPr="00E75964">
              <w:rPr>
                <w:rFonts w:ascii="Garamond" w:hAnsi="Garamond" w:cs="Arial"/>
                <w:sz w:val="24"/>
                <w:szCs w:val="24"/>
              </w:rPr>
              <w:t>3.26</w:t>
            </w:r>
          </w:p>
        </w:tc>
        <w:tc>
          <w:tcPr>
            <w:tcW w:w="1230" w:type="dxa"/>
            <w:gridSpan w:val="2"/>
            <w:shd w:val="clear" w:color="auto" w:fill="auto"/>
          </w:tcPr>
          <w:p w14:paraId="515F3C08" w14:textId="6F747D5A"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5</w:t>
            </w:r>
            <w:r w:rsidR="00990E90" w:rsidRPr="00E75964">
              <w:rPr>
                <w:rFonts w:ascii="Garamond" w:hAnsi="Garamond" w:cs="Arial"/>
                <w:sz w:val="24"/>
                <w:szCs w:val="24"/>
              </w:rPr>
              <w:t>3</w:t>
            </w:r>
            <w:r w:rsidRPr="00E75964">
              <w:rPr>
                <w:rFonts w:ascii="Garamond" w:hAnsi="Garamond" w:cs="Arial"/>
                <w:sz w:val="24"/>
                <w:szCs w:val="24"/>
              </w:rPr>
              <w:t>.</w:t>
            </w:r>
            <w:r w:rsidR="00990E90" w:rsidRPr="00E75964">
              <w:rPr>
                <w:rFonts w:ascii="Garamond" w:hAnsi="Garamond" w:cs="Arial"/>
                <w:sz w:val="24"/>
                <w:szCs w:val="24"/>
              </w:rPr>
              <w:t>47</w:t>
            </w:r>
          </w:p>
        </w:tc>
        <w:tc>
          <w:tcPr>
            <w:tcW w:w="1283" w:type="dxa"/>
            <w:shd w:val="clear" w:color="auto" w:fill="auto"/>
          </w:tcPr>
          <w:p w14:paraId="4D8EDBBE" w14:textId="333C8CEC" w:rsidR="00184188" w:rsidRPr="00E75964" w:rsidRDefault="00990E90" w:rsidP="00184188">
            <w:pPr>
              <w:spacing w:after="200"/>
              <w:contextualSpacing/>
              <w:jc w:val="center"/>
              <w:rPr>
                <w:rFonts w:ascii="Garamond" w:hAnsi="Garamond" w:cs="Arial"/>
                <w:sz w:val="24"/>
                <w:szCs w:val="24"/>
              </w:rPr>
            </w:pPr>
            <w:r w:rsidRPr="00E75964">
              <w:rPr>
                <w:rFonts w:ascii="Garamond" w:hAnsi="Garamond" w:cs="Arial"/>
                <w:sz w:val="24"/>
                <w:szCs w:val="24"/>
              </w:rPr>
              <w:t>42.19</w:t>
            </w:r>
          </w:p>
        </w:tc>
        <w:tc>
          <w:tcPr>
            <w:tcW w:w="2046" w:type="dxa"/>
            <w:shd w:val="clear" w:color="auto" w:fill="auto"/>
          </w:tcPr>
          <w:p w14:paraId="7C90E3E2" w14:textId="2A62C621"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w:t>
            </w:r>
            <w:r w:rsidR="00EC69C2" w:rsidRPr="00E75964">
              <w:rPr>
                <w:rFonts w:ascii="Garamond" w:hAnsi="Garamond" w:cs="Arial"/>
                <w:sz w:val="24"/>
                <w:szCs w:val="24"/>
              </w:rPr>
              <w:t>0</w:t>
            </w:r>
            <w:r w:rsidRPr="00E75964">
              <w:rPr>
                <w:rFonts w:ascii="Garamond" w:hAnsi="Garamond" w:cs="Arial"/>
                <w:sz w:val="24"/>
                <w:szCs w:val="24"/>
              </w:rPr>
              <w:t>.0</w:t>
            </w:r>
            <w:r w:rsidR="00990E90" w:rsidRPr="00E75964">
              <w:rPr>
                <w:rFonts w:ascii="Garamond" w:hAnsi="Garamond" w:cs="Arial"/>
                <w:sz w:val="24"/>
                <w:szCs w:val="24"/>
              </w:rPr>
              <w:t>4</w:t>
            </w:r>
            <w:r w:rsidRPr="00E75964">
              <w:rPr>
                <w:rFonts w:ascii="Garamond" w:hAnsi="Garamond" w:cs="Arial"/>
                <w:sz w:val="24"/>
                <w:szCs w:val="24"/>
              </w:rPr>
              <w:t>)</w:t>
            </w:r>
          </w:p>
        </w:tc>
      </w:tr>
      <w:tr w:rsidR="00184188" w:rsidRPr="00E75964" w14:paraId="69752A59" w14:textId="77777777" w:rsidTr="00CD4F2E">
        <w:trPr>
          <w:trHeight w:hRule="exact" w:val="284"/>
        </w:trPr>
        <w:tc>
          <w:tcPr>
            <w:tcW w:w="1069" w:type="dxa"/>
          </w:tcPr>
          <w:p w14:paraId="10A63785" w14:textId="77777777" w:rsidR="00184188" w:rsidRPr="00E75964" w:rsidRDefault="00184188" w:rsidP="00184188">
            <w:pPr>
              <w:spacing w:after="200"/>
              <w:contextualSpacing/>
              <w:jc w:val="both"/>
              <w:rPr>
                <w:rFonts w:ascii="Garamond" w:hAnsi="Garamond" w:cs="Arial"/>
                <w:b/>
                <w:sz w:val="24"/>
                <w:szCs w:val="24"/>
              </w:rPr>
            </w:pPr>
          </w:p>
        </w:tc>
        <w:tc>
          <w:tcPr>
            <w:tcW w:w="1419" w:type="dxa"/>
          </w:tcPr>
          <w:p w14:paraId="53ACA243"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z-statistic</w:t>
            </w:r>
          </w:p>
        </w:tc>
        <w:tc>
          <w:tcPr>
            <w:tcW w:w="1229" w:type="dxa"/>
            <w:shd w:val="clear" w:color="auto" w:fill="auto"/>
          </w:tcPr>
          <w:p w14:paraId="20D9BFFB" w14:textId="77777777" w:rsidR="00184188" w:rsidRPr="00E75964" w:rsidRDefault="00184188" w:rsidP="00184188">
            <w:pPr>
              <w:spacing w:after="200"/>
              <w:contextualSpacing/>
              <w:jc w:val="center"/>
              <w:rPr>
                <w:rFonts w:ascii="Garamond" w:hAnsi="Garamond" w:cs="Arial"/>
                <w:sz w:val="24"/>
                <w:szCs w:val="24"/>
              </w:rPr>
            </w:pPr>
          </w:p>
        </w:tc>
        <w:tc>
          <w:tcPr>
            <w:tcW w:w="1282" w:type="dxa"/>
            <w:gridSpan w:val="2"/>
            <w:shd w:val="clear" w:color="auto" w:fill="auto"/>
          </w:tcPr>
          <w:p w14:paraId="5CA6B947" w14:textId="77777777" w:rsidR="00184188" w:rsidRPr="00E75964" w:rsidRDefault="00184188" w:rsidP="00184188">
            <w:pPr>
              <w:spacing w:after="200"/>
              <w:contextualSpacing/>
              <w:jc w:val="center"/>
              <w:rPr>
                <w:rFonts w:ascii="Garamond" w:hAnsi="Garamond" w:cs="Arial"/>
                <w:sz w:val="24"/>
                <w:szCs w:val="24"/>
              </w:rPr>
            </w:pPr>
          </w:p>
        </w:tc>
        <w:tc>
          <w:tcPr>
            <w:tcW w:w="1230" w:type="dxa"/>
            <w:gridSpan w:val="2"/>
            <w:shd w:val="clear" w:color="auto" w:fill="auto"/>
          </w:tcPr>
          <w:p w14:paraId="031EC25F" w14:textId="6BA9A567" w:rsidR="00184188" w:rsidRPr="00E75964" w:rsidRDefault="00990E90" w:rsidP="00184188">
            <w:pPr>
              <w:spacing w:after="200"/>
              <w:contextualSpacing/>
              <w:jc w:val="center"/>
              <w:rPr>
                <w:rFonts w:ascii="Garamond" w:hAnsi="Garamond" w:cs="Arial"/>
                <w:sz w:val="24"/>
                <w:szCs w:val="24"/>
              </w:rPr>
            </w:pPr>
            <w:r w:rsidRPr="00E75964">
              <w:rPr>
                <w:rFonts w:ascii="Garamond" w:hAnsi="Garamond" w:cs="Arial"/>
                <w:sz w:val="24"/>
                <w:szCs w:val="24"/>
              </w:rPr>
              <w:t>1</w:t>
            </w:r>
            <w:r w:rsidR="00184188" w:rsidRPr="00E75964">
              <w:rPr>
                <w:rFonts w:ascii="Garamond" w:hAnsi="Garamond" w:cs="Arial"/>
                <w:sz w:val="24"/>
                <w:szCs w:val="24"/>
              </w:rPr>
              <w:t>.1</w:t>
            </w:r>
            <w:r w:rsidRPr="00E75964">
              <w:rPr>
                <w:rFonts w:ascii="Garamond" w:hAnsi="Garamond" w:cs="Arial"/>
                <w:sz w:val="24"/>
                <w:szCs w:val="24"/>
              </w:rPr>
              <w:t>4</w:t>
            </w:r>
          </w:p>
        </w:tc>
        <w:tc>
          <w:tcPr>
            <w:tcW w:w="1283" w:type="dxa"/>
            <w:shd w:val="clear" w:color="auto" w:fill="auto"/>
          </w:tcPr>
          <w:p w14:paraId="4E13675D" w14:textId="01562D9A" w:rsidR="00184188" w:rsidRPr="00E75964" w:rsidRDefault="00990E90" w:rsidP="00184188">
            <w:pPr>
              <w:spacing w:after="200"/>
              <w:contextualSpacing/>
              <w:jc w:val="center"/>
              <w:rPr>
                <w:rFonts w:ascii="Garamond" w:hAnsi="Garamond" w:cs="Arial"/>
                <w:sz w:val="24"/>
                <w:szCs w:val="24"/>
              </w:rPr>
            </w:pPr>
            <w:r w:rsidRPr="00E75964">
              <w:rPr>
                <w:rFonts w:ascii="Garamond" w:hAnsi="Garamond" w:cs="Arial"/>
                <w:sz w:val="24"/>
                <w:szCs w:val="24"/>
              </w:rPr>
              <w:t>0</w:t>
            </w:r>
            <w:r w:rsidR="00184188" w:rsidRPr="00E75964">
              <w:rPr>
                <w:rFonts w:ascii="Garamond" w:hAnsi="Garamond" w:cs="Arial"/>
                <w:sz w:val="24"/>
                <w:szCs w:val="24"/>
              </w:rPr>
              <w:t>.</w:t>
            </w:r>
            <w:r w:rsidRPr="00E75964">
              <w:rPr>
                <w:rFonts w:ascii="Garamond" w:hAnsi="Garamond" w:cs="Arial"/>
                <w:sz w:val="24"/>
                <w:szCs w:val="24"/>
              </w:rPr>
              <w:t>9</w:t>
            </w:r>
            <w:r w:rsidR="00184188" w:rsidRPr="00E75964">
              <w:rPr>
                <w:rFonts w:ascii="Garamond" w:hAnsi="Garamond" w:cs="Arial"/>
                <w:sz w:val="24"/>
                <w:szCs w:val="24"/>
              </w:rPr>
              <w:t>7</w:t>
            </w:r>
          </w:p>
        </w:tc>
        <w:tc>
          <w:tcPr>
            <w:tcW w:w="2046" w:type="dxa"/>
            <w:shd w:val="clear" w:color="auto" w:fill="auto"/>
          </w:tcPr>
          <w:p w14:paraId="5971451C" w14:textId="77777777" w:rsidR="00184188" w:rsidRPr="00E75964" w:rsidRDefault="00184188" w:rsidP="00184188">
            <w:pPr>
              <w:spacing w:after="200"/>
              <w:contextualSpacing/>
              <w:jc w:val="center"/>
              <w:rPr>
                <w:rFonts w:ascii="Garamond" w:hAnsi="Garamond" w:cs="Arial"/>
                <w:sz w:val="24"/>
                <w:szCs w:val="24"/>
              </w:rPr>
            </w:pPr>
          </w:p>
        </w:tc>
      </w:tr>
      <w:tr w:rsidR="00184188" w:rsidRPr="00E75964" w14:paraId="02110211" w14:textId="77777777" w:rsidTr="00CD4F2E">
        <w:trPr>
          <w:trHeight w:hRule="exact" w:val="284"/>
        </w:trPr>
        <w:tc>
          <w:tcPr>
            <w:tcW w:w="1069" w:type="dxa"/>
          </w:tcPr>
          <w:p w14:paraId="4EE676BE" w14:textId="77777777" w:rsidR="00184188" w:rsidRPr="00E75964" w:rsidRDefault="00184188" w:rsidP="00184188">
            <w:pPr>
              <w:spacing w:after="200"/>
              <w:contextualSpacing/>
              <w:jc w:val="both"/>
              <w:rPr>
                <w:rFonts w:ascii="Garamond" w:hAnsi="Garamond" w:cs="Arial"/>
                <w:b/>
                <w:sz w:val="24"/>
                <w:szCs w:val="24"/>
              </w:rPr>
            </w:pPr>
            <w:r w:rsidRPr="00E75964">
              <w:rPr>
                <w:rFonts w:ascii="Garamond" w:hAnsi="Garamond" w:cs="Arial"/>
                <w:b/>
                <w:sz w:val="24"/>
                <w:szCs w:val="24"/>
              </w:rPr>
              <w:t>7</w:t>
            </w:r>
          </w:p>
        </w:tc>
        <w:tc>
          <w:tcPr>
            <w:tcW w:w="1419" w:type="dxa"/>
          </w:tcPr>
          <w:p w14:paraId="7A662BC4"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Obs.</w:t>
            </w:r>
          </w:p>
        </w:tc>
        <w:tc>
          <w:tcPr>
            <w:tcW w:w="1229" w:type="dxa"/>
          </w:tcPr>
          <w:p w14:paraId="3CA9E8C0" w14:textId="231E0F75" w:rsidR="00184188" w:rsidRPr="00E75964" w:rsidRDefault="00CD4F2E" w:rsidP="00184188">
            <w:pPr>
              <w:spacing w:after="200"/>
              <w:contextualSpacing/>
              <w:jc w:val="center"/>
              <w:rPr>
                <w:rFonts w:ascii="Garamond" w:hAnsi="Garamond" w:cs="Arial"/>
                <w:sz w:val="24"/>
                <w:szCs w:val="24"/>
              </w:rPr>
            </w:pPr>
            <w:r w:rsidRPr="00E75964">
              <w:rPr>
                <w:rFonts w:ascii="Garamond" w:hAnsi="Garamond" w:cs="Arial"/>
                <w:sz w:val="24"/>
                <w:szCs w:val="24"/>
              </w:rPr>
              <w:t>428</w:t>
            </w:r>
          </w:p>
        </w:tc>
        <w:tc>
          <w:tcPr>
            <w:tcW w:w="1282" w:type="dxa"/>
            <w:gridSpan w:val="2"/>
          </w:tcPr>
          <w:p w14:paraId="5D52F2FA" w14:textId="7F0C8FBE" w:rsidR="00184188" w:rsidRPr="00E75964" w:rsidRDefault="00CD4F2E" w:rsidP="00184188">
            <w:pPr>
              <w:spacing w:after="200"/>
              <w:contextualSpacing/>
              <w:jc w:val="center"/>
              <w:rPr>
                <w:rFonts w:ascii="Garamond" w:hAnsi="Garamond" w:cs="Arial"/>
                <w:sz w:val="24"/>
                <w:szCs w:val="24"/>
              </w:rPr>
            </w:pPr>
            <w:r w:rsidRPr="00E75964">
              <w:rPr>
                <w:rFonts w:ascii="Garamond" w:hAnsi="Garamond" w:cs="Arial"/>
                <w:sz w:val="24"/>
                <w:szCs w:val="24"/>
              </w:rPr>
              <w:t>485</w:t>
            </w:r>
          </w:p>
        </w:tc>
        <w:tc>
          <w:tcPr>
            <w:tcW w:w="1230" w:type="dxa"/>
            <w:gridSpan w:val="2"/>
          </w:tcPr>
          <w:p w14:paraId="524049DE" w14:textId="65304F3A" w:rsidR="00184188" w:rsidRPr="00E75964" w:rsidRDefault="00EC69C2" w:rsidP="00184188">
            <w:pPr>
              <w:spacing w:after="200"/>
              <w:contextualSpacing/>
              <w:jc w:val="center"/>
              <w:rPr>
                <w:rFonts w:ascii="Garamond" w:hAnsi="Garamond" w:cs="Arial"/>
                <w:sz w:val="24"/>
                <w:szCs w:val="24"/>
              </w:rPr>
            </w:pPr>
            <w:r w:rsidRPr="00E75964">
              <w:rPr>
                <w:rFonts w:ascii="Garamond" w:hAnsi="Garamond" w:cs="Arial"/>
                <w:sz w:val="24"/>
                <w:szCs w:val="24"/>
              </w:rPr>
              <w:t>451</w:t>
            </w:r>
          </w:p>
        </w:tc>
        <w:tc>
          <w:tcPr>
            <w:tcW w:w="1283" w:type="dxa"/>
          </w:tcPr>
          <w:p w14:paraId="075EBCD1" w14:textId="5290D5F8" w:rsidR="00184188" w:rsidRPr="00E75964" w:rsidRDefault="00EC69C2" w:rsidP="00184188">
            <w:pPr>
              <w:spacing w:after="200"/>
              <w:contextualSpacing/>
              <w:jc w:val="center"/>
              <w:rPr>
                <w:rFonts w:ascii="Garamond" w:hAnsi="Garamond" w:cs="Arial"/>
                <w:sz w:val="24"/>
                <w:szCs w:val="24"/>
              </w:rPr>
            </w:pPr>
            <w:r w:rsidRPr="00E75964">
              <w:rPr>
                <w:rFonts w:ascii="Garamond" w:hAnsi="Garamond" w:cs="Arial"/>
                <w:sz w:val="24"/>
                <w:szCs w:val="24"/>
              </w:rPr>
              <w:t>367</w:t>
            </w:r>
          </w:p>
        </w:tc>
        <w:tc>
          <w:tcPr>
            <w:tcW w:w="2046" w:type="dxa"/>
          </w:tcPr>
          <w:p w14:paraId="587E585E" w14:textId="455840BB"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w:t>
            </w:r>
            <w:r w:rsidR="00EC69C2" w:rsidRPr="00E75964">
              <w:rPr>
                <w:rFonts w:ascii="Garamond" w:hAnsi="Garamond" w:cs="Arial"/>
                <w:sz w:val="24"/>
                <w:szCs w:val="24"/>
              </w:rPr>
              <w:t>5</w:t>
            </w:r>
            <w:r w:rsidR="000B0BE7" w:rsidRPr="00E75964">
              <w:rPr>
                <w:rFonts w:ascii="Garamond" w:hAnsi="Garamond" w:cs="Arial"/>
                <w:sz w:val="24"/>
                <w:szCs w:val="24"/>
              </w:rPr>
              <w:t>74</w:t>
            </w:r>
            <w:r w:rsidRPr="00E75964">
              <w:rPr>
                <w:rFonts w:ascii="Garamond" w:hAnsi="Garamond" w:cs="Arial"/>
                <w:sz w:val="24"/>
                <w:szCs w:val="24"/>
              </w:rPr>
              <w:t>.</w:t>
            </w:r>
            <w:r w:rsidR="00EC69C2" w:rsidRPr="00E75964">
              <w:rPr>
                <w:rFonts w:ascii="Garamond" w:hAnsi="Garamond" w:cs="Arial"/>
                <w:sz w:val="24"/>
                <w:szCs w:val="24"/>
              </w:rPr>
              <w:t>16</w:t>
            </w:r>
            <w:r w:rsidRPr="00E75964">
              <w:rPr>
                <w:rFonts w:ascii="Garamond" w:hAnsi="Garamond" w:cs="Arial"/>
                <w:sz w:val="24"/>
                <w:szCs w:val="24"/>
              </w:rPr>
              <w:t>]***</w:t>
            </w:r>
          </w:p>
        </w:tc>
      </w:tr>
      <w:tr w:rsidR="00184188" w:rsidRPr="00E75964" w14:paraId="3949C076" w14:textId="77777777" w:rsidTr="00CD4F2E">
        <w:trPr>
          <w:trHeight w:hRule="exact" w:val="284"/>
        </w:trPr>
        <w:tc>
          <w:tcPr>
            <w:tcW w:w="1069" w:type="dxa"/>
          </w:tcPr>
          <w:p w14:paraId="6188F993" w14:textId="77777777" w:rsidR="00184188" w:rsidRPr="00E75964" w:rsidRDefault="00184188" w:rsidP="00184188">
            <w:pPr>
              <w:spacing w:after="200"/>
              <w:contextualSpacing/>
              <w:jc w:val="both"/>
              <w:rPr>
                <w:rFonts w:ascii="Garamond" w:hAnsi="Garamond" w:cs="Arial"/>
                <w:b/>
                <w:sz w:val="24"/>
                <w:szCs w:val="24"/>
              </w:rPr>
            </w:pPr>
          </w:p>
        </w:tc>
        <w:tc>
          <w:tcPr>
            <w:tcW w:w="1419" w:type="dxa"/>
          </w:tcPr>
          <w:p w14:paraId="5EDB6D78"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Proportion</w:t>
            </w:r>
          </w:p>
        </w:tc>
        <w:tc>
          <w:tcPr>
            <w:tcW w:w="1229" w:type="dxa"/>
          </w:tcPr>
          <w:p w14:paraId="2303891C" w14:textId="584B1F18" w:rsidR="00184188" w:rsidRPr="00E75964" w:rsidRDefault="00CD4F2E" w:rsidP="00184188">
            <w:pPr>
              <w:spacing w:after="200"/>
              <w:contextualSpacing/>
              <w:jc w:val="center"/>
              <w:rPr>
                <w:rFonts w:ascii="Garamond" w:hAnsi="Garamond" w:cs="Arial"/>
                <w:sz w:val="24"/>
                <w:szCs w:val="24"/>
              </w:rPr>
            </w:pPr>
            <w:r w:rsidRPr="00E75964">
              <w:rPr>
                <w:rFonts w:ascii="Garamond" w:hAnsi="Garamond" w:cs="Arial"/>
                <w:sz w:val="24"/>
                <w:szCs w:val="24"/>
              </w:rPr>
              <w:t>46.88</w:t>
            </w:r>
          </w:p>
        </w:tc>
        <w:tc>
          <w:tcPr>
            <w:tcW w:w="1282" w:type="dxa"/>
            <w:gridSpan w:val="2"/>
          </w:tcPr>
          <w:p w14:paraId="59AFBBF4" w14:textId="401031E9" w:rsidR="00184188" w:rsidRPr="00E75964" w:rsidRDefault="00CD4F2E" w:rsidP="00184188">
            <w:pPr>
              <w:spacing w:after="200"/>
              <w:contextualSpacing/>
              <w:jc w:val="center"/>
              <w:rPr>
                <w:rFonts w:ascii="Garamond" w:hAnsi="Garamond" w:cs="Arial"/>
                <w:sz w:val="24"/>
                <w:szCs w:val="24"/>
              </w:rPr>
            </w:pPr>
            <w:r w:rsidRPr="00E75964">
              <w:rPr>
                <w:rFonts w:ascii="Garamond" w:hAnsi="Garamond" w:cs="Arial"/>
                <w:sz w:val="24"/>
                <w:szCs w:val="24"/>
              </w:rPr>
              <w:t>53</w:t>
            </w:r>
            <w:r w:rsidR="00184188" w:rsidRPr="00E75964">
              <w:rPr>
                <w:rFonts w:ascii="Garamond" w:hAnsi="Garamond" w:cs="Arial"/>
                <w:sz w:val="24"/>
                <w:szCs w:val="24"/>
              </w:rPr>
              <w:t>.</w:t>
            </w:r>
            <w:r w:rsidRPr="00E75964">
              <w:rPr>
                <w:rFonts w:ascii="Garamond" w:hAnsi="Garamond" w:cs="Arial"/>
                <w:sz w:val="24"/>
                <w:szCs w:val="24"/>
              </w:rPr>
              <w:t>12</w:t>
            </w:r>
          </w:p>
        </w:tc>
        <w:tc>
          <w:tcPr>
            <w:tcW w:w="1230" w:type="dxa"/>
            <w:gridSpan w:val="2"/>
          </w:tcPr>
          <w:p w14:paraId="45CA761A" w14:textId="63F6BB87"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5</w:t>
            </w:r>
            <w:r w:rsidR="00EC69C2" w:rsidRPr="00E75964">
              <w:rPr>
                <w:rFonts w:ascii="Garamond" w:hAnsi="Garamond" w:cs="Arial"/>
                <w:sz w:val="24"/>
                <w:szCs w:val="24"/>
              </w:rPr>
              <w:t>2</w:t>
            </w:r>
            <w:r w:rsidRPr="00E75964">
              <w:rPr>
                <w:rFonts w:ascii="Garamond" w:hAnsi="Garamond" w:cs="Arial"/>
                <w:sz w:val="24"/>
                <w:szCs w:val="24"/>
              </w:rPr>
              <w:t>.</w:t>
            </w:r>
            <w:r w:rsidR="00EC69C2" w:rsidRPr="00E75964">
              <w:rPr>
                <w:rFonts w:ascii="Garamond" w:hAnsi="Garamond" w:cs="Arial"/>
                <w:sz w:val="24"/>
                <w:szCs w:val="24"/>
              </w:rPr>
              <w:t>33</w:t>
            </w:r>
          </w:p>
        </w:tc>
        <w:tc>
          <w:tcPr>
            <w:tcW w:w="1283" w:type="dxa"/>
          </w:tcPr>
          <w:p w14:paraId="0321A3F5" w14:textId="7AF815BC"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4</w:t>
            </w:r>
            <w:r w:rsidR="00EC69C2" w:rsidRPr="00E75964">
              <w:rPr>
                <w:rFonts w:ascii="Garamond" w:hAnsi="Garamond" w:cs="Arial"/>
                <w:sz w:val="24"/>
                <w:szCs w:val="24"/>
              </w:rPr>
              <w:t>8</w:t>
            </w:r>
            <w:r w:rsidRPr="00E75964">
              <w:rPr>
                <w:rFonts w:ascii="Garamond" w:hAnsi="Garamond" w:cs="Arial"/>
                <w:sz w:val="24"/>
                <w:szCs w:val="24"/>
              </w:rPr>
              <w:t>.</w:t>
            </w:r>
            <w:r w:rsidR="00EC69C2" w:rsidRPr="00E75964">
              <w:rPr>
                <w:rFonts w:ascii="Garamond" w:hAnsi="Garamond" w:cs="Arial"/>
                <w:sz w:val="24"/>
                <w:szCs w:val="24"/>
              </w:rPr>
              <w:t>15</w:t>
            </w:r>
          </w:p>
        </w:tc>
        <w:tc>
          <w:tcPr>
            <w:tcW w:w="2046" w:type="dxa"/>
          </w:tcPr>
          <w:p w14:paraId="3C9B9FAF" w14:textId="153AB087"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w:t>
            </w:r>
            <w:r w:rsidR="000B0BE7" w:rsidRPr="00E75964">
              <w:rPr>
                <w:rFonts w:ascii="Garamond" w:hAnsi="Garamond" w:cs="Arial"/>
                <w:sz w:val="24"/>
                <w:szCs w:val="24"/>
              </w:rPr>
              <w:t>1</w:t>
            </w:r>
            <w:r w:rsidRPr="00E75964">
              <w:rPr>
                <w:rFonts w:ascii="Garamond" w:hAnsi="Garamond" w:cs="Arial"/>
                <w:sz w:val="24"/>
                <w:szCs w:val="24"/>
              </w:rPr>
              <w:t>.</w:t>
            </w:r>
            <w:r w:rsidR="000B0BE7" w:rsidRPr="00E75964">
              <w:rPr>
                <w:rFonts w:ascii="Garamond" w:hAnsi="Garamond" w:cs="Arial"/>
                <w:sz w:val="24"/>
                <w:szCs w:val="24"/>
              </w:rPr>
              <w:t>00</w:t>
            </w:r>
            <w:r w:rsidRPr="00E75964">
              <w:rPr>
                <w:rFonts w:ascii="Garamond" w:hAnsi="Garamond" w:cs="Arial"/>
                <w:sz w:val="24"/>
                <w:szCs w:val="24"/>
              </w:rPr>
              <w:t>)</w:t>
            </w:r>
          </w:p>
        </w:tc>
      </w:tr>
      <w:tr w:rsidR="00184188" w:rsidRPr="00E75964" w14:paraId="44B769B8" w14:textId="77777777" w:rsidTr="00CD4F2E">
        <w:trPr>
          <w:trHeight w:hRule="exact" w:val="284"/>
        </w:trPr>
        <w:tc>
          <w:tcPr>
            <w:tcW w:w="1069" w:type="dxa"/>
          </w:tcPr>
          <w:p w14:paraId="5D694F13" w14:textId="77777777" w:rsidR="00184188" w:rsidRPr="00E75964" w:rsidRDefault="00184188" w:rsidP="00184188">
            <w:pPr>
              <w:spacing w:after="200"/>
              <w:contextualSpacing/>
              <w:jc w:val="both"/>
              <w:rPr>
                <w:rFonts w:ascii="Garamond" w:hAnsi="Garamond" w:cs="Arial"/>
                <w:b/>
                <w:sz w:val="24"/>
                <w:szCs w:val="24"/>
              </w:rPr>
            </w:pPr>
          </w:p>
        </w:tc>
        <w:tc>
          <w:tcPr>
            <w:tcW w:w="1419" w:type="dxa"/>
          </w:tcPr>
          <w:p w14:paraId="2C0B6E6F"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z-statistic</w:t>
            </w:r>
          </w:p>
        </w:tc>
        <w:tc>
          <w:tcPr>
            <w:tcW w:w="1229" w:type="dxa"/>
          </w:tcPr>
          <w:p w14:paraId="4D986CB1" w14:textId="77777777" w:rsidR="00184188" w:rsidRPr="00E75964" w:rsidRDefault="00184188" w:rsidP="00184188">
            <w:pPr>
              <w:spacing w:after="200"/>
              <w:contextualSpacing/>
              <w:jc w:val="center"/>
              <w:rPr>
                <w:rFonts w:ascii="Garamond" w:hAnsi="Garamond" w:cs="Arial"/>
                <w:sz w:val="24"/>
                <w:szCs w:val="24"/>
              </w:rPr>
            </w:pPr>
          </w:p>
        </w:tc>
        <w:tc>
          <w:tcPr>
            <w:tcW w:w="1282" w:type="dxa"/>
            <w:gridSpan w:val="2"/>
          </w:tcPr>
          <w:p w14:paraId="6B8EB05E" w14:textId="77777777" w:rsidR="00184188" w:rsidRPr="00E75964" w:rsidRDefault="00184188" w:rsidP="00184188">
            <w:pPr>
              <w:spacing w:after="200"/>
              <w:contextualSpacing/>
              <w:jc w:val="center"/>
              <w:rPr>
                <w:rFonts w:ascii="Garamond" w:hAnsi="Garamond" w:cs="Arial"/>
                <w:sz w:val="24"/>
                <w:szCs w:val="24"/>
              </w:rPr>
            </w:pPr>
          </w:p>
        </w:tc>
        <w:tc>
          <w:tcPr>
            <w:tcW w:w="1230" w:type="dxa"/>
            <w:gridSpan w:val="2"/>
          </w:tcPr>
          <w:p w14:paraId="5C10FFD5" w14:textId="2129857E"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2.</w:t>
            </w:r>
            <w:r w:rsidR="00EC69C2" w:rsidRPr="00E75964">
              <w:rPr>
                <w:rFonts w:ascii="Garamond" w:hAnsi="Garamond" w:cs="Arial"/>
                <w:sz w:val="24"/>
                <w:szCs w:val="24"/>
              </w:rPr>
              <w:t>49</w:t>
            </w:r>
            <w:r w:rsidRPr="00E75964">
              <w:rPr>
                <w:rFonts w:ascii="Garamond" w:hAnsi="Garamond" w:cs="Arial"/>
                <w:sz w:val="24"/>
                <w:szCs w:val="24"/>
              </w:rPr>
              <w:t>***</w:t>
            </w:r>
          </w:p>
        </w:tc>
        <w:tc>
          <w:tcPr>
            <w:tcW w:w="1283" w:type="dxa"/>
          </w:tcPr>
          <w:p w14:paraId="1333679F" w14:textId="41127E30" w:rsidR="00184188" w:rsidRPr="00E75964" w:rsidRDefault="00EC69C2" w:rsidP="00184188">
            <w:pPr>
              <w:spacing w:after="200"/>
              <w:contextualSpacing/>
              <w:jc w:val="center"/>
              <w:rPr>
                <w:rFonts w:ascii="Garamond" w:hAnsi="Garamond" w:cs="Arial"/>
                <w:sz w:val="24"/>
                <w:szCs w:val="24"/>
              </w:rPr>
            </w:pPr>
            <w:r w:rsidRPr="00E75964">
              <w:rPr>
                <w:rFonts w:ascii="Garamond" w:hAnsi="Garamond" w:cs="Arial"/>
                <w:sz w:val="24"/>
                <w:szCs w:val="24"/>
              </w:rPr>
              <w:t>3</w:t>
            </w:r>
            <w:r w:rsidR="00184188" w:rsidRPr="00E75964">
              <w:rPr>
                <w:rFonts w:ascii="Garamond" w:hAnsi="Garamond" w:cs="Arial"/>
                <w:sz w:val="24"/>
                <w:szCs w:val="24"/>
              </w:rPr>
              <w:t>.</w:t>
            </w:r>
            <w:r w:rsidRPr="00E75964">
              <w:rPr>
                <w:rFonts w:ascii="Garamond" w:hAnsi="Garamond" w:cs="Arial"/>
                <w:sz w:val="24"/>
                <w:szCs w:val="24"/>
              </w:rPr>
              <w:t>1</w:t>
            </w:r>
            <w:r w:rsidR="00184188" w:rsidRPr="00E75964">
              <w:rPr>
                <w:rFonts w:ascii="Garamond" w:hAnsi="Garamond" w:cs="Arial"/>
                <w:sz w:val="24"/>
                <w:szCs w:val="24"/>
              </w:rPr>
              <w:t>6***</w:t>
            </w:r>
          </w:p>
        </w:tc>
        <w:tc>
          <w:tcPr>
            <w:tcW w:w="2046" w:type="dxa"/>
          </w:tcPr>
          <w:p w14:paraId="361AFF0D" w14:textId="77777777" w:rsidR="00184188" w:rsidRPr="00E75964" w:rsidRDefault="00184188" w:rsidP="00184188">
            <w:pPr>
              <w:spacing w:after="200"/>
              <w:contextualSpacing/>
              <w:jc w:val="center"/>
              <w:rPr>
                <w:rFonts w:ascii="Garamond" w:hAnsi="Garamond" w:cs="Arial"/>
                <w:sz w:val="24"/>
                <w:szCs w:val="24"/>
              </w:rPr>
            </w:pPr>
          </w:p>
        </w:tc>
      </w:tr>
      <w:tr w:rsidR="00184188" w:rsidRPr="00E75964" w14:paraId="384B69C2" w14:textId="77777777" w:rsidTr="00CD4F2E">
        <w:trPr>
          <w:trHeight w:hRule="exact" w:val="284"/>
        </w:trPr>
        <w:tc>
          <w:tcPr>
            <w:tcW w:w="1069" w:type="dxa"/>
          </w:tcPr>
          <w:p w14:paraId="4B5F8312" w14:textId="77777777" w:rsidR="00184188" w:rsidRPr="00E75964" w:rsidRDefault="00184188" w:rsidP="00184188">
            <w:pPr>
              <w:spacing w:after="200"/>
              <w:contextualSpacing/>
              <w:jc w:val="both"/>
              <w:rPr>
                <w:rFonts w:ascii="Garamond" w:hAnsi="Garamond" w:cs="Arial"/>
                <w:b/>
                <w:sz w:val="24"/>
                <w:szCs w:val="24"/>
              </w:rPr>
            </w:pPr>
            <w:r w:rsidRPr="00E75964">
              <w:rPr>
                <w:rFonts w:ascii="Garamond" w:hAnsi="Garamond" w:cs="Arial"/>
                <w:b/>
                <w:sz w:val="24"/>
                <w:szCs w:val="24"/>
              </w:rPr>
              <w:t>8</w:t>
            </w:r>
          </w:p>
        </w:tc>
        <w:tc>
          <w:tcPr>
            <w:tcW w:w="1419" w:type="dxa"/>
          </w:tcPr>
          <w:p w14:paraId="2A343177"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Obs.</w:t>
            </w:r>
          </w:p>
        </w:tc>
        <w:tc>
          <w:tcPr>
            <w:tcW w:w="1229" w:type="dxa"/>
          </w:tcPr>
          <w:p w14:paraId="2F5A7999" w14:textId="02F89143"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4</w:t>
            </w:r>
            <w:r w:rsidR="00CD4F2E" w:rsidRPr="00E75964">
              <w:rPr>
                <w:rFonts w:ascii="Garamond" w:hAnsi="Garamond" w:cs="Arial"/>
                <w:sz w:val="24"/>
                <w:szCs w:val="24"/>
              </w:rPr>
              <w:t>4</w:t>
            </w:r>
            <w:r w:rsidRPr="00E75964">
              <w:rPr>
                <w:rFonts w:ascii="Garamond" w:hAnsi="Garamond" w:cs="Arial"/>
                <w:sz w:val="24"/>
                <w:szCs w:val="24"/>
              </w:rPr>
              <w:t>6</w:t>
            </w:r>
          </w:p>
        </w:tc>
        <w:tc>
          <w:tcPr>
            <w:tcW w:w="1282" w:type="dxa"/>
            <w:gridSpan w:val="2"/>
          </w:tcPr>
          <w:p w14:paraId="3CF7B47B" w14:textId="7BA7DFE5" w:rsidR="00184188" w:rsidRPr="00E75964" w:rsidRDefault="00CD4F2E" w:rsidP="00184188">
            <w:pPr>
              <w:spacing w:after="200"/>
              <w:contextualSpacing/>
              <w:jc w:val="center"/>
              <w:rPr>
                <w:rFonts w:ascii="Garamond" w:hAnsi="Garamond" w:cs="Arial"/>
                <w:sz w:val="24"/>
                <w:szCs w:val="24"/>
              </w:rPr>
            </w:pPr>
            <w:r w:rsidRPr="00E75964">
              <w:rPr>
                <w:rFonts w:ascii="Garamond" w:hAnsi="Garamond" w:cs="Arial"/>
                <w:sz w:val="24"/>
                <w:szCs w:val="24"/>
              </w:rPr>
              <w:t>467</w:t>
            </w:r>
          </w:p>
        </w:tc>
        <w:tc>
          <w:tcPr>
            <w:tcW w:w="1230" w:type="dxa"/>
            <w:gridSpan w:val="2"/>
          </w:tcPr>
          <w:p w14:paraId="05D39A9E" w14:textId="4260FFC9" w:rsidR="00184188" w:rsidRPr="00E75964" w:rsidRDefault="00EC69C2" w:rsidP="00184188">
            <w:pPr>
              <w:spacing w:after="200"/>
              <w:contextualSpacing/>
              <w:jc w:val="center"/>
              <w:rPr>
                <w:rFonts w:ascii="Garamond" w:hAnsi="Garamond" w:cs="Arial"/>
                <w:sz w:val="24"/>
                <w:szCs w:val="24"/>
              </w:rPr>
            </w:pPr>
            <w:r w:rsidRPr="00E75964">
              <w:rPr>
                <w:rFonts w:ascii="Garamond" w:hAnsi="Garamond" w:cs="Arial"/>
                <w:sz w:val="24"/>
                <w:szCs w:val="24"/>
              </w:rPr>
              <w:t>322</w:t>
            </w:r>
          </w:p>
        </w:tc>
        <w:tc>
          <w:tcPr>
            <w:tcW w:w="1283" w:type="dxa"/>
          </w:tcPr>
          <w:p w14:paraId="21DF6143" w14:textId="7DCAFE8B" w:rsidR="00184188" w:rsidRPr="00E75964" w:rsidRDefault="00EC69C2" w:rsidP="00184188">
            <w:pPr>
              <w:spacing w:after="200"/>
              <w:contextualSpacing/>
              <w:jc w:val="center"/>
              <w:rPr>
                <w:rFonts w:ascii="Garamond" w:hAnsi="Garamond" w:cs="Arial"/>
                <w:sz w:val="24"/>
                <w:szCs w:val="24"/>
              </w:rPr>
            </w:pPr>
            <w:r w:rsidRPr="00E75964">
              <w:rPr>
                <w:rFonts w:ascii="Garamond" w:hAnsi="Garamond" w:cs="Arial"/>
                <w:sz w:val="24"/>
                <w:szCs w:val="24"/>
              </w:rPr>
              <w:t>289</w:t>
            </w:r>
          </w:p>
        </w:tc>
        <w:tc>
          <w:tcPr>
            <w:tcW w:w="2046" w:type="dxa"/>
          </w:tcPr>
          <w:p w14:paraId="11A31438" w14:textId="3DA07C72"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w:t>
            </w:r>
            <w:r w:rsidR="00EC69C2" w:rsidRPr="00E75964">
              <w:rPr>
                <w:rFonts w:ascii="Garamond" w:hAnsi="Garamond" w:cs="Arial"/>
                <w:sz w:val="24"/>
                <w:szCs w:val="24"/>
              </w:rPr>
              <w:t>2</w:t>
            </w:r>
            <w:r w:rsidRPr="00E75964">
              <w:rPr>
                <w:rFonts w:ascii="Garamond" w:hAnsi="Garamond" w:cs="Arial"/>
                <w:sz w:val="24"/>
                <w:szCs w:val="24"/>
              </w:rPr>
              <w:t>.</w:t>
            </w:r>
            <w:r w:rsidR="00EC69C2" w:rsidRPr="00E75964">
              <w:rPr>
                <w:rFonts w:ascii="Garamond" w:hAnsi="Garamond" w:cs="Arial"/>
                <w:sz w:val="24"/>
                <w:szCs w:val="24"/>
              </w:rPr>
              <w:t>93</w:t>
            </w:r>
            <w:r w:rsidRPr="00E75964">
              <w:rPr>
                <w:rFonts w:ascii="Garamond" w:hAnsi="Garamond" w:cs="Arial"/>
                <w:sz w:val="24"/>
                <w:szCs w:val="24"/>
              </w:rPr>
              <w:t>]</w:t>
            </w:r>
          </w:p>
        </w:tc>
      </w:tr>
      <w:tr w:rsidR="00184188" w:rsidRPr="00E75964" w14:paraId="7869A9E3" w14:textId="77777777" w:rsidTr="00CD4F2E">
        <w:trPr>
          <w:trHeight w:hRule="exact" w:val="284"/>
        </w:trPr>
        <w:tc>
          <w:tcPr>
            <w:tcW w:w="1069" w:type="dxa"/>
          </w:tcPr>
          <w:p w14:paraId="402500E8" w14:textId="77777777" w:rsidR="00184188" w:rsidRPr="00E75964" w:rsidRDefault="00184188" w:rsidP="00184188">
            <w:pPr>
              <w:spacing w:after="200"/>
              <w:contextualSpacing/>
              <w:jc w:val="both"/>
              <w:rPr>
                <w:rFonts w:ascii="Garamond" w:hAnsi="Garamond" w:cs="Arial"/>
                <w:b/>
                <w:sz w:val="24"/>
                <w:szCs w:val="24"/>
              </w:rPr>
            </w:pPr>
          </w:p>
        </w:tc>
        <w:tc>
          <w:tcPr>
            <w:tcW w:w="1419" w:type="dxa"/>
          </w:tcPr>
          <w:p w14:paraId="66A09E6B"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Proportion</w:t>
            </w:r>
          </w:p>
        </w:tc>
        <w:tc>
          <w:tcPr>
            <w:tcW w:w="1229" w:type="dxa"/>
          </w:tcPr>
          <w:p w14:paraId="3AEA5C6B" w14:textId="34B32BC7" w:rsidR="00184188" w:rsidRPr="00E75964" w:rsidRDefault="00CD4F2E" w:rsidP="00184188">
            <w:pPr>
              <w:spacing w:after="200"/>
              <w:contextualSpacing/>
              <w:jc w:val="center"/>
              <w:rPr>
                <w:rFonts w:ascii="Garamond" w:hAnsi="Garamond" w:cs="Arial"/>
                <w:sz w:val="24"/>
                <w:szCs w:val="24"/>
              </w:rPr>
            </w:pPr>
            <w:r w:rsidRPr="00E75964">
              <w:rPr>
                <w:rFonts w:ascii="Garamond" w:hAnsi="Garamond" w:cs="Arial"/>
                <w:sz w:val="24"/>
                <w:szCs w:val="24"/>
              </w:rPr>
              <w:t>48.85</w:t>
            </w:r>
          </w:p>
        </w:tc>
        <w:tc>
          <w:tcPr>
            <w:tcW w:w="1282" w:type="dxa"/>
            <w:gridSpan w:val="2"/>
          </w:tcPr>
          <w:p w14:paraId="4BE83DC7" w14:textId="5AD3C399" w:rsidR="00184188" w:rsidRPr="00E75964" w:rsidRDefault="00CD4F2E" w:rsidP="00184188">
            <w:pPr>
              <w:spacing w:after="200"/>
              <w:contextualSpacing/>
              <w:jc w:val="center"/>
              <w:rPr>
                <w:rFonts w:ascii="Garamond" w:hAnsi="Garamond" w:cs="Arial"/>
                <w:sz w:val="24"/>
                <w:szCs w:val="24"/>
              </w:rPr>
            </w:pPr>
            <w:r w:rsidRPr="00E75964">
              <w:rPr>
                <w:rFonts w:ascii="Garamond" w:hAnsi="Garamond" w:cs="Arial"/>
                <w:sz w:val="24"/>
                <w:szCs w:val="24"/>
              </w:rPr>
              <w:t>51.15</w:t>
            </w:r>
          </w:p>
        </w:tc>
        <w:tc>
          <w:tcPr>
            <w:tcW w:w="1230" w:type="dxa"/>
            <w:gridSpan w:val="2"/>
          </w:tcPr>
          <w:p w14:paraId="2796CB05" w14:textId="77BEB163"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4</w:t>
            </w:r>
            <w:r w:rsidR="00EC69C2" w:rsidRPr="00E75964">
              <w:rPr>
                <w:rFonts w:ascii="Garamond" w:hAnsi="Garamond" w:cs="Arial"/>
                <w:sz w:val="24"/>
                <w:szCs w:val="24"/>
              </w:rPr>
              <w:t>9</w:t>
            </w:r>
            <w:r w:rsidRPr="00E75964">
              <w:rPr>
                <w:rFonts w:ascii="Garamond" w:hAnsi="Garamond" w:cs="Arial"/>
                <w:sz w:val="24"/>
                <w:szCs w:val="24"/>
              </w:rPr>
              <w:t>.</w:t>
            </w:r>
            <w:r w:rsidR="00EC69C2" w:rsidRPr="00E75964">
              <w:rPr>
                <w:rFonts w:ascii="Garamond" w:hAnsi="Garamond" w:cs="Arial"/>
                <w:sz w:val="24"/>
                <w:szCs w:val="24"/>
              </w:rPr>
              <w:t>03</w:t>
            </w:r>
          </w:p>
        </w:tc>
        <w:tc>
          <w:tcPr>
            <w:tcW w:w="1283" w:type="dxa"/>
          </w:tcPr>
          <w:p w14:paraId="5EF73C7B" w14:textId="23BD004F"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4</w:t>
            </w:r>
            <w:r w:rsidR="00EC69C2" w:rsidRPr="00E75964">
              <w:rPr>
                <w:rFonts w:ascii="Garamond" w:hAnsi="Garamond" w:cs="Arial"/>
                <w:sz w:val="24"/>
                <w:szCs w:val="24"/>
              </w:rPr>
              <w:t>4</w:t>
            </w:r>
            <w:r w:rsidRPr="00E75964">
              <w:rPr>
                <w:rFonts w:ascii="Garamond" w:hAnsi="Garamond" w:cs="Arial"/>
                <w:sz w:val="24"/>
                <w:szCs w:val="24"/>
              </w:rPr>
              <w:t>.</w:t>
            </w:r>
            <w:r w:rsidR="00EC69C2" w:rsidRPr="00E75964">
              <w:rPr>
                <w:rFonts w:ascii="Garamond" w:hAnsi="Garamond" w:cs="Arial"/>
                <w:sz w:val="24"/>
                <w:szCs w:val="24"/>
              </w:rPr>
              <w:t>21</w:t>
            </w:r>
          </w:p>
        </w:tc>
        <w:tc>
          <w:tcPr>
            <w:tcW w:w="2046" w:type="dxa"/>
          </w:tcPr>
          <w:p w14:paraId="4DD82754" w14:textId="23EBA080"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(0.</w:t>
            </w:r>
            <w:r w:rsidR="00EC69C2" w:rsidRPr="00E75964">
              <w:rPr>
                <w:rFonts w:ascii="Garamond" w:hAnsi="Garamond" w:cs="Arial"/>
                <w:sz w:val="24"/>
                <w:szCs w:val="24"/>
              </w:rPr>
              <w:t>03</w:t>
            </w:r>
            <w:r w:rsidRPr="00E75964">
              <w:rPr>
                <w:rFonts w:ascii="Garamond" w:hAnsi="Garamond" w:cs="Arial"/>
                <w:sz w:val="24"/>
                <w:szCs w:val="24"/>
              </w:rPr>
              <w:t>)</w:t>
            </w:r>
          </w:p>
        </w:tc>
      </w:tr>
      <w:tr w:rsidR="00184188" w:rsidRPr="00E75964" w14:paraId="60D03374" w14:textId="77777777" w:rsidTr="00CD4F2E">
        <w:trPr>
          <w:trHeight w:hRule="exact" w:val="284"/>
        </w:trPr>
        <w:tc>
          <w:tcPr>
            <w:tcW w:w="1069" w:type="dxa"/>
          </w:tcPr>
          <w:p w14:paraId="08A76AA5" w14:textId="77777777" w:rsidR="00184188" w:rsidRPr="00E75964" w:rsidRDefault="00184188" w:rsidP="00184188">
            <w:pPr>
              <w:spacing w:after="200"/>
              <w:contextualSpacing/>
              <w:jc w:val="both"/>
              <w:rPr>
                <w:rFonts w:ascii="Garamond" w:hAnsi="Garamond" w:cs="Arial"/>
                <w:b/>
                <w:sz w:val="24"/>
                <w:szCs w:val="24"/>
              </w:rPr>
            </w:pPr>
          </w:p>
        </w:tc>
        <w:tc>
          <w:tcPr>
            <w:tcW w:w="1419" w:type="dxa"/>
          </w:tcPr>
          <w:p w14:paraId="19B2F51D"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z-statistic</w:t>
            </w:r>
          </w:p>
        </w:tc>
        <w:tc>
          <w:tcPr>
            <w:tcW w:w="1229" w:type="dxa"/>
          </w:tcPr>
          <w:p w14:paraId="017223B8" w14:textId="77777777" w:rsidR="00184188" w:rsidRPr="00E75964" w:rsidRDefault="00184188" w:rsidP="00184188">
            <w:pPr>
              <w:spacing w:after="200"/>
              <w:contextualSpacing/>
              <w:jc w:val="center"/>
              <w:rPr>
                <w:rFonts w:ascii="Garamond" w:hAnsi="Garamond" w:cs="Arial"/>
                <w:sz w:val="24"/>
                <w:szCs w:val="24"/>
              </w:rPr>
            </w:pPr>
          </w:p>
        </w:tc>
        <w:tc>
          <w:tcPr>
            <w:tcW w:w="1282" w:type="dxa"/>
            <w:gridSpan w:val="2"/>
          </w:tcPr>
          <w:p w14:paraId="12D0F694" w14:textId="77777777" w:rsidR="00184188" w:rsidRPr="00E75964" w:rsidRDefault="00184188" w:rsidP="00184188">
            <w:pPr>
              <w:spacing w:after="200"/>
              <w:contextualSpacing/>
              <w:jc w:val="center"/>
              <w:rPr>
                <w:rFonts w:ascii="Garamond" w:hAnsi="Garamond" w:cs="Arial"/>
                <w:sz w:val="24"/>
                <w:szCs w:val="24"/>
              </w:rPr>
            </w:pPr>
          </w:p>
        </w:tc>
        <w:tc>
          <w:tcPr>
            <w:tcW w:w="1230" w:type="dxa"/>
            <w:gridSpan w:val="2"/>
          </w:tcPr>
          <w:p w14:paraId="75905019" w14:textId="5C56E61A" w:rsidR="00184188" w:rsidRPr="00E75964" w:rsidRDefault="00EC69C2" w:rsidP="00184188">
            <w:pPr>
              <w:spacing w:after="200"/>
              <w:contextualSpacing/>
              <w:jc w:val="center"/>
              <w:rPr>
                <w:rFonts w:ascii="Garamond" w:hAnsi="Garamond" w:cs="Arial"/>
                <w:sz w:val="24"/>
                <w:szCs w:val="24"/>
              </w:rPr>
            </w:pPr>
            <w:r w:rsidRPr="00E75964">
              <w:rPr>
                <w:rFonts w:ascii="Garamond" w:hAnsi="Garamond" w:cs="Arial"/>
                <w:sz w:val="24"/>
                <w:szCs w:val="24"/>
              </w:rPr>
              <w:t>1.03</w:t>
            </w:r>
          </w:p>
        </w:tc>
        <w:tc>
          <w:tcPr>
            <w:tcW w:w="1283" w:type="dxa"/>
          </w:tcPr>
          <w:p w14:paraId="3C5DCD99" w14:textId="732FECBF" w:rsidR="00184188" w:rsidRPr="00E75964" w:rsidRDefault="00EC69C2" w:rsidP="00184188">
            <w:pPr>
              <w:spacing w:after="200"/>
              <w:contextualSpacing/>
              <w:jc w:val="center"/>
              <w:rPr>
                <w:rFonts w:ascii="Garamond" w:hAnsi="Garamond" w:cs="Arial"/>
                <w:sz w:val="24"/>
                <w:szCs w:val="24"/>
              </w:rPr>
            </w:pPr>
            <w:r w:rsidRPr="00E75964">
              <w:rPr>
                <w:rFonts w:ascii="Garamond" w:hAnsi="Garamond" w:cs="Arial"/>
                <w:sz w:val="24"/>
                <w:szCs w:val="24"/>
              </w:rPr>
              <w:t>1</w:t>
            </w:r>
            <w:r w:rsidR="00184188" w:rsidRPr="00E75964">
              <w:rPr>
                <w:rFonts w:ascii="Garamond" w:hAnsi="Garamond" w:cs="Arial"/>
                <w:sz w:val="24"/>
                <w:szCs w:val="24"/>
              </w:rPr>
              <w:t>.</w:t>
            </w:r>
            <w:r w:rsidRPr="00E75964">
              <w:rPr>
                <w:rFonts w:ascii="Garamond" w:hAnsi="Garamond" w:cs="Arial"/>
                <w:sz w:val="24"/>
                <w:szCs w:val="24"/>
              </w:rPr>
              <w:t>16</w:t>
            </w:r>
          </w:p>
        </w:tc>
        <w:tc>
          <w:tcPr>
            <w:tcW w:w="2046" w:type="dxa"/>
          </w:tcPr>
          <w:p w14:paraId="75A54836" w14:textId="77777777" w:rsidR="00184188" w:rsidRPr="00E75964" w:rsidRDefault="00184188" w:rsidP="00184188">
            <w:pPr>
              <w:spacing w:after="200"/>
              <w:contextualSpacing/>
              <w:jc w:val="center"/>
              <w:rPr>
                <w:rFonts w:ascii="Garamond" w:hAnsi="Garamond" w:cs="Arial"/>
                <w:sz w:val="24"/>
                <w:szCs w:val="24"/>
              </w:rPr>
            </w:pPr>
          </w:p>
        </w:tc>
      </w:tr>
      <w:tr w:rsidR="00184188" w:rsidRPr="00E75964" w14:paraId="071D6BB5" w14:textId="77777777" w:rsidTr="00CD4F2E">
        <w:trPr>
          <w:trHeight w:hRule="exact" w:val="284"/>
        </w:trPr>
        <w:tc>
          <w:tcPr>
            <w:tcW w:w="1069" w:type="dxa"/>
          </w:tcPr>
          <w:p w14:paraId="2E52E273" w14:textId="77777777" w:rsidR="00184188" w:rsidRPr="00E75964" w:rsidRDefault="00184188" w:rsidP="00184188">
            <w:pPr>
              <w:spacing w:after="200"/>
              <w:contextualSpacing/>
              <w:jc w:val="both"/>
              <w:rPr>
                <w:rFonts w:ascii="Garamond" w:hAnsi="Garamond" w:cs="Arial"/>
                <w:b/>
                <w:sz w:val="24"/>
                <w:szCs w:val="24"/>
              </w:rPr>
            </w:pPr>
            <w:r w:rsidRPr="00E75964">
              <w:rPr>
                <w:rFonts w:ascii="Garamond" w:hAnsi="Garamond" w:cs="Arial"/>
                <w:b/>
                <w:sz w:val="24"/>
                <w:szCs w:val="24"/>
              </w:rPr>
              <w:t>9</w:t>
            </w:r>
          </w:p>
        </w:tc>
        <w:tc>
          <w:tcPr>
            <w:tcW w:w="1419" w:type="dxa"/>
          </w:tcPr>
          <w:p w14:paraId="3CC6328A"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Obs.</w:t>
            </w:r>
          </w:p>
        </w:tc>
        <w:tc>
          <w:tcPr>
            <w:tcW w:w="1229" w:type="dxa"/>
          </w:tcPr>
          <w:p w14:paraId="1A8DAD07" w14:textId="220F8C30" w:rsidR="00184188" w:rsidRPr="00E75964" w:rsidRDefault="00EC69C2" w:rsidP="00184188">
            <w:pPr>
              <w:spacing w:after="200"/>
              <w:contextualSpacing/>
              <w:jc w:val="center"/>
              <w:rPr>
                <w:rFonts w:ascii="Garamond" w:hAnsi="Garamond" w:cs="Arial"/>
                <w:sz w:val="24"/>
                <w:szCs w:val="24"/>
              </w:rPr>
            </w:pPr>
            <w:r w:rsidRPr="00E75964">
              <w:rPr>
                <w:rFonts w:ascii="Garamond" w:hAnsi="Garamond" w:cs="Arial"/>
                <w:sz w:val="24"/>
                <w:szCs w:val="24"/>
              </w:rPr>
              <w:t>5</w:t>
            </w:r>
            <w:r w:rsidR="00983BAF" w:rsidRPr="00E75964">
              <w:rPr>
                <w:rFonts w:ascii="Garamond" w:hAnsi="Garamond" w:cs="Arial"/>
                <w:sz w:val="24"/>
                <w:szCs w:val="24"/>
              </w:rPr>
              <w:t>19</w:t>
            </w:r>
          </w:p>
        </w:tc>
        <w:tc>
          <w:tcPr>
            <w:tcW w:w="1282" w:type="dxa"/>
            <w:gridSpan w:val="2"/>
          </w:tcPr>
          <w:p w14:paraId="4833B7AA" w14:textId="0B89B6CA" w:rsidR="00184188" w:rsidRPr="00E75964" w:rsidRDefault="00983BAF" w:rsidP="00184188">
            <w:pPr>
              <w:spacing w:after="200"/>
              <w:contextualSpacing/>
              <w:jc w:val="center"/>
              <w:rPr>
                <w:rFonts w:ascii="Garamond" w:hAnsi="Garamond" w:cs="Arial"/>
                <w:sz w:val="24"/>
                <w:szCs w:val="24"/>
              </w:rPr>
            </w:pPr>
            <w:r w:rsidRPr="00E75964">
              <w:rPr>
                <w:rFonts w:ascii="Garamond" w:hAnsi="Garamond" w:cs="Arial"/>
                <w:sz w:val="24"/>
                <w:szCs w:val="24"/>
              </w:rPr>
              <w:t>394</w:t>
            </w:r>
          </w:p>
        </w:tc>
        <w:tc>
          <w:tcPr>
            <w:tcW w:w="1230" w:type="dxa"/>
            <w:gridSpan w:val="2"/>
          </w:tcPr>
          <w:p w14:paraId="0319D199" w14:textId="0364080E" w:rsidR="00184188" w:rsidRPr="00E75964" w:rsidRDefault="00983BAF" w:rsidP="00184188">
            <w:pPr>
              <w:spacing w:after="200"/>
              <w:contextualSpacing/>
              <w:jc w:val="center"/>
              <w:rPr>
                <w:rFonts w:ascii="Garamond" w:hAnsi="Garamond" w:cs="Arial"/>
                <w:sz w:val="24"/>
                <w:szCs w:val="24"/>
              </w:rPr>
            </w:pPr>
            <w:r w:rsidRPr="00E75964">
              <w:rPr>
                <w:rFonts w:ascii="Garamond" w:hAnsi="Garamond" w:cs="Arial"/>
                <w:sz w:val="24"/>
                <w:szCs w:val="24"/>
              </w:rPr>
              <w:t>405</w:t>
            </w:r>
          </w:p>
        </w:tc>
        <w:tc>
          <w:tcPr>
            <w:tcW w:w="1283" w:type="dxa"/>
          </w:tcPr>
          <w:p w14:paraId="108A9016" w14:textId="13D05C98" w:rsidR="00184188" w:rsidRPr="00E75964" w:rsidRDefault="00983BAF" w:rsidP="00184188">
            <w:pPr>
              <w:spacing w:after="200"/>
              <w:contextualSpacing/>
              <w:jc w:val="center"/>
              <w:rPr>
                <w:rFonts w:ascii="Garamond" w:hAnsi="Garamond" w:cs="Arial"/>
                <w:sz w:val="24"/>
                <w:szCs w:val="24"/>
              </w:rPr>
            </w:pPr>
            <w:r w:rsidRPr="00E75964">
              <w:rPr>
                <w:rFonts w:ascii="Garamond" w:hAnsi="Garamond" w:cs="Arial"/>
                <w:sz w:val="24"/>
                <w:szCs w:val="24"/>
              </w:rPr>
              <w:t>267</w:t>
            </w:r>
          </w:p>
        </w:tc>
        <w:tc>
          <w:tcPr>
            <w:tcW w:w="2046" w:type="dxa"/>
          </w:tcPr>
          <w:p w14:paraId="2EC643A2" w14:textId="5C9D3C3E"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w:t>
            </w:r>
            <w:r w:rsidR="00983BAF" w:rsidRPr="00E75964">
              <w:rPr>
                <w:rFonts w:ascii="Garamond" w:hAnsi="Garamond" w:cs="Arial"/>
                <w:sz w:val="24"/>
                <w:szCs w:val="24"/>
              </w:rPr>
              <w:t>9</w:t>
            </w:r>
            <w:r w:rsidRPr="00E75964">
              <w:rPr>
                <w:rFonts w:ascii="Garamond" w:hAnsi="Garamond" w:cs="Arial"/>
                <w:sz w:val="24"/>
                <w:szCs w:val="24"/>
              </w:rPr>
              <w:t>.</w:t>
            </w:r>
            <w:r w:rsidR="00983BAF" w:rsidRPr="00E75964">
              <w:rPr>
                <w:rFonts w:ascii="Garamond" w:hAnsi="Garamond" w:cs="Arial"/>
                <w:sz w:val="24"/>
                <w:szCs w:val="24"/>
              </w:rPr>
              <w:t>66</w:t>
            </w:r>
            <w:r w:rsidRPr="00E75964">
              <w:rPr>
                <w:rFonts w:ascii="Garamond" w:hAnsi="Garamond" w:cs="Arial"/>
                <w:sz w:val="24"/>
                <w:szCs w:val="24"/>
              </w:rPr>
              <w:t>]</w:t>
            </w:r>
          </w:p>
        </w:tc>
      </w:tr>
      <w:tr w:rsidR="00184188" w:rsidRPr="00E75964" w14:paraId="1609C317" w14:textId="77777777" w:rsidTr="00CD4F2E">
        <w:trPr>
          <w:trHeight w:hRule="exact" w:val="284"/>
        </w:trPr>
        <w:tc>
          <w:tcPr>
            <w:tcW w:w="1069" w:type="dxa"/>
          </w:tcPr>
          <w:p w14:paraId="0EB9A7AB" w14:textId="77777777" w:rsidR="00184188" w:rsidRPr="00E75964" w:rsidRDefault="00184188" w:rsidP="00184188">
            <w:pPr>
              <w:spacing w:after="200"/>
              <w:contextualSpacing/>
              <w:jc w:val="both"/>
              <w:rPr>
                <w:rFonts w:ascii="Garamond" w:hAnsi="Garamond" w:cs="Arial"/>
                <w:b/>
                <w:sz w:val="24"/>
                <w:szCs w:val="24"/>
              </w:rPr>
            </w:pPr>
          </w:p>
        </w:tc>
        <w:tc>
          <w:tcPr>
            <w:tcW w:w="1419" w:type="dxa"/>
          </w:tcPr>
          <w:p w14:paraId="03620558"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Proportion</w:t>
            </w:r>
          </w:p>
        </w:tc>
        <w:tc>
          <w:tcPr>
            <w:tcW w:w="1229" w:type="dxa"/>
          </w:tcPr>
          <w:p w14:paraId="6273B99D" w14:textId="48AA578E"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56.8</w:t>
            </w:r>
            <w:r w:rsidR="00983BAF" w:rsidRPr="00E75964">
              <w:rPr>
                <w:rFonts w:ascii="Garamond" w:hAnsi="Garamond" w:cs="Arial"/>
                <w:sz w:val="24"/>
                <w:szCs w:val="24"/>
              </w:rPr>
              <w:t>4</w:t>
            </w:r>
          </w:p>
        </w:tc>
        <w:tc>
          <w:tcPr>
            <w:tcW w:w="1282" w:type="dxa"/>
            <w:gridSpan w:val="2"/>
          </w:tcPr>
          <w:p w14:paraId="0CA4A22A" w14:textId="371B2E8E" w:rsidR="00184188" w:rsidRPr="00E75964" w:rsidRDefault="00983BAF" w:rsidP="00184188">
            <w:pPr>
              <w:spacing w:after="200"/>
              <w:contextualSpacing/>
              <w:jc w:val="center"/>
              <w:rPr>
                <w:rFonts w:ascii="Garamond" w:hAnsi="Garamond" w:cs="Arial"/>
                <w:sz w:val="24"/>
                <w:szCs w:val="24"/>
              </w:rPr>
            </w:pPr>
            <w:r w:rsidRPr="00E75964">
              <w:rPr>
                <w:rFonts w:ascii="Garamond" w:hAnsi="Garamond" w:cs="Arial"/>
                <w:sz w:val="24"/>
                <w:szCs w:val="24"/>
              </w:rPr>
              <w:t>43.16</w:t>
            </w:r>
          </w:p>
        </w:tc>
        <w:tc>
          <w:tcPr>
            <w:tcW w:w="1230" w:type="dxa"/>
            <w:gridSpan w:val="2"/>
          </w:tcPr>
          <w:p w14:paraId="22EDEED7" w14:textId="3DDD3CEE"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5</w:t>
            </w:r>
            <w:r w:rsidR="00983BAF" w:rsidRPr="00E75964">
              <w:rPr>
                <w:rFonts w:ascii="Garamond" w:hAnsi="Garamond" w:cs="Arial"/>
                <w:sz w:val="24"/>
                <w:szCs w:val="24"/>
              </w:rPr>
              <w:t>7</w:t>
            </w:r>
            <w:r w:rsidRPr="00E75964">
              <w:rPr>
                <w:rFonts w:ascii="Garamond" w:hAnsi="Garamond" w:cs="Arial"/>
                <w:sz w:val="24"/>
                <w:szCs w:val="24"/>
              </w:rPr>
              <w:t>.</w:t>
            </w:r>
            <w:r w:rsidR="00983BAF" w:rsidRPr="00E75964">
              <w:rPr>
                <w:rFonts w:ascii="Garamond" w:hAnsi="Garamond" w:cs="Arial"/>
                <w:sz w:val="24"/>
                <w:szCs w:val="24"/>
              </w:rPr>
              <w:t>43</w:t>
            </w:r>
          </w:p>
        </w:tc>
        <w:tc>
          <w:tcPr>
            <w:tcW w:w="1283" w:type="dxa"/>
          </w:tcPr>
          <w:p w14:paraId="1CF06FD2" w14:textId="6525ACDE" w:rsidR="00184188" w:rsidRPr="00E75964" w:rsidRDefault="00983BAF" w:rsidP="00184188">
            <w:pPr>
              <w:spacing w:after="200"/>
              <w:contextualSpacing/>
              <w:jc w:val="center"/>
              <w:rPr>
                <w:rFonts w:ascii="Garamond" w:hAnsi="Garamond" w:cs="Arial"/>
                <w:sz w:val="24"/>
                <w:szCs w:val="24"/>
              </w:rPr>
            </w:pPr>
            <w:r w:rsidRPr="00E75964">
              <w:rPr>
                <w:rFonts w:ascii="Garamond" w:hAnsi="Garamond" w:cs="Arial"/>
                <w:sz w:val="24"/>
                <w:szCs w:val="24"/>
              </w:rPr>
              <w:t>44</w:t>
            </w:r>
            <w:r w:rsidR="00184188" w:rsidRPr="00E75964">
              <w:rPr>
                <w:rFonts w:ascii="Garamond" w:hAnsi="Garamond" w:cs="Arial"/>
                <w:sz w:val="24"/>
                <w:szCs w:val="24"/>
              </w:rPr>
              <w:t>.</w:t>
            </w:r>
            <w:r w:rsidRPr="00E75964">
              <w:rPr>
                <w:rFonts w:ascii="Garamond" w:hAnsi="Garamond" w:cs="Arial"/>
                <w:sz w:val="24"/>
                <w:szCs w:val="24"/>
              </w:rPr>
              <w:t>64</w:t>
            </w:r>
          </w:p>
        </w:tc>
        <w:tc>
          <w:tcPr>
            <w:tcW w:w="2046" w:type="dxa"/>
          </w:tcPr>
          <w:p w14:paraId="4EFE8A3A" w14:textId="4C1E52E1"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(0.1</w:t>
            </w:r>
            <w:r w:rsidR="00983BAF" w:rsidRPr="00E75964">
              <w:rPr>
                <w:rFonts w:ascii="Garamond" w:hAnsi="Garamond" w:cs="Arial"/>
                <w:sz w:val="24"/>
                <w:szCs w:val="24"/>
              </w:rPr>
              <w:t>1</w:t>
            </w:r>
            <w:r w:rsidRPr="00E75964">
              <w:rPr>
                <w:rFonts w:ascii="Garamond" w:hAnsi="Garamond" w:cs="Arial"/>
                <w:sz w:val="24"/>
                <w:szCs w:val="24"/>
              </w:rPr>
              <w:t>)</w:t>
            </w:r>
          </w:p>
        </w:tc>
      </w:tr>
      <w:tr w:rsidR="00184188" w:rsidRPr="00E75964" w14:paraId="736FCF1E" w14:textId="77777777" w:rsidTr="00CD4F2E">
        <w:trPr>
          <w:trHeight w:hRule="exact" w:val="284"/>
        </w:trPr>
        <w:tc>
          <w:tcPr>
            <w:tcW w:w="1069" w:type="dxa"/>
          </w:tcPr>
          <w:p w14:paraId="0F8E120A" w14:textId="77777777" w:rsidR="00184188" w:rsidRPr="00E75964" w:rsidRDefault="00184188" w:rsidP="00184188">
            <w:pPr>
              <w:spacing w:after="200"/>
              <w:contextualSpacing/>
              <w:jc w:val="both"/>
              <w:rPr>
                <w:rFonts w:ascii="Garamond" w:hAnsi="Garamond" w:cs="Arial"/>
                <w:b/>
                <w:sz w:val="24"/>
                <w:szCs w:val="24"/>
              </w:rPr>
            </w:pPr>
          </w:p>
        </w:tc>
        <w:tc>
          <w:tcPr>
            <w:tcW w:w="1419" w:type="dxa"/>
          </w:tcPr>
          <w:p w14:paraId="5856C473"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z-statistic</w:t>
            </w:r>
          </w:p>
        </w:tc>
        <w:tc>
          <w:tcPr>
            <w:tcW w:w="1229" w:type="dxa"/>
          </w:tcPr>
          <w:p w14:paraId="13BB602C" w14:textId="77777777" w:rsidR="00184188" w:rsidRPr="00E75964" w:rsidRDefault="00184188" w:rsidP="00184188">
            <w:pPr>
              <w:spacing w:after="200"/>
              <w:contextualSpacing/>
              <w:jc w:val="center"/>
              <w:rPr>
                <w:rFonts w:ascii="Garamond" w:hAnsi="Garamond" w:cs="Arial"/>
                <w:sz w:val="24"/>
                <w:szCs w:val="24"/>
              </w:rPr>
            </w:pPr>
          </w:p>
        </w:tc>
        <w:tc>
          <w:tcPr>
            <w:tcW w:w="1282" w:type="dxa"/>
            <w:gridSpan w:val="2"/>
          </w:tcPr>
          <w:p w14:paraId="16653D25" w14:textId="77777777" w:rsidR="00184188" w:rsidRPr="00E75964" w:rsidRDefault="00184188" w:rsidP="00184188">
            <w:pPr>
              <w:spacing w:after="200"/>
              <w:contextualSpacing/>
              <w:jc w:val="center"/>
              <w:rPr>
                <w:rFonts w:ascii="Garamond" w:hAnsi="Garamond" w:cs="Arial"/>
                <w:sz w:val="24"/>
                <w:szCs w:val="24"/>
              </w:rPr>
            </w:pPr>
          </w:p>
        </w:tc>
        <w:tc>
          <w:tcPr>
            <w:tcW w:w="1230" w:type="dxa"/>
            <w:gridSpan w:val="2"/>
          </w:tcPr>
          <w:p w14:paraId="44E78105" w14:textId="437320DA"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0.</w:t>
            </w:r>
            <w:r w:rsidR="00983BAF" w:rsidRPr="00E75964">
              <w:rPr>
                <w:rFonts w:ascii="Garamond" w:hAnsi="Garamond" w:cs="Arial"/>
                <w:sz w:val="24"/>
                <w:szCs w:val="24"/>
              </w:rPr>
              <w:t>89</w:t>
            </w:r>
          </w:p>
        </w:tc>
        <w:tc>
          <w:tcPr>
            <w:tcW w:w="1283" w:type="dxa"/>
          </w:tcPr>
          <w:p w14:paraId="004D68B9" w14:textId="324448FB"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1.</w:t>
            </w:r>
            <w:r w:rsidR="00983BAF" w:rsidRPr="00E75964">
              <w:rPr>
                <w:rFonts w:ascii="Garamond" w:hAnsi="Garamond" w:cs="Arial"/>
                <w:sz w:val="24"/>
                <w:szCs w:val="24"/>
              </w:rPr>
              <w:t>05</w:t>
            </w:r>
          </w:p>
        </w:tc>
        <w:tc>
          <w:tcPr>
            <w:tcW w:w="2046" w:type="dxa"/>
          </w:tcPr>
          <w:p w14:paraId="34B734C2" w14:textId="77777777" w:rsidR="00184188" w:rsidRPr="00E75964" w:rsidRDefault="00184188" w:rsidP="00184188">
            <w:pPr>
              <w:spacing w:after="200"/>
              <w:contextualSpacing/>
              <w:jc w:val="center"/>
              <w:rPr>
                <w:rFonts w:ascii="Garamond" w:hAnsi="Garamond" w:cs="Arial"/>
                <w:sz w:val="24"/>
                <w:szCs w:val="24"/>
              </w:rPr>
            </w:pPr>
          </w:p>
        </w:tc>
      </w:tr>
      <w:tr w:rsidR="00184188" w:rsidRPr="00E75964" w14:paraId="59B34459" w14:textId="77777777" w:rsidTr="00CD4F2E">
        <w:trPr>
          <w:trHeight w:hRule="exact" w:val="284"/>
        </w:trPr>
        <w:tc>
          <w:tcPr>
            <w:tcW w:w="1069" w:type="dxa"/>
          </w:tcPr>
          <w:p w14:paraId="2369958E" w14:textId="77777777" w:rsidR="00184188" w:rsidRPr="00E75964" w:rsidRDefault="00184188" w:rsidP="00184188">
            <w:pPr>
              <w:spacing w:after="200"/>
              <w:contextualSpacing/>
              <w:jc w:val="both"/>
              <w:rPr>
                <w:rFonts w:ascii="Garamond" w:hAnsi="Garamond" w:cs="Arial"/>
                <w:b/>
                <w:sz w:val="24"/>
                <w:szCs w:val="24"/>
              </w:rPr>
            </w:pPr>
            <w:r w:rsidRPr="00E75964">
              <w:rPr>
                <w:rFonts w:ascii="Garamond" w:hAnsi="Garamond" w:cs="Arial"/>
                <w:b/>
                <w:sz w:val="24"/>
                <w:szCs w:val="24"/>
              </w:rPr>
              <w:t>Largest</w:t>
            </w:r>
          </w:p>
        </w:tc>
        <w:tc>
          <w:tcPr>
            <w:tcW w:w="1419" w:type="dxa"/>
          </w:tcPr>
          <w:p w14:paraId="249B328B"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Obs.</w:t>
            </w:r>
          </w:p>
        </w:tc>
        <w:tc>
          <w:tcPr>
            <w:tcW w:w="1229" w:type="dxa"/>
          </w:tcPr>
          <w:p w14:paraId="70EEBCAF" w14:textId="637BE721"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4</w:t>
            </w:r>
            <w:r w:rsidR="00983BAF" w:rsidRPr="00E75964">
              <w:rPr>
                <w:rFonts w:ascii="Garamond" w:hAnsi="Garamond" w:cs="Arial"/>
                <w:sz w:val="24"/>
                <w:szCs w:val="24"/>
              </w:rPr>
              <w:t>84</w:t>
            </w:r>
          </w:p>
        </w:tc>
        <w:tc>
          <w:tcPr>
            <w:tcW w:w="1282" w:type="dxa"/>
            <w:gridSpan w:val="2"/>
          </w:tcPr>
          <w:p w14:paraId="11C97CA3" w14:textId="5E9F694D" w:rsidR="00184188" w:rsidRPr="00E75964" w:rsidRDefault="00983BAF" w:rsidP="00184188">
            <w:pPr>
              <w:spacing w:after="200"/>
              <w:contextualSpacing/>
              <w:jc w:val="center"/>
              <w:rPr>
                <w:rFonts w:ascii="Garamond" w:hAnsi="Garamond" w:cs="Arial"/>
                <w:sz w:val="24"/>
                <w:szCs w:val="24"/>
              </w:rPr>
            </w:pPr>
            <w:r w:rsidRPr="00E75964">
              <w:rPr>
                <w:rFonts w:ascii="Garamond" w:hAnsi="Garamond" w:cs="Arial"/>
                <w:sz w:val="24"/>
                <w:szCs w:val="24"/>
              </w:rPr>
              <w:t>429</w:t>
            </w:r>
          </w:p>
        </w:tc>
        <w:tc>
          <w:tcPr>
            <w:tcW w:w="1230" w:type="dxa"/>
            <w:gridSpan w:val="2"/>
          </w:tcPr>
          <w:p w14:paraId="79BF44D0" w14:textId="6DA7AB09" w:rsidR="00184188" w:rsidRPr="00E75964" w:rsidRDefault="00983BAF" w:rsidP="00184188">
            <w:pPr>
              <w:spacing w:after="200"/>
              <w:contextualSpacing/>
              <w:jc w:val="center"/>
              <w:rPr>
                <w:rFonts w:ascii="Garamond" w:hAnsi="Garamond" w:cs="Arial"/>
                <w:sz w:val="24"/>
                <w:szCs w:val="24"/>
              </w:rPr>
            </w:pPr>
            <w:r w:rsidRPr="00E75964">
              <w:rPr>
                <w:rFonts w:ascii="Garamond" w:hAnsi="Garamond" w:cs="Arial"/>
                <w:sz w:val="24"/>
                <w:szCs w:val="24"/>
              </w:rPr>
              <w:t>301</w:t>
            </w:r>
          </w:p>
        </w:tc>
        <w:tc>
          <w:tcPr>
            <w:tcW w:w="1283" w:type="dxa"/>
          </w:tcPr>
          <w:p w14:paraId="39BFEA55" w14:textId="01BB787F" w:rsidR="00184188" w:rsidRPr="00E75964" w:rsidRDefault="00983BAF" w:rsidP="00184188">
            <w:pPr>
              <w:spacing w:after="200"/>
              <w:contextualSpacing/>
              <w:jc w:val="center"/>
              <w:rPr>
                <w:rFonts w:ascii="Garamond" w:hAnsi="Garamond" w:cs="Arial"/>
                <w:sz w:val="24"/>
                <w:szCs w:val="24"/>
              </w:rPr>
            </w:pPr>
            <w:r w:rsidRPr="00E75964">
              <w:rPr>
                <w:rFonts w:ascii="Garamond" w:hAnsi="Garamond" w:cs="Arial"/>
                <w:sz w:val="24"/>
                <w:szCs w:val="24"/>
              </w:rPr>
              <w:t>248</w:t>
            </w:r>
          </w:p>
        </w:tc>
        <w:tc>
          <w:tcPr>
            <w:tcW w:w="2046" w:type="dxa"/>
          </w:tcPr>
          <w:p w14:paraId="128D81A5" w14:textId="4511F082"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[4.</w:t>
            </w:r>
            <w:r w:rsidR="00983BAF" w:rsidRPr="00E75964">
              <w:rPr>
                <w:rFonts w:ascii="Garamond" w:hAnsi="Garamond" w:cs="Arial"/>
                <w:sz w:val="24"/>
                <w:szCs w:val="24"/>
              </w:rPr>
              <w:t>06</w:t>
            </w:r>
            <w:r w:rsidRPr="00E75964">
              <w:rPr>
                <w:rFonts w:ascii="Garamond" w:hAnsi="Garamond" w:cs="Arial"/>
                <w:sz w:val="24"/>
                <w:szCs w:val="24"/>
              </w:rPr>
              <w:t>]</w:t>
            </w:r>
          </w:p>
        </w:tc>
      </w:tr>
      <w:tr w:rsidR="00184188" w:rsidRPr="00E75964" w14:paraId="32442E64" w14:textId="77777777" w:rsidTr="00CD4F2E">
        <w:trPr>
          <w:trHeight w:hRule="exact" w:val="284"/>
        </w:trPr>
        <w:tc>
          <w:tcPr>
            <w:tcW w:w="1069" w:type="dxa"/>
          </w:tcPr>
          <w:p w14:paraId="4D51E705" w14:textId="77777777" w:rsidR="00184188" w:rsidRPr="00E75964" w:rsidRDefault="00184188" w:rsidP="00184188">
            <w:pPr>
              <w:spacing w:after="200"/>
              <w:contextualSpacing/>
              <w:jc w:val="both"/>
              <w:rPr>
                <w:rFonts w:ascii="Garamond" w:hAnsi="Garamond" w:cs="Arial"/>
                <w:b/>
                <w:sz w:val="24"/>
                <w:szCs w:val="24"/>
              </w:rPr>
            </w:pPr>
            <w:r w:rsidRPr="00E75964">
              <w:rPr>
                <w:rFonts w:ascii="Garamond" w:hAnsi="Garamond" w:cs="Arial"/>
                <w:b/>
                <w:sz w:val="24"/>
                <w:szCs w:val="24"/>
              </w:rPr>
              <w:t>10</w:t>
            </w:r>
          </w:p>
        </w:tc>
        <w:tc>
          <w:tcPr>
            <w:tcW w:w="1419" w:type="dxa"/>
          </w:tcPr>
          <w:p w14:paraId="5A1878BE"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Proportion</w:t>
            </w:r>
          </w:p>
        </w:tc>
        <w:tc>
          <w:tcPr>
            <w:tcW w:w="1229" w:type="dxa"/>
          </w:tcPr>
          <w:p w14:paraId="77DCE743" w14:textId="1D400263"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5</w:t>
            </w:r>
            <w:r w:rsidR="00983BAF" w:rsidRPr="00E75964">
              <w:rPr>
                <w:rFonts w:ascii="Garamond" w:hAnsi="Garamond" w:cs="Arial"/>
                <w:sz w:val="24"/>
                <w:szCs w:val="24"/>
              </w:rPr>
              <w:t>3</w:t>
            </w:r>
            <w:r w:rsidRPr="00E75964">
              <w:rPr>
                <w:rFonts w:ascii="Garamond" w:hAnsi="Garamond" w:cs="Arial"/>
                <w:sz w:val="24"/>
                <w:szCs w:val="24"/>
              </w:rPr>
              <w:t>.0</w:t>
            </w:r>
            <w:r w:rsidR="00983BAF" w:rsidRPr="00E75964">
              <w:rPr>
                <w:rFonts w:ascii="Garamond" w:hAnsi="Garamond" w:cs="Arial"/>
                <w:sz w:val="24"/>
                <w:szCs w:val="24"/>
              </w:rPr>
              <w:t>1</w:t>
            </w:r>
          </w:p>
        </w:tc>
        <w:tc>
          <w:tcPr>
            <w:tcW w:w="1282" w:type="dxa"/>
            <w:gridSpan w:val="2"/>
          </w:tcPr>
          <w:p w14:paraId="70A0F829" w14:textId="6232A001"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4</w:t>
            </w:r>
            <w:r w:rsidR="00983BAF" w:rsidRPr="00E75964">
              <w:rPr>
                <w:rFonts w:ascii="Garamond" w:hAnsi="Garamond" w:cs="Arial"/>
                <w:sz w:val="24"/>
                <w:szCs w:val="24"/>
              </w:rPr>
              <w:t>6</w:t>
            </w:r>
            <w:r w:rsidRPr="00E75964">
              <w:rPr>
                <w:rFonts w:ascii="Garamond" w:hAnsi="Garamond" w:cs="Arial"/>
                <w:sz w:val="24"/>
                <w:szCs w:val="24"/>
              </w:rPr>
              <w:t>.9</w:t>
            </w:r>
            <w:r w:rsidR="00983BAF" w:rsidRPr="00E75964">
              <w:rPr>
                <w:rFonts w:ascii="Garamond" w:hAnsi="Garamond" w:cs="Arial"/>
                <w:sz w:val="24"/>
                <w:szCs w:val="24"/>
              </w:rPr>
              <w:t>9</w:t>
            </w:r>
          </w:p>
        </w:tc>
        <w:tc>
          <w:tcPr>
            <w:tcW w:w="1230" w:type="dxa"/>
            <w:gridSpan w:val="2"/>
          </w:tcPr>
          <w:p w14:paraId="6A5D42CA" w14:textId="2816E3D8" w:rsidR="00184188" w:rsidRPr="00E75964" w:rsidRDefault="00983BAF" w:rsidP="00184188">
            <w:pPr>
              <w:spacing w:after="200"/>
              <w:contextualSpacing/>
              <w:jc w:val="center"/>
              <w:rPr>
                <w:rFonts w:ascii="Garamond" w:hAnsi="Garamond" w:cs="Arial"/>
                <w:sz w:val="24"/>
                <w:szCs w:val="24"/>
              </w:rPr>
            </w:pPr>
            <w:r w:rsidRPr="00E75964">
              <w:rPr>
                <w:rFonts w:ascii="Garamond" w:hAnsi="Garamond" w:cs="Arial"/>
                <w:sz w:val="24"/>
                <w:szCs w:val="24"/>
              </w:rPr>
              <w:t>48.12</w:t>
            </w:r>
          </w:p>
        </w:tc>
        <w:tc>
          <w:tcPr>
            <w:tcW w:w="1283" w:type="dxa"/>
          </w:tcPr>
          <w:p w14:paraId="16D83001" w14:textId="1A986599"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4</w:t>
            </w:r>
            <w:r w:rsidR="00983BAF" w:rsidRPr="00E75964">
              <w:rPr>
                <w:rFonts w:ascii="Garamond" w:hAnsi="Garamond" w:cs="Arial"/>
                <w:sz w:val="24"/>
                <w:szCs w:val="24"/>
              </w:rPr>
              <w:t>2</w:t>
            </w:r>
            <w:r w:rsidRPr="00E75964">
              <w:rPr>
                <w:rFonts w:ascii="Garamond" w:hAnsi="Garamond" w:cs="Arial"/>
                <w:sz w:val="24"/>
                <w:szCs w:val="24"/>
              </w:rPr>
              <w:t>.</w:t>
            </w:r>
            <w:r w:rsidR="00983BAF" w:rsidRPr="00E75964">
              <w:rPr>
                <w:rFonts w:ascii="Garamond" w:hAnsi="Garamond" w:cs="Arial"/>
                <w:sz w:val="24"/>
                <w:szCs w:val="24"/>
              </w:rPr>
              <w:t>58</w:t>
            </w:r>
          </w:p>
        </w:tc>
        <w:tc>
          <w:tcPr>
            <w:tcW w:w="2046" w:type="dxa"/>
          </w:tcPr>
          <w:p w14:paraId="7EB64A0F" w14:textId="77777777"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(0.05)</w:t>
            </w:r>
          </w:p>
        </w:tc>
      </w:tr>
      <w:tr w:rsidR="00184188" w:rsidRPr="00E75964" w14:paraId="6C181D01" w14:textId="77777777" w:rsidTr="00CD4F2E">
        <w:trPr>
          <w:trHeight w:hRule="exact" w:val="284"/>
        </w:trPr>
        <w:tc>
          <w:tcPr>
            <w:tcW w:w="1069" w:type="dxa"/>
            <w:tcBorders>
              <w:bottom w:val="single" w:sz="4" w:space="0" w:color="auto"/>
            </w:tcBorders>
          </w:tcPr>
          <w:p w14:paraId="7CB47F6D" w14:textId="77777777" w:rsidR="00184188" w:rsidRPr="00E75964" w:rsidRDefault="00184188" w:rsidP="00184188">
            <w:pPr>
              <w:spacing w:after="200"/>
              <w:contextualSpacing/>
              <w:jc w:val="both"/>
              <w:rPr>
                <w:rFonts w:ascii="Garamond" w:hAnsi="Garamond" w:cs="Arial"/>
                <w:b/>
                <w:sz w:val="24"/>
                <w:szCs w:val="24"/>
              </w:rPr>
            </w:pPr>
          </w:p>
        </w:tc>
        <w:tc>
          <w:tcPr>
            <w:tcW w:w="1419" w:type="dxa"/>
            <w:tcBorders>
              <w:bottom w:val="single" w:sz="4" w:space="0" w:color="auto"/>
            </w:tcBorders>
          </w:tcPr>
          <w:p w14:paraId="33897548" w14:textId="77777777" w:rsidR="00184188" w:rsidRPr="00E75964" w:rsidRDefault="00184188" w:rsidP="00184188">
            <w:pPr>
              <w:spacing w:after="200"/>
              <w:contextualSpacing/>
              <w:jc w:val="both"/>
              <w:rPr>
                <w:rFonts w:ascii="Garamond" w:hAnsi="Garamond" w:cs="Arial"/>
                <w:sz w:val="24"/>
                <w:szCs w:val="24"/>
              </w:rPr>
            </w:pPr>
            <w:r w:rsidRPr="00E75964">
              <w:rPr>
                <w:rFonts w:ascii="Garamond" w:hAnsi="Garamond" w:cs="Arial"/>
                <w:sz w:val="24"/>
                <w:szCs w:val="24"/>
              </w:rPr>
              <w:t>z-statistic</w:t>
            </w:r>
          </w:p>
        </w:tc>
        <w:tc>
          <w:tcPr>
            <w:tcW w:w="1229" w:type="dxa"/>
            <w:tcBorders>
              <w:bottom w:val="single" w:sz="4" w:space="0" w:color="auto"/>
            </w:tcBorders>
          </w:tcPr>
          <w:p w14:paraId="3B650839" w14:textId="77777777" w:rsidR="00184188" w:rsidRPr="00E75964" w:rsidRDefault="00184188" w:rsidP="00184188">
            <w:pPr>
              <w:spacing w:after="200"/>
              <w:contextualSpacing/>
              <w:jc w:val="center"/>
              <w:rPr>
                <w:rFonts w:ascii="Garamond" w:hAnsi="Garamond" w:cs="Arial"/>
                <w:sz w:val="24"/>
                <w:szCs w:val="24"/>
              </w:rPr>
            </w:pPr>
          </w:p>
        </w:tc>
        <w:tc>
          <w:tcPr>
            <w:tcW w:w="1282" w:type="dxa"/>
            <w:gridSpan w:val="2"/>
            <w:tcBorders>
              <w:bottom w:val="single" w:sz="4" w:space="0" w:color="auto"/>
            </w:tcBorders>
          </w:tcPr>
          <w:p w14:paraId="2DF94DF9" w14:textId="77777777" w:rsidR="00184188" w:rsidRPr="00E75964" w:rsidRDefault="00184188" w:rsidP="00184188">
            <w:pPr>
              <w:spacing w:after="200"/>
              <w:contextualSpacing/>
              <w:jc w:val="center"/>
              <w:rPr>
                <w:rFonts w:ascii="Garamond" w:hAnsi="Garamond" w:cs="Arial"/>
                <w:sz w:val="24"/>
                <w:szCs w:val="24"/>
              </w:rPr>
            </w:pPr>
          </w:p>
        </w:tc>
        <w:tc>
          <w:tcPr>
            <w:tcW w:w="1230" w:type="dxa"/>
            <w:gridSpan w:val="2"/>
            <w:tcBorders>
              <w:bottom w:val="single" w:sz="4" w:space="0" w:color="auto"/>
            </w:tcBorders>
          </w:tcPr>
          <w:p w14:paraId="50310613" w14:textId="0D3C80FF"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1.8</w:t>
            </w:r>
            <w:r w:rsidR="00983BAF" w:rsidRPr="00E75964">
              <w:rPr>
                <w:rFonts w:ascii="Garamond" w:hAnsi="Garamond" w:cs="Arial"/>
                <w:sz w:val="24"/>
                <w:szCs w:val="24"/>
              </w:rPr>
              <w:t>3</w:t>
            </w:r>
            <w:r w:rsidRPr="00E75964">
              <w:rPr>
                <w:rFonts w:ascii="Garamond" w:hAnsi="Garamond" w:cs="Arial"/>
                <w:sz w:val="24"/>
                <w:szCs w:val="24"/>
              </w:rPr>
              <w:t>*</w:t>
            </w:r>
          </w:p>
        </w:tc>
        <w:tc>
          <w:tcPr>
            <w:tcW w:w="1283" w:type="dxa"/>
            <w:tcBorders>
              <w:bottom w:val="single" w:sz="4" w:space="0" w:color="auto"/>
            </w:tcBorders>
          </w:tcPr>
          <w:p w14:paraId="03C2DEB9" w14:textId="02F33A89" w:rsidR="00184188" w:rsidRPr="00E75964" w:rsidRDefault="00184188" w:rsidP="00184188">
            <w:pPr>
              <w:spacing w:after="200"/>
              <w:contextualSpacing/>
              <w:jc w:val="center"/>
              <w:rPr>
                <w:rFonts w:ascii="Garamond" w:hAnsi="Garamond" w:cs="Arial"/>
                <w:sz w:val="24"/>
                <w:szCs w:val="24"/>
              </w:rPr>
            </w:pPr>
            <w:r w:rsidRPr="00E75964">
              <w:rPr>
                <w:rFonts w:ascii="Garamond" w:hAnsi="Garamond" w:cs="Arial"/>
                <w:sz w:val="24"/>
                <w:szCs w:val="24"/>
              </w:rPr>
              <w:t>0.8</w:t>
            </w:r>
            <w:r w:rsidR="00983BAF" w:rsidRPr="00E75964">
              <w:rPr>
                <w:rFonts w:ascii="Garamond" w:hAnsi="Garamond" w:cs="Arial"/>
                <w:sz w:val="24"/>
                <w:szCs w:val="24"/>
              </w:rPr>
              <w:t>0</w:t>
            </w:r>
          </w:p>
        </w:tc>
        <w:tc>
          <w:tcPr>
            <w:tcW w:w="2046" w:type="dxa"/>
            <w:tcBorders>
              <w:bottom w:val="single" w:sz="4" w:space="0" w:color="auto"/>
            </w:tcBorders>
          </w:tcPr>
          <w:p w14:paraId="65E70E2F" w14:textId="77777777" w:rsidR="00184188" w:rsidRPr="00E75964" w:rsidRDefault="00184188" w:rsidP="00184188">
            <w:pPr>
              <w:spacing w:after="200"/>
              <w:contextualSpacing/>
              <w:jc w:val="center"/>
              <w:rPr>
                <w:rFonts w:ascii="Garamond" w:hAnsi="Garamond" w:cs="Arial"/>
                <w:sz w:val="24"/>
                <w:szCs w:val="24"/>
              </w:rPr>
            </w:pPr>
          </w:p>
        </w:tc>
      </w:tr>
    </w:tbl>
    <w:bookmarkEnd w:id="13"/>
    <w:p w14:paraId="741D99D5" w14:textId="3E3F5671" w:rsidR="003F1402" w:rsidRPr="00E75964" w:rsidRDefault="008E6BA8" w:rsidP="00FB263D">
      <w:pPr>
        <w:spacing w:line="240" w:lineRule="auto"/>
        <w:contextualSpacing/>
        <w:jc w:val="both"/>
        <w:rPr>
          <w:rFonts w:ascii="Garamond" w:hAnsi="Garamond" w:cs="Arial"/>
        </w:rPr>
      </w:pPr>
      <w:r>
        <w:rPr>
          <w:rFonts w:ascii="Garamond" w:hAnsi="Garamond" w:cs="Arial"/>
        </w:rPr>
        <w:t xml:space="preserve">Note: </w:t>
      </w:r>
      <w:r w:rsidRPr="00E75964">
        <w:rPr>
          <w:rFonts w:ascii="Garamond" w:hAnsi="Garamond" w:cs="Arial"/>
        </w:rPr>
        <w:t>***, ** and * indicate significance at the 1%, 5% and 10% levels respectively.</w:t>
      </w:r>
      <w:r>
        <w:rPr>
          <w:rFonts w:ascii="Garamond" w:hAnsi="Garamond" w:cs="Arial"/>
        </w:rPr>
        <w:t xml:space="preserve"> </w:t>
      </w:r>
      <w:r w:rsidR="00CE65B6" w:rsidRPr="00E75964">
        <w:rPr>
          <w:rFonts w:ascii="Garamond" w:hAnsi="Garamond" w:cs="Arial"/>
        </w:rPr>
        <w:t xml:space="preserve">Unconditional and conditional independence respectively measure overall independence and association between Thursday and Sunday returns. We calculate Pearson’s </w:t>
      </w:r>
      <m:oMath>
        <m:sSup>
          <m:sSupPr>
            <m:ctrlPr>
              <w:rPr>
                <w:rFonts w:ascii="Cambria Math" w:hAnsi="Cambria Math" w:cs="Arial"/>
                <w:i/>
              </w:rPr>
            </m:ctrlPr>
          </m:sSupPr>
          <m:e>
            <m:r>
              <w:rPr>
                <w:rFonts w:ascii="Cambria Math" w:hAnsi="Cambria Math" w:cs="Arial"/>
              </w:rPr>
              <m:t>χ</m:t>
            </m:r>
          </m:e>
          <m:sup>
            <m:r>
              <w:rPr>
                <w:rFonts w:ascii="Cambria Math" w:hAnsi="Cambria Math" w:cs="Arial"/>
              </w:rPr>
              <m:t>2</m:t>
            </m:r>
          </m:sup>
        </m:sSup>
        <m:r>
          <w:rPr>
            <w:rFonts w:ascii="Cambria Math" w:hAnsi="Cambria Math" w:cs="Arial"/>
          </w:rPr>
          <m:t>=</m:t>
        </m:r>
        <m:nary>
          <m:naryPr>
            <m:chr m:val="∑"/>
            <m:limLoc m:val="undOvr"/>
            <m:supHide m:val="1"/>
            <m:ctrlPr>
              <w:rPr>
                <w:rFonts w:ascii="Cambria Math" w:hAnsi="Cambria Math" w:cs="Arial"/>
                <w:i/>
              </w:rPr>
            </m:ctrlPr>
          </m:naryPr>
          <m:sub>
            <m:r>
              <w:rPr>
                <w:rFonts w:ascii="Cambria Math" w:hAnsi="Cambria Math" w:cs="Arial"/>
              </w:rPr>
              <m:t>i,j</m:t>
            </m:r>
          </m:sub>
          <m:sup/>
          <m:e>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n</m:t>
                            </m:r>
                          </m:e>
                        </m:acc>
                      </m:e>
                      <m:sub>
                        <m:r>
                          <w:rPr>
                            <w:rFonts w:ascii="Cambria Math" w:hAnsi="Cambria Math" w:cs="Arial"/>
                          </w:rPr>
                          <m:t>i,j</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w:rPr>
                            <w:rFonts w:ascii="Cambria Math" w:hAnsi="Cambria Math" w:cs="Arial"/>
                          </w:rPr>
                          <m:t>i, j</m:t>
                        </m:r>
                      </m:sub>
                    </m:sSub>
                    <m:r>
                      <w:rPr>
                        <w:rFonts w:ascii="Cambria Math" w:hAnsi="Cambria Math" w:cs="Arial"/>
                      </w:rPr>
                      <m:t>)</m:t>
                    </m:r>
                  </m:e>
                  <m:sup>
                    <m:r>
                      <w:rPr>
                        <w:rFonts w:ascii="Cambria Math" w:hAnsi="Cambria Math" w:cs="Arial"/>
                      </w:rPr>
                      <m:t>2</m:t>
                    </m:r>
                  </m:sup>
                </m:sSup>
              </m:num>
              <m:den>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n</m:t>
                        </m:r>
                      </m:e>
                    </m:acc>
                  </m:e>
                  <m:sub>
                    <m:r>
                      <w:rPr>
                        <w:rFonts w:ascii="Cambria Math" w:hAnsi="Cambria Math" w:cs="Arial"/>
                      </w:rPr>
                      <m:t>i,j</m:t>
                    </m:r>
                  </m:sub>
                </m:sSub>
              </m:den>
            </m:f>
          </m:e>
        </m:nary>
      </m:oMath>
      <w:r w:rsidR="00CE65B6" w:rsidRPr="00E75964">
        <w:rPr>
          <w:rFonts w:ascii="Garamond" w:hAnsi="Garamond" w:cs="Arial"/>
        </w:rPr>
        <w:t xml:space="preserve"> to measure the overall independence </w:t>
      </w:r>
      <w:r w:rsidR="00306D91" w:rsidRPr="00E75964">
        <w:rPr>
          <w:rFonts w:ascii="Garamond" w:hAnsi="Garamond" w:cs="Arial"/>
        </w:rPr>
        <w:t xml:space="preserve">(where </w:t>
      </w:r>
      <m:oMath>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n</m:t>
                </m:r>
              </m:e>
            </m:acc>
          </m:e>
          <m:sub>
            <m:r>
              <w:rPr>
                <w:rFonts w:ascii="Cambria Math" w:hAnsi="Cambria Math" w:cs="Arial"/>
              </w:rPr>
              <m:t>i,j</m:t>
            </m:r>
          </m:sub>
        </m:sSub>
      </m:oMath>
      <w:r w:rsidR="00306D91" w:rsidRPr="00E75964">
        <w:rPr>
          <w:rFonts w:ascii="Garamond" w:hAnsi="Garamond" w:cs="Arial"/>
        </w:rPr>
        <w:t xml:space="preserve">and </w:t>
      </w:r>
      <m:oMath>
        <m:sSub>
          <m:sSubPr>
            <m:ctrlPr>
              <w:rPr>
                <w:rFonts w:ascii="Cambria Math" w:hAnsi="Cambria Math" w:cs="Arial"/>
                <w:i/>
              </w:rPr>
            </m:ctrlPr>
          </m:sSubPr>
          <m:e>
            <m:r>
              <w:rPr>
                <w:rFonts w:ascii="Cambria Math" w:hAnsi="Cambria Math" w:cs="Arial"/>
              </w:rPr>
              <m:t>n</m:t>
            </m:r>
          </m:e>
          <m:sub>
            <m:r>
              <w:rPr>
                <w:rFonts w:ascii="Cambria Math" w:hAnsi="Cambria Math" w:cs="Arial"/>
              </w:rPr>
              <m:t>i, j</m:t>
            </m:r>
          </m:sub>
        </m:sSub>
      </m:oMath>
      <w:r w:rsidR="00306D91" w:rsidRPr="00E75964">
        <w:rPr>
          <w:rFonts w:ascii="Garamond" w:hAnsi="Garamond" w:cs="Arial"/>
        </w:rPr>
        <w:t xml:space="preserve"> are </w:t>
      </w:r>
      <w:r w:rsidR="00AA1956" w:rsidRPr="00E75964">
        <w:rPr>
          <w:rFonts w:ascii="Garamond" w:hAnsi="Garamond" w:cs="Arial"/>
        </w:rPr>
        <w:t xml:space="preserve">the </w:t>
      </w:r>
      <w:r w:rsidR="00306D91" w:rsidRPr="00E75964">
        <w:rPr>
          <w:rFonts w:ascii="Garamond" w:hAnsi="Garamond" w:cs="Arial"/>
        </w:rPr>
        <w:t>overall and actual expected count</w:t>
      </w:r>
      <w:r w:rsidR="00AA1956" w:rsidRPr="00E75964">
        <w:rPr>
          <w:rFonts w:ascii="Garamond" w:hAnsi="Garamond" w:cs="Arial"/>
        </w:rPr>
        <w:t>s</w:t>
      </w:r>
      <w:r w:rsidR="00306D91" w:rsidRPr="00E75964">
        <w:rPr>
          <w:rFonts w:ascii="Garamond" w:hAnsi="Garamond" w:cs="Arial"/>
        </w:rPr>
        <w:t xml:space="preserve"> in each cell) an</w:t>
      </w:r>
      <w:r w:rsidR="00CE65B6" w:rsidRPr="00E75964">
        <w:rPr>
          <w:rFonts w:ascii="Garamond" w:hAnsi="Garamond" w:cs="Arial"/>
        </w:rPr>
        <w:t xml:space="preserve">d the Phi coefficient </w:t>
      </w:r>
      <m:oMath>
        <m:rad>
          <m:radPr>
            <m:degHide m:val="1"/>
            <m:ctrlPr>
              <w:rPr>
                <w:rFonts w:ascii="Cambria Math" w:hAnsi="Cambria Math" w:cs="Arial"/>
                <w:i/>
              </w:rPr>
            </m:ctrlPr>
          </m:radPr>
          <m:deg/>
          <m:e>
            <m:f>
              <m:fPr>
                <m:type m:val="lin"/>
                <m:ctrlPr>
                  <w:rPr>
                    <w:rFonts w:ascii="Cambria Math" w:hAnsi="Cambria Math" w:cs="Arial"/>
                    <w:i/>
                  </w:rPr>
                </m:ctrlPr>
              </m:fPr>
              <m:num>
                <m:sSup>
                  <m:sSupPr>
                    <m:ctrlPr>
                      <w:rPr>
                        <w:rFonts w:ascii="Cambria Math" w:hAnsi="Cambria Math" w:cs="Arial"/>
                        <w:i/>
                      </w:rPr>
                    </m:ctrlPr>
                  </m:sSupPr>
                  <m:e>
                    <m:r>
                      <w:rPr>
                        <w:rFonts w:ascii="Cambria Math" w:hAnsi="Cambria Math" w:cs="Arial"/>
                      </w:rPr>
                      <m:t>χ</m:t>
                    </m:r>
                  </m:e>
                  <m:sup>
                    <m:r>
                      <w:rPr>
                        <w:rFonts w:ascii="Cambria Math" w:hAnsi="Cambria Math" w:cs="Arial"/>
                      </w:rPr>
                      <m:t>-2</m:t>
                    </m:r>
                  </m:sup>
                </m:sSup>
              </m:num>
              <m:den>
                <m:r>
                  <w:rPr>
                    <w:rFonts w:ascii="Cambria Math" w:hAnsi="Cambria Math" w:cs="Arial"/>
                  </w:rPr>
                  <m:t>N</m:t>
                </m:r>
              </m:den>
            </m:f>
          </m:e>
        </m:rad>
      </m:oMath>
      <w:r w:rsidR="00CE65B6" w:rsidRPr="00E75964">
        <w:rPr>
          <w:rFonts w:ascii="Garamond" w:hAnsi="Garamond" w:cs="Arial"/>
        </w:rPr>
        <w:t xml:space="preserve"> to measure the association between the two returns series. The results of Pearson’s </w:t>
      </w:r>
      <m:oMath>
        <m:sSup>
          <m:sSupPr>
            <m:ctrlPr>
              <w:rPr>
                <w:rFonts w:ascii="Cambria Math" w:hAnsi="Cambria Math" w:cs="Arial"/>
                <w:i/>
              </w:rPr>
            </m:ctrlPr>
          </m:sSupPr>
          <m:e>
            <m:r>
              <w:rPr>
                <w:rFonts w:ascii="Cambria Math" w:hAnsi="Cambria Math" w:cs="Arial"/>
              </w:rPr>
              <m:t>χ</m:t>
            </m:r>
          </m:e>
          <m:sup>
            <m:r>
              <w:rPr>
                <w:rFonts w:ascii="Cambria Math" w:hAnsi="Cambria Math" w:cs="Arial"/>
              </w:rPr>
              <m:t>2</m:t>
            </m:r>
          </m:sup>
        </m:sSup>
      </m:oMath>
      <w:r w:rsidR="00CE65B6" w:rsidRPr="00E75964">
        <w:rPr>
          <w:rFonts w:ascii="Garamond" w:hAnsi="Garamond" w:cs="Arial"/>
        </w:rPr>
        <w:t xml:space="preserve"> are reported in [ ] and the Phi coefficient in ( ). The </w:t>
      </w:r>
      <w:r w:rsidR="00CE65B6" w:rsidRPr="00E75964">
        <w:rPr>
          <w:rFonts w:ascii="Garamond" w:hAnsi="Garamond" w:cs="Arial"/>
          <w:i/>
        </w:rPr>
        <w:t>z</w:t>
      </w:r>
      <w:r w:rsidR="00CE65B6" w:rsidRPr="00E75964">
        <w:rPr>
          <w:rFonts w:ascii="Garamond" w:hAnsi="Garamond" w:cs="Arial"/>
        </w:rPr>
        <w:t>-statistics test whether the conditional proportions of positive (negative) Sunday returns are significantly different from the unconditional proportions of positive (negative) Sunday returns. The sample of returns includes</w:t>
      </w:r>
      <w:r w:rsidR="00EE0241" w:rsidRPr="00E75964">
        <w:rPr>
          <w:rFonts w:ascii="Garamond" w:hAnsi="Garamond" w:cs="Arial"/>
        </w:rPr>
        <w:t xml:space="preserve"> 1</w:t>
      </w:r>
      <w:r w:rsidR="00736199" w:rsidRPr="00E75964">
        <w:rPr>
          <w:rFonts w:ascii="Garamond" w:hAnsi="Garamond" w:cs="Arial"/>
        </w:rPr>
        <w:t>826</w:t>
      </w:r>
      <w:r w:rsidR="00CE65B6" w:rsidRPr="00E75964">
        <w:rPr>
          <w:rFonts w:ascii="Garamond" w:hAnsi="Garamond" w:cs="Arial"/>
        </w:rPr>
        <w:t xml:space="preserve"> </w:t>
      </w:r>
      <w:r w:rsidR="00EE0241" w:rsidRPr="00E75964">
        <w:rPr>
          <w:rFonts w:ascii="Garamond" w:hAnsi="Garamond" w:cs="Arial"/>
        </w:rPr>
        <w:t>(</w:t>
      </w:r>
      <w:r w:rsidR="00E14B5B" w:rsidRPr="00E75964">
        <w:rPr>
          <w:rFonts w:ascii="Garamond" w:hAnsi="Garamond" w:cs="Arial"/>
        </w:rPr>
        <w:t>i.e.,</w:t>
      </w:r>
      <w:r w:rsidR="00EE0241" w:rsidRPr="00E75964">
        <w:rPr>
          <w:rFonts w:ascii="Garamond" w:hAnsi="Garamond" w:cs="Arial"/>
        </w:rPr>
        <w:t xml:space="preserve"> </w:t>
      </w:r>
      <w:r w:rsidR="00736199" w:rsidRPr="00E75964">
        <w:rPr>
          <w:rFonts w:ascii="Garamond" w:hAnsi="Garamond" w:cs="Arial"/>
        </w:rPr>
        <w:t>913</w:t>
      </w:r>
      <w:r w:rsidR="00EE0241" w:rsidRPr="00E75964">
        <w:rPr>
          <w:rFonts w:ascii="Garamond" w:hAnsi="Garamond" w:cs="Arial"/>
        </w:rPr>
        <w:t>+</w:t>
      </w:r>
      <w:r w:rsidR="00736199" w:rsidRPr="00E75964">
        <w:rPr>
          <w:rFonts w:ascii="Garamond" w:hAnsi="Garamond" w:cs="Arial"/>
        </w:rPr>
        <w:t>913</w:t>
      </w:r>
      <w:r w:rsidR="00EE0241" w:rsidRPr="00E75964">
        <w:rPr>
          <w:rFonts w:ascii="Garamond" w:hAnsi="Garamond" w:cs="Arial"/>
        </w:rPr>
        <w:t>)</w:t>
      </w:r>
      <w:r w:rsidR="00CE65B6" w:rsidRPr="00E75964">
        <w:rPr>
          <w:rFonts w:ascii="Garamond" w:hAnsi="Garamond" w:cs="Arial"/>
        </w:rPr>
        <w:t xml:space="preserve"> observations over </w:t>
      </w:r>
      <w:r w:rsidR="007926FD" w:rsidRPr="00E75964">
        <w:rPr>
          <w:rFonts w:ascii="Garamond" w:hAnsi="Garamond" w:cs="Arial"/>
        </w:rPr>
        <w:t>a</w:t>
      </w:r>
      <w:r w:rsidR="00E952CB" w:rsidRPr="00E75964">
        <w:rPr>
          <w:rFonts w:ascii="Garamond" w:hAnsi="Garamond" w:cs="Arial"/>
        </w:rPr>
        <w:t>n</w:t>
      </w:r>
      <w:r w:rsidR="00CE65B6" w:rsidRPr="00E75964">
        <w:rPr>
          <w:rFonts w:ascii="Garamond" w:hAnsi="Garamond" w:cs="Arial"/>
        </w:rPr>
        <w:t xml:space="preserve"> </w:t>
      </w:r>
      <w:r w:rsidR="007926FD" w:rsidRPr="00E75964">
        <w:rPr>
          <w:rFonts w:ascii="Garamond" w:hAnsi="Garamond" w:cs="Arial"/>
        </w:rPr>
        <w:t>eighteen</w:t>
      </w:r>
      <w:r w:rsidR="00E952CB" w:rsidRPr="00E75964">
        <w:rPr>
          <w:rFonts w:ascii="Garamond" w:hAnsi="Garamond" w:cs="Arial"/>
        </w:rPr>
        <w:t xml:space="preserve"> </w:t>
      </w:r>
      <w:r w:rsidR="00CE65B6" w:rsidRPr="00E75964">
        <w:rPr>
          <w:rFonts w:ascii="Garamond" w:hAnsi="Garamond" w:cs="Arial"/>
        </w:rPr>
        <w:t>year period 2000-201</w:t>
      </w:r>
      <w:r w:rsidR="007926FD" w:rsidRPr="00E75964">
        <w:rPr>
          <w:rFonts w:ascii="Garamond" w:hAnsi="Garamond" w:cs="Arial"/>
        </w:rPr>
        <w:t>7</w:t>
      </w:r>
      <w:r w:rsidR="00CE65B6" w:rsidRPr="00E75964">
        <w:rPr>
          <w:rFonts w:ascii="Garamond" w:hAnsi="Garamond" w:cs="Arial"/>
        </w:rPr>
        <w:t xml:space="preserve">. </w:t>
      </w:r>
      <w:r w:rsidR="003F1402" w:rsidRPr="00E75964">
        <w:rPr>
          <w:rFonts w:ascii="Garamond" w:hAnsi="Garamond" w:cs="Arial"/>
        </w:rPr>
        <w:t>All proportions are in percentage form.</w:t>
      </w:r>
    </w:p>
    <w:p w14:paraId="7E446063" w14:textId="1583B508" w:rsidR="00CE65B6" w:rsidRPr="00E75964" w:rsidRDefault="00CE65B6" w:rsidP="00CD604B">
      <w:pPr>
        <w:spacing w:line="360" w:lineRule="auto"/>
        <w:jc w:val="both"/>
        <w:rPr>
          <w:rFonts w:ascii="Garamond" w:hAnsi="Garamond" w:cs="Arial"/>
          <w:sz w:val="24"/>
          <w:szCs w:val="24"/>
        </w:rPr>
      </w:pPr>
      <w:r w:rsidRPr="00E75964">
        <w:rPr>
          <w:rFonts w:ascii="Garamond" w:hAnsi="Garamond" w:cs="Arial"/>
          <w:sz w:val="24"/>
          <w:szCs w:val="24"/>
        </w:rPr>
        <w:lastRenderedPageBreak/>
        <w:t xml:space="preserve">The results given in Table </w:t>
      </w:r>
      <w:r w:rsidR="002B41F8" w:rsidRPr="00E75964">
        <w:rPr>
          <w:rFonts w:ascii="Garamond" w:hAnsi="Garamond" w:cs="Arial"/>
          <w:sz w:val="24"/>
          <w:szCs w:val="24"/>
        </w:rPr>
        <w:t>8</w:t>
      </w:r>
      <w:r w:rsidRPr="00E75964">
        <w:rPr>
          <w:rFonts w:ascii="Garamond" w:hAnsi="Garamond" w:cs="Arial"/>
          <w:sz w:val="24"/>
          <w:szCs w:val="24"/>
        </w:rPr>
        <w:t xml:space="preserve"> are very interesting. We see that there are more </w:t>
      </w:r>
      <w:r w:rsidR="00CD4F2E" w:rsidRPr="00E75964">
        <w:rPr>
          <w:rFonts w:ascii="Garamond" w:hAnsi="Garamond" w:cs="Arial"/>
          <w:sz w:val="24"/>
          <w:szCs w:val="24"/>
        </w:rPr>
        <w:t xml:space="preserve">negative </w:t>
      </w:r>
      <w:r w:rsidRPr="00E75964">
        <w:rPr>
          <w:rFonts w:ascii="Garamond" w:hAnsi="Garamond" w:cs="Arial"/>
          <w:sz w:val="24"/>
          <w:szCs w:val="24"/>
        </w:rPr>
        <w:t xml:space="preserve">returns than </w:t>
      </w:r>
      <w:r w:rsidR="00CD4F2E" w:rsidRPr="00E75964">
        <w:rPr>
          <w:rFonts w:ascii="Garamond" w:hAnsi="Garamond" w:cs="Arial"/>
          <w:sz w:val="24"/>
          <w:szCs w:val="24"/>
        </w:rPr>
        <w:t>positive</w:t>
      </w:r>
      <w:r w:rsidRPr="00E75964">
        <w:rPr>
          <w:rFonts w:ascii="Garamond" w:hAnsi="Garamond" w:cs="Arial"/>
          <w:sz w:val="24"/>
          <w:szCs w:val="24"/>
        </w:rPr>
        <w:t xml:space="preserve"> returns </w:t>
      </w:r>
      <w:r w:rsidR="00BB5EB9" w:rsidRPr="00E75964">
        <w:rPr>
          <w:rFonts w:ascii="Garamond" w:hAnsi="Garamond" w:cs="Arial"/>
          <w:sz w:val="24"/>
          <w:szCs w:val="24"/>
        </w:rPr>
        <w:t xml:space="preserve">(i.e. </w:t>
      </w:r>
      <w:r w:rsidR="007E1242">
        <w:rPr>
          <w:rFonts w:ascii="Garamond" w:hAnsi="Garamond" w:cs="Arial"/>
          <w:sz w:val="24"/>
          <w:szCs w:val="24"/>
        </w:rPr>
        <w:t xml:space="preserve">the </w:t>
      </w:r>
      <w:r w:rsidR="00BB5EB9" w:rsidRPr="00E75964">
        <w:rPr>
          <w:rFonts w:ascii="Garamond" w:hAnsi="Garamond" w:cs="Arial"/>
          <w:sz w:val="24"/>
          <w:szCs w:val="24"/>
        </w:rPr>
        <w:t xml:space="preserve">proportion of positive returns </w:t>
      </w:r>
      <w:r w:rsidR="007E1242">
        <w:rPr>
          <w:rFonts w:ascii="Garamond" w:hAnsi="Garamond" w:cs="Arial"/>
          <w:sz w:val="24"/>
          <w:szCs w:val="24"/>
        </w:rPr>
        <w:t xml:space="preserve">is </w:t>
      </w:r>
      <w:r w:rsidR="00BB5EB9" w:rsidRPr="00E75964">
        <w:rPr>
          <w:rFonts w:ascii="Garamond" w:hAnsi="Garamond" w:cs="Arial"/>
          <w:sz w:val="24"/>
          <w:szCs w:val="24"/>
        </w:rPr>
        <w:t xml:space="preserve">less than 50%) </w:t>
      </w:r>
      <w:r w:rsidRPr="00E75964">
        <w:rPr>
          <w:rFonts w:ascii="Garamond" w:hAnsi="Garamond" w:cs="Arial"/>
          <w:sz w:val="24"/>
          <w:szCs w:val="24"/>
        </w:rPr>
        <w:t xml:space="preserve">for most of the deciles except </w:t>
      </w:r>
      <w:r w:rsidR="00CD4F2E" w:rsidRPr="00E75964">
        <w:rPr>
          <w:rFonts w:ascii="Garamond" w:hAnsi="Garamond" w:cs="Arial"/>
          <w:sz w:val="24"/>
          <w:szCs w:val="24"/>
        </w:rPr>
        <w:t>6, 9</w:t>
      </w:r>
      <w:r w:rsidRPr="00E75964">
        <w:rPr>
          <w:rFonts w:ascii="Garamond" w:hAnsi="Garamond" w:cs="Arial"/>
          <w:sz w:val="24"/>
          <w:szCs w:val="24"/>
        </w:rPr>
        <w:t xml:space="preserve"> and </w:t>
      </w:r>
      <w:r w:rsidR="00CD4F2E" w:rsidRPr="00E75964">
        <w:rPr>
          <w:rFonts w:ascii="Garamond" w:hAnsi="Garamond" w:cs="Arial"/>
          <w:sz w:val="24"/>
          <w:szCs w:val="24"/>
        </w:rPr>
        <w:t>10</w:t>
      </w:r>
      <w:r w:rsidRPr="00E75964">
        <w:rPr>
          <w:rFonts w:ascii="Garamond" w:hAnsi="Garamond" w:cs="Arial"/>
          <w:sz w:val="24"/>
          <w:szCs w:val="24"/>
        </w:rPr>
        <w:t xml:space="preserve">, where there are slightly more </w:t>
      </w:r>
      <w:r w:rsidR="00CD4F2E" w:rsidRPr="00E75964">
        <w:rPr>
          <w:rFonts w:ascii="Garamond" w:hAnsi="Garamond" w:cs="Arial"/>
          <w:sz w:val="24"/>
          <w:szCs w:val="24"/>
        </w:rPr>
        <w:t>positive</w:t>
      </w:r>
      <w:r w:rsidRPr="00E75964">
        <w:rPr>
          <w:rFonts w:ascii="Garamond" w:hAnsi="Garamond" w:cs="Arial"/>
          <w:sz w:val="24"/>
          <w:szCs w:val="24"/>
        </w:rPr>
        <w:t xml:space="preserve"> returns than </w:t>
      </w:r>
      <w:r w:rsidR="00CD4F2E" w:rsidRPr="00E75964">
        <w:rPr>
          <w:rFonts w:ascii="Garamond" w:hAnsi="Garamond" w:cs="Arial"/>
          <w:sz w:val="24"/>
          <w:szCs w:val="24"/>
        </w:rPr>
        <w:t>negative</w:t>
      </w:r>
      <w:r w:rsidRPr="00E75964">
        <w:rPr>
          <w:rFonts w:ascii="Garamond" w:hAnsi="Garamond" w:cs="Arial"/>
          <w:sz w:val="24"/>
          <w:szCs w:val="24"/>
        </w:rPr>
        <w:t xml:space="preserve">. In particular the positive returns are substantially higher for </w:t>
      </w:r>
      <w:r w:rsidR="00CD4F2E" w:rsidRPr="00E75964">
        <w:rPr>
          <w:rFonts w:ascii="Garamond" w:hAnsi="Garamond" w:cs="Arial"/>
          <w:sz w:val="24"/>
          <w:szCs w:val="24"/>
        </w:rPr>
        <w:t>one</w:t>
      </w:r>
      <w:r w:rsidRPr="00E75964">
        <w:rPr>
          <w:rFonts w:ascii="Garamond" w:hAnsi="Garamond" w:cs="Arial"/>
          <w:sz w:val="24"/>
          <w:szCs w:val="24"/>
        </w:rPr>
        <w:t xml:space="preserve"> of the mid-sized (deciles 6) and larger firms (deciles 9 and 10). For the conditional Sunday proportion, a negative Sunday return following negative returns on the Thursday is more likely for deciles </w:t>
      </w:r>
      <w:r w:rsidR="00452EA6" w:rsidRPr="00E75964">
        <w:rPr>
          <w:rFonts w:ascii="Garamond" w:hAnsi="Garamond" w:cs="Arial"/>
          <w:sz w:val="24"/>
          <w:szCs w:val="24"/>
        </w:rPr>
        <w:t>from 1 through 4</w:t>
      </w:r>
      <w:r w:rsidRPr="00E75964">
        <w:rPr>
          <w:rFonts w:ascii="Garamond" w:hAnsi="Garamond" w:cs="Arial"/>
          <w:sz w:val="24"/>
          <w:szCs w:val="24"/>
        </w:rPr>
        <w:t xml:space="preserve"> and </w:t>
      </w:r>
      <w:r w:rsidR="00452EA6" w:rsidRPr="00E75964">
        <w:rPr>
          <w:rFonts w:ascii="Garamond" w:hAnsi="Garamond" w:cs="Arial"/>
          <w:sz w:val="24"/>
          <w:szCs w:val="24"/>
        </w:rPr>
        <w:t>7</w:t>
      </w:r>
      <w:r w:rsidRPr="00E75964">
        <w:rPr>
          <w:rFonts w:ascii="Garamond" w:hAnsi="Garamond" w:cs="Arial"/>
          <w:sz w:val="24"/>
          <w:szCs w:val="24"/>
        </w:rPr>
        <w:t xml:space="preserve">. Consistent with the previous literature, the </w:t>
      </w:r>
      <w:r w:rsidRPr="00E75964">
        <w:rPr>
          <w:rFonts w:ascii="Garamond" w:hAnsi="Garamond" w:cs="Arial"/>
          <w:i/>
          <w:sz w:val="24"/>
          <w:szCs w:val="24"/>
        </w:rPr>
        <w:t>z</w:t>
      </w:r>
      <w:r w:rsidRPr="00E75964">
        <w:rPr>
          <w:rFonts w:ascii="Garamond" w:hAnsi="Garamond" w:cs="Arial"/>
          <w:sz w:val="24"/>
          <w:szCs w:val="24"/>
        </w:rPr>
        <w:t xml:space="preserve">-statistics show that strong autocorrelations exist between Sunday returns and preceding Thursday returns for some of the mid-sized firms, such as deciles 3, </w:t>
      </w:r>
      <w:r w:rsidR="00452EA6" w:rsidRPr="00E75964">
        <w:rPr>
          <w:rFonts w:ascii="Garamond" w:hAnsi="Garamond" w:cs="Arial"/>
          <w:sz w:val="24"/>
          <w:szCs w:val="24"/>
        </w:rPr>
        <w:t>4</w:t>
      </w:r>
      <w:r w:rsidRPr="00E75964">
        <w:rPr>
          <w:rFonts w:ascii="Garamond" w:hAnsi="Garamond" w:cs="Arial"/>
          <w:sz w:val="24"/>
          <w:szCs w:val="24"/>
        </w:rPr>
        <w:t xml:space="preserve">, </w:t>
      </w:r>
      <w:r w:rsidR="00452EA6" w:rsidRPr="00E75964">
        <w:rPr>
          <w:rFonts w:ascii="Garamond" w:hAnsi="Garamond" w:cs="Arial"/>
          <w:sz w:val="24"/>
          <w:szCs w:val="24"/>
        </w:rPr>
        <w:t>5</w:t>
      </w:r>
      <w:r w:rsidRPr="00E75964">
        <w:rPr>
          <w:rFonts w:ascii="Garamond" w:hAnsi="Garamond" w:cs="Arial"/>
          <w:sz w:val="24"/>
          <w:szCs w:val="24"/>
        </w:rPr>
        <w:t xml:space="preserve"> and </w:t>
      </w:r>
      <w:r w:rsidR="00452EA6" w:rsidRPr="00E75964">
        <w:rPr>
          <w:rFonts w:ascii="Garamond" w:hAnsi="Garamond" w:cs="Arial"/>
          <w:sz w:val="24"/>
          <w:szCs w:val="24"/>
        </w:rPr>
        <w:t>7</w:t>
      </w:r>
      <w:r w:rsidRPr="00E75964">
        <w:rPr>
          <w:rFonts w:ascii="Garamond" w:hAnsi="Garamond" w:cs="Arial"/>
          <w:sz w:val="24"/>
          <w:szCs w:val="24"/>
        </w:rPr>
        <w:t>. Autocorrelation also exists between Thursday-Sunday returns in smaller decile</w:t>
      </w:r>
      <w:r w:rsidR="007E1242">
        <w:rPr>
          <w:rFonts w:ascii="Garamond" w:hAnsi="Garamond" w:cs="Arial"/>
          <w:sz w:val="24"/>
          <w:szCs w:val="24"/>
        </w:rPr>
        <w:t>s</w:t>
      </w:r>
      <w:r w:rsidRPr="00E75964">
        <w:rPr>
          <w:rFonts w:ascii="Garamond" w:hAnsi="Garamond" w:cs="Arial"/>
          <w:sz w:val="24"/>
          <w:szCs w:val="24"/>
        </w:rPr>
        <w:t xml:space="preserve"> </w:t>
      </w:r>
      <w:r w:rsidR="00804414" w:rsidRPr="00E75964">
        <w:rPr>
          <w:rFonts w:ascii="Garamond" w:hAnsi="Garamond" w:cs="Arial"/>
          <w:sz w:val="24"/>
          <w:szCs w:val="24"/>
        </w:rPr>
        <w:t xml:space="preserve">1 and </w:t>
      </w:r>
      <w:r w:rsidRPr="00E75964">
        <w:rPr>
          <w:rFonts w:ascii="Garamond" w:hAnsi="Garamond" w:cs="Arial"/>
          <w:sz w:val="24"/>
          <w:szCs w:val="24"/>
        </w:rPr>
        <w:t xml:space="preserve">2. These results are similar to those of Keim and Stambaugh (1984), Gibbon and Hess (1981) and Abraham and Ikenberry (1994), since they report higher autocorrelations for small and medium size firms. </w:t>
      </w:r>
    </w:p>
    <w:p w14:paraId="2032BC2A" w14:textId="77777777" w:rsidR="00CE65B6" w:rsidRPr="00E75964" w:rsidRDefault="00CE65B6" w:rsidP="00CD604B">
      <w:pPr>
        <w:spacing w:line="360" w:lineRule="auto"/>
        <w:jc w:val="both"/>
        <w:rPr>
          <w:rFonts w:ascii="Garamond" w:hAnsi="Garamond" w:cs="Arial"/>
          <w:sz w:val="24"/>
          <w:szCs w:val="24"/>
        </w:rPr>
      </w:pPr>
      <w:r w:rsidRPr="00E75964">
        <w:rPr>
          <w:rFonts w:ascii="Garamond" w:hAnsi="Garamond" w:cs="Arial"/>
          <w:sz w:val="24"/>
          <w:szCs w:val="24"/>
        </w:rPr>
        <w:t xml:space="preserve">However, Brusa et al. (2000) report no autocorrelation between Friday-Monday returns for small and large firms using the DJIA and NASDAQ stock indices, but strong autocorrelation for mid-sized firms. Thus, the autocorrelation characteristics for the DSE across firm size are similar but not identical to those of the US equity market. The significance of the </w:t>
      </w:r>
      <w:r w:rsidRPr="00E75964">
        <w:rPr>
          <w:rFonts w:ascii="Garamond" w:hAnsi="Garamond" w:cs="Arial"/>
          <w:i/>
          <w:sz w:val="24"/>
          <w:szCs w:val="24"/>
        </w:rPr>
        <w:t>z</w:t>
      </w:r>
      <w:r w:rsidRPr="00E75964">
        <w:rPr>
          <w:rFonts w:ascii="Garamond" w:hAnsi="Garamond" w:cs="Arial"/>
          <w:sz w:val="24"/>
          <w:szCs w:val="24"/>
        </w:rPr>
        <w:t>-statistics for both positive and negative returns in deciles 1 to 3 and 6 through 8 means that given a positive Thursday return, the following Sunday returns are more likely to be positive, and the same for negative returns. Thus positive (negative) Sunday returns follow positive (negative) returns on the Thursday. Similar to the US market (Brusa et al., 2000), we do not find any such correlation for large firms, except that for the largest decile positive returns in the conditional Sunday proportions are statistically significant at the 10% level. This implies that positive Sunday returns may follow positive returns on the previous Thursday for the largest stocks, but the same is not true for negative returns.</w:t>
      </w:r>
    </w:p>
    <w:p w14:paraId="55695705" w14:textId="64CE7C0A" w:rsidR="00CE65B6" w:rsidRPr="00E75964" w:rsidRDefault="00CE65B6" w:rsidP="00CD604B">
      <w:pPr>
        <w:spacing w:line="360" w:lineRule="auto"/>
        <w:jc w:val="both"/>
        <w:rPr>
          <w:rFonts w:ascii="Garamond" w:hAnsi="Garamond" w:cs="Arial"/>
          <w:sz w:val="24"/>
          <w:szCs w:val="24"/>
        </w:rPr>
      </w:pPr>
      <w:r w:rsidRPr="00E75964">
        <w:rPr>
          <w:rFonts w:ascii="Garamond" w:hAnsi="Garamond" w:cs="Arial"/>
          <w:sz w:val="24"/>
          <w:szCs w:val="24"/>
        </w:rPr>
        <w:t xml:space="preserve">Pearson’s </w:t>
      </w:r>
      <m:oMath>
        <m:sSup>
          <m:sSupPr>
            <m:ctrlPr>
              <w:rPr>
                <w:rFonts w:ascii="Cambria Math" w:hAnsi="Cambria Math" w:cs="Arial"/>
                <w:i/>
                <w:sz w:val="24"/>
                <w:szCs w:val="24"/>
              </w:rPr>
            </m:ctrlPr>
          </m:sSupPr>
          <m:e>
            <m:r>
              <w:rPr>
                <w:rFonts w:ascii="Cambria Math" w:hAnsi="Cambria Math" w:cs="Arial"/>
                <w:sz w:val="24"/>
                <w:szCs w:val="24"/>
              </w:rPr>
              <m:t>χ</m:t>
            </m:r>
          </m:e>
          <m:sup>
            <m:r>
              <w:rPr>
                <w:rFonts w:ascii="Cambria Math" w:hAnsi="Cambria Math" w:cs="Arial"/>
                <w:sz w:val="24"/>
                <w:szCs w:val="24"/>
              </w:rPr>
              <m:t>2</m:t>
            </m:r>
          </m:sup>
        </m:sSup>
      </m:oMath>
      <w:r w:rsidRPr="00E75964">
        <w:rPr>
          <w:rFonts w:ascii="Garamond" w:hAnsi="Garamond" w:cs="Arial"/>
          <w:sz w:val="24"/>
          <w:szCs w:val="24"/>
        </w:rPr>
        <w:t xml:space="preserve"> and the Phi </w:t>
      </w:r>
      <w:r w:rsidR="00BB5EB9" w:rsidRPr="00E75964">
        <w:rPr>
          <w:rFonts w:ascii="Garamond" w:hAnsi="Garamond" w:cs="Arial"/>
          <w:sz w:val="24"/>
          <w:szCs w:val="24"/>
        </w:rPr>
        <w:t>c</w:t>
      </w:r>
      <w:r w:rsidRPr="00E75964">
        <w:rPr>
          <w:rFonts w:ascii="Garamond" w:hAnsi="Garamond" w:cs="Arial"/>
          <w:sz w:val="24"/>
          <w:szCs w:val="24"/>
        </w:rPr>
        <w:t xml:space="preserve">oefficient provide similar results to those of the </w:t>
      </w:r>
      <w:r w:rsidRPr="00E75964">
        <w:rPr>
          <w:rFonts w:ascii="Garamond" w:hAnsi="Garamond" w:cs="Arial"/>
          <w:i/>
          <w:sz w:val="24"/>
          <w:szCs w:val="24"/>
        </w:rPr>
        <w:t>z</w:t>
      </w:r>
      <w:r w:rsidRPr="00E75964">
        <w:rPr>
          <w:rFonts w:ascii="Garamond" w:hAnsi="Garamond" w:cs="Arial"/>
          <w:sz w:val="24"/>
          <w:szCs w:val="24"/>
        </w:rPr>
        <w:t xml:space="preserve">-statistics. Applying the unconditional independence test, Pearson’s </w:t>
      </w:r>
      <m:oMath>
        <m:sSup>
          <m:sSupPr>
            <m:ctrlPr>
              <w:rPr>
                <w:rFonts w:ascii="Cambria Math" w:hAnsi="Cambria Math" w:cs="Arial"/>
                <w:i/>
                <w:sz w:val="24"/>
                <w:szCs w:val="24"/>
              </w:rPr>
            </m:ctrlPr>
          </m:sSupPr>
          <m:e>
            <m:r>
              <w:rPr>
                <w:rFonts w:ascii="Cambria Math" w:hAnsi="Cambria Math" w:cs="Arial"/>
                <w:sz w:val="24"/>
                <w:szCs w:val="24"/>
              </w:rPr>
              <m:t>χ</m:t>
            </m:r>
          </m:e>
          <m:sup>
            <m:r>
              <w:rPr>
                <w:rFonts w:ascii="Cambria Math" w:hAnsi="Cambria Math" w:cs="Arial"/>
                <w:sz w:val="24"/>
                <w:szCs w:val="24"/>
              </w:rPr>
              <m:t>2</m:t>
            </m:r>
          </m:sup>
        </m:sSup>
      </m:oMath>
      <w:r w:rsidRPr="00E75964">
        <w:rPr>
          <w:rFonts w:ascii="Garamond" w:hAnsi="Garamond" w:cs="Arial"/>
          <w:sz w:val="24"/>
          <w:szCs w:val="24"/>
        </w:rPr>
        <w:t xml:space="preserve"> is </w:t>
      </w:r>
      <w:r w:rsidR="00306D91" w:rsidRPr="00E75964">
        <w:rPr>
          <w:rFonts w:ascii="Garamond" w:hAnsi="Garamond" w:cs="Arial"/>
          <w:sz w:val="24"/>
          <w:szCs w:val="24"/>
        </w:rPr>
        <w:t xml:space="preserve">found </w:t>
      </w:r>
      <w:r w:rsidR="00AA1956" w:rsidRPr="00E75964">
        <w:rPr>
          <w:rFonts w:ascii="Garamond" w:hAnsi="Garamond" w:cs="Arial"/>
          <w:sz w:val="24"/>
          <w:szCs w:val="24"/>
        </w:rPr>
        <w:t xml:space="preserve">to be </w:t>
      </w:r>
      <w:r w:rsidRPr="00E75964">
        <w:rPr>
          <w:rFonts w:ascii="Garamond" w:hAnsi="Garamond" w:cs="Arial"/>
          <w:sz w:val="24"/>
          <w:szCs w:val="24"/>
        </w:rPr>
        <w:t xml:space="preserve">statistically significant for deciles </w:t>
      </w:r>
      <w:r w:rsidR="00804414" w:rsidRPr="00E75964">
        <w:rPr>
          <w:rFonts w:ascii="Garamond" w:hAnsi="Garamond" w:cs="Arial"/>
          <w:sz w:val="24"/>
          <w:szCs w:val="24"/>
        </w:rPr>
        <w:t>1</w:t>
      </w:r>
      <w:r w:rsidR="00452EA6" w:rsidRPr="00E75964">
        <w:rPr>
          <w:rFonts w:ascii="Garamond" w:hAnsi="Garamond" w:cs="Arial"/>
          <w:sz w:val="24"/>
          <w:szCs w:val="24"/>
        </w:rPr>
        <w:t xml:space="preserve"> through 5</w:t>
      </w:r>
      <w:r w:rsidRPr="00E75964">
        <w:rPr>
          <w:rFonts w:ascii="Garamond" w:hAnsi="Garamond" w:cs="Arial"/>
          <w:sz w:val="24"/>
          <w:szCs w:val="24"/>
        </w:rPr>
        <w:t xml:space="preserve"> and </w:t>
      </w:r>
      <w:r w:rsidR="00452EA6" w:rsidRPr="00E75964">
        <w:rPr>
          <w:rFonts w:ascii="Garamond" w:hAnsi="Garamond" w:cs="Arial"/>
          <w:sz w:val="24"/>
          <w:szCs w:val="24"/>
        </w:rPr>
        <w:t>7</w:t>
      </w:r>
      <w:r w:rsidRPr="00E75964">
        <w:rPr>
          <w:rFonts w:ascii="Garamond" w:hAnsi="Garamond" w:cs="Arial"/>
          <w:sz w:val="24"/>
          <w:szCs w:val="24"/>
        </w:rPr>
        <w:t xml:space="preserve">. We therefore reject the null hypothesis that the returns series of Thursday and Sunday are independent for these small and mid-sized firms. </w:t>
      </w:r>
      <w:r w:rsidR="00EC0E91" w:rsidRPr="00E75964">
        <w:rPr>
          <w:rFonts w:ascii="Garamond" w:hAnsi="Garamond" w:cs="Arial"/>
          <w:sz w:val="24"/>
          <w:szCs w:val="24"/>
        </w:rPr>
        <w:t>Furthermore,</w:t>
      </w:r>
      <w:r w:rsidRPr="00E75964">
        <w:rPr>
          <w:rFonts w:ascii="Garamond" w:hAnsi="Garamond" w:cs="Arial"/>
          <w:sz w:val="24"/>
          <w:szCs w:val="24"/>
        </w:rPr>
        <w:t xml:space="preserve"> we see a very strong unconditional association between the Thursday-Sunday returns series for firms in deciles </w:t>
      </w:r>
      <w:r w:rsidR="003E7728" w:rsidRPr="00E75964">
        <w:rPr>
          <w:rFonts w:ascii="Garamond" w:hAnsi="Garamond" w:cs="Arial"/>
          <w:sz w:val="24"/>
          <w:szCs w:val="24"/>
        </w:rPr>
        <w:t xml:space="preserve">1, </w:t>
      </w:r>
      <w:r w:rsidRPr="00E75964">
        <w:rPr>
          <w:rFonts w:ascii="Garamond" w:hAnsi="Garamond" w:cs="Arial"/>
          <w:sz w:val="24"/>
          <w:szCs w:val="24"/>
        </w:rPr>
        <w:t xml:space="preserve">3, </w:t>
      </w:r>
      <w:r w:rsidR="003E7728" w:rsidRPr="00E75964">
        <w:rPr>
          <w:rFonts w:ascii="Garamond" w:hAnsi="Garamond" w:cs="Arial"/>
          <w:sz w:val="24"/>
          <w:szCs w:val="24"/>
        </w:rPr>
        <w:t xml:space="preserve">4 and </w:t>
      </w:r>
      <w:r w:rsidRPr="00E75964">
        <w:rPr>
          <w:rFonts w:ascii="Garamond" w:hAnsi="Garamond" w:cs="Arial"/>
          <w:sz w:val="24"/>
          <w:szCs w:val="24"/>
        </w:rPr>
        <w:t xml:space="preserve">7. This is because the Phi </w:t>
      </w:r>
      <w:r w:rsidR="00BB5EB9" w:rsidRPr="00E75964">
        <w:rPr>
          <w:rFonts w:ascii="Garamond" w:hAnsi="Garamond" w:cs="Arial"/>
          <w:sz w:val="24"/>
          <w:szCs w:val="24"/>
        </w:rPr>
        <w:t>c</w:t>
      </w:r>
      <w:r w:rsidRPr="00E75964">
        <w:rPr>
          <w:rFonts w:ascii="Garamond" w:hAnsi="Garamond" w:cs="Arial"/>
          <w:sz w:val="24"/>
          <w:szCs w:val="24"/>
        </w:rPr>
        <w:t>oefficient is 0.</w:t>
      </w:r>
      <w:r w:rsidR="003E7728" w:rsidRPr="00E75964">
        <w:rPr>
          <w:rFonts w:ascii="Garamond" w:hAnsi="Garamond" w:cs="Arial"/>
          <w:sz w:val="24"/>
          <w:szCs w:val="24"/>
        </w:rPr>
        <w:t>58</w:t>
      </w:r>
      <w:r w:rsidR="00BB5EB9" w:rsidRPr="00E75964">
        <w:rPr>
          <w:rFonts w:ascii="Garamond" w:hAnsi="Garamond" w:cs="Arial"/>
          <w:sz w:val="24"/>
          <w:szCs w:val="24"/>
        </w:rPr>
        <w:t xml:space="preserve">, 0.41, 0.57 and 1.00 </w:t>
      </w:r>
      <w:r w:rsidRPr="00E75964">
        <w:rPr>
          <w:rFonts w:ascii="Garamond" w:hAnsi="Garamond" w:cs="Arial"/>
          <w:sz w:val="24"/>
          <w:szCs w:val="24"/>
        </w:rPr>
        <w:t>for decile</w:t>
      </w:r>
      <w:r w:rsidR="00BB5EB9" w:rsidRPr="00E75964">
        <w:rPr>
          <w:rFonts w:ascii="Garamond" w:hAnsi="Garamond" w:cs="Arial"/>
          <w:sz w:val="24"/>
          <w:szCs w:val="24"/>
        </w:rPr>
        <w:t>s</w:t>
      </w:r>
      <w:r w:rsidRPr="00E75964">
        <w:rPr>
          <w:rFonts w:ascii="Garamond" w:hAnsi="Garamond" w:cs="Arial"/>
          <w:sz w:val="24"/>
          <w:szCs w:val="24"/>
        </w:rPr>
        <w:t xml:space="preserve"> </w:t>
      </w:r>
      <w:r w:rsidR="003E7728" w:rsidRPr="00E75964">
        <w:rPr>
          <w:rFonts w:ascii="Garamond" w:hAnsi="Garamond" w:cs="Arial"/>
          <w:sz w:val="24"/>
          <w:szCs w:val="24"/>
        </w:rPr>
        <w:t>1</w:t>
      </w:r>
      <w:r w:rsidRPr="00E75964">
        <w:rPr>
          <w:rFonts w:ascii="Garamond" w:hAnsi="Garamond" w:cs="Arial"/>
          <w:sz w:val="24"/>
          <w:szCs w:val="24"/>
        </w:rPr>
        <w:t xml:space="preserve">, </w:t>
      </w:r>
      <w:r w:rsidR="003E7728" w:rsidRPr="00E75964">
        <w:rPr>
          <w:rFonts w:ascii="Garamond" w:hAnsi="Garamond" w:cs="Arial"/>
          <w:sz w:val="24"/>
          <w:szCs w:val="24"/>
        </w:rPr>
        <w:t xml:space="preserve">3, 4 </w:t>
      </w:r>
      <w:r w:rsidR="00BB5EB9" w:rsidRPr="00E75964">
        <w:rPr>
          <w:rFonts w:ascii="Garamond" w:hAnsi="Garamond" w:cs="Arial"/>
          <w:sz w:val="24"/>
          <w:szCs w:val="24"/>
        </w:rPr>
        <w:t>and</w:t>
      </w:r>
      <w:r w:rsidRPr="00E75964">
        <w:rPr>
          <w:rFonts w:ascii="Garamond" w:hAnsi="Garamond" w:cs="Arial"/>
          <w:sz w:val="24"/>
          <w:szCs w:val="24"/>
        </w:rPr>
        <w:t xml:space="preserve"> 7</w:t>
      </w:r>
      <w:r w:rsidR="00BB5EB9" w:rsidRPr="00E75964">
        <w:rPr>
          <w:rFonts w:ascii="Garamond" w:hAnsi="Garamond" w:cs="Arial"/>
          <w:sz w:val="24"/>
          <w:szCs w:val="24"/>
        </w:rPr>
        <w:t xml:space="preserve"> respectively</w:t>
      </w:r>
      <w:r w:rsidRPr="00E75964">
        <w:rPr>
          <w:rFonts w:ascii="Garamond" w:hAnsi="Garamond" w:cs="Arial"/>
          <w:sz w:val="24"/>
          <w:szCs w:val="24"/>
        </w:rPr>
        <w:t xml:space="preserve">. These findings are very much consistent with our previous results. </w:t>
      </w:r>
    </w:p>
    <w:p w14:paraId="40788C40" w14:textId="77777777" w:rsidR="007E1242" w:rsidRDefault="00EC0E91" w:rsidP="00FB263D">
      <w:pPr>
        <w:spacing w:line="360" w:lineRule="auto"/>
        <w:jc w:val="both"/>
        <w:rPr>
          <w:rFonts w:ascii="Garamond" w:hAnsi="Garamond" w:cs="Arial"/>
          <w:sz w:val="24"/>
          <w:szCs w:val="24"/>
        </w:rPr>
      </w:pPr>
      <w:r w:rsidRPr="00E75964">
        <w:rPr>
          <w:rFonts w:ascii="Garamond" w:hAnsi="Garamond" w:cs="Arial"/>
          <w:sz w:val="24"/>
          <w:szCs w:val="24"/>
        </w:rPr>
        <w:t>Overall,</w:t>
      </w:r>
      <w:r w:rsidR="00CE65B6" w:rsidRPr="00E75964">
        <w:rPr>
          <w:rFonts w:ascii="Garamond" w:hAnsi="Garamond" w:cs="Arial"/>
          <w:sz w:val="24"/>
          <w:szCs w:val="24"/>
        </w:rPr>
        <w:t xml:space="preserve"> we see a conditional returns pattern in our sample. This pattern depends on firm size, where small and mid-sized firms exhibit a stronger conditional effect between Thursday and Sunday. This finding is in line with the argument of Abraham and Ikenberry (1994). Using the CRSP value-weighted index of NYSE and ASE firms over the period 1963-1991 they find that </w:t>
      </w:r>
      <w:r w:rsidR="00CE65B6" w:rsidRPr="00E75964">
        <w:rPr>
          <w:rFonts w:ascii="Garamond" w:hAnsi="Garamond" w:cs="Arial"/>
          <w:sz w:val="24"/>
          <w:szCs w:val="24"/>
        </w:rPr>
        <w:lastRenderedPageBreak/>
        <w:t xml:space="preserve">institutional investors generally have a greater presence in large-cap stocks. </w:t>
      </w:r>
      <w:r w:rsidRPr="00E75964">
        <w:rPr>
          <w:rFonts w:ascii="Garamond" w:hAnsi="Garamond" w:cs="Arial"/>
          <w:sz w:val="24"/>
          <w:szCs w:val="24"/>
        </w:rPr>
        <w:t>Therefore,</w:t>
      </w:r>
      <w:r w:rsidR="00CE65B6" w:rsidRPr="00E75964">
        <w:rPr>
          <w:rFonts w:ascii="Garamond" w:hAnsi="Garamond" w:cs="Arial"/>
          <w:sz w:val="24"/>
          <w:szCs w:val="24"/>
        </w:rPr>
        <w:t xml:space="preserve"> positive autocorrelation is consistent with the </w:t>
      </w:r>
      <w:r w:rsidR="007E1242">
        <w:rPr>
          <w:rFonts w:ascii="Garamond" w:hAnsi="Garamond" w:cs="Arial"/>
          <w:sz w:val="24"/>
          <w:szCs w:val="24"/>
        </w:rPr>
        <w:t>idea</w:t>
      </w:r>
      <w:r w:rsidR="00CE65B6" w:rsidRPr="00E75964">
        <w:rPr>
          <w:rFonts w:ascii="Garamond" w:hAnsi="Garamond" w:cs="Arial"/>
          <w:sz w:val="24"/>
          <w:szCs w:val="24"/>
        </w:rPr>
        <w:t xml:space="preserve"> that the trading </w:t>
      </w:r>
      <w:r w:rsidRPr="00E75964">
        <w:rPr>
          <w:rFonts w:ascii="Garamond" w:hAnsi="Garamond" w:cs="Arial"/>
          <w:sz w:val="24"/>
          <w:szCs w:val="24"/>
        </w:rPr>
        <w:t>behaviour</w:t>
      </w:r>
      <w:r w:rsidR="00CE65B6" w:rsidRPr="00E75964">
        <w:rPr>
          <w:rFonts w:ascii="Garamond" w:hAnsi="Garamond" w:cs="Arial"/>
          <w:sz w:val="24"/>
          <w:szCs w:val="24"/>
        </w:rPr>
        <w:t xml:space="preserve"> of individuals has </w:t>
      </w:r>
      <w:r w:rsidR="007E1242">
        <w:rPr>
          <w:rFonts w:ascii="Garamond" w:hAnsi="Garamond" w:cs="Arial"/>
          <w:sz w:val="24"/>
          <w:szCs w:val="24"/>
        </w:rPr>
        <w:t xml:space="preserve">a </w:t>
      </w:r>
      <w:r w:rsidR="00CE65B6" w:rsidRPr="00E75964">
        <w:rPr>
          <w:rFonts w:ascii="Garamond" w:hAnsi="Garamond" w:cs="Arial"/>
          <w:sz w:val="24"/>
          <w:szCs w:val="24"/>
        </w:rPr>
        <w:t xml:space="preserve">greater impact on small and mid-sized stocks and </w:t>
      </w:r>
      <w:r w:rsidR="00804414" w:rsidRPr="00E75964">
        <w:rPr>
          <w:rFonts w:ascii="Garamond" w:hAnsi="Garamond" w:cs="Arial"/>
          <w:sz w:val="24"/>
          <w:szCs w:val="24"/>
        </w:rPr>
        <w:t xml:space="preserve">may </w:t>
      </w:r>
      <w:r w:rsidR="00E952CB" w:rsidRPr="00E75964">
        <w:rPr>
          <w:rFonts w:ascii="Garamond" w:hAnsi="Garamond" w:cs="Arial"/>
          <w:sz w:val="24"/>
          <w:szCs w:val="24"/>
        </w:rPr>
        <w:t>have</w:t>
      </w:r>
      <w:r w:rsidR="00804414" w:rsidRPr="00E75964">
        <w:rPr>
          <w:rFonts w:ascii="Garamond" w:hAnsi="Garamond" w:cs="Arial"/>
          <w:sz w:val="24"/>
          <w:szCs w:val="24"/>
        </w:rPr>
        <w:t xml:space="preserve"> </w:t>
      </w:r>
      <w:r w:rsidR="00CE65B6" w:rsidRPr="00E75964">
        <w:rPr>
          <w:rFonts w:ascii="Garamond" w:hAnsi="Garamond" w:cs="Arial"/>
          <w:sz w:val="24"/>
          <w:szCs w:val="24"/>
        </w:rPr>
        <w:t>occur</w:t>
      </w:r>
      <w:r w:rsidR="00E952CB" w:rsidRPr="00E75964">
        <w:rPr>
          <w:rFonts w:ascii="Garamond" w:hAnsi="Garamond" w:cs="Arial"/>
          <w:sz w:val="24"/>
          <w:szCs w:val="24"/>
        </w:rPr>
        <w:t>r</w:t>
      </w:r>
      <w:r w:rsidR="00804414" w:rsidRPr="00E75964">
        <w:rPr>
          <w:rFonts w:ascii="Garamond" w:hAnsi="Garamond" w:cs="Arial"/>
          <w:sz w:val="24"/>
          <w:szCs w:val="24"/>
        </w:rPr>
        <w:t>ed</w:t>
      </w:r>
      <w:r w:rsidR="00CE65B6" w:rsidRPr="00E75964">
        <w:rPr>
          <w:rFonts w:ascii="Garamond" w:hAnsi="Garamond" w:cs="Arial"/>
          <w:sz w:val="24"/>
          <w:szCs w:val="24"/>
        </w:rPr>
        <w:t xml:space="preserve"> as a delayed reaction to negative information revealed in the previous trading session. </w:t>
      </w:r>
      <w:r w:rsidR="00804414" w:rsidRPr="00E75964">
        <w:rPr>
          <w:rFonts w:ascii="Garamond" w:hAnsi="Garamond" w:cs="Arial"/>
          <w:sz w:val="24"/>
          <w:szCs w:val="24"/>
        </w:rPr>
        <w:t>In addition,</w:t>
      </w:r>
      <w:r w:rsidR="00CE65B6" w:rsidRPr="00E75964">
        <w:rPr>
          <w:rFonts w:ascii="Garamond" w:hAnsi="Garamond" w:cs="Arial"/>
          <w:sz w:val="24"/>
          <w:szCs w:val="24"/>
        </w:rPr>
        <w:t xml:space="preserve"> the Thursday-Sunday returns and variance autocorrelation on the DSE may be the consequence of information revealed in the prior trading session. </w:t>
      </w:r>
    </w:p>
    <w:p w14:paraId="453C4AC2" w14:textId="6BA94751" w:rsidR="00CE65B6" w:rsidRPr="00E75964" w:rsidRDefault="00804414" w:rsidP="00FB263D">
      <w:pPr>
        <w:spacing w:line="360" w:lineRule="auto"/>
        <w:jc w:val="both"/>
        <w:rPr>
          <w:rFonts w:ascii="Garamond" w:hAnsi="Garamond" w:cs="Arial"/>
          <w:sz w:val="24"/>
          <w:szCs w:val="24"/>
        </w:rPr>
      </w:pPr>
      <w:r w:rsidRPr="00E75964">
        <w:rPr>
          <w:rFonts w:ascii="Garamond" w:hAnsi="Garamond" w:cs="Arial"/>
          <w:sz w:val="24"/>
          <w:szCs w:val="24"/>
        </w:rPr>
        <w:t>Altogether</w:t>
      </w:r>
      <w:r w:rsidR="00CE65B6" w:rsidRPr="00E75964">
        <w:rPr>
          <w:rFonts w:ascii="Garamond" w:hAnsi="Garamond" w:cs="Arial"/>
          <w:sz w:val="24"/>
          <w:szCs w:val="24"/>
        </w:rPr>
        <w:t xml:space="preserve">, the positive autocorrelation between Thursday-Sunday equity prices is strongly documented in small and mid-sized firms on the DSE. This supports our conjecture related to individual investors. Brusa et al. (2005) report that small stocks in the US market during the 1988-98 </w:t>
      </w:r>
      <w:r w:rsidR="00FB263D" w:rsidRPr="00E75964">
        <w:rPr>
          <w:rFonts w:ascii="Garamond" w:hAnsi="Garamond" w:cs="Arial"/>
          <w:sz w:val="24"/>
          <w:szCs w:val="24"/>
        </w:rPr>
        <w:t>period</w:t>
      </w:r>
      <w:r w:rsidR="00CE65B6" w:rsidRPr="00E75964">
        <w:rPr>
          <w:rFonts w:ascii="Garamond" w:hAnsi="Garamond" w:cs="Arial"/>
          <w:sz w:val="24"/>
          <w:szCs w:val="24"/>
        </w:rPr>
        <w:t xml:space="preserve"> also exhibit a positive autocorrelation between Friday and Monday returns. In another study on the US equity market, Lakonishok et al. (1992) also find this positive feedback trading in small stocks, but they claim that institutional investors are responsible for this effect. In Venezia and Shapira (2007)</w:t>
      </w:r>
      <w:r w:rsidR="00C47A05" w:rsidRPr="00E75964">
        <w:rPr>
          <w:rFonts w:ascii="Garamond" w:hAnsi="Garamond" w:cs="Arial"/>
          <w:sz w:val="24"/>
          <w:szCs w:val="24"/>
        </w:rPr>
        <w:t>,</w:t>
      </w:r>
      <w:r w:rsidR="00CE65B6" w:rsidRPr="00E75964">
        <w:rPr>
          <w:rFonts w:ascii="Garamond" w:hAnsi="Garamond" w:cs="Arial"/>
          <w:sz w:val="24"/>
          <w:szCs w:val="24"/>
        </w:rPr>
        <w:t xml:space="preserve"> the coefficient of the </w:t>
      </w:r>
      <w:r w:rsidR="00F56E81" w:rsidRPr="00E75964">
        <w:rPr>
          <w:rFonts w:ascii="Garamond" w:hAnsi="Garamond" w:cs="Arial"/>
          <w:sz w:val="24"/>
          <w:szCs w:val="24"/>
        </w:rPr>
        <w:t>behavior</w:t>
      </w:r>
      <w:r w:rsidR="00CE65B6" w:rsidRPr="00E75964">
        <w:rPr>
          <w:rFonts w:ascii="Garamond" w:hAnsi="Garamond" w:cs="Arial"/>
          <w:sz w:val="24"/>
          <w:szCs w:val="24"/>
        </w:rPr>
        <w:t xml:space="preserve">al variables turns out to be significantly related to </w:t>
      </w:r>
      <w:r w:rsidR="00C47A05" w:rsidRPr="00E75964">
        <w:rPr>
          <w:rFonts w:ascii="Garamond" w:hAnsi="Garamond" w:cs="Arial"/>
          <w:sz w:val="24"/>
          <w:szCs w:val="24"/>
        </w:rPr>
        <w:t xml:space="preserve">stock </w:t>
      </w:r>
      <w:r w:rsidR="00CE65B6" w:rsidRPr="00E75964">
        <w:rPr>
          <w:rFonts w:ascii="Garamond" w:hAnsi="Garamond" w:cs="Arial"/>
          <w:sz w:val="24"/>
          <w:szCs w:val="24"/>
        </w:rPr>
        <w:t>returns</w:t>
      </w:r>
      <w:r w:rsidR="00C47A05" w:rsidRPr="00E75964">
        <w:rPr>
          <w:rFonts w:ascii="Garamond" w:hAnsi="Garamond" w:cs="Arial"/>
          <w:sz w:val="24"/>
          <w:szCs w:val="24"/>
        </w:rPr>
        <w:t>. T</w:t>
      </w:r>
      <w:r w:rsidR="00CE65B6" w:rsidRPr="00E75964">
        <w:rPr>
          <w:rFonts w:ascii="Garamond" w:hAnsi="Garamond" w:cs="Arial"/>
          <w:sz w:val="24"/>
          <w:szCs w:val="24"/>
        </w:rPr>
        <w:t xml:space="preserve">hey also agree </w:t>
      </w:r>
      <w:r w:rsidR="00AA1956" w:rsidRPr="00E75964">
        <w:rPr>
          <w:rFonts w:ascii="Garamond" w:hAnsi="Garamond" w:cs="Arial"/>
          <w:sz w:val="24"/>
          <w:szCs w:val="24"/>
        </w:rPr>
        <w:t xml:space="preserve">that </w:t>
      </w:r>
      <w:r w:rsidR="00C47A05" w:rsidRPr="00E75964">
        <w:rPr>
          <w:rFonts w:ascii="Garamond" w:hAnsi="Garamond" w:cs="Arial"/>
          <w:sz w:val="24"/>
          <w:szCs w:val="24"/>
        </w:rPr>
        <w:t xml:space="preserve">this is due to </w:t>
      </w:r>
      <w:r w:rsidR="00CE65B6" w:rsidRPr="00E75964">
        <w:rPr>
          <w:rFonts w:ascii="Garamond" w:hAnsi="Garamond" w:cs="Arial"/>
          <w:sz w:val="24"/>
          <w:szCs w:val="24"/>
        </w:rPr>
        <w:t xml:space="preserve">the </w:t>
      </w:r>
      <w:r w:rsidR="00EC0E91" w:rsidRPr="00E75964">
        <w:rPr>
          <w:rFonts w:ascii="Garamond" w:hAnsi="Garamond" w:cs="Arial"/>
          <w:sz w:val="24"/>
          <w:szCs w:val="24"/>
        </w:rPr>
        <w:t>behaviour</w:t>
      </w:r>
      <w:r w:rsidR="00CE65B6" w:rsidRPr="00E75964">
        <w:rPr>
          <w:rFonts w:ascii="Garamond" w:hAnsi="Garamond" w:cs="Arial"/>
          <w:sz w:val="24"/>
          <w:szCs w:val="24"/>
        </w:rPr>
        <w:t xml:space="preserve"> of certain types of investors </w:t>
      </w:r>
      <w:r w:rsidR="00C47A05" w:rsidRPr="00E75964">
        <w:rPr>
          <w:rFonts w:ascii="Garamond" w:hAnsi="Garamond" w:cs="Arial"/>
          <w:sz w:val="24"/>
          <w:szCs w:val="24"/>
        </w:rPr>
        <w:t xml:space="preserve">that </w:t>
      </w:r>
      <w:r w:rsidR="00CE65B6" w:rsidRPr="00E75964">
        <w:rPr>
          <w:rFonts w:ascii="Garamond" w:hAnsi="Garamond" w:cs="Arial"/>
          <w:sz w:val="24"/>
          <w:szCs w:val="24"/>
        </w:rPr>
        <w:t xml:space="preserve">may affect </w:t>
      </w:r>
      <w:r w:rsidRPr="00E75964">
        <w:rPr>
          <w:rFonts w:ascii="Garamond" w:hAnsi="Garamond" w:cs="Arial"/>
          <w:sz w:val="24"/>
          <w:szCs w:val="24"/>
        </w:rPr>
        <w:t xml:space="preserve">stock </w:t>
      </w:r>
      <w:r w:rsidR="00CE65B6" w:rsidRPr="00E75964">
        <w:rPr>
          <w:rFonts w:ascii="Garamond" w:hAnsi="Garamond" w:cs="Arial"/>
          <w:sz w:val="24"/>
          <w:szCs w:val="24"/>
        </w:rPr>
        <w:t>prices after the weekend.</w:t>
      </w:r>
    </w:p>
    <w:p w14:paraId="350CDC8E" w14:textId="06DA5E83" w:rsidR="00CE65B6" w:rsidRPr="00E75964" w:rsidRDefault="00F104BC" w:rsidP="0029494E">
      <w:pPr>
        <w:pStyle w:val="Heading1"/>
        <w:spacing w:after="200" w:line="360" w:lineRule="auto"/>
        <w:rPr>
          <w:rFonts w:ascii="Garamond" w:hAnsi="Garamond"/>
          <w:color w:val="auto"/>
          <w:sz w:val="24"/>
          <w:szCs w:val="24"/>
        </w:rPr>
      </w:pPr>
      <w:bookmarkStart w:id="14" w:name="_Toc413318951"/>
      <w:r w:rsidRPr="00E75964">
        <w:rPr>
          <w:rFonts w:ascii="Garamond" w:hAnsi="Garamond"/>
          <w:color w:val="auto"/>
          <w:sz w:val="24"/>
          <w:szCs w:val="24"/>
        </w:rPr>
        <w:t>5</w:t>
      </w:r>
      <w:r w:rsidR="00A421DB" w:rsidRPr="00E75964">
        <w:rPr>
          <w:rFonts w:ascii="Garamond" w:hAnsi="Garamond"/>
          <w:color w:val="auto"/>
          <w:sz w:val="24"/>
          <w:szCs w:val="24"/>
        </w:rPr>
        <w:t>.</w:t>
      </w:r>
      <w:r w:rsidR="0029494E" w:rsidRPr="00E75964">
        <w:rPr>
          <w:rFonts w:ascii="Garamond" w:hAnsi="Garamond"/>
          <w:color w:val="auto"/>
          <w:sz w:val="24"/>
          <w:szCs w:val="24"/>
        </w:rPr>
        <w:t xml:space="preserve"> </w:t>
      </w:r>
      <w:r w:rsidR="00197CA0" w:rsidRPr="00E75964">
        <w:rPr>
          <w:rFonts w:ascii="Garamond" w:hAnsi="Garamond"/>
          <w:color w:val="auto"/>
          <w:sz w:val="24"/>
          <w:szCs w:val="24"/>
        </w:rPr>
        <w:t>Summary</w:t>
      </w:r>
      <w:bookmarkEnd w:id="14"/>
    </w:p>
    <w:p w14:paraId="7A64848A" w14:textId="5821E6FC" w:rsidR="00043923"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We have applied conditional variance approaches to investigate the weekend effect and the influence of investors’ trading </w:t>
      </w:r>
      <w:r w:rsidR="003B0E91" w:rsidRPr="00E75964">
        <w:rPr>
          <w:rFonts w:ascii="Garamond" w:hAnsi="Garamond"/>
          <w:sz w:val="24"/>
          <w:szCs w:val="24"/>
        </w:rPr>
        <w:t>behaviour</w:t>
      </w:r>
      <w:r w:rsidRPr="00E75964">
        <w:rPr>
          <w:rFonts w:ascii="Garamond" w:hAnsi="Garamond"/>
          <w:sz w:val="24"/>
          <w:szCs w:val="24"/>
        </w:rPr>
        <w:t xml:space="preserve"> on returns and volatility on the Dhaka Stock Exchange. This anomaly is extensively documented in previous studies for developed and </w:t>
      </w:r>
      <w:r w:rsidR="00F56E81" w:rsidRPr="00E75964">
        <w:rPr>
          <w:rFonts w:ascii="Garamond" w:hAnsi="Garamond"/>
          <w:sz w:val="24"/>
          <w:szCs w:val="24"/>
        </w:rPr>
        <w:t>some</w:t>
      </w:r>
      <w:r w:rsidRPr="00E75964">
        <w:rPr>
          <w:rFonts w:ascii="Garamond" w:hAnsi="Garamond"/>
          <w:sz w:val="24"/>
          <w:szCs w:val="24"/>
        </w:rPr>
        <w:t xml:space="preserve"> emerging equity and non-equity markets</w:t>
      </w:r>
      <w:r w:rsidR="007E1242">
        <w:rPr>
          <w:rFonts w:ascii="Garamond" w:hAnsi="Garamond"/>
          <w:sz w:val="24"/>
          <w:szCs w:val="24"/>
        </w:rPr>
        <w:t>,</w:t>
      </w:r>
      <w:r w:rsidR="003B0E91" w:rsidRPr="00E75964">
        <w:rPr>
          <w:rFonts w:ascii="Garamond" w:hAnsi="Garamond"/>
          <w:sz w:val="24"/>
          <w:szCs w:val="24"/>
        </w:rPr>
        <w:t xml:space="preserve"> but very little has been doc</w:t>
      </w:r>
      <w:r w:rsidR="00F03174" w:rsidRPr="00E75964">
        <w:rPr>
          <w:rFonts w:ascii="Garamond" w:hAnsi="Garamond"/>
          <w:sz w:val="24"/>
          <w:szCs w:val="24"/>
        </w:rPr>
        <w:t>umented for emerging Islamic mar</w:t>
      </w:r>
      <w:r w:rsidR="003B0E91" w:rsidRPr="00E75964">
        <w:rPr>
          <w:rFonts w:ascii="Garamond" w:hAnsi="Garamond"/>
          <w:sz w:val="24"/>
          <w:szCs w:val="24"/>
        </w:rPr>
        <w:t>kets</w:t>
      </w:r>
      <w:r w:rsidRPr="00E75964">
        <w:rPr>
          <w:rFonts w:ascii="Garamond" w:hAnsi="Garamond"/>
          <w:sz w:val="24"/>
          <w:szCs w:val="24"/>
        </w:rPr>
        <w:t xml:space="preserve">. </w:t>
      </w:r>
    </w:p>
    <w:p w14:paraId="714C7950" w14:textId="1F4ABBC9" w:rsidR="00043923" w:rsidRPr="00E75964" w:rsidRDefault="006C46CD" w:rsidP="00CD604B">
      <w:pPr>
        <w:spacing w:line="360" w:lineRule="auto"/>
        <w:jc w:val="both"/>
        <w:rPr>
          <w:rFonts w:ascii="Garamond" w:hAnsi="Garamond"/>
          <w:sz w:val="24"/>
          <w:szCs w:val="24"/>
        </w:rPr>
      </w:pPr>
      <w:r w:rsidRPr="00E75964">
        <w:rPr>
          <w:rFonts w:ascii="Garamond" w:hAnsi="Garamond"/>
          <w:sz w:val="24"/>
          <w:szCs w:val="24"/>
        </w:rPr>
        <w:t xml:space="preserve">Using daily market data </w:t>
      </w:r>
      <w:r w:rsidR="00056139" w:rsidRPr="00E75964">
        <w:rPr>
          <w:rFonts w:ascii="Garamond" w:hAnsi="Garamond"/>
          <w:sz w:val="24"/>
          <w:szCs w:val="24"/>
        </w:rPr>
        <w:t xml:space="preserve">from </w:t>
      </w:r>
      <w:r w:rsidR="00CE65B6" w:rsidRPr="00E75964">
        <w:rPr>
          <w:rFonts w:ascii="Garamond" w:hAnsi="Garamond"/>
          <w:sz w:val="24"/>
          <w:szCs w:val="24"/>
        </w:rPr>
        <w:t>January 200</w:t>
      </w:r>
      <w:r w:rsidR="004E44E2" w:rsidRPr="00E75964">
        <w:rPr>
          <w:rFonts w:ascii="Garamond" w:hAnsi="Garamond"/>
          <w:sz w:val="24"/>
          <w:szCs w:val="24"/>
        </w:rPr>
        <w:t>1</w:t>
      </w:r>
      <w:r w:rsidR="00CE65B6" w:rsidRPr="00E75964">
        <w:rPr>
          <w:rFonts w:ascii="Garamond" w:hAnsi="Garamond"/>
          <w:sz w:val="24"/>
          <w:szCs w:val="24"/>
        </w:rPr>
        <w:t xml:space="preserve"> to </w:t>
      </w:r>
      <w:r w:rsidR="00F56E81" w:rsidRPr="00E75964">
        <w:rPr>
          <w:rFonts w:ascii="Garamond" w:hAnsi="Garamond"/>
          <w:sz w:val="24"/>
          <w:szCs w:val="24"/>
        </w:rPr>
        <w:t>June 201</w:t>
      </w:r>
      <w:r w:rsidR="004E44E2" w:rsidRPr="00E75964">
        <w:rPr>
          <w:rFonts w:ascii="Garamond" w:hAnsi="Garamond"/>
          <w:sz w:val="24"/>
          <w:szCs w:val="24"/>
        </w:rPr>
        <w:t>9</w:t>
      </w:r>
      <w:r w:rsidRPr="00E75964">
        <w:rPr>
          <w:rFonts w:ascii="Garamond" w:hAnsi="Garamond"/>
          <w:sz w:val="24"/>
          <w:szCs w:val="24"/>
        </w:rPr>
        <w:t xml:space="preserve">, we have found several interesting results that contributes to the literature. </w:t>
      </w:r>
      <w:r w:rsidR="00CE65B6" w:rsidRPr="00E75964">
        <w:rPr>
          <w:rFonts w:ascii="Garamond" w:hAnsi="Garamond"/>
          <w:sz w:val="24"/>
          <w:szCs w:val="24"/>
        </w:rPr>
        <w:t xml:space="preserve">First, following the trading time hypothesis of French (1980), we find that the day-of-the-week pattern exists in returns following information content theory. Mean stock returns are not the same across the weekdays: Sunday’s returns are significantly negative compared to the other trading days. Unlike most other markets the DSE operates from Sunday to Thursday; hence there is a “Sunday Effect”. Second, we have applied a conditional variance model using daily returns series and document a weekend effect on volatility. </w:t>
      </w:r>
      <w:r w:rsidR="00E16AB1" w:rsidRPr="00E75964">
        <w:rPr>
          <w:rFonts w:ascii="Garamond" w:hAnsi="Garamond"/>
          <w:sz w:val="24"/>
          <w:szCs w:val="24"/>
        </w:rPr>
        <w:t xml:space="preserve">The day-of-the-week dummy for </w:t>
      </w:r>
      <w:r w:rsidR="00CE65B6" w:rsidRPr="00E75964">
        <w:rPr>
          <w:rFonts w:ascii="Garamond" w:hAnsi="Garamond"/>
          <w:sz w:val="24"/>
          <w:szCs w:val="24"/>
        </w:rPr>
        <w:t xml:space="preserve">Sunday is statistically significant for both returns and variance equations under both GJR-GARCH and CGARCH (1, 1) specifications. These findings support the arguments of Clark (1973), Kyle (1985), and Schwert (1990) that stock market variance is positively linked to trading volume. On the Dhaka Stock Exchange the average trading volume is highest on Wednesday and the next highest volume is on Sunday. Hence heavy trading might be the reason for the “weekend </w:t>
      </w:r>
      <w:r w:rsidR="00CE65B6" w:rsidRPr="00E75964">
        <w:rPr>
          <w:rFonts w:ascii="Garamond" w:hAnsi="Garamond"/>
          <w:sz w:val="24"/>
          <w:szCs w:val="24"/>
        </w:rPr>
        <w:lastRenderedPageBreak/>
        <w:t xml:space="preserve">effect” and the “reverse mid-week effect” we have found on Sunday and Wednesday respectively. Earnings and macroeconomic announcements are often disclosed on the DSE on Thursday and over the weekend. Most investors might therefore take long or short positions on Wednesday as they try to predict the announcement, then reshuffle their positions on Sunday based on the details of the announcement. As French and Roll (1986) and Barclay et al. (1990) observed, returns variance may be highest on the first day of the trading week because investors have their maximum information advantage to trade then. </w:t>
      </w:r>
    </w:p>
    <w:p w14:paraId="0CCB2DF0" w14:textId="69D621F3" w:rsidR="00CE65B6"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Third, we find that the trading pattern of individual investors influences the weekend effect. Sunday returns tend to be negative for smaller firms and firms with a low dividend yield, where individuals tend to have greater holdings than institutions. The equity variance is also found to be significantly higher on Sunday. These results are consistent with previous studies, </w:t>
      </w:r>
      <w:r w:rsidR="00E14B5B" w:rsidRPr="00E75964">
        <w:rPr>
          <w:rFonts w:ascii="Garamond" w:hAnsi="Garamond"/>
          <w:sz w:val="24"/>
          <w:szCs w:val="24"/>
        </w:rPr>
        <w:t>e.g.</w:t>
      </w:r>
      <w:r w:rsidRPr="00E75964">
        <w:rPr>
          <w:rFonts w:ascii="Garamond" w:hAnsi="Garamond"/>
          <w:sz w:val="24"/>
          <w:szCs w:val="24"/>
        </w:rPr>
        <w:t xml:space="preserve"> Gibbon</w:t>
      </w:r>
      <w:r w:rsidR="00D33ECD" w:rsidRPr="00E75964">
        <w:rPr>
          <w:rFonts w:ascii="Garamond" w:hAnsi="Garamond"/>
          <w:sz w:val="24"/>
          <w:szCs w:val="24"/>
        </w:rPr>
        <w:t>s</w:t>
      </w:r>
      <w:r w:rsidRPr="00E75964">
        <w:rPr>
          <w:rFonts w:ascii="Garamond" w:hAnsi="Garamond"/>
          <w:sz w:val="24"/>
          <w:szCs w:val="24"/>
        </w:rPr>
        <w:t xml:space="preserve"> and Hess (1981), Keim and Stambaugh (1984), Abraham and Ikenberry (1994), Kamara (1997), Brusa et al. (2000) and Chan et al. (2005)</w:t>
      </w:r>
      <w:r w:rsidR="007E1242">
        <w:rPr>
          <w:rFonts w:ascii="Garamond" w:hAnsi="Garamond"/>
          <w:sz w:val="24"/>
          <w:szCs w:val="24"/>
        </w:rPr>
        <w:t>,</w:t>
      </w:r>
      <w:r w:rsidRPr="00E75964">
        <w:rPr>
          <w:rFonts w:ascii="Garamond" w:hAnsi="Garamond"/>
          <w:sz w:val="24"/>
          <w:szCs w:val="24"/>
        </w:rPr>
        <w:t xml:space="preserve"> even though the DSE is dominated by individuals, as are the Shanghai and Shenzhen markets. In a market dominated by individual investors the weekend effect is stronger for smaller firms than larger companies. To explain the dynamics Abraham and Ikenberry (1994) assert that the weekend phenomenon is more complex than has been previously reported, and appears to be influenced by the trading </w:t>
      </w:r>
      <w:r w:rsidR="00EC0E91" w:rsidRPr="00E75964">
        <w:rPr>
          <w:rFonts w:ascii="Garamond" w:hAnsi="Garamond"/>
          <w:sz w:val="24"/>
          <w:szCs w:val="24"/>
        </w:rPr>
        <w:t>behaviour</w:t>
      </w:r>
      <w:r w:rsidRPr="00E75964">
        <w:rPr>
          <w:rFonts w:ascii="Garamond" w:hAnsi="Garamond"/>
          <w:sz w:val="24"/>
          <w:szCs w:val="24"/>
        </w:rPr>
        <w:t xml:space="preserve"> of individual investors. In addition, this result validates the argument that regardless </w:t>
      </w:r>
      <w:r w:rsidR="00306D91" w:rsidRPr="00E75964">
        <w:rPr>
          <w:rFonts w:ascii="Garamond" w:hAnsi="Garamond"/>
          <w:sz w:val="24"/>
          <w:szCs w:val="24"/>
        </w:rPr>
        <w:t>of</w:t>
      </w:r>
      <w:r w:rsidRPr="00E75964">
        <w:rPr>
          <w:rFonts w:ascii="Garamond" w:hAnsi="Garamond"/>
          <w:sz w:val="24"/>
          <w:szCs w:val="24"/>
        </w:rPr>
        <w:t xml:space="preserve"> the size of </w:t>
      </w:r>
      <w:r w:rsidR="00306D91" w:rsidRPr="00E75964">
        <w:rPr>
          <w:rFonts w:ascii="Garamond" w:hAnsi="Garamond"/>
          <w:sz w:val="24"/>
          <w:szCs w:val="24"/>
        </w:rPr>
        <w:t xml:space="preserve">the </w:t>
      </w:r>
      <w:r w:rsidRPr="00E75964">
        <w:rPr>
          <w:rFonts w:ascii="Garamond" w:hAnsi="Garamond"/>
          <w:sz w:val="24"/>
          <w:szCs w:val="24"/>
        </w:rPr>
        <w:t xml:space="preserve">economy and </w:t>
      </w:r>
      <w:r w:rsidR="00306D91" w:rsidRPr="00E75964">
        <w:rPr>
          <w:rFonts w:ascii="Garamond" w:hAnsi="Garamond"/>
          <w:sz w:val="24"/>
          <w:szCs w:val="24"/>
        </w:rPr>
        <w:t>its</w:t>
      </w:r>
      <w:r w:rsidRPr="00E75964">
        <w:rPr>
          <w:rFonts w:ascii="Garamond" w:hAnsi="Garamond"/>
          <w:sz w:val="24"/>
          <w:szCs w:val="24"/>
        </w:rPr>
        <w:t xml:space="preserve"> firms, investors’ preference to</w:t>
      </w:r>
      <w:r w:rsidR="00306D91" w:rsidRPr="00E75964">
        <w:rPr>
          <w:rFonts w:ascii="Garamond" w:hAnsi="Garamond"/>
          <w:sz w:val="24"/>
          <w:szCs w:val="24"/>
        </w:rPr>
        <w:t>wards</w:t>
      </w:r>
      <w:r w:rsidRPr="00E75964">
        <w:rPr>
          <w:rFonts w:ascii="Garamond" w:hAnsi="Garamond"/>
          <w:sz w:val="24"/>
          <w:szCs w:val="24"/>
        </w:rPr>
        <w:t xml:space="preserve"> small versus large stocks still influence</w:t>
      </w:r>
      <w:r w:rsidR="00306D91" w:rsidRPr="00E75964">
        <w:rPr>
          <w:rFonts w:ascii="Garamond" w:hAnsi="Garamond"/>
          <w:sz w:val="24"/>
          <w:szCs w:val="24"/>
        </w:rPr>
        <w:t>s</w:t>
      </w:r>
      <w:r w:rsidRPr="00E75964">
        <w:rPr>
          <w:rFonts w:ascii="Garamond" w:hAnsi="Garamond"/>
          <w:sz w:val="24"/>
          <w:szCs w:val="24"/>
        </w:rPr>
        <w:t xml:space="preserve"> the weekend effect.   </w:t>
      </w:r>
    </w:p>
    <w:p w14:paraId="69AE1A37" w14:textId="56E167B4" w:rsidR="00E004A0" w:rsidRPr="00E75964" w:rsidRDefault="00CE65B6" w:rsidP="00CD604B">
      <w:pPr>
        <w:spacing w:line="360" w:lineRule="auto"/>
        <w:jc w:val="both"/>
        <w:rPr>
          <w:rFonts w:ascii="Garamond" w:hAnsi="Garamond"/>
          <w:sz w:val="24"/>
          <w:szCs w:val="24"/>
        </w:rPr>
      </w:pPr>
      <w:r w:rsidRPr="00E75964">
        <w:rPr>
          <w:rFonts w:ascii="Garamond" w:hAnsi="Garamond"/>
          <w:sz w:val="24"/>
          <w:szCs w:val="24"/>
        </w:rPr>
        <w:t xml:space="preserve">Fourth, </w:t>
      </w:r>
      <w:r w:rsidR="004E5545" w:rsidRPr="00E75964">
        <w:rPr>
          <w:rFonts w:ascii="Garamond" w:hAnsi="Garamond"/>
          <w:sz w:val="24"/>
          <w:szCs w:val="24"/>
        </w:rPr>
        <w:t>in our robustness te</w:t>
      </w:r>
      <w:r w:rsidR="00F35530" w:rsidRPr="00E75964">
        <w:rPr>
          <w:rFonts w:ascii="Garamond" w:hAnsi="Garamond"/>
          <w:sz w:val="24"/>
          <w:szCs w:val="24"/>
        </w:rPr>
        <w:t>s</w:t>
      </w:r>
      <w:r w:rsidR="004E5545" w:rsidRPr="00E75964">
        <w:rPr>
          <w:rFonts w:ascii="Garamond" w:hAnsi="Garamond"/>
          <w:sz w:val="24"/>
          <w:szCs w:val="24"/>
        </w:rPr>
        <w:t xml:space="preserve">t, </w:t>
      </w:r>
      <w:r w:rsidRPr="00E75964">
        <w:rPr>
          <w:rFonts w:ascii="Garamond" w:hAnsi="Garamond"/>
          <w:sz w:val="24"/>
          <w:szCs w:val="24"/>
        </w:rPr>
        <w:t xml:space="preserve">we have identified a positive feedback relationship between Sunday returns and the returns of </w:t>
      </w:r>
      <w:r w:rsidR="007E1242">
        <w:rPr>
          <w:rFonts w:ascii="Garamond" w:hAnsi="Garamond"/>
          <w:sz w:val="24"/>
          <w:szCs w:val="24"/>
        </w:rPr>
        <w:t xml:space="preserve">the </w:t>
      </w:r>
      <w:r w:rsidRPr="00E75964">
        <w:rPr>
          <w:rFonts w:ascii="Garamond" w:hAnsi="Garamond"/>
          <w:sz w:val="24"/>
          <w:szCs w:val="24"/>
        </w:rPr>
        <w:t xml:space="preserve">previous Thursday. This pattern is also a function of firm size, where small and mid-sized firms show a stronger conditional effect between Thursday and Sunday. This conditional relationship adds weight to our argument about individual investors’ </w:t>
      </w:r>
      <w:r w:rsidR="00EC0E91" w:rsidRPr="00E75964">
        <w:rPr>
          <w:rFonts w:ascii="Garamond" w:hAnsi="Garamond"/>
          <w:sz w:val="24"/>
          <w:szCs w:val="24"/>
        </w:rPr>
        <w:t>behaviour</w:t>
      </w:r>
      <w:r w:rsidRPr="00E75964">
        <w:rPr>
          <w:rFonts w:ascii="Garamond" w:hAnsi="Garamond"/>
          <w:sz w:val="24"/>
          <w:szCs w:val="24"/>
        </w:rPr>
        <w:t xml:space="preserve"> (Abraham and Ikenberry, 1994; Brusa et al. 2005). We also document the feedback effect between Thursday-Sunday returns residuals. This means that the Sunday returns variance is substantially influenced by the variance of </w:t>
      </w:r>
      <w:r w:rsidR="00F56E81" w:rsidRPr="00E75964">
        <w:rPr>
          <w:rFonts w:ascii="Garamond" w:hAnsi="Garamond"/>
          <w:sz w:val="24"/>
          <w:szCs w:val="24"/>
        </w:rPr>
        <w:t xml:space="preserve">the </w:t>
      </w:r>
      <w:r w:rsidRPr="00E75964">
        <w:rPr>
          <w:rFonts w:ascii="Garamond" w:hAnsi="Garamond"/>
          <w:sz w:val="24"/>
          <w:szCs w:val="24"/>
        </w:rPr>
        <w:t xml:space="preserve">previous Thursday. Finally, </w:t>
      </w:r>
      <w:r w:rsidR="00E004A0" w:rsidRPr="00E75964">
        <w:rPr>
          <w:rFonts w:ascii="Garamond" w:hAnsi="Garamond"/>
          <w:sz w:val="24"/>
          <w:szCs w:val="24"/>
        </w:rPr>
        <w:t xml:space="preserve">we find from </w:t>
      </w:r>
      <w:r w:rsidR="00F35530" w:rsidRPr="00E75964">
        <w:rPr>
          <w:rFonts w:ascii="Garamond" w:hAnsi="Garamond"/>
          <w:sz w:val="24"/>
          <w:szCs w:val="24"/>
        </w:rPr>
        <w:t xml:space="preserve">another </w:t>
      </w:r>
      <w:r w:rsidR="00E004A0" w:rsidRPr="00E75964">
        <w:rPr>
          <w:rFonts w:ascii="Garamond" w:hAnsi="Garamond"/>
          <w:sz w:val="24"/>
          <w:szCs w:val="24"/>
        </w:rPr>
        <w:t>robustness test that returns and volatility of Sunday</w:t>
      </w:r>
      <w:r w:rsidR="00F56E81" w:rsidRPr="00E75964">
        <w:rPr>
          <w:rFonts w:ascii="Garamond" w:hAnsi="Garamond"/>
          <w:sz w:val="24"/>
          <w:szCs w:val="24"/>
        </w:rPr>
        <w:t>s</w:t>
      </w:r>
      <w:r w:rsidR="00E004A0" w:rsidRPr="00E75964">
        <w:rPr>
          <w:rFonts w:ascii="Garamond" w:hAnsi="Garamond"/>
          <w:sz w:val="24"/>
          <w:szCs w:val="24"/>
        </w:rPr>
        <w:t xml:space="preserve"> during </w:t>
      </w:r>
      <w:r w:rsidR="00F56E81" w:rsidRPr="00E75964">
        <w:rPr>
          <w:rFonts w:ascii="Garamond" w:hAnsi="Garamond"/>
          <w:sz w:val="24"/>
          <w:szCs w:val="24"/>
        </w:rPr>
        <w:t xml:space="preserve">the </w:t>
      </w:r>
      <w:r w:rsidR="00E004A0" w:rsidRPr="00E75964">
        <w:rPr>
          <w:rFonts w:ascii="Garamond" w:hAnsi="Garamond"/>
          <w:sz w:val="24"/>
          <w:szCs w:val="24"/>
        </w:rPr>
        <w:t xml:space="preserve">Ramadan period </w:t>
      </w:r>
      <w:r w:rsidR="00F56E81" w:rsidRPr="00E75964">
        <w:rPr>
          <w:rFonts w:ascii="Garamond" w:hAnsi="Garamond"/>
          <w:sz w:val="24"/>
          <w:szCs w:val="24"/>
        </w:rPr>
        <w:t>are</w:t>
      </w:r>
      <w:r w:rsidR="00E004A0" w:rsidRPr="00E75964">
        <w:rPr>
          <w:rFonts w:ascii="Garamond" w:hAnsi="Garamond"/>
          <w:sz w:val="24"/>
          <w:szCs w:val="24"/>
        </w:rPr>
        <w:t xml:space="preserve"> not significantly different </w:t>
      </w:r>
      <w:r w:rsidR="00F56E81" w:rsidRPr="00E75964">
        <w:rPr>
          <w:rFonts w:ascii="Garamond" w:hAnsi="Garamond"/>
          <w:sz w:val="24"/>
          <w:szCs w:val="24"/>
        </w:rPr>
        <w:t xml:space="preserve">from </w:t>
      </w:r>
      <w:r w:rsidR="00E004A0" w:rsidRPr="00E75964">
        <w:rPr>
          <w:rFonts w:ascii="Garamond" w:hAnsi="Garamond"/>
          <w:sz w:val="24"/>
          <w:szCs w:val="24"/>
        </w:rPr>
        <w:t>tha</w:t>
      </w:r>
      <w:r w:rsidR="00F56E81" w:rsidRPr="00E75964">
        <w:rPr>
          <w:rFonts w:ascii="Garamond" w:hAnsi="Garamond"/>
          <w:sz w:val="24"/>
          <w:szCs w:val="24"/>
        </w:rPr>
        <w:t>t</w:t>
      </w:r>
      <w:r w:rsidR="00E004A0" w:rsidRPr="00E75964">
        <w:rPr>
          <w:rFonts w:ascii="Garamond" w:hAnsi="Garamond"/>
          <w:sz w:val="24"/>
          <w:szCs w:val="24"/>
        </w:rPr>
        <w:t xml:space="preserve"> </w:t>
      </w:r>
      <w:r w:rsidR="00F56E81" w:rsidRPr="00E75964">
        <w:rPr>
          <w:rFonts w:ascii="Garamond" w:hAnsi="Garamond"/>
          <w:sz w:val="24"/>
          <w:szCs w:val="24"/>
        </w:rPr>
        <w:t xml:space="preserve">of </w:t>
      </w:r>
      <w:r w:rsidR="00E004A0" w:rsidRPr="00E75964">
        <w:rPr>
          <w:rFonts w:ascii="Garamond" w:hAnsi="Garamond"/>
          <w:sz w:val="24"/>
          <w:szCs w:val="24"/>
        </w:rPr>
        <w:t xml:space="preserve">non-Ramadan </w:t>
      </w:r>
      <w:r w:rsidR="00F56E81" w:rsidRPr="00E75964">
        <w:rPr>
          <w:rFonts w:ascii="Garamond" w:hAnsi="Garamond"/>
          <w:sz w:val="24"/>
          <w:szCs w:val="24"/>
        </w:rPr>
        <w:t>Sundays</w:t>
      </w:r>
      <w:r w:rsidR="00E004A0" w:rsidRPr="00E75964">
        <w:rPr>
          <w:rFonts w:ascii="Garamond" w:hAnsi="Garamond"/>
          <w:sz w:val="24"/>
          <w:szCs w:val="24"/>
        </w:rPr>
        <w:t xml:space="preserve">. Moreover, </w:t>
      </w:r>
      <w:r w:rsidR="00E952CB" w:rsidRPr="00E75964">
        <w:rPr>
          <w:rFonts w:ascii="Garamond" w:hAnsi="Garamond"/>
          <w:sz w:val="24"/>
          <w:szCs w:val="24"/>
        </w:rPr>
        <w:t>there</w:t>
      </w:r>
      <w:r w:rsidR="00E004A0" w:rsidRPr="00E75964">
        <w:rPr>
          <w:rFonts w:ascii="Garamond" w:hAnsi="Garamond"/>
          <w:sz w:val="24"/>
          <w:szCs w:val="24"/>
        </w:rPr>
        <w:t xml:space="preserve"> is no weekend effect found in </w:t>
      </w:r>
      <w:r w:rsidR="00F56E81" w:rsidRPr="00E75964">
        <w:rPr>
          <w:rFonts w:ascii="Garamond" w:hAnsi="Garamond"/>
          <w:sz w:val="24"/>
          <w:szCs w:val="24"/>
        </w:rPr>
        <w:t xml:space="preserve">the </w:t>
      </w:r>
      <w:r w:rsidR="00E004A0" w:rsidRPr="00E75964">
        <w:rPr>
          <w:rFonts w:ascii="Garamond" w:hAnsi="Garamond"/>
          <w:sz w:val="24"/>
          <w:szCs w:val="24"/>
        </w:rPr>
        <w:t>DSE 20 index, which confirms that negative returns and higher volatilities on Sunday are the results of trading of small firms.</w:t>
      </w:r>
    </w:p>
    <w:p w14:paraId="7ECA7070" w14:textId="5AFC9187" w:rsidR="0022463B" w:rsidRPr="00E75964" w:rsidRDefault="00435318" w:rsidP="00ED76A6">
      <w:pPr>
        <w:spacing w:line="360" w:lineRule="auto"/>
        <w:jc w:val="both"/>
        <w:rPr>
          <w:rFonts w:ascii="Garamond" w:hAnsi="Garamond"/>
          <w:sz w:val="24"/>
          <w:szCs w:val="24"/>
        </w:rPr>
      </w:pPr>
      <w:r w:rsidRPr="00E75964">
        <w:rPr>
          <w:rFonts w:ascii="Garamond" w:hAnsi="Garamond"/>
          <w:sz w:val="24"/>
          <w:szCs w:val="24"/>
        </w:rPr>
        <w:t xml:space="preserve">We have provided strong evidence of a weekend effect on both returns and volatility in this important Islamic market. </w:t>
      </w:r>
      <w:r w:rsidR="00933454" w:rsidRPr="00E75964">
        <w:rPr>
          <w:rFonts w:ascii="Garamond" w:hAnsi="Garamond"/>
          <w:sz w:val="24"/>
          <w:szCs w:val="24"/>
        </w:rPr>
        <w:t>T</w:t>
      </w:r>
      <w:r w:rsidRPr="00E75964">
        <w:rPr>
          <w:rFonts w:ascii="Garamond" w:hAnsi="Garamond"/>
          <w:sz w:val="24"/>
          <w:szCs w:val="24"/>
        </w:rPr>
        <w:t xml:space="preserve">he effects happen on a Sunday which is the first day of the </w:t>
      </w:r>
      <w:r w:rsidR="00933454" w:rsidRPr="00E75964">
        <w:rPr>
          <w:rFonts w:ascii="Garamond" w:hAnsi="Garamond"/>
          <w:sz w:val="24"/>
          <w:szCs w:val="24"/>
        </w:rPr>
        <w:t xml:space="preserve">Bangladesh </w:t>
      </w:r>
      <w:r w:rsidRPr="00E75964">
        <w:rPr>
          <w:rFonts w:ascii="Garamond" w:hAnsi="Garamond"/>
          <w:sz w:val="24"/>
          <w:szCs w:val="24"/>
        </w:rPr>
        <w:t>working week</w:t>
      </w:r>
      <w:r w:rsidR="00933454" w:rsidRPr="00E75964">
        <w:rPr>
          <w:rFonts w:ascii="Garamond" w:hAnsi="Garamond"/>
          <w:sz w:val="24"/>
          <w:szCs w:val="24"/>
        </w:rPr>
        <w:t xml:space="preserve">. Since it is mainly those companies that are particularly popular with private </w:t>
      </w:r>
      <w:r w:rsidR="00933454" w:rsidRPr="00E75964">
        <w:rPr>
          <w:rFonts w:ascii="Garamond" w:hAnsi="Garamond"/>
          <w:sz w:val="24"/>
          <w:szCs w:val="24"/>
        </w:rPr>
        <w:lastRenderedPageBreak/>
        <w:t>investors (small size and low dividend yield) that are most affected, the evidence suggests that</w:t>
      </w:r>
      <w:r w:rsidRPr="00E75964">
        <w:rPr>
          <w:rFonts w:ascii="Garamond" w:hAnsi="Garamond"/>
          <w:sz w:val="24"/>
          <w:szCs w:val="24"/>
        </w:rPr>
        <w:t xml:space="preserve"> the </w:t>
      </w:r>
      <w:r w:rsidR="00933454" w:rsidRPr="00E75964">
        <w:rPr>
          <w:rFonts w:ascii="Garamond" w:hAnsi="Garamond"/>
          <w:sz w:val="24"/>
          <w:szCs w:val="24"/>
        </w:rPr>
        <w:t>effects are due to ‘information content theory’ and the ‘information processing hypothesis’ working on individual investors. Depending on trading costs, these results could be used to develop profitable trading strategies, both for local investors and international investors who wish to diversify into a market that is not strongly correlated with developed markets.</w:t>
      </w:r>
    </w:p>
    <w:p w14:paraId="50820CE9" w14:textId="77777777" w:rsidR="006C46CD" w:rsidRPr="00E75964" w:rsidRDefault="006C46CD" w:rsidP="00141340">
      <w:pPr>
        <w:spacing w:line="360" w:lineRule="auto"/>
        <w:rPr>
          <w:rFonts w:ascii="Garamond" w:hAnsi="Garamond"/>
          <w:b/>
          <w:sz w:val="24"/>
          <w:szCs w:val="24"/>
        </w:rPr>
      </w:pPr>
    </w:p>
    <w:p w14:paraId="37486AF4" w14:textId="77777777" w:rsidR="00173F58" w:rsidRPr="00E75964" w:rsidRDefault="00173F58" w:rsidP="00173F58">
      <w:pPr>
        <w:spacing w:line="360" w:lineRule="auto"/>
        <w:jc w:val="both"/>
        <w:rPr>
          <w:rFonts w:ascii="Garamond" w:hAnsi="Garamond"/>
          <w:b/>
          <w:sz w:val="24"/>
          <w:szCs w:val="24"/>
        </w:rPr>
      </w:pPr>
      <w:r w:rsidRPr="00E75964">
        <w:rPr>
          <w:rFonts w:ascii="Garamond" w:hAnsi="Garamond"/>
          <w:b/>
          <w:sz w:val="24"/>
          <w:szCs w:val="24"/>
        </w:rPr>
        <w:t>References</w:t>
      </w:r>
    </w:p>
    <w:p w14:paraId="703BECA0" w14:textId="77777777" w:rsidR="00173F58" w:rsidRPr="00E75964" w:rsidRDefault="00173F58" w:rsidP="005B3A4D">
      <w:pPr>
        <w:autoSpaceDE w:val="0"/>
        <w:autoSpaceDN w:val="0"/>
        <w:adjustRightInd w:val="0"/>
        <w:spacing w:line="360" w:lineRule="auto"/>
        <w:jc w:val="both"/>
        <w:rPr>
          <w:rFonts w:ascii="Garamond" w:hAnsi="Garamond"/>
          <w:sz w:val="24"/>
          <w:szCs w:val="24"/>
        </w:rPr>
      </w:pPr>
      <w:r w:rsidRPr="00E75964">
        <w:rPr>
          <w:rFonts w:ascii="Garamond" w:hAnsi="Garamond"/>
          <w:sz w:val="24"/>
          <w:szCs w:val="24"/>
        </w:rPr>
        <w:t xml:space="preserve">Abraham, A., &amp; Ikenberry, D.L. (1994). The individual investor and the weekend effect. </w:t>
      </w:r>
      <w:r w:rsidRPr="00E75964">
        <w:rPr>
          <w:rFonts w:ascii="Garamond" w:hAnsi="Garamond"/>
          <w:i/>
          <w:sz w:val="24"/>
          <w:szCs w:val="24"/>
        </w:rPr>
        <w:t>Journal of Financial and Quantitative Analysis</w:t>
      </w:r>
      <w:r w:rsidRPr="00E75964">
        <w:rPr>
          <w:rFonts w:ascii="Garamond" w:hAnsi="Garamond"/>
          <w:sz w:val="24"/>
          <w:szCs w:val="24"/>
        </w:rPr>
        <w:t>, 29(2), 263-277.</w:t>
      </w:r>
    </w:p>
    <w:p w14:paraId="115A613D" w14:textId="78B66974" w:rsidR="00990024" w:rsidRPr="00E75964" w:rsidRDefault="00990024" w:rsidP="005E7D78">
      <w:pPr>
        <w:spacing w:line="360" w:lineRule="auto"/>
        <w:jc w:val="both"/>
        <w:rPr>
          <w:rFonts w:ascii="Garamond" w:hAnsi="Garamond"/>
          <w:sz w:val="24"/>
          <w:szCs w:val="24"/>
        </w:rPr>
      </w:pPr>
      <w:r w:rsidRPr="00E75964">
        <w:rPr>
          <w:rFonts w:ascii="Garamond" w:hAnsi="Garamond"/>
          <w:sz w:val="24"/>
          <w:szCs w:val="24"/>
        </w:rPr>
        <w:t xml:space="preserve">Agrawal, A. and Tandon, K. (1994). Anomalies or illusions evidence of stock markets in 18 countries. </w:t>
      </w:r>
      <w:r w:rsidRPr="00E75964">
        <w:rPr>
          <w:rFonts w:ascii="Garamond" w:hAnsi="Garamond"/>
          <w:i/>
          <w:iCs/>
          <w:sz w:val="24"/>
          <w:szCs w:val="24"/>
        </w:rPr>
        <w:t>Journal of International Money and Finance</w:t>
      </w:r>
      <w:r w:rsidRPr="00E75964">
        <w:rPr>
          <w:rFonts w:ascii="Garamond" w:hAnsi="Garamond"/>
          <w:sz w:val="24"/>
          <w:szCs w:val="24"/>
        </w:rPr>
        <w:t>, 13(1), 83 – 106.</w:t>
      </w:r>
    </w:p>
    <w:p w14:paraId="14E437A4" w14:textId="213BE203" w:rsidR="00074E63" w:rsidRPr="00E75964" w:rsidRDefault="00074E63" w:rsidP="005E7D78">
      <w:pPr>
        <w:spacing w:line="360" w:lineRule="auto"/>
        <w:jc w:val="both"/>
        <w:rPr>
          <w:rFonts w:ascii="Garamond" w:hAnsi="Garamond"/>
          <w:sz w:val="24"/>
          <w:szCs w:val="24"/>
        </w:rPr>
      </w:pPr>
      <w:r w:rsidRPr="00E75964">
        <w:rPr>
          <w:rFonts w:ascii="Garamond" w:hAnsi="Garamond"/>
          <w:sz w:val="24"/>
          <w:szCs w:val="24"/>
        </w:rPr>
        <w:t xml:space="preserve">Ahmed, W.M.A. (2018). How do Islamic versus conventional equity markets react to political risk? Dynamic panel evidence. </w:t>
      </w:r>
      <w:r w:rsidRPr="00E75964">
        <w:rPr>
          <w:rFonts w:ascii="Garamond" w:hAnsi="Garamond"/>
          <w:i/>
          <w:sz w:val="24"/>
          <w:szCs w:val="24"/>
        </w:rPr>
        <w:t>International Economics,</w:t>
      </w:r>
      <w:r w:rsidRPr="00E75964">
        <w:rPr>
          <w:rFonts w:ascii="Garamond" w:hAnsi="Garamond"/>
          <w:sz w:val="24"/>
          <w:szCs w:val="24"/>
        </w:rPr>
        <w:t xml:space="preserve"> 156, 284-304.</w:t>
      </w:r>
    </w:p>
    <w:p w14:paraId="4032B357" w14:textId="01B4EC91" w:rsidR="005E7D78" w:rsidRPr="00E75964" w:rsidRDefault="005E7D78" w:rsidP="005E7D78">
      <w:pPr>
        <w:spacing w:line="360" w:lineRule="auto"/>
        <w:jc w:val="both"/>
        <w:rPr>
          <w:rFonts w:ascii="Garamond" w:hAnsi="Garamond"/>
          <w:sz w:val="24"/>
          <w:szCs w:val="24"/>
        </w:rPr>
      </w:pPr>
      <w:r w:rsidRPr="00E75964">
        <w:rPr>
          <w:rFonts w:ascii="Garamond" w:hAnsi="Garamond"/>
          <w:sz w:val="24"/>
          <w:szCs w:val="24"/>
        </w:rPr>
        <w:t>Alhomaidi, A., Hassan, M.K., Hippler, W.J., &amp; Mamun, A. (</w:t>
      </w:r>
      <w:r w:rsidR="000A3ACD" w:rsidRPr="00E75964">
        <w:rPr>
          <w:rFonts w:ascii="Garamond" w:hAnsi="Garamond"/>
          <w:sz w:val="24"/>
          <w:szCs w:val="24"/>
        </w:rPr>
        <w:t>2019). The impact of religious certification on market segmenta</w:t>
      </w:r>
      <w:r w:rsidR="00074E63" w:rsidRPr="00E75964">
        <w:rPr>
          <w:rFonts w:ascii="Garamond" w:hAnsi="Garamond"/>
          <w:sz w:val="24"/>
          <w:szCs w:val="24"/>
        </w:rPr>
        <w:t>t</w:t>
      </w:r>
      <w:r w:rsidR="000A3ACD" w:rsidRPr="00E75964">
        <w:rPr>
          <w:rFonts w:ascii="Garamond" w:hAnsi="Garamond"/>
          <w:sz w:val="24"/>
          <w:szCs w:val="24"/>
        </w:rPr>
        <w:t xml:space="preserve">ion and investors recognition. </w:t>
      </w:r>
      <w:r w:rsidR="00074E63" w:rsidRPr="00E75964">
        <w:rPr>
          <w:rFonts w:ascii="Garamond" w:hAnsi="Garamond"/>
          <w:i/>
          <w:sz w:val="24"/>
          <w:szCs w:val="24"/>
        </w:rPr>
        <w:t>Journal of Corporate Finance</w:t>
      </w:r>
      <w:r w:rsidR="00074E63" w:rsidRPr="00E75964">
        <w:rPr>
          <w:rFonts w:ascii="Garamond" w:hAnsi="Garamond"/>
          <w:sz w:val="24"/>
          <w:szCs w:val="24"/>
        </w:rPr>
        <w:t xml:space="preserve"> 55, 28-48.</w:t>
      </w:r>
      <w:r w:rsidRPr="00E75964">
        <w:rPr>
          <w:rFonts w:ascii="Garamond" w:hAnsi="Garamond"/>
          <w:sz w:val="24"/>
          <w:szCs w:val="24"/>
        </w:rPr>
        <w:t xml:space="preserve"> </w:t>
      </w:r>
    </w:p>
    <w:p w14:paraId="5F192894" w14:textId="63369659" w:rsidR="005E7D78" w:rsidRPr="00E75964" w:rsidRDefault="005E7D78" w:rsidP="005E7D78">
      <w:pPr>
        <w:spacing w:line="360" w:lineRule="auto"/>
        <w:jc w:val="both"/>
        <w:rPr>
          <w:rFonts w:ascii="Garamond" w:hAnsi="Garamond"/>
          <w:sz w:val="24"/>
          <w:szCs w:val="24"/>
        </w:rPr>
      </w:pPr>
      <w:r w:rsidRPr="00E75964">
        <w:rPr>
          <w:rFonts w:ascii="Garamond" w:hAnsi="Garamond"/>
          <w:sz w:val="24"/>
          <w:szCs w:val="24"/>
        </w:rPr>
        <w:t xml:space="preserve">Al-Awadhi, A.M., (2019). Deviation from religious trading norms. </w:t>
      </w:r>
      <w:r w:rsidRPr="00E75964">
        <w:rPr>
          <w:rFonts w:ascii="Garamond" w:hAnsi="Garamond"/>
          <w:i/>
          <w:sz w:val="24"/>
          <w:szCs w:val="24"/>
        </w:rPr>
        <w:t>Journal of Behavioral and Experimental Finance</w:t>
      </w:r>
      <w:r w:rsidRPr="00E75964">
        <w:rPr>
          <w:rFonts w:ascii="Garamond" w:hAnsi="Garamond"/>
          <w:sz w:val="24"/>
          <w:szCs w:val="24"/>
        </w:rPr>
        <w:t xml:space="preserve"> 22, 22-30.</w:t>
      </w:r>
    </w:p>
    <w:p w14:paraId="464E2FEA" w14:textId="30508532" w:rsidR="00074E63" w:rsidRPr="00E75964" w:rsidRDefault="00074E63" w:rsidP="005B3A4D">
      <w:pPr>
        <w:autoSpaceDE w:val="0"/>
        <w:autoSpaceDN w:val="0"/>
        <w:adjustRightInd w:val="0"/>
        <w:spacing w:line="360" w:lineRule="auto"/>
        <w:jc w:val="both"/>
        <w:rPr>
          <w:rFonts w:ascii="Garamond" w:hAnsi="Garamond"/>
          <w:sz w:val="24"/>
          <w:szCs w:val="24"/>
        </w:rPr>
      </w:pPr>
      <w:r w:rsidRPr="00740282">
        <w:rPr>
          <w:rFonts w:ascii="Garamond" w:hAnsi="Garamond"/>
          <w:sz w:val="24"/>
          <w:szCs w:val="24"/>
          <w:lang w:val="de-DE"/>
        </w:rPr>
        <w:t xml:space="preserve">Al-Khazali, O., &amp; Mirzaei, A. (2017). </w:t>
      </w:r>
      <w:r w:rsidRPr="00E75964">
        <w:rPr>
          <w:rFonts w:ascii="Garamond" w:hAnsi="Garamond"/>
          <w:sz w:val="24"/>
          <w:szCs w:val="24"/>
        </w:rPr>
        <w:t xml:space="preserve">Stock market anomalies, market efficiency and the adaptive market hypothesis: Evidence from Islamic stock indices. </w:t>
      </w:r>
      <w:r w:rsidRPr="00E75964">
        <w:rPr>
          <w:rFonts w:ascii="Garamond" w:hAnsi="Garamond"/>
          <w:i/>
          <w:sz w:val="24"/>
          <w:szCs w:val="24"/>
        </w:rPr>
        <w:t>Journal of International Financial Markets, Institutions &amp; Money,</w:t>
      </w:r>
      <w:r w:rsidRPr="00E75964">
        <w:rPr>
          <w:rFonts w:ascii="Garamond" w:hAnsi="Garamond"/>
          <w:sz w:val="24"/>
          <w:szCs w:val="24"/>
        </w:rPr>
        <w:t xml:space="preserve"> 51, 190-208.</w:t>
      </w:r>
    </w:p>
    <w:p w14:paraId="0C129269" w14:textId="64204D9B" w:rsidR="00173F58" w:rsidRPr="00E75964" w:rsidRDefault="00173F58" w:rsidP="005B3A4D">
      <w:pPr>
        <w:autoSpaceDE w:val="0"/>
        <w:autoSpaceDN w:val="0"/>
        <w:adjustRightInd w:val="0"/>
        <w:spacing w:line="360" w:lineRule="auto"/>
        <w:jc w:val="both"/>
        <w:rPr>
          <w:rFonts w:ascii="Garamond" w:hAnsi="Garamond"/>
          <w:sz w:val="24"/>
          <w:szCs w:val="24"/>
        </w:rPr>
      </w:pPr>
      <w:r w:rsidRPr="004D62C3">
        <w:rPr>
          <w:rFonts w:ascii="Garamond" w:hAnsi="Garamond"/>
          <w:sz w:val="24"/>
          <w:szCs w:val="24"/>
          <w:lang w:val="de-DE"/>
        </w:rPr>
        <w:t xml:space="preserve">Allen, F., Bernardo, A.E., &amp; Welch, I. (2000). </w:t>
      </w:r>
      <w:r w:rsidRPr="00E75964">
        <w:rPr>
          <w:rFonts w:ascii="Garamond" w:hAnsi="Garamond"/>
          <w:sz w:val="24"/>
          <w:szCs w:val="24"/>
        </w:rPr>
        <w:t xml:space="preserve">A theory of dividend based on tax clienteles. </w:t>
      </w:r>
      <w:r w:rsidRPr="00E75964">
        <w:rPr>
          <w:rFonts w:ascii="Garamond" w:hAnsi="Garamond"/>
          <w:i/>
          <w:sz w:val="24"/>
          <w:szCs w:val="24"/>
        </w:rPr>
        <w:t>The Journal of Finance</w:t>
      </w:r>
      <w:r w:rsidRPr="00E75964">
        <w:rPr>
          <w:rFonts w:ascii="Garamond" w:hAnsi="Garamond"/>
          <w:sz w:val="24"/>
          <w:szCs w:val="24"/>
        </w:rPr>
        <w:t xml:space="preserve">, </w:t>
      </w:r>
      <w:proofErr w:type="gramStart"/>
      <w:r w:rsidRPr="00E75964">
        <w:rPr>
          <w:rFonts w:ascii="Garamond" w:hAnsi="Garamond"/>
          <w:sz w:val="24"/>
          <w:szCs w:val="24"/>
        </w:rPr>
        <w:t>LV(</w:t>
      </w:r>
      <w:proofErr w:type="gramEnd"/>
      <w:r w:rsidRPr="00E75964">
        <w:rPr>
          <w:rFonts w:ascii="Garamond" w:hAnsi="Garamond"/>
          <w:sz w:val="24"/>
          <w:szCs w:val="24"/>
        </w:rPr>
        <w:t>6), 2499-2536</w:t>
      </w:r>
    </w:p>
    <w:p w14:paraId="3F878ADB" w14:textId="77777777" w:rsidR="00225DF3" w:rsidRPr="00E75964" w:rsidRDefault="00173F58" w:rsidP="005B3A4D">
      <w:pPr>
        <w:autoSpaceDE w:val="0"/>
        <w:autoSpaceDN w:val="0"/>
        <w:adjustRightInd w:val="0"/>
        <w:spacing w:line="360" w:lineRule="auto"/>
        <w:jc w:val="both"/>
        <w:rPr>
          <w:rFonts w:ascii="Garamond" w:hAnsi="Garamond"/>
          <w:sz w:val="24"/>
          <w:szCs w:val="24"/>
        </w:rPr>
      </w:pPr>
      <w:r w:rsidRPr="00E75964">
        <w:rPr>
          <w:rFonts w:ascii="Garamond" w:hAnsi="Garamond"/>
          <w:sz w:val="24"/>
          <w:szCs w:val="24"/>
        </w:rPr>
        <w:t xml:space="preserve">Al-Loughani, N., &amp; Chappell, D. (2001). Modelling the day-of-the-week effect in the Kuwait stock exchange: a nonlinear GARCH representation. </w:t>
      </w:r>
      <w:r w:rsidRPr="00E75964">
        <w:rPr>
          <w:rFonts w:ascii="Garamond" w:hAnsi="Garamond"/>
          <w:i/>
          <w:sz w:val="24"/>
          <w:szCs w:val="24"/>
        </w:rPr>
        <w:t>Applied Financial Economics</w:t>
      </w:r>
      <w:r w:rsidRPr="00E75964">
        <w:rPr>
          <w:rFonts w:ascii="Garamond" w:hAnsi="Garamond"/>
          <w:sz w:val="24"/>
          <w:szCs w:val="24"/>
        </w:rPr>
        <w:t>, 11(4)</w:t>
      </w:r>
      <w:r w:rsidR="00225DF3" w:rsidRPr="00E75964">
        <w:rPr>
          <w:rFonts w:ascii="Garamond" w:hAnsi="Garamond"/>
          <w:sz w:val="24"/>
          <w:szCs w:val="24"/>
        </w:rPr>
        <w:t>, 353 – 359.</w:t>
      </w:r>
    </w:p>
    <w:p w14:paraId="4DE6BCB0" w14:textId="17736398" w:rsidR="00225DF3" w:rsidRPr="00E75964" w:rsidRDefault="00225DF3" w:rsidP="005B3A4D">
      <w:pPr>
        <w:autoSpaceDE w:val="0"/>
        <w:autoSpaceDN w:val="0"/>
        <w:adjustRightInd w:val="0"/>
        <w:spacing w:line="360" w:lineRule="auto"/>
        <w:jc w:val="both"/>
        <w:rPr>
          <w:rFonts w:ascii="Garamond" w:hAnsi="Garamond"/>
          <w:sz w:val="24"/>
          <w:szCs w:val="24"/>
        </w:rPr>
      </w:pPr>
      <w:r w:rsidRPr="00E75964">
        <w:rPr>
          <w:rFonts w:ascii="Garamond" w:hAnsi="Garamond"/>
          <w:bCs/>
          <w:sz w:val="24"/>
          <w:szCs w:val="24"/>
        </w:rPr>
        <w:t>Almudhaf,</w:t>
      </w:r>
      <w:r w:rsidR="006D23CD" w:rsidRPr="00E75964">
        <w:rPr>
          <w:rFonts w:ascii="Garamond" w:hAnsi="Garamond"/>
          <w:bCs/>
          <w:sz w:val="24"/>
          <w:szCs w:val="24"/>
        </w:rPr>
        <w:t xml:space="preserve"> </w:t>
      </w:r>
      <w:r w:rsidRPr="00E75964">
        <w:rPr>
          <w:rFonts w:ascii="Garamond" w:hAnsi="Garamond"/>
          <w:bCs/>
          <w:sz w:val="24"/>
          <w:szCs w:val="24"/>
        </w:rPr>
        <w:t xml:space="preserve">F. (2012). The Islamic calendar effects: Evidence from twelve stock markets. </w:t>
      </w:r>
      <w:r w:rsidRPr="00E75964">
        <w:rPr>
          <w:rFonts w:ascii="Garamond" w:hAnsi="Garamond"/>
          <w:bCs/>
          <w:i/>
          <w:sz w:val="24"/>
          <w:szCs w:val="24"/>
        </w:rPr>
        <w:t>International Research Journal of Finance and Economics</w:t>
      </w:r>
      <w:r w:rsidRPr="00E75964">
        <w:rPr>
          <w:rFonts w:ascii="Garamond" w:hAnsi="Garamond"/>
          <w:bCs/>
          <w:sz w:val="24"/>
          <w:szCs w:val="24"/>
        </w:rPr>
        <w:t>, 87, 185-191.</w:t>
      </w:r>
    </w:p>
    <w:p w14:paraId="1267238A" w14:textId="77777777" w:rsidR="00804EBB" w:rsidRPr="00E75964" w:rsidRDefault="00804EBB" w:rsidP="00804EBB">
      <w:pPr>
        <w:tabs>
          <w:tab w:val="left" w:pos="851"/>
        </w:tabs>
        <w:spacing w:line="360" w:lineRule="auto"/>
        <w:jc w:val="both"/>
        <w:rPr>
          <w:rFonts w:ascii="Garamond" w:hAnsi="Garamond"/>
          <w:sz w:val="24"/>
          <w:szCs w:val="24"/>
        </w:rPr>
      </w:pPr>
      <w:r>
        <w:rPr>
          <w:rFonts w:ascii="Garamond" w:hAnsi="Garamond"/>
          <w:sz w:val="24"/>
          <w:szCs w:val="24"/>
        </w:rPr>
        <w:lastRenderedPageBreak/>
        <w:t xml:space="preserve">Anwar, Y. </w:t>
      </w:r>
      <w:r w:rsidRPr="00E75964">
        <w:rPr>
          <w:rFonts w:ascii="Garamond" w:hAnsi="Garamond"/>
          <w:sz w:val="24"/>
          <w:szCs w:val="24"/>
        </w:rPr>
        <w:t xml:space="preserve">and </w:t>
      </w:r>
      <w:proofErr w:type="spellStart"/>
      <w:r w:rsidRPr="00E75964">
        <w:rPr>
          <w:rFonts w:ascii="Garamond" w:hAnsi="Garamond"/>
          <w:sz w:val="24"/>
          <w:szCs w:val="24"/>
        </w:rPr>
        <w:t>M</w:t>
      </w:r>
      <w:r>
        <w:rPr>
          <w:rFonts w:ascii="Garamond" w:hAnsi="Garamond"/>
          <w:sz w:val="24"/>
          <w:szCs w:val="24"/>
        </w:rPr>
        <w:t>ulyadi</w:t>
      </w:r>
      <w:proofErr w:type="spellEnd"/>
      <w:r>
        <w:rPr>
          <w:rFonts w:ascii="Garamond" w:hAnsi="Garamond"/>
          <w:sz w:val="24"/>
          <w:szCs w:val="24"/>
        </w:rPr>
        <w:t>, M.S.</w:t>
      </w:r>
      <w:r w:rsidRPr="00E75964">
        <w:rPr>
          <w:rFonts w:ascii="Garamond" w:hAnsi="Garamond"/>
          <w:sz w:val="24"/>
          <w:szCs w:val="24"/>
        </w:rPr>
        <w:t xml:space="preserve"> (2012). Analysis of calendar effects: Day of the week effects in Indonesia, Singapore and Malaysia stock markets. </w:t>
      </w:r>
      <w:r w:rsidRPr="00E75964">
        <w:rPr>
          <w:rFonts w:ascii="Garamond" w:hAnsi="Garamond"/>
          <w:i/>
          <w:iCs/>
          <w:sz w:val="24"/>
          <w:szCs w:val="24"/>
        </w:rPr>
        <w:t>African Journal of Business Management</w:t>
      </w:r>
      <w:r w:rsidRPr="00E75964">
        <w:rPr>
          <w:rFonts w:ascii="Garamond" w:hAnsi="Garamond"/>
          <w:sz w:val="24"/>
          <w:szCs w:val="24"/>
        </w:rPr>
        <w:t>, 11, 3880 – 3887.</w:t>
      </w:r>
    </w:p>
    <w:p w14:paraId="27E19091" w14:textId="19423682"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Bai, J., &amp; Perron, P. (1998). Estimating and testing linear models with multiple structural changes. </w:t>
      </w:r>
      <w:proofErr w:type="spellStart"/>
      <w:r w:rsidRPr="00E75964">
        <w:rPr>
          <w:rFonts w:ascii="Garamond" w:hAnsi="Garamond"/>
          <w:i/>
          <w:sz w:val="24"/>
          <w:szCs w:val="24"/>
        </w:rPr>
        <w:t>Econometrica</w:t>
      </w:r>
      <w:proofErr w:type="spellEnd"/>
      <w:r w:rsidRPr="00E75964">
        <w:rPr>
          <w:rFonts w:ascii="Garamond" w:hAnsi="Garamond"/>
          <w:sz w:val="24"/>
          <w:szCs w:val="24"/>
        </w:rPr>
        <w:t>, 66(1), 47-78.</w:t>
      </w:r>
    </w:p>
    <w:p w14:paraId="1373E258"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Baker, H.K., Rahman, A., &amp; </w:t>
      </w:r>
      <w:proofErr w:type="spellStart"/>
      <w:r w:rsidRPr="00E75964">
        <w:rPr>
          <w:rFonts w:ascii="Garamond" w:hAnsi="Garamond"/>
          <w:sz w:val="24"/>
          <w:szCs w:val="24"/>
        </w:rPr>
        <w:t>Saadi</w:t>
      </w:r>
      <w:proofErr w:type="spellEnd"/>
      <w:r w:rsidRPr="00E75964">
        <w:rPr>
          <w:rFonts w:ascii="Garamond" w:hAnsi="Garamond"/>
          <w:sz w:val="24"/>
          <w:szCs w:val="24"/>
        </w:rPr>
        <w:t xml:space="preserve">, S. (2008). The day-of-the-week effect and conditional volatility: Sensitivity of error distributional assumptions. </w:t>
      </w:r>
      <w:r w:rsidRPr="00E75964">
        <w:rPr>
          <w:rFonts w:ascii="Garamond" w:hAnsi="Garamond"/>
          <w:i/>
          <w:sz w:val="24"/>
          <w:szCs w:val="24"/>
        </w:rPr>
        <w:t>Review of Financial Economics</w:t>
      </w:r>
      <w:r w:rsidRPr="00E75964">
        <w:rPr>
          <w:rFonts w:ascii="Garamond" w:hAnsi="Garamond"/>
          <w:sz w:val="24"/>
          <w:szCs w:val="24"/>
        </w:rPr>
        <w:t>, 17(4), 280 – 295.</w:t>
      </w:r>
    </w:p>
    <w:p w14:paraId="5FBF1160"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Balaban, E., Bayar, A., &amp; Kan, B. (2001). Stock returns, seasonality and asymmetric conditional volatility in world equity markets. </w:t>
      </w:r>
      <w:r w:rsidRPr="00E75964">
        <w:rPr>
          <w:rFonts w:ascii="Garamond" w:hAnsi="Garamond"/>
          <w:i/>
          <w:sz w:val="24"/>
          <w:szCs w:val="24"/>
        </w:rPr>
        <w:t>Applied Economics Letters</w:t>
      </w:r>
      <w:r w:rsidRPr="00E75964">
        <w:rPr>
          <w:rFonts w:ascii="Garamond" w:hAnsi="Garamond"/>
          <w:sz w:val="24"/>
          <w:szCs w:val="24"/>
        </w:rPr>
        <w:t>, 8(4), 263 – 268.</w:t>
      </w:r>
    </w:p>
    <w:p w14:paraId="400A6DAF"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Barber, B.M., &amp; </w:t>
      </w:r>
      <w:proofErr w:type="spellStart"/>
      <w:r w:rsidRPr="00E75964">
        <w:rPr>
          <w:rFonts w:ascii="Garamond" w:hAnsi="Garamond"/>
          <w:sz w:val="24"/>
          <w:szCs w:val="24"/>
        </w:rPr>
        <w:t>Odean</w:t>
      </w:r>
      <w:proofErr w:type="spellEnd"/>
      <w:r w:rsidRPr="00E75964">
        <w:rPr>
          <w:rFonts w:ascii="Garamond" w:hAnsi="Garamond"/>
          <w:sz w:val="24"/>
          <w:szCs w:val="24"/>
        </w:rPr>
        <w:t xml:space="preserve">, T. (2005). Trading is hazardous to your wealth; the common stock investment performance of individual investors, </w:t>
      </w:r>
      <w:r w:rsidRPr="00E75964">
        <w:rPr>
          <w:rFonts w:ascii="Garamond" w:hAnsi="Garamond"/>
          <w:i/>
          <w:sz w:val="24"/>
          <w:szCs w:val="24"/>
        </w:rPr>
        <w:t>Journal of Finance</w:t>
      </w:r>
      <w:r w:rsidRPr="00E75964">
        <w:rPr>
          <w:rFonts w:ascii="Garamond" w:hAnsi="Garamond"/>
          <w:sz w:val="24"/>
          <w:szCs w:val="24"/>
        </w:rPr>
        <w:t>, 55(2), 773-806.</w:t>
      </w:r>
    </w:p>
    <w:p w14:paraId="6B1EBC4C" w14:textId="77777777" w:rsidR="00173F58" w:rsidRPr="00E75964" w:rsidRDefault="00173F58" w:rsidP="005B3A4D">
      <w:pPr>
        <w:spacing w:line="360" w:lineRule="auto"/>
        <w:jc w:val="both"/>
        <w:rPr>
          <w:rFonts w:ascii="Garamond" w:hAnsi="Garamond"/>
          <w:sz w:val="24"/>
          <w:szCs w:val="24"/>
        </w:rPr>
      </w:pPr>
      <w:r w:rsidRPr="006B58F0">
        <w:rPr>
          <w:rFonts w:ascii="Garamond" w:hAnsi="Garamond"/>
          <w:sz w:val="24"/>
          <w:szCs w:val="24"/>
          <w:lang w:val="de-DE"/>
        </w:rPr>
        <w:t xml:space="preserve">Barclay, M.J., Litzenberger, R., &amp; Warner, J. (1990). </w:t>
      </w:r>
      <w:r w:rsidRPr="00E75964">
        <w:rPr>
          <w:rFonts w:ascii="Garamond" w:hAnsi="Garamond"/>
          <w:sz w:val="24"/>
          <w:szCs w:val="24"/>
        </w:rPr>
        <w:t xml:space="preserve">Private information, trading volume, and stock returns variances. </w:t>
      </w:r>
      <w:r w:rsidRPr="00E75964">
        <w:rPr>
          <w:rFonts w:ascii="Garamond" w:hAnsi="Garamond"/>
          <w:i/>
          <w:sz w:val="24"/>
          <w:szCs w:val="24"/>
        </w:rPr>
        <w:t>The</w:t>
      </w:r>
      <w:r w:rsidRPr="00E75964">
        <w:rPr>
          <w:rFonts w:ascii="Garamond" w:hAnsi="Garamond"/>
          <w:sz w:val="24"/>
          <w:szCs w:val="24"/>
        </w:rPr>
        <w:t xml:space="preserve"> </w:t>
      </w:r>
      <w:r w:rsidRPr="00E75964">
        <w:rPr>
          <w:rFonts w:ascii="Garamond" w:hAnsi="Garamond"/>
          <w:i/>
          <w:sz w:val="24"/>
          <w:szCs w:val="24"/>
        </w:rPr>
        <w:t>Review of Financial Studies</w:t>
      </w:r>
      <w:r w:rsidRPr="00E75964">
        <w:rPr>
          <w:rFonts w:ascii="Garamond" w:hAnsi="Garamond"/>
          <w:sz w:val="24"/>
          <w:szCs w:val="24"/>
        </w:rPr>
        <w:t>, 3(2), 233 – 253.</w:t>
      </w:r>
    </w:p>
    <w:p w14:paraId="3A05BEE9" w14:textId="3E56D92E" w:rsidR="00235790" w:rsidRPr="00E75964" w:rsidRDefault="00235790" w:rsidP="005B3A4D">
      <w:pPr>
        <w:spacing w:line="360" w:lineRule="auto"/>
        <w:jc w:val="both"/>
        <w:rPr>
          <w:rFonts w:ascii="Garamond" w:hAnsi="Garamond"/>
          <w:sz w:val="24"/>
          <w:szCs w:val="24"/>
        </w:rPr>
      </w:pPr>
      <w:r w:rsidRPr="00E75964">
        <w:rPr>
          <w:rFonts w:ascii="Garamond" w:hAnsi="Garamond"/>
          <w:sz w:val="24"/>
          <w:szCs w:val="24"/>
        </w:rPr>
        <w:t xml:space="preserve">Basher, S.A., Hassan, M.K. and Islam, A.M. (2007). Time-varying volatility and equity </w:t>
      </w:r>
      <w:proofErr w:type="spellStart"/>
      <w:r w:rsidRPr="00E75964">
        <w:rPr>
          <w:rFonts w:ascii="Garamond" w:hAnsi="Garamond"/>
          <w:sz w:val="24"/>
          <w:szCs w:val="24"/>
        </w:rPr>
        <w:t>retuns</w:t>
      </w:r>
      <w:proofErr w:type="spellEnd"/>
      <w:r w:rsidRPr="00E75964">
        <w:rPr>
          <w:rFonts w:ascii="Garamond" w:hAnsi="Garamond"/>
          <w:sz w:val="24"/>
          <w:szCs w:val="24"/>
        </w:rPr>
        <w:t xml:space="preserve"> in Bangladesh stock market. </w:t>
      </w:r>
      <w:r w:rsidRPr="00E75964">
        <w:rPr>
          <w:rFonts w:ascii="Garamond" w:hAnsi="Garamond"/>
          <w:i/>
          <w:iCs/>
          <w:sz w:val="24"/>
          <w:szCs w:val="24"/>
        </w:rPr>
        <w:t>Applied Financial Economics</w:t>
      </w:r>
      <w:r w:rsidRPr="00E75964">
        <w:rPr>
          <w:rFonts w:ascii="Garamond" w:hAnsi="Garamond"/>
          <w:sz w:val="24"/>
          <w:szCs w:val="24"/>
        </w:rPr>
        <w:t>, 17, 1393 – 1407.</w:t>
      </w:r>
    </w:p>
    <w:p w14:paraId="330F9466" w14:textId="7B52FECB" w:rsidR="00173F58" w:rsidRPr="00E75964" w:rsidRDefault="00173F58" w:rsidP="005B3A4D">
      <w:pPr>
        <w:spacing w:line="360" w:lineRule="auto"/>
        <w:jc w:val="both"/>
        <w:rPr>
          <w:rFonts w:ascii="Garamond" w:hAnsi="Garamond"/>
          <w:sz w:val="24"/>
          <w:szCs w:val="24"/>
        </w:rPr>
      </w:pPr>
      <w:proofErr w:type="spellStart"/>
      <w:r w:rsidRPr="00E75964">
        <w:rPr>
          <w:rFonts w:ascii="Garamond" w:hAnsi="Garamond"/>
          <w:sz w:val="24"/>
          <w:szCs w:val="24"/>
        </w:rPr>
        <w:t>Berument</w:t>
      </w:r>
      <w:proofErr w:type="spellEnd"/>
      <w:r w:rsidRPr="00E75964">
        <w:rPr>
          <w:rFonts w:ascii="Garamond" w:hAnsi="Garamond"/>
          <w:sz w:val="24"/>
          <w:szCs w:val="24"/>
        </w:rPr>
        <w:t xml:space="preserve">, H., &amp; </w:t>
      </w:r>
      <w:proofErr w:type="spellStart"/>
      <w:r w:rsidRPr="00E75964">
        <w:rPr>
          <w:rFonts w:ascii="Garamond" w:hAnsi="Garamond"/>
          <w:sz w:val="24"/>
          <w:szCs w:val="24"/>
        </w:rPr>
        <w:t>Kiymaz</w:t>
      </w:r>
      <w:proofErr w:type="spellEnd"/>
      <w:r w:rsidRPr="00E75964">
        <w:rPr>
          <w:rFonts w:ascii="Garamond" w:hAnsi="Garamond"/>
          <w:sz w:val="24"/>
          <w:szCs w:val="24"/>
        </w:rPr>
        <w:t xml:space="preserve">, H. (2001). The day of the week effect on stock market volatility. </w:t>
      </w:r>
      <w:r w:rsidRPr="00E75964">
        <w:rPr>
          <w:rFonts w:ascii="Garamond" w:hAnsi="Garamond"/>
          <w:i/>
          <w:sz w:val="24"/>
          <w:szCs w:val="24"/>
        </w:rPr>
        <w:t>Journal of Economics and Finance</w:t>
      </w:r>
      <w:r w:rsidRPr="00E75964">
        <w:rPr>
          <w:rFonts w:ascii="Garamond" w:hAnsi="Garamond"/>
          <w:sz w:val="24"/>
          <w:szCs w:val="24"/>
        </w:rPr>
        <w:t>, 25, 181 – 193.</w:t>
      </w:r>
    </w:p>
    <w:p w14:paraId="77BCE53E" w14:textId="77777777" w:rsidR="00225DF3" w:rsidRPr="00E75964" w:rsidRDefault="00173F58" w:rsidP="005B3A4D">
      <w:pPr>
        <w:spacing w:line="360" w:lineRule="auto"/>
        <w:jc w:val="both"/>
        <w:rPr>
          <w:rFonts w:ascii="Garamond" w:hAnsi="Garamond"/>
          <w:sz w:val="24"/>
          <w:szCs w:val="24"/>
        </w:rPr>
      </w:pPr>
      <w:proofErr w:type="spellStart"/>
      <w:r w:rsidRPr="00E75964">
        <w:rPr>
          <w:rFonts w:ascii="Garamond" w:hAnsi="Garamond"/>
          <w:sz w:val="24"/>
          <w:szCs w:val="24"/>
        </w:rPr>
        <w:t>Bessembinder</w:t>
      </w:r>
      <w:proofErr w:type="spellEnd"/>
      <w:r w:rsidRPr="00E75964">
        <w:rPr>
          <w:rFonts w:ascii="Garamond" w:hAnsi="Garamond"/>
          <w:sz w:val="24"/>
          <w:szCs w:val="24"/>
        </w:rPr>
        <w:t xml:space="preserve">, H., &amp; </w:t>
      </w:r>
      <w:proofErr w:type="spellStart"/>
      <w:r w:rsidRPr="00E75964">
        <w:rPr>
          <w:rFonts w:ascii="Garamond" w:hAnsi="Garamond"/>
          <w:sz w:val="24"/>
          <w:szCs w:val="24"/>
        </w:rPr>
        <w:t>Hertzel</w:t>
      </w:r>
      <w:proofErr w:type="spellEnd"/>
      <w:r w:rsidRPr="00E75964">
        <w:rPr>
          <w:rFonts w:ascii="Garamond" w:hAnsi="Garamond"/>
          <w:sz w:val="24"/>
          <w:szCs w:val="24"/>
        </w:rPr>
        <w:t xml:space="preserve">, M. (1993). Returns autocorrelations around non trading days. </w:t>
      </w:r>
      <w:r w:rsidRPr="00E75964">
        <w:rPr>
          <w:rFonts w:ascii="Garamond" w:hAnsi="Garamond"/>
          <w:i/>
          <w:sz w:val="24"/>
          <w:szCs w:val="24"/>
        </w:rPr>
        <w:t>The Review of Financial Studies</w:t>
      </w:r>
      <w:r w:rsidRPr="00E75964">
        <w:rPr>
          <w:rFonts w:ascii="Garamond" w:hAnsi="Garamond"/>
          <w:sz w:val="24"/>
          <w:szCs w:val="24"/>
        </w:rPr>
        <w:t>, 6, 155-189.</w:t>
      </w:r>
    </w:p>
    <w:p w14:paraId="24B373B6" w14:textId="77777777" w:rsidR="00225DF3" w:rsidRPr="00E75964" w:rsidRDefault="00225DF3" w:rsidP="005B3A4D">
      <w:pPr>
        <w:spacing w:line="360" w:lineRule="auto"/>
        <w:jc w:val="both"/>
        <w:rPr>
          <w:rFonts w:ascii="Garamond" w:hAnsi="Garamond"/>
          <w:sz w:val="24"/>
          <w:szCs w:val="24"/>
        </w:rPr>
      </w:pPr>
      <w:proofErr w:type="spellStart"/>
      <w:r w:rsidRPr="00E75964">
        <w:rPr>
          <w:rFonts w:ascii="Garamond" w:hAnsi="Garamond"/>
          <w:bCs/>
          <w:sz w:val="24"/>
          <w:szCs w:val="24"/>
        </w:rPr>
        <w:t>Bialkowski</w:t>
      </w:r>
      <w:proofErr w:type="spellEnd"/>
      <w:r w:rsidRPr="00E75964">
        <w:rPr>
          <w:rFonts w:ascii="Garamond" w:hAnsi="Garamond"/>
          <w:bCs/>
          <w:sz w:val="24"/>
          <w:szCs w:val="24"/>
        </w:rPr>
        <w:t xml:space="preserve">, J., </w:t>
      </w:r>
      <w:proofErr w:type="spellStart"/>
      <w:r w:rsidRPr="00E75964">
        <w:rPr>
          <w:rFonts w:ascii="Garamond" w:hAnsi="Garamond"/>
          <w:bCs/>
          <w:sz w:val="24"/>
          <w:szCs w:val="24"/>
        </w:rPr>
        <w:t>Etebari</w:t>
      </w:r>
      <w:proofErr w:type="spellEnd"/>
      <w:r w:rsidRPr="00E75964">
        <w:rPr>
          <w:rFonts w:ascii="Garamond" w:hAnsi="Garamond"/>
          <w:bCs/>
          <w:sz w:val="24"/>
          <w:szCs w:val="24"/>
        </w:rPr>
        <w:t xml:space="preserve">, A. and Wisniewski, T. (2012). Fast profits: Investors sentiment and stock returns during Ramadan. </w:t>
      </w:r>
      <w:r w:rsidRPr="00E75964">
        <w:rPr>
          <w:rFonts w:ascii="Garamond" w:hAnsi="Garamond"/>
          <w:bCs/>
          <w:i/>
          <w:sz w:val="24"/>
          <w:szCs w:val="24"/>
        </w:rPr>
        <w:t>Journal of Banking and Finance</w:t>
      </w:r>
      <w:r w:rsidRPr="00E75964">
        <w:rPr>
          <w:rFonts w:ascii="Garamond" w:hAnsi="Garamond"/>
          <w:bCs/>
          <w:sz w:val="24"/>
          <w:szCs w:val="24"/>
        </w:rPr>
        <w:t>, 36, 835-845.</w:t>
      </w:r>
    </w:p>
    <w:p w14:paraId="0370C19E"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Blume, M., &amp; </w:t>
      </w:r>
      <w:proofErr w:type="spellStart"/>
      <w:r w:rsidRPr="00E75964">
        <w:rPr>
          <w:rFonts w:ascii="Garamond" w:hAnsi="Garamond"/>
          <w:sz w:val="24"/>
          <w:szCs w:val="24"/>
        </w:rPr>
        <w:t>Zeldes</w:t>
      </w:r>
      <w:proofErr w:type="spellEnd"/>
      <w:r w:rsidRPr="00E75964">
        <w:rPr>
          <w:rFonts w:ascii="Garamond" w:hAnsi="Garamond"/>
          <w:sz w:val="24"/>
          <w:szCs w:val="24"/>
        </w:rPr>
        <w:t xml:space="preserve">, S. (1993). The Structure of Stockownership in the U.S. </w:t>
      </w:r>
      <w:r w:rsidRPr="00E75964">
        <w:rPr>
          <w:rFonts w:ascii="Garamond" w:hAnsi="Garamond"/>
          <w:i/>
          <w:sz w:val="24"/>
          <w:szCs w:val="24"/>
        </w:rPr>
        <w:t>Manuscript</w:t>
      </w:r>
      <w:r w:rsidRPr="00E75964">
        <w:rPr>
          <w:rFonts w:ascii="Garamond" w:hAnsi="Garamond"/>
          <w:sz w:val="24"/>
          <w:szCs w:val="24"/>
        </w:rPr>
        <w:t>, Wharton School - University of Pennsylvania.</w:t>
      </w:r>
    </w:p>
    <w:p w14:paraId="17C0708A"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Blume, M. &amp; </w:t>
      </w:r>
      <w:proofErr w:type="spellStart"/>
      <w:r w:rsidRPr="00E75964">
        <w:rPr>
          <w:rFonts w:ascii="Garamond" w:hAnsi="Garamond"/>
          <w:sz w:val="24"/>
          <w:szCs w:val="24"/>
        </w:rPr>
        <w:t>Keim</w:t>
      </w:r>
      <w:proofErr w:type="spellEnd"/>
      <w:r w:rsidRPr="00E75964">
        <w:rPr>
          <w:rFonts w:ascii="Garamond" w:hAnsi="Garamond"/>
          <w:sz w:val="24"/>
          <w:szCs w:val="24"/>
        </w:rPr>
        <w:t>, D. (2012). Institutional investors and stock market liquidity: trends and relationships. Working paper, Warton School of the University of Pennsylvania.</w:t>
      </w:r>
    </w:p>
    <w:p w14:paraId="4CAA2311" w14:textId="55A0F32F" w:rsidR="00173F58" w:rsidRPr="00E75964" w:rsidRDefault="00173F58" w:rsidP="005B3A4D">
      <w:pPr>
        <w:spacing w:line="360" w:lineRule="auto"/>
        <w:jc w:val="both"/>
        <w:rPr>
          <w:rFonts w:ascii="Garamond" w:hAnsi="Garamond"/>
          <w:sz w:val="24"/>
          <w:szCs w:val="24"/>
        </w:rPr>
      </w:pPr>
      <w:proofErr w:type="spellStart"/>
      <w:r w:rsidRPr="00E75964">
        <w:rPr>
          <w:rFonts w:ascii="Garamond" w:hAnsi="Garamond"/>
          <w:sz w:val="24"/>
          <w:szCs w:val="24"/>
        </w:rPr>
        <w:t>Bollerslev</w:t>
      </w:r>
      <w:proofErr w:type="spellEnd"/>
      <w:r w:rsidRPr="00E75964">
        <w:rPr>
          <w:rFonts w:ascii="Garamond" w:hAnsi="Garamond"/>
          <w:sz w:val="24"/>
          <w:szCs w:val="24"/>
        </w:rPr>
        <w:t xml:space="preserve">, T. (1986). Generalized autoregressive conditional heteroskedasticity. </w:t>
      </w:r>
      <w:r w:rsidRPr="00E75964">
        <w:rPr>
          <w:rFonts w:ascii="Garamond" w:hAnsi="Garamond"/>
          <w:i/>
          <w:sz w:val="24"/>
          <w:szCs w:val="24"/>
        </w:rPr>
        <w:t>Journal of Econometrics</w:t>
      </w:r>
      <w:r w:rsidRPr="00E75964">
        <w:rPr>
          <w:rFonts w:ascii="Garamond" w:hAnsi="Garamond"/>
          <w:sz w:val="24"/>
          <w:szCs w:val="24"/>
        </w:rPr>
        <w:t>, 31, 307 – 327.</w:t>
      </w:r>
    </w:p>
    <w:p w14:paraId="1A9E40BF" w14:textId="644717E8" w:rsidR="0054605B" w:rsidRPr="00E75964" w:rsidRDefault="0054605B" w:rsidP="005B3A4D">
      <w:pPr>
        <w:spacing w:line="360" w:lineRule="auto"/>
        <w:jc w:val="both"/>
        <w:rPr>
          <w:rFonts w:ascii="Garamond" w:hAnsi="Garamond"/>
          <w:sz w:val="24"/>
          <w:szCs w:val="24"/>
        </w:rPr>
      </w:pPr>
      <w:proofErr w:type="spellStart"/>
      <w:r w:rsidRPr="00E75964">
        <w:rPr>
          <w:rFonts w:ascii="Garamond" w:hAnsi="Garamond"/>
          <w:sz w:val="24"/>
          <w:szCs w:val="24"/>
        </w:rPr>
        <w:lastRenderedPageBreak/>
        <w:t>Boubaker</w:t>
      </w:r>
      <w:proofErr w:type="spellEnd"/>
      <w:r w:rsidRPr="00E75964">
        <w:rPr>
          <w:rFonts w:ascii="Garamond" w:hAnsi="Garamond"/>
          <w:sz w:val="24"/>
          <w:szCs w:val="24"/>
        </w:rPr>
        <w:t xml:space="preserve">, S., </w:t>
      </w:r>
      <w:proofErr w:type="spellStart"/>
      <w:r w:rsidRPr="00E75964">
        <w:rPr>
          <w:rFonts w:ascii="Garamond" w:hAnsi="Garamond"/>
          <w:sz w:val="24"/>
          <w:szCs w:val="24"/>
        </w:rPr>
        <w:t>Essaddam</w:t>
      </w:r>
      <w:proofErr w:type="spellEnd"/>
      <w:r w:rsidRPr="00E75964">
        <w:rPr>
          <w:rFonts w:ascii="Garamond" w:hAnsi="Garamond"/>
          <w:sz w:val="24"/>
          <w:szCs w:val="24"/>
        </w:rPr>
        <w:t>, N., Nguyen, D.K</w:t>
      </w:r>
      <w:r w:rsidR="000B17F7" w:rsidRPr="00E75964">
        <w:rPr>
          <w:rFonts w:ascii="Garamond" w:hAnsi="Garamond"/>
          <w:sz w:val="24"/>
          <w:szCs w:val="24"/>
        </w:rPr>
        <w:t xml:space="preserve"> and </w:t>
      </w:r>
      <w:proofErr w:type="spellStart"/>
      <w:r w:rsidR="000B17F7" w:rsidRPr="00E75964">
        <w:rPr>
          <w:rFonts w:ascii="Garamond" w:hAnsi="Garamond"/>
          <w:sz w:val="24"/>
          <w:szCs w:val="24"/>
        </w:rPr>
        <w:t>Saadi</w:t>
      </w:r>
      <w:proofErr w:type="spellEnd"/>
      <w:r w:rsidR="000B17F7" w:rsidRPr="00E75964">
        <w:rPr>
          <w:rFonts w:ascii="Garamond" w:hAnsi="Garamond"/>
          <w:sz w:val="24"/>
          <w:szCs w:val="24"/>
        </w:rPr>
        <w:t xml:space="preserve">, S. (2017). On the robustness of week-day effect to error distributional assumption: International Evidence. </w:t>
      </w:r>
      <w:r w:rsidR="000B17F7" w:rsidRPr="00E75964">
        <w:rPr>
          <w:rFonts w:ascii="Garamond" w:hAnsi="Garamond"/>
          <w:i/>
          <w:iCs/>
          <w:sz w:val="24"/>
          <w:szCs w:val="24"/>
        </w:rPr>
        <w:t>Journal of International Financial Markets, Institutions &amp; Money</w:t>
      </w:r>
      <w:r w:rsidR="000B17F7" w:rsidRPr="00E75964">
        <w:rPr>
          <w:rFonts w:ascii="Garamond" w:hAnsi="Garamond"/>
          <w:sz w:val="24"/>
          <w:szCs w:val="24"/>
        </w:rPr>
        <w:t>, 47, 114 – 130.</w:t>
      </w:r>
    </w:p>
    <w:p w14:paraId="1123703F" w14:textId="77777777" w:rsidR="00230C04" w:rsidRPr="00E75964" w:rsidRDefault="00230C04" w:rsidP="00230C04">
      <w:pPr>
        <w:spacing w:line="360" w:lineRule="auto"/>
        <w:jc w:val="both"/>
        <w:rPr>
          <w:rFonts w:ascii="Garamond" w:hAnsi="Garamond"/>
          <w:sz w:val="24"/>
          <w:szCs w:val="24"/>
        </w:rPr>
      </w:pPr>
      <w:r w:rsidRPr="00E75964">
        <w:rPr>
          <w:rFonts w:ascii="Garamond" w:hAnsi="Garamond"/>
          <w:sz w:val="24"/>
          <w:szCs w:val="24"/>
        </w:rPr>
        <w:t xml:space="preserve">Brockman, P., &amp; </w:t>
      </w:r>
      <w:proofErr w:type="spellStart"/>
      <w:r w:rsidRPr="00E75964">
        <w:rPr>
          <w:rFonts w:ascii="Garamond" w:hAnsi="Garamond"/>
          <w:sz w:val="24"/>
          <w:szCs w:val="24"/>
        </w:rPr>
        <w:t>Michayluk</w:t>
      </w:r>
      <w:proofErr w:type="spellEnd"/>
      <w:r w:rsidRPr="00E75964">
        <w:rPr>
          <w:rFonts w:ascii="Garamond" w:hAnsi="Garamond"/>
          <w:sz w:val="24"/>
          <w:szCs w:val="24"/>
        </w:rPr>
        <w:t xml:space="preserve">, D. (1998). Individual versus institutional investors and the weekend effect. </w:t>
      </w:r>
      <w:r w:rsidRPr="00E75964">
        <w:rPr>
          <w:rFonts w:ascii="Garamond" w:hAnsi="Garamond"/>
          <w:i/>
          <w:sz w:val="24"/>
          <w:szCs w:val="24"/>
        </w:rPr>
        <w:t>Journal of Economics and Finance</w:t>
      </w:r>
      <w:r w:rsidRPr="00E75964">
        <w:rPr>
          <w:rFonts w:ascii="Garamond" w:hAnsi="Garamond"/>
          <w:sz w:val="24"/>
          <w:szCs w:val="24"/>
        </w:rPr>
        <w:t>, 22(1), 71-85.</w:t>
      </w:r>
    </w:p>
    <w:p w14:paraId="074A72E5" w14:textId="77777777" w:rsidR="005B3A4D" w:rsidRPr="00E75964" w:rsidRDefault="005B3A4D" w:rsidP="005B3A4D">
      <w:pPr>
        <w:spacing w:line="360" w:lineRule="auto"/>
        <w:jc w:val="both"/>
        <w:rPr>
          <w:rFonts w:ascii="Garamond" w:hAnsi="Garamond"/>
          <w:sz w:val="24"/>
          <w:szCs w:val="24"/>
        </w:rPr>
      </w:pPr>
      <w:r w:rsidRPr="00E75964">
        <w:rPr>
          <w:rFonts w:ascii="Garamond" w:hAnsi="Garamond"/>
          <w:sz w:val="24"/>
          <w:szCs w:val="24"/>
        </w:rPr>
        <w:t xml:space="preserve">Brown, M.B., &amp; Forsyth, A.B. (1974a). Robust tests for the equality of variances. </w:t>
      </w:r>
      <w:r w:rsidRPr="00E75964">
        <w:rPr>
          <w:rFonts w:ascii="Garamond" w:hAnsi="Garamond"/>
          <w:i/>
          <w:sz w:val="24"/>
          <w:szCs w:val="24"/>
        </w:rPr>
        <w:t>Journal of the American Statistical Association</w:t>
      </w:r>
      <w:r w:rsidRPr="00E75964">
        <w:rPr>
          <w:rFonts w:ascii="Garamond" w:hAnsi="Garamond"/>
          <w:sz w:val="24"/>
          <w:szCs w:val="24"/>
        </w:rPr>
        <w:t>, 69(346), 364 – 367.</w:t>
      </w:r>
    </w:p>
    <w:p w14:paraId="4E267808" w14:textId="5555ABC6" w:rsidR="005B3A4D" w:rsidRPr="00E75964" w:rsidRDefault="005B3A4D" w:rsidP="005B3A4D">
      <w:pPr>
        <w:spacing w:line="360" w:lineRule="auto"/>
        <w:jc w:val="both"/>
        <w:rPr>
          <w:rFonts w:ascii="Garamond" w:hAnsi="Garamond"/>
          <w:sz w:val="24"/>
          <w:szCs w:val="24"/>
        </w:rPr>
      </w:pPr>
      <w:r w:rsidRPr="00E75964">
        <w:rPr>
          <w:rFonts w:ascii="Garamond" w:hAnsi="Garamond"/>
          <w:sz w:val="24"/>
          <w:szCs w:val="24"/>
        </w:rPr>
        <w:t xml:space="preserve">Brown, M.B., &amp; Forsyth, A.B. (1974b). The small sample </w:t>
      </w:r>
      <w:proofErr w:type="spellStart"/>
      <w:r w:rsidR="00F56E81" w:rsidRPr="00E75964">
        <w:rPr>
          <w:rFonts w:ascii="Garamond" w:hAnsi="Garamond"/>
          <w:sz w:val="24"/>
          <w:szCs w:val="24"/>
        </w:rPr>
        <w:t>behavior</w:t>
      </w:r>
      <w:proofErr w:type="spellEnd"/>
      <w:r w:rsidRPr="00E75964">
        <w:rPr>
          <w:rFonts w:ascii="Garamond" w:hAnsi="Garamond"/>
          <w:sz w:val="24"/>
          <w:szCs w:val="24"/>
        </w:rPr>
        <w:t xml:space="preserve"> of some test statistics which test the equality of several means. </w:t>
      </w:r>
      <w:proofErr w:type="spellStart"/>
      <w:r w:rsidRPr="00E75964">
        <w:rPr>
          <w:rFonts w:ascii="Garamond" w:hAnsi="Garamond"/>
          <w:i/>
          <w:sz w:val="24"/>
          <w:szCs w:val="24"/>
        </w:rPr>
        <w:t>Technometrics</w:t>
      </w:r>
      <w:proofErr w:type="spellEnd"/>
      <w:r w:rsidRPr="00E75964">
        <w:rPr>
          <w:rFonts w:ascii="Garamond" w:hAnsi="Garamond"/>
          <w:sz w:val="24"/>
          <w:szCs w:val="24"/>
        </w:rPr>
        <w:t>, 16(1), 129 – 132.</w:t>
      </w:r>
    </w:p>
    <w:p w14:paraId="34D7B7A1" w14:textId="77777777" w:rsidR="00173F58" w:rsidRPr="00E75964" w:rsidRDefault="00173F58" w:rsidP="005B3A4D">
      <w:pPr>
        <w:spacing w:line="360" w:lineRule="auto"/>
        <w:jc w:val="both"/>
        <w:rPr>
          <w:rFonts w:ascii="Garamond" w:hAnsi="Garamond"/>
          <w:sz w:val="24"/>
          <w:szCs w:val="24"/>
        </w:rPr>
      </w:pPr>
      <w:proofErr w:type="spellStart"/>
      <w:r w:rsidRPr="00E75964">
        <w:rPr>
          <w:rFonts w:ascii="Garamond" w:hAnsi="Garamond"/>
          <w:sz w:val="24"/>
          <w:szCs w:val="24"/>
        </w:rPr>
        <w:t>Brusa</w:t>
      </w:r>
      <w:proofErr w:type="spellEnd"/>
      <w:r w:rsidRPr="00E75964">
        <w:rPr>
          <w:rFonts w:ascii="Garamond" w:hAnsi="Garamond"/>
          <w:sz w:val="24"/>
          <w:szCs w:val="24"/>
        </w:rPr>
        <w:t xml:space="preserve">, J., Liu, P., &amp; Schulman, C. (2000). The weekend effect, ‘Reverse’ weekend effect, and firm size. </w:t>
      </w:r>
      <w:r w:rsidRPr="00E75964">
        <w:rPr>
          <w:rFonts w:ascii="Garamond" w:hAnsi="Garamond"/>
          <w:i/>
          <w:sz w:val="24"/>
          <w:szCs w:val="24"/>
        </w:rPr>
        <w:t>Journal of Business Finance and Accounting</w:t>
      </w:r>
      <w:r w:rsidRPr="00E75964">
        <w:rPr>
          <w:rFonts w:ascii="Garamond" w:hAnsi="Garamond"/>
          <w:sz w:val="24"/>
          <w:szCs w:val="24"/>
        </w:rPr>
        <w:t>, 27(5), 555-574.</w:t>
      </w:r>
    </w:p>
    <w:p w14:paraId="52AC6478" w14:textId="77777777" w:rsidR="00173F58" w:rsidRPr="00E75964" w:rsidRDefault="00173F58" w:rsidP="005B3A4D">
      <w:pPr>
        <w:spacing w:line="360" w:lineRule="auto"/>
        <w:jc w:val="both"/>
        <w:rPr>
          <w:rFonts w:ascii="Garamond" w:hAnsi="Garamond"/>
          <w:sz w:val="24"/>
          <w:szCs w:val="24"/>
        </w:rPr>
      </w:pPr>
      <w:proofErr w:type="spellStart"/>
      <w:r w:rsidRPr="00E75964">
        <w:rPr>
          <w:rFonts w:ascii="Garamond" w:hAnsi="Garamond"/>
          <w:sz w:val="24"/>
          <w:szCs w:val="24"/>
        </w:rPr>
        <w:t>Brusa</w:t>
      </w:r>
      <w:proofErr w:type="spellEnd"/>
      <w:r w:rsidRPr="00E75964">
        <w:rPr>
          <w:rFonts w:ascii="Garamond" w:hAnsi="Garamond"/>
          <w:sz w:val="24"/>
          <w:szCs w:val="24"/>
        </w:rPr>
        <w:t xml:space="preserve">, J., Liu, P., &amp; Schulman, C. (2005). Weekend effect, ‘Reverse’ weekend effect, and investors trading activities. </w:t>
      </w:r>
      <w:r w:rsidRPr="00E75964">
        <w:rPr>
          <w:rFonts w:ascii="Garamond" w:hAnsi="Garamond"/>
          <w:i/>
          <w:sz w:val="24"/>
          <w:szCs w:val="24"/>
        </w:rPr>
        <w:t>Journal of Business Finance and Accounting</w:t>
      </w:r>
      <w:r w:rsidRPr="00E75964">
        <w:rPr>
          <w:rFonts w:ascii="Garamond" w:hAnsi="Garamond"/>
          <w:sz w:val="24"/>
          <w:szCs w:val="24"/>
        </w:rPr>
        <w:t>, 32(7 and 8), 1495-1516.</w:t>
      </w:r>
    </w:p>
    <w:p w14:paraId="2B04041F" w14:textId="5CBB51E9" w:rsidR="002F27B4" w:rsidRPr="00E75964" w:rsidRDefault="002F27B4" w:rsidP="005B3A4D">
      <w:pPr>
        <w:spacing w:line="360" w:lineRule="auto"/>
        <w:jc w:val="both"/>
        <w:rPr>
          <w:rFonts w:ascii="Garamond" w:hAnsi="Garamond"/>
          <w:sz w:val="24"/>
          <w:szCs w:val="24"/>
        </w:rPr>
      </w:pPr>
      <w:proofErr w:type="spellStart"/>
      <w:r w:rsidRPr="00E75964">
        <w:rPr>
          <w:rFonts w:ascii="Garamond" w:hAnsi="Garamond"/>
          <w:sz w:val="24"/>
          <w:szCs w:val="24"/>
        </w:rPr>
        <w:t>Canepa</w:t>
      </w:r>
      <w:proofErr w:type="spellEnd"/>
      <w:r w:rsidRPr="00E75964">
        <w:rPr>
          <w:rFonts w:ascii="Garamond" w:hAnsi="Garamond"/>
          <w:sz w:val="24"/>
          <w:szCs w:val="24"/>
        </w:rPr>
        <w:t>, A., &amp;</w:t>
      </w:r>
      <w:r w:rsidR="005E7D78" w:rsidRPr="00E75964">
        <w:rPr>
          <w:rFonts w:ascii="Garamond" w:hAnsi="Garamond"/>
          <w:sz w:val="24"/>
          <w:szCs w:val="24"/>
        </w:rPr>
        <w:t xml:space="preserve"> </w:t>
      </w:r>
      <w:proofErr w:type="spellStart"/>
      <w:r w:rsidR="005E7D78" w:rsidRPr="00E75964">
        <w:rPr>
          <w:rFonts w:ascii="Garamond" w:hAnsi="Garamond"/>
          <w:sz w:val="24"/>
          <w:szCs w:val="24"/>
        </w:rPr>
        <w:t>Ibnrubbian</w:t>
      </w:r>
      <w:proofErr w:type="spellEnd"/>
      <w:r w:rsidR="005E7D78" w:rsidRPr="00E75964">
        <w:rPr>
          <w:rFonts w:ascii="Garamond" w:hAnsi="Garamond"/>
          <w:sz w:val="24"/>
          <w:szCs w:val="24"/>
        </w:rPr>
        <w:t xml:space="preserve">, A. (2014). Does faith move stock markets? Evidence from Saudi Arabia. </w:t>
      </w:r>
      <w:r w:rsidR="005E7D78" w:rsidRPr="00E75964">
        <w:rPr>
          <w:rFonts w:ascii="Garamond" w:hAnsi="Garamond"/>
          <w:i/>
          <w:sz w:val="24"/>
          <w:szCs w:val="24"/>
        </w:rPr>
        <w:t>The Quarterly Review of Economics and Finance</w:t>
      </w:r>
      <w:r w:rsidR="005E7D78" w:rsidRPr="00E75964">
        <w:rPr>
          <w:rFonts w:ascii="Garamond" w:hAnsi="Garamond"/>
          <w:sz w:val="24"/>
          <w:szCs w:val="24"/>
        </w:rPr>
        <w:t>, 54, 538-550.</w:t>
      </w:r>
    </w:p>
    <w:p w14:paraId="3A972649" w14:textId="635ABCA5" w:rsidR="00173F58" w:rsidRPr="00E75964" w:rsidRDefault="00173F58" w:rsidP="005B3A4D">
      <w:pPr>
        <w:spacing w:line="360" w:lineRule="auto"/>
        <w:jc w:val="both"/>
        <w:rPr>
          <w:rFonts w:ascii="Garamond" w:hAnsi="Garamond"/>
          <w:sz w:val="24"/>
          <w:szCs w:val="24"/>
        </w:rPr>
      </w:pPr>
      <w:r w:rsidRPr="006B58F0">
        <w:rPr>
          <w:rFonts w:ascii="Garamond" w:hAnsi="Garamond"/>
          <w:sz w:val="24"/>
          <w:szCs w:val="24"/>
          <w:lang w:val="de-DE"/>
        </w:rPr>
        <w:t xml:space="preserve">Chan, S.H., Leung, W., &amp; Wang, K. (2004). </w:t>
      </w:r>
      <w:r w:rsidRPr="00E75964">
        <w:rPr>
          <w:rFonts w:ascii="Garamond" w:hAnsi="Garamond"/>
          <w:sz w:val="24"/>
          <w:szCs w:val="24"/>
        </w:rPr>
        <w:t xml:space="preserve">The impact of institutional investors on the Monday seasonal. </w:t>
      </w:r>
      <w:r w:rsidRPr="00E75964">
        <w:rPr>
          <w:rFonts w:ascii="Garamond" w:hAnsi="Garamond"/>
          <w:i/>
          <w:sz w:val="24"/>
          <w:szCs w:val="24"/>
        </w:rPr>
        <w:t>Journal of Business</w:t>
      </w:r>
      <w:r w:rsidRPr="00E75964">
        <w:rPr>
          <w:rFonts w:ascii="Garamond" w:hAnsi="Garamond"/>
          <w:sz w:val="24"/>
          <w:szCs w:val="24"/>
        </w:rPr>
        <w:t>, 77 (4), 967-986.</w:t>
      </w:r>
    </w:p>
    <w:p w14:paraId="53A49E6D"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Chan, K., </w:t>
      </w:r>
      <w:proofErr w:type="spellStart"/>
      <w:r w:rsidRPr="00E75964">
        <w:rPr>
          <w:rFonts w:ascii="Garamond" w:hAnsi="Garamond"/>
          <w:sz w:val="24"/>
          <w:szCs w:val="24"/>
        </w:rPr>
        <w:t>Covrig</w:t>
      </w:r>
      <w:proofErr w:type="spellEnd"/>
      <w:r w:rsidRPr="00E75964">
        <w:rPr>
          <w:rFonts w:ascii="Garamond" w:hAnsi="Garamond"/>
          <w:sz w:val="24"/>
          <w:szCs w:val="24"/>
        </w:rPr>
        <w:t xml:space="preserve">, V., &amp; Ng, L. (2005). What determines the domestic bias and foreign bias? Evidence from mutual fund equity allocations worldwide, </w:t>
      </w:r>
      <w:r w:rsidRPr="00E75964">
        <w:rPr>
          <w:rFonts w:ascii="Garamond" w:hAnsi="Garamond"/>
          <w:i/>
          <w:sz w:val="24"/>
          <w:szCs w:val="24"/>
        </w:rPr>
        <w:t>Journal of Finance</w:t>
      </w:r>
      <w:r w:rsidRPr="00E75964">
        <w:rPr>
          <w:rFonts w:ascii="Garamond" w:hAnsi="Garamond"/>
          <w:sz w:val="24"/>
          <w:szCs w:val="24"/>
        </w:rPr>
        <w:t>, 60, 1495-1534.</w:t>
      </w:r>
    </w:p>
    <w:p w14:paraId="6D5EA89E"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Charles, A. (2010). The day-of-the-week effects on the volatility: The role of the asymmetry. </w:t>
      </w:r>
      <w:r w:rsidRPr="00E75964">
        <w:rPr>
          <w:rFonts w:ascii="Garamond" w:hAnsi="Garamond"/>
          <w:i/>
          <w:sz w:val="24"/>
          <w:szCs w:val="24"/>
        </w:rPr>
        <w:t>European Journal of Operational Research</w:t>
      </w:r>
      <w:r w:rsidRPr="00E75964">
        <w:rPr>
          <w:rFonts w:ascii="Garamond" w:hAnsi="Garamond"/>
          <w:sz w:val="24"/>
          <w:szCs w:val="24"/>
        </w:rPr>
        <w:t>, 20, 143-152.</w:t>
      </w:r>
    </w:p>
    <w:p w14:paraId="63779A40"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Chia, R.C., </w:t>
      </w:r>
      <w:proofErr w:type="spellStart"/>
      <w:r w:rsidRPr="00E75964">
        <w:rPr>
          <w:rFonts w:ascii="Garamond" w:hAnsi="Garamond"/>
          <w:sz w:val="24"/>
          <w:szCs w:val="24"/>
        </w:rPr>
        <w:t>Liew</w:t>
      </w:r>
      <w:proofErr w:type="spellEnd"/>
      <w:r w:rsidRPr="00E75964">
        <w:rPr>
          <w:rFonts w:ascii="Garamond" w:hAnsi="Garamond"/>
          <w:sz w:val="24"/>
          <w:szCs w:val="24"/>
        </w:rPr>
        <w:t xml:space="preserve">, V.K., </w:t>
      </w:r>
      <w:proofErr w:type="spellStart"/>
      <w:r w:rsidRPr="00E75964">
        <w:rPr>
          <w:rFonts w:ascii="Garamond" w:hAnsi="Garamond"/>
          <w:sz w:val="24"/>
          <w:szCs w:val="24"/>
        </w:rPr>
        <w:t>Wafa</w:t>
      </w:r>
      <w:proofErr w:type="spellEnd"/>
      <w:r w:rsidRPr="00E75964">
        <w:rPr>
          <w:rFonts w:ascii="Garamond" w:hAnsi="Garamond"/>
          <w:sz w:val="24"/>
          <w:szCs w:val="24"/>
        </w:rPr>
        <w:t xml:space="preserve">, S.A., &amp; </w:t>
      </w:r>
      <w:proofErr w:type="spellStart"/>
      <w:r w:rsidRPr="00E75964">
        <w:rPr>
          <w:rFonts w:ascii="Garamond" w:hAnsi="Garamond"/>
          <w:sz w:val="24"/>
          <w:szCs w:val="24"/>
        </w:rPr>
        <w:t>Wafa</w:t>
      </w:r>
      <w:proofErr w:type="spellEnd"/>
      <w:r w:rsidRPr="00E75964">
        <w:rPr>
          <w:rFonts w:ascii="Garamond" w:hAnsi="Garamond"/>
          <w:sz w:val="24"/>
          <w:szCs w:val="24"/>
        </w:rPr>
        <w:t xml:space="preserve">, S.K. (2008). Day-of-the-week effects in selected East Asian stock markets. </w:t>
      </w:r>
      <w:r w:rsidRPr="00E75964">
        <w:rPr>
          <w:rFonts w:ascii="Garamond" w:hAnsi="Garamond"/>
          <w:i/>
          <w:sz w:val="24"/>
          <w:szCs w:val="24"/>
        </w:rPr>
        <w:t>Economic Bulletin</w:t>
      </w:r>
      <w:r w:rsidRPr="00E75964">
        <w:rPr>
          <w:rFonts w:ascii="Garamond" w:hAnsi="Garamond"/>
          <w:sz w:val="24"/>
          <w:szCs w:val="24"/>
        </w:rPr>
        <w:t>, 7(5), 1 – 8.</w:t>
      </w:r>
    </w:p>
    <w:p w14:paraId="156B9A71"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Chordia, T., Roll, R., &amp; Subrahmanyam, A. (2001). Market liquidity and trading activity. </w:t>
      </w:r>
      <w:r w:rsidRPr="00E75964">
        <w:rPr>
          <w:rFonts w:ascii="Garamond" w:hAnsi="Garamond"/>
          <w:i/>
          <w:sz w:val="24"/>
          <w:szCs w:val="24"/>
        </w:rPr>
        <w:t>Journal of Finance</w:t>
      </w:r>
      <w:r w:rsidRPr="00E75964">
        <w:rPr>
          <w:rFonts w:ascii="Garamond" w:hAnsi="Garamond"/>
          <w:sz w:val="24"/>
          <w:szCs w:val="24"/>
        </w:rPr>
        <w:t>, 56, 501-530.</w:t>
      </w:r>
    </w:p>
    <w:p w14:paraId="5C109187"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Choudhry, T. (2000). Day of the week effect in emerging Asian stock markets: evidence from the GARCH model. </w:t>
      </w:r>
      <w:r w:rsidRPr="00E75964">
        <w:rPr>
          <w:rFonts w:ascii="Garamond" w:hAnsi="Garamond"/>
          <w:i/>
          <w:sz w:val="24"/>
          <w:szCs w:val="24"/>
        </w:rPr>
        <w:t>Applied Financial Economics</w:t>
      </w:r>
      <w:r w:rsidRPr="00E75964">
        <w:rPr>
          <w:rFonts w:ascii="Garamond" w:hAnsi="Garamond"/>
          <w:sz w:val="24"/>
          <w:szCs w:val="24"/>
        </w:rPr>
        <w:t>, 10, 235-242.</w:t>
      </w:r>
    </w:p>
    <w:p w14:paraId="7CAE8112" w14:textId="44A04818" w:rsidR="008B768D" w:rsidRPr="00E75964" w:rsidRDefault="008B768D" w:rsidP="005B3A4D">
      <w:pPr>
        <w:spacing w:line="360" w:lineRule="auto"/>
        <w:jc w:val="both"/>
        <w:rPr>
          <w:rFonts w:ascii="Garamond" w:hAnsi="Garamond"/>
          <w:sz w:val="24"/>
          <w:szCs w:val="24"/>
        </w:rPr>
      </w:pPr>
      <w:r w:rsidRPr="00E75964">
        <w:rPr>
          <w:rFonts w:ascii="Garamond" w:hAnsi="Garamond"/>
          <w:sz w:val="24"/>
          <w:szCs w:val="24"/>
        </w:rPr>
        <w:lastRenderedPageBreak/>
        <w:t xml:space="preserve">Chowdhury, A.R. (1994). Statistical properties of daily returns from the Dhaka stock exchange. </w:t>
      </w:r>
      <w:r w:rsidRPr="00E75964">
        <w:rPr>
          <w:rFonts w:ascii="Garamond" w:hAnsi="Garamond"/>
          <w:i/>
          <w:iCs/>
          <w:sz w:val="24"/>
          <w:szCs w:val="24"/>
        </w:rPr>
        <w:t>The Bangladesh Development Studies</w:t>
      </w:r>
      <w:r w:rsidRPr="00E75964">
        <w:rPr>
          <w:rFonts w:ascii="Garamond" w:hAnsi="Garamond"/>
          <w:sz w:val="24"/>
          <w:szCs w:val="24"/>
        </w:rPr>
        <w:t>, 22(4), 61 – 76.</w:t>
      </w:r>
    </w:p>
    <w:p w14:paraId="1B7EDAED" w14:textId="2ECCAA50" w:rsidR="00230C04" w:rsidRPr="00E75964" w:rsidRDefault="00230C04" w:rsidP="005B3A4D">
      <w:pPr>
        <w:spacing w:line="360" w:lineRule="auto"/>
        <w:jc w:val="both"/>
        <w:rPr>
          <w:rFonts w:ascii="Garamond" w:hAnsi="Garamond"/>
          <w:sz w:val="24"/>
          <w:szCs w:val="24"/>
        </w:rPr>
      </w:pPr>
      <w:r w:rsidRPr="00E75964">
        <w:rPr>
          <w:rFonts w:ascii="Garamond" w:hAnsi="Garamond"/>
          <w:sz w:val="24"/>
          <w:szCs w:val="24"/>
        </w:rPr>
        <w:t xml:space="preserve">Chowdhury A. </w:t>
      </w:r>
      <w:r w:rsidR="00C556F3" w:rsidRPr="00E75964">
        <w:rPr>
          <w:rFonts w:ascii="Garamond" w:hAnsi="Garamond"/>
          <w:sz w:val="24"/>
          <w:szCs w:val="24"/>
        </w:rPr>
        <w:t>(</w:t>
      </w:r>
      <w:r w:rsidRPr="00E75964">
        <w:rPr>
          <w:rFonts w:ascii="Garamond" w:hAnsi="Garamond"/>
          <w:sz w:val="24"/>
          <w:szCs w:val="24"/>
        </w:rPr>
        <w:t>2014</w:t>
      </w:r>
      <w:r w:rsidR="00C556F3" w:rsidRPr="00E75964">
        <w:rPr>
          <w:rFonts w:ascii="Garamond" w:hAnsi="Garamond"/>
          <w:sz w:val="24"/>
          <w:szCs w:val="24"/>
        </w:rPr>
        <w:t>)</w:t>
      </w:r>
      <w:r w:rsidRPr="00E75964">
        <w:rPr>
          <w:rFonts w:ascii="Garamond" w:hAnsi="Garamond"/>
          <w:sz w:val="24"/>
          <w:szCs w:val="24"/>
        </w:rPr>
        <w:t xml:space="preserve">. </w:t>
      </w:r>
      <w:r w:rsidRPr="00E75964">
        <w:rPr>
          <w:rFonts w:ascii="Garamond" w:hAnsi="Garamond"/>
          <w:i/>
          <w:sz w:val="24"/>
          <w:szCs w:val="24"/>
        </w:rPr>
        <w:t>Macro and macro dynamics of stock market: An investigation into Dhaka Stock Exchange (DSE)</w:t>
      </w:r>
      <w:r w:rsidRPr="00E75964">
        <w:rPr>
          <w:rFonts w:ascii="Garamond" w:hAnsi="Garamond"/>
          <w:sz w:val="24"/>
          <w:szCs w:val="24"/>
        </w:rPr>
        <w:t>. PhD Thesis, University of York.</w:t>
      </w:r>
    </w:p>
    <w:p w14:paraId="0B07DD78" w14:textId="3E92EE91" w:rsidR="00066EA7" w:rsidRPr="00E75964" w:rsidRDefault="00066EA7" w:rsidP="005B3A4D">
      <w:pPr>
        <w:spacing w:line="360" w:lineRule="auto"/>
        <w:jc w:val="both"/>
        <w:rPr>
          <w:rFonts w:ascii="Garamond" w:hAnsi="Garamond"/>
          <w:sz w:val="24"/>
          <w:szCs w:val="24"/>
        </w:rPr>
      </w:pPr>
      <w:r w:rsidRPr="00E75964">
        <w:rPr>
          <w:rFonts w:ascii="Garamond" w:hAnsi="Garamond"/>
          <w:sz w:val="24"/>
          <w:szCs w:val="24"/>
        </w:rPr>
        <w:t xml:space="preserve">Chowdhury, A., Uddin, M. and Anderson, K. (2018). Liquidity and macroeconomic management in emerging markets. </w:t>
      </w:r>
      <w:r w:rsidRPr="00E75964">
        <w:rPr>
          <w:rFonts w:ascii="Garamond" w:hAnsi="Garamond"/>
          <w:i/>
          <w:iCs/>
          <w:sz w:val="24"/>
          <w:szCs w:val="24"/>
        </w:rPr>
        <w:t>Emerging Markets Review</w:t>
      </w:r>
      <w:r w:rsidRPr="00E75964">
        <w:rPr>
          <w:rFonts w:ascii="Garamond" w:hAnsi="Garamond"/>
          <w:sz w:val="24"/>
          <w:szCs w:val="24"/>
        </w:rPr>
        <w:t>, 34, 1 – 24.</w:t>
      </w:r>
    </w:p>
    <w:p w14:paraId="686B0457" w14:textId="46A6E0B8" w:rsidR="009C0CF6" w:rsidRPr="00E75964" w:rsidRDefault="009C0CF6" w:rsidP="005B3A4D">
      <w:pPr>
        <w:spacing w:line="360" w:lineRule="auto"/>
        <w:jc w:val="both"/>
        <w:rPr>
          <w:rFonts w:ascii="Garamond" w:hAnsi="Garamond"/>
          <w:sz w:val="24"/>
          <w:szCs w:val="24"/>
        </w:rPr>
      </w:pPr>
      <w:r w:rsidRPr="00E75964">
        <w:rPr>
          <w:rFonts w:ascii="Garamond" w:hAnsi="Garamond"/>
          <w:sz w:val="24"/>
          <w:szCs w:val="24"/>
        </w:rPr>
        <w:t xml:space="preserve">Chowdhury, S.S.H., &amp; </w:t>
      </w:r>
      <w:proofErr w:type="spellStart"/>
      <w:r w:rsidRPr="00E75964">
        <w:rPr>
          <w:rFonts w:ascii="Garamond" w:hAnsi="Garamond"/>
          <w:sz w:val="24"/>
          <w:szCs w:val="24"/>
        </w:rPr>
        <w:t>Sharmin</w:t>
      </w:r>
      <w:proofErr w:type="spellEnd"/>
      <w:r w:rsidRPr="00E75964">
        <w:rPr>
          <w:rFonts w:ascii="Garamond" w:hAnsi="Garamond"/>
          <w:sz w:val="24"/>
          <w:szCs w:val="24"/>
        </w:rPr>
        <w:t xml:space="preserve">, R. (2012). Does cross-sectional risk explain day-of-the-week effects in </w:t>
      </w:r>
      <w:proofErr w:type="spellStart"/>
      <w:r w:rsidRPr="00E75964">
        <w:rPr>
          <w:rFonts w:ascii="Garamond" w:hAnsi="Garamond"/>
          <w:sz w:val="24"/>
          <w:szCs w:val="24"/>
        </w:rPr>
        <w:t>Bangaldesh</w:t>
      </w:r>
      <w:proofErr w:type="spellEnd"/>
      <w:r w:rsidRPr="00E75964">
        <w:rPr>
          <w:rFonts w:ascii="Garamond" w:hAnsi="Garamond"/>
          <w:sz w:val="24"/>
          <w:szCs w:val="24"/>
        </w:rPr>
        <w:t xml:space="preserve"> stock market? </w:t>
      </w:r>
      <w:r w:rsidRPr="00E75964">
        <w:rPr>
          <w:rFonts w:ascii="Garamond" w:hAnsi="Garamond"/>
          <w:i/>
          <w:sz w:val="24"/>
          <w:szCs w:val="24"/>
        </w:rPr>
        <w:t>International Research Journal of Finance and Economics</w:t>
      </w:r>
      <w:r w:rsidRPr="00E75964">
        <w:rPr>
          <w:rFonts w:ascii="Garamond" w:hAnsi="Garamond"/>
          <w:sz w:val="24"/>
          <w:szCs w:val="24"/>
        </w:rPr>
        <w:t>, 93, 84-94.</w:t>
      </w:r>
    </w:p>
    <w:p w14:paraId="02ABD5E4"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Clark, P.K. (1973). A subordinated stochastic process model with finite variance for speculative prices. </w:t>
      </w:r>
      <w:proofErr w:type="spellStart"/>
      <w:r w:rsidRPr="00E75964">
        <w:rPr>
          <w:rFonts w:ascii="Garamond" w:hAnsi="Garamond"/>
          <w:i/>
          <w:sz w:val="24"/>
          <w:szCs w:val="24"/>
        </w:rPr>
        <w:t>Econometrica</w:t>
      </w:r>
      <w:proofErr w:type="spellEnd"/>
      <w:r w:rsidRPr="00E75964">
        <w:rPr>
          <w:rFonts w:ascii="Garamond" w:hAnsi="Garamond"/>
          <w:sz w:val="24"/>
          <w:szCs w:val="24"/>
        </w:rPr>
        <w:t>, 41(1), 135-155</w:t>
      </w:r>
    </w:p>
    <w:p w14:paraId="15394A3F"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Connolly, R. A. (1989). An examination of the robustness of the weekend effect</w:t>
      </w:r>
      <w:r w:rsidRPr="00E75964">
        <w:rPr>
          <w:rFonts w:ascii="Garamond" w:hAnsi="Garamond"/>
          <w:i/>
          <w:sz w:val="24"/>
          <w:szCs w:val="24"/>
        </w:rPr>
        <w:t>. Journal of Financial and Quantitative Analysis</w:t>
      </w:r>
      <w:r w:rsidRPr="00E75964">
        <w:rPr>
          <w:rFonts w:ascii="Garamond" w:hAnsi="Garamond"/>
          <w:sz w:val="24"/>
          <w:szCs w:val="24"/>
        </w:rPr>
        <w:t>, 24, 133-169.</w:t>
      </w:r>
    </w:p>
    <w:p w14:paraId="68DE5227"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Damodaran, A. (1989). The weekend effect in information releases: A study of earnings and dividend announcement. </w:t>
      </w:r>
      <w:r w:rsidRPr="00E75964">
        <w:rPr>
          <w:rFonts w:ascii="Garamond" w:hAnsi="Garamond"/>
          <w:i/>
          <w:sz w:val="24"/>
          <w:szCs w:val="24"/>
        </w:rPr>
        <w:t>The Review of Financial Studies</w:t>
      </w:r>
      <w:r w:rsidRPr="00E75964">
        <w:rPr>
          <w:rFonts w:ascii="Garamond" w:hAnsi="Garamond"/>
          <w:sz w:val="24"/>
          <w:szCs w:val="24"/>
        </w:rPr>
        <w:t>, 2, 607-623.</w:t>
      </w:r>
    </w:p>
    <w:p w14:paraId="63752FAF" w14:textId="77777777" w:rsidR="00173F58" w:rsidRPr="00E75964" w:rsidRDefault="00173F58" w:rsidP="005B3A4D">
      <w:pPr>
        <w:spacing w:line="360" w:lineRule="auto"/>
        <w:jc w:val="both"/>
        <w:rPr>
          <w:rFonts w:ascii="Garamond" w:hAnsi="Garamond"/>
          <w:sz w:val="24"/>
          <w:szCs w:val="24"/>
        </w:rPr>
      </w:pPr>
      <w:proofErr w:type="spellStart"/>
      <w:r w:rsidRPr="00E75964">
        <w:rPr>
          <w:rFonts w:ascii="Garamond" w:hAnsi="Garamond"/>
          <w:sz w:val="24"/>
          <w:szCs w:val="24"/>
        </w:rPr>
        <w:t>Dyl</w:t>
      </w:r>
      <w:proofErr w:type="spellEnd"/>
      <w:r w:rsidRPr="00E75964">
        <w:rPr>
          <w:rFonts w:ascii="Garamond" w:hAnsi="Garamond"/>
          <w:sz w:val="24"/>
          <w:szCs w:val="24"/>
        </w:rPr>
        <w:t xml:space="preserve">, E., &amp; </w:t>
      </w:r>
      <w:proofErr w:type="spellStart"/>
      <w:r w:rsidRPr="00E75964">
        <w:rPr>
          <w:rFonts w:ascii="Garamond" w:hAnsi="Garamond"/>
          <w:sz w:val="24"/>
          <w:szCs w:val="24"/>
        </w:rPr>
        <w:t>Maberly</w:t>
      </w:r>
      <w:proofErr w:type="spellEnd"/>
      <w:r w:rsidRPr="00E75964">
        <w:rPr>
          <w:rFonts w:ascii="Garamond" w:hAnsi="Garamond"/>
          <w:sz w:val="24"/>
          <w:szCs w:val="24"/>
        </w:rPr>
        <w:t xml:space="preserve">, E. (1988). A possible explanation of the weekend effect. </w:t>
      </w:r>
      <w:r w:rsidRPr="00E75964">
        <w:rPr>
          <w:rFonts w:ascii="Garamond" w:hAnsi="Garamond"/>
          <w:i/>
          <w:sz w:val="24"/>
          <w:szCs w:val="24"/>
        </w:rPr>
        <w:t>Financial Analysts Journal</w:t>
      </w:r>
      <w:r w:rsidRPr="00E75964">
        <w:rPr>
          <w:rFonts w:ascii="Garamond" w:hAnsi="Garamond"/>
          <w:sz w:val="24"/>
          <w:szCs w:val="24"/>
        </w:rPr>
        <w:t>, 44(3), 83-84.</w:t>
      </w:r>
    </w:p>
    <w:p w14:paraId="21B32ECF"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Enders, W. (1995). </w:t>
      </w:r>
      <w:r w:rsidRPr="00E75964">
        <w:rPr>
          <w:rFonts w:ascii="Garamond" w:hAnsi="Garamond"/>
          <w:i/>
          <w:sz w:val="24"/>
          <w:szCs w:val="24"/>
        </w:rPr>
        <w:t>Applied Econometric Time Series</w:t>
      </w:r>
      <w:r w:rsidRPr="00E75964">
        <w:rPr>
          <w:rFonts w:ascii="Garamond" w:hAnsi="Garamond"/>
          <w:sz w:val="24"/>
          <w:szCs w:val="24"/>
        </w:rPr>
        <w:t>. New York, John Wiley &amp; Sons, Inc.</w:t>
      </w:r>
    </w:p>
    <w:p w14:paraId="721773B1"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Engle, R. (1982). Autoregressive conditional heteroskedasticity with estimates of the variance of United Kingdom inflation. </w:t>
      </w:r>
      <w:proofErr w:type="spellStart"/>
      <w:r w:rsidRPr="00E75964">
        <w:rPr>
          <w:rFonts w:ascii="Garamond" w:hAnsi="Garamond"/>
          <w:i/>
          <w:sz w:val="24"/>
          <w:szCs w:val="24"/>
        </w:rPr>
        <w:t>Econometrica</w:t>
      </w:r>
      <w:proofErr w:type="spellEnd"/>
      <w:r w:rsidRPr="00E75964">
        <w:rPr>
          <w:rFonts w:ascii="Garamond" w:hAnsi="Garamond"/>
          <w:sz w:val="24"/>
          <w:szCs w:val="24"/>
        </w:rPr>
        <w:t>, 50, 987 – 1007.</w:t>
      </w:r>
    </w:p>
    <w:p w14:paraId="08BE4BDC" w14:textId="77777777" w:rsidR="00173F58" w:rsidRPr="00E75964" w:rsidRDefault="00173F58" w:rsidP="005B3A4D">
      <w:pPr>
        <w:spacing w:line="360" w:lineRule="auto"/>
        <w:jc w:val="both"/>
        <w:rPr>
          <w:rFonts w:ascii="Garamond" w:hAnsi="Garamond"/>
          <w:sz w:val="24"/>
          <w:szCs w:val="24"/>
        </w:rPr>
      </w:pPr>
      <w:r w:rsidRPr="00E75964">
        <w:rPr>
          <w:rFonts w:ascii="Garamond" w:hAnsi="Garamond" w:cs="AdvTT5843c571"/>
          <w:sz w:val="24"/>
          <w:szCs w:val="24"/>
        </w:rPr>
        <w:t xml:space="preserve">Engle, R. (1993). Statistical models for financial volatility. </w:t>
      </w:r>
      <w:r w:rsidRPr="00E75964">
        <w:rPr>
          <w:rFonts w:ascii="Garamond" w:hAnsi="Garamond" w:cs="AdvTTf90d833a.I"/>
          <w:i/>
          <w:sz w:val="24"/>
          <w:szCs w:val="24"/>
        </w:rPr>
        <w:t>Financial Analysts Journal</w:t>
      </w:r>
      <w:r w:rsidRPr="00E75964">
        <w:rPr>
          <w:rFonts w:ascii="Garamond" w:hAnsi="Garamond" w:cs="AdvTT5843c571"/>
          <w:sz w:val="24"/>
          <w:szCs w:val="24"/>
        </w:rPr>
        <w:t>, 72–78.</w:t>
      </w:r>
    </w:p>
    <w:p w14:paraId="10AC6A70"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Engle, R. (2001). GARCH 101: The use of ARCH/GARCH models in applied economics. </w:t>
      </w:r>
      <w:r w:rsidRPr="00E75964">
        <w:rPr>
          <w:rFonts w:ascii="Garamond" w:hAnsi="Garamond"/>
          <w:i/>
          <w:sz w:val="24"/>
          <w:szCs w:val="24"/>
        </w:rPr>
        <w:t>Journal of Economic Perspective</w:t>
      </w:r>
      <w:r w:rsidRPr="00E75964">
        <w:rPr>
          <w:rFonts w:ascii="Garamond" w:hAnsi="Garamond"/>
          <w:sz w:val="24"/>
          <w:szCs w:val="24"/>
        </w:rPr>
        <w:t>, 15(4), 157 – 168.</w:t>
      </w:r>
    </w:p>
    <w:p w14:paraId="417C0C8D" w14:textId="77777777" w:rsidR="00173F58" w:rsidRPr="00E75964" w:rsidRDefault="00173F58" w:rsidP="005B3A4D">
      <w:pPr>
        <w:spacing w:line="360" w:lineRule="auto"/>
        <w:jc w:val="both"/>
        <w:rPr>
          <w:rFonts w:ascii="Garamond" w:hAnsi="Garamond"/>
          <w:sz w:val="24"/>
          <w:szCs w:val="24"/>
        </w:rPr>
      </w:pPr>
      <w:proofErr w:type="spellStart"/>
      <w:r w:rsidRPr="00E75964">
        <w:rPr>
          <w:rFonts w:ascii="Garamond" w:hAnsi="Garamond"/>
          <w:sz w:val="24"/>
          <w:szCs w:val="24"/>
        </w:rPr>
        <w:t>Fama</w:t>
      </w:r>
      <w:proofErr w:type="spellEnd"/>
      <w:r w:rsidRPr="00E75964">
        <w:rPr>
          <w:rFonts w:ascii="Garamond" w:hAnsi="Garamond"/>
          <w:sz w:val="24"/>
          <w:szCs w:val="24"/>
        </w:rPr>
        <w:t xml:space="preserve">, E. (1965). The </w:t>
      </w:r>
      <w:proofErr w:type="spellStart"/>
      <w:r w:rsidRPr="00E75964">
        <w:rPr>
          <w:rFonts w:ascii="Garamond" w:hAnsi="Garamond"/>
          <w:sz w:val="24"/>
          <w:szCs w:val="24"/>
        </w:rPr>
        <w:t>behavior</w:t>
      </w:r>
      <w:proofErr w:type="spellEnd"/>
      <w:r w:rsidRPr="00E75964">
        <w:rPr>
          <w:rFonts w:ascii="Garamond" w:hAnsi="Garamond"/>
          <w:sz w:val="24"/>
          <w:szCs w:val="24"/>
        </w:rPr>
        <w:t xml:space="preserve"> of stock market prices. </w:t>
      </w:r>
      <w:r w:rsidRPr="00E75964">
        <w:rPr>
          <w:rFonts w:ascii="Garamond" w:hAnsi="Garamond"/>
          <w:i/>
          <w:sz w:val="24"/>
          <w:szCs w:val="24"/>
        </w:rPr>
        <w:t>Journal of Business</w:t>
      </w:r>
      <w:r w:rsidRPr="00E75964">
        <w:rPr>
          <w:rFonts w:ascii="Garamond" w:hAnsi="Garamond"/>
          <w:sz w:val="24"/>
          <w:szCs w:val="24"/>
        </w:rPr>
        <w:t>, 28, 34 – 105.</w:t>
      </w:r>
    </w:p>
    <w:p w14:paraId="4EFA4A19"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Farag, H. (2013). Price Limit Bands, asymmetric volatility and Stock Market Anomalies: Evidence from Emerging Markets. </w:t>
      </w:r>
      <w:r w:rsidRPr="00E75964">
        <w:rPr>
          <w:rFonts w:ascii="Garamond" w:hAnsi="Garamond"/>
          <w:i/>
          <w:sz w:val="24"/>
          <w:szCs w:val="24"/>
        </w:rPr>
        <w:t xml:space="preserve">Global Finance </w:t>
      </w:r>
      <w:proofErr w:type="gramStart"/>
      <w:r w:rsidRPr="00E75964">
        <w:rPr>
          <w:rFonts w:ascii="Garamond" w:hAnsi="Garamond"/>
          <w:i/>
          <w:sz w:val="24"/>
          <w:szCs w:val="24"/>
        </w:rPr>
        <w:t>Journal</w:t>
      </w:r>
      <w:r w:rsidRPr="00E75964">
        <w:rPr>
          <w:rFonts w:ascii="Garamond" w:hAnsi="Garamond"/>
          <w:sz w:val="24"/>
          <w:szCs w:val="24"/>
        </w:rPr>
        <w:t xml:space="preserve"> ,</w:t>
      </w:r>
      <w:proofErr w:type="gramEnd"/>
      <w:r w:rsidRPr="00E75964">
        <w:rPr>
          <w:rFonts w:ascii="Garamond" w:hAnsi="Garamond"/>
          <w:sz w:val="24"/>
          <w:szCs w:val="24"/>
        </w:rPr>
        <w:t xml:space="preserve"> </w:t>
      </w:r>
      <w:proofErr w:type="spellStart"/>
      <w:r w:rsidRPr="00E75964">
        <w:rPr>
          <w:rFonts w:ascii="Garamond" w:hAnsi="Garamond"/>
          <w:sz w:val="24"/>
          <w:szCs w:val="24"/>
        </w:rPr>
        <w:t>doi</w:t>
      </w:r>
      <w:proofErr w:type="spellEnd"/>
      <w:r w:rsidRPr="00E75964">
        <w:rPr>
          <w:rFonts w:ascii="Garamond" w:hAnsi="Garamond"/>
          <w:sz w:val="24"/>
          <w:szCs w:val="24"/>
        </w:rPr>
        <w:t>: 10.1016/j.gfj.2013.03.002</w:t>
      </w:r>
    </w:p>
    <w:p w14:paraId="6A042959"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Fortune, P. (1991). Stock market efficiency: an autopsy. </w:t>
      </w:r>
      <w:r w:rsidRPr="00E75964">
        <w:rPr>
          <w:rFonts w:ascii="Garamond" w:hAnsi="Garamond"/>
          <w:i/>
          <w:sz w:val="24"/>
          <w:szCs w:val="24"/>
        </w:rPr>
        <w:t>New England Economic Review</w:t>
      </w:r>
      <w:r w:rsidRPr="00E75964">
        <w:rPr>
          <w:rFonts w:ascii="Garamond" w:hAnsi="Garamond"/>
          <w:sz w:val="24"/>
          <w:szCs w:val="24"/>
        </w:rPr>
        <w:t>, 1, 17 – 40.</w:t>
      </w:r>
    </w:p>
    <w:p w14:paraId="3CB33BD6"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lastRenderedPageBreak/>
        <w:t xml:space="preserve">Foster, D., &amp; Viswanathan, S. (1990). A theory of </w:t>
      </w:r>
      <w:proofErr w:type="spellStart"/>
      <w:r w:rsidRPr="00E75964">
        <w:rPr>
          <w:rFonts w:ascii="Garamond" w:hAnsi="Garamond"/>
          <w:sz w:val="24"/>
          <w:szCs w:val="24"/>
        </w:rPr>
        <w:t>interday</w:t>
      </w:r>
      <w:proofErr w:type="spellEnd"/>
      <w:r w:rsidRPr="00E75964">
        <w:rPr>
          <w:rFonts w:ascii="Garamond" w:hAnsi="Garamond"/>
          <w:sz w:val="24"/>
          <w:szCs w:val="24"/>
        </w:rPr>
        <w:t xml:space="preserve"> variations in volumes, variance, and trading costs in securities markets, </w:t>
      </w:r>
      <w:r w:rsidRPr="00E75964">
        <w:rPr>
          <w:rFonts w:ascii="Garamond" w:hAnsi="Garamond"/>
          <w:i/>
          <w:sz w:val="24"/>
          <w:szCs w:val="24"/>
        </w:rPr>
        <w:t>Review of Financial Studies</w:t>
      </w:r>
      <w:r w:rsidRPr="00E75964">
        <w:rPr>
          <w:rFonts w:ascii="Garamond" w:hAnsi="Garamond"/>
          <w:sz w:val="24"/>
          <w:szCs w:val="24"/>
        </w:rPr>
        <w:t>, 3, 593-624.</w:t>
      </w:r>
    </w:p>
    <w:p w14:paraId="430B47ED"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French, K. (1980). Stock returns and the weekend effect. </w:t>
      </w:r>
      <w:r w:rsidRPr="00E75964">
        <w:rPr>
          <w:rFonts w:ascii="Garamond" w:hAnsi="Garamond"/>
          <w:i/>
          <w:sz w:val="24"/>
          <w:szCs w:val="24"/>
        </w:rPr>
        <w:t>Journal of Financial Economics</w:t>
      </w:r>
      <w:r w:rsidRPr="00E75964">
        <w:rPr>
          <w:rFonts w:ascii="Garamond" w:hAnsi="Garamond"/>
          <w:sz w:val="24"/>
          <w:szCs w:val="24"/>
        </w:rPr>
        <w:t>, 8, 55-69.</w:t>
      </w:r>
    </w:p>
    <w:p w14:paraId="22D31801"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French, K., &amp; Roll, R. (1986). Stock returns variances: the arrival of information and the reaction of traders</w:t>
      </w:r>
      <w:r w:rsidRPr="00E75964">
        <w:rPr>
          <w:rFonts w:ascii="Garamond" w:hAnsi="Garamond"/>
          <w:i/>
          <w:sz w:val="24"/>
          <w:szCs w:val="24"/>
        </w:rPr>
        <w:t>. Journal of Financial Economics</w:t>
      </w:r>
      <w:r w:rsidRPr="00E75964">
        <w:rPr>
          <w:rFonts w:ascii="Garamond" w:hAnsi="Garamond"/>
          <w:sz w:val="24"/>
          <w:szCs w:val="24"/>
        </w:rPr>
        <w:t>, 17, 5-26.</w:t>
      </w:r>
    </w:p>
    <w:p w14:paraId="174CAE17" w14:textId="2EF34AD5"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French, K., </w:t>
      </w:r>
      <w:proofErr w:type="spellStart"/>
      <w:r w:rsidRPr="00E75964">
        <w:rPr>
          <w:rFonts w:ascii="Garamond" w:hAnsi="Garamond"/>
          <w:sz w:val="24"/>
          <w:szCs w:val="24"/>
        </w:rPr>
        <w:t>Schwert</w:t>
      </w:r>
      <w:proofErr w:type="spellEnd"/>
      <w:r w:rsidRPr="00E75964">
        <w:rPr>
          <w:rFonts w:ascii="Garamond" w:hAnsi="Garamond"/>
          <w:sz w:val="24"/>
          <w:szCs w:val="24"/>
        </w:rPr>
        <w:t xml:space="preserve">, G., &amp; Stambaugh, R. (1987). Expected stock returns and volatility. </w:t>
      </w:r>
      <w:r w:rsidRPr="00E75964">
        <w:rPr>
          <w:rFonts w:ascii="Garamond" w:hAnsi="Garamond"/>
          <w:i/>
          <w:sz w:val="24"/>
          <w:szCs w:val="24"/>
        </w:rPr>
        <w:t>Journal of Financial Economics</w:t>
      </w:r>
      <w:r w:rsidRPr="00E75964">
        <w:rPr>
          <w:rFonts w:ascii="Garamond" w:hAnsi="Garamond"/>
          <w:sz w:val="24"/>
          <w:szCs w:val="24"/>
        </w:rPr>
        <w:t>, 19, 3 – 29.</w:t>
      </w:r>
    </w:p>
    <w:p w14:paraId="468AA199" w14:textId="1A44EA42" w:rsidR="00A34FE4" w:rsidRPr="00E75964" w:rsidRDefault="00A34FE4" w:rsidP="005B3A4D">
      <w:pPr>
        <w:spacing w:line="360" w:lineRule="auto"/>
        <w:jc w:val="both"/>
        <w:rPr>
          <w:rFonts w:ascii="Garamond" w:hAnsi="Garamond"/>
          <w:sz w:val="24"/>
          <w:szCs w:val="24"/>
        </w:rPr>
      </w:pPr>
      <w:proofErr w:type="spellStart"/>
      <w:r w:rsidRPr="00E75964">
        <w:rPr>
          <w:rFonts w:ascii="Garamond" w:hAnsi="Garamond"/>
          <w:sz w:val="24"/>
          <w:szCs w:val="24"/>
        </w:rPr>
        <w:t>Galai</w:t>
      </w:r>
      <w:proofErr w:type="spellEnd"/>
      <w:r w:rsidRPr="00E75964">
        <w:rPr>
          <w:rFonts w:ascii="Garamond" w:hAnsi="Garamond"/>
          <w:sz w:val="24"/>
          <w:szCs w:val="24"/>
        </w:rPr>
        <w:t xml:space="preserve">, D., </w:t>
      </w:r>
      <w:proofErr w:type="spellStart"/>
      <w:r w:rsidRPr="00E75964">
        <w:rPr>
          <w:rFonts w:ascii="Garamond" w:hAnsi="Garamond"/>
          <w:sz w:val="24"/>
          <w:szCs w:val="24"/>
        </w:rPr>
        <w:t>Kedar</w:t>
      </w:r>
      <w:proofErr w:type="spellEnd"/>
      <w:r w:rsidRPr="00E75964">
        <w:rPr>
          <w:rFonts w:ascii="Garamond" w:hAnsi="Garamond"/>
          <w:sz w:val="24"/>
          <w:szCs w:val="24"/>
        </w:rPr>
        <w:t>-Levy, H. and Schreiber, B.Z. (2008). Seasonality in outliers of daily stock return: a tail that wags</w:t>
      </w:r>
      <w:r w:rsidR="00D8091A" w:rsidRPr="00E75964">
        <w:rPr>
          <w:rFonts w:ascii="Garamond" w:hAnsi="Garamond"/>
          <w:sz w:val="24"/>
          <w:szCs w:val="24"/>
        </w:rPr>
        <w:t xml:space="preserve"> the dog. </w:t>
      </w:r>
      <w:r w:rsidR="00D8091A" w:rsidRPr="00E75964">
        <w:rPr>
          <w:rFonts w:ascii="Garamond" w:hAnsi="Garamond"/>
          <w:i/>
          <w:iCs/>
          <w:sz w:val="24"/>
          <w:szCs w:val="24"/>
        </w:rPr>
        <w:t>International Review of Financial Analysis</w:t>
      </w:r>
      <w:r w:rsidR="00D8091A" w:rsidRPr="00E75964">
        <w:rPr>
          <w:rFonts w:ascii="Garamond" w:hAnsi="Garamond"/>
          <w:sz w:val="24"/>
          <w:szCs w:val="24"/>
        </w:rPr>
        <w:t>, 17, 784 – 792.</w:t>
      </w:r>
    </w:p>
    <w:p w14:paraId="73BF6605"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Gibbons, M., &amp; Hess, P. (1981). Day of the week effects and asset returns. </w:t>
      </w:r>
      <w:r w:rsidRPr="00E75964">
        <w:rPr>
          <w:rFonts w:ascii="Garamond" w:hAnsi="Garamond"/>
          <w:i/>
          <w:sz w:val="24"/>
          <w:szCs w:val="24"/>
        </w:rPr>
        <w:t>Journal of Business</w:t>
      </w:r>
      <w:r w:rsidRPr="00E75964">
        <w:rPr>
          <w:rFonts w:ascii="Garamond" w:hAnsi="Garamond"/>
          <w:sz w:val="24"/>
          <w:szCs w:val="24"/>
        </w:rPr>
        <w:t>, 54, 579-96.</w:t>
      </w:r>
    </w:p>
    <w:p w14:paraId="753B9A7B" w14:textId="1544EF19" w:rsidR="008B2A51" w:rsidRPr="00E75964" w:rsidRDefault="008B2A51" w:rsidP="005B3A4D">
      <w:pPr>
        <w:spacing w:line="360" w:lineRule="auto"/>
        <w:jc w:val="both"/>
        <w:rPr>
          <w:rFonts w:ascii="Garamond" w:hAnsi="Garamond"/>
          <w:sz w:val="24"/>
          <w:szCs w:val="24"/>
        </w:rPr>
      </w:pPr>
      <w:proofErr w:type="spellStart"/>
      <w:r w:rsidRPr="00E75964">
        <w:rPr>
          <w:rFonts w:ascii="Garamond" w:hAnsi="Garamond"/>
          <w:sz w:val="24"/>
          <w:szCs w:val="24"/>
        </w:rPr>
        <w:t>Gkillas</w:t>
      </w:r>
      <w:proofErr w:type="spellEnd"/>
      <w:r w:rsidRPr="00E75964">
        <w:rPr>
          <w:rFonts w:ascii="Garamond" w:hAnsi="Garamond"/>
          <w:sz w:val="24"/>
          <w:szCs w:val="24"/>
        </w:rPr>
        <w:t xml:space="preserve">, K., </w:t>
      </w:r>
      <w:proofErr w:type="spellStart"/>
      <w:r w:rsidRPr="00E75964">
        <w:rPr>
          <w:rFonts w:ascii="Garamond" w:hAnsi="Garamond"/>
          <w:sz w:val="24"/>
          <w:szCs w:val="24"/>
        </w:rPr>
        <w:t>Vortelinos</w:t>
      </w:r>
      <w:proofErr w:type="spellEnd"/>
      <w:r w:rsidRPr="00E75964">
        <w:rPr>
          <w:rFonts w:ascii="Garamond" w:hAnsi="Garamond"/>
          <w:sz w:val="24"/>
          <w:szCs w:val="24"/>
        </w:rPr>
        <w:t xml:space="preserve">, D.I., </w:t>
      </w:r>
      <w:proofErr w:type="spellStart"/>
      <w:r w:rsidRPr="00E75964">
        <w:rPr>
          <w:rFonts w:ascii="Garamond" w:hAnsi="Garamond"/>
          <w:sz w:val="24"/>
          <w:szCs w:val="24"/>
        </w:rPr>
        <w:t>Babalos</w:t>
      </w:r>
      <w:proofErr w:type="spellEnd"/>
      <w:r w:rsidRPr="00E75964">
        <w:rPr>
          <w:rFonts w:ascii="Garamond" w:hAnsi="Garamond"/>
          <w:sz w:val="24"/>
          <w:szCs w:val="24"/>
        </w:rPr>
        <w:t xml:space="preserve">, V. and </w:t>
      </w:r>
      <w:proofErr w:type="spellStart"/>
      <w:r w:rsidRPr="00E75964">
        <w:rPr>
          <w:rFonts w:ascii="Garamond" w:hAnsi="Garamond"/>
          <w:sz w:val="24"/>
          <w:szCs w:val="24"/>
        </w:rPr>
        <w:t>Wohar</w:t>
      </w:r>
      <w:proofErr w:type="spellEnd"/>
      <w:r w:rsidRPr="00E75964">
        <w:rPr>
          <w:rFonts w:ascii="Garamond" w:hAnsi="Garamond"/>
          <w:sz w:val="24"/>
          <w:szCs w:val="24"/>
        </w:rPr>
        <w:t xml:space="preserve">, M.E. (2021). Day of the week effect and spread determinants: Some international evidence from equity markets. </w:t>
      </w:r>
      <w:r w:rsidRPr="00E75964">
        <w:rPr>
          <w:rFonts w:ascii="Garamond" w:hAnsi="Garamond"/>
          <w:i/>
          <w:iCs/>
          <w:sz w:val="24"/>
          <w:szCs w:val="24"/>
        </w:rPr>
        <w:t>International Review of Economics and Finance</w:t>
      </w:r>
      <w:r w:rsidRPr="00E75964">
        <w:rPr>
          <w:rFonts w:ascii="Garamond" w:hAnsi="Garamond"/>
          <w:sz w:val="24"/>
          <w:szCs w:val="24"/>
        </w:rPr>
        <w:t>, 71, 268 – 288.</w:t>
      </w:r>
    </w:p>
    <w:p w14:paraId="10B9BA77" w14:textId="15A4FAF1" w:rsidR="00173F58" w:rsidRPr="00E75964" w:rsidRDefault="00173F58" w:rsidP="005B3A4D">
      <w:pPr>
        <w:spacing w:line="360" w:lineRule="auto"/>
        <w:jc w:val="both"/>
        <w:rPr>
          <w:rFonts w:ascii="Garamond" w:hAnsi="Garamond"/>
          <w:sz w:val="24"/>
          <w:szCs w:val="24"/>
        </w:rPr>
      </w:pPr>
      <w:proofErr w:type="spellStart"/>
      <w:r w:rsidRPr="00E75964">
        <w:rPr>
          <w:rFonts w:ascii="Garamond" w:hAnsi="Garamond"/>
          <w:sz w:val="24"/>
          <w:szCs w:val="24"/>
        </w:rPr>
        <w:t>Glosten</w:t>
      </w:r>
      <w:proofErr w:type="spellEnd"/>
      <w:r w:rsidRPr="00E75964">
        <w:rPr>
          <w:rFonts w:ascii="Garamond" w:hAnsi="Garamond"/>
          <w:sz w:val="24"/>
          <w:szCs w:val="24"/>
        </w:rPr>
        <w:t xml:space="preserve">, L.R., </w:t>
      </w:r>
      <w:proofErr w:type="spellStart"/>
      <w:r w:rsidRPr="00E75964">
        <w:rPr>
          <w:rFonts w:ascii="Garamond" w:hAnsi="Garamond"/>
          <w:sz w:val="24"/>
          <w:szCs w:val="24"/>
        </w:rPr>
        <w:t>Jagannathan</w:t>
      </w:r>
      <w:proofErr w:type="spellEnd"/>
      <w:r w:rsidRPr="00E75964">
        <w:rPr>
          <w:rFonts w:ascii="Garamond" w:hAnsi="Garamond"/>
          <w:sz w:val="24"/>
          <w:szCs w:val="24"/>
        </w:rPr>
        <w:t xml:space="preserve">, R., &amp; Runkle, D.E. (1993). On the relation between the expected value and the volatility of the nominal excess returns on stocks. </w:t>
      </w:r>
      <w:r w:rsidRPr="00E75964">
        <w:rPr>
          <w:rFonts w:ascii="Garamond" w:hAnsi="Garamond"/>
          <w:i/>
          <w:sz w:val="24"/>
          <w:szCs w:val="24"/>
        </w:rPr>
        <w:t>The Journal of Finance</w:t>
      </w:r>
      <w:r w:rsidRPr="00E75964">
        <w:rPr>
          <w:rFonts w:ascii="Garamond" w:hAnsi="Garamond"/>
          <w:sz w:val="24"/>
          <w:szCs w:val="24"/>
        </w:rPr>
        <w:t>, 48(5), 1779 – 1801.</w:t>
      </w:r>
    </w:p>
    <w:p w14:paraId="05C7CA15" w14:textId="42103A1A"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Gompers, P.A., &amp; </w:t>
      </w:r>
      <w:proofErr w:type="spellStart"/>
      <w:r w:rsidRPr="00E75964">
        <w:rPr>
          <w:rFonts w:ascii="Garamond" w:hAnsi="Garamond"/>
          <w:sz w:val="24"/>
          <w:szCs w:val="24"/>
        </w:rPr>
        <w:t>Metrick</w:t>
      </w:r>
      <w:proofErr w:type="spellEnd"/>
      <w:r w:rsidRPr="00E75964">
        <w:rPr>
          <w:rFonts w:ascii="Garamond" w:hAnsi="Garamond"/>
          <w:sz w:val="24"/>
          <w:szCs w:val="24"/>
        </w:rPr>
        <w:t xml:space="preserve">, A. (2001). Institutional investors and equity prices. </w:t>
      </w:r>
      <w:r w:rsidRPr="00E75964">
        <w:rPr>
          <w:rFonts w:ascii="Garamond" w:hAnsi="Garamond"/>
          <w:i/>
          <w:sz w:val="24"/>
          <w:szCs w:val="24"/>
        </w:rPr>
        <w:t>The Quarterly Journal of Economics</w:t>
      </w:r>
      <w:r w:rsidRPr="00E75964">
        <w:rPr>
          <w:rFonts w:ascii="Garamond" w:hAnsi="Garamond"/>
          <w:sz w:val="24"/>
          <w:szCs w:val="24"/>
        </w:rPr>
        <w:t>, 116(1), 229-259.</w:t>
      </w:r>
    </w:p>
    <w:p w14:paraId="0391DBEE" w14:textId="198B6467" w:rsidR="00490E57" w:rsidRPr="00E75964" w:rsidRDefault="00490E57" w:rsidP="005B3A4D">
      <w:pPr>
        <w:spacing w:line="360" w:lineRule="auto"/>
        <w:jc w:val="both"/>
        <w:rPr>
          <w:rFonts w:ascii="Garamond" w:hAnsi="Garamond"/>
          <w:sz w:val="24"/>
          <w:szCs w:val="24"/>
        </w:rPr>
      </w:pPr>
      <w:r w:rsidRPr="00E75964">
        <w:rPr>
          <w:rFonts w:ascii="Garamond" w:hAnsi="Garamond"/>
          <w:sz w:val="24"/>
          <w:szCs w:val="24"/>
        </w:rPr>
        <w:t xml:space="preserve">Hansen, P.R., Lunde, A. and </w:t>
      </w:r>
      <w:proofErr w:type="spellStart"/>
      <w:r w:rsidRPr="00E75964">
        <w:rPr>
          <w:rFonts w:ascii="Garamond" w:hAnsi="Garamond"/>
          <w:sz w:val="24"/>
          <w:szCs w:val="24"/>
        </w:rPr>
        <w:t>Nason</w:t>
      </w:r>
      <w:proofErr w:type="spellEnd"/>
      <w:r w:rsidRPr="00E75964">
        <w:rPr>
          <w:rFonts w:ascii="Garamond" w:hAnsi="Garamond"/>
          <w:sz w:val="24"/>
          <w:szCs w:val="24"/>
        </w:rPr>
        <w:t>, J.M. (2005). Testing the significance of calendar effect. Working Paper (Federal Reserve Bank of Atlanta).</w:t>
      </w:r>
    </w:p>
    <w:p w14:paraId="4061C672" w14:textId="3E0607E6" w:rsidR="0096657B" w:rsidRPr="00E75964" w:rsidRDefault="0096657B" w:rsidP="005B3A4D">
      <w:pPr>
        <w:spacing w:line="360" w:lineRule="auto"/>
        <w:jc w:val="both"/>
        <w:rPr>
          <w:rFonts w:ascii="Garamond" w:hAnsi="Garamond"/>
          <w:sz w:val="24"/>
          <w:szCs w:val="24"/>
        </w:rPr>
      </w:pPr>
      <w:r w:rsidRPr="00E75964">
        <w:rPr>
          <w:rFonts w:ascii="Garamond" w:hAnsi="Garamond"/>
          <w:sz w:val="24"/>
          <w:szCs w:val="24"/>
        </w:rPr>
        <w:t xml:space="preserve">Hassan, M.K. and Chowdhury, S.S.H. (2008). Efficiency of Bangladesh stock market: evidence from monthly index and individual firm data. </w:t>
      </w:r>
      <w:r w:rsidRPr="00E75964">
        <w:rPr>
          <w:rFonts w:ascii="Garamond" w:hAnsi="Garamond"/>
          <w:i/>
          <w:iCs/>
          <w:sz w:val="24"/>
          <w:szCs w:val="24"/>
        </w:rPr>
        <w:t>Applied Financial Economics</w:t>
      </w:r>
      <w:r w:rsidRPr="00E75964">
        <w:rPr>
          <w:rFonts w:ascii="Garamond" w:hAnsi="Garamond"/>
          <w:sz w:val="24"/>
          <w:szCs w:val="24"/>
        </w:rPr>
        <w:t>, 18(9), 749 – 758.</w:t>
      </w:r>
    </w:p>
    <w:p w14:paraId="09A690E2" w14:textId="76913638" w:rsidR="00173F58" w:rsidRPr="00E75964" w:rsidRDefault="00173F58" w:rsidP="005B3A4D">
      <w:pPr>
        <w:spacing w:line="360" w:lineRule="auto"/>
        <w:jc w:val="both"/>
        <w:rPr>
          <w:rFonts w:ascii="Garamond" w:hAnsi="Garamond"/>
          <w:sz w:val="24"/>
          <w:szCs w:val="24"/>
        </w:rPr>
      </w:pPr>
      <w:proofErr w:type="spellStart"/>
      <w:r w:rsidRPr="00E75964">
        <w:rPr>
          <w:rFonts w:ascii="Garamond" w:hAnsi="Garamond"/>
          <w:sz w:val="24"/>
          <w:szCs w:val="24"/>
        </w:rPr>
        <w:t>Ho</w:t>
      </w:r>
      <w:proofErr w:type="spellEnd"/>
      <w:r w:rsidRPr="00E75964">
        <w:rPr>
          <w:rFonts w:ascii="Garamond" w:hAnsi="Garamond"/>
          <w:sz w:val="24"/>
          <w:szCs w:val="24"/>
        </w:rPr>
        <w:t xml:space="preserve">, Y.K., &amp; Cheung, Y.L. (1994). Seasonal pattern in volatility in Asian stock markets. Applied </w:t>
      </w:r>
      <w:r w:rsidR="00CA5998" w:rsidRPr="00E75964">
        <w:rPr>
          <w:rFonts w:ascii="Garamond" w:hAnsi="Garamond"/>
          <w:sz w:val="24"/>
          <w:szCs w:val="24"/>
        </w:rPr>
        <w:t>F</w:t>
      </w:r>
      <w:r w:rsidRPr="00E75964">
        <w:rPr>
          <w:rFonts w:ascii="Garamond" w:hAnsi="Garamond"/>
          <w:sz w:val="24"/>
          <w:szCs w:val="24"/>
        </w:rPr>
        <w:t xml:space="preserve">inancial Economics, 4, 61 – 67. </w:t>
      </w:r>
    </w:p>
    <w:p w14:paraId="26B5B66A" w14:textId="7BA044D2" w:rsidR="0062562D" w:rsidRPr="00E75964" w:rsidRDefault="0062562D" w:rsidP="005B3A4D">
      <w:pPr>
        <w:spacing w:line="360" w:lineRule="auto"/>
        <w:jc w:val="both"/>
        <w:rPr>
          <w:rFonts w:ascii="Garamond" w:hAnsi="Garamond"/>
          <w:sz w:val="24"/>
          <w:szCs w:val="24"/>
        </w:rPr>
      </w:pPr>
      <w:r w:rsidRPr="00E75964">
        <w:rPr>
          <w:rFonts w:ascii="Garamond" w:hAnsi="Garamond"/>
          <w:sz w:val="24"/>
          <w:szCs w:val="24"/>
        </w:rPr>
        <w:t>Islam, A. and Khaled, M. (2005). Tests of we</w:t>
      </w:r>
      <w:r w:rsidR="00CA5998" w:rsidRPr="00E75964">
        <w:rPr>
          <w:rFonts w:ascii="Garamond" w:hAnsi="Garamond"/>
          <w:sz w:val="24"/>
          <w:szCs w:val="24"/>
        </w:rPr>
        <w:t>a</w:t>
      </w:r>
      <w:r w:rsidRPr="00E75964">
        <w:rPr>
          <w:rFonts w:ascii="Garamond" w:hAnsi="Garamond"/>
          <w:sz w:val="24"/>
          <w:szCs w:val="24"/>
        </w:rPr>
        <w:t xml:space="preserve">k-form efficiency of the Dhaka Stock Exchange. </w:t>
      </w:r>
      <w:r w:rsidRPr="00E75964">
        <w:rPr>
          <w:rFonts w:ascii="Garamond" w:hAnsi="Garamond"/>
          <w:i/>
          <w:sz w:val="24"/>
          <w:szCs w:val="24"/>
        </w:rPr>
        <w:t>Journal of Business Finance and Accounting</w:t>
      </w:r>
      <w:r w:rsidRPr="00E75964">
        <w:rPr>
          <w:rFonts w:ascii="Garamond" w:hAnsi="Garamond"/>
          <w:sz w:val="24"/>
          <w:szCs w:val="24"/>
        </w:rPr>
        <w:t>, 32(7&amp;8), 1613-1624.</w:t>
      </w:r>
    </w:p>
    <w:p w14:paraId="5610D3CA" w14:textId="09C0C345"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 xml:space="preserve">Jaffe, J., &amp; Westerfield, R. (1985). The week-end effect in common stock returns: the international evidence. </w:t>
      </w:r>
      <w:r w:rsidRPr="00E75964">
        <w:rPr>
          <w:rFonts w:ascii="Garamond" w:hAnsi="Garamond"/>
          <w:i/>
          <w:sz w:val="24"/>
          <w:szCs w:val="24"/>
        </w:rPr>
        <w:t>Journal of Finance</w:t>
      </w:r>
      <w:r w:rsidRPr="00E75964">
        <w:rPr>
          <w:rFonts w:ascii="Garamond" w:hAnsi="Garamond"/>
          <w:sz w:val="24"/>
          <w:szCs w:val="24"/>
        </w:rPr>
        <w:t>, 40, 237 – 244.</w:t>
      </w:r>
    </w:p>
    <w:p w14:paraId="430FE1C4" w14:textId="3A8EFA42" w:rsidR="000C48CD" w:rsidRPr="00E75964" w:rsidRDefault="000C48CD" w:rsidP="005B3A4D">
      <w:pPr>
        <w:spacing w:line="360" w:lineRule="auto"/>
        <w:jc w:val="both"/>
        <w:rPr>
          <w:rFonts w:ascii="Garamond" w:hAnsi="Garamond"/>
          <w:sz w:val="24"/>
          <w:szCs w:val="24"/>
        </w:rPr>
      </w:pPr>
      <w:r w:rsidRPr="00E75964">
        <w:rPr>
          <w:rFonts w:ascii="Garamond" w:hAnsi="Garamond"/>
          <w:sz w:val="24"/>
          <w:szCs w:val="24"/>
        </w:rPr>
        <w:lastRenderedPageBreak/>
        <w:t xml:space="preserve">Jaziri, M. and </w:t>
      </w:r>
      <w:proofErr w:type="spellStart"/>
      <w:r w:rsidRPr="00E75964">
        <w:rPr>
          <w:rFonts w:ascii="Garamond" w:hAnsi="Garamond"/>
          <w:sz w:val="24"/>
          <w:szCs w:val="24"/>
        </w:rPr>
        <w:t>Abdelhedi</w:t>
      </w:r>
      <w:proofErr w:type="spellEnd"/>
      <w:r w:rsidRPr="00E75964">
        <w:rPr>
          <w:rFonts w:ascii="Garamond" w:hAnsi="Garamond"/>
          <w:sz w:val="24"/>
          <w:szCs w:val="24"/>
        </w:rPr>
        <w:t xml:space="preserve">, M. (2018). Islamic occasions and investor sentiment. </w:t>
      </w:r>
      <w:r w:rsidRPr="00E75964">
        <w:rPr>
          <w:rFonts w:ascii="Garamond" w:hAnsi="Garamond"/>
          <w:i/>
          <w:iCs/>
          <w:sz w:val="24"/>
          <w:szCs w:val="24"/>
        </w:rPr>
        <w:t>International Journal of Islamic and Middle Eastern Finance and Management</w:t>
      </w:r>
      <w:r w:rsidRPr="00E75964">
        <w:rPr>
          <w:rFonts w:ascii="Garamond" w:hAnsi="Garamond"/>
          <w:sz w:val="24"/>
          <w:szCs w:val="24"/>
        </w:rPr>
        <w:t>, 11(2), 194 – 212.</w:t>
      </w:r>
    </w:p>
    <w:p w14:paraId="5E99D43B" w14:textId="77777777" w:rsidR="00173F58" w:rsidRPr="00E75964" w:rsidRDefault="00173F58" w:rsidP="005B3A4D">
      <w:pPr>
        <w:spacing w:line="360" w:lineRule="auto"/>
        <w:jc w:val="both"/>
        <w:rPr>
          <w:rFonts w:ascii="Garamond" w:hAnsi="Garamond"/>
          <w:sz w:val="24"/>
          <w:szCs w:val="24"/>
        </w:rPr>
      </w:pPr>
      <w:r w:rsidRPr="00E75964">
        <w:rPr>
          <w:rFonts w:ascii="Garamond" w:hAnsi="Garamond"/>
          <w:sz w:val="24"/>
          <w:szCs w:val="24"/>
        </w:rPr>
        <w:t>Kamara, A. (1997). New evidence on the Monday seasonal in stock returns</w:t>
      </w:r>
      <w:r w:rsidRPr="00E75964">
        <w:rPr>
          <w:rFonts w:ascii="Garamond" w:hAnsi="Garamond"/>
          <w:i/>
          <w:sz w:val="24"/>
          <w:szCs w:val="24"/>
        </w:rPr>
        <w:t>. Journal of Business</w:t>
      </w:r>
      <w:r w:rsidRPr="00E75964">
        <w:rPr>
          <w:rFonts w:ascii="Garamond" w:hAnsi="Garamond"/>
          <w:sz w:val="24"/>
          <w:szCs w:val="24"/>
        </w:rPr>
        <w:t>, 70(1), 63 – 84.</w:t>
      </w:r>
    </w:p>
    <w:p w14:paraId="52AB181B" w14:textId="77777777" w:rsidR="00E01D4C" w:rsidRPr="00E75964" w:rsidRDefault="00E01D4C" w:rsidP="00E01D4C">
      <w:pPr>
        <w:spacing w:line="360" w:lineRule="auto"/>
        <w:jc w:val="both"/>
        <w:rPr>
          <w:rFonts w:ascii="Garamond" w:hAnsi="Garamond"/>
          <w:sz w:val="24"/>
          <w:szCs w:val="24"/>
        </w:rPr>
      </w:pPr>
      <w:proofErr w:type="spellStart"/>
      <w:r w:rsidRPr="00E75964">
        <w:rPr>
          <w:rFonts w:ascii="Garamond" w:hAnsi="Garamond"/>
          <w:sz w:val="24"/>
          <w:szCs w:val="24"/>
        </w:rPr>
        <w:t>Keim</w:t>
      </w:r>
      <w:proofErr w:type="spellEnd"/>
      <w:r w:rsidRPr="00E75964">
        <w:rPr>
          <w:rFonts w:ascii="Garamond" w:hAnsi="Garamond"/>
          <w:sz w:val="24"/>
          <w:szCs w:val="24"/>
        </w:rPr>
        <w:t xml:space="preserve">, D. B. (1985). Dividend yields and stock returns implications of abnormal January returns. </w:t>
      </w:r>
      <w:r w:rsidRPr="00E75964">
        <w:rPr>
          <w:rFonts w:ascii="Garamond" w:hAnsi="Garamond"/>
          <w:i/>
          <w:sz w:val="24"/>
          <w:szCs w:val="24"/>
        </w:rPr>
        <w:t>Journal of Financial Economics</w:t>
      </w:r>
      <w:r w:rsidRPr="00E75964">
        <w:rPr>
          <w:rFonts w:ascii="Garamond" w:hAnsi="Garamond"/>
          <w:sz w:val="24"/>
          <w:szCs w:val="24"/>
        </w:rPr>
        <w:t>, 14, 473-489.</w:t>
      </w:r>
    </w:p>
    <w:p w14:paraId="4E6FD232" w14:textId="77777777" w:rsidR="00173F58" w:rsidRPr="00E75964" w:rsidRDefault="00173F58" w:rsidP="005B3A4D">
      <w:pPr>
        <w:spacing w:line="360" w:lineRule="auto"/>
        <w:jc w:val="both"/>
        <w:rPr>
          <w:rFonts w:ascii="Garamond" w:hAnsi="Garamond"/>
          <w:sz w:val="24"/>
          <w:szCs w:val="24"/>
        </w:rPr>
      </w:pPr>
      <w:bookmarkStart w:id="15" w:name="_GoBack"/>
      <w:bookmarkEnd w:id="15"/>
      <w:proofErr w:type="spellStart"/>
      <w:r w:rsidRPr="00E75964">
        <w:rPr>
          <w:rFonts w:ascii="Garamond" w:hAnsi="Garamond"/>
          <w:sz w:val="24"/>
          <w:szCs w:val="24"/>
        </w:rPr>
        <w:t>Keim</w:t>
      </w:r>
      <w:proofErr w:type="spellEnd"/>
      <w:r w:rsidRPr="00E75964">
        <w:rPr>
          <w:rFonts w:ascii="Garamond" w:hAnsi="Garamond"/>
          <w:sz w:val="24"/>
          <w:szCs w:val="24"/>
        </w:rPr>
        <w:t xml:space="preserve">, D. B., &amp; Stambaugh, R. (1984). A further investigation of the weekend effect in stock returns. </w:t>
      </w:r>
      <w:r w:rsidRPr="00E75964">
        <w:rPr>
          <w:rFonts w:ascii="Garamond" w:hAnsi="Garamond"/>
          <w:i/>
          <w:sz w:val="24"/>
          <w:szCs w:val="24"/>
        </w:rPr>
        <w:t>Journal of Finance</w:t>
      </w:r>
      <w:r w:rsidRPr="00E75964">
        <w:rPr>
          <w:rFonts w:ascii="Garamond" w:hAnsi="Garamond"/>
          <w:sz w:val="24"/>
          <w:szCs w:val="24"/>
        </w:rPr>
        <w:t>, 39, 819-835.</w:t>
      </w:r>
    </w:p>
    <w:p w14:paraId="4DBD643C" w14:textId="77777777" w:rsidR="00173F58" w:rsidRPr="00E75964" w:rsidRDefault="00173F58" w:rsidP="005B3A4D">
      <w:pPr>
        <w:spacing w:line="360" w:lineRule="auto"/>
        <w:jc w:val="both"/>
        <w:rPr>
          <w:rFonts w:ascii="Garamond" w:hAnsi="Garamond"/>
          <w:sz w:val="24"/>
          <w:szCs w:val="24"/>
        </w:rPr>
      </w:pPr>
      <w:proofErr w:type="spellStart"/>
      <w:r w:rsidRPr="00E75964">
        <w:rPr>
          <w:rFonts w:ascii="Garamond" w:hAnsi="Garamond"/>
          <w:sz w:val="24"/>
          <w:szCs w:val="24"/>
        </w:rPr>
        <w:t>Kiymaz</w:t>
      </w:r>
      <w:proofErr w:type="spellEnd"/>
      <w:r w:rsidRPr="00E75964">
        <w:rPr>
          <w:rFonts w:ascii="Garamond" w:hAnsi="Garamond"/>
          <w:sz w:val="24"/>
          <w:szCs w:val="24"/>
        </w:rPr>
        <w:t xml:space="preserve">, H., &amp; </w:t>
      </w:r>
      <w:proofErr w:type="spellStart"/>
      <w:r w:rsidRPr="00E75964">
        <w:rPr>
          <w:rFonts w:ascii="Garamond" w:hAnsi="Garamond"/>
          <w:sz w:val="24"/>
          <w:szCs w:val="24"/>
        </w:rPr>
        <w:t>Berument</w:t>
      </w:r>
      <w:proofErr w:type="spellEnd"/>
      <w:r w:rsidRPr="00E75964">
        <w:rPr>
          <w:rFonts w:ascii="Garamond" w:hAnsi="Garamond"/>
          <w:sz w:val="24"/>
          <w:szCs w:val="24"/>
        </w:rPr>
        <w:t xml:space="preserve">, H. (2003). The day of the week effect on stock market volatility and volume: International evidence. </w:t>
      </w:r>
      <w:r w:rsidRPr="00E75964">
        <w:rPr>
          <w:rFonts w:ascii="Garamond" w:hAnsi="Garamond"/>
          <w:i/>
          <w:sz w:val="24"/>
          <w:szCs w:val="24"/>
        </w:rPr>
        <w:t>Review of Financial Economics</w:t>
      </w:r>
      <w:r w:rsidRPr="00E75964">
        <w:rPr>
          <w:rFonts w:ascii="Garamond" w:hAnsi="Garamond"/>
          <w:sz w:val="24"/>
          <w:szCs w:val="24"/>
        </w:rPr>
        <w:t>, 12(4), 363-380.</w:t>
      </w:r>
    </w:p>
    <w:p w14:paraId="75BB3347" w14:textId="77777777" w:rsidR="00173F58" w:rsidRPr="00E75964" w:rsidRDefault="00173F58" w:rsidP="005B3A4D">
      <w:pPr>
        <w:tabs>
          <w:tab w:val="left" w:pos="851"/>
        </w:tabs>
        <w:spacing w:line="360" w:lineRule="auto"/>
        <w:jc w:val="both"/>
        <w:rPr>
          <w:rFonts w:ascii="Garamond" w:hAnsi="Garamond"/>
          <w:sz w:val="24"/>
          <w:szCs w:val="24"/>
        </w:rPr>
      </w:pPr>
      <w:r w:rsidRPr="00E75964">
        <w:rPr>
          <w:rFonts w:ascii="Garamond" w:hAnsi="Garamond"/>
          <w:sz w:val="24"/>
          <w:szCs w:val="24"/>
        </w:rPr>
        <w:t xml:space="preserve">Kyle, A. (1985). Continuous auctions and insider trading. </w:t>
      </w:r>
      <w:proofErr w:type="spellStart"/>
      <w:r w:rsidRPr="00E75964">
        <w:rPr>
          <w:rFonts w:ascii="Garamond" w:hAnsi="Garamond"/>
          <w:i/>
          <w:sz w:val="24"/>
          <w:szCs w:val="24"/>
        </w:rPr>
        <w:t>Econometrica</w:t>
      </w:r>
      <w:proofErr w:type="spellEnd"/>
      <w:r w:rsidRPr="00E75964">
        <w:rPr>
          <w:rFonts w:ascii="Garamond" w:hAnsi="Garamond"/>
          <w:sz w:val="24"/>
          <w:szCs w:val="24"/>
        </w:rPr>
        <w:t>, 53(6), 1315-35.</w:t>
      </w:r>
    </w:p>
    <w:p w14:paraId="22AC57B4" w14:textId="77777777" w:rsidR="00173F58" w:rsidRPr="00E75964" w:rsidRDefault="00173F58" w:rsidP="005B3A4D">
      <w:pPr>
        <w:tabs>
          <w:tab w:val="left" w:pos="851"/>
        </w:tabs>
        <w:spacing w:line="360" w:lineRule="auto"/>
        <w:jc w:val="both"/>
        <w:rPr>
          <w:rFonts w:ascii="Garamond" w:hAnsi="Garamond"/>
          <w:sz w:val="24"/>
          <w:szCs w:val="24"/>
        </w:rPr>
      </w:pPr>
      <w:proofErr w:type="spellStart"/>
      <w:r w:rsidRPr="00E75964">
        <w:rPr>
          <w:rFonts w:ascii="Garamond" w:hAnsi="Garamond"/>
          <w:sz w:val="24"/>
          <w:szCs w:val="24"/>
        </w:rPr>
        <w:t>Lakonishok</w:t>
      </w:r>
      <w:proofErr w:type="spellEnd"/>
      <w:r w:rsidRPr="00E75964">
        <w:rPr>
          <w:rFonts w:ascii="Garamond" w:hAnsi="Garamond"/>
          <w:sz w:val="24"/>
          <w:szCs w:val="24"/>
        </w:rPr>
        <w:t xml:space="preserve">, J., &amp; Levi, M. (1982). Weekend effects on stock returns: A note. </w:t>
      </w:r>
      <w:r w:rsidRPr="00E75964">
        <w:rPr>
          <w:rFonts w:ascii="Garamond" w:hAnsi="Garamond"/>
          <w:i/>
          <w:sz w:val="24"/>
          <w:szCs w:val="24"/>
        </w:rPr>
        <w:t>Journal of Finance</w:t>
      </w:r>
      <w:r w:rsidRPr="00E75964">
        <w:rPr>
          <w:rFonts w:ascii="Garamond" w:hAnsi="Garamond"/>
          <w:sz w:val="24"/>
          <w:szCs w:val="24"/>
        </w:rPr>
        <w:t>, 37(3), 883-889.</w:t>
      </w:r>
    </w:p>
    <w:p w14:paraId="48AD6277" w14:textId="77777777" w:rsidR="00173F58" w:rsidRPr="00E75964" w:rsidRDefault="00173F58" w:rsidP="005B3A4D">
      <w:pPr>
        <w:tabs>
          <w:tab w:val="left" w:pos="851"/>
        </w:tabs>
        <w:spacing w:line="360" w:lineRule="auto"/>
        <w:jc w:val="both"/>
        <w:rPr>
          <w:rFonts w:ascii="Garamond" w:hAnsi="Garamond"/>
          <w:sz w:val="24"/>
          <w:szCs w:val="24"/>
        </w:rPr>
      </w:pPr>
      <w:proofErr w:type="spellStart"/>
      <w:r w:rsidRPr="00E75964">
        <w:rPr>
          <w:rFonts w:ascii="Garamond" w:hAnsi="Garamond"/>
          <w:sz w:val="24"/>
          <w:szCs w:val="24"/>
        </w:rPr>
        <w:t>Lakonishok</w:t>
      </w:r>
      <w:proofErr w:type="spellEnd"/>
      <w:r w:rsidRPr="00E75964">
        <w:rPr>
          <w:rFonts w:ascii="Garamond" w:hAnsi="Garamond"/>
          <w:sz w:val="24"/>
          <w:szCs w:val="24"/>
        </w:rPr>
        <w:t xml:space="preserve">, J., &amp; </w:t>
      </w:r>
      <w:proofErr w:type="spellStart"/>
      <w:r w:rsidRPr="00E75964">
        <w:rPr>
          <w:rFonts w:ascii="Garamond" w:hAnsi="Garamond"/>
          <w:sz w:val="24"/>
          <w:szCs w:val="24"/>
        </w:rPr>
        <w:t>Maberly</w:t>
      </w:r>
      <w:proofErr w:type="spellEnd"/>
      <w:r w:rsidRPr="00E75964">
        <w:rPr>
          <w:rFonts w:ascii="Garamond" w:hAnsi="Garamond"/>
          <w:sz w:val="24"/>
          <w:szCs w:val="24"/>
        </w:rPr>
        <w:t xml:space="preserve">, E. (1990). The weekend effect: Trading patterns of individual and industrial investors. </w:t>
      </w:r>
      <w:r w:rsidRPr="00E75964">
        <w:rPr>
          <w:rFonts w:ascii="Garamond" w:hAnsi="Garamond"/>
          <w:i/>
          <w:sz w:val="24"/>
          <w:szCs w:val="24"/>
        </w:rPr>
        <w:t>Journal of Finance</w:t>
      </w:r>
      <w:r w:rsidRPr="00E75964">
        <w:rPr>
          <w:rFonts w:ascii="Garamond" w:hAnsi="Garamond"/>
          <w:sz w:val="24"/>
          <w:szCs w:val="24"/>
        </w:rPr>
        <w:t>, 45(1), 231-243.</w:t>
      </w:r>
    </w:p>
    <w:p w14:paraId="3EA75369" w14:textId="77777777" w:rsidR="00173F58" w:rsidRPr="00E75964" w:rsidRDefault="00173F58" w:rsidP="005B3A4D">
      <w:pPr>
        <w:tabs>
          <w:tab w:val="left" w:pos="851"/>
        </w:tabs>
        <w:spacing w:line="360" w:lineRule="auto"/>
        <w:jc w:val="both"/>
        <w:rPr>
          <w:rFonts w:ascii="Garamond" w:hAnsi="Garamond"/>
          <w:sz w:val="24"/>
          <w:szCs w:val="24"/>
        </w:rPr>
      </w:pPr>
      <w:proofErr w:type="spellStart"/>
      <w:r w:rsidRPr="00E75964">
        <w:rPr>
          <w:rFonts w:ascii="Garamond" w:hAnsi="Garamond"/>
          <w:sz w:val="24"/>
          <w:szCs w:val="24"/>
        </w:rPr>
        <w:t>Lakonishok</w:t>
      </w:r>
      <w:proofErr w:type="spellEnd"/>
      <w:r w:rsidRPr="00E75964">
        <w:rPr>
          <w:rFonts w:ascii="Garamond" w:hAnsi="Garamond"/>
          <w:sz w:val="24"/>
          <w:szCs w:val="24"/>
        </w:rPr>
        <w:t xml:space="preserve">, J., Shleifer, A., &amp; </w:t>
      </w:r>
      <w:proofErr w:type="spellStart"/>
      <w:r w:rsidRPr="00E75964">
        <w:rPr>
          <w:rFonts w:ascii="Garamond" w:hAnsi="Garamond"/>
          <w:sz w:val="24"/>
          <w:szCs w:val="24"/>
        </w:rPr>
        <w:t>Vishny</w:t>
      </w:r>
      <w:proofErr w:type="spellEnd"/>
      <w:r w:rsidRPr="00E75964">
        <w:rPr>
          <w:rFonts w:ascii="Garamond" w:hAnsi="Garamond"/>
          <w:sz w:val="24"/>
          <w:szCs w:val="24"/>
        </w:rPr>
        <w:t xml:space="preserve">, R. (1992). The impact of institutional trading on stock price. </w:t>
      </w:r>
      <w:r w:rsidRPr="00E75964">
        <w:rPr>
          <w:rFonts w:ascii="Garamond" w:hAnsi="Garamond"/>
          <w:i/>
          <w:sz w:val="24"/>
          <w:szCs w:val="24"/>
        </w:rPr>
        <w:t>Journal of Financial Economics</w:t>
      </w:r>
      <w:r w:rsidRPr="00E75964">
        <w:rPr>
          <w:rFonts w:ascii="Garamond" w:hAnsi="Garamond"/>
          <w:sz w:val="24"/>
          <w:szCs w:val="24"/>
        </w:rPr>
        <w:t>, 32(1), 23-43.</w:t>
      </w:r>
    </w:p>
    <w:p w14:paraId="3437B75D" w14:textId="79CCAC63" w:rsidR="00173F58" w:rsidRPr="00E75964" w:rsidRDefault="00173F58" w:rsidP="005B3A4D">
      <w:pPr>
        <w:tabs>
          <w:tab w:val="left" w:pos="851"/>
        </w:tabs>
        <w:spacing w:line="360" w:lineRule="auto"/>
        <w:jc w:val="both"/>
        <w:rPr>
          <w:rFonts w:ascii="Garamond" w:hAnsi="Garamond"/>
          <w:sz w:val="24"/>
          <w:szCs w:val="24"/>
        </w:rPr>
      </w:pPr>
      <w:proofErr w:type="spellStart"/>
      <w:r w:rsidRPr="00E75964">
        <w:rPr>
          <w:rFonts w:ascii="Garamond" w:hAnsi="Garamond"/>
          <w:sz w:val="24"/>
          <w:szCs w:val="24"/>
        </w:rPr>
        <w:t>Ljung</w:t>
      </w:r>
      <w:proofErr w:type="spellEnd"/>
      <w:r w:rsidRPr="00E75964">
        <w:rPr>
          <w:rFonts w:ascii="Garamond" w:hAnsi="Garamond"/>
          <w:sz w:val="24"/>
          <w:szCs w:val="24"/>
        </w:rPr>
        <w:t>, G.M., &amp; Box, G.E. (1978). On a measure of lac</w:t>
      </w:r>
      <w:r w:rsidR="00CA5998" w:rsidRPr="00E75964">
        <w:rPr>
          <w:rFonts w:ascii="Garamond" w:hAnsi="Garamond"/>
          <w:sz w:val="24"/>
          <w:szCs w:val="24"/>
        </w:rPr>
        <w:t>k</w:t>
      </w:r>
      <w:r w:rsidRPr="00E75964">
        <w:rPr>
          <w:rFonts w:ascii="Garamond" w:hAnsi="Garamond"/>
          <w:sz w:val="24"/>
          <w:szCs w:val="24"/>
        </w:rPr>
        <w:t xml:space="preserve"> of fit in time series models. </w:t>
      </w:r>
      <w:proofErr w:type="spellStart"/>
      <w:r w:rsidRPr="00E75964">
        <w:rPr>
          <w:rFonts w:ascii="Garamond" w:hAnsi="Garamond"/>
          <w:sz w:val="24"/>
          <w:szCs w:val="24"/>
        </w:rPr>
        <w:t>Biometrika</w:t>
      </w:r>
      <w:proofErr w:type="spellEnd"/>
      <w:r w:rsidRPr="00E75964">
        <w:rPr>
          <w:rFonts w:ascii="Garamond" w:hAnsi="Garamond"/>
          <w:sz w:val="24"/>
          <w:szCs w:val="24"/>
        </w:rPr>
        <w:t>, 65(2), 297-303.</w:t>
      </w:r>
    </w:p>
    <w:p w14:paraId="58824AEB" w14:textId="77777777" w:rsidR="00173F58" w:rsidRPr="00E75964" w:rsidRDefault="00173F58" w:rsidP="005B3A4D">
      <w:pPr>
        <w:tabs>
          <w:tab w:val="left" w:pos="851"/>
        </w:tabs>
        <w:spacing w:line="360" w:lineRule="auto"/>
        <w:jc w:val="both"/>
        <w:rPr>
          <w:rFonts w:ascii="Garamond" w:hAnsi="Garamond"/>
          <w:sz w:val="24"/>
          <w:szCs w:val="24"/>
        </w:rPr>
      </w:pPr>
      <w:r w:rsidRPr="00E75964">
        <w:rPr>
          <w:rFonts w:ascii="Garamond" w:hAnsi="Garamond"/>
          <w:sz w:val="24"/>
          <w:szCs w:val="24"/>
        </w:rPr>
        <w:t xml:space="preserve">Miller, E. (1988). Why a weekend effect. </w:t>
      </w:r>
      <w:r w:rsidRPr="00E75964">
        <w:rPr>
          <w:rFonts w:ascii="Garamond" w:hAnsi="Garamond"/>
          <w:i/>
          <w:sz w:val="24"/>
          <w:szCs w:val="24"/>
        </w:rPr>
        <w:t>Journal of Portfolio Management</w:t>
      </w:r>
      <w:r w:rsidRPr="00E75964">
        <w:rPr>
          <w:rFonts w:ascii="Garamond" w:hAnsi="Garamond"/>
          <w:sz w:val="24"/>
          <w:szCs w:val="24"/>
        </w:rPr>
        <w:t>, 14(4), 42-48.</w:t>
      </w:r>
    </w:p>
    <w:p w14:paraId="1980F4F0" w14:textId="77777777" w:rsidR="00173F58" w:rsidRPr="00E75964" w:rsidRDefault="00173F58" w:rsidP="005B3A4D">
      <w:pPr>
        <w:tabs>
          <w:tab w:val="left" w:pos="851"/>
        </w:tabs>
        <w:spacing w:line="360" w:lineRule="auto"/>
        <w:jc w:val="both"/>
        <w:rPr>
          <w:rFonts w:ascii="Garamond" w:hAnsi="Garamond"/>
          <w:sz w:val="24"/>
          <w:szCs w:val="24"/>
        </w:rPr>
      </w:pPr>
      <w:r w:rsidRPr="00E75964">
        <w:rPr>
          <w:rFonts w:ascii="Garamond" w:hAnsi="Garamond"/>
          <w:sz w:val="24"/>
          <w:szCs w:val="24"/>
        </w:rPr>
        <w:t xml:space="preserve">Nelson, D.B. (1991). Conditional heteroskedasticity in asset returns: A new approach. </w:t>
      </w:r>
      <w:proofErr w:type="spellStart"/>
      <w:r w:rsidRPr="00E75964">
        <w:rPr>
          <w:rFonts w:ascii="Garamond" w:hAnsi="Garamond"/>
          <w:i/>
          <w:sz w:val="24"/>
          <w:szCs w:val="24"/>
        </w:rPr>
        <w:t>Econometrica</w:t>
      </w:r>
      <w:proofErr w:type="spellEnd"/>
      <w:r w:rsidRPr="00E75964">
        <w:rPr>
          <w:rFonts w:ascii="Garamond" w:hAnsi="Garamond"/>
          <w:sz w:val="24"/>
          <w:szCs w:val="24"/>
        </w:rPr>
        <w:t>, 59(2), 347-370.</w:t>
      </w:r>
    </w:p>
    <w:p w14:paraId="03414D52" w14:textId="77777777" w:rsidR="00173F58" w:rsidRPr="00E75964" w:rsidRDefault="00173F58" w:rsidP="005B3A4D">
      <w:pPr>
        <w:tabs>
          <w:tab w:val="left" w:pos="851"/>
        </w:tabs>
        <w:spacing w:line="360" w:lineRule="auto"/>
        <w:jc w:val="both"/>
        <w:rPr>
          <w:rStyle w:val="Emphasis"/>
          <w:rFonts w:ascii="Garamond" w:hAnsi="Garamond"/>
          <w:i w:val="0"/>
          <w:iCs w:val="0"/>
          <w:sz w:val="24"/>
          <w:szCs w:val="24"/>
        </w:rPr>
      </w:pPr>
      <w:r w:rsidRPr="00E75964">
        <w:rPr>
          <w:rStyle w:val="Emphasis"/>
          <w:rFonts w:ascii="Garamond" w:hAnsi="Garamond"/>
          <w:i w:val="0"/>
          <w:sz w:val="24"/>
          <w:szCs w:val="24"/>
        </w:rPr>
        <w:t>Ng, L., &amp; Wu, F. (2007).</w:t>
      </w:r>
      <w:r w:rsidRPr="00E75964">
        <w:rPr>
          <w:rStyle w:val="Emphasis"/>
          <w:rFonts w:ascii="Garamond" w:hAnsi="Garamond"/>
          <w:sz w:val="24"/>
          <w:szCs w:val="24"/>
        </w:rPr>
        <w:t xml:space="preserve"> </w:t>
      </w:r>
      <w:r w:rsidRPr="00E75964">
        <w:rPr>
          <w:rStyle w:val="Emphasis"/>
          <w:rFonts w:ascii="Garamond" w:hAnsi="Garamond"/>
          <w:i w:val="0"/>
          <w:sz w:val="24"/>
          <w:szCs w:val="24"/>
        </w:rPr>
        <w:t xml:space="preserve">The trading </w:t>
      </w:r>
      <w:proofErr w:type="spellStart"/>
      <w:r w:rsidRPr="00E75964">
        <w:rPr>
          <w:rStyle w:val="Emphasis"/>
          <w:rFonts w:ascii="Garamond" w:hAnsi="Garamond"/>
          <w:i w:val="0"/>
          <w:sz w:val="24"/>
          <w:szCs w:val="24"/>
        </w:rPr>
        <w:t>behavior</w:t>
      </w:r>
      <w:proofErr w:type="spellEnd"/>
      <w:r w:rsidRPr="00E75964">
        <w:rPr>
          <w:rStyle w:val="Emphasis"/>
          <w:rFonts w:ascii="Garamond" w:hAnsi="Garamond"/>
          <w:i w:val="0"/>
          <w:sz w:val="24"/>
          <w:szCs w:val="24"/>
        </w:rPr>
        <w:t xml:space="preserve"> of institutions and individuals in Chinese equity markets</w:t>
      </w:r>
      <w:r w:rsidRPr="00E75964">
        <w:rPr>
          <w:rStyle w:val="Emphasis"/>
          <w:rFonts w:ascii="Garamond" w:hAnsi="Garamond"/>
          <w:sz w:val="24"/>
          <w:szCs w:val="24"/>
        </w:rPr>
        <w:t>. Journal of Banking and Finance, 31(9), 2695-2710.</w:t>
      </w:r>
    </w:p>
    <w:p w14:paraId="7B3FE3C1" w14:textId="15B79BFD" w:rsidR="00173F58" w:rsidRPr="00E75964" w:rsidRDefault="00173F58" w:rsidP="005B3A4D">
      <w:pPr>
        <w:tabs>
          <w:tab w:val="left" w:pos="851"/>
        </w:tabs>
        <w:spacing w:line="360" w:lineRule="auto"/>
        <w:jc w:val="both"/>
        <w:rPr>
          <w:rStyle w:val="Emphasis"/>
          <w:rFonts w:ascii="Garamond" w:hAnsi="Garamond"/>
          <w:sz w:val="24"/>
          <w:szCs w:val="24"/>
        </w:rPr>
      </w:pPr>
      <w:r w:rsidRPr="00E75964">
        <w:rPr>
          <w:rStyle w:val="Emphasis"/>
          <w:rFonts w:ascii="Garamond" w:hAnsi="Garamond"/>
          <w:i w:val="0"/>
          <w:sz w:val="24"/>
          <w:szCs w:val="24"/>
        </w:rPr>
        <w:t>Osborne, M. (1962).</w:t>
      </w:r>
      <w:r w:rsidRPr="00E75964">
        <w:rPr>
          <w:rStyle w:val="Emphasis"/>
          <w:rFonts w:ascii="Garamond" w:hAnsi="Garamond"/>
          <w:sz w:val="24"/>
          <w:szCs w:val="24"/>
        </w:rPr>
        <w:t xml:space="preserve"> </w:t>
      </w:r>
      <w:r w:rsidRPr="00E75964">
        <w:rPr>
          <w:rStyle w:val="Emphasis"/>
          <w:rFonts w:ascii="Garamond" w:hAnsi="Garamond"/>
          <w:i w:val="0"/>
          <w:sz w:val="24"/>
          <w:szCs w:val="24"/>
        </w:rPr>
        <w:t>Periodic structure in the Brownian motion of the stock market.</w:t>
      </w:r>
      <w:r w:rsidRPr="00E75964">
        <w:rPr>
          <w:rStyle w:val="Emphasis"/>
          <w:rFonts w:ascii="Garamond" w:hAnsi="Garamond"/>
          <w:sz w:val="24"/>
          <w:szCs w:val="24"/>
        </w:rPr>
        <w:t xml:space="preserve"> Operation Research, 10(3), 354-379.</w:t>
      </w:r>
    </w:p>
    <w:p w14:paraId="3FE804BD" w14:textId="7819C714" w:rsidR="00C10DA5" w:rsidRPr="00E75964" w:rsidRDefault="00C10DA5" w:rsidP="005B3A4D">
      <w:pPr>
        <w:tabs>
          <w:tab w:val="left" w:pos="851"/>
        </w:tabs>
        <w:spacing w:line="360" w:lineRule="auto"/>
        <w:jc w:val="both"/>
        <w:rPr>
          <w:rStyle w:val="Emphasis"/>
          <w:rFonts w:ascii="Garamond" w:hAnsi="Garamond"/>
          <w:i w:val="0"/>
          <w:iCs w:val="0"/>
          <w:sz w:val="24"/>
          <w:szCs w:val="24"/>
        </w:rPr>
      </w:pPr>
      <w:r w:rsidRPr="00E75964">
        <w:rPr>
          <w:rStyle w:val="Emphasis"/>
          <w:rFonts w:ascii="Garamond" w:hAnsi="Garamond"/>
          <w:i w:val="0"/>
          <w:iCs w:val="0"/>
          <w:sz w:val="24"/>
          <w:szCs w:val="24"/>
        </w:rPr>
        <w:lastRenderedPageBreak/>
        <w:t xml:space="preserve">Philpot, J. and Peterson, C. (2011). A brief history and recent developments in day-of-the-week effect literature. </w:t>
      </w:r>
      <w:r w:rsidRPr="00E75964">
        <w:rPr>
          <w:rStyle w:val="Emphasis"/>
          <w:rFonts w:ascii="Garamond" w:hAnsi="Garamond"/>
          <w:sz w:val="24"/>
          <w:szCs w:val="24"/>
        </w:rPr>
        <w:t>Managerial Finance</w:t>
      </w:r>
      <w:r w:rsidRPr="00E75964">
        <w:rPr>
          <w:rStyle w:val="Emphasis"/>
          <w:rFonts w:ascii="Garamond" w:hAnsi="Garamond"/>
          <w:i w:val="0"/>
          <w:iCs w:val="0"/>
          <w:sz w:val="24"/>
          <w:szCs w:val="24"/>
        </w:rPr>
        <w:t>, 37, 808 – 816.</w:t>
      </w:r>
    </w:p>
    <w:p w14:paraId="0FF74F0B" w14:textId="287B1631" w:rsidR="00C22D85" w:rsidRPr="00E75964" w:rsidRDefault="00C22D85" w:rsidP="005B3A4D">
      <w:pPr>
        <w:tabs>
          <w:tab w:val="left" w:pos="851"/>
        </w:tabs>
        <w:spacing w:line="360" w:lineRule="auto"/>
        <w:jc w:val="both"/>
        <w:rPr>
          <w:rStyle w:val="Emphasis"/>
          <w:rFonts w:ascii="Garamond" w:hAnsi="Garamond"/>
          <w:i w:val="0"/>
          <w:iCs w:val="0"/>
          <w:sz w:val="24"/>
          <w:szCs w:val="24"/>
        </w:rPr>
      </w:pPr>
      <w:r w:rsidRPr="00E75964">
        <w:rPr>
          <w:rStyle w:val="Emphasis"/>
          <w:rFonts w:ascii="Garamond" w:hAnsi="Garamond"/>
          <w:i w:val="0"/>
          <w:iCs w:val="0"/>
          <w:sz w:val="24"/>
          <w:szCs w:val="24"/>
        </w:rPr>
        <w:t xml:space="preserve">Rashid, M., Hassan, M.K. and </w:t>
      </w:r>
      <w:proofErr w:type="spellStart"/>
      <w:r w:rsidRPr="00E75964">
        <w:rPr>
          <w:rStyle w:val="Emphasis"/>
          <w:rFonts w:ascii="Garamond" w:hAnsi="Garamond"/>
          <w:i w:val="0"/>
          <w:iCs w:val="0"/>
          <w:sz w:val="24"/>
          <w:szCs w:val="24"/>
        </w:rPr>
        <w:t>Yein</w:t>
      </w:r>
      <w:proofErr w:type="spellEnd"/>
      <w:r w:rsidRPr="00E75964">
        <w:rPr>
          <w:rStyle w:val="Emphasis"/>
          <w:rFonts w:ascii="Garamond" w:hAnsi="Garamond"/>
          <w:i w:val="0"/>
          <w:iCs w:val="0"/>
          <w:sz w:val="24"/>
          <w:szCs w:val="24"/>
        </w:rPr>
        <w:t xml:space="preserve">, N.Y. (2014). Macroeconomics, investor sentiment and Islamic stock price index in Malaysia. </w:t>
      </w:r>
      <w:r w:rsidRPr="00E75964">
        <w:rPr>
          <w:rStyle w:val="Emphasis"/>
          <w:rFonts w:ascii="Garamond" w:hAnsi="Garamond"/>
          <w:sz w:val="24"/>
          <w:szCs w:val="24"/>
        </w:rPr>
        <w:t>Journal of Economic Cooperation and Development</w:t>
      </w:r>
      <w:r w:rsidRPr="00E75964">
        <w:rPr>
          <w:rStyle w:val="Emphasis"/>
          <w:rFonts w:ascii="Garamond" w:hAnsi="Garamond"/>
          <w:i w:val="0"/>
          <w:iCs w:val="0"/>
          <w:sz w:val="24"/>
          <w:szCs w:val="24"/>
        </w:rPr>
        <w:t>, 35, 219 – 234.</w:t>
      </w:r>
    </w:p>
    <w:p w14:paraId="78AB2F9C" w14:textId="671D3C1C" w:rsidR="002A2548" w:rsidRDefault="002A2548" w:rsidP="005B3A4D">
      <w:pPr>
        <w:tabs>
          <w:tab w:val="left" w:pos="709"/>
          <w:tab w:val="left" w:pos="851"/>
        </w:tabs>
        <w:spacing w:line="360" w:lineRule="auto"/>
        <w:jc w:val="both"/>
        <w:rPr>
          <w:rFonts w:ascii="Garamond" w:hAnsi="Garamond"/>
          <w:sz w:val="24"/>
          <w:szCs w:val="24"/>
        </w:rPr>
      </w:pPr>
      <w:proofErr w:type="spellStart"/>
      <w:r>
        <w:rPr>
          <w:rFonts w:ascii="Garamond" w:hAnsi="Garamond"/>
          <w:sz w:val="24"/>
          <w:szCs w:val="24"/>
        </w:rPr>
        <w:t>Rintoul</w:t>
      </w:r>
      <w:proofErr w:type="spellEnd"/>
      <w:r>
        <w:rPr>
          <w:rFonts w:ascii="Garamond" w:hAnsi="Garamond"/>
          <w:sz w:val="24"/>
          <w:szCs w:val="24"/>
        </w:rPr>
        <w:t xml:space="preserve">, F. (2012). Real reasons to cheer on Bangladesh. </w:t>
      </w:r>
      <w:r w:rsidRPr="002A2548">
        <w:rPr>
          <w:rFonts w:ascii="Garamond" w:hAnsi="Garamond"/>
          <w:i/>
          <w:sz w:val="24"/>
          <w:szCs w:val="24"/>
        </w:rPr>
        <w:t>The Financial Times</w:t>
      </w:r>
      <w:r>
        <w:rPr>
          <w:rFonts w:ascii="Garamond" w:hAnsi="Garamond"/>
          <w:sz w:val="24"/>
          <w:szCs w:val="24"/>
        </w:rPr>
        <w:t>, 29</w:t>
      </w:r>
      <w:r w:rsidRPr="002A2548">
        <w:rPr>
          <w:rFonts w:ascii="Garamond" w:hAnsi="Garamond"/>
          <w:sz w:val="24"/>
          <w:szCs w:val="24"/>
          <w:vertAlign w:val="superscript"/>
        </w:rPr>
        <w:t>th</w:t>
      </w:r>
      <w:r>
        <w:rPr>
          <w:rFonts w:ascii="Garamond" w:hAnsi="Garamond"/>
          <w:sz w:val="24"/>
          <w:szCs w:val="24"/>
        </w:rPr>
        <w:t xml:space="preserve"> July 2012.</w:t>
      </w:r>
    </w:p>
    <w:p w14:paraId="7EA90845" w14:textId="77777777" w:rsidR="00173F58" w:rsidRPr="00E75964" w:rsidRDefault="00173F58" w:rsidP="005B3A4D">
      <w:pPr>
        <w:tabs>
          <w:tab w:val="left" w:pos="709"/>
          <w:tab w:val="left" w:pos="851"/>
        </w:tabs>
        <w:spacing w:line="360" w:lineRule="auto"/>
        <w:jc w:val="both"/>
        <w:rPr>
          <w:rFonts w:ascii="Garamond" w:hAnsi="Garamond"/>
          <w:sz w:val="24"/>
          <w:szCs w:val="24"/>
        </w:rPr>
      </w:pPr>
      <w:r w:rsidRPr="00E75964">
        <w:rPr>
          <w:rFonts w:ascii="Garamond" w:hAnsi="Garamond"/>
          <w:sz w:val="24"/>
          <w:szCs w:val="24"/>
        </w:rPr>
        <w:t xml:space="preserve">Ritter, J.R. (1988). The buying and selling </w:t>
      </w:r>
      <w:proofErr w:type="spellStart"/>
      <w:r w:rsidRPr="00E75964">
        <w:rPr>
          <w:rFonts w:ascii="Garamond" w:hAnsi="Garamond"/>
          <w:sz w:val="24"/>
          <w:szCs w:val="24"/>
        </w:rPr>
        <w:t>behavior</w:t>
      </w:r>
      <w:proofErr w:type="spellEnd"/>
      <w:r w:rsidRPr="00E75964">
        <w:rPr>
          <w:rFonts w:ascii="Garamond" w:hAnsi="Garamond"/>
          <w:sz w:val="24"/>
          <w:szCs w:val="24"/>
        </w:rPr>
        <w:t xml:space="preserve"> of individual investors at the turn of the year. </w:t>
      </w:r>
      <w:r w:rsidRPr="00E75964">
        <w:rPr>
          <w:rFonts w:ascii="Garamond" w:hAnsi="Garamond"/>
          <w:i/>
          <w:sz w:val="24"/>
          <w:szCs w:val="24"/>
        </w:rPr>
        <w:t>Journal of Finance</w:t>
      </w:r>
      <w:r w:rsidRPr="00E75964">
        <w:rPr>
          <w:rFonts w:ascii="Garamond" w:hAnsi="Garamond"/>
          <w:sz w:val="24"/>
          <w:szCs w:val="24"/>
        </w:rPr>
        <w:t>, 43(3), 701-717.</w:t>
      </w:r>
    </w:p>
    <w:p w14:paraId="35AF4125" w14:textId="77777777" w:rsidR="00173F58" w:rsidRPr="00E75964" w:rsidRDefault="00173F58" w:rsidP="005B3A4D">
      <w:pPr>
        <w:tabs>
          <w:tab w:val="left" w:pos="851"/>
        </w:tabs>
        <w:spacing w:line="360" w:lineRule="auto"/>
        <w:jc w:val="both"/>
        <w:rPr>
          <w:rFonts w:ascii="Garamond" w:hAnsi="Garamond"/>
          <w:sz w:val="24"/>
          <w:szCs w:val="24"/>
        </w:rPr>
      </w:pPr>
      <w:r w:rsidRPr="00E75964">
        <w:rPr>
          <w:rFonts w:ascii="Garamond" w:hAnsi="Garamond"/>
          <w:sz w:val="24"/>
          <w:szCs w:val="24"/>
        </w:rPr>
        <w:t xml:space="preserve">Rogalski, R. (1984). New findings regarding day of the week returns over trading and non-trading periods: a note. </w:t>
      </w:r>
      <w:r w:rsidRPr="00E75964">
        <w:rPr>
          <w:rFonts w:ascii="Garamond" w:hAnsi="Garamond"/>
          <w:i/>
          <w:sz w:val="24"/>
          <w:szCs w:val="24"/>
        </w:rPr>
        <w:t>Journal of Finance</w:t>
      </w:r>
      <w:r w:rsidRPr="00E75964">
        <w:rPr>
          <w:rFonts w:ascii="Garamond" w:hAnsi="Garamond"/>
          <w:sz w:val="24"/>
          <w:szCs w:val="24"/>
        </w:rPr>
        <w:t>, 39(5), 1603-1614.</w:t>
      </w:r>
    </w:p>
    <w:p w14:paraId="1F62E882" w14:textId="77777777" w:rsidR="00173F58" w:rsidRPr="00E75964" w:rsidRDefault="00173F58" w:rsidP="005B3A4D">
      <w:pPr>
        <w:tabs>
          <w:tab w:val="left" w:pos="851"/>
        </w:tabs>
        <w:spacing w:line="360" w:lineRule="auto"/>
        <w:jc w:val="both"/>
        <w:rPr>
          <w:rFonts w:ascii="Garamond" w:hAnsi="Garamond"/>
          <w:sz w:val="24"/>
          <w:szCs w:val="24"/>
        </w:rPr>
      </w:pPr>
      <w:proofErr w:type="spellStart"/>
      <w:r w:rsidRPr="00E75964">
        <w:rPr>
          <w:rFonts w:ascii="Garamond" w:hAnsi="Garamond"/>
          <w:sz w:val="24"/>
          <w:szCs w:val="24"/>
        </w:rPr>
        <w:t>Rystrom</w:t>
      </w:r>
      <w:proofErr w:type="spellEnd"/>
      <w:r w:rsidRPr="00E75964">
        <w:rPr>
          <w:rFonts w:ascii="Garamond" w:hAnsi="Garamond"/>
          <w:sz w:val="24"/>
          <w:szCs w:val="24"/>
        </w:rPr>
        <w:t xml:space="preserve">, D.S., &amp; Benson, E.D. (1989). Investor psychology and the Day-of-the-week effect. </w:t>
      </w:r>
      <w:r w:rsidRPr="00E75964">
        <w:rPr>
          <w:rFonts w:ascii="Garamond" w:hAnsi="Garamond"/>
          <w:i/>
          <w:sz w:val="24"/>
          <w:szCs w:val="24"/>
        </w:rPr>
        <w:t>Financial Analysts Journal</w:t>
      </w:r>
      <w:r w:rsidRPr="00E75964">
        <w:rPr>
          <w:rFonts w:ascii="Garamond" w:hAnsi="Garamond"/>
          <w:sz w:val="24"/>
          <w:szCs w:val="24"/>
        </w:rPr>
        <w:t>, 45(5), 75-78.</w:t>
      </w:r>
    </w:p>
    <w:p w14:paraId="307E8251" w14:textId="77777777" w:rsidR="00173F58" w:rsidRPr="00E75964" w:rsidRDefault="00173F58" w:rsidP="005B3A4D">
      <w:pPr>
        <w:tabs>
          <w:tab w:val="left" w:pos="851"/>
        </w:tabs>
        <w:spacing w:line="360" w:lineRule="auto"/>
        <w:jc w:val="both"/>
        <w:rPr>
          <w:rFonts w:ascii="Garamond" w:hAnsi="Garamond"/>
          <w:sz w:val="24"/>
          <w:szCs w:val="24"/>
        </w:rPr>
      </w:pPr>
      <w:r w:rsidRPr="00E75964">
        <w:rPr>
          <w:rFonts w:ascii="Garamond" w:hAnsi="Garamond"/>
          <w:sz w:val="24"/>
          <w:szCs w:val="24"/>
        </w:rPr>
        <w:t xml:space="preserve">Scholes, M., &amp; Williams, J. (1977). Estimating betas from nonsynchronous data. </w:t>
      </w:r>
      <w:r w:rsidRPr="00E75964">
        <w:rPr>
          <w:rFonts w:ascii="Garamond" w:hAnsi="Garamond"/>
          <w:i/>
          <w:sz w:val="24"/>
          <w:szCs w:val="24"/>
        </w:rPr>
        <w:t>Journal of Financial Economics</w:t>
      </w:r>
      <w:r w:rsidRPr="00E75964">
        <w:rPr>
          <w:rFonts w:ascii="Garamond" w:hAnsi="Garamond"/>
          <w:sz w:val="24"/>
          <w:szCs w:val="24"/>
        </w:rPr>
        <w:t>, 5(3), 309-327.</w:t>
      </w:r>
    </w:p>
    <w:p w14:paraId="005A3505" w14:textId="77777777" w:rsidR="00225DF3" w:rsidRPr="00E75964" w:rsidRDefault="00173F58" w:rsidP="005B3A4D">
      <w:pPr>
        <w:tabs>
          <w:tab w:val="left" w:pos="851"/>
        </w:tabs>
        <w:spacing w:line="360" w:lineRule="auto"/>
        <w:jc w:val="both"/>
        <w:rPr>
          <w:rFonts w:ascii="Garamond" w:hAnsi="Garamond"/>
          <w:sz w:val="24"/>
          <w:szCs w:val="24"/>
        </w:rPr>
      </w:pPr>
      <w:proofErr w:type="spellStart"/>
      <w:r w:rsidRPr="00E75964">
        <w:rPr>
          <w:rFonts w:ascii="Garamond" w:hAnsi="Garamond"/>
          <w:sz w:val="24"/>
          <w:szCs w:val="24"/>
        </w:rPr>
        <w:t>Schwert</w:t>
      </w:r>
      <w:proofErr w:type="spellEnd"/>
      <w:r w:rsidRPr="00E75964">
        <w:rPr>
          <w:rFonts w:ascii="Garamond" w:hAnsi="Garamond"/>
          <w:sz w:val="24"/>
          <w:szCs w:val="24"/>
        </w:rPr>
        <w:t xml:space="preserve">, G.W. (1990). Stock market volatility. </w:t>
      </w:r>
      <w:r w:rsidRPr="00E75964">
        <w:rPr>
          <w:rFonts w:ascii="Garamond" w:hAnsi="Garamond"/>
          <w:i/>
          <w:sz w:val="24"/>
          <w:szCs w:val="24"/>
        </w:rPr>
        <w:t>Financial Analyst Journal</w:t>
      </w:r>
      <w:r w:rsidR="00225DF3" w:rsidRPr="00E75964">
        <w:rPr>
          <w:rFonts w:ascii="Garamond" w:hAnsi="Garamond"/>
          <w:sz w:val="24"/>
          <w:szCs w:val="24"/>
        </w:rPr>
        <w:t>, May-June, 46, 23-34.</w:t>
      </w:r>
    </w:p>
    <w:p w14:paraId="1FB0C142" w14:textId="77777777" w:rsidR="00225DF3" w:rsidRPr="00E75964" w:rsidRDefault="00225DF3" w:rsidP="005B3A4D">
      <w:pPr>
        <w:tabs>
          <w:tab w:val="left" w:pos="851"/>
        </w:tabs>
        <w:spacing w:line="360" w:lineRule="auto"/>
        <w:jc w:val="both"/>
        <w:rPr>
          <w:rFonts w:ascii="Garamond" w:hAnsi="Garamond"/>
          <w:sz w:val="24"/>
          <w:szCs w:val="24"/>
        </w:rPr>
      </w:pPr>
      <w:proofErr w:type="spellStart"/>
      <w:r w:rsidRPr="00E75964">
        <w:rPr>
          <w:rFonts w:ascii="Garamond" w:hAnsi="Garamond"/>
          <w:sz w:val="24"/>
          <w:szCs w:val="24"/>
        </w:rPr>
        <w:t>Seyyed</w:t>
      </w:r>
      <w:proofErr w:type="spellEnd"/>
      <w:r w:rsidRPr="00E75964">
        <w:rPr>
          <w:rFonts w:ascii="Garamond" w:hAnsi="Garamond"/>
          <w:sz w:val="24"/>
          <w:szCs w:val="24"/>
        </w:rPr>
        <w:t xml:space="preserve">, F., Abraham, A. and Al-Hajji, M. (2005). Seasonality in stock returns and volatility: The Ramadan effect. </w:t>
      </w:r>
      <w:r w:rsidRPr="00E75964">
        <w:rPr>
          <w:rFonts w:ascii="Garamond" w:hAnsi="Garamond"/>
          <w:i/>
          <w:sz w:val="24"/>
          <w:szCs w:val="24"/>
        </w:rPr>
        <w:t>Research in International Business and Finance</w:t>
      </w:r>
      <w:r w:rsidRPr="00E75964">
        <w:rPr>
          <w:rFonts w:ascii="Garamond" w:hAnsi="Garamond"/>
          <w:sz w:val="24"/>
          <w:szCs w:val="24"/>
        </w:rPr>
        <w:t xml:space="preserve">, 19(3), 374-383. </w:t>
      </w:r>
    </w:p>
    <w:p w14:paraId="5AF2BC8B" w14:textId="77777777" w:rsidR="00173F58" w:rsidRPr="00E75964" w:rsidRDefault="00173F58" w:rsidP="005B3A4D">
      <w:pPr>
        <w:tabs>
          <w:tab w:val="left" w:pos="851"/>
        </w:tabs>
        <w:spacing w:line="360" w:lineRule="auto"/>
        <w:jc w:val="both"/>
        <w:rPr>
          <w:rFonts w:ascii="Garamond" w:hAnsi="Garamond"/>
          <w:sz w:val="24"/>
          <w:szCs w:val="24"/>
        </w:rPr>
      </w:pPr>
      <w:r w:rsidRPr="00E75964">
        <w:rPr>
          <w:rFonts w:ascii="Garamond" w:hAnsi="Garamond"/>
          <w:sz w:val="24"/>
          <w:szCs w:val="24"/>
        </w:rPr>
        <w:t xml:space="preserve">Shleifer, A., &amp; </w:t>
      </w:r>
      <w:proofErr w:type="spellStart"/>
      <w:r w:rsidRPr="00E75964">
        <w:rPr>
          <w:rFonts w:ascii="Garamond" w:hAnsi="Garamond"/>
          <w:sz w:val="24"/>
          <w:szCs w:val="24"/>
        </w:rPr>
        <w:t>Vishny</w:t>
      </w:r>
      <w:proofErr w:type="spellEnd"/>
      <w:r w:rsidRPr="00E75964">
        <w:rPr>
          <w:rFonts w:ascii="Garamond" w:hAnsi="Garamond"/>
          <w:sz w:val="24"/>
          <w:szCs w:val="24"/>
        </w:rPr>
        <w:t>, R. (1986). Large shareholders and corporate control</w:t>
      </w:r>
      <w:r w:rsidRPr="00E75964">
        <w:rPr>
          <w:rFonts w:ascii="Garamond" w:hAnsi="Garamond"/>
          <w:i/>
          <w:sz w:val="24"/>
          <w:szCs w:val="24"/>
        </w:rPr>
        <w:t>. Journal of Political Economy</w:t>
      </w:r>
      <w:r w:rsidRPr="00E75964">
        <w:rPr>
          <w:rFonts w:ascii="Garamond" w:hAnsi="Garamond"/>
          <w:sz w:val="24"/>
          <w:szCs w:val="24"/>
        </w:rPr>
        <w:t>, 94(3), 461-488.</w:t>
      </w:r>
    </w:p>
    <w:p w14:paraId="2D38183C" w14:textId="77777777" w:rsidR="00173F58" w:rsidRPr="00E75964" w:rsidRDefault="00173F58" w:rsidP="005B3A4D">
      <w:pPr>
        <w:tabs>
          <w:tab w:val="left" w:pos="851"/>
        </w:tabs>
        <w:spacing w:line="360" w:lineRule="auto"/>
        <w:jc w:val="both"/>
        <w:rPr>
          <w:rFonts w:ascii="Garamond" w:hAnsi="Garamond"/>
          <w:sz w:val="24"/>
          <w:szCs w:val="24"/>
        </w:rPr>
      </w:pPr>
      <w:proofErr w:type="spellStart"/>
      <w:r w:rsidRPr="00E75964">
        <w:rPr>
          <w:rFonts w:ascii="Garamond" w:hAnsi="Garamond"/>
          <w:sz w:val="24"/>
          <w:szCs w:val="24"/>
        </w:rPr>
        <w:t>Sias</w:t>
      </w:r>
      <w:proofErr w:type="spellEnd"/>
      <w:r w:rsidRPr="00E75964">
        <w:rPr>
          <w:rFonts w:ascii="Garamond" w:hAnsi="Garamond"/>
          <w:sz w:val="24"/>
          <w:szCs w:val="24"/>
        </w:rPr>
        <w:t xml:space="preserve">, R.W., &amp; Starks, L.T. (1995). The Day-of-the-week anomaly: The role of institutional investors. </w:t>
      </w:r>
      <w:r w:rsidRPr="00E75964">
        <w:rPr>
          <w:rFonts w:ascii="Garamond" w:hAnsi="Garamond"/>
          <w:i/>
          <w:sz w:val="24"/>
          <w:szCs w:val="24"/>
        </w:rPr>
        <w:t>Financial Analysts Journal</w:t>
      </w:r>
      <w:r w:rsidRPr="00E75964">
        <w:rPr>
          <w:rFonts w:ascii="Garamond" w:hAnsi="Garamond"/>
          <w:sz w:val="24"/>
          <w:szCs w:val="24"/>
        </w:rPr>
        <w:t>, 51(3), 58-67.</w:t>
      </w:r>
    </w:p>
    <w:p w14:paraId="7E82A2C5" w14:textId="77777777" w:rsidR="00173F58" w:rsidRPr="00E75964" w:rsidRDefault="00173F58" w:rsidP="005B3A4D">
      <w:pPr>
        <w:tabs>
          <w:tab w:val="left" w:pos="851"/>
        </w:tabs>
        <w:spacing w:line="360" w:lineRule="auto"/>
        <w:jc w:val="both"/>
        <w:rPr>
          <w:rFonts w:ascii="Garamond" w:hAnsi="Garamond"/>
          <w:sz w:val="24"/>
          <w:szCs w:val="24"/>
        </w:rPr>
      </w:pPr>
      <w:proofErr w:type="spellStart"/>
      <w:r w:rsidRPr="00E75964">
        <w:rPr>
          <w:rFonts w:ascii="Garamond" w:hAnsi="Garamond"/>
          <w:sz w:val="24"/>
          <w:szCs w:val="24"/>
        </w:rPr>
        <w:t>Smirlock</w:t>
      </w:r>
      <w:proofErr w:type="spellEnd"/>
      <w:r w:rsidRPr="00E75964">
        <w:rPr>
          <w:rFonts w:ascii="Garamond" w:hAnsi="Garamond"/>
          <w:sz w:val="24"/>
          <w:szCs w:val="24"/>
        </w:rPr>
        <w:t xml:space="preserve">, M., &amp; Starks, L. (1986). Day-of-the-week and intraday effects in stock returns. </w:t>
      </w:r>
      <w:r w:rsidRPr="00E75964">
        <w:rPr>
          <w:rFonts w:ascii="Garamond" w:hAnsi="Garamond"/>
          <w:i/>
          <w:sz w:val="24"/>
          <w:szCs w:val="24"/>
        </w:rPr>
        <w:t>Journal of Financial Economics</w:t>
      </w:r>
      <w:r w:rsidRPr="00E75964">
        <w:rPr>
          <w:rFonts w:ascii="Garamond" w:hAnsi="Garamond"/>
          <w:sz w:val="24"/>
          <w:szCs w:val="24"/>
        </w:rPr>
        <w:t>, 17(1), 197-210.</w:t>
      </w:r>
    </w:p>
    <w:p w14:paraId="74AB502E" w14:textId="77777777" w:rsidR="00173F58" w:rsidRPr="00E75964" w:rsidRDefault="00173F58" w:rsidP="005B3A4D">
      <w:pPr>
        <w:tabs>
          <w:tab w:val="left" w:pos="851"/>
        </w:tabs>
        <w:spacing w:line="360" w:lineRule="auto"/>
        <w:jc w:val="both"/>
        <w:rPr>
          <w:rFonts w:ascii="Garamond" w:hAnsi="Garamond"/>
          <w:sz w:val="24"/>
          <w:szCs w:val="24"/>
        </w:rPr>
      </w:pPr>
      <w:r w:rsidRPr="00E75964">
        <w:rPr>
          <w:rFonts w:ascii="Garamond" w:hAnsi="Garamond"/>
          <w:sz w:val="24"/>
          <w:szCs w:val="24"/>
        </w:rPr>
        <w:t xml:space="preserve">Venezia, I., &amp; Shapira, Z. (2007). On the </w:t>
      </w:r>
      <w:proofErr w:type="spellStart"/>
      <w:r w:rsidRPr="00E75964">
        <w:rPr>
          <w:rFonts w:ascii="Garamond" w:hAnsi="Garamond"/>
          <w:sz w:val="24"/>
          <w:szCs w:val="24"/>
        </w:rPr>
        <w:t>behavioral</w:t>
      </w:r>
      <w:proofErr w:type="spellEnd"/>
      <w:r w:rsidRPr="00E75964">
        <w:rPr>
          <w:rFonts w:ascii="Garamond" w:hAnsi="Garamond"/>
          <w:sz w:val="24"/>
          <w:szCs w:val="24"/>
        </w:rPr>
        <w:t xml:space="preserve"> differences between professional and amateur investors after the weekend. </w:t>
      </w:r>
      <w:r w:rsidRPr="00E75964">
        <w:rPr>
          <w:rFonts w:ascii="Garamond" w:hAnsi="Garamond"/>
          <w:i/>
          <w:sz w:val="24"/>
          <w:szCs w:val="24"/>
        </w:rPr>
        <w:t>Journal of Banking and Finance</w:t>
      </w:r>
      <w:r w:rsidRPr="00E75964">
        <w:rPr>
          <w:rFonts w:ascii="Garamond" w:hAnsi="Garamond"/>
          <w:sz w:val="24"/>
          <w:szCs w:val="24"/>
        </w:rPr>
        <w:t>, 31(5), 1417-1426.</w:t>
      </w:r>
    </w:p>
    <w:p w14:paraId="6B2FF536" w14:textId="77777777" w:rsidR="00173F58" w:rsidRPr="00E75964" w:rsidRDefault="00173F58" w:rsidP="005B3A4D">
      <w:pPr>
        <w:tabs>
          <w:tab w:val="left" w:pos="851"/>
        </w:tabs>
        <w:spacing w:line="360" w:lineRule="auto"/>
        <w:jc w:val="both"/>
        <w:rPr>
          <w:rFonts w:ascii="Garamond" w:hAnsi="Garamond"/>
          <w:sz w:val="24"/>
          <w:szCs w:val="24"/>
        </w:rPr>
      </w:pPr>
      <w:r w:rsidRPr="00E75964">
        <w:rPr>
          <w:rFonts w:ascii="Garamond" w:hAnsi="Garamond"/>
          <w:sz w:val="24"/>
          <w:szCs w:val="24"/>
        </w:rPr>
        <w:t xml:space="preserve">Wang, K., Li, Y., &amp; Erickson, J. (1997). A new look at the Monday effect. </w:t>
      </w:r>
      <w:r w:rsidRPr="00E75964">
        <w:rPr>
          <w:rFonts w:ascii="Garamond" w:hAnsi="Garamond"/>
          <w:i/>
          <w:sz w:val="24"/>
          <w:szCs w:val="24"/>
        </w:rPr>
        <w:t>The Journal of Finance</w:t>
      </w:r>
      <w:r w:rsidRPr="00E75964">
        <w:rPr>
          <w:rFonts w:ascii="Garamond" w:hAnsi="Garamond"/>
          <w:sz w:val="24"/>
          <w:szCs w:val="24"/>
        </w:rPr>
        <w:t>, 52(5), 2171-2185.</w:t>
      </w:r>
    </w:p>
    <w:p w14:paraId="29DF063D" w14:textId="25225A9A" w:rsidR="00173F58" w:rsidRPr="00E75964" w:rsidRDefault="00173F58" w:rsidP="005B3A4D">
      <w:pPr>
        <w:tabs>
          <w:tab w:val="left" w:pos="851"/>
        </w:tabs>
        <w:spacing w:line="360" w:lineRule="auto"/>
        <w:jc w:val="both"/>
        <w:rPr>
          <w:rFonts w:ascii="Garamond" w:hAnsi="Garamond"/>
          <w:sz w:val="24"/>
          <w:szCs w:val="24"/>
        </w:rPr>
      </w:pPr>
      <w:r w:rsidRPr="00E75964">
        <w:rPr>
          <w:rFonts w:ascii="Garamond" w:hAnsi="Garamond"/>
          <w:sz w:val="24"/>
          <w:szCs w:val="24"/>
        </w:rPr>
        <w:lastRenderedPageBreak/>
        <w:t xml:space="preserve">Welch, B.L. (1951). On the comparison of several mean values: An alternative approach. </w:t>
      </w:r>
      <w:proofErr w:type="spellStart"/>
      <w:r w:rsidRPr="00E75964">
        <w:rPr>
          <w:rFonts w:ascii="Garamond" w:hAnsi="Garamond"/>
          <w:i/>
          <w:sz w:val="24"/>
          <w:szCs w:val="24"/>
        </w:rPr>
        <w:t>Biometrika</w:t>
      </w:r>
      <w:proofErr w:type="spellEnd"/>
      <w:r w:rsidRPr="00E75964">
        <w:rPr>
          <w:rFonts w:ascii="Garamond" w:hAnsi="Garamond"/>
          <w:sz w:val="24"/>
          <w:szCs w:val="24"/>
        </w:rPr>
        <w:t>, 38(3-4), 330-336.</w:t>
      </w:r>
    </w:p>
    <w:p w14:paraId="4841DF8F" w14:textId="111E7F37" w:rsidR="006E1929" w:rsidRDefault="006E1929" w:rsidP="005B3A4D">
      <w:pPr>
        <w:tabs>
          <w:tab w:val="left" w:pos="851"/>
        </w:tabs>
        <w:spacing w:line="360" w:lineRule="auto"/>
        <w:jc w:val="both"/>
        <w:rPr>
          <w:rFonts w:ascii="Garamond" w:hAnsi="Garamond"/>
          <w:sz w:val="24"/>
          <w:szCs w:val="24"/>
        </w:rPr>
      </w:pPr>
      <w:r w:rsidRPr="00E75964">
        <w:rPr>
          <w:rFonts w:ascii="Garamond" w:hAnsi="Garamond"/>
          <w:sz w:val="24"/>
          <w:szCs w:val="24"/>
        </w:rPr>
        <w:t xml:space="preserve">Zhang, J., Lai, Y. and Lin, J. (2017). The day </w:t>
      </w:r>
      <w:r w:rsidR="00E24832" w:rsidRPr="00E75964">
        <w:rPr>
          <w:rFonts w:ascii="Garamond" w:hAnsi="Garamond"/>
          <w:sz w:val="24"/>
          <w:szCs w:val="24"/>
        </w:rPr>
        <w:t>o</w:t>
      </w:r>
      <w:r w:rsidRPr="00E75964">
        <w:rPr>
          <w:rFonts w:ascii="Garamond" w:hAnsi="Garamond"/>
          <w:sz w:val="24"/>
          <w:szCs w:val="24"/>
        </w:rPr>
        <w:t xml:space="preserve">f the week effect of stock markets in different countries. Finance </w:t>
      </w:r>
      <w:proofErr w:type="spellStart"/>
      <w:r w:rsidRPr="00E75964">
        <w:rPr>
          <w:rFonts w:ascii="Garamond" w:hAnsi="Garamond"/>
          <w:sz w:val="24"/>
          <w:szCs w:val="24"/>
        </w:rPr>
        <w:t>Rsearch</w:t>
      </w:r>
      <w:proofErr w:type="spellEnd"/>
      <w:r w:rsidRPr="00E75964">
        <w:rPr>
          <w:rFonts w:ascii="Garamond" w:hAnsi="Garamond"/>
          <w:sz w:val="24"/>
          <w:szCs w:val="24"/>
        </w:rPr>
        <w:t xml:space="preserve"> Letters, 20, 47 – 62.</w:t>
      </w:r>
    </w:p>
    <w:p w14:paraId="61D86244" w14:textId="77777777" w:rsidR="009D0FAE" w:rsidRPr="004074FB" w:rsidRDefault="009D0FAE" w:rsidP="005B3A4D">
      <w:pPr>
        <w:tabs>
          <w:tab w:val="left" w:pos="851"/>
        </w:tabs>
        <w:spacing w:line="360" w:lineRule="auto"/>
        <w:jc w:val="both"/>
        <w:rPr>
          <w:rFonts w:ascii="Garamond" w:hAnsi="Garamond"/>
          <w:sz w:val="24"/>
          <w:szCs w:val="24"/>
        </w:rPr>
      </w:pPr>
    </w:p>
    <w:p w14:paraId="35CC5EBE" w14:textId="77777777" w:rsidR="006C5C1C" w:rsidRDefault="006C5C1C" w:rsidP="005B3A4D">
      <w:pPr>
        <w:spacing w:line="360" w:lineRule="auto"/>
        <w:rPr>
          <w:rFonts w:ascii="Garamond" w:eastAsia="Times New Roman" w:hAnsi="Garamond" w:cs="Times New Roman"/>
          <w:b/>
          <w:bCs/>
          <w:sz w:val="24"/>
          <w:szCs w:val="24"/>
        </w:rPr>
      </w:pPr>
    </w:p>
    <w:sectPr w:rsidR="006C5C1C" w:rsidSect="000A074B">
      <w:footerReference w:type="default" r:id="rId1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E34EA" w14:textId="77777777" w:rsidR="008700C1" w:rsidRDefault="008700C1" w:rsidP="009B17C8">
      <w:pPr>
        <w:spacing w:after="0" w:line="240" w:lineRule="auto"/>
      </w:pPr>
      <w:r>
        <w:separator/>
      </w:r>
    </w:p>
  </w:endnote>
  <w:endnote w:type="continuationSeparator" w:id="0">
    <w:p w14:paraId="2E7D72D5" w14:textId="77777777" w:rsidR="008700C1" w:rsidRDefault="008700C1" w:rsidP="009B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dvTT5843c571">
    <w:panose1 w:val="00000000000000000000"/>
    <w:charset w:val="00"/>
    <w:family w:val="roman"/>
    <w:notTrueType/>
    <w:pitch w:val="default"/>
    <w:sig w:usb0="00000003" w:usb1="00000000" w:usb2="00000000" w:usb3="00000000" w:csb0="00000001" w:csb1="00000000"/>
  </w:font>
  <w:font w:name="AdvTTf90d833a.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042196"/>
      <w:docPartObj>
        <w:docPartGallery w:val="Page Numbers (Bottom of Page)"/>
        <w:docPartUnique/>
      </w:docPartObj>
    </w:sdtPr>
    <w:sdtEndPr>
      <w:rPr>
        <w:b/>
        <w:noProof/>
      </w:rPr>
    </w:sdtEndPr>
    <w:sdtContent>
      <w:p w14:paraId="13D325C3" w14:textId="5C26FA93" w:rsidR="004D62C3" w:rsidRPr="00DC4BC8" w:rsidRDefault="004D62C3">
        <w:pPr>
          <w:pStyle w:val="Footer"/>
          <w:jc w:val="center"/>
          <w:rPr>
            <w:b/>
          </w:rPr>
        </w:pPr>
        <w:r w:rsidRPr="00DC4BC8">
          <w:rPr>
            <w:b/>
          </w:rPr>
          <w:fldChar w:fldCharType="begin"/>
        </w:r>
        <w:r w:rsidRPr="00DC4BC8">
          <w:rPr>
            <w:b/>
          </w:rPr>
          <w:instrText xml:space="preserve"> PAGE   \* MERGEFORMAT </w:instrText>
        </w:r>
        <w:r w:rsidRPr="00DC4BC8">
          <w:rPr>
            <w:b/>
          </w:rPr>
          <w:fldChar w:fldCharType="separate"/>
        </w:r>
        <w:r w:rsidR="00E01D4C">
          <w:rPr>
            <w:b/>
            <w:noProof/>
          </w:rPr>
          <w:t>42</w:t>
        </w:r>
        <w:r w:rsidRPr="00DC4BC8">
          <w:rPr>
            <w:b/>
            <w:noProof/>
          </w:rPr>
          <w:fldChar w:fldCharType="end"/>
        </w:r>
      </w:p>
    </w:sdtContent>
  </w:sdt>
  <w:p w14:paraId="265C7179" w14:textId="77777777" w:rsidR="004D62C3" w:rsidRDefault="004D6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71FF9" w14:textId="77777777" w:rsidR="008700C1" w:rsidRDefault="008700C1" w:rsidP="009B17C8">
      <w:pPr>
        <w:spacing w:after="0" w:line="240" w:lineRule="auto"/>
      </w:pPr>
      <w:r>
        <w:separator/>
      </w:r>
    </w:p>
  </w:footnote>
  <w:footnote w:type="continuationSeparator" w:id="0">
    <w:p w14:paraId="3000F186" w14:textId="77777777" w:rsidR="008700C1" w:rsidRDefault="008700C1" w:rsidP="009B17C8">
      <w:pPr>
        <w:spacing w:after="0" w:line="240" w:lineRule="auto"/>
      </w:pPr>
      <w:r>
        <w:continuationSeparator/>
      </w:r>
    </w:p>
  </w:footnote>
  <w:footnote w:id="1">
    <w:p w14:paraId="6BD59CB9" w14:textId="6FCC5142" w:rsidR="004D62C3" w:rsidRPr="00DC6CAA" w:rsidRDefault="004D62C3">
      <w:pPr>
        <w:pStyle w:val="FootnoteText"/>
        <w:rPr>
          <w:rFonts w:ascii="Garamond" w:hAnsi="Garamond"/>
          <w:sz w:val="22"/>
          <w:szCs w:val="22"/>
          <w:lang w:val="en-GB"/>
        </w:rPr>
      </w:pPr>
      <w:r w:rsidRPr="003001AA">
        <w:rPr>
          <w:rStyle w:val="FootnoteReference"/>
          <w:rFonts w:ascii="Garamond" w:hAnsi="Garamond"/>
          <w:sz w:val="22"/>
          <w:szCs w:val="22"/>
        </w:rPr>
        <w:footnoteRef/>
      </w:r>
      <w:r w:rsidRPr="003001AA">
        <w:rPr>
          <w:rFonts w:ascii="Garamond" w:hAnsi="Garamond"/>
          <w:sz w:val="22"/>
          <w:szCs w:val="22"/>
        </w:rPr>
        <w:t xml:space="preserve"> Sponsor</w:t>
      </w:r>
      <w:r>
        <w:rPr>
          <w:rFonts w:ascii="Garamond" w:hAnsi="Garamond"/>
          <w:sz w:val="22"/>
          <w:szCs w:val="22"/>
        </w:rPr>
        <w:t>s, i.e. directors and founder-owners</w:t>
      </w:r>
      <w:r w:rsidRPr="003001AA">
        <w:rPr>
          <w:rFonts w:ascii="Garamond" w:hAnsi="Garamond"/>
          <w:sz w:val="22"/>
          <w:szCs w:val="22"/>
        </w:rPr>
        <w:t xml:space="preserve"> (37</w:t>
      </w:r>
      <w:r>
        <w:rPr>
          <w:rFonts w:ascii="Garamond" w:hAnsi="Garamond"/>
          <w:sz w:val="22"/>
          <w:szCs w:val="22"/>
        </w:rPr>
        <w:t>.18</w:t>
      </w:r>
      <w:r w:rsidRPr="003001AA">
        <w:rPr>
          <w:rFonts w:ascii="Garamond" w:hAnsi="Garamond"/>
          <w:sz w:val="22"/>
          <w:szCs w:val="22"/>
        </w:rPr>
        <w:t>%) and government (3</w:t>
      </w:r>
      <w:r>
        <w:rPr>
          <w:rFonts w:ascii="Garamond" w:hAnsi="Garamond"/>
          <w:sz w:val="22"/>
          <w:szCs w:val="22"/>
        </w:rPr>
        <w:t>.63</w:t>
      </w:r>
      <w:r w:rsidRPr="003001AA">
        <w:rPr>
          <w:rFonts w:ascii="Garamond" w:hAnsi="Garamond"/>
          <w:sz w:val="22"/>
          <w:szCs w:val="22"/>
        </w:rPr>
        <w:t>%) hold the r</w:t>
      </w:r>
      <w:proofErr w:type="spellStart"/>
      <w:r w:rsidRPr="003001AA">
        <w:rPr>
          <w:rFonts w:ascii="Garamond" w:hAnsi="Garamond"/>
          <w:sz w:val="22"/>
          <w:szCs w:val="22"/>
          <w:lang w:val="en-GB"/>
        </w:rPr>
        <w:t>e</w:t>
      </w:r>
      <w:r>
        <w:rPr>
          <w:rFonts w:ascii="Garamond" w:hAnsi="Garamond"/>
          <w:sz w:val="22"/>
          <w:szCs w:val="22"/>
          <w:lang w:val="en-GB"/>
        </w:rPr>
        <w:t>mainder</w:t>
      </w:r>
      <w:proofErr w:type="spellEnd"/>
      <w:r w:rsidRPr="003001AA">
        <w:rPr>
          <w:rFonts w:ascii="Garamond" w:hAnsi="Garamond"/>
          <w:sz w:val="22"/>
          <w:szCs w:val="22"/>
          <w:lang w:val="en-GB"/>
        </w:rPr>
        <w:t xml:space="preserve"> of the traded stocks o</w:t>
      </w:r>
      <w:r>
        <w:rPr>
          <w:rFonts w:ascii="Garamond" w:hAnsi="Garamond"/>
          <w:sz w:val="22"/>
          <w:szCs w:val="22"/>
          <w:lang w:val="en-GB"/>
        </w:rPr>
        <w:t>n the</w:t>
      </w:r>
      <w:r w:rsidRPr="003001AA">
        <w:rPr>
          <w:rFonts w:ascii="Garamond" w:hAnsi="Garamond"/>
          <w:sz w:val="22"/>
          <w:szCs w:val="22"/>
          <w:lang w:val="en-GB"/>
        </w:rPr>
        <w:t xml:space="preserve"> DSE.</w:t>
      </w:r>
      <w:r>
        <w:rPr>
          <w:rFonts w:ascii="Garamond" w:hAnsi="Garamond"/>
          <w:sz w:val="22"/>
          <w:szCs w:val="22"/>
          <w:lang w:val="en-GB"/>
        </w:rPr>
        <w:t xml:space="preserve"> Source: Authors’ calculations from information on the DSE website. </w:t>
      </w:r>
    </w:p>
  </w:footnote>
  <w:footnote w:id="2">
    <w:p w14:paraId="24343664" w14:textId="50D6409C" w:rsidR="004D62C3" w:rsidRPr="00256366" w:rsidRDefault="004D62C3" w:rsidP="00ED76A6">
      <w:pPr>
        <w:pStyle w:val="FootnoteText"/>
        <w:jc w:val="both"/>
        <w:rPr>
          <w:lang w:val="en-GB"/>
        </w:rPr>
      </w:pPr>
      <w:r>
        <w:rPr>
          <w:rStyle w:val="FootnoteReference"/>
        </w:rPr>
        <w:footnoteRef/>
      </w:r>
      <w:r>
        <w:t xml:space="preserve"> </w:t>
      </w:r>
      <w:r>
        <w:rPr>
          <w:rFonts w:ascii="Garamond" w:hAnsi="Garamond"/>
          <w:sz w:val="24"/>
          <w:szCs w:val="24"/>
        </w:rPr>
        <w:t xml:space="preserve">Bangladesh </w:t>
      </w:r>
      <w:r w:rsidRPr="00B8517D">
        <w:rPr>
          <w:rFonts w:ascii="Garamond" w:hAnsi="Garamond"/>
          <w:sz w:val="24"/>
          <w:szCs w:val="24"/>
        </w:rPr>
        <w:t>is the second largest exporter of ready</w:t>
      </w:r>
      <w:r>
        <w:rPr>
          <w:rFonts w:ascii="Garamond" w:hAnsi="Garamond"/>
          <w:sz w:val="24"/>
          <w:szCs w:val="24"/>
        </w:rPr>
        <w:t>-</w:t>
      </w:r>
      <w:r w:rsidRPr="00B8517D">
        <w:rPr>
          <w:rFonts w:ascii="Garamond" w:hAnsi="Garamond"/>
          <w:sz w:val="24"/>
          <w:szCs w:val="24"/>
        </w:rPr>
        <w:t xml:space="preserve">made garments </w:t>
      </w:r>
      <w:r>
        <w:rPr>
          <w:rFonts w:ascii="Garamond" w:hAnsi="Garamond"/>
          <w:sz w:val="24"/>
          <w:szCs w:val="24"/>
        </w:rPr>
        <w:t>in</w:t>
      </w:r>
      <w:r w:rsidRPr="00B8517D">
        <w:rPr>
          <w:rFonts w:ascii="Garamond" w:hAnsi="Garamond"/>
          <w:sz w:val="24"/>
          <w:szCs w:val="24"/>
        </w:rPr>
        <w:t xml:space="preserve"> the world after China and also the eighth </w:t>
      </w:r>
      <w:r>
        <w:rPr>
          <w:rFonts w:ascii="Garamond" w:hAnsi="Garamond"/>
          <w:sz w:val="24"/>
          <w:szCs w:val="24"/>
        </w:rPr>
        <w:t xml:space="preserve">most </w:t>
      </w:r>
      <w:r w:rsidRPr="00B8517D">
        <w:rPr>
          <w:rFonts w:ascii="Garamond" w:hAnsi="Garamond"/>
          <w:sz w:val="24"/>
          <w:szCs w:val="24"/>
        </w:rPr>
        <w:t>populous market in the world</w:t>
      </w:r>
      <w:r>
        <w:rPr>
          <w:rFonts w:ascii="Garamond" w:hAnsi="Garamond"/>
          <w:sz w:val="24"/>
          <w:szCs w:val="24"/>
        </w:rPr>
        <w:t>,</w:t>
      </w:r>
      <w:r w:rsidRPr="00B8517D">
        <w:rPr>
          <w:rFonts w:ascii="Garamond" w:hAnsi="Garamond"/>
          <w:sz w:val="24"/>
          <w:szCs w:val="24"/>
        </w:rPr>
        <w:t xml:space="preserve"> with 46% </w:t>
      </w:r>
      <w:r>
        <w:rPr>
          <w:rFonts w:ascii="Garamond" w:hAnsi="Garamond"/>
          <w:sz w:val="24"/>
          <w:szCs w:val="24"/>
        </w:rPr>
        <w:t xml:space="preserve">of </w:t>
      </w:r>
      <w:r w:rsidRPr="00B8517D">
        <w:rPr>
          <w:rFonts w:ascii="Garamond" w:hAnsi="Garamond"/>
          <w:sz w:val="24"/>
          <w:szCs w:val="24"/>
        </w:rPr>
        <w:t xml:space="preserve">people below age 24 and 40% at prime working age between age 24 and 54. Bangladesh is also the birthplace of </w:t>
      </w:r>
      <w:r>
        <w:rPr>
          <w:rFonts w:ascii="Garamond" w:hAnsi="Garamond"/>
          <w:sz w:val="24"/>
          <w:szCs w:val="24"/>
        </w:rPr>
        <w:t>m</w:t>
      </w:r>
      <w:r w:rsidRPr="00B8517D">
        <w:rPr>
          <w:rFonts w:ascii="Garamond" w:hAnsi="Garamond"/>
          <w:sz w:val="24"/>
          <w:szCs w:val="24"/>
        </w:rPr>
        <w:t>icrofinance and with more than 95 per cent Muslim population, one of the largest Islamic markets in the world (see Chowdhury (201</w:t>
      </w:r>
      <w:r>
        <w:rPr>
          <w:rFonts w:ascii="Garamond" w:hAnsi="Garamond"/>
          <w:sz w:val="24"/>
          <w:szCs w:val="24"/>
        </w:rPr>
        <w:t>4</w:t>
      </w:r>
      <w:r w:rsidRPr="00B8517D">
        <w:rPr>
          <w:rFonts w:ascii="Garamond" w:hAnsi="Garamond"/>
          <w:sz w:val="24"/>
          <w:szCs w:val="24"/>
        </w:rPr>
        <w:t>) and Islam and Khaled (2005) for detail</w:t>
      </w:r>
      <w:r>
        <w:rPr>
          <w:rFonts w:ascii="Garamond" w:hAnsi="Garamond"/>
          <w:sz w:val="24"/>
          <w:szCs w:val="24"/>
        </w:rPr>
        <w:t>ed</w:t>
      </w:r>
      <w:r w:rsidRPr="00B8517D">
        <w:rPr>
          <w:rFonts w:ascii="Garamond" w:hAnsi="Garamond"/>
          <w:sz w:val="24"/>
          <w:szCs w:val="24"/>
        </w:rPr>
        <w:t xml:space="preserve"> characteristics of Bangladesh</w:t>
      </w:r>
      <w:r>
        <w:rPr>
          <w:rFonts w:ascii="Garamond" w:hAnsi="Garamond"/>
          <w:sz w:val="24"/>
          <w:szCs w:val="24"/>
        </w:rPr>
        <w:t>’s</w:t>
      </w:r>
      <w:r w:rsidRPr="00B8517D">
        <w:rPr>
          <w:rFonts w:ascii="Garamond" w:hAnsi="Garamond"/>
          <w:sz w:val="24"/>
          <w:szCs w:val="24"/>
        </w:rPr>
        <w:t xml:space="preserve"> economy and market).</w:t>
      </w:r>
    </w:p>
  </w:footnote>
  <w:footnote w:id="3">
    <w:p w14:paraId="7CEA6315" w14:textId="3C0A22D3" w:rsidR="004D62C3" w:rsidRPr="00DF6939" w:rsidRDefault="004D62C3" w:rsidP="00A42F5F">
      <w:pPr>
        <w:pStyle w:val="FootnoteText"/>
        <w:jc w:val="both"/>
        <w:rPr>
          <w:lang w:val="en-GB"/>
        </w:rPr>
      </w:pPr>
      <w:r>
        <w:rPr>
          <w:rStyle w:val="FootnoteReference"/>
        </w:rPr>
        <w:footnoteRef/>
      </w:r>
      <w:r>
        <w:t xml:space="preserve"> </w:t>
      </w:r>
      <w:r>
        <w:rPr>
          <w:rFonts w:ascii="Garamond" w:hAnsi="Garamond"/>
          <w:sz w:val="22"/>
          <w:szCs w:val="22"/>
        </w:rPr>
        <w:t xml:space="preserve">From </w:t>
      </w:r>
      <w:proofErr w:type="spellStart"/>
      <w:r>
        <w:rPr>
          <w:rFonts w:ascii="Garamond" w:hAnsi="Garamond"/>
          <w:sz w:val="22"/>
          <w:szCs w:val="22"/>
        </w:rPr>
        <w:t>Datastream’s</w:t>
      </w:r>
      <w:proofErr w:type="spellEnd"/>
      <w:r>
        <w:rPr>
          <w:rFonts w:ascii="Garamond" w:hAnsi="Garamond"/>
          <w:sz w:val="22"/>
          <w:szCs w:val="22"/>
        </w:rPr>
        <w:t xml:space="preserve"> Industry D</w:t>
      </w:r>
      <w:r w:rsidRPr="00782000">
        <w:rPr>
          <w:rFonts w:ascii="Garamond" w:hAnsi="Garamond"/>
          <w:sz w:val="22"/>
          <w:szCs w:val="22"/>
        </w:rPr>
        <w:t xml:space="preserve">atabase, </w:t>
      </w:r>
      <w:r>
        <w:rPr>
          <w:rFonts w:ascii="Garamond" w:hAnsi="Garamond"/>
          <w:sz w:val="22"/>
          <w:szCs w:val="22"/>
        </w:rPr>
        <w:t xml:space="preserve">as of June 2017, </w:t>
      </w:r>
      <w:r w:rsidRPr="00782000">
        <w:rPr>
          <w:rFonts w:ascii="Garamond" w:hAnsi="Garamond"/>
          <w:sz w:val="22"/>
          <w:szCs w:val="22"/>
        </w:rPr>
        <w:t>t</w:t>
      </w:r>
      <w:r w:rsidRPr="00782000">
        <w:rPr>
          <w:rFonts w:ascii="Garamond" w:hAnsi="Garamond"/>
          <w:sz w:val="22"/>
          <w:szCs w:val="22"/>
          <w:lang w:val="en-GB"/>
        </w:rPr>
        <w:t xml:space="preserve">he 18% of traded stocks </w:t>
      </w:r>
      <w:r>
        <w:rPr>
          <w:rFonts w:ascii="Garamond" w:hAnsi="Garamond"/>
          <w:sz w:val="22"/>
          <w:szCs w:val="22"/>
          <w:lang w:val="en-GB"/>
        </w:rPr>
        <w:t xml:space="preserve">held </w:t>
      </w:r>
      <w:r w:rsidRPr="00782000">
        <w:rPr>
          <w:rFonts w:ascii="Garamond" w:hAnsi="Garamond"/>
          <w:sz w:val="22"/>
          <w:szCs w:val="22"/>
          <w:lang w:val="en-GB"/>
        </w:rPr>
        <w:t>by institutional investors are distributed among 19 industries and 236 listed</w:t>
      </w:r>
      <w:r w:rsidRPr="006D667D">
        <w:rPr>
          <w:rFonts w:ascii="Garamond" w:hAnsi="Garamond"/>
          <w:sz w:val="22"/>
          <w:szCs w:val="22"/>
          <w:lang w:val="en-GB"/>
        </w:rPr>
        <w:t xml:space="preserve"> companies (out of </w:t>
      </w:r>
      <w:r>
        <w:rPr>
          <w:rFonts w:ascii="Garamond" w:hAnsi="Garamond"/>
          <w:sz w:val="22"/>
          <w:szCs w:val="22"/>
          <w:lang w:val="en-GB"/>
        </w:rPr>
        <w:t>338</w:t>
      </w:r>
      <w:r w:rsidRPr="006D667D">
        <w:rPr>
          <w:rFonts w:ascii="Garamond" w:hAnsi="Garamond"/>
          <w:sz w:val="22"/>
          <w:szCs w:val="22"/>
          <w:lang w:val="en-GB"/>
        </w:rPr>
        <w:t xml:space="preserve">). </w:t>
      </w:r>
      <w:r>
        <w:rPr>
          <w:rFonts w:ascii="Garamond" w:hAnsi="Garamond"/>
          <w:sz w:val="22"/>
          <w:szCs w:val="22"/>
          <w:lang w:val="en-GB"/>
        </w:rPr>
        <w:t>The general tendency of these institutional investors is</w:t>
      </w:r>
      <w:r w:rsidRPr="006D667D">
        <w:rPr>
          <w:rFonts w:ascii="Garamond" w:hAnsi="Garamond"/>
          <w:sz w:val="22"/>
          <w:szCs w:val="22"/>
          <w:lang w:val="en-GB"/>
        </w:rPr>
        <w:t xml:space="preserve"> that </w:t>
      </w:r>
      <w:r>
        <w:rPr>
          <w:rFonts w:ascii="Garamond" w:hAnsi="Garamond"/>
          <w:sz w:val="22"/>
          <w:szCs w:val="22"/>
          <w:lang w:val="en-GB"/>
        </w:rPr>
        <w:t>the</w:t>
      </w:r>
      <w:r w:rsidRPr="006D667D">
        <w:rPr>
          <w:rFonts w:ascii="Garamond" w:hAnsi="Garamond"/>
          <w:sz w:val="22"/>
          <w:szCs w:val="22"/>
          <w:lang w:val="en-GB"/>
        </w:rPr>
        <w:t>y have greater holdings in firms with higher market capitalizat</w:t>
      </w:r>
      <w:r>
        <w:rPr>
          <w:rFonts w:ascii="Garamond" w:hAnsi="Garamond"/>
          <w:sz w:val="22"/>
          <w:szCs w:val="22"/>
          <w:lang w:val="en-GB"/>
        </w:rPr>
        <w:t>i</w:t>
      </w:r>
      <w:r w:rsidRPr="006D667D">
        <w:rPr>
          <w:rFonts w:ascii="Garamond" w:hAnsi="Garamond"/>
          <w:sz w:val="22"/>
          <w:szCs w:val="22"/>
          <w:lang w:val="en-GB"/>
        </w:rPr>
        <w:t>ons. For example, they hold an average of 2</w:t>
      </w:r>
      <w:r>
        <w:rPr>
          <w:rFonts w:ascii="Garamond" w:hAnsi="Garamond"/>
          <w:sz w:val="22"/>
          <w:szCs w:val="22"/>
          <w:lang w:val="en-GB"/>
        </w:rPr>
        <w:t>0.98</w:t>
      </w:r>
      <w:r w:rsidRPr="006D667D">
        <w:rPr>
          <w:rFonts w:ascii="Garamond" w:hAnsi="Garamond"/>
          <w:sz w:val="22"/>
          <w:szCs w:val="22"/>
          <w:lang w:val="en-GB"/>
        </w:rPr>
        <w:t xml:space="preserve">% </w:t>
      </w:r>
      <w:r>
        <w:rPr>
          <w:rFonts w:ascii="Garamond" w:hAnsi="Garamond"/>
          <w:sz w:val="22"/>
          <w:szCs w:val="22"/>
          <w:lang w:val="en-GB"/>
        </w:rPr>
        <w:t xml:space="preserve">of </w:t>
      </w:r>
      <w:r w:rsidRPr="006D667D">
        <w:rPr>
          <w:rFonts w:ascii="Garamond" w:hAnsi="Garamond"/>
          <w:sz w:val="22"/>
          <w:szCs w:val="22"/>
          <w:lang w:val="en-GB"/>
        </w:rPr>
        <w:t xml:space="preserve">traded stocks of </w:t>
      </w:r>
      <w:r>
        <w:rPr>
          <w:rFonts w:ascii="Garamond" w:hAnsi="Garamond"/>
          <w:sz w:val="22"/>
          <w:szCs w:val="22"/>
          <w:lang w:val="en-GB"/>
        </w:rPr>
        <w:t>the financial sector and</w:t>
      </w:r>
      <w:r w:rsidRPr="006D667D">
        <w:rPr>
          <w:rFonts w:ascii="Garamond" w:hAnsi="Garamond"/>
          <w:sz w:val="22"/>
          <w:szCs w:val="22"/>
          <w:lang w:val="en-GB"/>
        </w:rPr>
        <w:t xml:space="preserve"> </w:t>
      </w:r>
      <w:r>
        <w:rPr>
          <w:rFonts w:ascii="Garamond" w:hAnsi="Garamond"/>
          <w:sz w:val="22"/>
          <w:szCs w:val="22"/>
          <w:lang w:val="en-GB"/>
        </w:rPr>
        <w:t xml:space="preserve">this sector </w:t>
      </w:r>
      <w:r w:rsidRPr="006D667D">
        <w:rPr>
          <w:rFonts w:ascii="Garamond" w:hAnsi="Garamond"/>
          <w:sz w:val="22"/>
          <w:szCs w:val="22"/>
          <w:lang w:val="en-GB"/>
        </w:rPr>
        <w:t>ha</w:t>
      </w:r>
      <w:r>
        <w:rPr>
          <w:rFonts w:ascii="Garamond" w:hAnsi="Garamond"/>
          <w:sz w:val="22"/>
          <w:szCs w:val="22"/>
          <w:lang w:val="en-GB"/>
        </w:rPr>
        <w:t>s</w:t>
      </w:r>
      <w:r w:rsidRPr="006D667D">
        <w:rPr>
          <w:rFonts w:ascii="Garamond" w:hAnsi="Garamond"/>
          <w:sz w:val="22"/>
          <w:szCs w:val="22"/>
          <w:lang w:val="en-GB"/>
        </w:rPr>
        <w:t xml:space="preserve"> the highest percentage of market capitalizations in the market</w:t>
      </w:r>
      <w:r>
        <w:rPr>
          <w:rFonts w:ascii="Garamond" w:hAnsi="Garamond"/>
          <w:sz w:val="22"/>
          <w:szCs w:val="22"/>
          <w:lang w:val="en-GB"/>
        </w:rPr>
        <w:t xml:space="preserve"> (42.63%)</w:t>
      </w:r>
      <w:r w:rsidRPr="006D667D">
        <w:rPr>
          <w:rFonts w:ascii="Garamond" w:hAnsi="Garamond"/>
          <w:sz w:val="22"/>
          <w:szCs w:val="22"/>
          <w:lang w:val="en-GB"/>
        </w:rPr>
        <w:t>. Similarly, institutional investors hold around 20% traded stocks of Pharmaceuticals, Cem</w:t>
      </w:r>
      <w:r>
        <w:rPr>
          <w:rFonts w:ascii="Garamond" w:hAnsi="Garamond"/>
          <w:sz w:val="22"/>
          <w:szCs w:val="22"/>
          <w:lang w:val="en-GB"/>
        </w:rPr>
        <w:t>ents and Fu</w:t>
      </w:r>
      <w:r w:rsidRPr="006D667D">
        <w:rPr>
          <w:rFonts w:ascii="Garamond" w:hAnsi="Garamond"/>
          <w:sz w:val="22"/>
          <w:szCs w:val="22"/>
          <w:lang w:val="en-GB"/>
        </w:rPr>
        <w:t>e</w:t>
      </w:r>
      <w:r>
        <w:rPr>
          <w:rFonts w:ascii="Garamond" w:hAnsi="Garamond"/>
          <w:sz w:val="22"/>
          <w:szCs w:val="22"/>
          <w:lang w:val="en-GB"/>
        </w:rPr>
        <w:t>l</w:t>
      </w:r>
      <w:r w:rsidRPr="006D667D">
        <w:rPr>
          <w:rFonts w:ascii="Garamond" w:hAnsi="Garamond"/>
          <w:sz w:val="22"/>
          <w:szCs w:val="22"/>
          <w:lang w:val="en-GB"/>
        </w:rPr>
        <w:t xml:space="preserve"> and Power industries. The market capitalizations of these three sectors are also higher in the DSE than others industries.</w:t>
      </w:r>
      <w:r>
        <w:rPr>
          <w:rFonts w:ascii="Garamond" w:hAnsi="Garamond"/>
          <w:sz w:val="22"/>
          <w:szCs w:val="22"/>
          <w:lang w:val="en-GB"/>
        </w:rPr>
        <w:t xml:space="preserve"> </w:t>
      </w:r>
      <w:r w:rsidRPr="00EC046A">
        <w:rPr>
          <w:rFonts w:ascii="Garamond" w:hAnsi="Garamond"/>
          <w:sz w:val="22"/>
          <w:szCs w:val="22"/>
          <w:lang w:val="en-GB"/>
        </w:rPr>
        <w:t xml:space="preserve">Altogether, </w:t>
      </w:r>
      <w:r>
        <w:rPr>
          <w:rFonts w:ascii="Garamond" w:hAnsi="Garamond"/>
          <w:sz w:val="22"/>
          <w:szCs w:val="22"/>
          <w:lang w:val="en-GB"/>
        </w:rPr>
        <w:t xml:space="preserve">the </w:t>
      </w:r>
      <w:r w:rsidRPr="00EC046A">
        <w:rPr>
          <w:rFonts w:ascii="Garamond" w:hAnsi="Garamond"/>
          <w:sz w:val="22"/>
          <w:szCs w:val="22"/>
          <w:lang w:val="en-GB"/>
        </w:rPr>
        <w:t xml:space="preserve">data reported in </w:t>
      </w:r>
      <w:r>
        <w:rPr>
          <w:rFonts w:ascii="Garamond" w:hAnsi="Garamond"/>
          <w:sz w:val="22"/>
          <w:szCs w:val="22"/>
          <w:lang w:val="en-GB"/>
        </w:rPr>
        <w:t xml:space="preserve">the Industry Database of </w:t>
      </w:r>
      <w:proofErr w:type="spellStart"/>
      <w:r>
        <w:rPr>
          <w:rFonts w:ascii="Garamond" w:hAnsi="Garamond"/>
          <w:sz w:val="22"/>
          <w:szCs w:val="22"/>
          <w:lang w:val="en-GB"/>
        </w:rPr>
        <w:t>Datastream</w:t>
      </w:r>
      <w:proofErr w:type="spellEnd"/>
      <w:r w:rsidRPr="00EC046A">
        <w:rPr>
          <w:rFonts w:ascii="Garamond" w:hAnsi="Garamond"/>
          <w:sz w:val="22"/>
          <w:szCs w:val="22"/>
          <w:lang w:val="en-GB"/>
        </w:rPr>
        <w:t xml:space="preserve"> indicate that institutional/foreign investors mostly target large cap stocks </w:t>
      </w:r>
      <w:r>
        <w:rPr>
          <w:rFonts w:ascii="Garamond" w:hAnsi="Garamond"/>
          <w:sz w:val="22"/>
          <w:szCs w:val="22"/>
          <w:lang w:val="en-GB"/>
        </w:rPr>
        <w:t xml:space="preserve">on the </w:t>
      </w:r>
      <w:r w:rsidRPr="00EC046A">
        <w:rPr>
          <w:rFonts w:ascii="Garamond" w:hAnsi="Garamond"/>
          <w:sz w:val="22"/>
          <w:szCs w:val="22"/>
          <w:lang w:val="en-GB"/>
        </w:rPr>
        <w:t xml:space="preserve">DSE.        </w:t>
      </w:r>
    </w:p>
  </w:footnote>
  <w:footnote w:id="4">
    <w:p w14:paraId="46E822D3" w14:textId="7F93428C" w:rsidR="004D62C3" w:rsidRPr="00447757" w:rsidRDefault="004D62C3" w:rsidP="00447757">
      <w:pPr>
        <w:pStyle w:val="FootnoteText"/>
        <w:jc w:val="both"/>
        <w:rPr>
          <w:rFonts w:ascii="Garamond" w:hAnsi="Garamond"/>
          <w:lang w:val="en-GB"/>
        </w:rPr>
      </w:pPr>
      <w:r w:rsidRPr="00447757">
        <w:rPr>
          <w:rStyle w:val="FootnoteReference"/>
          <w:rFonts w:ascii="Garamond" w:hAnsi="Garamond"/>
        </w:rPr>
        <w:footnoteRef/>
      </w:r>
      <w:r w:rsidRPr="00447757">
        <w:rPr>
          <w:rFonts w:ascii="Garamond" w:hAnsi="Garamond"/>
        </w:rPr>
        <w:t xml:space="preserve"> </w:t>
      </w:r>
      <w:r>
        <w:rPr>
          <w:rFonts w:ascii="Garamond" w:hAnsi="Garamond"/>
          <w:sz w:val="22"/>
          <w:szCs w:val="22"/>
          <w:lang w:val="en-GB"/>
        </w:rPr>
        <w:t>We use the v</w:t>
      </w:r>
      <w:r w:rsidRPr="009E3FA5">
        <w:rPr>
          <w:rFonts w:ascii="Garamond" w:hAnsi="Garamond"/>
          <w:sz w:val="22"/>
          <w:szCs w:val="22"/>
          <w:lang w:val="en-GB"/>
        </w:rPr>
        <w:t xml:space="preserve">alue weighted dividend yield because </w:t>
      </w:r>
      <w:proofErr w:type="spellStart"/>
      <w:r w:rsidRPr="009E3FA5">
        <w:rPr>
          <w:rFonts w:ascii="Garamond" w:hAnsi="Garamond"/>
          <w:sz w:val="22"/>
          <w:szCs w:val="22"/>
          <w:lang w:val="en-GB"/>
        </w:rPr>
        <w:t>K</w:t>
      </w:r>
      <w:r>
        <w:rPr>
          <w:rFonts w:ascii="Garamond" w:hAnsi="Garamond"/>
          <w:sz w:val="22"/>
          <w:szCs w:val="22"/>
          <w:lang w:val="en-GB"/>
        </w:rPr>
        <w:t>e</w:t>
      </w:r>
      <w:r w:rsidRPr="009E3FA5">
        <w:rPr>
          <w:rFonts w:ascii="Garamond" w:hAnsi="Garamond"/>
          <w:sz w:val="22"/>
          <w:szCs w:val="22"/>
          <w:lang w:val="en-GB"/>
        </w:rPr>
        <w:t>im</w:t>
      </w:r>
      <w:proofErr w:type="spellEnd"/>
      <w:r w:rsidRPr="009E3FA5">
        <w:rPr>
          <w:rFonts w:ascii="Garamond" w:hAnsi="Garamond"/>
          <w:sz w:val="22"/>
          <w:szCs w:val="22"/>
          <w:lang w:val="en-GB"/>
        </w:rPr>
        <w:t xml:space="preserve"> (1985) asserts that the difference in abnormal returns across dividend yield portfolios may be related to systematic differences in market capitalization</w:t>
      </w:r>
      <w:r>
        <w:rPr>
          <w:rFonts w:ascii="Garamond" w:hAnsi="Garamond"/>
          <w:sz w:val="22"/>
          <w:szCs w:val="22"/>
          <w:lang w:val="en-GB"/>
        </w:rPr>
        <w:t xml:space="preserve"> (i.e. size of the firms)</w:t>
      </w:r>
      <w:r w:rsidRPr="009E3FA5">
        <w:rPr>
          <w:rFonts w:ascii="Garamond" w:hAnsi="Garamond"/>
          <w:sz w:val="22"/>
          <w:szCs w:val="22"/>
          <w:lang w:val="en-GB"/>
        </w:rPr>
        <w:t xml:space="preserve"> among portfolios. Fu</w:t>
      </w:r>
      <w:r>
        <w:rPr>
          <w:rFonts w:ascii="Garamond" w:hAnsi="Garamond"/>
          <w:sz w:val="22"/>
          <w:szCs w:val="22"/>
          <w:lang w:val="en-GB"/>
        </w:rPr>
        <w:t>rthermore, positive dividend yi</w:t>
      </w:r>
      <w:r w:rsidRPr="009E3FA5">
        <w:rPr>
          <w:rFonts w:ascii="Garamond" w:hAnsi="Garamond"/>
          <w:sz w:val="22"/>
          <w:szCs w:val="22"/>
          <w:lang w:val="en-GB"/>
        </w:rPr>
        <w:t>e</w:t>
      </w:r>
      <w:r>
        <w:rPr>
          <w:rFonts w:ascii="Garamond" w:hAnsi="Garamond"/>
          <w:sz w:val="22"/>
          <w:szCs w:val="22"/>
          <w:lang w:val="en-GB"/>
        </w:rPr>
        <w:t>l</w:t>
      </w:r>
      <w:r w:rsidRPr="009E3FA5">
        <w:rPr>
          <w:rFonts w:ascii="Garamond" w:hAnsi="Garamond"/>
          <w:sz w:val="22"/>
          <w:szCs w:val="22"/>
          <w:lang w:val="en-GB"/>
        </w:rPr>
        <w:t xml:space="preserve">ds and market value are inversely related (see </w:t>
      </w:r>
      <w:proofErr w:type="spellStart"/>
      <w:r w:rsidRPr="009E3FA5">
        <w:rPr>
          <w:rFonts w:ascii="Garamond" w:hAnsi="Garamond"/>
          <w:sz w:val="22"/>
          <w:szCs w:val="22"/>
          <w:lang w:val="en-GB"/>
        </w:rPr>
        <w:t>K</w:t>
      </w:r>
      <w:r>
        <w:rPr>
          <w:rFonts w:ascii="Garamond" w:hAnsi="Garamond"/>
          <w:sz w:val="22"/>
          <w:szCs w:val="22"/>
          <w:lang w:val="en-GB"/>
        </w:rPr>
        <w:t>e</w:t>
      </w:r>
      <w:r w:rsidRPr="009E3FA5">
        <w:rPr>
          <w:rFonts w:ascii="Garamond" w:hAnsi="Garamond"/>
          <w:sz w:val="22"/>
          <w:szCs w:val="22"/>
          <w:lang w:val="en-GB"/>
        </w:rPr>
        <w:t>im</w:t>
      </w:r>
      <w:proofErr w:type="spellEnd"/>
      <w:r w:rsidRPr="009E3FA5">
        <w:rPr>
          <w:rFonts w:ascii="Garamond" w:hAnsi="Garamond"/>
          <w:sz w:val="22"/>
          <w:szCs w:val="22"/>
          <w:lang w:val="en-GB"/>
        </w:rPr>
        <w:t>, 1985 for further discussion). Therefore, to control these effects and associations</w:t>
      </w:r>
      <w:r>
        <w:rPr>
          <w:rFonts w:ascii="Garamond" w:hAnsi="Garamond"/>
          <w:sz w:val="22"/>
          <w:szCs w:val="22"/>
          <w:lang w:val="en-GB"/>
        </w:rPr>
        <w:t xml:space="preserve"> we create</w:t>
      </w:r>
      <w:r w:rsidRPr="009E3FA5">
        <w:rPr>
          <w:rFonts w:ascii="Garamond" w:hAnsi="Garamond"/>
          <w:sz w:val="22"/>
          <w:szCs w:val="22"/>
          <w:lang w:val="en-GB"/>
        </w:rPr>
        <w:t xml:space="preserve"> portfolios based on value weighted dividend yields. In addition, due to the categor</w:t>
      </w:r>
      <w:r>
        <w:rPr>
          <w:rFonts w:ascii="Garamond" w:hAnsi="Garamond"/>
          <w:sz w:val="22"/>
          <w:szCs w:val="22"/>
          <w:lang w:val="en-GB"/>
        </w:rPr>
        <w:t>y</w:t>
      </w:r>
      <w:r w:rsidRPr="009E3FA5">
        <w:rPr>
          <w:rFonts w:ascii="Garamond" w:hAnsi="Garamond"/>
          <w:sz w:val="22"/>
          <w:szCs w:val="22"/>
          <w:lang w:val="en-GB"/>
        </w:rPr>
        <w:t xml:space="preserve"> restrictions </w:t>
      </w:r>
      <w:r>
        <w:rPr>
          <w:rFonts w:ascii="Garamond" w:hAnsi="Garamond"/>
          <w:sz w:val="22"/>
          <w:szCs w:val="22"/>
          <w:lang w:val="en-GB"/>
        </w:rPr>
        <w:t xml:space="preserve">(see the DSE website </w:t>
      </w:r>
      <w:hyperlink r:id="rId1" w:history="1">
        <w:r w:rsidRPr="00D32A9B">
          <w:rPr>
            <w:rStyle w:val="Hyperlink"/>
            <w:rFonts w:ascii="Garamond" w:hAnsi="Garamond"/>
            <w:sz w:val="22"/>
            <w:szCs w:val="22"/>
            <w:lang w:val="en-GB"/>
          </w:rPr>
          <w:t>www.dsebd.org</w:t>
        </w:r>
      </w:hyperlink>
      <w:r>
        <w:rPr>
          <w:rFonts w:ascii="Garamond" w:hAnsi="Garamond"/>
          <w:sz w:val="22"/>
          <w:szCs w:val="22"/>
          <w:lang w:val="en-GB"/>
        </w:rPr>
        <w:t xml:space="preserve">) </w:t>
      </w:r>
      <w:r w:rsidRPr="009E3FA5">
        <w:rPr>
          <w:rFonts w:ascii="Garamond" w:hAnsi="Garamond"/>
          <w:sz w:val="22"/>
          <w:szCs w:val="22"/>
          <w:lang w:val="en-GB"/>
        </w:rPr>
        <w:t xml:space="preserve">large and prudent firms </w:t>
      </w:r>
      <w:r>
        <w:rPr>
          <w:rFonts w:ascii="Garamond" w:hAnsi="Garamond"/>
          <w:sz w:val="22"/>
          <w:szCs w:val="22"/>
          <w:lang w:val="en-GB"/>
        </w:rPr>
        <w:t>o</w:t>
      </w:r>
      <w:r w:rsidRPr="009E3FA5">
        <w:rPr>
          <w:rFonts w:ascii="Garamond" w:hAnsi="Garamond"/>
          <w:sz w:val="22"/>
          <w:szCs w:val="22"/>
          <w:lang w:val="en-GB"/>
        </w:rPr>
        <w:t xml:space="preserve">n </w:t>
      </w:r>
      <w:r>
        <w:rPr>
          <w:rFonts w:ascii="Garamond" w:hAnsi="Garamond"/>
          <w:sz w:val="22"/>
          <w:szCs w:val="22"/>
          <w:lang w:val="en-GB"/>
        </w:rPr>
        <w:t xml:space="preserve">the </w:t>
      </w:r>
      <w:r w:rsidRPr="009E3FA5">
        <w:rPr>
          <w:rFonts w:ascii="Garamond" w:hAnsi="Garamond"/>
          <w:sz w:val="22"/>
          <w:szCs w:val="22"/>
          <w:lang w:val="en-GB"/>
        </w:rPr>
        <w:t>D</w:t>
      </w:r>
      <w:r>
        <w:rPr>
          <w:rFonts w:ascii="Garamond" w:hAnsi="Garamond"/>
          <w:sz w:val="22"/>
          <w:szCs w:val="22"/>
          <w:lang w:val="en-GB"/>
        </w:rPr>
        <w:t>SE usually de</w:t>
      </w:r>
      <w:r w:rsidRPr="009E3FA5">
        <w:rPr>
          <w:rFonts w:ascii="Garamond" w:hAnsi="Garamond"/>
          <w:sz w:val="22"/>
          <w:szCs w:val="22"/>
          <w:lang w:val="en-GB"/>
        </w:rPr>
        <w:t>clare dividends on a regular basis. By creating portfolios based on value weighted dividend yields we also control their influences.</w:t>
      </w:r>
      <w:r w:rsidRPr="00447757">
        <w:rPr>
          <w:rFonts w:ascii="Garamond" w:hAnsi="Garamond"/>
          <w:lang w:val="en-GB"/>
        </w:rPr>
        <w:t xml:space="preserve"> </w:t>
      </w:r>
    </w:p>
  </w:footnote>
  <w:footnote w:id="5">
    <w:p w14:paraId="528CDEC7" w14:textId="09316EF2" w:rsidR="004D62C3" w:rsidRPr="00242B1E" w:rsidRDefault="004D62C3" w:rsidP="00242B1E">
      <w:pPr>
        <w:jc w:val="both"/>
        <w:rPr>
          <w:b/>
        </w:rPr>
      </w:pPr>
      <w:r w:rsidRPr="009C547A">
        <w:rPr>
          <w:rStyle w:val="FootnoteReference"/>
          <w:rFonts w:ascii="Garamond" w:hAnsi="Garamond"/>
        </w:rPr>
        <w:footnoteRef/>
      </w:r>
      <w:r w:rsidRPr="009C547A">
        <w:rPr>
          <w:rFonts w:ascii="Garamond" w:hAnsi="Garamond"/>
        </w:rPr>
        <w:t xml:space="preserve"> </w:t>
      </w:r>
      <w:r>
        <w:rPr>
          <w:rFonts w:ascii="Garamond" w:hAnsi="Garamond"/>
        </w:rPr>
        <w:t>Since Bangladesh is</w:t>
      </w:r>
      <w:r w:rsidRPr="00242B1E">
        <w:rPr>
          <w:rFonts w:ascii="Garamond" w:hAnsi="Garamond"/>
        </w:rPr>
        <w:t xml:space="preserve"> a Muslim country, we performed a robustness check for </w:t>
      </w:r>
      <w:r>
        <w:rPr>
          <w:rFonts w:ascii="Garamond" w:hAnsi="Garamond"/>
        </w:rPr>
        <w:t xml:space="preserve">the </w:t>
      </w:r>
      <w:r w:rsidRPr="00242B1E">
        <w:rPr>
          <w:rFonts w:ascii="Garamond" w:hAnsi="Garamond"/>
        </w:rPr>
        <w:t xml:space="preserve">Ramadan effect </w:t>
      </w:r>
      <w:r>
        <w:rPr>
          <w:rFonts w:ascii="Garamond" w:hAnsi="Garamond"/>
        </w:rPr>
        <w:t>in</w:t>
      </w:r>
      <w:r w:rsidRPr="00242B1E">
        <w:rPr>
          <w:rFonts w:ascii="Garamond" w:hAnsi="Garamond"/>
        </w:rPr>
        <w:t xml:space="preserve"> DSE</w:t>
      </w:r>
      <w:r>
        <w:rPr>
          <w:rFonts w:ascii="Garamond" w:hAnsi="Garamond"/>
        </w:rPr>
        <w:t xml:space="preserve"> all-share price and DSEX index</w:t>
      </w:r>
      <w:r w:rsidRPr="00242B1E">
        <w:rPr>
          <w:rFonts w:ascii="Garamond" w:hAnsi="Garamond"/>
        </w:rPr>
        <w:t>. This Ramadan effect refers to significantly higher stock returns during the ninth month of the Islamic calendar (see Al-</w:t>
      </w:r>
      <w:proofErr w:type="spellStart"/>
      <w:r w:rsidRPr="00242B1E">
        <w:rPr>
          <w:rFonts w:ascii="Garamond" w:hAnsi="Garamond"/>
        </w:rPr>
        <w:t>Khazali</w:t>
      </w:r>
      <w:proofErr w:type="spellEnd"/>
      <w:r w:rsidRPr="00242B1E">
        <w:rPr>
          <w:rFonts w:ascii="Garamond" w:hAnsi="Garamond"/>
        </w:rPr>
        <w:t xml:space="preserve">, 2014). Ramadan is the most venerated month of the lunar (Hijri) calendar during which Muslims fast from dawn until sunset and gifts are shared with the poor. The 12 months derived from the lunar cycle are separated by the appearance of the new moon and the number of days in a month average between 29 and 30 days, making the Islamic year approximately 11 days shorter than the Gregorian year. Recently, researchers have examined this moving calendar anomaly for Muslim countries. There are mixed results </w:t>
      </w:r>
      <w:r>
        <w:rPr>
          <w:rFonts w:ascii="Garamond" w:hAnsi="Garamond"/>
        </w:rPr>
        <w:t xml:space="preserve">from </w:t>
      </w:r>
      <w:r w:rsidRPr="00242B1E">
        <w:rPr>
          <w:rFonts w:ascii="Garamond" w:hAnsi="Garamond"/>
        </w:rPr>
        <w:t xml:space="preserve">different markets. For example, </w:t>
      </w:r>
      <w:proofErr w:type="spellStart"/>
      <w:r w:rsidRPr="00242B1E">
        <w:rPr>
          <w:rFonts w:ascii="Garamond" w:hAnsi="Garamond"/>
        </w:rPr>
        <w:t>Seyyed</w:t>
      </w:r>
      <w:proofErr w:type="spellEnd"/>
      <w:r w:rsidRPr="00242B1E">
        <w:rPr>
          <w:rFonts w:ascii="Garamond" w:hAnsi="Garamond"/>
        </w:rPr>
        <w:t xml:space="preserve"> et al. (2005) find no significant change in Ramadan mean returns </w:t>
      </w:r>
      <w:r>
        <w:rPr>
          <w:rFonts w:ascii="Garamond" w:hAnsi="Garamond"/>
        </w:rPr>
        <w:t>o</w:t>
      </w:r>
      <w:r w:rsidRPr="00242B1E">
        <w:rPr>
          <w:rFonts w:ascii="Garamond" w:hAnsi="Garamond"/>
        </w:rPr>
        <w:t xml:space="preserve">n </w:t>
      </w:r>
      <w:r>
        <w:rPr>
          <w:rFonts w:ascii="Garamond" w:hAnsi="Garamond"/>
        </w:rPr>
        <w:t xml:space="preserve">the </w:t>
      </w:r>
      <w:r w:rsidRPr="00242B1E">
        <w:rPr>
          <w:rFonts w:ascii="Garamond" w:hAnsi="Garamond"/>
        </w:rPr>
        <w:t xml:space="preserve">Saudi </w:t>
      </w:r>
      <w:r>
        <w:rPr>
          <w:rFonts w:ascii="Garamond" w:hAnsi="Garamond"/>
        </w:rPr>
        <w:t>m</w:t>
      </w:r>
      <w:r w:rsidRPr="00242B1E">
        <w:rPr>
          <w:rFonts w:ascii="Garamond" w:hAnsi="Garamond"/>
        </w:rPr>
        <w:t xml:space="preserve">arket, but a noticeable decline in volatility. Contrary to other studies on Muslim countries, </w:t>
      </w:r>
      <w:proofErr w:type="spellStart"/>
      <w:r w:rsidRPr="00242B1E">
        <w:rPr>
          <w:rFonts w:ascii="Garamond" w:hAnsi="Garamond"/>
        </w:rPr>
        <w:t>Almudhaf</w:t>
      </w:r>
      <w:proofErr w:type="spellEnd"/>
      <w:r w:rsidRPr="00242B1E">
        <w:rPr>
          <w:rFonts w:ascii="Garamond" w:hAnsi="Garamond"/>
        </w:rPr>
        <w:t xml:space="preserve"> (2012) finds 4 out of 12 countries, </w:t>
      </w:r>
      <w:proofErr w:type="spellStart"/>
      <w:r w:rsidRPr="00242B1E">
        <w:rPr>
          <w:rFonts w:ascii="Garamond" w:hAnsi="Garamond"/>
        </w:rPr>
        <w:t>Bialkowski</w:t>
      </w:r>
      <w:proofErr w:type="spellEnd"/>
      <w:r w:rsidRPr="00242B1E">
        <w:rPr>
          <w:rFonts w:ascii="Garamond" w:hAnsi="Garamond"/>
        </w:rPr>
        <w:t xml:space="preserve"> et al. (2012) find 11 out of 14 countries and Al-</w:t>
      </w:r>
      <w:proofErr w:type="spellStart"/>
      <w:r w:rsidRPr="00242B1E">
        <w:rPr>
          <w:rFonts w:ascii="Garamond" w:hAnsi="Garamond"/>
        </w:rPr>
        <w:t>Khazali</w:t>
      </w:r>
      <w:proofErr w:type="spellEnd"/>
      <w:r w:rsidRPr="00242B1E">
        <w:rPr>
          <w:rFonts w:ascii="Garamond" w:hAnsi="Garamond"/>
        </w:rPr>
        <w:t xml:space="preserve"> (2014) find</w:t>
      </w:r>
      <w:r>
        <w:rPr>
          <w:rFonts w:ascii="Garamond" w:hAnsi="Garamond"/>
        </w:rPr>
        <w:t>s</w:t>
      </w:r>
      <w:r w:rsidRPr="00242B1E">
        <w:rPr>
          <w:rFonts w:ascii="Garamond" w:hAnsi="Garamond"/>
        </w:rPr>
        <w:t xml:space="preserve"> 15 countries</w:t>
      </w:r>
      <w:r>
        <w:rPr>
          <w:rFonts w:ascii="Garamond" w:hAnsi="Garamond"/>
        </w:rPr>
        <w:t>’</w:t>
      </w:r>
      <w:r w:rsidRPr="00242B1E">
        <w:rPr>
          <w:rFonts w:ascii="Garamond" w:hAnsi="Garamond"/>
        </w:rPr>
        <w:t xml:space="preserve"> stock markets are affected by the Ramadan period. In </w:t>
      </w:r>
      <w:r>
        <w:rPr>
          <w:rFonts w:ascii="Garamond" w:hAnsi="Garamond"/>
        </w:rPr>
        <w:t xml:space="preserve">this </w:t>
      </w:r>
      <w:r w:rsidRPr="00242B1E">
        <w:rPr>
          <w:rFonts w:ascii="Garamond" w:hAnsi="Garamond"/>
        </w:rPr>
        <w:t>line of thought, this study has investigated whether the stock returns and volatili</w:t>
      </w:r>
      <w:r>
        <w:rPr>
          <w:rFonts w:ascii="Garamond" w:hAnsi="Garamond"/>
        </w:rPr>
        <w:t>tie</w:t>
      </w:r>
      <w:r w:rsidRPr="00242B1E">
        <w:rPr>
          <w:rFonts w:ascii="Garamond" w:hAnsi="Garamond"/>
        </w:rPr>
        <w:t>s of Sunday</w:t>
      </w:r>
      <w:r>
        <w:rPr>
          <w:rFonts w:ascii="Garamond" w:hAnsi="Garamond"/>
        </w:rPr>
        <w:t>s</w:t>
      </w:r>
      <w:r w:rsidRPr="00242B1E">
        <w:rPr>
          <w:rFonts w:ascii="Garamond" w:hAnsi="Garamond"/>
        </w:rPr>
        <w:t xml:space="preserve"> during Ramadan periods are significantly different </w:t>
      </w:r>
      <w:r>
        <w:rPr>
          <w:rFonts w:ascii="Garamond" w:hAnsi="Garamond"/>
        </w:rPr>
        <w:t>from</w:t>
      </w:r>
      <w:r w:rsidRPr="00242B1E">
        <w:rPr>
          <w:rFonts w:ascii="Garamond" w:hAnsi="Garamond"/>
        </w:rPr>
        <w:t xml:space="preserve"> Sunday</w:t>
      </w:r>
      <w:r>
        <w:rPr>
          <w:rFonts w:ascii="Garamond" w:hAnsi="Garamond"/>
        </w:rPr>
        <w:t>s</w:t>
      </w:r>
      <w:r w:rsidRPr="00242B1E">
        <w:rPr>
          <w:rFonts w:ascii="Garamond" w:hAnsi="Garamond"/>
        </w:rPr>
        <w:t xml:space="preserve"> of non-Ramadan periods. Using </w:t>
      </w:r>
      <w:r>
        <w:rPr>
          <w:rFonts w:ascii="Garamond" w:hAnsi="Garamond"/>
        </w:rPr>
        <w:t xml:space="preserve">an </w:t>
      </w:r>
      <w:r w:rsidRPr="00242B1E">
        <w:rPr>
          <w:rFonts w:ascii="Garamond" w:hAnsi="Garamond"/>
        </w:rPr>
        <w:t xml:space="preserve">ANOVA F-test, </w:t>
      </w:r>
      <w:r>
        <w:rPr>
          <w:rFonts w:ascii="Garamond" w:hAnsi="Garamond"/>
        </w:rPr>
        <w:t xml:space="preserve">a </w:t>
      </w:r>
      <w:r w:rsidRPr="00242B1E">
        <w:rPr>
          <w:rFonts w:ascii="Garamond" w:hAnsi="Garamond"/>
        </w:rPr>
        <w:t xml:space="preserve">Welch (1951) F-test and </w:t>
      </w:r>
      <w:r>
        <w:rPr>
          <w:rFonts w:ascii="Garamond" w:hAnsi="Garamond"/>
        </w:rPr>
        <w:t xml:space="preserve">a </w:t>
      </w:r>
      <w:r w:rsidRPr="00242B1E">
        <w:rPr>
          <w:rFonts w:ascii="Garamond" w:hAnsi="Garamond"/>
        </w:rPr>
        <w:t xml:space="preserve">Brown-Forsyth (1974a, 1974b) </w:t>
      </w:r>
      <w:r w:rsidRPr="00A00548">
        <w:rPr>
          <w:rFonts w:ascii="Garamond" w:hAnsi="Garamond"/>
        </w:rPr>
        <w:t xml:space="preserve">test, our results confirm that over the sample period from 2002 to 2019, there is no statistically significant </w:t>
      </w:r>
      <w:r w:rsidRPr="00242B1E">
        <w:rPr>
          <w:rFonts w:ascii="Garamond" w:hAnsi="Garamond"/>
        </w:rPr>
        <w:t xml:space="preserve">difference between </w:t>
      </w:r>
      <w:r>
        <w:rPr>
          <w:rFonts w:ascii="Garamond" w:hAnsi="Garamond"/>
        </w:rPr>
        <w:t xml:space="preserve">the </w:t>
      </w:r>
      <w:r w:rsidRPr="00242B1E">
        <w:rPr>
          <w:rFonts w:ascii="Garamond" w:hAnsi="Garamond"/>
        </w:rPr>
        <w:t>returns and volatilities of Sunday</w:t>
      </w:r>
      <w:r>
        <w:rPr>
          <w:rFonts w:ascii="Garamond" w:hAnsi="Garamond"/>
        </w:rPr>
        <w:t>s</w:t>
      </w:r>
      <w:r w:rsidRPr="00242B1E">
        <w:rPr>
          <w:rFonts w:ascii="Garamond" w:hAnsi="Garamond"/>
        </w:rPr>
        <w:t xml:space="preserve"> during Ramadan periods and returns and volatilities of Sunday</w:t>
      </w:r>
      <w:r>
        <w:rPr>
          <w:rFonts w:ascii="Garamond" w:hAnsi="Garamond"/>
        </w:rPr>
        <w:t>s</w:t>
      </w:r>
      <w:r w:rsidRPr="00242B1E">
        <w:rPr>
          <w:rFonts w:ascii="Garamond" w:hAnsi="Garamond"/>
        </w:rPr>
        <w:t xml:space="preserve"> during non-Ramadan periods (results are available on request). Th</w:t>
      </w:r>
      <w:r>
        <w:rPr>
          <w:rFonts w:ascii="Garamond" w:hAnsi="Garamond"/>
        </w:rPr>
        <w:t>is</w:t>
      </w:r>
      <w:r w:rsidRPr="00242B1E">
        <w:rPr>
          <w:rFonts w:ascii="Garamond" w:hAnsi="Garamond"/>
        </w:rPr>
        <w:t xml:space="preserve"> implies </w:t>
      </w:r>
      <w:r>
        <w:rPr>
          <w:rFonts w:ascii="Garamond" w:hAnsi="Garamond"/>
        </w:rPr>
        <w:t xml:space="preserve">that </w:t>
      </w:r>
      <w:r w:rsidRPr="00242B1E">
        <w:rPr>
          <w:rFonts w:ascii="Garamond" w:hAnsi="Garamond"/>
        </w:rPr>
        <w:t xml:space="preserve">Ramadan has </w:t>
      </w:r>
      <w:r>
        <w:rPr>
          <w:rFonts w:ascii="Garamond" w:hAnsi="Garamond"/>
        </w:rPr>
        <w:t>little</w:t>
      </w:r>
      <w:r w:rsidRPr="00242B1E">
        <w:rPr>
          <w:rFonts w:ascii="Garamond" w:hAnsi="Garamond"/>
        </w:rPr>
        <w:t xml:space="preserve"> or no impact on Sunday seasonality </w:t>
      </w:r>
      <w:r>
        <w:rPr>
          <w:rFonts w:ascii="Garamond" w:hAnsi="Garamond"/>
        </w:rPr>
        <w:t>o</w:t>
      </w:r>
      <w:r w:rsidRPr="00242B1E">
        <w:rPr>
          <w:rFonts w:ascii="Garamond" w:hAnsi="Garamond"/>
        </w:rPr>
        <w:t xml:space="preserve">n </w:t>
      </w:r>
      <w:r>
        <w:rPr>
          <w:rFonts w:ascii="Garamond" w:hAnsi="Garamond"/>
        </w:rPr>
        <w:t xml:space="preserve">the </w:t>
      </w:r>
      <w:r w:rsidRPr="00242B1E">
        <w:rPr>
          <w:rFonts w:ascii="Garamond" w:hAnsi="Garamond"/>
        </w:rPr>
        <w:t xml:space="preserve">DSE. </w:t>
      </w:r>
      <w:r>
        <w:rPr>
          <w:rFonts w:ascii="Garamond" w:hAnsi="Garamond"/>
        </w:rPr>
        <w:t>Th</w:t>
      </w:r>
      <w:r w:rsidRPr="00242B1E">
        <w:rPr>
          <w:rFonts w:ascii="Garamond" w:hAnsi="Garamond"/>
        </w:rPr>
        <w:t xml:space="preserve">is may be due to the fact that the </w:t>
      </w:r>
      <w:r>
        <w:rPr>
          <w:rFonts w:ascii="Garamond" w:hAnsi="Garamond"/>
        </w:rPr>
        <w:t xml:space="preserve">majority </w:t>
      </w:r>
      <w:r w:rsidRPr="00242B1E">
        <w:rPr>
          <w:rFonts w:ascii="Garamond" w:hAnsi="Garamond"/>
        </w:rPr>
        <w:t xml:space="preserve">population of Bangladesh </w:t>
      </w:r>
      <w:r>
        <w:rPr>
          <w:rFonts w:ascii="Garamond" w:hAnsi="Garamond"/>
        </w:rPr>
        <w:t>is</w:t>
      </w:r>
      <w:r w:rsidRPr="00242B1E">
        <w:rPr>
          <w:rFonts w:ascii="Garamond" w:hAnsi="Garamond"/>
        </w:rPr>
        <w:t xml:space="preserve"> Muslim but the traditional culture of this country is still different </w:t>
      </w:r>
      <w:r>
        <w:rPr>
          <w:rFonts w:ascii="Garamond" w:hAnsi="Garamond"/>
        </w:rPr>
        <w:t>from</w:t>
      </w:r>
      <w:r w:rsidRPr="00242B1E">
        <w:rPr>
          <w:rFonts w:ascii="Garamond" w:hAnsi="Garamond"/>
        </w:rPr>
        <w:t xml:space="preserve"> other Muslim countries.</w:t>
      </w:r>
    </w:p>
  </w:footnote>
  <w:footnote w:id="6">
    <w:p w14:paraId="014B683D" w14:textId="188BFB75" w:rsidR="004D62C3" w:rsidRPr="00AC0B4D" w:rsidRDefault="004D62C3" w:rsidP="00842208">
      <w:pPr>
        <w:pStyle w:val="FootnoteText"/>
        <w:jc w:val="both"/>
        <w:rPr>
          <w:rFonts w:ascii="Garamond" w:hAnsi="Garamond"/>
          <w:sz w:val="22"/>
          <w:szCs w:val="22"/>
          <w:lang w:val="en-GB"/>
        </w:rPr>
      </w:pPr>
      <w:r w:rsidRPr="00AC0B4D">
        <w:rPr>
          <w:rStyle w:val="FootnoteReference"/>
          <w:rFonts w:ascii="Garamond" w:hAnsi="Garamond"/>
          <w:sz w:val="22"/>
          <w:szCs w:val="22"/>
        </w:rPr>
        <w:footnoteRef/>
      </w:r>
      <w:r w:rsidRPr="00AC0B4D">
        <w:rPr>
          <w:rFonts w:ascii="Garamond" w:hAnsi="Garamond"/>
          <w:sz w:val="22"/>
          <w:szCs w:val="22"/>
        </w:rPr>
        <w:t xml:space="preserve"> </w:t>
      </w:r>
      <w:r w:rsidRPr="00AC0B4D">
        <w:rPr>
          <w:rFonts w:ascii="Garamond" w:hAnsi="Garamond"/>
          <w:sz w:val="22"/>
          <w:szCs w:val="22"/>
          <w:lang w:val="en-GB"/>
        </w:rPr>
        <w:t xml:space="preserve">For robustness purposes </w:t>
      </w:r>
      <w:r>
        <w:rPr>
          <w:rFonts w:ascii="Garamond" w:hAnsi="Garamond"/>
          <w:sz w:val="22"/>
          <w:szCs w:val="22"/>
          <w:lang w:val="en-GB"/>
        </w:rPr>
        <w:t>we</w:t>
      </w:r>
      <w:r w:rsidRPr="00AC0B4D">
        <w:rPr>
          <w:rFonts w:ascii="Garamond" w:hAnsi="Garamond"/>
          <w:sz w:val="22"/>
          <w:szCs w:val="22"/>
          <w:lang w:val="en-GB"/>
        </w:rPr>
        <w:t xml:space="preserve"> ha</w:t>
      </w:r>
      <w:r>
        <w:rPr>
          <w:rFonts w:ascii="Garamond" w:hAnsi="Garamond"/>
          <w:sz w:val="22"/>
          <w:szCs w:val="22"/>
          <w:lang w:val="en-GB"/>
        </w:rPr>
        <w:t>ve</w:t>
      </w:r>
      <w:r w:rsidRPr="00AC0B4D">
        <w:rPr>
          <w:rFonts w:ascii="Garamond" w:hAnsi="Garamond"/>
          <w:sz w:val="22"/>
          <w:szCs w:val="22"/>
          <w:lang w:val="en-GB"/>
        </w:rPr>
        <w:t xml:space="preserve"> checked the weekend effect </w:t>
      </w:r>
      <w:r>
        <w:rPr>
          <w:rFonts w:ascii="Garamond" w:hAnsi="Garamond"/>
          <w:sz w:val="22"/>
          <w:szCs w:val="22"/>
          <w:lang w:val="en-GB"/>
        </w:rPr>
        <w:t>o</w:t>
      </w:r>
      <w:r w:rsidRPr="00AC0B4D">
        <w:rPr>
          <w:rFonts w:ascii="Garamond" w:hAnsi="Garamond"/>
          <w:sz w:val="22"/>
          <w:szCs w:val="22"/>
          <w:lang w:val="en-GB"/>
        </w:rPr>
        <w:t xml:space="preserve">n </w:t>
      </w:r>
      <w:r>
        <w:rPr>
          <w:rFonts w:ascii="Garamond" w:hAnsi="Garamond"/>
          <w:sz w:val="22"/>
          <w:szCs w:val="22"/>
          <w:lang w:val="en-GB"/>
        </w:rPr>
        <w:t xml:space="preserve">the </w:t>
      </w:r>
      <w:r w:rsidRPr="00AC0B4D">
        <w:rPr>
          <w:rFonts w:ascii="Garamond" w:hAnsi="Garamond"/>
          <w:sz w:val="22"/>
          <w:szCs w:val="22"/>
          <w:lang w:val="en-GB"/>
        </w:rPr>
        <w:t>DSE-20</w:t>
      </w:r>
      <w:r>
        <w:rPr>
          <w:rFonts w:ascii="Garamond" w:hAnsi="Garamond"/>
          <w:sz w:val="22"/>
          <w:szCs w:val="22"/>
          <w:lang w:val="en-GB"/>
        </w:rPr>
        <w:t xml:space="preserve"> and DS-30 (from 2013)</w:t>
      </w:r>
      <w:r w:rsidRPr="00AC0B4D">
        <w:rPr>
          <w:rFonts w:ascii="Garamond" w:hAnsi="Garamond"/>
          <w:sz w:val="22"/>
          <w:szCs w:val="22"/>
          <w:lang w:val="en-GB"/>
        </w:rPr>
        <w:t xml:space="preserve">, which is </w:t>
      </w:r>
      <w:r>
        <w:rPr>
          <w:rFonts w:ascii="Garamond" w:hAnsi="Garamond"/>
          <w:sz w:val="22"/>
          <w:szCs w:val="22"/>
          <w:lang w:val="en-GB"/>
        </w:rPr>
        <w:t>the</w:t>
      </w:r>
      <w:r w:rsidRPr="00AC0B4D">
        <w:rPr>
          <w:rFonts w:ascii="Garamond" w:hAnsi="Garamond"/>
          <w:sz w:val="22"/>
          <w:szCs w:val="22"/>
          <w:lang w:val="en-GB"/>
        </w:rPr>
        <w:t xml:space="preserve"> </w:t>
      </w:r>
      <w:r>
        <w:rPr>
          <w:rFonts w:ascii="Garamond" w:hAnsi="Garamond"/>
          <w:sz w:val="22"/>
          <w:szCs w:val="22"/>
          <w:lang w:val="en-GB"/>
        </w:rPr>
        <w:t>large</w:t>
      </w:r>
      <w:r w:rsidRPr="00AC0B4D">
        <w:rPr>
          <w:rFonts w:ascii="Garamond" w:hAnsi="Garamond"/>
          <w:sz w:val="22"/>
          <w:szCs w:val="22"/>
          <w:lang w:val="en-GB"/>
        </w:rPr>
        <w:t xml:space="preserve"> cap index of this market. We do this investigation with </w:t>
      </w:r>
      <w:r>
        <w:rPr>
          <w:rFonts w:ascii="Garamond" w:hAnsi="Garamond"/>
          <w:sz w:val="22"/>
          <w:szCs w:val="22"/>
          <w:lang w:val="en-GB"/>
        </w:rPr>
        <w:t>the</w:t>
      </w:r>
      <w:r w:rsidRPr="00AC0B4D">
        <w:rPr>
          <w:rFonts w:ascii="Garamond" w:hAnsi="Garamond"/>
          <w:sz w:val="22"/>
          <w:szCs w:val="22"/>
          <w:lang w:val="en-GB"/>
        </w:rPr>
        <w:t xml:space="preserve"> argument that if the weekend effect is due to small investors’ trades and hence is observed in small cap stocks, then there should be no weekend effect </w:t>
      </w:r>
      <w:r>
        <w:rPr>
          <w:rFonts w:ascii="Garamond" w:hAnsi="Garamond"/>
          <w:sz w:val="22"/>
          <w:szCs w:val="22"/>
          <w:lang w:val="en-GB"/>
        </w:rPr>
        <w:t>o</w:t>
      </w:r>
      <w:r w:rsidRPr="00AC0B4D">
        <w:rPr>
          <w:rFonts w:ascii="Garamond" w:hAnsi="Garamond"/>
          <w:sz w:val="22"/>
          <w:szCs w:val="22"/>
          <w:lang w:val="en-GB"/>
        </w:rPr>
        <w:t xml:space="preserve">n </w:t>
      </w:r>
      <w:r>
        <w:rPr>
          <w:rFonts w:ascii="Garamond" w:hAnsi="Garamond"/>
          <w:sz w:val="22"/>
          <w:szCs w:val="22"/>
          <w:lang w:val="en-GB"/>
        </w:rPr>
        <w:t xml:space="preserve">the </w:t>
      </w:r>
      <w:r w:rsidRPr="00AC0B4D">
        <w:rPr>
          <w:rFonts w:ascii="Garamond" w:hAnsi="Garamond"/>
          <w:sz w:val="22"/>
          <w:szCs w:val="22"/>
          <w:lang w:val="en-GB"/>
        </w:rPr>
        <w:t xml:space="preserve">large cap index, i.e. </w:t>
      </w:r>
      <w:r>
        <w:rPr>
          <w:rFonts w:ascii="Garamond" w:hAnsi="Garamond"/>
          <w:sz w:val="22"/>
          <w:szCs w:val="22"/>
          <w:lang w:val="en-GB"/>
        </w:rPr>
        <w:t xml:space="preserve">the </w:t>
      </w:r>
      <w:r w:rsidRPr="00AC0B4D">
        <w:rPr>
          <w:rFonts w:ascii="Garamond" w:hAnsi="Garamond"/>
          <w:sz w:val="22"/>
          <w:szCs w:val="22"/>
          <w:lang w:val="en-GB"/>
        </w:rPr>
        <w:t>DSE-20</w:t>
      </w:r>
      <w:r>
        <w:rPr>
          <w:rFonts w:ascii="Garamond" w:hAnsi="Garamond"/>
          <w:sz w:val="22"/>
          <w:szCs w:val="22"/>
          <w:lang w:val="en-GB"/>
        </w:rPr>
        <w:t xml:space="preserve"> &amp; DS-30</w:t>
      </w:r>
      <w:r w:rsidRPr="00AC0B4D">
        <w:rPr>
          <w:rFonts w:ascii="Garamond" w:hAnsi="Garamond"/>
          <w:sz w:val="22"/>
          <w:szCs w:val="22"/>
          <w:lang w:val="en-GB"/>
        </w:rPr>
        <w:t xml:space="preserve"> (constructed with twenty </w:t>
      </w:r>
      <w:r>
        <w:rPr>
          <w:rFonts w:ascii="Garamond" w:hAnsi="Garamond"/>
          <w:sz w:val="22"/>
          <w:szCs w:val="22"/>
          <w:lang w:val="en-GB"/>
        </w:rPr>
        <w:t xml:space="preserve">or thirty </w:t>
      </w:r>
      <w:r w:rsidRPr="00AC0B4D">
        <w:rPr>
          <w:rFonts w:ascii="Garamond" w:hAnsi="Garamond"/>
          <w:sz w:val="22"/>
          <w:szCs w:val="22"/>
          <w:lang w:val="en-GB"/>
        </w:rPr>
        <w:t>blue-chip shares of the market). To examine the weekend effect and significance of Sunday on return and volatility, we have applied equations (</w:t>
      </w:r>
      <w:r>
        <w:rPr>
          <w:rFonts w:ascii="Garamond" w:hAnsi="Garamond"/>
          <w:sz w:val="22"/>
          <w:szCs w:val="22"/>
          <w:lang w:val="en-GB"/>
        </w:rPr>
        <w:t>8</w:t>
      </w:r>
      <w:r w:rsidRPr="00AC0B4D">
        <w:rPr>
          <w:rFonts w:ascii="Garamond" w:hAnsi="Garamond"/>
          <w:sz w:val="22"/>
          <w:szCs w:val="22"/>
          <w:lang w:val="en-GB"/>
        </w:rPr>
        <w:t>), (</w:t>
      </w:r>
      <w:r>
        <w:rPr>
          <w:rFonts w:ascii="Garamond" w:hAnsi="Garamond"/>
          <w:sz w:val="22"/>
          <w:szCs w:val="22"/>
          <w:lang w:val="en-GB"/>
        </w:rPr>
        <w:t>2</w:t>
      </w:r>
      <w:r w:rsidRPr="00AC0B4D">
        <w:rPr>
          <w:rFonts w:ascii="Garamond" w:hAnsi="Garamond"/>
          <w:sz w:val="22"/>
          <w:szCs w:val="22"/>
          <w:lang w:val="en-GB"/>
        </w:rPr>
        <w:t>) and (</w:t>
      </w:r>
      <w:r>
        <w:rPr>
          <w:rFonts w:ascii="Garamond" w:hAnsi="Garamond"/>
          <w:sz w:val="22"/>
          <w:szCs w:val="22"/>
          <w:lang w:val="en-GB"/>
        </w:rPr>
        <w:t>3</w:t>
      </w:r>
      <w:r w:rsidRPr="00AC0B4D">
        <w:rPr>
          <w:rFonts w:ascii="Garamond" w:hAnsi="Garamond"/>
          <w:sz w:val="22"/>
          <w:szCs w:val="22"/>
          <w:lang w:val="en-GB"/>
        </w:rPr>
        <w:t>) respectively for OLS, GARCH (1,</w:t>
      </w:r>
      <w:r>
        <w:rPr>
          <w:rFonts w:ascii="Garamond" w:hAnsi="Garamond"/>
          <w:sz w:val="22"/>
          <w:szCs w:val="22"/>
          <w:lang w:val="en-GB"/>
        </w:rPr>
        <w:t xml:space="preserve"> </w:t>
      </w:r>
      <w:r w:rsidRPr="00AC0B4D">
        <w:rPr>
          <w:rFonts w:ascii="Garamond" w:hAnsi="Garamond"/>
          <w:sz w:val="22"/>
          <w:szCs w:val="22"/>
          <w:lang w:val="en-GB"/>
        </w:rPr>
        <w:t>1) and modified GARCH (1,</w:t>
      </w:r>
      <w:r>
        <w:rPr>
          <w:rFonts w:ascii="Garamond" w:hAnsi="Garamond"/>
          <w:sz w:val="22"/>
          <w:szCs w:val="22"/>
          <w:lang w:val="en-GB"/>
        </w:rPr>
        <w:t xml:space="preserve"> </w:t>
      </w:r>
      <w:r w:rsidRPr="00AC0B4D">
        <w:rPr>
          <w:rFonts w:ascii="Garamond" w:hAnsi="Garamond"/>
          <w:sz w:val="22"/>
          <w:szCs w:val="22"/>
          <w:lang w:val="en-GB"/>
        </w:rPr>
        <w:t>1) models. Results from OLS estimation show that Sunday return</w:t>
      </w:r>
      <w:r>
        <w:rPr>
          <w:rFonts w:ascii="Garamond" w:hAnsi="Garamond"/>
          <w:sz w:val="22"/>
          <w:szCs w:val="22"/>
          <w:lang w:val="en-GB"/>
        </w:rPr>
        <w:t>s</w:t>
      </w:r>
      <w:r w:rsidRPr="00AC0B4D">
        <w:rPr>
          <w:rFonts w:ascii="Garamond" w:hAnsi="Garamond"/>
          <w:sz w:val="22"/>
          <w:szCs w:val="22"/>
          <w:lang w:val="en-GB"/>
        </w:rPr>
        <w:t xml:space="preserve"> </w:t>
      </w:r>
      <w:r>
        <w:rPr>
          <w:rFonts w:ascii="Garamond" w:hAnsi="Garamond"/>
          <w:sz w:val="22"/>
          <w:szCs w:val="22"/>
          <w:lang w:val="en-GB"/>
        </w:rPr>
        <w:t>are</w:t>
      </w:r>
      <w:r w:rsidRPr="00AC0B4D">
        <w:rPr>
          <w:rFonts w:ascii="Garamond" w:hAnsi="Garamond"/>
          <w:sz w:val="22"/>
          <w:szCs w:val="22"/>
          <w:lang w:val="en-GB"/>
        </w:rPr>
        <w:t xml:space="preserve"> positive and not statistically significant. Similar results are also found in </w:t>
      </w:r>
      <w:r>
        <w:rPr>
          <w:rFonts w:ascii="Garamond" w:hAnsi="Garamond"/>
          <w:sz w:val="22"/>
          <w:szCs w:val="22"/>
          <w:lang w:val="en-GB"/>
        </w:rPr>
        <w:t xml:space="preserve">the </w:t>
      </w:r>
      <w:r w:rsidRPr="00AC0B4D">
        <w:rPr>
          <w:rFonts w:ascii="Garamond" w:hAnsi="Garamond"/>
          <w:sz w:val="22"/>
          <w:szCs w:val="22"/>
          <w:lang w:val="en-GB"/>
        </w:rPr>
        <w:t>GARCH (1,</w:t>
      </w:r>
      <w:r>
        <w:rPr>
          <w:rFonts w:ascii="Garamond" w:hAnsi="Garamond"/>
          <w:sz w:val="22"/>
          <w:szCs w:val="22"/>
          <w:lang w:val="en-GB"/>
        </w:rPr>
        <w:t xml:space="preserve"> </w:t>
      </w:r>
      <w:r w:rsidRPr="00AC0B4D">
        <w:rPr>
          <w:rFonts w:ascii="Garamond" w:hAnsi="Garamond"/>
          <w:sz w:val="22"/>
          <w:szCs w:val="22"/>
          <w:lang w:val="en-GB"/>
        </w:rPr>
        <w:t xml:space="preserve">1) approach, where Monday and Thursday are found </w:t>
      </w:r>
      <w:r>
        <w:rPr>
          <w:rFonts w:ascii="Garamond" w:hAnsi="Garamond"/>
          <w:sz w:val="22"/>
          <w:szCs w:val="22"/>
          <w:lang w:val="en-GB"/>
        </w:rPr>
        <w:t xml:space="preserve">to be </w:t>
      </w:r>
      <w:r w:rsidRPr="00AC0B4D">
        <w:rPr>
          <w:rFonts w:ascii="Garamond" w:hAnsi="Garamond"/>
          <w:sz w:val="22"/>
          <w:szCs w:val="22"/>
          <w:lang w:val="en-GB"/>
        </w:rPr>
        <w:t xml:space="preserve">significant at </w:t>
      </w:r>
      <w:r>
        <w:rPr>
          <w:rFonts w:ascii="Garamond" w:hAnsi="Garamond"/>
          <w:sz w:val="22"/>
          <w:szCs w:val="22"/>
          <w:lang w:val="en-GB"/>
        </w:rPr>
        <w:t xml:space="preserve">the </w:t>
      </w:r>
      <w:r w:rsidRPr="00AC0B4D">
        <w:rPr>
          <w:rFonts w:ascii="Garamond" w:hAnsi="Garamond"/>
          <w:sz w:val="22"/>
          <w:szCs w:val="22"/>
          <w:lang w:val="en-GB"/>
        </w:rPr>
        <w:t xml:space="preserve">5% level. Finally, Sunday is further found </w:t>
      </w:r>
      <w:r>
        <w:rPr>
          <w:rFonts w:ascii="Garamond" w:hAnsi="Garamond"/>
          <w:sz w:val="22"/>
          <w:szCs w:val="22"/>
          <w:lang w:val="en-GB"/>
        </w:rPr>
        <w:t xml:space="preserve">not to be </w:t>
      </w:r>
      <w:r w:rsidRPr="00AC0B4D">
        <w:rPr>
          <w:rFonts w:ascii="Garamond" w:hAnsi="Garamond"/>
          <w:sz w:val="22"/>
          <w:szCs w:val="22"/>
          <w:lang w:val="en-GB"/>
        </w:rPr>
        <w:t xml:space="preserve">significant </w:t>
      </w:r>
      <w:r>
        <w:rPr>
          <w:rFonts w:ascii="Garamond" w:hAnsi="Garamond"/>
          <w:sz w:val="22"/>
          <w:szCs w:val="22"/>
          <w:lang w:val="en-GB"/>
        </w:rPr>
        <w:t>even at the</w:t>
      </w:r>
      <w:r w:rsidRPr="00AC0B4D">
        <w:rPr>
          <w:rFonts w:ascii="Garamond" w:hAnsi="Garamond"/>
          <w:sz w:val="22"/>
          <w:szCs w:val="22"/>
          <w:lang w:val="en-GB"/>
        </w:rPr>
        <w:t xml:space="preserve"> 10% level in our modified volatility model (i.e. modified GARCH (1,</w:t>
      </w:r>
      <w:r>
        <w:rPr>
          <w:rFonts w:ascii="Garamond" w:hAnsi="Garamond"/>
          <w:sz w:val="22"/>
          <w:szCs w:val="22"/>
          <w:lang w:val="en-GB"/>
        </w:rPr>
        <w:t xml:space="preserve"> </w:t>
      </w:r>
      <w:r w:rsidRPr="00AC0B4D">
        <w:rPr>
          <w:rFonts w:ascii="Garamond" w:hAnsi="Garamond"/>
          <w:sz w:val="22"/>
          <w:szCs w:val="22"/>
          <w:lang w:val="en-GB"/>
        </w:rPr>
        <w:t>1))</w:t>
      </w:r>
      <w:r>
        <w:rPr>
          <w:rFonts w:ascii="Garamond" w:hAnsi="Garamond"/>
          <w:sz w:val="22"/>
          <w:szCs w:val="22"/>
          <w:lang w:val="en-GB"/>
        </w:rPr>
        <w:t xml:space="preserve">, whereas </w:t>
      </w:r>
      <w:r w:rsidRPr="00AC0B4D">
        <w:rPr>
          <w:rFonts w:ascii="Garamond" w:hAnsi="Garamond"/>
          <w:sz w:val="22"/>
          <w:szCs w:val="22"/>
          <w:lang w:val="en-GB"/>
        </w:rPr>
        <w:t xml:space="preserve">Monday and Thursday are found </w:t>
      </w:r>
      <w:r>
        <w:rPr>
          <w:rFonts w:ascii="Garamond" w:hAnsi="Garamond"/>
          <w:sz w:val="22"/>
          <w:szCs w:val="22"/>
          <w:lang w:val="en-GB"/>
        </w:rPr>
        <w:t xml:space="preserve">to be </w:t>
      </w:r>
      <w:r w:rsidRPr="00AC0B4D">
        <w:rPr>
          <w:rFonts w:ascii="Garamond" w:hAnsi="Garamond"/>
          <w:sz w:val="22"/>
          <w:szCs w:val="22"/>
          <w:lang w:val="en-GB"/>
        </w:rPr>
        <w:t xml:space="preserve">significant at </w:t>
      </w:r>
      <w:r>
        <w:rPr>
          <w:rFonts w:ascii="Garamond" w:hAnsi="Garamond"/>
          <w:sz w:val="22"/>
          <w:szCs w:val="22"/>
          <w:lang w:val="en-GB"/>
        </w:rPr>
        <w:t xml:space="preserve">the </w:t>
      </w:r>
      <w:r w:rsidRPr="00AC0B4D">
        <w:rPr>
          <w:rFonts w:ascii="Garamond" w:hAnsi="Garamond"/>
          <w:sz w:val="22"/>
          <w:szCs w:val="22"/>
          <w:lang w:val="en-GB"/>
        </w:rPr>
        <w:t>5% and 1% level</w:t>
      </w:r>
      <w:r>
        <w:rPr>
          <w:rFonts w:ascii="Garamond" w:hAnsi="Garamond"/>
          <w:sz w:val="22"/>
          <w:szCs w:val="22"/>
          <w:lang w:val="en-GB"/>
        </w:rPr>
        <w:t>s</w:t>
      </w:r>
      <w:r w:rsidRPr="00AC0B4D">
        <w:rPr>
          <w:rFonts w:ascii="Garamond" w:hAnsi="Garamond"/>
          <w:sz w:val="22"/>
          <w:szCs w:val="22"/>
          <w:lang w:val="en-GB"/>
        </w:rPr>
        <w:t xml:space="preserve"> respectively (detail</w:t>
      </w:r>
      <w:r>
        <w:rPr>
          <w:rFonts w:ascii="Garamond" w:hAnsi="Garamond"/>
          <w:sz w:val="22"/>
          <w:szCs w:val="22"/>
          <w:lang w:val="en-GB"/>
        </w:rPr>
        <w:t>ed</w:t>
      </w:r>
      <w:r w:rsidRPr="00AC0B4D">
        <w:rPr>
          <w:rFonts w:ascii="Garamond" w:hAnsi="Garamond"/>
          <w:sz w:val="22"/>
          <w:szCs w:val="22"/>
          <w:lang w:val="en-GB"/>
        </w:rPr>
        <w:t xml:space="preserve"> results are available on request). Altogether, </w:t>
      </w:r>
      <w:r>
        <w:rPr>
          <w:rFonts w:ascii="Garamond" w:hAnsi="Garamond"/>
          <w:sz w:val="22"/>
          <w:szCs w:val="22"/>
          <w:lang w:val="en-GB"/>
        </w:rPr>
        <w:t xml:space="preserve">our </w:t>
      </w:r>
      <w:r w:rsidRPr="00AC0B4D">
        <w:rPr>
          <w:rFonts w:ascii="Garamond" w:hAnsi="Garamond"/>
          <w:sz w:val="22"/>
          <w:szCs w:val="22"/>
          <w:lang w:val="en-GB"/>
        </w:rPr>
        <w:t xml:space="preserve">findings confirm that there is no Sunday seasonality </w:t>
      </w:r>
      <w:r>
        <w:rPr>
          <w:rFonts w:ascii="Garamond" w:hAnsi="Garamond"/>
          <w:sz w:val="22"/>
          <w:szCs w:val="22"/>
          <w:lang w:val="en-GB"/>
        </w:rPr>
        <w:t>o</w:t>
      </w:r>
      <w:r w:rsidRPr="00AC0B4D">
        <w:rPr>
          <w:rFonts w:ascii="Garamond" w:hAnsi="Garamond"/>
          <w:sz w:val="22"/>
          <w:szCs w:val="22"/>
          <w:lang w:val="en-GB"/>
        </w:rPr>
        <w:t xml:space="preserve">n </w:t>
      </w:r>
      <w:r>
        <w:rPr>
          <w:rFonts w:ascii="Garamond" w:hAnsi="Garamond"/>
          <w:sz w:val="22"/>
          <w:szCs w:val="22"/>
          <w:lang w:val="en-GB"/>
        </w:rPr>
        <w:t xml:space="preserve">the </w:t>
      </w:r>
      <w:r w:rsidRPr="00AC0B4D">
        <w:rPr>
          <w:rFonts w:ascii="Garamond" w:hAnsi="Garamond"/>
          <w:sz w:val="22"/>
          <w:szCs w:val="22"/>
          <w:lang w:val="en-GB"/>
        </w:rPr>
        <w:t>DSE-20</w:t>
      </w:r>
      <w:r>
        <w:rPr>
          <w:rFonts w:ascii="Garamond" w:hAnsi="Garamond"/>
          <w:sz w:val="22"/>
          <w:szCs w:val="22"/>
          <w:lang w:val="en-GB"/>
        </w:rPr>
        <w:t xml:space="preserve"> &amp; DS-30</w:t>
      </w:r>
      <w:r w:rsidRPr="00AC0B4D">
        <w:rPr>
          <w:rFonts w:ascii="Garamond" w:hAnsi="Garamond"/>
          <w:sz w:val="22"/>
          <w:szCs w:val="22"/>
          <w:lang w:val="en-GB"/>
        </w:rPr>
        <w:t xml:space="preserve"> ind</w:t>
      </w:r>
      <w:r>
        <w:rPr>
          <w:rFonts w:ascii="Garamond" w:hAnsi="Garamond"/>
          <w:sz w:val="22"/>
          <w:szCs w:val="22"/>
          <w:lang w:val="en-GB"/>
        </w:rPr>
        <w:t xml:space="preserve">ices </w:t>
      </w:r>
      <w:r w:rsidRPr="00AC0B4D">
        <w:rPr>
          <w:rFonts w:ascii="Garamond" w:hAnsi="Garamond"/>
          <w:sz w:val="22"/>
          <w:szCs w:val="22"/>
          <w:lang w:val="en-GB"/>
        </w:rPr>
        <w:t xml:space="preserve">and </w:t>
      </w:r>
      <w:r>
        <w:rPr>
          <w:rFonts w:ascii="Garamond" w:hAnsi="Garamond"/>
          <w:sz w:val="22"/>
          <w:szCs w:val="22"/>
          <w:lang w:val="en-GB"/>
        </w:rPr>
        <w:t xml:space="preserve">the </w:t>
      </w:r>
      <w:r w:rsidRPr="00AC0B4D">
        <w:rPr>
          <w:rFonts w:ascii="Garamond" w:hAnsi="Garamond"/>
          <w:sz w:val="22"/>
          <w:szCs w:val="22"/>
          <w:lang w:val="en-GB"/>
        </w:rPr>
        <w:t xml:space="preserve">market is not moved on Sunday by the trading of large cap firms.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FC8"/>
    <w:multiLevelType w:val="hybridMultilevel"/>
    <w:tmpl w:val="F20C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36CD0"/>
    <w:multiLevelType w:val="multilevel"/>
    <w:tmpl w:val="4A44600A"/>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9413EF9"/>
    <w:multiLevelType w:val="hybridMultilevel"/>
    <w:tmpl w:val="27F2B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E3F5B"/>
    <w:multiLevelType w:val="multilevel"/>
    <w:tmpl w:val="75C2012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3600888"/>
    <w:multiLevelType w:val="hybridMultilevel"/>
    <w:tmpl w:val="46E4F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93374"/>
    <w:multiLevelType w:val="hybridMultilevel"/>
    <w:tmpl w:val="5290D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C510D"/>
    <w:multiLevelType w:val="multilevel"/>
    <w:tmpl w:val="58CC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87A60"/>
    <w:multiLevelType w:val="hybridMultilevel"/>
    <w:tmpl w:val="C8807FB2"/>
    <w:lvl w:ilvl="0" w:tplc="6ED2C7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3751BF"/>
    <w:multiLevelType w:val="multilevel"/>
    <w:tmpl w:val="BCC206A6"/>
    <w:lvl w:ilvl="0">
      <w:start w:val="7"/>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740390"/>
    <w:multiLevelType w:val="multilevel"/>
    <w:tmpl w:val="C3B47408"/>
    <w:lvl w:ilvl="0">
      <w:start w:val="9"/>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AB0144"/>
    <w:multiLevelType w:val="multilevel"/>
    <w:tmpl w:val="3E56DD4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340066"/>
    <w:multiLevelType w:val="hybridMultilevel"/>
    <w:tmpl w:val="013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D3708"/>
    <w:multiLevelType w:val="hybridMultilevel"/>
    <w:tmpl w:val="B6AA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A3EB2"/>
    <w:multiLevelType w:val="hybridMultilevel"/>
    <w:tmpl w:val="C184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E3AE0"/>
    <w:multiLevelType w:val="hybridMultilevel"/>
    <w:tmpl w:val="CF629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65F6F"/>
    <w:multiLevelType w:val="multilevel"/>
    <w:tmpl w:val="D966B60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578711B"/>
    <w:multiLevelType w:val="multilevel"/>
    <w:tmpl w:val="C9928D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6FB6A76"/>
    <w:multiLevelType w:val="hybridMultilevel"/>
    <w:tmpl w:val="0B32D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D4596"/>
    <w:multiLevelType w:val="multilevel"/>
    <w:tmpl w:val="571C5A6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A510732"/>
    <w:multiLevelType w:val="multilevel"/>
    <w:tmpl w:val="606EB632"/>
    <w:lvl w:ilvl="0">
      <w:start w:val="8"/>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B352526"/>
    <w:multiLevelType w:val="multilevel"/>
    <w:tmpl w:val="AD6A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4B393D"/>
    <w:multiLevelType w:val="multilevel"/>
    <w:tmpl w:val="C95C4170"/>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2" w15:restartNumberingAfterBreak="0">
    <w:nsid w:val="451D3B98"/>
    <w:multiLevelType w:val="multilevel"/>
    <w:tmpl w:val="04767B0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1E2682"/>
    <w:multiLevelType w:val="multilevel"/>
    <w:tmpl w:val="FAF086EC"/>
    <w:lvl w:ilvl="0">
      <w:start w:val="1"/>
      <w:numFmt w:val="decimal"/>
      <w:lvlText w:val="%1"/>
      <w:lvlJc w:val="left"/>
      <w:pPr>
        <w:ind w:left="480" w:hanging="480"/>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73036FB"/>
    <w:multiLevelType w:val="multilevel"/>
    <w:tmpl w:val="D92289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D310754"/>
    <w:multiLevelType w:val="hybridMultilevel"/>
    <w:tmpl w:val="B5CE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011AE"/>
    <w:multiLevelType w:val="hybridMultilevel"/>
    <w:tmpl w:val="616E2214"/>
    <w:lvl w:ilvl="0" w:tplc="A1969CF2">
      <w:start w:val="1"/>
      <w:numFmt w:val="upp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4F6D4E96"/>
    <w:multiLevelType w:val="multilevel"/>
    <w:tmpl w:val="37365E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55446588"/>
    <w:multiLevelType w:val="hybridMultilevel"/>
    <w:tmpl w:val="A24A6D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63937"/>
    <w:multiLevelType w:val="hybridMultilevel"/>
    <w:tmpl w:val="9B42C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B67767"/>
    <w:multiLevelType w:val="hybridMultilevel"/>
    <w:tmpl w:val="55A2975C"/>
    <w:lvl w:ilvl="0" w:tplc="47AAC15C">
      <w:start w:val="1"/>
      <w:numFmt w:val="upperLetter"/>
      <w:lvlText w:val="%1."/>
      <w:lvlJc w:val="left"/>
      <w:pPr>
        <w:ind w:left="1800" w:hanging="360"/>
      </w:pPr>
      <w:rPr>
        <w:rFonts w:ascii="Garamond" w:eastAsiaTheme="minorEastAsia" w:hAnsi="Garamond" w:cs="Times New Roman"/>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9CF17B6"/>
    <w:multiLevelType w:val="multilevel"/>
    <w:tmpl w:val="A876471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B516EE4"/>
    <w:multiLevelType w:val="hybridMultilevel"/>
    <w:tmpl w:val="A2B21A1A"/>
    <w:lvl w:ilvl="0" w:tplc="96AA761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73A4F"/>
    <w:multiLevelType w:val="multilevel"/>
    <w:tmpl w:val="3CF4AB6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E105BE"/>
    <w:multiLevelType w:val="hybridMultilevel"/>
    <w:tmpl w:val="0616EA2C"/>
    <w:lvl w:ilvl="0" w:tplc="EE2CAD7C">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04A4B0E"/>
    <w:multiLevelType w:val="multilevel"/>
    <w:tmpl w:val="07C44F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621B76D3"/>
    <w:multiLevelType w:val="multilevel"/>
    <w:tmpl w:val="8934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480D5D"/>
    <w:multiLevelType w:val="multilevel"/>
    <w:tmpl w:val="95346F58"/>
    <w:lvl w:ilvl="0">
      <w:start w:val="4"/>
      <w:numFmt w:val="decimal"/>
      <w:lvlText w:val="%1"/>
      <w:lvlJc w:val="left"/>
      <w:pPr>
        <w:ind w:left="480" w:hanging="48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8" w15:restartNumberingAfterBreak="0">
    <w:nsid w:val="69A82F0E"/>
    <w:multiLevelType w:val="multilevel"/>
    <w:tmpl w:val="E9840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6F6F6C"/>
    <w:multiLevelType w:val="multilevel"/>
    <w:tmpl w:val="7DACBAC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0D20141"/>
    <w:multiLevelType w:val="hybridMultilevel"/>
    <w:tmpl w:val="7DD02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6F5E45"/>
    <w:multiLevelType w:val="multilevel"/>
    <w:tmpl w:val="85E2BEE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5677F7"/>
    <w:multiLevelType w:val="multilevel"/>
    <w:tmpl w:val="1DE080D2"/>
    <w:lvl w:ilvl="0">
      <w:start w:val="8"/>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F4752A"/>
    <w:multiLevelType w:val="multilevel"/>
    <w:tmpl w:val="3FA87F1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3"/>
  </w:num>
  <w:num w:numId="2">
    <w:abstractNumId w:val="5"/>
  </w:num>
  <w:num w:numId="3">
    <w:abstractNumId w:val="0"/>
  </w:num>
  <w:num w:numId="4">
    <w:abstractNumId w:val="10"/>
  </w:num>
  <w:num w:numId="5">
    <w:abstractNumId w:val="29"/>
  </w:num>
  <w:num w:numId="6">
    <w:abstractNumId w:val="2"/>
  </w:num>
  <w:num w:numId="7">
    <w:abstractNumId w:val="21"/>
  </w:num>
  <w:num w:numId="8">
    <w:abstractNumId w:val="1"/>
  </w:num>
  <w:num w:numId="9">
    <w:abstractNumId w:val="24"/>
  </w:num>
  <w:num w:numId="10">
    <w:abstractNumId w:val="35"/>
  </w:num>
  <w:num w:numId="11">
    <w:abstractNumId w:val="27"/>
  </w:num>
  <w:num w:numId="12">
    <w:abstractNumId w:val="37"/>
  </w:num>
  <w:num w:numId="13">
    <w:abstractNumId w:val="34"/>
  </w:num>
  <w:num w:numId="14">
    <w:abstractNumId w:val="30"/>
  </w:num>
  <w:num w:numId="15">
    <w:abstractNumId w:val="26"/>
  </w:num>
  <w:num w:numId="16">
    <w:abstractNumId w:val="32"/>
  </w:num>
  <w:num w:numId="17">
    <w:abstractNumId w:val="16"/>
  </w:num>
  <w:num w:numId="18">
    <w:abstractNumId w:val="33"/>
  </w:num>
  <w:num w:numId="19">
    <w:abstractNumId w:val="39"/>
  </w:num>
  <w:num w:numId="20">
    <w:abstractNumId w:val="22"/>
  </w:num>
  <w:num w:numId="21">
    <w:abstractNumId w:val="15"/>
  </w:num>
  <w:num w:numId="22">
    <w:abstractNumId w:val="18"/>
  </w:num>
  <w:num w:numId="23">
    <w:abstractNumId w:val="8"/>
  </w:num>
  <w:num w:numId="24">
    <w:abstractNumId w:val="41"/>
  </w:num>
  <w:num w:numId="25">
    <w:abstractNumId w:val="42"/>
  </w:num>
  <w:num w:numId="26">
    <w:abstractNumId w:val="19"/>
  </w:num>
  <w:num w:numId="27">
    <w:abstractNumId w:val="31"/>
  </w:num>
  <w:num w:numId="28">
    <w:abstractNumId w:val="9"/>
  </w:num>
  <w:num w:numId="29">
    <w:abstractNumId w:val="25"/>
  </w:num>
  <w:num w:numId="30">
    <w:abstractNumId w:val="6"/>
  </w:num>
  <w:num w:numId="31">
    <w:abstractNumId w:val="43"/>
  </w:num>
  <w:num w:numId="32">
    <w:abstractNumId w:val="36"/>
  </w:num>
  <w:num w:numId="33">
    <w:abstractNumId w:val="11"/>
  </w:num>
  <w:num w:numId="34">
    <w:abstractNumId w:val="4"/>
  </w:num>
  <w:num w:numId="35">
    <w:abstractNumId w:val="20"/>
  </w:num>
  <w:num w:numId="36">
    <w:abstractNumId w:val="38"/>
  </w:num>
  <w:num w:numId="37">
    <w:abstractNumId w:val="7"/>
  </w:num>
  <w:num w:numId="38">
    <w:abstractNumId w:val="12"/>
  </w:num>
  <w:num w:numId="39">
    <w:abstractNumId w:val="14"/>
  </w:num>
  <w:num w:numId="40">
    <w:abstractNumId w:val="13"/>
  </w:num>
  <w:num w:numId="41">
    <w:abstractNumId w:val="23"/>
  </w:num>
  <w:num w:numId="42">
    <w:abstractNumId w:val="40"/>
  </w:num>
  <w:num w:numId="43">
    <w:abstractNumId w:val="28"/>
  </w:num>
  <w:num w:numId="4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1MTAxNzU0tDQ2trBQ0lEKTi0uzszPAykwNKoFAK2TGgotAAAA"/>
  </w:docVars>
  <w:rsids>
    <w:rsidRoot w:val="009B17C8"/>
    <w:rsid w:val="00000EB8"/>
    <w:rsid w:val="000011D1"/>
    <w:rsid w:val="00001681"/>
    <w:rsid w:val="00001C54"/>
    <w:rsid w:val="000024D6"/>
    <w:rsid w:val="000034B8"/>
    <w:rsid w:val="00004364"/>
    <w:rsid w:val="00004A1F"/>
    <w:rsid w:val="00005BC5"/>
    <w:rsid w:val="00012143"/>
    <w:rsid w:val="00012A5E"/>
    <w:rsid w:val="00012C78"/>
    <w:rsid w:val="0001375F"/>
    <w:rsid w:val="00014E4A"/>
    <w:rsid w:val="00015363"/>
    <w:rsid w:val="00015E9C"/>
    <w:rsid w:val="00020E57"/>
    <w:rsid w:val="00022321"/>
    <w:rsid w:val="00023D8A"/>
    <w:rsid w:val="00027B6C"/>
    <w:rsid w:val="0003119A"/>
    <w:rsid w:val="00031B3F"/>
    <w:rsid w:val="00033E15"/>
    <w:rsid w:val="0003514A"/>
    <w:rsid w:val="000354F6"/>
    <w:rsid w:val="00043923"/>
    <w:rsid w:val="000439D5"/>
    <w:rsid w:val="00044189"/>
    <w:rsid w:val="00045389"/>
    <w:rsid w:val="000500C8"/>
    <w:rsid w:val="0005096F"/>
    <w:rsid w:val="00050B2E"/>
    <w:rsid w:val="00051CF7"/>
    <w:rsid w:val="00053DBD"/>
    <w:rsid w:val="00054548"/>
    <w:rsid w:val="00054C3E"/>
    <w:rsid w:val="000551CA"/>
    <w:rsid w:val="000556DF"/>
    <w:rsid w:val="00055F36"/>
    <w:rsid w:val="00056139"/>
    <w:rsid w:val="00056605"/>
    <w:rsid w:val="000568E3"/>
    <w:rsid w:val="000600F5"/>
    <w:rsid w:val="00060E3E"/>
    <w:rsid w:val="00061B22"/>
    <w:rsid w:val="00062B92"/>
    <w:rsid w:val="00064689"/>
    <w:rsid w:val="0006482A"/>
    <w:rsid w:val="000648DC"/>
    <w:rsid w:val="00065D08"/>
    <w:rsid w:val="000664F4"/>
    <w:rsid w:val="00066EA7"/>
    <w:rsid w:val="000724B5"/>
    <w:rsid w:val="000737BE"/>
    <w:rsid w:val="00073D99"/>
    <w:rsid w:val="00074BBD"/>
    <w:rsid w:val="00074E63"/>
    <w:rsid w:val="00076D86"/>
    <w:rsid w:val="000776DF"/>
    <w:rsid w:val="00077EF2"/>
    <w:rsid w:val="00080882"/>
    <w:rsid w:val="00080C38"/>
    <w:rsid w:val="00082C72"/>
    <w:rsid w:val="0008306C"/>
    <w:rsid w:val="000872F1"/>
    <w:rsid w:val="00090B3F"/>
    <w:rsid w:val="00093540"/>
    <w:rsid w:val="00096182"/>
    <w:rsid w:val="0009774E"/>
    <w:rsid w:val="00097A73"/>
    <w:rsid w:val="000A074B"/>
    <w:rsid w:val="000A0AF9"/>
    <w:rsid w:val="000A1D87"/>
    <w:rsid w:val="000A3ACD"/>
    <w:rsid w:val="000A4E82"/>
    <w:rsid w:val="000A6E77"/>
    <w:rsid w:val="000B09F7"/>
    <w:rsid w:val="000B0BE7"/>
    <w:rsid w:val="000B17F7"/>
    <w:rsid w:val="000B2BBD"/>
    <w:rsid w:val="000B2C68"/>
    <w:rsid w:val="000B3B9D"/>
    <w:rsid w:val="000B4343"/>
    <w:rsid w:val="000B5EA8"/>
    <w:rsid w:val="000B5F64"/>
    <w:rsid w:val="000C046D"/>
    <w:rsid w:val="000C1759"/>
    <w:rsid w:val="000C207C"/>
    <w:rsid w:val="000C483B"/>
    <w:rsid w:val="000C48CD"/>
    <w:rsid w:val="000C508F"/>
    <w:rsid w:val="000C66E9"/>
    <w:rsid w:val="000C7DC1"/>
    <w:rsid w:val="000D089F"/>
    <w:rsid w:val="000D498A"/>
    <w:rsid w:val="000D4D1F"/>
    <w:rsid w:val="000D6AAE"/>
    <w:rsid w:val="000D6D06"/>
    <w:rsid w:val="000E0B21"/>
    <w:rsid w:val="000E1995"/>
    <w:rsid w:val="000E21BD"/>
    <w:rsid w:val="000E4696"/>
    <w:rsid w:val="000E4BD2"/>
    <w:rsid w:val="000E7320"/>
    <w:rsid w:val="000F1836"/>
    <w:rsid w:val="000F1F1C"/>
    <w:rsid w:val="000F2034"/>
    <w:rsid w:val="000F509E"/>
    <w:rsid w:val="000F54D7"/>
    <w:rsid w:val="000F6351"/>
    <w:rsid w:val="000F691E"/>
    <w:rsid w:val="000F7FA8"/>
    <w:rsid w:val="0010406A"/>
    <w:rsid w:val="001043B7"/>
    <w:rsid w:val="00104CFD"/>
    <w:rsid w:val="001050DD"/>
    <w:rsid w:val="00105278"/>
    <w:rsid w:val="00105E19"/>
    <w:rsid w:val="001068BE"/>
    <w:rsid w:val="00111741"/>
    <w:rsid w:val="00112ACE"/>
    <w:rsid w:val="00112B72"/>
    <w:rsid w:val="001153AD"/>
    <w:rsid w:val="00116C31"/>
    <w:rsid w:val="00116CD3"/>
    <w:rsid w:val="001203FD"/>
    <w:rsid w:val="001214A5"/>
    <w:rsid w:val="00121D54"/>
    <w:rsid w:val="001231D5"/>
    <w:rsid w:val="00124D05"/>
    <w:rsid w:val="00124E33"/>
    <w:rsid w:val="00125176"/>
    <w:rsid w:val="00125CB7"/>
    <w:rsid w:val="001331AB"/>
    <w:rsid w:val="001331C4"/>
    <w:rsid w:val="0013362A"/>
    <w:rsid w:val="00133F83"/>
    <w:rsid w:val="001352E2"/>
    <w:rsid w:val="0013538F"/>
    <w:rsid w:val="001358F3"/>
    <w:rsid w:val="00135A43"/>
    <w:rsid w:val="00141340"/>
    <w:rsid w:val="00145FE1"/>
    <w:rsid w:val="00146938"/>
    <w:rsid w:val="001509B7"/>
    <w:rsid w:val="00154801"/>
    <w:rsid w:val="0015592B"/>
    <w:rsid w:val="00156D54"/>
    <w:rsid w:val="001574EA"/>
    <w:rsid w:val="00157CF8"/>
    <w:rsid w:val="00157CFF"/>
    <w:rsid w:val="001618FC"/>
    <w:rsid w:val="001649F3"/>
    <w:rsid w:val="00164FF7"/>
    <w:rsid w:val="00166B9D"/>
    <w:rsid w:val="00166E07"/>
    <w:rsid w:val="001676A1"/>
    <w:rsid w:val="00167711"/>
    <w:rsid w:val="001707EE"/>
    <w:rsid w:val="00171647"/>
    <w:rsid w:val="00171D4B"/>
    <w:rsid w:val="00173F58"/>
    <w:rsid w:val="00174942"/>
    <w:rsid w:val="001751D6"/>
    <w:rsid w:val="0017520A"/>
    <w:rsid w:val="001756BE"/>
    <w:rsid w:val="00175D1A"/>
    <w:rsid w:val="00176E2D"/>
    <w:rsid w:val="001800CE"/>
    <w:rsid w:val="0018161E"/>
    <w:rsid w:val="00181864"/>
    <w:rsid w:val="00181D5F"/>
    <w:rsid w:val="0018280A"/>
    <w:rsid w:val="00183FE6"/>
    <w:rsid w:val="00184188"/>
    <w:rsid w:val="0018462E"/>
    <w:rsid w:val="00186038"/>
    <w:rsid w:val="00187296"/>
    <w:rsid w:val="00191AC7"/>
    <w:rsid w:val="001942A4"/>
    <w:rsid w:val="001961D1"/>
    <w:rsid w:val="0019752B"/>
    <w:rsid w:val="00197800"/>
    <w:rsid w:val="001979B5"/>
    <w:rsid w:val="00197CA0"/>
    <w:rsid w:val="001A0157"/>
    <w:rsid w:val="001A0B59"/>
    <w:rsid w:val="001A11DC"/>
    <w:rsid w:val="001A1BA9"/>
    <w:rsid w:val="001A2ACF"/>
    <w:rsid w:val="001A31B1"/>
    <w:rsid w:val="001A40CF"/>
    <w:rsid w:val="001A4A8E"/>
    <w:rsid w:val="001A54F1"/>
    <w:rsid w:val="001A567D"/>
    <w:rsid w:val="001A5D9A"/>
    <w:rsid w:val="001A6183"/>
    <w:rsid w:val="001A6574"/>
    <w:rsid w:val="001A7CF3"/>
    <w:rsid w:val="001A7DD3"/>
    <w:rsid w:val="001B13D8"/>
    <w:rsid w:val="001B16BF"/>
    <w:rsid w:val="001B3867"/>
    <w:rsid w:val="001B4383"/>
    <w:rsid w:val="001B4E3C"/>
    <w:rsid w:val="001B57C7"/>
    <w:rsid w:val="001B7237"/>
    <w:rsid w:val="001B7689"/>
    <w:rsid w:val="001B7743"/>
    <w:rsid w:val="001C13CB"/>
    <w:rsid w:val="001C2EC0"/>
    <w:rsid w:val="001C39EB"/>
    <w:rsid w:val="001C49C3"/>
    <w:rsid w:val="001C663E"/>
    <w:rsid w:val="001C6782"/>
    <w:rsid w:val="001C711C"/>
    <w:rsid w:val="001C7131"/>
    <w:rsid w:val="001C7246"/>
    <w:rsid w:val="001D1853"/>
    <w:rsid w:val="001D206A"/>
    <w:rsid w:val="001D21EB"/>
    <w:rsid w:val="001D28EF"/>
    <w:rsid w:val="001D5DA1"/>
    <w:rsid w:val="001D64AB"/>
    <w:rsid w:val="001D67EF"/>
    <w:rsid w:val="001D6E1D"/>
    <w:rsid w:val="001D71CE"/>
    <w:rsid w:val="001D7220"/>
    <w:rsid w:val="001D7309"/>
    <w:rsid w:val="001D7CD6"/>
    <w:rsid w:val="001E073F"/>
    <w:rsid w:val="001E18F4"/>
    <w:rsid w:val="001E2290"/>
    <w:rsid w:val="001E4F19"/>
    <w:rsid w:val="001F0995"/>
    <w:rsid w:val="001F2425"/>
    <w:rsid w:val="001F3C8D"/>
    <w:rsid w:val="001F670A"/>
    <w:rsid w:val="001F7331"/>
    <w:rsid w:val="0020210F"/>
    <w:rsid w:val="00205F5E"/>
    <w:rsid w:val="002061FB"/>
    <w:rsid w:val="002105B5"/>
    <w:rsid w:val="00211047"/>
    <w:rsid w:val="00211129"/>
    <w:rsid w:val="00211251"/>
    <w:rsid w:val="00212595"/>
    <w:rsid w:val="00212D4E"/>
    <w:rsid w:val="00215315"/>
    <w:rsid w:val="00215625"/>
    <w:rsid w:val="0021611B"/>
    <w:rsid w:val="00216837"/>
    <w:rsid w:val="00217305"/>
    <w:rsid w:val="002212BD"/>
    <w:rsid w:val="0022266D"/>
    <w:rsid w:val="00222819"/>
    <w:rsid w:val="00224439"/>
    <w:rsid w:val="0022463B"/>
    <w:rsid w:val="00225DF3"/>
    <w:rsid w:val="00226309"/>
    <w:rsid w:val="002278AD"/>
    <w:rsid w:val="0023067A"/>
    <w:rsid w:val="00230C04"/>
    <w:rsid w:val="002326A0"/>
    <w:rsid w:val="00232F45"/>
    <w:rsid w:val="00235790"/>
    <w:rsid w:val="00237A56"/>
    <w:rsid w:val="00241FDA"/>
    <w:rsid w:val="00242ACA"/>
    <w:rsid w:val="00242B1E"/>
    <w:rsid w:val="00243CEA"/>
    <w:rsid w:val="00245A32"/>
    <w:rsid w:val="00247C83"/>
    <w:rsid w:val="00251396"/>
    <w:rsid w:val="00251AB2"/>
    <w:rsid w:val="0025296C"/>
    <w:rsid w:val="00252DD1"/>
    <w:rsid w:val="0025484A"/>
    <w:rsid w:val="00256366"/>
    <w:rsid w:val="0025686E"/>
    <w:rsid w:val="0025696A"/>
    <w:rsid w:val="0026045F"/>
    <w:rsid w:val="0026166A"/>
    <w:rsid w:val="00264CE2"/>
    <w:rsid w:val="002654D5"/>
    <w:rsid w:val="00271030"/>
    <w:rsid w:val="00271DCB"/>
    <w:rsid w:val="002734B4"/>
    <w:rsid w:val="00274008"/>
    <w:rsid w:val="00275ACF"/>
    <w:rsid w:val="0027696E"/>
    <w:rsid w:val="00276C56"/>
    <w:rsid w:val="00276D95"/>
    <w:rsid w:val="00281909"/>
    <w:rsid w:val="00281D80"/>
    <w:rsid w:val="00286240"/>
    <w:rsid w:val="0028639D"/>
    <w:rsid w:val="0028705F"/>
    <w:rsid w:val="00287CA6"/>
    <w:rsid w:val="00290865"/>
    <w:rsid w:val="002916B5"/>
    <w:rsid w:val="00292048"/>
    <w:rsid w:val="00292D27"/>
    <w:rsid w:val="00292DC5"/>
    <w:rsid w:val="00293389"/>
    <w:rsid w:val="00293418"/>
    <w:rsid w:val="00293C18"/>
    <w:rsid w:val="0029494E"/>
    <w:rsid w:val="00296C24"/>
    <w:rsid w:val="00297BA0"/>
    <w:rsid w:val="002A1422"/>
    <w:rsid w:val="002A2548"/>
    <w:rsid w:val="002A3985"/>
    <w:rsid w:val="002A4F45"/>
    <w:rsid w:val="002B17C1"/>
    <w:rsid w:val="002B1AD4"/>
    <w:rsid w:val="002B2F0A"/>
    <w:rsid w:val="002B2F46"/>
    <w:rsid w:val="002B41F8"/>
    <w:rsid w:val="002B5A47"/>
    <w:rsid w:val="002B6547"/>
    <w:rsid w:val="002C06D4"/>
    <w:rsid w:val="002C0E75"/>
    <w:rsid w:val="002C108F"/>
    <w:rsid w:val="002C1704"/>
    <w:rsid w:val="002C1DDE"/>
    <w:rsid w:val="002C4A67"/>
    <w:rsid w:val="002C4B49"/>
    <w:rsid w:val="002C710A"/>
    <w:rsid w:val="002C7D02"/>
    <w:rsid w:val="002D076A"/>
    <w:rsid w:val="002D0C6D"/>
    <w:rsid w:val="002D1FE2"/>
    <w:rsid w:val="002D22A8"/>
    <w:rsid w:val="002D279F"/>
    <w:rsid w:val="002D3201"/>
    <w:rsid w:val="002D3A18"/>
    <w:rsid w:val="002D3EB9"/>
    <w:rsid w:val="002D4306"/>
    <w:rsid w:val="002D5568"/>
    <w:rsid w:val="002D58BC"/>
    <w:rsid w:val="002D60F3"/>
    <w:rsid w:val="002D6994"/>
    <w:rsid w:val="002E4F6D"/>
    <w:rsid w:val="002E6287"/>
    <w:rsid w:val="002E7B04"/>
    <w:rsid w:val="002F0331"/>
    <w:rsid w:val="002F1908"/>
    <w:rsid w:val="002F27B4"/>
    <w:rsid w:val="002F639F"/>
    <w:rsid w:val="002F7F09"/>
    <w:rsid w:val="003001AA"/>
    <w:rsid w:val="00300761"/>
    <w:rsid w:val="003009C4"/>
    <w:rsid w:val="0030195A"/>
    <w:rsid w:val="0030272F"/>
    <w:rsid w:val="00302E67"/>
    <w:rsid w:val="003036F4"/>
    <w:rsid w:val="00304354"/>
    <w:rsid w:val="00305424"/>
    <w:rsid w:val="003055E3"/>
    <w:rsid w:val="003056CD"/>
    <w:rsid w:val="00306220"/>
    <w:rsid w:val="00306D91"/>
    <w:rsid w:val="00310934"/>
    <w:rsid w:val="00311173"/>
    <w:rsid w:val="00312C61"/>
    <w:rsid w:val="00313C6F"/>
    <w:rsid w:val="00317445"/>
    <w:rsid w:val="0032043E"/>
    <w:rsid w:val="0032085B"/>
    <w:rsid w:val="00320F51"/>
    <w:rsid w:val="00321C59"/>
    <w:rsid w:val="00323859"/>
    <w:rsid w:val="00326618"/>
    <w:rsid w:val="00326820"/>
    <w:rsid w:val="00327299"/>
    <w:rsid w:val="003302FD"/>
    <w:rsid w:val="0033098C"/>
    <w:rsid w:val="00330D3E"/>
    <w:rsid w:val="00331B6F"/>
    <w:rsid w:val="00335FE8"/>
    <w:rsid w:val="00336AD5"/>
    <w:rsid w:val="00337C22"/>
    <w:rsid w:val="00341210"/>
    <w:rsid w:val="00341631"/>
    <w:rsid w:val="00342310"/>
    <w:rsid w:val="00342FF4"/>
    <w:rsid w:val="00344586"/>
    <w:rsid w:val="003461DB"/>
    <w:rsid w:val="00346B35"/>
    <w:rsid w:val="00347EB0"/>
    <w:rsid w:val="0035003D"/>
    <w:rsid w:val="00350A04"/>
    <w:rsid w:val="003514FE"/>
    <w:rsid w:val="00351669"/>
    <w:rsid w:val="00351A34"/>
    <w:rsid w:val="003538C4"/>
    <w:rsid w:val="0035524E"/>
    <w:rsid w:val="003552DF"/>
    <w:rsid w:val="00356B05"/>
    <w:rsid w:val="00360441"/>
    <w:rsid w:val="00361DA9"/>
    <w:rsid w:val="00362B5B"/>
    <w:rsid w:val="00363080"/>
    <w:rsid w:val="00364DE8"/>
    <w:rsid w:val="00365A36"/>
    <w:rsid w:val="00366990"/>
    <w:rsid w:val="00367B12"/>
    <w:rsid w:val="00370939"/>
    <w:rsid w:val="0037123B"/>
    <w:rsid w:val="00374FE3"/>
    <w:rsid w:val="003757FE"/>
    <w:rsid w:val="003767D2"/>
    <w:rsid w:val="0037758A"/>
    <w:rsid w:val="003776B5"/>
    <w:rsid w:val="00381E15"/>
    <w:rsid w:val="00382488"/>
    <w:rsid w:val="00382596"/>
    <w:rsid w:val="0038283A"/>
    <w:rsid w:val="00390CD1"/>
    <w:rsid w:val="003913AD"/>
    <w:rsid w:val="003923BA"/>
    <w:rsid w:val="00395372"/>
    <w:rsid w:val="0039615D"/>
    <w:rsid w:val="0039623F"/>
    <w:rsid w:val="003962B4"/>
    <w:rsid w:val="003969FB"/>
    <w:rsid w:val="00397432"/>
    <w:rsid w:val="003A438E"/>
    <w:rsid w:val="003A54E2"/>
    <w:rsid w:val="003A5AA0"/>
    <w:rsid w:val="003A7710"/>
    <w:rsid w:val="003A781C"/>
    <w:rsid w:val="003A7E29"/>
    <w:rsid w:val="003B08C0"/>
    <w:rsid w:val="003B0E91"/>
    <w:rsid w:val="003B3D1E"/>
    <w:rsid w:val="003B5EB6"/>
    <w:rsid w:val="003C0206"/>
    <w:rsid w:val="003C31DA"/>
    <w:rsid w:val="003C6E8D"/>
    <w:rsid w:val="003C784C"/>
    <w:rsid w:val="003D0F55"/>
    <w:rsid w:val="003D1794"/>
    <w:rsid w:val="003D207F"/>
    <w:rsid w:val="003D2507"/>
    <w:rsid w:val="003D52B0"/>
    <w:rsid w:val="003D576F"/>
    <w:rsid w:val="003D658B"/>
    <w:rsid w:val="003D661B"/>
    <w:rsid w:val="003D66A1"/>
    <w:rsid w:val="003D6CC9"/>
    <w:rsid w:val="003D7B4E"/>
    <w:rsid w:val="003E257E"/>
    <w:rsid w:val="003E467F"/>
    <w:rsid w:val="003E5B5B"/>
    <w:rsid w:val="003E6CC9"/>
    <w:rsid w:val="003E7728"/>
    <w:rsid w:val="003F06D9"/>
    <w:rsid w:val="003F1068"/>
    <w:rsid w:val="003F1402"/>
    <w:rsid w:val="003F2204"/>
    <w:rsid w:val="003F4C90"/>
    <w:rsid w:val="003F57D8"/>
    <w:rsid w:val="003F6AF7"/>
    <w:rsid w:val="00401642"/>
    <w:rsid w:val="00405CE1"/>
    <w:rsid w:val="00406F40"/>
    <w:rsid w:val="004102FC"/>
    <w:rsid w:val="004121D6"/>
    <w:rsid w:val="00412D9C"/>
    <w:rsid w:val="00413C0C"/>
    <w:rsid w:val="00415BC9"/>
    <w:rsid w:val="00417D03"/>
    <w:rsid w:val="00421365"/>
    <w:rsid w:val="0042169D"/>
    <w:rsid w:val="00421EB7"/>
    <w:rsid w:val="00422064"/>
    <w:rsid w:val="004224A2"/>
    <w:rsid w:val="00423B72"/>
    <w:rsid w:val="00423F7D"/>
    <w:rsid w:val="00424653"/>
    <w:rsid w:val="00425B7E"/>
    <w:rsid w:val="00426393"/>
    <w:rsid w:val="00426AC5"/>
    <w:rsid w:val="00426B0B"/>
    <w:rsid w:val="004273DF"/>
    <w:rsid w:val="0043038E"/>
    <w:rsid w:val="004304E3"/>
    <w:rsid w:val="004305F6"/>
    <w:rsid w:val="00433ADF"/>
    <w:rsid w:val="00433F2E"/>
    <w:rsid w:val="00434EAB"/>
    <w:rsid w:val="00435318"/>
    <w:rsid w:val="00436740"/>
    <w:rsid w:val="00436F4E"/>
    <w:rsid w:val="0044182C"/>
    <w:rsid w:val="00442598"/>
    <w:rsid w:val="00442B88"/>
    <w:rsid w:val="00442EAA"/>
    <w:rsid w:val="00442F24"/>
    <w:rsid w:val="0044435E"/>
    <w:rsid w:val="00445C35"/>
    <w:rsid w:val="00446B38"/>
    <w:rsid w:val="00447757"/>
    <w:rsid w:val="00447C16"/>
    <w:rsid w:val="00450289"/>
    <w:rsid w:val="004507A2"/>
    <w:rsid w:val="00451566"/>
    <w:rsid w:val="00452A42"/>
    <w:rsid w:val="00452C14"/>
    <w:rsid w:val="00452EA6"/>
    <w:rsid w:val="00454A47"/>
    <w:rsid w:val="00455762"/>
    <w:rsid w:val="00455C9E"/>
    <w:rsid w:val="00455FCD"/>
    <w:rsid w:val="004567A0"/>
    <w:rsid w:val="00456802"/>
    <w:rsid w:val="00456BB7"/>
    <w:rsid w:val="00457A83"/>
    <w:rsid w:val="00460C0F"/>
    <w:rsid w:val="0046327E"/>
    <w:rsid w:val="0046377F"/>
    <w:rsid w:val="004649AF"/>
    <w:rsid w:val="00471029"/>
    <w:rsid w:val="00471082"/>
    <w:rsid w:val="00472C3A"/>
    <w:rsid w:val="00472CC1"/>
    <w:rsid w:val="00474EC0"/>
    <w:rsid w:val="00477CFE"/>
    <w:rsid w:val="004801CA"/>
    <w:rsid w:val="00480B4F"/>
    <w:rsid w:val="00483FE5"/>
    <w:rsid w:val="0048450C"/>
    <w:rsid w:val="00485478"/>
    <w:rsid w:val="00485593"/>
    <w:rsid w:val="004865FF"/>
    <w:rsid w:val="00486E79"/>
    <w:rsid w:val="004878D3"/>
    <w:rsid w:val="004908D3"/>
    <w:rsid w:val="00490E57"/>
    <w:rsid w:val="00491025"/>
    <w:rsid w:val="00491078"/>
    <w:rsid w:val="004933BC"/>
    <w:rsid w:val="00493886"/>
    <w:rsid w:val="00493ECD"/>
    <w:rsid w:val="0049597C"/>
    <w:rsid w:val="0049639F"/>
    <w:rsid w:val="004A039D"/>
    <w:rsid w:val="004A3151"/>
    <w:rsid w:val="004A413E"/>
    <w:rsid w:val="004A6824"/>
    <w:rsid w:val="004A7479"/>
    <w:rsid w:val="004A7825"/>
    <w:rsid w:val="004B0BC5"/>
    <w:rsid w:val="004B0F47"/>
    <w:rsid w:val="004B484B"/>
    <w:rsid w:val="004C27AB"/>
    <w:rsid w:val="004C4E45"/>
    <w:rsid w:val="004C5214"/>
    <w:rsid w:val="004C64ED"/>
    <w:rsid w:val="004C7BB4"/>
    <w:rsid w:val="004D0AB0"/>
    <w:rsid w:val="004D1F4E"/>
    <w:rsid w:val="004D2A86"/>
    <w:rsid w:val="004D3B3E"/>
    <w:rsid w:val="004D4FD4"/>
    <w:rsid w:val="004D5228"/>
    <w:rsid w:val="004D62C3"/>
    <w:rsid w:val="004D6766"/>
    <w:rsid w:val="004D6944"/>
    <w:rsid w:val="004E1997"/>
    <w:rsid w:val="004E1A42"/>
    <w:rsid w:val="004E1B4C"/>
    <w:rsid w:val="004E256D"/>
    <w:rsid w:val="004E3DCD"/>
    <w:rsid w:val="004E44E2"/>
    <w:rsid w:val="004E4CD8"/>
    <w:rsid w:val="004E5545"/>
    <w:rsid w:val="004E5567"/>
    <w:rsid w:val="004E7FC5"/>
    <w:rsid w:val="004F2A1F"/>
    <w:rsid w:val="004F4A92"/>
    <w:rsid w:val="004F6292"/>
    <w:rsid w:val="004F63FB"/>
    <w:rsid w:val="004F664F"/>
    <w:rsid w:val="004F6DE0"/>
    <w:rsid w:val="00500C4F"/>
    <w:rsid w:val="005010D5"/>
    <w:rsid w:val="0050316F"/>
    <w:rsid w:val="005045CD"/>
    <w:rsid w:val="00504A23"/>
    <w:rsid w:val="0050634E"/>
    <w:rsid w:val="005064EA"/>
    <w:rsid w:val="00506716"/>
    <w:rsid w:val="00506940"/>
    <w:rsid w:val="0051015B"/>
    <w:rsid w:val="00510EBE"/>
    <w:rsid w:val="00511FFF"/>
    <w:rsid w:val="005123F6"/>
    <w:rsid w:val="00512B54"/>
    <w:rsid w:val="005133B5"/>
    <w:rsid w:val="00513E18"/>
    <w:rsid w:val="005205A0"/>
    <w:rsid w:val="00521450"/>
    <w:rsid w:val="00521A21"/>
    <w:rsid w:val="00522FA2"/>
    <w:rsid w:val="0052394A"/>
    <w:rsid w:val="005254BA"/>
    <w:rsid w:val="005257D2"/>
    <w:rsid w:val="00527BFE"/>
    <w:rsid w:val="00531AA0"/>
    <w:rsid w:val="00533BEE"/>
    <w:rsid w:val="00533EAB"/>
    <w:rsid w:val="00536DD4"/>
    <w:rsid w:val="00541B84"/>
    <w:rsid w:val="0054403F"/>
    <w:rsid w:val="005448F9"/>
    <w:rsid w:val="0054605B"/>
    <w:rsid w:val="00546BEF"/>
    <w:rsid w:val="00551437"/>
    <w:rsid w:val="00552EE4"/>
    <w:rsid w:val="0055331E"/>
    <w:rsid w:val="0055481D"/>
    <w:rsid w:val="00556844"/>
    <w:rsid w:val="0056024A"/>
    <w:rsid w:val="00560715"/>
    <w:rsid w:val="005608A4"/>
    <w:rsid w:val="00560D08"/>
    <w:rsid w:val="00562942"/>
    <w:rsid w:val="0056450E"/>
    <w:rsid w:val="005645D2"/>
    <w:rsid w:val="0056461E"/>
    <w:rsid w:val="00565404"/>
    <w:rsid w:val="00565905"/>
    <w:rsid w:val="00567E29"/>
    <w:rsid w:val="00570848"/>
    <w:rsid w:val="00570FEF"/>
    <w:rsid w:val="00571008"/>
    <w:rsid w:val="0057202B"/>
    <w:rsid w:val="0057275F"/>
    <w:rsid w:val="005752A5"/>
    <w:rsid w:val="005754E4"/>
    <w:rsid w:val="00581865"/>
    <w:rsid w:val="00581D38"/>
    <w:rsid w:val="0058224E"/>
    <w:rsid w:val="005854D3"/>
    <w:rsid w:val="005855C1"/>
    <w:rsid w:val="00585F65"/>
    <w:rsid w:val="00590169"/>
    <w:rsid w:val="00592547"/>
    <w:rsid w:val="00592A14"/>
    <w:rsid w:val="00593250"/>
    <w:rsid w:val="00593D05"/>
    <w:rsid w:val="00596C8E"/>
    <w:rsid w:val="005A0F20"/>
    <w:rsid w:val="005A22AC"/>
    <w:rsid w:val="005A3332"/>
    <w:rsid w:val="005A4630"/>
    <w:rsid w:val="005A4F4B"/>
    <w:rsid w:val="005A5F05"/>
    <w:rsid w:val="005A5FAE"/>
    <w:rsid w:val="005A6C19"/>
    <w:rsid w:val="005B3050"/>
    <w:rsid w:val="005B3393"/>
    <w:rsid w:val="005B3A4D"/>
    <w:rsid w:val="005B3DE4"/>
    <w:rsid w:val="005B4584"/>
    <w:rsid w:val="005B74E4"/>
    <w:rsid w:val="005B7505"/>
    <w:rsid w:val="005C32A1"/>
    <w:rsid w:val="005C3C03"/>
    <w:rsid w:val="005C5E85"/>
    <w:rsid w:val="005D03DD"/>
    <w:rsid w:val="005D0832"/>
    <w:rsid w:val="005D31F3"/>
    <w:rsid w:val="005D3985"/>
    <w:rsid w:val="005D6402"/>
    <w:rsid w:val="005D7FE1"/>
    <w:rsid w:val="005E054C"/>
    <w:rsid w:val="005E40E9"/>
    <w:rsid w:val="005E516D"/>
    <w:rsid w:val="005E5D31"/>
    <w:rsid w:val="005E73F1"/>
    <w:rsid w:val="005E7D78"/>
    <w:rsid w:val="005F00F7"/>
    <w:rsid w:val="005F37B2"/>
    <w:rsid w:val="005F37D0"/>
    <w:rsid w:val="005F3FF0"/>
    <w:rsid w:val="005F4EEA"/>
    <w:rsid w:val="005F50D1"/>
    <w:rsid w:val="005F675B"/>
    <w:rsid w:val="005F6B0D"/>
    <w:rsid w:val="0060055F"/>
    <w:rsid w:val="00601FE2"/>
    <w:rsid w:val="006036B9"/>
    <w:rsid w:val="00603DDC"/>
    <w:rsid w:val="006041A6"/>
    <w:rsid w:val="0060455A"/>
    <w:rsid w:val="006049D6"/>
    <w:rsid w:val="006053D9"/>
    <w:rsid w:val="006071C4"/>
    <w:rsid w:val="00610BD3"/>
    <w:rsid w:val="006154B9"/>
    <w:rsid w:val="00615735"/>
    <w:rsid w:val="006168E4"/>
    <w:rsid w:val="00617055"/>
    <w:rsid w:val="00620435"/>
    <w:rsid w:val="00623073"/>
    <w:rsid w:val="00624A68"/>
    <w:rsid w:val="0062562D"/>
    <w:rsid w:val="006267F1"/>
    <w:rsid w:val="0062723D"/>
    <w:rsid w:val="00627B8D"/>
    <w:rsid w:val="0063087F"/>
    <w:rsid w:val="00630A57"/>
    <w:rsid w:val="00630BA0"/>
    <w:rsid w:val="0063394C"/>
    <w:rsid w:val="00634368"/>
    <w:rsid w:val="00635877"/>
    <w:rsid w:val="006365B0"/>
    <w:rsid w:val="00637643"/>
    <w:rsid w:val="006436B1"/>
    <w:rsid w:val="006450E7"/>
    <w:rsid w:val="006469C7"/>
    <w:rsid w:val="00646BC1"/>
    <w:rsid w:val="00646F92"/>
    <w:rsid w:val="0065090F"/>
    <w:rsid w:val="00652177"/>
    <w:rsid w:val="0065449B"/>
    <w:rsid w:val="00654D0D"/>
    <w:rsid w:val="00655F85"/>
    <w:rsid w:val="006568D1"/>
    <w:rsid w:val="0065790C"/>
    <w:rsid w:val="00660187"/>
    <w:rsid w:val="006606C3"/>
    <w:rsid w:val="006626F5"/>
    <w:rsid w:val="006627D0"/>
    <w:rsid w:val="0066283C"/>
    <w:rsid w:val="00662BE4"/>
    <w:rsid w:val="00663AB7"/>
    <w:rsid w:val="00665653"/>
    <w:rsid w:val="00665776"/>
    <w:rsid w:val="00665A74"/>
    <w:rsid w:val="00667C50"/>
    <w:rsid w:val="00667D89"/>
    <w:rsid w:val="00673593"/>
    <w:rsid w:val="006746F5"/>
    <w:rsid w:val="00676039"/>
    <w:rsid w:val="0067762A"/>
    <w:rsid w:val="00680126"/>
    <w:rsid w:val="00680676"/>
    <w:rsid w:val="00684115"/>
    <w:rsid w:val="0068607C"/>
    <w:rsid w:val="00687B2C"/>
    <w:rsid w:val="00687C4F"/>
    <w:rsid w:val="00690EDC"/>
    <w:rsid w:val="00691487"/>
    <w:rsid w:val="0069158F"/>
    <w:rsid w:val="006940F4"/>
    <w:rsid w:val="00694BA5"/>
    <w:rsid w:val="0069737A"/>
    <w:rsid w:val="00697D36"/>
    <w:rsid w:val="00697F51"/>
    <w:rsid w:val="006A156F"/>
    <w:rsid w:val="006A1791"/>
    <w:rsid w:val="006A4472"/>
    <w:rsid w:val="006A45E1"/>
    <w:rsid w:val="006A4773"/>
    <w:rsid w:val="006A7255"/>
    <w:rsid w:val="006A7C2D"/>
    <w:rsid w:val="006B034A"/>
    <w:rsid w:val="006B053D"/>
    <w:rsid w:val="006B20A1"/>
    <w:rsid w:val="006B2B2D"/>
    <w:rsid w:val="006B3467"/>
    <w:rsid w:val="006B42E1"/>
    <w:rsid w:val="006B5702"/>
    <w:rsid w:val="006B58F0"/>
    <w:rsid w:val="006B6284"/>
    <w:rsid w:val="006B62D8"/>
    <w:rsid w:val="006B63A4"/>
    <w:rsid w:val="006B7108"/>
    <w:rsid w:val="006C42FD"/>
    <w:rsid w:val="006C44DC"/>
    <w:rsid w:val="006C46CD"/>
    <w:rsid w:val="006C563D"/>
    <w:rsid w:val="006C5C1C"/>
    <w:rsid w:val="006C66A1"/>
    <w:rsid w:val="006C7325"/>
    <w:rsid w:val="006C7DCA"/>
    <w:rsid w:val="006D00E2"/>
    <w:rsid w:val="006D1D24"/>
    <w:rsid w:val="006D23CD"/>
    <w:rsid w:val="006D2FEC"/>
    <w:rsid w:val="006D420A"/>
    <w:rsid w:val="006D57EE"/>
    <w:rsid w:val="006D667D"/>
    <w:rsid w:val="006D68A3"/>
    <w:rsid w:val="006D7ADB"/>
    <w:rsid w:val="006E1929"/>
    <w:rsid w:val="006E1EB0"/>
    <w:rsid w:val="006E313A"/>
    <w:rsid w:val="006E4CD0"/>
    <w:rsid w:val="006E5CE0"/>
    <w:rsid w:val="006E62A7"/>
    <w:rsid w:val="006E6EC2"/>
    <w:rsid w:val="006E7B80"/>
    <w:rsid w:val="006F1302"/>
    <w:rsid w:val="006F1923"/>
    <w:rsid w:val="006F2D5A"/>
    <w:rsid w:val="006F4F4D"/>
    <w:rsid w:val="006F76C1"/>
    <w:rsid w:val="00700F41"/>
    <w:rsid w:val="00702179"/>
    <w:rsid w:val="0070240C"/>
    <w:rsid w:val="00702467"/>
    <w:rsid w:val="00703B3C"/>
    <w:rsid w:val="007042DF"/>
    <w:rsid w:val="007042FE"/>
    <w:rsid w:val="007044C7"/>
    <w:rsid w:val="00711351"/>
    <w:rsid w:val="00712D1F"/>
    <w:rsid w:val="00716188"/>
    <w:rsid w:val="00716F3F"/>
    <w:rsid w:val="0071729F"/>
    <w:rsid w:val="007216F5"/>
    <w:rsid w:val="00725740"/>
    <w:rsid w:val="00727693"/>
    <w:rsid w:val="00727F04"/>
    <w:rsid w:val="0073122B"/>
    <w:rsid w:val="00731456"/>
    <w:rsid w:val="00736199"/>
    <w:rsid w:val="00740282"/>
    <w:rsid w:val="00740874"/>
    <w:rsid w:val="00741097"/>
    <w:rsid w:val="00742055"/>
    <w:rsid w:val="007420E3"/>
    <w:rsid w:val="007425EE"/>
    <w:rsid w:val="00742AE8"/>
    <w:rsid w:val="00742DCE"/>
    <w:rsid w:val="00743D04"/>
    <w:rsid w:val="007444E6"/>
    <w:rsid w:val="00744B7A"/>
    <w:rsid w:val="00744E7C"/>
    <w:rsid w:val="00745F0B"/>
    <w:rsid w:val="00746313"/>
    <w:rsid w:val="0074740D"/>
    <w:rsid w:val="00747C29"/>
    <w:rsid w:val="0075002D"/>
    <w:rsid w:val="007526DB"/>
    <w:rsid w:val="00753CFD"/>
    <w:rsid w:val="00753FF5"/>
    <w:rsid w:val="00754035"/>
    <w:rsid w:val="00754066"/>
    <w:rsid w:val="007542AE"/>
    <w:rsid w:val="00754F60"/>
    <w:rsid w:val="00755070"/>
    <w:rsid w:val="007557E5"/>
    <w:rsid w:val="0076105E"/>
    <w:rsid w:val="00762C6B"/>
    <w:rsid w:val="0076424A"/>
    <w:rsid w:val="00764C64"/>
    <w:rsid w:val="00764CBC"/>
    <w:rsid w:val="00766FC0"/>
    <w:rsid w:val="007675A3"/>
    <w:rsid w:val="0077029C"/>
    <w:rsid w:val="00770D59"/>
    <w:rsid w:val="00771B40"/>
    <w:rsid w:val="00771FA7"/>
    <w:rsid w:val="0077232C"/>
    <w:rsid w:val="00772B6B"/>
    <w:rsid w:val="0077435F"/>
    <w:rsid w:val="0077442E"/>
    <w:rsid w:val="00774A21"/>
    <w:rsid w:val="00774F16"/>
    <w:rsid w:val="00775DB1"/>
    <w:rsid w:val="007765EE"/>
    <w:rsid w:val="00776B8A"/>
    <w:rsid w:val="00777BF8"/>
    <w:rsid w:val="00780E08"/>
    <w:rsid w:val="007818FD"/>
    <w:rsid w:val="00782000"/>
    <w:rsid w:val="00782BC6"/>
    <w:rsid w:val="00783B90"/>
    <w:rsid w:val="007841C8"/>
    <w:rsid w:val="00784B63"/>
    <w:rsid w:val="00785B82"/>
    <w:rsid w:val="007861CA"/>
    <w:rsid w:val="00786549"/>
    <w:rsid w:val="007865D9"/>
    <w:rsid w:val="00786AA8"/>
    <w:rsid w:val="00790231"/>
    <w:rsid w:val="007914E0"/>
    <w:rsid w:val="007926FD"/>
    <w:rsid w:val="00793133"/>
    <w:rsid w:val="007939D3"/>
    <w:rsid w:val="00796397"/>
    <w:rsid w:val="0079652E"/>
    <w:rsid w:val="00797F8D"/>
    <w:rsid w:val="007A05D3"/>
    <w:rsid w:val="007A1482"/>
    <w:rsid w:val="007A2EEB"/>
    <w:rsid w:val="007A5699"/>
    <w:rsid w:val="007A798A"/>
    <w:rsid w:val="007A7D3E"/>
    <w:rsid w:val="007B30B4"/>
    <w:rsid w:val="007B58CD"/>
    <w:rsid w:val="007B6F4D"/>
    <w:rsid w:val="007C4C21"/>
    <w:rsid w:val="007C64AC"/>
    <w:rsid w:val="007C787C"/>
    <w:rsid w:val="007C7A29"/>
    <w:rsid w:val="007D0EEF"/>
    <w:rsid w:val="007D157B"/>
    <w:rsid w:val="007D2620"/>
    <w:rsid w:val="007D53B5"/>
    <w:rsid w:val="007D6F27"/>
    <w:rsid w:val="007D75FB"/>
    <w:rsid w:val="007D7D0D"/>
    <w:rsid w:val="007E1242"/>
    <w:rsid w:val="007E14E1"/>
    <w:rsid w:val="007E1500"/>
    <w:rsid w:val="007E1847"/>
    <w:rsid w:val="007E1EA2"/>
    <w:rsid w:val="007E2017"/>
    <w:rsid w:val="007E216E"/>
    <w:rsid w:val="007E2807"/>
    <w:rsid w:val="007F030E"/>
    <w:rsid w:val="007F063D"/>
    <w:rsid w:val="007F0973"/>
    <w:rsid w:val="007F1035"/>
    <w:rsid w:val="007F184A"/>
    <w:rsid w:val="007F27C8"/>
    <w:rsid w:val="007F30C7"/>
    <w:rsid w:val="007F3C01"/>
    <w:rsid w:val="007F3CA9"/>
    <w:rsid w:val="007F42E0"/>
    <w:rsid w:val="007F43A2"/>
    <w:rsid w:val="007F56A2"/>
    <w:rsid w:val="007F6453"/>
    <w:rsid w:val="007F76CA"/>
    <w:rsid w:val="007F7927"/>
    <w:rsid w:val="00800026"/>
    <w:rsid w:val="00801E57"/>
    <w:rsid w:val="00802405"/>
    <w:rsid w:val="0080308C"/>
    <w:rsid w:val="0080401F"/>
    <w:rsid w:val="00804414"/>
    <w:rsid w:val="00804BDA"/>
    <w:rsid w:val="00804DEB"/>
    <w:rsid w:val="00804EBB"/>
    <w:rsid w:val="00805262"/>
    <w:rsid w:val="00805AC9"/>
    <w:rsid w:val="008063F7"/>
    <w:rsid w:val="00806906"/>
    <w:rsid w:val="008077FB"/>
    <w:rsid w:val="00807DDE"/>
    <w:rsid w:val="00811648"/>
    <w:rsid w:val="008117BA"/>
    <w:rsid w:val="008118D8"/>
    <w:rsid w:val="00811C10"/>
    <w:rsid w:val="00811E1B"/>
    <w:rsid w:val="00812724"/>
    <w:rsid w:val="008130FE"/>
    <w:rsid w:val="0081432C"/>
    <w:rsid w:val="0081572E"/>
    <w:rsid w:val="00817023"/>
    <w:rsid w:val="008178B4"/>
    <w:rsid w:val="00821BF0"/>
    <w:rsid w:val="00822137"/>
    <w:rsid w:val="00823AF6"/>
    <w:rsid w:val="008277C0"/>
    <w:rsid w:val="00831DBB"/>
    <w:rsid w:val="00832DB4"/>
    <w:rsid w:val="008342F9"/>
    <w:rsid w:val="008356CF"/>
    <w:rsid w:val="008364FA"/>
    <w:rsid w:val="0083650A"/>
    <w:rsid w:val="008369F1"/>
    <w:rsid w:val="00836D9B"/>
    <w:rsid w:val="00837098"/>
    <w:rsid w:val="0083780B"/>
    <w:rsid w:val="00840370"/>
    <w:rsid w:val="00842208"/>
    <w:rsid w:val="0084277C"/>
    <w:rsid w:val="00843607"/>
    <w:rsid w:val="00843985"/>
    <w:rsid w:val="00844907"/>
    <w:rsid w:val="00844DEE"/>
    <w:rsid w:val="00845364"/>
    <w:rsid w:val="00845502"/>
    <w:rsid w:val="00850168"/>
    <w:rsid w:val="00850C90"/>
    <w:rsid w:val="0085113B"/>
    <w:rsid w:val="0085217D"/>
    <w:rsid w:val="00852485"/>
    <w:rsid w:val="008543FB"/>
    <w:rsid w:val="008554C0"/>
    <w:rsid w:val="00855E70"/>
    <w:rsid w:val="008604E7"/>
    <w:rsid w:val="00860768"/>
    <w:rsid w:val="00860B94"/>
    <w:rsid w:val="00860FDB"/>
    <w:rsid w:val="008637FC"/>
    <w:rsid w:val="00863EE2"/>
    <w:rsid w:val="00863F1F"/>
    <w:rsid w:val="00864A85"/>
    <w:rsid w:val="00867E66"/>
    <w:rsid w:val="008700C1"/>
    <w:rsid w:val="008704F0"/>
    <w:rsid w:val="008714FE"/>
    <w:rsid w:val="008739B3"/>
    <w:rsid w:val="008739DC"/>
    <w:rsid w:val="00876047"/>
    <w:rsid w:val="008761F2"/>
    <w:rsid w:val="008769C2"/>
    <w:rsid w:val="0087797A"/>
    <w:rsid w:val="00882AB6"/>
    <w:rsid w:val="00883664"/>
    <w:rsid w:val="008836CB"/>
    <w:rsid w:val="0088371B"/>
    <w:rsid w:val="00883DE6"/>
    <w:rsid w:val="008849EA"/>
    <w:rsid w:val="0088540E"/>
    <w:rsid w:val="00887261"/>
    <w:rsid w:val="008878F9"/>
    <w:rsid w:val="0089117B"/>
    <w:rsid w:val="008924B5"/>
    <w:rsid w:val="00892CA9"/>
    <w:rsid w:val="00893C84"/>
    <w:rsid w:val="00894769"/>
    <w:rsid w:val="0089609F"/>
    <w:rsid w:val="00896A85"/>
    <w:rsid w:val="008976EE"/>
    <w:rsid w:val="00897C26"/>
    <w:rsid w:val="008A048A"/>
    <w:rsid w:val="008A06A8"/>
    <w:rsid w:val="008A09E3"/>
    <w:rsid w:val="008A0FFB"/>
    <w:rsid w:val="008A1E22"/>
    <w:rsid w:val="008A5E90"/>
    <w:rsid w:val="008A74E1"/>
    <w:rsid w:val="008B0C68"/>
    <w:rsid w:val="008B2A51"/>
    <w:rsid w:val="008B2B2D"/>
    <w:rsid w:val="008B4513"/>
    <w:rsid w:val="008B519D"/>
    <w:rsid w:val="008B5793"/>
    <w:rsid w:val="008B59F1"/>
    <w:rsid w:val="008B6350"/>
    <w:rsid w:val="008B768D"/>
    <w:rsid w:val="008C1587"/>
    <w:rsid w:val="008C6126"/>
    <w:rsid w:val="008C7D70"/>
    <w:rsid w:val="008D1316"/>
    <w:rsid w:val="008D1F83"/>
    <w:rsid w:val="008D3F95"/>
    <w:rsid w:val="008D4409"/>
    <w:rsid w:val="008D482A"/>
    <w:rsid w:val="008D550C"/>
    <w:rsid w:val="008D553A"/>
    <w:rsid w:val="008D70AF"/>
    <w:rsid w:val="008D70C8"/>
    <w:rsid w:val="008E1C0F"/>
    <w:rsid w:val="008E36FF"/>
    <w:rsid w:val="008E466A"/>
    <w:rsid w:val="008E6081"/>
    <w:rsid w:val="008E6AF6"/>
    <w:rsid w:val="008E6BA8"/>
    <w:rsid w:val="008F0218"/>
    <w:rsid w:val="008F037C"/>
    <w:rsid w:val="008F0B4F"/>
    <w:rsid w:val="008F137F"/>
    <w:rsid w:val="008F3ED7"/>
    <w:rsid w:val="008F6483"/>
    <w:rsid w:val="008F7682"/>
    <w:rsid w:val="008F771A"/>
    <w:rsid w:val="008F7855"/>
    <w:rsid w:val="008F7A31"/>
    <w:rsid w:val="00901466"/>
    <w:rsid w:val="00901B20"/>
    <w:rsid w:val="0090729F"/>
    <w:rsid w:val="00912000"/>
    <w:rsid w:val="0091270C"/>
    <w:rsid w:val="009143FE"/>
    <w:rsid w:val="00914C92"/>
    <w:rsid w:val="00915E05"/>
    <w:rsid w:val="00915F03"/>
    <w:rsid w:val="00916333"/>
    <w:rsid w:val="00916E43"/>
    <w:rsid w:val="00916F28"/>
    <w:rsid w:val="00916F49"/>
    <w:rsid w:val="00920853"/>
    <w:rsid w:val="00921580"/>
    <w:rsid w:val="00924380"/>
    <w:rsid w:val="00925642"/>
    <w:rsid w:val="0092597E"/>
    <w:rsid w:val="00926E16"/>
    <w:rsid w:val="009274F0"/>
    <w:rsid w:val="0092754F"/>
    <w:rsid w:val="009318F4"/>
    <w:rsid w:val="00932DBC"/>
    <w:rsid w:val="00933454"/>
    <w:rsid w:val="00933BED"/>
    <w:rsid w:val="0093434F"/>
    <w:rsid w:val="00934ADA"/>
    <w:rsid w:val="00934B9A"/>
    <w:rsid w:val="009354C8"/>
    <w:rsid w:val="009361AC"/>
    <w:rsid w:val="0093799E"/>
    <w:rsid w:val="009425AD"/>
    <w:rsid w:val="00944AA7"/>
    <w:rsid w:val="00944D95"/>
    <w:rsid w:val="00945371"/>
    <w:rsid w:val="0094659B"/>
    <w:rsid w:val="009467B8"/>
    <w:rsid w:val="00947404"/>
    <w:rsid w:val="00951434"/>
    <w:rsid w:val="00951624"/>
    <w:rsid w:val="00953384"/>
    <w:rsid w:val="00954108"/>
    <w:rsid w:val="00954C65"/>
    <w:rsid w:val="00955CC1"/>
    <w:rsid w:val="00955DDB"/>
    <w:rsid w:val="00956CDE"/>
    <w:rsid w:val="00963067"/>
    <w:rsid w:val="00963BF0"/>
    <w:rsid w:val="00963EC3"/>
    <w:rsid w:val="00963FEA"/>
    <w:rsid w:val="009653DE"/>
    <w:rsid w:val="0096657B"/>
    <w:rsid w:val="009670B7"/>
    <w:rsid w:val="00970050"/>
    <w:rsid w:val="009720CA"/>
    <w:rsid w:val="00973050"/>
    <w:rsid w:val="00973EC7"/>
    <w:rsid w:val="009757E7"/>
    <w:rsid w:val="00975E26"/>
    <w:rsid w:val="0097666E"/>
    <w:rsid w:val="00982231"/>
    <w:rsid w:val="00982AB1"/>
    <w:rsid w:val="0098305A"/>
    <w:rsid w:val="00983BAF"/>
    <w:rsid w:val="00983D93"/>
    <w:rsid w:val="00983EEE"/>
    <w:rsid w:val="009842FC"/>
    <w:rsid w:val="00984532"/>
    <w:rsid w:val="00984FBE"/>
    <w:rsid w:val="009857FE"/>
    <w:rsid w:val="00990024"/>
    <w:rsid w:val="009902C7"/>
    <w:rsid w:val="00990D5D"/>
    <w:rsid w:val="00990E90"/>
    <w:rsid w:val="00992539"/>
    <w:rsid w:val="0099253F"/>
    <w:rsid w:val="0099294E"/>
    <w:rsid w:val="009944EF"/>
    <w:rsid w:val="00994BA8"/>
    <w:rsid w:val="009966E7"/>
    <w:rsid w:val="009971A6"/>
    <w:rsid w:val="009A0294"/>
    <w:rsid w:val="009A03BA"/>
    <w:rsid w:val="009A0530"/>
    <w:rsid w:val="009A1124"/>
    <w:rsid w:val="009A28DE"/>
    <w:rsid w:val="009A41D2"/>
    <w:rsid w:val="009A4D65"/>
    <w:rsid w:val="009A5816"/>
    <w:rsid w:val="009A5D93"/>
    <w:rsid w:val="009A67C0"/>
    <w:rsid w:val="009A701E"/>
    <w:rsid w:val="009A7C85"/>
    <w:rsid w:val="009B17C8"/>
    <w:rsid w:val="009B1EEA"/>
    <w:rsid w:val="009B22C4"/>
    <w:rsid w:val="009B2764"/>
    <w:rsid w:val="009B380D"/>
    <w:rsid w:val="009B4065"/>
    <w:rsid w:val="009B5E3B"/>
    <w:rsid w:val="009B727B"/>
    <w:rsid w:val="009B766B"/>
    <w:rsid w:val="009C0CF6"/>
    <w:rsid w:val="009C172A"/>
    <w:rsid w:val="009C344B"/>
    <w:rsid w:val="009C547A"/>
    <w:rsid w:val="009C7A61"/>
    <w:rsid w:val="009D0FAE"/>
    <w:rsid w:val="009D6FBE"/>
    <w:rsid w:val="009D7C35"/>
    <w:rsid w:val="009E07AA"/>
    <w:rsid w:val="009E09B5"/>
    <w:rsid w:val="009E1811"/>
    <w:rsid w:val="009E3FA5"/>
    <w:rsid w:val="009E4D7E"/>
    <w:rsid w:val="009E5ED1"/>
    <w:rsid w:val="009E6DC5"/>
    <w:rsid w:val="009E7DA2"/>
    <w:rsid w:val="009F2B81"/>
    <w:rsid w:val="009F2CC3"/>
    <w:rsid w:val="009F4C16"/>
    <w:rsid w:val="009F7ADD"/>
    <w:rsid w:val="00A00548"/>
    <w:rsid w:val="00A01CEB"/>
    <w:rsid w:val="00A01DF6"/>
    <w:rsid w:val="00A04524"/>
    <w:rsid w:val="00A05555"/>
    <w:rsid w:val="00A05E9E"/>
    <w:rsid w:val="00A065AF"/>
    <w:rsid w:val="00A068FB"/>
    <w:rsid w:val="00A101B1"/>
    <w:rsid w:val="00A11F1B"/>
    <w:rsid w:val="00A12300"/>
    <w:rsid w:val="00A124EC"/>
    <w:rsid w:val="00A14352"/>
    <w:rsid w:val="00A210A9"/>
    <w:rsid w:val="00A215BD"/>
    <w:rsid w:val="00A23241"/>
    <w:rsid w:val="00A2373D"/>
    <w:rsid w:val="00A2605E"/>
    <w:rsid w:val="00A26A5F"/>
    <w:rsid w:val="00A26C2A"/>
    <w:rsid w:val="00A30F65"/>
    <w:rsid w:val="00A31D4E"/>
    <w:rsid w:val="00A3231A"/>
    <w:rsid w:val="00A3315B"/>
    <w:rsid w:val="00A34FE4"/>
    <w:rsid w:val="00A352F2"/>
    <w:rsid w:val="00A36400"/>
    <w:rsid w:val="00A367CC"/>
    <w:rsid w:val="00A368D5"/>
    <w:rsid w:val="00A37159"/>
    <w:rsid w:val="00A406FE"/>
    <w:rsid w:val="00A40B1A"/>
    <w:rsid w:val="00A4158C"/>
    <w:rsid w:val="00A421DB"/>
    <w:rsid w:val="00A42F5F"/>
    <w:rsid w:val="00A45885"/>
    <w:rsid w:val="00A4656D"/>
    <w:rsid w:val="00A46A09"/>
    <w:rsid w:val="00A504FE"/>
    <w:rsid w:val="00A5188F"/>
    <w:rsid w:val="00A52048"/>
    <w:rsid w:val="00A52DE7"/>
    <w:rsid w:val="00A56ED9"/>
    <w:rsid w:val="00A61E59"/>
    <w:rsid w:val="00A65073"/>
    <w:rsid w:val="00A65E07"/>
    <w:rsid w:val="00A67A43"/>
    <w:rsid w:val="00A67C96"/>
    <w:rsid w:val="00A704FD"/>
    <w:rsid w:val="00A706CE"/>
    <w:rsid w:val="00A76BE3"/>
    <w:rsid w:val="00A8020C"/>
    <w:rsid w:val="00A80722"/>
    <w:rsid w:val="00A813CD"/>
    <w:rsid w:val="00A827AA"/>
    <w:rsid w:val="00A83D31"/>
    <w:rsid w:val="00A91276"/>
    <w:rsid w:val="00A91B3B"/>
    <w:rsid w:val="00A929C9"/>
    <w:rsid w:val="00A93946"/>
    <w:rsid w:val="00A95E0F"/>
    <w:rsid w:val="00A96322"/>
    <w:rsid w:val="00A964C5"/>
    <w:rsid w:val="00A97DBF"/>
    <w:rsid w:val="00AA1956"/>
    <w:rsid w:val="00AA3A21"/>
    <w:rsid w:val="00AA6928"/>
    <w:rsid w:val="00AA6D60"/>
    <w:rsid w:val="00AA729C"/>
    <w:rsid w:val="00AA79A0"/>
    <w:rsid w:val="00AB10DE"/>
    <w:rsid w:val="00AB14CF"/>
    <w:rsid w:val="00AB32F4"/>
    <w:rsid w:val="00AB40C8"/>
    <w:rsid w:val="00AB45F0"/>
    <w:rsid w:val="00AB48BE"/>
    <w:rsid w:val="00AC0B4D"/>
    <w:rsid w:val="00AC0C31"/>
    <w:rsid w:val="00AC12FA"/>
    <w:rsid w:val="00AC3499"/>
    <w:rsid w:val="00AC3B89"/>
    <w:rsid w:val="00AC753F"/>
    <w:rsid w:val="00AC79CA"/>
    <w:rsid w:val="00AD0463"/>
    <w:rsid w:val="00AD1853"/>
    <w:rsid w:val="00AD40F8"/>
    <w:rsid w:val="00AD46E5"/>
    <w:rsid w:val="00AD4F45"/>
    <w:rsid w:val="00AD52E8"/>
    <w:rsid w:val="00AD54F9"/>
    <w:rsid w:val="00AD6C7B"/>
    <w:rsid w:val="00AD73CF"/>
    <w:rsid w:val="00AD799A"/>
    <w:rsid w:val="00AD7B9D"/>
    <w:rsid w:val="00AE054A"/>
    <w:rsid w:val="00AE2C73"/>
    <w:rsid w:val="00AE35EC"/>
    <w:rsid w:val="00AE3904"/>
    <w:rsid w:val="00AE3B64"/>
    <w:rsid w:val="00AE47CB"/>
    <w:rsid w:val="00AF08BD"/>
    <w:rsid w:val="00AF0BFC"/>
    <w:rsid w:val="00AF15C4"/>
    <w:rsid w:val="00AF341D"/>
    <w:rsid w:val="00AF3D77"/>
    <w:rsid w:val="00AF5C50"/>
    <w:rsid w:val="00AF74D7"/>
    <w:rsid w:val="00AF75B7"/>
    <w:rsid w:val="00AF7A25"/>
    <w:rsid w:val="00B01529"/>
    <w:rsid w:val="00B01B41"/>
    <w:rsid w:val="00B025B5"/>
    <w:rsid w:val="00B04836"/>
    <w:rsid w:val="00B04EA4"/>
    <w:rsid w:val="00B051B9"/>
    <w:rsid w:val="00B05682"/>
    <w:rsid w:val="00B05D73"/>
    <w:rsid w:val="00B063BF"/>
    <w:rsid w:val="00B06B27"/>
    <w:rsid w:val="00B06D3F"/>
    <w:rsid w:val="00B06F84"/>
    <w:rsid w:val="00B072EB"/>
    <w:rsid w:val="00B11875"/>
    <w:rsid w:val="00B11D75"/>
    <w:rsid w:val="00B12401"/>
    <w:rsid w:val="00B14C6C"/>
    <w:rsid w:val="00B16B02"/>
    <w:rsid w:val="00B16F7B"/>
    <w:rsid w:val="00B2200B"/>
    <w:rsid w:val="00B22D60"/>
    <w:rsid w:val="00B2497C"/>
    <w:rsid w:val="00B25B8F"/>
    <w:rsid w:val="00B27DE4"/>
    <w:rsid w:val="00B305A7"/>
    <w:rsid w:val="00B314C1"/>
    <w:rsid w:val="00B31EFC"/>
    <w:rsid w:val="00B320BD"/>
    <w:rsid w:val="00B34259"/>
    <w:rsid w:val="00B36CE6"/>
    <w:rsid w:val="00B36F01"/>
    <w:rsid w:val="00B42E85"/>
    <w:rsid w:val="00B43B6E"/>
    <w:rsid w:val="00B45C72"/>
    <w:rsid w:val="00B4639B"/>
    <w:rsid w:val="00B503E7"/>
    <w:rsid w:val="00B50B7C"/>
    <w:rsid w:val="00B50CAE"/>
    <w:rsid w:val="00B522D6"/>
    <w:rsid w:val="00B52CB1"/>
    <w:rsid w:val="00B532A8"/>
    <w:rsid w:val="00B536D7"/>
    <w:rsid w:val="00B54B1B"/>
    <w:rsid w:val="00B564EA"/>
    <w:rsid w:val="00B569FD"/>
    <w:rsid w:val="00B57B7D"/>
    <w:rsid w:val="00B631DC"/>
    <w:rsid w:val="00B64DD3"/>
    <w:rsid w:val="00B65893"/>
    <w:rsid w:val="00B66478"/>
    <w:rsid w:val="00B7017C"/>
    <w:rsid w:val="00B707DD"/>
    <w:rsid w:val="00B70892"/>
    <w:rsid w:val="00B70929"/>
    <w:rsid w:val="00B70BEB"/>
    <w:rsid w:val="00B71040"/>
    <w:rsid w:val="00B71683"/>
    <w:rsid w:val="00B71D77"/>
    <w:rsid w:val="00B71E60"/>
    <w:rsid w:val="00B74587"/>
    <w:rsid w:val="00B746D8"/>
    <w:rsid w:val="00B74F98"/>
    <w:rsid w:val="00B76497"/>
    <w:rsid w:val="00B81F82"/>
    <w:rsid w:val="00B82661"/>
    <w:rsid w:val="00B82888"/>
    <w:rsid w:val="00B85913"/>
    <w:rsid w:val="00B85C12"/>
    <w:rsid w:val="00B862D6"/>
    <w:rsid w:val="00B86C02"/>
    <w:rsid w:val="00B87A17"/>
    <w:rsid w:val="00B91D75"/>
    <w:rsid w:val="00B94143"/>
    <w:rsid w:val="00B94B9C"/>
    <w:rsid w:val="00B94FEB"/>
    <w:rsid w:val="00B956B9"/>
    <w:rsid w:val="00B95820"/>
    <w:rsid w:val="00B95A9F"/>
    <w:rsid w:val="00B968BD"/>
    <w:rsid w:val="00B9744A"/>
    <w:rsid w:val="00BA0A63"/>
    <w:rsid w:val="00BA337C"/>
    <w:rsid w:val="00BA7039"/>
    <w:rsid w:val="00BB07E1"/>
    <w:rsid w:val="00BB2141"/>
    <w:rsid w:val="00BB3CD8"/>
    <w:rsid w:val="00BB4805"/>
    <w:rsid w:val="00BB4E59"/>
    <w:rsid w:val="00BB5EB9"/>
    <w:rsid w:val="00BB63BC"/>
    <w:rsid w:val="00BB6A1D"/>
    <w:rsid w:val="00BB7842"/>
    <w:rsid w:val="00BC0495"/>
    <w:rsid w:val="00BC059E"/>
    <w:rsid w:val="00BC08E6"/>
    <w:rsid w:val="00BC2BB6"/>
    <w:rsid w:val="00BC3CCA"/>
    <w:rsid w:val="00BC536F"/>
    <w:rsid w:val="00BC6128"/>
    <w:rsid w:val="00BC7AB3"/>
    <w:rsid w:val="00BD0A93"/>
    <w:rsid w:val="00BD1976"/>
    <w:rsid w:val="00BD2D99"/>
    <w:rsid w:val="00BD2EEC"/>
    <w:rsid w:val="00BD35CA"/>
    <w:rsid w:val="00BD39DF"/>
    <w:rsid w:val="00BD5138"/>
    <w:rsid w:val="00BD5CB9"/>
    <w:rsid w:val="00BD68F8"/>
    <w:rsid w:val="00BD7B37"/>
    <w:rsid w:val="00BD7FF6"/>
    <w:rsid w:val="00BE5EB1"/>
    <w:rsid w:val="00BE616E"/>
    <w:rsid w:val="00BE6251"/>
    <w:rsid w:val="00BF09B1"/>
    <w:rsid w:val="00BF175A"/>
    <w:rsid w:val="00BF2CFF"/>
    <w:rsid w:val="00BF39D7"/>
    <w:rsid w:val="00BF573A"/>
    <w:rsid w:val="00BF5ECC"/>
    <w:rsid w:val="00C006D6"/>
    <w:rsid w:val="00C00AFC"/>
    <w:rsid w:val="00C00F14"/>
    <w:rsid w:val="00C01CD6"/>
    <w:rsid w:val="00C044A6"/>
    <w:rsid w:val="00C04F99"/>
    <w:rsid w:val="00C06278"/>
    <w:rsid w:val="00C06516"/>
    <w:rsid w:val="00C06B27"/>
    <w:rsid w:val="00C07882"/>
    <w:rsid w:val="00C10828"/>
    <w:rsid w:val="00C10DA5"/>
    <w:rsid w:val="00C11920"/>
    <w:rsid w:val="00C11BBE"/>
    <w:rsid w:val="00C12BEF"/>
    <w:rsid w:val="00C13339"/>
    <w:rsid w:val="00C13DE7"/>
    <w:rsid w:val="00C144A5"/>
    <w:rsid w:val="00C15F63"/>
    <w:rsid w:val="00C16A1F"/>
    <w:rsid w:val="00C17773"/>
    <w:rsid w:val="00C21341"/>
    <w:rsid w:val="00C22D85"/>
    <w:rsid w:val="00C24ADA"/>
    <w:rsid w:val="00C2684E"/>
    <w:rsid w:val="00C269F6"/>
    <w:rsid w:val="00C30564"/>
    <w:rsid w:val="00C32C57"/>
    <w:rsid w:val="00C3564D"/>
    <w:rsid w:val="00C3685D"/>
    <w:rsid w:val="00C37604"/>
    <w:rsid w:val="00C37D11"/>
    <w:rsid w:val="00C46B45"/>
    <w:rsid w:val="00C473CA"/>
    <w:rsid w:val="00C473F2"/>
    <w:rsid w:val="00C476DB"/>
    <w:rsid w:val="00C477D3"/>
    <w:rsid w:val="00C47A05"/>
    <w:rsid w:val="00C51344"/>
    <w:rsid w:val="00C51504"/>
    <w:rsid w:val="00C525B9"/>
    <w:rsid w:val="00C52819"/>
    <w:rsid w:val="00C528C6"/>
    <w:rsid w:val="00C53C4F"/>
    <w:rsid w:val="00C5480C"/>
    <w:rsid w:val="00C549B5"/>
    <w:rsid w:val="00C55244"/>
    <w:rsid w:val="00C556F3"/>
    <w:rsid w:val="00C5741D"/>
    <w:rsid w:val="00C57E03"/>
    <w:rsid w:val="00C6083E"/>
    <w:rsid w:val="00C63EEA"/>
    <w:rsid w:val="00C64118"/>
    <w:rsid w:val="00C64616"/>
    <w:rsid w:val="00C64C61"/>
    <w:rsid w:val="00C67AB8"/>
    <w:rsid w:val="00C67C32"/>
    <w:rsid w:val="00C70979"/>
    <w:rsid w:val="00C71C78"/>
    <w:rsid w:val="00C734BA"/>
    <w:rsid w:val="00C73B66"/>
    <w:rsid w:val="00C73C43"/>
    <w:rsid w:val="00C743A6"/>
    <w:rsid w:val="00C7459A"/>
    <w:rsid w:val="00C746D7"/>
    <w:rsid w:val="00C75907"/>
    <w:rsid w:val="00C76873"/>
    <w:rsid w:val="00C76C21"/>
    <w:rsid w:val="00C80204"/>
    <w:rsid w:val="00C806B5"/>
    <w:rsid w:val="00C8180D"/>
    <w:rsid w:val="00C82AF9"/>
    <w:rsid w:val="00C82E37"/>
    <w:rsid w:val="00C84AC7"/>
    <w:rsid w:val="00C87A9F"/>
    <w:rsid w:val="00C90A09"/>
    <w:rsid w:val="00C93A1F"/>
    <w:rsid w:val="00C93A84"/>
    <w:rsid w:val="00C93D06"/>
    <w:rsid w:val="00C9564F"/>
    <w:rsid w:val="00C97989"/>
    <w:rsid w:val="00CA1068"/>
    <w:rsid w:val="00CA1656"/>
    <w:rsid w:val="00CA200E"/>
    <w:rsid w:val="00CA27DE"/>
    <w:rsid w:val="00CA2F95"/>
    <w:rsid w:val="00CA4183"/>
    <w:rsid w:val="00CA5998"/>
    <w:rsid w:val="00CA641D"/>
    <w:rsid w:val="00CA7539"/>
    <w:rsid w:val="00CB1960"/>
    <w:rsid w:val="00CB3BCB"/>
    <w:rsid w:val="00CB3DEE"/>
    <w:rsid w:val="00CB6D41"/>
    <w:rsid w:val="00CC0AFF"/>
    <w:rsid w:val="00CC18B7"/>
    <w:rsid w:val="00CC4F60"/>
    <w:rsid w:val="00CD036E"/>
    <w:rsid w:val="00CD15A6"/>
    <w:rsid w:val="00CD17A1"/>
    <w:rsid w:val="00CD2F9E"/>
    <w:rsid w:val="00CD3B1C"/>
    <w:rsid w:val="00CD4F2E"/>
    <w:rsid w:val="00CD5263"/>
    <w:rsid w:val="00CD5801"/>
    <w:rsid w:val="00CD5B0E"/>
    <w:rsid w:val="00CD5C7C"/>
    <w:rsid w:val="00CD604B"/>
    <w:rsid w:val="00CD61E4"/>
    <w:rsid w:val="00CE25C5"/>
    <w:rsid w:val="00CE3DD4"/>
    <w:rsid w:val="00CE65B6"/>
    <w:rsid w:val="00CE67C6"/>
    <w:rsid w:val="00CF21D9"/>
    <w:rsid w:val="00CF3102"/>
    <w:rsid w:val="00CF3B02"/>
    <w:rsid w:val="00CF6050"/>
    <w:rsid w:val="00CF7920"/>
    <w:rsid w:val="00D00C64"/>
    <w:rsid w:val="00D01B34"/>
    <w:rsid w:val="00D025C7"/>
    <w:rsid w:val="00D02658"/>
    <w:rsid w:val="00D03A32"/>
    <w:rsid w:val="00D04399"/>
    <w:rsid w:val="00D0475E"/>
    <w:rsid w:val="00D04E6C"/>
    <w:rsid w:val="00D05500"/>
    <w:rsid w:val="00D06B75"/>
    <w:rsid w:val="00D07613"/>
    <w:rsid w:val="00D07CDC"/>
    <w:rsid w:val="00D10626"/>
    <w:rsid w:val="00D1180F"/>
    <w:rsid w:val="00D11E7B"/>
    <w:rsid w:val="00D13B87"/>
    <w:rsid w:val="00D13E09"/>
    <w:rsid w:val="00D15608"/>
    <w:rsid w:val="00D15875"/>
    <w:rsid w:val="00D1774E"/>
    <w:rsid w:val="00D20623"/>
    <w:rsid w:val="00D20F56"/>
    <w:rsid w:val="00D24835"/>
    <w:rsid w:val="00D251F2"/>
    <w:rsid w:val="00D2541C"/>
    <w:rsid w:val="00D27B57"/>
    <w:rsid w:val="00D3040F"/>
    <w:rsid w:val="00D305A8"/>
    <w:rsid w:val="00D30857"/>
    <w:rsid w:val="00D3085D"/>
    <w:rsid w:val="00D32223"/>
    <w:rsid w:val="00D32CF1"/>
    <w:rsid w:val="00D3337A"/>
    <w:rsid w:val="00D33ECD"/>
    <w:rsid w:val="00D35E8F"/>
    <w:rsid w:val="00D35FAA"/>
    <w:rsid w:val="00D37483"/>
    <w:rsid w:val="00D40331"/>
    <w:rsid w:val="00D44B70"/>
    <w:rsid w:val="00D44B87"/>
    <w:rsid w:val="00D45414"/>
    <w:rsid w:val="00D47774"/>
    <w:rsid w:val="00D47C93"/>
    <w:rsid w:val="00D509E5"/>
    <w:rsid w:val="00D524E8"/>
    <w:rsid w:val="00D52936"/>
    <w:rsid w:val="00D52E2E"/>
    <w:rsid w:val="00D5309C"/>
    <w:rsid w:val="00D539B2"/>
    <w:rsid w:val="00D55336"/>
    <w:rsid w:val="00D6239B"/>
    <w:rsid w:val="00D62C09"/>
    <w:rsid w:val="00D669A0"/>
    <w:rsid w:val="00D66C02"/>
    <w:rsid w:val="00D672CD"/>
    <w:rsid w:val="00D7242C"/>
    <w:rsid w:val="00D7365E"/>
    <w:rsid w:val="00D74306"/>
    <w:rsid w:val="00D746C5"/>
    <w:rsid w:val="00D77658"/>
    <w:rsid w:val="00D776CB"/>
    <w:rsid w:val="00D77BF1"/>
    <w:rsid w:val="00D8091A"/>
    <w:rsid w:val="00D80B4A"/>
    <w:rsid w:val="00D816A4"/>
    <w:rsid w:val="00D81C9B"/>
    <w:rsid w:val="00D821AE"/>
    <w:rsid w:val="00D83E23"/>
    <w:rsid w:val="00D8596A"/>
    <w:rsid w:val="00D85A46"/>
    <w:rsid w:val="00D876E4"/>
    <w:rsid w:val="00D9078F"/>
    <w:rsid w:val="00D919CB"/>
    <w:rsid w:val="00D92AB2"/>
    <w:rsid w:val="00D92B0C"/>
    <w:rsid w:val="00D92F63"/>
    <w:rsid w:val="00D956F5"/>
    <w:rsid w:val="00D9757E"/>
    <w:rsid w:val="00DA2B2A"/>
    <w:rsid w:val="00DA4984"/>
    <w:rsid w:val="00DA4D95"/>
    <w:rsid w:val="00DA560E"/>
    <w:rsid w:val="00DB6321"/>
    <w:rsid w:val="00DB633E"/>
    <w:rsid w:val="00DB71FD"/>
    <w:rsid w:val="00DB7F30"/>
    <w:rsid w:val="00DC05E7"/>
    <w:rsid w:val="00DC088A"/>
    <w:rsid w:val="00DC09B3"/>
    <w:rsid w:val="00DC1E08"/>
    <w:rsid w:val="00DC1EB9"/>
    <w:rsid w:val="00DC20DD"/>
    <w:rsid w:val="00DC27C5"/>
    <w:rsid w:val="00DC4124"/>
    <w:rsid w:val="00DC4BC8"/>
    <w:rsid w:val="00DC659E"/>
    <w:rsid w:val="00DC6CAA"/>
    <w:rsid w:val="00DD2A7A"/>
    <w:rsid w:val="00DD3913"/>
    <w:rsid w:val="00DD52C4"/>
    <w:rsid w:val="00DD53C3"/>
    <w:rsid w:val="00DD5C82"/>
    <w:rsid w:val="00DD7201"/>
    <w:rsid w:val="00DE16DB"/>
    <w:rsid w:val="00DE1E25"/>
    <w:rsid w:val="00DE25AB"/>
    <w:rsid w:val="00DE44BC"/>
    <w:rsid w:val="00DE4A22"/>
    <w:rsid w:val="00DE590D"/>
    <w:rsid w:val="00DE6B16"/>
    <w:rsid w:val="00DE7AD3"/>
    <w:rsid w:val="00DF049B"/>
    <w:rsid w:val="00DF1A12"/>
    <w:rsid w:val="00DF2D4B"/>
    <w:rsid w:val="00DF2DEF"/>
    <w:rsid w:val="00DF3BED"/>
    <w:rsid w:val="00DF4CC3"/>
    <w:rsid w:val="00DF54DB"/>
    <w:rsid w:val="00DF585A"/>
    <w:rsid w:val="00DF5AE5"/>
    <w:rsid w:val="00DF6939"/>
    <w:rsid w:val="00E00083"/>
    <w:rsid w:val="00E004A0"/>
    <w:rsid w:val="00E00949"/>
    <w:rsid w:val="00E0189F"/>
    <w:rsid w:val="00E01D4C"/>
    <w:rsid w:val="00E03413"/>
    <w:rsid w:val="00E05197"/>
    <w:rsid w:val="00E11656"/>
    <w:rsid w:val="00E12983"/>
    <w:rsid w:val="00E13137"/>
    <w:rsid w:val="00E14B5B"/>
    <w:rsid w:val="00E16AB1"/>
    <w:rsid w:val="00E17CF9"/>
    <w:rsid w:val="00E20015"/>
    <w:rsid w:val="00E213FE"/>
    <w:rsid w:val="00E21936"/>
    <w:rsid w:val="00E24832"/>
    <w:rsid w:val="00E24D09"/>
    <w:rsid w:val="00E272A7"/>
    <w:rsid w:val="00E27CB9"/>
    <w:rsid w:val="00E27D9D"/>
    <w:rsid w:val="00E30A39"/>
    <w:rsid w:val="00E329DE"/>
    <w:rsid w:val="00E32B27"/>
    <w:rsid w:val="00E32F4F"/>
    <w:rsid w:val="00E33EB7"/>
    <w:rsid w:val="00E351A8"/>
    <w:rsid w:val="00E351ED"/>
    <w:rsid w:val="00E3626E"/>
    <w:rsid w:val="00E365C1"/>
    <w:rsid w:val="00E36B6F"/>
    <w:rsid w:val="00E37530"/>
    <w:rsid w:val="00E37F8A"/>
    <w:rsid w:val="00E41172"/>
    <w:rsid w:val="00E44BE0"/>
    <w:rsid w:val="00E45154"/>
    <w:rsid w:val="00E458AF"/>
    <w:rsid w:val="00E46B05"/>
    <w:rsid w:val="00E46FED"/>
    <w:rsid w:val="00E47F57"/>
    <w:rsid w:val="00E51401"/>
    <w:rsid w:val="00E546C7"/>
    <w:rsid w:val="00E552A1"/>
    <w:rsid w:val="00E56292"/>
    <w:rsid w:val="00E5799A"/>
    <w:rsid w:val="00E606F8"/>
    <w:rsid w:val="00E62ECE"/>
    <w:rsid w:val="00E64117"/>
    <w:rsid w:val="00E669AC"/>
    <w:rsid w:val="00E67697"/>
    <w:rsid w:val="00E67DD4"/>
    <w:rsid w:val="00E701C6"/>
    <w:rsid w:val="00E73B27"/>
    <w:rsid w:val="00E74934"/>
    <w:rsid w:val="00E75964"/>
    <w:rsid w:val="00E84D5D"/>
    <w:rsid w:val="00E852C6"/>
    <w:rsid w:val="00E85FE6"/>
    <w:rsid w:val="00E86292"/>
    <w:rsid w:val="00E92B4A"/>
    <w:rsid w:val="00E938F9"/>
    <w:rsid w:val="00E9525A"/>
    <w:rsid w:val="00E952CB"/>
    <w:rsid w:val="00E956D8"/>
    <w:rsid w:val="00E95FBA"/>
    <w:rsid w:val="00E96854"/>
    <w:rsid w:val="00E97737"/>
    <w:rsid w:val="00E97EBA"/>
    <w:rsid w:val="00EA09FF"/>
    <w:rsid w:val="00EA11A4"/>
    <w:rsid w:val="00EA2888"/>
    <w:rsid w:val="00EA2E15"/>
    <w:rsid w:val="00EA4B03"/>
    <w:rsid w:val="00EA5624"/>
    <w:rsid w:val="00EA5FDA"/>
    <w:rsid w:val="00EA610B"/>
    <w:rsid w:val="00EA6205"/>
    <w:rsid w:val="00EA78F0"/>
    <w:rsid w:val="00EB24A3"/>
    <w:rsid w:val="00EB516D"/>
    <w:rsid w:val="00EC046A"/>
    <w:rsid w:val="00EC070D"/>
    <w:rsid w:val="00EC0E91"/>
    <w:rsid w:val="00EC3DF9"/>
    <w:rsid w:val="00EC69C2"/>
    <w:rsid w:val="00EC6EAF"/>
    <w:rsid w:val="00ED0540"/>
    <w:rsid w:val="00ED4BB9"/>
    <w:rsid w:val="00ED62A3"/>
    <w:rsid w:val="00ED76A6"/>
    <w:rsid w:val="00EE0241"/>
    <w:rsid w:val="00EE055F"/>
    <w:rsid w:val="00EE075D"/>
    <w:rsid w:val="00EE0B84"/>
    <w:rsid w:val="00EE1131"/>
    <w:rsid w:val="00EE238A"/>
    <w:rsid w:val="00EE5AF7"/>
    <w:rsid w:val="00EE5B9D"/>
    <w:rsid w:val="00EE65A7"/>
    <w:rsid w:val="00EE76F3"/>
    <w:rsid w:val="00EF0169"/>
    <w:rsid w:val="00EF27B6"/>
    <w:rsid w:val="00EF3BFE"/>
    <w:rsid w:val="00EF3D21"/>
    <w:rsid w:val="00EF4347"/>
    <w:rsid w:val="00EF6062"/>
    <w:rsid w:val="00F005F7"/>
    <w:rsid w:val="00F01D4E"/>
    <w:rsid w:val="00F02CAF"/>
    <w:rsid w:val="00F0303A"/>
    <w:rsid w:val="00F03174"/>
    <w:rsid w:val="00F03C7E"/>
    <w:rsid w:val="00F044A9"/>
    <w:rsid w:val="00F07883"/>
    <w:rsid w:val="00F104BC"/>
    <w:rsid w:val="00F10A0F"/>
    <w:rsid w:val="00F10F06"/>
    <w:rsid w:val="00F10F5C"/>
    <w:rsid w:val="00F11E9B"/>
    <w:rsid w:val="00F12090"/>
    <w:rsid w:val="00F133DF"/>
    <w:rsid w:val="00F1363D"/>
    <w:rsid w:val="00F13AA6"/>
    <w:rsid w:val="00F14283"/>
    <w:rsid w:val="00F148A3"/>
    <w:rsid w:val="00F17361"/>
    <w:rsid w:val="00F174BC"/>
    <w:rsid w:val="00F20D4C"/>
    <w:rsid w:val="00F2274E"/>
    <w:rsid w:val="00F2344C"/>
    <w:rsid w:val="00F24225"/>
    <w:rsid w:val="00F24DDD"/>
    <w:rsid w:val="00F24DF1"/>
    <w:rsid w:val="00F265E5"/>
    <w:rsid w:val="00F268FA"/>
    <w:rsid w:val="00F31255"/>
    <w:rsid w:val="00F322A2"/>
    <w:rsid w:val="00F324BD"/>
    <w:rsid w:val="00F32A5B"/>
    <w:rsid w:val="00F32C63"/>
    <w:rsid w:val="00F32CBE"/>
    <w:rsid w:val="00F354C6"/>
    <w:rsid w:val="00F35530"/>
    <w:rsid w:val="00F355D7"/>
    <w:rsid w:val="00F35FAA"/>
    <w:rsid w:val="00F36A7B"/>
    <w:rsid w:val="00F36E04"/>
    <w:rsid w:val="00F3754B"/>
    <w:rsid w:val="00F40347"/>
    <w:rsid w:val="00F40B08"/>
    <w:rsid w:val="00F41733"/>
    <w:rsid w:val="00F42050"/>
    <w:rsid w:val="00F42616"/>
    <w:rsid w:val="00F44389"/>
    <w:rsid w:val="00F44591"/>
    <w:rsid w:val="00F44A49"/>
    <w:rsid w:val="00F44DDA"/>
    <w:rsid w:val="00F50FC6"/>
    <w:rsid w:val="00F517CD"/>
    <w:rsid w:val="00F51BEC"/>
    <w:rsid w:val="00F51C80"/>
    <w:rsid w:val="00F5254F"/>
    <w:rsid w:val="00F5308A"/>
    <w:rsid w:val="00F53B7E"/>
    <w:rsid w:val="00F5403F"/>
    <w:rsid w:val="00F54CD6"/>
    <w:rsid w:val="00F56201"/>
    <w:rsid w:val="00F56486"/>
    <w:rsid w:val="00F5673E"/>
    <w:rsid w:val="00F56E81"/>
    <w:rsid w:val="00F570F0"/>
    <w:rsid w:val="00F57E72"/>
    <w:rsid w:val="00F60204"/>
    <w:rsid w:val="00F603C5"/>
    <w:rsid w:val="00F62324"/>
    <w:rsid w:val="00F62AE3"/>
    <w:rsid w:val="00F6337E"/>
    <w:rsid w:val="00F646CF"/>
    <w:rsid w:val="00F65232"/>
    <w:rsid w:val="00F65B03"/>
    <w:rsid w:val="00F65BAE"/>
    <w:rsid w:val="00F67C22"/>
    <w:rsid w:val="00F70C49"/>
    <w:rsid w:val="00F73126"/>
    <w:rsid w:val="00F73552"/>
    <w:rsid w:val="00F735A4"/>
    <w:rsid w:val="00F76193"/>
    <w:rsid w:val="00F7633B"/>
    <w:rsid w:val="00F76CA4"/>
    <w:rsid w:val="00F77110"/>
    <w:rsid w:val="00F77BEC"/>
    <w:rsid w:val="00F80E40"/>
    <w:rsid w:val="00F8244C"/>
    <w:rsid w:val="00F829D1"/>
    <w:rsid w:val="00F83F42"/>
    <w:rsid w:val="00F8404E"/>
    <w:rsid w:val="00F864B7"/>
    <w:rsid w:val="00F877DA"/>
    <w:rsid w:val="00F901C2"/>
    <w:rsid w:val="00F91B40"/>
    <w:rsid w:val="00F91DEB"/>
    <w:rsid w:val="00F91FDB"/>
    <w:rsid w:val="00F92415"/>
    <w:rsid w:val="00F92D67"/>
    <w:rsid w:val="00F93288"/>
    <w:rsid w:val="00F93801"/>
    <w:rsid w:val="00F93D95"/>
    <w:rsid w:val="00F95998"/>
    <w:rsid w:val="00F959CE"/>
    <w:rsid w:val="00F966CE"/>
    <w:rsid w:val="00F97BC0"/>
    <w:rsid w:val="00FA08BB"/>
    <w:rsid w:val="00FA15F1"/>
    <w:rsid w:val="00FA1D7C"/>
    <w:rsid w:val="00FA3D0D"/>
    <w:rsid w:val="00FA3EE9"/>
    <w:rsid w:val="00FA5F37"/>
    <w:rsid w:val="00FA62BF"/>
    <w:rsid w:val="00FA7443"/>
    <w:rsid w:val="00FB0328"/>
    <w:rsid w:val="00FB263D"/>
    <w:rsid w:val="00FB3DE0"/>
    <w:rsid w:val="00FB4963"/>
    <w:rsid w:val="00FB4B5D"/>
    <w:rsid w:val="00FB4ECE"/>
    <w:rsid w:val="00FB68BF"/>
    <w:rsid w:val="00FB74FA"/>
    <w:rsid w:val="00FC336B"/>
    <w:rsid w:val="00FC358A"/>
    <w:rsid w:val="00FC62C2"/>
    <w:rsid w:val="00FC7431"/>
    <w:rsid w:val="00FC7D22"/>
    <w:rsid w:val="00FD0338"/>
    <w:rsid w:val="00FD089A"/>
    <w:rsid w:val="00FD1D3C"/>
    <w:rsid w:val="00FD4188"/>
    <w:rsid w:val="00FD69FA"/>
    <w:rsid w:val="00FD72B9"/>
    <w:rsid w:val="00FE1EDE"/>
    <w:rsid w:val="00FE2F33"/>
    <w:rsid w:val="00FE300E"/>
    <w:rsid w:val="00FE3664"/>
    <w:rsid w:val="00FE7816"/>
    <w:rsid w:val="00FF22A9"/>
    <w:rsid w:val="00FF237C"/>
    <w:rsid w:val="00FF33C8"/>
    <w:rsid w:val="00FF425C"/>
    <w:rsid w:val="00FF43F4"/>
    <w:rsid w:val="00FF499D"/>
    <w:rsid w:val="00FF5C6E"/>
    <w:rsid w:val="00FF65D3"/>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0A28"/>
  <w15:docId w15:val="{3BC2ADE9-348C-42E8-9CF5-0D9D89E1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AF7"/>
  </w:style>
  <w:style w:type="paragraph" w:styleId="Heading1">
    <w:name w:val="heading 1"/>
    <w:basedOn w:val="Normal"/>
    <w:next w:val="Normal"/>
    <w:link w:val="Heading1Char"/>
    <w:uiPriority w:val="9"/>
    <w:qFormat/>
    <w:rsid w:val="009B17C8"/>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9B17C8"/>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9B17C8"/>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9B17C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17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7C8"/>
    <w:pPr>
      <w:ind w:left="720"/>
      <w:contextualSpacing/>
    </w:pPr>
    <w:rPr>
      <w:lang w:val="en-US" w:eastAsia="en-US"/>
    </w:rPr>
  </w:style>
  <w:style w:type="paragraph" w:styleId="FootnoteText">
    <w:name w:val="footnote text"/>
    <w:basedOn w:val="Normal"/>
    <w:link w:val="FootnoteTextChar"/>
    <w:uiPriority w:val="99"/>
    <w:unhideWhenUsed/>
    <w:rsid w:val="009B17C8"/>
    <w:pPr>
      <w:spacing w:after="0" w:line="240" w:lineRule="auto"/>
    </w:pPr>
    <w:rPr>
      <w:sz w:val="20"/>
      <w:szCs w:val="20"/>
      <w:lang w:val="en-US" w:eastAsia="en-US"/>
    </w:rPr>
  </w:style>
  <w:style w:type="character" w:customStyle="1" w:styleId="FootnoteTextChar">
    <w:name w:val="Footnote Text Char"/>
    <w:basedOn w:val="DefaultParagraphFont"/>
    <w:link w:val="FootnoteText"/>
    <w:uiPriority w:val="99"/>
    <w:rsid w:val="009B17C8"/>
    <w:rPr>
      <w:sz w:val="20"/>
      <w:szCs w:val="20"/>
      <w:lang w:val="en-US" w:eastAsia="en-US"/>
    </w:rPr>
  </w:style>
  <w:style w:type="character" w:styleId="FootnoteReference">
    <w:name w:val="footnote reference"/>
    <w:basedOn w:val="DefaultParagraphFont"/>
    <w:uiPriority w:val="99"/>
    <w:semiHidden/>
    <w:unhideWhenUsed/>
    <w:rsid w:val="009B17C8"/>
    <w:rPr>
      <w:vertAlign w:val="superscript"/>
    </w:rPr>
  </w:style>
  <w:style w:type="character" w:customStyle="1" w:styleId="bd">
    <w:name w:val="bd"/>
    <w:basedOn w:val="DefaultParagraphFont"/>
    <w:rsid w:val="009B17C8"/>
  </w:style>
  <w:style w:type="character" w:customStyle="1" w:styleId="bl">
    <w:name w:val="bl"/>
    <w:basedOn w:val="DefaultParagraphFont"/>
    <w:rsid w:val="009B17C8"/>
  </w:style>
  <w:style w:type="character" w:customStyle="1" w:styleId="Heading1Char">
    <w:name w:val="Heading 1 Char"/>
    <w:basedOn w:val="DefaultParagraphFont"/>
    <w:link w:val="Heading1"/>
    <w:uiPriority w:val="9"/>
    <w:rsid w:val="009B17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9B17C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9B17C8"/>
    <w:rPr>
      <w:rFonts w:ascii="Cambria" w:eastAsia="Times New Roman" w:hAnsi="Cambria" w:cs="Times New Roman"/>
      <w:b/>
      <w:bCs/>
      <w:color w:val="4F81BD"/>
    </w:rPr>
  </w:style>
  <w:style w:type="character" w:styleId="Strong">
    <w:name w:val="Strong"/>
    <w:basedOn w:val="DefaultParagraphFont"/>
    <w:uiPriority w:val="22"/>
    <w:qFormat/>
    <w:rsid w:val="009B17C8"/>
    <w:rPr>
      <w:b/>
      <w:bCs/>
    </w:rPr>
  </w:style>
  <w:style w:type="paragraph" w:styleId="BalloonText">
    <w:name w:val="Balloon Text"/>
    <w:basedOn w:val="Normal"/>
    <w:link w:val="BalloonTextChar"/>
    <w:uiPriority w:val="99"/>
    <w:semiHidden/>
    <w:unhideWhenUsed/>
    <w:rsid w:val="009B17C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B17C8"/>
    <w:rPr>
      <w:rFonts w:ascii="Tahoma" w:eastAsia="Times New Roman" w:hAnsi="Tahoma" w:cs="Tahoma"/>
      <w:sz w:val="16"/>
      <w:szCs w:val="16"/>
    </w:rPr>
  </w:style>
  <w:style w:type="paragraph" w:customStyle="1" w:styleId="Default">
    <w:name w:val="Default"/>
    <w:rsid w:val="009B17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B17C8"/>
    <w:rPr>
      <w:sz w:val="16"/>
      <w:szCs w:val="16"/>
    </w:rPr>
  </w:style>
  <w:style w:type="paragraph" w:styleId="CommentText">
    <w:name w:val="annotation text"/>
    <w:basedOn w:val="Normal"/>
    <w:link w:val="CommentTextChar"/>
    <w:uiPriority w:val="99"/>
    <w:semiHidden/>
    <w:unhideWhenUsed/>
    <w:rsid w:val="009B17C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9B17C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17C8"/>
    <w:rPr>
      <w:b/>
      <w:bCs/>
    </w:rPr>
  </w:style>
  <w:style w:type="character" w:customStyle="1" w:styleId="CommentSubjectChar">
    <w:name w:val="Comment Subject Char"/>
    <w:basedOn w:val="CommentTextChar"/>
    <w:link w:val="CommentSubject"/>
    <w:uiPriority w:val="99"/>
    <w:semiHidden/>
    <w:rsid w:val="009B17C8"/>
    <w:rPr>
      <w:rFonts w:ascii="Calibri" w:eastAsia="Times New Roman" w:hAnsi="Calibri" w:cs="Times New Roman"/>
      <w:b/>
      <w:bCs/>
      <w:sz w:val="20"/>
      <w:szCs w:val="20"/>
    </w:rPr>
  </w:style>
  <w:style w:type="paragraph" w:styleId="NormalWeb">
    <w:name w:val="Normal (Web)"/>
    <w:basedOn w:val="Normal"/>
    <w:uiPriority w:val="99"/>
    <w:unhideWhenUsed/>
    <w:rsid w:val="009B17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17C8"/>
    <w:rPr>
      <w:color w:val="0000FF"/>
      <w:u w:val="single"/>
    </w:rPr>
  </w:style>
  <w:style w:type="paragraph" w:styleId="Title">
    <w:name w:val="Title"/>
    <w:basedOn w:val="Normal"/>
    <w:next w:val="Normal"/>
    <w:link w:val="TitleChar"/>
    <w:uiPriority w:val="10"/>
    <w:qFormat/>
    <w:rsid w:val="009B17C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9B17C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9B17C8"/>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9B17C8"/>
    <w:rPr>
      <w:rFonts w:ascii="Cambria" w:eastAsia="Times New Roman" w:hAnsi="Cambria" w:cs="Times New Roman"/>
      <w:i/>
      <w:iCs/>
      <w:color w:val="4F81BD"/>
      <w:spacing w:val="15"/>
      <w:sz w:val="24"/>
      <w:szCs w:val="24"/>
    </w:rPr>
  </w:style>
  <w:style w:type="table" w:styleId="TableGrid">
    <w:name w:val="Table Grid"/>
    <w:basedOn w:val="TableNormal"/>
    <w:uiPriority w:val="59"/>
    <w:rsid w:val="009B17C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9B17C8"/>
    <w:pPr>
      <w:spacing w:after="0" w:line="240"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9B17C8"/>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9B17C8"/>
    <w:rPr>
      <w:vertAlign w:val="superscript"/>
    </w:rPr>
  </w:style>
  <w:style w:type="character" w:styleId="PlaceholderText">
    <w:name w:val="Placeholder Text"/>
    <w:basedOn w:val="DefaultParagraphFont"/>
    <w:uiPriority w:val="99"/>
    <w:semiHidden/>
    <w:rsid w:val="009B17C8"/>
    <w:rPr>
      <w:color w:val="808080"/>
    </w:rPr>
  </w:style>
  <w:style w:type="character" w:styleId="FollowedHyperlink">
    <w:name w:val="FollowedHyperlink"/>
    <w:basedOn w:val="DefaultParagraphFont"/>
    <w:uiPriority w:val="99"/>
    <w:semiHidden/>
    <w:unhideWhenUsed/>
    <w:rsid w:val="009B17C8"/>
    <w:rPr>
      <w:color w:val="800080"/>
      <w:u w:val="single"/>
    </w:rPr>
  </w:style>
  <w:style w:type="paragraph" w:customStyle="1" w:styleId="xl65">
    <w:name w:val="xl65"/>
    <w:basedOn w:val="Normal"/>
    <w:rsid w:val="009B17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6">
    <w:name w:val="xl66"/>
    <w:basedOn w:val="Normal"/>
    <w:rsid w:val="009B17C8"/>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7">
    <w:name w:val="xl67"/>
    <w:basedOn w:val="Normal"/>
    <w:rsid w:val="009B17C8"/>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68">
    <w:name w:val="xl68"/>
    <w:basedOn w:val="Normal"/>
    <w:rsid w:val="009B17C8"/>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Normal"/>
    <w:rsid w:val="009B17C8"/>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Normal"/>
    <w:rsid w:val="009B17C8"/>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1">
    <w:name w:val="xl71"/>
    <w:basedOn w:val="Normal"/>
    <w:rsid w:val="009B17C8"/>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Normal"/>
    <w:rsid w:val="009B17C8"/>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3">
    <w:name w:val="xl73"/>
    <w:basedOn w:val="Normal"/>
    <w:rsid w:val="009B17C8"/>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4">
    <w:name w:val="xl74"/>
    <w:basedOn w:val="Normal"/>
    <w:rsid w:val="009B17C8"/>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5">
    <w:name w:val="xl75"/>
    <w:basedOn w:val="Normal"/>
    <w:rsid w:val="009B17C8"/>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6">
    <w:name w:val="xl76"/>
    <w:basedOn w:val="Normal"/>
    <w:rsid w:val="009B17C8"/>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77">
    <w:name w:val="xl77"/>
    <w:basedOn w:val="Normal"/>
    <w:rsid w:val="009B17C8"/>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8">
    <w:name w:val="xl78"/>
    <w:basedOn w:val="Normal"/>
    <w:rsid w:val="009B17C8"/>
    <w:pP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9">
    <w:name w:val="xl79"/>
    <w:basedOn w:val="Normal"/>
    <w:rsid w:val="009B17C8"/>
    <w:pPr>
      <w:spacing w:before="100" w:beforeAutospacing="1" w:after="100" w:afterAutospacing="1" w:line="240" w:lineRule="auto"/>
      <w:jc w:val="right"/>
    </w:pPr>
    <w:rPr>
      <w:rFonts w:ascii="Times New Roman" w:eastAsia="Times New Roman" w:hAnsi="Times New Roman" w:cs="Times New Roman"/>
      <w:b/>
      <w:bCs/>
      <w:color w:val="000000"/>
      <w:sz w:val="16"/>
      <w:szCs w:val="16"/>
    </w:rPr>
  </w:style>
  <w:style w:type="paragraph" w:customStyle="1" w:styleId="xl80">
    <w:name w:val="xl80"/>
    <w:basedOn w:val="Normal"/>
    <w:rsid w:val="009B17C8"/>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81">
    <w:name w:val="xl81"/>
    <w:basedOn w:val="Normal"/>
    <w:rsid w:val="009B17C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2">
    <w:name w:val="xl82"/>
    <w:basedOn w:val="Normal"/>
    <w:rsid w:val="009B17C8"/>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83">
    <w:name w:val="xl83"/>
    <w:basedOn w:val="Normal"/>
    <w:rsid w:val="009B17C8"/>
    <w:pPr>
      <w:spacing w:before="100" w:beforeAutospacing="1" w:after="100" w:afterAutospacing="1" w:line="240" w:lineRule="auto"/>
      <w:jc w:val="right"/>
      <w:textAlignment w:val="top"/>
    </w:pPr>
    <w:rPr>
      <w:rFonts w:ascii="Times New Roman" w:eastAsia="Times New Roman" w:hAnsi="Times New Roman" w:cs="Times New Roman"/>
      <w:b/>
      <w:bCs/>
      <w:color w:val="000000"/>
      <w:sz w:val="21"/>
      <w:szCs w:val="21"/>
    </w:rPr>
  </w:style>
  <w:style w:type="paragraph" w:customStyle="1" w:styleId="xl84">
    <w:name w:val="xl84"/>
    <w:basedOn w:val="Normal"/>
    <w:rsid w:val="009B17C8"/>
    <w:pPr>
      <w:spacing w:before="100" w:beforeAutospacing="1" w:after="100" w:afterAutospacing="1" w:line="240" w:lineRule="auto"/>
      <w:textAlignment w:val="top"/>
    </w:pPr>
    <w:rPr>
      <w:rFonts w:ascii="Times New Roman" w:eastAsia="Times New Roman" w:hAnsi="Times New Roman" w:cs="Times New Roman"/>
      <w:b/>
      <w:bCs/>
      <w:color w:val="000000"/>
      <w:sz w:val="21"/>
      <w:szCs w:val="21"/>
    </w:rPr>
  </w:style>
  <w:style w:type="paragraph" w:customStyle="1" w:styleId="xl85">
    <w:name w:val="xl85"/>
    <w:basedOn w:val="Normal"/>
    <w:rsid w:val="009B17C8"/>
    <w:pPr>
      <w:spacing w:before="100" w:beforeAutospacing="1" w:after="100" w:afterAutospacing="1" w:line="240" w:lineRule="auto"/>
      <w:jc w:val="right"/>
      <w:textAlignment w:val="top"/>
    </w:pPr>
    <w:rPr>
      <w:rFonts w:ascii="Times New Roman" w:eastAsia="Times New Roman" w:hAnsi="Times New Roman" w:cs="Times New Roman"/>
      <w:b/>
      <w:bCs/>
      <w:color w:val="000000"/>
      <w:sz w:val="20"/>
      <w:szCs w:val="20"/>
    </w:rPr>
  </w:style>
  <w:style w:type="paragraph" w:customStyle="1" w:styleId="xl86">
    <w:name w:val="xl86"/>
    <w:basedOn w:val="Normal"/>
    <w:rsid w:val="009B17C8"/>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6"/>
      <w:szCs w:val="16"/>
    </w:rPr>
  </w:style>
  <w:style w:type="paragraph" w:customStyle="1" w:styleId="xl87">
    <w:name w:val="xl87"/>
    <w:basedOn w:val="Normal"/>
    <w:rsid w:val="009B17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8">
    <w:name w:val="xl88"/>
    <w:basedOn w:val="Normal"/>
    <w:rsid w:val="009B17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9">
    <w:name w:val="xl89"/>
    <w:basedOn w:val="Normal"/>
    <w:rsid w:val="009B17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0">
    <w:name w:val="xl90"/>
    <w:basedOn w:val="Normal"/>
    <w:rsid w:val="009B17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Normal"/>
    <w:rsid w:val="009B17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2">
    <w:name w:val="xl92"/>
    <w:basedOn w:val="Normal"/>
    <w:rsid w:val="009B17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3">
    <w:name w:val="xl93"/>
    <w:basedOn w:val="Normal"/>
    <w:rsid w:val="009B17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4">
    <w:name w:val="xl94"/>
    <w:basedOn w:val="Normal"/>
    <w:rsid w:val="009B17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msonormal115">
    <w:name w:val="msonormal115"/>
    <w:basedOn w:val="Normal"/>
    <w:rsid w:val="009B17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95">
    <w:name w:val="spelle95"/>
    <w:basedOn w:val="DefaultParagraphFont"/>
    <w:rsid w:val="009B17C8"/>
  </w:style>
  <w:style w:type="character" w:customStyle="1" w:styleId="Heading4Char">
    <w:name w:val="Heading 4 Char"/>
    <w:basedOn w:val="DefaultParagraphFont"/>
    <w:link w:val="Heading4"/>
    <w:uiPriority w:val="9"/>
    <w:rsid w:val="009B17C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17C8"/>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9B1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7C8"/>
  </w:style>
  <w:style w:type="paragraph" w:styleId="Footer">
    <w:name w:val="footer"/>
    <w:basedOn w:val="Normal"/>
    <w:link w:val="FooterChar"/>
    <w:uiPriority w:val="99"/>
    <w:unhideWhenUsed/>
    <w:rsid w:val="009B1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7C8"/>
  </w:style>
  <w:style w:type="character" w:customStyle="1" w:styleId="citation">
    <w:name w:val="citation"/>
    <w:basedOn w:val="DefaultParagraphFont"/>
    <w:rsid w:val="009B17C8"/>
  </w:style>
  <w:style w:type="character" w:customStyle="1" w:styleId="printonly">
    <w:name w:val="printonly"/>
    <w:basedOn w:val="DefaultParagraphFont"/>
    <w:rsid w:val="009B17C8"/>
  </w:style>
  <w:style w:type="character" w:customStyle="1" w:styleId="marginterm">
    <w:name w:val="margin_term"/>
    <w:basedOn w:val="DefaultParagraphFont"/>
    <w:rsid w:val="009B17C8"/>
  </w:style>
  <w:style w:type="character" w:styleId="Emphasis">
    <w:name w:val="Emphasis"/>
    <w:basedOn w:val="DefaultParagraphFont"/>
    <w:uiPriority w:val="20"/>
    <w:qFormat/>
    <w:rsid w:val="009B17C8"/>
    <w:rPr>
      <w:i/>
      <w:iCs/>
    </w:rPr>
  </w:style>
  <w:style w:type="character" w:customStyle="1" w:styleId="srtitle">
    <w:name w:val="srtitle"/>
    <w:basedOn w:val="DefaultParagraphFont"/>
    <w:rsid w:val="009B17C8"/>
  </w:style>
  <w:style w:type="character" w:customStyle="1" w:styleId="ilad">
    <w:name w:val="il_ad"/>
    <w:basedOn w:val="DefaultParagraphFont"/>
    <w:rsid w:val="009B17C8"/>
  </w:style>
  <w:style w:type="character" w:customStyle="1" w:styleId="initcap">
    <w:name w:val="initcap"/>
    <w:basedOn w:val="DefaultParagraphFont"/>
    <w:rsid w:val="009B17C8"/>
  </w:style>
  <w:style w:type="character" w:customStyle="1" w:styleId="itxtrst">
    <w:name w:val="itxtrst"/>
    <w:basedOn w:val="DefaultParagraphFont"/>
    <w:rsid w:val="009B17C8"/>
  </w:style>
  <w:style w:type="character" w:customStyle="1" w:styleId="editsection">
    <w:name w:val="editsection"/>
    <w:basedOn w:val="DefaultParagraphFont"/>
    <w:rsid w:val="009B17C8"/>
  </w:style>
  <w:style w:type="character" w:customStyle="1" w:styleId="mw-headline">
    <w:name w:val="mw-headline"/>
    <w:basedOn w:val="DefaultParagraphFont"/>
    <w:rsid w:val="009B17C8"/>
  </w:style>
  <w:style w:type="character" w:customStyle="1" w:styleId="reference-accessdate">
    <w:name w:val="reference-accessdate"/>
    <w:basedOn w:val="DefaultParagraphFont"/>
    <w:rsid w:val="009B17C8"/>
  </w:style>
  <w:style w:type="character" w:customStyle="1" w:styleId="fakelink">
    <w:name w:val="fakelink"/>
    <w:basedOn w:val="DefaultParagraphFont"/>
    <w:rsid w:val="009B17C8"/>
  </w:style>
  <w:style w:type="character" w:customStyle="1" w:styleId="reference-text">
    <w:name w:val="reference-text"/>
    <w:basedOn w:val="DefaultParagraphFont"/>
    <w:rsid w:val="009B17C8"/>
  </w:style>
  <w:style w:type="character" w:customStyle="1" w:styleId="breadcrumbsubjects">
    <w:name w:val="breadcrumb_subjects"/>
    <w:basedOn w:val="DefaultParagraphFont"/>
    <w:rsid w:val="009B17C8"/>
  </w:style>
  <w:style w:type="character" w:customStyle="1" w:styleId="ampersand">
    <w:name w:val="ampersand"/>
    <w:basedOn w:val="DefaultParagraphFont"/>
    <w:rsid w:val="009B17C8"/>
  </w:style>
  <w:style w:type="character" w:customStyle="1" w:styleId="volume-value">
    <w:name w:val="volume-value"/>
    <w:basedOn w:val="DefaultParagraphFont"/>
    <w:rsid w:val="009B17C8"/>
  </w:style>
  <w:style w:type="character" w:customStyle="1" w:styleId="vol-issue-comma">
    <w:name w:val="vol-issue-comma"/>
    <w:basedOn w:val="DefaultParagraphFont"/>
    <w:rsid w:val="009B17C8"/>
  </w:style>
  <w:style w:type="character" w:customStyle="1" w:styleId="issue-value">
    <w:name w:val="issue-value"/>
    <w:basedOn w:val="DefaultParagraphFont"/>
    <w:rsid w:val="009B17C8"/>
  </w:style>
  <w:style w:type="character" w:customStyle="1" w:styleId="slug-pages">
    <w:name w:val="slug-pages"/>
    <w:basedOn w:val="DefaultParagraphFont"/>
    <w:rsid w:val="009B17C8"/>
  </w:style>
  <w:style w:type="character" w:customStyle="1" w:styleId="name">
    <w:name w:val="name"/>
    <w:basedOn w:val="DefaultParagraphFont"/>
    <w:rsid w:val="009B17C8"/>
  </w:style>
  <w:style w:type="paragraph" w:styleId="TOCHeading">
    <w:name w:val="TOC Heading"/>
    <w:basedOn w:val="Heading1"/>
    <w:next w:val="Normal"/>
    <w:uiPriority w:val="39"/>
    <w:unhideWhenUsed/>
    <w:qFormat/>
    <w:rsid w:val="006C7325"/>
    <w:pPr>
      <w:outlineLvl w:val="9"/>
    </w:pPr>
    <w:rPr>
      <w:rFonts w:asciiTheme="majorHAnsi" w:eastAsiaTheme="majorEastAsia" w:hAnsiTheme="majorHAnsi" w:cstheme="majorBidi"/>
      <w:color w:val="365F91" w:themeColor="accent1" w:themeShade="BF"/>
      <w:lang w:val="en-US" w:eastAsia="en-US"/>
    </w:rPr>
  </w:style>
  <w:style w:type="paragraph" w:styleId="TOC2">
    <w:name w:val="toc 2"/>
    <w:basedOn w:val="Normal"/>
    <w:next w:val="Normal"/>
    <w:autoRedefine/>
    <w:uiPriority w:val="39"/>
    <w:unhideWhenUsed/>
    <w:qFormat/>
    <w:rsid w:val="006C7325"/>
    <w:pPr>
      <w:spacing w:after="100"/>
      <w:ind w:left="220"/>
    </w:pPr>
    <w:rPr>
      <w:lang w:val="en-US" w:eastAsia="en-US"/>
    </w:rPr>
  </w:style>
  <w:style w:type="paragraph" w:styleId="TOC1">
    <w:name w:val="toc 1"/>
    <w:basedOn w:val="Normal"/>
    <w:next w:val="Normal"/>
    <w:autoRedefine/>
    <w:uiPriority w:val="39"/>
    <w:unhideWhenUsed/>
    <w:qFormat/>
    <w:rsid w:val="0032085B"/>
    <w:pPr>
      <w:tabs>
        <w:tab w:val="right" w:leader="dot" w:pos="9016"/>
      </w:tabs>
      <w:spacing w:after="100"/>
    </w:pPr>
    <w:rPr>
      <w:b/>
      <w:noProof/>
      <w:lang w:val="en-US" w:eastAsia="en-US"/>
    </w:rPr>
  </w:style>
  <w:style w:type="paragraph" w:styleId="TOC3">
    <w:name w:val="toc 3"/>
    <w:basedOn w:val="Normal"/>
    <w:next w:val="Normal"/>
    <w:autoRedefine/>
    <w:uiPriority w:val="39"/>
    <w:unhideWhenUsed/>
    <w:qFormat/>
    <w:rsid w:val="006C7325"/>
    <w:pPr>
      <w:spacing w:after="100"/>
      <w:ind w:left="440"/>
    </w:pPr>
    <w:rPr>
      <w:lang w:val="en-US" w:eastAsia="en-US"/>
    </w:rPr>
  </w:style>
  <w:style w:type="character" w:customStyle="1" w:styleId="st">
    <w:name w:val="st"/>
    <w:basedOn w:val="DefaultParagraphFont"/>
    <w:rsid w:val="00F67C22"/>
  </w:style>
  <w:style w:type="character" w:styleId="HTMLCite">
    <w:name w:val="HTML Cite"/>
    <w:basedOn w:val="DefaultParagraphFont"/>
    <w:uiPriority w:val="99"/>
    <w:semiHidden/>
    <w:unhideWhenUsed/>
    <w:rsid w:val="000B5F64"/>
    <w:rPr>
      <w:i/>
      <w:iCs/>
    </w:rPr>
  </w:style>
  <w:style w:type="character" w:styleId="SubtleEmphasis">
    <w:name w:val="Subtle Emphasis"/>
    <w:basedOn w:val="DefaultParagraphFont"/>
    <w:uiPriority w:val="19"/>
    <w:qFormat/>
    <w:rsid w:val="000E4BD2"/>
    <w:rPr>
      <w:i/>
      <w:iCs/>
      <w:color w:val="808080" w:themeColor="text1" w:themeTint="7F"/>
    </w:rPr>
  </w:style>
  <w:style w:type="paragraph" w:styleId="TOC4">
    <w:name w:val="toc 4"/>
    <w:basedOn w:val="Normal"/>
    <w:next w:val="Normal"/>
    <w:autoRedefine/>
    <w:uiPriority w:val="39"/>
    <w:unhideWhenUsed/>
    <w:rsid w:val="000C7DC1"/>
    <w:pPr>
      <w:spacing w:after="100"/>
      <w:ind w:left="660"/>
    </w:pPr>
  </w:style>
  <w:style w:type="paragraph" w:styleId="TOC5">
    <w:name w:val="toc 5"/>
    <w:basedOn w:val="Normal"/>
    <w:next w:val="Normal"/>
    <w:autoRedefine/>
    <w:uiPriority w:val="39"/>
    <w:unhideWhenUsed/>
    <w:rsid w:val="000C7DC1"/>
    <w:pPr>
      <w:spacing w:after="100"/>
      <w:ind w:left="880"/>
    </w:pPr>
  </w:style>
  <w:style w:type="paragraph" w:styleId="TOC6">
    <w:name w:val="toc 6"/>
    <w:basedOn w:val="Normal"/>
    <w:next w:val="Normal"/>
    <w:autoRedefine/>
    <w:uiPriority w:val="39"/>
    <w:unhideWhenUsed/>
    <w:rsid w:val="000C7DC1"/>
    <w:pPr>
      <w:spacing w:after="100"/>
      <w:ind w:left="1100"/>
    </w:pPr>
  </w:style>
  <w:style w:type="paragraph" w:styleId="TOC7">
    <w:name w:val="toc 7"/>
    <w:basedOn w:val="Normal"/>
    <w:next w:val="Normal"/>
    <w:autoRedefine/>
    <w:uiPriority w:val="39"/>
    <w:unhideWhenUsed/>
    <w:rsid w:val="000C7DC1"/>
    <w:pPr>
      <w:spacing w:after="100"/>
      <w:ind w:left="1320"/>
    </w:pPr>
  </w:style>
  <w:style w:type="paragraph" w:styleId="TOC8">
    <w:name w:val="toc 8"/>
    <w:basedOn w:val="Normal"/>
    <w:next w:val="Normal"/>
    <w:autoRedefine/>
    <w:uiPriority w:val="39"/>
    <w:unhideWhenUsed/>
    <w:rsid w:val="000C7DC1"/>
    <w:pPr>
      <w:spacing w:after="100"/>
      <w:ind w:left="1540"/>
    </w:pPr>
  </w:style>
  <w:style w:type="paragraph" w:styleId="TOC9">
    <w:name w:val="toc 9"/>
    <w:basedOn w:val="Normal"/>
    <w:next w:val="Normal"/>
    <w:autoRedefine/>
    <w:uiPriority w:val="39"/>
    <w:unhideWhenUsed/>
    <w:rsid w:val="000C7DC1"/>
    <w:pPr>
      <w:spacing w:after="100"/>
      <w:ind w:left="1760"/>
    </w:pPr>
  </w:style>
  <w:style w:type="character" w:customStyle="1" w:styleId="UnresolvedMention1">
    <w:name w:val="Unresolved Mention1"/>
    <w:basedOn w:val="DefaultParagraphFont"/>
    <w:uiPriority w:val="99"/>
    <w:semiHidden/>
    <w:unhideWhenUsed/>
    <w:rsid w:val="00A06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2869">
      <w:bodyDiv w:val="1"/>
      <w:marLeft w:val="0"/>
      <w:marRight w:val="0"/>
      <w:marTop w:val="0"/>
      <w:marBottom w:val="0"/>
      <w:divBdr>
        <w:top w:val="none" w:sz="0" w:space="0" w:color="auto"/>
        <w:left w:val="none" w:sz="0" w:space="0" w:color="auto"/>
        <w:bottom w:val="none" w:sz="0" w:space="0" w:color="auto"/>
        <w:right w:val="none" w:sz="0" w:space="0" w:color="auto"/>
      </w:divBdr>
    </w:div>
    <w:div w:id="413824973">
      <w:bodyDiv w:val="1"/>
      <w:marLeft w:val="0"/>
      <w:marRight w:val="0"/>
      <w:marTop w:val="0"/>
      <w:marBottom w:val="0"/>
      <w:divBdr>
        <w:top w:val="none" w:sz="0" w:space="0" w:color="auto"/>
        <w:left w:val="none" w:sz="0" w:space="0" w:color="auto"/>
        <w:bottom w:val="none" w:sz="0" w:space="0" w:color="auto"/>
        <w:right w:val="none" w:sz="0" w:space="0" w:color="auto"/>
      </w:divBdr>
    </w:div>
    <w:div w:id="415706587">
      <w:bodyDiv w:val="1"/>
      <w:marLeft w:val="0"/>
      <w:marRight w:val="0"/>
      <w:marTop w:val="0"/>
      <w:marBottom w:val="0"/>
      <w:divBdr>
        <w:top w:val="none" w:sz="0" w:space="0" w:color="auto"/>
        <w:left w:val="none" w:sz="0" w:space="0" w:color="auto"/>
        <w:bottom w:val="none" w:sz="0" w:space="0" w:color="auto"/>
        <w:right w:val="none" w:sz="0" w:space="0" w:color="auto"/>
      </w:divBdr>
    </w:div>
    <w:div w:id="473109049">
      <w:bodyDiv w:val="1"/>
      <w:marLeft w:val="0"/>
      <w:marRight w:val="0"/>
      <w:marTop w:val="0"/>
      <w:marBottom w:val="0"/>
      <w:divBdr>
        <w:top w:val="none" w:sz="0" w:space="0" w:color="auto"/>
        <w:left w:val="none" w:sz="0" w:space="0" w:color="auto"/>
        <w:bottom w:val="none" w:sz="0" w:space="0" w:color="auto"/>
        <w:right w:val="none" w:sz="0" w:space="0" w:color="auto"/>
      </w:divBdr>
    </w:div>
    <w:div w:id="671614849">
      <w:bodyDiv w:val="1"/>
      <w:marLeft w:val="0"/>
      <w:marRight w:val="0"/>
      <w:marTop w:val="0"/>
      <w:marBottom w:val="0"/>
      <w:divBdr>
        <w:top w:val="none" w:sz="0" w:space="0" w:color="auto"/>
        <w:left w:val="none" w:sz="0" w:space="0" w:color="auto"/>
        <w:bottom w:val="none" w:sz="0" w:space="0" w:color="auto"/>
        <w:right w:val="none" w:sz="0" w:space="0" w:color="auto"/>
      </w:divBdr>
    </w:div>
    <w:div w:id="810902937">
      <w:bodyDiv w:val="1"/>
      <w:marLeft w:val="0"/>
      <w:marRight w:val="0"/>
      <w:marTop w:val="0"/>
      <w:marBottom w:val="0"/>
      <w:divBdr>
        <w:top w:val="none" w:sz="0" w:space="0" w:color="auto"/>
        <w:left w:val="none" w:sz="0" w:space="0" w:color="auto"/>
        <w:bottom w:val="none" w:sz="0" w:space="0" w:color="auto"/>
        <w:right w:val="none" w:sz="0" w:space="0" w:color="auto"/>
      </w:divBdr>
    </w:div>
    <w:div w:id="837312518">
      <w:bodyDiv w:val="1"/>
      <w:marLeft w:val="0"/>
      <w:marRight w:val="0"/>
      <w:marTop w:val="0"/>
      <w:marBottom w:val="0"/>
      <w:divBdr>
        <w:top w:val="none" w:sz="0" w:space="0" w:color="auto"/>
        <w:left w:val="none" w:sz="0" w:space="0" w:color="auto"/>
        <w:bottom w:val="none" w:sz="0" w:space="0" w:color="auto"/>
        <w:right w:val="none" w:sz="0" w:space="0" w:color="auto"/>
      </w:divBdr>
    </w:div>
    <w:div w:id="945773266">
      <w:bodyDiv w:val="1"/>
      <w:marLeft w:val="0"/>
      <w:marRight w:val="0"/>
      <w:marTop w:val="0"/>
      <w:marBottom w:val="0"/>
      <w:divBdr>
        <w:top w:val="none" w:sz="0" w:space="0" w:color="auto"/>
        <w:left w:val="none" w:sz="0" w:space="0" w:color="auto"/>
        <w:bottom w:val="none" w:sz="0" w:space="0" w:color="auto"/>
        <w:right w:val="none" w:sz="0" w:space="0" w:color="auto"/>
      </w:divBdr>
    </w:div>
    <w:div w:id="1017658149">
      <w:bodyDiv w:val="1"/>
      <w:marLeft w:val="0"/>
      <w:marRight w:val="0"/>
      <w:marTop w:val="0"/>
      <w:marBottom w:val="0"/>
      <w:divBdr>
        <w:top w:val="none" w:sz="0" w:space="0" w:color="auto"/>
        <w:left w:val="none" w:sz="0" w:space="0" w:color="auto"/>
        <w:bottom w:val="none" w:sz="0" w:space="0" w:color="auto"/>
        <w:right w:val="none" w:sz="0" w:space="0" w:color="auto"/>
      </w:divBdr>
    </w:div>
    <w:div w:id="1242636235">
      <w:bodyDiv w:val="1"/>
      <w:marLeft w:val="0"/>
      <w:marRight w:val="0"/>
      <w:marTop w:val="0"/>
      <w:marBottom w:val="0"/>
      <w:divBdr>
        <w:top w:val="none" w:sz="0" w:space="0" w:color="auto"/>
        <w:left w:val="none" w:sz="0" w:space="0" w:color="auto"/>
        <w:bottom w:val="none" w:sz="0" w:space="0" w:color="auto"/>
        <w:right w:val="none" w:sz="0" w:space="0" w:color="auto"/>
      </w:divBdr>
    </w:div>
    <w:div w:id="1275868242">
      <w:bodyDiv w:val="1"/>
      <w:marLeft w:val="0"/>
      <w:marRight w:val="0"/>
      <w:marTop w:val="0"/>
      <w:marBottom w:val="0"/>
      <w:divBdr>
        <w:top w:val="none" w:sz="0" w:space="0" w:color="auto"/>
        <w:left w:val="none" w:sz="0" w:space="0" w:color="auto"/>
        <w:bottom w:val="none" w:sz="0" w:space="0" w:color="auto"/>
        <w:right w:val="none" w:sz="0" w:space="0" w:color="auto"/>
      </w:divBdr>
      <w:divsChild>
        <w:div w:id="848368621">
          <w:marLeft w:val="0"/>
          <w:marRight w:val="0"/>
          <w:marTop w:val="0"/>
          <w:marBottom w:val="0"/>
          <w:divBdr>
            <w:top w:val="none" w:sz="0" w:space="0" w:color="auto"/>
            <w:left w:val="none" w:sz="0" w:space="0" w:color="auto"/>
            <w:bottom w:val="none" w:sz="0" w:space="0" w:color="auto"/>
            <w:right w:val="none" w:sz="0" w:space="0" w:color="auto"/>
          </w:divBdr>
        </w:div>
        <w:div w:id="1928077412">
          <w:marLeft w:val="0"/>
          <w:marRight w:val="0"/>
          <w:marTop w:val="0"/>
          <w:marBottom w:val="0"/>
          <w:divBdr>
            <w:top w:val="none" w:sz="0" w:space="0" w:color="auto"/>
            <w:left w:val="none" w:sz="0" w:space="0" w:color="auto"/>
            <w:bottom w:val="none" w:sz="0" w:space="0" w:color="auto"/>
            <w:right w:val="none" w:sz="0" w:space="0" w:color="auto"/>
          </w:divBdr>
        </w:div>
        <w:div w:id="970981687">
          <w:marLeft w:val="0"/>
          <w:marRight w:val="0"/>
          <w:marTop w:val="0"/>
          <w:marBottom w:val="0"/>
          <w:divBdr>
            <w:top w:val="none" w:sz="0" w:space="0" w:color="auto"/>
            <w:left w:val="none" w:sz="0" w:space="0" w:color="auto"/>
            <w:bottom w:val="none" w:sz="0" w:space="0" w:color="auto"/>
            <w:right w:val="none" w:sz="0" w:space="0" w:color="auto"/>
          </w:divBdr>
        </w:div>
        <w:div w:id="759525578">
          <w:marLeft w:val="0"/>
          <w:marRight w:val="0"/>
          <w:marTop w:val="0"/>
          <w:marBottom w:val="0"/>
          <w:divBdr>
            <w:top w:val="none" w:sz="0" w:space="0" w:color="auto"/>
            <w:left w:val="none" w:sz="0" w:space="0" w:color="auto"/>
            <w:bottom w:val="none" w:sz="0" w:space="0" w:color="auto"/>
            <w:right w:val="none" w:sz="0" w:space="0" w:color="auto"/>
          </w:divBdr>
        </w:div>
        <w:div w:id="646014424">
          <w:marLeft w:val="0"/>
          <w:marRight w:val="0"/>
          <w:marTop w:val="0"/>
          <w:marBottom w:val="0"/>
          <w:divBdr>
            <w:top w:val="none" w:sz="0" w:space="0" w:color="auto"/>
            <w:left w:val="none" w:sz="0" w:space="0" w:color="auto"/>
            <w:bottom w:val="none" w:sz="0" w:space="0" w:color="auto"/>
            <w:right w:val="none" w:sz="0" w:space="0" w:color="auto"/>
          </w:divBdr>
        </w:div>
        <w:div w:id="877551921">
          <w:marLeft w:val="0"/>
          <w:marRight w:val="0"/>
          <w:marTop w:val="0"/>
          <w:marBottom w:val="0"/>
          <w:divBdr>
            <w:top w:val="none" w:sz="0" w:space="0" w:color="auto"/>
            <w:left w:val="none" w:sz="0" w:space="0" w:color="auto"/>
            <w:bottom w:val="none" w:sz="0" w:space="0" w:color="auto"/>
            <w:right w:val="none" w:sz="0" w:space="0" w:color="auto"/>
          </w:divBdr>
        </w:div>
        <w:div w:id="1207450076">
          <w:marLeft w:val="0"/>
          <w:marRight w:val="0"/>
          <w:marTop w:val="0"/>
          <w:marBottom w:val="0"/>
          <w:divBdr>
            <w:top w:val="none" w:sz="0" w:space="0" w:color="auto"/>
            <w:left w:val="none" w:sz="0" w:space="0" w:color="auto"/>
            <w:bottom w:val="none" w:sz="0" w:space="0" w:color="auto"/>
            <w:right w:val="none" w:sz="0" w:space="0" w:color="auto"/>
          </w:divBdr>
        </w:div>
        <w:div w:id="1249926950">
          <w:marLeft w:val="0"/>
          <w:marRight w:val="0"/>
          <w:marTop w:val="0"/>
          <w:marBottom w:val="0"/>
          <w:divBdr>
            <w:top w:val="none" w:sz="0" w:space="0" w:color="auto"/>
            <w:left w:val="none" w:sz="0" w:space="0" w:color="auto"/>
            <w:bottom w:val="none" w:sz="0" w:space="0" w:color="auto"/>
            <w:right w:val="none" w:sz="0" w:space="0" w:color="auto"/>
          </w:divBdr>
        </w:div>
        <w:div w:id="1305895050">
          <w:marLeft w:val="0"/>
          <w:marRight w:val="0"/>
          <w:marTop w:val="0"/>
          <w:marBottom w:val="0"/>
          <w:divBdr>
            <w:top w:val="none" w:sz="0" w:space="0" w:color="auto"/>
            <w:left w:val="none" w:sz="0" w:space="0" w:color="auto"/>
            <w:bottom w:val="none" w:sz="0" w:space="0" w:color="auto"/>
            <w:right w:val="none" w:sz="0" w:space="0" w:color="auto"/>
          </w:divBdr>
        </w:div>
        <w:div w:id="970477537">
          <w:marLeft w:val="0"/>
          <w:marRight w:val="0"/>
          <w:marTop w:val="0"/>
          <w:marBottom w:val="0"/>
          <w:divBdr>
            <w:top w:val="none" w:sz="0" w:space="0" w:color="auto"/>
            <w:left w:val="none" w:sz="0" w:space="0" w:color="auto"/>
            <w:bottom w:val="none" w:sz="0" w:space="0" w:color="auto"/>
            <w:right w:val="none" w:sz="0" w:space="0" w:color="auto"/>
          </w:divBdr>
        </w:div>
        <w:div w:id="494148408">
          <w:marLeft w:val="0"/>
          <w:marRight w:val="0"/>
          <w:marTop w:val="0"/>
          <w:marBottom w:val="0"/>
          <w:divBdr>
            <w:top w:val="none" w:sz="0" w:space="0" w:color="auto"/>
            <w:left w:val="none" w:sz="0" w:space="0" w:color="auto"/>
            <w:bottom w:val="none" w:sz="0" w:space="0" w:color="auto"/>
            <w:right w:val="none" w:sz="0" w:space="0" w:color="auto"/>
          </w:divBdr>
        </w:div>
        <w:div w:id="1451777903">
          <w:marLeft w:val="0"/>
          <w:marRight w:val="0"/>
          <w:marTop w:val="0"/>
          <w:marBottom w:val="0"/>
          <w:divBdr>
            <w:top w:val="none" w:sz="0" w:space="0" w:color="auto"/>
            <w:left w:val="none" w:sz="0" w:space="0" w:color="auto"/>
            <w:bottom w:val="none" w:sz="0" w:space="0" w:color="auto"/>
            <w:right w:val="none" w:sz="0" w:space="0" w:color="auto"/>
          </w:divBdr>
        </w:div>
        <w:div w:id="1128932396">
          <w:marLeft w:val="0"/>
          <w:marRight w:val="0"/>
          <w:marTop w:val="0"/>
          <w:marBottom w:val="0"/>
          <w:divBdr>
            <w:top w:val="none" w:sz="0" w:space="0" w:color="auto"/>
            <w:left w:val="none" w:sz="0" w:space="0" w:color="auto"/>
            <w:bottom w:val="none" w:sz="0" w:space="0" w:color="auto"/>
            <w:right w:val="none" w:sz="0" w:space="0" w:color="auto"/>
          </w:divBdr>
        </w:div>
        <w:div w:id="1140221902">
          <w:marLeft w:val="0"/>
          <w:marRight w:val="0"/>
          <w:marTop w:val="0"/>
          <w:marBottom w:val="0"/>
          <w:divBdr>
            <w:top w:val="none" w:sz="0" w:space="0" w:color="auto"/>
            <w:left w:val="none" w:sz="0" w:space="0" w:color="auto"/>
            <w:bottom w:val="none" w:sz="0" w:space="0" w:color="auto"/>
            <w:right w:val="none" w:sz="0" w:space="0" w:color="auto"/>
          </w:divBdr>
        </w:div>
        <w:div w:id="27075283">
          <w:marLeft w:val="0"/>
          <w:marRight w:val="0"/>
          <w:marTop w:val="0"/>
          <w:marBottom w:val="0"/>
          <w:divBdr>
            <w:top w:val="none" w:sz="0" w:space="0" w:color="auto"/>
            <w:left w:val="none" w:sz="0" w:space="0" w:color="auto"/>
            <w:bottom w:val="none" w:sz="0" w:space="0" w:color="auto"/>
            <w:right w:val="none" w:sz="0" w:space="0" w:color="auto"/>
          </w:divBdr>
        </w:div>
        <w:div w:id="112022853">
          <w:marLeft w:val="0"/>
          <w:marRight w:val="0"/>
          <w:marTop w:val="0"/>
          <w:marBottom w:val="0"/>
          <w:divBdr>
            <w:top w:val="none" w:sz="0" w:space="0" w:color="auto"/>
            <w:left w:val="none" w:sz="0" w:space="0" w:color="auto"/>
            <w:bottom w:val="none" w:sz="0" w:space="0" w:color="auto"/>
            <w:right w:val="none" w:sz="0" w:space="0" w:color="auto"/>
          </w:divBdr>
        </w:div>
      </w:divsChild>
    </w:div>
    <w:div w:id="1339774013">
      <w:bodyDiv w:val="1"/>
      <w:marLeft w:val="0"/>
      <w:marRight w:val="0"/>
      <w:marTop w:val="0"/>
      <w:marBottom w:val="0"/>
      <w:divBdr>
        <w:top w:val="none" w:sz="0" w:space="0" w:color="auto"/>
        <w:left w:val="none" w:sz="0" w:space="0" w:color="auto"/>
        <w:bottom w:val="none" w:sz="0" w:space="0" w:color="auto"/>
        <w:right w:val="none" w:sz="0" w:space="0" w:color="auto"/>
      </w:divBdr>
    </w:div>
    <w:div w:id="1611355141">
      <w:bodyDiv w:val="1"/>
      <w:marLeft w:val="0"/>
      <w:marRight w:val="0"/>
      <w:marTop w:val="0"/>
      <w:marBottom w:val="0"/>
      <w:divBdr>
        <w:top w:val="none" w:sz="0" w:space="0" w:color="auto"/>
        <w:left w:val="none" w:sz="0" w:space="0" w:color="auto"/>
        <w:bottom w:val="none" w:sz="0" w:space="0" w:color="auto"/>
        <w:right w:val="none" w:sz="0" w:space="0" w:color="auto"/>
      </w:divBdr>
    </w:div>
    <w:div w:id="192368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sebd.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up\Desktop\New%20Microsoft%20Excel%20Worksheet%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From%20PenDrive_12102014\Thesis\Article%20write%20up\Institution%20vs%20Individual%20Investors\New%20Analysis_2\Other%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Garamond" panose="02020404030301010803" pitchFamily="18" charset="0"/>
                <a:ea typeface="+mn-ea"/>
                <a:cs typeface="+mn-cs"/>
              </a:defRPr>
            </a:pPr>
            <a:r>
              <a:rPr lang="en-GB" sz="1200" b="1">
                <a:solidFill>
                  <a:sysClr val="windowText" lastClr="000000"/>
                </a:solidFill>
                <a:latin typeface="Garamond" panose="02020404030301010803" pitchFamily="18" charset="0"/>
              </a:rPr>
              <a:t>Trends</a:t>
            </a:r>
            <a:r>
              <a:rPr lang="en-GB" sz="1200" b="1" baseline="0">
                <a:solidFill>
                  <a:sysClr val="windowText" lastClr="000000"/>
                </a:solidFill>
                <a:latin typeface="Garamond" panose="02020404030301010803" pitchFamily="18" charset="0"/>
              </a:rPr>
              <a:t> of Information Disclosure</a:t>
            </a:r>
            <a:endParaRPr lang="en-GB" sz="1200" b="1">
              <a:solidFill>
                <a:sysClr val="windowText" lastClr="000000"/>
              </a:solidFill>
              <a:latin typeface="Garamond" panose="02020404030301010803" pitchFamily="18" charset="0"/>
            </a:endParaRPr>
          </a:p>
        </c:rich>
      </c:tx>
      <c:layout>
        <c:manualLayout>
          <c:xMode val="edge"/>
          <c:yMode val="edge"/>
          <c:x val="0.28192671108419137"/>
          <c:y val="3.2407308309762253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Garamond" panose="02020404030301010803" pitchFamily="18" charset="0"/>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Sheet1!$O$1</c:f>
              <c:strCache>
                <c:ptCount val="1"/>
                <c:pt idx="0">
                  <c:v>Firm level</c:v>
                </c:pt>
              </c:strCache>
            </c:strRef>
          </c:tx>
          <c:spPr>
            <a:solidFill>
              <a:schemeClr val="accent1"/>
            </a:solidFill>
            <a:ln>
              <a:noFill/>
            </a:ln>
            <a:effectLst/>
            <a:sp3d/>
          </c:spPr>
          <c:invertIfNegative val="0"/>
          <c:cat>
            <c:strRef>
              <c:f>Sheet1!$N$2:$N$8</c:f>
              <c:strCache>
                <c:ptCount val="7"/>
                <c:pt idx="0">
                  <c:v>Sunday</c:v>
                </c:pt>
                <c:pt idx="1">
                  <c:v>Monday</c:v>
                </c:pt>
                <c:pt idx="2">
                  <c:v>Tuesday</c:v>
                </c:pt>
                <c:pt idx="3">
                  <c:v>Wednesday</c:v>
                </c:pt>
                <c:pt idx="4">
                  <c:v>Thursday</c:v>
                </c:pt>
                <c:pt idx="5">
                  <c:v>Friday</c:v>
                </c:pt>
                <c:pt idx="6">
                  <c:v>Saturday</c:v>
                </c:pt>
              </c:strCache>
            </c:strRef>
          </c:cat>
          <c:val>
            <c:numRef>
              <c:f>Sheet1!$O$2:$O$8</c:f>
              <c:numCache>
                <c:formatCode>0.00</c:formatCode>
                <c:ptCount val="7"/>
                <c:pt idx="0">
                  <c:v>8.5</c:v>
                </c:pt>
                <c:pt idx="1">
                  <c:v>11.43</c:v>
                </c:pt>
                <c:pt idx="2">
                  <c:v>14.35</c:v>
                </c:pt>
                <c:pt idx="3">
                  <c:v>20</c:v>
                </c:pt>
                <c:pt idx="4">
                  <c:v>40</c:v>
                </c:pt>
                <c:pt idx="5">
                  <c:v>2.86</c:v>
                </c:pt>
                <c:pt idx="6">
                  <c:v>2.86</c:v>
                </c:pt>
              </c:numCache>
            </c:numRef>
          </c:val>
          <c:extLst xmlns:c16r2="http://schemas.microsoft.com/office/drawing/2015/06/chart">
            <c:ext xmlns:c16="http://schemas.microsoft.com/office/drawing/2014/chart" uri="{C3380CC4-5D6E-409C-BE32-E72D297353CC}">
              <c16:uniqueId val="{00000000-B35F-47B4-BAEE-73A9C7F6D6CD}"/>
            </c:ext>
          </c:extLst>
        </c:ser>
        <c:ser>
          <c:idx val="1"/>
          <c:order val="1"/>
          <c:tx>
            <c:strRef>
              <c:f>Sheet1!$P$1</c:f>
              <c:strCache>
                <c:ptCount val="1"/>
                <c:pt idx="0">
                  <c:v>SEC and DSE</c:v>
                </c:pt>
              </c:strCache>
            </c:strRef>
          </c:tx>
          <c:spPr>
            <a:solidFill>
              <a:schemeClr val="accent2"/>
            </a:solidFill>
            <a:ln>
              <a:noFill/>
            </a:ln>
            <a:effectLst/>
            <a:sp3d/>
          </c:spPr>
          <c:invertIfNegative val="0"/>
          <c:cat>
            <c:strRef>
              <c:f>Sheet1!$N$2:$N$8</c:f>
              <c:strCache>
                <c:ptCount val="7"/>
                <c:pt idx="0">
                  <c:v>Sunday</c:v>
                </c:pt>
                <c:pt idx="1">
                  <c:v>Monday</c:v>
                </c:pt>
                <c:pt idx="2">
                  <c:v>Tuesday</c:v>
                </c:pt>
                <c:pt idx="3">
                  <c:v>Wednesday</c:v>
                </c:pt>
                <c:pt idx="4">
                  <c:v>Thursday</c:v>
                </c:pt>
                <c:pt idx="5">
                  <c:v>Friday</c:v>
                </c:pt>
                <c:pt idx="6">
                  <c:v>Saturday</c:v>
                </c:pt>
              </c:strCache>
            </c:strRef>
          </c:cat>
          <c:val>
            <c:numRef>
              <c:f>Sheet1!$P$2:$P$8</c:f>
              <c:numCache>
                <c:formatCode>0.00</c:formatCode>
                <c:ptCount val="7"/>
                <c:pt idx="0">
                  <c:v>13.33</c:v>
                </c:pt>
                <c:pt idx="1">
                  <c:v>13.33</c:v>
                </c:pt>
                <c:pt idx="2">
                  <c:v>20</c:v>
                </c:pt>
                <c:pt idx="3">
                  <c:v>20</c:v>
                </c:pt>
                <c:pt idx="4">
                  <c:v>33.340000000000003</c:v>
                </c:pt>
                <c:pt idx="5">
                  <c:v>0</c:v>
                </c:pt>
                <c:pt idx="6">
                  <c:v>0</c:v>
                </c:pt>
              </c:numCache>
            </c:numRef>
          </c:val>
          <c:extLst xmlns:c16r2="http://schemas.microsoft.com/office/drawing/2015/06/chart">
            <c:ext xmlns:c16="http://schemas.microsoft.com/office/drawing/2014/chart" uri="{C3380CC4-5D6E-409C-BE32-E72D297353CC}">
              <c16:uniqueId val="{00000001-B35F-47B4-BAEE-73A9C7F6D6CD}"/>
            </c:ext>
          </c:extLst>
        </c:ser>
        <c:ser>
          <c:idx val="2"/>
          <c:order val="2"/>
          <c:tx>
            <c:strRef>
              <c:f>Sheet1!$Q$1</c:f>
              <c:strCache>
                <c:ptCount val="1"/>
                <c:pt idx="0">
                  <c:v>Government and BB</c:v>
                </c:pt>
              </c:strCache>
            </c:strRef>
          </c:tx>
          <c:spPr>
            <a:solidFill>
              <a:schemeClr val="accent3"/>
            </a:solidFill>
            <a:ln>
              <a:noFill/>
            </a:ln>
            <a:effectLst/>
            <a:sp3d/>
          </c:spPr>
          <c:invertIfNegative val="0"/>
          <c:cat>
            <c:strRef>
              <c:f>Sheet1!$N$2:$N$8</c:f>
              <c:strCache>
                <c:ptCount val="7"/>
                <c:pt idx="0">
                  <c:v>Sunday</c:v>
                </c:pt>
                <c:pt idx="1">
                  <c:v>Monday</c:v>
                </c:pt>
                <c:pt idx="2">
                  <c:v>Tuesday</c:v>
                </c:pt>
                <c:pt idx="3">
                  <c:v>Wednesday</c:v>
                </c:pt>
                <c:pt idx="4">
                  <c:v>Thursday</c:v>
                </c:pt>
                <c:pt idx="5">
                  <c:v>Friday</c:v>
                </c:pt>
                <c:pt idx="6">
                  <c:v>Saturday</c:v>
                </c:pt>
              </c:strCache>
            </c:strRef>
          </c:cat>
          <c:val>
            <c:numRef>
              <c:f>Sheet1!$Q$2:$Q$8</c:f>
              <c:numCache>
                <c:formatCode>0.00</c:formatCode>
                <c:ptCount val="7"/>
                <c:pt idx="0">
                  <c:v>6.67</c:v>
                </c:pt>
                <c:pt idx="1">
                  <c:v>13.63</c:v>
                </c:pt>
                <c:pt idx="2">
                  <c:v>13.33</c:v>
                </c:pt>
                <c:pt idx="3">
                  <c:v>20</c:v>
                </c:pt>
                <c:pt idx="4">
                  <c:v>40</c:v>
                </c:pt>
                <c:pt idx="5">
                  <c:v>0</c:v>
                </c:pt>
                <c:pt idx="6">
                  <c:v>6.37</c:v>
                </c:pt>
              </c:numCache>
            </c:numRef>
          </c:val>
          <c:extLst xmlns:c16r2="http://schemas.microsoft.com/office/drawing/2015/06/chart">
            <c:ext xmlns:c16="http://schemas.microsoft.com/office/drawing/2014/chart" uri="{C3380CC4-5D6E-409C-BE32-E72D297353CC}">
              <c16:uniqueId val="{00000002-B35F-47B4-BAEE-73A9C7F6D6CD}"/>
            </c:ext>
          </c:extLst>
        </c:ser>
        <c:ser>
          <c:idx val="3"/>
          <c:order val="3"/>
          <c:tx>
            <c:strRef>
              <c:f>Sheet1!$R$1</c:f>
              <c:strCache>
                <c:ptCount val="1"/>
                <c:pt idx="0">
                  <c:v>Media and Newspaper</c:v>
                </c:pt>
              </c:strCache>
            </c:strRef>
          </c:tx>
          <c:spPr>
            <a:solidFill>
              <a:schemeClr val="accent4"/>
            </a:solidFill>
            <a:ln>
              <a:noFill/>
            </a:ln>
            <a:effectLst/>
            <a:sp3d/>
          </c:spPr>
          <c:invertIfNegative val="0"/>
          <c:cat>
            <c:strRef>
              <c:f>Sheet1!$N$2:$N$8</c:f>
              <c:strCache>
                <c:ptCount val="7"/>
                <c:pt idx="0">
                  <c:v>Sunday</c:v>
                </c:pt>
                <c:pt idx="1">
                  <c:v>Monday</c:v>
                </c:pt>
                <c:pt idx="2">
                  <c:v>Tuesday</c:v>
                </c:pt>
                <c:pt idx="3">
                  <c:v>Wednesday</c:v>
                </c:pt>
                <c:pt idx="4">
                  <c:v>Thursday</c:v>
                </c:pt>
                <c:pt idx="5">
                  <c:v>Friday</c:v>
                </c:pt>
                <c:pt idx="6">
                  <c:v>Saturday</c:v>
                </c:pt>
              </c:strCache>
            </c:strRef>
          </c:cat>
          <c:val>
            <c:numRef>
              <c:f>Sheet1!$R$2:$R$8</c:f>
              <c:numCache>
                <c:formatCode>0.00</c:formatCode>
                <c:ptCount val="7"/>
                <c:pt idx="0">
                  <c:v>5</c:v>
                </c:pt>
                <c:pt idx="1">
                  <c:v>8</c:v>
                </c:pt>
                <c:pt idx="2">
                  <c:v>10</c:v>
                </c:pt>
                <c:pt idx="3">
                  <c:v>10</c:v>
                </c:pt>
                <c:pt idx="4">
                  <c:v>18</c:v>
                </c:pt>
                <c:pt idx="5">
                  <c:v>30</c:v>
                </c:pt>
                <c:pt idx="6">
                  <c:v>19</c:v>
                </c:pt>
              </c:numCache>
            </c:numRef>
          </c:val>
          <c:extLst xmlns:c16r2="http://schemas.microsoft.com/office/drawing/2015/06/chart">
            <c:ext xmlns:c16="http://schemas.microsoft.com/office/drawing/2014/chart" uri="{C3380CC4-5D6E-409C-BE32-E72D297353CC}">
              <c16:uniqueId val="{00000003-B35F-47B4-BAEE-73A9C7F6D6CD}"/>
            </c:ext>
          </c:extLst>
        </c:ser>
        <c:dLbls>
          <c:showLegendKey val="0"/>
          <c:showVal val="0"/>
          <c:showCatName val="0"/>
          <c:showSerName val="0"/>
          <c:showPercent val="0"/>
          <c:showBubbleSize val="0"/>
        </c:dLbls>
        <c:gapWidth val="150"/>
        <c:shape val="box"/>
        <c:axId val="419854640"/>
        <c:axId val="419857776"/>
        <c:axId val="0"/>
      </c:bar3DChart>
      <c:catAx>
        <c:axId val="419854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n-US"/>
          </a:p>
        </c:txPr>
        <c:crossAx val="419857776"/>
        <c:crosses val="autoZero"/>
        <c:auto val="1"/>
        <c:lblAlgn val="ctr"/>
        <c:lblOffset val="100"/>
        <c:noMultiLvlLbl val="0"/>
      </c:catAx>
      <c:valAx>
        <c:axId val="419857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9854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Garamond" panose="02020404030301010803" pitchFamily="18" charset="0"/>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Garamond" panose="02020404030301010803" pitchFamily="18" charset="0"/>
                <a:ea typeface="+mn-ea"/>
                <a:cs typeface="+mn-cs"/>
              </a:defRPr>
            </a:pPr>
            <a:r>
              <a:rPr lang="en-US" sz="1200">
                <a:solidFill>
                  <a:sysClr val="windowText" lastClr="000000"/>
                </a:solidFill>
                <a:latin typeface="Garamond" panose="02020404030301010803" pitchFamily="18" charset="0"/>
              </a:rPr>
              <a:t>Median of</a:t>
            </a:r>
            <a:r>
              <a:rPr lang="en-US" sz="1200" baseline="0">
                <a:solidFill>
                  <a:sysClr val="windowText" lastClr="000000"/>
                </a:solidFill>
                <a:latin typeface="Garamond" panose="02020404030301010803" pitchFamily="18" charset="0"/>
              </a:rPr>
              <a:t> Daily </a:t>
            </a:r>
            <a:r>
              <a:rPr lang="en-US" sz="1200">
                <a:solidFill>
                  <a:sysClr val="windowText" lastClr="000000"/>
                </a:solidFill>
                <a:latin typeface="Garamond" panose="02020404030301010803" pitchFamily="18" charset="0"/>
              </a:rPr>
              <a:t>Trading Volume</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Garamond" panose="02020404030301010803" pitchFamily="18" charset="0"/>
              <a:ea typeface="+mn-ea"/>
              <a:cs typeface="+mn-cs"/>
            </a:defRPr>
          </a:pPr>
          <a:endParaRPr lang="en-US"/>
        </a:p>
      </c:txPr>
    </c:title>
    <c:autoTitleDeleted val="0"/>
    <c:plotArea>
      <c:layout/>
      <c:barChart>
        <c:barDir val="col"/>
        <c:grouping val="clustered"/>
        <c:varyColors val="0"/>
        <c:ser>
          <c:idx val="0"/>
          <c:order val="0"/>
          <c:tx>
            <c:strRef>
              <c:f>Sheet1!$T$17</c:f>
              <c:strCache>
                <c:ptCount val="1"/>
                <c:pt idx="0">
                  <c:v>Median Volume</c:v>
                </c:pt>
              </c:strCache>
            </c:strRef>
          </c:tx>
          <c:spPr>
            <a:solidFill>
              <a:schemeClr val="accent1"/>
            </a:solidFill>
            <a:ln>
              <a:noFill/>
            </a:ln>
            <a:effectLst/>
          </c:spPr>
          <c:invertIfNegative val="0"/>
          <c:cat>
            <c:strRef>
              <c:f>Sheet1!$S$18:$S$22</c:f>
              <c:strCache>
                <c:ptCount val="5"/>
                <c:pt idx="0">
                  <c:v>Sunday</c:v>
                </c:pt>
                <c:pt idx="1">
                  <c:v>Monday</c:v>
                </c:pt>
                <c:pt idx="2">
                  <c:v>Tuesday</c:v>
                </c:pt>
                <c:pt idx="3">
                  <c:v>Wednesday</c:v>
                </c:pt>
                <c:pt idx="4">
                  <c:v>Thursday</c:v>
                </c:pt>
              </c:strCache>
            </c:strRef>
          </c:cat>
          <c:val>
            <c:numRef>
              <c:f>Sheet1!$T$18:$T$22</c:f>
              <c:numCache>
                <c:formatCode>General</c:formatCode>
                <c:ptCount val="5"/>
                <c:pt idx="0">
                  <c:v>6541790</c:v>
                </c:pt>
                <c:pt idx="1">
                  <c:v>6516139</c:v>
                </c:pt>
                <c:pt idx="2">
                  <c:v>6489751</c:v>
                </c:pt>
                <c:pt idx="3">
                  <c:v>6546415</c:v>
                </c:pt>
                <c:pt idx="4">
                  <c:v>6477154</c:v>
                </c:pt>
              </c:numCache>
            </c:numRef>
          </c:val>
          <c:extLst xmlns:c16r2="http://schemas.microsoft.com/office/drawing/2015/06/chart">
            <c:ext xmlns:c16="http://schemas.microsoft.com/office/drawing/2014/chart" uri="{C3380CC4-5D6E-409C-BE32-E72D297353CC}">
              <c16:uniqueId val="{00000000-57A0-4198-8C19-0DE025D5A0F2}"/>
            </c:ext>
          </c:extLst>
        </c:ser>
        <c:dLbls>
          <c:showLegendKey val="0"/>
          <c:showVal val="0"/>
          <c:showCatName val="0"/>
          <c:showSerName val="0"/>
          <c:showPercent val="0"/>
          <c:showBubbleSize val="0"/>
        </c:dLbls>
        <c:gapWidth val="219"/>
        <c:overlap val="-27"/>
        <c:axId val="419856600"/>
        <c:axId val="419855424"/>
      </c:barChart>
      <c:catAx>
        <c:axId val="41985660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solidFill>
                      <a:sysClr val="windowText" lastClr="000000"/>
                    </a:solidFill>
                  </a:rPr>
                  <a:t>Trding Days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9855424"/>
        <c:crosses val="autoZero"/>
        <c:auto val="1"/>
        <c:lblAlgn val="ctr"/>
        <c:lblOffset val="100"/>
        <c:noMultiLvlLbl val="0"/>
      </c:catAx>
      <c:valAx>
        <c:axId val="419855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solidFill>
                      <a:sysClr val="windowText" lastClr="000000"/>
                    </a:solidFill>
                  </a:rPr>
                  <a:t>Volume of Trade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198566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E358E-96E0-4710-BB1B-A2EB443C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44</Pages>
  <Words>14712</Words>
  <Characters>83864</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chowdh02</dc:creator>
  <cp:keywords/>
  <dc:description/>
  <cp:lastModifiedBy>Keith Anderson</cp:lastModifiedBy>
  <cp:revision>9</cp:revision>
  <cp:lastPrinted>2015-03-08T18:38:00Z</cp:lastPrinted>
  <dcterms:created xsi:type="dcterms:W3CDTF">2021-01-22T02:10:00Z</dcterms:created>
  <dcterms:modified xsi:type="dcterms:W3CDTF">2021-01-29T19:38:00Z</dcterms:modified>
</cp:coreProperties>
</file>