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C7EB7" w14:textId="3EAEDB15" w:rsidR="009C304E" w:rsidRPr="00F60690" w:rsidRDefault="00A40C33" w:rsidP="004E0A36">
      <w:pPr>
        <w:pStyle w:val="Title"/>
        <w:spacing w:line="360" w:lineRule="auto"/>
        <w:rPr>
          <w:rFonts w:ascii="Arial" w:hAnsi="Arial" w:cs="Arial"/>
          <w:sz w:val="24"/>
          <w:szCs w:val="24"/>
        </w:rPr>
      </w:pPr>
      <w:r w:rsidRPr="00F60690">
        <w:rPr>
          <w:rFonts w:ascii="Arial" w:hAnsi="Arial" w:cs="Arial"/>
          <w:sz w:val="24"/>
          <w:szCs w:val="24"/>
        </w:rPr>
        <w:t>An early-morning gene network controlled by p</w:t>
      </w:r>
      <w:r w:rsidR="00BA10FA" w:rsidRPr="00F60690">
        <w:rPr>
          <w:rFonts w:ascii="Arial" w:hAnsi="Arial" w:cs="Arial"/>
          <w:sz w:val="24"/>
          <w:szCs w:val="24"/>
        </w:rPr>
        <w:t xml:space="preserve">hytochromes and cryptochromes </w:t>
      </w:r>
      <w:r w:rsidRPr="00F60690">
        <w:rPr>
          <w:rFonts w:ascii="Arial" w:hAnsi="Arial" w:cs="Arial"/>
          <w:sz w:val="24"/>
          <w:szCs w:val="24"/>
        </w:rPr>
        <w:t>regulates</w:t>
      </w:r>
      <w:r w:rsidR="00BA10FA" w:rsidRPr="00F60690">
        <w:rPr>
          <w:rFonts w:ascii="Arial" w:hAnsi="Arial" w:cs="Arial"/>
          <w:sz w:val="24"/>
          <w:szCs w:val="24"/>
        </w:rPr>
        <w:t xml:space="preserve"> photomorphogenesis </w:t>
      </w:r>
      <w:r w:rsidRPr="00F60690">
        <w:rPr>
          <w:rFonts w:ascii="Arial" w:hAnsi="Arial" w:cs="Arial"/>
          <w:sz w:val="24"/>
          <w:szCs w:val="24"/>
        </w:rPr>
        <w:t>pathways</w:t>
      </w:r>
      <w:r w:rsidR="005D6489" w:rsidRPr="00F60690">
        <w:rPr>
          <w:rFonts w:ascii="Arial" w:hAnsi="Arial" w:cs="Arial"/>
          <w:sz w:val="24"/>
          <w:szCs w:val="24"/>
        </w:rPr>
        <w:t xml:space="preserve"> in Arabidopsis</w:t>
      </w:r>
    </w:p>
    <w:p w14:paraId="3B5DC406" w14:textId="0A410FE7" w:rsidR="00E037F9" w:rsidRPr="00F93C0C" w:rsidRDefault="00E037F9" w:rsidP="004E0A36">
      <w:pPr>
        <w:pStyle w:val="Author"/>
        <w:spacing w:line="360" w:lineRule="auto"/>
        <w:rPr>
          <w:rFonts w:ascii="Arial" w:hAnsi="Arial" w:cs="Arial"/>
          <w:vertAlign w:val="superscript"/>
        </w:rPr>
      </w:pPr>
      <w:r w:rsidRPr="005D6489">
        <w:rPr>
          <w:rFonts w:ascii="Arial" w:hAnsi="Arial" w:cs="Arial"/>
        </w:rPr>
        <w:t>M</w:t>
      </w:r>
      <w:r w:rsidR="00BA10FA" w:rsidRPr="005D6489">
        <w:rPr>
          <w:rFonts w:ascii="Arial" w:hAnsi="Arial" w:cs="Arial"/>
        </w:rPr>
        <w:t>artin</w:t>
      </w:r>
      <w:r w:rsidRPr="005D6489">
        <w:rPr>
          <w:rFonts w:ascii="Arial" w:hAnsi="Arial" w:cs="Arial"/>
        </w:rPr>
        <w:t xml:space="preserve"> B</w:t>
      </w:r>
      <w:r w:rsidR="00BA10FA" w:rsidRPr="005D6489">
        <w:rPr>
          <w:rFonts w:ascii="Arial" w:hAnsi="Arial" w:cs="Arial"/>
        </w:rPr>
        <w:t>alcerowicz</w:t>
      </w:r>
      <w:proofErr w:type="gramStart"/>
      <w:r w:rsidR="00AE61BB" w:rsidRPr="008C6C8F">
        <w:rPr>
          <w:rFonts w:ascii="Arial" w:hAnsi="Arial" w:cs="Arial"/>
          <w:vertAlign w:val="superscript"/>
        </w:rPr>
        <w:t>1,</w:t>
      </w:r>
      <w:r w:rsidRPr="005D6489">
        <w:rPr>
          <w:rFonts w:ascii="Arial" w:hAnsi="Arial" w:cs="Arial"/>
        </w:rPr>
        <w:t>*</w:t>
      </w:r>
      <w:proofErr w:type="gramEnd"/>
      <w:r w:rsidRPr="005D6489">
        <w:rPr>
          <w:rFonts w:ascii="Arial" w:hAnsi="Arial" w:cs="Arial"/>
        </w:rPr>
        <w:t xml:space="preserve">, </w:t>
      </w:r>
      <w:proofErr w:type="spellStart"/>
      <w:r w:rsidR="00961647" w:rsidRPr="005D6489">
        <w:rPr>
          <w:rFonts w:ascii="Arial" w:hAnsi="Arial" w:cs="Arial"/>
        </w:rPr>
        <w:t>Mahiar</w:t>
      </w:r>
      <w:proofErr w:type="spellEnd"/>
      <w:r w:rsidR="00961647" w:rsidRPr="005D6489">
        <w:rPr>
          <w:rFonts w:ascii="Arial" w:hAnsi="Arial" w:cs="Arial"/>
        </w:rPr>
        <w:t xml:space="preserve"> Mahjoub</w:t>
      </w:r>
      <w:r w:rsidR="00AE61BB" w:rsidRPr="006A1C93">
        <w:rPr>
          <w:rFonts w:ascii="Arial" w:hAnsi="Arial" w:cs="Arial"/>
          <w:vertAlign w:val="superscript"/>
        </w:rPr>
        <w:t>1,</w:t>
      </w:r>
      <w:r w:rsidR="00AC2B6E">
        <w:rPr>
          <w:rFonts w:ascii="Arial" w:hAnsi="Arial" w:cs="Arial"/>
          <w:vertAlign w:val="superscript"/>
        </w:rPr>
        <w:t>2</w:t>
      </w:r>
      <w:r w:rsidR="00961647" w:rsidRPr="005D6489">
        <w:rPr>
          <w:rFonts w:ascii="Arial" w:hAnsi="Arial" w:cs="Arial"/>
        </w:rPr>
        <w:t xml:space="preserve">*, </w:t>
      </w:r>
      <w:proofErr w:type="spellStart"/>
      <w:r w:rsidR="003A5A36" w:rsidRPr="005D6489">
        <w:rPr>
          <w:rFonts w:ascii="Arial" w:hAnsi="Arial" w:cs="Arial"/>
        </w:rPr>
        <w:t>Duy</w:t>
      </w:r>
      <w:proofErr w:type="spellEnd"/>
      <w:r w:rsidR="003A5A36" w:rsidRPr="005D6489">
        <w:rPr>
          <w:rFonts w:ascii="Arial" w:hAnsi="Arial" w:cs="Arial"/>
        </w:rPr>
        <w:t xml:space="preserve"> Nguyen</w:t>
      </w:r>
      <w:r w:rsidR="00AE61BB" w:rsidRPr="006A1C93">
        <w:rPr>
          <w:rFonts w:ascii="Arial" w:hAnsi="Arial" w:cs="Arial"/>
          <w:vertAlign w:val="superscript"/>
        </w:rPr>
        <w:t>1</w:t>
      </w:r>
      <w:r w:rsidR="00AE61BB">
        <w:rPr>
          <w:rFonts w:ascii="Arial" w:hAnsi="Arial" w:cs="Arial"/>
          <w:vertAlign w:val="superscript"/>
        </w:rPr>
        <w:t>,</w:t>
      </w:r>
      <w:r w:rsidR="00AC2B6E">
        <w:rPr>
          <w:rFonts w:ascii="Arial" w:hAnsi="Arial" w:cs="Arial"/>
          <w:vertAlign w:val="superscript"/>
        </w:rPr>
        <w:t>3</w:t>
      </w:r>
      <w:r w:rsidR="003A5A36" w:rsidRPr="005D6489">
        <w:rPr>
          <w:rFonts w:ascii="Arial" w:hAnsi="Arial" w:cs="Arial"/>
        </w:rPr>
        <w:t xml:space="preserve">, </w:t>
      </w:r>
      <w:r w:rsidRPr="005D6489">
        <w:rPr>
          <w:rFonts w:ascii="Arial" w:hAnsi="Arial" w:cs="Arial"/>
        </w:rPr>
        <w:t xml:space="preserve">Hui </w:t>
      </w:r>
      <w:r w:rsidR="003A5A36" w:rsidRPr="005D6489">
        <w:rPr>
          <w:rFonts w:ascii="Arial" w:hAnsi="Arial" w:cs="Arial"/>
        </w:rPr>
        <w:t>Lan</w:t>
      </w:r>
      <w:r w:rsidR="00AE61BB" w:rsidRPr="006A1C93">
        <w:rPr>
          <w:rFonts w:ascii="Arial" w:hAnsi="Arial" w:cs="Arial"/>
          <w:vertAlign w:val="superscript"/>
        </w:rPr>
        <w:t>1</w:t>
      </w:r>
      <w:r w:rsidR="00AE61BB">
        <w:rPr>
          <w:rFonts w:ascii="Arial" w:hAnsi="Arial" w:cs="Arial"/>
          <w:vertAlign w:val="superscript"/>
        </w:rPr>
        <w:t>,</w:t>
      </w:r>
      <w:r w:rsidR="00AC2B6E">
        <w:rPr>
          <w:rFonts w:ascii="Arial" w:hAnsi="Arial" w:cs="Arial"/>
          <w:vertAlign w:val="superscript"/>
        </w:rPr>
        <w:t>4</w:t>
      </w:r>
      <w:r w:rsidR="003A5A36" w:rsidRPr="005D6489">
        <w:rPr>
          <w:rFonts w:ascii="Arial" w:hAnsi="Arial" w:cs="Arial"/>
        </w:rPr>
        <w:t xml:space="preserve">, </w:t>
      </w:r>
      <w:proofErr w:type="spellStart"/>
      <w:r w:rsidR="00961647" w:rsidRPr="005D6489">
        <w:rPr>
          <w:rFonts w:ascii="Arial" w:hAnsi="Arial" w:cs="Arial"/>
        </w:rPr>
        <w:t>Dorothee</w:t>
      </w:r>
      <w:proofErr w:type="spellEnd"/>
      <w:r w:rsidR="00961647" w:rsidRPr="005D6489">
        <w:rPr>
          <w:rFonts w:ascii="Arial" w:hAnsi="Arial" w:cs="Arial"/>
        </w:rPr>
        <w:t xml:space="preserve"> Stoeckle</w:t>
      </w:r>
      <w:r w:rsidR="00AE61BB" w:rsidRPr="006A1C93">
        <w:rPr>
          <w:rFonts w:ascii="Arial" w:hAnsi="Arial" w:cs="Arial"/>
          <w:vertAlign w:val="superscript"/>
        </w:rPr>
        <w:t>1</w:t>
      </w:r>
      <w:r w:rsidR="00AE61BB">
        <w:rPr>
          <w:rFonts w:ascii="Arial" w:hAnsi="Arial" w:cs="Arial"/>
          <w:vertAlign w:val="superscript"/>
        </w:rPr>
        <w:t>,</w:t>
      </w:r>
      <w:r w:rsidR="00AC2B6E">
        <w:rPr>
          <w:rFonts w:ascii="Arial" w:hAnsi="Arial" w:cs="Arial"/>
          <w:vertAlign w:val="superscript"/>
        </w:rPr>
        <w:t>5</w:t>
      </w:r>
      <w:r w:rsidR="00961647" w:rsidRPr="005D6489">
        <w:rPr>
          <w:rFonts w:ascii="Arial" w:hAnsi="Arial" w:cs="Arial"/>
        </w:rPr>
        <w:t xml:space="preserve">, </w:t>
      </w:r>
      <w:r w:rsidRPr="005D6489">
        <w:rPr>
          <w:rFonts w:ascii="Arial" w:hAnsi="Arial" w:cs="Arial"/>
        </w:rPr>
        <w:t>Susana Conde</w:t>
      </w:r>
      <w:r w:rsidR="00AC2B6E">
        <w:rPr>
          <w:rFonts w:ascii="Arial" w:hAnsi="Arial" w:cs="Arial"/>
          <w:vertAlign w:val="superscript"/>
        </w:rPr>
        <w:t>6</w:t>
      </w:r>
      <w:r w:rsidR="00F93C0C">
        <w:rPr>
          <w:rFonts w:ascii="Arial" w:hAnsi="Arial" w:cs="Arial"/>
          <w:vertAlign w:val="superscript"/>
        </w:rPr>
        <w:t>,</w:t>
      </w:r>
      <w:r w:rsidR="00AC2B6E">
        <w:rPr>
          <w:rFonts w:ascii="Arial" w:hAnsi="Arial" w:cs="Arial"/>
          <w:vertAlign w:val="superscript"/>
        </w:rPr>
        <w:t>7</w:t>
      </w:r>
      <w:r w:rsidRPr="005D6489">
        <w:rPr>
          <w:rFonts w:ascii="Arial" w:hAnsi="Arial" w:cs="Arial"/>
        </w:rPr>
        <w:t xml:space="preserve">, </w:t>
      </w:r>
      <w:r w:rsidR="003A5A36" w:rsidRPr="005D6489">
        <w:rPr>
          <w:rFonts w:ascii="Arial" w:hAnsi="Arial" w:cs="Arial"/>
        </w:rPr>
        <w:t xml:space="preserve">Katja </w:t>
      </w:r>
      <w:r w:rsidR="005D6489">
        <w:rPr>
          <w:rFonts w:ascii="Arial" w:hAnsi="Arial" w:cs="Arial"/>
        </w:rPr>
        <w:t xml:space="preserve">E. </w:t>
      </w:r>
      <w:r w:rsidR="003A5A36" w:rsidRPr="005D6489">
        <w:rPr>
          <w:rFonts w:ascii="Arial" w:hAnsi="Arial" w:cs="Arial"/>
        </w:rPr>
        <w:t>Jaeg</w:t>
      </w:r>
      <w:r w:rsidR="00961647" w:rsidRPr="005D6489">
        <w:rPr>
          <w:rFonts w:ascii="Arial" w:hAnsi="Arial" w:cs="Arial"/>
        </w:rPr>
        <w:t>e</w:t>
      </w:r>
      <w:r w:rsidR="003A5A36" w:rsidRPr="005D6489">
        <w:rPr>
          <w:rFonts w:ascii="Arial" w:hAnsi="Arial" w:cs="Arial"/>
        </w:rPr>
        <w:t>r</w:t>
      </w:r>
      <w:r w:rsidR="00AC2B6E">
        <w:rPr>
          <w:rFonts w:ascii="Arial" w:hAnsi="Arial" w:cs="Arial"/>
          <w:vertAlign w:val="superscript"/>
        </w:rPr>
        <w:t>8</w:t>
      </w:r>
      <w:r w:rsidR="003A5A36" w:rsidRPr="005D6489">
        <w:rPr>
          <w:rFonts w:ascii="Arial" w:hAnsi="Arial" w:cs="Arial"/>
        </w:rPr>
        <w:t xml:space="preserve">, </w:t>
      </w:r>
      <w:r w:rsidR="00BA10FA" w:rsidRPr="005D6489">
        <w:rPr>
          <w:rFonts w:ascii="Arial" w:hAnsi="Arial" w:cs="Arial"/>
        </w:rPr>
        <w:t xml:space="preserve">Philip </w:t>
      </w:r>
      <w:r w:rsidR="005D6489">
        <w:rPr>
          <w:rFonts w:ascii="Arial" w:hAnsi="Arial" w:cs="Arial"/>
        </w:rPr>
        <w:t>A.</w:t>
      </w:r>
      <w:r w:rsidR="00F73159">
        <w:rPr>
          <w:rFonts w:ascii="Arial" w:hAnsi="Arial" w:cs="Arial"/>
        </w:rPr>
        <w:t xml:space="preserve"> </w:t>
      </w:r>
      <w:r w:rsidR="00BA10FA" w:rsidRPr="005D6489">
        <w:rPr>
          <w:rFonts w:ascii="Arial" w:hAnsi="Arial" w:cs="Arial"/>
        </w:rPr>
        <w:t>Wigge</w:t>
      </w:r>
      <w:r w:rsidR="00AC2B6E">
        <w:rPr>
          <w:rFonts w:ascii="Arial" w:hAnsi="Arial" w:cs="Arial"/>
          <w:vertAlign w:val="superscript"/>
        </w:rPr>
        <w:t>8</w:t>
      </w:r>
      <w:r w:rsidR="0035681A">
        <w:rPr>
          <w:rFonts w:ascii="Arial" w:hAnsi="Arial" w:cs="Arial"/>
          <w:vertAlign w:val="superscript"/>
        </w:rPr>
        <w:t>,</w:t>
      </w:r>
      <w:r w:rsidR="00AC2B6E">
        <w:rPr>
          <w:rFonts w:ascii="Arial" w:hAnsi="Arial" w:cs="Arial"/>
          <w:vertAlign w:val="superscript"/>
        </w:rPr>
        <w:t>9</w:t>
      </w:r>
      <w:r w:rsidRPr="005D6489">
        <w:rPr>
          <w:rFonts w:ascii="Arial" w:hAnsi="Arial" w:cs="Arial"/>
        </w:rPr>
        <w:t xml:space="preserve">, </w:t>
      </w:r>
      <w:r w:rsidR="00BA10FA" w:rsidRPr="005D6489">
        <w:rPr>
          <w:rFonts w:ascii="Arial" w:hAnsi="Arial" w:cs="Arial"/>
        </w:rPr>
        <w:t>Daphne</w:t>
      </w:r>
      <w:r w:rsidRPr="005D6489">
        <w:rPr>
          <w:rFonts w:ascii="Arial" w:hAnsi="Arial" w:cs="Arial"/>
        </w:rPr>
        <w:t xml:space="preserve"> Ezer</w:t>
      </w:r>
      <w:r w:rsidR="00AC2B6E">
        <w:rPr>
          <w:rFonts w:ascii="Arial" w:hAnsi="Arial" w:cs="Arial"/>
          <w:vertAlign w:val="superscript"/>
        </w:rPr>
        <w:t>7</w:t>
      </w:r>
      <w:r w:rsidR="00F93C0C">
        <w:rPr>
          <w:rFonts w:ascii="Arial" w:hAnsi="Arial" w:cs="Arial"/>
          <w:vertAlign w:val="superscript"/>
        </w:rPr>
        <w:t>,</w:t>
      </w:r>
      <w:r w:rsidR="00AC2B6E">
        <w:rPr>
          <w:rFonts w:ascii="Arial" w:hAnsi="Arial" w:cs="Arial"/>
          <w:vertAlign w:val="superscript"/>
        </w:rPr>
        <w:t>10</w:t>
      </w:r>
    </w:p>
    <w:p w14:paraId="40DA832D" w14:textId="785B7937" w:rsidR="00A643D7" w:rsidRPr="00843E1D" w:rsidRDefault="00AE61BB" w:rsidP="004E0A36">
      <w:pPr>
        <w:pStyle w:val="BodyText"/>
        <w:spacing w:line="360" w:lineRule="auto"/>
        <w:rPr>
          <w:rFonts w:ascii="Arial" w:hAnsi="Arial" w:cs="Arial"/>
          <w:sz w:val="20"/>
          <w:szCs w:val="20"/>
        </w:rPr>
      </w:pPr>
      <w:r w:rsidRPr="00843E1D">
        <w:rPr>
          <w:rFonts w:ascii="Arial" w:hAnsi="Arial" w:cs="Arial"/>
          <w:sz w:val="20"/>
          <w:szCs w:val="20"/>
          <w:vertAlign w:val="superscript"/>
        </w:rPr>
        <w:t>1</w:t>
      </w:r>
      <w:r w:rsidRPr="00843E1D">
        <w:rPr>
          <w:rFonts w:ascii="Arial" w:hAnsi="Arial" w:cs="Arial"/>
          <w:sz w:val="20"/>
          <w:szCs w:val="20"/>
        </w:rPr>
        <w:t xml:space="preserve"> Sainsbury Laboratory, University of Cambridge, Cambridge, United Kingdom</w:t>
      </w:r>
      <w:r w:rsidR="00843E1D">
        <w:rPr>
          <w:rFonts w:ascii="Arial" w:hAnsi="Arial" w:cs="Arial"/>
          <w:sz w:val="20"/>
          <w:szCs w:val="20"/>
        </w:rPr>
        <w:br/>
      </w:r>
      <w:r w:rsidR="00AC2B6E" w:rsidRPr="00843E1D">
        <w:rPr>
          <w:rFonts w:ascii="Arial" w:hAnsi="Arial" w:cs="Arial"/>
          <w:sz w:val="20"/>
          <w:szCs w:val="20"/>
          <w:vertAlign w:val="superscript"/>
        </w:rPr>
        <w:t>2</w:t>
      </w:r>
      <w:r w:rsidR="00AC2B6E" w:rsidRPr="00843E1D">
        <w:rPr>
          <w:rFonts w:ascii="Arial" w:hAnsi="Arial" w:cs="Arial"/>
          <w:sz w:val="20"/>
          <w:szCs w:val="20"/>
        </w:rPr>
        <w:t xml:space="preserve"> current address: Royal Prince Alfred Hospital, Central Clinical School, University of Sydney, NSW, Australia </w:t>
      </w:r>
      <w:r w:rsidR="00843E1D">
        <w:rPr>
          <w:rFonts w:ascii="Arial" w:hAnsi="Arial" w:cs="Arial"/>
          <w:sz w:val="20"/>
          <w:szCs w:val="20"/>
        </w:rPr>
        <w:br/>
      </w:r>
      <w:r w:rsidR="00AC2B6E" w:rsidRPr="00843E1D">
        <w:rPr>
          <w:rFonts w:ascii="Arial" w:hAnsi="Arial" w:cs="Arial"/>
          <w:sz w:val="20"/>
          <w:szCs w:val="20"/>
          <w:vertAlign w:val="superscript"/>
        </w:rPr>
        <w:t>3</w:t>
      </w:r>
      <w:r w:rsidR="008756F8" w:rsidRPr="00843E1D">
        <w:rPr>
          <w:rFonts w:ascii="Arial" w:hAnsi="Arial" w:cs="Arial"/>
          <w:sz w:val="20"/>
          <w:szCs w:val="20"/>
        </w:rPr>
        <w:t xml:space="preserve"> current address: </w:t>
      </w:r>
      <w:r w:rsidR="00717ED2" w:rsidRPr="00843E1D">
        <w:rPr>
          <w:rFonts w:ascii="Arial" w:hAnsi="Arial" w:cs="Arial"/>
          <w:sz w:val="20"/>
          <w:szCs w:val="20"/>
          <w:lang w:val="en-GB"/>
        </w:rPr>
        <w:t>Plant Systems Physiology, Institute for Water and Wetland Research, Radboud University, Nijmegen, The Netherlands. </w:t>
      </w:r>
      <w:r w:rsidR="00843E1D">
        <w:rPr>
          <w:rFonts w:ascii="Arial" w:hAnsi="Arial" w:cs="Arial"/>
          <w:sz w:val="20"/>
          <w:szCs w:val="20"/>
          <w:lang w:val="en-GB"/>
        </w:rPr>
        <w:br/>
      </w:r>
      <w:r w:rsidR="00AC2B6E" w:rsidRPr="00843E1D">
        <w:rPr>
          <w:rFonts w:ascii="Arial" w:hAnsi="Arial" w:cs="Arial"/>
          <w:sz w:val="20"/>
          <w:szCs w:val="20"/>
          <w:vertAlign w:val="superscript"/>
        </w:rPr>
        <w:t>4</w:t>
      </w:r>
      <w:r w:rsidR="008756F8" w:rsidRPr="00843E1D">
        <w:rPr>
          <w:rFonts w:ascii="Arial" w:hAnsi="Arial" w:cs="Arial"/>
          <w:sz w:val="20"/>
          <w:szCs w:val="20"/>
        </w:rPr>
        <w:t xml:space="preserve"> current address</w:t>
      </w:r>
      <w:r w:rsidR="00F93C0C" w:rsidRPr="00843E1D">
        <w:rPr>
          <w:rFonts w:ascii="Arial" w:hAnsi="Arial" w:cs="Arial"/>
          <w:sz w:val="20"/>
          <w:szCs w:val="20"/>
        </w:rPr>
        <w:t xml:space="preserve">: </w:t>
      </w:r>
      <w:r w:rsidR="00F93C0C" w:rsidRPr="00843E1D">
        <w:rPr>
          <w:rFonts w:ascii="Arial" w:hAnsi="Arial" w:cs="Arial"/>
          <w:color w:val="3C4043"/>
          <w:sz w:val="20"/>
          <w:szCs w:val="20"/>
          <w:shd w:val="clear" w:color="auto" w:fill="FFFFFF"/>
        </w:rPr>
        <w:t xml:space="preserve">Zhejiang Normal University, </w:t>
      </w:r>
      <w:proofErr w:type="spellStart"/>
      <w:r w:rsidR="00F93C0C" w:rsidRPr="00843E1D">
        <w:rPr>
          <w:rFonts w:ascii="Arial" w:hAnsi="Arial" w:cs="Arial"/>
          <w:color w:val="222222"/>
          <w:sz w:val="20"/>
          <w:szCs w:val="20"/>
          <w:shd w:val="clear" w:color="auto" w:fill="FFFFFF"/>
        </w:rPr>
        <w:t>Wucheng</w:t>
      </w:r>
      <w:proofErr w:type="spellEnd"/>
      <w:r w:rsidR="00F93C0C" w:rsidRPr="00843E1D">
        <w:rPr>
          <w:rFonts w:ascii="Arial" w:hAnsi="Arial" w:cs="Arial"/>
          <w:color w:val="222222"/>
          <w:sz w:val="20"/>
          <w:szCs w:val="20"/>
          <w:shd w:val="clear" w:color="auto" w:fill="FFFFFF"/>
        </w:rPr>
        <w:t xml:space="preserve"> District, Jinhua, Zhejiang, China</w:t>
      </w:r>
      <w:r w:rsidR="00843E1D">
        <w:rPr>
          <w:rFonts w:ascii="Arial" w:hAnsi="Arial" w:cs="Arial"/>
          <w:sz w:val="20"/>
          <w:szCs w:val="20"/>
        </w:rPr>
        <w:br/>
      </w:r>
      <w:r w:rsidR="00AC2B6E" w:rsidRPr="00843E1D">
        <w:rPr>
          <w:rFonts w:ascii="Arial" w:hAnsi="Arial" w:cs="Arial"/>
          <w:sz w:val="20"/>
          <w:szCs w:val="20"/>
          <w:vertAlign w:val="superscript"/>
        </w:rPr>
        <w:t>5</w:t>
      </w:r>
      <w:r w:rsidR="008756F8" w:rsidRPr="00843E1D">
        <w:rPr>
          <w:rFonts w:ascii="Arial" w:hAnsi="Arial" w:cs="Arial"/>
          <w:sz w:val="20"/>
          <w:szCs w:val="20"/>
        </w:rPr>
        <w:t xml:space="preserve"> current address: Department of Plant and Microbial Biology, University of Zürich, Switzerland</w:t>
      </w:r>
      <w:r w:rsidR="00843E1D">
        <w:rPr>
          <w:rFonts w:ascii="Arial" w:hAnsi="Arial" w:cs="Arial"/>
          <w:sz w:val="20"/>
          <w:szCs w:val="20"/>
        </w:rPr>
        <w:br/>
      </w:r>
      <w:r w:rsidR="00AC2B6E" w:rsidRPr="00843E1D">
        <w:rPr>
          <w:rFonts w:ascii="Arial" w:hAnsi="Arial" w:cs="Arial"/>
          <w:sz w:val="20"/>
          <w:szCs w:val="20"/>
          <w:vertAlign w:val="superscript"/>
        </w:rPr>
        <w:t>6</w:t>
      </w:r>
      <w:r w:rsidR="00F93C0C" w:rsidRPr="00843E1D">
        <w:rPr>
          <w:rFonts w:ascii="Arial" w:hAnsi="Arial" w:cs="Arial"/>
          <w:sz w:val="20"/>
          <w:szCs w:val="20"/>
        </w:rPr>
        <w:t xml:space="preserve"> Department of Statistics, University of Warwick, United Kingdom</w:t>
      </w:r>
      <w:r w:rsidR="00843E1D">
        <w:rPr>
          <w:rFonts w:ascii="Arial" w:hAnsi="Arial" w:cs="Arial"/>
          <w:sz w:val="20"/>
          <w:szCs w:val="20"/>
        </w:rPr>
        <w:br/>
      </w:r>
      <w:r w:rsidR="00AC2B6E" w:rsidRPr="00843E1D">
        <w:rPr>
          <w:rFonts w:ascii="Arial" w:hAnsi="Arial" w:cs="Arial"/>
          <w:sz w:val="20"/>
          <w:szCs w:val="20"/>
          <w:vertAlign w:val="superscript"/>
        </w:rPr>
        <w:t>7</w:t>
      </w:r>
      <w:r w:rsidR="00F93C0C" w:rsidRPr="00843E1D">
        <w:rPr>
          <w:rFonts w:ascii="Arial" w:hAnsi="Arial" w:cs="Arial"/>
          <w:sz w:val="20"/>
          <w:szCs w:val="20"/>
        </w:rPr>
        <w:t xml:space="preserve"> Alan Turing Institute, London, United Kingdom</w:t>
      </w:r>
      <w:r w:rsidR="00843E1D">
        <w:rPr>
          <w:rFonts w:ascii="Arial" w:hAnsi="Arial" w:cs="Arial"/>
          <w:sz w:val="20"/>
          <w:szCs w:val="20"/>
        </w:rPr>
        <w:br/>
      </w:r>
      <w:r w:rsidR="00AC2B6E" w:rsidRPr="00843E1D">
        <w:rPr>
          <w:rFonts w:ascii="Arial" w:hAnsi="Arial" w:cs="Arial"/>
          <w:sz w:val="20"/>
          <w:szCs w:val="20"/>
          <w:vertAlign w:val="superscript"/>
        </w:rPr>
        <w:t>8</w:t>
      </w:r>
      <w:r w:rsidR="0035681A" w:rsidRPr="00843E1D">
        <w:rPr>
          <w:rFonts w:ascii="Arial" w:hAnsi="Arial" w:cs="Arial"/>
          <w:sz w:val="20"/>
          <w:szCs w:val="20"/>
        </w:rPr>
        <w:t xml:space="preserve"> </w:t>
      </w:r>
      <w:r w:rsidR="0045336D" w:rsidRPr="00843E1D">
        <w:rPr>
          <w:rFonts w:ascii="Arial" w:hAnsi="Arial" w:cs="Arial"/>
          <w:sz w:val="20"/>
          <w:szCs w:val="20"/>
        </w:rPr>
        <w:t xml:space="preserve">Leibniz-Institute of Vegetable and Ornamental Crops (IGZ), 14979 </w:t>
      </w:r>
      <w:proofErr w:type="spellStart"/>
      <w:r w:rsidR="0045336D" w:rsidRPr="00843E1D">
        <w:rPr>
          <w:rFonts w:ascii="Arial" w:hAnsi="Arial" w:cs="Arial"/>
          <w:sz w:val="20"/>
          <w:szCs w:val="20"/>
        </w:rPr>
        <w:t>Großbeeren</w:t>
      </w:r>
      <w:proofErr w:type="spellEnd"/>
      <w:r w:rsidR="0045336D" w:rsidRPr="00843E1D">
        <w:rPr>
          <w:rFonts w:ascii="Arial" w:hAnsi="Arial" w:cs="Arial"/>
          <w:sz w:val="20"/>
          <w:szCs w:val="20"/>
        </w:rPr>
        <w:t>, Germany</w:t>
      </w:r>
      <w:r w:rsidR="00843E1D">
        <w:rPr>
          <w:rFonts w:ascii="Arial" w:hAnsi="Arial" w:cs="Arial"/>
          <w:sz w:val="20"/>
          <w:szCs w:val="20"/>
        </w:rPr>
        <w:br/>
      </w:r>
      <w:r w:rsidR="00AC2B6E" w:rsidRPr="00843E1D">
        <w:rPr>
          <w:rFonts w:ascii="Arial" w:hAnsi="Arial" w:cs="Arial"/>
          <w:sz w:val="20"/>
          <w:szCs w:val="20"/>
          <w:vertAlign w:val="superscript"/>
        </w:rPr>
        <w:t>9</w:t>
      </w:r>
      <w:r w:rsidR="0035681A" w:rsidRPr="00843E1D">
        <w:rPr>
          <w:rFonts w:ascii="Arial" w:hAnsi="Arial" w:cs="Arial"/>
          <w:sz w:val="20"/>
          <w:szCs w:val="20"/>
        </w:rPr>
        <w:t xml:space="preserve"> </w:t>
      </w:r>
      <w:r w:rsidR="0035681A" w:rsidRPr="00843E1D">
        <w:rPr>
          <w:sz w:val="20"/>
          <w:szCs w:val="20"/>
        </w:rPr>
        <w:t>Institute of Biochemistry and Biology, Unive</w:t>
      </w:r>
      <w:r w:rsidR="00B155E1" w:rsidRPr="00843E1D">
        <w:rPr>
          <w:sz w:val="20"/>
          <w:szCs w:val="20"/>
        </w:rPr>
        <w:t>rsity of Potsdam</w:t>
      </w:r>
      <w:r w:rsidR="0035681A" w:rsidRPr="00843E1D">
        <w:rPr>
          <w:sz w:val="20"/>
          <w:szCs w:val="20"/>
        </w:rPr>
        <w:t>, Germany</w:t>
      </w:r>
      <w:r w:rsidR="00843E1D">
        <w:rPr>
          <w:rFonts w:ascii="Arial" w:hAnsi="Arial" w:cs="Arial"/>
          <w:sz w:val="20"/>
          <w:szCs w:val="20"/>
        </w:rPr>
        <w:br/>
      </w:r>
      <w:r w:rsidR="00AC2B6E" w:rsidRPr="00843E1D">
        <w:rPr>
          <w:rFonts w:ascii="Arial" w:hAnsi="Arial" w:cs="Arial"/>
          <w:sz w:val="20"/>
          <w:szCs w:val="20"/>
          <w:vertAlign w:val="superscript"/>
        </w:rPr>
        <w:t>10</w:t>
      </w:r>
      <w:r w:rsidR="00F93C0C" w:rsidRPr="00843E1D">
        <w:rPr>
          <w:rFonts w:ascii="Arial" w:hAnsi="Arial" w:cs="Arial"/>
          <w:sz w:val="20"/>
          <w:szCs w:val="20"/>
        </w:rPr>
        <w:t xml:space="preserve"> Department of Biology, University of York</w:t>
      </w:r>
      <w:r w:rsidR="00843E1D">
        <w:rPr>
          <w:rFonts w:ascii="Arial" w:hAnsi="Arial" w:cs="Arial"/>
          <w:sz w:val="20"/>
          <w:szCs w:val="20"/>
        </w:rPr>
        <w:br/>
      </w:r>
      <w:r w:rsidRPr="00843E1D">
        <w:rPr>
          <w:rFonts w:ascii="Arial" w:hAnsi="Arial" w:cs="Arial"/>
          <w:sz w:val="20"/>
          <w:szCs w:val="20"/>
        </w:rPr>
        <w:t>* equal contribution</w:t>
      </w:r>
      <w:bookmarkStart w:id="0" w:name="abstract"/>
      <w:bookmarkEnd w:id="0"/>
    </w:p>
    <w:p w14:paraId="28122685" w14:textId="0924B26A" w:rsidR="00823FB5" w:rsidRPr="006F7B1E" w:rsidRDefault="00843E1D" w:rsidP="00F36C09">
      <w:pPr>
        <w:pStyle w:val="Heading4"/>
        <w:spacing w:line="360" w:lineRule="auto"/>
        <w:rPr>
          <w:rFonts w:ascii="Arial" w:hAnsi="Arial" w:cs="Arial"/>
          <w:b w:val="0"/>
          <w:color w:val="000000" w:themeColor="text1"/>
          <w:sz w:val="22"/>
        </w:rPr>
      </w:pPr>
      <w:r w:rsidRPr="004E0A36">
        <w:rPr>
          <w:rFonts w:ascii="Arial" w:hAnsi="Arial" w:cs="Arial"/>
        </w:rPr>
        <w:t>Word counts:</w:t>
      </w:r>
      <w:r w:rsidRPr="004E0A36">
        <w:rPr>
          <w:rFonts w:ascii="Arial" w:hAnsi="Arial" w:cs="Arial"/>
        </w:rPr>
        <w:br/>
      </w:r>
      <w:r w:rsidR="00050CC1" w:rsidRPr="006F7B1E">
        <w:rPr>
          <w:rFonts w:ascii="Arial" w:hAnsi="Arial" w:cs="Arial"/>
          <w:color w:val="000000" w:themeColor="text1"/>
          <w:sz w:val="22"/>
        </w:rPr>
        <w:t>Abstract:</w:t>
      </w:r>
      <w:r w:rsidR="00050CC1" w:rsidRPr="006F7B1E">
        <w:rPr>
          <w:rFonts w:ascii="Arial" w:hAnsi="Arial" w:cs="Arial"/>
          <w:b w:val="0"/>
          <w:color w:val="000000" w:themeColor="text1"/>
          <w:sz w:val="22"/>
        </w:rPr>
        <w:t xml:space="preserve"> 195; </w:t>
      </w:r>
      <w:r w:rsidRPr="006F7B1E">
        <w:rPr>
          <w:rFonts w:ascii="Arial" w:hAnsi="Arial" w:cs="Arial"/>
          <w:color w:val="000000" w:themeColor="text1"/>
          <w:sz w:val="22"/>
        </w:rPr>
        <w:t xml:space="preserve">Introduction: </w:t>
      </w:r>
      <w:r w:rsidR="00F90057" w:rsidRPr="006F7B1E">
        <w:rPr>
          <w:rFonts w:ascii="Arial" w:hAnsi="Arial" w:cs="Arial"/>
          <w:b w:val="0"/>
          <w:color w:val="000000" w:themeColor="text1"/>
          <w:sz w:val="22"/>
        </w:rPr>
        <w:t>69</w:t>
      </w:r>
      <w:r w:rsidR="00F90057">
        <w:rPr>
          <w:rFonts w:ascii="Arial" w:hAnsi="Arial" w:cs="Arial"/>
          <w:b w:val="0"/>
          <w:color w:val="000000" w:themeColor="text1"/>
          <w:sz w:val="22"/>
        </w:rPr>
        <w:t>6</w:t>
      </w:r>
      <w:r w:rsidR="007B3FF4" w:rsidRPr="006F7B1E">
        <w:rPr>
          <w:rFonts w:ascii="Arial" w:hAnsi="Arial" w:cs="Arial"/>
          <w:color w:val="000000" w:themeColor="text1"/>
          <w:sz w:val="22"/>
        </w:rPr>
        <w:t xml:space="preserve">; </w:t>
      </w:r>
      <w:r w:rsidRPr="006F7B1E">
        <w:rPr>
          <w:rFonts w:ascii="Arial" w:hAnsi="Arial" w:cs="Arial"/>
          <w:color w:val="000000" w:themeColor="text1"/>
          <w:sz w:val="22"/>
        </w:rPr>
        <w:t>Results:</w:t>
      </w:r>
      <w:r w:rsidR="00A35E1A" w:rsidRPr="006F7B1E">
        <w:rPr>
          <w:rFonts w:ascii="Arial" w:hAnsi="Arial" w:cs="Arial"/>
          <w:color w:val="000000" w:themeColor="text1"/>
          <w:sz w:val="22"/>
        </w:rPr>
        <w:t xml:space="preserve"> </w:t>
      </w:r>
      <w:r w:rsidR="00F90057" w:rsidRPr="006F7B1E">
        <w:rPr>
          <w:rFonts w:ascii="Arial" w:hAnsi="Arial" w:cs="Arial"/>
          <w:b w:val="0"/>
          <w:color w:val="000000" w:themeColor="text1"/>
          <w:sz w:val="22"/>
        </w:rPr>
        <w:t>2</w:t>
      </w:r>
      <w:r w:rsidR="00F90057">
        <w:rPr>
          <w:rFonts w:ascii="Arial" w:hAnsi="Arial" w:cs="Arial"/>
          <w:b w:val="0"/>
          <w:color w:val="000000" w:themeColor="text1"/>
          <w:sz w:val="22"/>
        </w:rPr>
        <w:t>829</w:t>
      </w:r>
      <w:r w:rsidR="007B3FF4" w:rsidRPr="006F7B1E">
        <w:rPr>
          <w:rFonts w:ascii="Arial" w:hAnsi="Arial" w:cs="Arial"/>
          <w:color w:val="000000" w:themeColor="text1"/>
          <w:sz w:val="22"/>
        </w:rPr>
        <w:t xml:space="preserve">; </w:t>
      </w:r>
      <w:r w:rsidRPr="006F7B1E">
        <w:rPr>
          <w:rFonts w:ascii="Arial" w:hAnsi="Arial" w:cs="Arial"/>
          <w:color w:val="000000" w:themeColor="text1"/>
          <w:sz w:val="22"/>
        </w:rPr>
        <w:t>Discussion:</w:t>
      </w:r>
      <w:r w:rsidR="00A35E1A" w:rsidRPr="006F7B1E">
        <w:rPr>
          <w:rFonts w:ascii="Arial" w:hAnsi="Arial" w:cs="Arial"/>
          <w:color w:val="000000" w:themeColor="text1"/>
          <w:sz w:val="22"/>
        </w:rPr>
        <w:t xml:space="preserve"> </w:t>
      </w:r>
      <w:r w:rsidR="00F90057" w:rsidRPr="006F7B1E">
        <w:rPr>
          <w:rFonts w:ascii="Arial" w:hAnsi="Arial" w:cs="Arial"/>
          <w:b w:val="0"/>
          <w:color w:val="000000" w:themeColor="text1"/>
          <w:sz w:val="22"/>
        </w:rPr>
        <w:t>13</w:t>
      </w:r>
      <w:r w:rsidR="00F90057">
        <w:rPr>
          <w:rFonts w:ascii="Arial" w:hAnsi="Arial" w:cs="Arial"/>
          <w:b w:val="0"/>
          <w:color w:val="000000" w:themeColor="text1"/>
          <w:sz w:val="22"/>
        </w:rPr>
        <w:t>2</w:t>
      </w:r>
      <w:r w:rsidR="00F90057" w:rsidRPr="006F7B1E">
        <w:rPr>
          <w:rFonts w:ascii="Arial" w:hAnsi="Arial" w:cs="Arial"/>
          <w:b w:val="0"/>
          <w:color w:val="000000" w:themeColor="text1"/>
          <w:sz w:val="22"/>
        </w:rPr>
        <w:t>2</w:t>
      </w:r>
      <w:r w:rsidR="00823FB5" w:rsidRPr="006F7B1E">
        <w:rPr>
          <w:rFonts w:ascii="Arial" w:hAnsi="Arial" w:cs="Arial"/>
          <w:b w:val="0"/>
          <w:color w:val="000000" w:themeColor="text1"/>
          <w:sz w:val="22"/>
        </w:rPr>
        <w:t xml:space="preserve">; </w:t>
      </w:r>
      <w:r w:rsidR="00823FB5" w:rsidRPr="006F7B1E">
        <w:rPr>
          <w:rFonts w:ascii="Arial" w:hAnsi="Arial" w:cs="Arial"/>
          <w:color w:val="000000" w:themeColor="text1"/>
          <w:sz w:val="22"/>
        </w:rPr>
        <w:t xml:space="preserve">Materials and methods: </w:t>
      </w:r>
      <w:r w:rsidR="00F90057" w:rsidRPr="006F7B1E">
        <w:rPr>
          <w:rFonts w:ascii="Arial" w:hAnsi="Arial" w:cs="Arial"/>
          <w:b w:val="0"/>
          <w:color w:val="000000" w:themeColor="text1"/>
          <w:sz w:val="22"/>
        </w:rPr>
        <w:t>13</w:t>
      </w:r>
      <w:r w:rsidR="00F90057">
        <w:rPr>
          <w:rFonts w:ascii="Arial" w:hAnsi="Arial" w:cs="Arial"/>
          <w:b w:val="0"/>
          <w:color w:val="000000" w:themeColor="text1"/>
          <w:sz w:val="22"/>
        </w:rPr>
        <w:t>72</w:t>
      </w:r>
      <w:r w:rsidRPr="006F7B1E">
        <w:rPr>
          <w:rFonts w:ascii="Arial" w:hAnsi="Arial" w:cs="Arial"/>
          <w:color w:val="000000" w:themeColor="text1"/>
          <w:sz w:val="22"/>
        </w:rPr>
        <w:br/>
        <w:t>Total</w:t>
      </w:r>
      <w:r w:rsidR="00961147" w:rsidRPr="006F7B1E">
        <w:rPr>
          <w:rFonts w:ascii="Arial" w:hAnsi="Arial" w:cs="Arial"/>
          <w:color w:val="000000" w:themeColor="text1"/>
          <w:sz w:val="22"/>
        </w:rPr>
        <w:t xml:space="preserve"> words</w:t>
      </w:r>
      <w:r w:rsidRPr="006F7B1E">
        <w:rPr>
          <w:rFonts w:ascii="Arial" w:hAnsi="Arial" w:cs="Arial"/>
          <w:color w:val="000000" w:themeColor="text1"/>
          <w:sz w:val="22"/>
        </w:rPr>
        <w:t>:</w:t>
      </w:r>
      <w:r w:rsidR="00961147" w:rsidRPr="006F7B1E">
        <w:rPr>
          <w:rFonts w:ascii="Arial" w:hAnsi="Arial" w:cs="Arial"/>
          <w:color w:val="000000" w:themeColor="text1"/>
          <w:sz w:val="22"/>
        </w:rPr>
        <w:t xml:space="preserve"> </w:t>
      </w:r>
      <w:r w:rsidR="00F90057" w:rsidRPr="006F7B1E">
        <w:rPr>
          <w:rFonts w:ascii="Arial" w:hAnsi="Arial" w:cs="Arial"/>
          <w:b w:val="0"/>
          <w:color w:val="000000" w:themeColor="text1"/>
          <w:sz w:val="22"/>
        </w:rPr>
        <w:t>6</w:t>
      </w:r>
      <w:r w:rsidR="00F90057">
        <w:rPr>
          <w:rFonts w:ascii="Arial" w:hAnsi="Arial" w:cs="Arial"/>
          <w:b w:val="0"/>
          <w:color w:val="000000" w:themeColor="text1"/>
          <w:sz w:val="22"/>
        </w:rPr>
        <w:t>414</w:t>
      </w:r>
      <w:r w:rsidR="00961147" w:rsidRPr="006F7B1E">
        <w:rPr>
          <w:rFonts w:ascii="Arial" w:hAnsi="Arial" w:cs="Arial"/>
          <w:color w:val="000000" w:themeColor="text1"/>
          <w:sz w:val="22"/>
        </w:rPr>
        <w:br/>
        <w:t xml:space="preserve">Number of figures: </w:t>
      </w:r>
      <w:r w:rsidR="002A0F23">
        <w:rPr>
          <w:rFonts w:ascii="Arial" w:hAnsi="Arial" w:cs="Arial"/>
          <w:b w:val="0"/>
          <w:color w:val="000000" w:themeColor="text1"/>
          <w:sz w:val="22"/>
        </w:rPr>
        <w:t>5</w:t>
      </w:r>
      <w:r w:rsidR="00823FB5" w:rsidRPr="006F7B1E">
        <w:rPr>
          <w:rFonts w:ascii="Arial" w:hAnsi="Arial" w:cs="Arial"/>
          <w:b w:val="0"/>
          <w:color w:val="000000" w:themeColor="text1"/>
          <w:sz w:val="22"/>
        </w:rPr>
        <w:br/>
      </w:r>
      <w:r w:rsidR="00823FB5" w:rsidRPr="006F7B1E">
        <w:rPr>
          <w:rFonts w:ascii="Arial" w:hAnsi="Arial" w:cs="Arial"/>
          <w:color w:val="000000" w:themeColor="text1"/>
          <w:sz w:val="22"/>
        </w:rPr>
        <w:t>Number of supplementary figures</w:t>
      </w:r>
      <w:r w:rsidR="00823FB5" w:rsidRPr="006F7B1E">
        <w:rPr>
          <w:rFonts w:ascii="Arial" w:hAnsi="Arial" w:cs="Arial"/>
          <w:b w:val="0"/>
          <w:color w:val="000000" w:themeColor="text1"/>
          <w:sz w:val="22"/>
        </w:rPr>
        <w:t xml:space="preserve">: </w:t>
      </w:r>
      <w:r w:rsidR="00554976" w:rsidRPr="006F7B1E">
        <w:rPr>
          <w:rFonts w:ascii="Arial" w:hAnsi="Arial" w:cs="Arial"/>
          <w:b w:val="0"/>
          <w:color w:val="000000" w:themeColor="text1"/>
          <w:sz w:val="22"/>
        </w:rPr>
        <w:t>8</w:t>
      </w:r>
      <w:r w:rsidR="00823FB5" w:rsidRPr="006F7B1E">
        <w:rPr>
          <w:rFonts w:ascii="Arial" w:hAnsi="Arial" w:cs="Arial"/>
          <w:b w:val="0"/>
          <w:color w:val="000000" w:themeColor="text1"/>
          <w:sz w:val="22"/>
        </w:rPr>
        <w:br/>
      </w:r>
      <w:r w:rsidR="00823FB5" w:rsidRPr="006F7B1E">
        <w:rPr>
          <w:rFonts w:ascii="Arial" w:hAnsi="Arial" w:cs="Arial"/>
          <w:color w:val="000000" w:themeColor="text1"/>
          <w:sz w:val="22"/>
        </w:rPr>
        <w:t>Number of supplementary tables:</w:t>
      </w:r>
      <w:r w:rsidR="00823FB5" w:rsidRPr="006F7B1E">
        <w:rPr>
          <w:rFonts w:ascii="Arial" w:hAnsi="Arial" w:cs="Arial"/>
          <w:b w:val="0"/>
          <w:color w:val="000000" w:themeColor="text1"/>
          <w:sz w:val="22"/>
        </w:rPr>
        <w:t xml:space="preserve"> 6</w:t>
      </w:r>
    </w:p>
    <w:p w14:paraId="6E3D6557" w14:textId="76203C6C" w:rsidR="00F36C09" w:rsidRDefault="00F36C09" w:rsidP="00F36C09">
      <w:pPr>
        <w:pStyle w:val="BodyText"/>
        <w:spacing w:line="360" w:lineRule="auto"/>
        <w:rPr>
          <w:rFonts w:ascii="Arial" w:hAnsi="Arial" w:cs="Arial"/>
          <w:b/>
          <w:bCs/>
          <w:color w:val="231F20"/>
          <w:sz w:val="22"/>
          <w:szCs w:val="22"/>
          <w:lang w:val="en-GB"/>
        </w:rPr>
      </w:pPr>
      <w:r>
        <w:rPr>
          <w:rFonts w:ascii="Arial" w:hAnsi="Arial" w:cs="Arial"/>
          <w:b/>
          <w:bCs/>
          <w:color w:val="231F20"/>
          <w:sz w:val="22"/>
          <w:szCs w:val="22"/>
          <w:lang w:val="en-GB"/>
        </w:rPr>
        <w:t xml:space="preserve">Running title: </w:t>
      </w:r>
      <w:r w:rsidRPr="004E0A36">
        <w:rPr>
          <w:rFonts w:ascii="Arial" w:hAnsi="Arial" w:cs="Arial"/>
          <w:bCs/>
          <w:color w:val="231F20"/>
          <w:sz w:val="22"/>
          <w:szCs w:val="22"/>
          <w:lang w:val="en-GB"/>
        </w:rPr>
        <w:t>Multiple pathways control the “dawn burst” in gene expression</w:t>
      </w:r>
    </w:p>
    <w:p w14:paraId="3BF91672" w14:textId="1CF05876" w:rsidR="005C5868" w:rsidRPr="004E0A36" w:rsidRDefault="005C5868" w:rsidP="00F36C09">
      <w:pPr>
        <w:pStyle w:val="BodyText"/>
        <w:spacing w:line="360" w:lineRule="auto"/>
        <w:rPr>
          <w:rFonts w:ascii="Arial" w:hAnsi="Arial" w:cs="Arial"/>
          <w:b/>
          <w:sz w:val="22"/>
          <w:szCs w:val="22"/>
        </w:rPr>
      </w:pPr>
      <w:r w:rsidRPr="004E0A36">
        <w:rPr>
          <w:rFonts w:ascii="Arial" w:hAnsi="Arial" w:cs="Arial"/>
          <w:b/>
          <w:bCs/>
          <w:color w:val="231F20"/>
          <w:sz w:val="22"/>
          <w:szCs w:val="22"/>
          <w:lang w:val="en-GB"/>
        </w:rPr>
        <w:t xml:space="preserve">Keywords: </w:t>
      </w:r>
      <w:r w:rsidRPr="004E0A36">
        <w:rPr>
          <w:rFonts w:ascii="Arial" w:hAnsi="Arial" w:cs="Arial"/>
          <w:bCs/>
          <w:color w:val="231F20"/>
          <w:sz w:val="22"/>
          <w:szCs w:val="22"/>
          <w:lang w:val="en-GB"/>
        </w:rPr>
        <w:t xml:space="preserve">BBX family, cryptochrome, </w:t>
      </w:r>
      <w:r w:rsidR="00F60690" w:rsidRPr="004E0A36">
        <w:rPr>
          <w:rFonts w:ascii="Arial" w:hAnsi="Arial" w:cs="Arial"/>
          <w:bCs/>
          <w:color w:val="231F20"/>
          <w:sz w:val="22"/>
          <w:szCs w:val="22"/>
          <w:lang w:val="en-GB"/>
        </w:rPr>
        <w:t xml:space="preserve">dawn, </w:t>
      </w:r>
      <w:r w:rsidRPr="004E0A36">
        <w:rPr>
          <w:rFonts w:ascii="Arial" w:hAnsi="Arial" w:cs="Arial"/>
          <w:bCs/>
          <w:color w:val="231F20"/>
          <w:sz w:val="22"/>
          <w:szCs w:val="22"/>
          <w:lang w:val="en-GB"/>
        </w:rPr>
        <w:t xml:space="preserve">HY5, </w:t>
      </w:r>
      <w:r w:rsidR="00F60690" w:rsidRPr="004E0A36">
        <w:rPr>
          <w:rFonts w:ascii="Arial" w:hAnsi="Arial" w:cs="Arial"/>
          <w:bCs/>
          <w:color w:val="231F20"/>
          <w:sz w:val="22"/>
          <w:szCs w:val="22"/>
          <w:lang w:val="en-GB"/>
        </w:rPr>
        <w:t xml:space="preserve">network, </w:t>
      </w:r>
      <w:r w:rsidRPr="004E0A36">
        <w:rPr>
          <w:rFonts w:ascii="Arial" w:hAnsi="Arial" w:cs="Arial"/>
          <w:bCs/>
          <w:color w:val="231F20"/>
          <w:sz w:val="22"/>
          <w:szCs w:val="22"/>
          <w:lang w:val="en-GB"/>
        </w:rPr>
        <w:t>morning, phytochrome, transcriptome</w:t>
      </w:r>
    </w:p>
    <w:p w14:paraId="5A60A3D7" w14:textId="77777777" w:rsidR="00F36C09" w:rsidRPr="004E0A36" w:rsidRDefault="00F36C09" w:rsidP="004E0A36">
      <w:pPr>
        <w:pStyle w:val="Heading4"/>
        <w:spacing w:line="360" w:lineRule="auto"/>
        <w:rPr>
          <w:rFonts w:ascii="Arial" w:hAnsi="Arial" w:cs="Arial"/>
          <w:sz w:val="28"/>
        </w:rPr>
      </w:pPr>
      <w:bookmarkStart w:id="1" w:name="introduction"/>
      <w:bookmarkEnd w:id="1"/>
    </w:p>
    <w:p w14:paraId="27477E1F" w14:textId="77777777" w:rsidR="00F36C09" w:rsidRPr="004E0A36" w:rsidRDefault="00F36C09" w:rsidP="004E0A36">
      <w:pPr>
        <w:pStyle w:val="BodyText"/>
        <w:rPr>
          <w:rFonts w:ascii="Arial" w:hAnsi="Arial" w:cs="Arial"/>
        </w:rPr>
      </w:pPr>
    </w:p>
    <w:p w14:paraId="7A16C44C" w14:textId="77777777" w:rsidR="00F36C09" w:rsidRPr="004E0A36" w:rsidRDefault="00F36C09" w:rsidP="004E0A36">
      <w:pPr>
        <w:pStyle w:val="Heading4"/>
        <w:spacing w:before="0" w:line="360" w:lineRule="auto"/>
        <w:rPr>
          <w:rFonts w:ascii="Arial" w:hAnsi="Arial" w:cs="Arial"/>
          <w:color w:val="000000" w:themeColor="text1"/>
        </w:rPr>
      </w:pPr>
      <w:r w:rsidRPr="004E0A36">
        <w:rPr>
          <w:rFonts w:ascii="Arial" w:hAnsi="Arial" w:cs="Arial"/>
          <w:sz w:val="28"/>
        </w:rPr>
        <w:lastRenderedPageBreak/>
        <w:t>Abstract:</w:t>
      </w:r>
    </w:p>
    <w:p w14:paraId="56758D65" w14:textId="5939E249" w:rsidR="00F36C09" w:rsidRPr="004E0A36" w:rsidRDefault="00F36C09" w:rsidP="004E0A36">
      <w:pPr>
        <w:pStyle w:val="BodyText"/>
        <w:spacing w:line="360" w:lineRule="auto"/>
        <w:ind w:right="683"/>
        <w:rPr>
          <w:rFonts w:ascii="Arial" w:hAnsi="Arial" w:cs="Arial"/>
          <w:szCs w:val="22"/>
          <w:lang w:val="en-GB"/>
        </w:rPr>
      </w:pPr>
      <w:r w:rsidRPr="004E0A36">
        <w:rPr>
          <w:rFonts w:ascii="Arial" w:hAnsi="Arial" w:cs="Arial"/>
          <w:szCs w:val="22"/>
          <w:lang w:val="en-GB"/>
        </w:rPr>
        <w:t xml:space="preserve">Light perception at dawn plays a key role in coordinating multiple molecular processes and in entraining the plant circadian clock. An Arabidopsis mutant lacking the main photoreceptors however still shows clock entrainment, indicating that the integration of light into the morning transcriptome is not well understood.  </w:t>
      </w:r>
      <w:r w:rsidRPr="004E0A36">
        <w:rPr>
          <w:rFonts w:ascii="Arial" w:hAnsi="Arial" w:cs="Arial"/>
          <w:color w:val="231F20"/>
          <w:szCs w:val="22"/>
          <w:shd w:val="clear" w:color="auto" w:fill="FFFFFF"/>
        </w:rPr>
        <w:t xml:space="preserve">We performed </w:t>
      </w:r>
      <w:r w:rsidR="008B42BC">
        <w:rPr>
          <w:rFonts w:ascii="Arial" w:hAnsi="Arial" w:cs="Arial"/>
          <w:color w:val="231F20"/>
          <w:szCs w:val="22"/>
          <w:shd w:val="clear" w:color="auto" w:fill="FFFFFF"/>
        </w:rPr>
        <w:t>a</w:t>
      </w:r>
      <w:r w:rsidRPr="004E0A36">
        <w:rPr>
          <w:rFonts w:ascii="Arial" w:hAnsi="Arial" w:cs="Arial"/>
          <w:color w:val="231F20"/>
          <w:szCs w:val="22"/>
          <w:shd w:val="clear" w:color="auto" w:fill="FFFFFF"/>
        </w:rPr>
        <w:t xml:space="preserve"> high-resolution RNA-seq time series experiment, </w:t>
      </w:r>
      <w:r w:rsidR="002B76BF">
        <w:rPr>
          <w:rFonts w:ascii="Arial" w:hAnsi="Arial" w:cs="Arial"/>
          <w:color w:val="231F20"/>
          <w:szCs w:val="22"/>
          <w:shd w:val="clear" w:color="auto" w:fill="FFFFFF"/>
        </w:rPr>
        <w:t>sampling</w:t>
      </w:r>
      <w:r w:rsidR="002B76BF" w:rsidRPr="004E0A36">
        <w:rPr>
          <w:rFonts w:ascii="Arial" w:hAnsi="Arial" w:cs="Arial"/>
          <w:color w:val="231F20"/>
          <w:szCs w:val="22"/>
          <w:shd w:val="clear" w:color="auto" w:fill="FFFFFF"/>
        </w:rPr>
        <w:t xml:space="preserve"> </w:t>
      </w:r>
      <w:r w:rsidRPr="004E0A36">
        <w:rPr>
          <w:rFonts w:ascii="Arial" w:hAnsi="Arial" w:cs="Arial"/>
          <w:color w:val="231F20"/>
          <w:szCs w:val="22"/>
          <w:shd w:val="clear" w:color="auto" w:fill="FFFFFF"/>
        </w:rPr>
        <w:t>every two-minutes from dawn</w:t>
      </w:r>
      <w:r w:rsidR="008B42BC">
        <w:rPr>
          <w:rFonts w:ascii="Arial" w:hAnsi="Arial" w:cs="Arial"/>
          <w:color w:val="231F20"/>
          <w:szCs w:val="22"/>
          <w:shd w:val="clear" w:color="auto" w:fill="FFFFFF"/>
        </w:rPr>
        <w:t>.</w:t>
      </w:r>
      <w:r w:rsidR="008B42BC" w:rsidRPr="004E0A36">
        <w:rPr>
          <w:rFonts w:ascii="Arial" w:hAnsi="Arial" w:cs="Arial"/>
          <w:color w:val="231F20"/>
          <w:szCs w:val="22"/>
          <w:shd w:val="clear" w:color="auto" w:fill="FFFFFF"/>
        </w:rPr>
        <w:t xml:space="preserve"> </w:t>
      </w:r>
      <w:r w:rsidR="008B42BC">
        <w:rPr>
          <w:rFonts w:ascii="Arial" w:hAnsi="Arial" w:cs="Arial"/>
          <w:color w:val="231F20"/>
          <w:szCs w:val="22"/>
          <w:shd w:val="clear" w:color="auto" w:fill="FFFFFF"/>
        </w:rPr>
        <w:t>In parallel experiments, we perturbed</w:t>
      </w:r>
      <w:r w:rsidRPr="004E0A36">
        <w:rPr>
          <w:rFonts w:ascii="Arial" w:hAnsi="Arial" w:cs="Arial"/>
          <w:color w:val="231F20"/>
          <w:szCs w:val="22"/>
          <w:shd w:val="clear" w:color="auto" w:fill="FFFFFF"/>
        </w:rPr>
        <w:t xml:space="preserve"> temperature, the circadian clock, photoreceptor </w:t>
      </w:r>
      <w:proofErr w:type="spellStart"/>
      <w:r w:rsidRPr="004E0A36">
        <w:rPr>
          <w:rFonts w:ascii="Arial" w:hAnsi="Arial" w:cs="Arial"/>
          <w:color w:val="231F20"/>
          <w:szCs w:val="22"/>
          <w:shd w:val="clear" w:color="auto" w:fill="FFFFFF"/>
        </w:rPr>
        <w:t>signalling</w:t>
      </w:r>
      <w:proofErr w:type="spellEnd"/>
      <w:r w:rsidRPr="004E0A36">
        <w:rPr>
          <w:rFonts w:ascii="Arial" w:hAnsi="Arial" w:cs="Arial"/>
          <w:color w:val="231F20"/>
          <w:szCs w:val="22"/>
          <w:shd w:val="clear" w:color="auto" w:fill="FFFFFF"/>
        </w:rPr>
        <w:t xml:space="preserve"> and chloroplast-derived light </w:t>
      </w:r>
      <w:proofErr w:type="spellStart"/>
      <w:r w:rsidRPr="004E0A36">
        <w:rPr>
          <w:rFonts w:ascii="Arial" w:hAnsi="Arial" w:cs="Arial"/>
          <w:color w:val="231F20"/>
          <w:szCs w:val="22"/>
          <w:shd w:val="clear" w:color="auto" w:fill="FFFFFF"/>
        </w:rPr>
        <w:t>signalling</w:t>
      </w:r>
      <w:proofErr w:type="spellEnd"/>
      <w:r w:rsidRPr="004E0A36">
        <w:rPr>
          <w:rFonts w:ascii="Arial" w:hAnsi="Arial" w:cs="Arial"/>
          <w:color w:val="231F20"/>
          <w:szCs w:val="22"/>
          <w:shd w:val="clear" w:color="auto" w:fill="FFFFFF"/>
        </w:rPr>
        <w:t>.  We used this data to infer a gene network that describes the gene expression dynamics after light stimulus in the morning, and then we validated key edges. </w:t>
      </w:r>
      <w:r w:rsidR="008B42BC">
        <w:rPr>
          <w:rFonts w:ascii="Arial" w:hAnsi="Arial" w:cs="Arial"/>
          <w:color w:val="231F20"/>
          <w:szCs w:val="22"/>
          <w:shd w:val="clear" w:color="auto" w:fill="FFFFFF"/>
        </w:rPr>
        <w:t>By sampling</w:t>
      </w:r>
      <w:r w:rsidRPr="004E0A36">
        <w:rPr>
          <w:rFonts w:ascii="Arial" w:hAnsi="Arial" w:cs="Arial"/>
          <w:color w:val="231F20"/>
          <w:szCs w:val="22"/>
          <w:shd w:val="clear" w:color="auto" w:fill="FFFFFF"/>
        </w:rPr>
        <w:t xml:space="preserve"> time points </w:t>
      </w:r>
      <w:r w:rsidR="008B42BC">
        <w:rPr>
          <w:rFonts w:ascii="Arial" w:hAnsi="Arial" w:cs="Arial"/>
          <w:color w:val="231F20"/>
          <w:szCs w:val="22"/>
          <w:shd w:val="clear" w:color="auto" w:fill="FFFFFF"/>
        </w:rPr>
        <w:t>at high density</w:t>
      </w:r>
      <w:r w:rsidRPr="004E0A36">
        <w:rPr>
          <w:rFonts w:ascii="Arial" w:hAnsi="Arial" w:cs="Arial"/>
          <w:color w:val="231F20"/>
          <w:szCs w:val="22"/>
          <w:shd w:val="clear" w:color="auto" w:fill="FFFFFF"/>
        </w:rPr>
        <w:t xml:space="preserve">, we are able to identify three light- and temperature-sensitive bursts of transcription factor activity, one of which lasts for only </w:t>
      </w:r>
      <w:r w:rsidR="008B42BC">
        <w:rPr>
          <w:rFonts w:ascii="Arial" w:hAnsi="Arial" w:cs="Arial"/>
          <w:color w:val="231F20"/>
          <w:szCs w:val="22"/>
          <w:shd w:val="clear" w:color="auto" w:fill="FFFFFF"/>
        </w:rPr>
        <w:t>about</w:t>
      </w:r>
      <w:r w:rsidR="008B42BC" w:rsidRPr="004E0A36">
        <w:rPr>
          <w:rFonts w:ascii="Arial" w:hAnsi="Arial" w:cs="Arial"/>
          <w:color w:val="231F20"/>
          <w:szCs w:val="22"/>
          <w:shd w:val="clear" w:color="auto" w:fill="FFFFFF"/>
        </w:rPr>
        <w:t xml:space="preserve"> </w:t>
      </w:r>
      <w:r w:rsidRPr="004E0A36">
        <w:rPr>
          <w:rFonts w:ascii="Arial" w:hAnsi="Arial" w:cs="Arial"/>
          <w:color w:val="231F20"/>
          <w:szCs w:val="22"/>
          <w:shd w:val="clear" w:color="auto" w:fill="FFFFFF"/>
        </w:rPr>
        <w:t>eight minutes.  </w:t>
      </w:r>
      <w:r w:rsidRPr="004E0A36">
        <w:rPr>
          <w:rFonts w:ascii="Arial" w:hAnsi="Arial" w:cs="Arial"/>
          <w:color w:val="222222"/>
          <w:szCs w:val="22"/>
          <w:shd w:val="clear" w:color="auto" w:fill="FFFFFF"/>
        </w:rPr>
        <w:t>P</w:t>
      </w:r>
      <w:r w:rsidRPr="004E0A36">
        <w:rPr>
          <w:rFonts w:ascii="Arial" w:hAnsi="Arial" w:cs="Arial"/>
          <w:color w:val="231F20"/>
          <w:szCs w:val="22"/>
          <w:shd w:val="clear" w:color="auto" w:fill="FFFFFF"/>
        </w:rPr>
        <w:t>hytochrome and cryptochrome mutants cause a delay in the transcriptional bursts at dawn, and completely remove a burst of expression in key photomorphogenesis genes (HY5 and BBX family).  </w:t>
      </w:r>
      <w:r w:rsidRPr="004E0A36">
        <w:rPr>
          <w:rFonts w:ascii="Arial" w:hAnsi="Arial" w:cs="Arial"/>
          <w:color w:val="222222"/>
          <w:szCs w:val="22"/>
          <w:shd w:val="clear" w:color="auto" w:fill="FFFFFF"/>
        </w:rPr>
        <w:t xml:space="preserve">Our complete network is available </w:t>
      </w:r>
      <w:r w:rsidR="00C56E9D">
        <w:rPr>
          <w:rFonts w:ascii="Arial" w:hAnsi="Arial" w:cs="Arial"/>
          <w:color w:val="222222"/>
          <w:szCs w:val="22"/>
          <w:shd w:val="clear" w:color="auto" w:fill="FFFFFF"/>
        </w:rPr>
        <w:t>online</w:t>
      </w:r>
      <w:r w:rsidRPr="004E0A36">
        <w:rPr>
          <w:rFonts w:ascii="Arial" w:hAnsi="Arial" w:cs="Arial"/>
          <w:color w:val="222222"/>
          <w:szCs w:val="22"/>
          <w:shd w:val="clear" w:color="auto" w:fill="FFFFFF"/>
        </w:rPr>
        <w:t xml:space="preserve"> (</w:t>
      </w:r>
      <w:hyperlink r:id="rId8" w:tgtFrame="_blank" w:history="1">
        <w:r w:rsidRPr="004E0A36">
          <w:rPr>
            <w:rStyle w:val="Hyperlink"/>
            <w:rFonts w:ascii="Arial" w:hAnsi="Arial" w:cs="Arial"/>
            <w:color w:val="4F81BD"/>
            <w:szCs w:val="22"/>
            <w:shd w:val="clear" w:color="auto" w:fill="FFFFFF"/>
          </w:rPr>
          <w:t>http://www-users.york.ac.uk/~de656/dawnBurst/dawnBurst.html</w:t>
        </w:r>
      </w:hyperlink>
      <w:r w:rsidRPr="004E0A36">
        <w:rPr>
          <w:rFonts w:ascii="Arial" w:hAnsi="Arial" w:cs="Arial"/>
          <w:color w:val="4F81BD"/>
          <w:szCs w:val="22"/>
          <w:shd w:val="clear" w:color="auto" w:fill="FFFFFF"/>
        </w:rPr>
        <w:t xml:space="preserve">).  </w:t>
      </w:r>
      <w:r w:rsidRPr="004E0A36">
        <w:rPr>
          <w:rFonts w:ascii="Arial" w:hAnsi="Arial" w:cs="Arial"/>
          <w:color w:val="231F20"/>
          <w:szCs w:val="22"/>
          <w:shd w:val="clear" w:color="auto" w:fill="FFFFFF"/>
        </w:rPr>
        <w:t>T</w:t>
      </w:r>
      <w:r w:rsidR="00C56E9D">
        <w:rPr>
          <w:rFonts w:ascii="Arial" w:hAnsi="Arial" w:cs="Arial"/>
          <w:color w:val="231F20"/>
          <w:szCs w:val="22"/>
          <w:shd w:val="clear" w:color="auto" w:fill="FFFFFF"/>
        </w:rPr>
        <w:t xml:space="preserve">aken together, our results show that </w:t>
      </w:r>
      <w:r w:rsidRPr="004E0A36">
        <w:rPr>
          <w:rFonts w:ascii="Arial" w:hAnsi="Arial" w:cs="Arial"/>
          <w:color w:val="231F20"/>
          <w:szCs w:val="22"/>
          <w:shd w:val="clear" w:color="auto" w:fill="FFFFFF"/>
        </w:rPr>
        <w:t xml:space="preserve">phytochrome and cryptochrome </w:t>
      </w:r>
      <w:r w:rsidR="00C56E9D">
        <w:rPr>
          <w:rFonts w:ascii="Arial" w:hAnsi="Arial" w:cs="Arial"/>
          <w:color w:val="231F20"/>
          <w:szCs w:val="22"/>
          <w:shd w:val="clear" w:color="auto" w:fill="FFFFFF"/>
        </w:rPr>
        <w:t>signaling is</w:t>
      </w:r>
      <w:r w:rsidRPr="004E0A36">
        <w:rPr>
          <w:rFonts w:ascii="Arial" w:hAnsi="Arial" w:cs="Arial"/>
          <w:color w:val="231F20"/>
          <w:szCs w:val="22"/>
          <w:shd w:val="clear" w:color="auto" w:fill="FFFFFF"/>
        </w:rPr>
        <w:t xml:space="preserve"> required for </w:t>
      </w:r>
      <w:r w:rsidR="00C56E9D">
        <w:rPr>
          <w:rFonts w:ascii="Arial" w:hAnsi="Arial" w:cs="Arial"/>
          <w:color w:val="231F20"/>
          <w:szCs w:val="22"/>
          <w:shd w:val="clear" w:color="auto" w:fill="FFFFFF"/>
        </w:rPr>
        <w:t>fine-tuning the</w:t>
      </w:r>
      <w:r w:rsidRPr="004E0A36">
        <w:rPr>
          <w:rFonts w:ascii="Arial" w:hAnsi="Arial" w:cs="Arial"/>
          <w:color w:val="231F20"/>
          <w:szCs w:val="22"/>
          <w:shd w:val="clear" w:color="auto" w:fill="FFFFFF"/>
        </w:rPr>
        <w:t xml:space="preserve"> dawn </w:t>
      </w:r>
      <w:r w:rsidR="00C56E9D">
        <w:rPr>
          <w:rFonts w:ascii="Arial" w:hAnsi="Arial" w:cs="Arial"/>
          <w:color w:val="231F20"/>
          <w:szCs w:val="22"/>
          <w:shd w:val="clear" w:color="auto" w:fill="FFFFFF"/>
        </w:rPr>
        <w:t xml:space="preserve">transcriptional </w:t>
      </w:r>
      <w:r w:rsidRPr="004E0A36">
        <w:rPr>
          <w:rFonts w:ascii="Arial" w:hAnsi="Arial" w:cs="Arial"/>
          <w:color w:val="231F20"/>
          <w:szCs w:val="22"/>
          <w:shd w:val="clear" w:color="auto" w:fill="FFFFFF"/>
        </w:rPr>
        <w:t>response</w:t>
      </w:r>
      <w:r w:rsidR="00C56E9D">
        <w:rPr>
          <w:rFonts w:ascii="Arial" w:hAnsi="Arial" w:cs="Arial"/>
          <w:color w:val="231F20"/>
          <w:szCs w:val="22"/>
          <w:shd w:val="clear" w:color="auto" w:fill="FFFFFF"/>
        </w:rPr>
        <w:t xml:space="preserve"> to light,</w:t>
      </w:r>
      <w:r w:rsidRPr="004E0A36">
        <w:rPr>
          <w:rFonts w:ascii="Arial" w:hAnsi="Arial" w:cs="Arial"/>
          <w:color w:val="231F20"/>
          <w:szCs w:val="22"/>
          <w:shd w:val="clear" w:color="auto" w:fill="FFFFFF"/>
        </w:rPr>
        <w:t xml:space="preserve"> but </w:t>
      </w:r>
      <w:r w:rsidR="00C56E9D">
        <w:rPr>
          <w:rFonts w:ascii="Arial" w:hAnsi="Arial" w:cs="Arial"/>
          <w:color w:val="231F20"/>
          <w:szCs w:val="22"/>
          <w:shd w:val="clear" w:color="auto" w:fill="FFFFFF"/>
        </w:rPr>
        <w:t>separate</w:t>
      </w:r>
      <w:r w:rsidR="00C56E9D" w:rsidRPr="004E0A36">
        <w:rPr>
          <w:rFonts w:ascii="Arial" w:hAnsi="Arial" w:cs="Arial"/>
          <w:color w:val="231F20"/>
          <w:szCs w:val="22"/>
          <w:shd w:val="clear" w:color="auto" w:fill="FFFFFF"/>
        </w:rPr>
        <w:t xml:space="preserve"> </w:t>
      </w:r>
      <w:r w:rsidRPr="004E0A36">
        <w:rPr>
          <w:rFonts w:ascii="Arial" w:hAnsi="Arial" w:cs="Arial"/>
          <w:color w:val="231F20"/>
          <w:szCs w:val="22"/>
          <w:shd w:val="clear" w:color="auto" w:fill="FFFFFF"/>
        </w:rPr>
        <w:t xml:space="preserve">pathways </w:t>
      </w:r>
      <w:r w:rsidR="00C56E9D">
        <w:rPr>
          <w:rFonts w:ascii="Arial" w:hAnsi="Arial" w:cs="Arial"/>
          <w:color w:val="231F20"/>
          <w:szCs w:val="22"/>
          <w:shd w:val="clear" w:color="auto" w:fill="FFFFFF"/>
        </w:rPr>
        <w:t>can</w:t>
      </w:r>
      <w:r w:rsidR="002B76BF">
        <w:rPr>
          <w:rFonts w:ascii="Arial" w:hAnsi="Arial" w:cs="Arial"/>
          <w:color w:val="231F20"/>
          <w:szCs w:val="22"/>
          <w:shd w:val="clear" w:color="auto" w:fill="FFFFFF"/>
        </w:rPr>
        <w:t xml:space="preserve"> robustly</w:t>
      </w:r>
      <w:r w:rsidR="00C56E9D">
        <w:rPr>
          <w:rFonts w:ascii="Arial" w:hAnsi="Arial" w:cs="Arial"/>
          <w:color w:val="231F20"/>
          <w:szCs w:val="22"/>
          <w:shd w:val="clear" w:color="auto" w:fill="FFFFFF"/>
        </w:rPr>
        <w:t xml:space="preserve"> activate much of the </w:t>
      </w:r>
      <w:proofErr w:type="spellStart"/>
      <w:r w:rsidRPr="004E0A36">
        <w:rPr>
          <w:rFonts w:ascii="Arial" w:hAnsi="Arial" w:cs="Arial"/>
          <w:color w:val="231F20"/>
          <w:szCs w:val="22"/>
          <w:shd w:val="clear" w:color="auto" w:fill="FFFFFF"/>
        </w:rPr>
        <w:t>programme</w:t>
      </w:r>
      <w:proofErr w:type="spellEnd"/>
      <w:r w:rsidRPr="004E0A36">
        <w:rPr>
          <w:rFonts w:ascii="Arial" w:hAnsi="Arial" w:cs="Arial"/>
          <w:color w:val="231F20"/>
          <w:szCs w:val="22"/>
          <w:shd w:val="clear" w:color="auto" w:fill="FFFFFF"/>
        </w:rPr>
        <w:t xml:space="preserve"> in their absence. </w:t>
      </w:r>
    </w:p>
    <w:p w14:paraId="62195C53" w14:textId="05EBCF80" w:rsidR="00B5250F" w:rsidRDefault="00BA10FA" w:rsidP="008C6C8F">
      <w:pPr>
        <w:pStyle w:val="Heading1"/>
        <w:spacing w:line="360" w:lineRule="auto"/>
      </w:pPr>
      <w:r w:rsidRPr="008C6C8F">
        <w:rPr>
          <w:rFonts w:ascii="Arial" w:hAnsi="Arial" w:cs="Arial"/>
          <w:sz w:val="28"/>
        </w:rPr>
        <w:t>Introduction</w:t>
      </w:r>
    </w:p>
    <w:p w14:paraId="35FC0FA4" w14:textId="2F68BDA5" w:rsidR="009C304E" w:rsidRPr="005D6489" w:rsidRDefault="00D14418" w:rsidP="005D6489">
      <w:pPr>
        <w:pStyle w:val="FirstParagraph"/>
        <w:spacing w:line="360" w:lineRule="auto"/>
        <w:rPr>
          <w:rFonts w:ascii="Arial" w:hAnsi="Arial" w:cs="Arial"/>
        </w:rPr>
      </w:pPr>
      <w:r>
        <w:rPr>
          <w:rFonts w:ascii="Arial" w:hAnsi="Arial" w:cs="Arial"/>
        </w:rPr>
        <w:t>Light at dawn is a major cue enabling plants to entrain circadi</w:t>
      </w:r>
      <w:r w:rsidR="00F16E3C">
        <w:rPr>
          <w:rFonts w:ascii="Arial" w:hAnsi="Arial" w:cs="Arial"/>
        </w:rPr>
        <w:t xml:space="preserve">an gene expression </w:t>
      </w:r>
      <w:proofErr w:type="spellStart"/>
      <w:r w:rsidR="00F16E3C">
        <w:rPr>
          <w:rFonts w:ascii="Arial" w:hAnsi="Arial" w:cs="Arial"/>
        </w:rPr>
        <w:t>programmes</w:t>
      </w:r>
      <w:proofErr w:type="spellEnd"/>
      <w:r w:rsidR="00891F21">
        <w:rPr>
          <w:rFonts w:ascii="Arial" w:hAnsi="Arial" w:cs="Arial"/>
        </w:rPr>
        <w:t>, coordinate developmental processes such as elongation growth</w:t>
      </w:r>
      <w:r w:rsidR="00F16E3C">
        <w:rPr>
          <w:rFonts w:ascii="Arial" w:hAnsi="Arial" w:cs="Arial"/>
        </w:rPr>
        <w:t xml:space="preserve"> and </w:t>
      </w:r>
      <w:r>
        <w:rPr>
          <w:rFonts w:ascii="Arial" w:hAnsi="Arial" w:cs="Arial"/>
        </w:rPr>
        <w:t xml:space="preserve">anticipate </w:t>
      </w:r>
      <w:r w:rsidR="00F16E3C">
        <w:rPr>
          <w:rFonts w:ascii="Arial" w:hAnsi="Arial" w:cs="Arial"/>
        </w:rPr>
        <w:t>likely</w:t>
      </w:r>
      <w:r>
        <w:rPr>
          <w:rFonts w:ascii="Arial" w:hAnsi="Arial" w:cs="Arial"/>
        </w:rPr>
        <w:t xml:space="preserve"> daytime stresses</w:t>
      </w:r>
      <w:r w:rsidR="00BA10FA" w:rsidRPr="005D6489">
        <w:rPr>
          <w:rFonts w:ascii="Arial" w:hAnsi="Arial" w:cs="Arial"/>
        </w:rPr>
        <w:t xml:space="preserve">. </w:t>
      </w:r>
      <w:r w:rsidR="00F16E3C">
        <w:rPr>
          <w:rFonts w:ascii="Arial" w:hAnsi="Arial" w:cs="Arial"/>
        </w:rPr>
        <w:t xml:space="preserve">Transcripts that are induced </w:t>
      </w:r>
      <w:r w:rsidR="004369D9">
        <w:rPr>
          <w:rFonts w:ascii="Arial" w:hAnsi="Arial" w:cs="Arial"/>
        </w:rPr>
        <w:t>at</w:t>
      </w:r>
      <w:r w:rsidR="00F16E3C">
        <w:rPr>
          <w:rFonts w:ascii="Arial" w:hAnsi="Arial" w:cs="Arial"/>
        </w:rPr>
        <w:t xml:space="preserve"> dawn include genes involved in </w:t>
      </w:r>
      <w:r w:rsidR="00891F21">
        <w:rPr>
          <w:rFonts w:ascii="Arial" w:hAnsi="Arial" w:cs="Arial"/>
        </w:rPr>
        <w:t>responses to drought</w:t>
      </w:r>
      <w:r w:rsidR="00BA10FA" w:rsidRPr="005D6489">
        <w:rPr>
          <w:rFonts w:ascii="Arial" w:hAnsi="Arial" w:cs="Arial"/>
        </w:rPr>
        <w:t xml:space="preserve"> </w:t>
      </w:r>
      <w:r w:rsidR="008936B1">
        <w:rPr>
          <w:rFonts w:ascii="Arial" w:hAnsi="Arial" w:cs="Arial"/>
        </w:rPr>
        <w:fldChar w:fldCharType="begin"/>
      </w:r>
      <w:r w:rsidR="008936B1">
        <w:rPr>
          <w:rFonts w:ascii="Arial" w:hAnsi="Arial" w:cs="Arial"/>
        </w:rPr>
        <w:instrText xml:space="preserve"> ADDIN ZOTERO_ITEM CSL_CITATION {"citationID":"4uXzN8X9","properties":{"formattedCitation":"(Grundy et al., 2015)","plainCitation":"(Grundy et al., 2015)","noteIndex":0},"citationItems":[{"id":3414,"uris":["http://zotero.org/users/2970095/items/D6DSNSS6"],"uri":["http://zotero.org/users/2970095/items/D6DSNSS6"],"itemData":{"id":3414,"type":"article-journal","abstract":"Extremes of temperatures, drought and salinity cause widespread crop losses throughout the world and impose severe limitations on the amount of land that can be used for agricultural purposes. Hence, there is an urgent need to develop crops that perform better under such abiotic stress conditions. Here, we discuss intriguing, recent evidence that circadian clock contributes to plants’ ability to tolerate different types environmental stress, and to acclimate to them. The clock controls expression of a large fraction abiotic stress-responsive genes, as well as biosynthesis and signalling downstream of stress response hormones. Conversely, abiotic stress results in altered expression and differential splicing of the clock genes, leading to altered oscillations of downstream stress-response pathways. We propose a range of mechanisms by which this intimate coupling between the circadian clock and environmental stress-response pathways may contribute to plant growth and survival under abiotic stress.","container-title":"Frontiers in Plant Science","DOI":"10.3389/fpls.2015.00648","ISSN":"1664-462X","journalAbbreviation":"Front. Plant Sci.","language":"English","note":"publisher: Frontiers","source":"Frontiers","title":"Circadian regulation of abiotic stress tolerance in plants","URL":"https://www.frontiersin.org/articles/10.3389/fpls.2015.00648/full","volume":"6","author":[{"family":"Grundy","given":"Jack"},{"family":"Stoker","given":"Claire"},{"family":"Carré","given":"Isabelle A."}],"accessed":{"date-parts":[["2020",4,6]]},"issued":{"date-parts":[["2015"]]}}}],"schema":"https://github.com/citation-style-language/schema/raw/master/csl-citation.json"} </w:instrText>
      </w:r>
      <w:r w:rsidR="008936B1">
        <w:rPr>
          <w:rFonts w:ascii="Arial" w:hAnsi="Arial" w:cs="Arial"/>
        </w:rPr>
        <w:fldChar w:fldCharType="separate"/>
      </w:r>
      <w:r w:rsidR="008936B1" w:rsidRPr="008936B1">
        <w:rPr>
          <w:rFonts w:ascii="Arial" w:hAnsi="Arial" w:cs="Arial"/>
        </w:rPr>
        <w:t>(Grundy et al., 2015)</w:t>
      </w:r>
      <w:r w:rsidR="008936B1">
        <w:rPr>
          <w:rFonts w:ascii="Arial" w:hAnsi="Arial" w:cs="Arial"/>
        </w:rPr>
        <w:fldChar w:fldCharType="end"/>
      </w:r>
      <w:r w:rsidR="00BA10FA" w:rsidRPr="005D6489">
        <w:rPr>
          <w:rFonts w:ascii="Arial" w:hAnsi="Arial" w:cs="Arial"/>
        </w:rPr>
        <w:t xml:space="preserve">, </w:t>
      </w:r>
      <w:r w:rsidR="00F16E3C">
        <w:rPr>
          <w:rFonts w:ascii="Arial" w:hAnsi="Arial" w:cs="Arial"/>
        </w:rPr>
        <w:t>and heat</w:t>
      </w:r>
      <w:r w:rsidR="008936B1">
        <w:rPr>
          <w:rFonts w:ascii="Arial" w:hAnsi="Arial" w:cs="Arial"/>
        </w:rPr>
        <w:t xml:space="preserve"> </w:t>
      </w:r>
      <w:r w:rsidR="008936B1">
        <w:rPr>
          <w:rFonts w:ascii="Arial" w:hAnsi="Arial" w:cs="Arial"/>
        </w:rPr>
        <w:fldChar w:fldCharType="begin"/>
      </w:r>
      <w:r w:rsidR="008936B1">
        <w:rPr>
          <w:rFonts w:ascii="Arial" w:hAnsi="Arial" w:cs="Arial"/>
        </w:rPr>
        <w:instrText xml:space="preserve"> ADDIN ZOTERO_ITEM CSL_CITATION {"citationID":"f4cXrbgD","properties":{"formattedCitation":"(Dickinson et al., 2018)","plainCitation":"(Dickinson et al., 2018)","noteIndex":0},"citationItems":[{"id":3389,"uris":["http://zotero.org/users/2970095/items/5PWUAVDC"],"uri":["http://zotero.org/users/2970095/items/5PWUAVDC"],"itemData":{"id":3389,"type":"article-journal","abstract":"Temperature is a key environmental variable influencing plant growth and survival. Protection against high temperature stress in eukaryotes is coordinated by heat shock factors (HSFs), transcription factors that activate the expression of protective chaperones such as HEAT SHOCK PROTEIN 70 (HSP70); however, the pathway by which temperature is sensed and integrated with other environmental signals into adaptive responses is not well understood. Plants are exposed to considerable diurnal variation in temperature, and we have found that there is diurnal variation in thermotolerance in Arabidopsis thaliana, with maximal thermotolerance coinciding with higher HSP70 expression during the day. In a forward genetic screen, we identified a key role for the chloroplast in controlling this response, suggesting that light-induced chloroplast signaling plays a key role. Consistent with this, we are able to globally activate binding of HSFA1a to its targets by altering redox status in planta independently of a heat shock.","container-title":"Cell Reports","DOI":"10.1016/j.celrep.2018.01.054","ISSN":"2211-1247","issue":"7","journalAbbreviation":"Cell Reports","language":"en","page":"1657-1665","source":"ScienceDirect","title":"Chloroplast Signaling Gates Thermotolerance in Arabidopsis","volume":"22","author":[{"family":"Dickinson","given":"Patrick J."},{"family":"Kumar","given":"Manoj"},{"family":"Martinho","given":"Claudia"},{"family":"Yoo","given":"Seong Jeon"},{"family":"Lan","given":"Hui"},{"family":"Artavanis","given":"George"},{"family":"Charoensawan","given":"Varodom"},{"family":"Schöttler","given":"Mark Aurel"},{"family":"Bock","given":"Ralph"},{"family":"Jaeger","given":"Katja E."},{"family":"Wigge","given":"Philip A."}],"issued":{"date-parts":[["2018",2,13]]}}}],"schema":"https://github.com/citation-style-language/schema/raw/master/csl-citation.json"} </w:instrText>
      </w:r>
      <w:r w:rsidR="008936B1">
        <w:rPr>
          <w:rFonts w:ascii="Arial" w:hAnsi="Arial" w:cs="Arial"/>
        </w:rPr>
        <w:fldChar w:fldCharType="separate"/>
      </w:r>
      <w:r w:rsidR="008936B1" w:rsidRPr="008936B1">
        <w:rPr>
          <w:rFonts w:ascii="Arial" w:hAnsi="Arial" w:cs="Arial"/>
        </w:rPr>
        <w:t>(Dickinson et al., 2018)</w:t>
      </w:r>
      <w:r w:rsidR="008936B1">
        <w:rPr>
          <w:rFonts w:ascii="Arial" w:hAnsi="Arial" w:cs="Arial"/>
        </w:rPr>
        <w:fldChar w:fldCharType="end"/>
      </w:r>
      <w:r w:rsidR="00BA10FA" w:rsidRPr="005D6489">
        <w:rPr>
          <w:rFonts w:ascii="Arial" w:hAnsi="Arial" w:cs="Arial"/>
        </w:rPr>
        <w:t xml:space="preserve">, </w:t>
      </w:r>
      <w:r w:rsidR="00F16E3C">
        <w:rPr>
          <w:rFonts w:ascii="Arial" w:hAnsi="Arial" w:cs="Arial"/>
        </w:rPr>
        <w:t xml:space="preserve">as well as </w:t>
      </w:r>
      <w:r w:rsidR="00AF73FC">
        <w:rPr>
          <w:rFonts w:ascii="Arial" w:hAnsi="Arial" w:cs="Arial"/>
        </w:rPr>
        <w:t xml:space="preserve">in </w:t>
      </w:r>
      <w:r w:rsidR="00BA10FA" w:rsidRPr="005D6489">
        <w:rPr>
          <w:rFonts w:ascii="Arial" w:hAnsi="Arial" w:cs="Arial"/>
        </w:rPr>
        <w:t>anthocyanin biosynthesis</w:t>
      </w:r>
      <w:r w:rsidR="008936B1">
        <w:rPr>
          <w:rFonts w:ascii="Arial" w:hAnsi="Arial" w:cs="Arial"/>
        </w:rPr>
        <w:t xml:space="preserve"> </w:t>
      </w:r>
      <w:r w:rsidR="008936B1">
        <w:rPr>
          <w:rFonts w:ascii="Arial" w:hAnsi="Arial" w:cs="Arial"/>
        </w:rPr>
        <w:fldChar w:fldCharType="begin"/>
      </w:r>
      <w:r w:rsidR="008936B1">
        <w:rPr>
          <w:rFonts w:ascii="Arial" w:hAnsi="Arial" w:cs="Arial"/>
        </w:rPr>
        <w:instrText xml:space="preserve"> ADDIN ZOTERO_ITEM CSL_CITATION {"citationID":"8IDg7Zib","properties":{"formattedCitation":"(Seaton et al., 2018)","plainCitation":"(Seaton et al., 2018)","noteIndex":0},"citationItems":[{"id":3227,"uris":["http://zotero.org/users/2970095/items/8YARDMEF"],"uri":["http://zotero.org/users/2970095/items/8YARDMEF"],"itemData":{"id":3227,"type":"article-journal","abstract":"The changing seasons subject plants to a variety of challenging environments. To deal with this, many plants have mechanisms for inferring the season by measuring the duration of daylight in a day. A number of well-known seasonal responses such as flowering are responsive to daylength or photoperiod. Here, we describe how the photoreceptor protein phytochrome A senses short photoperiods. This arises from its accumulation during long nights, as happens during winter, and subsequent activation by light at dawn. As a result of this response, the abundance of red anthocyanin pigments is increased in short photoperiods. Thus, we describe a mechanism underlying a seasonal phenotype in an important model plant species., In plants, light receptors play a pivotal role in photoperiod sensing, enabling them to track seasonal progression. Photoperiod sensing arises from an interaction between the plant’s endogenous circadian oscillator and external light cues. Here, we characterize the role of phytochrome A (phyA) in photoperiod sensing. Our metaanalysis of functional genomic datasets identified phyA as a principal regulator of morning-activated genes, specifically in short photoperiods. We demonstrate that PHYA expression is under the direct control of the PHYTOCHROME INTERACTING FACTOR transcription factors, PIF4 and PIF5. As a result, phyA protein accumulates during the night, especially in short photoperiods. At dawn, phyA activation by light results in a burst of gene expression, with consequences for physiological processes such as anthocyanin accumulation. The combination of complex regulation of PHYA transcript and the unique molecular properties of phyA protein make this pathway a sensitive detector of both dawn and photoperiod.","container-title":"Proceedings of the National Academy of Sciences of the United States of America","DOI":"10.1073/pnas.1803398115","ISSN":"0027-8424","issue":"41","journalAbbreviation":"Proc Natl Acad Sci U S A","note":"PMID: 30254157\nPMCID: PMC6187151","page":"10523-10528","source":"PubMed Central","title":"Dawn and photoperiod sensing by phytochrome A","volume":"115","author":[{"family":"Seaton","given":"Daniel D."},{"family":"Toledo-Ortiz","given":"Gabriela"},{"family":"Ganpudi","given":"Ashwin"},{"family":"Kubota","given":"Akane"},{"family":"Imaizumi","given":"Takato"},{"family":"Halliday","given":"Karen J."}],"issued":{"date-parts":[["2018",10,9]]}}}],"schema":"https://github.com/citation-style-language/schema/raw/master/csl-citation.json"} </w:instrText>
      </w:r>
      <w:r w:rsidR="008936B1">
        <w:rPr>
          <w:rFonts w:ascii="Arial" w:hAnsi="Arial" w:cs="Arial"/>
        </w:rPr>
        <w:fldChar w:fldCharType="separate"/>
      </w:r>
      <w:r w:rsidR="008936B1" w:rsidRPr="008936B1">
        <w:rPr>
          <w:rFonts w:ascii="Arial" w:hAnsi="Arial" w:cs="Arial"/>
        </w:rPr>
        <w:t>(Seaton et al., 2018)</w:t>
      </w:r>
      <w:r w:rsidR="008936B1">
        <w:rPr>
          <w:rFonts w:ascii="Arial" w:hAnsi="Arial" w:cs="Arial"/>
        </w:rPr>
        <w:fldChar w:fldCharType="end"/>
      </w:r>
      <w:r w:rsidR="004369D9">
        <w:rPr>
          <w:rFonts w:ascii="Arial" w:hAnsi="Arial" w:cs="Arial"/>
        </w:rPr>
        <w:t>.</w:t>
      </w:r>
      <w:r w:rsidR="00891F21">
        <w:rPr>
          <w:rFonts w:ascii="Arial" w:hAnsi="Arial" w:cs="Arial"/>
        </w:rPr>
        <w:t xml:space="preserve"> </w:t>
      </w:r>
      <w:r w:rsidR="00AF73FC">
        <w:rPr>
          <w:rFonts w:ascii="Arial" w:hAnsi="Arial" w:cs="Arial"/>
        </w:rPr>
        <w:t>In addition to</w:t>
      </w:r>
      <w:r w:rsidR="00E461CE">
        <w:rPr>
          <w:rFonts w:ascii="Arial" w:hAnsi="Arial" w:cs="Arial"/>
        </w:rPr>
        <w:t xml:space="preserve"> abiotic stresses</w:t>
      </w:r>
      <w:r w:rsidR="00E461CE" w:rsidRPr="005D6489">
        <w:rPr>
          <w:rFonts w:ascii="Arial" w:hAnsi="Arial" w:cs="Arial"/>
        </w:rPr>
        <w:t xml:space="preserve">, Arabidopsis is </w:t>
      </w:r>
      <w:r w:rsidR="00AF73FC">
        <w:rPr>
          <w:rFonts w:ascii="Arial" w:hAnsi="Arial" w:cs="Arial"/>
        </w:rPr>
        <w:t xml:space="preserve">also </w:t>
      </w:r>
      <w:r w:rsidR="00E461CE" w:rsidRPr="005D6489">
        <w:rPr>
          <w:rFonts w:ascii="Arial" w:hAnsi="Arial" w:cs="Arial"/>
        </w:rPr>
        <w:t xml:space="preserve">less susceptible to </w:t>
      </w:r>
      <w:r w:rsidR="00AF73FC">
        <w:rPr>
          <w:rFonts w:ascii="Arial" w:hAnsi="Arial" w:cs="Arial"/>
        </w:rPr>
        <w:t xml:space="preserve">biotic stresses such as </w:t>
      </w:r>
      <w:r w:rsidR="00E461CE" w:rsidRPr="005D6489">
        <w:rPr>
          <w:rFonts w:ascii="Arial" w:hAnsi="Arial" w:cs="Arial"/>
        </w:rPr>
        <w:t xml:space="preserve">certain fungal pathogens in the morning, </w:t>
      </w:r>
      <w:r w:rsidR="00AF73FC">
        <w:rPr>
          <w:rFonts w:ascii="Arial" w:hAnsi="Arial" w:cs="Arial"/>
        </w:rPr>
        <w:t xml:space="preserve">which is </w:t>
      </w:r>
      <w:r w:rsidR="00E461CE" w:rsidRPr="005D6489">
        <w:rPr>
          <w:rFonts w:ascii="Arial" w:hAnsi="Arial" w:cs="Arial"/>
        </w:rPr>
        <w:t xml:space="preserve">linked to </w:t>
      </w:r>
      <w:proofErr w:type="spellStart"/>
      <w:r w:rsidR="00E461CE" w:rsidRPr="005D6489">
        <w:rPr>
          <w:rFonts w:ascii="Arial" w:hAnsi="Arial" w:cs="Arial"/>
        </w:rPr>
        <w:t>jasmonic</w:t>
      </w:r>
      <w:proofErr w:type="spellEnd"/>
      <w:r w:rsidR="00E461CE" w:rsidRPr="005D6489">
        <w:rPr>
          <w:rFonts w:ascii="Arial" w:hAnsi="Arial" w:cs="Arial"/>
        </w:rPr>
        <w:t xml:space="preserve"> acid </w:t>
      </w:r>
      <w:proofErr w:type="spellStart"/>
      <w:r w:rsidR="00822729" w:rsidRPr="005D6489">
        <w:rPr>
          <w:rFonts w:ascii="Arial" w:hAnsi="Arial" w:cs="Arial"/>
        </w:rPr>
        <w:t>signa</w:t>
      </w:r>
      <w:r w:rsidR="00822729">
        <w:rPr>
          <w:rFonts w:ascii="Arial" w:hAnsi="Arial" w:cs="Arial"/>
        </w:rPr>
        <w:t>l</w:t>
      </w:r>
      <w:r w:rsidR="00822729" w:rsidRPr="005D6489">
        <w:rPr>
          <w:rFonts w:ascii="Arial" w:hAnsi="Arial" w:cs="Arial"/>
        </w:rPr>
        <w:t>ling</w:t>
      </w:r>
      <w:proofErr w:type="spellEnd"/>
      <w:r w:rsidR="00E461CE" w:rsidRPr="005D6489">
        <w:rPr>
          <w:rFonts w:ascii="Arial" w:hAnsi="Arial" w:cs="Arial"/>
        </w:rPr>
        <w:t> </w:t>
      </w:r>
      <w:r w:rsidR="008936B1">
        <w:rPr>
          <w:rFonts w:ascii="Arial" w:hAnsi="Arial" w:cs="Arial"/>
        </w:rPr>
        <w:fldChar w:fldCharType="begin"/>
      </w:r>
      <w:r w:rsidR="008936B1">
        <w:rPr>
          <w:rFonts w:ascii="Arial" w:hAnsi="Arial" w:cs="Arial"/>
        </w:rPr>
        <w:instrText xml:space="preserve"> ADDIN ZOTERO_ITEM CSL_CITATION {"citationID":"WuHKCms5","properties":{"formattedCitation":"(Ingle et al., 2015)","plainCitation":"(Ingle et al., 2015)","noteIndex":0},"citationItems":[{"id":3416,"uris":["http://zotero.org/users/2970095/items/VLPNXYA5"],"uri":["http://zotero.org/users/2970095/items/VLPNXYA5"],"itemData":{"id":3416,"type":"article-journal","abstract":"The circadian clock, an internal time-keeping mechanism, allows plants to anticipate regular changes in the environment, such as light and dark, and biotic challenges such as pathogens and herbivores. Here, we demonstrate that the plant circadian clock influences susceptibility to the necrotrophic fungal pathogen, Botrytis cinerea. Arabidopsis plants show differential susceptibility to B. cinerea depending on the time of day of inoculation. Decreased susceptibility after inoculation at dawn compared with night persists under constant light conditions and is disrupted in dysfunctional clock mutants, demonstrating the role of the plant clock in driving time-of-day susceptibility to B. cinerea. The decreased susceptibility to B. cinerea following inoculation at subjective dawn was associated with faster transcriptional reprogramming of the defence response with gating of infection-responsive genes apparent. Direct target genes of core clock regulators were enriched among the transcription factors that responded more rapidly to infection at subjective dawn than subjective night, suggesting an influence of the clock on the defence-signalling network. In addition, jasmonate signalling plays a crucial role in the rhythmic susceptibility of Arabidopsis to B. cinerea with the enhanced susceptibility to this pathogen at subjective night lost in a jaz6 mutant.","container-title":"The Plant Journal","DOI":"10.1111/tpj.13050","ISSN":"1365-313X","issue":"5","language":"en","note":"_eprint: https://onlinelibrary.wiley.com/doi/pdf/10.1111/tpj.13050","page":"937-948","source":"Wiley Online Library","title":"Jasmonate signalling drives time-of-day differences in susceptibility of Arabidopsis to the fungal pathogen Botrytis cinerea","volume":"84","author":[{"family":"Ingle","given":"Robert A."},{"family":"Stoker","given":"Claire"},{"family":"Stone","given":"Wendy"},{"family":"Adams","given":"Nicolette"},{"family":"Smith","given":"Rob"},{"family":"Grant","given":"Murray"},{"family":"Carré","given":"Isabelle"},{"family":"Roden","given":"Laura C."},{"family":"Denby","given":"Katherine J."}],"issued":{"date-parts":[["2015"]]}}}],"schema":"https://github.com/citation-style-language/schema/raw/master/csl-citation.json"} </w:instrText>
      </w:r>
      <w:r w:rsidR="008936B1">
        <w:rPr>
          <w:rFonts w:ascii="Arial" w:hAnsi="Arial" w:cs="Arial"/>
        </w:rPr>
        <w:fldChar w:fldCharType="separate"/>
      </w:r>
      <w:r w:rsidR="008936B1" w:rsidRPr="008936B1">
        <w:rPr>
          <w:rFonts w:ascii="Arial" w:hAnsi="Arial" w:cs="Arial"/>
        </w:rPr>
        <w:t>(Ingle et al., 2015)</w:t>
      </w:r>
      <w:r w:rsidR="008936B1">
        <w:rPr>
          <w:rFonts w:ascii="Arial" w:hAnsi="Arial" w:cs="Arial"/>
        </w:rPr>
        <w:fldChar w:fldCharType="end"/>
      </w:r>
      <w:r w:rsidR="00E461CE" w:rsidRPr="005D6489">
        <w:rPr>
          <w:rFonts w:ascii="Arial" w:hAnsi="Arial" w:cs="Arial"/>
        </w:rPr>
        <w:t>. </w:t>
      </w:r>
      <w:r w:rsidR="004369D9">
        <w:rPr>
          <w:rFonts w:ascii="Arial" w:hAnsi="Arial" w:cs="Arial"/>
        </w:rPr>
        <w:t>P</w:t>
      </w:r>
      <w:r w:rsidR="00BA10FA" w:rsidRPr="005D6489">
        <w:rPr>
          <w:rFonts w:ascii="Arial" w:hAnsi="Arial" w:cs="Arial"/>
        </w:rPr>
        <w:t>hytohormone genes </w:t>
      </w:r>
      <w:r w:rsidR="00AF73FC">
        <w:rPr>
          <w:rFonts w:ascii="Arial" w:hAnsi="Arial" w:cs="Arial"/>
        </w:rPr>
        <w:t xml:space="preserve">in general </w:t>
      </w:r>
      <w:r w:rsidR="004369D9">
        <w:rPr>
          <w:rFonts w:ascii="Arial" w:hAnsi="Arial" w:cs="Arial"/>
        </w:rPr>
        <w:t>represent another set of dawn-</w:t>
      </w:r>
      <w:r w:rsidR="00AF73FC">
        <w:rPr>
          <w:rFonts w:ascii="Arial" w:hAnsi="Arial" w:cs="Arial"/>
        </w:rPr>
        <w:t>expressed</w:t>
      </w:r>
      <w:r w:rsidR="004369D9">
        <w:rPr>
          <w:rFonts w:ascii="Arial" w:hAnsi="Arial" w:cs="Arial"/>
        </w:rPr>
        <w:t xml:space="preserve"> genes</w:t>
      </w:r>
      <w:r w:rsidR="00021FC6">
        <w:rPr>
          <w:rFonts w:ascii="Arial" w:hAnsi="Arial" w:cs="Arial"/>
        </w:rPr>
        <w:t xml:space="preserve"> </w:t>
      </w:r>
      <w:r w:rsidR="00021FC6">
        <w:rPr>
          <w:rFonts w:ascii="Arial" w:hAnsi="Arial" w:cs="Arial"/>
        </w:rPr>
        <w:lastRenderedPageBreak/>
        <w:t>and are essential for controlling the diurnal rhythm of growth</w:t>
      </w:r>
      <w:r w:rsidR="004369D9">
        <w:rPr>
          <w:rFonts w:ascii="Arial" w:hAnsi="Arial" w:cs="Arial"/>
        </w:rPr>
        <w:t xml:space="preserve">, and many of </w:t>
      </w:r>
      <w:r w:rsidR="00021FC6">
        <w:rPr>
          <w:rFonts w:ascii="Arial" w:hAnsi="Arial" w:cs="Arial"/>
        </w:rPr>
        <w:t>these genes</w:t>
      </w:r>
      <w:r w:rsidR="004369D9">
        <w:rPr>
          <w:rFonts w:ascii="Arial" w:hAnsi="Arial" w:cs="Arial"/>
        </w:rPr>
        <w:t xml:space="preserve"> feature a G-box motif in their promoter</w:t>
      </w:r>
      <w:r w:rsidR="008936B1">
        <w:rPr>
          <w:rFonts w:ascii="Arial" w:hAnsi="Arial" w:cs="Arial"/>
        </w:rPr>
        <w:t xml:space="preserve"> </w:t>
      </w:r>
      <w:r w:rsidR="008936B1">
        <w:rPr>
          <w:rFonts w:ascii="Arial" w:hAnsi="Arial" w:cs="Arial"/>
        </w:rPr>
        <w:fldChar w:fldCharType="begin"/>
      </w:r>
      <w:r w:rsidR="008936B1">
        <w:rPr>
          <w:rFonts w:ascii="Arial" w:hAnsi="Arial" w:cs="Arial"/>
        </w:rPr>
        <w:instrText xml:space="preserve"> ADDIN ZOTERO_ITEM CSL_CITATION {"citationID":"0i2V3Lnk","properties":{"formattedCitation":"(Michael et al., 2008)","plainCitation":"(Michael et al., 2008)","noteIndex":0},"citationItems":[{"id":2780,"uris":["http://zotero.org/users/2970095/items/J7LHEUVK"],"uri":["http://zotero.org/users/2970095/items/J7LHEUVK"],"itemData":{"id":2780,"type":"article-journal","abstract":"Most organisms use daily light/dark cycles as timing cues to control many essential physiological processes. In plants, growth rates of the embryonic stem (hypocotyl) are maximal at different times of day, depending on external photoperiod and the internal circadian clock. However, the interactions between light signaling, the circadian clock, and growth-promoting hormone pathways in growth control remain poorly understood. At the molecular level, such growth rhythms could be attributed to several different layers of time-specific control such as phasing of transcription, signaling, or protein abundance. To determine the transcriptional component associated with the rhythmic control of growth, we applied temporal analysis of the Arabidopsis thaliana seedling transcriptome under multiple growth conditions and mutant backgrounds using DNA microarrays. We show that a group of plant hormone-associated genes are coexpressed at the time of day when hypocotyl growth rate is maximal. This expression correlates with overrepresentation of a cis-acting element (CACATG) in phytohormone gene promoters, which is sufficient to confer the predicted diurnal and circadian expression patterns in vivo. Using circadian clock and light signaling mutants, we show that both internal coincidence of phytohormone signaling capacity and external coincidence with darkness are required to coordinate wild-type growth. From these data, we argue that the circadian clock indirectly controls growth by permissive gating of light-mediated phytohormone transcript levels to the proper time of day. This temporal integration of hormone pathways allows plants to fine tune phytohormone responses for seasonal and shade-appropriate growth regulation.","container-title":"PLOS Biology","DOI":"10.1371/journal.pbio.0060225","ISSN":"1545-7885","issue":"9","journalAbbreviation":"PLOS Biology","language":"en","page":"e225","source":"PLoS Journals","title":"A Morning-Specific Phytohormone Gene Expression Program underlying Rhythmic Plant Growth","volume":"6","author":[{"family":"Michael","given":"Todd P."},{"family":"Breton","given":"Ghislain"},{"family":"Hazen","given":"Samuel P."},{"family":"Priest","given":"Henry"},{"family":"Mockler","given":"Todd C."},{"family":"Kay","given":"Steve A."},{"family":"Chory","given":"Joanne"}],"issued":{"date-parts":[["2008",9,16]]}}}],"schema":"https://github.com/citation-style-language/schema/raw/master/csl-citation.json"} </w:instrText>
      </w:r>
      <w:r w:rsidR="008936B1">
        <w:rPr>
          <w:rFonts w:ascii="Arial" w:hAnsi="Arial" w:cs="Arial"/>
        </w:rPr>
        <w:fldChar w:fldCharType="separate"/>
      </w:r>
      <w:r w:rsidR="008936B1" w:rsidRPr="008936B1">
        <w:rPr>
          <w:rFonts w:ascii="Arial" w:hAnsi="Arial" w:cs="Arial"/>
        </w:rPr>
        <w:t>(Michael et al., 2008)</w:t>
      </w:r>
      <w:r w:rsidR="008936B1">
        <w:rPr>
          <w:rFonts w:ascii="Arial" w:hAnsi="Arial" w:cs="Arial"/>
        </w:rPr>
        <w:fldChar w:fldCharType="end"/>
      </w:r>
      <w:r w:rsidR="004369D9">
        <w:rPr>
          <w:rFonts w:ascii="Arial" w:hAnsi="Arial" w:cs="Arial"/>
        </w:rPr>
        <w:t xml:space="preserve">. </w:t>
      </w:r>
      <w:r w:rsidR="00FB17A5">
        <w:rPr>
          <w:rFonts w:ascii="Arial" w:hAnsi="Arial" w:cs="Arial"/>
        </w:rPr>
        <w:t>Consistent with this,</w:t>
      </w:r>
      <w:r w:rsidR="00BA10FA" w:rsidRPr="005D6489">
        <w:rPr>
          <w:rFonts w:ascii="Arial" w:hAnsi="Arial" w:cs="Arial"/>
        </w:rPr>
        <w:t xml:space="preserve"> a large set of genes with G-box promoter motifs that are expressed within one hour of dawn including many that are involved in </w:t>
      </w:r>
      <w:r w:rsidR="00C26540">
        <w:rPr>
          <w:rFonts w:ascii="Arial" w:hAnsi="Arial" w:cs="Arial"/>
        </w:rPr>
        <w:t>phytohormone</w:t>
      </w:r>
      <w:r w:rsidR="00E461CE">
        <w:rPr>
          <w:rFonts w:ascii="Arial" w:hAnsi="Arial" w:cs="Arial"/>
        </w:rPr>
        <w:t xml:space="preserve"> </w:t>
      </w:r>
      <w:proofErr w:type="spellStart"/>
      <w:r w:rsidR="00E461CE">
        <w:rPr>
          <w:rFonts w:ascii="Arial" w:hAnsi="Arial" w:cs="Arial"/>
        </w:rPr>
        <w:t>signa</w:t>
      </w:r>
      <w:r w:rsidR="00822729">
        <w:rPr>
          <w:rFonts w:ascii="Arial" w:hAnsi="Arial" w:cs="Arial"/>
        </w:rPr>
        <w:t>l</w:t>
      </w:r>
      <w:r w:rsidR="00E461CE">
        <w:rPr>
          <w:rFonts w:ascii="Arial" w:hAnsi="Arial" w:cs="Arial"/>
        </w:rPr>
        <w:t>ling</w:t>
      </w:r>
      <w:proofErr w:type="spellEnd"/>
      <w:r w:rsidR="00E461CE">
        <w:rPr>
          <w:rFonts w:ascii="Arial" w:hAnsi="Arial" w:cs="Arial"/>
        </w:rPr>
        <w:t xml:space="preserve"> and in </w:t>
      </w:r>
      <w:r w:rsidR="00BA10FA" w:rsidRPr="005D6489">
        <w:rPr>
          <w:rFonts w:ascii="Arial" w:hAnsi="Arial" w:cs="Arial"/>
        </w:rPr>
        <w:t>response to metals </w:t>
      </w:r>
      <w:r w:rsidR="008936B1">
        <w:rPr>
          <w:rFonts w:ascii="Arial" w:hAnsi="Arial" w:cs="Arial"/>
        </w:rPr>
        <w:fldChar w:fldCharType="begin"/>
      </w:r>
      <w:r w:rsidR="000E05FA">
        <w:rPr>
          <w:rFonts w:ascii="Arial" w:hAnsi="Arial" w:cs="Arial"/>
        </w:rPr>
        <w:instrText xml:space="preserve"> ADDIN ZOTERO_ITEM CSL_CITATION {"citationID":"Yvfc269w","properties":{"formattedCitation":"(Ezer et al., 2017b)","plainCitation":"(Ezer et al., 2017b)","noteIndex":0},"citationItems":[{"id":3245,"uris":["http://zotero.org/users/2970095/items/QBMDGT9D"],"uri":["http://zotero.org/users/2970095/items/QBMDGT9D"],"itemData":{"id":3245,"type":"article-journal","abstract":"Plants have significantly more transcription factor (TF) families than animals and fungi, and plant TF families tend to contain more genes; these expansions are linked to adaptation to environmental stressors. Many TF family members bind to similar or identical sequence motifs, such as G-boxes (CACGTG), so it is difficult to predict regulatory relationships. We determined that the flanking sequences near G-boxes help determine in vitro specificity but that this is insufficient to predict the transcription pattern of genes near G-boxes. Therefore, we constructed a gene regulatory network that identifies the set of bZIPs and bHLHs that are most predictive of the expression of genes downstream of perfect G-boxes. This network accurately predicts transcriptional patterns and reconstructs known regulatory subnetworks. Finally, we present Ara-BOX-cis (araboxcis.org), a Web site that provides interactive visualizations of the G-box regulatory network, a useful resource for generating predictions for gene regulatory relations.","container-title":"Plant Physiology","DOI":"10.1104/pp.17.01086","ISSN":"0032-0889, 1532-2548","issue":"2","language":"en","note":"PMID: 28864470","page":"628-640","source":"www.plantphysiol.org","title":"The G-Box Transcriptional Regulatory Code in Arabidopsis","volume":"175","author":[{"family":"Ezer","given":"Daphne"},{"family":"Shepherd","given":"Samuel J. K."},{"family":"Brestovitsky","given":"Anna"},{"family":"Dickinson","given":"Patrick"},{"family":"Cortijo","given":"Sandra"},{"family":"Charoensawan","given":"Varodom"},{"family":"Box","given":"Mathew S."},{"family":"Biswas","given":"Surojit"},{"family":"Jaeger","given":"Katja E."},{"family":"Wigge","given":"Philip A."}],"issued":{"date-parts":[["2017",10,1]]}}}],"schema":"https://github.com/citation-style-language/schema/raw/master/csl-citation.json"} </w:instrText>
      </w:r>
      <w:r w:rsidR="008936B1">
        <w:rPr>
          <w:rFonts w:ascii="Arial" w:hAnsi="Arial" w:cs="Arial"/>
        </w:rPr>
        <w:fldChar w:fldCharType="separate"/>
      </w:r>
      <w:r w:rsidR="000E05FA" w:rsidRPr="000E05FA">
        <w:rPr>
          <w:rFonts w:ascii="Arial" w:hAnsi="Arial" w:cs="Arial"/>
        </w:rPr>
        <w:t>(Ezer et al., 2017b)</w:t>
      </w:r>
      <w:r w:rsidR="008936B1">
        <w:rPr>
          <w:rFonts w:ascii="Arial" w:hAnsi="Arial" w:cs="Arial"/>
        </w:rPr>
        <w:fldChar w:fldCharType="end"/>
      </w:r>
      <w:r w:rsidR="00BA10FA" w:rsidRPr="005D6489">
        <w:rPr>
          <w:rFonts w:ascii="Arial" w:hAnsi="Arial" w:cs="Arial"/>
        </w:rPr>
        <w:t xml:space="preserve">. </w:t>
      </w:r>
    </w:p>
    <w:p w14:paraId="79F71DFB" w14:textId="08B66456" w:rsidR="005A4E5B" w:rsidRDefault="003D6E19" w:rsidP="005D6489">
      <w:pPr>
        <w:pStyle w:val="BodyText"/>
        <w:spacing w:line="360" w:lineRule="auto"/>
        <w:rPr>
          <w:rFonts w:ascii="Arial" w:hAnsi="Arial" w:cs="Arial"/>
        </w:rPr>
      </w:pPr>
      <w:r>
        <w:rPr>
          <w:rFonts w:ascii="Arial" w:hAnsi="Arial" w:cs="Arial"/>
        </w:rPr>
        <w:t>Light at d</w:t>
      </w:r>
      <w:r w:rsidR="00BA10FA" w:rsidRPr="005D6489">
        <w:rPr>
          <w:rFonts w:ascii="Arial" w:hAnsi="Arial" w:cs="Arial"/>
        </w:rPr>
        <w:t xml:space="preserve">awn </w:t>
      </w:r>
      <w:r>
        <w:rPr>
          <w:rFonts w:ascii="Arial" w:hAnsi="Arial" w:cs="Arial"/>
        </w:rPr>
        <w:t>plays a key role</w:t>
      </w:r>
      <w:r w:rsidR="00BA10FA" w:rsidRPr="005D6489">
        <w:rPr>
          <w:rFonts w:ascii="Arial" w:hAnsi="Arial" w:cs="Arial"/>
        </w:rPr>
        <w:t xml:space="preserve"> for entrain</w:t>
      </w:r>
      <w:r w:rsidR="007F3E8B">
        <w:rPr>
          <w:rFonts w:ascii="Arial" w:hAnsi="Arial" w:cs="Arial"/>
        </w:rPr>
        <w:t xml:space="preserve">ing </w:t>
      </w:r>
      <w:r w:rsidR="00BA10FA" w:rsidRPr="005D6489">
        <w:rPr>
          <w:rFonts w:ascii="Arial" w:hAnsi="Arial" w:cs="Arial"/>
        </w:rPr>
        <w:t>the circadian clock</w:t>
      </w:r>
      <w:r w:rsidR="005F063F">
        <w:rPr>
          <w:rFonts w:ascii="Arial" w:hAnsi="Arial" w:cs="Arial"/>
        </w:rPr>
        <w:t xml:space="preserve"> </w:t>
      </w:r>
      <w:r w:rsidR="005F063F">
        <w:rPr>
          <w:rFonts w:ascii="Arial" w:hAnsi="Arial" w:cs="Arial"/>
        </w:rPr>
        <w:fldChar w:fldCharType="begin"/>
      </w:r>
      <w:r w:rsidR="006942CB">
        <w:rPr>
          <w:rFonts w:ascii="Arial" w:hAnsi="Arial" w:cs="Arial"/>
        </w:rPr>
        <w:instrText xml:space="preserve"> ADDIN ZOTERO_ITEM CSL_CITATION {"citationID":"04aGn5qZ","properties":{"formattedCitation":"(Millar, 2004; P. A. Salom\\uc0\\u233{} and McClung, 2005; Webb et al., 2019)","plainCitation":"(Millar, 2004; P. A. Salomé and McClung, 2005; Webb et al., 2019)","noteIndex":0},"citationItems":[{"id":3313,"uris":["http://zotero.org/users/2970095/items/IQ83YVFY"],"uri":["http://zotero.org/users/2970095/items/IQ83YVFY"],"itemData":{"id":3313,"type":"article-journal","abstract":"Abstract.  Eukaryotes and some prokaryotes have adapted to the 24 h day/night cycle by evolving circadian clocks, which now control very many aspects of metabol","container-title":"Journal of Experimental Botany","DOI":"10.1093/jxb/erh034","ISSN":"0022-0957","issue":"395","journalAbbreviation":"J Exp Bot","language":"en","page":"277-283","source":"academic.oup.com","title":"Input signals to the plant circadian clock","volume":"55","author":[{"family":"Millar","given":"Andrew J."}],"issued":{"date-parts":[["2004",1,1]]}}},{"id":194,"uris":["http://zotero.org/users/2970095/items/C26CXJGI"],"uri":["http://zotero.org/users/2970095/items/C26CXJGI"],"itemData":{"id":194,"type":"article-journal","abstract":"Entrainment, the synchronization of a circadian clock with the external environment, is a crucial step in daily life. Although many signals contribute to entrainment, light and temperature are typically the strongest resetting cues. Much progress has been made concerning light resetting in the model plant Arabidopsis thaliana. Multiple photoreceptors (phytochromes, cryptochromes, LOV-domain proteins) are involved in light perception. The clock genes CCA1, LHY and TOC1 are all probable targets of light signalling, although the details of these pathways are not completely established. Temperature can entrain the clock, but little is known about the mechanism underlying this resetting; no obvious clock gene candidate for temperature resetting has been identified. Although circadian research has emphasized oscillations in free-running conditions, in the real world the circadian clock is entrained. During entrainment, short or long period mutants exhibit a 24-h period, but a mutant phenotype is often manifested as an altered phase relationship with the entraining cycle; short and long period mutants show leading and lagging phases, respectively, and this may be detrimental under some conditions. Arrhythmic CCA1-overexpressing plants display increased lethality under very short photoperiods, consistent with the circadian clock being of adaptive significance to life on a rotating world.","container-title":"Plant, Cell &amp; Environment","DOI":"10.1111/j.1365-3040.2004.01261.x","ISSN":"1365-3040","issue":"1","language":"en","page":"21-38","source":"Wiley Online Library","title":"What makes the Arabidopsis clock tick on time? A review on entrainment","title-short":"What makes the Arabidopsis clock tick on time?","volume":"28","author":[{"family":"Salomé","given":"P. A."},{"family":"McClung","given":"C. R."}],"issued":{"date-parts":[["2005",1,1]]}}},{"id":3303,"uris":["http://zotero.org/users/2970095/items/RF762DC5"],"uri":["http://zotero.org/users/2970095/items/RF762DC5"],"itemData":{"id":3303,"type":"article-journal","abstract":"Biological circadian rhythms maintain a period close to 24 h in coordination with the Earth’s fixed rotational period. Here Webb et al. discuss how external cues continuously adjust phase and period, viewing the oscillator as a dynamically-adjusted plastic system rather than tightly-coupled cogs in a mechanical clock.","container-title":"Nature Communications","DOI":"10.1038/s41467-019-08398-5","ISSN":"2041-1723","issue":"1","language":"en","page":"1-9","source":"www.nature.com","title":"Continuous dynamic adjustment of the plant circadian oscillator","volume":"10","author":[{"family":"Webb","given":"Alex A. R."},{"family":"Seki","given":"Motohide"},{"family":"Satake","given":"Akiko"},{"family":"Caldana","given":"Camila"}],"issued":{"date-parts":[["2019",2,1]]}}}],"schema":"https://github.com/citation-style-language/schema/raw/master/csl-citation.json"} </w:instrText>
      </w:r>
      <w:r w:rsidR="005F063F">
        <w:rPr>
          <w:rFonts w:ascii="Arial" w:hAnsi="Arial" w:cs="Arial"/>
        </w:rPr>
        <w:fldChar w:fldCharType="separate"/>
      </w:r>
      <w:r w:rsidR="006942CB" w:rsidRPr="006942CB">
        <w:rPr>
          <w:rFonts w:ascii="Arial" w:hAnsi="Arial" w:cs="Arial"/>
        </w:rPr>
        <w:t>(Millar, 2004; P. A. Salomé and McClung, 2005; Webb et al., 2019)</w:t>
      </w:r>
      <w:r w:rsidR="005F063F">
        <w:rPr>
          <w:rFonts w:ascii="Arial" w:hAnsi="Arial" w:cs="Arial"/>
        </w:rPr>
        <w:fldChar w:fldCharType="end"/>
      </w:r>
      <w:r w:rsidR="00021FC6">
        <w:rPr>
          <w:rFonts w:ascii="Arial" w:hAnsi="Arial" w:cs="Arial"/>
        </w:rPr>
        <w:t xml:space="preserve">, </w:t>
      </w:r>
      <w:r w:rsidR="007A7AAF">
        <w:rPr>
          <w:rFonts w:ascii="Arial" w:hAnsi="Arial" w:cs="Arial"/>
        </w:rPr>
        <w:t>a process that is</w:t>
      </w:r>
      <w:r w:rsidR="00021FC6">
        <w:rPr>
          <w:rFonts w:ascii="Arial" w:hAnsi="Arial" w:cs="Arial"/>
        </w:rPr>
        <w:t xml:space="preserve"> further </w:t>
      </w:r>
      <w:r w:rsidR="005F063F">
        <w:rPr>
          <w:rFonts w:ascii="Arial" w:hAnsi="Arial" w:cs="Arial"/>
        </w:rPr>
        <w:t>contributed to by changes in</w:t>
      </w:r>
      <w:r w:rsidR="00021FC6">
        <w:rPr>
          <w:rFonts w:ascii="Arial" w:hAnsi="Arial" w:cs="Arial"/>
        </w:rPr>
        <w:t xml:space="preserve"> temperature </w:t>
      </w:r>
      <w:r w:rsidR="005F063F">
        <w:rPr>
          <w:rFonts w:ascii="Arial" w:hAnsi="Arial" w:cs="Arial"/>
        </w:rPr>
        <w:fldChar w:fldCharType="begin"/>
      </w:r>
      <w:r w:rsidR="005F063F">
        <w:rPr>
          <w:rFonts w:ascii="Arial" w:hAnsi="Arial" w:cs="Arial"/>
        </w:rPr>
        <w:instrText xml:space="preserve"> ADDIN ZOTERO_ITEM CSL_CITATION {"citationID":"yIRTGVpE","properties":{"formattedCitation":"(Gil and Park, 2019)","plainCitation":"(Gil and Park, 2019)","noteIndex":0},"citationItems":[{"id":3306,"uris":["http://zotero.org/users/2970095/items/2II28YUT"],"uri":["http://zotero.org/users/2970095/items/2II28YUT"],"itemData":{"id":3306,"type":"article-journal","abstract":"Contents Summary 1215 I. Introduction 1215 II. Molecular organization of the plant circadian clock 1216 III. Temperature compensation 1219 IV. Temperature regulation of circadian behaviors 1220 V. Thermal adaptation of the clock: evolutionary considerations 1223 VI. Light and temperature information for the clock function – synergic or individual? 1224 VII. Concluding remarks and future prospects 1225 Acknowledgements 1225 References 1225 Summary Plant growth and development is widely affected by diverse temperature conditions. Although studies have been focused mainly on the effects of stressful temperature extremes in recent decades, nonstressful ambient temperatures also influence an array of plant growth and morphogenic aspects, a process termed thermomorphogenesis. Notably, accumulating evidence indicates that both stressful and nonstressful temperatures modulate the functional process of the circadian clock, a molecular timer of biological rhythms in higher eukaryotes and photosynthetic prokaryotes. The circadian clock can sustain robust and precise timing over a range of physiological temperatures. Genes and molecular mechanisms governing the temperature compensation process have been explored in different plant species. In addition, a ZEITLUPE/HSP90-mediated protein quality control mechanism helps plants maintain the thermal stability of the clock under heat stress. The thermal adaptation capability and plasticity of the clock are of particular interest in view of the growing concern about global climate changes. Considering these circumstances in the field, we believe that it is timely to provide a provoking discussion on the current knowledge of temperature regulation of the clock function. The review also will discuss stimulating ideas on this topic along with ecosystem management and future agricultural innovation.","container-title":"New Phytologist","DOI":"10.1111/nph.15518","ISSN":"1469-8137","issue":"3","language":"en","page":"1215-1229","source":"Wiley Online Library","title":"Thermal adaptation and plasticity of the plant circadian clock","volume":"221","author":[{"family":"Gil","given":"Kyung-Eun"},{"family":"Park","given":"Chung-Mo"}],"issued":{"date-parts":[["2019"]]}}}],"schema":"https://github.com/citation-style-language/schema/raw/master/csl-citation.json"} </w:instrText>
      </w:r>
      <w:r w:rsidR="005F063F">
        <w:rPr>
          <w:rFonts w:ascii="Arial" w:hAnsi="Arial" w:cs="Arial"/>
        </w:rPr>
        <w:fldChar w:fldCharType="separate"/>
      </w:r>
      <w:r w:rsidR="008936B1" w:rsidRPr="008936B1">
        <w:rPr>
          <w:rFonts w:ascii="Arial" w:hAnsi="Arial" w:cs="Arial"/>
        </w:rPr>
        <w:t>(Gil and Park, 2019)</w:t>
      </w:r>
      <w:r w:rsidR="005F063F">
        <w:rPr>
          <w:rFonts w:ascii="Arial" w:hAnsi="Arial" w:cs="Arial"/>
        </w:rPr>
        <w:fldChar w:fldCharType="end"/>
      </w:r>
      <w:r w:rsidR="005F063F">
        <w:rPr>
          <w:rFonts w:ascii="Arial" w:hAnsi="Arial" w:cs="Arial"/>
        </w:rPr>
        <w:t xml:space="preserve"> </w:t>
      </w:r>
      <w:r w:rsidR="00021FC6">
        <w:rPr>
          <w:rFonts w:ascii="Arial" w:hAnsi="Arial" w:cs="Arial"/>
        </w:rPr>
        <w:t xml:space="preserve">and even humidity </w:t>
      </w:r>
      <w:r w:rsidR="005F063F">
        <w:rPr>
          <w:rFonts w:ascii="Arial" w:hAnsi="Arial" w:cs="Arial"/>
        </w:rPr>
        <w:fldChar w:fldCharType="begin"/>
      </w:r>
      <w:r w:rsidR="005F063F">
        <w:rPr>
          <w:rFonts w:ascii="Arial" w:hAnsi="Arial" w:cs="Arial"/>
        </w:rPr>
        <w:instrText xml:space="preserve"> ADDIN ZOTERO_ITEM CSL_CITATION {"citationID":"oxDSC5v2","properties":{"formattedCitation":"(Mwimba et al., 2018)","plainCitation":"(Mwimba et al., 2018)","noteIndex":0},"citationItems":[{"id":3316,"uris":["http://zotero.org/users/2970095/items/KNMG2UZ2"],"uri":["http://zotero.org/users/2970095/items/KNMG2UZ2"],"itemData":{"id":3316,"type":"article-journal","abstract":"Humidity has been shown to influence many aspects of plant physiology. Here Mwimba et al. show that oscillating humidity entrains the circadian clock under constant light conditions and enhances clock amplitude in simulated natural environments, while also improving immunity and overall growth.","container-title":"Nature Communications","DOI":"10.1038/s41467-018-06692-2","ISSN":"2041-1723","issue":"1","language":"en","page":"1-10","source":"www.nature.com","title":"Daily humidity oscillation regulates the circadian clock to influence plant physiology","volume":"9","author":[{"family":"Mwimba","given":"Musoki"},{"family":"Karapetyan","given":"Sargis"},{"family":"Liu","given":"Lijing"},{"family":"Marqués","given":"Jorge"},{"family":"McGinnis","given":"Erin M."},{"family":"Buchler","given":"Nicolas E."},{"family":"Dong","given":"Xinnian"}],"issued":{"date-parts":[["2018",10,16]]}}}],"schema":"https://github.com/citation-style-language/schema/raw/master/csl-citation.json"} </w:instrText>
      </w:r>
      <w:r w:rsidR="005F063F">
        <w:rPr>
          <w:rFonts w:ascii="Arial" w:hAnsi="Arial" w:cs="Arial"/>
        </w:rPr>
        <w:fldChar w:fldCharType="separate"/>
      </w:r>
      <w:r w:rsidR="008936B1" w:rsidRPr="008936B1">
        <w:rPr>
          <w:rFonts w:ascii="Arial" w:hAnsi="Arial" w:cs="Arial"/>
        </w:rPr>
        <w:t>(Mwimba et al., 2018)</w:t>
      </w:r>
      <w:r w:rsidR="005F063F">
        <w:rPr>
          <w:rFonts w:ascii="Arial" w:hAnsi="Arial" w:cs="Arial"/>
        </w:rPr>
        <w:fldChar w:fldCharType="end"/>
      </w:r>
      <w:r w:rsidR="005F063F">
        <w:rPr>
          <w:rFonts w:ascii="Arial" w:hAnsi="Arial" w:cs="Arial"/>
        </w:rPr>
        <w:t>.</w:t>
      </w:r>
      <w:r w:rsidR="00021FC6" w:rsidRPr="005D6489" w:rsidDel="00021FC6">
        <w:rPr>
          <w:rFonts w:ascii="Arial" w:hAnsi="Arial" w:cs="Arial"/>
        </w:rPr>
        <w:t xml:space="preserve"> </w:t>
      </w:r>
      <w:r w:rsidR="00DE362A">
        <w:rPr>
          <w:rFonts w:ascii="Arial" w:hAnsi="Arial" w:cs="Arial"/>
        </w:rPr>
        <w:t>Despite the physiological importance of these responses, how</w:t>
      </w:r>
      <w:r>
        <w:rPr>
          <w:rFonts w:ascii="Arial" w:hAnsi="Arial" w:cs="Arial"/>
        </w:rPr>
        <w:t xml:space="preserve"> light at dawn entrains the clock </w:t>
      </w:r>
      <w:r w:rsidR="00DE362A">
        <w:rPr>
          <w:rFonts w:ascii="Arial" w:hAnsi="Arial" w:cs="Arial"/>
        </w:rPr>
        <w:t>is</w:t>
      </w:r>
      <w:r>
        <w:rPr>
          <w:rFonts w:ascii="Arial" w:hAnsi="Arial" w:cs="Arial"/>
        </w:rPr>
        <w:t xml:space="preserve"> not fully understood. </w:t>
      </w:r>
      <w:r w:rsidR="00021FC6" w:rsidRPr="005D6489">
        <w:rPr>
          <w:rFonts w:ascii="Arial" w:hAnsi="Arial" w:cs="Arial"/>
        </w:rPr>
        <w:t>Red- and blue-light sensors – including phytochrome A (</w:t>
      </w:r>
      <w:proofErr w:type="spellStart"/>
      <w:r w:rsidR="00021FC6" w:rsidRPr="005D6489">
        <w:rPr>
          <w:rFonts w:ascii="Arial" w:hAnsi="Arial" w:cs="Arial"/>
        </w:rPr>
        <w:t>phyA</w:t>
      </w:r>
      <w:proofErr w:type="spellEnd"/>
      <w:r w:rsidR="00021FC6" w:rsidRPr="005D6489">
        <w:rPr>
          <w:rFonts w:ascii="Arial" w:hAnsi="Arial" w:cs="Arial"/>
        </w:rPr>
        <w:t xml:space="preserve">), </w:t>
      </w:r>
      <w:proofErr w:type="spellStart"/>
      <w:r w:rsidR="00021FC6" w:rsidRPr="005D6489">
        <w:rPr>
          <w:rFonts w:ascii="Arial" w:hAnsi="Arial" w:cs="Arial"/>
        </w:rPr>
        <w:t>phyB</w:t>
      </w:r>
      <w:proofErr w:type="spellEnd"/>
      <w:r w:rsidR="00021FC6" w:rsidRPr="005D6489">
        <w:rPr>
          <w:rFonts w:ascii="Arial" w:hAnsi="Arial" w:cs="Arial"/>
        </w:rPr>
        <w:t xml:space="preserve"> and cryptochrome 1 (cry1) – are involved in entrainment </w:t>
      </w:r>
      <w:r w:rsidR="008936B1">
        <w:rPr>
          <w:rFonts w:ascii="Arial" w:hAnsi="Arial" w:cs="Arial"/>
        </w:rPr>
        <w:fldChar w:fldCharType="begin"/>
      </w:r>
      <w:r w:rsidR="008936B1">
        <w:rPr>
          <w:rFonts w:ascii="Arial" w:hAnsi="Arial" w:cs="Arial"/>
        </w:rPr>
        <w:instrText xml:space="preserve"> ADDIN ZOTERO_ITEM CSL_CITATION {"citationID":"3SlXyqjm","properties":{"formattedCitation":"(Devlin and Kay, 2000; Hall et al., 2002; Salom\\uc0\\u233{} et al., 2002; Somers et al., 1998)","plainCitation":"(Devlin and Kay, 2000; Hall et al., 2002; Salomé et al., 2002; Somers et al., 1998)","noteIndex":0},"citationItems":[{"id":3456,"uris":["http://zotero.org/users/2970095/items/63C86I85"],"uri":["http://zotero.org/users/2970095/items/63C86I85"],"itemData":{"id":3456,"type":"article-journal","abstract":"The circadian clock is entrained to the daily cycle of day and night by light signals at dawn and dusk. Plants make use of both the phytochrome (phy) and cryptochrome (cry) families of photoreceptors in gathering information about the light environment for setting the clock. We demonstrate that the phytochromes phyA, phyB, phyD, and phyE act as photoreceptors in red light input to the clock and that phyA and the cryptochromes cry1 and cry2 act as photoreceptors in blue light input. phyA and phyB act additively in red light input to the clock, whereas cry1 and cry2 act redundantly in blue light input. In addition to the action of cry1 as a photoreceptor that mediates blue light input into the clock, we demonstrate a requirement of cry1 for phyA signaling to the clock in both red and blue light. Importantly, Arabidopsis cry1 cry2 double mutants still show robust rhythmicity, indicating that cryptochromes do not form a part of the central circadian oscillator in plants as they do in mammals.","container-title":"The Plant Cell","DOI":"10.1105/tpc.12.12.2499","ISSN":"1040-4651, 1532-298X","issue":"12","language":"en","note":"publisher: American Society of Plant Biologists\nsection: Research Article\nPMID: 11148293","page":"2499-2509","source":"www.plantcell.org","title":"Cryptochromes Are Required for Phytochrome Signaling to the Circadian Clock but Not for Rhythmicity","volume":"12","author":[{"family":"Devlin","given":"Paul F."},{"family":"Kay","given":"Steve A."}],"issued":{"date-parts":[["2000",12,1]]}}},{"id":3449,"uris":["http://zotero.org/users/2970095/items/CQV6T5HU"],"uri":["http://zotero.org/users/2970095/items/CQV6T5HU"],"itemData":{"id":3449,"type":"article-journal","abstract":"Phytochrome B (phyB) is a major phytochrome active in light-grown plants. The circadian clock controls the expression of the PHYB gene. We have used the luciferase reporter gene (LUC) to monitor the rhythmic expression of PHYB in photoreceptor and clock-associated mutant backgrounds. Surprisingly, we found that PHYB and CAB expression have different free-running periods, indicating that separate circadian clocks control these genes. The effects of mutations show that the clocks share common components. This suggests that they are copies of the same clock mechanism in different locations, most likely in different cell layers. Furthermore, we show that phyB is required for a negative feedback loop that strongly antagonises the expression of PHYB. Compared to a system with only one clock, this regulatory complexity might allow the phase of peak expression for one clock-controlled gene to alter, relative to other genes or to changing environmental conditions.","container-title":"The Plant Journal","DOI":"10.1046/j.1365-313X.2002.01441.x","ISSN":"1365-313X","issue":"4","language":"en","note":"_eprint: https://onlinelibrary.wiley.com/doi/pdf/10.1046/j.1365-313X.2002.01441.x","page":"529-537","source":"Wiley Online Library","title":"Distinct regulation of CAB and PHYB gene expression by similar circadian clocks","volume":"32","author":[{"family":"Hall","given":"Anthony"},{"family":"Kozma</w:instrText>
      </w:r>
      <w:r w:rsidR="008936B1">
        <w:rPr>
          <w:rFonts w:ascii="Cambria Math" w:hAnsi="Cambria Math" w:cs="Cambria Math"/>
        </w:rPr>
        <w:instrText>‐</w:instrText>
      </w:r>
      <w:r w:rsidR="008936B1">
        <w:rPr>
          <w:rFonts w:ascii="Arial" w:hAnsi="Arial" w:cs="Arial"/>
        </w:rPr>
        <w:instrText xml:space="preserve">Bognár","given":"László"},{"family":"Bastow","given":"Ruth M."},{"family":"Nagy","given":"Ferenc"},{"family":"Millar","given":"Andrew J."}],"issued":{"date-parts":[["2002"]]}}},{"id":3452,"uris":["http://zotero.org/users/2970095/items/6D2MKVNB"],"uri":["http://zotero.org/users/2970095/items/6D2MKVNB"],"itemData":{"id":3452,"type":"article-journal","abstract":"Arabidopsis displays circadian rhythms in stomatal aperture, stomatal conductance, and CO2 assimilation, each of which peaks around the middle of the day. The rhythmic opening and closing of stomata confers a rhythm in sensitivity and resistance, respectively, to the toxic gas sulfur dioxide. Using this physiological assay as a basis for a mutant screen, we isolated mutants with defects in circadian timing. Here, we characterize one mutant, out of phase 1 (oop1), with the circadian phenotype of altered phase. That is, the timing of the peak (acrophase) of multiple circadian rhythms (leaf movement, CO2 assimilation, andLIGHT-HARVESTING CHLOROPHYLL a/b-BINDING PROTEINtranscription) is early with respect to wild type, although all circadian rhythms retain normal period length. This is the first such mutant to be characterized in Arabidopsis. oop1 also displays a strong photoperception defect in red light characteristic ofphytochrome B (phyB) mutants. Theoop1 mutation is a nonsense mutation ofPHYB that results in a truncated protein of 904 amino acids. The defect in circadian phasing is seen in seedlings entrained by a light-dark cycle but not in seedlings entrained by a temperature cycle. Thus, PHYB contributes light information critical for proper determination of circadian phase.","container-title":"Plant Physiology","DOI":"10.1104/pp.003418","ISSN":"0032-0889, 1532-2548","issue":"4","language":"en","note":"publisher: American Society of Plant Biologists\nsection: CELL BIOLOGY AND SIGNAL TRANSDUCTION\nPMID: 12177480","page":"1674-1685","source":"www.plantphysiol.org","title":"The out of phase 1 Mutant Defines a Role for PHYB in Circadian Phase Control in Arabidopsis","volume":"129","author":[{"family":"Salomé","given":"Patrice A."},{"family":"Michael","given":"Todd P."},{"family":"Kearns","given":"Ellen V."},{"family":"Fett-Neto","given":"Arthur G."},{"family":"Sharrock","given":"Robert A."},{"family":"McClung","given":"C. Robertson"}],"issued":{"date-parts":[["2002",8,1]]}}},{"id":3111,"uris":["http://zotero.org/users/2970095/items/KVQJ5K4D"],"uri":["http://zotero.org/users/2970095/items/KVQJ5K4D"],"itemData":{"id":3111,"type":"article-journal","abstract":"Circadian clocks are synchronized by environmental cues such as light. Photoreceptor-deficient Arabidopsis thaliana mutants were used to measure the effect of light fluence rate on circadian period in plants. Phytochrome B is the primary high-intensity red light photoreceptor for circadian control, and phytochrome A acts under low-intensity red light. Cryptochrome 1 and phytochrome A both act to transmit low-fluence blue light to the clock. Cryptochrome 1 mediates high-intensity blue light signals for period length control. The presence of cryptochromes in both plants and animals suggests that circadian input pathways have been conserved throughout evolution.","container-title":"Science","DOI":"10.1126/science.282.5393.1488","ISSN":"0036-8075, 1095-9203","issue":"5393","language":"en","note":"PMID: 9822379","page":"1488-1490","source":"science.sciencemag.org","title":"Phytochromes and Cryptochromes in the Entrainment of the Arabidopsis Circadian Clock","volume":"282","author":[{"family":"Somers","given":"David E."},{"family":"Devlin","given":"Paul F."},{"family":"Kay","given":"Steve A."}],"issued":{"date-parts":[["1998",11,20]]}}}],"schema":"https://github.com/citation-style-language/schema/raw/master/csl-citation.json"} </w:instrText>
      </w:r>
      <w:r w:rsidR="008936B1">
        <w:rPr>
          <w:rFonts w:ascii="Arial" w:hAnsi="Arial" w:cs="Arial"/>
        </w:rPr>
        <w:fldChar w:fldCharType="separate"/>
      </w:r>
      <w:r w:rsidR="008936B1" w:rsidRPr="008936B1">
        <w:rPr>
          <w:rFonts w:ascii="Arial" w:hAnsi="Arial" w:cs="Arial"/>
        </w:rPr>
        <w:t>(Devlin and Kay, 2000; Hall et al., 2002; Salomé et al., 2002; Somers et al., 1998)</w:t>
      </w:r>
      <w:r w:rsidR="008936B1">
        <w:rPr>
          <w:rFonts w:ascii="Arial" w:hAnsi="Arial" w:cs="Arial"/>
        </w:rPr>
        <w:fldChar w:fldCharType="end"/>
      </w:r>
      <w:r w:rsidR="00D51C55">
        <w:rPr>
          <w:rFonts w:ascii="Arial" w:hAnsi="Arial" w:cs="Arial"/>
        </w:rPr>
        <w:t>, while b</w:t>
      </w:r>
      <w:r w:rsidR="00021FC6">
        <w:rPr>
          <w:rFonts w:ascii="Arial" w:hAnsi="Arial" w:cs="Arial"/>
        </w:rPr>
        <w:t>lue-light receptors of the</w:t>
      </w:r>
      <w:r w:rsidR="00021FC6" w:rsidRPr="005D6489">
        <w:rPr>
          <w:rFonts w:ascii="Arial" w:hAnsi="Arial" w:cs="Arial"/>
        </w:rPr>
        <w:t xml:space="preserve"> </w:t>
      </w:r>
      <w:proofErr w:type="spellStart"/>
      <w:r w:rsidR="00021FC6">
        <w:rPr>
          <w:rFonts w:ascii="Arial" w:hAnsi="Arial" w:cs="Arial"/>
        </w:rPr>
        <w:t>zeitlupe</w:t>
      </w:r>
      <w:proofErr w:type="spellEnd"/>
      <w:r w:rsidR="00021FC6" w:rsidRPr="005D6489">
        <w:rPr>
          <w:rFonts w:ascii="Arial" w:hAnsi="Arial" w:cs="Arial"/>
        </w:rPr>
        <w:t xml:space="preserve"> (</w:t>
      </w:r>
      <w:proofErr w:type="spellStart"/>
      <w:r w:rsidR="00021FC6">
        <w:rPr>
          <w:rFonts w:ascii="Arial" w:hAnsi="Arial" w:cs="Arial"/>
        </w:rPr>
        <w:t>ztl</w:t>
      </w:r>
      <w:proofErr w:type="spellEnd"/>
      <w:r w:rsidR="00021FC6" w:rsidRPr="005D6489">
        <w:rPr>
          <w:rFonts w:ascii="Arial" w:hAnsi="Arial" w:cs="Arial"/>
        </w:rPr>
        <w:t>) family</w:t>
      </w:r>
      <w:r w:rsidR="00021FC6">
        <w:rPr>
          <w:rFonts w:ascii="Arial" w:hAnsi="Arial" w:cs="Arial"/>
        </w:rPr>
        <w:t xml:space="preserve"> </w:t>
      </w:r>
      <w:r w:rsidR="00D51C55">
        <w:rPr>
          <w:rFonts w:ascii="Arial" w:hAnsi="Arial" w:cs="Arial"/>
        </w:rPr>
        <w:t>also</w:t>
      </w:r>
      <w:r w:rsidR="00021FC6" w:rsidRPr="005D6489">
        <w:rPr>
          <w:rFonts w:ascii="Arial" w:hAnsi="Arial" w:cs="Arial"/>
        </w:rPr>
        <w:t xml:space="preserve"> have clock-associated functions</w:t>
      </w:r>
      <w:r w:rsidR="00D51C55">
        <w:rPr>
          <w:rFonts w:ascii="Arial" w:hAnsi="Arial" w:cs="Arial"/>
        </w:rPr>
        <w:t xml:space="preserve">, but appear to be more relevant </w:t>
      </w:r>
      <w:r w:rsidR="0094676E">
        <w:rPr>
          <w:rFonts w:ascii="Arial" w:hAnsi="Arial" w:cs="Arial"/>
        </w:rPr>
        <w:t>at later times</w:t>
      </w:r>
      <w:r w:rsidR="00AF73FC">
        <w:rPr>
          <w:rFonts w:ascii="Arial" w:hAnsi="Arial" w:cs="Arial"/>
        </w:rPr>
        <w:t xml:space="preserve"> </w:t>
      </w:r>
      <w:r w:rsidR="00956BEA">
        <w:rPr>
          <w:rFonts w:ascii="Arial" w:hAnsi="Arial" w:cs="Arial"/>
        </w:rPr>
        <w:t xml:space="preserve">during the day and at </w:t>
      </w:r>
      <w:r w:rsidR="00D51C55">
        <w:rPr>
          <w:rFonts w:ascii="Arial" w:hAnsi="Arial" w:cs="Arial"/>
        </w:rPr>
        <w:t>dusk</w:t>
      </w:r>
      <w:r w:rsidR="00021FC6" w:rsidRPr="005D6489">
        <w:rPr>
          <w:rFonts w:ascii="Arial" w:hAnsi="Arial" w:cs="Arial"/>
        </w:rPr>
        <w:t xml:space="preserve"> </w:t>
      </w:r>
      <w:r w:rsidR="000E05FA">
        <w:rPr>
          <w:rFonts w:ascii="Arial" w:hAnsi="Arial" w:cs="Arial"/>
        </w:rPr>
        <w:fldChar w:fldCharType="begin"/>
      </w:r>
      <w:r w:rsidR="000E05FA">
        <w:rPr>
          <w:rFonts w:ascii="Arial" w:hAnsi="Arial" w:cs="Arial"/>
        </w:rPr>
        <w:instrText xml:space="preserve"> ADDIN ZOTERO_ITEM CSL_CITATION {"citationID":"ZytGnr72","properties":{"formattedCitation":"(Christie et al., 2015; Suetsugu and Wada, 2013)","plainCitation":"(Christie et al., 2015; Suetsugu and Wada, 2013)","noteIndex":0},"citationItems":[{"id":3408,"uris":["http://zotero.org/users/2970095/items/8LEE78HU"],"uri":["http://zotero.org/users/2970095/items/8LEE78HU"],"itemData":{"id":3408,"type":"article-journal","abstract":"Abstract.   Plants depend on the surrounding light environment to direct their growth. Blue light (300–500 nm) in particular acts to promote a wide variety of p","container-title":"Plant and Cell Physiology","DOI":"10.1093/pcp/pcu196","ISSN":"0032-0781","issue":"3","journalAbbreviation":"Plant Cell Physiol","language":"en","note":"publisher: Oxford Academic","page":"401-413","source":"academic.oup.com","title":"Plant Flavoprotein Photoreceptors","volume":"56","author":[{"family":"Christie","given":"John M."},{"family":"Blackwood","given":"Lisa"},{"family":"Petersen","given":"Jan"},{"family":"Sullivan","given":"Stuart"}],"issued":{"date-parts":[["2015",3,1]]}}},{"id":3411,"uris":["http://zotero.org/users/2970095/items/7JDXVG4S"],"uri":["http://zotero.org/users/2970095/items/7JDXVG4S"],"itemData":{"id":3411,"type":"article-journal","abstract":"Abstract.  Many organisms, including bacteria, fungi, animal, plants and algae, utilize blue light to adapt to a fluctuating light environment. Plants and algae","container-title":"Plant and Cell Physiology","DOI":"10.1093/pcp/pcs165","ISSN":"0032-0781","issue":"1","journalAbbreviation":"Plant Cell Physiol","language":"en","note":"publisher: Oxford Academic","page":"8-23","source":"academic.oup.com","title":"Evolution of Three LOV Blue Light Receptor Families in Green Plants and Photosynthetic Stramenopiles: Phototropin, ZTL/FKF1/LKP2 and Aureochrome","title-short":"Evolution of Three LOV Blue Light Receptor Families in Green Plants and Photosynthetic Stramenopiles","volume":"54","author":[{"family":"Suetsugu","given":"Noriyuki"},{"family":"Wada","given":"Masamitsu"}],"issued":{"date-parts":[["2013",1,1]]}}}],"schema":"https://github.com/citation-style-language/schema/raw/master/csl-citation.json"} </w:instrText>
      </w:r>
      <w:r w:rsidR="000E05FA">
        <w:rPr>
          <w:rFonts w:ascii="Arial" w:hAnsi="Arial" w:cs="Arial"/>
        </w:rPr>
        <w:fldChar w:fldCharType="separate"/>
      </w:r>
      <w:r w:rsidR="000E05FA" w:rsidRPr="000E05FA">
        <w:rPr>
          <w:rFonts w:ascii="Arial" w:hAnsi="Arial" w:cs="Arial"/>
        </w:rPr>
        <w:t>(Christie et al., 2015; Suetsugu and Wada, 2013)</w:t>
      </w:r>
      <w:r w:rsidR="000E05FA">
        <w:rPr>
          <w:rFonts w:ascii="Arial" w:hAnsi="Arial" w:cs="Arial"/>
        </w:rPr>
        <w:fldChar w:fldCharType="end"/>
      </w:r>
      <w:r w:rsidR="00021FC6" w:rsidRPr="00653821">
        <w:rPr>
          <w:rFonts w:ascii="Arial" w:hAnsi="Arial" w:cs="Arial"/>
        </w:rPr>
        <w:t>.</w:t>
      </w:r>
      <w:r w:rsidR="00021FC6">
        <w:rPr>
          <w:rFonts w:ascii="Arial" w:hAnsi="Arial" w:cs="Arial"/>
        </w:rPr>
        <w:t xml:space="preserve"> </w:t>
      </w:r>
      <w:r w:rsidR="001B40D1">
        <w:rPr>
          <w:rFonts w:ascii="Arial" w:hAnsi="Arial" w:cs="Arial"/>
        </w:rPr>
        <w:t>In addition to clock entrainment, phytochromes</w:t>
      </w:r>
      <w:r w:rsidR="00D51C55">
        <w:rPr>
          <w:rFonts w:ascii="Arial" w:hAnsi="Arial" w:cs="Arial"/>
        </w:rPr>
        <w:t xml:space="preserve"> and</w:t>
      </w:r>
      <w:r w:rsidR="00962AE3">
        <w:rPr>
          <w:rFonts w:ascii="Arial" w:hAnsi="Arial" w:cs="Arial"/>
        </w:rPr>
        <w:t xml:space="preserve"> </w:t>
      </w:r>
      <w:r w:rsidR="001B40D1">
        <w:rPr>
          <w:rFonts w:ascii="Arial" w:hAnsi="Arial" w:cs="Arial"/>
        </w:rPr>
        <w:t>cryptochromes</w:t>
      </w:r>
      <w:r w:rsidR="00962AE3">
        <w:rPr>
          <w:rFonts w:ascii="Arial" w:hAnsi="Arial" w:cs="Arial"/>
        </w:rPr>
        <w:t xml:space="preserve"> </w:t>
      </w:r>
      <w:r w:rsidR="001B40D1">
        <w:rPr>
          <w:rFonts w:ascii="Arial" w:hAnsi="Arial" w:cs="Arial"/>
        </w:rPr>
        <w:t>are also core regulators of</w:t>
      </w:r>
      <w:r w:rsidR="001B40D1" w:rsidRPr="005D6489">
        <w:rPr>
          <w:rFonts w:ascii="Arial" w:hAnsi="Arial" w:cs="Arial"/>
        </w:rPr>
        <w:t xml:space="preserve"> photoperiodism and photomorphogenesis </w:t>
      </w:r>
      <w:r w:rsidR="000E05FA">
        <w:rPr>
          <w:rFonts w:ascii="Arial" w:hAnsi="Arial" w:cs="Arial"/>
        </w:rPr>
        <w:fldChar w:fldCharType="begin"/>
      </w:r>
      <w:r w:rsidR="000E05FA">
        <w:rPr>
          <w:rFonts w:ascii="Arial" w:hAnsi="Arial" w:cs="Arial"/>
        </w:rPr>
        <w:instrText xml:space="preserve"> ADDIN ZOTERO_ITEM CSL_CITATION {"citationID":"Na9a3q5n","properties":{"formattedCitation":"(Franklin et al., 2005; Jackson, 2009; Kami et al., 2010)","plainCitation":"(Franklin et al., 2005; Jackson, 2009; Kami et al., 2010)","noteIndex":0},"citationItems":[{"id":3150,"uris":["http://zotero.org/users/2970095/items/LG2YIG7P"],"uri":["http://zotero.org/users/2970095/items/LG2YIG7P"],"itemData":{"id":3150,"type":"article-journal","abstract":"Light signals are amongst the most important environmental cues regulating plant development. In addition to light quantity, plants measure the quality, direction and periodicity of incident light and use the information to optimise growth and development to the prevailing environmental conditions. Red and far-red wavelengths are perceived by the photoreversible phytochrome family of photoreceptors, whilst the detection of blue and ultraviolet (UV)-A wavelengths is conferred by the cryptochromes and phototropins. Higher plants contain multiple discrete phytochromes, the apoproteins of which are encoded by a small divergent gene family. In Arabidopsis, two cryptochrome and two phototropin family members have been identified and characterized. Photoreceptor action regulates development throughout the lifecycle of plants, from seed germination through to architecture of the mature plant and the onset of reproduction. The roles of individual photoreceptors in mediating plant development have, however, often been confounded by redundant, synergistic and in some cases mutually antagonistic mechanisms of action. The isolation of mutants null for individual photoreceptors and the construction of mutants null for multiple photoreceptors have therefore been paramount in elucidating photoreceptor functions. Photoreceptor action does not, however, operate in isolation from other signalling systems. The integration of light signals with other environmental cues enables plants to adapt their physiology to changing seasonal environments. This paper summarises current understanding of photoreceptor families and their functions throughout the lifecycle of plants. The integration of light signals with other environmental stimuli is also discussed.","container-title":"The International Journal of Developmental Biology","DOI":"10.1387/ijdb.051989kf","ISSN":"0214-6282","issue":"5-6","journalAbbreviation":"Int. J. Dev. Biol.","language":"eng","note":"PMID: 16096972","page":"653-664","source":"PubMed","title":"The signal transducing photoreceptors of plants","volume":"49","author":[{"family":"Franklin","given":"Keara A."},{"family":"Larner","given":"Victoria S."},{"family":"Whitelam","given":"Garry C."}],"issued":{"date-parts":[["2005"]]}}},{"id":3463,"uris":["http://zotero.org/users/2970095/items/6IRWK9KG"],"uri":["http://zotero.org/users/2970095/items/6IRWK9KG"],"itemData":{"id":3463,"type":"article-journal","abstract":"Contents Summary 517 I. The importance of photoperiod 517 II. The competence to respond to photoperiod 519 III. The photoperiodic response pathway 521 IV. Systemic signals 523 V. Moderating factors 524 VI. The flowering response to photoperiod in other species 525 VII. Tuberization in potato 526 VIII. Bud set and growth cessation in trees 527 References 528 Summary Photoperiod controls many developmental responses in animals, plants and even fungi. The response to photoperiod has evolved because daylength is a reliable indicator of the time of year, enabling developmental events to be scheduled to coincide with particular environmental conditions. Much progress has been made towards understanding the molecular mechanisms involved in the response to photoperiod in plants. These mechanisms include the detection of the light signal in the leaves, the entrainment of circadian rhythms, and the production of a mobile signal which is transmitted throughout the plant. Flowering, tuberization and bud set are just a few of the many different responses in plants that are under photoperiodic control. Comparison of what is known of the molecular mechanisms controlling these responses shows that, whilst common components exist, significant differences in the regulatory mechanisms have evolved between these responses.","container-title":"New Phytologist","DOI":"10.1111/j.1469-8137.2008.02681.x","ISSN":"1469-8137","issue":"3","language":"en","note":"_eprint: https://nph.onlinelibrary.wiley.com/doi/pdf/10.1111/j.1469-8137.2008.02681.x","page":"517-531","source":"Wiley Online Library","title":"Plant responses to photoperiod","volume":"181","author":[{"family":"Jackson","given":"Stephen D."}],"issued":{"date-parts":[["2009"]]}}},{"id":172,"uris":["http://zotero.org/users/2970095/items/7NIUHR4X"],"uri":["http://zotero.org/users/2970095/items/7NIUHR4X"],"itemData":{"id":172,"type":"chapter","abstract":"Plants are sessile and photo-autotrophic; their entire life cycle is thus strongly influenced by the ever-changing light environment. In order to sense and respond to those fluctuating conditions higher plants possess several families of photoreceptors that can monitor light from UV-B to the near infrared (far-red). The molecular nature of UV-B sensors remains unknown, red (R) and far-red (FR) light is sensed by the phytochromes (phyA–phyE in Arabidopsis) while three classes of UV-A/blue photoreceptors have been identified: cryptochromes, phototropins, and members of the Zeitlupe family (cry1, cry2, phot1, phot2, ZTL, FKF1, and LKP2 in Arabidopsis). Functional specialization within photoreceptor families gave rise to members optimized for a wide range of light intensities. Genetic and photobiological studies performed in Arabidopsis have shown that these light sensors mediate numerous adaptive responses (e.g., phototropism and shade avoidance) and developmental transitions (e.g., germination and flowering). Some physiological responses are specifically triggered by a single photoreceptor but in many cases multiple light sensors ensure a coordinated response. Recent studies also provide examples of crosstalk between the responses of Arabidopsis to different external factors, in particular among light, temperature, and pathogens. Although the different photoreceptors are unrelated in structure, in many cases they trigger similar signaling mechanisms including light-regulated protein–protein interactions or light-regulated stability of several transcription factors. The breath and complexity of this topic forced us to concentrate on specific aspects of photomorphogenesis and we point the readers to recent reviews for some aspects of light-mediated signaling (e.g., transition to flowering).","collection-title":"Plant Development","container-title":"Current Topics in Developmental Biology","note":"DOI: 10.1016/S0070-2153(10)91002-8","page":"29-66","publisher":"Academic Press","source":"ScienceDirect","title":"Chapter Two - Light-Regulated Plant Growth and Development","URL":"https://www.sciencedirect.com/science/article/pii/S0070215310910028","volume":"91","author":[{"family":"Kami","given":"Chitose"},{"family":"Lorrain","given":"Séverine"},{"family":"Hornitschek","given":"Patricia"},{"family":"Fankhauser","given":"Christian"}],"editor":[{"family":"Timmermans","given":"Marja C. P."}],"accessed":{"date-parts":[["2017",2,5]]},"issued":{"date-parts":[["2010"]]}}}],"schema":"https://github.com/citation-style-language/schema/raw/master/csl-citation.json"} </w:instrText>
      </w:r>
      <w:r w:rsidR="000E05FA">
        <w:rPr>
          <w:rFonts w:ascii="Arial" w:hAnsi="Arial" w:cs="Arial"/>
        </w:rPr>
        <w:fldChar w:fldCharType="separate"/>
      </w:r>
      <w:r w:rsidR="000E05FA" w:rsidRPr="000E05FA">
        <w:rPr>
          <w:rFonts w:ascii="Arial" w:hAnsi="Arial" w:cs="Arial"/>
        </w:rPr>
        <w:t>(Franklin et al., 2005; Jackson, 2009; Kami et al., 2010)</w:t>
      </w:r>
      <w:r w:rsidR="000E05FA">
        <w:rPr>
          <w:rFonts w:ascii="Arial" w:hAnsi="Arial" w:cs="Arial"/>
        </w:rPr>
        <w:fldChar w:fldCharType="end"/>
      </w:r>
      <w:r w:rsidR="000E05FA">
        <w:rPr>
          <w:rFonts w:ascii="Arial" w:hAnsi="Arial" w:cs="Arial"/>
        </w:rPr>
        <w:t>.</w:t>
      </w:r>
      <w:r w:rsidR="00D51C55">
        <w:rPr>
          <w:rFonts w:ascii="Arial" w:hAnsi="Arial" w:cs="Arial"/>
        </w:rPr>
        <w:t xml:space="preserve"> </w:t>
      </w:r>
      <w:proofErr w:type="spellStart"/>
      <w:r w:rsidR="001B40D1" w:rsidRPr="005D6489">
        <w:rPr>
          <w:rFonts w:ascii="Arial" w:hAnsi="Arial" w:cs="Arial"/>
        </w:rPr>
        <w:t>phyA</w:t>
      </w:r>
      <w:proofErr w:type="spellEnd"/>
      <w:r w:rsidR="001B40D1" w:rsidRPr="005D6489">
        <w:rPr>
          <w:rFonts w:ascii="Arial" w:hAnsi="Arial" w:cs="Arial"/>
        </w:rPr>
        <w:t xml:space="preserve"> in particular has been reported as a key sensor of dawn and photoperiod </w:t>
      </w:r>
      <w:r w:rsidR="00962AE3">
        <w:rPr>
          <w:rFonts w:ascii="Arial" w:hAnsi="Arial" w:cs="Arial"/>
        </w:rPr>
        <w:t xml:space="preserve">and is essential for the induction of </w:t>
      </w:r>
      <w:r w:rsidR="00D51C55">
        <w:rPr>
          <w:rFonts w:ascii="Arial" w:hAnsi="Arial" w:cs="Arial"/>
        </w:rPr>
        <w:t xml:space="preserve">the core circadian clock component </w:t>
      </w:r>
      <w:r w:rsidR="00D51C55" w:rsidRPr="008C6C8F">
        <w:rPr>
          <w:rFonts w:ascii="Arial" w:hAnsi="Arial" w:cs="Arial"/>
          <w:i/>
        </w:rPr>
        <w:t>PSEUDO RESPONSE REGULATOR 9</w:t>
      </w:r>
      <w:r w:rsidR="00D51C55">
        <w:rPr>
          <w:rFonts w:ascii="Arial" w:hAnsi="Arial" w:cs="Arial"/>
        </w:rPr>
        <w:t xml:space="preserve"> (</w:t>
      </w:r>
      <w:r w:rsidR="00D51C55" w:rsidRPr="008C6C8F">
        <w:rPr>
          <w:rFonts w:ascii="Arial" w:hAnsi="Arial" w:cs="Arial"/>
          <w:i/>
        </w:rPr>
        <w:t>PRR9</w:t>
      </w:r>
      <w:r w:rsidR="00D51C55">
        <w:rPr>
          <w:rFonts w:ascii="Arial" w:hAnsi="Arial" w:cs="Arial"/>
        </w:rPr>
        <w:t>)</w:t>
      </w:r>
      <w:r w:rsidR="000E05FA">
        <w:rPr>
          <w:rFonts w:ascii="Arial" w:hAnsi="Arial" w:cs="Arial"/>
        </w:rPr>
        <w:t xml:space="preserve"> </w:t>
      </w:r>
      <w:r w:rsidR="000E05FA">
        <w:rPr>
          <w:rFonts w:ascii="Arial" w:hAnsi="Arial" w:cs="Arial"/>
        </w:rPr>
        <w:fldChar w:fldCharType="begin"/>
      </w:r>
      <w:r w:rsidR="000E05FA">
        <w:rPr>
          <w:rFonts w:ascii="Arial" w:hAnsi="Arial" w:cs="Arial"/>
        </w:rPr>
        <w:instrText xml:space="preserve"> ADDIN ZOTERO_ITEM CSL_CITATION {"citationID":"dKbcntkW","properties":{"formattedCitation":"(Seaton et al., 2018)","plainCitation":"(Seaton et al., 2018)","noteIndex":0},"citationItems":[{"id":3227,"uris":["http://zotero.org/users/2970095/items/8YARDMEF"],"uri":["http://zotero.org/users/2970095/items/8YARDMEF"],"itemData":{"id":3227,"type":"article-journal","abstract":"The changing seasons subject plants to a variety of challenging environments. To deal with this, many plants have mechanisms for inferring the season by measuring the duration of daylight in a day. A number of well-known seasonal responses such as flowering are responsive to daylength or photoperiod. Here, we describe how the photoreceptor protein phytochrome A senses short photoperiods. This arises from its accumulation during long nights, as happens during winter, and subsequent activation by light at dawn. As a result of this response, the abundance of red anthocyanin pigments is increased in short photoperiods. Thus, we describe a mechanism underlying a seasonal phenotype in an important model plant species., In plants, light receptors play a pivotal role in photoperiod sensing, enabling them to track seasonal progression. Photoperiod sensing arises from an interaction between the plant’s endogenous circadian oscillator and external light cues. Here, we characterize the role of phytochrome A (phyA) in photoperiod sensing. Our metaanalysis of functional genomic datasets identified phyA as a principal regulator of morning-activated genes, specifically in short photoperiods. We demonstrate that PHYA expression is under the direct control of the PHYTOCHROME INTERACTING FACTOR transcription factors, PIF4 and PIF5. As a result, phyA protein accumulates during the night, especially in short photoperiods. At dawn, phyA activation by light results in a burst of gene expression, with consequences for physiological processes such as anthocyanin accumulation. The combination of complex regulation of PHYA transcript and the unique molecular properties of phyA protein make this pathway a sensitive detector of both dawn and photoperiod.","container-title":"Proceedings of the National Academy of Sciences of the United States of America","DOI":"10.1073/pnas.1803398115","ISSN":"0027-8424","issue":"41","journalAbbreviation":"Proc Natl Acad Sci U S A","note":"PMID: 30254157\nPMCID: PMC6187151","page":"10523-10528","source":"PubMed Central","title":"Dawn and photoperiod sensing by phytochrome A","volume":"115","author":[{"family":"Seaton","given":"Daniel D."},{"family":"Toledo-Ortiz","given":"Gabriela"},{"family":"Ganpudi","given":"Ashwin"},{"family":"Kubota","given":"Akane"},{"family":"Imaizumi","given":"Takato"},{"family":"Halliday","given":"Karen J."}],"issued":{"date-parts":[["2018",10,9]]}}}],"schema":"https://github.com/citation-style-language/schema/raw/master/csl-citation.json"} </w:instrText>
      </w:r>
      <w:r w:rsidR="000E05FA">
        <w:rPr>
          <w:rFonts w:ascii="Arial" w:hAnsi="Arial" w:cs="Arial"/>
        </w:rPr>
        <w:fldChar w:fldCharType="separate"/>
      </w:r>
      <w:r w:rsidR="000E05FA" w:rsidRPr="000E05FA">
        <w:rPr>
          <w:rFonts w:ascii="Arial" w:hAnsi="Arial" w:cs="Arial"/>
        </w:rPr>
        <w:t>(Seaton et al., 2018)</w:t>
      </w:r>
      <w:r w:rsidR="000E05FA">
        <w:rPr>
          <w:rFonts w:ascii="Arial" w:hAnsi="Arial" w:cs="Arial"/>
        </w:rPr>
        <w:fldChar w:fldCharType="end"/>
      </w:r>
      <w:r w:rsidR="001B40D1" w:rsidRPr="005D6489">
        <w:rPr>
          <w:rFonts w:ascii="Arial" w:hAnsi="Arial" w:cs="Arial"/>
        </w:rPr>
        <w:t xml:space="preserve">. </w:t>
      </w:r>
      <w:r w:rsidR="005A4E5B">
        <w:rPr>
          <w:rFonts w:ascii="Arial" w:hAnsi="Arial" w:cs="Arial"/>
        </w:rPr>
        <w:t>PRR9 and PRR7 together with the MYB transcription factors CIRCADIAN CLOCK ASSOCIATED 1 (CCA1) and LATE ELONGATED HYPOCOTYL (LHY)</w:t>
      </w:r>
      <w:r w:rsidR="002B27AC">
        <w:rPr>
          <w:rFonts w:ascii="Arial" w:hAnsi="Arial" w:cs="Arial"/>
        </w:rPr>
        <w:t xml:space="preserve"> constitute the morning loop of the circadian clock</w:t>
      </w:r>
      <w:r w:rsidR="005F063F">
        <w:rPr>
          <w:rFonts w:ascii="Arial" w:hAnsi="Arial" w:cs="Arial"/>
        </w:rPr>
        <w:t xml:space="preserve"> </w:t>
      </w:r>
      <w:r w:rsidR="005F063F">
        <w:rPr>
          <w:rFonts w:ascii="Arial" w:hAnsi="Arial" w:cs="Arial"/>
        </w:rPr>
        <w:fldChar w:fldCharType="begin"/>
      </w:r>
      <w:r w:rsidR="005F063F">
        <w:rPr>
          <w:rFonts w:ascii="Arial" w:hAnsi="Arial" w:cs="Arial"/>
        </w:rPr>
        <w:instrText xml:space="preserve"> ADDIN ZOTERO_ITEM CSL_CITATION {"citationID":"1iKz2jmu","properties":{"formattedCitation":"(Creux and Harmer, 2019)","plainCitation":"(Creux and Harmer, 2019)","noteIndex":0},"citationItems":[{"id":3309,"uris":["http://zotero.org/users/2970095/items/RQ987YLG"],"uri":["http://zotero.org/users/2970095/items/RQ987YLG"],"itemData":{"id":3309,"type":"article-journal","abstract":"The circadian oscillator is a complex network of interconnected feedback loops that regulates a wide range of physiological processes. Indeed, variation in clock genes has been implicated in an array of plant environmental adaptations, including growth regulation, photoperiodic control of flowering, and responses to abiotic and biotic stress. Although the clock is buffered against the environment, maintaining roughly 24-h rhythms across a wide range of conditions, it can also be reset by environmental cues such as acute changes in light or temperature. These competing demands may help explain the complexity of the links between the circadian clock network and environmental response pathways. Here, we discuss our current understanding of the clock and its interactions with light and temperature-signaling pathways. We also describe different clock gene alleles that have been implicated in the domestication of important staple crops.","container-title":"Cold Spring Harbor Perspectives in Biology","DOI":"10.1101/cshperspect.a034611","ISSN":", 1943-0264","issue":"9","journalAbbreviation":"Cold Spring Harb Perspect Biol","language":"en","note":"PMID: 31138544","page":"a034611","source":"cshperspectives.cshlp.org","title":"Circadian Rhythms in Plants","volume":"11","author":[{"family":"Creux","given":"Nicky"},{"family":"Harmer","given":"Stacey"}],"issued":{"date-parts":[["2019",1,9]]}}}],"schema":"https://github.com/citation-style-language/schema/raw/master/csl-citation.json"} </w:instrText>
      </w:r>
      <w:r w:rsidR="005F063F">
        <w:rPr>
          <w:rFonts w:ascii="Arial" w:hAnsi="Arial" w:cs="Arial"/>
        </w:rPr>
        <w:fldChar w:fldCharType="separate"/>
      </w:r>
      <w:r w:rsidR="008936B1" w:rsidRPr="008936B1">
        <w:rPr>
          <w:rFonts w:ascii="Arial" w:hAnsi="Arial" w:cs="Arial"/>
        </w:rPr>
        <w:t>(Creux and Harmer, 2019)</w:t>
      </w:r>
      <w:r w:rsidR="005F063F">
        <w:rPr>
          <w:rFonts w:ascii="Arial" w:hAnsi="Arial" w:cs="Arial"/>
        </w:rPr>
        <w:fldChar w:fldCharType="end"/>
      </w:r>
      <w:r w:rsidR="005A4E5B">
        <w:rPr>
          <w:rFonts w:ascii="Arial" w:hAnsi="Arial" w:cs="Arial"/>
        </w:rPr>
        <w:t>.</w:t>
      </w:r>
    </w:p>
    <w:p w14:paraId="21F0DB40" w14:textId="28D4BA2A" w:rsidR="009C304E" w:rsidRPr="005D6489" w:rsidRDefault="005467A2" w:rsidP="00E461CE">
      <w:pPr>
        <w:pStyle w:val="BodyText"/>
        <w:spacing w:line="360" w:lineRule="auto"/>
        <w:rPr>
          <w:rFonts w:ascii="Arial" w:hAnsi="Arial" w:cs="Arial"/>
        </w:rPr>
      </w:pPr>
      <w:r>
        <w:rPr>
          <w:rFonts w:ascii="Arial" w:hAnsi="Arial" w:cs="Arial"/>
        </w:rPr>
        <w:t>Many hig</w:t>
      </w:r>
      <w:r w:rsidR="002B27AC">
        <w:rPr>
          <w:rFonts w:ascii="Arial" w:hAnsi="Arial" w:cs="Arial"/>
        </w:rPr>
        <w:t xml:space="preserve">her order mutants of photoreceptor or clock genes </w:t>
      </w:r>
      <w:r>
        <w:rPr>
          <w:rFonts w:ascii="Arial" w:hAnsi="Arial" w:cs="Arial"/>
        </w:rPr>
        <w:t>disrupt the gating of</w:t>
      </w:r>
      <w:r w:rsidR="002B27AC">
        <w:rPr>
          <w:rFonts w:ascii="Arial" w:hAnsi="Arial" w:cs="Arial"/>
        </w:rPr>
        <w:t xml:space="preserve"> hypocotyl </w:t>
      </w:r>
      <w:r>
        <w:rPr>
          <w:rFonts w:ascii="Arial" w:hAnsi="Arial" w:cs="Arial"/>
        </w:rPr>
        <w:t>growth</w:t>
      </w:r>
      <w:r w:rsidR="002B27AC">
        <w:rPr>
          <w:rFonts w:ascii="Arial" w:hAnsi="Arial" w:cs="Arial"/>
        </w:rPr>
        <w:t xml:space="preserve"> and photoperiodic regulation of flowering, </w:t>
      </w:r>
      <w:r>
        <w:rPr>
          <w:rFonts w:ascii="Arial" w:hAnsi="Arial" w:cs="Arial"/>
        </w:rPr>
        <w:t>but</w:t>
      </w:r>
      <w:r w:rsidR="002B27AC">
        <w:rPr>
          <w:rFonts w:ascii="Arial" w:hAnsi="Arial" w:cs="Arial"/>
        </w:rPr>
        <w:t xml:space="preserve"> have limited effects on entrainment: </w:t>
      </w:r>
      <w:r>
        <w:rPr>
          <w:rFonts w:ascii="Arial" w:hAnsi="Arial" w:cs="Arial"/>
        </w:rPr>
        <w:t>a</w:t>
      </w:r>
      <w:r w:rsidR="002B27AC">
        <w:rPr>
          <w:rFonts w:ascii="Arial" w:hAnsi="Arial" w:cs="Arial"/>
        </w:rPr>
        <w:t xml:space="preserve"> </w:t>
      </w:r>
      <w:proofErr w:type="spellStart"/>
      <w:r w:rsidR="002B27AC" w:rsidRPr="008C6C8F">
        <w:rPr>
          <w:rFonts w:ascii="Arial" w:hAnsi="Arial" w:cs="Arial"/>
          <w:i/>
        </w:rPr>
        <w:t>phyA</w:t>
      </w:r>
      <w:proofErr w:type="spellEnd"/>
      <w:r w:rsidR="002B27AC" w:rsidRPr="008C6C8F">
        <w:rPr>
          <w:rFonts w:ascii="Arial" w:hAnsi="Arial" w:cs="Arial"/>
          <w:i/>
        </w:rPr>
        <w:t xml:space="preserve"> </w:t>
      </w:r>
      <w:proofErr w:type="spellStart"/>
      <w:r w:rsidR="002B27AC" w:rsidRPr="008C6C8F">
        <w:rPr>
          <w:rFonts w:ascii="Arial" w:hAnsi="Arial" w:cs="Arial"/>
          <w:i/>
        </w:rPr>
        <w:t>phyB</w:t>
      </w:r>
      <w:proofErr w:type="spellEnd"/>
      <w:r w:rsidR="002B27AC" w:rsidRPr="008C6C8F">
        <w:rPr>
          <w:rFonts w:ascii="Arial" w:hAnsi="Arial" w:cs="Arial"/>
          <w:i/>
        </w:rPr>
        <w:t xml:space="preserve"> cry1 cry2</w:t>
      </w:r>
      <w:r w:rsidR="002B27AC">
        <w:rPr>
          <w:rFonts w:ascii="Arial" w:hAnsi="Arial" w:cs="Arial"/>
        </w:rPr>
        <w:t xml:space="preserve"> mutant still displays a functional clock </w:t>
      </w:r>
      <w:r w:rsidR="00653821">
        <w:rPr>
          <w:rFonts w:ascii="Arial" w:hAnsi="Arial" w:cs="Arial"/>
        </w:rPr>
        <w:fldChar w:fldCharType="begin"/>
      </w:r>
      <w:r w:rsidR="00653821">
        <w:rPr>
          <w:rFonts w:ascii="Arial" w:hAnsi="Arial" w:cs="Arial"/>
        </w:rPr>
        <w:instrText xml:space="preserve"> ADDIN ZOTERO_ITEM CSL_CITATION {"citationID":"DuY0CGvV","properties":{"formattedCitation":"(Yanovsky et al., 2000)","plainCitation":"(Yanovsky et al., 2000)","noteIndex":0},"citationItems":[{"id":2561,"uris":["http://zotero.org/users/2970095/items/GE4UT5XJ"],"uri":["http://zotero.org/users/2970095/items/GE4UT5XJ"],"itemData":{"id":2561,"type":"article-journal","abstract":"Time measurement and light detection are inextricably linked. Cryptochromes, the blue-light photoreceptors shared between plants and animals, are critical for circadian rhythms in flies and mice 1, 2, 3. WC-1, a putative blue-light photoreceptor, is also essential for the maintenance of circadian rhythms in Neurospora[4]. In contrast, we report here that in Arabidopsis thaliana the double mutant lacking the cryptochromes cry1 and cry2, and even a quadruple mutant lacking the red/far-red photoreceptor phytochromes phyA and phyB as well as cry1 and cry2, retain robust circadian rhythmicity. Interestingly, the quadruple mutant was nearly blind for developmental responses but perceived a light cue for entraining the circadian clock. These results indicate that cryptochromes and phytochromes are not essential components of the central oscillator in Arabidopsis and suggest that plants could possess specific photosensory mechanisms for temporal orientation, in addition to cryptochromes and phytochromes, which are used for both spatial and temporal adaptation.","container-title":"Current Biology","DOI":"10.1016/S0960-9822(00)00651-5","ISSN":"0960-9822","issue":"16","journalAbbreviation":"Current Biology","page":"1013-1015","source":"ScienceDirect","title":"A quadruple photoreceptor mutant still keeps track of time","volume":"10","author":[{"family":"Yanovsky","given":"Marcelo J"},{"family":"Mazzella","given":"M. Agustina"},{"family":"Casal","given":"Jorge J"}],"issued":{"date-parts":[["2000",8,14]]}}}],"schema":"https://github.com/citation-style-language/schema/raw/master/csl-citation.json"} </w:instrText>
      </w:r>
      <w:r w:rsidR="00653821">
        <w:rPr>
          <w:rFonts w:ascii="Arial" w:hAnsi="Arial" w:cs="Arial"/>
        </w:rPr>
        <w:fldChar w:fldCharType="separate"/>
      </w:r>
      <w:r w:rsidR="008936B1" w:rsidRPr="008936B1">
        <w:rPr>
          <w:rFonts w:ascii="Arial" w:hAnsi="Arial" w:cs="Arial"/>
        </w:rPr>
        <w:t>(Yanovsky et al., 2000)</w:t>
      </w:r>
      <w:r w:rsidR="00653821">
        <w:rPr>
          <w:rFonts w:ascii="Arial" w:hAnsi="Arial" w:cs="Arial"/>
        </w:rPr>
        <w:fldChar w:fldCharType="end"/>
      </w:r>
      <w:r w:rsidR="002B27AC">
        <w:rPr>
          <w:rFonts w:ascii="Arial" w:hAnsi="Arial" w:cs="Arial"/>
        </w:rPr>
        <w:t xml:space="preserve"> while clock mutants </w:t>
      </w:r>
      <w:r>
        <w:rPr>
          <w:rFonts w:ascii="Arial" w:hAnsi="Arial" w:cs="Arial"/>
        </w:rPr>
        <w:t>such as</w:t>
      </w:r>
      <w:r w:rsidR="002B27AC">
        <w:rPr>
          <w:rFonts w:ascii="Arial" w:hAnsi="Arial" w:cs="Arial"/>
        </w:rPr>
        <w:t xml:space="preserve"> </w:t>
      </w:r>
      <w:r w:rsidR="002B27AC" w:rsidRPr="008C6C8F">
        <w:rPr>
          <w:rFonts w:ascii="Arial" w:hAnsi="Arial" w:cs="Arial"/>
          <w:i/>
        </w:rPr>
        <w:t xml:space="preserve">cca1 </w:t>
      </w:r>
      <w:proofErr w:type="spellStart"/>
      <w:r w:rsidR="002B27AC" w:rsidRPr="008C6C8F">
        <w:rPr>
          <w:rFonts w:ascii="Arial" w:hAnsi="Arial" w:cs="Arial"/>
          <w:i/>
        </w:rPr>
        <w:t>lhy</w:t>
      </w:r>
      <w:proofErr w:type="spellEnd"/>
      <w:r w:rsidR="002B27AC">
        <w:rPr>
          <w:rFonts w:ascii="Arial" w:hAnsi="Arial" w:cs="Arial"/>
        </w:rPr>
        <w:t xml:space="preserve"> and </w:t>
      </w:r>
      <w:r w:rsidR="002B27AC" w:rsidRPr="008C6C8F">
        <w:rPr>
          <w:rFonts w:ascii="Arial" w:hAnsi="Arial" w:cs="Arial"/>
          <w:i/>
        </w:rPr>
        <w:t>prr7 prr9</w:t>
      </w:r>
      <w:r w:rsidR="002B27AC">
        <w:rPr>
          <w:rFonts w:ascii="Arial" w:hAnsi="Arial" w:cs="Arial"/>
        </w:rPr>
        <w:t xml:space="preserve"> retain rhythmicity </w:t>
      </w:r>
      <w:r>
        <w:rPr>
          <w:rFonts w:ascii="Arial" w:hAnsi="Arial" w:cs="Arial"/>
        </w:rPr>
        <w:t xml:space="preserve">in many clock outputs under </w:t>
      </w:r>
      <w:proofErr w:type="spellStart"/>
      <w:r>
        <w:rPr>
          <w:rFonts w:ascii="Arial" w:hAnsi="Arial" w:cs="Arial"/>
        </w:rPr>
        <w:t>light:dark</w:t>
      </w:r>
      <w:proofErr w:type="spellEnd"/>
      <w:r>
        <w:rPr>
          <w:rFonts w:ascii="Arial" w:hAnsi="Arial" w:cs="Arial"/>
        </w:rPr>
        <w:t xml:space="preserve"> photocycles </w:t>
      </w:r>
      <w:r w:rsidR="00653821">
        <w:rPr>
          <w:rFonts w:ascii="Arial" w:hAnsi="Arial" w:cs="Arial"/>
        </w:rPr>
        <w:fldChar w:fldCharType="begin"/>
      </w:r>
      <w:r w:rsidR="008936B1">
        <w:rPr>
          <w:rFonts w:ascii="Arial" w:hAnsi="Arial" w:cs="Arial"/>
        </w:rPr>
        <w:instrText xml:space="preserve"> ADDIN ZOTERO_ITEM CSL_CITATION {"citationID":"KiZ8GK0k","properties":{"formattedCitation":"(Farr\\uc0\\u233{} et al., 2005; Mizoguchi et al., 2002)","plainCitation":"(Farré et al., 2005; Mizoguchi et al., 2002)","noteIndex":0},"citationItems":[{"id":3294,"uris":["http://zotero.org/users/2970095/items/XKZZBLN4"],"uri":["http://zotero.org/users/2970095/items/XKZZBLN4"],"itemData":{"id":3294,"type":"article-journal","abstract":"The core mechanism of the circadian oscillators described to date rely on transcriptional negative feedback loops with a delay between the negative and the positive components 1, 2, 3. In plants, the first suggested regulatory loop involves the transcription factors CIRCADIAN CLOCK-ASSOCIATED 1 (CCA1) and LATE ELONGATED HYPOCOTYL (LHY) and the pseudo-response regulator TIMING OF CAB EXPRESSION 1 (TOC1/PRR1)[4]. TOC1 is a member of the Arabidopsis circadian-regulated PRR gene family 5, 6. Analysis of single and double mutants in PRR7 and PRR9 indicates that these morning-expressed genes play a dual role in the circadian clock, being involved in the transmission of light signals to the clock and in the regulation of the central oscillator. Furthermore, CCA1 and LHY had a positive effect on PRR7 and PRR9 expression levels, indicating that they might form part of an additional regulatory feedback loop. We propose that the Arabidopsis circadian oscillator is composed of several interlocking positive and negative feedback loops, a feature of clock regulation that appears broadly conserved between plants, fungi, and animals.","container-title":"Current Biology","DOI":"10.1016/j.cub.2004.12.067","ISSN":"0960-9822","issue":"1","journalAbbreviation":"Current Biology","language":"en","page":"47-54","source":"ScienceDirect","title":"Overlapping and Distinct Roles of PRR7 and PRR9 in the Arabidopsis Circadian Clock","volume":"15","author":[{"family":"Farré","given":"Eva M."},{"family":"Harmer","given":"Stacey L."},{"family":"Harmon","given":"Frank G."},{"family":"Yanovsky","given":"Marcelo J."},{"family":"Kay","given":"Steve A."}],"issued":{"date-parts":[["2005",1,11]]}}},{"id":3297,"uris":["http://zotero.org/users/2970095/items/24UKPJA7"],"uri":["http://zotero.org/users/2970095/items/24UKPJA7"],"itemData":{"id":3297,"type":"article-journal","abstract":"Several genes are known to regulate circadian rhythms in Arabidopsis, but the identity of the central oscillator has not been established. LHY and CCA1 are related MYB-like transcription factors proposed to be closely involved. Here we demonstrate that, as shown previously for CCA1, inactivation of LHY shortens the period of circadian rhythms in gene expression and leaf movements. By constructing lhy cca1-1 double mutants, we show that LHY and CCA1 are partially redundant and essential for the maintenance of circadian rhythms in constant light. Under light/dark cycles the lhy cca1-1 plants show dramatically earlier phases of expression of GI and TOC1, genes associated with the generation of circadian rhythms and the promotion of LHY and CCA1 expression. We conclude that LHY and CCA1 appear to be negative regulatory elements required for central oscillator function.","container-title":"Developmental Cell","DOI":"10.1016/S1534-5807(02)00170-3","ISSN":"1534-5807","issue":"5","journalAbbreviation":"Developmental Cell","language":"en","page":"629-641","source":"ScienceDirect","title":"LHY and CCA1 Are Partially Redundant Genes Required to Maintain Circadian Rhythms in Arabidopsis","volume":"2","author":[{"family":"Mizoguchi","given":"Tsuyoshi"},{"family":"Wheatley","given":"Kay"},{"family":"Hanzawa","given":"Yoshie"},{"family":"Wright","given":"Louisa"},{"family":"Mizoguchi","given":"Mutsuko"},{"family":"Song","given":"Hae-Ryong"},{"family":"Carré","given":"Isabelle A."},{"family":"Coupland","given":"George"}],"issued":{"date-parts":[["2002",5,1]]}}}],"schema":"https://github.com/citation-style-language/schema/raw/master/csl-citation.json"} </w:instrText>
      </w:r>
      <w:r w:rsidR="00653821">
        <w:rPr>
          <w:rFonts w:ascii="Arial" w:hAnsi="Arial" w:cs="Arial"/>
        </w:rPr>
        <w:fldChar w:fldCharType="separate"/>
      </w:r>
      <w:r w:rsidR="008936B1" w:rsidRPr="008936B1">
        <w:rPr>
          <w:rFonts w:ascii="Arial" w:hAnsi="Arial" w:cs="Arial"/>
        </w:rPr>
        <w:t>(Farré et al., 2005; Mizoguchi et al., 2002)</w:t>
      </w:r>
      <w:r w:rsidR="00653821">
        <w:rPr>
          <w:rFonts w:ascii="Arial" w:hAnsi="Arial" w:cs="Arial"/>
        </w:rPr>
        <w:fldChar w:fldCharType="end"/>
      </w:r>
      <w:r>
        <w:rPr>
          <w:rFonts w:ascii="Arial" w:hAnsi="Arial" w:cs="Arial"/>
        </w:rPr>
        <w:t xml:space="preserve">, suggesting that other pathways contribute to </w:t>
      </w:r>
      <w:r w:rsidR="00C0202E">
        <w:rPr>
          <w:rFonts w:ascii="Arial" w:hAnsi="Arial" w:cs="Arial"/>
        </w:rPr>
        <w:t xml:space="preserve">the </w:t>
      </w:r>
      <w:r>
        <w:rPr>
          <w:rFonts w:ascii="Arial" w:hAnsi="Arial" w:cs="Arial"/>
        </w:rPr>
        <w:t xml:space="preserve">entrainment and dawn-induced gene expression. Indeed, </w:t>
      </w:r>
      <w:r w:rsidR="00BA10FA" w:rsidRPr="005D6489">
        <w:rPr>
          <w:rFonts w:ascii="Arial" w:hAnsi="Arial" w:cs="Arial"/>
        </w:rPr>
        <w:t xml:space="preserve">photosynthesis and sugar production can also </w:t>
      </w:r>
      <w:r>
        <w:rPr>
          <w:rFonts w:ascii="Arial" w:hAnsi="Arial" w:cs="Arial"/>
        </w:rPr>
        <w:t>entrain</w:t>
      </w:r>
      <w:r w:rsidRPr="005D6489">
        <w:rPr>
          <w:rFonts w:ascii="Arial" w:hAnsi="Arial" w:cs="Arial"/>
        </w:rPr>
        <w:t xml:space="preserve"> </w:t>
      </w:r>
      <w:r w:rsidR="00BA10FA" w:rsidRPr="005D6489">
        <w:rPr>
          <w:rFonts w:ascii="Arial" w:hAnsi="Arial" w:cs="Arial"/>
        </w:rPr>
        <w:t xml:space="preserve">the circadian </w:t>
      </w:r>
      <w:r w:rsidR="00BA10FA" w:rsidRPr="005D6489">
        <w:rPr>
          <w:rFonts w:ascii="Arial" w:hAnsi="Arial" w:cs="Arial"/>
        </w:rPr>
        <w:lastRenderedPageBreak/>
        <w:t xml:space="preserve">clock, producing a second ‘metabolic dawn’ </w:t>
      </w:r>
      <w:r w:rsidR="000E05FA">
        <w:rPr>
          <w:rFonts w:ascii="Arial" w:hAnsi="Arial" w:cs="Arial"/>
        </w:rPr>
        <w:fldChar w:fldCharType="begin"/>
      </w:r>
      <w:r w:rsidR="000E05FA">
        <w:rPr>
          <w:rFonts w:ascii="Arial" w:hAnsi="Arial" w:cs="Arial"/>
        </w:rPr>
        <w:instrText xml:space="preserve"> ADDIN ZOTERO_ITEM CSL_CITATION {"citationID":"Bo4TNsxh","properties":{"formattedCitation":"(Haydon et al., 2013)","plainCitation":"(Haydon et al., 2013)","noteIndex":0},"citationItems":[{"id":470,"uris":["http://zotero.org/users/2970095/items/JT825EQ4"],"uri":["http://zotero.org/users/2970095/items/JT825EQ4"],"itemData":{"id":470,"type":"article-journal","abstract":"Circadian clocks provide a competitive advantage in an environment that is heavily influenced by the rotation of the Earth, by driving daily rhythms in behaviour, physiology and metabolism in bacteria, fungi, plants and animals. Circadian clocks comprise transcription-translation feedback loops, which are entrained by environmental signals such as light and temperature to adjust the phase of rhythms to match the local environment. The production of sugars by photosynthesis is a key metabolic output of the circadian clock in plants. Here we show that these rhythmic, endogenous sugar signals can entrain circadian rhythms in Arabidopsis thaliana by regulating the gene expression of circadian clock components early in the photoperiod, thus defining a /`metabolic dawn/'. By inhibiting photosynthesis, we demonstrate that endogenous oscillations in sugar levels provide metabolic feedback to the circadian oscillator through the morning-expressed gene PSEUDO-RESPONSE REGULATOR 7 (PRR7), and we identify that prr7 mutants are insensitive to the effects of sucrose on the circadian period. Thus, photosynthesis has a marked effect on the entrainment and maintenance of robust circadian rhythms in A. thaliana, demonstrating that metabolism has a crucial role in regulation of the circadian clock.","container-title":"Nature","DOI":"10.1038/nature12603","ISSN":"0028-0836","issue":"7473","journalAbbreviation":"Nature","language":"en","page":"689-692","source":"www.nature.com","title":"Photosynthetic entrainment of the Arabidopsis thaliana circadian clock","volume":"502","author":[{"family":"Haydon","given":"Michael J."},{"family":"Mielczarek","given":"Olga"},{"family":"Robertson","given":"Fiona C."},{"family":"Hubbard","given":"Katharine E."},{"family":"Webb","given":"Alex A. R."}],"issued":{"date-parts":[["2013",10,31]]}}}],"schema":"https://github.com/citation-style-language/schema/raw/master/csl-citation.json"} </w:instrText>
      </w:r>
      <w:r w:rsidR="000E05FA">
        <w:rPr>
          <w:rFonts w:ascii="Arial" w:hAnsi="Arial" w:cs="Arial"/>
        </w:rPr>
        <w:fldChar w:fldCharType="separate"/>
      </w:r>
      <w:r w:rsidR="000E05FA" w:rsidRPr="000E05FA">
        <w:rPr>
          <w:rFonts w:ascii="Arial" w:hAnsi="Arial" w:cs="Arial"/>
        </w:rPr>
        <w:t>(Haydon et al., 2013)</w:t>
      </w:r>
      <w:r w:rsidR="000E05FA">
        <w:rPr>
          <w:rFonts w:ascii="Arial" w:hAnsi="Arial" w:cs="Arial"/>
        </w:rPr>
        <w:fldChar w:fldCharType="end"/>
      </w:r>
      <w:r>
        <w:rPr>
          <w:rFonts w:ascii="Arial" w:hAnsi="Arial" w:cs="Arial"/>
        </w:rPr>
        <w:t xml:space="preserve"> and a </w:t>
      </w:r>
      <w:r w:rsidR="00962AE3">
        <w:rPr>
          <w:rFonts w:ascii="Arial" w:hAnsi="Arial" w:cs="Arial"/>
        </w:rPr>
        <w:t>chloroplast-derived li</w:t>
      </w:r>
      <w:r>
        <w:rPr>
          <w:rFonts w:ascii="Arial" w:hAnsi="Arial" w:cs="Arial"/>
        </w:rPr>
        <w:t>ght signal</w:t>
      </w:r>
      <w:r w:rsidR="00962AE3">
        <w:rPr>
          <w:rFonts w:ascii="Arial" w:hAnsi="Arial" w:cs="Arial"/>
        </w:rPr>
        <w:t xml:space="preserve"> </w:t>
      </w:r>
      <w:r>
        <w:rPr>
          <w:rFonts w:ascii="Arial" w:hAnsi="Arial" w:cs="Arial"/>
        </w:rPr>
        <w:t xml:space="preserve">is known to gate the expression of </w:t>
      </w:r>
      <w:r w:rsidR="00962AE3">
        <w:rPr>
          <w:rFonts w:ascii="Arial" w:hAnsi="Arial" w:cs="Arial"/>
        </w:rPr>
        <w:t xml:space="preserve">thermotolerance </w:t>
      </w:r>
      <w:r>
        <w:rPr>
          <w:rFonts w:ascii="Arial" w:hAnsi="Arial" w:cs="Arial"/>
        </w:rPr>
        <w:t>genes that peak after dawn</w:t>
      </w:r>
      <w:r w:rsidR="00AF73FC">
        <w:rPr>
          <w:rFonts w:ascii="Arial" w:hAnsi="Arial" w:cs="Arial"/>
        </w:rPr>
        <w:t xml:space="preserve"> via HEAT SHOCK FACTOR A1 (HSFA1) transcription factors</w:t>
      </w:r>
      <w:r w:rsidR="000E05FA">
        <w:rPr>
          <w:rFonts w:ascii="Arial" w:hAnsi="Arial" w:cs="Arial"/>
        </w:rPr>
        <w:t xml:space="preserve"> </w:t>
      </w:r>
      <w:r w:rsidR="000E05FA">
        <w:rPr>
          <w:rFonts w:ascii="Arial" w:hAnsi="Arial" w:cs="Arial"/>
        </w:rPr>
        <w:fldChar w:fldCharType="begin"/>
      </w:r>
      <w:r w:rsidR="000E05FA">
        <w:rPr>
          <w:rFonts w:ascii="Arial" w:hAnsi="Arial" w:cs="Arial"/>
        </w:rPr>
        <w:instrText xml:space="preserve"> ADDIN ZOTERO_ITEM CSL_CITATION {"citationID":"RzTqbeMK","properties":{"formattedCitation":"(Dickinson et al., 2018)","plainCitation":"(Dickinson et al., 2018)","noteIndex":0},"citationItems":[{"id":3389,"uris":["http://zotero.org/users/2970095/items/5PWUAVDC"],"uri":["http://zotero.org/users/2970095/items/5PWUAVDC"],"itemData":{"id":3389,"type":"article-journal","abstract":"Temperature is a key environmental variable influencing plant growth and survival. Protection against high temperature stress in eukaryotes is coordinated by heat shock factors (HSFs), transcription factors that activate the expression of protective chaperones such as HEAT SHOCK PROTEIN 70 (HSP70); however, the pathway by which temperature is sensed and integrated with other environmental signals into adaptive responses is not well understood. Plants are exposed to considerable diurnal variation in temperature, and we have found that there is diurnal variation in thermotolerance in Arabidopsis thaliana, with maximal thermotolerance coinciding with higher HSP70 expression during the day. In a forward genetic screen, we identified a key role for the chloroplast in controlling this response, suggesting that light-induced chloroplast signaling plays a key role. Consistent with this, we are able to globally activate binding of HSFA1a to its targets by altering redox status in planta independently of a heat shock.","container-title":"Cell Reports","DOI":"10.1016/j.celrep.2018.01.054","ISSN":"2211-1247","issue":"7","journalAbbreviation":"Cell Reports","language":"en","page":"1657-1665","source":"ScienceDirect","title":"Chloroplast Signaling Gates Thermotolerance in Arabidopsis","volume":"22","author":[{"family":"Dickinson","given":"Patrick J."},{"family":"Kumar","given":"Manoj"},{"family":"Martinho","given":"Claudia"},{"family":"Yoo","given":"Seong Jeon"},{"family":"Lan","given":"Hui"},{"family":"Artavanis","given":"George"},{"family":"Charoensawan","given":"Varodom"},{"family":"Schöttler","given":"Mark Aurel"},{"family":"Bock","given":"Ralph"},{"family":"Jaeger","given":"Katja E."},{"family":"Wigge","given":"Philip A."}],"issued":{"date-parts":[["2018",2,13]]}}}],"schema":"https://github.com/citation-style-language/schema/raw/master/csl-citation.json"} </w:instrText>
      </w:r>
      <w:r w:rsidR="000E05FA">
        <w:rPr>
          <w:rFonts w:ascii="Arial" w:hAnsi="Arial" w:cs="Arial"/>
        </w:rPr>
        <w:fldChar w:fldCharType="separate"/>
      </w:r>
      <w:r w:rsidR="000E05FA" w:rsidRPr="000E05FA">
        <w:rPr>
          <w:rFonts w:ascii="Arial" w:hAnsi="Arial" w:cs="Arial"/>
        </w:rPr>
        <w:t>(Dickinson et al., 2018)</w:t>
      </w:r>
      <w:r w:rsidR="000E05FA">
        <w:rPr>
          <w:rFonts w:ascii="Arial" w:hAnsi="Arial" w:cs="Arial"/>
        </w:rPr>
        <w:fldChar w:fldCharType="end"/>
      </w:r>
      <w:r w:rsidR="00962AE3">
        <w:rPr>
          <w:rFonts w:ascii="Arial" w:hAnsi="Arial" w:cs="Arial"/>
        </w:rPr>
        <w:t xml:space="preserve">. </w:t>
      </w:r>
    </w:p>
    <w:p w14:paraId="47D497B3" w14:textId="0C93E7C5" w:rsidR="009C304E" w:rsidRDefault="00392BAA" w:rsidP="005D6489">
      <w:pPr>
        <w:pStyle w:val="BodyText"/>
        <w:spacing w:line="360" w:lineRule="auto"/>
        <w:rPr>
          <w:rFonts w:ascii="Arial" w:hAnsi="Arial" w:cs="Arial"/>
        </w:rPr>
      </w:pPr>
      <w:r>
        <w:rPr>
          <w:rFonts w:ascii="Arial" w:hAnsi="Arial" w:cs="Arial"/>
        </w:rPr>
        <w:t>To understand the</w:t>
      </w:r>
      <w:r w:rsidR="00BA10FA" w:rsidRPr="005D6489">
        <w:rPr>
          <w:rFonts w:ascii="Arial" w:hAnsi="Arial" w:cs="Arial"/>
        </w:rPr>
        <w:t xml:space="preserve"> burst of gene expression </w:t>
      </w:r>
      <w:r>
        <w:rPr>
          <w:rFonts w:ascii="Arial" w:hAnsi="Arial" w:cs="Arial"/>
        </w:rPr>
        <w:t>in response to</w:t>
      </w:r>
      <w:r w:rsidRPr="005D6489">
        <w:rPr>
          <w:rFonts w:ascii="Arial" w:hAnsi="Arial" w:cs="Arial"/>
        </w:rPr>
        <w:t xml:space="preserve"> </w:t>
      </w:r>
      <w:r w:rsidR="00BA10FA" w:rsidRPr="005D6489">
        <w:rPr>
          <w:rFonts w:ascii="Arial" w:hAnsi="Arial" w:cs="Arial"/>
        </w:rPr>
        <w:t xml:space="preserve">light in the morning, </w:t>
      </w:r>
      <w:r>
        <w:rPr>
          <w:rFonts w:ascii="Arial" w:hAnsi="Arial" w:cs="Arial"/>
        </w:rPr>
        <w:t xml:space="preserve">we performed </w:t>
      </w:r>
      <w:r w:rsidR="00BA10FA" w:rsidRPr="005D6489">
        <w:rPr>
          <w:rFonts w:ascii="Arial" w:hAnsi="Arial" w:cs="Arial"/>
        </w:rPr>
        <w:t>a high</w:t>
      </w:r>
      <w:r>
        <w:rPr>
          <w:rFonts w:ascii="Arial" w:hAnsi="Arial" w:cs="Arial"/>
        </w:rPr>
        <w:t>ly</w:t>
      </w:r>
      <w:r w:rsidR="00BA10FA" w:rsidRPr="005D6489">
        <w:rPr>
          <w:rFonts w:ascii="Arial" w:hAnsi="Arial" w:cs="Arial"/>
        </w:rPr>
        <w:t xml:space="preserve"> resol</w:t>
      </w:r>
      <w:r>
        <w:rPr>
          <w:rFonts w:ascii="Arial" w:hAnsi="Arial" w:cs="Arial"/>
        </w:rPr>
        <w:t>ved</w:t>
      </w:r>
      <w:r w:rsidR="00BA10FA" w:rsidRPr="005D6489">
        <w:rPr>
          <w:rFonts w:ascii="Arial" w:hAnsi="Arial" w:cs="Arial"/>
        </w:rPr>
        <w:t xml:space="preserve"> RNA-seq time series</w:t>
      </w:r>
      <w:r w:rsidR="00CD34FB">
        <w:rPr>
          <w:rFonts w:ascii="Arial" w:hAnsi="Arial" w:cs="Arial"/>
        </w:rPr>
        <w:t>. We</w:t>
      </w:r>
      <w:r w:rsidR="00BA10FA" w:rsidRPr="005D6489">
        <w:rPr>
          <w:rFonts w:ascii="Arial" w:hAnsi="Arial" w:cs="Arial"/>
        </w:rPr>
        <w:t xml:space="preserve"> find five distinct transcriptional waves within the first two hours of the morning</w:t>
      </w:r>
      <w:r w:rsidR="00CD34FB">
        <w:rPr>
          <w:rFonts w:ascii="Arial" w:hAnsi="Arial" w:cs="Arial"/>
        </w:rPr>
        <w:t xml:space="preserve"> and</w:t>
      </w:r>
      <w:r w:rsidR="00BA10FA" w:rsidRPr="005D6489">
        <w:rPr>
          <w:rFonts w:ascii="Arial" w:hAnsi="Arial" w:cs="Arial"/>
        </w:rPr>
        <w:t xml:space="preserve"> </w:t>
      </w:r>
      <w:proofErr w:type="spellStart"/>
      <w:r w:rsidR="00BA10FA" w:rsidRPr="005D6489">
        <w:rPr>
          <w:rFonts w:ascii="Arial" w:hAnsi="Arial" w:cs="Arial"/>
        </w:rPr>
        <w:t>characterise</w:t>
      </w:r>
      <w:proofErr w:type="spellEnd"/>
      <w:r w:rsidR="00BA10FA" w:rsidRPr="005D6489">
        <w:rPr>
          <w:rFonts w:ascii="Arial" w:hAnsi="Arial" w:cs="Arial"/>
        </w:rPr>
        <w:t xml:space="preserve"> how each wave of expression responds to temperature elevation and light signals during the night and subjective day</w:t>
      </w:r>
      <w:r w:rsidR="00CD34FB">
        <w:rPr>
          <w:rFonts w:ascii="Arial" w:hAnsi="Arial" w:cs="Arial"/>
        </w:rPr>
        <w:t xml:space="preserve">. </w:t>
      </w:r>
      <w:r w:rsidR="00E461CE">
        <w:rPr>
          <w:rFonts w:ascii="Arial" w:hAnsi="Arial" w:cs="Arial"/>
        </w:rPr>
        <w:t xml:space="preserve">By </w:t>
      </w:r>
      <w:proofErr w:type="spellStart"/>
      <w:r w:rsidR="00E461CE">
        <w:rPr>
          <w:rFonts w:ascii="Arial" w:hAnsi="Arial" w:cs="Arial"/>
        </w:rPr>
        <w:t>a</w:t>
      </w:r>
      <w:r w:rsidR="00CD34FB">
        <w:rPr>
          <w:rFonts w:ascii="Arial" w:hAnsi="Arial" w:cs="Arial"/>
        </w:rPr>
        <w:t>nalysing</w:t>
      </w:r>
      <w:proofErr w:type="spellEnd"/>
      <w:r w:rsidR="00CD34FB">
        <w:rPr>
          <w:rFonts w:ascii="Arial" w:hAnsi="Arial" w:cs="Arial"/>
        </w:rPr>
        <w:t xml:space="preserve"> </w:t>
      </w:r>
      <w:r w:rsidR="00BA10FA" w:rsidRPr="005D6489">
        <w:rPr>
          <w:rFonts w:ascii="Arial" w:hAnsi="Arial" w:cs="Arial"/>
        </w:rPr>
        <w:t xml:space="preserve">a </w:t>
      </w:r>
      <w:r w:rsidR="00CD34FB">
        <w:rPr>
          <w:rFonts w:ascii="Arial" w:hAnsi="Arial" w:cs="Arial"/>
        </w:rPr>
        <w:t>photoreceptor</w:t>
      </w:r>
      <w:r w:rsidR="00BA10FA" w:rsidRPr="005D6489">
        <w:rPr>
          <w:rFonts w:ascii="Arial" w:hAnsi="Arial" w:cs="Arial"/>
        </w:rPr>
        <w:t xml:space="preserve"> mutant (</w:t>
      </w:r>
      <w:proofErr w:type="spellStart"/>
      <w:r w:rsidR="00BA10FA" w:rsidRPr="005D6489">
        <w:rPr>
          <w:rFonts w:ascii="Arial" w:hAnsi="Arial" w:cs="Arial"/>
          <w:i/>
        </w:rPr>
        <w:t>phyA</w:t>
      </w:r>
      <w:proofErr w:type="spellEnd"/>
      <w:r w:rsidR="00BA10FA" w:rsidRPr="005D6489">
        <w:rPr>
          <w:rFonts w:ascii="Arial" w:hAnsi="Arial" w:cs="Arial"/>
          <w:i/>
        </w:rPr>
        <w:t xml:space="preserve"> </w:t>
      </w:r>
      <w:proofErr w:type="spellStart"/>
      <w:r w:rsidR="00BA10FA" w:rsidRPr="005D6489">
        <w:rPr>
          <w:rFonts w:ascii="Arial" w:hAnsi="Arial" w:cs="Arial"/>
          <w:i/>
        </w:rPr>
        <w:t>phyB</w:t>
      </w:r>
      <w:proofErr w:type="spellEnd"/>
      <w:r w:rsidR="00BA10FA" w:rsidRPr="005D6489">
        <w:rPr>
          <w:rFonts w:ascii="Arial" w:hAnsi="Arial" w:cs="Arial"/>
          <w:i/>
        </w:rPr>
        <w:t xml:space="preserve"> cry1 cry2</w:t>
      </w:r>
      <w:r w:rsidR="00BA10FA" w:rsidRPr="005D6489">
        <w:rPr>
          <w:rFonts w:ascii="Arial" w:hAnsi="Arial" w:cs="Arial"/>
        </w:rPr>
        <w:t>), a circadian clock mutant (</w:t>
      </w:r>
      <w:r w:rsidR="00BA10FA" w:rsidRPr="005D6489">
        <w:rPr>
          <w:rFonts w:ascii="Arial" w:hAnsi="Arial" w:cs="Arial"/>
          <w:i/>
        </w:rPr>
        <w:t>prr5 prr7 prr9</w:t>
      </w:r>
      <w:r w:rsidR="00BA10FA" w:rsidRPr="005D6489">
        <w:rPr>
          <w:rFonts w:ascii="Arial" w:hAnsi="Arial" w:cs="Arial"/>
        </w:rPr>
        <w:t xml:space="preserve">), and a </w:t>
      </w:r>
      <w:r w:rsidR="00CD34FB">
        <w:rPr>
          <w:rFonts w:ascii="Arial" w:hAnsi="Arial" w:cs="Arial"/>
        </w:rPr>
        <w:t xml:space="preserve">mutant impaired in chloroplast light/temperature </w:t>
      </w:r>
      <w:proofErr w:type="spellStart"/>
      <w:r w:rsidR="00CD34FB">
        <w:rPr>
          <w:rFonts w:ascii="Arial" w:hAnsi="Arial" w:cs="Arial"/>
        </w:rPr>
        <w:t>signa</w:t>
      </w:r>
      <w:r w:rsidR="00822729">
        <w:rPr>
          <w:rFonts w:ascii="Arial" w:hAnsi="Arial" w:cs="Arial"/>
        </w:rPr>
        <w:t>l</w:t>
      </w:r>
      <w:r w:rsidR="00CD34FB">
        <w:rPr>
          <w:rFonts w:ascii="Arial" w:hAnsi="Arial" w:cs="Arial"/>
        </w:rPr>
        <w:t>ling</w:t>
      </w:r>
      <w:proofErr w:type="spellEnd"/>
      <w:r w:rsidR="00BA10FA" w:rsidRPr="005D6489">
        <w:rPr>
          <w:rFonts w:ascii="Arial" w:hAnsi="Arial" w:cs="Arial"/>
        </w:rPr>
        <w:t xml:space="preserve"> (</w:t>
      </w:r>
      <w:r w:rsidR="00BA10FA" w:rsidRPr="005D6489">
        <w:rPr>
          <w:rFonts w:ascii="Arial" w:hAnsi="Arial" w:cs="Arial"/>
          <w:i/>
        </w:rPr>
        <w:t>hsfa1QK</w:t>
      </w:r>
      <w:r w:rsidR="00CD34FB" w:rsidRPr="005D6489">
        <w:rPr>
          <w:rFonts w:ascii="Arial" w:hAnsi="Arial" w:cs="Arial"/>
        </w:rPr>
        <w:t>)</w:t>
      </w:r>
      <w:r w:rsidR="00CD34FB">
        <w:rPr>
          <w:rFonts w:ascii="Arial" w:hAnsi="Arial" w:cs="Arial"/>
        </w:rPr>
        <w:t>, we reveal that the dawn burst is not globally controlled by a single pathway, but that partially distinct subsets of dawn genes are perturbed in each of these mutant backgrounds.</w:t>
      </w:r>
      <w:r w:rsidR="00CD34FB" w:rsidRPr="005D6489">
        <w:rPr>
          <w:rFonts w:ascii="Arial" w:hAnsi="Arial" w:cs="Arial"/>
        </w:rPr>
        <w:t> </w:t>
      </w:r>
      <w:r w:rsidR="00BA10FA" w:rsidRPr="005D6489">
        <w:rPr>
          <w:rFonts w:ascii="Arial" w:hAnsi="Arial" w:cs="Arial"/>
        </w:rPr>
        <w:t xml:space="preserve">Furthermore, we infer a gene regulatory network and validate edges using DNA binding data. We find that </w:t>
      </w:r>
      <w:r w:rsidR="00CD34FB">
        <w:rPr>
          <w:rFonts w:ascii="Arial" w:hAnsi="Arial" w:cs="Arial"/>
        </w:rPr>
        <w:t>ELONGATED HYPOCOTYL 5 (</w:t>
      </w:r>
      <w:r w:rsidR="00BA10FA" w:rsidRPr="005D6489">
        <w:rPr>
          <w:rFonts w:ascii="Arial" w:hAnsi="Arial" w:cs="Arial"/>
        </w:rPr>
        <w:t>HY5</w:t>
      </w:r>
      <w:r w:rsidR="00CD34FB">
        <w:rPr>
          <w:rFonts w:ascii="Arial" w:hAnsi="Arial" w:cs="Arial"/>
        </w:rPr>
        <w:t>)</w:t>
      </w:r>
      <w:r w:rsidR="00BA10FA" w:rsidRPr="005D6489">
        <w:rPr>
          <w:rFonts w:ascii="Arial" w:hAnsi="Arial" w:cs="Arial"/>
        </w:rPr>
        <w:t xml:space="preserve"> and </w:t>
      </w:r>
      <w:r w:rsidR="00C32157">
        <w:rPr>
          <w:rFonts w:ascii="Arial" w:hAnsi="Arial" w:cs="Arial"/>
        </w:rPr>
        <w:t>B-BOX PROTEIN 31 (</w:t>
      </w:r>
      <w:r w:rsidR="00BA10FA" w:rsidRPr="005D6489">
        <w:rPr>
          <w:rFonts w:ascii="Arial" w:hAnsi="Arial" w:cs="Arial"/>
        </w:rPr>
        <w:t>BBX31</w:t>
      </w:r>
      <w:r w:rsidR="00C32157">
        <w:rPr>
          <w:rFonts w:ascii="Arial" w:hAnsi="Arial" w:cs="Arial"/>
        </w:rPr>
        <w:t>)</w:t>
      </w:r>
      <w:r w:rsidR="00BA10FA" w:rsidRPr="005D6489">
        <w:rPr>
          <w:rFonts w:ascii="Arial" w:hAnsi="Arial" w:cs="Arial"/>
        </w:rPr>
        <w:t xml:space="preserve"> are among the TFs that are predicted to regulate multiple expression waves</w:t>
      </w:r>
      <w:r w:rsidR="00CD34FB">
        <w:rPr>
          <w:rFonts w:ascii="Arial" w:hAnsi="Arial" w:cs="Arial"/>
        </w:rPr>
        <w:t>, and that HY5 and multiple BBX genes constitute a dawn subnetwork</w:t>
      </w:r>
      <w:r w:rsidR="00E461CE">
        <w:rPr>
          <w:rFonts w:ascii="Arial" w:hAnsi="Arial" w:cs="Arial"/>
        </w:rPr>
        <w:t xml:space="preserve"> that is </w:t>
      </w:r>
      <w:r w:rsidR="00CD34FB">
        <w:rPr>
          <w:rFonts w:ascii="Arial" w:hAnsi="Arial" w:cs="Arial"/>
        </w:rPr>
        <w:t>controlled b</w:t>
      </w:r>
      <w:r w:rsidR="00E461CE">
        <w:rPr>
          <w:rFonts w:ascii="Arial" w:hAnsi="Arial" w:cs="Arial"/>
        </w:rPr>
        <w:t>y phytochromes and cryptochromes to finetune photomorphogenic and photoperiodic responses in the early morning.</w:t>
      </w:r>
    </w:p>
    <w:p w14:paraId="41CC8698" w14:textId="77777777" w:rsidR="009C304E" w:rsidRPr="008C6C8F" w:rsidRDefault="00BA10FA" w:rsidP="005D6489">
      <w:pPr>
        <w:pStyle w:val="Heading1"/>
        <w:spacing w:line="360" w:lineRule="auto"/>
        <w:rPr>
          <w:rFonts w:ascii="Arial" w:hAnsi="Arial" w:cs="Arial"/>
          <w:sz w:val="28"/>
        </w:rPr>
      </w:pPr>
      <w:bookmarkStart w:id="2" w:name="results"/>
      <w:bookmarkEnd w:id="2"/>
      <w:r w:rsidRPr="008C6C8F">
        <w:rPr>
          <w:rFonts w:ascii="Arial" w:hAnsi="Arial" w:cs="Arial"/>
          <w:sz w:val="28"/>
        </w:rPr>
        <w:t>Results</w:t>
      </w:r>
    </w:p>
    <w:p w14:paraId="5E544384" w14:textId="77777777" w:rsidR="009C304E" w:rsidRPr="008C6C8F" w:rsidRDefault="00BA10FA" w:rsidP="005D6489">
      <w:pPr>
        <w:pStyle w:val="Heading2"/>
        <w:spacing w:line="360" w:lineRule="auto"/>
        <w:rPr>
          <w:rFonts w:ascii="Arial" w:hAnsi="Arial" w:cs="Arial"/>
          <w:sz w:val="28"/>
        </w:rPr>
      </w:pPr>
      <w:bookmarkStart w:id="3" w:name="there-is-a-burst-of-gene-expression-of-d"/>
      <w:bookmarkEnd w:id="3"/>
      <w:r w:rsidRPr="008C6C8F">
        <w:rPr>
          <w:rFonts w:ascii="Arial" w:hAnsi="Arial" w:cs="Arial"/>
          <w:sz w:val="28"/>
        </w:rPr>
        <w:t>There is a burst of gene expression of DNA binding proteins at dawn</w:t>
      </w:r>
    </w:p>
    <w:p w14:paraId="1925EA61" w14:textId="09355AD6" w:rsidR="00A40C33" w:rsidRPr="005D6489" w:rsidRDefault="00B35BB9" w:rsidP="00B35BB9">
      <w:pPr>
        <w:pStyle w:val="FirstParagraph"/>
        <w:spacing w:line="360" w:lineRule="auto"/>
        <w:rPr>
          <w:rFonts w:ascii="Arial" w:hAnsi="Arial" w:cs="Arial"/>
        </w:rPr>
      </w:pPr>
      <w:r>
        <w:rPr>
          <w:rFonts w:ascii="Arial" w:hAnsi="Arial" w:cs="Arial"/>
        </w:rPr>
        <w:t>Since many</w:t>
      </w:r>
      <w:r w:rsidR="00BA10FA" w:rsidRPr="005D6489">
        <w:rPr>
          <w:rFonts w:ascii="Arial" w:hAnsi="Arial" w:cs="Arial"/>
        </w:rPr>
        <w:t xml:space="preserve"> groups of genes </w:t>
      </w:r>
      <w:r>
        <w:rPr>
          <w:rFonts w:ascii="Arial" w:hAnsi="Arial" w:cs="Arial"/>
        </w:rPr>
        <w:t>have been shown to have a dawn peak</w:t>
      </w:r>
      <w:r w:rsidR="00BA10FA" w:rsidRPr="005D6489">
        <w:rPr>
          <w:rFonts w:ascii="Arial" w:hAnsi="Arial" w:cs="Arial"/>
        </w:rPr>
        <w:t xml:space="preserve">, we </w:t>
      </w:r>
      <w:r>
        <w:rPr>
          <w:rFonts w:ascii="Arial" w:hAnsi="Arial" w:cs="Arial"/>
        </w:rPr>
        <w:t>investigated</w:t>
      </w:r>
      <w:r w:rsidRPr="005D6489">
        <w:rPr>
          <w:rFonts w:ascii="Arial" w:hAnsi="Arial" w:cs="Arial"/>
        </w:rPr>
        <w:t xml:space="preserve"> </w:t>
      </w:r>
      <w:r>
        <w:rPr>
          <w:rFonts w:ascii="Arial" w:hAnsi="Arial" w:cs="Arial"/>
        </w:rPr>
        <w:t xml:space="preserve">how extensive this </w:t>
      </w:r>
      <w:proofErr w:type="spellStart"/>
      <w:r>
        <w:rPr>
          <w:rFonts w:ascii="Arial" w:hAnsi="Arial" w:cs="Arial"/>
        </w:rPr>
        <w:t>behaviour</w:t>
      </w:r>
      <w:proofErr w:type="spellEnd"/>
      <w:r>
        <w:rPr>
          <w:rFonts w:ascii="Arial" w:hAnsi="Arial" w:cs="Arial"/>
        </w:rPr>
        <w:t xml:space="preserve"> is,</w:t>
      </w:r>
      <w:r w:rsidR="00BA10FA" w:rsidRPr="005D6489">
        <w:rPr>
          <w:rFonts w:ascii="Arial" w:hAnsi="Arial" w:cs="Arial"/>
        </w:rPr>
        <w:t xml:space="preserve"> and </w:t>
      </w:r>
      <w:r>
        <w:rPr>
          <w:rFonts w:ascii="Arial" w:hAnsi="Arial" w:cs="Arial"/>
        </w:rPr>
        <w:t>the extent to which</w:t>
      </w:r>
      <w:r w:rsidRPr="005D6489">
        <w:rPr>
          <w:rFonts w:ascii="Arial" w:hAnsi="Arial" w:cs="Arial"/>
        </w:rPr>
        <w:t xml:space="preserve"> </w:t>
      </w:r>
      <w:r w:rsidR="00CB4D45">
        <w:rPr>
          <w:rFonts w:ascii="Arial" w:hAnsi="Arial" w:cs="Arial"/>
        </w:rPr>
        <w:t xml:space="preserve">genes encoding transcriptional </w:t>
      </w:r>
      <w:r w:rsidR="00BA10FA" w:rsidRPr="005D6489">
        <w:rPr>
          <w:rFonts w:ascii="Arial" w:hAnsi="Arial" w:cs="Arial"/>
        </w:rPr>
        <w:t>regulat</w:t>
      </w:r>
      <w:r w:rsidR="00CB4D45">
        <w:rPr>
          <w:rFonts w:ascii="Arial" w:hAnsi="Arial" w:cs="Arial"/>
        </w:rPr>
        <w:t>ors</w:t>
      </w:r>
      <w:r w:rsidR="00BA10FA" w:rsidRPr="005D6489">
        <w:rPr>
          <w:rFonts w:ascii="Arial" w:hAnsi="Arial" w:cs="Arial"/>
        </w:rPr>
        <w:t xml:space="preserve"> also exhibit a peak in expression (</w:t>
      </w:r>
      <w:r w:rsidR="00BA10FA" w:rsidRPr="005D6489">
        <w:rPr>
          <w:rFonts w:ascii="Arial" w:hAnsi="Arial" w:cs="Arial"/>
          <w:b/>
        </w:rPr>
        <w:t>Table S1</w:t>
      </w:r>
      <w:r w:rsidR="00BA10FA" w:rsidRPr="005D6489">
        <w:rPr>
          <w:rFonts w:ascii="Arial" w:hAnsi="Arial" w:cs="Arial"/>
        </w:rPr>
        <w:t>).  </w:t>
      </w:r>
      <w:r w:rsidR="00C32157">
        <w:rPr>
          <w:rFonts w:ascii="Arial" w:hAnsi="Arial" w:cs="Arial"/>
        </w:rPr>
        <w:t>In</w:t>
      </w:r>
      <w:r w:rsidR="00547200">
        <w:rPr>
          <w:rFonts w:ascii="Arial" w:hAnsi="Arial" w:cs="Arial"/>
        </w:rPr>
        <w:t xml:space="preserve"> previous 24 h RNA-seq time courses</w:t>
      </w:r>
      <w:r w:rsidR="00B22217">
        <w:rPr>
          <w:rFonts w:ascii="Arial" w:hAnsi="Arial" w:cs="Arial"/>
        </w:rPr>
        <w:t xml:space="preserve"> </w:t>
      </w:r>
      <w:r w:rsidR="000E05FA">
        <w:rPr>
          <w:rFonts w:ascii="Arial" w:hAnsi="Arial" w:cs="Arial"/>
        </w:rPr>
        <w:fldChar w:fldCharType="begin"/>
      </w:r>
      <w:r w:rsidR="000E05FA">
        <w:rPr>
          <w:rFonts w:ascii="Arial" w:hAnsi="Arial" w:cs="Arial"/>
        </w:rPr>
        <w:instrText xml:space="preserve"> ADDIN ZOTERO_ITEM CSL_CITATION {"citationID":"NMTgTi6X","properties":{"formattedCitation":"(Ezer et al., 2017a; Jung et al., 2016)","plainCitation":"(Ezer et al., 2017a; Jung et al., 2016)","noteIndex":0},"citationItems":[{"id":2533,"uris":["http://zotero.org/users/2970095/items/GXNEZKSI"],"uri":["http://zotero.org/users/2970095/items/GXNEZKSI"],"itemData":{"id":2533,"type":"article-journal","abstract":"Plants maximize their fitness by adjusting their growth and development in response to signals such as light and temperature. The circadian clock provides a mechanism for plants to anticipate events such as sunrise and adjust their transcriptional programmes. However, the underlying mechanisms by which plants coordinate environmental signals with endogenous pathways are not fully understood. Using RNA-sequencing and chromatin immunoprecipitation sequencing experiments, we show that the evening complex (EC) of the circadian clock plays a major role in directly coordinating the expression of hundreds of key regulators of photosynthesis, the circadian clock, phytohormone signalling, growth and response to the environment. We find that the ability of the EC to bind targets genome-wide depends on temperature. In addition, co-occurrence of phytochrome B (phyB) at multiple sites where the EC is bound provides a mechanism for integrating environmental information. Hence, our results show that the EC plays a central role in coordinating endogenous and environmental signals in Arabidopsis.","container-title":"Nature Plants","DOI":"10.1038/nplants.2017.87","ISSN":"2055-0278","issue":"7","language":"en","page":"17087","source":"www.nature.com","title":"The evening complex coordinates environmental and endogenous signals in &lt;i&gt;Arabidopsis&lt;/i&gt;","volume":"3","author":[{"family":"Ezer","given":"Daphne"},{"family":"Jung","given":"Jae-Hoon"},{"family":"Lan","given":"Hui"},{"family":"Biswas","given":"Surojit"},{"family":"Gregoire","given":"Laura"},{"family":"Box","given":"Mathew S."},{"family":"Charoensawan","given":"Varodom"},{"family":"Cortijo","given":"Sandra"},{"family":"Lai","given":"Xuelei"},{"family":"Stöckle","given":"Dorothee"},{"family":"Zubieta","given":"Chloe"},{"family":"Jaeger","given":"Katja E."},{"family":"Wigge","given":"Philip A."}],"issued":{"date-parts":[["2017",7]]}}},{"id":2615,"uris":["http://zotero.org/users/2970095/items/9PVHJFIV"],"uri":["http://zotero.org/users/2970095/items/9PVHJFIV"],"itemData":{"id":2615,"type":"article-journal","abstract":"Combining heat and light responses\nPlants integrate a variety of environmental signals to regulate growth patterns. Legris et al. and Jung et al. analyzed how the quality of light is interpreted through ambient temperature to regulate transcription and growth (see the Perspective by Halliday and Davis). The phytochromes responsible for reading the ratio of red to far-red light were also responsive to the small shifts in temperature that occur when dusk falls or when shade from neighboring plants cools the soil.\nScience, this issue p. 897, p. 886; see also p. 832\nPlants are responsive to temperature, and some species can distinguish differences of 1°C. In Arabidopsis, warmer temperature accelerates flowering and increases elongation growth (thermomorphogenesis). However, the mechanisms of temperature perception are largely unknown. We describe a major thermosensory role for the phytochromes (red light receptors) during the night. Phytochrome null plants display a constitutive warm-temperature response, and consistent with this, we show in this background that the warm-temperature transcriptome becomes derepressed at low temperatures. We found that phytochrome B (phyB) directly associates with the promoters of key target genes in a temperature-dependent manner. The rate of phyB inactivation is proportional to temperature in the dark, enabling phytochromes to function as thermal timers that integrate temperature information over the course of the night.\nRed-light photoreceptors also act as temperature sensors in plants.\nRed-light photoreceptors also act as temperature sensors in plants.","container-title":"Science","DOI":"10.1126/science.aaf6005","ISSN":"0036-8075, 1095-9203","issue":"6314","language":"en","note":"PMID: 27789797","page":"886-889","source":"science.sciencemag.org","title":"Phytochromes function as thermosensors in Arabidopsis","volume":"354","author":[{"family":"Jung","given":"Jae-Hoon"},{"family":"Domijan","given":"Mirela"},{"family":"Klose","given":"Cornelia"},{"family":"Biswas","given":"Surojit"},{"family":"Ezer","given":"Daphne"},{"family":"Gao","given":"Mingjun"},{"family":"Khattak","given":"Asif Khan"},{"family":"Box","given":"Mathew S."},{"family":"Charoensawan","given":"Varodom"},{"family":"Cortijo","given":"Sandra"},{"family":"Kumar","given":"Manoj"},{"family":"Grant","given":"Alastair"},{"family":"Locke","given":"James C. W."},{"family":"Schäfer","given":"Eberhard"},{"family":"Jaeger","given":"Katja E."},{"family":"Wigge","given":"Philip A."}],"issued":{"date-parts":[["2016",11,18]]}}}],"schema":"https://github.com/citation-style-language/schema/raw/master/csl-citation.json"} </w:instrText>
      </w:r>
      <w:r w:rsidR="000E05FA">
        <w:rPr>
          <w:rFonts w:ascii="Arial" w:hAnsi="Arial" w:cs="Arial"/>
        </w:rPr>
        <w:fldChar w:fldCharType="separate"/>
      </w:r>
      <w:r w:rsidR="000E05FA" w:rsidRPr="000E05FA">
        <w:rPr>
          <w:rFonts w:ascii="Arial" w:hAnsi="Arial" w:cs="Arial"/>
        </w:rPr>
        <w:t>(Ezer et al., 2017a; Jung et al., 2016)</w:t>
      </w:r>
      <w:r w:rsidR="000E05FA">
        <w:rPr>
          <w:rFonts w:ascii="Arial" w:hAnsi="Arial" w:cs="Arial"/>
        </w:rPr>
        <w:fldChar w:fldCharType="end"/>
      </w:r>
      <w:r w:rsidR="00BA10FA" w:rsidRPr="005D6489">
        <w:rPr>
          <w:rFonts w:ascii="Arial" w:hAnsi="Arial" w:cs="Arial"/>
        </w:rPr>
        <w:t xml:space="preserve">, </w:t>
      </w:r>
      <w:r w:rsidR="00547200">
        <w:rPr>
          <w:rFonts w:ascii="Arial" w:hAnsi="Arial" w:cs="Arial"/>
        </w:rPr>
        <w:t xml:space="preserve">we observe that </w:t>
      </w:r>
      <w:r w:rsidR="00BA10FA" w:rsidRPr="005D6489">
        <w:rPr>
          <w:rFonts w:ascii="Arial" w:hAnsi="Arial" w:cs="Arial"/>
        </w:rPr>
        <w:t xml:space="preserve">39% of </w:t>
      </w:r>
      <w:r>
        <w:rPr>
          <w:rFonts w:ascii="Arial" w:hAnsi="Arial" w:cs="Arial"/>
        </w:rPr>
        <w:t xml:space="preserve">all </w:t>
      </w:r>
      <w:r w:rsidR="00547200">
        <w:rPr>
          <w:rFonts w:ascii="Arial" w:hAnsi="Arial" w:cs="Arial"/>
        </w:rPr>
        <w:t xml:space="preserve">genes encoding </w:t>
      </w:r>
      <w:r w:rsidR="00BA10FA" w:rsidRPr="005D6489">
        <w:rPr>
          <w:rFonts w:ascii="Arial" w:hAnsi="Arial" w:cs="Arial"/>
        </w:rPr>
        <w:t xml:space="preserve">DNA binding proteins </w:t>
      </w:r>
      <w:r w:rsidR="00547200">
        <w:rPr>
          <w:rFonts w:ascii="Arial" w:hAnsi="Arial" w:cs="Arial"/>
        </w:rPr>
        <w:t>peak</w:t>
      </w:r>
      <w:r w:rsidR="00BA10FA" w:rsidRPr="005D6489">
        <w:rPr>
          <w:rFonts w:ascii="Arial" w:hAnsi="Arial" w:cs="Arial"/>
        </w:rPr>
        <w:t xml:space="preserve"> immediately before </w:t>
      </w:r>
      <w:r w:rsidR="00547200">
        <w:rPr>
          <w:rFonts w:ascii="Arial" w:hAnsi="Arial" w:cs="Arial"/>
        </w:rPr>
        <w:t xml:space="preserve">(ZT0) </w:t>
      </w:r>
      <w:r w:rsidR="00BA10FA" w:rsidRPr="005D6489">
        <w:rPr>
          <w:rFonts w:ascii="Arial" w:hAnsi="Arial" w:cs="Arial"/>
        </w:rPr>
        <w:t>or an hour after dawn</w:t>
      </w:r>
      <w:r w:rsidR="00547200">
        <w:rPr>
          <w:rFonts w:ascii="Arial" w:hAnsi="Arial" w:cs="Arial"/>
        </w:rPr>
        <w:t xml:space="preserve"> (ZT1)</w:t>
      </w:r>
      <w:r w:rsidR="00BA10FA" w:rsidRPr="005D6489">
        <w:rPr>
          <w:rFonts w:ascii="Arial" w:hAnsi="Arial" w:cs="Arial"/>
        </w:rPr>
        <w:t xml:space="preserve"> (</w:t>
      </w:r>
      <w:r w:rsidR="00BA10FA" w:rsidRPr="005D6489">
        <w:rPr>
          <w:rFonts w:ascii="Arial" w:hAnsi="Arial" w:cs="Arial"/>
          <w:b/>
        </w:rPr>
        <w:t>Figure S1</w:t>
      </w:r>
      <w:r w:rsidR="00823FB5">
        <w:rPr>
          <w:rFonts w:ascii="Arial" w:hAnsi="Arial" w:cs="Arial"/>
          <w:b/>
        </w:rPr>
        <w:t>A</w:t>
      </w:r>
      <w:r w:rsidRPr="005D6489">
        <w:rPr>
          <w:rFonts w:ascii="Arial" w:hAnsi="Arial" w:cs="Arial"/>
        </w:rPr>
        <w:t>)</w:t>
      </w:r>
      <w:r>
        <w:rPr>
          <w:rFonts w:ascii="Arial" w:hAnsi="Arial" w:cs="Arial"/>
        </w:rPr>
        <w:t xml:space="preserve">. </w:t>
      </w:r>
      <w:r w:rsidR="007A63CE">
        <w:rPr>
          <w:rFonts w:ascii="Arial" w:hAnsi="Arial" w:cs="Arial"/>
        </w:rPr>
        <w:t>G</w:t>
      </w:r>
      <w:r>
        <w:rPr>
          <w:rFonts w:ascii="Arial" w:hAnsi="Arial" w:cs="Arial"/>
        </w:rPr>
        <w:t xml:space="preserve">enes related to </w:t>
      </w:r>
      <w:r w:rsidR="007A63CE">
        <w:rPr>
          <w:rFonts w:ascii="Arial" w:hAnsi="Arial" w:cs="Arial"/>
        </w:rPr>
        <w:t>abiotic stresses (Grundy et al., 2015; Dickinson et al., 2018)</w:t>
      </w:r>
      <w:r>
        <w:rPr>
          <w:rFonts w:ascii="Arial" w:hAnsi="Arial" w:cs="Arial"/>
        </w:rPr>
        <w:t xml:space="preserve"> </w:t>
      </w:r>
      <w:r w:rsidR="007A63CE">
        <w:rPr>
          <w:rFonts w:ascii="Arial" w:hAnsi="Arial" w:cs="Arial"/>
        </w:rPr>
        <w:t xml:space="preserve">and the </w:t>
      </w:r>
      <w:r>
        <w:rPr>
          <w:rFonts w:ascii="Arial" w:hAnsi="Arial" w:cs="Arial"/>
        </w:rPr>
        <w:t xml:space="preserve">phytohormones </w:t>
      </w:r>
      <w:r w:rsidR="007A63CE">
        <w:rPr>
          <w:rFonts w:ascii="Arial" w:hAnsi="Arial" w:cs="Arial"/>
        </w:rPr>
        <w:t xml:space="preserve">abscisic acid (ABA), auxin and </w:t>
      </w:r>
      <w:proofErr w:type="spellStart"/>
      <w:r w:rsidR="007A63CE">
        <w:rPr>
          <w:rFonts w:ascii="Arial" w:hAnsi="Arial" w:cs="Arial"/>
        </w:rPr>
        <w:t>brassinosteroid</w:t>
      </w:r>
      <w:proofErr w:type="spellEnd"/>
      <w:r w:rsidR="007A63CE">
        <w:rPr>
          <w:rFonts w:ascii="Arial" w:hAnsi="Arial" w:cs="Arial"/>
        </w:rPr>
        <w:t xml:space="preserve"> (BR) </w:t>
      </w:r>
      <w:r w:rsidR="00692E0C">
        <w:rPr>
          <w:rFonts w:ascii="Arial" w:hAnsi="Arial" w:cs="Arial"/>
        </w:rPr>
        <w:t>(</w:t>
      </w:r>
      <w:r w:rsidR="00692E0C" w:rsidRPr="002D79E1">
        <w:rPr>
          <w:rFonts w:ascii="Arial" w:hAnsi="Arial" w:cs="Arial"/>
          <w:lang w:val="en-GB"/>
        </w:rPr>
        <w:t xml:space="preserve">Michael et al. </w:t>
      </w:r>
      <w:r w:rsidR="00692E0C" w:rsidRPr="002D79E1">
        <w:rPr>
          <w:rFonts w:ascii="Arial" w:hAnsi="Arial" w:cs="Arial"/>
          <w:lang w:val="en-GB"/>
        </w:rPr>
        <w:fldChar w:fldCharType="begin"/>
      </w:r>
      <w:r w:rsidR="00692E0C" w:rsidRPr="002D79E1">
        <w:rPr>
          <w:rFonts w:ascii="Arial" w:hAnsi="Arial" w:cs="Arial"/>
          <w:lang w:val="en-GB"/>
        </w:rPr>
        <w:instrText xml:space="preserve"> ADDIN ZOTERO_ITEM CSL_CITATION {"citationID":"ddVtnNzB","properties":{"formattedCitation":"(2008)","plainCitation":"(2008)","noteIndex":0},"citationItems":[{"id":2780,"uris":["http://zotero.org/users/2970095/items/J7LHEUVK"],"uri":["http://zotero.org/users/2970095/items/J7LHEUVK"],"itemData":{"id":2780,"type":"article-journal","abstract":"Most organisms use daily light/dark cycles as timing cues to control many essential physiological processes. In plants, growth rates of the embryonic stem (hypocotyl) are maximal at different times of day, depending on external photoperiod and the internal circadian clock. However, the interactions between light signaling, the circadian clock, and growth-promoting hormone pathways in growth control remain poorly understood. At the molecular level, such growth rhythms could be attributed to several different layers of time-specific control such as phasing of transcription, signaling, or protein abundance. To determine the transcriptional component associated with the rhythmic control of growth, we applied temporal analysis of the Arabidopsis thaliana seedling transcriptome under multiple growth conditions and mutant backgrounds using DNA microarrays. We show that a group of plant hormone-associated genes are coexpressed at the time of day when hypocotyl growth rate is maximal. This expression correlates with overrepresentation of a cis-acting element (CACATG) in phytohormone gene promoters, which is sufficient to confer the predicted diurnal and circadian expression patterns in vivo. Using circadian clock and light signaling mutants, we show that both internal coincidence of phytohormone signaling capacity and external coincidence with darkness are required to coordinate wild-type growth. From these data, we argue that the circadian clock indirectly controls growth by permissive gating of light-mediated phytohormone transcript levels to the proper time of day. This temporal integration of hormone pathways allows plants to fine tune phytohormone responses for seasonal and shade-appropriate growth regulation.","container-title":"PLOS Biology","DOI":"10.1371/journal.pbio.0060225","ISSN":"1545-7885","issue":"9","journalAbbreviation":"PLOS Biology","language":"en","page":"e225","source":"PLoS Journals","title":"A Morning-Specific Phytohormone Gene Expression Program underlying Rhythmic Plant Growth","volume":"6","author":[{"family":"Michael","given":"Todd P."},{"family":"Breton","given":"Ghislain"},{"family":"Hazen","given":"Samuel P."},{"family":"Priest","given":"Henry"},{"family":"Mockler","given":"Todd C."},{"family":"Kay","given":"Steve A."},{"family":"Chory","given":"Joanne"}],"issued":{"date-parts":[["2008",9,16]]}},"suppress-author":true}],"schema":"https://github.com/citation-style-language/schema/raw/master/csl-citation.json"} </w:instrText>
      </w:r>
      <w:r w:rsidR="00692E0C" w:rsidRPr="002D79E1">
        <w:rPr>
          <w:rFonts w:ascii="Arial" w:hAnsi="Arial" w:cs="Arial"/>
          <w:lang w:val="en-GB"/>
        </w:rPr>
        <w:fldChar w:fldCharType="separate"/>
      </w:r>
      <w:r w:rsidR="00692E0C" w:rsidRPr="002D79E1">
        <w:rPr>
          <w:rFonts w:ascii="Arial" w:hAnsi="Arial" w:cs="Arial"/>
          <w:lang w:val="en-GB"/>
        </w:rPr>
        <w:t>(2008)</w:t>
      </w:r>
      <w:r w:rsidR="00692E0C" w:rsidRPr="002D79E1">
        <w:rPr>
          <w:rFonts w:ascii="Arial" w:hAnsi="Arial" w:cs="Arial"/>
        </w:rPr>
        <w:fldChar w:fldCharType="end"/>
      </w:r>
      <w:r w:rsidR="00692E0C" w:rsidRPr="005D6489">
        <w:rPr>
          <w:rFonts w:ascii="Arial" w:hAnsi="Arial" w:cs="Arial"/>
        </w:rPr>
        <w:t xml:space="preserve"> </w:t>
      </w:r>
      <w:r w:rsidR="007A63CE">
        <w:rPr>
          <w:rFonts w:ascii="Arial" w:hAnsi="Arial" w:cs="Arial"/>
        </w:rPr>
        <w:t>were previously found to display increased</w:t>
      </w:r>
      <w:r>
        <w:rPr>
          <w:rFonts w:ascii="Arial" w:hAnsi="Arial" w:cs="Arial"/>
        </w:rPr>
        <w:t xml:space="preserve"> expression in the </w:t>
      </w:r>
      <w:r>
        <w:rPr>
          <w:rFonts w:ascii="Arial" w:hAnsi="Arial" w:cs="Arial"/>
        </w:rPr>
        <w:lastRenderedPageBreak/>
        <w:t>morning</w:t>
      </w:r>
      <w:r w:rsidR="00692E0C">
        <w:rPr>
          <w:rFonts w:ascii="Arial" w:hAnsi="Arial" w:cs="Arial"/>
        </w:rPr>
        <w:t>.</w:t>
      </w:r>
      <w:r w:rsidR="002D79E1">
        <w:rPr>
          <w:rFonts w:ascii="Arial" w:hAnsi="Arial" w:cs="Arial"/>
        </w:rPr>
        <w:t xml:space="preserve"> </w:t>
      </w:r>
      <w:r>
        <w:rPr>
          <w:rFonts w:ascii="Arial" w:hAnsi="Arial" w:cs="Arial"/>
        </w:rPr>
        <w:t>Consistent with these studies,</w:t>
      </w:r>
      <w:r w:rsidR="00BA10FA" w:rsidRPr="005D6489">
        <w:rPr>
          <w:rFonts w:ascii="Arial" w:hAnsi="Arial" w:cs="Arial"/>
        </w:rPr>
        <w:t xml:space="preserve"> </w:t>
      </w:r>
      <w:r w:rsidR="007A63CE">
        <w:rPr>
          <w:rFonts w:ascii="Arial" w:hAnsi="Arial" w:cs="Arial"/>
        </w:rPr>
        <w:t xml:space="preserve">we </w:t>
      </w:r>
      <w:r w:rsidR="00BA10FA" w:rsidRPr="005D6489">
        <w:rPr>
          <w:rFonts w:ascii="Arial" w:hAnsi="Arial" w:cs="Arial"/>
        </w:rPr>
        <w:t>f</w:t>
      </w:r>
      <w:r w:rsidR="002D79E1">
        <w:rPr>
          <w:rFonts w:ascii="Arial" w:hAnsi="Arial" w:cs="Arial"/>
        </w:rPr>
        <w:t>oun</w:t>
      </w:r>
      <w:r w:rsidR="00BA10FA" w:rsidRPr="005D6489">
        <w:rPr>
          <w:rFonts w:ascii="Arial" w:hAnsi="Arial" w:cs="Arial"/>
        </w:rPr>
        <w:t>d that there is a significant enrichment for ABA and ethylene-linked DNA binding proteins that have maximal expression in this time period compared to other DNA binding proteins (58% and 55%, p&lt;0.005 in both cases using a Fisher Exact test with Bonferroni correction), (</w:t>
      </w:r>
      <w:r w:rsidR="00BA10FA" w:rsidRPr="005D6489">
        <w:rPr>
          <w:rFonts w:ascii="Arial" w:hAnsi="Arial" w:cs="Arial"/>
          <w:b/>
        </w:rPr>
        <w:t>Figure 1A</w:t>
      </w:r>
      <w:r w:rsidR="000E05FA">
        <w:rPr>
          <w:rFonts w:ascii="Arial" w:hAnsi="Arial" w:cs="Arial"/>
          <w:b/>
        </w:rPr>
        <w:t xml:space="preserve"> </w:t>
      </w:r>
      <w:proofErr w:type="spellStart"/>
      <w:r w:rsidR="00BA10FA" w:rsidRPr="005D6489">
        <w:rPr>
          <w:rFonts w:ascii="Arial" w:hAnsi="Arial" w:cs="Arial"/>
          <w:b/>
        </w:rPr>
        <w:t>i</w:t>
      </w:r>
      <w:proofErr w:type="spellEnd"/>
      <w:r w:rsidR="00BA10FA" w:rsidRPr="005D6489">
        <w:rPr>
          <w:rFonts w:ascii="Arial" w:hAnsi="Arial" w:cs="Arial"/>
          <w:b/>
        </w:rPr>
        <w:t>,</w:t>
      </w:r>
      <w:r w:rsidR="000E05FA">
        <w:rPr>
          <w:rFonts w:ascii="Arial" w:hAnsi="Arial" w:cs="Arial"/>
          <w:b/>
        </w:rPr>
        <w:t xml:space="preserve"> </w:t>
      </w:r>
      <w:r w:rsidR="00BA10FA" w:rsidRPr="005D6489">
        <w:rPr>
          <w:rFonts w:ascii="Arial" w:hAnsi="Arial" w:cs="Arial"/>
          <w:b/>
        </w:rPr>
        <w:t>ii</w:t>
      </w:r>
      <w:r w:rsidR="00BA10FA" w:rsidRPr="005D6489">
        <w:rPr>
          <w:rFonts w:ascii="Arial" w:hAnsi="Arial" w:cs="Arial"/>
        </w:rPr>
        <w:t xml:space="preserve">).  There </w:t>
      </w:r>
      <w:r w:rsidR="002D79E1">
        <w:rPr>
          <w:rFonts w:ascii="Arial" w:hAnsi="Arial" w:cs="Arial"/>
        </w:rPr>
        <w:t>was</w:t>
      </w:r>
      <w:r w:rsidR="00BA10FA" w:rsidRPr="005D6489">
        <w:rPr>
          <w:rFonts w:ascii="Arial" w:hAnsi="Arial" w:cs="Arial"/>
        </w:rPr>
        <w:t xml:space="preserve"> also an enrichment for DNA-binding proteins that are associated with GO terms related to light (53%, p&lt;0.02) and stress (55%, p&lt;0.002)</w:t>
      </w:r>
      <w:r w:rsidR="000E05FA">
        <w:rPr>
          <w:rFonts w:ascii="Arial" w:hAnsi="Arial" w:cs="Arial"/>
        </w:rPr>
        <w:t xml:space="preserve"> (</w:t>
      </w:r>
      <w:r w:rsidR="00BA10FA" w:rsidRPr="005D6489">
        <w:rPr>
          <w:rFonts w:ascii="Arial" w:hAnsi="Arial" w:cs="Arial"/>
          <w:b/>
        </w:rPr>
        <w:t>Figure 1A</w:t>
      </w:r>
      <w:r w:rsidR="000E05FA">
        <w:rPr>
          <w:rFonts w:ascii="Arial" w:hAnsi="Arial" w:cs="Arial"/>
          <w:b/>
        </w:rPr>
        <w:t xml:space="preserve"> </w:t>
      </w:r>
      <w:r w:rsidR="00BA10FA" w:rsidRPr="005D6489">
        <w:rPr>
          <w:rFonts w:ascii="Arial" w:hAnsi="Arial" w:cs="Arial"/>
          <w:b/>
        </w:rPr>
        <w:t>iii,</w:t>
      </w:r>
      <w:r w:rsidR="000E05FA">
        <w:rPr>
          <w:rFonts w:ascii="Arial" w:hAnsi="Arial" w:cs="Arial"/>
          <w:b/>
        </w:rPr>
        <w:t xml:space="preserve"> </w:t>
      </w:r>
      <w:r w:rsidR="00BA10FA" w:rsidRPr="005D6489">
        <w:rPr>
          <w:rFonts w:ascii="Arial" w:hAnsi="Arial" w:cs="Arial"/>
          <w:b/>
        </w:rPr>
        <w:t>iv</w:t>
      </w:r>
      <w:r w:rsidR="000E05FA">
        <w:rPr>
          <w:rFonts w:ascii="Arial" w:hAnsi="Arial" w:cs="Arial"/>
          <w:b/>
        </w:rPr>
        <w:t>)</w:t>
      </w:r>
      <w:r w:rsidR="00BA10FA" w:rsidRPr="005D6489">
        <w:rPr>
          <w:rFonts w:ascii="Arial" w:hAnsi="Arial" w:cs="Arial"/>
        </w:rPr>
        <w:t>.  However, we found no significant enrichment for auxin or</w:t>
      </w:r>
      <w:r w:rsidR="002D79E1">
        <w:rPr>
          <w:rFonts w:ascii="Arial" w:hAnsi="Arial" w:cs="Arial"/>
        </w:rPr>
        <w:t xml:space="preserve"> </w:t>
      </w:r>
      <w:r w:rsidR="00204A55">
        <w:rPr>
          <w:rFonts w:ascii="Arial" w:hAnsi="Arial" w:cs="Arial"/>
        </w:rPr>
        <w:t>BR</w:t>
      </w:r>
      <w:r w:rsidR="002D79E1">
        <w:rPr>
          <w:rFonts w:ascii="Arial" w:hAnsi="Arial" w:cs="Arial"/>
        </w:rPr>
        <w:t xml:space="preserve"> in the morning, which differs from </w:t>
      </w:r>
      <w:r w:rsidR="00692E0C">
        <w:rPr>
          <w:rFonts w:ascii="Arial" w:hAnsi="Arial" w:cs="Arial"/>
        </w:rPr>
        <w:t xml:space="preserve">observations by </w:t>
      </w:r>
      <w:r w:rsidR="002D79E1" w:rsidRPr="002D79E1">
        <w:rPr>
          <w:rFonts w:ascii="Arial" w:hAnsi="Arial" w:cs="Arial"/>
          <w:lang w:val="en-GB"/>
        </w:rPr>
        <w:t xml:space="preserve">Michael et al. </w:t>
      </w:r>
      <w:r w:rsidR="002D79E1" w:rsidRPr="002D79E1">
        <w:rPr>
          <w:rFonts w:ascii="Arial" w:hAnsi="Arial" w:cs="Arial"/>
          <w:lang w:val="en-GB"/>
        </w:rPr>
        <w:fldChar w:fldCharType="begin"/>
      </w:r>
      <w:r w:rsidR="00256224">
        <w:rPr>
          <w:rFonts w:ascii="Arial" w:hAnsi="Arial" w:cs="Arial"/>
          <w:lang w:val="en-GB"/>
        </w:rPr>
        <w:instrText xml:space="preserve"> ADDIN ZOTERO_ITEM CSL_CITATION {"citationID":"wcf5NS9B","properties":{"formattedCitation":"(2008)","plainCitation":"(2008)","noteIndex":0},"citationItems":[{"id":2780,"uris":["http://zotero.org/users/2970095/items/J7LHEUVK"],"uri":["http://zotero.org/users/2970095/items/J7LHEUVK"],"itemData":{"id":2780,"type":"article-journal","abstract":"Most organisms use daily light/dark cycles as timing cues to control many essential physiological processes. In plants, growth rates of the embryonic stem (hypocotyl) are maximal at different times of day, depending on external photoperiod and the internal circadian clock. However, the interactions between light signaling, the circadian clock, and growth-promoting hormone pathways in growth control remain poorly understood. At the molecular level, such growth rhythms could be attributed to several different layers of time-specific control such as phasing of transcription, signaling, or protein abundance. To determine the transcriptional component associated with the rhythmic control of growth, we applied temporal analysis of the Arabidopsis thaliana seedling transcriptome under multiple growth conditions and mutant backgrounds using DNA microarrays. We show that a group of plant hormone-associated genes are coexpressed at the time of day when hypocotyl growth rate is maximal. This expression correlates with overrepresentation of a cis-acting element (CACATG) in phytohormone gene promoters, which is sufficient to confer the predicted diurnal and circadian expression patterns in vivo. Using circadian clock and light signaling mutants, we show that both internal coincidence of phytohormone signaling capacity and external coincidence with darkness are required to coordinate wild-type growth. From these data, we argue that the circadian clock indirectly controls growth by permissive gating of light-mediated phytohormone transcript levels to the proper time of day. This temporal integration of hormone pathways allows plants to fine tune phytohormone responses for seasonal and shade-appropriate growth regulation.","container-title":"PLOS Biology","DOI":"10.1371/journal.pbio.0060225","ISSN":"1545-7885","issue":"9","journalAbbreviation":"PLOS Biology","language":"en","page":"e225","source":"PLoS Journals","title":"A Morning-Specific Phytohormone Gene Expression Program underlying Rhythmic Plant Growth","volume":"6","author":[{"family":"Michael","given":"Todd P."},{"family":"Breton","given":"Ghislain"},{"family":"Hazen","given":"Samuel P."},{"family":"Priest","given":"Henry"},{"family":"Mockler","given":"Todd C."},{"family":"Kay","given":"Steve A."},{"family":"Chory","given":"Joanne"}],"issued":{"date-parts":[["2008",9,16]]}},"suppress-author":true}],"schema":"https://github.com/citation-style-language/schema/raw/master/csl-citation.json"} </w:instrText>
      </w:r>
      <w:r w:rsidR="002D79E1" w:rsidRPr="002D79E1">
        <w:rPr>
          <w:rFonts w:ascii="Arial" w:hAnsi="Arial" w:cs="Arial"/>
          <w:lang w:val="en-GB"/>
        </w:rPr>
        <w:fldChar w:fldCharType="separate"/>
      </w:r>
      <w:r w:rsidR="002D79E1" w:rsidRPr="002D79E1">
        <w:rPr>
          <w:rFonts w:ascii="Arial" w:hAnsi="Arial" w:cs="Arial"/>
          <w:lang w:val="en-GB"/>
        </w:rPr>
        <w:t>(2008)</w:t>
      </w:r>
      <w:r w:rsidR="002D79E1" w:rsidRPr="002D79E1">
        <w:rPr>
          <w:rFonts w:ascii="Arial" w:hAnsi="Arial" w:cs="Arial"/>
        </w:rPr>
        <w:fldChar w:fldCharType="end"/>
      </w:r>
      <w:r w:rsidR="002D79E1">
        <w:rPr>
          <w:rFonts w:ascii="Arial" w:hAnsi="Arial" w:cs="Arial"/>
        </w:rPr>
        <w:t>, and neither were</w:t>
      </w:r>
      <w:r w:rsidR="00BA10FA" w:rsidRPr="005D6489">
        <w:t xml:space="preserve"> </w:t>
      </w:r>
      <w:r w:rsidR="00BA10FA" w:rsidRPr="008C4349">
        <w:rPr>
          <w:rFonts w:ascii="Arial" w:hAnsi="Arial" w:cs="Arial"/>
        </w:rPr>
        <w:t>circadian clock</w:t>
      </w:r>
      <w:r w:rsidR="000E05FA" w:rsidRPr="008C4349">
        <w:rPr>
          <w:rFonts w:ascii="Arial" w:hAnsi="Arial" w:cs="Arial"/>
        </w:rPr>
        <w:t>-associated DNA binding proteins</w:t>
      </w:r>
      <w:r w:rsidR="002D79E1" w:rsidRPr="008C4349">
        <w:rPr>
          <w:rFonts w:ascii="Arial" w:hAnsi="Arial" w:cs="Arial"/>
        </w:rPr>
        <w:t xml:space="preserve"> enriched, which is expected since only a subset of circadian genes are active in the morning</w:t>
      </w:r>
      <w:r w:rsidR="00BA10FA" w:rsidRPr="008C4349">
        <w:rPr>
          <w:rFonts w:ascii="Arial" w:hAnsi="Arial" w:cs="Arial"/>
        </w:rPr>
        <w:t xml:space="preserve"> (</w:t>
      </w:r>
      <w:r w:rsidR="00BA10FA" w:rsidRPr="008C4349">
        <w:rPr>
          <w:rFonts w:ascii="Arial" w:hAnsi="Arial" w:cs="Arial"/>
          <w:b/>
        </w:rPr>
        <w:t>Figure S1</w:t>
      </w:r>
      <w:r w:rsidR="00823FB5">
        <w:rPr>
          <w:rFonts w:ascii="Arial" w:hAnsi="Arial" w:cs="Arial"/>
          <w:b/>
        </w:rPr>
        <w:t>A</w:t>
      </w:r>
      <w:r w:rsidR="00BA10FA" w:rsidRPr="008C4349">
        <w:rPr>
          <w:rFonts w:ascii="Arial" w:hAnsi="Arial" w:cs="Arial"/>
        </w:rPr>
        <w:t>).  </w:t>
      </w:r>
      <w:r w:rsidR="00A40C33" w:rsidRPr="005D6489">
        <w:rPr>
          <w:rFonts w:ascii="Arial" w:hAnsi="Arial" w:cs="Arial"/>
        </w:rPr>
        <w:fldChar w:fldCharType="begin"/>
      </w:r>
      <w:r w:rsidR="00A40C33" w:rsidRPr="005D6489">
        <w:rPr>
          <w:rFonts w:ascii="Arial" w:hAnsi="Arial" w:cs="Arial"/>
        </w:rPr>
        <w:instrText xml:space="preserve"> INCLUDEPICTURE "https://www.authorea.com/users/254613/articles/347725/master/file/figures/Figure1_Dawn_burstExists/Figure1_Dawn_burstExists.svg" \* MERGEFORMATINET </w:instrText>
      </w:r>
      <w:r w:rsidR="00A40C33" w:rsidRPr="005D6489">
        <w:rPr>
          <w:rFonts w:ascii="Arial" w:hAnsi="Arial" w:cs="Arial"/>
        </w:rPr>
        <w:fldChar w:fldCharType="end"/>
      </w:r>
    </w:p>
    <w:p w14:paraId="6F9A92A0" w14:textId="72785A5D" w:rsidR="00DC084F" w:rsidRPr="00DC084F" w:rsidRDefault="00DC084F" w:rsidP="00DC084F">
      <w:pPr>
        <w:pStyle w:val="BodyText"/>
        <w:spacing w:line="360" w:lineRule="auto"/>
      </w:pPr>
      <w:bookmarkStart w:id="4" w:name="there-are-multiple-waves-of-gene-express"/>
      <w:bookmarkEnd w:id="4"/>
      <w:r>
        <w:rPr>
          <w:rFonts w:ascii="Arial" w:hAnsi="Arial" w:cs="Arial"/>
        </w:rPr>
        <w:t xml:space="preserve">Intriguingly, while phytochromes are important for light entrainment </w:t>
      </w:r>
      <w:r>
        <w:rPr>
          <w:rFonts w:ascii="Arial" w:hAnsi="Arial" w:cs="Arial"/>
        </w:rPr>
        <w:fldChar w:fldCharType="begin"/>
      </w:r>
      <w:r>
        <w:rPr>
          <w:rFonts w:ascii="Arial" w:hAnsi="Arial" w:cs="Arial"/>
        </w:rPr>
        <w:instrText xml:space="preserve"> ADDIN ZOTERO_ITEM CSL_CITATION {"citationID":"7AROhmjN","properties":{"formattedCitation":"(Somers et al., 1998)","plainCitation":"(Somers et al., 1998)","noteIndex":0},"citationItems":[{"id":3111,"uris":["http://zotero.org/users/2970095/items/KVQJ5K4D"],"uri":["http://zotero.org/users/2970095/items/KVQJ5K4D"],"itemData":{"id":3111,"type":"article-journal","abstract":"Circadian clocks are synchronized by environmental cues such as light. Photoreceptor-deficient Arabidopsis thaliana mutants were used to measure the effect of light fluence rate on circadian period in plants. Phytochrome B is the primary high-intensity red light photoreceptor for circadian control, and phytochrome A acts under low-intensity red light. Cryptochrome 1 and phytochrome A both act to transmit low-fluence blue light to the clock. Cryptochrome 1 mediates high-intensity blue light signals for period length control. The presence of cryptochromes in both plants and animals suggests that circadian input pathways have been conserved throughout evolution.","container-title":"Science","DOI":"10.1126/science.282.5393.1488","ISSN":"0036-8075, 1095-9203","issue":"5393","language":"en","note":"PMID: 9822379","page":"1488-1490","source":"science.sciencemag.org","title":"Phytochromes and Cryptochromes in the Entrainment of the Arabidopsis Circadian Clock","volume":"282","author":[{"family":"Somers","given":"David E."},{"family":"Devlin","given":"Paul F."},{"family":"Kay","given":"Steve A."}],"issued":{"date-parts":[["1998",11,20]]}}}],"schema":"https://github.com/citation-style-language/schema/raw/master/csl-citation.json"} </w:instrText>
      </w:r>
      <w:r>
        <w:rPr>
          <w:rFonts w:ascii="Arial" w:hAnsi="Arial" w:cs="Arial"/>
        </w:rPr>
        <w:fldChar w:fldCharType="separate"/>
      </w:r>
      <w:r w:rsidRPr="008F0C61">
        <w:rPr>
          <w:rFonts w:ascii="Arial" w:hAnsi="Arial" w:cs="Arial"/>
        </w:rPr>
        <w:t>(Somers et al., 1998)</w:t>
      </w:r>
      <w:r>
        <w:rPr>
          <w:rFonts w:ascii="Arial" w:hAnsi="Arial" w:cs="Arial"/>
        </w:rPr>
        <w:fldChar w:fldCharType="end"/>
      </w:r>
      <w:r>
        <w:rPr>
          <w:rFonts w:ascii="Arial" w:hAnsi="Arial" w:cs="Arial"/>
        </w:rPr>
        <w:t>,</w:t>
      </w:r>
      <w:r w:rsidR="00234C53">
        <w:rPr>
          <w:rFonts w:ascii="Arial" w:hAnsi="Arial" w:cs="Arial"/>
        </w:rPr>
        <w:t xml:space="preserve"> light entrainment of most transcripts is not lost in the </w:t>
      </w:r>
      <w:proofErr w:type="spellStart"/>
      <w:r w:rsidR="00234C53" w:rsidRPr="004E0A36">
        <w:rPr>
          <w:rFonts w:ascii="Arial" w:hAnsi="Arial" w:cs="Arial"/>
          <w:i/>
          <w:iCs/>
        </w:rPr>
        <w:t>phyABCDE</w:t>
      </w:r>
      <w:proofErr w:type="spellEnd"/>
      <w:r w:rsidR="00234C53" w:rsidRPr="004E0A36">
        <w:rPr>
          <w:rFonts w:ascii="Arial" w:hAnsi="Arial" w:cs="Arial"/>
          <w:i/>
          <w:iCs/>
        </w:rPr>
        <w:t xml:space="preserve"> </w:t>
      </w:r>
      <w:r w:rsidR="00234C53">
        <w:rPr>
          <w:rFonts w:ascii="Arial" w:hAnsi="Arial" w:cs="Arial"/>
        </w:rPr>
        <w:t>background.</w:t>
      </w:r>
      <w:r w:rsidR="00692E0C">
        <w:rPr>
          <w:rFonts w:ascii="Arial" w:hAnsi="Arial" w:cs="Arial"/>
        </w:rPr>
        <w:t xml:space="preserve"> </w:t>
      </w:r>
      <w:r w:rsidRPr="005D6489">
        <w:rPr>
          <w:rFonts w:ascii="Arial" w:hAnsi="Arial" w:cs="Arial"/>
        </w:rPr>
        <w:t xml:space="preserve">DNA binding factors </w:t>
      </w:r>
      <w:r>
        <w:rPr>
          <w:rFonts w:ascii="Arial" w:hAnsi="Arial" w:cs="Arial"/>
        </w:rPr>
        <w:t>with a</w:t>
      </w:r>
      <w:r w:rsidRPr="005D6489">
        <w:rPr>
          <w:rFonts w:ascii="Arial" w:hAnsi="Arial" w:cs="Arial"/>
        </w:rPr>
        <w:t xml:space="preserve"> peak </w:t>
      </w:r>
      <w:r>
        <w:rPr>
          <w:rFonts w:ascii="Arial" w:hAnsi="Arial" w:cs="Arial"/>
        </w:rPr>
        <w:t xml:space="preserve">in gene </w:t>
      </w:r>
      <w:r w:rsidRPr="005D6489">
        <w:rPr>
          <w:rFonts w:ascii="Arial" w:hAnsi="Arial" w:cs="Arial"/>
        </w:rPr>
        <w:t xml:space="preserve">expression in the hour after dawn </w:t>
      </w:r>
      <w:r w:rsidR="00234C53">
        <w:rPr>
          <w:rFonts w:ascii="Arial" w:hAnsi="Arial" w:cs="Arial"/>
        </w:rPr>
        <w:t>still largely show a peak in expression in</w:t>
      </w:r>
      <w:r w:rsidRPr="005D6489">
        <w:rPr>
          <w:rFonts w:ascii="Arial" w:hAnsi="Arial" w:cs="Arial"/>
        </w:rPr>
        <w:t> </w:t>
      </w:r>
      <w:proofErr w:type="spellStart"/>
      <w:r w:rsidRPr="005D6489">
        <w:rPr>
          <w:rFonts w:ascii="Arial" w:hAnsi="Arial" w:cs="Arial"/>
          <w:i/>
        </w:rPr>
        <w:t>phyABCDE</w:t>
      </w:r>
      <w:proofErr w:type="spellEnd"/>
      <w:r w:rsidR="00234C53">
        <w:rPr>
          <w:rFonts w:ascii="Arial" w:hAnsi="Arial" w:cs="Arial"/>
        </w:rPr>
        <w:t xml:space="preserve">, although these are somewhat </w:t>
      </w:r>
      <w:proofErr w:type="gramStart"/>
      <w:r w:rsidR="00234C53">
        <w:rPr>
          <w:rFonts w:ascii="Arial" w:hAnsi="Arial" w:cs="Arial"/>
        </w:rPr>
        <w:t>perturbed</w:t>
      </w:r>
      <w:proofErr w:type="gramEnd"/>
      <w:r w:rsidR="00234C53">
        <w:rPr>
          <w:rFonts w:ascii="Arial" w:hAnsi="Arial" w:cs="Arial"/>
        </w:rPr>
        <w:t xml:space="preserve"> and several </w:t>
      </w:r>
      <w:r w:rsidR="00302271">
        <w:rPr>
          <w:rFonts w:ascii="Arial" w:hAnsi="Arial" w:cs="Arial"/>
        </w:rPr>
        <w:t xml:space="preserve">individual genes </w:t>
      </w:r>
      <w:r w:rsidR="00234C53">
        <w:rPr>
          <w:rFonts w:ascii="Arial" w:hAnsi="Arial" w:cs="Arial"/>
        </w:rPr>
        <w:t>show</w:t>
      </w:r>
      <w:r w:rsidR="00302271">
        <w:rPr>
          <w:rFonts w:ascii="Arial" w:hAnsi="Arial" w:cs="Arial"/>
        </w:rPr>
        <w:t xml:space="preserve"> a large fold-change of expression </w:t>
      </w:r>
      <w:r w:rsidRPr="008C6C8F">
        <w:rPr>
          <w:rFonts w:ascii="Arial" w:hAnsi="Arial" w:cs="Arial"/>
          <w:b/>
        </w:rPr>
        <w:t>(Figure 1B)</w:t>
      </w:r>
      <w:r>
        <w:rPr>
          <w:rFonts w:ascii="Arial" w:hAnsi="Arial" w:cs="Arial"/>
        </w:rPr>
        <w:t>.</w:t>
      </w:r>
      <w:r w:rsidRPr="005D6489">
        <w:rPr>
          <w:rFonts w:ascii="Arial" w:hAnsi="Arial" w:cs="Arial"/>
        </w:rPr>
        <w:t> </w:t>
      </w:r>
      <w:r w:rsidR="005170E3">
        <w:rPr>
          <w:rFonts w:ascii="Arial" w:hAnsi="Arial" w:cs="Arial"/>
        </w:rPr>
        <w:t>Since</w:t>
      </w:r>
      <w:r>
        <w:rPr>
          <w:rFonts w:ascii="Arial" w:hAnsi="Arial" w:cs="Arial"/>
        </w:rPr>
        <w:t xml:space="preserve"> genes with a peak in </w:t>
      </w:r>
      <w:r w:rsidRPr="005D6489">
        <w:rPr>
          <w:rFonts w:ascii="Arial" w:hAnsi="Arial" w:cs="Arial"/>
        </w:rPr>
        <w:t xml:space="preserve">expression immediately before dawn </w:t>
      </w:r>
      <w:r w:rsidR="005170E3">
        <w:rPr>
          <w:rFonts w:ascii="Arial" w:hAnsi="Arial" w:cs="Arial"/>
        </w:rPr>
        <w:t>show</w:t>
      </w:r>
      <w:r w:rsidR="00302271">
        <w:rPr>
          <w:rFonts w:ascii="Arial" w:hAnsi="Arial" w:cs="Arial"/>
        </w:rPr>
        <w:t xml:space="preserve"> </w:t>
      </w:r>
      <w:r w:rsidRPr="005D6489">
        <w:rPr>
          <w:rFonts w:ascii="Arial" w:hAnsi="Arial" w:cs="Arial"/>
        </w:rPr>
        <w:t>increased expression in</w:t>
      </w:r>
      <w:r w:rsidRPr="005D6489" w:rsidDel="00F25A7F">
        <w:rPr>
          <w:rFonts w:ascii="Arial" w:hAnsi="Arial" w:cs="Arial"/>
        </w:rPr>
        <w:t xml:space="preserve"> </w:t>
      </w:r>
      <w:proofErr w:type="spellStart"/>
      <w:r w:rsidRPr="005D6489">
        <w:rPr>
          <w:rFonts w:ascii="Arial" w:hAnsi="Arial" w:cs="Arial"/>
          <w:i/>
        </w:rPr>
        <w:t>phyABCDE</w:t>
      </w:r>
      <w:proofErr w:type="spellEnd"/>
      <w:r w:rsidRPr="005D6489">
        <w:rPr>
          <w:rFonts w:ascii="Arial" w:hAnsi="Arial" w:cs="Arial"/>
        </w:rPr>
        <w:t xml:space="preserve"> before and after dawn</w:t>
      </w:r>
      <w:r w:rsidR="005170E3">
        <w:rPr>
          <w:rFonts w:ascii="Arial" w:hAnsi="Arial" w:cs="Arial"/>
        </w:rPr>
        <w:t xml:space="preserve"> we conclude</w:t>
      </w:r>
      <w:r>
        <w:rPr>
          <w:rFonts w:ascii="Arial" w:hAnsi="Arial" w:cs="Arial"/>
        </w:rPr>
        <w:t xml:space="preserve"> </w:t>
      </w:r>
      <w:r w:rsidRPr="005D6489">
        <w:rPr>
          <w:rFonts w:ascii="Arial" w:hAnsi="Arial" w:cs="Arial"/>
        </w:rPr>
        <w:t>that phytochromes may play a more important role in inhibiting nighttime genes than activating morning genes. We observe the same trends in</w:t>
      </w:r>
      <w:r>
        <w:rPr>
          <w:rFonts w:ascii="Arial" w:hAnsi="Arial" w:cs="Arial"/>
        </w:rPr>
        <w:t xml:space="preserve"> a mutant of the evening clock gene </w:t>
      </w:r>
      <w:r w:rsidRPr="008C6C8F">
        <w:rPr>
          <w:rFonts w:ascii="Arial" w:hAnsi="Arial" w:cs="Arial"/>
          <w:i/>
        </w:rPr>
        <w:t>EARLY FLOWERING 3</w:t>
      </w:r>
      <w:r>
        <w:rPr>
          <w:rFonts w:ascii="Arial" w:hAnsi="Arial" w:cs="Arial"/>
        </w:rPr>
        <w:t xml:space="preserve"> (</w:t>
      </w:r>
      <w:r>
        <w:rPr>
          <w:rFonts w:ascii="Arial" w:hAnsi="Arial" w:cs="Arial"/>
          <w:i/>
        </w:rPr>
        <w:t>ELF3</w:t>
      </w:r>
      <w:r>
        <w:rPr>
          <w:rFonts w:ascii="Arial" w:hAnsi="Arial" w:cs="Arial"/>
        </w:rPr>
        <w:t>)</w:t>
      </w:r>
      <w:r w:rsidRPr="005D6489">
        <w:rPr>
          <w:rFonts w:ascii="Arial" w:hAnsi="Arial" w:cs="Arial"/>
        </w:rPr>
        <w:t xml:space="preserve">, which is consistent with </w:t>
      </w:r>
      <w:r>
        <w:rPr>
          <w:rFonts w:ascii="Arial" w:hAnsi="Arial" w:cs="Arial"/>
        </w:rPr>
        <w:t>both pathways mainly controlling nighttime gene expression </w:t>
      </w:r>
      <w:r>
        <w:rPr>
          <w:rFonts w:ascii="Arial" w:hAnsi="Arial" w:cs="Arial"/>
        </w:rPr>
        <w:fldChar w:fldCharType="begin"/>
      </w:r>
      <w:r>
        <w:rPr>
          <w:rFonts w:ascii="Arial" w:hAnsi="Arial" w:cs="Arial"/>
        </w:rPr>
        <w:instrText xml:space="preserve"> ADDIN ZOTERO_ITEM CSL_CITATION {"citationID":"qK4O44RU","properties":{"formattedCitation":"(Ezer et al., 2017a)","plainCitation":"(Ezer et al., 2017a)","noteIndex":0},"citationItems":[{"id":2533,"uris":["http://zotero.org/users/2970095/items/GXNEZKSI"],"uri":["http://zotero.org/users/2970095/items/GXNEZKSI"],"itemData":{"id":2533,"type":"article-journal","abstract":"Plants maximize their fitness by adjusting their growth and development in response to signals such as light and temperature. The circadian clock provides a mechanism for plants to anticipate events such as sunrise and adjust their transcriptional programmes. However, the underlying mechanisms by which plants coordinate environmental signals with endogenous pathways are not fully understood. Using RNA-sequencing and chromatin immunoprecipitation sequencing experiments, we show that the evening complex (EC) of the circadian clock plays a major role in directly coordinating the expression of hundreds of key regulators of photosynthesis, the circadian clock, phytohormone signalling, growth and response to the environment. We find that the ability of the EC to bind targets genome-wide depends on temperature. In addition, co-occurrence of phytochrome B (phyB) at multiple sites where the EC is bound provides a mechanism for integrating environmental information. Hence, our results show that the EC plays a central role in coordinating endogenous and environmental signals in Arabidopsis.","container-title":"Nature Plants","DOI":"10.1038/nplants.2017.87","ISSN":"2055-0278","issue":"7","language":"en","page":"17087","source":"www.nature.com","title":"The evening complex coordinates environmental and endogenous signals in &lt;i&gt;Arabidopsis&lt;/i&gt;","volume":"3","author":[{"family":"Ezer","given":"Daphne"},{"family":"Jung","given":"Jae-Hoon"},{"family":"Lan","given":"Hui"},{"family":"Biswas","given":"Surojit"},{"family":"Gregoire","given":"Laura"},{"family":"Box","given":"Mathew S."},{"family":"Charoensawan","given":"Varodom"},{"family":"Cortijo","given":"Sandra"},{"family":"Lai","given":"Xuelei"},{"family":"Stöckle","given":"Dorothee"},{"family":"Zubieta","given":"Chloe"},{"family":"Jaeger","given":"Katja E."},{"family":"Wigge","given":"Philip A."}],"issued":{"date-parts":[["2017",7]]}}}],"schema":"https://github.com/citation-style-language/schema/raw/master/csl-citation.json"} </w:instrText>
      </w:r>
      <w:r>
        <w:rPr>
          <w:rFonts w:ascii="Arial" w:hAnsi="Arial" w:cs="Arial"/>
        </w:rPr>
        <w:fldChar w:fldCharType="separate"/>
      </w:r>
      <w:r w:rsidRPr="008F0C61">
        <w:rPr>
          <w:rFonts w:ascii="Arial" w:hAnsi="Arial" w:cs="Arial"/>
        </w:rPr>
        <w:t>(Ezer et al., 2017a)</w:t>
      </w:r>
      <w:r>
        <w:rPr>
          <w:rFonts w:ascii="Arial" w:hAnsi="Arial" w:cs="Arial"/>
        </w:rPr>
        <w:fldChar w:fldCharType="end"/>
      </w:r>
      <w:r w:rsidRPr="005D6489">
        <w:rPr>
          <w:rFonts w:ascii="Arial" w:hAnsi="Arial" w:cs="Arial"/>
        </w:rPr>
        <w:t xml:space="preserve"> (</w:t>
      </w:r>
      <w:r w:rsidRPr="005D6489">
        <w:rPr>
          <w:rFonts w:ascii="Arial" w:hAnsi="Arial" w:cs="Arial"/>
          <w:b/>
        </w:rPr>
        <w:t>Figure S</w:t>
      </w:r>
      <w:r w:rsidR="00823FB5">
        <w:rPr>
          <w:rFonts w:ascii="Arial" w:hAnsi="Arial" w:cs="Arial"/>
          <w:b/>
        </w:rPr>
        <w:t>1B</w:t>
      </w:r>
      <w:r w:rsidRPr="005D6489">
        <w:rPr>
          <w:rFonts w:ascii="Arial" w:hAnsi="Arial" w:cs="Arial"/>
        </w:rPr>
        <w:t>). </w:t>
      </w:r>
      <w:r w:rsidRPr="005D6489">
        <w:fldChar w:fldCharType="begin"/>
      </w:r>
      <w:r w:rsidRPr="005D6489">
        <w:instrText xml:space="preserve"> INCLUDEPICTURE "https://www.authorea.com/users/254613/articles/347725/master/file/figures/Figure1_Dawn_burstExists/Figure1_Dawn_burstExists.svg" \* MERGEFORMATINET </w:instrText>
      </w:r>
      <w:r w:rsidRPr="005D6489">
        <w:fldChar w:fldCharType="end"/>
      </w:r>
    </w:p>
    <w:p w14:paraId="23DD4E5D" w14:textId="5E975B68" w:rsidR="009C304E" w:rsidRPr="008C6C8F" w:rsidRDefault="00BA10FA" w:rsidP="005D6489">
      <w:pPr>
        <w:pStyle w:val="Heading2"/>
        <w:spacing w:line="360" w:lineRule="auto"/>
        <w:rPr>
          <w:rFonts w:ascii="Arial" w:hAnsi="Arial" w:cs="Arial"/>
          <w:sz w:val="28"/>
        </w:rPr>
      </w:pPr>
      <w:r w:rsidRPr="008C6C8F">
        <w:rPr>
          <w:rFonts w:ascii="Arial" w:hAnsi="Arial" w:cs="Arial"/>
          <w:sz w:val="28"/>
        </w:rPr>
        <w:t>There are multiple waves of gene expression after light exposure at dawn</w:t>
      </w:r>
    </w:p>
    <w:p w14:paraId="7C141D5F" w14:textId="51FF1455" w:rsidR="009C304E" w:rsidRPr="005D6489" w:rsidRDefault="00BA10FA" w:rsidP="005D6489">
      <w:pPr>
        <w:pStyle w:val="FirstParagraph"/>
        <w:spacing w:line="360" w:lineRule="auto"/>
        <w:rPr>
          <w:rFonts w:ascii="Arial" w:hAnsi="Arial" w:cs="Arial"/>
        </w:rPr>
      </w:pPr>
      <w:r w:rsidRPr="005D6489">
        <w:rPr>
          <w:rFonts w:ascii="Arial" w:hAnsi="Arial" w:cs="Arial"/>
        </w:rPr>
        <w:t xml:space="preserve">While many regulatory genes have peak expression at the onset of light, we do not </w:t>
      </w:r>
      <w:r w:rsidR="00692E0C">
        <w:rPr>
          <w:rFonts w:ascii="Arial" w:hAnsi="Arial" w:cs="Arial"/>
        </w:rPr>
        <w:t xml:space="preserve">know </w:t>
      </w:r>
      <w:r w:rsidR="005170E3">
        <w:rPr>
          <w:rFonts w:ascii="Arial" w:hAnsi="Arial" w:cs="Arial"/>
        </w:rPr>
        <w:t xml:space="preserve">whether these genes are all expressed in one cluster, or whether there </w:t>
      </w:r>
      <w:proofErr w:type="gramStart"/>
      <w:r w:rsidR="005170E3">
        <w:rPr>
          <w:rFonts w:ascii="Arial" w:hAnsi="Arial" w:cs="Arial"/>
        </w:rPr>
        <w:t>are</w:t>
      </w:r>
      <w:proofErr w:type="gramEnd"/>
      <w:r w:rsidR="005170E3">
        <w:rPr>
          <w:rFonts w:ascii="Arial" w:hAnsi="Arial" w:cs="Arial"/>
        </w:rPr>
        <w:t xml:space="preserve"> separate individually resolved waves of morning gene expression. To address this, we performed</w:t>
      </w:r>
      <w:r w:rsidRPr="005D6489">
        <w:rPr>
          <w:rFonts w:ascii="Arial" w:hAnsi="Arial" w:cs="Arial"/>
        </w:rPr>
        <w:t xml:space="preserve"> a high-resolution time series experiment at the onset of light, with 25 time points sampled at </w:t>
      </w:r>
      <w:r w:rsidR="00391F3E" w:rsidRPr="005D6489">
        <w:rPr>
          <w:rFonts w:ascii="Arial" w:hAnsi="Arial" w:cs="Arial"/>
        </w:rPr>
        <w:t>22°C</w:t>
      </w:r>
      <w:r w:rsidRPr="005D6489">
        <w:rPr>
          <w:rFonts w:ascii="Arial" w:hAnsi="Arial" w:cs="Arial"/>
        </w:rPr>
        <w:t xml:space="preserve"> (</w:t>
      </w:r>
      <w:r w:rsidRPr="005D6489">
        <w:rPr>
          <w:rFonts w:ascii="Arial" w:hAnsi="Arial" w:cs="Arial"/>
          <w:b/>
        </w:rPr>
        <w:t>Table S2</w:t>
      </w:r>
      <w:r w:rsidR="00B51301">
        <w:rPr>
          <w:rFonts w:ascii="Arial" w:hAnsi="Arial" w:cs="Arial"/>
          <w:b/>
        </w:rPr>
        <w:t>, Figure S2</w:t>
      </w:r>
      <w:r w:rsidRPr="005D6489">
        <w:rPr>
          <w:rFonts w:ascii="Arial" w:hAnsi="Arial" w:cs="Arial"/>
        </w:rPr>
        <w:t>).  </w:t>
      </w:r>
    </w:p>
    <w:p w14:paraId="2AB7D2AE" w14:textId="5285A19E" w:rsidR="009C304E" w:rsidRPr="005D6489" w:rsidRDefault="00BA10FA" w:rsidP="005D6489">
      <w:pPr>
        <w:pStyle w:val="BodyText"/>
        <w:spacing w:line="360" w:lineRule="auto"/>
        <w:rPr>
          <w:rFonts w:ascii="Arial" w:hAnsi="Arial" w:cs="Arial"/>
        </w:rPr>
      </w:pPr>
      <w:r w:rsidRPr="005D6489">
        <w:rPr>
          <w:rFonts w:ascii="Arial" w:hAnsi="Arial" w:cs="Arial"/>
        </w:rPr>
        <w:lastRenderedPageBreak/>
        <w:t xml:space="preserve">To </w:t>
      </w:r>
      <w:proofErr w:type="spellStart"/>
      <w:r w:rsidRPr="005D6489">
        <w:rPr>
          <w:rFonts w:ascii="Arial" w:hAnsi="Arial" w:cs="Arial"/>
        </w:rPr>
        <w:t>visualise</w:t>
      </w:r>
      <w:proofErr w:type="spellEnd"/>
      <w:r w:rsidRPr="005D6489">
        <w:rPr>
          <w:rFonts w:ascii="Arial" w:hAnsi="Arial" w:cs="Arial"/>
        </w:rPr>
        <w:t xml:space="preserve"> </w:t>
      </w:r>
      <w:r w:rsidR="005170E3" w:rsidRPr="005D6489">
        <w:rPr>
          <w:rFonts w:ascii="Arial" w:hAnsi="Arial" w:cs="Arial"/>
        </w:rPr>
        <w:t>th</w:t>
      </w:r>
      <w:r w:rsidR="005170E3">
        <w:rPr>
          <w:rFonts w:ascii="Arial" w:hAnsi="Arial" w:cs="Arial"/>
        </w:rPr>
        <w:t>ese</w:t>
      </w:r>
      <w:r w:rsidR="005170E3" w:rsidRPr="005D6489">
        <w:rPr>
          <w:rFonts w:ascii="Arial" w:hAnsi="Arial" w:cs="Arial"/>
        </w:rPr>
        <w:t xml:space="preserve"> </w:t>
      </w:r>
      <w:r w:rsidRPr="005D6489">
        <w:rPr>
          <w:rFonts w:ascii="Arial" w:hAnsi="Arial" w:cs="Arial"/>
        </w:rPr>
        <w:t xml:space="preserve">data, we clustered the gene expression values from the </w:t>
      </w:r>
      <w:r w:rsidR="00391F3E" w:rsidRPr="005D6489">
        <w:rPr>
          <w:rFonts w:ascii="Arial" w:hAnsi="Arial" w:cs="Arial"/>
        </w:rPr>
        <w:t>22°C</w:t>
      </w:r>
      <w:r w:rsidRPr="005D6489">
        <w:rPr>
          <w:rFonts w:ascii="Arial" w:hAnsi="Arial" w:cs="Arial"/>
        </w:rPr>
        <w:t xml:space="preserve"> time series, focusing on genes with GO terms associated with DNA binding</w:t>
      </w:r>
      <w:r w:rsidR="00F25A7F">
        <w:rPr>
          <w:rFonts w:ascii="Arial" w:hAnsi="Arial" w:cs="Arial"/>
        </w:rPr>
        <w:t xml:space="preserve"> (</w:t>
      </w:r>
      <w:r w:rsidRPr="005D6489">
        <w:rPr>
          <w:rFonts w:ascii="Arial" w:hAnsi="Arial" w:cs="Arial"/>
        </w:rPr>
        <w:t xml:space="preserve">see </w:t>
      </w:r>
      <w:r w:rsidRPr="005D6489">
        <w:rPr>
          <w:rFonts w:ascii="Arial" w:hAnsi="Arial" w:cs="Arial"/>
          <w:b/>
        </w:rPr>
        <w:t>Methods</w:t>
      </w:r>
      <w:r w:rsidRPr="005D6489">
        <w:rPr>
          <w:rFonts w:ascii="Arial" w:hAnsi="Arial" w:cs="Arial"/>
        </w:rPr>
        <w:t xml:space="preserve"> and </w:t>
      </w:r>
      <w:r w:rsidRPr="005D6489">
        <w:rPr>
          <w:rFonts w:ascii="Arial" w:hAnsi="Arial" w:cs="Arial"/>
          <w:b/>
        </w:rPr>
        <w:t>Table S3</w:t>
      </w:r>
      <w:r w:rsidR="00F25A7F">
        <w:rPr>
          <w:rFonts w:ascii="Arial" w:hAnsi="Arial" w:cs="Arial"/>
          <w:b/>
        </w:rPr>
        <w:t>)</w:t>
      </w:r>
      <w:r w:rsidRPr="005D6489">
        <w:rPr>
          <w:rFonts w:ascii="Arial" w:hAnsi="Arial" w:cs="Arial"/>
        </w:rPr>
        <w:t xml:space="preserve">. The dawn burst consists of multiple coordinated </w:t>
      </w:r>
      <w:r w:rsidR="00F25A7F">
        <w:rPr>
          <w:rFonts w:ascii="Arial" w:hAnsi="Arial" w:cs="Arial"/>
        </w:rPr>
        <w:t xml:space="preserve">transcript </w:t>
      </w:r>
      <w:r w:rsidRPr="005D6489">
        <w:rPr>
          <w:rFonts w:ascii="Arial" w:hAnsi="Arial" w:cs="Arial"/>
        </w:rPr>
        <w:t xml:space="preserve">waves of genes associated with DNA binding. While there are genes whose expression levels decrease (clusters 1-2) or increase (clusters 3-4) over the time course, </w:t>
      </w:r>
      <w:r w:rsidR="007A57CC">
        <w:rPr>
          <w:rFonts w:ascii="Arial" w:hAnsi="Arial" w:cs="Arial"/>
        </w:rPr>
        <w:t>we observe</w:t>
      </w:r>
      <w:r w:rsidRPr="005D6489">
        <w:rPr>
          <w:rFonts w:ascii="Arial" w:hAnsi="Arial" w:cs="Arial"/>
        </w:rPr>
        <w:t xml:space="preserve"> three distinct bursts of expression</w:t>
      </w:r>
      <w:r w:rsidR="00302271">
        <w:rPr>
          <w:rFonts w:ascii="Arial" w:hAnsi="Arial" w:cs="Arial"/>
        </w:rPr>
        <w:t xml:space="preserve">. For the purposes of describing these clusters in a concise way, we will refer to them as the clusters that peak </w:t>
      </w:r>
      <w:r w:rsidRPr="005D6489">
        <w:rPr>
          <w:rFonts w:ascii="Arial" w:hAnsi="Arial" w:cs="Arial"/>
        </w:rPr>
        <w:t>at 16-24 minutes (clusters 7-8), 18-45 minutes (clusters 9-10), and 45-105 minutes (clusters 5-6)</w:t>
      </w:r>
      <w:r w:rsidR="00F25A7F">
        <w:rPr>
          <w:rFonts w:ascii="Arial" w:hAnsi="Arial" w:cs="Arial"/>
        </w:rPr>
        <w:t xml:space="preserve"> (</w:t>
      </w:r>
      <w:r w:rsidRPr="005D6489">
        <w:rPr>
          <w:rFonts w:ascii="Arial" w:hAnsi="Arial" w:cs="Arial"/>
          <w:b/>
        </w:rPr>
        <w:t>Figure 2A</w:t>
      </w:r>
      <w:r w:rsidR="00F25A7F">
        <w:rPr>
          <w:rFonts w:ascii="Arial" w:hAnsi="Arial" w:cs="Arial"/>
          <w:b/>
        </w:rPr>
        <w:t>)</w:t>
      </w:r>
      <w:r w:rsidRPr="005D6489">
        <w:rPr>
          <w:rFonts w:ascii="Arial" w:hAnsi="Arial" w:cs="Arial"/>
        </w:rPr>
        <w:t xml:space="preserve">.  </w:t>
      </w:r>
      <w:r w:rsidR="00907CA8">
        <w:rPr>
          <w:rFonts w:ascii="Arial" w:hAnsi="Arial" w:cs="Arial"/>
        </w:rPr>
        <w:t>T</w:t>
      </w:r>
      <w:r w:rsidR="00302271">
        <w:rPr>
          <w:rFonts w:ascii="Arial" w:hAnsi="Arial" w:cs="Arial"/>
        </w:rPr>
        <w:t xml:space="preserve">he full gene expression profiles can be viewed as box plots in </w:t>
      </w:r>
      <w:r w:rsidR="00302271" w:rsidRPr="004E0A36">
        <w:rPr>
          <w:rFonts w:ascii="Arial" w:hAnsi="Arial" w:cs="Arial"/>
          <w:b/>
        </w:rPr>
        <w:t>Figure S3</w:t>
      </w:r>
      <w:r w:rsidR="00302271">
        <w:rPr>
          <w:rFonts w:ascii="Arial" w:hAnsi="Arial" w:cs="Arial"/>
        </w:rPr>
        <w:t xml:space="preserve">.  </w:t>
      </w:r>
    </w:p>
    <w:p w14:paraId="691A18C7" w14:textId="6B960BCE" w:rsidR="009C304E" w:rsidRPr="005D6489" w:rsidRDefault="00BA10FA" w:rsidP="005D6489">
      <w:pPr>
        <w:pStyle w:val="BodyText"/>
        <w:spacing w:line="360" w:lineRule="auto"/>
        <w:rPr>
          <w:rFonts w:ascii="Arial" w:hAnsi="Arial" w:cs="Arial"/>
        </w:rPr>
      </w:pPr>
      <w:r w:rsidRPr="005D6489">
        <w:rPr>
          <w:rFonts w:ascii="Arial" w:hAnsi="Arial" w:cs="Arial"/>
        </w:rPr>
        <w:t xml:space="preserve">These clusters contain many genes that are relevant to light </w:t>
      </w:r>
      <w:proofErr w:type="spellStart"/>
      <w:r w:rsidRPr="005D6489">
        <w:rPr>
          <w:rFonts w:ascii="Arial" w:hAnsi="Arial" w:cs="Arial"/>
        </w:rPr>
        <w:t>signa</w:t>
      </w:r>
      <w:r w:rsidR="00822729">
        <w:rPr>
          <w:rFonts w:ascii="Arial" w:hAnsi="Arial" w:cs="Arial"/>
        </w:rPr>
        <w:t>l</w:t>
      </w:r>
      <w:r w:rsidRPr="005D6489">
        <w:rPr>
          <w:rFonts w:ascii="Arial" w:hAnsi="Arial" w:cs="Arial"/>
        </w:rPr>
        <w:t>ling</w:t>
      </w:r>
      <w:proofErr w:type="spellEnd"/>
      <w:r w:rsidRPr="005D6489">
        <w:rPr>
          <w:rFonts w:ascii="Arial" w:hAnsi="Arial" w:cs="Arial"/>
        </w:rPr>
        <w:t xml:space="preserve">, temperature response, and immunity. Clusters 7-8 include many genes that are related to temperature, such as </w:t>
      </w:r>
      <w:r w:rsidRPr="005D6489">
        <w:rPr>
          <w:rFonts w:ascii="Arial" w:hAnsi="Arial" w:cs="Arial"/>
          <w:i/>
        </w:rPr>
        <w:t>HEAT SHOCK FACTOR A1A</w:t>
      </w:r>
      <w:r w:rsidRPr="005D6489">
        <w:rPr>
          <w:rFonts w:ascii="Arial" w:hAnsi="Arial" w:cs="Arial"/>
        </w:rPr>
        <w:t xml:space="preserve"> (</w:t>
      </w:r>
      <w:r w:rsidRPr="005D6489">
        <w:rPr>
          <w:rFonts w:ascii="Arial" w:hAnsi="Arial" w:cs="Arial"/>
          <w:i/>
        </w:rPr>
        <w:t>HSFA1A</w:t>
      </w:r>
      <w:r w:rsidRPr="005D6489">
        <w:rPr>
          <w:rFonts w:ascii="Arial" w:hAnsi="Arial" w:cs="Arial"/>
        </w:rPr>
        <w:t>) and immunity genes such as the WRKY transcription factor </w:t>
      </w:r>
      <w:r w:rsidRPr="005D6489">
        <w:rPr>
          <w:rFonts w:ascii="Arial" w:hAnsi="Arial" w:cs="Arial"/>
          <w:i/>
        </w:rPr>
        <w:t>WRKY33</w:t>
      </w:r>
      <w:r w:rsidRPr="005D6489">
        <w:rPr>
          <w:rFonts w:ascii="Arial" w:hAnsi="Arial" w:cs="Arial"/>
        </w:rPr>
        <w:t xml:space="preserve"> and </w:t>
      </w:r>
      <w:r w:rsidRPr="005D6489">
        <w:rPr>
          <w:rFonts w:ascii="Arial" w:hAnsi="Arial" w:cs="Arial"/>
          <w:i/>
        </w:rPr>
        <w:t>BASIC LEUCINE ZIPPER 10</w:t>
      </w:r>
      <w:r w:rsidRPr="005D6489">
        <w:rPr>
          <w:rFonts w:ascii="Arial" w:hAnsi="Arial" w:cs="Arial"/>
        </w:rPr>
        <w:t xml:space="preserve"> (</w:t>
      </w:r>
      <w:r w:rsidRPr="005D6489">
        <w:rPr>
          <w:rFonts w:ascii="Arial" w:hAnsi="Arial" w:cs="Arial"/>
          <w:i/>
        </w:rPr>
        <w:t>bZIP10</w:t>
      </w:r>
      <w:r w:rsidRPr="005D6489">
        <w:rPr>
          <w:rFonts w:ascii="Arial" w:hAnsi="Arial" w:cs="Arial"/>
        </w:rPr>
        <w:t xml:space="preserve">).  This is consistent with other research that suggests that plants may be less sensitive to </w:t>
      </w:r>
      <w:r w:rsidR="007A57CC">
        <w:rPr>
          <w:rFonts w:ascii="Arial" w:hAnsi="Arial" w:cs="Arial"/>
        </w:rPr>
        <w:t>biotic stress</w:t>
      </w:r>
      <w:r w:rsidRPr="005D6489">
        <w:rPr>
          <w:rFonts w:ascii="Arial" w:hAnsi="Arial" w:cs="Arial"/>
        </w:rPr>
        <w:t xml:space="preserve"> at dawn </w:t>
      </w:r>
      <w:r w:rsidR="008F0C61">
        <w:rPr>
          <w:rFonts w:ascii="Arial" w:hAnsi="Arial" w:cs="Arial"/>
        </w:rPr>
        <w:fldChar w:fldCharType="begin"/>
      </w:r>
      <w:r w:rsidR="008F0C61">
        <w:rPr>
          <w:rFonts w:ascii="Arial" w:hAnsi="Arial" w:cs="Arial"/>
        </w:rPr>
        <w:instrText xml:space="preserve"> ADDIN ZOTERO_ITEM CSL_CITATION {"citationID":"IsQQDuGU","properties":{"formattedCitation":"(Ingle et al., 2015; Wang et al., 2011)","plainCitation":"(Ingle et al., 2015; Wang et al., 2011)","noteIndex":0},"citationItems":[{"id":3416,"uris":["http://zotero.org/users/2970095/items/VLPNXYA5"],"uri":["http://zotero.org/users/2970095/items/VLPNXYA5"],"itemData":{"id":3416,"type":"article-journal","abstract":"The circadian clock, an internal time-keeping mechanism, allows plants to anticipate regular changes in the environment, such as light and dark, and biotic challenges such as pathogens and herbivores. Here, we demonstrate that the plant circadian clock influences susceptibility to the necrotrophic fungal pathogen, Botrytis cinerea. Arabidopsis plants show differential susceptibility to B. cinerea depending on the time of day of inoculation. Decreased susceptibility after inoculation at dawn compared with night persists under constant light conditions and is disrupted in dysfunctional clock mutants, demonstrating the role of the plant clock in driving time-of-day susceptibility to B. cinerea. The decreased susceptibility to B. cinerea following inoculation at subjective dawn was associated with faster transcriptional reprogramming of the defence response with gating of infection-responsive genes apparent. Direct target genes of core clock regulators were enriched among the transcription factors that responded more rapidly to infection at subjective dawn than subjective night, suggesting an influence of the clock on the defence-signalling network. In addition, jasmonate signalling plays a crucial role in the rhythmic susceptibility of Arabidopsis to B. cinerea with the enhanced susceptibility to this pathogen at subjective night lost in a jaz6 mutant.","container-title":"The Plant Journal","DOI":"10.1111/tpj.13050","ISSN":"1365-313X","issue":"5","language":"en","note":"_eprint: https://onlinelibrary.wiley.com/doi/pdf/10.1111/tpj.13050","page":"937-948","source":"Wiley Online Library","title":"Jasmonate signalling drives time-of-day differences in susceptibility of Arabidopsis to the fungal pathogen Botrytis cinerea","volume":"84","author":[{"family":"Ingle","given":"Robert A."},{"family":"Stoker","given":"Claire"},{"family":"Stone","given":"Wendy"},{"family":"Adams","given":"Nicolette"},{"family":"Smith","given":"Rob"},{"family":"Grant","given":"Murray"},{"family":"Carré","given":"Isabelle"},{"family":"Roden","given":"Laura C."},{"family":"Denby","given":"Katherine J."}],"issued":{"date-parts":[["2015"]]}}},{"id":3141,"uris":["http://zotero.org/users/2970095/items/2943L9EW"],"uri":["http://zotero.org/users/2970095/items/2943L9EW"],"itemData":{"id":3141,"type":"article-journal","abstract":"The principal immune mechanism against biotrophic pathogens in plants is the resistance (R)-gene-mediated defence. It was proposed to share components with the broad-spectrum basal defence machinery. However, the underlying molecular mechanism is largely unknown. Here we report the identification of novel genes involved in R-gene-mediated resistance against downy mildew in Arabidopsis and their regulatory control by the circadian regulator, CIRCADIAN CLOCK-ASSOCIATED 1 (CCA1). Numerical clustering based on phenotypes of these gene mutants revealed that programmed cell death (PCD) is the major contributor to resistance. Mutants compromised in the R-gene-mediated PCD were also defective in basal resistance, establishing an interconnection between these two distinct defence mechanisms. Surprisingly, we found that these new defence genes are under circadian control by CCA1, allowing plants to ‘anticipate’ infection at dawn when the pathogen normally disperses the spores and time immune responses according to the perception of different pathogenic signals upon infection. Temporal control of the defence genes by CCA1 differentiates their involvement in basal and R-gene-mediated defence. Our study has revealed a key functional link between the circadian clock and plant immunity.","container-title":"Nature","DOI":"10.1038/nature09766","ISSN":"0028-0836","issue":"7332","journalAbbreviation":"Nature","note":"PMID: 21293378\nPMCID: PMC6601609","page":"110-114","source":"PubMed Central","title":"Timing of plant immune responses by a central circadian regulator","volume":"470","author":[{"family":"Wang","given":"Wei"},{"family":"Barnaby","given":"Jinyoung Yang"},{"family":"Tada","given":"Yasuomi"},{"family":"Li","given":"Hairi"},{"family":"Tör","given":"Mahmut"},{"family":"Caldelari","given":"Daniela"},{"family":"Lee","given":"Dae-un"},{"family":"Fu","given":"Xiang-Dong"},{"family":"Dong","given":"Xinnian"}],"issued":{"date-parts":[["2011",2,3]]}}}],"schema":"https://github.com/citation-style-language/schema/raw/master/csl-citation.json"} </w:instrText>
      </w:r>
      <w:r w:rsidR="008F0C61">
        <w:rPr>
          <w:rFonts w:ascii="Arial" w:hAnsi="Arial" w:cs="Arial"/>
        </w:rPr>
        <w:fldChar w:fldCharType="separate"/>
      </w:r>
      <w:r w:rsidR="008F0C61" w:rsidRPr="008F0C61">
        <w:rPr>
          <w:rFonts w:ascii="Arial" w:hAnsi="Arial" w:cs="Arial"/>
        </w:rPr>
        <w:t>(Ingle et al., 2015; Wang et al., 2011)</w:t>
      </w:r>
      <w:r w:rsidR="008F0C61">
        <w:rPr>
          <w:rFonts w:ascii="Arial" w:hAnsi="Arial" w:cs="Arial"/>
        </w:rPr>
        <w:fldChar w:fldCharType="end"/>
      </w:r>
      <w:r w:rsidRPr="005D6489">
        <w:rPr>
          <w:rFonts w:ascii="Arial" w:hAnsi="Arial" w:cs="Arial"/>
        </w:rPr>
        <w:t xml:space="preserve">.  Interestingly, clusters 5-6 include </w:t>
      </w:r>
      <w:r w:rsidRPr="005D6489">
        <w:rPr>
          <w:rFonts w:ascii="Arial" w:hAnsi="Arial" w:cs="Arial"/>
          <w:i/>
        </w:rPr>
        <w:t>HEAT SHOCK FACTOR B2B</w:t>
      </w:r>
      <w:r w:rsidRPr="005D6489">
        <w:rPr>
          <w:rFonts w:ascii="Arial" w:hAnsi="Arial" w:cs="Arial"/>
        </w:rPr>
        <w:t xml:space="preserve"> (</w:t>
      </w:r>
      <w:r w:rsidRPr="005D6489">
        <w:rPr>
          <w:rFonts w:ascii="Arial" w:hAnsi="Arial" w:cs="Arial"/>
          <w:i/>
        </w:rPr>
        <w:t>HSFB2B</w:t>
      </w:r>
      <w:r w:rsidRPr="005D6489">
        <w:rPr>
          <w:rFonts w:ascii="Arial" w:hAnsi="Arial" w:cs="Arial"/>
        </w:rPr>
        <w:t xml:space="preserve">) that suppresses the heat shock response and inhibits </w:t>
      </w:r>
      <w:r w:rsidRPr="005D6489">
        <w:rPr>
          <w:rFonts w:ascii="Arial" w:hAnsi="Arial" w:cs="Arial"/>
          <w:i/>
        </w:rPr>
        <w:t>HSFA1A</w:t>
      </w:r>
      <w:r w:rsidR="008F0C61">
        <w:rPr>
          <w:rFonts w:ascii="Arial" w:hAnsi="Arial" w:cs="Arial"/>
        </w:rPr>
        <w:t> </w:t>
      </w:r>
      <w:r w:rsidR="008F0C61">
        <w:rPr>
          <w:rFonts w:ascii="Arial" w:hAnsi="Arial" w:cs="Arial"/>
        </w:rPr>
        <w:fldChar w:fldCharType="begin"/>
      </w:r>
      <w:r w:rsidR="008F0C61">
        <w:rPr>
          <w:rFonts w:ascii="Arial" w:hAnsi="Arial" w:cs="Arial"/>
        </w:rPr>
        <w:instrText xml:space="preserve"> ADDIN ZOTERO_ITEM CSL_CITATION {"citationID":"foMvAMsc","properties":{"formattedCitation":"(Ikeda et al., 2011)","plainCitation":"(Ikeda et al., 2011)","noteIndex":0},"citationItems":[{"id":3473,"uris":["http://zotero.org/users/2970095/items/T4HC9BU2"],"uri":["http://zotero.org/users/2970095/items/T4HC9BU2"],"itemData":{"id":3473,"type":"article-journal","abstract":"Many eukaryotes have from one to three heat shock factors (Hsfs), but plants have more than 20 Hsfs, designated class A, B, and C. Class A Hsfs are activators of transcription, but details of the roles of individual Hsfs have not been fully characterized. We show here that Arabidopsis (Arabidopsis thaliana) HsfB1 and HsfB2b, members of class B, are transcriptional repressors and negatively regulate the expression of heat-inducible Hsfs (HsfA2, HsfA7a, HsfB1, and HsfB2b) and several heat shock protein genes. In hsfb1 hsfb2b double mutant plants, the expression of a large number of heat-inducible genes was enhanced in the non-heat condition (23°C) and the plants exhibited slightly higher heat tolerance at 42°C than the wild type, similar to Pro35S:HsfA2 plants. In addition, under extended heat stress conditions, expression of the heat-inducible Hsf genes remained consistently higher in hsfb1 hsfb2b than in the wild type. These data indicate that HsfB1 and HsfB2b suppress the general heat shock response under non-heat-stress conditions and in the attenuating period. On the other hand, HsfB1 and HsfB2b appear to be necessary for the expression of heat stress-inducible heat shock protein genes under heat stress conditions, which is necessary for acquired thermotolerance. We show that the heat stress response is finely regulated by activation and repression activities of Hsfs in Arabidopsis.","container-title":"Plant Physiology","DOI":"10.1104/pp.111.179036","ISSN":"0032-0889","issue":"3","journalAbbreviation":"Plant Physiol","note":"PMID: 21908690\nPMCID: PMC3252156","page":"1243-1254","source":"PubMed Central","title":"Arabidopsis HsfB1 and HsfB2b Act as Repressors of the Expression of Heat-Inducible Hsfs But Positively Regulate the Acquired Thermotolerance1[C][W][OA]","volume":"157","author":[{"family":"Ikeda","given":"Miho"},{"family":"Mitsuda","given":"Nobutaka"},{"family":"Ohme-Takagi","given":"Masaru"}],"issued":{"date-parts":[["2011",11]]}}}],"schema":"https://github.com/citation-style-language/schema/raw/master/csl-citation.json"} </w:instrText>
      </w:r>
      <w:r w:rsidR="008F0C61">
        <w:rPr>
          <w:rFonts w:ascii="Arial" w:hAnsi="Arial" w:cs="Arial"/>
        </w:rPr>
        <w:fldChar w:fldCharType="separate"/>
      </w:r>
      <w:r w:rsidR="008F0C61" w:rsidRPr="008F0C61">
        <w:rPr>
          <w:rFonts w:ascii="Arial" w:hAnsi="Arial" w:cs="Arial"/>
        </w:rPr>
        <w:t>(Ikeda et al., 2011)</w:t>
      </w:r>
      <w:r w:rsidR="008F0C61">
        <w:rPr>
          <w:rFonts w:ascii="Arial" w:hAnsi="Arial" w:cs="Arial"/>
        </w:rPr>
        <w:fldChar w:fldCharType="end"/>
      </w:r>
      <w:r w:rsidRPr="005D6489">
        <w:rPr>
          <w:rFonts w:ascii="Arial" w:hAnsi="Arial" w:cs="Arial"/>
        </w:rPr>
        <w:t xml:space="preserve">. The clusters of genes that </w:t>
      </w:r>
      <w:r w:rsidR="00F24E9C">
        <w:rPr>
          <w:rFonts w:ascii="Arial" w:hAnsi="Arial" w:cs="Arial"/>
        </w:rPr>
        <w:t>peak</w:t>
      </w:r>
      <w:r w:rsidRPr="005D6489">
        <w:rPr>
          <w:rFonts w:ascii="Arial" w:hAnsi="Arial" w:cs="Arial"/>
        </w:rPr>
        <w:t xml:space="preserve"> at 45-105 minutes include genes that appear to be downstream of red (</w:t>
      </w:r>
      <w:r w:rsidRPr="005D6489">
        <w:rPr>
          <w:rFonts w:ascii="Arial" w:hAnsi="Arial" w:cs="Arial"/>
          <w:i/>
        </w:rPr>
        <w:t>RVE7, HY5, JMJ22, PNT1</w:t>
      </w:r>
      <w:r w:rsidRPr="005D6489">
        <w:rPr>
          <w:rFonts w:ascii="Arial" w:hAnsi="Arial" w:cs="Arial"/>
        </w:rPr>
        <w:t>) and blue (</w:t>
      </w:r>
      <w:r w:rsidRPr="005D6489">
        <w:rPr>
          <w:rFonts w:ascii="Arial" w:hAnsi="Arial" w:cs="Arial"/>
          <w:i/>
        </w:rPr>
        <w:t>MYC2, MYC4, CIB2, CRY3</w:t>
      </w:r>
      <w:r w:rsidRPr="005D6489">
        <w:rPr>
          <w:rFonts w:ascii="Arial" w:hAnsi="Arial" w:cs="Arial"/>
        </w:rPr>
        <w:t xml:space="preserve">) light </w:t>
      </w:r>
      <w:proofErr w:type="spellStart"/>
      <w:r w:rsidRPr="005D6489">
        <w:rPr>
          <w:rFonts w:ascii="Arial" w:hAnsi="Arial" w:cs="Arial"/>
        </w:rPr>
        <w:t>signa</w:t>
      </w:r>
      <w:r w:rsidR="00822729">
        <w:rPr>
          <w:rFonts w:ascii="Arial" w:hAnsi="Arial" w:cs="Arial"/>
        </w:rPr>
        <w:t>l</w:t>
      </w:r>
      <w:r w:rsidRPr="005D6489">
        <w:rPr>
          <w:rFonts w:ascii="Arial" w:hAnsi="Arial" w:cs="Arial"/>
        </w:rPr>
        <w:t>ling</w:t>
      </w:r>
      <w:proofErr w:type="spellEnd"/>
      <w:r w:rsidRPr="005D6489">
        <w:rPr>
          <w:rFonts w:ascii="Arial" w:hAnsi="Arial" w:cs="Arial"/>
        </w:rPr>
        <w:t>.   </w:t>
      </w:r>
    </w:p>
    <w:p w14:paraId="293573A5" w14:textId="77777777" w:rsidR="009C304E" w:rsidRPr="008C6C8F" w:rsidRDefault="00BA10FA" w:rsidP="005D6489">
      <w:pPr>
        <w:pStyle w:val="Heading2"/>
        <w:spacing w:line="360" w:lineRule="auto"/>
        <w:rPr>
          <w:rFonts w:ascii="Arial" w:hAnsi="Arial" w:cs="Arial"/>
          <w:sz w:val="28"/>
        </w:rPr>
      </w:pPr>
      <w:bookmarkStart w:id="5" w:name="the-dawn-gene-expression-waves-are-sensi"/>
      <w:bookmarkEnd w:id="5"/>
      <w:r w:rsidRPr="008C6C8F">
        <w:rPr>
          <w:rFonts w:ascii="Arial" w:hAnsi="Arial" w:cs="Arial"/>
          <w:sz w:val="28"/>
        </w:rPr>
        <w:t>The dawn gene expression waves are sensitive to temperature and light</w:t>
      </w:r>
    </w:p>
    <w:p w14:paraId="25FAE4F0" w14:textId="0517FB23" w:rsidR="009C304E" w:rsidRPr="005D6489" w:rsidRDefault="0006060A" w:rsidP="00DC084F">
      <w:pPr>
        <w:pStyle w:val="FirstParagraph"/>
        <w:spacing w:line="360" w:lineRule="auto"/>
        <w:rPr>
          <w:rFonts w:ascii="Arial" w:hAnsi="Arial" w:cs="Arial"/>
        </w:rPr>
      </w:pPr>
      <w:r>
        <w:rPr>
          <w:rFonts w:ascii="Arial" w:hAnsi="Arial" w:cs="Arial"/>
        </w:rPr>
        <w:t xml:space="preserve">Given that </w:t>
      </w:r>
      <w:r w:rsidR="001D6712">
        <w:rPr>
          <w:rFonts w:ascii="Arial" w:hAnsi="Arial" w:cs="Arial"/>
        </w:rPr>
        <w:t xml:space="preserve">light and </w:t>
      </w:r>
      <w:r>
        <w:rPr>
          <w:rFonts w:ascii="Arial" w:hAnsi="Arial" w:cs="Arial"/>
        </w:rPr>
        <w:t xml:space="preserve">temperature </w:t>
      </w:r>
      <w:r w:rsidR="001D6712">
        <w:rPr>
          <w:rFonts w:ascii="Arial" w:hAnsi="Arial" w:cs="Arial"/>
        </w:rPr>
        <w:t>strongly</w:t>
      </w:r>
      <w:r w:rsidR="002D79E1">
        <w:rPr>
          <w:rFonts w:ascii="Arial" w:hAnsi="Arial" w:cs="Arial"/>
        </w:rPr>
        <w:t xml:space="preserve"> influence</w:t>
      </w:r>
      <w:r w:rsidR="001D6712">
        <w:rPr>
          <w:rFonts w:ascii="Arial" w:hAnsi="Arial" w:cs="Arial"/>
        </w:rPr>
        <w:t xml:space="preserve"> the circadian clock</w:t>
      </w:r>
      <w:r>
        <w:rPr>
          <w:rFonts w:ascii="Arial" w:hAnsi="Arial" w:cs="Arial"/>
        </w:rPr>
        <w:t xml:space="preserve"> and </w:t>
      </w:r>
      <w:r w:rsidR="00111CE2">
        <w:rPr>
          <w:rFonts w:ascii="Arial" w:hAnsi="Arial" w:cs="Arial"/>
        </w:rPr>
        <w:t xml:space="preserve">that </w:t>
      </w:r>
      <w:r>
        <w:rPr>
          <w:rFonts w:ascii="Arial" w:hAnsi="Arial" w:cs="Arial"/>
        </w:rPr>
        <w:t xml:space="preserve">many </w:t>
      </w:r>
      <w:proofErr w:type="gramStart"/>
      <w:r>
        <w:rPr>
          <w:rFonts w:ascii="Arial" w:hAnsi="Arial" w:cs="Arial"/>
        </w:rPr>
        <w:t>dawn</w:t>
      </w:r>
      <w:proofErr w:type="gramEnd"/>
      <w:r>
        <w:rPr>
          <w:rFonts w:ascii="Arial" w:hAnsi="Arial" w:cs="Arial"/>
        </w:rPr>
        <w:t xml:space="preserve"> burst genes are associated with </w:t>
      </w:r>
      <w:r w:rsidR="00C26540">
        <w:rPr>
          <w:rFonts w:ascii="Arial" w:hAnsi="Arial" w:cs="Arial"/>
        </w:rPr>
        <w:t xml:space="preserve">both light and </w:t>
      </w:r>
      <w:r>
        <w:rPr>
          <w:rFonts w:ascii="Arial" w:hAnsi="Arial" w:cs="Arial"/>
        </w:rPr>
        <w:t xml:space="preserve">temperature responses, </w:t>
      </w:r>
      <w:r w:rsidR="00BA10FA" w:rsidRPr="005D6489">
        <w:rPr>
          <w:rFonts w:ascii="Arial" w:hAnsi="Arial" w:cs="Arial"/>
        </w:rPr>
        <w:t xml:space="preserve">we investigated the effect of temperature and light perturbations on </w:t>
      </w:r>
      <w:r w:rsidR="001D6712">
        <w:rPr>
          <w:rFonts w:ascii="Arial" w:hAnsi="Arial" w:cs="Arial"/>
        </w:rPr>
        <w:t>dawn</w:t>
      </w:r>
      <w:r w:rsidR="001D6712" w:rsidRPr="005D6489">
        <w:rPr>
          <w:rFonts w:ascii="Arial" w:hAnsi="Arial" w:cs="Arial"/>
        </w:rPr>
        <w:t xml:space="preserve"> </w:t>
      </w:r>
      <w:r w:rsidR="00BA10FA" w:rsidRPr="005D6489">
        <w:rPr>
          <w:rFonts w:ascii="Arial" w:hAnsi="Arial" w:cs="Arial"/>
        </w:rPr>
        <w:t xml:space="preserve">expression waves. We repeated the </w:t>
      </w:r>
      <w:proofErr w:type="gramStart"/>
      <w:r w:rsidR="00BA10FA" w:rsidRPr="005D6489">
        <w:rPr>
          <w:rFonts w:ascii="Arial" w:hAnsi="Arial" w:cs="Arial"/>
        </w:rPr>
        <w:t>high resolution</w:t>
      </w:r>
      <w:proofErr w:type="gramEnd"/>
      <w:r w:rsidR="00BA10FA" w:rsidRPr="005D6489">
        <w:rPr>
          <w:rFonts w:ascii="Arial" w:hAnsi="Arial" w:cs="Arial"/>
        </w:rPr>
        <w:t xml:space="preserve"> RNA-seq experiment at </w:t>
      </w:r>
      <w:r w:rsidR="00391F3E" w:rsidRPr="005D6489">
        <w:rPr>
          <w:rFonts w:ascii="Arial" w:hAnsi="Arial" w:cs="Arial"/>
        </w:rPr>
        <w:t>27°C</w:t>
      </w:r>
      <w:r w:rsidR="00BA10FA" w:rsidRPr="005D6489">
        <w:rPr>
          <w:rFonts w:ascii="Arial" w:hAnsi="Arial" w:cs="Arial"/>
        </w:rPr>
        <w:t xml:space="preserve"> (</w:t>
      </w:r>
      <w:r w:rsidR="00BA10FA" w:rsidRPr="005D6489">
        <w:rPr>
          <w:rFonts w:ascii="Arial" w:hAnsi="Arial" w:cs="Arial"/>
          <w:b/>
        </w:rPr>
        <w:t>Table S2</w:t>
      </w:r>
      <w:r w:rsidR="00B51301">
        <w:rPr>
          <w:rFonts w:ascii="Arial" w:hAnsi="Arial" w:cs="Arial"/>
          <w:b/>
        </w:rPr>
        <w:t>, Figure S2</w:t>
      </w:r>
      <w:r w:rsidR="00BA10FA" w:rsidRPr="005D6489">
        <w:rPr>
          <w:rFonts w:ascii="Arial" w:hAnsi="Arial" w:cs="Arial"/>
        </w:rPr>
        <w:t xml:space="preserve">), and </w:t>
      </w:r>
      <w:r w:rsidR="0083511F">
        <w:rPr>
          <w:rFonts w:ascii="Arial" w:hAnsi="Arial" w:cs="Arial"/>
        </w:rPr>
        <w:t>found</w:t>
      </w:r>
      <w:r w:rsidR="0083511F" w:rsidRPr="005D6489">
        <w:rPr>
          <w:rFonts w:ascii="Arial" w:hAnsi="Arial" w:cs="Arial"/>
        </w:rPr>
        <w:t xml:space="preserve"> </w:t>
      </w:r>
      <w:r w:rsidR="00BA10FA" w:rsidRPr="005D6489">
        <w:rPr>
          <w:rFonts w:ascii="Arial" w:hAnsi="Arial" w:cs="Arial"/>
        </w:rPr>
        <w:t xml:space="preserve">that </w:t>
      </w:r>
      <w:r w:rsidR="00740530">
        <w:rPr>
          <w:rFonts w:ascii="Arial" w:hAnsi="Arial" w:cs="Arial"/>
        </w:rPr>
        <w:t xml:space="preserve">many </w:t>
      </w:r>
      <w:r w:rsidR="00BA10FA" w:rsidRPr="005D6489">
        <w:rPr>
          <w:rFonts w:ascii="Arial" w:hAnsi="Arial" w:cs="Arial"/>
        </w:rPr>
        <w:t>genes continue to peak at the same time,</w:t>
      </w:r>
      <w:r w:rsidR="00740530">
        <w:rPr>
          <w:rFonts w:ascii="Arial" w:hAnsi="Arial" w:cs="Arial"/>
        </w:rPr>
        <w:t xml:space="preserve"> although we </w:t>
      </w:r>
      <w:r w:rsidR="0083511F">
        <w:rPr>
          <w:rFonts w:ascii="Arial" w:hAnsi="Arial" w:cs="Arial"/>
        </w:rPr>
        <w:t>detect</w:t>
      </w:r>
      <w:r w:rsidR="00740530">
        <w:rPr>
          <w:rFonts w:ascii="Arial" w:hAnsi="Arial" w:cs="Arial"/>
        </w:rPr>
        <w:t xml:space="preserve"> an earlier rise in expression for clusters 7-8.</w:t>
      </w:r>
      <w:r w:rsidR="00BA10FA" w:rsidRPr="005D6489">
        <w:rPr>
          <w:rFonts w:ascii="Arial" w:hAnsi="Arial" w:cs="Arial"/>
        </w:rPr>
        <w:t xml:space="preserve"> </w:t>
      </w:r>
      <w:r w:rsidR="00740530">
        <w:rPr>
          <w:rFonts w:ascii="Arial" w:hAnsi="Arial" w:cs="Arial"/>
        </w:rPr>
        <w:t>In addition,</w:t>
      </w:r>
      <w:r w:rsidR="0083511F">
        <w:rPr>
          <w:rFonts w:ascii="Arial" w:hAnsi="Arial" w:cs="Arial"/>
        </w:rPr>
        <w:t xml:space="preserve"> </w:t>
      </w:r>
      <w:r w:rsidR="00740530">
        <w:rPr>
          <w:rFonts w:ascii="Arial" w:hAnsi="Arial" w:cs="Arial"/>
        </w:rPr>
        <w:t xml:space="preserve">we </w:t>
      </w:r>
      <w:r w:rsidR="0083511F">
        <w:rPr>
          <w:rFonts w:ascii="Arial" w:hAnsi="Arial" w:cs="Arial"/>
        </w:rPr>
        <w:t>observe</w:t>
      </w:r>
      <w:r w:rsidR="00740530">
        <w:rPr>
          <w:rFonts w:ascii="Arial" w:hAnsi="Arial" w:cs="Arial"/>
        </w:rPr>
        <w:t xml:space="preserve"> that </w:t>
      </w:r>
      <w:r w:rsidR="00BA10FA" w:rsidRPr="005D6489">
        <w:rPr>
          <w:rFonts w:ascii="Arial" w:hAnsi="Arial" w:cs="Arial"/>
        </w:rPr>
        <w:t xml:space="preserve">the earlier expressed genes (clusters 1-2 and 7-8) have elevated expression </w:t>
      </w:r>
      <w:r w:rsidR="00094880">
        <w:rPr>
          <w:rFonts w:ascii="Arial" w:hAnsi="Arial" w:cs="Arial"/>
        </w:rPr>
        <w:t>at 27</w:t>
      </w:r>
      <w:r w:rsidR="00094880" w:rsidRPr="005D6489">
        <w:rPr>
          <w:rFonts w:ascii="Arial" w:hAnsi="Arial" w:cs="Arial"/>
        </w:rPr>
        <w:t>°C</w:t>
      </w:r>
      <w:r w:rsidR="00094880">
        <w:rPr>
          <w:rFonts w:ascii="Arial" w:hAnsi="Arial" w:cs="Arial"/>
        </w:rPr>
        <w:t xml:space="preserve"> compared to</w:t>
      </w:r>
      <w:r w:rsidR="00094880" w:rsidRPr="005D6489">
        <w:rPr>
          <w:rFonts w:ascii="Arial" w:hAnsi="Arial" w:cs="Arial"/>
        </w:rPr>
        <w:t xml:space="preserve"> 22°C</w:t>
      </w:r>
      <w:r w:rsidR="00094880">
        <w:rPr>
          <w:rFonts w:ascii="Arial" w:hAnsi="Arial" w:cs="Arial"/>
        </w:rPr>
        <w:t xml:space="preserve"> </w:t>
      </w:r>
      <w:r w:rsidR="0083511F">
        <w:rPr>
          <w:rFonts w:ascii="Arial" w:hAnsi="Arial" w:cs="Arial"/>
        </w:rPr>
        <w:t>while</w:t>
      </w:r>
      <w:r w:rsidR="00094880">
        <w:rPr>
          <w:rFonts w:ascii="Arial" w:hAnsi="Arial" w:cs="Arial"/>
        </w:rPr>
        <w:t xml:space="preserve"> peak expression was lower for</w:t>
      </w:r>
      <w:r w:rsidR="0083511F">
        <w:rPr>
          <w:rFonts w:ascii="Arial" w:hAnsi="Arial" w:cs="Arial"/>
        </w:rPr>
        <w:t xml:space="preserve"> the </w:t>
      </w:r>
      <w:r w:rsidR="00BA10FA" w:rsidRPr="005D6489">
        <w:rPr>
          <w:rFonts w:ascii="Arial" w:hAnsi="Arial" w:cs="Arial"/>
        </w:rPr>
        <w:t xml:space="preserve">later expressed genes </w:t>
      </w:r>
      <w:r w:rsidR="00BA10FA" w:rsidRPr="005D6489">
        <w:rPr>
          <w:rFonts w:ascii="Arial" w:hAnsi="Arial" w:cs="Arial"/>
        </w:rPr>
        <w:lastRenderedPageBreak/>
        <w:t xml:space="preserve">(clusters 3-6) </w:t>
      </w:r>
      <w:r w:rsidR="00094880">
        <w:rPr>
          <w:rFonts w:ascii="Arial" w:hAnsi="Arial" w:cs="Arial"/>
        </w:rPr>
        <w:t>at 27</w:t>
      </w:r>
      <w:r w:rsidR="00094880" w:rsidRPr="005D6489">
        <w:rPr>
          <w:rFonts w:ascii="Arial" w:hAnsi="Arial" w:cs="Arial"/>
        </w:rPr>
        <w:t>°C</w:t>
      </w:r>
      <w:r w:rsidR="00094880">
        <w:rPr>
          <w:rFonts w:ascii="Arial" w:hAnsi="Arial" w:cs="Arial"/>
        </w:rPr>
        <w:t xml:space="preserve"> </w:t>
      </w:r>
      <w:r>
        <w:rPr>
          <w:rFonts w:ascii="Arial" w:hAnsi="Arial" w:cs="Arial"/>
        </w:rPr>
        <w:t>(</w:t>
      </w:r>
      <w:r w:rsidR="00BA10FA" w:rsidRPr="005D6489">
        <w:rPr>
          <w:rFonts w:ascii="Arial" w:hAnsi="Arial" w:cs="Arial"/>
          <w:b/>
        </w:rPr>
        <w:t>Figure 2A</w:t>
      </w:r>
      <w:r w:rsidRPr="004E0A36">
        <w:rPr>
          <w:rFonts w:ascii="Arial" w:hAnsi="Arial" w:cs="Arial"/>
        </w:rPr>
        <w:t>)</w:t>
      </w:r>
      <w:r w:rsidR="00BA10FA" w:rsidRPr="005D6489">
        <w:rPr>
          <w:rFonts w:ascii="Arial" w:hAnsi="Arial" w:cs="Arial"/>
        </w:rPr>
        <w:t xml:space="preserve">. Please recall that the clusters were determined using the </w:t>
      </w:r>
      <w:r w:rsidR="00391F3E" w:rsidRPr="005D6489">
        <w:rPr>
          <w:rFonts w:ascii="Arial" w:hAnsi="Arial" w:cs="Arial"/>
        </w:rPr>
        <w:t>22°C</w:t>
      </w:r>
      <w:r w:rsidR="00BA10FA" w:rsidRPr="005D6489">
        <w:rPr>
          <w:rFonts w:ascii="Arial" w:hAnsi="Arial" w:cs="Arial"/>
        </w:rPr>
        <w:t xml:space="preserve"> time series only.  </w:t>
      </w:r>
      <w:r w:rsidR="002652DD">
        <w:rPr>
          <w:rFonts w:ascii="Arial" w:hAnsi="Arial" w:cs="Arial"/>
        </w:rPr>
        <w:t xml:space="preserve">These results are shown in a complementary way </w:t>
      </w:r>
      <w:r w:rsidR="00B51301">
        <w:rPr>
          <w:rFonts w:ascii="Arial" w:hAnsi="Arial" w:cs="Arial"/>
        </w:rPr>
        <w:t xml:space="preserve">using boxplots </w:t>
      </w:r>
      <w:r w:rsidR="002652DD">
        <w:rPr>
          <w:rFonts w:ascii="Arial" w:hAnsi="Arial" w:cs="Arial"/>
        </w:rPr>
        <w:t xml:space="preserve">in </w:t>
      </w:r>
      <w:r w:rsidR="002652DD" w:rsidRPr="004E0A36">
        <w:rPr>
          <w:rFonts w:ascii="Arial" w:hAnsi="Arial" w:cs="Arial"/>
          <w:b/>
        </w:rPr>
        <w:t>Figure S</w:t>
      </w:r>
      <w:r w:rsidR="00FF246D">
        <w:rPr>
          <w:rFonts w:ascii="Arial" w:hAnsi="Arial" w:cs="Arial"/>
          <w:b/>
        </w:rPr>
        <w:t>4</w:t>
      </w:r>
      <w:r w:rsidR="002652DD">
        <w:rPr>
          <w:rFonts w:ascii="Arial" w:hAnsi="Arial" w:cs="Arial"/>
        </w:rPr>
        <w:t>.</w:t>
      </w:r>
      <w:r w:rsidR="00BA10FA" w:rsidRPr="005D6489">
        <w:rPr>
          <w:rFonts w:ascii="Arial" w:hAnsi="Arial" w:cs="Arial"/>
        </w:rPr>
        <w:br/>
        <w:t>Previously, </w:t>
      </w:r>
      <w:proofErr w:type="spellStart"/>
      <w:r w:rsidR="00BA10FA" w:rsidRPr="005D6489">
        <w:rPr>
          <w:rFonts w:ascii="Arial" w:hAnsi="Arial" w:cs="Arial"/>
        </w:rPr>
        <w:t>Rugnone</w:t>
      </w:r>
      <w:proofErr w:type="spellEnd"/>
      <w:r w:rsidR="00BA10FA" w:rsidRPr="005D6489">
        <w:rPr>
          <w:rFonts w:ascii="Arial" w:hAnsi="Arial" w:cs="Arial"/>
        </w:rPr>
        <w:t xml:space="preserve"> et al. </w:t>
      </w:r>
      <w:r w:rsidR="008F0C61">
        <w:rPr>
          <w:rFonts w:ascii="Arial" w:hAnsi="Arial" w:cs="Arial"/>
        </w:rPr>
        <w:fldChar w:fldCharType="begin"/>
      </w:r>
      <w:r w:rsidR="008F0C61">
        <w:rPr>
          <w:rFonts w:ascii="Arial" w:hAnsi="Arial" w:cs="Arial"/>
        </w:rPr>
        <w:instrText xml:space="preserve"> ADDIN ZOTERO_ITEM CSL_CITATION {"citationID":"AEeJBe7G","properties":{"formattedCitation":"(2013)","plainCitation":"(2013)","noteIndex":0},"citationItems":[{"id":235,"uris":["http://zotero.org/users/2970095/items/V5JJHXNG"],"uri":["http://zotero.org/users/2970095/items/V5JJHXNG"],"itemData":{"id":235,"type":"article-journal","abstract":"Light signaling pathways and the circadian clock interact to help organisms synchronize physiological and developmental processes with periodic environmental cycles. The plant photoreceptors responsible for clock resetting have been characterized, but signaling components that link the photoreceptors to the clock remain to be identified. Here we describe a family of night light–inducible and clock-regulated genes (LNK) that play a key role linking light regulation of gene expression to the control of daily and seasonal rhythms in Arabidopsis thaliana. A genomewide transcriptome analysis revealed that most light-induced genes respond more strongly to light during the subjective day, which is consistent with the diurnal nature of most physiological processes in plants. However, a handful of genes, including the homologous genes LNK1 and LNK2, are more strongly induced by light in the middle of the night, when the clock is most responsive to this signal. Further analysis revealed that the morning phased LNK1 and LNK2 genes control circadian rhythms, photomorphogenic responses, and photoperiodic dependent flowering, most likely by regulating a subset of clock and flowering time genes in the afternoon. LNK1 and LNK2 themselves are directly repressed by members of the TIMING OF CAB1 EXPRESSION/PSEUDO RESPONSE REGULATOR family of core-clock genes in the afternoon and early night. Thus, LNK1 and LNK2 integrate early light signals with temporal information provided by core oscillator components to control the expression of afternoon genes, allowing plants to keep track of seasonal changes in day length.","container-title":"Proceedings of the National Academy of Sciences","DOI":"10.1073/pnas.1302170110","ISSN":"0027-8424, 1091-6490","issue":"29","journalAbbreviation":"PNAS","language":"en","note":"PMID: 23818596","page":"12120-12125","source":"www.pnas.org","title":"LNK genes integrate light and clock signaling networks at the core of the Arabidopsis oscillator","volume":"110","author":[{"family":"Rugnone","given":"Matias L."},{"family":"Soverna","given":"Ana Faigón"},{"family":"Sanchez","given":"Sabrina E."},{"family":"Schlaen","given":"Ruben Gustavo"},{"family":"Hernando","given":"Carlos Esteban"},{"family":"Seymour","given":"Danelle K."},{"family":"Mancini","given":"Estefanía"},{"family":"Chernomoretz","given":"Ariel"},{"family":"Weigel","given":"Detlef"},{"family":"Más","given":"Paloma"},{"family":"Yanovsky","given":"Marcelo J."}],"issued":{"date-parts":[["2013",7,16]]}},"suppress-author":true}],"schema":"https://github.com/citation-style-language/schema/raw/master/csl-citation.json"} </w:instrText>
      </w:r>
      <w:r w:rsidR="008F0C61">
        <w:rPr>
          <w:rFonts w:ascii="Arial" w:hAnsi="Arial" w:cs="Arial"/>
        </w:rPr>
        <w:fldChar w:fldCharType="separate"/>
      </w:r>
      <w:r w:rsidR="008F0C61" w:rsidRPr="008F0C61">
        <w:rPr>
          <w:rFonts w:ascii="Arial" w:hAnsi="Arial" w:cs="Arial"/>
        </w:rPr>
        <w:t>(2013)</w:t>
      </w:r>
      <w:r w:rsidR="008F0C61">
        <w:rPr>
          <w:rFonts w:ascii="Arial" w:hAnsi="Arial" w:cs="Arial"/>
        </w:rPr>
        <w:fldChar w:fldCharType="end"/>
      </w:r>
      <w:r w:rsidR="008F0C61">
        <w:rPr>
          <w:rFonts w:ascii="Arial" w:hAnsi="Arial" w:cs="Arial"/>
        </w:rPr>
        <w:t xml:space="preserve"> </w:t>
      </w:r>
      <w:r w:rsidR="00BA10FA" w:rsidRPr="005D6489">
        <w:rPr>
          <w:rFonts w:ascii="Arial" w:hAnsi="Arial" w:cs="Arial"/>
        </w:rPr>
        <w:t xml:space="preserve">found sets of genes that were induced or repressed by light, and moreover they identified genes whose sensitivity to light was dependent on whether the light treatment occurred at night or during the subjective day (after an extended night).  </w:t>
      </w:r>
      <w:r>
        <w:rPr>
          <w:rFonts w:ascii="Arial" w:hAnsi="Arial" w:cs="Arial"/>
        </w:rPr>
        <w:t>Comparing</w:t>
      </w:r>
      <w:r w:rsidR="00BA10FA" w:rsidRPr="005D6489">
        <w:rPr>
          <w:rFonts w:ascii="Arial" w:hAnsi="Arial" w:cs="Arial"/>
        </w:rPr>
        <w:t xml:space="preserve"> their gene lists with ours </w:t>
      </w:r>
      <w:r>
        <w:rPr>
          <w:rFonts w:ascii="Arial" w:hAnsi="Arial" w:cs="Arial"/>
        </w:rPr>
        <w:t>(</w:t>
      </w:r>
      <w:r w:rsidR="00BA10FA" w:rsidRPr="005D6489">
        <w:rPr>
          <w:rFonts w:ascii="Arial" w:hAnsi="Arial" w:cs="Arial"/>
          <w:b/>
        </w:rPr>
        <w:t>Figure 2B</w:t>
      </w:r>
      <w:r w:rsidR="00BA10FA" w:rsidRPr="005D6489">
        <w:rPr>
          <w:rFonts w:ascii="Arial" w:hAnsi="Arial" w:cs="Arial"/>
        </w:rPr>
        <w:t xml:space="preserve">, </w:t>
      </w:r>
      <w:r w:rsidR="00BA10FA" w:rsidRPr="005D6489">
        <w:rPr>
          <w:rFonts w:ascii="Arial" w:hAnsi="Arial" w:cs="Arial"/>
          <w:b/>
        </w:rPr>
        <w:t>Table S4</w:t>
      </w:r>
      <w:r>
        <w:rPr>
          <w:rFonts w:ascii="Arial" w:hAnsi="Arial" w:cs="Arial"/>
          <w:b/>
        </w:rPr>
        <w:t>)</w:t>
      </w:r>
      <w:r>
        <w:rPr>
          <w:rFonts w:ascii="Arial" w:hAnsi="Arial" w:cs="Arial"/>
        </w:rPr>
        <w:t>, we find</w:t>
      </w:r>
      <w:r w:rsidR="00BA10FA" w:rsidRPr="005D6489">
        <w:rPr>
          <w:rFonts w:ascii="Arial" w:hAnsi="Arial" w:cs="Arial"/>
        </w:rPr>
        <w:t xml:space="preserve"> significant enrichment for </w:t>
      </w:r>
      <w:r w:rsidRPr="005D6489">
        <w:rPr>
          <w:rFonts w:ascii="Arial" w:hAnsi="Arial" w:cs="Arial"/>
        </w:rPr>
        <w:t>light</w:t>
      </w:r>
      <w:r>
        <w:rPr>
          <w:rFonts w:ascii="Arial" w:hAnsi="Arial" w:cs="Arial"/>
        </w:rPr>
        <w:t>-</w:t>
      </w:r>
      <w:r w:rsidR="00BA10FA" w:rsidRPr="005D6489">
        <w:rPr>
          <w:rFonts w:ascii="Arial" w:hAnsi="Arial" w:cs="Arial"/>
        </w:rPr>
        <w:t xml:space="preserve">repressed genes among early </w:t>
      </w:r>
      <w:r>
        <w:rPr>
          <w:rFonts w:ascii="Arial" w:hAnsi="Arial" w:cs="Arial"/>
        </w:rPr>
        <w:t>expressed</w:t>
      </w:r>
      <w:r w:rsidRPr="005D6489">
        <w:rPr>
          <w:rFonts w:ascii="Arial" w:hAnsi="Arial" w:cs="Arial"/>
        </w:rPr>
        <w:t xml:space="preserve"> </w:t>
      </w:r>
      <w:r w:rsidR="00BA10FA" w:rsidRPr="005D6489">
        <w:rPr>
          <w:rFonts w:ascii="Arial" w:hAnsi="Arial" w:cs="Arial"/>
        </w:rPr>
        <w:t xml:space="preserve">genes in clusters 1-2 (p-value &lt; 1e-14, based on Fisher exact test with Bonferroni correction).  In contrast, those genes that were expressed late in the time series or that peaked at 45-105 minutes or 18-45 minutes tended to be </w:t>
      </w:r>
      <w:proofErr w:type="gramStart"/>
      <w:r w:rsidRPr="005D6489">
        <w:rPr>
          <w:rFonts w:ascii="Arial" w:hAnsi="Arial" w:cs="Arial"/>
        </w:rPr>
        <w:t>light</w:t>
      </w:r>
      <w:r>
        <w:rPr>
          <w:rFonts w:ascii="Arial" w:hAnsi="Arial" w:cs="Arial"/>
        </w:rPr>
        <w:t>-</w:t>
      </w:r>
      <w:r w:rsidR="00BA10FA" w:rsidRPr="005D6489">
        <w:rPr>
          <w:rFonts w:ascii="Arial" w:hAnsi="Arial" w:cs="Arial"/>
        </w:rPr>
        <w:t>induced</w:t>
      </w:r>
      <w:proofErr w:type="gramEnd"/>
      <w:r w:rsidR="00BA10FA" w:rsidRPr="005D6489">
        <w:rPr>
          <w:rFonts w:ascii="Arial" w:hAnsi="Arial" w:cs="Arial"/>
        </w:rPr>
        <w:t xml:space="preserve">. </w:t>
      </w:r>
      <w:r w:rsidR="00F801CA">
        <w:rPr>
          <w:rFonts w:ascii="Arial" w:hAnsi="Arial" w:cs="Arial"/>
        </w:rPr>
        <w:t>We identified</w:t>
      </w:r>
      <w:r w:rsidR="00BA10FA" w:rsidRPr="005D6489">
        <w:rPr>
          <w:rFonts w:ascii="Arial" w:hAnsi="Arial" w:cs="Arial"/>
        </w:rPr>
        <w:t xml:space="preserve"> a number of key light </w:t>
      </w:r>
      <w:proofErr w:type="spellStart"/>
      <w:r w:rsidR="00BA10FA" w:rsidRPr="005D6489">
        <w:rPr>
          <w:rFonts w:ascii="Arial" w:hAnsi="Arial" w:cs="Arial"/>
        </w:rPr>
        <w:t>signa</w:t>
      </w:r>
      <w:r w:rsidR="00822729">
        <w:rPr>
          <w:rFonts w:ascii="Arial" w:hAnsi="Arial" w:cs="Arial"/>
        </w:rPr>
        <w:t>l</w:t>
      </w:r>
      <w:r w:rsidR="00BA10FA" w:rsidRPr="005D6489">
        <w:rPr>
          <w:rFonts w:ascii="Arial" w:hAnsi="Arial" w:cs="Arial"/>
        </w:rPr>
        <w:t>ling</w:t>
      </w:r>
      <w:proofErr w:type="spellEnd"/>
      <w:r w:rsidR="00BA10FA" w:rsidRPr="005D6489">
        <w:rPr>
          <w:rFonts w:ascii="Arial" w:hAnsi="Arial" w:cs="Arial"/>
        </w:rPr>
        <w:t xml:space="preserve"> genes in clusters 5-6 </w:t>
      </w:r>
      <w:r w:rsidR="00F801CA">
        <w:rPr>
          <w:rFonts w:ascii="Arial" w:hAnsi="Arial" w:cs="Arial"/>
        </w:rPr>
        <w:t xml:space="preserve">of our </w:t>
      </w:r>
      <w:proofErr w:type="gramStart"/>
      <w:r w:rsidR="00F801CA">
        <w:rPr>
          <w:rFonts w:ascii="Arial" w:hAnsi="Arial" w:cs="Arial"/>
        </w:rPr>
        <w:t>high resolution</w:t>
      </w:r>
      <w:proofErr w:type="gramEnd"/>
      <w:r w:rsidR="00F801CA">
        <w:rPr>
          <w:rFonts w:ascii="Arial" w:hAnsi="Arial" w:cs="Arial"/>
        </w:rPr>
        <w:t xml:space="preserve"> time course </w:t>
      </w:r>
      <w:r w:rsidR="00BA10FA" w:rsidRPr="005D6489">
        <w:rPr>
          <w:rFonts w:ascii="Arial" w:hAnsi="Arial" w:cs="Arial"/>
        </w:rPr>
        <w:t xml:space="preserve">and we find that over a third of genes within this group are </w:t>
      </w:r>
      <w:r w:rsidR="00F801CA" w:rsidRPr="005D6489">
        <w:rPr>
          <w:rFonts w:ascii="Arial" w:hAnsi="Arial" w:cs="Arial"/>
        </w:rPr>
        <w:t>light</w:t>
      </w:r>
      <w:r w:rsidR="00F801CA">
        <w:rPr>
          <w:rFonts w:ascii="Arial" w:hAnsi="Arial" w:cs="Arial"/>
        </w:rPr>
        <w:t>-</w:t>
      </w:r>
      <w:r w:rsidR="00BA10FA" w:rsidRPr="005D6489">
        <w:rPr>
          <w:rFonts w:ascii="Arial" w:hAnsi="Arial" w:cs="Arial"/>
        </w:rPr>
        <w:t xml:space="preserve">induced.  Intriguingly, the clusters of genes that includes </w:t>
      </w:r>
      <w:r w:rsidR="00BA10FA" w:rsidRPr="005D6489">
        <w:rPr>
          <w:rFonts w:ascii="Arial" w:hAnsi="Arial" w:cs="Arial"/>
          <w:i/>
        </w:rPr>
        <w:t>HSFA1A</w:t>
      </w:r>
      <w:r w:rsidR="00BA10FA" w:rsidRPr="005D6489">
        <w:rPr>
          <w:rFonts w:ascii="Arial" w:hAnsi="Arial" w:cs="Arial"/>
        </w:rPr>
        <w:t xml:space="preserve"> (clusters 7-8) are not enriched for </w:t>
      </w:r>
      <w:r w:rsidRPr="005D6489">
        <w:rPr>
          <w:rFonts w:ascii="Arial" w:hAnsi="Arial" w:cs="Arial"/>
        </w:rPr>
        <w:t>light</w:t>
      </w:r>
      <w:r>
        <w:rPr>
          <w:rFonts w:ascii="Arial" w:hAnsi="Arial" w:cs="Arial"/>
        </w:rPr>
        <w:t>-</w:t>
      </w:r>
      <w:r w:rsidR="00BA10FA" w:rsidRPr="005D6489">
        <w:rPr>
          <w:rFonts w:ascii="Arial" w:hAnsi="Arial" w:cs="Arial"/>
        </w:rPr>
        <w:t>induced genes, except for a slight enrichment for genes whose expression is induced by light at night (p-value &lt;0.037). </w:t>
      </w:r>
    </w:p>
    <w:p w14:paraId="6182F8D7" w14:textId="4AD07D37" w:rsidR="009C304E" w:rsidRPr="005D6489" w:rsidRDefault="00BA10FA" w:rsidP="005D6489">
      <w:pPr>
        <w:pStyle w:val="BodyText"/>
        <w:spacing w:line="360" w:lineRule="auto"/>
        <w:rPr>
          <w:rFonts w:ascii="Arial" w:hAnsi="Arial" w:cs="Arial"/>
        </w:rPr>
      </w:pPr>
      <w:r w:rsidRPr="005D6489">
        <w:rPr>
          <w:rFonts w:ascii="Arial" w:hAnsi="Arial" w:cs="Arial"/>
        </w:rPr>
        <w:t xml:space="preserve">These results </w:t>
      </w:r>
      <w:r w:rsidR="00F24E9C">
        <w:rPr>
          <w:rFonts w:ascii="Arial" w:hAnsi="Arial" w:cs="Arial"/>
        </w:rPr>
        <w:t>show</w:t>
      </w:r>
      <w:r w:rsidR="00F24E9C" w:rsidRPr="005D6489">
        <w:rPr>
          <w:rFonts w:ascii="Arial" w:hAnsi="Arial" w:cs="Arial"/>
        </w:rPr>
        <w:t xml:space="preserve"> </w:t>
      </w:r>
      <w:r w:rsidRPr="005D6489">
        <w:rPr>
          <w:rFonts w:ascii="Arial" w:hAnsi="Arial" w:cs="Arial"/>
        </w:rPr>
        <w:t xml:space="preserve">that there are multiple bursts of gene expression at dawn that are differentially regulated by temperature and light, and moreover many of the </w:t>
      </w:r>
      <w:r w:rsidR="0006060A" w:rsidRPr="005D6489">
        <w:rPr>
          <w:rFonts w:ascii="Arial" w:hAnsi="Arial" w:cs="Arial"/>
        </w:rPr>
        <w:t>dawn</w:t>
      </w:r>
      <w:r w:rsidR="0006060A">
        <w:rPr>
          <w:rFonts w:ascii="Arial" w:hAnsi="Arial" w:cs="Arial"/>
        </w:rPr>
        <w:t>-</w:t>
      </w:r>
      <w:r w:rsidRPr="005D6489">
        <w:rPr>
          <w:rFonts w:ascii="Arial" w:hAnsi="Arial" w:cs="Arial"/>
        </w:rPr>
        <w:t>expressed genes are regulated by light in a time-of-day dependent manner.</w:t>
      </w:r>
    </w:p>
    <w:p w14:paraId="2AF727FC" w14:textId="50EC892C" w:rsidR="009C304E" w:rsidRPr="008C6C8F" w:rsidRDefault="0010563B" w:rsidP="005D6489">
      <w:pPr>
        <w:pStyle w:val="Heading2"/>
        <w:spacing w:line="360" w:lineRule="auto"/>
        <w:rPr>
          <w:rFonts w:ascii="Arial" w:hAnsi="Arial" w:cs="Arial"/>
          <w:sz w:val="28"/>
        </w:rPr>
      </w:pPr>
      <w:bookmarkStart w:id="6" w:name="the-dawn-gene-expression-waves-are-delay"/>
      <w:bookmarkEnd w:id="6"/>
      <w:r w:rsidRPr="008C6C8F">
        <w:rPr>
          <w:rFonts w:ascii="Arial" w:hAnsi="Arial" w:cs="Arial"/>
          <w:sz w:val="28"/>
        </w:rPr>
        <w:t xml:space="preserve">Late </w:t>
      </w:r>
      <w:r w:rsidR="00BA10FA" w:rsidRPr="008C6C8F">
        <w:rPr>
          <w:rFonts w:ascii="Arial" w:hAnsi="Arial" w:cs="Arial"/>
          <w:sz w:val="28"/>
        </w:rPr>
        <w:t xml:space="preserve">dawn gene expression waves are delayed in both </w:t>
      </w:r>
      <w:proofErr w:type="spellStart"/>
      <w:r w:rsidR="00BA10FA" w:rsidRPr="008C6C8F">
        <w:rPr>
          <w:rFonts w:ascii="Arial" w:hAnsi="Arial" w:cs="Arial"/>
          <w:i/>
          <w:sz w:val="28"/>
        </w:rPr>
        <w:t>phyA</w:t>
      </w:r>
      <w:proofErr w:type="spellEnd"/>
      <w:r w:rsidR="00C26540" w:rsidRPr="008C6C8F">
        <w:rPr>
          <w:rFonts w:ascii="Arial" w:hAnsi="Arial" w:cs="Arial"/>
          <w:i/>
          <w:sz w:val="28"/>
        </w:rPr>
        <w:t xml:space="preserve"> </w:t>
      </w:r>
      <w:proofErr w:type="spellStart"/>
      <w:r w:rsidR="00BA10FA" w:rsidRPr="008C6C8F">
        <w:rPr>
          <w:rFonts w:ascii="Arial" w:hAnsi="Arial" w:cs="Arial"/>
          <w:i/>
          <w:sz w:val="28"/>
        </w:rPr>
        <w:t>phyB</w:t>
      </w:r>
      <w:proofErr w:type="spellEnd"/>
      <w:r w:rsidR="00C26540" w:rsidRPr="008C6C8F">
        <w:rPr>
          <w:rFonts w:ascii="Arial" w:hAnsi="Arial" w:cs="Arial"/>
          <w:i/>
          <w:sz w:val="28"/>
        </w:rPr>
        <w:t xml:space="preserve"> </w:t>
      </w:r>
      <w:r w:rsidR="00BA10FA" w:rsidRPr="008C6C8F">
        <w:rPr>
          <w:rFonts w:ascii="Arial" w:hAnsi="Arial" w:cs="Arial"/>
          <w:i/>
          <w:sz w:val="28"/>
        </w:rPr>
        <w:t>cry1</w:t>
      </w:r>
      <w:r w:rsidR="00C26540" w:rsidRPr="008C6C8F">
        <w:rPr>
          <w:rFonts w:ascii="Arial" w:hAnsi="Arial" w:cs="Arial"/>
          <w:i/>
          <w:sz w:val="28"/>
        </w:rPr>
        <w:t xml:space="preserve"> </w:t>
      </w:r>
      <w:r w:rsidR="00BA10FA" w:rsidRPr="008C6C8F">
        <w:rPr>
          <w:rFonts w:ascii="Arial" w:hAnsi="Arial" w:cs="Arial"/>
          <w:i/>
          <w:sz w:val="28"/>
        </w:rPr>
        <w:t>cry2</w:t>
      </w:r>
      <w:r w:rsidR="00BA10FA" w:rsidRPr="008C6C8F">
        <w:rPr>
          <w:rFonts w:ascii="Arial" w:hAnsi="Arial" w:cs="Arial"/>
          <w:sz w:val="28"/>
        </w:rPr>
        <w:t xml:space="preserve"> (light </w:t>
      </w:r>
      <w:proofErr w:type="spellStart"/>
      <w:r w:rsidR="00BA10FA" w:rsidRPr="008C6C8F">
        <w:rPr>
          <w:rFonts w:ascii="Arial" w:hAnsi="Arial" w:cs="Arial"/>
          <w:sz w:val="28"/>
        </w:rPr>
        <w:t>signa</w:t>
      </w:r>
      <w:r w:rsidR="00822729">
        <w:rPr>
          <w:rFonts w:ascii="Arial" w:hAnsi="Arial" w:cs="Arial"/>
          <w:sz w:val="28"/>
        </w:rPr>
        <w:t>l</w:t>
      </w:r>
      <w:r w:rsidR="00BA10FA" w:rsidRPr="008C6C8F">
        <w:rPr>
          <w:rFonts w:ascii="Arial" w:hAnsi="Arial" w:cs="Arial"/>
          <w:sz w:val="28"/>
        </w:rPr>
        <w:t>ling</w:t>
      </w:r>
      <w:proofErr w:type="spellEnd"/>
      <w:r w:rsidR="00BA10FA" w:rsidRPr="008C6C8F">
        <w:rPr>
          <w:rFonts w:ascii="Arial" w:hAnsi="Arial" w:cs="Arial"/>
          <w:sz w:val="28"/>
        </w:rPr>
        <w:t xml:space="preserve">) and </w:t>
      </w:r>
      <w:r w:rsidR="00BA10FA" w:rsidRPr="008C6C8F">
        <w:rPr>
          <w:rFonts w:ascii="Arial" w:hAnsi="Arial" w:cs="Arial"/>
          <w:i/>
          <w:sz w:val="28"/>
        </w:rPr>
        <w:t>prr5</w:t>
      </w:r>
      <w:r w:rsidR="00C26540" w:rsidRPr="008C6C8F">
        <w:rPr>
          <w:rFonts w:ascii="Arial" w:hAnsi="Arial" w:cs="Arial"/>
          <w:i/>
          <w:sz w:val="28"/>
        </w:rPr>
        <w:t xml:space="preserve"> </w:t>
      </w:r>
      <w:r w:rsidR="00BA10FA" w:rsidRPr="008C6C8F">
        <w:rPr>
          <w:rFonts w:ascii="Arial" w:hAnsi="Arial" w:cs="Arial"/>
          <w:i/>
          <w:sz w:val="28"/>
        </w:rPr>
        <w:t>prr7</w:t>
      </w:r>
      <w:r w:rsidR="00C26540" w:rsidRPr="008C6C8F">
        <w:rPr>
          <w:rFonts w:ascii="Arial" w:hAnsi="Arial" w:cs="Arial"/>
          <w:i/>
          <w:sz w:val="28"/>
        </w:rPr>
        <w:t xml:space="preserve"> </w:t>
      </w:r>
      <w:r w:rsidR="00BA10FA" w:rsidRPr="008C6C8F">
        <w:rPr>
          <w:rFonts w:ascii="Arial" w:hAnsi="Arial" w:cs="Arial"/>
          <w:i/>
          <w:sz w:val="28"/>
        </w:rPr>
        <w:t>prr9</w:t>
      </w:r>
      <w:r w:rsidR="00BA10FA" w:rsidRPr="008C6C8F">
        <w:rPr>
          <w:rFonts w:ascii="Arial" w:hAnsi="Arial" w:cs="Arial"/>
          <w:sz w:val="28"/>
        </w:rPr>
        <w:t xml:space="preserve"> (circadian) mutants</w:t>
      </w:r>
    </w:p>
    <w:p w14:paraId="51204AFD" w14:textId="741B1C09" w:rsidR="00EA66B9" w:rsidRDefault="00BA10FA" w:rsidP="002761A4">
      <w:pPr>
        <w:pStyle w:val="FirstParagraph"/>
        <w:spacing w:line="360" w:lineRule="auto"/>
        <w:rPr>
          <w:rFonts w:ascii="Arial" w:hAnsi="Arial" w:cs="Arial"/>
        </w:rPr>
      </w:pPr>
      <w:r w:rsidRPr="005D6489">
        <w:rPr>
          <w:rFonts w:ascii="Arial" w:hAnsi="Arial" w:cs="Arial"/>
        </w:rPr>
        <w:t>DNA binding proteins appear to have multiple coordinated bursts of expression at dawn and these bursts are either light</w:t>
      </w:r>
      <w:r w:rsidR="0006060A">
        <w:rPr>
          <w:rFonts w:ascii="Arial" w:hAnsi="Arial" w:cs="Arial"/>
        </w:rPr>
        <w:t>-</w:t>
      </w:r>
      <w:r w:rsidRPr="005D6489">
        <w:rPr>
          <w:rFonts w:ascii="Arial" w:hAnsi="Arial" w:cs="Arial"/>
        </w:rPr>
        <w:t xml:space="preserve"> or </w:t>
      </w:r>
      <w:r w:rsidR="0006060A" w:rsidRPr="005D6489">
        <w:rPr>
          <w:rFonts w:ascii="Arial" w:hAnsi="Arial" w:cs="Arial"/>
        </w:rPr>
        <w:t>temperature</w:t>
      </w:r>
      <w:r w:rsidR="0006060A">
        <w:rPr>
          <w:rFonts w:ascii="Arial" w:hAnsi="Arial" w:cs="Arial"/>
        </w:rPr>
        <w:t>-</w:t>
      </w:r>
      <w:r w:rsidRPr="005D6489">
        <w:rPr>
          <w:rFonts w:ascii="Arial" w:hAnsi="Arial" w:cs="Arial"/>
        </w:rPr>
        <w:t xml:space="preserve">dependent or both.  To </w:t>
      </w:r>
      <w:proofErr w:type="spellStart"/>
      <w:r w:rsidRPr="005D6489">
        <w:rPr>
          <w:rFonts w:ascii="Arial" w:hAnsi="Arial" w:cs="Arial"/>
        </w:rPr>
        <w:t>characterise</w:t>
      </w:r>
      <w:proofErr w:type="spellEnd"/>
      <w:r w:rsidRPr="005D6489">
        <w:rPr>
          <w:rFonts w:ascii="Arial" w:hAnsi="Arial" w:cs="Arial"/>
        </w:rPr>
        <w:t xml:space="preserve"> the gene regulatory mechanisms that </w:t>
      </w:r>
      <w:r w:rsidR="0010563B" w:rsidRPr="005D6489">
        <w:rPr>
          <w:rFonts w:ascii="Arial" w:hAnsi="Arial" w:cs="Arial"/>
        </w:rPr>
        <w:t>underl</w:t>
      </w:r>
      <w:r w:rsidR="0010563B">
        <w:rPr>
          <w:rFonts w:ascii="Arial" w:hAnsi="Arial" w:cs="Arial"/>
        </w:rPr>
        <w:t>ie</w:t>
      </w:r>
      <w:r w:rsidR="0010563B" w:rsidRPr="005D6489">
        <w:rPr>
          <w:rFonts w:ascii="Arial" w:hAnsi="Arial" w:cs="Arial"/>
        </w:rPr>
        <w:t xml:space="preserve"> </w:t>
      </w:r>
      <w:r w:rsidRPr="005D6489">
        <w:rPr>
          <w:rFonts w:ascii="Arial" w:hAnsi="Arial" w:cs="Arial"/>
        </w:rPr>
        <w:t xml:space="preserve">these </w:t>
      </w:r>
      <w:r w:rsidR="0068476B">
        <w:rPr>
          <w:rFonts w:ascii="Arial" w:hAnsi="Arial" w:cs="Arial"/>
        </w:rPr>
        <w:t>distinct burst</w:t>
      </w:r>
      <w:r w:rsidR="00906DA6">
        <w:rPr>
          <w:rFonts w:ascii="Arial" w:hAnsi="Arial" w:cs="Arial"/>
        </w:rPr>
        <w:t>s</w:t>
      </w:r>
      <w:r w:rsidRPr="005D6489">
        <w:rPr>
          <w:rFonts w:ascii="Arial" w:hAnsi="Arial" w:cs="Arial"/>
        </w:rPr>
        <w:t>, we performed RNA-seq on a series of mutant strains that perturbed red- and blue-light sensitivity (</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w:t>
      </w:r>
      <w:r w:rsidRPr="005D6489">
        <w:rPr>
          <w:rFonts w:ascii="Arial" w:hAnsi="Arial" w:cs="Arial"/>
        </w:rPr>
        <w:t xml:space="preserve">, </w:t>
      </w:r>
      <w:proofErr w:type="spellStart"/>
      <w:r w:rsidRPr="005D6489">
        <w:rPr>
          <w:rFonts w:ascii="Arial" w:hAnsi="Arial" w:cs="Arial"/>
        </w:rPr>
        <w:t>Ler</w:t>
      </w:r>
      <w:proofErr w:type="spellEnd"/>
      <w:r w:rsidRPr="005D6489">
        <w:rPr>
          <w:rFonts w:ascii="Arial" w:hAnsi="Arial" w:cs="Arial"/>
        </w:rPr>
        <w:t xml:space="preserve"> background), the circadian clock</w:t>
      </w:r>
      <w:r w:rsidR="0006060A">
        <w:rPr>
          <w:rFonts w:ascii="Arial" w:hAnsi="Arial" w:cs="Arial"/>
        </w:rPr>
        <w:t xml:space="preserve"> morning loop</w:t>
      </w:r>
      <w:r w:rsidRPr="005D6489">
        <w:rPr>
          <w:rFonts w:ascii="Arial" w:hAnsi="Arial" w:cs="Arial"/>
        </w:rPr>
        <w:t xml:space="preserve"> (</w:t>
      </w:r>
      <w:r w:rsidRPr="005D6489">
        <w:rPr>
          <w:rFonts w:ascii="Arial" w:hAnsi="Arial" w:cs="Arial"/>
          <w:i/>
        </w:rPr>
        <w:t>prr5 prr7 prr9</w:t>
      </w:r>
      <w:r w:rsidRPr="005D6489">
        <w:rPr>
          <w:rFonts w:ascii="Arial" w:hAnsi="Arial" w:cs="Arial"/>
        </w:rPr>
        <w:t xml:space="preserve">, Col-0 background) and </w:t>
      </w:r>
      <w:r w:rsidR="0006060A">
        <w:rPr>
          <w:rFonts w:ascii="Arial" w:hAnsi="Arial" w:cs="Arial"/>
        </w:rPr>
        <w:t xml:space="preserve">chloroplast-derived light/temperature </w:t>
      </w:r>
      <w:r w:rsidR="003A2DAF">
        <w:rPr>
          <w:rFonts w:ascii="Arial" w:hAnsi="Arial" w:cs="Arial"/>
        </w:rPr>
        <w:t>signals</w:t>
      </w:r>
      <w:r w:rsidR="0006060A" w:rsidRPr="005D6489">
        <w:rPr>
          <w:rFonts w:ascii="Arial" w:hAnsi="Arial" w:cs="Arial"/>
        </w:rPr>
        <w:t xml:space="preserve"> </w:t>
      </w:r>
      <w:r w:rsidRPr="005D6489">
        <w:rPr>
          <w:rFonts w:ascii="Arial" w:hAnsi="Arial" w:cs="Arial"/>
        </w:rPr>
        <w:t>(</w:t>
      </w:r>
      <w:r w:rsidRPr="005D6489">
        <w:rPr>
          <w:rFonts w:ascii="Arial" w:hAnsi="Arial" w:cs="Arial"/>
          <w:i/>
        </w:rPr>
        <w:t>hsfA1QK</w:t>
      </w:r>
      <w:r w:rsidRPr="005D6489">
        <w:rPr>
          <w:rFonts w:ascii="Arial" w:hAnsi="Arial" w:cs="Arial"/>
          <w:b/>
        </w:rPr>
        <w:t xml:space="preserve">, </w:t>
      </w:r>
      <w:r w:rsidR="002A0F23" w:rsidRPr="004E0A36">
        <w:rPr>
          <w:rFonts w:ascii="Arial" w:hAnsi="Arial" w:cs="Arial"/>
        </w:rPr>
        <w:t>mostly</w:t>
      </w:r>
      <w:r w:rsidR="002A0F23">
        <w:rPr>
          <w:rFonts w:ascii="Arial" w:hAnsi="Arial" w:cs="Arial"/>
          <w:b/>
        </w:rPr>
        <w:t xml:space="preserve"> </w:t>
      </w:r>
      <w:r w:rsidRPr="008C4349">
        <w:rPr>
          <w:rFonts w:ascii="Arial" w:hAnsi="Arial" w:cs="Arial"/>
        </w:rPr>
        <w:t>Col-0 background</w:t>
      </w:r>
      <w:r w:rsidRPr="005D6489">
        <w:rPr>
          <w:rFonts w:ascii="Arial" w:hAnsi="Arial" w:cs="Arial"/>
        </w:rPr>
        <w:t xml:space="preserve">), all of which have been previously </w:t>
      </w:r>
      <w:proofErr w:type="spellStart"/>
      <w:r w:rsidRPr="005D6489">
        <w:rPr>
          <w:rFonts w:ascii="Arial" w:hAnsi="Arial" w:cs="Arial"/>
        </w:rPr>
        <w:t>characterised</w:t>
      </w:r>
      <w:proofErr w:type="spellEnd"/>
      <w:r w:rsidRPr="005D6489">
        <w:rPr>
          <w:rFonts w:ascii="Arial" w:hAnsi="Arial" w:cs="Arial"/>
        </w:rPr>
        <w:t> </w:t>
      </w:r>
      <w:r w:rsidR="008F0C61">
        <w:rPr>
          <w:rFonts w:ascii="Arial" w:hAnsi="Arial" w:cs="Arial"/>
        </w:rPr>
        <w:fldChar w:fldCharType="begin"/>
      </w:r>
      <w:r w:rsidR="008F0C61">
        <w:rPr>
          <w:rFonts w:ascii="Arial" w:hAnsi="Arial" w:cs="Arial"/>
        </w:rPr>
        <w:instrText xml:space="preserve"> ADDIN ZOTERO_ITEM CSL_CITATION {"citationID":"jcAM2lXq","properties":{"formattedCitation":"(Nakamichi et al., 2005; Yanovsky et al., 2000; Yoshida et al., 2011)","plainCitation":"(Nakamichi et al., 2005; Yanovsky et al., 2000; Yoshida et al., 2011)","noteIndex":0},"citationItems":[{"id":268,"uris":["http://zotero.org/users/2970095/items/DPD2PSSJ"],"uri":["http://zotero.org/users/2970095/items/DPD2PSSJ"],"itemData":{"id":268,"type":"article-journal","abstract":"In Arabidopsis thaliana, a number of clock-associated protein components have been identified. Among them, CCA1 (CIRCADIAN CLOCK-ASSOCIATED 1)/LHY (LATE ELONGATED HYPOCOTYL) and TOC1 (TIMING OF CAB EXPRESSION 1) are believed to be the essential components of the central oscillator. CCA1 and LHY are homologous and partially redundant Myb-related DNA-binding proteins, whereas TOC1 is a member of a small family of proteins, designated as PSEUDO-RESPONSE REGULATOR. It is also believed that these two different types of clock components form an autoregulatory positive/negative feedback loop at the levels of transcription/translation that generates intrinsic rhythms. Nonetheless, it was not yet certain whether or not other PRR family members (PRR9, PRR7, PRR5 and PRR3) are implicated in clock function per se. Employing a set of prr9, prr7 and prr5 mutant alleles, here we established all possible single, double and triple prr mutants. They were examined extensively by comparing them with each other with regard to their phenotypes of circadian rhythms, photoperiodicity-dependent control of flowering time and photomorphogenic responses to red light during de-etiolation. Notably, the prr9 prr7 prr5 triple lesions in plants resulted in severe phenotypes: (i) arrhythmia in the continuous light conditions, and an anomalous phasing of diurnal oscillation of certain circadian-controlled genes even in the entrained light/dark cycle conditions; (ii) late flowering that was no longer sensitive to the photoperiodicity; and (iii) hyposensitivity (or blind) to red light in the photomorphogenic responses. The phenotypes of the single and double mutants were also characterized extensively, showing that they exhibited circadian-associated phenotypes characteristic for each. These results are discussed from the viewpoint that PRR9/PRR7/PRR5 together act as period-controlling factors, and they play overlapping and distinctive roles close to (or within) the central oscillator in which the relative, PRR1/TOC1, plays an essential role.","container-title":"Plant and Cell Physiology","DOI":"10.1093/pcp/pci086","ISSN":"0032-0781, 1471-9053","issue":"5","journalAbbreviation":"Plant Cell Physiol","language":"en","note":"PMID: 15767265","page":"686-698","source":"pcp.oxfordjournals.org","title":"PSEUDO-RESPONSE REGULATORS, PRR9, PRR7 and PRR5, Together Play Essential Roles Close to the Circadian Clock of Arabidopsis thaliana","volume":"46","author":[{"family":"Nakamichi","given":"Norihito"},{"family":"Kita","given":"Masanori"},{"family":"Ito","given":"Shogo"},{"family":"Yamashino","given":"Takafumi"},{"family":"Mizuno","given":"Takeshi"}],"issued":{"date-parts":[["2005",1,5]]}}},{"id":2561,"uris":["http://zotero.org/users/2970095/items/GE4UT5XJ"],"uri":["http://zotero.org/users/2970095/items/GE4UT5XJ"],"itemData":{"id":2561,"type":"article-journal","abstract":"Time measurement and light detection are inextricably linked. Cryptochromes, the blue-light photoreceptors shared between plants and animals, are critical for circadian rhythms in flies and mice 1, 2, 3. WC-1, a putative blue-light photoreceptor, is also essential for the maintenance of circadian rhythms in Neurospora[4]. In contrast, we report here that in Arabidopsis thaliana the double mutant lacking the cryptochromes cry1 and cry2, and even a quadruple mutant lacking the red/far-red photoreceptor phytochromes phyA and phyB as well as cry1 and cry2, retain robust circadian rhythmicity. Interestingly, the quadruple mutant was nearly blind for developmental responses but perceived a light cue for entraining the circadian clock. These results indicate that cryptochromes and phytochromes are not essential components of the central oscillator in Arabidopsis and suggest that plants could possess specific photosensory mechanisms for temporal orientation, in addition to cryptochromes and phytochromes, which are used for both spatial and temporal adaptation.","container-title":"Current Biology","DOI":"10.1016/S0960-9822(00)00651-5","ISSN":"0960-9822","issue":"16","journalAbbreviation":"Current Biology","page":"1013-1015","source":"ScienceDirect","title":"A quadruple photoreceptor mutant still keeps track of time","volume":"10","author":[{"family":"Yanovsky","given":"Marcelo J"},{"family":"Mazzella","given":"M. Agustina"},{"family":"Casal","given":"Jorge J"}],"issued":{"date-parts":[["2000",8,14]]}}},{"id":3483,"uris":["http://zotero.org/users/2970095/items/CURDFVFL"],"uri":["http://zotero.org/users/2970095/items/CURDFVFL"],"itemData":{"id":3483,"type":"article-journal","abstract":"Arabidopsis DREB2A is a key transcription factor of heat- and drought-responsive gene expression, and DREB2A expression is induced by these stresses. We analyzed the DREB2A promoter and found a heat shock element that functions as a cis-acting element in the heat shock (HS)-responsive expression of DREB2A. Among the 21 Arabidopsis heat shock factors, we chose 4 HsfA1-type proteins as candidate transcriptional activators (HsfA1a, HsfA1b, HsfA1d, and HsfA1e) based on transactivation activity and expression patterns. We generated multiple mutants and found that the HS-responsive expression of DREB2A disappeared in hsfa1a/b/d triple and hsfa1a/b/d/e quadruple mutants. Moreover, HS-responsive gene expression, including that of molecular chaperones and transcription factors, was globally and drastically impaired in the hsfa1a/b/d triple mutant, which exhibited greatly reduced tolerance to HS stress. HsfA1 protein accumulation in the nucleus was negatively regulated by their interactions with HSP90, and other factors potentially strongly activate the HsfA1 proteins under HS stress. The hsfa1a/b/d/e quadruple mutant showed severe growth retardation, and many genes were downregulated in this mutant even under non-stress conditions. Our study indicates that HsfA1a, HsfA1b, and HsfA1d function as main positive regulators in HS-responsive gene expression and four HsfA1-type proteins are important in gene expression for normal plant growth.","container-title":"Molecular Genetics and Genomics","DOI":"10.1007/s00438-011-0647-7","ISSN":"1617-4623","issue":"5","journalAbbreviation":"Mol Genet Genomics","language":"en","page":"321-332","source":"Springer Link","title":"Arabidopsis HsfA1 transcription factors function as the main positive regulators in heat shock-responsive gene expression","volume":"286","author":[{"family":"Yoshida","given":"Takumi"},{"family":"Ohama","given":"Naohiko"},{"family":"Nakajima","given":"Jun"},{"family":"Kidokoro","given":"Satoshi"},{"family":"Mizoi","given":"Junya"},{"family":"Nakashima","given":"Kazuo"},{"family":"Maruyama","given":"Kyonoshin"},{"family":"Kim","given":"Jong-Myong"},{"family":"Seki","given":"Motoaki"},{"family":"Todaka","given":"Daisuke"},{"family":"Osakabe","given":"Yuriko"},{"family":"Sakuma","given":"Yoh"},{"family":"Schöffl","given":"Friedrich"},{"family":"Shinozaki","given":"Kazuo"},{"family":"Yamaguchi-Shinozaki","given":"Kazuko"}],"issued":{"date-parts":[["2011",12,1]]}}}],"schema":"https://github.com/citation-style-language/schema/raw/master/csl-citation.json"} </w:instrText>
      </w:r>
      <w:r w:rsidR="008F0C61">
        <w:rPr>
          <w:rFonts w:ascii="Arial" w:hAnsi="Arial" w:cs="Arial"/>
        </w:rPr>
        <w:fldChar w:fldCharType="separate"/>
      </w:r>
      <w:r w:rsidR="008F0C61" w:rsidRPr="008F0C61">
        <w:rPr>
          <w:rFonts w:ascii="Arial" w:hAnsi="Arial" w:cs="Arial"/>
        </w:rPr>
        <w:t>(</w:t>
      </w:r>
      <w:proofErr w:type="spellStart"/>
      <w:r w:rsidR="008F0C61" w:rsidRPr="008F0C61">
        <w:rPr>
          <w:rFonts w:ascii="Arial" w:hAnsi="Arial" w:cs="Arial"/>
        </w:rPr>
        <w:t>Nakamichi</w:t>
      </w:r>
      <w:proofErr w:type="spellEnd"/>
      <w:r w:rsidR="008F0C61" w:rsidRPr="008F0C61">
        <w:rPr>
          <w:rFonts w:ascii="Arial" w:hAnsi="Arial" w:cs="Arial"/>
        </w:rPr>
        <w:t xml:space="preserve"> et al., 2005; Yanovsky et al., 2000; Yoshida et al., 2011)</w:t>
      </w:r>
      <w:r w:rsidR="008F0C61">
        <w:rPr>
          <w:rFonts w:ascii="Arial" w:hAnsi="Arial" w:cs="Arial"/>
        </w:rPr>
        <w:fldChar w:fldCharType="end"/>
      </w:r>
      <w:r w:rsidR="008F0C61">
        <w:rPr>
          <w:rFonts w:ascii="Arial" w:hAnsi="Arial" w:cs="Arial"/>
        </w:rPr>
        <w:t>.</w:t>
      </w:r>
      <w:r w:rsidR="008F0C61" w:rsidRPr="005D6489">
        <w:rPr>
          <w:rFonts w:ascii="Arial" w:hAnsi="Arial" w:cs="Arial"/>
        </w:rPr>
        <w:t xml:space="preserve"> </w:t>
      </w:r>
      <w:r w:rsidRPr="005D6489">
        <w:rPr>
          <w:rFonts w:ascii="Arial" w:hAnsi="Arial" w:cs="Arial"/>
        </w:rPr>
        <w:t xml:space="preserve">These were sampled at the most </w:t>
      </w:r>
      <w:r w:rsidRPr="005D6489">
        <w:rPr>
          <w:rFonts w:ascii="Arial" w:hAnsi="Arial" w:cs="Arial"/>
        </w:rPr>
        <w:lastRenderedPageBreak/>
        <w:t xml:space="preserve">informative time points according to </w:t>
      </w:r>
      <w:proofErr w:type="spellStart"/>
      <w:r w:rsidRPr="005D6489">
        <w:rPr>
          <w:rFonts w:ascii="Arial" w:hAnsi="Arial" w:cs="Arial"/>
        </w:rPr>
        <w:t>NITPicker</w:t>
      </w:r>
      <w:proofErr w:type="spellEnd"/>
      <w:r w:rsidRPr="005D6489">
        <w:rPr>
          <w:rFonts w:ascii="Arial" w:hAnsi="Arial" w:cs="Arial"/>
        </w:rPr>
        <w:t> </w:t>
      </w:r>
      <w:r w:rsidR="008F0C61">
        <w:rPr>
          <w:rFonts w:ascii="Arial" w:hAnsi="Arial" w:cs="Arial"/>
        </w:rPr>
        <w:fldChar w:fldCharType="begin"/>
      </w:r>
      <w:r w:rsidR="008F0C61">
        <w:rPr>
          <w:rFonts w:ascii="Arial" w:hAnsi="Arial" w:cs="Arial"/>
        </w:rPr>
        <w:instrText xml:space="preserve"> ADDIN ZOTERO_ITEM CSL_CITATION {"citationID":"yOixgbO8","properties":{"formattedCitation":"(Ezer and Keir, 2019)","plainCitation":"(Ezer and Keir, 2019)","noteIndex":0},"citationItems":[{"id":3508,"uris":["http://zotero.org/users/2970095/items/8393NAFT"],"uri":["http://zotero.org/users/2970095/items/8393NAFT"],"itemData":{"id":3508,"type":"article-journal","abstract":"The design of an experiment influences both what a researcher can measure, as well as how much confidence can be placed in the results. As such, it is vitally important that experimental design decisions do not systematically bias research outcomes. At the same time, making optimal design decisions can produce results leading to statistically stronger conclusions. Deciding where and when to sample are among the most critical aspects of many experimental designs; for example, we might have to choose the time points at which to measure some quantity in a time series experiment. Choosing times which are too far apart could result in missing short bursts of activity. On the other hand, there may be time points which provide very little information regarding the overall behaviour of the quantity in question.","container-title":"BMC Bioinformatics","DOI":"10.1186/s12859-019-2717-5","ISSN":"1471-2105","issue":"1","journalAbbreviation":"BMC Bioinformatics","page":"166","source":"BioMed Central","title":"NITPicker: selecting time points for follow-up experiments","title-short":"NITPicker","volume":"20","author":[{"family":"Ezer","given":"Daphne"},{"family":"Keir","given":"Joseph"}],"issued":{"date-parts":[["2019",4,2]]}}}],"schema":"https://github.com/citation-style-language/schema/raw/master/csl-citation.json"} </w:instrText>
      </w:r>
      <w:r w:rsidR="008F0C61">
        <w:rPr>
          <w:rFonts w:ascii="Arial" w:hAnsi="Arial" w:cs="Arial"/>
        </w:rPr>
        <w:fldChar w:fldCharType="separate"/>
      </w:r>
      <w:r w:rsidR="008F0C61" w:rsidRPr="008F0C61">
        <w:rPr>
          <w:rFonts w:ascii="Arial" w:hAnsi="Arial" w:cs="Arial"/>
        </w:rPr>
        <w:t>(Ezer and Keir, 2019)</w:t>
      </w:r>
      <w:r w:rsidR="008F0C61">
        <w:rPr>
          <w:rFonts w:ascii="Arial" w:hAnsi="Arial" w:cs="Arial"/>
        </w:rPr>
        <w:fldChar w:fldCharType="end"/>
      </w:r>
      <w:r w:rsidRPr="005D6489">
        <w:rPr>
          <w:rFonts w:ascii="Arial" w:hAnsi="Arial" w:cs="Arial"/>
        </w:rPr>
        <w:t xml:space="preserve">. We observe </w:t>
      </w:r>
      <w:r w:rsidR="0010563B">
        <w:rPr>
          <w:rFonts w:ascii="Arial" w:hAnsi="Arial" w:cs="Arial"/>
        </w:rPr>
        <w:t>similar</w:t>
      </w:r>
      <w:r w:rsidRPr="005D6489">
        <w:rPr>
          <w:rFonts w:ascii="Arial" w:hAnsi="Arial" w:cs="Arial"/>
        </w:rPr>
        <w:t xml:space="preserve"> patterns of expression in this subset of time points as we were able to see in the original time series in Col-0 (</w:t>
      </w:r>
      <w:r w:rsidRPr="005D6489">
        <w:rPr>
          <w:rFonts w:ascii="Arial" w:hAnsi="Arial" w:cs="Arial"/>
          <w:b/>
        </w:rPr>
        <w:t>Figure 2C</w:t>
      </w:r>
      <w:r w:rsidR="0068476B">
        <w:rPr>
          <w:rFonts w:ascii="Arial" w:hAnsi="Arial" w:cs="Arial"/>
          <w:b/>
        </w:rPr>
        <w:t xml:space="preserve">). </w:t>
      </w:r>
      <w:r w:rsidR="00B36AA9">
        <w:rPr>
          <w:rFonts w:ascii="Arial" w:hAnsi="Arial" w:cs="Arial"/>
        </w:rPr>
        <w:t xml:space="preserve">There was strong temporal autocorrelation within each time series </w:t>
      </w:r>
      <w:r w:rsidR="00B36AA9" w:rsidRPr="004E0A36">
        <w:rPr>
          <w:rFonts w:ascii="Arial" w:hAnsi="Arial" w:cs="Arial"/>
          <w:b/>
        </w:rPr>
        <w:t>(Figure S2A)</w:t>
      </w:r>
      <w:r w:rsidR="00B36AA9">
        <w:rPr>
          <w:rFonts w:ascii="Arial" w:hAnsi="Arial" w:cs="Arial"/>
          <w:b/>
        </w:rPr>
        <w:t>,</w:t>
      </w:r>
      <w:r w:rsidR="00B36AA9" w:rsidRPr="004E0A36">
        <w:rPr>
          <w:rFonts w:ascii="Arial" w:hAnsi="Arial" w:cs="Arial"/>
        </w:rPr>
        <w:t xml:space="preserve"> suggesting</w:t>
      </w:r>
      <w:r w:rsidR="00B36AA9" w:rsidRPr="00B36AA9">
        <w:rPr>
          <w:rFonts w:ascii="Arial" w:hAnsi="Arial" w:cs="Arial"/>
        </w:rPr>
        <w:t xml:space="preserve"> </w:t>
      </w:r>
      <w:r w:rsidR="00B36AA9">
        <w:rPr>
          <w:rFonts w:ascii="Arial" w:hAnsi="Arial" w:cs="Arial"/>
        </w:rPr>
        <w:t xml:space="preserve">that gene expression varied smoothly over time, and consistent gene expression patterns across Col-0 biological replicates </w:t>
      </w:r>
      <w:r w:rsidR="00B36AA9" w:rsidRPr="004E0A36">
        <w:rPr>
          <w:rFonts w:ascii="Arial" w:hAnsi="Arial" w:cs="Arial"/>
          <w:b/>
        </w:rPr>
        <w:t>(Figure S2B)</w:t>
      </w:r>
      <w:r w:rsidR="00B36AA9">
        <w:rPr>
          <w:rFonts w:ascii="Arial" w:hAnsi="Arial" w:cs="Arial"/>
        </w:rPr>
        <w:t xml:space="preserve">, despite different sequencing protocols being used.  </w:t>
      </w:r>
      <w:r w:rsidR="0010563B">
        <w:rPr>
          <w:rFonts w:ascii="Arial" w:hAnsi="Arial" w:cs="Arial"/>
        </w:rPr>
        <w:t xml:space="preserve">To </w:t>
      </w:r>
      <w:r w:rsidR="00A6401E">
        <w:rPr>
          <w:rFonts w:ascii="Arial" w:hAnsi="Arial" w:cs="Arial"/>
        </w:rPr>
        <w:t xml:space="preserve">be able to detect common patterns of regulation among these genes, we re-clustered each of the five main </w:t>
      </w:r>
      <w:r w:rsidR="0069480E">
        <w:rPr>
          <w:rFonts w:ascii="Arial" w:hAnsi="Arial" w:cs="Arial"/>
        </w:rPr>
        <w:t>gene groups</w:t>
      </w:r>
      <w:r w:rsidR="00A6401E">
        <w:rPr>
          <w:rFonts w:ascii="Arial" w:hAnsi="Arial" w:cs="Arial"/>
        </w:rPr>
        <w:t xml:space="preserve"> separately (</w:t>
      </w:r>
      <w:r w:rsidR="00A6401E">
        <w:rPr>
          <w:rFonts w:ascii="Arial" w:hAnsi="Arial" w:cs="Arial"/>
          <w:b/>
        </w:rPr>
        <w:t xml:space="preserve">Figure </w:t>
      </w:r>
      <w:r w:rsidR="00E45AAD">
        <w:rPr>
          <w:rFonts w:ascii="Arial" w:hAnsi="Arial" w:cs="Arial"/>
          <w:b/>
        </w:rPr>
        <w:t>S5A</w:t>
      </w:r>
      <w:r w:rsidR="00A6401E">
        <w:rPr>
          <w:rFonts w:ascii="Arial" w:hAnsi="Arial" w:cs="Arial"/>
          <w:b/>
        </w:rPr>
        <w:t xml:space="preserve">, Table </w:t>
      </w:r>
      <w:r w:rsidR="00924A25">
        <w:rPr>
          <w:rFonts w:ascii="Arial" w:hAnsi="Arial" w:cs="Arial"/>
          <w:b/>
        </w:rPr>
        <w:t>S5</w:t>
      </w:r>
      <w:r w:rsidR="00A6401E">
        <w:rPr>
          <w:rFonts w:ascii="Arial" w:hAnsi="Arial" w:cs="Arial"/>
          <w:b/>
        </w:rPr>
        <w:t>).</w:t>
      </w:r>
      <w:r w:rsidR="00A6401E">
        <w:rPr>
          <w:rFonts w:ascii="Arial" w:hAnsi="Arial" w:cs="Arial"/>
        </w:rPr>
        <w:t xml:space="preserve">  </w:t>
      </w:r>
      <w:r w:rsidR="00E7722C">
        <w:rPr>
          <w:rFonts w:ascii="Arial" w:hAnsi="Arial" w:cs="Arial"/>
        </w:rPr>
        <w:t xml:space="preserve">Of 760 transcription factor genes </w:t>
      </w:r>
      <w:r w:rsidR="007611FA">
        <w:rPr>
          <w:rFonts w:ascii="Arial" w:hAnsi="Arial" w:cs="Arial"/>
        </w:rPr>
        <w:t>retained in this analysis</w:t>
      </w:r>
      <w:r w:rsidR="00E7722C">
        <w:rPr>
          <w:rFonts w:ascii="Arial" w:hAnsi="Arial" w:cs="Arial"/>
        </w:rPr>
        <w:t xml:space="preserve">, we find that roughly 50% show </w:t>
      </w:r>
      <w:r w:rsidR="00F82D6C">
        <w:rPr>
          <w:rFonts w:ascii="Arial" w:hAnsi="Arial" w:cs="Arial"/>
        </w:rPr>
        <w:t>similar trends</w:t>
      </w:r>
      <w:r w:rsidR="00E7722C">
        <w:rPr>
          <w:rFonts w:ascii="Arial" w:hAnsi="Arial" w:cs="Arial"/>
        </w:rPr>
        <w:t xml:space="preserve"> in expression </w:t>
      </w:r>
      <w:r w:rsidR="003F1AA6">
        <w:rPr>
          <w:rFonts w:ascii="Arial" w:hAnsi="Arial" w:cs="Arial"/>
        </w:rPr>
        <w:t>changes</w:t>
      </w:r>
      <w:r w:rsidR="00E7722C">
        <w:rPr>
          <w:rFonts w:ascii="Arial" w:hAnsi="Arial" w:cs="Arial"/>
        </w:rPr>
        <w:t xml:space="preserve"> in </w:t>
      </w:r>
      <w:proofErr w:type="spellStart"/>
      <w:r w:rsidR="00E7722C" w:rsidRPr="008C6C8F">
        <w:rPr>
          <w:rFonts w:ascii="Arial" w:hAnsi="Arial" w:cs="Arial"/>
          <w:i/>
        </w:rPr>
        <w:t>phyA</w:t>
      </w:r>
      <w:proofErr w:type="spellEnd"/>
      <w:r w:rsidR="00E7722C" w:rsidRPr="008C6C8F">
        <w:rPr>
          <w:rFonts w:ascii="Arial" w:hAnsi="Arial" w:cs="Arial"/>
          <w:i/>
        </w:rPr>
        <w:t xml:space="preserve"> </w:t>
      </w:r>
      <w:proofErr w:type="spellStart"/>
      <w:r w:rsidR="00E7722C" w:rsidRPr="008C6C8F">
        <w:rPr>
          <w:rFonts w:ascii="Arial" w:hAnsi="Arial" w:cs="Arial"/>
          <w:i/>
        </w:rPr>
        <w:t>phyB</w:t>
      </w:r>
      <w:proofErr w:type="spellEnd"/>
      <w:r w:rsidR="00E7722C" w:rsidRPr="008C6C8F">
        <w:rPr>
          <w:rFonts w:ascii="Arial" w:hAnsi="Arial" w:cs="Arial"/>
          <w:i/>
        </w:rPr>
        <w:t xml:space="preserve"> cry1 cry2</w:t>
      </w:r>
      <w:r w:rsidR="00E7722C">
        <w:rPr>
          <w:rFonts w:ascii="Arial" w:hAnsi="Arial" w:cs="Arial"/>
        </w:rPr>
        <w:t xml:space="preserve"> and </w:t>
      </w:r>
      <w:r w:rsidR="00E7722C" w:rsidRPr="008C6C8F">
        <w:rPr>
          <w:rFonts w:ascii="Arial" w:hAnsi="Arial" w:cs="Arial"/>
          <w:i/>
        </w:rPr>
        <w:t>prr5 prr7 prr9</w:t>
      </w:r>
      <w:r w:rsidR="001A1AFA" w:rsidRPr="001A1AFA">
        <w:rPr>
          <w:rFonts w:ascii="Arial" w:hAnsi="Arial" w:cs="Arial"/>
        </w:rPr>
        <w:t xml:space="preserve"> </w:t>
      </w:r>
      <w:r w:rsidR="001A1AFA">
        <w:rPr>
          <w:rFonts w:ascii="Arial" w:hAnsi="Arial" w:cs="Arial"/>
        </w:rPr>
        <w:t>compared to the respective wild types</w:t>
      </w:r>
      <w:r w:rsidR="00683E4F">
        <w:rPr>
          <w:rFonts w:ascii="Arial" w:hAnsi="Arial" w:cs="Arial"/>
        </w:rPr>
        <w:t xml:space="preserve">, </w:t>
      </w:r>
      <w:proofErr w:type="gramStart"/>
      <w:r w:rsidR="00683E4F">
        <w:rPr>
          <w:rFonts w:ascii="Arial" w:hAnsi="Arial" w:cs="Arial"/>
        </w:rPr>
        <w:t>i.e.</w:t>
      </w:r>
      <w:proofErr w:type="gramEnd"/>
      <w:r w:rsidR="00683E4F">
        <w:rPr>
          <w:rFonts w:ascii="Arial" w:hAnsi="Arial" w:cs="Arial"/>
        </w:rPr>
        <w:t xml:space="preserve"> they either show up- or downregulation in both mutants (e.g. </w:t>
      </w:r>
      <w:r w:rsidR="00F82D6C">
        <w:rPr>
          <w:rFonts w:ascii="Arial" w:hAnsi="Arial" w:cs="Arial"/>
        </w:rPr>
        <w:t xml:space="preserve">the </w:t>
      </w:r>
      <w:r w:rsidR="007611FA">
        <w:rPr>
          <w:rFonts w:ascii="Arial" w:hAnsi="Arial" w:cs="Arial"/>
        </w:rPr>
        <w:t xml:space="preserve">large sub-clusters </w:t>
      </w:r>
      <w:r w:rsidR="003F1AA6">
        <w:rPr>
          <w:rFonts w:ascii="Arial" w:hAnsi="Arial" w:cs="Arial"/>
        </w:rPr>
        <w:t>1-2</w:t>
      </w:r>
      <w:r w:rsidR="00E7722C">
        <w:rPr>
          <w:rFonts w:ascii="Arial" w:hAnsi="Arial" w:cs="Arial"/>
        </w:rPr>
        <w:t>-</w:t>
      </w:r>
      <w:r w:rsidR="003F1AA6">
        <w:rPr>
          <w:rFonts w:ascii="Arial" w:hAnsi="Arial" w:cs="Arial"/>
        </w:rPr>
        <w:t>III</w:t>
      </w:r>
      <w:r w:rsidR="00F82D6C">
        <w:rPr>
          <w:rFonts w:ascii="Arial" w:hAnsi="Arial" w:cs="Arial"/>
        </w:rPr>
        <w:t xml:space="preserve"> and</w:t>
      </w:r>
      <w:r w:rsidR="007611FA">
        <w:rPr>
          <w:rFonts w:ascii="Arial" w:hAnsi="Arial" w:cs="Arial"/>
        </w:rPr>
        <w:t xml:space="preserve"> </w:t>
      </w:r>
      <w:r w:rsidR="003F1AA6">
        <w:rPr>
          <w:rFonts w:ascii="Arial" w:hAnsi="Arial" w:cs="Arial"/>
        </w:rPr>
        <w:t>5-6</w:t>
      </w:r>
      <w:r w:rsidR="007611FA">
        <w:rPr>
          <w:rFonts w:ascii="Arial" w:hAnsi="Arial" w:cs="Arial"/>
        </w:rPr>
        <w:t>-</w:t>
      </w:r>
      <w:r w:rsidR="00683E4F">
        <w:rPr>
          <w:rFonts w:ascii="Arial" w:hAnsi="Arial" w:cs="Arial"/>
        </w:rPr>
        <w:t>IX)</w:t>
      </w:r>
      <w:r w:rsidR="001A1AFA">
        <w:rPr>
          <w:rFonts w:ascii="Arial" w:hAnsi="Arial" w:cs="Arial"/>
        </w:rPr>
        <w:t>. On the other hand, a</w:t>
      </w:r>
      <w:r w:rsidR="001F6D4D">
        <w:rPr>
          <w:rFonts w:ascii="Arial" w:hAnsi="Arial" w:cs="Arial"/>
        </w:rPr>
        <w:t>pproximately 200</w:t>
      </w:r>
      <w:r w:rsidR="00E7722C">
        <w:rPr>
          <w:rFonts w:ascii="Arial" w:hAnsi="Arial" w:cs="Arial"/>
        </w:rPr>
        <w:t xml:space="preserve"> </w:t>
      </w:r>
      <w:r w:rsidR="00126C83">
        <w:rPr>
          <w:rFonts w:ascii="Arial" w:hAnsi="Arial" w:cs="Arial"/>
        </w:rPr>
        <w:t xml:space="preserve">genes </w:t>
      </w:r>
      <w:r w:rsidR="00E7722C">
        <w:rPr>
          <w:rFonts w:ascii="Arial" w:hAnsi="Arial" w:cs="Arial"/>
        </w:rPr>
        <w:t xml:space="preserve">show distinct </w:t>
      </w:r>
      <w:r w:rsidR="002761A4">
        <w:rPr>
          <w:rFonts w:ascii="Arial" w:hAnsi="Arial" w:cs="Arial"/>
        </w:rPr>
        <w:t>expression changes</w:t>
      </w:r>
      <w:r w:rsidR="00E7722C">
        <w:rPr>
          <w:rFonts w:ascii="Arial" w:hAnsi="Arial" w:cs="Arial"/>
        </w:rPr>
        <w:t xml:space="preserve"> </w:t>
      </w:r>
      <w:r w:rsidR="00A51C4C">
        <w:rPr>
          <w:rFonts w:ascii="Arial" w:hAnsi="Arial" w:cs="Arial"/>
        </w:rPr>
        <w:t xml:space="preserve">in </w:t>
      </w:r>
      <w:r w:rsidR="00D50423">
        <w:rPr>
          <w:rFonts w:ascii="Arial" w:hAnsi="Arial" w:cs="Arial"/>
        </w:rPr>
        <w:t xml:space="preserve">one of </w:t>
      </w:r>
      <w:r w:rsidR="00A51C4C">
        <w:rPr>
          <w:rFonts w:ascii="Arial" w:hAnsi="Arial" w:cs="Arial"/>
        </w:rPr>
        <w:t>the two mutants</w:t>
      </w:r>
      <w:r w:rsidR="001A1AFA">
        <w:rPr>
          <w:rFonts w:ascii="Arial" w:hAnsi="Arial" w:cs="Arial"/>
        </w:rPr>
        <w:t xml:space="preserve">, </w:t>
      </w:r>
      <w:proofErr w:type="gramStart"/>
      <w:r w:rsidR="001A1AFA">
        <w:rPr>
          <w:rFonts w:ascii="Arial" w:hAnsi="Arial" w:cs="Arial"/>
        </w:rPr>
        <w:t>i.e.</w:t>
      </w:r>
      <w:proofErr w:type="gramEnd"/>
      <w:r w:rsidR="001A1AFA">
        <w:rPr>
          <w:rFonts w:ascii="Arial" w:hAnsi="Arial" w:cs="Arial"/>
        </w:rPr>
        <w:t xml:space="preserve"> they are </w:t>
      </w:r>
      <w:proofErr w:type="spellStart"/>
      <w:r w:rsidR="001A1AFA">
        <w:rPr>
          <w:rFonts w:ascii="Arial" w:hAnsi="Arial" w:cs="Arial"/>
        </w:rPr>
        <w:t>misregulated</w:t>
      </w:r>
      <w:proofErr w:type="spellEnd"/>
      <w:r w:rsidR="001A1AFA">
        <w:rPr>
          <w:rFonts w:ascii="Arial" w:hAnsi="Arial" w:cs="Arial"/>
        </w:rPr>
        <w:t xml:space="preserve"> in only one background or show opposite trends in the two mutants</w:t>
      </w:r>
      <w:r w:rsidR="001F6D4D">
        <w:rPr>
          <w:rFonts w:ascii="Arial" w:hAnsi="Arial" w:cs="Arial"/>
        </w:rPr>
        <w:t xml:space="preserve"> </w:t>
      </w:r>
      <w:r w:rsidR="00E7722C">
        <w:rPr>
          <w:rFonts w:ascii="Arial" w:hAnsi="Arial" w:cs="Arial"/>
        </w:rPr>
        <w:t xml:space="preserve">(e.g. </w:t>
      </w:r>
      <w:r w:rsidR="002761A4">
        <w:rPr>
          <w:rFonts w:ascii="Arial" w:hAnsi="Arial" w:cs="Arial"/>
        </w:rPr>
        <w:t xml:space="preserve">sub-clusters </w:t>
      </w:r>
      <w:r w:rsidR="00683E4F">
        <w:rPr>
          <w:rFonts w:ascii="Arial" w:hAnsi="Arial" w:cs="Arial"/>
        </w:rPr>
        <w:t>3-4</w:t>
      </w:r>
      <w:r w:rsidR="00E7722C" w:rsidRPr="00E7722C">
        <w:rPr>
          <w:rFonts w:ascii="Arial" w:hAnsi="Arial" w:cs="Arial"/>
        </w:rPr>
        <w:t>-</w:t>
      </w:r>
      <w:r w:rsidR="00683E4F">
        <w:rPr>
          <w:rFonts w:ascii="Arial" w:hAnsi="Arial" w:cs="Arial"/>
        </w:rPr>
        <w:t>IX</w:t>
      </w:r>
      <w:r w:rsidR="00F90057">
        <w:rPr>
          <w:rFonts w:ascii="Arial" w:hAnsi="Arial" w:cs="Arial"/>
        </w:rPr>
        <w:t xml:space="preserve"> and 5-6-X</w:t>
      </w:r>
      <w:r w:rsidR="00E7722C">
        <w:rPr>
          <w:rFonts w:ascii="Arial" w:hAnsi="Arial" w:cs="Arial"/>
        </w:rPr>
        <w:t>)</w:t>
      </w:r>
      <w:r w:rsidR="001A1AFA">
        <w:rPr>
          <w:rFonts w:ascii="Arial" w:hAnsi="Arial" w:cs="Arial"/>
        </w:rPr>
        <w:t>.</w:t>
      </w:r>
      <w:r w:rsidR="001F6D4D">
        <w:rPr>
          <w:rFonts w:ascii="Arial" w:hAnsi="Arial" w:cs="Arial"/>
        </w:rPr>
        <w:t xml:space="preserve"> </w:t>
      </w:r>
      <w:r w:rsidR="008B7823" w:rsidRPr="008B7823">
        <w:rPr>
          <w:rFonts w:ascii="Arial" w:hAnsi="Arial" w:cs="Arial"/>
        </w:rPr>
        <w:t xml:space="preserve">Compared to the photoreceptor and clock mutants, fewer sub-clusters show </w:t>
      </w:r>
      <w:r w:rsidR="00B35307">
        <w:rPr>
          <w:rFonts w:ascii="Arial" w:hAnsi="Arial" w:cs="Arial"/>
        </w:rPr>
        <w:t xml:space="preserve">clear misexpression in </w:t>
      </w:r>
      <w:r w:rsidR="00B35307" w:rsidRPr="008C4349">
        <w:rPr>
          <w:rFonts w:ascii="Arial" w:hAnsi="Arial" w:cs="Arial"/>
          <w:i/>
        </w:rPr>
        <w:t>hsfa1QK</w:t>
      </w:r>
      <w:r w:rsidR="00B35307">
        <w:rPr>
          <w:rFonts w:ascii="Arial" w:hAnsi="Arial" w:cs="Arial"/>
        </w:rPr>
        <w:t xml:space="preserve">, which </w:t>
      </w:r>
      <w:r w:rsidR="0055799B">
        <w:rPr>
          <w:rFonts w:ascii="Arial" w:hAnsi="Arial" w:cs="Arial"/>
        </w:rPr>
        <w:t>is consistent with</w:t>
      </w:r>
      <w:r w:rsidR="008B7823" w:rsidRPr="008B7823">
        <w:rPr>
          <w:rFonts w:ascii="Arial" w:hAnsi="Arial" w:cs="Arial"/>
        </w:rPr>
        <w:t xml:space="preserve"> HSFA1 regulat</w:t>
      </w:r>
      <w:r w:rsidR="0055799B">
        <w:rPr>
          <w:rFonts w:ascii="Arial" w:hAnsi="Arial" w:cs="Arial"/>
        </w:rPr>
        <w:t>ing</w:t>
      </w:r>
      <w:r w:rsidR="008B7823" w:rsidRPr="008B7823">
        <w:rPr>
          <w:rFonts w:ascii="Arial" w:hAnsi="Arial" w:cs="Arial"/>
        </w:rPr>
        <w:t xml:space="preserve"> </w:t>
      </w:r>
      <w:r w:rsidR="0055799B">
        <w:rPr>
          <w:rFonts w:ascii="Arial" w:hAnsi="Arial" w:cs="Arial"/>
        </w:rPr>
        <w:t>many</w:t>
      </w:r>
      <w:r w:rsidR="008B7823" w:rsidRPr="008B7823">
        <w:rPr>
          <w:rFonts w:ascii="Arial" w:hAnsi="Arial" w:cs="Arial"/>
        </w:rPr>
        <w:t xml:space="preserve"> non-TF targets, </w:t>
      </w:r>
      <w:r w:rsidR="0055799B">
        <w:rPr>
          <w:rFonts w:ascii="Arial" w:hAnsi="Arial" w:cs="Arial"/>
        </w:rPr>
        <w:t>in particular</w:t>
      </w:r>
      <w:r w:rsidR="008B7823" w:rsidRPr="008B7823">
        <w:rPr>
          <w:rFonts w:ascii="Arial" w:hAnsi="Arial" w:cs="Arial"/>
        </w:rPr>
        <w:t xml:space="preserve"> heat shock proteins (Dickinson et al., 2018). </w:t>
      </w:r>
      <w:r w:rsidR="00EA66B9">
        <w:rPr>
          <w:rFonts w:ascii="Arial" w:hAnsi="Arial" w:cs="Arial"/>
        </w:rPr>
        <w:t>The</w:t>
      </w:r>
      <w:r w:rsidR="0071795E">
        <w:rPr>
          <w:rFonts w:ascii="Arial" w:hAnsi="Arial" w:cs="Arial"/>
        </w:rPr>
        <w:t xml:space="preserve"> mutant-specific</w:t>
      </w:r>
      <w:r w:rsidR="00EA66B9">
        <w:rPr>
          <w:rFonts w:ascii="Arial" w:hAnsi="Arial" w:cs="Arial"/>
        </w:rPr>
        <w:t xml:space="preserve"> differences </w:t>
      </w:r>
      <w:r w:rsidR="0071795E">
        <w:rPr>
          <w:rFonts w:ascii="Arial" w:hAnsi="Arial" w:cs="Arial"/>
        </w:rPr>
        <w:t xml:space="preserve">in gene expression </w:t>
      </w:r>
      <w:r w:rsidR="00EA66B9">
        <w:rPr>
          <w:rFonts w:ascii="Arial" w:hAnsi="Arial" w:cs="Arial"/>
        </w:rPr>
        <w:t>are described in depth in</w:t>
      </w:r>
      <w:r w:rsidR="00D41DE7">
        <w:rPr>
          <w:rFonts w:ascii="Arial" w:hAnsi="Arial" w:cs="Arial"/>
        </w:rPr>
        <w:t xml:space="preserve"> the legend of</w:t>
      </w:r>
      <w:r w:rsidR="0071795E">
        <w:rPr>
          <w:rFonts w:ascii="Arial" w:hAnsi="Arial" w:cs="Arial"/>
        </w:rPr>
        <w:t xml:space="preserve"> </w:t>
      </w:r>
      <w:r w:rsidR="00D41DE7" w:rsidRPr="00D41DE7">
        <w:rPr>
          <w:rFonts w:ascii="Arial" w:hAnsi="Arial" w:cs="Arial"/>
          <w:b/>
        </w:rPr>
        <w:t xml:space="preserve">Figure </w:t>
      </w:r>
      <w:r w:rsidR="00E45AAD" w:rsidRPr="00D41DE7">
        <w:rPr>
          <w:rFonts w:ascii="Arial" w:hAnsi="Arial" w:cs="Arial"/>
          <w:b/>
        </w:rPr>
        <w:t>S</w:t>
      </w:r>
      <w:r w:rsidR="00E45AAD">
        <w:rPr>
          <w:rFonts w:ascii="Arial" w:hAnsi="Arial" w:cs="Arial"/>
          <w:b/>
        </w:rPr>
        <w:t>5</w:t>
      </w:r>
      <w:r w:rsidR="00E45AAD" w:rsidRPr="00D41DE7">
        <w:rPr>
          <w:rFonts w:ascii="Arial" w:hAnsi="Arial" w:cs="Arial"/>
          <w:b/>
        </w:rPr>
        <w:t>A</w:t>
      </w:r>
      <w:r w:rsidR="0071795E">
        <w:rPr>
          <w:rFonts w:ascii="Arial" w:hAnsi="Arial" w:cs="Arial"/>
        </w:rPr>
        <w:t>.</w:t>
      </w:r>
    </w:p>
    <w:p w14:paraId="1E275783" w14:textId="66DE17F2" w:rsidR="00924A25" w:rsidRPr="000E7265" w:rsidRDefault="00683E4F" w:rsidP="000E7265">
      <w:pPr>
        <w:pStyle w:val="FirstParagraph"/>
        <w:spacing w:line="360" w:lineRule="auto"/>
        <w:rPr>
          <w:rFonts w:ascii="Arial" w:hAnsi="Arial" w:cs="Arial"/>
        </w:rPr>
      </w:pPr>
      <w:r>
        <w:rPr>
          <w:rFonts w:ascii="Arial" w:hAnsi="Arial" w:cs="Arial"/>
        </w:rPr>
        <w:t>Thus, it appears that</w:t>
      </w:r>
      <w:r w:rsidR="002761A4">
        <w:rPr>
          <w:rFonts w:ascii="Arial" w:hAnsi="Arial" w:cs="Arial"/>
        </w:rPr>
        <w:t xml:space="preserve"> the circadian clock, classical light </w:t>
      </w:r>
      <w:proofErr w:type="spellStart"/>
      <w:r w:rsidR="002761A4">
        <w:rPr>
          <w:rFonts w:ascii="Arial" w:hAnsi="Arial" w:cs="Arial"/>
        </w:rPr>
        <w:t>signa</w:t>
      </w:r>
      <w:r w:rsidR="00822729">
        <w:rPr>
          <w:rFonts w:ascii="Arial" w:hAnsi="Arial" w:cs="Arial"/>
        </w:rPr>
        <w:t>l</w:t>
      </w:r>
      <w:r w:rsidR="002761A4">
        <w:rPr>
          <w:rFonts w:ascii="Arial" w:hAnsi="Arial" w:cs="Arial"/>
        </w:rPr>
        <w:t>ling</w:t>
      </w:r>
      <w:proofErr w:type="spellEnd"/>
      <w:r w:rsidR="002761A4">
        <w:rPr>
          <w:rFonts w:ascii="Arial" w:hAnsi="Arial" w:cs="Arial"/>
        </w:rPr>
        <w:t xml:space="preserve"> via</w:t>
      </w:r>
      <w:r>
        <w:rPr>
          <w:rFonts w:ascii="Arial" w:hAnsi="Arial" w:cs="Arial"/>
        </w:rPr>
        <w:t xml:space="preserve"> </w:t>
      </w:r>
      <w:r w:rsidR="002761A4">
        <w:rPr>
          <w:rFonts w:ascii="Arial" w:hAnsi="Arial" w:cs="Arial"/>
        </w:rPr>
        <w:t>phytochromes/cryptochromes and</w:t>
      </w:r>
      <w:r>
        <w:rPr>
          <w:rFonts w:ascii="Arial" w:hAnsi="Arial" w:cs="Arial"/>
        </w:rPr>
        <w:t>, to a lesser degree,</w:t>
      </w:r>
      <w:r w:rsidR="002761A4">
        <w:rPr>
          <w:rFonts w:ascii="Arial" w:hAnsi="Arial" w:cs="Arial"/>
        </w:rPr>
        <w:t xml:space="preserve"> chloroplast-derived light signals via HSFA1 </w:t>
      </w:r>
      <w:r w:rsidR="00F90057">
        <w:rPr>
          <w:rFonts w:ascii="Arial" w:hAnsi="Arial" w:cs="Arial"/>
        </w:rPr>
        <w:t>contribute to the coordination of TF gene expression</w:t>
      </w:r>
      <w:r w:rsidR="002761A4">
        <w:rPr>
          <w:rFonts w:ascii="Arial" w:hAnsi="Arial" w:cs="Arial"/>
        </w:rPr>
        <w:t xml:space="preserve"> in the early morning. </w:t>
      </w:r>
      <w:r w:rsidR="00126C83">
        <w:rPr>
          <w:rFonts w:ascii="Arial" w:hAnsi="Arial" w:cs="Arial"/>
        </w:rPr>
        <w:t xml:space="preserve">We </w:t>
      </w:r>
      <w:r w:rsidR="00D50423">
        <w:rPr>
          <w:rFonts w:ascii="Arial" w:hAnsi="Arial" w:cs="Arial"/>
        </w:rPr>
        <w:t xml:space="preserve">also </w:t>
      </w:r>
      <w:r w:rsidR="00126C83">
        <w:rPr>
          <w:rFonts w:ascii="Arial" w:hAnsi="Arial" w:cs="Arial"/>
        </w:rPr>
        <w:t>note that</w:t>
      </w:r>
      <w:r w:rsidR="002761A4">
        <w:rPr>
          <w:rFonts w:ascii="Arial" w:hAnsi="Arial" w:cs="Arial"/>
        </w:rPr>
        <w:t xml:space="preserve"> very few genes among the early expression bursts (clusters 7-10) show reduced expression in any mutant background</w:t>
      </w:r>
      <w:r w:rsidR="00126C83">
        <w:rPr>
          <w:rFonts w:ascii="Arial" w:hAnsi="Arial" w:cs="Arial"/>
        </w:rPr>
        <w:t xml:space="preserve">. This could be attributed to the fact that multiple </w:t>
      </w:r>
      <w:proofErr w:type="spellStart"/>
      <w:r w:rsidR="00126C83">
        <w:rPr>
          <w:rFonts w:ascii="Arial" w:hAnsi="Arial" w:cs="Arial"/>
        </w:rPr>
        <w:t>signa</w:t>
      </w:r>
      <w:r w:rsidR="00822729">
        <w:rPr>
          <w:rFonts w:ascii="Arial" w:hAnsi="Arial" w:cs="Arial"/>
        </w:rPr>
        <w:t>l</w:t>
      </w:r>
      <w:r w:rsidR="00126C83">
        <w:rPr>
          <w:rFonts w:ascii="Arial" w:hAnsi="Arial" w:cs="Arial"/>
        </w:rPr>
        <w:t>ling</w:t>
      </w:r>
      <w:proofErr w:type="spellEnd"/>
      <w:r w:rsidR="00126C83">
        <w:rPr>
          <w:rFonts w:ascii="Arial" w:hAnsi="Arial" w:cs="Arial"/>
        </w:rPr>
        <w:t xml:space="preserve"> routes need to be disrupted for </w:t>
      </w:r>
      <w:r w:rsidR="00A51C4C">
        <w:rPr>
          <w:rFonts w:ascii="Arial" w:hAnsi="Arial" w:cs="Arial"/>
        </w:rPr>
        <w:t>clear</w:t>
      </w:r>
      <w:r w:rsidR="00126C83">
        <w:rPr>
          <w:rFonts w:ascii="Arial" w:hAnsi="Arial" w:cs="Arial"/>
        </w:rPr>
        <w:t xml:space="preserve"> reduction to occur; </w:t>
      </w:r>
      <w:r w:rsidR="00D50423">
        <w:rPr>
          <w:rFonts w:ascii="Arial" w:hAnsi="Arial" w:cs="Arial"/>
        </w:rPr>
        <w:t>however</w:t>
      </w:r>
      <w:r w:rsidR="00126C83">
        <w:rPr>
          <w:rFonts w:ascii="Arial" w:hAnsi="Arial" w:cs="Arial"/>
        </w:rPr>
        <w:t xml:space="preserve">, </w:t>
      </w:r>
      <w:r w:rsidR="00D50423">
        <w:rPr>
          <w:rFonts w:ascii="Arial" w:hAnsi="Arial" w:cs="Arial"/>
        </w:rPr>
        <w:t xml:space="preserve">it is </w:t>
      </w:r>
      <w:r w:rsidR="00924A25">
        <w:rPr>
          <w:rFonts w:ascii="Arial" w:hAnsi="Arial" w:cs="Arial"/>
        </w:rPr>
        <w:t>likely</w:t>
      </w:r>
      <w:r w:rsidR="00D50423">
        <w:rPr>
          <w:rFonts w:ascii="Arial" w:hAnsi="Arial" w:cs="Arial"/>
        </w:rPr>
        <w:t xml:space="preserve"> that </w:t>
      </w:r>
      <w:r w:rsidR="00126C83">
        <w:rPr>
          <w:rFonts w:ascii="Arial" w:hAnsi="Arial" w:cs="Arial"/>
        </w:rPr>
        <w:t xml:space="preserve">additional light input pathways exist that are not covered in our analysis and contribute particularly to the control of </w:t>
      </w:r>
      <w:r w:rsidR="00A51C4C">
        <w:rPr>
          <w:rFonts w:ascii="Arial" w:hAnsi="Arial" w:cs="Arial"/>
        </w:rPr>
        <w:t xml:space="preserve">the </w:t>
      </w:r>
      <w:r w:rsidR="00126C83">
        <w:rPr>
          <w:rFonts w:ascii="Arial" w:hAnsi="Arial" w:cs="Arial"/>
        </w:rPr>
        <w:t>early dawn burst.</w:t>
      </w:r>
    </w:p>
    <w:p w14:paraId="492A37BA" w14:textId="77777777" w:rsidR="009C304E" w:rsidRPr="008C6C8F" w:rsidRDefault="00BA10FA" w:rsidP="005D6489">
      <w:pPr>
        <w:pStyle w:val="Heading2"/>
        <w:spacing w:line="360" w:lineRule="auto"/>
        <w:rPr>
          <w:rFonts w:ascii="Arial" w:hAnsi="Arial" w:cs="Arial"/>
          <w:sz w:val="28"/>
        </w:rPr>
      </w:pPr>
      <w:bookmarkStart w:id="7" w:name="an-early-morning-gene-regulatory-network"/>
      <w:bookmarkEnd w:id="7"/>
      <w:r w:rsidRPr="008C6C8F">
        <w:rPr>
          <w:rFonts w:ascii="Arial" w:hAnsi="Arial" w:cs="Arial"/>
          <w:sz w:val="28"/>
        </w:rPr>
        <w:t>An early morning gene regulatory network</w:t>
      </w:r>
    </w:p>
    <w:p w14:paraId="73A8BF7F" w14:textId="5CECEF55" w:rsidR="009C304E" w:rsidRPr="005D6489" w:rsidRDefault="00BA10FA" w:rsidP="00226274">
      <w:pPr>
        <w:pStyle w:val="FirstParagraph"/>
        <w:spacing w:line="360" w:lineRule="auto"/>
        <w:rPr>
          <w:rFonts w:ascii="Arial" w:hAnsi="Arial" w:cs="Arial"/>
        </w:rPr>
      </w:pPr>
      <w:r w:rsidRPr="005D6489">
        <w:rPr>
          <w:rFonts w:ascii="Arial" w:hAnsi="Arial" w:cs="Arial"/>
        </w:rPr>
        <w:t xml:space="preserve">Next, we wished to identify possible regulatory links by inferring a gene regulatory network.  </w:t>
      </w:r>
      <w:r w:rsidR="00226274">
        <w:rPr>
          <w:rFonts w:ascii="Arial" w:hAnsi="Arial" w:cs="Arial"/>
        </w:rPr>
        <w:t xml:space="preserve">Since transcription and translation are distinct events, it follows that there will </w:t>
      </w:r>
      <w:r w:rsidR="00226274">
        <w:rPr>
          <w:rFonts w:ascii="Arial" w:hAnsi="Arial" w:cs="Arial"/>
        </w:rPr>
        <w:lastRenderedPageBreak/>
        <w:t>be a time delay between the appearance of a transcript and its cognate protein corresponding to the time required to translate the mRNA</w:t>
      </w:r>
      <w:r w:rsidRPr="005D6489">
        <w:rPr>
          <w:rFonts w:ascii="Arial" w:hAnsi="Arial" w:cs="Arial"/>
        </w:rPr>
        <w:t xml:space="preserve">.  </w:t>
      </w:r>
      <w:r w:rsidR="00226274">
        <w:rPr>
          <w:rFonts w:ascii="Arial" w:hAnsi="Arial" w:cs="Arial"/>
        </w:rPr>
        <w:t>We therefore</w:t>
      </w:r>
      <w:r w:rsidRPr="005D6489">
        <w:rPr>
          <w:rFonts w:ascii="Arial" w:hAnsi="Arial" w:cs="Arial"/>
        </w:rPr>
        <w:t xml:space="preserve"> applied a time delay network inference method called dynGenie3</w:t>
      </w:r>
      <w:r w:rsidR="00B524E4">
        <w:rPr>
          <w:rFonts w:ascii="Arial" w:hAnsi="Arial" w:cs="Arial"/>
        </w:rPr>
        <w:t xml:space="preserve"> </w:t>
      </w:r>
      <w:r w:rsidR="00B524E4">
        <w:rPr>
          <w:rFonts w:ascii="Arial" w:hAnsi="Arial" w:cs="Arial"/>
        </w:rPr>
        <w:fldChar w:fldCharType="begin"/>
      </w:r>
      <w:r w:rsidR="00B524E4">
        <w:rPr>
          <w:rFonts w:ascii="Arial" w:hAnsi="Arial" w:cs="Arial"/>
        </w:rPr>
        <w:instrText xml:space="preserve"> ADDIN ZOTERO_ITEM CSL_CITATION {"citationID":"a68EBg9A","properties":{"formattedCitation":"(Huynh-Thu and Geurts, 2018)","plainCitation":"(Huynh-Thu and Geurts, 2018)","noteIndex":0},"citationItems":[{"id":3520,"uris":["http://zotero.org/users/2970095/items/E75QFYKU"],"uri":["http://zotero.org/users/2970095/items/E75QFYKU"],"itemData":{"id":3520,"type":"article-journal","abstract":"The elucidation of gene regulatory networks is one of the major challenges of systems biology. Measurements about genes that are exploited by network inference methods are typically available either in the form of steady-state expression vectors or time series expression data. In our previous work, we proposed the GENIE3 method that exploits variable importance scores derived from Random forests to identify the regulators of each target gene. This method provided state-of-the-art performance on several benchmark datasets, but it could however not specifically be applied to time series expression data. We propose here an adaptation of the GENIE3 method, called dynamical GENIE3 (dynGENIE3), for handling both time series and steady-state expression data. The proposed method is evaluated extensively on the artificial DREAM4 benchmarks and on three real time series expression datasets. Although dynGENIE3 does not systematically yield the best performance on each and every network, it is competitive with diverse methods from the literature, while preserving the main advantages of GENIE3 in terms of scalability.","container-title":"Scientific Reports","DOI":"10.1038/s41598-018-21715-0","ISSN":"2045-2322","issue":"1","language":"en","note":"number: 1\npublisher: Nature Publishing Group","page":"1-12","source":"www.nature.com","title":"dynGENIE3: dynamical GENIE3 for the inference of gene networks from time series expression data","title-short":"dynGENIE3","volume":"8","author":[{"family":"Huynh-Thu","given":"Vân Anh"},{"family":"Geurts","given":"Pierre"}],"issued":{"date-parts":[["2018",2,21]]}}}],"schema":"https://github.com/citation-style-language/schema/raw/master/csl-citation.json"} </w:instrText>
      </w:r>
      <w:r w:rsidR="00B524E4">
        <w:rPr>
          <w:rFonts w:ascii="Arial" w:hAnsi="Arial" w:cs="Arial"/>
        </w:rPr>
        <w:fldChar w:fldCharType="separate"/>
      </w:r>
      <w:r w:rsidR="00B524E4" w:rsidRPr="00B524E4">
        <w:rPr>
          <w:rFonts w:ascii="Arial" w:hAnsi="Arial" w:cs="Arial"/>
        </w:rPr>
        <w:t>(Huynh-Thu and Geurts, 2018)</w:t>
      </w:r>
      <w:r w:rsidR="00B524E4">
        <w:rPr>
          <w:rFonts w:ascii="Arial" w:hAnsi="Arial" w:cs="Arial"/>
        </w:rPr>
        <w:fldChar w:fldCharType="end"/>
      </w:r>
      <w:r w:rsidRPr="005D6489">
        <w:rPr>
          <w:rFonts w:ascii="Arial" w:hAnsi="Arial" w:cs="Arial"/>
        </w:rPr>
        <w:t>.  Because all large-scale network inference algorithms have large false-positive rates, we wished to confirm as many edges as possible us</w:t>
      </w:r>
      <w:r w:rsidR="002E5457">
        <w:rPr>
          <w:rFonts w:ascii="Arial" w:hAnsi="Arial" w:cs="Arial"/>
        </w:rPr>
        <w:t xml:space="preserve">ing available DNA binding data </w:t>
      </w:r>
      <w:r w:rsidRPr="005D6489">
        <w:rPr>
          <w:rFonts w:ascii="Arial" w:hAnsi="Arial" w:cs="Arial"/>
        </w:rPr>
        <w:t>via DAP-seq from O’Malley et al.</w:t>
      </w:r>
      <w:r w:rsidR="002E5457">
        <w:rPr>
          <w:rFonts w:ascii="Arial" w:hAnsi="Arial" w:cs="Arial"/>
        </w:rPr>
        <w:t xml:space="preserve"> </w:t>
      </w:r>
      <w:r w:rsidR="002E5457">
        <w:rPr>
          <w:rFonts w:ascii="Arial" w:hAnsi="Arial" w:cs="Arial"/>
        </w:rPr>
        <w:fldChar w:fldCharType="begin"/>
      </w:r>
      <w:r w:rsidR="002E5457">
        <w:rPr>
          <w:rFonts w:ascii="Arial" w:hAnsi="Arial" w:cs="Arial"/>
        </w:rPr>
        <w:instrText xml:space="preserve"> ADDIN ZOTERO_ITEM CSL_CITATION {"citationID":"d03PFetP","properties":{"formattedCitation":"(2016)","plainCitation":"(2016)","noteIndex":0},"citationItems":[{"id":3485,"uris":["http://zotero.org/users/2970095/items/Q4LPX9HD"],"uri":["http://zotero.org/users/2970095/items/Q4LPX9HD"],"itemData":{"id":3485,"type":"article-journal","abstract":"The cistrome is the complete set of transcription factor (TF) binding sites (cis-elements) in an organism, while an epicistrome incorporates tissue-specific DNA chemical modifications and TF-specific chemical sensitivities into these binding profiles. Robust methods to construct comprehensive cistrome and epicistrome maps are critical for elucidating complex transcriptional networks that underlie growth, behavior, and disease. Here, we describe DNA affinity purification sequencing (DAP-seq), a high-throughput TF binding site discovery method that interrogates genomic DNA with in-vitro-expressed TFs. Using DAP-seq, we defined the Arabidopsis cistrome by resolving motifs and peaks for 529 TFs. Because genomic DNA used in DAP-seq retains 5-methylcytosines, we determined that &gt;75% (248/327) of Arabidopsis TFs surveyed were methylation sensitive, a property that strongly impacts the epicistrome landscape. DAP-seq datasets also yielded insight into the biology and binding site architecture of numerous TFs, demonstrating the value of DAP-seq for cost-effective cistromic and epicistromic annotation in any organism.,","container-title":"Cell","DOI":"10.1016/j.cell.2016.04.038","ISSN":"0092-8674","issue":"5","journalAbbreviation":"Cell","note":"PMID: 27203113\nPMCID: PMC4907330","page":"1280-1292","source":"PubMed Central","title":"Cistrome and Epicistrome Features Shape the Regulatory DNA Landscape","volume":"165","author":[{"family":"O’Malley","given":"Ronan C."},{"family":"Huang","given":"Shao-shan Carol"},{"family":"Song","given":"Liang"},{"family":"Lewsey","given":"Mathew G."},{"family":"Bartlett","given":"Anna"},{"family":"Nery","given":"Joseph R."},{"family":"Galli","given":"Mary"},{"family":"Gallavotti","given":"Andrea"},{"family":"Ecker","given":"Joseph R."}],"issued":{"date-parts":[["2016",5,19]]}},"suppress-author":true}],"schema":"https://github.com/citation-style-language/schema/raw/master/csl-citation.json"} </w:instrText>
      </w:r>
      <w:r w:rsidR="002E5457">
        <w:rPr>
          <w:rFonts w:ascii="Arial" w:hAnsi="Arial" w:cs="Arial"/>
        </w:rPr>
        <w:fldChar w:fldCharType="separate"/>
      </w:r>
      <w:r w:rsidR="002E5457" w:rsidRPr="002E5457">
        <w:rPr>
          <w:rFonts w:ascii="Arial" w:hAnsi="Arial" w:cs="Arial"/>
        </w:rPr>
        <w:t>(2016)</w:t>
      </w:r>
      <w:r w:rsidR="002E5457">
        <w:rPr>
          <w:rFonts w:ascii="Arial" w:hAnsi="Arial" w:cs="Arial"/>
        </w:rPr>
        <w:fldChar w:fldCharType="end"/>
      </w:r>
      <w:r w:rsidRPr="005D6489">
        <w:rPr>
          <w:rFonts w:ascii="Arial" w:hAnsi="Arial" w:cs="Arial"/>
        </w:rPr>
        <w:t>. </w:t>
      </w:r>
    </w:p>
    <w:p w14:paraId="2BC75EAD" w14:textId="77777777" w:rsidR="009C304E" w:rsidRPr="005D6489" w:rsidRDefault="00BA10FA" w:rsidP="005D6489">
      <w:pPr>
        <w:pStyle w:val="BodyText"/>
        <w:spacing w:line="360" w:lineRule="auto"/>
        <w:rPr>
          <w:rFonts w:ascii="Arial" w:hAnsi="Arial" w:cs="Arial"/>
        </w:rPr>
      </w:pPr>
      <w:r w:rsidRPr="005D6489">
        <w:rPr>
          <w:rFonts w:ascii="Arial" w:hAnsi="Arial" w:cs="Arial"/>
        </w:rPr>
        <w:t>Among TFs in our network with available binding data, we found that 34.3% of our high confidence edges (top 1% highest scoring edges) were consistent with DAP-seq.  In contrast, we only observed a 12.6% overlap with DAP-seq data among edges in our network that received a score of ‘0’ using dynGenie3 among TF with available DAP-seq data.  This suggests that dynGenie3 is successfully enriching for biologically plausible edges.    </w:t>
      </w:r>
    </w:p>
    <w:p w14:paraId="3162E3A9" w14:textId="08A68871" w:rsidR="00924A25" w:rsidRPr="00A35E1A" w:rsidRDefault="00BA10FA" w:rsidP="00A35E1A">
      <w:pPr>
        <w:pStyle w:val="BodyText"/>
        <w:spacing w:line="360" w:lineRule="auto"/>
        <w:rPr>
          <w:rFonts w:ascii="Arial" w:hAnsi="Arial" w:cs="Arial"/>
        </w:rPr>
      </w:pPr>
      <w:r w:rsidRPr="005D6489">
        <w:rPr>
          <w:rFonts w:ascii="Arial" w:hAnsi="Arial" w:cs="Arial"/>
        </w:rPr>
        <w:t>From now on, we only consider the subset of the dynGenie3 network that is consistent with DAP-seq data</w:t>
      </w:r>
      <w:r w:rsidR="002E5457">
        <w:rPr>
          <w:rFonts w:ascii="Arial" w:hAnsi="Arial" w:cs="Arial"/>
        </w:rPr>
        <w:t xml:space="preserve"> (</w:t>
      </w:r>
      <w:r w:rsidRPr="008C6C8F">
        <w:rPr>
          <w:rFonts w:ascii="Arial" w:hAnsi="Arial" w:cs="Arial"/>
          <w:b/>
        </w:rPr>
        <w:t xml:space="preserve">Figure </w:t>
      </w:r>
      <w:r w:rsidR="00924A25">
        <w:rPr>
          <w:rFonts w:ascii="Arial" w:hAnsi="Arial" w:cs="Arial"/>
          <w:b/>
        </w:rPr>
        <w:t>3</w:t>
      </w:r>
      <w:r w:rsidR="00924A25" w:rsidRPr="008C6C8F">
        <w:rPr>
          <w:rFonts w:ascii="Arial" w:hAnsi="Arial" w:cs="Arial"/>
          <w:b/>
        </w:rPr>
        <w:t>A</w:t>
      </w:r>
      <w:r w:rsidR="002E5457">
        <w:rPr>
          <w:rFonts w:ascii="Arial" w:hAnsi="Arial" w:cs="Arial"/>
        </w:rPr>
        <w:t>):</w:t>
      </w:r>
      <w:r w:rsidRPr="005D6489">
        <w:rPr>
          <w:rFonts w:ascii="Arial" w:hAnsi="Arial" w:cs="Arial"/>
        </w:rPr>
        <w:t xml:space="preserve"> the network </w:t>
      </w:r>
      <w:r w:rsidR="00644909">
        <w:rPr>
          <w:rFonts w:ascii="Arial" w:hAnsi="Arial" w:cs="Arial"/>
        </w:rPr>
        <w:t>consistently</w:t>
      </w:r>
      <w:r w:rsidR="00644909" w:rsidRPr="005D6489">
        <w:rPr>
          <w:rFonts w:ascii="Arial" w:hAnsi="Arial" w:cs="Arial"/>
        </w:rPr>
        <w:t xml:space="preserve"> </w:t>
      </w:r>
      <w:r w:rsidRPr="005D6489">
        <w:rPr>
          <w:rFonts w:ascii="Arial" w:hAnsi="Arial" w:cs="Arial"/>
        </w:rPr>
        <w:t>forms a U-shape</w:t>
      </w:r>
      <w:r w:rsidR="00644909">
        <w:rPr>
          <w:rFonts w:ascii="Arial" w:hAnsi="Arial" w:cs="Arial"/>
        </w:rPr>
        <w:t xml:space="preserve"> under a force-directed layout</w:t>
      </w:r>
      <w:r w:rsidRPr="005D6489">
        <w:rPr>
          <w:rFonts w:ascii="Arial" w:hAnsi="Arial" w:cs="Arial"/>
        </w:rPr>
        <w:t xml:space="preserve">, with early expressed genes primarily on the left side of the U and late expressed genes primarily on the right side.  These genes are enriched for photoperiodism-related GO terms, including GO terms associated with light sensing, heat response and circadian rhythms </w:t>
      </w:r>
      <w:r w:rsidRPr="008C6C8F">
        <w:rPr>
          <w:rFonts w:ascii="Arial" w:hAnsi="Arial" w:cs="Arial"/>
          <w:b/>
        </w:rPr>
        <w:t>(Fig</w:t>
      </w:r>
      <w:r w:rsidR="00B80E61" w:rsidRPr="008C6C8F">
        <w:rPr>
          <w:rFonts w:ascii="Arial" w:hAnsi="Arial" w:cs="Arial"/>
          <w:b/>
        </w:rPr>
        <w:t>ure</w:t>
      </w:r>
      <w:r w:rsidRPr="008C6C8F">
        <w:rPr>
          <w:rFonts w:ascii="Arial" w:hAnsi="Arial" w:cs="Arial"/>
          <w:b/>
        </w:rPr>
        <w:t xml:space="preserve"> 3B).</w:t>
      </w:r>
    </w:p>
    <w:p w14:paraId="25B29BF8" w14:textId="0EE57F68" w:rsidR="009C304E" w:rsidRPr="005D6489" w:rsidRDefault="00BA10FA" w:rsidP="008C6C8F">
      <w:pPr>
        <w:pStyle w:val="BodyText"/>
        <w:spacing w:line="360" w:lineRule="auto"/>
      </w:pPr>
      <w:r w:rsidRPr="005D6489">
        <w:rPr>
          <w:rFonts w:ascii="Arial" w:hAnsi="Arial" w:cs="Arial"/>
        </w:rPr>
        <w:t xml:space="preserve">A number of transcription factors that are known to play a role in light </w:t>
      </w:r>
      <w:proofErr w:type="spellStart"/>
      <w:r w:rsidRPr="005D6489">
        <w:rPr>
          <w:rFonts w:ascii="Arial" w:hAnsi="Arial" w:cs="Arial"/>
        </w:rPr>
        <w:t>signal</w:t>
      </w:r>
      <w:r w:rsidR="00822729">
        <w:rPr>
          <w:rFonts w:ascii="Arial" w:hAnsi="Arial" w:cs="Arial"/>
        </w:rPr>
        <w:t>l</w:t>
      </w:r>
      <w:r w:rsidRPr="005D6489">
        <w:rPr>
          <w:rFonts w:ascii="Arial" w:hAnsi="Arial" w:cs="Arial"/>
        </w:rPr>
        <w:t>ing</w:t>
      </w:r>
      <w:proofErr w:type="spellEnd"/>
      <w:r w:rsidRPr="005D6489">
        <w:rPr>
          <w:rFonts w:ascii="Arial" w:hAnsi="Arial" w:cs="Arial"/>
        </w:rPr>
        <w:t xml:space="preserve"> and photomorphogenesis sit at the base of the U, linking early and late expressed </w:t>
      </w:r>
      <w:proofErr w:type="gramStart"/>
      <w:r w:rsidRPr="005D6489">
        <w:rPr>
          <w:rFonts w:ascii="Arial" w:hAnsi="Arial" w:cs="Arial"/>
        </w:rPr>
        <w:t>genes;  these</w:t>
      </w:r>
      <w:proofErr w:type="gramEnd"/>
      <w:r w:rsidRPr="005D6489">
        <w:rPr>
          <w:rFonts w:ascii="Arial" w:hAnsi="Arial" w:cs="Arial"/>
        </w:rPr>
        <w:t xml:space="preserve"> include  </w:t>
      </w:r>
      <w:r w:rsidR="00C32157">
        <w:rPr>
          <w:rFonts w:ascii="Arial" w:hAnsi="Arial" w:cs="Arial"/>
          <w:i/>
        </w:rPr>
        <w:t>HY5, BBX31</w:t>
      </w:r>
      <w:r w:rsidRPr="005D6489">
        <w:rPr>
          <w:rFonts w:ascii="Arial" w:hAnsi="Arial" w:cs="Arial"/>
        </w:rPr>
        <w:t>,</w:t>
      </w:r>
      <w:r w:rsidR="00C32157">
        <w:rPr>
          <w:rFonts w:ascii="Arial" w:hAnsi="Arial" w:cs="Arial"/>
        </w:rPr>
        <w:t xml:space="preserve"> </w:t>
      </w:r>
      <w:r w:rsidRPr="005D6489">
        <w:rPr>
          <w:rFonts w:ascii="Arial" w:hAnsi="Arial" w:cs="Arial"/>
          <w:i/>
        </w:rPr>
        <w:t>CYCLING DOF FACTOR 5 (CDF5) </w:t>
      </w:r>
      <w:r w:rsidRPr="005D6489">
        <w:rPr>
          <w:rFonts w:ascii="Arial" w:hAnsi="Arial" w:cs="Arial"/>
        </w:rPr>
        <w:t xml:space="preserve">and </w:t>
      </w:r>
      <w:r w:rsidRPr="005D6489">
        <w:rPr>
          <w:rFonts w:ascii="Arial" w:hAnsi="Arial" w:cs="Arial"/>
          <w:i/>
        </w:rPr>
        <w:t>REVEILLE 1 (RVE1)</w:t>
      </w:r>
      <w:r w:rsidRPr="005D6489">
        <w:rPr>
          <w:rFonts w:ascii="Arial" w:hAnsi="Arial" w:cs="Arial"/>
        </w:rPr>
        <w:t> </w:t>
      </w:r>
      <w:r w:rsidRPr="008C6C8F">
        <w:rPr>
          <w:rFonts w:ascii="Arial" w:hAnsi="Arial" w:cs="Arial"/>
          <w:b/>
        </w:rPr>
        <w:t xml:space="preserve">(Figure </w:t>
      </w:r>
      <w:r w:rsidR="00924A25">
        <w:rPr>
          <w:rFonts w:ascii="Arial" w:hAnsi="Arial" w:cs="Arial"/>
          <w:b/>
        </w:rPr>
        <w:t>3</w:t>
      </w:r>
      <w:r w:rsidR="00924A25" w:rsidRPr="008C6C8F">
        <w:rPr>
          <w:rFonts w:ascii="Arial" w:hAnsi="Arial" w:cs="Arial"/>
          <w:b/>
        </w:rPr>
        <w:t>A</w:t>
      </w:r>
      <w:r w:rsidRPr="008C6C8F">
        <w:rPr>
          <w:rFonts w:ascii="Arial" w:hAnsi="Arial" w:cs="Arial"/>
          <w:b/>
        </w:rPr>
        <w:t>)</w:t>
      </w:r>
      <w:r w:rsidRPr="005D6489">
        <w:rPr>
          <w:rFonts w:ascii="Arial" w:hAnsi="Arial" w:cs="Arial"/>
        </w:rPr>
        <w:t>.  These transcription factors are all involved in light-controlled hypocotyl elongation </w:t>
      </w:r>
      <w:r w:rsidR="002E5457">
        <w:rPr>
          <w:rFonts w:ascii="Arial" w:hAnsi="Arial" w:cs="Arial"/>
        </w:rPr>
        <w:fldChar w:fldCharType="begin"/>
      </w:r>
      <w:r w:rsidR="002E5457">
        <w:rPr>
          <w:rFonts w:ascii="Arial" w:hAnsi="Arial" w:cs="Arial"/>
        </w:rPr>
        <w:instrText xml:space="preserve"> ADDIN ZOTERO_ITEM CSL_CITATION {"citationID":"WrTZWWGm","properties":{"formattedCitation":"(Chattopadhyay et al., 1998; Heng et al., 2019; Mart\\uc0\\u237{}n et al., 2018; Rawat et al., 2009)","plainCitation":"(Chattopadhyay et al., 1998; Heng et al., 2019; Martín et al., 2018; Rawat et al., 2009)","noteIndex":0},"citationItems":[{"id":79,"uris":["http://zotero.org/users/2970095/items/DSJP2W7K"],"uri":["http://zotero.org/users/2970095/items/DSJP2W7K"],"itemData":{"id":79,"type":"article-journal","abstract":"The Arabidopsis HY5 gene has been defined genetically as a positive regulator of photomorphogenesis and recently has been shown to encode a basic leucine zipper type of transcription factor. Here, we report that HY5 is constitutively nuclear localized and is involved in light regulation of transcriptional activity of the promoters containing the G-box, a well-characterized light-responsive element (LRE). In vitro DNA binding studies suggested that HY5 can bind specifically to the G-box DNA sequences but not to any of the other LREs present in the light-responsive promoters examined. High-irradiance light activation of two synthetic promoters containing either the consensus G-box alone or the G-box combined with the GATA motif (another LRE) and the native Arabidopsis ribulose bisphosphate carboxylase small subunit gene RBCS-1A promoter, which has an essential copy of the G-box, was significantly compromised in the hy5 mutant. The hy5 mutation's effect on the high-irradiance light activation of gene expression was observed in both photosynthetic and nonphotosynthetic tissues. Furthermore, the characteristic phytochrome-mediated red light– and farred light–reversible low-fluence induction of the G-box–containing promoters was diminished specifically in hy5 plants. These results suggest that HY5 may interact directly with the G-box in the promoters of light-inducible genes to mediate light-controlled transcriptional activity.","container-title":"The Plant Cell","DOI":"10.1105/tpc.10.5.673","ISSN":"1040-4651, 1532-298X","issue":"5","journalAbbreviation":"Plant Cell","language":"en","note":"PMID: 9596629","page":"673-683","source":"www.plantcell.org","title":"Arabidopsis bZIP Protein HY5 Directly Interacts with Light-Responsive Promoters in Mediating Light Control of Gene Expression","volume":"10","author":[{"family":"Chattopadhyay","given":"Sudip"},{"family":"Ang","given":"Lay-Hong"},{"family":"Puente","given":"Pilar"},{"family":"Deng","given":"Xing-Wang"},{"family":"Wei","given":"Ning"}],"issued":{"date-parts":[["1998",1,5]]}}},{"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Wang"}],"issued":{"date-parts":[["2019",5,1]]}}},{"id":2776,"uris":["http://zotero.org/users/2970095/items/V65YLJ9M"],"uri":["http://zotero.org/users/2970095/items/V65YLJ9M"],"itemData":{"id":2776,"type":"article-journal","abstract":"Summary\nPlants coordinate their growth and development with the environment through integration of circadian clock and photosensory pathways. In Arabidopsis thaliana, rhythmic hypocotyl elongation in short days (SD) is enhanced at dawn by the basic-helix-loop-helix (bHLH) transcription factors PHYTOCHROME-INTERACTING FACTORS (PIFs) directly inducing expression of growth-related genes [1, 2, 3, 4, 5, 6]. PIFs accumulate progressively during the night and are targeted for degradation by active phytochromes in the light, when growth is reduced. Although PIF proteins are also detected during the day hours [7, 8, 9, 10], their growth-promoting activity is inhibited through unknown mechanisms. Recently, the core clock components and transcriptional repressors PSEUDO-RESPONSE REGULATORS PRR9/7/5 [11, 12], negative regulators of hypocotyl elongation [13, 14], were described to associate to G boxes [15], the DNA motifs recognized by the PIFs [16, 17], suggesting that PRR and PIF function might converge antagonistically to regulate growth. Here we report that PRR9/7/5 and PIFs physically interact and bind to the same promoter region of pre-dawn-phased, growth-related genes, and we identify the transcription factor CDF5 [18, 19] as target of this interplay. In SD, CDF5 expression is sequentially repressed from morning to dusk by PRRs and induced pre-dawn by PIFs. Consequently, CDF5 accumulates specifically at dawn, when it induces cell elongation. Our findings provide a framework for recent TIMING OF CAB EXPRESSION 1 (TOC1/PRR1) data [5, 20] and reveal that the long described circadian morning-to-midnight waves of the PRR transcriptional repressors (PRR9, PRR7, PRR5, and TOC1) [21] jointly gate PIF activity to dawn to prevent overgrowth through sequential regulation of common PIF-PRR target genes such as CDF5.","container-title":"Current Biology","DOI":"10.1016/j.cub.2017.12.021","ISSN":"0960-9822","issue":"2","journalAbbreviation":"Current Biology","page":"311-318.e5","source":"ScienceDirect","title":"Circadian Waves of Transcriptional Repression Shape PIF-Regulated Photoperiod-Responsive Growth in Arabidopsis","volume":"28","author":[{"family":"Martín","given":"Guiomar"},{"family":"Rovira","given":"Arnau"},{"family":"Veciana","given":"Nil"},{"family":"Soy","given":"Judit"},{"family":"Toledo-Ortiz","given":"Gabriela"},{"family":"Gommers","given":"Charlotte M. M."},{"family":"Boix","given":"Marc"},{"family":"Henriques","given":"Rossana"},{"family":"Minguet","given":"Eugenio G."},{"family":"Alabadí","given":"David"},{"family":"Halliday","given":"Karen J."},{"family":"Leivar","given":"Pablo"},{"family":"Monte","given":"Elena"}],"issued":{"date-parts":[["2018",1,22]]}}},{"id":3162,"uris":["http://zotero.org/users/2970095/items/R3HXWASL"],"uri":["http://zotero.org/users/2970095/items/R3HXWASL"],"itemData":{"id":3162,"type":"article-journal","abstract":"The circadian clock modulates expression of a large fraction of the Arabidopsis genome and affects many aspects of plant growth and development. We have discovered one way in which the circadian system regulates hormone signaling, identifying a node that links the clock and auxin networks. Auxin plays key roles in development and responses to environmental cues, in part through regulation of plant growth. We have characterized REVEILLE1 (RVE1), a Myb-like, clock-regulated transcription factor that is homologous to the central clock genes CIRCADIAN CLOCK ASSOCIATED 1 (CCA1) and LATE ELONGATED HYPOCOTYL (LHY). Despite this homology, inactivation of RVE1 does not affect circadian rhythmicity but instead causes a growth phenotype, indicating this factor is a clock output affecting plant development. CCA1 regulates growth via the bHLH transcription factors PHYTOCHROME INTERACTING FACTOR4 (PIF4) and PIF5, but RVE1 acts independently of these genes. RVE1 instead controls auxin levels, promoting free auxin production during the day but having no effect during the night. RVE1 positively regulates the expression of the auxin biosynthetic gene YUCCA8 (YUC8), providing a mechanism for its growth-promoting effects. RVE1 is therefore a node that connects two important signaling networks that coordinate plant growth with rhythmic changes in the environment.","container-title":"Proceedings of the National Academy of Sciences of the United States of America","DOI":"10.1073/pnas.0813035106","ISSN":"0027-8424","issue":"39","journalAbbreviation":"Proc Natl Acad Sci U S A","note":"PMID: 19805390\nPMCID: PMC2757846","page":"16883-16888","source":"PubMed Central","title":"REVEILLE1, a Myb-like transcription factor, integrates the circadian clock and auxin pathways","volume":"106","author":[{"family":"Rawat","given":"Reetika"},{"family":"Schwartz","given":"Jacob"},{"family":"Jones","given":"Matthew A."},{"family":"Sairanen","given":"Ilkka"},{"family":"Cheng","given":"Youfa"},{"family":"Andersson","given":"Carol R."},{"family":"Zhao","given":"Yunde"},{"family":"Ljung","given":"Karin"},{"family":"Harmer","given":"Stacey L."}],"issued":{"date-parts":[["2009",9,29]]}}}],"schema":"https://github.com/citation-style-language/schema/raw/master/csl-citation.json"} </w:instrText>
      </w:r>
      <w:r w:rsidR="002E5457">
        <w:rPr>
          <w:rFonts w:ascii="Arial" w:hAnsi="Arial" w:cs="Arial"/>
        </w:rPr>
        <w:fldChar w:fldCharType="separate"/>
      </w:r>
      <w:r w:rsidR="002E5457" w:rsidRPr="002E5457">
        <w:rPr>
          <w:rFonts w:ascii="Arial" w:hAnsi="Arial" w:cs="Arial"/>
        </w:rPr>
        <w:t>(Chattopadhyay et al., 1998; Heng et al., 2019; Martín et al., 2018; Rawat et al., 2009)</w:t>
      </w:r>
      <w:r w:rsidR="002E5457">
        <w:rPr>
          <w:rFonts w:ascii="Arial" w:hAnsi="Arial" w:cs="Arial"/>
        </w:rPr>
        <w:fldChar w:fldCharType="end"/>
      </w:r>
      <w:r w:rsidR="002E5457">
        <w:rPr>
          <w:rFonts w:ascii="Arial" w:hAnsi="Arial" w:cs="Arial"/>
        </w:rPr>
        <w:t>.</w:t>
      </w:r>
      <w:r w:rsidRPr="005D6489">
        <w:rPr>
          <w:rFonts w:ascii="Arial" w:hAnsi="Arial" w:cs="Arial"/>
        </w:rPr>
        <w:t xml:space="preserve"> While </w:t>
      </w:r>
      <w:r w:rsidRPr="005D6489">
        <w:rPr>
          <w:rFonts w:ascii="Arial" w:hAnsi="Arial" w:cs="Arial"/>
          <w:i/>
        </w:rPr>
        <w:t>RVE1</w:t>
      </w:r>
      <w:r w:rsidRPr="005D6489">
        <w:rPr>
          <w:rFonts w:ascii="Arial" w:hAnsi="Arial" w:cs="Arial"/>
        </w:rPr>
        <w:t xml:space="preserve"> and </w:t>
      </w:r>
      <w:r w:rsidRPr="005D6489">
        <w:rPr>
          <w:rFonts w:ascii="Arial" w:hAnsi="Arial" w:cs="Arial"/>
          <w:i/>
        </w:rPr>
        <w:t>CDF5</w:t>
      </w:r>
      <w:r w:rsidRPr="005D6489">
        <w:rPr>
          <w:rFonts w:ascii="Arial" w:hAnsi="Arial" w:cs="Arial"/>
        </w:rPr>
        <w:t xml:space="preserve"> expression is under strong circadian control and peaks at dawn </w:t>
      </w:r>
      <w:r w:rsidR="002E5457">
        <w:rPr>
          <w:rFonts w:ascii="Arial" w:hAnsi="Arial" w:cs="Arial"/>
        </w:rPr>
        <w:fldChar w:fldCharType="begin"/>
      </w:r>
      <w:r w:rsidR="002E5457">
        <w:rPr>
          <w:rFonts w:ascii="Arial" w:hAnsi="Arial" w:cs="Arial"/>
        </w:rPr>
        <w:instrText xml:space="preserve"> ADDIN ZOTERO_ITEM CSL_CITATION {"citationID":"GbINXN2U","properties":{"formattedCitation":"(Henriques et al., 2017; Rawat et al., 2009)","plainCitation":"(Henriques et al., 2017; Rawat et al., 2009)","noteIndex":0},"citationItems":[{"id":3174,"uris":["http://zotero.org/users/2970095/items/FEPZ22CZ"],"uri":["http://zotero.org/users/2970095/items/FEPZ22CZ"],"itemData":{"id":3174,"type":"article-journal","abstract":"Circadian rhythms of gene expression are generated by the combinatorial action of transcriptional and translational feedback loops as well as chromatin remodelling events. Recently, long noncoding RNAs (lncRNAs) that are natural antisense transcripts (NATs) to transcripts encoding central oscillator components were proposed as modulators of core clock function in mammals (Per) and fungi (frq/qrf). Although oscillating lncRNAs exist in plants, their functional characterization is at an initial stage. By screening an Arabidopsis thaliana lncRNA custom-made array we identified CDF5 LONG NONCODING RNA (FLORE), a circadian-regulated lncRNA that is a NAT of CDF5. Quantitative real-time RT-PCR confirmed the circadian regulation of FLORE, whereas GUS-staining and flowering time evaluation were used to determine its biological function. FLORE and CDF5 antiphasic expression reflects mutual inhibition in a similar way to frq/qrf. Moreover, whereas the CDF5 protein delays flowering by directly repressing FT transcription, FLORE promotes it by repressing several CDFs (CDF1, CDF3, CDF5) and increasing FT transcript levels, indicating both cis and trans function. We propose that the CDF5/FLORE NAT pair constitutes an additional circadian regulatory module with conserved (mutual inhibition) and unique (function in trans) features, able to fine-tune its own circadian oscillation, and consequently, adjust the onset of flowering to favourable environmental conditions.","container-title":"New Phytologist","DOI":"10.1111/nph.14703","ISSN":"1469-8137","issue":"3","language":"en","page":"854-867","source":"Wiley Online Library","title":"The antiphasic regulatory module comprising CDF5 and its antisense RNA FLORE links the circadian clock to photoperiodic flowering","volume":"216","author":[{"family":"Henriques","given":"Rossana"},{"family":"Wang","given":"Huan"},{"family":"Liu","given":"Jun"},{"family":"Boix","given":"Marc"},{"family":"Huang","given":"Li-Fang"},{"family":"Chua","given":"Nam-Hai"}],"issued":{"date-parts":[["2017"]]}}},{"id":3162,"uris":["http://zotero.org/users/2970095/items/R3HXWASL"],"uri":["http://zotero.org/users/2970095/items/R3HXWASL"],"itemData":{"id":3162,"type":"article-journal","abstract":"The circadian clock modulates expression of a large fraction of the Arabidopsis genome and affects many aspects of plant growth and development. We have discovered one way in which the circadian system regulates hormone signaling, identifying a node that links the clock and auxin networks. Auxin plays key roles in development and responses to environmental cues, in part through regulation of plant growth. We have characterized REVEILLE1 (RVE1), a Myb-like, clock-regulated transcription factor that is homologous to the central clock genes CIRCADIAN CLOCK ASSOCIATED 1 (CCA1) and LATE ELONGATED HYPOCOTYL (LHY). Despite this homology, inactivation of RVE1 does not affect circadian rhythmicity but instead causes a growth phenotype, indicating this factor is a clock output affecting plant development. CCA1 regulates growth via the bHLH transcription factors PHYTOCHROME INTERACTING FACTOR4 (PIF4) and PIF5, but RVE1 acts independently of these genes. RVE1 instead controls auxin levels, promoting free auxin production during the day but having no effect during the night. RVE1 positively regulates the expression of the auxin biosynthetic gene YUCCA8 (YUC8), providing a mechanism for its growth-promoting effects. RVE1 is therefore a node that connects two important signaling networks that coordinate plant growth with rhythmic changes in the environment.","container-title":"Proceedings of the National Academy of Sciences of the United States of America","DOI":"10.1073/pnas.0813035106","ISSN":"0027-8424","issue":"39","journalAbbreviation":"Proc Natl Acad Sci U S A","note":"PMID: 19805390\nPMCID: PMC2757846","page":"16883-16888","source":"PubMed Central","title":"REVEILLE1, a Myb-like transcription factor, integrates the circadian clock and auxin pathways","volume":"106","author":[{"family":"Rawat","given":"Reetika"},{"family":"Schwartz","given":"Jacob"},{"family":"Jones","given":"Matthew A."},{"family":"Sairanen","given":"Ilkka"},{"family":"Cheng","given":"Youfa"},{"family":"Andersson","given":"Carol R."},{"family":"Zhao","given":"Yunde"},{"family":"Ljung","given":"Karin"},{"family":"Harmer","given":"Stacey L."}],"issued":{"date-parts":[["2009",9,29]]}}}],"schema":"https://github.com/citation-style-language/schema/raw/master/csl-citation.json"} </w:instrText>
      </w:r>
      <w:r w:rsidR="002E5457">
        <w:rPr>
          <w:rFonts w:ascii="Arial" w:hAnsi="Arial" w:cs="Arial"/>
        </w:rPr>
        <w:fldChar w:fldCharType="separate"/>
      </w:r>
      <w:r w:rsidR="002E5457" w:rsidRPr="002E5457">
        <w:rPr>
          <w:rFonts w:ascii="Arial" w:hAnsi="Arial" w:cs="Arial"/>
        </w:rPr>
        <w:t>(Henriques et al., 2017; Rawat et al., 2009)</w:t>
      </w:r>
      <w:r w:rsidR="002E5457">
        <w:rPr>
          <w:rFonts w:ascii="Arial" w:hAnsi="Arial" w:cs="Arial"/>
        </w:rPr>
        <w:fldChar w:fldCharType="end"/>
      </w:r>
      <w:r w:rsidR="002E5457">
        <w:rPr>
          <w:rFonts w:ascii="Arial" w:hAnsi="Arial" w:cs="Arial"/>
        </w:rPr>
        <w:t>,</w:t>
      </w:r>
      <w:r w:rsidRPr="005D6489">
        <w:rPr>
          <w:rFonts w:ascii="Arial" w:hAnsi="Arial" w:cs="Arial"/>
        </w:rPr>
        <w:t xml:space="preserve"> </w:t>
      </w:r>
      <w:r w:rsidRPr="005D6489">
        <w:rPr>
          <w:rFonts w:ascii="Arial" w:hAnsi="Arial" w:cs="Arial"/>
          <w:i/>
        </w:rPr>
        <w:t>HY5</w:t>
      </w:r>
      <w:r w:rsidRPr="005D6489">
        <w:rPr>
          <w:rFonts w:ascii="Arial" w:hAnsi="Arial" w:cs="Arial"/>
        </w:rPr>
        <w:t xml:space="preserve"> and </w:t>
      </w:r>
      <w:r w:rsidRPr="005D6489">
        <w:rPr>
          <w:rFonts w:ascii="Arial" w:hAnsi="Arial" w:cs="Arial"/>
          <w:i/>
        </w:rPr>
        <w:t>BBX31</w:t>
      </w:r>
      <w:r w:rsidRPr="005D6489">
        <w:rPr>
          <w:rFonts w:ascii="Arial" w:hAnsi="Arial" w:cs="Arial"/>
        </w:rPr>
        <w:t xml:space="preserve"> are light-induced genes </w:t>
      </w:r>
      <w:r w:rsidR="002E5457">
        <w:rPr>
          <w:rFonts w:ascii="Arial" w:hAnsi="Arial" w:cs="Arial"/>
        </w:rPr>
        <w:fldChar w:fldCharType="begin"/>
      </w:r>
      <w:r w:rsidR="002E5457">
        <w:rPr>
          <w:rFonts w:ascii="Arial" w:hAnsi="Arial" w:cs="Arial"/>
        </w:rPr>
        <w:instrText xml:space="preserve"> ADDIN ZOTERO_ITEM CSL_CITATION {"citationID":"Mgn9AwVz","properties":{"formattedCitation":"(Heng et al., 2019; Oyama et al., 1997)","plainCitation":"(Heng et al., 2019; Oyama et al., 1997)","noteIndex":0},"citationItems":[{"id":3177,"uris":["http://zotero.org/users/2970095/items/RMJXBLM8"],"uri":["http://zotero.org/users/2970095/items/RMJXBLM8"],"itemData":{"id":3177,"type":"article-journal","abstract":"Light-mediated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Wang"}],"issued":{"date-parts":[["2019",5,1]]}}},{"id":78,"uris":["http://zotero.org/users/2970095/items/43VBM2J7"],"uri":["http://zotero.org/users/2970095/items/43VBM2J7"],"itemData":{"id":78,"type":"article-journal","abstract":"Plant developmental processes are controlled by both endogenous programs and environmental stimuli. As a photomorphogenetic mutant,hy5 of Arabidopsis has been isolated and characterized. Our detailed characterization has revealed that the mutant is deficient in a variety of stimulus responses, including gravitropic response and waving growth of roots, as well as light-dependent hypocotyl elongation. In the roots and hypocotyl, the hy5 mutation also affects greening and specific cell proliferation such as lateral root formation and secondary thickening. Those phenotypes indicate that theHY5 gene is responsible for the regulation of fundamental developmental processes of the plant cell: cell elongation, cell proliferation, and chloroplast development. Molecular cloning of theHY5 gene using a T-DNA-tagged mutant has revealed that the gene encodes a protein with a bZIP motif, one of the motifs found in transcriptional regulators. Nuclear localization of the HY5 protein strongly suggests that the HY5 gene modulates the signal transduction pathways under the HY5-related development by controlling expression of genes downstream of these pathways.","container-title":"Genes &amp; Development","DOI":"10.1101/gad.11.22.2983","ISSN":"0890-9369, 1549-5477","issue":"22","journalAbbreviation":"Genes Dev.","language":"en","note":"PMID: 9367981","page":"2983-2995","source":"genesdev.cshlp.org","title":"The Arabidopsis HY5 gene encodes a bZIP protein that regulates stimulus-induced development of root and hypocotyl","volume":"11","author":[{"family":"Oyama","given":"Tokitaka"},{"family":"Shimura","given":"Yoshiro"},{"family":"Okada","given":"Kiyotaka"}],"issued":{"date-parts":[["1997",11,15]]}}}],"schema":"https://github.com/citation-style-language/schema/raw/master/csl-citation.json"} </w:instrText>
      </w:r>
      <w:r w:rsidR="002E5457">
        <w:rPr>
          <w:rFonts w:ascii="Arial" w:hAnsi="Arial" w:cs="Arial"/>
        </w:rPr>
        <w:fldChar w:fldCharType="separate"/>
      </w:r>
      <w:r w:rsidR="002E5457" w:rsidRPr="002E5457">
        <w:rPr>
          <w:rFonts w:ascii="Arial" w:hAnsi="Arial" w:cs="Arial"/>
        </w:rPr>
        <w:t>(Heng et al., 2019; Oyama et al., 1997)</w:t>
      </w:r>
      <w:r w:rsidR="002E5457">
        <w:rPr>
          <w:rFonts w:ascii="Arial" w:hAnsi="Arial" w:cs="Arial"/>
        </w:rPr>
        <w:fldChar w:fldCharType="end"/>
      </w:r>
      <w:r w:rsidRPr="005D6489">
        <w:rPr>
          <w:rFonts w:ascii="Arial" w:hAnsi="Arial" w:cs="Arial"/>
        </w:rPr>
        <w:t xml:space="preserve"> and their transcript levels display a strong peak post dawn in our time course data </w:t>
      </w:r>
      <w:r w:rsidRPr="008C6C8F">
        <w:rPr>
          <w:rFonts w:ascii="Arial" w:hAnsi="Arial" w:cs="Arial"/>
          <w:b/>
        </w:rPr>
        <w:t>(Fig</w:t>
      </w:r>
      <w:r w:rsidR="00924A25">
        <w:rPr>
          <w:rFonts w:ascii="Arial" w:hAnsi="Arial" w:cs="Arial"/>
          <w:b/>
        </w:rPr>
        <w:t>ure</w:t>
      </w:r>
      <w:r w:rsidR="00924A25" w:rsidRPr="008C6C8F">
        <w:rPr>
          <w:rFonts w:ascii="Arial" w:hAnsi="Arial" w:cs="Arial"/>
          <w:b/>
        </w:rPr>
        <w:t xml:space="preserve"> </w:t>
      </w:r>
      <w:r w:rsidR="00555146">
        <w:rPr>
          <w:rFonts w:ascii="Arial" w:hAnsi="Arial" w:cs="Arial"/>
          <w:b/>
        </w:rPr>
        <w:t>S5B</w:t>
      </w:r>
      <w:r w:rsidRPr="008C6C8F">
        <w:rPr>
          <w:rFonts w:ascii="Arial" w:hAnsi="Arial" w:cs="Arial"/>
          <w:b/>
        </w:rPr>
        <w:t>)</w:t>
      </w:r>
      <w:r w:rsidRPr="005D6489">
        <w:rPr>
          <w:rFonts w:ascii="Arial" w:hAnsi="Arial" w:cs="Arial"/>
        </w:rPr>
        <w:t xml:space="preserve">. Based on the timing of their expression and their position within our network, RVE1 and CDF5 may promote expression of growth-related genes before dawn, while HY5 and BBX31 appear to coordinate the </w:t>
      </w:r>
      <w:proofErr w:type="gramStart"/>
      <w:r w:rsidRPr="005D6489">
        <w:rPr>
          <w:rFonts w:ascii="Arial" w:hAnsi="Arial" w:cs="Arial"/>
        </w:rPr>
        <w:t>down-regulation</w:t>
      </w:r>
      <w:proofErr w:type="gramEnd"/>
      <w:r w:rsidRPr="005D6489">
        <w:rPr>
          <w:rFonts w:ascii="Arial" w:hAnsi="Arial" w:cs="Arial"/>
        </w:rPr>
        <w:t xml:space="preserve"> of early dawn genes as well as the induction </w:t>
      </w:r>
      <w:r w:rsidRPr="005D6489">
        <w:rPr>
          <w:rFonts w:ascii="Arial" w:hAnsi="Arial" w:cs="Arial"/>
        </w:rPr>
        <w:lastRenderedPageBreak/>
        <w:t>of subsequent transcriptional waves.  </w:t>
      </w:r>
      <w:bookmarkStart w:id="8" w:name="section"/>
      <w:bookmarkEnd w:id="8"/>
      <w:r w:rsidR="00E27D5C">
        <w:rPr>
          <w:rFonts w:ascii="Arial" w:hAnsi="Arial" w:cs="Arial"/>
        </w:rPr>
        <w:t xml:space="preserve">Moreover, betweenness </w:t>
      </w:r>
      <w:r w:rsidR="005D6831">
        <w:rPr>
          <w:rFonts w:ascii="Arial" w:hAnsi="Arial" w:cs="Arial"/>
        </w:rPr>
        <w:t>(HY5 and BBX31 have the 12</w:t>
      </w:r>
      <w:r w:rsidR="005D6831" w:rsidRPr="004E0A36">
        <w:rPr>
          <w:rFonts w:ascii="Arial" w:hAnsi="Arial" w:cs="Arial"/>
          <w:vertAlign w:val="superscript"/>
        </w:rPr>
        <w:t>th</w:t>
      </w:r>
      <w:r w:rsidR="005D6831">
        <w:rPr>
          <w:rFonts w:ascii="Arial" w:hAnsi="Arial" w:cs="Arial"/>
        </w:rPr>
        <w:t xml:space="preserve"> and 13</w:t>
      </w:r>
      <w:r w:rsidR="005D6831" w:rsidRPr="004E0A36">
        <w:rPr>
          <w:rFonts w:ascii="Arial" w:hAnsi="Arial" w:cs="Arial"/>
          <w:vertAlign w:val="superscript"/>
        </w:rPr>
        <w:t>th</w:t>
      </w:r>
      <w:r w:rsidR="005D6831">
        <w:rPr>
          <w:rFonts w:ascii="Arial" w:hAnsi="Arial" w:cs="Arial"/>
        </w:rPr>
        <w:t xml:space="preserve"> highest values) </w:t>
      </w:r>
      <w:r w:rsidR="00E27D5C">
        <w:rPr>
          <w:rFonts w:ascii="Arial" w:hAnsi="Arial" w:cs="Arial"/>
        </w:rPr>
        <w:t>and page</w:t>
      </w:r>
      <w:r w:rsidR="005D6831">
        <w:rPr>
          <w:rFonts w:ascii="Arial" w:hAnsi="Arial" w:cs="Arial"/>
        </w:rPr>
        <w:t xml:space="preserve"> </w:t>
      </w:r>
      <w:r w:rsidR="00E27D5C">
        <w:rPr>
          <w:rFonts w:ascii="Arial" w:hAnsi="Arial" w:cs="Arial"/>
        </w:rPr>
        <w:t>rank (HY5 and BBX31 have the 6</w:t>
      </w:r>
      <w:r w:rsidR="00E27D5C" w:rsidRPr="004E0A36">
        <w:rPr>
          <w:rFonts w:ascii="Arial" w:hAnsi="Arial" w:cs="Arial"/>
          <w:vertAlign w:val="superscript"/>
        </w:rPr>
        <w:t>th</w:t>
      </w:r>
      <w:r w:rsidR="00E27D5C">
        <w:rPr>
          <w:rFonts w:ascii="Arial" w:hAnsi="Arial" w:cs="Arial"/>
        </w:rPr>
        <w:t xml:space="preserve"> and 3</w:t>
      </w:r>
      <w:r w:rsidR="00E27D5C" w:rsidRPr="004E0A36">
        <w:rPr>
          <w:rFonts w:ascii="Arial" w:hAnsi="Arial" w:cs="Arial"/>
          <w:vertAlign w:val="superscript"/>
        </w:rPr>
        <w:t>rd</w:t>
      </w:r>
      <w:r w:rsidR="00E27D5C">
        <w:rPr>
          <w:rFonts w:ascii="Arial" w:hAnsi="Arial" w:cs="Arial"/>
        </w:rPr>
        <w:t xml:space="preserve"> highest values) indicate the important position of HY5 and BBX31 within the network structure (</w:t>
      </w:r>
      <w:r w:rsidR="00E27D5C" w:rsidRPr="004E0A36">
        <w:rPr>
          <w:rFonts w:ascii="Arial" w:hAnsi="Arial" w:cs="Arial"/>
          <w:b/>
        </w:rPr>
        <w:t>Table S2</w:t>
      </w:r>
      <w:r w:rsidR="00E27D5C">
        <w:rPr>
          <w:rFonts w:ascii="Arial" w:hAnsi="Arial" w:cs="Arial"/>
        </w:rPr>
        <w:t>)</w:t>
      </w:r>
      <w:r w:rsidR="00F96D50">
        <w:rPr>
          <w:rFonts w:ascii="Arial" w:hAnsi="Arial" w:cs="Arial"/>
        </w:rPr>
        <w:t>.</w:t>
      </w:r>
    </w:p>
    <w:p w14:paraId="28741C21" w14:textId="6918EABE" w:rsidR="002E0970" w:rsidRDefault="00BA10FA" w:rsidP="008C6C8F">
      <w:pPr>
        <w:pStyle w:val="FirstParagraph"/>
        <w:spacing w:line="360" w:lineRule="auto"/>
      </w:pPr>
      <w:r w:rsidRPr="005D6489">
        <w:rPr>
          <w:rFonts w:ascii="Arial" w:hAnsi="Arial" w:cs="Arial"/>
        </w:rPr>
        <w:t xml:space="preserve">HY5 is one of the most thoroughly </w:t>
      </w:r>
      <w:proofErr w:type="spellStart"/>
      <w:r w:rsidRPr="005D6489">
        <w:rPr>
          <w:rFonts w:ascii="Arial" w:hAnsi="Arial" w:cs="Arial"/>
        </w:rPr>
        <w:t>characterised</w:t>
      </w:r>
      <w:proofErr w:type="spellEnd"/>
      <w:r w:rsidRPr="005D6489">
        <w:rPr>
          <w:rFonts w:ascii="Arial" w:hAnsi="Arial" w:cs="Arial"/>
        </w:rPr>
        <w:t xml:space="preserve"> components of the light </w:t>
      </w:r>
      <w:proofErr w:type="spellStart"/>
      <w:r w:rsidRPr="005D6489">
        <w:rPr>
          <w:rFonts w:ascii="Arial" w:hAnsi="Arial" w:cs="Arial"/>
        </w:rPr>
        <w:t>signa</w:t>
      </w:r>
      <w:r w:rsidR="00822729">
        <w:rPr>
          <w:rFonts w:ascii="Arial" w:hAnsi="Arial" w:cs="Arial"/>
        </w:rPr>
        <w:t>l</w:t>
      </w:r>
      <w:r w:rsidRPr="005D6489">
        <w:rPr>
          <w:rFonts w:ascii="Arial" w:hAnsi="Arial" w:cs="Arial"/>
        </w:rPr>
        <w:t>ling</w:t>
      </w:r>
      <w:proofErr w:type="spellEnd"/>
      <w:r w:rsidRPr="005D6489">
        <w:rPr>
          <w:rFonts w:ascii="Arial" w:hAnsi="Arial" w:cs="Arial"/>
        </w:rPr>
        <w:t xml:space="preserve"> pathway and, aside from its role in promoting photomorphogenesis, has been found to affect the circadian clock, temperature responses, chlorophyll and anthocyanin biosynthesis as well as nutrient uptake </w:t>
      </w:r>
      <w:r w:rsidR="002E5457">
        <w:rPr>
          <w:rFonts w:ascii="Arial" w:hAnsi="Arial" w:cs="Arial"/>
        </w:rPr>
        <w:fldChar w:fldCharType="begin"/>
      </w:r>
      <w:r w:rsidR="002E5457">
        <w:rPr>
          <w:rFonts w:ascii="Arial" w:hAnsi="Arial" w:cs="Arial"/>
        </w:rPr>
        <w:instrText xml:space="preserve"> ADDIN ZOTERO_ITEM CSL_CITATION {"citationID":"0pyoe1HY","properties":{"formattedCitation":"(Gangappa and Botto, 2016)","plainCitation":"(Gangappa and Botto, 2016)","noteIndex":0},"citationItems":[{"id":2812,"uris":["http://zotero.org/users/2970095/items/QQHVSI2Q"],"uri":["http://zotero.org/users/2970095/items/QQHVSI2Q"],"itemData":{"id":2812,"type":"article-journal","abstract":"ELONGATED HYPOCOTYL5 (HY5), a member of the bZIP transcription factor family, inhibits hypocotyl growth and lateral root development, and promotes pigment accumulation in a light-dependent manner in Arabidopsis. Recent research on its role in different processes such as hormone, nutrient, abiotic stress (abscisic acid, salt, cold), and reactive oxygen species signaling pathways clearly places HY5 at the center of a transcriptional network hub. HY5 regulates the transcription of a large number of genes by directly binding to cis-regulatory elements. Recently, HY5 has also been shown to activate its own expression under both visible and UV-B light. Moreover, HY5 acts as a signal that moves from shoot to root to promote nitrate uptake and root growth. Here, we review recent advances on HY5 research in diverse aspects of plant development and highlight still open questions that need to be addressed in the near future for a complete understanding of its function in plant signaling and beyond.","container-title":"Molecular Plant","DOI":"10.1016/j.molp.2016.07.002","ISSN":"1674-2052","issue":"10","journalAbbreviation":"Molecular Plant","page":"1353-1365","source":"ScienceDirect","title":"The Multifaceted Roles of HY5 in Plant Growth and Development","volume":"9","author":[{"family":"Gangappa","given":"Sreeramaiah N."},{"family":"Botto","given":"Javier F."}],"issued":{"date-parts":[["2016",10,10]]}}}],"schema":"https://github.com/citation-style-language/schema/raw/master/csl-citation.json"} </w:instrText>
      </w:r>
      <w:r w:rsidR="002E5457">
        <w:rPr>
          <w:rFonts w:ascii="Arial" w:hAnsi="Arial" w:cs="Arial"/>
        </w:rPr>
        <w:fldChar w:fldCharType="separate"/>
      </w:r>
      <w:r w:rsidR="002E5457" w:rsidRPr="002E5457">
        <w:rPr>
          <w:rFonts w:ascii="Arial" w:hAnsi="Arial" w:cs="Arial"/>
        </w:rPr>
        <w:t>(</w:t>
      </w:r>
      <w:proofErr w:type="spellStart"/>
      <w:r w:rsidR="002E5457" w:rsidRPr="002E5457">
        <w:rPr>
          <w:rFonts w:ascii="Arial" w:hAnsi="Arial" w:cs="Arial"/>
        </w:rPr>
        <w:t>Gangappa</w:t>
      </w:r>
      <w:proofErr w:type="spellEnd"/>
      <w:r w:rsidR="002E5457" w:rsidRPr="002E5457">
        <w:rPr>
          <w:rFonts w:ascii="Arial" w:hAnsi="Arial" w:cs="Arial"/>
        </w:rPr>
        <w:t xml:space="preserve"> and Botto, 2016)</w:t>
      </w:r>
      <w:r w:rsidR="002E5457">
        <w:rPr>
          <w:rFonts w:ascii="Arial" w:hAnsi="Arial" w:cs="Arial"/>
        </w:rPr>
        <w:fldChar w:fldCharType="end"/>
      </w:r>
      <w:r w:rsidR="002E5457">
        <w:rPr>
          <w:rFonts w:ascii="Arial" w:hAnsi="Arial" w:cs="Arial"/>
        </w:rPr>
        <w:t>.</w:t>
      </w:r>
      <w:r w:rsidRPr="005D6489">
        <w:rPr>
          <w:rFonts w:ascii="Arial" w:hAnsi="Arial" w:cs="Arial"/>
        </w:rPr>
        <w:t xml:space="preserve"> In agreement with its multifaceted roles, we find genes related to light </w:t>
      </w:r>
      <w:proofErr w:type="spellStart"/>
      <w:r w:rsidRPr="005D6489">
        <w:rPr>
          <w:rFonts w:ascii="Arial" w:hAnsi="Arial" w:cs="Arial"/>
        </w:rPr>
        <w:t>signal</w:t>
      </w:r>
      <w:r w:rsidR="00822729">
        <w:rPr>
          <w:rFonts w:ascii="Arial" w:hAnsi="Arial" w:cs="Arial"/>
        </w:rPr>
        <w:t>l</w:t>
      </w:r>
      <w:r w:rsidRPr="005D6489">
        <w:rPr>
          <w:rFonts w:ascii="Arial" w:hAnsi="Arial" w:cs="Arial"/>
        </w:rPr>
        <w:t>ing</w:t>
      </w:r>
      <w:proofErr w:type="spellEnd"/>
      <w:r w:rsidRPr="005D6489">
        <w:rPr>
          <w:rFonts w:ascii="Arial" w:hAnsi="Arial" w:cs="Arial"/>
        </w:rPr>
        <w:t xml:space="preserve"> (</w:t>
      </w:r>
      <w:r w:rsidRPr="005D6489">
        <w:rPr>
          <w:rFonts w:ascii="Arial" w:hAnsi="Arial" w:cs="Arial"/>
          <w:i/>
        </w:rPr>
        <w:t>PHYTOCHROME INTERACTING FACTOR 4</w:t>
      </w:r>
      <w:r w:rsidRPr="005D6489">
        <w:rPr>
          <w:rFonts w:ascii="Arial" w:hAnsi="Arial" w:cs="Arial"/>
        </w:rPr>
        <w:t>/</w:t>
      </w:r>
      <w:r w:rsidRPr="005D6489">
        <w:rPr>
          <w:rFonts w:ascii="Arial" w:hAnsi="Arial" w:cs="Arial"/>
          <w:i/>
        </w:rPr>
        <w:t>PIF4</w:t>
      </w:r>
      <w:r w:rsidRPr="005D6489">
        <w:rPr>
          <w:rFonts w:ascii="Arial" w:hAnsi="Arial" w:cs="Arial"/>
        </w:rPr>
        <w:t xml:space="preserve">, </w:t>
      </w:r>
      <w:r w:rsidRPr="005D6489">
        <w:rPr>
          <w:rFonts w:ascii="Arial" w:hAnsi="Arial" w:cs="Arial"/>
          <w:i/>
        </w:rPr>
        <w:t>EARLY LIGHT INDUCIBLE PROTEIN 1/ELIP1</w:t>
      </w:r>
      <w:r w:rsidRPr="005D6489">
        <w:rPr>
          <w:rFonts w:ascii="Arial" w:hAnsi="Arial" w:cs="Arial"/>
        </w:rPr>
        <w:t>, </w:t>
      </w:r>
      <w:r w:rsidRPr="005D6489">
        <w:rPr>
          <w:rFonts w:ascii="Arial" w:hAnsi="Arial" w:cs="Arial"/>
          <w:i/>
        </w:rPr>
        <w:t>BBX16</w:t>
      </w:r>
      <w:r w:rsidRPr="005D6489">
        <w:rPr>
          <w:rFonts w:ascii="Arial" w:hAnsi="Arial" w:cs="Arial"/>
        </w:rPr>
        <w:t>), multiple heat shock genes, the circadian clock gene</w:t>
      </w:r>
      <w:r w:rsidR="00FF60B3">
        <w:rPr>
          <w:rFonts w:ascii="Arial" w:hAnsi="Arial" w:cs="Arial"/>
        </w:rPr>
        <w:t>s</w:t>
      </w:r>
      <w:r w:rsidRPr="005D6489">
        <w:rPr>
          <w:rFonts w:ascii="Arial" w:hAnsi="Arial" w:cs="Arial"/>
        </w:rPr>
        <w:t> </w:t>
      </w:r>
      <w:r w:rsidRPr="005D6489">
        <w:rPr>
          <w:rFonts w:ascii="Arial" w:hAnsi="Arial" w:cs="Arial"/>
          <w:i/>
        </w:rPr>
        <w:t>TIMING OF CAB EXPRESSION 1 (TOC1)</w:t>
      </w:r>
      <w:r w:rsidRPr="005D6489">
        <w:rPr>
          <w:rFonts w:ascii="Arial" w:hAnsi="Arial" w:cs="Arial"/>
        </w:rPr>
        <w:t xml:space="preserve"> </w:t>
      </w:r>
      <w:r w:rsidR="00FF60B3">
        <w:rPr>
          <w:rFonts w:ascii="Arial" w:hAnsi="Arial" w:cs="Arial"/>
        </w:rPr>
        <w:t xml:space="preserve">and </w:t>
      </w:r>
      <w:r w:rsidR="00FF60B3" w:rsidRPr="004E0A36">
        <w:rPr>
          <w:rFonts w:ascii="Arial" w:hAnsi="Arial" w:cs="Arial"/>
          <w:i/>
        </w:rPr>
        <w:t>ALTERED SEED GERMINATION 4</w:t>
      </w:r>
      <w:r w:rsidR="00FF60B3">
        <w:rPr>
          <w:rFonts w:ascii="Arial" w:hAnsi="Arial" w:cs="Arial"/>
        </w:rPr>
        <w:t xml:space="preserve"> (</w:t>
      </w:r>
      <w:r w:rsidR="00FF60B3" w:rsidRPr="004E0A36">
        <w:rPr>
          <w:rFonts w:ascii="Arial" w:hAnsi="Arial" w:cs="Arial"/>
          <w:i/>
        </w:rPr>
        <w:t>ASG4</w:t>
      </w:r>
      <w:r w:rsidR="00FF60B3">
        <w:rPr>
          <w:rFonts w:ascii="Arial" w:hAnsi="Arial" w:cs="Arial"/>
        </w:rPr>
        <w:t>)/</w:t>
      </w:r>
      <w:r w:rsidR="00FF60B3" w:rsidRPr="004E0A36">
        <w:rPr>
          <w:rFonts w:ascii="Arial" w:hAnsi="Arial" w:cs="Arial"/>
          <w:i/>
        </w:rPr>
        <w:t>RVE3</w:t>
      </w:r>
      <w:r w:rsidR="00FF60B3">
        <w:rPr>
          <w:rFonts w:ascii="Arial" w:hAnsi="Arial" w:cs="Arial"/>
        </w:rPr>
        <w:t xml:space="preserve"> as well as</w:t>
      </w:r>
      <w:r w:rsidRPr="005D6489">
        <w:rPr>
          <w:rFonts w:ascii="Arial" w:hAnsi="Arial" w:cs="Arial"/>
        </w:rPr>
        <w:t xml:space="preserve"> several UDP glucosyltransferase genes involved in flavonoid metabolism among its predicted targets </w:t>
      </w:r>
      <w:r w:rsidRPr="008C6C8F">
        <w:rPr>
          <w:rFonts w:ascii="Arial" w:hAnsi="Arial" w:cs="Arial"/>
          <w:b/>
        </w:rPr>
        <w:t>(Fig</w:t>
      </w:r>
      <w:r w:rsidR="00B80E61" w:rsidRPr="008C6C8F">
        <w:rPr>
          <w:rFonts w:ascii="Arial" w:hAnsi="Arial" w:cs="Arial"/>
          <w:b/>
        </w:rPr>
        <w:t>ure</w:t>
      </w:r>
      <w:r w:rsidRPr="008C6C8F">
        <w:rPr>
          <w:rFonts w:ascii="Arial" w:hAnsi="Arial" w:cs="Arial"/>
          <w:b/>
        </w:rPr>
        <w:t xml:space="preserve"> 3C)</w:t>
      </w:r>
      <w:r w:rsidRPr="005D6489">
        <w:rPr>
          <w:rFonts w:ascii="Arial" w:hAnsi="Arial" w:cs="Arial"/>
        </w:rPr>
        <w:t>. In contrast to HY5, BBX31 represents a negative regulator of photomorphogenesis</w:t>
      </w:r>
      <w:r w:rsidR="002E5457">
        <w:rPr>
          <w:rFonts w:ascii="Arial" w:hAnsi="Arial" w:cs="Arial"/>
        </w:rPr>
        <w:t xml:space="preserve"> </w:t>
      </w:r>
      <w:r w:rsidR="002E5457">
        <w:rPr>
          <w:rFonts w:ascii="Arial" w:hAnsi="Arial" w:cs="Arial"/>
        </w:rPr>
        <w:fldChar w:fldCharType="begin"/>
      </w:r>
      <w:r w:rsidR="002E5457">
        <w:rPr>
          <w:rFonts w:ascii="Arial" w:hAnsi="Arial" w:cs="Arial"/>
        </w:rPr>
        <w:instrText xml:space="preserve"> ADDIN ZOTERO_ITEM CSL_CITATION {"citationID":"a6hF1APn","properties":{"formattedCitation":"(Heng et al., 2019)","plainCitation":"(Heng et al., 2019)","noteIndex":0},"citationItems":[{"id":3177,"uris":["http://zotero.org/users/2970095/items/RMJXBLM8"],"uri":["http://zotero.org/users/2970095/items/RMJXBLM8"],"itemData":{"id":3177,"type":"article-journal","abstract":"Light-mediated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Wang"}],"issued":{"date-parts":[["2019",5,1]]}}}],"schema":"https://github.com/citation-style-language/schema/raw/master/csl-citation.json"} </w:instrText>
      </w:r>
      <w:r w:rsidR="002E5457">
        <w:rPr>
          <w:rFonts w:ascii="Arial" w:hAnsi="Arial" w:cs="Arial"/>
        </w:rPr>
        <w:fldChar w:fldCharType="separate"/>
      </w:r>
      <w:r w:rsidR="002E5457" w:rsidRPr="002E5457">
        <w:rPr>
          <w:rFonts w:ascii="Arial" w:hAnsi="Arial" w:cs="Arial"/>
        </w:rPr>
        <w:t>(Heng et al., 2019)</w:t>
      </w:r>
      <w:r w:rsidR="002E5457">
        <w:rPr>
          <w:rFonts w:ascii="Arial" w:hAnsi="Arial" w:cs="Arial"/>
        </w:rPr>
        <w:fldChar w:fldCharType="end"/>
      </w:r>
      <w:r w:rsidRPr="005D6489">
        <w:rPr>
          <w:rFonts w:ascii="Arial" w:hAnsi="Arial" w:cs="Arial"/>
        </w:rPr>
        <w:t>. Its targets do not show strong enrichment for specific biological processes but include the related BBX transcription factors </w:t>
      </w:r>
      <w:r w:rsidRPr="005D6489">
        <w:rPr>
          <w:rFonts w:ascii="Arial" w:hAnsi="Arial" w:cs="Arial"/>
          <w:i/>
        </w:rPr>
        <w:t>BBX18</w:t>
      </w:r>
      <w:r w:rsidRPr="005D6489">
        <w:rPr>
          <w:rFonts w:ascii="Arial" w:hAnsi="Arial" w:cs="Arial"/>
        </w:rPr>
        <w:t xml:space="preserve"> and </w:t>
      </w:r>
      <w:r w:rsidRPr="005D6489">
        <w:rPr>
          <w:rFonts w:ascii="Arial" w:hAnsi="Arial" w:cs="Arial"/>
          <w:i/>
        </w:rPr>
        <w:t>BBX30</w:t>
      </w:r>
      <w:r w:rsidRPr="005D6489">
        <w:rPr>
          <w:rFonts w:ascii="Arial" w:hAnsi="Arial" w:cs="Arial"/>
        </w:rPr>
        <w:t xml:space="preserve"> as well as </w:t>
      </w:r>
      <w:r w:rsidRPr="005D6489">
        <w:rPr>
          <w:rFonts w:ascii="Arial" w:hAnsi="Arial" w:cs="Arial"/>
          <w:i/>
        </w:rPr>
        <w:t>HY5</w:t>
      </w:r>
      <w:r w:rsidRPr="005D6489">
        <w:rPr>
          <w:rFonts w:ascii="Arial" w:hAnsi="Arial" w:cs="Arial"/>
        </w:rPr>
        <w:t xml:space="preserve"> itself </w:t>
      </w:r>
      <w:r w:rsidRPr="008C6C8F">
        <w:rPr>
          <w:rFonts w:ascii="Arial" w:hAnsi="Arial" w:cs="Arial"/>
          <w:b/>
        </w:rPr>
        <w:t>(Fig</w:t>
      </w:r>
      <w:r w:rsidR="00B80E61" w:rsidRPr="008C6C8F">
        <w:rPr>
          <w:rFonts w:ascii="Arial" w:hAnsi="Arial" w:cs="Arial"/>
          <w:b/>
        </w:rPr>
        <w:t>ure</w:t>
      </w:r>
      <w:r w:rsidRPr="008C6C8F">
        <w:rPr>
          <w:rFonts w:ascii="Arial" w:hAnsi="Arial" w:cs="Arial"/>
          <w:b/>
        </w:rPr>
        <w:t xml:space="preserve"> 3D)</w:t>
      </w:r>
      <w:r w:rsidRPr="005D6489">
        <w:rPr>
          <w:rFonts w:ascii="Arial" w:hAnsi="Arial" w:cs="Arial"/>
        </w:rPr>
        <w:t>. It has previously been shown that HY5 represses </w:t>
      </w:r>
      <w:r w:rsidRPr="005D6489">
        <w:rPr>
          <w:rFonts w:ascii="Arial" w:hAnsi="Arial" w:cs="Arial"/>
          <w:i/>
        </w:rPr>
        <w:t>BBX31</w:t>
      </w:r>
      <w:r w:rsidRPr="005D6489">
        <w:rPr>
          <w:rFonts w:ascii="Arial" w:hAnsi="Arial" w:cs="Arial"/>
        </w:rPr>
        <w:t xml:space="preserve"> transcription</w:t>
      </w:r>
      <w:r w:rsidR="004C47F8">
        <w:rPr>
          <w:rFonts w:ascii="Arial" w:hAnsi="Arial" w:cs="Arial"/>
        </w:rPr>
        <w:t xml:space="preserve"> </w:t>
      </w:r>
      <w:r w:rsidR="004C47F8">
        <w:rPr>
          <w:rFonts w:ascii="Arial" w:hAnsi="Arial" w:cs="Arial"/>
        </w:rPr>
        <w:fldChar w:fldCharType="begin"/>
      </w:r>
      <w:r w:rsidR="004C47F8">
        <w:rPr>
          <w:rFonts w:ascii="Arial" w:hAnsi="Arial" w:cs="Arial"/>
        </w:rPr>
        <w:instrText xml:space="preserve"> ADDIN ZOTERO_ITEM CSL_CITATION {"citationID":"Ke1U2DD4","properties":{"formattedCitation":"(Heng et al., 2019)","plainCitation":"(Heng et al., 2019)","noteIndex":0},"citationItems":[{"id":3177,"uris":["http://zotero.org/users/2970095/items/RMJXBLM8"],"uri":["http://zotero.org/users/2970095/items/RMJXBLM8"],"itemData":{"id":3177,"type":"article-journal","abstract":"Light-mediated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Wang"}],"issued":{"date-parts":[["2019",5,1]]}}}],"schema":"https://github.com/citation-style-language/schema/raw/master/csl-citation.json"} </w:instrText>
      </w:r>
      <w:r w:rsidR="004C47F8">
        <w:rPr>
          <w:rFonts w:ascii="Arial" w:hAnsi="Arial" w:cs="Arial"/>
        </w:rPr>
        <w:fldChar w:fldCharType="separate"/>
      </w:r>
      <w:r w:rsidR="004C47F8" w:rsidRPr="004C47F8">
        <w:rPr>
          <w:rFonts w:ascii="Arial" w:hAnsi="Arial" w:cs="Arial"/>
        </w:rPr>
        <w:t>(Heng et al., 2019)</w:t>
      </w:r>
      <w:r w:rsidR="004C47F8">
        <w:rPr>
          <w:rFonts w:ascii="Arial" w:hAnsi="Arial" w:cs="Arial"/>
        </w:rPr>
        <w:fldChar w:fldCharType="end"/>
      </w:r>
      <w:r w:rsidRPr="005D6489">
        <w:rPr>
          <w:rFonts w:ascii="Arial" w:hAnsi="Arial" w:cs="Arial"/>
        </w:rPr>
        <w:t>, but based on our data a reciprocal regulation of </w:t>
      </w:r>
      <w:r w:rsidRPr="005D6489">
        <w:rPr>
          <w:rFonts w:ascii="Arial" w:hAnsi="Arial" w:cs="Arial"/>
          <w:i/>
        </w:rPr>
        <w:t>HY5</w:t>
      </w:r>
      <w:r w:rsidRPr="005D6489">
        <w:rPr>
          <w:rFonts w:ascii="Arial" w:hAnsi="Arial" w:cs="Arial"/>
        </w:rPr>
        <w:t xml:space="preserve"> by BBX31 may occur as well</w:t>
      </w:r>
      <w:r w:rsidR="00A51C4C">
        <w:rPr>
          <w:rFonts w:ascii="Arial" w:hAnsi="Arial" w:cs="Arial"/>
        </w:rPr>
        <w:t>.</w:t>
      </w:r>
      <w:r w:rsidR="00A51C4C" w:rsidRPr="005D6489">
        <w:rPr>
          <w:rFonts w:ascii="Arial" w:hAnsi="Arial" w:cs="Arial"/>
        </w:rPr>
        <w:t xml:space="preserve">  </w:t>
      </w:r>
    </w:p>
    <w:p w14:paraId="681C407D" w14:textId="6D21B2CF" w:rsidR="002E0970" w:rsidRPr="005D6489" w:rsidRDefault="00BA10FA" w:rsidP="002E0970">
      <w:pPr>
        <w:pStyle w:val="Heading2"/>
        <w:spacing w:line="360" w:lineRule="auto"/>
        <w:rPr>
          <w:rFonts w:ascii="Arial" w:hAnsi="Arial" w:cs="Arial"/>
        </w:rPr>
      </w:pPr>
      <w:r w:rsidRPr="008C6C8F">
        <w:rPr>
          <w:rFonts w:ascii="Arial" w:hAnsi="Arial" w:cs="Arial"/>
          <w:b w:val="0"/>
        </w:rPr>
        <w:br/>
      </w:r>
      <w:r w:rsidR="002E0970" w:rsidRPr="008C6C8F">
        <w:rPr>
          <w:rFonts w:ascii="Arial" w:hAnsi="Arial" w:cs="Arial"/>
          <w:sz w:val="28"/>
        </w:rPr>
        <w:t>Phytochromes and cryptochromes control morning photomorphogenesis pathways via BBX family proteins and HY5</w:t>
      </w:r>
    </w:p>
    <w:p w14:paraId="6F782892" w14:textId="0D6AA697" w:rsidR="007636BE" w:rsidRDefault="002E0970" w:rsidP="002E0970">
      <w:pPr>
        <w:pStyle w:val="BodyText"/>
        <w:spacing w:line="360" w:lineRule="auto"/>
        <w:rPr>
          <w:rFonts w:ascii="Arial" w:hAnsi="Arial" w:cs="Arial"/>
        </w:rPr>
      </w:pPr>
      <w:r w:rsidRPr="005D6489">
        <w:rPr>
          <w:rFonts w:ascii="Arial" w:hAnsi="Arial" w:cs="Arial"/>
        </w:rPr>
        <w:t xml:space="preserve">A regulatory network of BBX transcription factors, HY5 and the related </w:t>
      </w:r>
      <w:proofErr w:type="spellStart"/>
      <w:r w:rsidRPr="005D6489">
        <w:rPr>
          <w:rFonts w:ascii="Arial" w:hAnsi="Arial" w:cs="Arial"/>
        </w:rPr>
        <w:t>bZIP</w:t>
      </w:r>
      <w:proofErr w:type="spellEnd"/>
      <w:r w:rsidRPr="005D6489">
        <w:rPr>
          <w:rFonts w:ascii="Arial" w:hAnsi="Arial" w:cs="Arial"/>
        </w:rPr>
        <w:t xml:space="preserve"> transcription factor HY5 HOMOLOG (HYH) has been postulated to control a large portion of the light-r</w:t>
      </w:r>
      <w:r w:rsidR="004C47F8">
        <w:rPr>
          <w:rFonts w:ascii="Arial" w:hAnsi="Arial" w:cs="Arial"/>
        </w:rPr>
        <w:t xml:space="preserve">egulated transcriptome </w:t>
      </w:r>
      <w:r w:rsidR="004C47F8">
        <w:rPr>
          <w:rFonts w:ascii="Arial" w:hAnsi="Arial" w:cs="Arial"/>
        </w:rPr>
        <w:fldChar w:fldCharType="begin"/>
      </w:r>
      <w:r w:rsidR="004C47F8">
        <w:rPr>
          <w:rFonts w:ascii="Arial" w:hAnsi="Arial" w:cs="Arial"/>
        </w:rPr>
        <w:instrText xml:space="preserve"> ADDIN ZOTERO_ITEM CSL_CITATION {"citationID":"ZLstoaHr","properties":{"formattedCitation":"(Xu, 2019)","plainCitation":"(Xu, 2019)","noteIndex":0},"citationItems":[{"id":3529,"uris":["http://zotero.org/users/2970095/items/4WBH77R2"],"uri":["http://zotero.org/users/2970095/items/4WBH77R2"],"itemData":{"id":3529,"type":"article-journal","abstract":"Light is one of the most essential environmental factors affecting many aspects of growth and developmental processes in plants. Plants undergo skotomorphogenic or photomorphogenic development dependent on the absence or presence of light. These two developmental programs enable a germinated seed to become a healthy seedling at the early stage of the plant life cycle. CULLIN 4-DNA DAMAGE-BINDING PROTEIN 1 (DDB1)-based CONSTITUTIVELY PHOTOMORPHOGENIC 1 (COP1)-SUPPRESSOR OF PHYA and COP10-DEETIOLATED 1-DDB1 E3 ubiquitin ligase complexes promote the skotomorphogenesis by ubiquitinating and degrading a number of photomorphogenic-promoting factors in darkness. Photoreceptors sense and transduce light information to downstream signaling, thereby initiating a set of molecular events and subsequent photomorphogenesis. These processes are precisely modulated by a group of components including various photoreceptors, E3 ubiquitin ligase, and transcription factors at the molecular level. This review provides an overview of the current understanding of the COP1, ELONGATED HYPOCOTYL 5, and B-BOX CONTAINING PROTEINs-mediated light signal transduction pathway and highlights still open questions in the field.","container-title":"The New Phytologist","DOI":"10.1111/nph.16296","ISSN":"1469-8137","journalAbbreviation":"New Phytol.","language":"eng","note":"PMID: 31664720","source":"PubMed","title":"COP1 and BBXs-HY5-mediated light signal transduction in plants","author":[{"family":"Xu","given":"Dongqing"}],"issued":{"date-parts":[["2019",10,30]]}}}],"schema":"https://github.com/citation-style-language/schema/raw/master/csl-citation.json"} </w:instrText>
      </w:r>
      <w:r w:rsidR="004C47F8">
        <w:rPr>
          <w:rFonts w:ascii="Arial" w:hAnsi="Arial" w:cs="Arial"/>
        </w:rPr>
        <w:fldChar w:fldCharType="separate"/>
      </w:r>
      <w:r w:rsidR="004C47F8" w:rsidRPr="004C47F8">
        <w:rPr>
          <w:rFonts w:ascii="Arial" w:hAnsi="Arial" w:cs="Arial"/>
        </w:rPr>
        <w:t>(Xu, 2019)</w:t>
      </w:r>
      <w:r w:rsidR="004C47F8">
        <w:rPr>
          <w:rFonts w:ascii="Arial" w:hAnsi="Arial" w:cs="Arial"/>
        </w:rPr>
        <w:fldChar w:fldCharType="end"/>
      </w:r>
      <w:r w:rsidRPr="005D6489">
        <w:rPr>
          <w:rFonts w:ascii="Arial" w:hAnsi="Arial" w:cs="Arial"/>
        </w:rPr>
        <w:t>. We observe that multiple members of this network feature strongly during the dawn burst: not only </w:t>
      </w:r>
      <w:r w:rsidRPr="005D6489">
        <w:rPr>
          <w:rFonts w:ascii="Arial" w:hAnsi="Arial" w:cs="Arial"/>
          <w:i/>
        </w:rPr>
        <w:t>HY5</w:t>
      </w:r>
      <w:r w:rsidRPr="005D6489">
        <w:rPr>
          <w:rFonts w:ascii="Arial" w:hAnsi="Arial" w:cs="Arial"/>
        </w:rPr>
        <w:t xml:space="preserve"> and </w:t>
      </w:r>
      <w:r w:rsidRPr="005D6489">
        <w:rPr>
          <w:rFonts w:ascii="Arial" w:hAnsi="Arial" w:cs="Arial"/>
          <w:i/>
        </w:rPr>
        <w:t>BBX31</w:t>
      </w:r>
      <w:r w:rsidRPr="005D6489">
        <w:rPr>
          <w:rFonts w:ascii="Arial" w:hAnsi="Arial" w:cs="Arial"/>
        </w:rPr>
        <w:t>, but also </w:t>
      </w:r>
      <w:r w:rsidRPr="005D6489">
        <w:rPr>
          <w:rFonts w:ascii="Arial" w:hAnsi="Arial" w:cs="Arial"/>
          <w:i/>
        </w:rPr>
        <w:t>HYH</w:t>
      </w:r>
      <w:r w:rsidRPr="005D6489">
        <w:rPr>
          <w:rFonts w:ascii="Arial" w:hAnsi="Arial" w:cs="Arial"/>
        </w:rPr>
        <w:t>, </w:t>
      </w:r>
      <w:r w:rsidRPr="005D6489">
        <w:rPr>
          <w:rFonts w:ascii="Arial" w:hAnsi="Arial" w:cs="Arial"/>
          <w:i/>
        </w:rPr>
        <w:t>BBX16</w:t>
      </w:r>
      <w:r w:rsidRPr="005D6489">
        <w:rPr>
          <w:rFonts w:ascii="Arial" w:hAnsi="Arial" w:cs="Arial"/>
        </w:rPr>
        <w:t>, </w:t>
      </w:r>
      <w:r w:rsidRPr="005D6489">
        <w:rPr>
          <w:rFonts w:ascii="Arial" w:hAnsi="Arial" w:cs="Arial"/>
          <w:i/>
        </w:rPr>
        <w:t>BBX24/SALT TOLERANCE (STO)</w:t>
      </w:r>
      <w:r w:rsidRPr="005D6489">
        <w:rPr>
          <w:rFonts w:ascii="Arial" w:hAnsi="Arial" w:cs="Arial"/>
        </w:rPr>
        <w:t>, </w:t>
      </w:r>
      <w:r w:rsidRPr="005D6489">
        <w:rPr>
          <w:rFonts w:ascii="Arial" w:hAnsi="Arial" w:cs="Arial"/>
          <w:i/>
        </w:rPr>
        <w:t>BBX25/SALT TOLERANCE HOMOLOG (STH)</w:t>
      </w:r>
      <w:r w:rsidRPr="005D6489">
        <w:rPr>
          <w:rFonts w:ascii="Arial" w:hAnsi="Arial" w:cs="Arial"/>
        </w:rPr>
        <w:t>, </w:t>
      </w:r>
      <w:r w:rsidRPr="005D6489">
        <w:rPr>
          <w:rFonts w:ascii="Arial" w:hAnsi="Arial" w:cs="Arial"/>
          <w:i/>
        </w:rPr>
        <w:t>BBX30</w:t>
      </w:r>
      <w:r w:rsidRPr="005D6489">
        <w:rPr>
          <w:rFonts w:ascii="Arial" w:hAnsi="Arial" w:cs="Arial"/>
        </w:rPr>
        <w:t xml:space="preserve"> and </w:t>
      </w:r>
      <w:r w:rsidRPr="005D6489">
        <w:rPr>
          <w:rFonts w:ascii="Arial" w:hAnsi="Arial" w:cs="Arial"/>
          <w:i/>
        </w:rPr>
        <w:t>BBX32</w:t>
      </w:r>
      <w:r w:rsidRPr="005D6489">
        <w:rPr>
          <w:rFonts w:ascii="Arial" w:hAnsi="Arial" w:cs="Arial"/>
        </w:rPr>
        <w:t xml:space="preserve"> transcript levels peak within an hour after dawn</w:t>
      </w:r>
      <w:r w:rsidR="007636BE">
        <w:rPr>
          <w:rFonts w:ascii="Arial" w:hAnsi="Arial" w:cs="Arial"/>
        </w:rPr>
        <w:t>,</w:t>
      </w:r>
      <w:r w:rsidR="007636BE">
        <w:rPr>
          <w:rFonts w:ascii="Arial" w:hAnsi="Arial" w:cs="Arial"/>
          <w:b/>
        </w:rPr>
        <w:t xml:space="preserve"> </w:t>
      </w:r>
      <w:r w:rsidR="007636BE">
        <w:rPr>
          <w:rFonts w:ascii="Arial" w:hAnsi="Arial" w:cs="Arial"/>
        </w:rPr>
        <w:t>while</w:t>
      </w:r>
      <w:r w:rsidR="007636BE" w:rsidRPr="005D6489">
        <w:rPr>
          <w:rFonts w:ascii="Arial" w:hAnsi="Arial" w:cs="Arial"/>
        </w:rPr>
        <w:t xml:space="preserve"> </w:t>
      </w:r>
      <w:r w:rsidR="007636BE">
        <w:rPr>
          <w:rFonts w:ascii="Arial" w:hAnsi="Arial" w:cs="Arial"/>
        </w:rPr>
        <w:t>t</w:t>
      </w:r>
      <w:r w:rsidRPr="005D6489">
        <w:rPr>
          <w:rFonts w:ascii="Arial" w:hAnsi="Arial" w:cs="Arial"/>
        </w:rPr>
        <w:t>hese peaks are completely abolished in the </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w:t>
      </w:r>
      <w:r w:rsidRPr="005D6489">
        <w:rPr>
          <w:rFonts w:ascii="Arial" w:hAnsi="Arial" w:cs="Arial"/>
        </w:rPr>
        <w:t xml:space="preserve"> </w:t>
      </w:r>
      <w:r w:rsidRPr="005D6489">
        <w:rPr>
          <w:rFonts w:ascii="Arial" w:hAnsi="Arial" w:cs="Arial"/>
        </w:rPr>
        <w:lastRenderedPageBreak/>
        <w:t>mutant background</w:t>
      </w:r>
      <w:r w:rsidR="007636BE">
        <w:rPr>
          <w:rFonts w:ascii="Arial" w:hAnsi="Arial" w:cs="Arial"/>
        </w:rPr>
        <w:t xml:space="preserve"> </w:t>
      </w:r>
      <w:r w:rsidR="007636BE" w:rsidRPr="004C47F8">
        <w:rPr>
          <w:rFonts w:ascii="Arial" w:hAnsi="Arial" w:cs="Arial"/>
          <w:b/>
        </w:rPr>
        <w:t>(Figure 4)</w:t>
      </w:r>
      <w:r w:rsidR="00C433C9" w:rsidRPr="005D6489">
        <w:rPr>
          <w:rFonts w:ascii="Arial" w:hAnsi="Arial" w:cs="Arial"/>
        </w:rPr>
        <w:t xml:space="preserve"> but only partially reduced in </w:t>
      </w:r>
      <w:proofErr w:type="spellStart"/>
      <w:r w:rsidR="00C433C9" w:rsidRPr="005D6489">
        <w:rPr>
          <w:rFonts w:ascii="Arial" w:hAnsi="Arial" w:cs="Arial"/>
          <w:i/>
        </w:rPr>
        <w:t>phyA</w:t>
      </w:r>
      <w:proofErr w:type="spellEnd"/>
      <w:r w:rsidR="00C433C9" w:rsidRPr="005D6489">
        <w:rPr>
          <w:rFonts w:ascii="Arial" w:hAnsi="Arial" w:cs="Arial"/>
          <w:i/>
        </w:rPr>
        <w:t xml:space="preserve"> </w:t>
      </w:r>
      <w:proofErr w:type="spellStart"/>
      <w:r w:rsidR="00C433C9" w:rsidRPr="005D6489">
        <w:rPr>
          <w:rFonts w:ascii="Arial" w:hAnsi="Arial" w:cs="Arial"/>
          <w:i/>
        </w:rPr>
        <w:t>phyB</w:t>
      </w:r>
      <w:proofErr w:type="spellEnd"/>
      <w:r w:rsidR="00C433C9" w:rsidRPr="005D6489">
        <w:rPr>
          <w:rFonts w:ascii="Arial" w:hAnsi="Arial" w:cs="Arial"/>
        </w:rPr>
        <w:t xml:space="preserve"> and </w:t>
      </w:r>
      <w:r w:rsidR="00C433C9" w:rsidRPr="005D6489">
        <w:rPr>
          <w:rFonts w:ascii="Arial" w:hAnsi="Arial" w:cs="Arial"/>
          <w:i/>
        </w:rPr>
        <w:t>cry1 cry2</w:t>
      </w:r>
      <w:r w:rsidR="00C433C9" w:rsidRPr="005D6489">
        <w:rPr>
          <w:rFonts w:ascii="Arial" w:hAnsi="Arial" w:cs="Arial"/>
        </w:rPr>
        <w:t xml:space="preserve"> double mutants (</w:t>
      </w:r>
      <w:r w:rsidR="00C433C9">
        <w:rPr>
          <w:rFonts w:ascii="Arial" w:hAnsi="Arial" w:cs="Arial"/>
          <w:b/>
        </w:rPr>
        <w:t>Figure S</w:t>
      </w:r>
      <w:r w:rsidR="0062204C">
        <w:rPr>
          <w:rFonts w:ascii="Arial" w:hAnsi="Arial" w:cs="Arial"/>
          <w:b/>
        </w:rPr>
        <w:t>6</w:t>
      </w:r>
      <w:r w:rsidR="00C433C9">
        <w:rPr>
          <w:rFonts w:ascii="Arial" w:hAnsi="Arial" w:cs="Arial"/>
        </w:rPr>
        <w:t>)</w:t>
      </w:r>
      <w:r w:rsidR="007636BE">
        <w:rPr>
          <w:rFonts w:ascii="Arial" w:hAnsi="Arial" w:cs="Arial"/>
        </w:rPr>
        <w:t>.</w:t>
      </w:r>
      <w:r w:rsidRPr="005D6489">
        <w:rPr>
          <w:rFonts w:ascii="Arial" w:hAnsi="Arial" w:cs="Arial"/>
        </w:rPr>
        <w:t xml:space="preserve"> </w:t>
      </w:r>
      <w:r>
        <w:rPr>
          <w:rFonts w:ascii="Arial" w:hAnsi="Arial" w:cs="Arial"/>
        </w:rPr>
        <w:t xml:space="preserve">For many of these genes, expression still peaked at dawn in </w:t>
      </w:r>
      <w:r w:rsidRPr="00774D12">
        <w:rPr>
          <w:rFonts w:ascii="Arial" w:hAnsi="Arial" w:cs="Arial"/>
          <w:i/>
        </w:rPr>
        <w:t>prr5 prr7 prr9</w:t>
      </w:r>
      <w:r>
        <w:rPr>
          <w:rFonts w:ascii="Arial" w:hAnsi="Arial" w:cs="Arial"/>
        </w:rPr>
        <w:t xml:space="preserve">, but was generally higher and persisted over a longer time, while their expression remained largely unaffected in </w:t>
      </w:r>
      <w:r w:rsidRPr="00774D12">
        <w:rPr>
          <w:rFonts w:ascii="Arial" w:hAnsi="Arial" w:cs="Arial"/>
          <w:i/>
        </w:rPr>
        <w:t>hsfa1QK</w:t>
      </w:r>
      <w:r>
        <w:rPr>
          <w:rFonts w:ascii="Arial" w:hAnsi="Arial" w:cs="Arial"/>
          <w:i/>
        </w:rPr>
        <w:t xml:space="preserve"> </w:t>
      </w:r>
      <w:r w:rsidRPr="00774D12">
        <w:rPr>
          <w:rFonts w:ascii="Arial" w:hAnsi="Arial" w:cs="Arial"/>
          <w:b/>
        </w:rPr>
        <w:t>(</w:t>
      </w:r>
      <w:r>
        <w:rPr>
          <w:rFonts w:ascii="Arial" w:hAnsi="Arial" w:cs="Arial"/>
          <w:b/>
        </w:rPr>
        <w:t xml:space="preserve">Figure </w:t>
      </w:r>
      <w:r w:rsidR="00555146">
        <w:rPr>
          <w:rFonts w:ascii="Arial" w:hAnsi="Arial" w:cs="Arial"/>
          <w:b/>
        </w:rPr>
        <w:t>S</w:t>
      </w:r>
      <w:r w:rsidR="0062204C">
        <w:rPr>
          <w:rFonts w:ascii="Arial" w:hAnsi="Arial" w:cs="Arial"/>
          <w:b/>
        </w:rPr>
        <w:t>7</w:t>
      </w:r>
      <w:r w:rsidRPr="00774D12">
        <w:rPr>
          <w:rFonts w:ascii="Arial" w:hAnsi="Arial" w:cs="Arial"/>
          <w:b/>
        </w:rPr>
        <w:t>)</w:t>
      </w:r>
      <w:r>
        <w:rPr>
          <w:rFonts w:ascii="Arial" w:hAnsi="Arial" w:cs="Arial"/>
        </w:rPr>
        <w:t xml:space="preserve">. </w:t>
      </w:r>
      <w:r w:rsidRPr="005D6489">
        <w:rPr>
          <w:rFonts w:ascii="Arial" w:hAnsi="Arial" w:cs="Arial"/>
        </w:rPr>
        <w:t xml:space="preserve">This implies that </w:t>
      </w:r>
      <w:r>
        <w:rPr>
          <w:rFonts w:ascii="Arial" w:hAnsi="Arial" w:cs="Arial"/>
        </w:rPr>
        <w:t>phytochromes and cryptochromes</w:t>
      </w:r>
      <w:r w:rsidRPr="005D6489">
        <w:rPr>
          <w:rFonts w:ascii="Arial" w:hAnsi="Arial" w:cs="Arial"/>
        </w:rPr>
        <w:t xml:space="preserve"> act in parallel</w:t>
      </w:r>
      <w:r>
        <w:rPr>
          <w:rFonts w:ascii="Arial" w:hAnsi="Arial" w:cs="Arial"/>
        </w:rPr>
        <w:t xml:space="preserve"> to</w:t>
      </w:r>
      <w:r w:rsidRPr="005D6489">
        <w:rPr>
          <w:rFonts w:ascii="Arial" w:hAnsi="Arial" w:cs="Arial"/>
        </w:rPr>
        <w:t xml:space="preserve"> induce </w:t>
      </w:r>
      <w:r w:rsidRPr="005D6489">
        <w:rPr>
          <w:rFonts w:ascii="Arial" w:hAnsi="Arial" w:cs="Arial"/>
          <w:i/>
        </w:rPr>
        <w:t>HY5</w:t>
      </w:r>
      <w:r w:rsidRPr="005D6489">
        <w:rPr>
          <w:rFonts w:ascii="Arial" w:hAnsi="Arial" w:cs="Arial"/>
        </w:rPr>
        <w:t>, </w:t>
      </w:r>
      <w:r w:rsidRPr="005D6489">
        <w:rPr>
          <w:rFonts w:ascii="Arial" w:hAnsi="Arial" w:cs="Arial"/>
          <w:i/>
        </w:rPr>
        <w:t>HYH</w:t>
      </w:r>
      <w:r w:rsidRPr="005D6489">
        <w:rPr>
          <w:rFonts w:ascii="Arial" w:hAnsi="Arial" w:cs="Arial"/>
        </w:rPr>
        <w:t xml:space="preserve"> and the </w:t>
      </w:r>
      <w:r w:rsidRPr="005D6489">
        <w:rPr>
          <w:rFonts w:ascii="Arial" w:hAnsi="Arial" w:cs="Arial"/>
          <w:i/>
        </w:rPr>
        <w:t>BBX</w:t>
      </w:r>
      <w:r w:rsidRPr="005D6489">
        <w:rPr>
          <w:rFonts w:ascii="Arial" w:hAnsi="Arial" w:cs="Arial"/>
        </w:rPr>
        <w:t xml:space="preserve"> genes (hereafter referred to as BBX Set A).</w:t>
      </w:r>
      <w:r w:rsidR="007636BE" w:rsidRPr="007636BE">
        <w:rPr>
          <w:rFonts w:ascii="Arial" w:hAnsi="Arial" w:cs="Arial"/>
        </w:rPr>
        <w:t xml:space="preserve"> </w:t>
      </w:r>
      <w:r w:rsidR="007636BE" w:rsidRPr="005D6489">
        <w:rPr>
          <w:rFonts w:ascii="Arial" w:hAnsi="Arial" w:cs="Arial"/>
        </w:rPr>
        <w:t>Another set of </w:t>
      </w:r>
      <w:r w:rsidR="007636BE" w:rsidRPr="005D6489">
        <w:rPr>
          <w:rFonts w:ascii="Arial" w:hAnsi="Arial" w:cs="Arial"/>
          <w:i/>
        </w:rPr>
        <w:t>BBX</w:t>
      </w:r>
      <w:r w:rsidR="007636BE" w:rsidRPr="005D6489">
        <w:rPr>
          <w:rFonts w:ascii="Arial" w:hAnsi="Arial" w:cs="Arial"/>
        </w:rPr>
        <w:t xml:space="preserve"> genes (BBX Set B), comprised of </w:t>
      </w:r>
      <w:r w:rsidR="007636BE" w:rsidRPr="005D6489">
        <w:rPr>
          <w:rFonts w:ascii="Arial" w:hAnsi="Arial" w:cs="Arial"/>
          <w:i/>
        </w:rPr>
        <w:t>BBX20</w:t>
      </w:r>
      <w:r w:rsidR="007636BE" w:rsidRPr="005D6489">
        <w:rPr>
          <w:rFonts w:ascii="Arial" w:hAnsi="Arial" w:cs="Arial"/>
        </w:rPr>
        <w:t xml:space="preserve"> and </w:t>
      </w:r>
      <w:r w:rsidR="007636BE" w:rsidRPr="005D6489">
        <w:rPr>
          <w:rFonts w:ascii="Arial" w:hAnsi="Arial" w:cs="Arial"/>
          <w:i/>
        </w:rPr>
        <w:t>BBX21</w:t>
      </w:r>
      <w:r w:rsidR="007636BE" w:rsidRPr="005D6489">
        <w:rPr>
          <w:rFonts w:ascii="Arial" w:hAnsi="Arial" w:cs="Arial"/>
        </w:rPr>
        <w:t xml:space="preserve">, does not exhibit a dawn burst in expression, but their transcript levels are strongly upregulated in the </w:t>
      </w:r>
      <w:proofErr w:type="spellStart"/>
      <w:r w:rsidR="007636BE" w:rsidRPr="008C4349">
        <w:rPr>
          <w:rFonts w:ascii="Arial" w:hAnsi="Arial" w:cs="Arial"/>
          <w:i/>
        </w:rPr>
        <w:t>phyA</w:t>
      </w:r>
      <w:proofErr w:type="spellEnd"/>
      <w:r w:rsidR="007636BE" w:rsidRPr="008C4349">
        <w:rPr>
          <w:rFonts w:ascii="Arial" w:hAnsi="Arial" w:cs="Arial"/>
          <w:i/>
        </w:rPr>
        <w:t xml:space="preserve"> </w:t>
      </w:r>
      <w:proofErr w:type="spellStart"/>
      <w:r w:rsidR="007636BE" w:rsidRPr="008C4349">
        <w:rPr>
          <w:rFonts w:ascii="Arial" w:hAnsi="Arial" w:cs="Arial"/>
          <w:i/>
        </w:rPr>
        <w:t>phyB</w:t>
      </w:r>
      <w:proofErr w:type="spellEnd"/>
      <w:r w:rsidR="007636BE" w:rsidRPr="008C4349">
        <w:rPr>
          <w:rFonts w:ascii="Arial" w:hAnsi="Arial" w:cs="Arial"/>
          <w:i/>
        </w:rPr>
        <w:t xml:space="preserve"> cry1 cry2</w:t>
      </w:r>
      <w:r w:rsidR="007636BE" w:rsidRPr="005D6489">
        <w:rPr>
          <w:rFonts w:ascii="Arial" w:hAnsi="Arial" w:cs="Arial"/>
        </w:rPr>
        <w:t xml:space="preserve"> mutant </w:t>
      </w:r>
      <w:r w:rsidR="007636BE">
        <w:rPr>
          <w:rFonts w:ascii="Arial" w:hAnsi="Arial" w:cs="Arial"/>
          <w:b/>
        </w:rPr>
        <w:t>(Figure 4</w:t>
      </w:r>
      <w:r w:rsidR="007636BE" w:rsidRPr="00D23641">
        <w:rPr>
          <w:rFonts w:ascii="Arial" w:hAnsi="Arial" w:cs="Arial"/>
        </w:rPr>
        <w:t>)</w:t>
      </w:r>
      <w:r w:rsidR="007636BE">
        <w:rPr>
          <w:rFonts w:ascii="Arial" w:hAnsi="Arial" w:cs="Arial"/>
        </w:rPr>
        <w:t xml:space="preserve">. </w:t>
      </w:r>
      <w:r w:rsidR="007636BE" w:rsidRPr="005D6489">
        <w:rPr>
          <w:rFonts w:ascii="Arial" w:hAnsi="Arial" w:cs="Arial"/>
        </w:rPr>
        <w:t xml:space="preserve">Interestingly, apart from BBX16 all transcription factors included in Set </w:t>
      </w:r>
      <w:r w:rsidR="007636BE">
        <w:rPr>
          <w:rFonts w:ascii="Arial" w:hAnsi="Arial" w:cs="Arial"/>
        </w:rPr>
        <w:t>A</w:t>
      </w:r>
      <w:r w:rsidR="007636BE" w:rsidRPr="005D6489">
        <w:rPr>
          <w:rFonts w:ascii="Arial" w:hAnsi="Arial" w:cs="Arial"/>
        </w:rPr>
        <w:t xml:space="preserve"> have been shown to negatively regulate</w:t>
      </w:r>
      <w:r w:rsidR="007636BE">
        <w:rPr>
          <w:rFonts w:ascii="Arial" w:hAnsi="Arial" w:cs="Arial"/>
        </w:rPr>
        <w:t xml:space="preserve"> </w:t>
      </w:r>
      <w:r w:rsidR="007636BE" w:rsidRPr="005D6489">
        <w:rPr>
          <w:rFonts w:ascii="Arial" w:hAnsi="Arial" w:cs="Arial"/>
        </w:rPr>
        <w:t>photomorphogenesis </w:t>
      </w:r>
      <w:r w:rsidR="007636BE">
        <w:rPr>
          <w:rFonts w:ascii="Arial" w:hAnsi="Arial" w:cs="Arial"/>
        </w:rPr>
        <w:fldChar w:fldCharType="begin"/>
      </w:r>
      <w:r w:rsidR="007636BE">
        <w:rPr>
          <w:rFonts w:ascii="Arial" w:hAnsi="Arial" w:cs="Arial"/>
        </w:rPr>
        <w:instrText xml:space="preserve"> ADDIN ZOTERO_ITEM CSL_CITATION {"citationID":"Mm3hPEQU","properties":{"formattedCitation":"(Gangappa et al., 2013, 2013; Heng et al., 2019; Holtan et al., 2011; Indorf et al., 2007; Job et al., 2018)","plainCitation":"(Gangappa et al., 2013, 2013; Heng et al., 2019; Holtan et al., 2011; Indorf et al., 2007; Job et al., 2018)","noteIndex":0},"citationItems":[{"id":3208,"uris":["http://zotero.org/users/2970095/items/FGJE7PAB"],"uri":["http://zotero.org/users/2970095/items/FGJE7PAB"],"itemData":{"id":3208,"type":"article-journal","abstract":"The B-box domains of BBX25 physically interact with the bZIP domain of HY5, and BBX24 and BBX25 inhibit the activation of BBX22 expression by HY5, probably by forming inactive heterodimers. In contrast with their role during deetiolation, BBX24 and BBX25 can switch roles and function independently of HY5 in the hypocotyl shade avoidance response., ELONGATED HYPOCOTYL5 (HY5) is a basic domain/leucine zipper (bZIP) transcription factor, central for the regulation of seedling photomorphogenesis. Here, we identified a B-BOX (BBX)–containing protein, BBX25/SALT TOLERANCE HOMOLOG, as an interacting partner of HY5, which has been previously found to physically interact with CONSTITUTIVE PHOTOMORPHOGENIC1 (COP1). BBX25 physically interacts with HY5 both in vitro and in vivo. By physiological and genetic approaches, we showed that BBX25 is a negative regulator of seedling photomorphogenesis. BBX25 and its homolog BBX24 regulate deetiolation processes and hypocotyl shade avoidance response in an additive manner. Moreover, genetic relationships of bbx25 and bbx24 with hy5 and cop1 revealed that BBX25 and BBX24 additively enhance COP1 and suppress HY5 functions. BBX25 accumulates in a light-dependent manner and undergoes COP1-mediated degradation in dark and light conditions. Furthermore, a protoplast cotransfection assay showed that BBX24 and BBX25 repress BBX22 expression by interfering with HY5 transcriptional activity. As HY5 binds to the BBX22 promoter and promotes its expression, our results identify a direct mechanism through which the expression of BBX22 is regulated. We suggest that BBX25 and BBX24 function as transcriptional corepressors, probably by forming inactive heterodimers with HY5, downregulating BBX22 expression for the fine-tuning of light-mediated seedling development.","container-title":"The Plant Cell","DOI":"10.1105/tpc.113.109751","ISSN":"1040-4651","issue":"4","journalAbbreviation":"Plant Cell","note":"PMID: 23624715\nPMCID: PMC3663265","page":"1243-1257","source":"PubMed Central","title":"The Arabidopsis B-BOX Protein BBX25 Interacts with HY5, Negatively Regulating BBX22 Expression to Suppress Seedling Photomorphogenesis[C][W]","volume":"25","author":[{"family":"Gangappa","given":"Sreeramaiah N."},{"family":"Crocco","given":"Carlos D."},{"family":"Johansson","given":"Henrik"},{"family":"Datta","given":"Sourav"},{"family":"Hettiarachchi","given":"Chamari"},{"family":"Holm","given":"Magnus"},{"family":"Botto","given":"Javier F."}],"issued":{"date-parts":[["2013",4]]}}},{"id":3208,"uris":["http://zotero.org/users/2970095/items/FGJE7PAB"],"uri":["http://zotero.org/users/2970095/items/FGJE7PAB"],"itemData":{"id":3208,"type":"article-journal","abstract":"The B-box domains of BBX25 physically interact with the bZIP domain of HY5, and BBX24 and BBX25 inhibit the activation of BBX22 expression by HY5, probably by forming inactive heterodimers. In contrast with their role during deetiolation, BBX24 and BBX25 can switch roles and function independently of HY5 in the hypocotyl shade avoidance response., ELONGATED HYPOCOTYL5 (HY5) is a basic domain/leucine zipper (bZIP) transcription factor, central for the regulation of seedling photomorphogenesis. Here, we identified a B-BOX (BBX)–containing protein, BBX25/SALT TOLERANCE HOMOLOG, as an interacting partner of HY5, which has been previously found to physically interact with CONSTITUTIVE PHOTOMORPHOGENIC1 (COP1). BBX25 physically interacts with HY5 both in vitro and in vivo. By physiological and genetic approaches, we showed that BBX25 is a negative regulator of seedling photomorphogenesis. BBX25 and its homolog BBX24 regulate deetiolation processes and hypocotyl shade avoidance response in an additive manner. Moreover, genetic relationships of bbx25 and bbx24 with hy5 and cop1 revealed that BBX25 and BBX24 additively enhance COP1 and suppress HY5 functions. BBX25 accumulates in a light-dependent manner and undergoes COP1-mediated degradation in dark and light conditions. Furthermore, a protoplast cotransfection assay showed that BBX24 and BBX25 repress BBX22 expression by interfering with HY5 transcriptional activity. As HY5 binds to the BBX22 promoter and promotes its expression, our results identify a direct mechanism through which the expression of BBX22 is regulated. We suggest that BBX25 and BBX24 function as transcriptional corepressors, probably by forming inactive heterodimers with HY5, downregulating BBX22 expression for the fine-tuning of light-mediated seedling development.","container-title":"The Plant Cell","DOI":"10.1105/tpc.113.109751","ISSN":"1040-4651","issue":"4","journalAbbreviation":"Plant Cell","note":"PMID: 23624715\nPMCID: PMC3663265","page":"1243-1257","source":"PubMed Central","title":"The Arabidopsis B-BOX Protein BBX25 Interacts with HY5, Negatively Regulating BBX22 Expression to Suppress Seedling Photomorphogenesis[C][W]","volume":"25","author":[{"family":"Gangappa","given":"Sreeramaiah N."},{"family":"Crocco","given":"Carlos D."},{"family":"Johansson","given":"Henrik"},{"family":"Datta","given":"Sourav"},{"family":"Hettiarachchi","given":"Chamari"},{"family":"Holm","given":"Magnus"},{"family":"Botto","given":"Javier F."}],"issued":{"date-parts":[["2013",4]]}}},{"id":3177,"uris":["http://zotero.org/users/2970095/items/RMJXBLM8"],"uri":["http://zotero.org/users/2970095/items/RMJXBLM8"],"itemData":{"id":3177,"type":"article-journal","abstract":"Light-mediated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Wang"}],"issued":{"date-parts":[["2019",5,1]]}}},{"id":3195,"uris":["http://zotero.org/users/2970095/items/W9M3HG7M"],"uri":["http://zotero.org/users/2970095/items/W9M3HG7M"],"itemData":{"id":3195,"type":"article-journal","abstract":"A B-box zinc finger protein, B-BOX32 (BBX32), was identified as playing a role in determining hypocotyl length during a large-scale functional genomics study in Arabidopsis (Arabidopsis thaliana). Further analysis revealed that seedlings overexpressing BBX32 display elongated hypocotyls in red, far-red, and blue light, along with reduced cotyledon expansion in red light. Through comparative analysis of mutant and overexpression line phenotypes, including global expression profiling and growth curve studies, we demonstrate that BBX32 acts antagonistically to ELONGATED HYPOCOTYL5 (HY5). We further show that BBX32 interacts with SALT TOLERANCE HOMOLOG2/BBX21, another B-box protein previously shown to interact with HY5. Based on these data, we propose that BBX32 functions downstream of multiple photoreceptors as a modulator of light responses. As such, BBX32 potentially has a native role in mediating gene repression to maintain dark adaptation.","container-title":"Plant Physiology","DOI":"10.1104/pp.111.177139","ISSN":"0032-0889","issue":"4","journalAbbreviation":"Plant Physiol","note":"PMID: 21632973\nPMCID: PMC3149924","page":"2109-2123","source":"PubMed Central","title":"BBX32, an Arabidopsis B-Box Protein, Functions in Light Signaling by Suppressing HY5-Regulated Gene Expression and Interacting with STH2/BBX21[W][OA]","volume":"156","author":[{"family":"Holtan","given":"Hans E."},{"family":"Bandong","given":"Simona"},{"family":"Marion","given":"Colleen M."},{"family":"Adam","given":"Luc"},{"family":"Tiwari","given":"Shiv"},{"family":"Shen","given":"Yu"},{"family":"Maloof","given":"Julin N."},{"family":"Maszle","given":"Don R."},{"family":"Ohto","given":"Masa-aki"},{"family":"Preuss","given":"Sasha"},{"family":"Meister","given":"Rob"},{"family":"Petracek","given":"Marie"},{"family":"Repetti","given":"Peter P."},{"family":"Reuber","given":"T. Lynne"},{"family":"Ratcliffe","given":"Oliver J."},{"family":"Khanna","given":"Rajnish"}],"issued":{"date-parts":[["2011",8]]}}},{"id":3211,"uris":["http://zotero.org/users/2970095/items/2MSDG4FK"],"uri":["http://zotero.org/users/2970095/items/2MSDG4FK"],"itemData":{"id":3211,"type":"article-journal","abstract":"The salt tolerance protein (STO) of Arabidopsis was identified as a protein conferring salt tolerance to yeast cells. In order to uncover its function, we isolated an STO T-DNA insertion line and generated RNAi and overexpressor Arabidopsis plants. Here we present data on the hypocotyl growth of these lines indicating that STO acts as a negative regulator in phytochrome and blue-light signalling. Transcription analysis of STO uncovered a light and circadian dependent regulation of gene expression, and analysis of light-regulated genes revealed that STO is involved in the regulation of CHS expression during de-etiolation. In addition, we could show that CONSTITUTIVE PHOTOMORPHOGENESIS 1 (COP1) represses the transcription of STO and contributes to the destabilization of the protein in etiolated seedlings. Microscopic analysis revealed that the STO:eGFP fusion protein is located in the nucleus, accumulates in a light-dependent manner, and, in transient transformation assays in onion epidermal cells, co-localizes with COP1 in nuclear and cytoplasmic aggregations. However, the analysis of gain- and loss-of-function STO mutants in the cop1-4 background points towards a COP1-independent role during photomorphogenesis.","container-title":"The Plant Journal","DOI":"10.1111/j.1365-313X.2007.03162.x","ISSN":"1365-313X","issue":"4","language":"en","page":"563-574","source":"Wiley Online Library","title":"Salt tolerance (STO), a stress-related protein, has a major role in light signalling","volume":"51","author":[{"family":"Indorf","given":"Martin"},{"family":"Cordero","given":"Julio"},{"family":"Neuhaus","given":"Gunther"},{"family":"Rodríguez</w:instrText>
      </w:r>
      <w:r w:rsidR="007636BE">
        <w:rPr>
          <w:rFonts w:ascii="Cambria Math" w:hAnsi="Cambria Math" w:cs="Cambria Math"/>
        </w:rPr>
        <w:instrText>‐</w:instrText>
      </w:r>
      <w:r w:rsidR="007636BE">
        <w:rPr>
          <w:rFonts w:ascii="Arial" w:hAnsi="Arial" w:cs="Arial"/>
        </w:rPr>
        <w:instrText xml:space="preserve">Franco","given":"Marta"}],"issued":{"date-parts":[["2007"]]}}},{"id":3198,"uris":["http://zotero.org/users/2970095/items/5ANXPXFU"],"uri":["http://zotero.org/users/2970095/items/5ANXPXFU"],"itemData":{"id":3198,"type":"article-journal","abstract":"The Arabidopsis (Arabidopsis thaliana) BBX family comprises several positive and negative regulators of photomorphogenesis. BBX24, a member of BBX structural group IV, acts as a negative regulator of photomorphogenesis, whereas another member from the same group, BBX21, is a positive regulator. The molecular basis for the functional diversity shown by these related BBX family members is unknown. Using domain-swap lines, we show that the C-terminal regions of BBX24 and BBX21 specify their function. Because both BBX21 and BBX24 work in close association with HY5, we hypothesized that these proteins differentially regulate the levels or activity of HY5 to fulfill their opposite roles. We show that BBX21 can regulate HY5 post-transcriptionally and the two proteins can coordinate to promote photomorphogenesis. By contrast, BBX24 interferes with the binding of HY5 to the promoter of an anthocyanin biosynthetic gene, possibly by heterodimerizing with HY5 and preventing it from binding DNA. Our finding that both BBX21 and BBX24 regulate HY5 activity post-transcriptionally, in opposite ways, suggests that closely related B-box proteins execute contrasting functions through differential regulation of HY5.","container-title":"Plant Physiology","DOI":"10.1104/pp.17.00856","ISSN":"0032-0889, 1532-2548","issue":"4","language":"en","note":"PMID: 29439209","page":"2963-2976","source":"www.plantphysiol.org","title":"Two B-Box Proteins Regulate Photomorphogenesis by Oppositely Modulating HY5 through their Diverse C-Terminal Domains","volume":"176","author":[{"family":"Job","given":"Nikhil"},{"family":"Yadukrishnan","given":"Premachandran"},{"family":"Bursch","given":"Katharina"},{"family":"Datta","given":"Sourav"},{"family":"Johansson","given":"Henrik"}],"issued":{"date-parts":[["2018",4,1]]}}}],"schema":"https://github.com/citation-style-language/schema/raw/master/csl-citation.json"} </w:instrText>
      </w:r>
      <w:r w:rsidR="007636BE">
        <w:rPr>
          <w:rFonts w:ascii="Arial" w:hAnsi="Arial" w:cs="Arial"/>
        </w:rPr>
        <w:fldChar w:fldCharType="separate"/>
      </w:r>
      <w:r w:rsidR="007636BE" w:rsidRPr="00BA2F83">
        <w:rPr>
          <w:rFonts w:ascii="Arial" w:hAnsi="Arial" w:cs="Arial"/>
        </w:rPr>
        <w:t>(</w:t>
      </w:r>
      <w:proofErr w:type="spellStart"/>
      <w:r w:rsidR="007636BE" w:rsidRPr="00BA2F83">
        <w:rPr>
          <w:rFonts w:ascii="Arial" w:hAnsi="Arial" w:cs="Arial"/>
        </w:rPr>
        <w:t>Gangappa</w:t>
      </w:r>
      <w:proofErr w:type="spellEnd"/>
      <w:r w:rsidR="007636BE" w:rsidRPr="00BA2F83">
        <w:rPr>
          <w:rFonts w:ascii="Arial" w:hAnsi="Arial" w:cs="Arial"/>
        </w:rPr>
        <w:t xml:space="preserve"> et al., 2013, 2013; Heng et al., 2019; Holtan et al., 2011; Indorf et al., 2007; Job et al., 2018)</w:t>
      </w:r>
      <w:r w:rsidR="007636BE">
        <w:rPr>
          <w:rFonts w:ascii="Arial" w:hAnsi="Arial" w:cs="Arial"/>
        </w:rPr>
        <w:fldChar w:fldCharType="end"/>
      </w:r>
      <w:r w:rsidR="007636BE">
        <w:rPr>
          <w:rFonts w:ascii="Arial" w:hAnsi="Arial" w:cs="Arial"/>
        </w:rPr>
        <w:t>,</w:t>
      </w:r>
      <w:r w:rsidR="007636BE" w:rsidRPr="00184A4E">
        <w:rPr>
          <w:rFonts w:ascii="Arial" w:hAnsi="Arial" w:cs="Arial"/>
        </w:rPr>
        <w:t xml:space="preserve"> </w:t>
      </w:r>
      <w:r w:rsidR="007636BE" w:rsidRPr="005D6489">
        <w:rPr>
          <w:rFonts w:ascii="Arial" w:hAnsi="Arial" w:cs="Arial"/>
        </w:rPr>
        <w:t xml:space="preserve">while HY5, HYH as well as BBX20 and BBX21 represent photomorphogenesis-promoting transcription factors </w:t>
      </w:r>
      <w:r w:rsidR="007636BE">
        <w:rPr>
          <w:rFonts w:ascii="Arial" w:hAnsi="Arial" w:cs="Arial"/>
        </w:rPr>
        <w:fldChar w:fldCharType="begin"/>
      </w:r>
      <w:r w:rsidR="007636BE">
        <w:rPr>
          <w:rFonts w:ascii="Arial" w:hAnsi="Arial" w:cs="Arial"/>
        </w:rPr>
        <w:instrText xml:space="preserve"> ADDIN ZOTERO_ITEM CSL_CITATION {"citationID":"l0MWwYGs","properties":{"formattedCitation":"(Bursch et al., 2020; Chattopadhyay et al., 1998; Fan et al., 2012; Holm et al., 2002; Job et al., 2018)","plainCitation":"(Bursch et al., 2020; Chattopadhyay et al., 1998; Fan et al., 2012; Holm et al., 2002; Job et al., 2018)","noteIndex":0},"citationItems":[{"id":3858,"uris":["http://zotero.org/users/2970095/items/F3MDV5MB"],"uri":["http://zotero.org/users/2970095/items/F3MDV5MB"],"itemData":{"id":3858,"type":"article-journal","abstract":"As a source of both energy and environmental information, monitoring of incoming light is crucial for plants to optimize growth throughout development1. Concordantly, the light signalling pathways in plants are highly integrated with numerous other regulatory pathways2,3. One of these signal integrators is the basic leucine zipper domain (bZIP) transcription factor LONG HYPOCOTYL 5 (HY5), which has a key role as a positive regulator of light signalling in plants4,5. Although HY5 is thought to act as a DNA-binding transcriptional regulator6,7, the lack of any apparent transactivation domain8 makes it unclear how HY5 is able to accomplish its many functions. Here we describe the identification of three B-box containing proteins (BBX20, BBX21 and BBX22) as essential partners for HY5-dependent modulation of hypocotyl elongation, anthocyanin accumulation and transcriptional regulation. The bbx20 bbx21 bbx22 (bbx202122) triple mutant mimics the phenotypes of hy5 in the light and its ability to suppress the cop1 mutant phenotype in darkness. Furthermore, 84% of genes that exhibit differential expression in bbx202122 are also regulated by HY5, and we provide evidence that HY5 requires the B-box proteins for transcriptional regulation. Finally, expression of a truncated dark-stable version of HY5 (HY5(ΔN77)) together with BBX21 mutated in its VP motif strongly promoted de-etiolation in dark-grown seedlings, demonstrating the functional interdependence of these factors. In sum, this work clarifies long-standing questions regarding HY5 action and provides an example of how a master regulator might gain both specificity and dynamicity through the obligate dependence of cofactors.","container-title":"Nature Plants","DOI":"10.1038/s41477-020-0725-0","ISSN":"2055-0278","language":"en","note":"publisher: Nature Publishing Group","page":"1-8","source":"www.nature.com","title":"Identification of BBX proteins as rate-limiting cofactors of HY5","author":[{"family":"Bursch","given":"Katharina"},{"family":"Toledo-Ortiz","given":"Gabriela"},{"family":"Pireyre","given":"Marie"},{"family":"Lohr","given":"Miriam"},{"family":"Braatz","given":"Cordula"},{"family":"Johansson","given":"Henrik"}],"issued":{"date-parts":[["2020",7,13]]}}},{"id":79,"uris":["http://zotero.org/users/2970095/items/DSJP2W7K"],"uri":["http://zotero.org/users/2970095/items/DSJP2W7K"],"itemData":{"id":79,"type":"article-journal","abstract":"The Arabidopsis HY5 gene has been defined genetically as a positive regulator of photomorphogenesis and recently has been shown to encode a basic leucine zipper type of transcription factor. Here, we report that HY5 is constitutively nuclear localized and is involved in light regulation of transcriptional activity of the promoters containing the G-box, a well-characterized light-responsive element (LRE). In vitro DNA binding studies suggested that HY5 can bind specifically to the G-box DNA sequences but not to any of the other LREs present in the light-responsive promoters examined. High-irradiance light activation of two synthetic promoters containing either the consensus G-box alone or the G-box combined with the GATA motif (another LRE) and the native Arabidopsis ribulose bisphosphate carboxylase small subunit gene RBCS-1A promoter, which has an essential copy of the G-box, was significantly compromised in the hy5 mutant. The hy5 mutation's effect on the high-irradiance light activation of gene expression was observed in both photosynthetic and nonphotosynthetic tissues. Furthermore, the characteristic phytochrome-mediated red light– and farred light–reversible low-fluence induction of the G-box–containing promoters was diminished specifically in hy5 plants. These results suggest that HY5 may interact directly with the G-box in the promoters of light-inducible genes to mediate light-controlled transcriptional activity.","container-title":"The Plant Cell","DOI":"10.1105/tpc.10.5.673","ISSN":"1040-4651, 1532-298X","issue":"5","journalAbbreviation":"Plant Cell","language":"en","note":"PMID: 9596629","page":"673-683","source":"www.plantcell.org","title":"Arabidopsis bZIP Protein HY5 Directly Interacts with Light-Responsive Promoters in Mediating Light Control of Gene Expression","volume":"10","author":[{"family":"Chattopadhyay","given":"Sudip"},{"family":"Ang","given":"Lay-Hong"},{"family":"Puente","given":"Pilar"},{"family":"Deng","given":"Xing-Wang"},{"family":"Wei","given":"Ning"}],"issued":{"date-parts":[["1998",1,5]]}}},{"id":3185,"uris":["http://zotero.org/users/2970095/items/BZSHQWCB"],"uri":["http://zotero.org/users/2970095/items/BZSHQWCB"],"itemData":{"id":3185,"type":"article-journal","abstract":"Photomorphogenesis is controlled by multiple signaling pathways, including the light and brassinosteroid (BR) pathways. BR signaling activates the BZR1 transcription factor, which is required for suppressing photomorphogenesis in the dark. We identified a suppressor of the BR hypersensitive mutant bzr1–1D and named it bzr1–1D suppressor1-Dominant (bzs1–D). The bzs1–D mutation was caused by overexpression of a B-box zinc finger protein BZS1, which is transcriptionally repressed by BZR1. Overexpression of BZS1 causes de-etiolation in the dark, short hypocotyls in the light, reduced sensitivity to BR treatment, and repression of many BR-activated genes. Knockdown of BZS1 by co-suppression partly suppressed the short hypocotyl phenotypes of BR-deficient or insensitive mutants. These results support that BZS1 is a negative regulator of BR response. BZS1 overexpressors are hypersensitive to different wavelengths of light and loss of function of BZS1 reduces plant sensitivity to light and partly suppresses the constitutive photomorphogenesis 1 (cop1) mutant in the dark, suggesting a positive role in light response. BZS1 protein accumulates at an increased level after light treatment of dark-grown BZS1–OX plants and in the cop1 mutants, and BZS1 interacts with COP1 in vitro, suggesting that light regulates BZS1 through COP1-mediated ubiquitination and proteasomal degradation. These results demonstrate that BZS1 mediates the crosstalk between BR and light pathways.","container-title":"Molecular Plant","DOI":"10.1093/mp/sss041","ISSN":"1674-2052","issue":"3","journalAbbreviation":"Molecular Plant","language":"en","page":"591-600","source":"ScienceDirect","title":"BZS1, a B-box Protein, Promotes Photomorphogenesis Downstream of Both Brassinosteroid and Light Signaling Pathways","volume":"5","author":[{"family":"Fan","given":"Xi-Ying"},{"family":"Sun","given":"Yu"},{"family":"Cao","given":"Dong-Mei"},{"family":"Bai","given":"Ming-Yi"},{"family":"Luo","given":"Xiao-Min"},{"family":"Yang","given":"Hong-Juan"},{"family":"Wei","given":"Chuang-Qi"},{"family":"Zhu","given":"Sheng-Wei"},{"family":"Sun","given":"Ying"},{"family":"Chong","given":"Kang"},{"family":"Wang","given":"Zhi-Yong"}],"issued":{"date-parts":[["2012",5,1]]}}},{"id":3191,"uris":["http://zotero.org/users/2970095/items/LQ6Q4DGR"],"uri":["http://zotero.org/users/2970095/items/LQ6Q4DGR"],"itemData":{"id":3191,"type":"article-journal","abstract":"Arabidopsis COP1 acts to repress photomorphogenesis in the absence of light. It was shown that in the dark, COP1 directly interacts with the bZIP transcription factor HY5, a positive regulator of photomorphogenesis, and promotes its proteasome-mediated degradation. Here we identify a novel bZIP protein HYH, as a new target of COP1. We identify a physical and genetic interaction between HYH and COP1 and show that this interaction results in dark-specific degradation of HYH. Genetic analysis indicates that HYH is predominantly involved in blue-light regulation of development and gene expression, and that the function of HYH in part overlaps with that of HY5. The accumulation of HYH protein, not the mRNA, is dependent on the presence of HY5. Our data suggest that HYH and HY5 can, respectively, act as heterodimers and homodimers, thus mediating light-regulated expression of overlapping as well as distinct target genes. We propose that COP1 mediates light control of gene expression through targeted degradation of multiple photomorphogenesis-promoting transcription factors in the nucleus.","container-title":"Genes &amp; Development","DOI":"10.1101/gad.969702","ISSN":"0890-9369, 1549-5477","issue":"10","journalAbbreviation":"Genes Dev.","language":"en","note":"PMID: 12023303","page":"1247-1259","source":"genesdev.cshlp.org","title":"Two interacting bZIP proteins are direct targets of COP1-mediated control of light-dependent gene expression in Arabidopsis","volume":"16","author":[{"family":"Holm","given":"Magnus"},{"family":"Ma","given":"Li-Geng"},{"family":"Qu","given":"Li-Jia"},{"family":"Deng","given":"Xing-Wang"}],"issued":{"date-parts":[["2002",5,15]]}}},{"id":3198,"uris":["http://zotero.org/users/2970095/items/5ANXPXFU"],"uri":["http://zotero.org/users/2970095/items/5ANXPXFU"],"itemData":{"id":3198,"type":"article-journal","abstract":"The Arabidopsis (Arabidopsis thaliana) BBX family comprises several positive and negative regulators of photomorphogenesis. BBX24, a member of BBX structural group IV, acts as a negative regulator of photomorphogenesis, whereas another member from the same group, BBX21, is a positive regulator. The molecular basis for the functional diversity shown by these related BBX family members is unknown. Using domain-swap lines, we show that the C-terminal regions of BBX24 and BBX21 specify their function. Because both BBX21 and BBX24 work in close association with HY5, we hypothesized that these proteins differentially regulate the levels or activity of HY5 to fulfill their opposite roles. We show that BBX21 can regulate HY5 post-transcriptionally and the two proteins can coordinate to promote photomorphogenesis. By contrast, BBX24 interferes with the binding of HY5 to the promoter of an anthocyanin biosynthetic gene, possibly by heterodimerizing with HY5 and preventing it from binding DNA. Our finding that both BBX21 and BBX24 regulate HY5 activity post-transcriptionally, in opposite ways, suggests that closely related B-box proteins execute contrasting functions through differential regulation of HY5.","container-title":"Plant Physiology","DOI":"10.1104/pp.17.00856","ISSN":"0032-0889, 1532-2548","issue":"4","language":"en","note":"PMID: 29439209","page":"2963-2976","source":"www.plantphysiol.org","title":"Two B-Box Proteins Regulate Photomorphogenesis by Oppositely Modulating HY5 through their Diverse C-Terminal Domains","volume":"176","author":[{"family":"Job","given":"Nikhil"},{"family":"Yadukrishnan","given":"Premachandran"},{"family":"Bursch","given":"Katharina"},{"family":"Datta","given":"Sourav"},{"family":"Johansson","given":"Henrik"}],"issued":{"date-parts":[["2018",4,1]]}}}],"schema":"https://github.com/citation-style-language/schema/raw/master/csl-citation.json"} </w:instrText>
      </w:r>
      <w:r w:rsidR="007636BE">
        <w:rPr>
          <w:rFonts w:ascii="Arial" w:hAnsi="Arial" w:cs="Arial"/>
        </w:rPr>
        <w:fldChar w:fldCharType="separate"/>
      </w:r>
      <w:r w:rsidR="007636BE" w:rsidRPr="00BA2F83">
        <w:rPr>
          <w:rFonts w:ascii="Arial" w:hAnsi="Arial" w:cs="Arial"/>
        </w:rPr>
        <w:t>(Bursch et al., 2020; Chattopadhyay et al., 1998; Fan et al., 2012; Holm et al., 2002; Job et al., 2018)</w:t>
      </w:r>
      <w:r w:rsidR="007636BE">
        <w:rPr>
          <w:rFonts w:ascii="Arial" w:hAnsi="Arial" w:cs="Arial"/>
        </w:rPr>
        <w:fldChar w:fldCharType="end"/>
      </w:r>
      <w:r w:rsidR="007636BE">
        <w:rPr>
          <w:rFonts w:ascii="Arial" w:hAnsi="Arial" w:cs="Arial"/>
        </w:rPr>
        <w:t>.</w:t>
      </w:r>
    </w:p>
    <w:p w14:paraId="4A158858" w14:textId="76113496" w:rsidR="00C433C9" w:rsidRDefault="007636BE" w:rsidP="002E0970">
      <w:pPr>
        <w:pStyle w:val="BodyText"/>
        <w:spacing w:line="360" w:lineRule="auto"/>
        <w:rPr>
          <w:rFonts w:ascii="Arial" w:hAnsi="Arial" w:cs="Arial"/>
        </w:rPr>
      </w:pPr>
      <w:r>
        <w:rPr>
          <w:rFonts w:ascii="Arial" w:hAnsi="Arial" w:cs="Arial"/>
        </w:rPr>
        <w:t xml:space="preserve">We sought to further </w:t>
      </w:r>
      <w:r w:rsidR="00400C96">
        <w:rPr>
          <w:rFonts w:ascii="Arial" w:hAnsi="Arial" w:cs="Arial"/>
        </w:rPr>
        <w:t>examine</w:t>
      </w:r>
      <w:r>
        <w:rPr>
          <w:rFonts w:ascii="Arial" w:hAnsi="Arial" w:cs="Arial"/>
        </w:rPr>
        <w:t xml:space="preserve"> the BBX/HY</w:t>
      </w:r>
      <w:r w:rsidR="00C433C9">
        <w:rPr>
          <w:rFonts w:ascii="Arial" w:hAnsi="Arial" w:cs="Arial"/>
        </w:rPr>
        <w:t xml:space="preserve">5 transcriptional network </w:t>
      </w:r>
      <w:r w:rsidR="00400C96">
        <w:rPr>
          <w:rFonts w:ascii="Arial" w:hAnsi="Arial" w:cs="Arial"/>
        </w:rPr>
        <w:t xml:space="preserve">and its light regulation </w:t>
      </w:r>
      <w:r w:rsidR="00C433C9">
        <w:rPr>
          <w:rFonts w:ascii="Arial" w:hAnsi="Arial" w:cs="Arial"/>
        </w:rPr>
        <w:t>with a set of qPCR experiments</w:t>
      </w:r>
      <w:r w:rsidR="002A0F23">
        <w:rPr>
          <w:rFonts w:ascii="Arial" w:hAnsi="Arial" w:cs="Arial"/>
        </w:rPr>
        <w:t xml:space="preserve"> and monitored gene expression</w:t>
      </w:r>
      <w:r w:rsidR="00C433C9">
        <w:rPr>
          <w:rFonts w:ascii="Arial" w:hAnsi="Arial" w:cs="Arial"/>
        </w:rPr>
        <w:t xml:space="preserve"> (a) during an extended night, (b) in </w:t>
      </w:r>
      <w:proofErr w:type="spellStart"/>
      <w:r w:rsidR="00C433C9" w:rsidRPr="004E0A36">
        <w:rPr>
          <w:rFonts w:ascii="Arial" w:hAnsi="Arial" w:cs="Arial"/>
          <w:i/>
        </w:rPr>
        <w:t>phyA</w:t>
      </w:r>
      <w:proofErr w:type="spellEnd"/>
      <w:r w:rsidR="00C433C9" w:rsidRPr="004E0A36">
        <w:rPr>
          <w:rFonts w:ascii="Arial" w:hAnsi="Arial" w:cs="Arial"/>
          <w:i/>
        </w:rPr>
        <w:t xml:space="preserve"> </w:t>
      </w:r>
      <w:proofErr w:type="spellStart"/>
      <w:r w:rsidR="00C433C9" w:rsidRPr="004E0A36">
        <w:rPr>
          <w:rFonts w:ascii="Arial" w:hAnsi="Arial" w:cs="Arial"/>
          <w:i/>
        </w:rPr>
        <w:t>phyB</w:t>
      </w:r>
      <w:proofErr w:type="spellEnd"/>
      <w:r w:rsidR="00C433C9" w:rsidRPr="004E0A36">
        <w:rPr>
          <w:rFonts w:ascii="Arial" w:hAnsi="Arial" w:cs="Arial"/>
          <w:i/>
        </w:rPr>
        <w:t xml:space="preserve"> cry1 cry2</w:t>
      </w:r>
      <w:r w:rsidR="00C433C9">
        <w:rPr>
          <w:rFonts w:ascii="Arial" w:hAnsi="Arial" w:cs="Arial"/>
        </w:rPr>
        <w:t xml:space="preserve">, </w:t>
      </w:r>
      <w:r w:rsidR="00C433C9" w:rsidRPr="004E0A36">
        <w:rPr>
          <w:rFonts w:ascii="Arial" w:hAnsi="Arial" w:cs="Arial"/>
          <w:i/>
        </w:rPr>
        <w:t xml:space="preserve">prr5 prr7 prr9 </w:t>
      </w:r>
      <w:r w:rsidR="00C433C9">
        <w:rPr>
          <w:rFonts w:ascii="Arial" w:hAnsi="Arial" w:cs="Arial"/>
        </w:rPr>
        <w:t xml:space="preserve">and </w:t>
      </w:r>
      <w:r w:rsidR="00C433C9" w:rsidRPr="004E0A36">
        <w:rPr>
          <w:rFonts w:ascii="Arial" w:hAnsi="Arial" w:cs="Arial"/>
          <w:i/>
        </w:rPr>
        <w:t>hsfa1QK</w:t>
      </w:r>
      <w:r w:rsidR="00400C96">
        <w:rPr>
          <w:rFonts w:ascii="Arial" w:hAnsi="Arial" w:cs="Arial"/>
        </w:rPr>
        <w:t xml:space="preserve"> mutants</w:t>
      </w:r>
      <w:r w:rsidR="002A0F23">
        <w:rPr>
          <w:rFonts w:ascii="Arial" w:hAnsi="Arial" w:cs="Arial"/>
        </w:rPr>
        <w:t xml:space="preserve"> (to confirm the RNA-seq results)</w:t>
      </w:r>
      <w:r w:rsidR="00C433C9">
        <w:rPr>
          <w:rFonts w:ascii="Arial" w:hAnsi="Arial" w:cs="Arial"/>
        </w:rPr>
        <w:t xml:space="preserve">, and (c) in </w:t>
      </w:r>
      <w:r w:rsidR="00C433C9" w:rsidRPr="004E0A36">
        <w:rPr>
          <w:rFonts w:ascii="Arial" w:hAnsi="Arial" w:cs="Arial"/>
          <w:i/>
        </w:rPr>
        <w:t xml:space="preserve">hy5 </w:t>
      </w:r>
      <w:proofErr w:type="spellStart"/>
      <w:r w:rsidR="00C433C9" w:rsidRPr="004E0A36">
        <w:rPr>
          <w:rFonts w:ascii="Arial" w:hAnsi="Arial" w:cs="Arial"/>
          <w:i/>
        </w:rPr>
        <w:t>hyh</w:t>
      </w:r>
      <w:proofErr w:type="spellEnd"/>
      <w:r w:rsidR="00C433C9">
        <w:rPr>
          <w:rFonts w:ascii="Arial" w:hAnsi="Arial" w:cs="Arial"/>
        </w:rPr>
        <w:t xml:space="preserve"> and </w:t>
      </w:r>
      <w:r w:rsidR="00C433C9" w:rsidRPr="004E0A36">
        <w:rPr>
          <w:rFonts w:ascii="Arial" w:hAnsi="Arial" w:cs="Arial"/>
          <w:i/>
        </w:rPr>
        <w:t>bbx30 bbx31</w:t>
      </w:r>
      <w:r w:rsidR="00C433C9">
        <w:rPr>
          <w:rFonts w:ascii="Arial" w:hAnsi="Arial" w:cs="Arial"/>
        </w:rPr>
        <w:t xml:space="preserve"> mutants as well as in a </w:t>
      </w:r>
      <w:r w:rsidR="00C433C9" w:rsidRPr="004E0A36">
        <w:rPr>
          <w:rFonts w:ascii="Arial" w:hAnsi="Arial" w:cs="Arial"/>
          <w:i/>
        </w:rPr>
        <w:t>BBX31</w:t>
      </w:r>
      <w:r w:rsidR="00C433C9">
        <w:rPr>
          <w:rFonts w:ascii="Arial" w:hAnsi="Arial" w:cs="Arial"/>
        </w:rPr>
        <w:t xml:space="preserve"> </w:t>
      </w:r>
      <w:proofErr w:type="spellStart"/>
      <w:r w:rsidR="00C433C9">
        <w:rPr>
          <w:rFonts w:ascii="Arial" w:hAnsi="Arial" w:cs="Arial"/>
        </w:rPr>
        <w:t>overexpressor</w:t>
      </w:r>
      <w:proofErr w:type="spellEnd"/>
      <w:r w:rsidR="00C433C9">
        <w:rPr>
          <w:rFonts w:ascii="Arial" w:hAnsi="Arial" w:cs="Arial"/>
        </w:rPr>
        <w:t xml:space="preserve"> (</w:t>
      </w:r>
      <w:r w:rsidR="00C433C9" w:rsidRPr="004E0A36">
        <w:rPr>
          <w:rFonts w:ascii="Arial" w:hAnsi="Arial" w:cs="Arial"/>
          <w:i/>
        </w:rPr>
        <w:t>BBX31-Ox</w:t>
      </w:r>
      <w:r w:rsidR="00C433C9">
        <w:rPr>
          <w:rFonts w:ascii="Arial" w:hAnsi="Arial" w:cs="Arial"/>
        </w:rPr>
        <w:t>).</w:t>
      </w:r>
      <w:r>
        <w:rPr>
          <w:rFonts w:ascii="Arial" w:hAnsi="Arial" w:cs="Arial"/>
        </w:rPr>
        <w:t xml:space="preserve"> </w:t>
      </w:r>
      <w:r w:rsidR="00C433C9">
        <w:rPr>
          <w:rFonts w:ascii="Arial" w:hAnsi="Arial" w:cs="Arial"/>
        </w:rPr>
        <w:t xml:space="preserve">We </w:t>
      </w:r>
      <w:r>
        <w:rPr>
          <w:rFonts w:ascii="Arial" w:hAnsi="Arial" w:cs="Arial"/>
        </w:rPr>
        <w:t xml:space="preserve">investigated the expression patterns of </w:t>
      </w:r>
      <w:r w:rsidRPr="004E0A36">
        <w:rPr>
          <w:rFonts w:ascii="Arial" w:hAnsi="Arial" w:cs="Arial"/>
          <w:i/>
        </w:rPr>
        <w:t>BBX</w:t>
      </w:r>
      <w:r>
        <w:rPr>
          <w:rFonts w:ascii="Arial" w:hAnsi="Arial" w:cs="Arial"/>
        </w:rPr>
        <w:t xml:space="preserve"> and </w:t>
      </w:r>
      <w:r w:rsidRPr="004E0A36">
        <w:rPr>
          <w:rFonts w:ascii="Arial" w:hAnsi="Arial" w:cs="Arial"/>
          <w:i/>
        </w:rPr>
        <w:t>HY5</w:t>
      </w:r>
      <w:r>
        <w:rPr>
          <w:rFonts w:ascii="Arial" w:hAnsi="Arial" w:cs="Arial"/>
        </w:rPr>
        <w:t>/</w:t>
      </w:r>
      <w:r w:rsidRPr="004E0A36">
        <w:rPr>
          <w:rFonts w:ascii="Arial" w:hAnsi="Arial" w:cs="Arial"/>
          <w:i/>
        </w:rPr>
        <w:t>HYH</w:t>
      </w:r>
      <w:r>
        <w:rPr>
          <w:rFonts w:ascii="Arial" w:hAnsi="Arial" w:cs="Arial"/>
        </w:rPr>
        <w:t xml:space="preserve"> genes </w:t>
      </w:r>
      <w:r w:rsidR="002A0F23">
        <w:rPr>
          <w:rFonts w:ascii="Arial" w:hAnsi="Arial" w:cs="Arial"/>
        </w:rPr>
        <w:t xml:space="preserve">shown in Figure 4 </w:t>
      </w:r>
      <w:r>
        <w:rPr>
          <w:rFonts w:ascii="Arial" w:hAnsi="Arial" w:cs="Arial"/>
        </w:rPr>
        <w:t>as well as six putative downstream targets</w:t>
      </w:r>
      <w:r w:rsidRPr="00DB54BD">
        <w:rPr>
          <w:rFonts w:ascii="Arial" w:hAnsi="Arial" w:cs="Arial"/>
        </w:rPr>
        <w:t xml:space="preserve"> </w:t>
      </w:r>
      <w:r>
        <w:rPr>
          <w:rFonts w:ascii="Arial" w:hAnsi="Arial" w:cs="Arial"/>
        </w:rPr>
        <w:t>of BBX</w:t>
      </w:r>
      <w:r w:rsidR="00C433C9">
        <w:rPr>
          <w:rFonts w:ascii="Arial" w:hAnsi="Arial" w:cs="Arial"/>
        </w:rPr>
        <w:t>31</w:t>
      </w:r>
      <w:r w:rsidR="002A0F23">
        <w:rPr>
          <w:rFonts w:ascii="Arial" w:hAnsi="Arial" w:cs="Arial"/>
        </w:rPr>
        <w:t>/</w:t>
      </w:r>
      <w:r w:rsidR="00400C96">
        <w:rPr>
          <w:rFonts w:ascii="Arial" w:hAnsi="Arial" w:cs="Arial"/>
        </w:rPr>
        <w:t>HY5</w:t>
      </w:r>
      <w:r>
        <w:rPr>
          <w:rFonts w:ascii="Arial" w:hAnsi="Arial" w:cs="Arial"/>
        </w:rPr>
        <w:t xml:space="preserve"> </w:t>
      </w:r>
      <w:r w:rsidR="002A0F23">
        <w:rPr>
          <w:rFonts w:ascii="Arial" w:hAnsi="Arial" w:cs="Arial"/>
        </w:rPr>
        <w:t xml:space="preserve">predicted in our network </w:t>
      </w:r>
      <w:r>
        <w:rPr>
          <w:rFonts w:ascii="Arial" w:hAnsi="Arial" w:cs="Arial"/>
        </w:rPr>
        <w:t xml:space="preserve">– </w:t>
      </w:r>
      <w:r w:rsidRPr="003646A7">
        <w:rPr>
          <w:rFonts w:ascii="Arial" w:hAnsi="Arial" w:cs="Arial"/>
          <w:i/>
        </w:rPr>
        <w:t>BBX27</w:t>
      </w:r>
      <w:r>
        <w:rPr>
          <w:rFonts w:ascii="Arial" w:hAnsi="Arial" w:cs="Arial"/>
          <w:i/>
        </w:rPr>
        <w:t xml:space="preserve"> </w:t>
      </w:r>
      <w:r>
        <w:rPr>
          <w:rFonts w:ascii="Arial" w:hAnsi="Arial" w:cs="Arial"/>
        </w:rPr>
        <w:t xml:space="preserve">and </w:t>
      </w:r>
      <w:r w:rsidRPr="003646A7">
        <w:rPr>
          <w:rFonts w:ascii="Arial" w:hAnsi="Arial" w:cs="Arial"/>
          <w:i/>
        </w:rPr>
        <w:t>PIF</w:t>
      </w:r>
      <w:r>
        <w:rPr>
          <w:rFonts w:ascii="Arial" w:hAnsi="Arial" w:cs="Arial"/>
          <w:i/>
        </w:rPr>
        <w:t>4</w:t>
      </w:r>
      <w:r w:rsidRPr="00DB54BD">
        <w:rPr>
          <w:rFonts w:ascii="Arial" w:hAnsi="Arial" w:cs="Arial"/>
          <w:i/>
        </w:rPr>
        <w:t xml:space="preserve">, </w:t>
      </w:r>
      <w:r w:rsidRPr="003646A7">
        <w:rPr>
          <w:rFonts w:ascii="Arial" w:hAnsi="Arial" w:cs="Arial"/>
        </w:rPr>
        <w:t>which show a drop in transcript levels after dawn</w:t>
      </w:r>
      <w:r>
        <w:rPr>
          <w:rFonts w:ascii="Arial" w:hAnsi="Arial" w:cs="Arial"/>
        </w:rPr>
        <w:t>,</w:t>
      </w:r>
      <w:r w:rsidRPr="007A169B">
        <w:rPr>
          <w:rFonts w:ascii="Arial" w:hAnsi="Arial" w:cs="Arial"/>
        </w:rPr>
        <w:t xml:space="preserve"> as well as</w:t>
      </w:r>
      <w:r>
        <w:rPr>
          <w:rFonts w:ascii="Arial" w:hAnsi="Arial" w:cs="Arial"/>
          <w:i/>
        </w:rPr>
        <w:t xml:space="preserve"> BBX18, </w:t>
      </w:r>
      <w:r w:rsidRPr="003646A7">
        <w:rPr>
          <w:rFonts w:ascii="Arial" w:hAnsi="Arial" w:cs="Arial"/>
          <w:i/>
        </w:rPr>
        <w:t>POPEYE</w:t>
      </w:r>
      <w:r>
        <w:rPr>
          <w:rFonts w:ascii="Arial" w:hAnsi="Arial" w:cs="Arial"/>
        </w:rPr>
        <w:t xml:space="preserve"> (</w:t>
      </w:r>
      <w:r w:rsidRPr="003646A7">
        <w:rPr>
          <w:rFonts w:ascii="Arial" w:hAnsi="Arial" w:cs="Arial"/>
          <w:i/>
        </w:rPr>
        <w:t>PYE</w:t>
      </w:r>
      <w:r>
        <w:rPr>
          <w:rFonts w:ascii="Arial" w:hAnsi="Arial" w:cs="Arial"/>
        </w:rPr>
        <w:t xml:space="preserve">), </w:t>
      </w:r>
      <w:r w:rsidRPr="003646A7">
        <w:rPr>
          <w:rFonts w:ascii="Arial" w:hAnsi="Arial" w:cs="Arial"/>
          <w:i/>
        </w:rPr>
        <w:t>ASG4</w:t>
      </w:r>
      <w:r>
        <w:rPr>
          <w:rFonts w:ascii="Arial" w:hAnsi="Arial" w:cs="Arial"/>
        </w:rPr>
        <w:t>/</w:t>
      </w:r>
      <w:r w:rsidRPr="003646A7">
        <w:rPr>
          <w:rFonts w:ascii="Arial" w:hAnsi="Arial" w:cs="Arial"/>
          <w:i/>
        </w:rPr>
        <w:t>RVE3</w:t>
      </w:r>
      <w:r>
        <w:rPr>
          <w:rFonts w:ascii="Arial" w:hAnsi="Arial" w:cs="Arial"/>
        </w:rPr>
        <w:t xml:space="preserve"> and </w:t>
      </w:r>
      <w:r w:rsidRPr="003646A7">
        <w:rPr>
          <w:rFonts w:ascii="Arial" w:hAnsi="Arial" w:cs="Arial"/>
          <w:i/>
        </w:rPr>
        <w:t>COLD CIRCADIAN RHYTHM AND RNA-BINDING 1</w:t>
      </w:r>
      <w:r>
        <w:rPr>
          <w:rFonts w:ascii="Arial" w:hAnsi="Arial" w:cs="Arial"/>
        </w:rPr>
        <w:t xml:space="preserve"> (</w:t>
      </w:r>
      <w:r w:rsidRPr="003646A7">
        <w:rPr>
          <w:rFonts w:ascii="Arial" w:hAnsi="Arial" w:cs="Arial"/>
          <w:i/>
        </w:rPr>
        <w:t>CCR1</w:t>
      </w:r>
      <w:r>
        <w:rPr>
          <w:rFonts w:ascii="Arial" w:hAnsi="Arial" w:cs="Arial"/>
        </w:rPr>
        <w:t>)</w:t>
      </w:r>
      <w:r w:rsidR="00FF246D">
        <w:rPr>
          <w:rFonts w:ascii="Arial" w:hAnsi="Arial" w:cs="Arial"/>
        </w:rPr>
        <w:t>.</w:t>
      </w:r>
      <w:r>
        <w:rPr>
          <w:rFonts w:ascii="Arial" w:hAnsi="Arial" w:cs="Arial"/>
        </w:rPr>
        <w:t xml:space="preserve"> </w:t>
      </w:r>
    </w:p>
    <w:p w14:paraId="02087D0E" w14:textId="16EBF1FF" w:rsidR="009C304E" w:rsidRDefault="00C433C9">
      <w:pPr>
        <w:pStyle w:val="BodyText"/>
        <w:spacing w:line="360" w:lineRule="auto"/>
        <w:rPr>
          <w:rFonts w:ascii="Arial" w:hAnsi="Arial" w:cs="Arial"/>
        </w:rPr>
      </w:pPr>
      <w:r>
        <w:rPr>
          <w:rFonts w:ascii="Arial" w:hAnsi="Arial" w:cs="Arial"/>
        </w:rPr>
        <w:t xml:space="preserve">Notably, dawn peaks in the </w:t>
      </w:r>
      <w:r w:rsidR="00400C96">
        <w:rPr>
          <w:rFonts w:ascii="Arial" w:hAnsi="Arial" w:cs="Arial"/>
        </w:rPr>
        <w:t>transcripts</w:t>
      </w:r>
      <w:r>
        <w:rPr>
          <w:rFonts w:ascii="Arial" w:hAnsi="Arial" w:cs="Arial"/>
        </w:rPr>
        <w:t xml:space="preserve"> of </w:t>
      </w:r>
      <w:r w:rsidRPr="004E0A36">
        <w:rPr>
          <w:rFonts w:ascii="Arial" w:hAnsi="Arial" w:cs="Arial"/>
          <w:i/>
        </w:rPr>
        <w:t>BBX</w:t>
      </w:r>
      <w:r>
        <w:rPr>
          <w:rFonts w:ascii="Arial" w:hAnsi="Arial" w:cs="Arial"/>
        </w:rPr>
        <w:t xml:space="preserve"> set A, </w:t>
      </w:r>
      <w:r w:rsidRPr="004E0A36">
        <w:rPr>
          <w:rFonts w:ascii="Arial" w:hAnsi="Arial" w:cs="Arial"/>
          <w:i/>
        </w:rPr>
        <w:t>HY5</w:t>
      </w:r>
      <w:r w:rsidR="00400C96">
        <w:rPr>
          <w:rFonts w:ascii="Arial" w:hAnsi="Arial" w:cs="Arial"/>
        </w:rPr>
        <w:t xml:space="preserve"> and</w:t>
      </w:r>
      <w:r>
        <w:rPr>
          <w:rFonts w:ascii="Arial" w:hAnsi="Arial" w:cs="Arial"/>
        </w:rPr>
        <w:t xml:space="preserve"> </w:t>
      </w:r>
      <w:r w:rsidRPr="004E0A36">
        <w:rPr>
          <w:rFonts w:ascii="Arial" w:hAnsi="Arial" w:cs="Arial"/>
          <w:i/>
        </w:rPr>
        <w:t>HYH</w:t>
      </w:r>
      <w:r>
        <w:rPr>
          <w:rFonts w:ascii="Arial" w:hAnsi="Arial" w:cs="Arial"/>
        </w:rPr>
        <w:t xml:space="preserve"> were completely absent during an extended night</w:t>
      </w:r>
      <w:r w:rsidR="00400C96">
        <w:rPr>
          <w:rFonts w:ascii="Arial" w:hAnsi="Arial" w:cs="Arial"/>
        </w:rPr>
        <w:t xml:space="preserve"> as well as in the </w:t>
      </w:r>
      <w:proofErr w:type="spellStart"/>
      <w:r w:rsidR="00400C96" w:rsidRPr="004E0A36">
        <w:rPr>
          <w:rFonts w:ascii="Arial" w:hAnsi="Arial" w:cs="Arial"/>
          <w:i/>
        </w:rPr>
        <w:t>phyA</w:t>
      </w:r>
      <w:proofErr w:type="spellEnd"/>
      <w:r w:rsidR="00400C96" w:rsidRPr="004E0A36">
        <w:rPr>
          <w:rFonts w:ascii="Arial" w:hAnsi="Arial" w:cs="Arial"/>
          <w:i/>
        </w:rPr>
        <w:t xml:space="preserve"> </w:t>
      </w:r>
      <w:proofErr w:type="spellStart"/>
      <w:r w:rsidR="00400C96" w:rsidRPr="004E0A36">
        <w:rPr>
          <w:rFonts w:ascii="Arial" w:hAnsi="Arial" w:cs="Arial"/>
          <w:i/>
        </w:rPr>
        <w:t>phyB</w:t>
      </w:r>
      <w:proofErr w:type="spellEnd"/>
      <w:r w:rsidR="00400C96" w:rsidRPr="004E0A36">
        <w:rPr>
          <w:rFonts w:ascii="Arial" w:hAnsi="Arial" w:cs="Arial"/>
          <w:i/>
        </w:rPr>
        <w:t xml:space="preserve"> cry1 cry2</w:t>
      </w:r>
      <w:r w:rsidR="00400C96">
        <w:rPr>
          <w:rFonts w:ascii="Arial" w:hAnsi="Arial" w:cs="Arial"/>
        </w:rPr>
        <w:t xml:space="preserve"> mutant (</w:t>
      </w:r>
      <w:r w:rsidR="00400C96" w:rsidRPr="004E0A36">
        <w:rPr>
          <w:rFonts w:ascii="Arial" w:hAnsi="Arial" w:cs="Arial"/>
          <w:b/>
        </w:rPr>
        <w:t>Figure 5A, B; S8A, B</w:t>
      </w:r>
      <w:r w:rsidR="00400C96">
        <w:rPr>
          <w:rFonts w:ascii="Arial" w:hAnsi="Arial" w:cs="Arial"/>
        </w:rPr>
        <w:t>)</w:t>
      </w:r>
      <w:r>
        <w:rPr>
          <w:rFonts w:ascii="Arial" w:hAnsi="Arial" w:cs="Arial"/>
        </w:rPr>
        <w:t xml:space="preserve">, while </w:t>
      </w:r>
      <w:r w:rsidR="00400C96">
        <w:rPr>
          <w:rFonts w:ascii="Arial" w:hAnsi="Arial" w:cs="Arial"/>
        </w:rPr>
        <w:t xml:space="preserve">expression </w:t>
      </w:r>
      <w:r>
        <w:rPr>
          <w:rFonts w:ascii="Arial" w:hAnsi="Arial" w:cs="Arial"/>
        </w:rPr>
        <w:t xml:space="preserve">levels of </w:t>
      </w:r>
      <w:r w:rsidR="00400C96">
        <w:rPr>
          <w:rFonts w:ascii="Arial" w:hAnsi="Arial" w:cs="Arial"/>
          <w:i/>
        </w:rPr>
        <w:t xml:space="preserve">BBX </w:t>
      </w:r>
      <w:r w:rsidR="00400C96" w:rsidRPr="004E0A36">
        <w:rPr>
          <w:rFonts w:ascii="Arial" w:hAnsi="Arial" w:cs="Arial"/>
        </w:rPr>
        <w:t>set B</w:t>
      </w:r>
      <w:r>
        <w:rPr>
          <w:rFonts w:ascii="Arial" w:hAnsi="Arial" w:cs="Arial"/>
        </w:rPr>
        <w:t xml:space="preserve"> remained high </w:t>
      </w:r>
      <w:r w:rsidR="002A0F23">
        <w:rPr>
          <w:rFonts w:ascii="Arial" w:hAnsi="Arial" w:cs="Arial"/>
        </w:rPr>
        <w:t xml:space="preserve">under these conditions </w:t>
      </w:r>
      <w:r>
        <w:rPr>
          <w:rFonts w:ascii="Arial" w:hAnsi="Arial" w:cs="Arial"/>
        </w:rPr>
        <w:t>(</w:t>
      </w:r>
      <w:r w:rsidRPr="004E0A36">
        <w:rPr>
          <w:rFonts w:ascii="Arial" w:hAnsi="Arial" w:cs="Arial"/>
          <w:b/>
        </w:rPr>
        <w:t>Figure 5</w:t>
      </w:r>
      <w:r w:rsidR="00400C96" w:rsidRPr="004E0A36">
        <w:rPr>
          <w:rFonts w:ascii="Arial" w:hAnsi="Arial" w:cs="Arial"/>
          <w:b/>
        </w:rPr>
        <w:t>C</w:t>
      </w:r>
      <w:r w:rsidRPr="004E0A36">
        <w:rPr>
          <w:rFonts w:ascii="Arial" w:hAnsi="Arial" w:cs="Arial"/>
          <w:b/>
        </w:rPr>
        <w:t>; S8</w:t>
      </w:r>
      <w:r w:rsidR="00400C96" w:rsidRPr="004E0A36">
        <w:rPr>
          <w:rFonts w:ascii="Arial" w:hAnsi="Arial" w:cs="Arial"/>
          <w:b/>
        </w:rPr>
        <w:t>C</w:t>
      </w:r>
      <w:r>
        <w:rPr>
          <w:rFonts w:ascii="Arial" w:hAnsi="Arial" w:cs="Arial"/>
        </w:rPr>
        <w:t xml:space="preserve">). </w:t>
      </w:r>
      <w:r w:rsidR="00400C96">
        <w:rPr>
          <w:rFonts w:ascii="Arial" w:hAnsi="Arial" w:cs="Arial"/>
        </w:rPr>
        <w:t>Putative targets that display induced expression after dawn mimicked the pattern observed for BBX set A, while putative targets with decreasing expression after dawn (BBX27, PIF4) displayed a similar pattern to BBX set B (</w:t>
      </w:r>
      <w:r w:rsidR="00400C96" w:rsidRPr="004E0A36">
        <w:rPr>
          <w:rFonts w:ascii="Arial" w:hAnsi="Arial" w:cs="Arial"/>
          <w:b/>
        </w:rPr>
        <w:t>Figure 5D, S8D</w:t>
      </w:r>
      <w:r w:rsidR="00400C96">
        <w:rPr>
          <w:rFonts w:ascii="Arial" w:hAnsi="Arial" w:cs="Arial"/>
        </w:rPr>
        <w:t>).</w:t>
      </w:r>
      <w:r w:rsidR="002A0F23" w:rsidRPr="002A0F23">
        <w:rPr>
          <w:rFonts w:ascii="Arial" w:hAnsi="Arial" w:cs="Arial"/>
        </w:rPr>
        <w:t xml:space="preserve"> </w:t>
      </w:r>
      <w:r w:rsidR="002A0F23">
        <w:rPr>
          <w:rFonts w:ascii="Arial" w:hAnsi="Arial" w:cs="Arial"/>
        </w:rPr>
        <w:t xml:space="preserve">These observations confirm that it is a light stimulus, and not the </w:t>
      </w:r>
      <w:r w:rsidR="002A0F23">
        <w:rPr>
          <w:rFonts w:ascii="Arial" w:hAnsi="Arial" w:cs="Arial"/>
        </w:rPr>
        <w:lastRenderedPageBreak/>
        <w:t xml:space="preserve">circadian clock, that tightly controls this part of the dawn burst, and it can largely be accounted for by light sensing via phytochromes and cryptochromes. </w:t>
      </w:r>
    </w:p>
    <w:p w14:paraId="04546268" w14:textId="6D0BCA14" w:rsidR="00561747" w:rsidRPr="004E0A36" w:rsidRDefault="007A169B" w:rsidP="002E0970">
      <w:pPr>
        <w:pStyle w:val="BodyText"/>
        <w:spacing w:line="360" w:lineRule="auto"/>
        <w:rPr>
          <w:rFonts w:ascii="Arial" w:hAnsi="Arial" w:cs="Arial"/>
        </w:rPr>
      </w:pPr>
      <w:r>
        <w:rPr>
          <w:rFonts w:ascii="Arial" w:hAnsi="Arial" w:cs="Arial"/>
        </w:rPr>
        <w:t xml:space="preserve">Expression patterns in </w:t>
      </w:r>
      <w:r w:rsidRPr="004E0A36">
        <w:rPr>
          <w:rFonts w:ascii="Arial" w:hAnsi="Arial" w:cs="Arial"/>
          <w:i/>
        </w:rPr>
        <w:t>bbx30 bbx31</w:t>
      </w:r>
      <w:r>
        <w:rPr>
          <w:rFonts w:ascii="Arial" w:hAnsi="Arial" w:cs="Arial"/>
        </w:rPr>
        <w:t xml:space="preserve"> were largely indistinguishable from those in wild type</w:t>
      </w:r>
      <w:r w:rsidR="002A0F23">
        <w:rPr>
          <w:rFonts w:ascii="Arial" w:hAnsi="Arial" w:cs="Arial"/>
        </w:rPr>
        <w:t xml:space="preserve"> (</w:t>
      </w:r>
      <w:r w:rsidR="002A0F23" w:rsidRPr="004E0A36">
        <w:rPr>
          <w:rFonts w:ascii="Arial" w:hAnsi="Arial" w:cs="Arial"/>
          <w:b/>
        </w:rPr>
        <w:t>Figure 5; S8</w:t>
      </w:r>
      <w:r w:rsidR="002A0F23">
        <w:rPr>
          <w:rFonts w:ascii="Arial" w:hAnsi="Arial" w:cs="Arial"/>
        </w:rPr>
        <w:t>)</w:t>
      </w:r>
      <w:r>
        <w:rPr>
          <w:rFonts w:ascii="Arial" w:hAnsi="Arial" w:cs="Arial"/>
        </w:rPr>
        <w:t xml:space="preserve">, likely because of the high degree of redundancy among BBX proteins and/or residual BBX30 function as we detected high levels of truncated </w:t>
      </w:r>
      <w:r w:rsidRPr="004E0A36">
        <w:rPr>
          <w:rFonts w:ascii="Arial" w:hAnsi="Arial" w:cs="Arial"/>
          <w:i/>
        </w:rPr>
        <w:t>BBX30</w:t>
      </w:r>
      <w:r>
        <w:rPr>
          <w:rFonts w:ascii="Arial" w:hAnsi="Arial" w:cs="Arial"/>
        </w:rPr>
        <w:t xml:space="preserve"> transcript</w:t>
      </w:r>
      <w:r w:rsidRPr="007A169B">
        <w:rPr>
          <w:rFonts w:ascii="Arial" w:hAnsi="Arial" w:cs="Arial"/>
        </w:rPr>
        <w:t xml:space="preserve"> </w:t>
      </w:r>
      <w:r>
        <w:rPr>
          <w:rFonts w:ascii="Arial" w:hAnsi="Arial" w:cs="Arial"/>
        </w:rPr>
        <w:t xml:space="preserve">in the mutant. However, many dawn-induced genes, including the putative direct targets </w:t>
      </w:r>
      <w:r w:rsidRPr="004E0A36">
        <w:rPr>
          <w:rFonts w:ascii="Arial" w:hAnsi="Arial" w:cs="Arial"/>
          <w:i/>
        </w:rPr>
        <w:t>BBX18</w:t>
      </w:r>
      <w:r>
        <w:rPr>
          <w:rFonts w:ascii="Arial" w:hAnsi="Arial" w:cs="Arial"/>
        </w:rPr>
        <w:t xml:space="preserve">, </w:t>
      </w:r>
      <w:r w:rsidRPr="004E0A36">
        <w:rPr>
          <w:rFonts w:ascii="Arial" w:hAnsi="Arial" w:cs="Arial"/>
          <w:i/>
        </w:rPr>
        <w:t>ASG4</w:t>
      </w:r>
      <w:r>
        <w:rPr>
          <w:rFonts w:ascii="Arial" w:hAnsi="Arial" w:cs="Arial"/>
        </w:rPr>
        <w:t xml:space="preserve"> and </w:t>
      </w:r>
      <w:r w:rsidRPr="004E0A36">
        <w:rPr>
          <w:rFonts w:ascii="Arial" w:hAnsi="Arial" w:cs="Arial"/>
          <w:i/>
        </w:rPr>
        <w:t>CCR1</w:t>
      </w:r>
      <w:r>
        <w:rPr>
          <w:rFonts w:ascii="Arial" w:hAnsi="Arial" w:cs="Arial"/>
        </w:rPr>
        <w:t xml:space="preserve">, displayed substantially lower transcript levels </w:t>
      </w:r>
      <w:r w:rsidR="00F96D50">
        <w:rPr>
          <w:rFonts w:ascii="Arial" w:hAnsi="Arial" w:cs="Arial"/>
        </w:rPr>
        <w:t xml:space="preserve">in </w:t>
      </w:r>
      <w:r>
        <w:rPr>
          <w:rFonts w:ascii="Arial" w:hAnsi="Arial" w:cs="Arial"/>
        </w:rPr>
        <w:t xml:space="preserve">both the </w:t>
      </w:r>
      <w:r w:rsidRPr="004E0A36">
        <w:rPr>
          <w:rFonts w:ascii="Arial" w:hAnsi="Arial" w:cs="Arial"/>
          <w:i/>
        </w:rPr>
        <w:t xml:space="preserve">hy5 </w:t>
      </w:r>
      <w:proofErr w:type="spellStart"/>
      <w:r w:rsidRPr="004E0A36">
        <w:rPr>
          <w:rFonts w:ascii="Arial" w:hAnsi="Arial" w:cs="Arial"/>
          <w:i/>
        </w:rPr>
        <w:t>hyh</w:t>
      </w:r>
      <w:proofErr w:type="spellEnd"/>
      <w:r>
        <w:rPr>
          <w:rFonts w:ascii="Arial" w:hAnsi="Arial" w:cs="Arial"/>
        </w:rPr>
        <w:t xml:space="preserve"> mutant and the </w:t>
      </w:r>
      <w:r w:rsidRPr="004E0A36">
        <w:rPr>
          <w:rFonts w:ascii="Arial" w:hAnsi="Arial" w:cs="Arial"/>
          <w:i/>
        </w:rPr>
        <w:t>BBX31-Ox</w:t>
      </w:r>
      <w:r>
        <w:rPr>
          <w:rFonts w:ascii="Arial" w:hAnsi="Arial" w:cs="Arial"/>
        </w:rPr>
        <w:t xml:space="preserve"> line</w:t>
      </w:r>
      <w:r w:rsidR="00B12150">
        <w:rPr>
          <w:rFonts w:ascii="Arial" w:hAnsi="Arial" w:cs="Arial"/>
        </w:rPr>
        <w:t xml:space="preserve"> (</w:t>
      </w:r>
      <w:r w:rsidR="00B12150" w:rsidRPr="004E0A36">
        <w:rPr>
          <w:rFonts w:ascii="Arial" w:hAnsi="Arial" w:cs="Arial"/>
          <w:b/>
        </w:rPr>
        <w:t>Figure</w:t>
      </w:r>
      <w:r w:rsidR="002A0F23">
        <w:rPr>
          <w:rFonts w:ascii="Arial" w:hAnsi="Arial" w:cs="Arial"/>
          <w:b/>
        </w:rPr>
        <w:t xml:space="preserve"> 5A, B, D; S8A, B, D</w:t>
      </w:r>
      <w:r>
        <w:rPr>
          <w:rFonts w:ascii="Arial" w:hAnsi="Arial" w:cs="Arial"/>
        </w:rPr>
        <w:t xml:space="preserve">), </w:t>
      </w:r>
      <w:r w:rsidR="00F96D50">
        <w:rPr>
          <w:rFonts w:ascii="Arial" w:hAnsi="Arial" w:cs="Arial"/>
        </w:rPr>
        <w:t>indicating</w:t>
      </w:r>
      <w:r>
        <w:rPr>
          <w:rFonts w:ascii="Arial" w:hAnsi="Arial" w:cs="Arial"/>
        </w:rPr>
        <w:t xml:space="preserve"> that HY5 and HYH act as activators of the dawn burst, while BBX31 represents a negative regulator. </w:t>
      </w:r>
      <w:r w:rsidR="00C36576">
        <w:rPr>
          <w:rFonts w:ascii="Arial" w:hAnsi="Arial" w:cs="Arial"/>
        </w:rPr>
        <w:t xml:space="preserve">Only one </w:t>
      </w:r>
      <w:r w:rsidR="006F7B1E">
        <w:rPr>
          <w:rFonts w:ascii="Arial" w:hAnsi="Arial" w:cs="Arial"/>
        </w:rPr>
        <w:t xml:space="preserve">exception </w:t>
      </w:r>
      <w:r w:rsidR="00C36576">
        <w:rPr>
          <w:rFonts w:ascii="Arial" w:hAnsi="Arial" w:cs="Arial"/>
        </w:rPr>
        <w:t>to this pattern was found:</w:t>
      </w:r>
      <w:r w:rsidR="006F7B1E">
        <w:rPr>
          <w:rFonts w:ascii="Arial" w:hAnsi="Arial" w:cs="Arial"/>
        </w:rPr>
        <w:t xml:space="preserve"> </w:t>
      </w:r>
      <w:r w:rsidR="006F7B1E" w:rsidRPr="004E0A36">
        <w:rPr>
          <w:rFonts w:ascii="Arial" w:hAnsi="Arial" w:cs="Arial"/>
          <w:i/>
        </w:rPr>
        <w:t>PYE</w:t>
      </w:r>
      <w:r w:rsidR="006F7B1E">
        <w:rPr>
          <w:rFonts w:ascii="Arial" w:hAnsi="Arial" w:cs="Arial"/>
        </w:rPr>
        <w:t xml:space="preserve"> expression was unchanged in </w:t>
      </w:r>
      <w:r w:rsidR="006F7B1E" w:rsidRPr="004E0A36">
        <w:rPr>
          <w:rFonts w:ascii="Arial" w:hAnsi="Arial" w:cs="Arial"/>
          <w:i/>
        </w:rPr>
        <w:t>BBX31-Ox</w:t>
      </w:r>
      <w:r w:rsidR="006F7B1E">
        <w:rPr>
          <w:rFonts w:ascii="Arial" w:hAnsi="Arial" w:cs="Arial"/>
        </w:rPr>
        <w:t xml:space="preserve">, but reduced in both </w:t>
      </w:r>
      <w:r w:rsidR="006F7B1E" w:rsidRPr="004E0A36">
        <w:rPr>
          <w:rFonts w:ascii="Arial" w:hAnsi="Arial" w:cs="Arial"/>
          <w:i/>
        </w:rPr>
        <w:t xml:space="preserve">hy5 </w:t>
      </w:r>
      <w:proofErr w:type="spellStart"/>
      <w:r w:rsidR="006F7B1E" w:rsidRPr="004E0A36">
        <w:rPr>
          <w:rFonts w:ascii="Arial" w:hAnsi="Arial" w:cs="Arial"/>
          <w:i/>
        </w:rPr>
        <w:t>hyh</w:t>
      </w:r>
      <w:proofErr w:type="spellEnd"/>
      <w:r w:rsidR="006F7B1E">
        <w:rPr>
          <w:rFonts w:ascii="Arial" w:hAnsi="Arial" w:cs="Arial"/>
        </w:rPr>
        <w:t xml:space="preserve"> and </w:t>
      </w:r>
      <w:r w:rsidR="006F7B1E" w:rsidRPr="004E0A36">
        <w:rPr>
          <w:rFonts w:ascii="Arial" w:hAnsi="Arial" w:cs="Arial"/>
          <w:i/>
        </w:rPr>
        <w:t>bbx30 bbx31</w:t>
      </w:r>
      <w:r w:rsidR="00B12150">
        <w:rPr>
          <w:rFonts w:ascii="Arial" w:hAnsi="Arial" w:cs="Arial"/>
        </w:rPr>
        <w:t>,</w:t>
      </w:r>
      <w:r w:rsidR="006F7B1E">
        <w:rPr>
          <w:rFonts w:ascii="Arial" w:hAnsi="Arial" w:cs="Arial"/>
        </w:rPr>
        <w:t xml:space="preserve"> suggesting positive effects of both upstream regulators.</w:t>
      </w:r>
    </w:p>
    <w:p w14:paraId="1ADB5EC9" w14:textId="2E618577" w:rsidR="009C304E" w:rsidRDefault="00F96D50" w:rsidP="005D6489">
      <w:pPr>
        <w:pStyle w:val="FirstParagraph"/>
        <w:spacing w:line="360" w:lineRule="auto"/>
        <w:rPr>
          <w:rFonts w:ascii="Arial" w:hAnsi="Arial" w:cs="Arial"/>
        </w:rPr>
      </w:pPr>
      <w:bookmarkStart w:id="9" w:name="phytochromes-and-cryptochromes-control-m"/>
      <w:bookmarkStart w:id="10" w:name="section-2"/>
      <w:bookmarkEnd w:id="9"/>
      <w:bookmarkEnd w:id="10"/>
      <w:r>
        <w:rPr>
          <w:rFonts w:ascii="Arial" w:hAnsi="Arial" w:cs="Arial"/>
        </w:rPr>
        <w:t>Taken together</w:t>
      </w:r>
      <w:r w:rsidR="007A169B">
        <w:rPr>
          <w:rFonts w:ascii="Arial" w:hAnsi="Arial" w:cs="Arial"/>
        </w:rPr>
        <w:t>, o</w:t>
      </w:r>
      <w:r w:rsidR="00BA10FA" w:rsidRPr="005D6489">
        <w:rPr>
          <w:rFonts w:ascii="Arial" w:hAnsi="Arial" w:cs="Arial"/>
        </w:rPr>
        <w:t xml:space="preserve">ur results suggest that </w:t>
      </w:r>
      <w:r w:rsidR="007A169B">
        <w:rPr>
          <w:rFonts w:ascii="Arial" w:hAnsi="Arial" w:cs="Arial"/>
        </w:rPr>
        <w:t>BBX and HY5/HY</w:t>
      </w:r>
      <w:r w:rsidR="00E970CC">
        <w:rPr>
          <w:rFonts w:ascii="Arial" w:hAnsi="Arial" w:cs="Arial"/>
        </w:rPr>
        <w:t>H</w:t>
      </w:r>
      <w:r w:rsidR="007A169B" w:rsidRPr="005D6489">
        <w:rPr>
          <w:rFonts w:ascii="Arial" w:hAnsi="Arial" w:cs="Arial"/>
        </w:rPr>
        <w:t xml:space="preserve"> </w:t>
      </w:r>
      <w:r w:rsidR="00BA10FA" w:rsidRPr="005D6489">
        <w:rPr>
          <w:rFonts w:ascii="Arial" w:hAnsi="Arial" w:cs="Arial"/>
        </w:rPr>
        <w:t xml:space="preserve">factors constitute a highly orchestrated transcriptional network that controls photomorphogenic </w:t>
      </w:r>
      <w:r w:rsidR="00F13D54">
        <w:rPr>
          <w:rFonts w:ascii="Arial" w:hAnsi="Arial" w:cs="Arial"/>
        </w:rPr>
        <w:t xml:space="preserve">and photoperiodic </w:t>
      </w:r>
      <w:r w:rsidR="00BA10FA" w:rsidRPr="005D6489">
        <w:rPr>
          <w:rFonts w:ascii="Arial" w:hAnsi="Arial" w:cs="Arial"/>
        </w:rPr>
        <w:t>responses at dawn downstream of phytochrome and cryptochrome photoreceptors</w:t>
      </w:r>
      <w:bookmarkStart w:id="11" w:name="section-3"/>
      <w:bookmarkEnd w:id="11"/>
      <w:r w:rsidR="00B80E61">
        <w:rPr>
          <w:rFonts w:ascii="Arial" w:hAnsi="Arial" w:cs="Arial"/>
        </w:rPr>
        <w:t>.</w:t>
      </w:r>
    </w:p>
    <w:p w14:paraId="0445D1BD" w14:textId="5C9566CC" w:rsidR="009C304E" w:rsidRPr="008C6C8F" w:rsidRDefault="00BA10FA" w:rsidP="005D6489">
      <w:pPr>
        <w:pStyle w:val="Heading1"/>
        <w:spacing w:line="360" w:lineRule="auto"/>
        <w:rPr>
          <w:rFonts w:ascii="Arial" w:hAnsi="Arial" w:cs="Arial"/>
          <w:sz w:val="28"/>
        </w:rPr>
      </w:pPr>
      <w:bookmarkStart w:id="12" w:name="discussion"/>
      <w:bookmarkEnd w:id="12"/>
      <w:r w:rsidRPr="008C6C8F">
        <w:rPr>
          <w:rFonts w:ascii="Arial" w:hAnsi="Arial" w:cs="Arial"/>
          <w:sz w:val="28"/>
        </w:rPr>
        <w:t>Discussion</w:t>
      </w:r>
    </w:p>
    <w:p w14:paraId="058C00A0" w14:textId="23B8B4D7" w:rsidR="009C304E" w:rsidRPr="008C6C8F" w:rsidRDefault="00BA10FA" w:rsidP="005D6489">
      <w:pPr>
        <w:pStyle w:val="Heading2"/>
        <w:spacing w:line="360" w:lineRule="auto"/>
        <w:rPr>
          <w:rFonts w:ascii="Arial" w:hAnsi="Arial" w:cs="Arial"/>
          <w:sz w:val="28"/>
        </w:rPr>
      </w:pPr>
      <w:bookmarkStart w:id="13" w:name="a-high-resolution-time-series-is-require"/>
      <w:bookmarkEnd w:id="13"/>
      <w:r w:rsidRPr="008C6C8F">
        <w:rPr>
          <w:rFonts w:ascii="Arial" w:hAnsi="Arial" w:cs="Arial"/>
          <w:sz w:val="28"/>
        </w:rPr>
        <w:t>A high</w:t>
      </w:r>
      <w:r w:rsidR="00141668" w:rsidRPr="008C6C8F">
        <w:rPr>
          <w:rFonts w:ascii="Arial" w:hAnsi="Arial" w:cs="Arial"/>
          <w:sz w:val="28"/>
        </w:rPr>
        <w:t>-</w:t>
      </w:r>
      <w:r w:rsidRPr="008C6C8F">
        <w:rPr>
          <w:rFonts w:ascii="Arial" w:hAnsi="Arial" w:cs="Arial"/>
          <w:sz w:val="28"/>
        </w:rPr>
        <w:t xml:space="preserve">resolution time series is required to capture </w:t>
      </w:r>
      <w:r w:rsidR="00034610">
        <w:rPr>
          <w:rFonts w:ascii="Arial" w:hAnsi="Arial" w:cs="Arial"/>
          <w:sz w:val="28"/>
        </w:rPr>
        <w:t>complex</w:t>
      </w:r>
      <w:r w:rsidR="00034610" w:rsidRPr="008C6C8F">
        <w:rPr>
          <w:rFonts w:ascii="Arial" w:hAnsi="Arial" w:cs="Arial"/>
          <w:sz w:val="28"/>
        </w:rPr>
        <w:t xml:space="preserve"> </w:t>
      </w:r>
      <w:r w:rsidRPr="008C6C8F">
        <w:rPr>
          <w:rFonts w:ascii="Arial" w:hAnsi="Arial" w:cs="Arial"/>
          <w:sz w:val="28"/>
        </w:rPr>
        <w:t xml:space="preserve">transcriptional dynamics </w:t>
      </w:r>
      <w:r w:rsidR="00034610">
        <w:rPr>
          <w:rFonts w:ascii="Arial" w:hAnsi="Arial" w:cs="Arial"/>
          <w:sz w:val="28"/>
        </w:rPr>
        <w:t>at dawn</w:t>
      </w:r>
    </w:p>
    <w:p w14:paraId="662D7A3C" w14:textId="1C704806" w:rsidR="00B32186" w:rsidRDefault="00BA10FA" w:rsidP="005D6489">
      <w:pPr>
        <w:pStyle w:val="FirstParagraph"/>
        <w:spacing w:line="360" w:lineRule="auto"/>
        <w:rPr>
          <w:rFonts w:ascii="Arial" w:hAnsi="Arial" w:cs="Arial"/>
        </w:rPr>
      </w:pPr>
      <w:r w:rsidRPr="005D6489">
        <w:rPr>
          <w:rFonts w:ascii="Arial" w:hAnsi="Arial" w:cs="Arial"/>
        </w:rPr>
        <w:br/>
        <w:t xml:space="preserve">While </w:t>
      </w:r>
      <w:r w:rsidR="00C26540">
        <w:rPr>
          <w:rFonts w:ascii="Arial" w:hAnsi="Arial" w:cs="Arial"/>
        </w:rPr>
        <w:t xml:space="preserve">several previous reports </w:t>
      </w:r>
      <w:r w:rsidR="0055799B">
        <w:rPr>
          <w:rFonts w:ascii="Arial" w:hAnsi="Arial" w:cs="Arial"/>
        </w:rPr>
        <w:t>indicated</w:t>
      </w:r>
      <w:r w:rsidR="00C26540">
        <w:rPr>
          <w:rFonts w:ascii="Arial" w:hAnsi="Arial" w:cs="Arial"/>
        </w:rPr>
        <w:t xml:space="preserve"> a burst</w:t>
      </w:r>
      <w:r w:rsidRPr="005D6489">
        <w:rPr>
          <w:rFonts w:ascii="Arial" w:hAnsi="Arial" w:cs="Arial"/>
        </w:rPr>
        <w:t xml:space="preserve"> of gene expression in the early morning, </w:t>
      </w:r>
      <w:r w:rsidR="00A43211">
        <w:rPr>
          <w:rFonts w:ascii="Arial" w:hAnsi="Arial" w:cs="Arial"/>
        </w:rPr>
        <w:t>here we were able to</w:t>
      </w:r>
      <w:r w:rsidRPr="005D6489">
        <w:rPr>
          <w:rFonts w:ascii="Arial" w:hAnsi="Arial" w:cs="Arial"/>
        </w:rPr>
        <w:t xml:space="preserve"> fully </w:t>
      </w:r>
      <w:proofErr w:type="spellStart"/>
      <w:r w:rsidRPr="005D6489">
        <w:rPr>
          <w:rFonts w:ascii="Arial" w:hAnsi="Arial" w:cs="Arial"/>
        </w:rPr>
        <w:t>characterise</w:t>
      </w:r>
      <w:proofErr w:type="spellEnd"/>
      <w:r w:rsidRPr="005D6489">
        <w:rPr>
          <w:rFonts w:ascii="Arial" w:hAnsi="Arial" w:cs="Arial"/>
        </w:rPr>
        <w:t xml:space="preserve"> the transcriptional dynamics in this time period </w:t>
      </w:r>
      <w:r w:rsidR="00A43211">
        <w:rPr>
          <w:rFonts w:ascii="Arial" w:hAnsi="Arial" w:cs="Arial"/>
        </w:rPr>
        <w:t>using a</w:t>
      </w:r>
      <w:r w:rsidR="00EA66B9">
        <w:rPr>
          <w:rFonts w:ascii="Arial" w:hAnsi="Arial" w:cs="Arial"/>
        </w:rPr>
        <w:t>n</w:t>
      </w:r>
      <w:r w:rsidR="00A43211">
        <w:rPr>
          <w:rFonts w:ascii="Arial" w:hAnsi="Arial" w:cs="Arial"/>
        </w:rPr>
        <w:t xml:space="preserve"> RNA-seq time course </w:t>
      </w:r>
      <w:r w:rsidR="00C26540">
        <w:rPr>
          <w:rFonts w:ascii="Arial" w:hAnsi="Arial" w:cs="Arial"/>
        </w:rPr>
        <w:t>with very high sampling frequency</w:t>
      </w:r>
      <w:r w:rsidRPr="005D6489">
        <w:rPr>
          <w:rFonts w:ascii="Arial" w:hAnsi="Arial" w:cs="Arial"/>
        </w:rPr>
        <w:t>.  We were able to identify multiple coordinated waves of gene expression</w:t>
      </w:r>
      <w:r w:rsidR="00C26540">
        <w:rPr>
          <w:rFonts w:ascii="Arial" w:hAnsi="Arial" w:cs="Arial"/>
        </w:rPr>
        <w:t>.</w:t>
      </w:r>
      <w:r w:rsidRPr="005D6489">
        <w:rPr>
          <w:rFonts w:ascii="Arial" w:hAnsi="Arial" w:cs="Arial"/>
        </w:rPr>
        <w:t xml:space="preserve"> </w:t>
      </w:r>
      <w:r w:rsidR="00F801CA">
        <w:rPr>
          <w:rFonts w:ascii="Arial" w:hAnsi="Arial" w:cs="Arial"/>
        </w:rPr>
        <w:t>These</w:t>
      </w:r>
      <w:r w:rsidR="00F801CA" w:rsidRPr="005D6489">
        <w:rPr>
          <w:rFonts w:ascii="Arial" w:hAnsi="Arial" w:cs="Arial"/>
        </w:rPr>
        <w:t xml:space="preserve"> </w:t>
      </w:r>
      <w:r w:rsidRPr="005D6489">
        <w:rPr>
          <w:rFonts w:ascii="Arial" w:hAnsi="Arial" w:cs="Arial"/>
        </w:rPr>
        <w:t xml:space="preserve">included </w:t>
      </w:r>
      <w:r w:rsidR="00F801CA">
        <w:rPr>
          <w:rFonts w:ascii="Arial" w:hAnsi="Arial" w:cs="Arial"/>
        </w:rPr>
        <w:t xml:space="preserve">clusters of early-expressed genes which were enriched for light-repressed genes (clusters 1-2) as well as clusters enriched for light-induced genes (clusters 5-6), which peaked during the </w:t>
      </w:r>
      <w:proofErr w:type="gramStart"/>
      <w:r w:rsidR="00F801CA">
        <w:rPr>
          <w:rFonts w:ascii="Arial" w:hAnsi="Arial" w:cs="Arial"/>
        </w:rPr>
        <w:t>2 hour</w:t>
      </w:r>
      <w:proofErr w:type="gramEnd"/>
      <w:r w:rsidR="00F801CA">
        <w:rPr>
          <w:rFonts w:ascii="Arial" w:hAnsi="Arial" w:cs="Arial"/>
        </w:rPr>
        <w:t xml:space="preserve"> window after dawn and also displayed decreased </w:t>
      </w:r>
      <w:r w:rsidR="005D2BBD">
        <w:rPr>
          <w:rFonts w:ascii="Arial" w:hAnsi="Arial" w:cs="Arial"/>
        </w:rPr>
        <w:t xml:space="preserve">peak </w:t>
      </w:r>
      <w:r w:rsidR="00F801CA">
        <w:rPr>
          <w:rFonts w:ascii="Arial" w:hAnsi="Arial" w:cs="Arial"/>
        </w:rPr>
        <w:t>expression levels at high ambient temperature of 27</w:t>
      </w:r>
      <w:r w:rsidR="00F801CA" w:rsidRPr="005D6489">
        <w:rPr>
          <w:rFonts w:ascii="Arial" w:hAnsi="Arial" w:cs="Arial"/>
        </w:rPr>
        <w:t>°C</w:t>
      </w:r>
      <w:r w:rsidR="00F801CA">
        <w:rPr>
          <w:rFonts w:ascii="Arial" w:hAnsi="Arial" w:cs="Arial"/>
        </w:rPr>
        <w:t xml:space="preserve">. </w:t>
      </w:r>
      <w:r w:rsidR="00B32186">
        <w:rPr>
          <w:rFonts w:ascii="Arial" w:hAnsi="Arial" w:cs="Arial"/>
        </w:rPr>
        <w:t>We also identified gene sets that were not enriched for light-regulated genes</w:t>
      </w:r>
      <w:r w:rsidR="00640866">
        <w:rPr>
          <w:rFonts w:ascii="Arial" w:hAnsi="Arial" w:cs="Arial"/>
        </w:rPr>
        <w:t xml:space="preserve"> (as defined by </w:t>
      </w:r>
      <w:proofErr w:type="spellStart"/>
      <w:r w:rsidR="00640866">
        <w:rPr>
          <w:rFonts w:ascii="Arial" w:hAnsi="Arial" w:cs="Arial"/>
        </w:rPr>
        <w:t>Rugnone</w:t>
      </w:r>
      <w:proofErr w:type="spellEnd"/>
      <w:r w:rsidR="00640866">
        <w:rPr>
          <w:rFonts w:ascii="Arial" w:hAnsi="Arial" w:cs="Arial"/>
        </w:rPr>
        <w:t xml:space="preserve"> et al., 2013)</w:t>
      </w:r>
      <w:r w:rsidR="00B32186">
        <w:rPr>
          <w:rFonts w:ascii="Arial" w:hAnsi="Arial" w:cs="Arial"/>
        </w:rPr>
        <w:t xml:space="preserve">, but showed clearly elevated </w:t>
      </w:r>
      <w:r w:rsidR="00B32186">
        <w:rPr>
          <w:rFonts w:ascii="Arial" w:hAnsi="Arial" w:cs="Arial"/>
        </w:rPr>
        <w:lastRenderedPageBreak/>
        <w:t xml:space="preserve">expression at high temperature and included </w:t>
      </w:r>
      <w:r w:rsidR="00640866">
        <w:rPr>
          <w:rFonts w:ascii="Arial" w:hAnsi="Arial" w:cs="Arial"/>
        </w:rPr>
        <w:t>many genes involved in heat stress response and thermotolerance</w:t>
      </w:r>
      <w:r w:rsidRPr="005D6489">
        <w:rPr>
          <w:rFonts w:ascii="Arial" w:hAnsi="Arial" w:cs="Arial"/>
        </w:rPr>
        <w:t xml:space="preserve"> (cluster</w:t>
      </w:r>
      <w:r w:rsidR="00B32186">
        <w:rPr>
          <w:rFonts w:ascii="Arial" w:hAnsi="Arial" w:cs="Arial"/>
        </w:rPr>
        <w:t>s</w:t>
      </w:r>
      <w:r w:rsidRPr="005D6489">
        <w:rPr>
          <w:rFonts w:ascii="Arial" w:hAnsi="Arial" w:cs="Arial"/>
        </w:rPr>
        <w:t xml:space="preserve"> </w:t>
      </w:r>
      <w:r w:rsidR="00041A6A">
        <w:rPr>
          <w:rFonts w:ascii="Arial" w:hAnsi="Arial" w:cs="Arial"/>
        </w:rPr>
        <w:t>7-8</w:t>
      </w:r>
      <w:r w:rsidRPr="005D6489">
        <w:rPr>
          <w:rFonts w:ascii="Arial" w:hAnsi="Arial" w:cs="Arial"/>
        </w:rPr>
        <w:t>)</w:t>
      </w:r>
      <w:r w:rsidR="00B32186">
        <w:rPr>
          <w:rFonts w:ascii="Arial" w:hAnsi="Arial" w:cs="Arial"/>
        </w:rPr>
        <w:t>.</w:t>
      </w:r>
    </w:p>
    <w:p w14:paraId="4C378671" w14:textId="7FFE5E43" w:rsidR="00512A1F" w:rsidRDefault="00D50423" w:rsidP="005D6489">
      <w:pPr>
        <w:pStyle w:val="FirstParagraph"/>
        <w:spacing w:line="360" w:lineRule="auto"/>
        <w:rPr>
          <w:rFonts w:ascii="Arial" w:hAnsi="Arial" w:cs="Arial"/>
        </w:rPr>
      </w:pPr>
      <w:r w:rsidRPr="005D6489">
        <w:rPr>
          <w:rFonts w:ascii="Arial" w:hAnsi="Arial" w:cs="Arial"/>
        </w:rPr>
        <w:t xml:space="preserve">In general, it is a useful strategy to conduct a few </w:t>
      </w:r>
      <w:proofErr w:type="gramStart"/>
      <w:r w:rsidRPr="005D6489">
        <w:rPr>
          <w:rFonts w:ascii="Arial" w:hAnsi="Arial" w:cs="Arial"/>
        </w:rPr>
        <w:t>high resolution</w:t>
      </w:r>
      <w:proofErr w:type="gramEnd"/>
      <w:r w:rsidRPr="005D6489">
        <w:rPr>
          <w:rFonts w:ascii="Arial" w:hAnsi="Arial" w:cs="Arial"/>
        </w:rPr>
        <w:t xml:space="preserve"> time course experiments, and then use this data to select informative time point experiments for future experiments. </w:t>
      </w:r>
      <w:r>
        <w:rPr>
          <w:rFonts w:ascii="Arial" w:hAnsi="Arial" w:cs="Arial"/>
        </w:rPr>
        <w:t xml:space="preserve">Following this </w:t>
      </w:r>
      <w:proofErr w:type="gramStart"/>
      <w:r>
        <w:rPr>
          <w:rFonts w:ascii="Arial" w:hAnsi="Arial" w:cs="Arial"/>
        </w:rPr>
        <w:t>approach</w:t>
      </w:r>
      <w:proofErr w:type="gramEnd"/>
      <w:r>
        <w:rPr>
          <w:rFonts w:ascii="Arial" w:hAnsi="Arial" w:cs="Arial"/>
        </w:rPr>
        <w:t xml:space="preserve"> we find that a</w:t>
      </w:r>
      <w:r w:rsidR="00BA10FA" w:rsidRPr="005D6489">
        <w:rPr>
          <w:rFonts w:ascii="Arial" w:hAnsi="Arial" w:cs="Arial"/>
        </w:rPr>
        <w:t xml:space="preserve"> large proportion of </w:t>
      </w:r>
      <w:r w:rsidR="007A0DF8">
        <w:rPr>
          <w:rFonts w:ascii="Arial" w:hAnsi="Arial" w:cs="Arial"/>
        </w:rPr>
        <w:t>TFs</w:t>
      </w:r>
      <w:r w:rsidR="00BA10FA" w:rsidRPr="005D6489">
        <w:rPr>
          <w:rFonts w:ascii="Arial" w:hAnsi="Arial" w:cs="Arial"/>
        </w:rPr>
        <w:t xml:space="preserve"> </w:t>
      </w:r>
      <w:r w:rsidR="00640866">
        <w:rPr>
          <w:rFonts w:ascii="Arial" w:hAnsi="Arial" w:cs="Arial"/>
        </w:rPr>
        <w:t>change their</w:t>
      </w:r>
      <w:r w:rsidR="00BA10FA" w:rsidRPr="005D6489">
        <w:rPr>
          <w:rFonts w:ascii="Arial" w:hAnsi="Arial" w:cs="Arial"/>
        </w:rPr>
        <w:t xml:space="preserve"> expression in the early morning, and </w:t>
      </w:r>
      <w:r w:rsidR="00640866">
        <w:rPr>
          <w:rFonts w:ascii="Arial" w:hAnsi="Arial" w:cs="Arial"/>
        </w:rPr>
        <w:t>the expression of many of these genes</w:t>
      </w:r>
      <w:r w:rsidR="004D59F5" w:rsidRPr="005D6489">
        <w:rPr>
          <w:rFonts w:ascii="Arial" w:hAnsi="Arial" w:cs="Arial"/>
        </w:rPr>
        <w:t xml:space="preserve"> </w:t>
      </w:r>
      <w:r w:rsidR="00640866">
        <w:rPr>
          <w:rFonts w:ascii="Arial" w:hAnsi="Arial" w:cs="Arial"/>
        </w:rPr>
        <w:t>is</w:t>
      </w:r>
      <w:r w:rsidR="004D59F5" w:rsidRPr="005D6489">
        <w:rPr>
          <w:rFonts w:ascii="Arial" w:hAnsi="Arial" w:cs="Arial"/>
        </w:rPr>
        <w:t xml:space="preserve"> perturbed in similar ways</w:t>
      </w:r>
      <w:r w:rsidR="00BA10FA" w:rsidRPr="005D6489">
        <w:rPr>
          <w:rFonts w:ascii="Arial" w:hAnsi="Arial" w:cs="Arial"/>
        </w:rPr>
        <w:t xml:space="preserve"> in both the circadian </w:t>
      </w:r>
      <w:r w:rsidR="00640866">
        <w:rPr>
          <w:rFonts w:ascii="Arial" w:hAnsi="Arial" w:cs="Arial"/>
        </w:rPr>
        <w:t xml:space="preserve">clock </w:t>
      </w:r>
      <w:r w:rsidR="00BA10FA" w:rsidRPr="005D6489">
        <w:rPr>
          <w:rFonts w:ascii="Arial" w:hAnsi="Arial" w:cs="Arial"/>
        </w:rPr>
        <w:t xml:space="preserve">and </w:t>
      </w:r>
      <w:r w:rsidR="00C2486D">
        <w:rPr>
          <w:rFonts w:ascii="Arial" w:hAnsi="Arial" w:cs="Arial"/>
        </w:rPr>
        <w:t>photoreceptor</w:t>
      </w:r>
      <w:r w:rsidR="00BA10FA" w:rsidRPr="005D6489">
        <w:rPr>
          <w:rFonts w:ascii="Arial" w:hAnsi="Arial" w:cs="Arial"/>
        </w:rPr>
        <w:t xml:space="preserve"> mutants</w:t>
      </w:r>
      <w:r w:rsidR="00B80E61">
        <w:rPr>
          <w:rFonts w:ascii="Arial" w:hAnsi="Arial" w:cs="Arial"/>
        </w:rPr>
        <w:t xml:space="preserve">. </w:t>
      </w:r>
      <w:r w:rsidR="00BA10FA" w:rsidRPr="005D6489">
        <w:rPr>
          <w:rFonts w:ascii="Arial" w:hAnsi="Arial" w:cs="Arial"/>
        </w:rPr>
        <w:t>Specifically, we observed (</w:t>
      </w:r>
      <w:proofErr w:type="spellStart"/>
      <w:r w:rsidR="00BA10FA" w:rsidRPr="005D6489">
        <w:rPr>
          <w:rFonts w:ascii="Arial" w:hAnsi="Arial" w:cs="Arial"/>
        </w:rPr>
        <w:t>i</w:t>
      </w:r>
      <w:proofErr w:type="spellEnd"/>
      <w:r w:rsidR="00BA10FA" w:rsidRPr="005D6489">
        <w:rPr>
          <w:rFonts w:ascii="Arial" w:hAnsi="Arial" w:cs="Arial"/>
        </w:rPr>
        <w:t xml:space="preserve">) elevated levels of temperature-responsive </w:t>
      </w:r>
      <w:r w:rsidR="00512A1F">
        <w:rPr>
          <w:rFonts w:ascii="Arial" w:hAnsi="Arial" w:cs="Arial"/>
        </w:rPr>
        <w:t xml:space="preserve">TF </w:t>
      </w:r>
      <w:r w:rsidR="00BA10FA" w:rsidRPr="005D6489">
        <w:rPr>
          <w:rFonts w:ascii="Arial" w:hAnsi="Arial" w:cs="Arial"/>
        </w:rPr>
        <w:t>genes and (ii) a time delay in the expression in most clusters</w:t>
      </w:r>
      <w:r w:rsidR="00DD6B9C" w:rsidRPr="005D6489">
        <w:rPr>
          <w:rFonts w:ascii="Arial" w:hAnsi="Arial" w:cs="Arial"/>
        </w:rPr>
        <w:t>.</w:t>
      </w:r>
      <w:r w:rsidR="00DD6B9C">
        <w:rPr>
          <w:rFonts w:ascii="Arial" w:hAnsi="Arial" w:cs="Arial"/>
        </w:rPr>
        <w:t xml:space="preserve"> These findings agree with the notion that </w:t>
      </w:r>
      <w:r w:rsidR="00E047BE">
        <w:rPr>
          <w:rFonts w:ascii="Arial" w:hAnsi="Arial" w:cs="Arial"/>
        </w:rPr>
        <w:t xml:space="preserve">phytochromes and cryptochromes provide light input for circadian entrainment </w:t>
      </w:r>
      <w:r w:rsidR="007A0DF8" w:rsidRPr="005D6489">
        <w:rPr>
          <w:rFonts w:ascii="Arial" w:hAnsi="Arial" w:cs="Arial"/>
        </w:rPr>
        <w:t> </w:t>
      </w:r>
      <w:r w:rsidR="007A0DF8">
        <w:rPr>
          <w:rFonts w:ascii="Arial" w:hAnsi="Arial" w:cs="Arial"/>
        </w:rPr>
        <w:fldChar w:fldCharType="begin"/>
      </w:r>
      <w:r w:rsidR="007A0DF8">
        <w:rPr>
          <w:rFonts w:ascii="Arial" w:hAnsi="Arial" w:cs="Arial"/>
        </w:rPr>
        <w:instrText xml:space="preserve"> ADDIN ZOTERO_ITEM CSL_CITATION {"citationID":"rmXXcx96","properties":{"formattedCitation":"(Devlin and Kay, 2000; Hall et al., 2002; Salom\\uc0\\u233{} et al., 2002; Somers et al., 1998)","plainCitation":"(Devlin and Kay, 2000; Hall et al., 2002; Salomé et al., 2002; Somers et al., 1998)","noteIndex":0},"citationItems":[{"id":3456,"uris":["http://zotero.org/users/2970095/items/63C86I85"],"uri":["http://zotero.org/users/2970095/items/63C86I85"],"itemData":{"id":3456,"type":"article-journal","abstract":"The circadian clock is entrained to the daily cycle of day and night by light signals at dawn and dusk. Plants make use of both the phytochrome (phy) and cryptochrome (cry) families of photoreceptors in gathering information about the light environment for setting the clock. We demonstrate that the phytochromes phyA, phyB, phyD, and phyE act as photoreceptors in red light input to the clock and that phyA and the cryptochromes cry1 and cry2 act as photoreceptors in blue light input. phyA and phyB act additively in red light input to the clock, whereas cry1 and cry2 act redundantly in blue light input. In addition to the action of cry1 as a photoreceptor that mediates blue light input into the clock, we demonstrate a requirement of cry1 for phyA signaling to the clock in both red and blue light. Importantly, Arabidopsis cry1 cry2 double mutants still show robust rhythmicity, indicating that cryptochromes do not form a part of the central circadian oscillator in plants as they do in mammals.","container-title":"The Plant Cell","DOI":"10.1105/tpc.12.12.2499","ISSN":"1040-4651, 1532-298X","issue":"12","language":"en","note":"publisher: American Society of Plant Biologists\nsection: Research Article\nPMID: 11148293","page":"2499-2509","source":"www.plantcell.org","title":"Cryptochromes Are Required for Phytochrome Signaling to the Circadian Clock but Not for Rhythmicity","volume":"12","author":[{"family":"Devlin","given":"Paul F."},{"family":"Kay","given":"Steve A."}],"issued":{"date-parts":[["2000",12,1]]}}},{"id":3449,"uris":["http://zotero.org/users/2970095/items/CQV6T5HU"],"uri":["http://zotero.org/users/2970095/items/CQV6T5HU"],"itemData":{"id":3449,"type":"article-journal","abstract":"Phytochrome B (phyB) is a major phytochrome active in light-grown plants. The circadian clock controls the expression of the PHYB gene. We have used the luciferase reporter gene (LUC) to monitor the rhythmic expression of PHYB in photoreceptor and clock-associated mutant backgrounds. Surprisingly, we found that PHYB and CAB expression have different free-running periods, indicating that separate circadian clocks control these genes. The effects of mutations show that the clocks share common components. This suggests that they are copies of the same clock mechanism in different locations, most likely in different cell layers. Furthermore, we show that phyB is required for a negative feedback loop that strongly antagonises the expression of PHYB. Compared to a system with only one clock, this regulatory complexity might allow the phase of peak expression for one clock-controlled gene to alter, relative to other genes or to changing environmental conditions.","container-title":"The Plant Journal","DOI":"10.1046/j.1365-313X.2002.01441.x","ISSN":"1365-313X","issue":"4","language":"en","note":"_eprint: https://onlinelibrary.wiley.com/doi/pdf/10.1046/j.1365-313X.2002.01441.x","page":"529-537","source":"Wiley Online Library","title":"Distinct regulation of CAB and PHYB gene expression by similar circadian clocks","volume":"32","author":[{"family":"Hall","given":"Anthony"},{"family":"Kozma</w:instrText>
      </w:r>
      <w:r w:rsidR="007A0DF8">
        <w:rPr>
          <w:rFonts w:ascii="Cambria Math" w:hAnsi="Cambria Math" w:cs="Cambria Math"/>
        </w:rPr>
        <w:instrText>‐</w:instrText>
      </w:r>
      <w:r w:rsidR="007A0DF8">
        <w:rPr>
          <w:rFonts w:ascii="Arial" w:hAnsi="Arial" w:cs="Arial"/>
        </w:rPr>
        <w:instrText xml:space="preserve">Bognár","given":"László"},{"family":"Bastow","given":"Ruth M."},{"family":"Nagy","given":"Ferenc"},{"family":"Millar","given":"Andrew J."}],"issued":{"date-parts":[["2002"]]}}},{"id":3452,"uris":["http://zotero.org/users/2970095/items/6D2MKVNB"],"uri":["http://zotero.org/users/2970095/items/6D2MKVNB"],"itemData":{"id":3452,"type":"article-journal","abstract":"Arabidopsis displays circadian rhythms in stomatal aperture, stomatal conductance, and CO2 assimilation, each of which peaks around the middle of the day. The rhythmic opening and closing of stomata confers a rhythm in sensitivity and resistance, respectively, to the toxic gas sulfur dioxide. Using this physiological assay as a basis for a mutant screen, we isolated mutants with defects in circadian timing. Here, we characterize one mutant, out of phase 1 (oop1), with the circadian phenotype of altered phase. That is, the timing of the peak (acrophase) of multiple circadian rhythms (leaf movement, CO2 assimilation, andLIGHT-HARVESTING CHLOROPHYLL a/b-BINDING PROTEINtranscription) is early with respect to wild type, although all circadian rhythms retain normal period length. This is the first such mutant to be characterized in Arabidopsis. oop1 also displays a strong photoperception defect in red light characteristic ofphytochrome B (phyB) mutants. Theoop1 mutation is a nonsense mutation ofPHYB that results in a truncated protein of 904 amino acids. The defect in circadian phasing is seen in seedlings entrained by a light-dark cycle but not in seedlings entrained by a temperature cycle. Thus, PHYB contributes light information critical for proper determination of circadian phase.","container-title":"Plant Physiology","DOI":"10.1104/pp.003418","ISSN":"0032-0889, 1532-2548","issue":"4","language":"en","note":"publisher: American Society of Plant Biologists\nsection: CELL BIOLOGY AND SIGNAL TRANSDUCTION\nPMID: 12177480","page":"1674-1685","source":"www.plantphysiol.org","title":"The out of phase 1 Mutant Defines a Role for PHYB in Circadian Phase Control in Arabidopsis","volume":"129","author":[{"family":"Salomé","given":"Patrice A."},{"family":"Michael","given":"Todd P."},{"family":"Kearns","given":"Ellen V."},{"family":"Fett-Neto","given":"Arthur G."},{"family":"Sharrock","given":"Robert A."},{"family":"McClung","given":"C. Robertson"}],"issued":{"date-parts":[["2002",8,1]]}}},{"id":3111,"uris":["http://zotero.org/users/2970095/items/KVQJ5K4D"],"uri":["http://zotero.org/users/2970095/items/KVQJ5K4D"],"itemData":{"id":3111,"type":"article-journal","abstract":"Circadian clocks are synchronized by environmental cues such as light. Photoreceptor-deficient Arabidopsis thaliana mutants were used to measure the effect of light fluence rate on circadian period in plants. Phytochrome B is the primary high-intensity red light photoreceptor for circadian control, and phytochrome A acts under low-intensity red light. Cryptochrome 1 and phytochrome A both act to transmit low-fluence blue light to the clock. Cryptochrome 1 mediates high-intensity blue light signals for period length control. The presence of cryptochromes in both plants and animals suggests that circadian input pathways have been conserved throughout evolution.","container-title":"Science","DOI":"10.1126/science.282.5393.1488","ISSN":"0036-8075, 1095-9203","issue":"5393","language":"en","note":"PMID: 9822379","page":"1488-1490","source":"science.sciencemag.org","title":"Phytochromes and Cryptochromes in the Entrainment of the Arabidopsis Circadian Clock","volume":"282","author":[{"family":"Somers","given":"David E."},{"family":"Devlin","given":"Paul F."},{"family":"Kay","given":"Steve A."}],"issued":{"date-parts":[["1998",11,20]]}}}],"schema":"https://github.com/citation-style-language/schema/raw/master/csl-citation.json"} </w:instrText>
      </w:r>
      <w:r w:rsidR="007A0DF8">
        <w:rPr>
          <w:rFonts w:ascii="Arial" w:hAnsi="Arial" w:cs="Arial"/>
        </w:rPr>
        <w:fldChar w:fldCharType="separate"/>
      </w:r>
      <w:r w:rsidR="007A0DF8" w:rsidRPr="008936B1">
        <w:rPr>
          <w:rFonts w:ascii="Arial" w:hAnsi="Arial" w:cs="Arial"/>
        </w:rPr>
        <w:t>(Devlin and Kay, 2000; Hall et al., 2002; Salomé et al., 2002; Somers et al., 1998)</w:t>
      </w:r>
      <w:r w:rsidR="007A0DF8">
        <w:rPr>
          <w:rFonts w:ascii="Arial" w:hAnsi="Arial" w:cs="Arial"/>
        </w:rPr>
        <w:fldChar w:fldCharType="end"/>
      </w:r>
      <w:r w:rsidR="007A0DF8">
        <w:rPr>
          <w:rFonts w:ascii="Arial" w:hAnsi="Arial" w:cs="Arial"/>
        </w:rPr>
        <w:t xml:space="preserve"> </w:t>
      </w:r>
      <w:r w:rsidR="00336BF5">
        <w:rPr>
          <w:rFonts w:ascii="Arial" w:hAnsi="Arial" w:cs="Arial"/>
        </w:rPr>
        <w:t xml:space="preserve">and are thus tightly linked to the circadian clock morning loop, constituted by CCA1, LHY and the PRRs. Phytochromes also act as </w:t>
      </w:r>
      <w:r w:rsidR="00336BF5" w:rsidRPr="008C6C8F">
        <w:rPr>
          <w:rFonts w:ascii="Arial" w:hAnsi="Arial" w:cs="Arial"/>
          <w:i/>
        </w:rPr>
        <w:t>bona fide</w:t>
      </w:r>
      <w:r w:rsidR="00336BF5">
        <w:rPr>
          <w:rFonts w:ascii="Arial" w:hAnsi="Arial" w:cs="Arial"/>
        </w:rPr>
        <w:t xml:space="preserve"> temperature sensors</w:t>
      </w:r>
      <w:r w:rsidR="007A0DF8">
        <w:rPr>
          <w:rFonts w:ascii="Arial" w:hAnsi="Arial" w:cs="Arial"/>
        </w:rPr>
        <w:t xml:space="preserve"> </w:t>
      </w:r>
      <w:r w:rsidR="007A0DF8">
        <w:rPr>
          <w:rFonts w:ascii="Arial" w:hAnsi="Arial" w:cs="Arial"/>
        </w:rPr>
        <w:fldChar w:fldCharType="begin"/>
      </w:r>
      <w:r w:rsidR="007A0DF8">
        <w:rPr>
          <w:rFonts w:ascii="Arial" w:hAnsi="Arial" w:cs="Arial"/>
        </w:rPr>
        <w:instrText xml:space="preserve"> ADDIN ZOTERO_ITEM CSL_CITATION {"citationID":"5MEIDsMe","properties":{"formattedCitation":"(Jung et al., 2016; Legris et al., 2016)","plainCitation":"(Jung et al., 2016; Legris et al., 2016)","noteIndex":0},"citationItems":[{"id":2615,"uris":["http://zotero.org/users/2970095/items/9PVHJFIV"],"uri":["http://zotero.org/users/2970095/items/9PVHJFIV"],"itemData":{"id":2615,"type":"article-journal","abstract":"Combining heat and light responses\nPlants integrate a variety of environmental signals to regulate growth patterns. Legris et al. and Jung et al. analyzed how the quality of light is interpreted through ambient temperature to regulate transcription and growth (see the Perspective by Halliday and Davis). The phytochromes responsible for reading the ratio of red to far-red light were also responsive to the small shifts in temperature that occur when dusk falls or when shade from neighboring plants cools the soil.\nScience, this issue p. 897, p. 886; see also p. 832\nPlants are responsive to temperature, and some species can distinguish differences of 1°C. In Arabidopsis, warmer temperature accelerates flowering and increases elongation growth (thermomorphogenesis). However, the mechanisms of temperature perception are largely unknown. We describe a major thermosensory role for the phytochromes (red light receptors) during the night. Phytochrome null plants display a constitutive warm-temperature response, and consistent with this, we show in this background that the warm-temperature transcriptome becomes derepressed at low temperatures. We found that phytochrome B (phyB) directly associates with the promoters of key target genes in a temperature-dependent manner. The rate of phyB inactivation is proportional to temperature in the dark, enabling phytochromes to function as thermal timers that integrate temperature information over the course of the night.\nRed-light photoreceptors also act as temperature sensors in plants.\nRed-light photoreceptors also act as temperature sensors in plants.","container-title":"Science","DOI":"10.1126/science.aaf6005","ISSN":"0036-8075, 1095-9203","issue":"6314","language":"en","note":"PMID: 27789797","page":"886-889","source":"science.sciencemag.org","title":"Phytochromes function as thermosensors in Arabidopsis","volume":"354","author":[{"family":"Jung","given":"Jae-Hoon"},{"family":"Domijan","given":"Mirela"},{"family":"Klose","given":"Cornelia"},{"family":"Biswas","given":"Surojit"},{"family":"Ezer","given":"Daphne"},{"family":"Gao","given":"Mingjun"},{"family":"Khattak","given":"Asif Khan"},{"family":"Box","given":"Mathew S."},{"family":"Charoensawan","given":"Varodom"},{"family":"Cortijo","given":"Sandra"},{"family":"Kumar","given":"Manoj"},{"family":"Grant","given":"Alastair"},{"family":"Locke","given":"James C. W."},{"family":"Schäfer","given":"Eberhard"},{"family":"Jaeger","given":"Katja E."},{"family":"Wigge","given":"Philip A."}],"issued":{"date-parts":[["2016",11,18]]}}},{"id":3005,"uris":["http://zotero.org/users/2970095/items/IWPH45K8"],"uri":["http://zotero.org/users/2970095/items/IWPH45K8"],"itemData":{"id":3005,"type":"article-journal","abstract":"Combining heat and light responses\nPlants integrate a variety of environmental signals to regulate growth patterns. Legris et al. and Jung et al. analyzed how the quality of light is interpreted through ambient temperature to regulate transcription and growth (see the Perspective by Halliday and Davis). The phytochromes responsible for reading the ratio of red to far-red light were also responsive to the small shifts in temperature that occur when dusk falls or when shade from neighboring plants cools the soil.\nScience, this issue p. 897, p. 886; see also p. 832\nAmbient temperature regulates many aspects of plant growth and development, but its sensors are unknown. Here, we demonstrate that the phytochrome B (phyB) photoreceptor participates in temperature perception through its temperature-dependent reversion from the active Pfr state to the inactive Pr state. Increased rates of thermal reversion upon exposing Arabidopsis seedlings to warm environments reduce both the abundance of the biologically active Pfr-Pfr dimer pool of phyB and the size of the associated nuclear bodies, even in daylight. Mathematical analysis of stem growth for seedlings expressing wild-type phyB or thermally stable variants under various combinations of light and temperature revealed that phyB is physiologically responsive to both signals. We therefore propose that in addition to its photoreceptor functions, phyB is a temperature sensor in plants.\nRed-light photoreceptors also act as temperature sensors in plants.\nRed-light photoreceptors also act as temperature sensors in plants.","container-title":"Science","DOI":"10.1126/science.aaf5656","ISSN":"0036-8075, 1095-9203","issue":"6314","language":"en","note":"PMID: 27789798","page":"897-900","source":"science.sciencemag.org","title":"Phytochrome B integrates light and temperature signals in Arabidopsis","volume":"354","author":[{"family":"Legris","given":"Martina"},{"family":"Klose","given":"Cornelia"},{"family":"Burgie","given":"E. Sethe"},{"family":"Rojas","given":"Cecilia Costigliolo Rojas"},{"family":"Neme","given":"Maximiliano"},{"family":"Hiltbrunner","given":"Andreas"},{"family":"Wigge","given":"Philip A."},{"family":"Schäfer","given":"Eberhard"},{"family":"Vierstra","given":"Richard D."},{"family":"Casal","given":"Jorge J."}],"issued":{"date-parts":[["2016",11,18]]}}}],"schema":"https://github.com/citation-style-language/schema/raw/master/csl-citation.json"} </w:instrText>
      </w:r>
      <w:r w:rsidR="007A0DF8">
        <w:rPr>
          <w:rFonts w:ascii="Arial" w:hAnsi="Arial" w:cs="Arial"/>
        </w:rPr>
        <w:fldChar w:fldCharType="separate"/>
      </w:r>
      <w:r w:rsidR="007A0DF8" w:rsidRPr="007A0DF8">
        <w:rPr>
          <w:rFonts w:ascii="Arial" w:hAnsi="Arial" w:cs="Arial"/>
        </w:rPr>
        <w:t>(Jung et al., 2016; Legris et al., 2016)</w:t>
      </w:r>
      <w:r w:rsidR="007A0DF8">
        <w:rPr>
          <w:rFonts w:ascii="Arial" w:hAnsi="Arial" w:cs="Arial"/>
        </w:rPr>
        <w:fldChar w:fldCharType="end"/>
      </w:r>
      <w:r w:rsidR="00512A1F">
        <w:rPr>
          <w:rFonts w:ascii="Arial" w:hAnsi="Arial" w:cs="Arial"/>
        </w:rPr>
        <w:t>, while cr</w:t>
      </w:r>
      <w:r w:rsidR="00336BF5">
        <w:rPr>
          <w:rFonts w:ascii="Arial" w:hAnsi="Arial" w:cs="Arial"/>
        </w:rPr>
        <w:t>yptochromes ca</w:t>
      </w:r>
      <w:r w:rsidR="007A0DF8">
        <w:rPr>
          <w:rFonts w:ascii="Arial" w:hAnsi="Arial" w:cs="Arial"/>
        </w:rPr>
        <w:t xml:space="preserve">n dampen temperature responses </w:t>
      </w:r>
      <w:r w:rsidR="007A0DF8">
        <w:rPr>
          <w:rFonts w:ascii="Arial" w:hAnsi="Arial" w:cs="Arial"/>
        </w:rPr>
        <w:fldChar w:fldCharType="begin"/>
      </w:r>
      <w:r w:rsidR="007A0DF8">
        <w:rPr>
          <w:rFonts w:ascii="Arial" w:hAnsi="Arial" w:cs="Arial"/>
        </w:rPr>
        <w:instrText xml:space="preserve"> ADDIN ZOTERO_ITEM CSL_CITATION {"citationID":"kgruuVEK","properties":{"formattedCitation":"(Ma et al., 2016)","plainCitation":"(Ma et al., 2016)","noteIndex":0},"citationItems":[{"id":2968,"uris":["http://zotero.org/users/2970095/items/WXJ8BHMV"],"uri":["http://zotero.org/users/2970095/items/WXJ8BHMV"],"itemData":{"id":2968,"type":"article-journal","abstract":"Cryptochrome 1 (CRY1) is a blue light receptor that mediates primarily blue-light inhibition of hypocotyl elongation. Very little is known of the mechanisms by which CRY1 affects growth. Blue light and temperature are two key environmental signals that profoundly affect plant growth and development, but how these two abiotic factors integrate remains largely unknown. Here, we show that blue light represses high temperature-mediated hypocotyl elongation via CRY1. Furthermore, CRY1 interacts directly with PHYTOCHROME-INTERACTING FACTOR 4 (PIF4) in a blue light-dependent manner to repress the transcription activity of PIF4. CRY1 represses auxin biosynthesis in response to elevated temperature through PIF4. Our results indicate that CRY1 signal by modulating PIF4 activity, and that multiple plant photoreceptors [CRY1 and PHYTOCHROME B (PHYB)] and ambient temperature can mediate morphological responses through the same signaling component—PIF4.","container-title":"Proceedings of the National Academy of Sciences","DOI":"10.1073/pnas.1511437113","ISSN":"0027-8424, 1091-6490","issue":"1","journalAbbreviation":"PNAS","language":"en","note":"PMID: 26699514","page":"224-229","source":"www.pnas.org","title":"Cryptochrome 1 interacts with PIF4 to regulate high temperature-mediated hypocotyl elongation in response to blue light","volume":"113","author":[{"family":"Ma","given":"Dingbang"},{"family":"Li","given":"Xu"},{"family":"Guo","given":"Yongxia"},{"family":"Chu","given":"Jingfang"},{"family":"Fang","given":"Shuang"},{"family":"Yan","given":"Cunyu"},{"family":"Noel","given":"Joseph P."},{"family":"Liu","given":"Hongtao"}],"issued":{"date-parts":[["2016",1,5]]}}}],"schema":"https://github.com/citation-style-language/schema/raw/master/csl-citation.json"} </w:instrText>
      </w:r>
      <w:r w:rsidR="007A0DF8">
        <w:rPr>
          <w:rFonts w:ascii="Arial" w:hAnsi="Arial" w:cs="Arial"/>
        </w:rPr>
        <w:fldChar w:fldCharType="separate"/>
      </w:r>
      <w:r w:rsidR="007A0DF8" w:rsidRPr="007A0DF8">
        <w:rPr>
          <w:rFonts w:ascii="Arial" w:hAnsi="Arial" w:cs="Arial"/>
        </w:rPr>
        <w:t>(Ma et al., 2016)</w:t>
      </w:r>
      <w:r w:rsidR="007A0DF8">
        <w:rPr>
          <w:rFonts w:ascii="Arial" w:hAnsi="Arial" w:cs="Arial"/>
        </w:rPr>
        <w:fldChar w:fldCharType="end"/>
      </w:r>
      <w:r w:rsidR="007A0DF8">
        <w:rPr>
          <w:rFonts w:ascii="Arial" w:hAnsi="Arial" w:cs="Arial"/>
        </w:rPr>
        <w:t xml:space="preserve"> </w:t>
      </w:r>
      <w:r w:rsidR="00336BF5">
        <w:rPr>
          <w:rFonts w:ascii="Arial" w:hAnsi="Arial" w:cs="Arial"/>
        </w:rPr>
        <w:t xml:space="preserve">and both PRR9 and PRR7 are essential for temperature entrainment of the clock </w:t>
      </w:r>
      <w:r w:rsidR="007A0DF8">
        <w:rPr>
          <w:rFonts w:ascii="Arial" w:hAnsi="Arial" w:cs="Arial"/>
        </w:rPr>
        <w:fldChar w:fldCharType="begin"/>
      </w:r>
      <w:r w:rsidR="006942CB">
        <w:rPr>
          <w:rFonts w:ascii="Arial" w:hAnsi="Arial" w:cs="Arial"/>
        </w:rPr>
        <w:instrText xml:space="preserve"> ADDIN ZOTERO_ITEM CSL_CITATION {"citationID":"ayuN4h1v","properties":{"formattedCitation":"(Patrice A. Salom\\uc0\\u233{} and McClung, 2005)","plainCitation":"(Patrice A. Salomé and McClung, 2005)","noteIndex":0},"citationItems":[{"id":509,"uris":["http://zotero.org/users/2970095/items/2AG9V2KI"],"uri":["http://zotero.org/users/2970095/items/2AG9V2KI"],"itemData":{"id":509,"type":"article-journal","abstract":"Environmental time cues, such as photocycles (light/dark) and thermocycles (warm/cold), synchronize (entrain) endogenous biological clocks to local time. Although much is known about entrainment of the Arabidopsis thaliana clock to photocycles, the determinants of thermoperception and entrainment to thermocycles are not known. The Arabidopsis PSEUDO-RESPONSE REGULATOR (PRR) genes, including the clock component TIMING OF CAB EXPRESSION 1/PRR1, are related to bacterial, fungal, and plant response regulators but lack the conserved Asp that is normally phosphorylated by an upstream sensory kinase. Here, we show that two PRR family members, PRR7 and PRR9, are partially redundant; single prr7-3 or prr9-1 mutants exhibit modest period lengthening, but the prr7-3 prr9-1 double mutant shows dramatic and more than additive period lengthening in the light and becomes arrhythmic in constant darkness. The prr7-3 prr9-1 mutant fails both to maintain an oscillation after entrainment to thermocycles and to reset its clock in response to cold pulses and thus represents an important mutant strongly affected in temperature entrainment in higher plants. We conclude that PRR7 and PRR9 are critical components of a temperature-sensitive circadian system. PRR7 and PRR9 could function in temperature and light input pathways or they could represent elements of an oscillator necessary for the clock to respond to temperature signals.","container-title":"The Plant Cell","DOI":"10.1105/tpc.104.029504","ISSN":", 1532-298X","issue":"3","journalAbbreviation":"Plant Cell","language":"en","note":"PMID: 15705949","page":"791-803","source":"www.plantcell.org","title":"PSEUDO-RESPONSE REGULATOR 7 and 9 Are Partially Redundant Genes Essential for the Temperature Responsiveness of the Arabidopsis Circadian Clock","volume":"17","author":[{"family":"Salomé","given":"Patrice A."},{"family":"McClung","given":"C. Robertson"}],"issued":{"date-parts":[["2005",1,3]]}}}],"schema":"https://github.com/citation-style-language/schema/raw/master/csl-citation.json"} </w:instrText>
      </w:r>
      <w:r w:rsidR="007A0DF8">
        <w:rPr>
          <w:rFonts w:ascii="Arial" w:hAnsi="Arial" w:cs="Arial"/>
        </w:rPr>
        <w:fldChar w:fldCharType="separate"/>
      </w:r>
      <w:r w:rsidR="006942CB" w:rsidRPr="006942CB">
        <w:rPr>
          <w:rFonts w:ascii="Arial" w:hAnsi="Arial" w:cs="Arial"/>
        </w:rPr>
        <w:t>(Salomé and McClung, 2005)</w:t>
      </w:r>
      <w:r w:rsidR="007A0DF8">
        <w:rPr>
          <w:rFonts w:ascii="Arial" w:hAnsi="Arial" w:cs="Arial"/>
        </w:rPr>
        <w:fldChar w:fldCharType="end"/>
      </w:r>
      <w:r w:rsidR="007A0DF8">
        <w:rPr>
          <w:rFonts w:ascii="Arial" w:hAnsi="Arial" w:cs="Arial"/>
        </w:rPr>
        <w:t>.</w:t>
      </w:r>
      <w:r w:rsidR="00512A1F">
        <w:rPr>
          <w:rFonts w:ascii="Arial" w:hAnsi="Arial" w:cs="Arial"/>
        </w:rPr>
        <w:t xml:space="preserve"> </w:t>
      </w:r>
    </w:p>
    <w:p w14:paraId="6700C01B" w14:textId="45D961BF" w:rsidR="009C304E" w:rsidRPr="007A0DF8" w:rsidRDefault="00512A1F" w:rsidP="005D6489">
      <w:pPr>
        <w:pStyle w:val="FirstParagraph"/>
        <w:spacing w:line="360" w:lineRule="auto"/>
        <w:rPr>
          <w:rFonts w:ascii="Arial" w:hAnsi="Arial" w:cs="Arial"/>
          <w:lang w:val="en-GB"/>
        </w:rPr>
      </w:pPr>
      <w:r>
        <w:rPr>
          <w:rFonts w:ascii="Arial" w:hAnsi="Arial" w:cs="Arial"/>
        </w:rPr>
        <w:t>Whereas</w:t>
      </w:r>
      <w:r w:rsidR="00862CB1">
        <w:rPr>
          <w:rFonts w:ascii="Arial" w:hAnsi="Arial" w:cs="Arial"/>
        </w:rPr>
        <w:t xml:space="preserve"> many </w:t>
      </w:r>
      <w:r>
        <w:rPr>
          <w:rFonts w:ascii="Arial" w:hAnsi="Arial" w:cs="Arial"/>
        </w:rPr>
        <w:t xml:space="preserve">late </w:t>
      </w:r>
      <w:proofErr w:type="gramStart"/>
      <w:r w:rsidR="00862CB1">
        <w:rPr>
          <w:rFonts w:ascii="Arial" w:hAnsi="Arial" w:cs="Arial"/>
        </w:rPr>
        <w:t>dawn</w:t>
      </w:r>
      <w:proofErr w:type="gramEnd"/>
      <w:r w:rsidR="00862CB1">
        <w:rPr>
          <w:rFonts w:ascii="Arial" w:hAnsi="Arial" w:cs="Arial"/>
        </w:rPr>
        <w:t xml:space="preserve"> burst</w:t>
      </w:r>
      <w:r>
        <w:rPr>
          <w:rFonts w:ascii="Arial" w:hAnsi="Arial" w:cs="Arial"/>
        </w:rPr>
        <w:t xml:space="preserve"> TF genes show abolished or delayed induction in </w:t>
      </w:r>
      <w:proofErr w:type="spellStart"/>
      <w:r w:rsidRPr="008C6C8F">
        <w:rPr>
          <w:rFonts w:ascii="Arial" w:hAnsi="Arial" w:cs="Arial"/>
          <w:i/>
        </w:rPr>
        <w:t>phyA</w:t>
      </w:r>
      <w:proofErr w:type="spellEnd"/>
      <w:r w:rsidRPr="008C6C8F">
        <w:rPr>
          <w:rFonts w:ascii="Arial" w:hAnsi="Arial" w:cs="Arial"/>
          <w:i/>
        </w:rPr>
        <w:t xml:space="preserve"> </w:t>
      </w:r>
      <w:proofErr w:type="spellStart"/>
      <w:r w:rsidRPr="008C6C8F">
        <w:rPr>
          <w:rFonts w:ascii="Arial" w:hAnsi="Arial" w:cs="Arial"/>
          <w:i/>
        </w:rPr>
        <w:t>phyB</w:t>
      </w:r>
      <w:proofErr w:type="spellEnd"/>
      <w:r w:rsidRPr="008C6C8F">
        <w:rPr>
          <w:rFonts w:ascii="Arial" w:hAnsi="Arial" w:cs="Arial"/>
          <w:i/>
        </w:rPr>
        <w:t xml:space="preserve"> cry1 cry2</w:t>
      </w:r>
      <w:r>
        <w:rPr>
          <w:rFonts w:ascii="Arial" w:hAnsi="Arial" w:cs="Arial"/>
        </w:rPr>
        <w:t xml:space="preserve"> and </w:t>
      </w:r>
      <w:r w:rsidRPr="008C6C8F">
        <w:rPr>
          <w:rFonts w:ascii="Arial" w:hAnsi="Arial" w:cs="Arial"/>
          <w:i/>
        </w:rPr>
        <w:t>prr5 prr7 prr9</w:t>
      </w:r>
      <w:r>
        <w:rPr>
          <w:rFonts w:ascii="Arial" w:hAnsi="Arial" w:cs="Arial"/>
        </w:rPr>
        <w:t xml:space="preserve">, early dawn burst genes are either unaffected or display higher expression in these genetic backgrounds. Phytochromes, cryptochromes and PRRs have all been found to act as transcriptional (co-)repressors </w:t>
      </w:r>
      <w:r w:rsidR="007A0DF8">
        <w:rPr>
          <w:rFonts w:ascii="Arial" w:hAnsi="Arial" w:cs="Arial"/>
        </w:rPr>
        <w:fldChar w:fldCharType="begin"/>
      </w:r>
      <w:r w:rsidR="007A0DF8">
        <w:rPr>
          <w:rFonts w:ascii="Arial" w:hAnsi="Arial" w:cs="Arial"/>
        </w:rPr>
        <w:instrText xml:space="preserve"> ADDIN ZOTERO_ITEM CSL_CITATION {"citationID":"GAFl86op","properties":{"formattedCitation":"(Chen et al., 2014; Jung et al., 2016; Liu et al., 2016; Pedmale et al., 2016)","plainCitation":"(Chen et al., 2014; Jung et al., 2016; Liu et al., 2016; Pedmale et al., 2016)","noteIndex":0},"citationItems":[{"id":3404,"uris":["http://zotero.org/users/2970095/items/AURNPY5I"],"uri":["http://zotero.org/users/2970095/items/AURNPY5I"],"itemData":{"id":3404,"type":"article-journal","abstract":"The far-red light (FR) photoreceptor phytochrome A (phyA) contains no DNA binding domain but associates with the CHALCONE SYNTHASE promoter through its chaperone FAR-RED ELONGATED HYPOCOTYL1 and transcription factors. Here, we performed a genome-wide identification of phyA targets using a combination of phyA chromatin immunoprecipitation and RNA sequencing methods in Arabidopsis thaliana. Our results indicate that phyA signaling widely affects gene promoters involved in multiple FR-modulated aspects of plant growth. Furthermore, we observed an enrichment of hormone- and stress-responsive elements in the phyA direct target promoters, indicating that a much broader than expected range of transcription factors is involved in the phyA signaling pathway. To verify our hypothesis that phyA regulates genes other than light-responsive ones through the interaction with corresponding transcription factors, we examined the action of phyA on one of its direct target genes, NAC019, which encodes an abscisic acid–dependent transcription factor. The phyA signaling cascade not only targets two G-boxes on the NAC019 promoter for subsequent transcriptional regulation but also positively coordinates with the abscisic acid signaling response for root elongation inhibition under FR. Our study provides new insight into how plants rapidly fine-tune their growth strategy upon changes in the light environment by escorting photoreceptors to the promoters of hormone- or stress-responsive genes for individualized modulation.","container-title":"The Plant Cell","DOI":"10.1105/tpc.114.123950","ISSN":"1040-4651, 1532-298X","issue":"5","language":"en","note":"publisher: American Society of Plant Biologists\nsection: Research Article\nPMID: 24794133","page":"1949-1966","source":"www.plantcell.org","title":"Arabidopsis Phytochrome A Directly Targets Numerous Promoters for Individualized Modulation of Genes in a Wide Range of Pathways","volume":"26","author":[{"family":"Chen","given":"Fang"},{"family":"Li","given":"Bosheng"},{"family":"Li","given":"Gang"},{"family":"Charron","given":"Jean-Benoit"},{"family":"Dai","given":"Mingqiu"},{"family":"Shi","given":"Xiarong"},{"family":"Deng","given":"Xing Wang"}],"issued":{"date-parts":[["2014",5,1]]}}},{"id":2615,"uris":["http://zotero.org/users/2970095/items/9PVHJFIV"],"uri":["http://zotero.org/users/2970095/items/9PVHJFIV"],"itemData":{"id":2615,"type":"article-journal","abstract":"Combining heat and light responses\nPlants integrate a variety of environmental signals to regulate growth patterns. Legris et al. and Jung et al. analyzed how the quality of light is interpreted through ambient temperature to regulate transcription and growth (see the Perspective by Halliday and Davis). The phytochromes responsible for reading the ratio of red to far-red light were also responsive to the small shifts in temperature that occur when dusk falls or when shade from neighboring plants cools the soil.\nScience, this issue p. 897, p. 886; see also p. 832\nPlants are responsive to temperature, and some species can distinguish differences of 1°C. In Arabidopsis, warmer temperature accelerates flowering and increases elongation growth (thermomorphogenesis). However, the mechanisms of temperature perception are largely unknown. We describe a major thermosensory role for the phytochromes (red light receptors) during the night. Phytochrome null plants display a constitutive warm-temperature response, and consistent with this, we show in this background that the warm-temperature transcriptome becomes derepressed at low temperatures. We found that phytochrome B (phyB) directly associates with the promoters of key target genes in a temperature-dependent manner. The rate of phyB inactivation is proportional to temperature in the dark, enabling phytochromes to function as thermal timers that integrate temperature information over the course of the night.\nRed-light photoreceptors also act as temperature sensors in plants.\nRed-light photoreceptors also act as temperature sensors in plants.","container-title":"Science","DOI":"10.1126/science.aaf6005","ISSN":"0036-8075, 1095-9203","issue":"6314","language":"en","note":"PMID: 27789797","page":"886-889","source":"science.sciencemag.org","title":"Phytochromes function as thermosensors in Arabidopsis","volume":"354","author":[{"family":"Jung","given":"Jae-Hoon"},{"family":"Domijan","given":"Mirela"},{"family":"Klose","given":"Cornelia"},{"family":"Biswas","given":"Surojit"},{"family":"Ezer","given":"Daphne"},{"family":"Gao","given":"Mingjun"},{"family":"Khattak","given":"Asif Khan"},{"family":"Box","given":"Mathew S."},{"family":"Charoensawan","given":"Varodom"},{"family":"Cortijo","given":"Sandra"},{"family":"Kumar","given":"Manoj"},{"family":"Grant","given":"Alastair"},{"family":"Locke","given":"James C. W."},{"family":"Schäfer","given":"Eberhard"},{"family":"Jaeger","given":"Katja E."},{"family":"Wigge","given":"Philip A."}],"issued":{"date-parts":[["2016",11,18]]}}},{"id":476,"uris":["http://zotero.org/users/2970095/items/3WW2R6RG"],"uri":["http://zotero.org/users/2970095/items/3WW2R6RG"],"itemData":{"id":476,"type":"article-journal","abstract":"PSEUDO-RESPONSE REGULATORs (PRRs) play overlapping and distinct roles in maintaining circadian rhythms and regulating diverse biological processes, including the photoperiodic control of flowering, growth, and abiotic stress responses. PRRs act as transcriptional repressors and associate with chromatin via their conserved C-terminal CCT (CONSTANS, CONSTANS-like, and TIMING OF CAB EXPRESSION 1 [TOC1/PRR1]) domains by a still-poorly understood mechanism. Here, we identified genome-wide targets of PRR9 using chromatin immunoprecipitation followed by high-throughput sequencing (ChIP-seq) and compared them with PRR7, PRR5, and TOC1/PRR1 ChIP-seq data. We found that PRR binding sites are located within genomic regions of low nucleosome occupancy and high DNase I hypersensitivity. Moreover, conserved noncoding regions among Brassicaceae species are enriched around PRR binding sites, indicating that PRRs associate with functionally relevant cis-regulatory regions. The PRRs shared a significant number of binding regions, and our results indicate that they coordinately restrict the expression of target genes to around dawn. A G-box-like motif was overrepresented at PRR binding regions, and we showed that this motif is necessary for mediating transcriptional regulation of CIRCADIAN CLOCK ASSOCIATED 1 and PRR9 by the PRRs. Our results further our understanding of how PRRs target specific promoters and provide an extensive resource for studying circadian regulatory networks in plants.","container-title":"Plant Physiology","DOI":"10.1104/pp.15.01562","ISSN":", 1532-2548","issue":"1","journalAbbreviation":"Plant Physiol.","language":"en","note":"PMID: 26586835","page":"528-539","source":"www.plantphysiol.org","title":"A G-Box-Like Motif Is Necessary for Transcriptional Regulation by Circadian Pseudo-Response Regulators in Arabidopsis","volume":"170","author":[{"family":"Liu","given":"Tiffany L."},{"family":"Newton","given":"Linsey"},{"family":"Liu","given":"Ming-Jung"},{"family":"Shiu","given":"Shin-Han"},{"family":"Farré","given":"Eva M."}],"issued":{"date-parts":[["2016",1,1]]}}},{"id":549,"uris":["http://zotero.org/users/2970095/items/TMIKETUD"],"uri":["http://zotero.org/users/2970095/items/TMIKETUD"],"itemData":{"id":549,"type":"article-journal","abstract":"Summary\nSun-loving plants have the ability to detect and avoid shading through sensing of both blue and red light wavelengths. Higher plant cryptochromes (CRYs) control how plants modulate growth in response to changes in blue light. For growth under a canopy, where blue light is diminished, CRY1 and CRY2 perceive this change and respond by directly contacting two bHLH transcription factors, PIF4 and PIF5. These factors are also known to be controlled by phytochromes, the red/far-red photoreceptors; however, transcriptome analyses indicate that the gene regulatory programs induced by the different light wavelengths are distinct. Our results indicate that CRYs signal by modulating PIF activity genome wide and that these factors integrate binding of different plant photoreceptors to facilitate growth changes under different light conditions.","container-title":"Cell","DOI":"10.1016/j.cell.2015.12.018","ISSN":"0092-8674","issue":"1–2","journalAbbreviation":"Cell","page":"233-245","source":"ScienceDirect","title":"Cryptochromes Interact Directly with PIFs to Control Plant Growth in Limiting Blue Light","volume":"164","author":[{"family":"Pedmale","given":"Ullas V."},{"family":"Huang","given":"Shao-shan Carol"},{"family":"Zander","given":"Mark"},{"family":"Cole","given":"Benjamin J."},{"family":"Hetzel","given":"Jonathan"},{"family":"Ljung","given":"Karin"},{"family":"Reis","given":"Pedro A. B."},{"family":"Sridevi","given":"Priya"},{"family":"Nito","given":"Kazumasa"},{"family":"Nery","given":"Joseph R."},{"family":"Ecker","given":"Joseph R."},{"family":"Chory","given":"Joanne"}],"issued":{"date-parts":[["2016",1,14]]}}}],"schema":"https://github.com/citation-style-language/schema/raw/master/csl-citation.json"} </w:instrText>
      </w:r>
      <w:r w:rsidR="007A0DF8">
        <w:rPr>
          <w:rFonts w:ascii="Arial" w:hAnsi="Arial" w:cs="Arial"/>
        </w:rPr>
        <w:fldChar w:fldCharType="separate"/>
      </w:r>
      <w:r w:rsidR="007A0DF8" w:rsidRPr="007A0DF8">
        <w:rPr>
          <w:rFonts w:ascii="Arial" w:hAnsi="Arial" w:cs="Arial"/>
        </w:rPr>
        <w:t>(Chen et al., 2014; Jung et al., 2016; Liu et al., 2016; Pedmale et al., 2016)</w:t>
      </w:r>
      <w:r w:rsidR="007A0DF8">
        <w:rPr>
          <w:rFonts w:ascii="Arial" w:hAnsi="Arial" w:cs="Arial"/>
        </w:rPr>
        <w:fldChar w:fldCharType="end"/>
      </w:r>
      <w:r w:rsidR="009004D4">
        <w:rPr>
          <w:rFonts w:ascii="Arial" w:hAnsi="Arial" w:cs="Arial"/>
        </w:rPr>
        <w:t xml:space="preserve">, which agrees with their direct targets being upregulated in the respective mutants. </w:t>
      </w:r>
      <w:r w:rsidR="001E1D93">
        <w:rPr>
          <w:rFonts w:ascii="Arial" w:hAnsi="Arial" w:cs="Arial"/>
        </w:rPr>
        <w:t xml:space="preserve">They may </w:t>
      </w:r>
      <w:r w:rsidR="00BE39BF">
        <w:rPr>
          <w:rFonts w:ascii="Arial" w:hAnsi="Arial" w:cs="Arial"/>
        </w:rPr>
        <w:t xml:space="preserve">hence </w:t>
      </w:r>
      <w:r w:rsidR="001E1D93">
        <w:rPr>
          <w:rFonts w:ascii="Arial" w:hAnsi="Arial" w:cs="Arial"/>
        </w:rPr>
        <w:t>regulate late dawn bursts indirectly</w:t>
      </w:r>
      <w:r w:rsidR="009004D4">
        <w:rPr>
          <w:rFonts w:ascii="Arial" w:hAnsi="Arial" w:cs="Arial"/>
        </w:rPr>
        <w:t xml:space="preserve">, by repressing early expressed negative regulators or </w:t>
      </w:r>
      <w:r w:rsidR="001E1D93">
        <w:rPr>
          <w:rFonts w:ascii="Arial" w:hAnsi="Arial" w:cs="Arial"/>
        </w:rPr>
        <w:t>through</w:t>
      </w:r>
      <w:r w:rsidR="009004D4">
        <w:rPr>
          <w:rFonts w:ascii="Arial" w:hAnsi="Arial" w:cs="Arial"/>
        </w:rPr>
        <w:t xml:space="preserve"> post-transcriptional mechanisms. Phytochromes and cryptochromes </w:t>
      </w:r>
      <w:r w:rsidR="000D2B8B">
        <w:rPr>
          <w:rFonts w:ascii="Arial" w:hAnsi="Arial" w:cs="Arial"/>
        </w:rPr>
        <w:t xml:space="preserve">in particular </w:t>
      </w:r>
      <w:r w:rsidR="009004D4">
        <w:rPr>
          <w:rFonts w:ascii="Arial" w:hAnsi="Arial" w:cs="Arial"/>
        </w:rPr>
        <w:t xml:space="preserve">control many TFs </w:t>
      </w:r>
      <w:r w:rsidR="000D2B8B">
        <w:rPr>
          <w:rFonts w:ascii="Arial" w:hAnsi="Arial" w:cs="Arial"/>
        </w:rPr>
        <w:t xml:space="preserve">post-translationally </w:t>
      </w:r>
      <w:r w:rsidR="009004D4">
        <w:rPr>
          <w:rFonts w:ascii="Arial" w:hAnsi="Arial" w:cs="Arial"/>
        </w:rPr>
        <w:t xml:space="preserve">through inhibition of the </w:t>
      </w:r>
      <w:r w:rsidR="009004D4" w:rsidRPr="005D6489">
        <w:rPr>
          <w:rFonts w:ascii="Arial" w:hAnsi="Arial" w:cs="Arial"/>
        </w:rPr>
        <w:t xml:space="preserve">CONSTITUTIVELY PHOTOMORPHOGENIC 1 (COP1)/SUPPRESSOR OF PHYA-101 (SPA) </w:t>
      </w:r>
      <w:r w:rsidR="009004D4">
        <w:rPr>
          <w:rFonts w:ascii="Arial" w:hAnsi="Arial" w:cs="Arial"/>
        </w:rPr>
        <w:t xml:space="preserve">complex, a key light </w:t>
      </w:r>
      <w:proofErr w:type="spellStart"/>
      <w:r w:rsidR="009004D4">
        <w:rPr>
          <w:rFonts w:ascii="Arial" w:hAnsi="Arial" w:cs="Arial"/>
        </w:rPr>
        <w:t>signa</w:t>
      </w:r>
      <w:r w:rsidR="00822729">
        <w:rPr>
          <w:rFonts w:ascii="Arial" w:hAnsi="Arial" w:cs="Arial"/>
        </w:rPr>
        <w:t>l</w:t>
      </w:r>
      <w:r w:rsidR="009004D4">
        <w:rPr>
          <w:rFonts w:ascii="Arial" w:hAnsi="Arial" w:cs="Arial"/>
        </w:rPr>
        <w:t>ling</w:t>
      </w:r>
      <w:proofErr w:type="spellEnd"/>
      <w:r w:rsidR="009004D4">
        <w:rPr>
          <w:rFonts w:ascii="Arial" w:hAnsi="Arial" w:cs="Arial"/>
        </w:rPr>
        <w:t xml:space="preserve"> repressor that promotes degradation of many </w:t>
      </w:r>
      <w:r w:rsidR="00AB3708">
        <w:rPr>
          <w:rFonts w:ascii="Arial" w:hAnsi="Arial" w:cs="Arial"/>
        </w:rPr>
        <w:t xml:space="preserve">TFs involved in </w:t>
      </w:r>
      <w:r w:rsidR="001E1D93">
        <w:rPr>
          <w:rFonts w:ascii="Arial" w:hAnsi="Arial" w:cs="Arial"/>
        </w:rPr>
        <w:t>photomorphogenesis</w:t>
      </w:r>
      <w:r w:rsidR="009004D4">
        <w:rPr>
          <w:rFonts w:ascii="Arial" w:hAnsi="Arial" w:cs="Arial"/>
        </w:rPr>
        <w:t xml:space="preserve"> </w:t>
      </w:r>
      <w:r w:rsidR="007A0DF8">
        <w:rPr>
          <w:rFonts w:ascii="Arial" w:hAnsi="Arial" w:cs="Arial"/>
        </w:rPr>
        <w:fldChar w:fldCharType="begin"/>
      </w:r>
      <w:r w:rsidR="007A0DF8">
        <w:rPr>
          <w:rFonts w:ascii="Arial" w:hAnsi="Arial" w:cs="Arial"/>
        </w:rPr>
        <w:instrText xml:space="preserve"> ADDIN ZOTERO_ITEM CSL_CITATION {"citationID":"7vF0eP39","properties":{"formattedCitation":"(Hoecker, 2017; Podolec and Ulm, 2018)","plainCitation":"(Hoecker, 2017; Podolec and Ulm, 2018)","noteIndex":0},"citationItems":[{"id":3532,"uris":["http://zotero.org/users/2970095/items/TMKWH9GX"],"uri":["http://zotero.org/users/2970095/items/TMKWH9GX"],"itemData":{"id":3532,"type":"article-journal","abstract":"Light is a critical signal to integrate plant growth and development with the environment. Downstream of photoreceptors, the E3 ubiquitin ligase COP1/SPA is a key repressor of photomorphogenesis which targets many positive regulators of light signaling, mainly transcription factors, for degradation in darkness. In light-grown plants COP1/SPA activity is repressed, allowing light responses to occur. This review provides an overview on our current knowledge on COP1/SPA repressor function, focusing in particular on the roles of the respective protein domains and the mechanisms of light-induced inactivation of COP1/SPA. Moreover, we summarize how COP1 activity is regulated by other interacting proteins, such as a SUMO E3 ligase and Phytochrome-Interacting Factors (PIFs), as well as by hormones. At last, several novel functions of COP1 that were recently revealed are included.","collection-title":"37 Physiology and metabolism 2017","container-title":"Current Opinion in Plant Biology","DOI":"10.1016/j.pbi.2017.03.015","ISSN":"1369-5266","journalAbbreviation":"Current Opinion in Plant Biology","language":"en","page":"63-69","source":"ScienceDirect","title":"The activities of the E3 ubiquitin ligase COP1/SPA, a key repressor in light signaling","volume":"37","author":[{"family":"Hoecker","given":"Ute"}],"issued":{"date-parts":[["2017",6,1]]}}},{"id":2718,"uris":["http://zotero.org/users/2970095/items/2LU82DSB"],"uri":["http://zotero.org/users/2970095/items/2LU82DSB"],"itemData":{"id":2718,"type":"article-journal","abstract":"Plants have evolved specific photoreceptors that capture informational cues from sunlight. The phytochrome, cryptochrome, and UVR8 photoreceptors perceive red/far-red, blue/UV-A, and UV-B light, respectively, and control overlapping photomorphogenic responses important for plant growth and development. A major repressor of such photomorphogenic responses is the E3 ubiquitin ligase formed by CONSTITUTIVELY PHOTOMORPHOGENIC 1 (COP1) and SUPPRESSOR OF PHYA-105 (SPA) proteins, which acts by regulating the stability of photomorphogenesis-promoting transcription factors. The direct interaction of light-activated photoreceptors with the COP1/SPA complex represses its activity via nuclear exclusion of COP1, disruption of the COP1-SPA interaction, and/or SPA protein degradation. This process enables plants to integrate different light signals at the level of the COP1/SPA complex to enact appropriate photomorphogenic responses according to the light environment.","collection-title":"Cell signalling and gene regulation","container-title":"Current Opinion in Plant Biology","DOI":"10.1016/j.pbi.2018.04.018","ISSN":"1369-5266","journalAbbreviation":"Current Opinion in Plant Biology","page":"18-25","source":"ScienceDirect","title":"Photoreceptor-mediated regulation of the COP1/SPA E3 ubiquitin ligase","volume":"45","author":[{"family":"Podolec","given":"Roman"},{"family":"Ulm","given":"Roman"}],"issued":{"date-parts":[["2018",10,1]]}}}],"schema":"https://github.com/citation-style-language/schema/raw/master/csl-citation.json"} </w:instrText>
      </w:r>
      <w:r w:rsidR="007A0DF8">
        <w:rPr>
          <w:rFonts w:ascii="Arial" w:hAnsi="Arial" w:cs="Arial"/>
        </w:rPr>
        <w:fldChar w:fldCharType="separate"/>
      </w:r>
      <w:r w:rsidR="007A0DF8" w:rsidRPr="007A0DF8">
        <w:rPr>
          <w:rFonts w:ascii="Arial" w:hAnsi="Arial" w:cs="Arial"/>
        </w:rPr>
        <w:t>(Hoecker, 2017; Podolec and Ulm, 2018)</w:t>
      </w:r>
      <w:r w:rsidR="007A0DF8">
        <w:rPr>
          <w:rFonts w:ascii="Arial" w:hAnsi="Arial" w:cs="Arial"/>
        </w:rPr>
        <w:fldChar w:fldCharType="end"/>
      </w:r>
      <w:r w:rsidR="009004D4">
        <w:rPr>
          <w:rFonts w:ascii="Arial" w:hAnsi="Arial" w:cs="Arial"/>
        </w:rPr>
        <w:t xml:space="preserve">. </w:t>
      </w:r>
      <w:r w:rsidR="00AB3708">
        <w:rPr>
          <w:rFonts w:ascii="Arial" w:hAnsi="Arial" w:cs="Arial"/>
        </w:rPr>
        <w:t xml:space="preserve">This leaves us with the question </w:t>
      </w:r>
      <w:r w:rsidR="00034610">
        <w:rPr>
          <w:rFonts w:ascii="Arial" w:hAnsi="Arial" w:cs="Arial"/>
        </w:rPr>
        <w:t xml:space="preserve">of </w:t>
      </w:r>
      <w:r w:rsidR="00AB3708">
        <w:rPr>
          <w:rFonts w:ascii="Arial" w:hAnsi="Arial" w:cs="Arial"/>
        </w:rPr>
        <w:t xml:space="preserve">how early dawn burst genes are induced upon light exposure. </w:t>
      </w:r>
      <w:r w:rsidR="0033507B">
        <w:rPr>
          <w:rFonts w:ascii="Arial" w:hAnsi="Arial" w:cs="Arial"/>
        </w:rPr>
        <w:t>Other b</w:t>
      </w:r>
      <w:r w:rsidR="00AB3708">
        <w:rPr>
          <w:rFonts w:ascii="Arial" w:hAnsi="Arial" w:cs="Arial"/>
        </w:rPr>
        <w:t xml:space="preserve">lue light receptors are still active in </w:t>
      </w:r>
      <w:proofErr w:type="spellStart"/>
      <w:r w:rsidR="00AB3708" w:rsidRPr="008C6C8F">
        <w:rPr>
          <w:rFonts w:ascii="Arial" w:hAnsi="Arial" w:cs="Arial"/>
          <w:i/>
        </w:rPr>
        <w:t>phyA</w:t>
      </w:r>
      <w:proofErr w:type="spellEnd"/>
      <w:r w:rsidR="00AB3708" w:rsidRPr="008C6C8F">
        <w:rPr>
          <w:rFonts w:ascii="Arial" w:hAnsi="Arial" w:cs="Arial"/>
          <w:i/>
        </w:rPr>
        <w:t xml:space="preserve"> </w:t>
      </w:r>
      <w:proofErr w:type="spellStart"/>
      <w:r w:rsidR="00AB3708" w:rsidRPr="008C6C8F">
        <w:rPr>
          <w:rFonts w:ascii="Arial" w:hAnsi="Arial" w:cs="Arial"/>
          <w:i/>
        </w:rPr>
        <w:t>phyB</w:t>
      </w:r>
      <w:proofErr w:type="spellEnd"/>
      <w:r w:rsidR="00AB3708" w:rsidRPr="008C6C8F">
        <w:rPr>
          <w:rFonts w:ascii="Arial" w:hAnsi="Arial" w:cs="Arial"/>
          <w:i/>
        </w:rPr>
        <w:t xml:space="preserve"> cry1 cry2</w:t>
      </w:r>
      <w:r w:rsidR="0033507B">
        <w:rPr>
          <w:rFonts w:ascii="Arial" w:hAnsi="Arial" w:cs="Arial"/>
        </w:rPr>
        <w:t>: w</w:t>
      </w:r>
      <w:r w:rsidR="000D2B8B">
        <w:rPr>
          <w:rFonts w:ascii="Arial" w:hAnsi="Arial" w:cs="Arial"/>
        </w:rPr>
        <w:t xml:space="preserve">hile </w:t>
      </w:r>
      <w:proofErr w:type="spellStart"/>
      <w:r w:rsidR="000D2B8B">
        <w:rPr>
          <w:rFonts w:ascii="Arial" w:hAnsi="Arial" w:cs="Arial"/>
        </w:rPr>
        <w:t>ztl</w:t>
      </w:r>
      <w:proofErr w:type="spellEnd"/>
      <w:r w:rsidR="000D2B8B">
        <w:rPr>
          <w:rFonts w:ascii="Arial" w:hAnsi="Arial" w:cs="Arial"/>
        </w:rPr>
        <w:t xml:space="preserve"> proteins have </w:t>
      </w:r>
      <w:r w:rsidR="000D2B8B">
        <w:rPr>
          <w:rFonts w:ascii="Arial" w:hAnsi="Arial" w:cs="Arial"/>
        </w:rPr>
        <w:lastRenderedPageBreak/>
        <w:t xml:space="preserve">core roles in </w:t>
      </w:r>
      <w:r w:rsidR="001E1D93">
        <w:rPr>
          <w:rFonts w:ascii="Arial" w:hAnsi="Arial" w:cs="Arial"/>
        </w:rPr>
        <w:t>circadian processes</w:t>
      </w:r>
      <w:r w:rsidR="000D2B8B">
        <w:rPr>
          <w:rFonts w:ascii="Arial" w:hAnsi="Arial" w:cs="Arial"/>
        </w:rPr>
        <w:t xml:space="preserve">, </w:t>
      </w:r>
      <w:proofErr w:type="spellStart"/>
      <w:r w:rsidR="000D2B8B">
        <w:rPr>
          <w:rFonts w:ascii="Arial" w:hAnsi="Arial" w:cs="Arial"/>
        </w:rPr>
        <w:t>phototropins</w:t>
      </w:r>
      <w:proofErr w:type="spellEnd"/>
      <w:r w:rsidR="000D2B8B">
        <w:rPr>
          <w:rFonts w:ascii="Arial" w:hAnsi="Arial" w:cs="Arial"/>
        </w:rPr>
        <w:t xml:space="preserve"> </w:t>
      </w:r>
      <w:r w:rsidR="0033507B">
        <w:rPr>
          <w:rFonts w:ascii="Arial" w:hAnsi="Arial" w:cs="Arial"/>
        </w:rPr>
        <w:t xml:space="preserve">are not directly linked to entrainment, but </w:t>
      </w:r>
      <w:r w:rsidR="000D2B8B">
        <w:rPr>
          <w:rFonts w:ascii="Arial" w:hAnsi="Arial" w:cs="Arial"/>
        </w:rPr>
        <w:t>trigger stomata</w:t>
      </w:r>
      <w:r w:rsidR="0033507B">
        <w:rPr>
          <w:rFonts w:ascii="Arial" w:hAnsi="Arial" w:cs="Arial"/>
        </w:rPr>
        <w:t>l</w:t>
      </w:r>
      <w:r w:rsidR="000D2B8B">
        <w:rPr>
          <w:rFonts w:ascii="Arial" w:hAnsi="Arial" w:cs="Arial"/>
        </w:rPr>
        <w:t xml:space="preserve"> opening </w:t>
      </w:r>
      <w:r w:rsidR="00C44832">
        <w:rPr>
          <w:rFonts w:ascii="Arial" w:hAnsi="Arial" w:cs="Arial"/>
        </w:rPr>
        <w:t>in response to light</w:t>
      </w:r>
      <w:r w:rsidR="00AE61BB">
        <w:rPr>
          <w:rFonts w:ascii="Arial" w:hAnsi="Arial" w:cs="Arial"/>
        </w:rPr>
        <w:t xml:space="preserve"> </w:t>
      </w:r>
      <w:r w:rsidR="007A0DF8">
        <w:rPr>
          <w:rFonts w:ascii="Arial" w:hAnsi="Arial" w:cs="Arial"/>
        </w:rPr>
        <w:fldChar w:fldCharType="begin"/>
      </w:r>
      <w:r w:rsidR="007A0DF8">
        <w:rPr>
          <w:rFonts w:ascii="Arial" w:hAnsi="Arial" w:cs="Arial"/>
        </w:rPr>
        <w:instrText xml:space="preserve"> ADDIN ZOTERO_ITEM CSL_CITATION {"citationID":"E3mbCFUU","properties":{"formattedCitation":"(Christie et al., 2015; Suetsugu and Wada, 2013)","plainCitation":"(Christie et al., 2015; Suetsugu and Wada, 2013)","noteIndex":0},"citationItems":[{"id":3408,"uris":["http://zotero.org/users/2970095/items/8LEE78HU"],"uri":["http://zotero.org/users/2970095/items/8LEE78HU"],"itemData":{"id":3408,"type":"article-journal","abstract":"Abstract.   Plants depend on the surrounding light environment to direct their growth. Blue light (300–500 nm) in particular acts to promote a wide variety of p","container-title":"Plant and Cell Physiology","DOI":"10.1093/pcp/pcu196","ISSN":"0032-0781","issue":"3","journalAbbreviation":"Plant Cell Physiol","language":"en","note":"publisher: Oxford Academic","page":"401-413","source":"academic.oup.com","title":"Plant Flavoprotein Photoreceptors","volume":"56","author":[{"family":"Christie","given":"John M."},{"family":"Blackwood","given":"Lisa"},{"family":"Petersen","given":"Jan"},{"family":"Sullivan","given":"Stuart"}],"issued":{"date-parts":[["2015",3,1]]}}},{"id":3411,"uris":["http://zotero.org/users/2970095/items/7JDXVG4S"],"uri":["http://zotero.org/users/2970095/items/7JDXVG4S"],"itemData":{"id":3411,"type":"article-journal","abstract":"Abstract.  Many organisms, including bacteria, fungi, animal, plants and algae, utilize blue light to adapt to a fluctuating light environment. Plants and algae","container-title":"Plant and Cell Physiology","DOI":"10.1093/pcp/pcs165","ISSN":"0032-0781","issue":"1","journalAbbreviation":"Plant Cell Physiol","language":"en","note":"publisher: Oxford Academic","page":"8-23","source":"academic.oup.com","title":"Evolution of Three LOV Blue Light Receptor Families in Green Plants and Photosynthetic Stramenopiles: Phototropin, ZTL/FKF1/LKP2 and Aureochrome","title-short":"Evolution of Three LOV Blue Light Receptor Families in Green Plants and Photosynthetic Stramenopiles","volume":"54","author":[{"family":"Suetsugu","given":"Noriyuki"},{"family":"Wada","given":"Masamitsu"}],"issued":{"date-parts":[["2013",1,1]]}}}],"schema":"https://github.com/citation-style-language/schema/raw/master/csl-citation.json"} </w:instrText>
      </w:r>
      <w:r w:rsidR="007A0DF8">
        <w:rPr>
          <w:rFonts w:ascii="Arial" w:hAnsi="Arial" w:cs="Arial"/>
        </w:rPr>
        <w:fldChar w:fldCharType="separate"/>
      </w:r>
      <w:r w:rsidR="007A0DF8" w:rsidRPr="007A0DF8">
        <w:rPr>
          <w:rFonts w:ascii="Arial" w:hAnsi="Arial" w:cs="Arial"/>
        </w:rPr>
        <w:t>(Christie et al., 2015; Suetsugu and Wada, 2013)</w:t>
      </w:r>
      <w:r w:rsidR="007A0DF8">
        <w:rPr>
          <w:rFonts w:ascii="Arial" w:hAnsi="Arial" w:cs="Arial"/>
        </w:rPr>
        <w:fldChar w:fldCharType="end"/>
      </w:r>
      <w:r w:rsidR="000D2B8B">
        <w:rPr>
          <w:rFonts w:ascii="Arial" w:hAnsi="Arial" w:cs="Arial"/>
        </w:rPr>
        <w:t>, which may in turn be perceived as a change in water potential within the plant. Mor</w:t>
      </w:r>
      <w:r w:rsidR="001E1D93">
        <w:rPr>
          <w:rFonts w:ascii="Arial" w:hAnsi="Arial" w:cs="Arial"/>
        </w:rPr>
        <w:t>e</w:t>
      </w:r>
      <w:r w:rsidR="000D2B8B">
        <w:rPr>
          <w:rFonts w:ascii="Arial" w:hAnsi="Arial" w:cs="Arial"/>
        </w:rPr>
        <w:t xml:space="preserve">over, not all </w:t>
      </w:r>
      <w:r w:rsidR="00AB3708">
        <w:rPr>
          <w:rFonts w:ascii="Arial" w:hAnsi="Arial" w:cs="Arial"/>
        </w:rPr>
        <w:t xml:space="preserve">light-triggered </w:t>
      </w:r>
      <w:r w:rsidR="000D2B8B">
        <w:rPr>
          <w:rFonts w:ascii="Arial" w:hAnsi="Arial" w:cs="Arial"/>
        </w:rPr>
        <w:t xml:space="preserve">retrograde </w:t>
      </w:r>
      <w:r w:rsidR="001E1D93">
        <w:rPr>
          <w:rFonts w:ascii="Arial" w:hAnsi="Arial" w:cs="Arial"/>
        </w:rPr>
        <w:t>signals</w:t>
      </w:r>
      <w:r w:rsidR="00AB3708">
        <w:rPr>
          <w:rFonts w:ascii="Arial" w:hAnsi="Arial" w:cs="Arial"/>
        </w:rPr>
        <w:t xml:space="preserve"> </w:t>
      </w:r>
      <w:r w:rsidR="000D2B8B">
        <w:rPr>
          <w:rFonts w:ascii="Arial" w:hAnsi="Arial" w:cs="Arial"/>
        </w:rPr>
        <w:t xml:space="preserve">from chloroplasts </w:t>
      </w:r>
      <w:r w:rsidR="001E1D93">
        <w:rPr>
          <w:rFonts w:ascii="Arial" w:hAnsi="Arial" w:cs="Arial"/>
        </w:rPr>
        <w:t>are</w:t>
      </w:r>
      <w:r w:rsidR="000D2B8B">
        <w:rPr>
          <w:rFonts w:ascii="Arial" w:hAnsi="Arial" w:cs="Arial"/>
        </w:rPr>
        <w:t xml:space="preserve"> disrupted in the</w:t>
      </w:r>
      <w:r w:rsidR="000D2B8B" w:rsidRPr="008C6C8F">
        <w:rPr>
          <w:rFonts w:ascii="Arial" w:hAnsi="Arial" w:cs="Arial"/>
          <w:i/>
        </w:rPr>
        <w:t xml:space="preserve"> hsfa1QK</w:t>
      </w:r>
      <w:r w:rsidR="000D2B8B">
        <w:rPr>
          <w:rFonts w:ascii="Arial" w:hAnsi="Arial" w:cs="Arial"/>
        </w:rPr>
        <w:t xml:space="preserve"> mutant. </w:t>
      </w:r>
      <w:r w:rsidR="00953ED6">
        <w:rPr>
          <w:rFonts w:ascii="Arial" w:hAnsi="Arial" w:cs="Arial"/>
        </w:rPr>
        <w:t xml:space="preserve">While HSFA1 TFs act in response to light-induced changes in the </w:t>
      </w:r>
      <w:r w:rsidR="0033507B">
        <w:rPr>
          <w:rFonts w:ascii="Arial" w:hAnsi="Arial" w:cs="Arial"/>
        </w:rPr>
        <w:t>chloroplast’s</w:t>
      </w:r>
      <w:r w:rsidR="007A0DF8">
        <w:rPr>
          <w:rFonts w:ascii="Arial" w:hAnsi="Arial" w:cs="Arial"/>
        </w:rPr>
        <w:t xml:space="preserve"> redox state </w:t>
      </w:r>
      <w:r w:rsidR="007A0DF8">
        <w:rPr>
          <w:rFonts w:ascii="Arial" w:hAnsi="Arial" w:cs="Arial"/>
        </w:rPr>
        <w:fldChar w:fldCharType="begin"/>
      </w:r>
      <w:r w:rsidR="007A0DF8">
        <w:rPr>
          <w:rFonts w:ascii="Arial" w:hAnsi="Arial" w:cs="Arial"/>
        </w:rPr>
        <w:instrText xml:space="preserve"> ADDIN ZOTERO_ITEM CSL_CITATION {"citationID":"h2AeJhEC","properties":{"formattedCitation":"(Dickinson et al., 2018)","plainCitation":"(Dickinson et al., 2018)","noteIndex":0},"citationItems":[{"id":3389,"uris":["http://zotero.org/users/2970095/items/5PWUAVDC"],"uri":["http://zotero.org/users/2970095/items/5PWUAVDC"],"itemData":{"id":3389,"type":"article-journal","abstract":"Temperature is a key environmental variable influencing plant growth and survival. Protection against high temperature stress in eukaryotes is coordinated by heat shock factors (HSFs), transcription factors that activate the expression of protective chaperones such as HEAT SHOCK PROTEIN 70 (HSP70); however, the pathway by which temperature is sensed and integrated with other environmental signals into adaptive responses is not well understood. Plants are exposed to considerable diurnal variation in temperature, and we have found that there is diurnal variation in thermotolerance in Arabidopsis thaliana, with maximal thermotolerance coinciding with higher HSP70 expression during the day. In a forward genetic screen, we identified a key role for the chloroplast in controlling this response, suggesting that light-induced chloroplast signaling plays a key role. Consistent with this, we are able to globally activate binding of HSFA1a to its targets by altering redox status in planta independently of a heat shock.","container-title":"Cell Reports","DOI":"10.1016/j.celrep.2018.01.054","ISSN":"2211-1247","issue":"7","journalAbbreviation":"Cell Reports","language":"en","page":"1657-1665","source":"ScienceDirect","title":"Chloroplast Signaling Gates Thermotolerance in Arabidopsis","volume":"22","author":[{"family":"Dickinson","given":"Patrick J."},{"family":"Kumar","given":"Manoj"},{"family":"Martinho","given":"Claudia"},{"family":"Yoo","given":"Seong Jeon"},{"family":"Lan","given":"Hui"},{"family":"Artavanis","given":"George"},{"family":"Charoensawan","given":"Varodom"},{"family":"Schöttler","given":"Mark Aurel"},{"family":"Bock","given":"Ralph"},{"family":"Jaeger","given":"Katja E."},{"family":"Wigge","given":"Philip A."}],"issued":{"date-parts":[["2018",2,13]]}}}],"schema":"https://github.com/citation-style-language/schema/raw/master/csl-citation.json"} </w:instrText>
      </w:r>
      <w:r w:rsidR="007A0DF8">
        <w:rPr>
          <w:rFonts w:ascii="Arial" w:hAnsi="Arial" w:cs="Arial"/>
        </w:rPr>
        <w:fldChar w:fldCharType="separate"/>
      </w:r>
      <w:r w:rsidR="007A0DF8" w:rsidRPr="007A0DF8">
        <w:rPr>
          <w:rFonts w:ascii="Arial" w:hAnsi="Arial" w:cs="Arial"/>
        </w:rPr>
        <w:t>(Dickinson et al., 2018)</w:t>
      </w:r>
      <w:r w:rsidR="007A0DF8">
        <w:rPr>
          <w:rFonts w:ascii="Arial" w:hAnsi="Arial" w:cs="Arial"/>
        </w:rPr>
        <w:fldChar w:fldCharType="end"/>
      </w:r>
      <w:r w:rsidR="00953ED6">
        <w:rPr>
          <w:rFonts w:ascii="Arial" w:hAnsi="Arial" w:cs="Arial"/>
        </w:rPr>
        <w:t xml:space="preserve">, </w:t>
      </w:r>
      <w:r w:rsidR="0033507B">
        <w:rPr>
          <w:rFonts w:ascii="Arial" w:hAnsi="Arial" w:cs="Arial"/>
        </w:rPr>
        <w:t xml:space="preserve">other signals may bypass this route. </w:t>
      </w:r>
      <w:r w:rsidR="00475A9D">
        <w:rPr>
          <w:rFonts w:ascii="Arial" w:hAnsi="Arial" w:cs="Arial"/>
        </w:rPr>
        <w:t>The increase in</w:t>
      </w:r>
      <w:r w:rsidR="0033507B">
        <w:rPr>
          <w:rFonts w:ascii="Arial" w:hAnsi="Arial" w:cs="Arial"/>
        </w:rPr>
        <w:t xml:space="preserve"> primary photosynthates</w:t>
      </w:r>
      <w:r w:rsidR="00163452">
        <w:rPr>
          <w:rFonts w:ascii="Arial" w:hAnsi="Arial" w:cs="Arial"/>
        </w:rPr>
        <w:t xml:space="preserve"> </w:t>
      </w:r>
      <w:r w:rsidR="00BE39BF">
        <w:rPr>
          <w:rFonts w:ascii="Arial" w:hAnsi="Arial" w:cs="Arial"/>
        </w:rPr>
        <w:t xml:space="preserve">after dawn </w:t>
      </w:r>
      <w:r w:rsidR="0073329A">
        <w:rPr>
          <w:rFonts w:ascii="Arial" w:hAnsi="Arial" w:cs="Arial"/>
        </w:rPr>
        <w:t xml:space="preserve">for instance </w:t>
      </w:r>
      <w:r w:rsidR="00BE39BF">
        <w:rPr>
          <w:rFonts w:ascii="Arial" w:hAnsi="Arial" w:cs="Arial"/>
        </w:rPr>
        <w:t>can be</w:t>
      </w:r>
      <w:r w:rsidR="00163452">
        <w:rPr>
          <w:rFonts w:ascii="Arial" w:hAnsi="Arial" w:cs="Arial"/>
        </w:rPr>
        <w:t xml:space="preserve"> perceived by energy sensors such as Snf1</w:t>
      </w:r>
      <w:r w:rsidR="00163452" w:rsidRPr="00163452">
        <w:rPr>
          <w:rFonts w:ascii="Arial" w:hAnsi="Arial" w:cs="Arial"/>
        </w:rPr>
        <w:t>-</w:t>
      </w:r>
      <w:r w:rsidR="00163452">
        <w:rPr>
          <w:rFonts w:ascii="Arial" w:hAnsi="Arial" w:cs="Arial"/>
        </w:rPr>
        <w:t>RELATED KINASE</w:t>
      </w:r>
      <w:r w:rsidR="00163452" w:rsidRPr="00163452">
        <w:rPr>
          <w:rFonts w:ascii="Arial" w:hAnsi="Arial" w:cs="Arial"/>
        </w:rPr>
        <w:t xml:space="preserve"> 1 (SnRK1)</w:t>
      </w:r>
      <w:r w:rsidR="00163452">
        <w:rPr>
          <w:rFonts w:ascii="Arial" w:hAnsi="Arial" w:cs="Arial"/>
        </w:rPr>
        <w:t xml:space="preserve"> and </w:t>
      </w:r>
      <w:r w:rsidR="00475A9D">
        <w:rPr>
          <w:rFonts w:ascii="Arial" w:hAnsi="Arial" w:cs="Arial"/>
        </w:rPr>
        <w:t xml:space="preserve">TARGET OF RAPAMYCIN (TOR), which </w:t>
      </w:r>
      <w:r w:rsidR="00BE39BF">
        <w:rPr>
          <w:rFonts w:ascii="Arial" w:hAnsi="Arial" w:cs="Arial"/>
        </w:rPr>
        <w:t>are also known to</w:t>
      </w:r>
      <w:r w:rsidR="00475A9D">
        <w:rPr>
          <w:rFonts w:ascii="Arial" w:hAnsi="Arial" w:cs="Arial"/>
        </w:rPr>
        <w:t xml:space="preserve"> affect clock</w:t>
      </w:r>
      <w:r w:rsidR="00BE39BF">
        <w:rPr>
          <w:rFonts w:ascii="Arial" w:hAnsi="Arial" w:cs="Arial"/>
        </w:rPr>
        <w:t xml:space="preserve"> entrainment </w:t>
      </w:r>
      <w:r w:rsidR="007A0DF8">
        <w:rPr>
          <w:rFonts w:ascii="Arial" w:hAnsi="Arial" w:cs="Arial"/>
        </w:rPr>
        <w:fldChar w:fldCharType="begin"/>
      </w:r>
      <w:r w:rsidR="007A0DF8">
        <w:rPr>
          <w:rFonts w:ascii="Arial" w:hAnsi="Arial" w:cs="Arial"/>
        </w:rPr>
        <w:instrText xml:space="preserve"> ADDIN ZOTERO_ITEM CSL_CITATION {"citationID":"EgK4O6i0","properties":{"formattedCitation":"(Shin et al., 2017; Zhang et al., 2019)","plainCitation":"(Shin et al., 2017; Zhang et al., 2019)","noteIndex":0},"citationItems":[{"id":3401,"uris":["http://zotero.org/users/2970095/items/X7EJG6C8"],"uri":["http://zotero.org/users/2970095/items/X7EJG6C8"],"itemData":{"id":3401,"type":"article-journal","abstract":"Plants generate rhythmic metabolism during the repetitive day/night cycle. The circadian clock produces internal biological rhythms to synchronize numerous metabolic processes such that they occur at the required time of day. Metabolism conversely influences clock function by controlling circadian period and phase and the expression of core-clock genes. Here, we show that AKIN10, a catalytic subunit of the evolutionarily conserved key energy sensor sucrose non-fermenting 1 (Snf1)-related kinase 1 (SnRK1) complex, plays an important role in the circadian clock. Elevated AKIN10 expression led to delayed peak expression of the circadian clock evening-element GIGANTEA (GI) under diurnal conditions. Moreover, it lengthened clock period specifically under light conditions. Genetic analysis showed that the clock regulator TIME FOR COFFEE (TIC) is required for this effect of AKIN10. Taken together, we propose that AKIN10 conditionally works in a circadian clock input pathway to the circadian oscillator.","container-title":"Plant, Cell &amp; Environment","DOI":"10.1111/pce.12903","ISSN":"1365-3040","issue":"7","journalAbbreviation":"Plant Cell Environ.","language":"eng","note":"PMID: 28054361","page":"997-1008","source":"PubMed","title":"The metabolic sensor AKIN10 modulates the Arabidopsis circadian clock in a light-dependent manner","volume":"40","author":[{"family":"Shin","given":"Jieun"},{"family":"Sánchez-Villarreal","given":"Alfredo"},{"family":"Davis","given":"Amanda M."},{"family":"Du","given":"Shen-Xiu"},{"family":"Berendzen","given":"Kenneth W."},{"family":"Koncz","given":"Csaba"},{"family":"Ding","given":"Zhaojun"},{"family":"Li","given":"Cuiling"},{"family":"Davis","given":"Seth J."}],"issued":{"date-parts":[["2017",7]]}}},{"id":3395,"uris":["http://zotero.org/users/2970095/items/AMMP6AVV"],"uri":["http://zotero.org/users/2970095/items/AMMP6AVV"],"itemData":{"id":3395,"type":"article-journal","abstract":"Circadian clocks usually run with a period close to 24 h, but are also plastic and can be entrained by external environmental conditions and internal physiological cues. Two key nutrient metabolites, glucose and vitamin B3 (nicotinamide), can influence the circadian period in both mammals and plants; however, the underlying molecular mechanism is still largely </w:instrText>
      </w:r>
      <w:r w:rsidR="007A0DF8" w:rsidRPr="004E0A36">
        <w:rPr>
          <w:rFonts w:ascii="Arial" w:hAnsi="Arial" w:cs="Arial"/>
          <w:lang w:val="en-GB"/>
        </w:rPr>
        <w:instrText>unclear. We reveal that the targ</w:instrText>
      </w:r>
      <w:r w:rsidR="007A0DF8" w:rsidRPr="007A0DF8">
        <w:rPr>
          <w:rFonts w:ascii="Arial" w:hAnsi="Arial" w:cs="Arial"/>
          <w:lang w:val="en-GB"/>
        </w:rPr>
        <w:instrText xml:space="preserve">et of rapamycin (TOR) kinase, a conserved central growth regulator, is essential for glucose- and nicotinamide-mediated control of the circadian period in Arabidopsis Nicotinamide affects the cytosolic adenosine triphosphate concentration, and blocks the effect of glucose-TOR energy signaling on period length adjustment, meristem activation, and root growth. Together, our results uncover a missing link between cellular metabolites, energy status, and circadian period adjustment, and identify TOR kinase as an essential energy sensor to coordinate circadian clock and plant growth.","container-title":"Proceedings of the National Academy of Sciences of the United States of America","DOI":"10.1073/pnas.1913095116","ISSN":"1091-6490","issue":"51","journalAbbreviation":"Proc. Natl. Acad. Sci. U.S.A.","language":"eng","note":"PMID: 31792194\nPMCID: PMC6926049","page":"25395-25397","source":"PubMed","title":"Metabolite-mediated TOR signaling regulates the circadian clock in Arabidopsis","volume":"116","author":[{"family":"Zhang","given":"Nan"},{"family":"Meng","given":"Yanyan"},{"family":"Li","given":"Xu"},{"family":"Zhou","given":"Yu"},{"family":"Ma","given":"Liuyin"},{"family":"Fu","given":"Liwen"},{"family":"Schwarzländer","given":"Markus"},{"family":"Liu","given":"Hongtao"},{"family":"Xiong","given":"Yan"}],"issued":{"date-parts":[["2019"]],"season":"17"}}}],"schema":"https://github.com/citation-style-language/schema/raw/master/csl-citation.json"} </w:instrText>
      </w:r>
      <w:r w:rsidR="007A0DF8">
        <w:rPr>
          <w:rFonts w:ascii="Arial" w:hAnsi="Arial" w:cs="Arial"/>
        </w:rPr>
        <w:fldChar w:fldCharType="separate"/>
      </w:r>
      <w:r w:rsidR="007A0DF8" w:rsidRPr="007A0DF8">
        <w:rPr>
          <w:rFonts w:ascii="Arial" w:hAnsi="Arial" w:cs="Arial"/>
          <w:lang w:val="en-GB"/>
        </w:rPr>
        <w:t>(Shin et al., 2017; Zhang et al., 2019)</w:t>
      </w:r>
      <w:r w:rsidR="007A0DF8">
        <w:rPr>
          <w:rFonts w:ascii="Arial" w:hAnsi="Arial" w:cs="Arial"/>
        </w:rPr>
        <w:fldChar w:fldCharType="end"/>
      </w:r>
      <w:r w:rsidR="00C44832" w:rsidRPr="007A0DF8">
        <w:rPr>
          <w:rFonts w:ascii="Arial" w:hAnsi="Arial" w:cs="Arial"/>
          <w:lang w:val="en-GB"/>
        </w:rPr>
        <w:t>.</w:t>
      </w:r>
      <w:r w:rsidR="00163452" w:rsidRPr="007A0DF8">
        <w:rPr>
          <w:rFonts w:ascii="Arial" w:hAnsi="Arial" w:cs="Arial"/>
          <w:lang w:val="en-GB"/>
        </w:rPr>
        <w:t xml:space="preserve"> </w:t>
      </w:r>
    </w:p>
    <w:p w14:paraId="22D6BEAD" w14:textId="20A74A61" w:rsidR="009C304E" w:rsidRPr="005D6489" w:rsidRDefault="00B32186" w:rsidP="008C6C8F">
      <w:pPr>
        <w:pStyle w:val="FirstParagraph"/>
        <w:spacing w:line="360" w:lineRule="auto"/>
        <w:rPr>
          <w:rFonts w:ascii="Arial" w:hAnsi="Arial" w:cs="Arial"/>
        </w:rPr>
      </w:pPr>
      <w:r w:rsidRPr="007A0DF8">
        <w:rPr>
          <w:rFonts w:ascii="Arial" w:hAnsi="Arial" w:cs="Arial"/>
          <w:lang w:val="en-GB"/>
        </w:rPr>
        <w:tab/>
      </w:r>
      <w:r w:rsidR="00BA10FA" w:rsidRPr="007A0DF8">
        <w:rPr>
          <w:rFonts w:ascii="Arial" w:hAnsi="Arial" w:cs="Arial"/>
          <w:lang w:val="en-GB"/>
        </w:rPr>
        <w:br/>
      </w:r>
      <w:r w:rsidR="00C2486D">
        <w:rPr>
          <w:rFonts w:ascii="Arial" w:hAnsi="Arial" w:cs="Arial"/>
        </w:rPr>
        <w:t xml:space="preserve">It </w:t>
      </w:r>
      <w:r w:rsidR="00BA10FA" w:rsidRPr="005D6489">
        <w:rPr>
          <w:rFonts w:ascii="Arial" w:hAnsi="Arial" w:cs="Arial"/>
        </w:rPr>
        <w:t xml:space="preserve">is important to note that we have </w:t>
      </w:r>
      <w:proofErr w:type="spellStart"/>
      <w:r w:rsidR="00BA10FA" w:rsidRPr="005D6489">
        <w:rPr>
          <w:rFonts w:ascii="Arial" w:hAnsi="Arial" w:cs="Arial"/>
        </w:rPr>
        <w:t>characterised</w:t>
      </w:r>
      <w:proofErr w:type="spellEnd"/>
      <w:r w:rsidR="00BA10FA" w:rsidRPr="005D6489">
        <w:rPr>
          <w:rFonts w:ascii="Arial" w:hAnsi="Arial" w:cs="Arial"/>
        </w:rPr>
        <w:t xml:space="preserve"> gene expression changes that result from the kind of sudden onset of light that occur in growth chambers, rather than those found in natural conditions, </w:t>
      </w:r>
      <w:r w:rsidR="00163452">
        <w:rPr>
          <w:rFonts w:ascii="Arial" w:hAnsi="Arial" w:cs="Arial"/>
        </w:rPr>
        <w:t>which have for instance been</w:t>
      </w:r>
      <w:r w:rsidR="00BA10FA" w:rsidRPr="005D6489">
        <w:rPr>
          <w:rFonts w:ascii="Arial" w:hAnsi="Arial" w:cs="Arial"/>
        </w:rPr>
        <w:t xml:space="preserve"> investigated </w:t>
      </w:r>
      <w:r w:rsidR="00163452">
        <w:rPr>
          <w:rFonts w:ascii="Arial" w:hAnsi="Arial" w:cs="Arial"/>
        </w:rPr>
        <w:t>by</w:t>
      </w:r>
      <w:r w:rsidR="00163452" w:rsidRPr="005D6489">
        <w:rPr>
          <w:rFonts w:ascii="Arial" w:hAnsi="Arial" w:cs="Arial"/>
        </w:rPr>
        <w:t> </w:t>
      </w:r>
      <w:r w:rsidR="00BA10FA" w:rsidRPr="005D6489">
        <w:rPr>
          <w:rFonts w:ascii="Arial" w:hAnsi="Arial" w:cs="Arial"/>
        </w:rPr>
        <w:t>Annunziata et al.</w:t>
      </w:r>
      <w:r w:rsidR="007A0DF8">
        <w:rPr>
          <w:rFonts w:ascii="Arial" w:hAnsi="Arial" w:cs="Arial"/>
        </w:rPr>
        <w:t xml:space="preserve"> </w:t>
      </w:r>
      <w:r w:rsidR="007A0DF8">
        <w:rPr>
          <w:rFonts w:ascii="Arial" w:hAnsi="Arial" w:cs="Arial"/>
        </w:rPr>
        <w:fldChar w:fldCharType="begin"/>
      </w:r>
      <w:r w:rsidR="007A0DF8">
        <w:rPr>
          <w:rFonts w:ascii="Arial" w:hAnsi="Arial" w:cs="Arial"/>
        </w:rPr>
        <w:instrText xml:space="preserve"> ADDIN ZOTERO_ITEM CSL_CITATION {"citationID":"eOZjtOh6","properties":{"formattedCitation":"(2018)","plainCitation":"(2018)","noteIndex":0},"citationItems":[{"id":3488,"uris":["http://zotero.org/users/2970095/items/A5Z8QNXV"],"uri":["http://zotero.org/users/2970095/items/A5Z8QNXV"],"itemData":{"id":3488,"type":"article-journal","abstract":"Central metabolism and the circadian clock are impacted by co-variation in light and temperature in Arabidopsis plants grown in a natural light environment., Plants are exposed to varying irradiance and temperature within a day and from day to day. We previously investigated metabolism in a temperature-controlled greenhouse at the spring equinox on both a cloudy and a sunny day [daily light integral (DLI) of 7 mol m−2 d−1 and 12 mol m−2 d−1]. Diel metabolite profiles were largely captured in sinusoidal simulations at similar DLIs in controlled-environment chambers, except that amino acids were lower in natural light regimes. We now extend the DLI12 study by investigating metabolism in a natural light regime with variable temperature including cool nights. Starch was not completely turned over, anthocyanins and proline accumulated, and protein content rose. Instead of decreasing, amino acid content rose. Connectivity in central metabolism, which decreased in variable light, was not further weakened by variable temperature. We propose that diel metabolism operates better when light and temperature are co-varying. We also compared transcript abundance of 10 circadian clock genes in this temperature-variable regime with the temperature-controlled natural and sinusoidal light regimes. Despite temperature compensation, peak timing and abundance for dawn- and day-phased genes and GIGANTEA were slightly modified in the variable temperature treatment. This may delay dawn clock activity until the temperature rises enough to support rapid metabolism and photosynthesis.","container-title":"Journal of Experimental Botany","DOI":"10.1093/jxb/ery276","ISSN":"0022-0957","issue":"20","journalAbbreviation":"J Exp Bot","note":"PMID: 30053131\nPMCID: PMC6137998","page":"4881-4895","source":"PubMed Central","title":"Response of Arabidopsis primary metabolism and circadian clock to low night temperature in a natural light environment","volume":"69","author":[{"family":"Annunziata","given":"Maria Grazia"},{"family":"Apelt","given":"Federico"},{"family":"Carillo","given":"Petronia"},{"family":"Krause","given":"Ursula"},{"family":"Feil","given":"Regina"},{"family":"Koehl","given":"Karin"},{"family":"Lunn","given":"John E"},{"family":"Stitt","given":"Mark"}],"issued":{"date-parts":[["2018",9,14]]}},"suppress-author":true}],"schema":"https://github.com/citation-style-language/schema/raw/master/csl-citation.json"} </w:instrText>
      </w:r>
      <w:r w:rsidR="007A0DF8">
        <w:rPr>
          <w:rFonts w:ascii="Arial" w:hAnsi="Arial" w:cs="Arial"/>
        </w:rPr>
        <w:fldChar w:fldCharType="separate"/>
      </w:r>
      <w:r w:rsidR="007A0DF8" w:rsidRPr="007A0DF8">
        <w:rPr>
          <w:rFonts w:ascii="Arial" w:hAnsi="Arial" w:cs="Arial"/>
        </w:rPr>
        <w:t>(2018)</w:t>
      </w:r>
      <w:r w:rsidR="007A0DF8">
        <w:rPr>
          <w:rFonts w:ascii="Arial" w:hAnsi="Arial" w:cs="Arial"/>
        </w:rPr>
        <w:fldChar w:fldCharType="end"/>
      </w:r>
      <w:r w:rsidR="00BA10FA" w:rsidRPr="005D6489">
        <w:rPr>
          <w:rFonts w:ascii="Arial" w:hAnsi="Arial" w:cs="Arial"/>
        </w:rPr>
        <w:t xml:space="preserve">.  Nevertheless, there are a number of benefits of this approach. Firstly, this allows us to more directly compare our results to other studies of biotic and abiotic responses in the early morning that were also performed in artificial growth chambers </w:t>
      </w:r>
      <w:r w:rsidR="00485B98">
        <w:rPr>
          <w:rFonts w:ascii="Arial" w:hAnsi="Arial" w:cs="Arial"/>
        </w:rPr>
        <w:t>with sudden onset of light</w:t>
      </w:r>
      <w:r w:rsidR="00BA10FA" w:rsidRPr="005D6489">
        <w:rPr>
          <w:rFonts w:ascii="Arial" w:hAnsi="Arial" w:cs="Arial"/>
        </w:rPr>
        <w:t> </w:t>
      </w:r>
      <w:r w:rsidR="00485B98">
        <w:rPr>
          <w:rFonts w:ascii="Arial" w:hAnsi="Arial" w:cs="Arial"/>
        </w:rPr>
        <w:fldChar w:fldCharType="begin"/>
      </w:r>
      <w:r w:rsidR="00485B98">
        <w:rPr>
          <w:rFonts w:ascii="Arial" w:hAnsi="Arial" w:cs="Arial"/>
        </w:rPr>
        <w:instrText xml:space="preserve"> ADDIN ZOTERO_ITEM CSL_CITATION {"citationID":"UD4Ubxgk","properties":{"formattedCitation":"(Cortijo et al., 2019; Dickinson et al., 2018; Ezer et al., 2017b; Grundy et al., 2015; Ingle et al., 2015; Michael et al., 2008; Seaton et al., 2018)","plainCitation":"(Cortijo et al., 2019; Dickinson et al., 2018; Ezer et al., 2017b; Grundy et al., 2015; Ingle et al., 2015; Michael et al., 2008; Seaton et al., 2018)","noteIndex":0},"citationItems":[{"id":3491,"uris":["http://zotero.org/users/2970095/items/AKM8LED2"],"uri":["http://zotero.org/users/2970095/items/AKM8LED2"],"itemData":{"id":3491,"type":"article-journal","abstract":"Abstract A fundamental question in biology is how gene expression is regulated to give rise to a phenotype. However, transcriptional variability is rarely considered although it could influence the relationship between genotype and phenotype. It is known in unicellular organisms that gene expression is often noisy rather than uniform, and this has been proposed to be beneficial when environmental conditions are unpredictable. However, little is known about inter-individual transcriptional variability in multicellular organisms. Using transcriptomic approaches, we analysed gene expression variability between individual Arabidopsis thaliana plants growing in identical conditions over a 24-h time course. We identified hundreds of genes that exhibit high inter-individual variability and found that many are involved in environmental responses, with different classes of genes variable between the day and night. We also identified factors that might facilitate gene expression variability, such as gene length, the number of transcription factors regulating the genes and the chromatin environment. These results shed new light on the impact of transcriptional variability in gene expression regulation in plants.","container-title":"Molecular Systems Biology","DOI":"10.15252/msb.20188591","ISSN":"1744-4292","issue":"1","journalAbbreviation":"Molecular Systems Biology","note":"publisher: John Wiley &amp; Sons, Ltd","page":"e8591","source":"embopress.org (Atypon)","title":"Widespread inter-individual gene expression variability in Arabidopsis thaliana","volume":"15","author":[{"family":"Cortijo","given":"Sandra"},{"family":"Aydin","given":"Zeynep"},{"family":"Ahnert","given":"Sebastian"},{"family":"Locke","given":"James CW"}],"issued":{"date-parts":[["2019",1,1]]}}},{"id":3389,"uris":["http://zotero.org/users/2970095/items/5PWUAVDC"],"uri":["http://zotero.org/users/2970095/items/5PWUAVDC"],"itemData":{"id":3389,"type":"article-journal","abstract":"Temperature is a key environmental variable influencing plant growth and survival. Protection against high temperature stress in eukaryotes is coordinated by heat shock factors (HSFs), transcription factors that activate the expression of protective chaperones such as HEAT SHOCK PROTEIN 70 (HSP70); however, the pathway by which temperature is sensed and integrated with other environmental signals into adaptive responses is not well understood. Plants are exposed to considerable diurnal variation in temperature, and we have found that there is diurnal variation in thermotolerance in Arabidopsis thaliana, with maximal thermotolerance coinciding with higher HSP70 expression during the day. In a forward genetic screen, we identified a key role for the chloroplast in controlling this response, suggesting that light-induced chloroplast signaling plays a key role. Consistent with this, we are able to globally activate binding of HSFA1a to its targets by altering redox status in planta independently of a heat shock.","container-title":"Cell Reports","DOI":"10.1016/j.celrep.2018.01.054","ISSN":"2211-1247","issue":"7","journalAbbreviation":"Cell Reports","language":"en","page":"1657-1665","source":"ScienceDirect","title":"Chloroplast Signaling Gates Thermotolerance in Arabidopsis","volume":"22","author":[{"family":"Dickinson","given":"Patrick J."},{"family":"Kumar","given":"Manoj"},{"family":"Martinho","given":"Claudia"},{"family":"Yoo","given":"Seong Jeon"},{"family":"Lan","given":"Hui"},{"family":"Artavanis","given":"George"},{"family":"Charoensawan","given":"Varodom"},{"family":"Schöttler","given":"Mark Aurel"},{"family":"Bock","given":"Ralph"},{"family":"Jaeger","given":"Katja E."},{"family":"Wigge","given":"Philip A."}],"issued":{"date-parts":[["2018",2,13]]}}},{"id":3245,"uris":["http://zotero.org/users/2970095/items/QBMDGT9D"],"uri":["http://zotero.org/users/2970095/items/QBMDGT9D"],"itemData":{"id":3245,"type":"article-journal","abstract":"Plants have significantly more transcription factor (TF) families than animals and fungi, and plant TF families tend to contain more genes; these expansions are linked to adaptation to environmental stressors. Many TF family members bind to similar or identical sequence motifs, such as G-boxes (CACGTG), so it is difficult to predict regulatory relationships. We determined that the flanking sequences near G-boxes help determine in vitro specificity but that this is insufficient to predict the transcription pattern of genes near G-boxes. Therefore, we constructed a gene regulatory network that identifies the set of bZIPs and bHLHs that are most predictive of the expression of genes downstream of perfect G-boxes. This network accurately predicts transcriptional patterns and reconstructs known regulatory subnetworks. Finally, we present Ara-BOX-cis (araboxcis.org), a Web site that provides interactive visualizations of the G-box regulatory network, a useful resource for generating predictions for gene regulatory relations.","container-title":"Plant Physiology","DOI":"10.1104/pp.17.01086","ISSN":"0032-0889, 1532-2548","issue":"2","language":"en","note":"PMID: 28864470","page":"628-640","source":"www.plantphysiol.org","title":"The G-Box Transcriptional Regulatory Code in Arabidopsis","volume":"175","author":[{"family":"Ezer","given":"Daphne"},{"family":"Shepherd","given":"Samuel J. K."},{"family":"Brestovitsky","given":"Anna"},{"family":"Dickinson","given":"Patrick"},{"family":"Cortijo","given":"Sandra"},{"family":"Charoensawan","given":"Varodom"},{"family":"Box","given":"Mathew S."},{"family":"Biswas","given":"Surojit"},{"family":"Jaeger","given":"Katja E."},{"family":"Wigge","given":"Philip A."}],"issued":{"date-parts":[["2017",10,1]]}}},{"id":3414,"uris":["http://zotero.org/users/2970095/items/D6DSNSS6"],"uri":["http://zotero.org/users/2970095/items/D6DSNSS6"],"itemData":{"id":3414,"type":"article-journal","abstract":"Extremes of temperatures, drought and salinity cause widespread crop losses throughout the world and impose severe limitations on the amount of land that can be used for agricultural purposes. Hence, there is an urgent need to develop crops that perform better under such abiotic stress conditions. Here, we discuss intriguing, recent evidence that circadian clock contributes to plants’ ability to tolerate different types environmental stress, and to acclimate to them. The clock controls expression of a large fraction abiotic stress-responsive genes, as well as biosynthesis and signalling downstream of stress response hormones. Conversely, abiotic stress results in altered expression and differential splicing of the clock genes, leading to altered oscillations of downstream stress-response pathways. We propose a range of mechanisms by which this intimate coupling between the circadian clock and environmental stress-response pathways may contribute to plant growth and survival under abiotic stress.","container-title":"Frontiers in Plant Science","DOI":"10.3389/fpls.2015.00648","ISSN":"1664-462X","journalAbbreviation":"Front. Plant Sci.","language":"English","note":"publisher: Frontiers","source":"Frontiers","title":"Circadian regulation of abiotic stress tolerance in plants","URL":"https://www.frontiersin.org/articles/10.3389/fpls.2015.00648/full","volume":"6","author":[{"family":"Grundy","given":"Jack"},{"family":"Stoker","given":"Claire"},{"family":"Carré","given":"Isabelle A."}],"accessed":{"date-parts":[["2020",4,6]]},"issued":{"date-parts":[["2015"]]}}},{"id":3416,"uris":["http://zotero.org/users/2970095/items/VLPNXYA5"],"uri":["http://zotero.org/users/2970095/items/VLPNXYA5"],"itemData":{"id":3416,"type":"article-journal","abstract":"The circadian clock, an internal time-keeping mechanism, allows plants to anticipate regular changes in the environment, such as light and dark, and biotic challenges such as pathogens and herbivores. Here, we demonstrate that the plant circadian clock influences susceptibility to the necrotrophic fungal pathogen, Botrytis cinerea. Arabidopsis plants show differential susceptibility to B. cinerea depending on the time of day of inoculation. Decreased susceptibility after inoculation at dawn compared with night persists under constant light conditions and is disrupted in dysfunctional clock mutants, demonstrating the role of the plant clock in driving time-of-day susceptibility to B. cinerea. The decreased susceptibility to B. cinerea following inoculation at subjective dawn was associated with faster transcriptional reprogramming of the defence response with gating of infection-responsive genes apparent. Direct target genes of core clock regulators were enriched among the transcription factors that responded more rapidly to infection at subjective dawn than subjective night, suggesting an influence of the clock on the defence-signalling network. In addition, jasmonate signalling plays a crucial role in the rhythmic susceptibility of Arabidopsis to B. cinerea with the enhanced susceptibility to this pathogen at subjective night lost in a jaz6 mutant.","container-title":"The Plant Journal","DOI":"10.1111/tpj.13050","ISSN":"1365-313X","issue":"5","language":"en","note":"_eprint: https://onlinelibrary.wiley.com/doi/pdf/10.1111/tpj.13050","page":"937-948","source":"Wiley Online Library","title":"Jasmonate signalling drives time-of-day differences in susceptibility of Arabidopsis to the fungal pathogen Botrytis cinerea","volume":"84","author":[{"family":"Ingle","given":"Robert A."},{"family":"Stoker","given":"Claire"},{"family":"Stone","given":"Wendy"},{"family":"Adams","given":"Nicolette"},{"family":"Smith","given":"Rob"},{"family":"Grant","given":"Murray"},{"family":"Carré","given":"Isabelle"},{"family":"Roden","given":"Laura C."},{"family":"Denby","given":"Katherine J."}],"issued":{"date-parts":[["2015"]]}}},{"id":2780,"uris":["http://zotero.org/users/2970095/items/J7LHEUVK"],"uri":["http://zotero.org/users/2970095/items/J7LHEUVK"],"itemData":{"id":2780,"type":"article-journal","abstract":"Most organisms use daily light/dark cycles as timing cues to control many essential physiological processes. In plants, growth rates of the embryonic stem (hypocotyl) are maximal at different times of day, depending on external photoperiod and the internal circadian clock. However, the interactions between light signaling, the circadian clock, and growth-promoting hormone pathways in growth control remain poorly understood. At the molecular level, such growth rhythms could be attributed to several different layers of time-specific control such as phasing of transcription, signaling, or protein abundance. To determine the transcriptional component associated with the rhythmic control of growth, we applied temporal analysis of the Arabidopsis thaliana seedling transcriptome under multiple growth conditions and mutant backgrounds using DNA microarrays. We show that a group of plant hormone-associated genes are coexpressed at the time of day when hypocotyl growth rate is maximal. This expression correlates with overrepresentation of a cis-acting element (CACATG) in phytohormone gene promoters, which is sufficient to confer the predicted diurnal and circadian expression patterns in vivo. Using circadian clock and light signaling mutants, we show that both internal coincidence of phytohormone signaling capacity and external coincidence with darkness are required to coordinate wild-type growth. From these data, we argue that the circadian clock indirectly controls growth by permissive gating of light-mediated phytohormone transcript levels to the proper time of day. This temporal integration of hormone pathways allows plants to fine tune phytohormone responses for seasonal and shade-appropriate growth regulation.","container-title":"PLOS Biology","DOI":"10.1371/journal.pbio.0060225","ISSN":"1545-7885","issue":"9","journalAbbreviation":"PLOS Biology","language":"en","page":"e225","source":"PLoS Journals","title":"A Morning-Specific Phytohormone Gene Expression Program underlying Rhythmic Plant Growth","volume":"6","author":[{"family":"Michael","given":"Todd P."},{"family":"Breton","given":"Ghislain"},{"family":"Hazen","given":"Samuel P."},{"family":"Priest","given":"Henry"},{"family":"Mockler","given":"Todd C."},{"family":"Kay","given":"Steve A."},{"family":"Chory","given":"Joanne"}],"issued":{"date-parts":[["2008",9,16]]}}},{"id":3227,"uris":["http://zotero.org/users/2970095/items/8YARDMEF"],"uri":["http://zotero.org/users/2970095/items/8YARDMEF"],"itemData":{"id":3227,"type":"article-journal","abstract":"The changing seasons subject plants to a variety of challenging environments. To deal with this, many plants have mechanisms for inferring the season by measuring the duration of daylight in a day. A number of well-known seasonal responses such as flowering are responsive to daylength or photoperiod. Here, we describe how the photoreceptor protein phytochrome A senses short photoperiods. This arises from its accumulation during long nights, as happens during winter, and subsequent activation by light at dawn. As a result of this response, the abundance of red anthocyanin pigments is increased in short photoperiods. Thus, we describe a mechanism underlying a seasonal phenotype in an important model plant species., In plants, light receptors play a pivotal role in photoperiod sensing, enabling them to track seasonal progression. Photoperiod sensing arises from an interaction between the plant’s endogenous circadian oscillator and external light cues. Here, we characterize the role of phytochrome A (phyA) in photoperiod sensing. Our metaanalysis of functional genomic datasets identified phyA as a principal regulator of morning-activated genes, specifically in short photoperiods. We demonstrate that PHYA expression is under the direct control of the PHYTOCHROME INTERACTING FACTOR transcription factors, PIF4 and PIF5. As a result, phyA protein accumulates during the night, especially in short photoperiods. At dawn, phyA activation by light results in a burst of gene expression, with consequences for physiological processes such as anthocyanin accumulation. The combination of complex regulation of PHYA transcript and the unique molecular properties of phyA protein make this pathway a sensitive detector of both dawn and photoperiod.","container-title":"Proceedings of the National Academy of Sciences of the United States of America","DOI":"10.1073/pnas.1803398115","ISSN":"0027-8424","issue":"41","journalAbbreviation":"Proc Natl Acad Sci U S A","note":"PMID: 30254157\nPMCID: PMC6187151","page":"10523-10528","source":"PubMed Central","title":"Dawn and photoperiod sensing by phytochrome A","volume":"115","author":[{"family":"Seaton","given":"Daniel D."},{"family":"Toledo-Ortiz","given":"Gabriela"},{"family":"Ganpudi","given":"Ashwin"},{"family":"Kubota","given":"Akane"},{"family":"Imaizumi","given":"Takato"},{"family":"Halliday","given":"Karen J."}],"issued":{"date-parts":[["2018",10,9]]}}}],"schema":"https://github.com/citation-style-language/schema/raw/master/csl-citation.json"} </w:instrText>
      </w:r>
      <w:r w:rsidR="00485B98">
        <w:rPr>
          <w:rFonts w:ascii="Arial" w:hAnsi="Arial" w:cs="Arial"/>
        </w:rPr>
        <w:fldChar w:fldCharType="separate"/>
      </w:r>
      <w:r w:rsidR="00485B98" w:rsidRPr="00485B98">
        <w:rPr>
          <w:rFonts w:ascii="Arial" w:hAnsi="Arial" w:cs="Arial"/>
        </w:rPr>
        <w:t>(</w:t>
      </w:r>
      <w:proofErr w:type="spellStart"/>
      <w:r w:rsidR="00485B98" w:rsidRPr="00485B98">
        <w:rPr>
          <w:rFonts w:ascii="Arial" w:hAnsi="Arial" w:cs="Arial"/>
        </w:rPr>
        <w:t>Cortijo</w:t>
      </w:r>
      <w:proofErr w:type="spellEnd"/>
      <w:r w:rsidR="00485B98" w:rsidRPr="00485B98">
        <w:rPr>
          <w:rFonts w:ascii="Arial" w:hAnsi="Arial" w:cs="Arial"/>
        </w:rPr>
        <w:t xml:space="preserve"> et al., 2019; Dickinson et al., 2018; Ezer et al., 2017b; Grundy et al., 2015; Ingle et al., 2015; Micha</w:t>
      </w:r>
      <w:r w:rsidR="00485B98">
        <w:rPr>
          <w:rFonts w:ascii="Arial" w:hAnsi="Arial" w:cs="Arial"/>
        </w:rPr>
        <w:t xml:space="preserve">el et al., 2008; Seaton et al., </w:t>
      </w:r>
      <w:r w:rsidR="00485B98" w:rsidRPr="00485B98">
        <w:rPr>
          <w:rFonts w:ascii="Arial" w:hAnsi="Arial" w:cs="Arial"/>
        </w:rPr>
        <w:t>2018)</w:t>
      </w:r>
      <w:r w:rsidR="00485B98">
        <w:rPr>
          <w:rFonts w:ascii="Arial" w:hAnsi="Arial" w:cs="Arial"/>
        </w:rPr>
        <w:fldChar w:fldCharType="end"/>
      </w:r>
      <w:r w:rsidR="00485B98">
        <w:rPr>
          <w:rFonts w:ascii="Arial" w:hAnsi="Arial" w:cs="Arial"/>
        </w:rPr>
        <w:t>.</w:t>
      </w:r>
      <w:r w:rsidR="00BA10FA" w:rsidRPr="005D6489">
        <w:rPr>
          <w:rFonts w:ascii="Arial" w:hAnsi="Arial" w:cs="Arial"/>
        </w:rPr>
        <w:t> Secondly, this kind of study allows us to directly address how the transcriptome responds to a </w:t>
      </w:r>
      <w:r w:rsidR="00BA10FA" w:rsidRPr="005D6489">
        <w:rPr>
          <w:rFonts w:ascii="Arial" w:hAnsi="Arial" w:cs="Arial"/>
          <w:i/>
        </w:rPr>
        <w:t>light stimulus</w:t>
      </w:r>
      <w:r w:rsidR="00BA10FA" w:rsidRPr="005D6489">
        <w:rPr>
          <w:rFonts w:ascii="Arial" w:hAnsi="Arial" w:cs="Arial"/>
        </w:rPr>
        <w:t xml:space="preserve"> in the morning. Specifically, since we know the exact time that plants were first able to detect light, we can measure the exact time delay between this exposure and a change in gene expression.   Finally, farming in artificial lights is becoming common, and it is important to understand how crops respond to lighting conditions that are reminiscent of growth chambers </w:t>
      </w:r>
      <w:r w:rsidR="00485B98">
        <w:rPr>
          <w:rFonts w:ascii="Arial" w:hAnsi="Arial" w:cs="Arial"/>
        </w:rPr>
        <w:fldChar w:fldCharType="begin"/>
      </w:r>
      <w:r w:rsidR="00485B98">
        <w:rPr>
          <w:rFonts w:ascii="Arial" w:hAnsi="Arial" w:cs="Arial"/>
        </w:rPr>
        <w:instrText xml:space="preserve"> ADDIN ZOTERO_ITEM CSL_CITATION {"citationID":"p4s1SLzm","properties":{"formattedCitation":"(Dutta Gupta and Agarwal, 2017; Ibaraki, 2016; Olvera-Gonzalez et al., 2013)","plainCitation":"(Dutta Gupta and Agarwal, 2017; Ibaraki, 2016; Olvera-Gonzalez et al., 2013)","noteIndex":0},"citationItems":[{"id":3495,"uris":["http://zotero.org/users/2970095/items/BX95QRIU"],"uri":["http://zotero.org/users/2970095/items/BX95QRIU"],"itemData":{"id":3495,"type":"chapter","abstract":"The presence of favorable light environment is pivotal for optimal plant growth and development. Spatiotemporal deficits of natural light limit the plant productivity which results in poor quantitative and qualitative yield. In order to mitigate the situation, electrical lamps have been chosen as a reliable source of light for indoor cultivation. Over the years, various conventional light sources including incandescent lamps (ILs), fluorescent lamps (FLs), high-pressure mercury lamps (HPMLs), high-pressure sodium lamps (HPSLs), and metal-halide lamps (MHLs) have been employed for plant lighting in greenhouses and controlled environment cultivation facilities. However, these light sources suffer from certain drawbacks such as fixed spectral output, high-power requirement, emission of heat, and short life span. Invention of light-emitting diodes (LEDs) has changed the scenario for artificial lighting in all fields of application due to the numerous advanced features as compared to the conventional light sources. Emission spectrum and light intensity of LED panels can be tuned to match the light requirement of the plant species being grown. Low power consumption and long life span make LED lamps the ideal choice for plant lighting in small- and large-scale operations. Low heat emission, small size, and ease of handling add to the merits of LEDs.","container-title":"Light Emitting Diodes for Agriculture: Smart Lighting","event-place":"Singapore","ISBN":"978-981-10-5807-3","language":"en","note":"DOI: 10.1007/978-981-10-5807-3_1","page":"1-25","publisher":"Springer","publisher-place":"Singapore","source":"Springer Link","title":"Artificial Lighting System for Plant Growth and Development: Chronological Advancement, Working Principles, and Comparative Assessment","title-short":"Artificial Lighting System for Plant Growth and Development","URL":"https://doi.org/10.1007/978-981-10-5807-3_1","author":[{"family":"Dutta Gupta","given":"S."},{"family":"Agarwal","given":"A."}],"editor":[{"family":"Dutta Gupta","given":"S."}],"accessed":{"date-parts":[["2020",4,6]]},"issued":{"date-parts":[["2017"]]}}},{"id":3494,"uris":["http://zotero.org/users/2970095/items/YL6FRVX3"],"uri":["http://zotero.org/users/2970095/items/YL6FRVX3"],"itemData":{"id":3494,"type":"chapter","abstract":"As it is critical that plant growers improve the efficiency of their lighting when it uses artificial lighting, the lighting efficiency should be evaluated properly. One possible way to evaluate the lighting efficiency is to compare the amount of biomass produced per unit of energy used to irradiate the plants. A simpler index uses the fraction of the light energy or photons received by plants. Lighting efficiency can also be evaluated from the viewpoint of how much the irradiance/photon flux density on leaf surfaces can be improved. It is useful to obtain information of canopy structure or leaf spatial distribution in addition to determining plant mass (dry weight, fresh weight, or LAI) increments for evaluating the lighting efficiency. Modeling leaf growth and development can be used for this purpose.","container-title":"LED Lighting for Urban Agriculture","event-place":"Singapore","ISBN":"978-981-10-1848-0","language":"en","note":"DOI: 10.1007/978-981-10-1848-0_11","page":"151-161","publisher":"Springer","publisher-place":"Singapore","source":"Springer Link","title":"Lighting Efficiency in Plant Production Under Artificial Lighting and Plant Growth Modeling for Evaluating the Lighting Efficiency","URL":"https://doi.org/10.1007/978-981-10-1848-0_11","author":[{"family":"Ibaraki","given":"Yasuomi"}],"editor":[{"family":"Kozai","given":"Toyoki"},{"family":"Fujiwara","given":"Kazuhiro"},{"family":"Runkle","given":"Erik S."}],"accessed":{"date-parts":[["2020",4,6]]},"issued":{"date-parts":[["2016"]]}}},{"id":3496,"uris":["http://zotero.org/users/2970095/items/XZGL4HPT"],"uri":["http://zotero.org/users/2970095/items/XZGL4HPT"],"itemData":{"id":3496,"type":"article-journal","abstract":"A smart illumination system (ILSys) to study the growth process of green plants was developed. This system can control commercial LED lamps that can be turned on to emit continuous or pulsed light. ILSys was applied to determine the effect of pulsed light on the fluorescence emission in tomato plants (Lycopersicon esculentum). The fluorescence emission was measured when the plants were radiated with continuous light and light pulsed at different frequencies (0.1Hz, 1Hz, 10Hz, 50Hz, 100Hz, 500Hz, 1kHz, 5kHz, 10kHz, 50kHz and 100kHz). For the experiment three red and blue-LEDs lamps and a Pulse Modulated Chlorophyll Fluorescence Monitoring System were connected to the ILSys. Results showed the highest quantum efficiencies in the Photosystem II (φPSII) was obtained when applying pulse frequency of 0.1Hz and 1Hz with 50% light pulse width. ILSys allowed the finding of a significant difference in the response of the quantum efficiency in the Photosystem II between pulsed light at a number of frequencies and continuous light.","container-title":"Computers and Electronics in Agriculture","DOI":"10.1016/j.compag.2012.11.012","ISSN":"0168-1699","journalAbbreviation":"Computers and Electronics in Agriculture","language":"en","page":"48-53","source":"ScienceDirect","title":"Intelligent lighting system for plant growth and development","volume":"92","author":[{"family":"Olvera-Gonzalez","given":"Ernesto"},{"family":"Alaniz-Lumbreras","given":"Daniel"},{"family":"Ivanov-Tsonchev","given":"Rumen"},{"family":"Villa-Hernández","given":"Jesus"},{"family":"Olvera-Olvera","given":"Carlos"},{"family":"González-Ramírez","given":"Efrén"},{"family":"Araiza-Esquivel","given":"Ma"},{"family":"Torres-Argüelles","given":"Vianey"},{"family":"Castaño","given":"Víctor"}],"issued":{"date-parts":[["2013",3,1]]}}}],"schema":"https://github.com/citation-style-language/schema/raw/master/csl-citation.json"} </w:instrText>
      </w:r>
      <w:r w:rsidR="00485B98">
        <w:rPr>
          <w:rFonts w:ascii="Arial" w:hAnsi="Arial" w:cs="Arial"/>
        </w:rPr>
        <w:fldChar w:fldCharType="separate"/>
      </w:r>
      <w:r w:rsidR="00485B98" w:rsidRPr="00485B98">
        <w:rPr>
          <w:rFonts w:ascii="Arial" w:hAnsi="Arial" w:cs="Arial"/>
        </w:rPr>
        <w:t>(Dutta Gupta and Agarwal, 2017; Ibaraki, 2016; Olvera-Gonzalez et al., 2013)</w:t>
      </w:r>
      <w:r w:rsidR="00485B98">
        <w:rPr>
          <w:rFonts w:ascii="Arial" w:hAnsi="Arial" w:cs="Arial"/>
        </w:rPr>
        <w:fldChar w:fldCharType="end"/>
      </w:r>
      <w:r w:rsidR="00485B98">
        <w:rPr>
          <w:rFonts w:ascii="Arial" w:hAnsi="Arial" w:cs="Arial"/>
        </w:rPr>
        <w:t>.</w:t>
      </w:r>
    </w:p>
    <w:p w14:paraId="235DB7C9" w14:textId="77777777" w:rsidR="009C304E" w:rsidRPr="005D6489" w:rsidRDefault="00BA10FA" w:rsidP="005D6489">
      <w:pPr>
        <w:pStyle w:val="BodyText"/>
        <w:spacing w:line="360" w:lineRule="auto"/>
        <w:rPr>
          <w:rFonts w:ascii="Arial" w:hAnsi="Arial" w:cs="Arial"/>
        </w:rPr>
      </w:pPr>
      <w:r w:rsidRPr="005D6489">
        <w:rPr>
          <w:rFonts w:ascii="Arial" w:hAnsi="Arial" w:cs="Arial"/>
        </w:rPr>
        <w:t> </w:t>
      </w:r>
    </w:p>
    <w:p w14:paraId="5D6051B1" w14:textId="77777777" w:rsidR="009C304E" w:rsidRPr="008C6C8F" w:rsidRDefault="00BA10FA" w:rsidP="005D6489">
      <w:pPr>
        <w:pStyle w:val="Heading2"/>
        <w:spacing w:line="360" w:lineRule="auto"/>
        <w:rPr>
          <w:rFonts w:ascii="Arial" w:hAnsi="Arial" w:cs="Arial"/>
          <w:sz w:val="28"/>
        </w:rPr>
      </w:pPr>
      <w:bookmarkStart w:id="14" w:name="phytochromes-and-cryptochromes-coordinat"/>
      <w:bookmarkEnd w:id="14"/>
      <w:r w:rsidRPr="008C6C8F">
        <w:rPr>
          <w:rFonts w:ascii="Arial" w:hAnsi="Arial" w:cs="Arial"/>
          <w:sz w:val="28"/>
        </w:rPr>
        <w:lastRenderedPageBreak/>
        <w:t>Phytochromes and cryptochromes coordinate light responses in the early morning via HY5 and BBX transcription factors</w:t>
      </w:r>
    </w:p>
    <w:p w14:paraId="532ACB91" w14:textId="46DA7A39" w:rsidR="009C304E" w:rsidRPr="00485B98" w:rsidRDefault="00BA10FA" w:rsidP="00801F74">
      <w:pPr>
        <w:pStyle w:val="FirstParagraph"/>
        <w:spacing w:line="360" w:lineRule="auto"/>
        <w:rPr>
          <w:rFonts w:ascii="Arial" w:hAnsi="Arial" w:cs="Arial"/>
          <w:lang w:val="en-GB"/>
        </w:rPr>
      </w:pPr>
      <w:r w:rsidRPr="005D6489">
        <w:rPr>
          <w:rFonts w:ascii="Arial" w:hAnsi="Arial" w:cs="Arial"/>
        </w:rPr>
        <w:t>Our time course data allowed us to infer a high-confidence transcriptional network that controls the dawn burst in gene expression. HY5 and BBX family proteins appear at the core of this network downstream of phytochrome and cryptochrome photoreceptors and are likely to coordinate the early and late waves of gene e</w:t>
      </w:r>
      <w:r w:rsidR="006942CB">
        <w:rPr>
          <w:rFonts w:ascii="Arial" w:hAnsi="Arial" w:cs="Arial"/>
        </w:rPr>
        <w:t xml:space="preserve">xpression in the early morning. </w:t>
      </w:r>
      <w:r w:rsidR="00801F74">
        <w:rPr>
          <w:rFonts w:ascii="Arial" w:hAnsi="Arial" w:cs="Arial"/>
        </w:rPr>
        <w:t>Notably, while loss of phytochrome function on its own strongly affects the pre-dawn peak in DNA binding genes, phytochromes and cryptochromes can compensate for each other’s function in controlling the post-dawn HY5/BBX subnetwork, at least under white light. They</w:t>
      </w:r>
      <w:r w:rsidRPr="005D6489">
        <w:rPr>
          <w:rFonts w:ascii="Arial" w:hAnsi="Arial" w:cs="Arial"/>
        </w:rPr>
        <w:t xml:space="preserve"> induce both positive (</w:t>
      </w:r>
      <w:r w:rsidRPr="005D6489">
        <w:rPr>
          <w:rFonts w:ascii="Arial" w:hAnsi="Arial" w:cs="Arial"/>
          <w:i/>
        </w:rPr>
        <w:t>HY5</w:t>
      </w:r>
      <w:r w:rsidRPr="005D6489">
        <w:rPr>
          <w:rFonts w:ascii="Arial" w:hAnsi="Arial" w:cs="Arial"/>
        </w:rPr>
        <w:t>, </w:t>
      </w:r>
      <w:r w:rsidRPr="005D6489">
        <w:rPr>
          <w:rFonts w:ascii="Arial" w:hAnsi="Arial" w:cs="Arial"/>
          <w:i/>
        </w:rPr>
        <w:t>HYH</w:t>
      </w:r>
      <w:r w:rsidRPr="005D6489">
        <w:rPr>
          <w:rFonts w:ascii="Arial" w:hAnsi="Arial" w:cs="Arial"/>
        </w:rPr>
        <w:t>) and negative (</w:t>
      </w:r>
      <w:r w:rsidRPr="005D6489">
        <w:rPr>
          <w:rFonts w:ascii="Arial" w:hAnsi="Arial" w:cs="Arial"/>
          <w:i/>
        </w:rPr>
        <w:t>BBX</w:t>
      </w:r>
      <w:r w:rsidRPr="005D6489">
        <w:rPr>
          <w:rFonts w:ascii="Arial" w:hAnsi="Arial" w:cs="Arial"/>
        </w:rPr>
        <w:t xml:space="preserve"> Set A) regulators of light responses, while they simultaneously repress other photomorphogenesis-promoting factors (</w:t>
      </w:r>
      <w:r w:rsidRPr="005D6489">
        <w:rPr>
          <w:rFonts w:ascii="Arial" w:hAnsi="Arial" w:cs="Arial"/>
          <w:i/>
        </w:rPr>
        <w:t>BBX</w:t>
      </w:r>
      <w:r w:rsidRPr="005D6489">
        <w:rPr>
          <w:rFonts w:ascii="Arial" w:hAnsi="Arial" w:cs="Arial"/>
        </w:rPr>
        <w:t xml:space="preserve"> Set B). </w:t>
      </w:r>
      <w:r w:rsidRPr="005D6489">
        <w:rPr>
          <w:rFonts w:ascii="Arial" w:hAnsi="Arial" w:cs="Arial"/>
          <w:i/>
        </w:rPr>
        <w:t>HY5</w:t>
      </w:r>
      <w:r w:rsidRPr="005D6489">
        <w:rPr>
          <w:rFonts w:ascii="Arial" w:hAnsi="Arial" w:cs="Arial"/>
        </w:rPr>
        <w:t xml:space="preserve"> and </w:t>
      </w:r>
      <w:r w:rsidRPr="005D6489">
        <w:rPr>
          <w:rFonts w:ascii="Arial" w:hAnsi="Arial" w:cs="Arial"/>
          <w:i/>
        </w:rPr>
        <w:t>HYH</w:t>
      </w:r>
      <w:r w:rsidRPr="005D6489">
        <w:rPr>
          <w:rFonts w:ascii="Arial" w:hAnsi="Arial" w:cs="Arial"/>
        </w:rPr>
        <w:t xml:space="preserve"> are not only induced by light at the transcriptional level, but the respective proteins are also </w:t>
      </w:r>
      <w:proofErr w:type="spellStart"/>
      <w:r w:rsidRPr="005D6489">
        <w:rPr>
          <w:rFonts w:ascii="Arial" w:hAnsi="Arial" w:cs="Arial"/>
        </w:rPr>
        <w:t>stabilised</w:t>
      </w:r>
      <w:proofErr w:type="spellEnd"/>
      <w:r w:rsidRPr="005D6489">
        <w:rPr>
          <w:rFonts w:ascii="Arial" w:hAnsi="Arial" w:cs="Arial"/>
        </w:rPr>
        <w:t xml:space="preserve"> through light-induced inactivation of the </w:t>
      </w:r>
      <w:r w:rsidR="009004D4">
        <w:rPr>
          <w:rFonts w:ascii="Arial" w:hAnsi="Arial" w:cs="Arial"/>
        </w:rPr>
        <w:t>COP1/SPA</w:t>
      </w:r>
      <w:r w:rsidRPr="005D6489">
        <w:rPr>
          <w:rFonts w:ascii="Arial" w:hAnsi="Arial" w:cs="Arial"/>
        </w:rPr>
        <w:t xml:space="preserve"> repressor complex </w:t>
      </w:r>
      <w:r w:rsidR="00485B98">
        <w:rPr>
          <w:rFonts w:ascii="Arial" w:hAnsi="Arial" w:cs="Arial"/>
        </w:rPr>
        <w:fldChar w:fldCharType="begin"/>
      </w:r>
      <w:r w:rsidR="00485B98">
        <w:rPr>
          <w:rFonts w:ascii="Arial" w:hAnsi="Arial" w:cs="Arial"/>
        </w:rPr>
        <w:instrText xml:space="preserve"> ADDIN ZOTERO_ITEM CSL_CITATION {"citationID":"bjRWYYCk","properties":{"formattedCitation":"(Holm et al., 2002; Osterlund et al., 2000; Saijo et al., 2003)","plainCitation":"(Holm et al., 2002; Osterlund et al., 2000; Saijo et al., 2003)","noteIndex":0},"citationItems":[{"id":3191,"uris":["http://zotero.org/users/2970095/items/LQ6Q4DGR"],"uri":["http://zotero.org/users/2970095/items/LQ6Q4DGR"],"itemData":{"id":3191,"type":"article-journal","abstract":"Arabidopsis COP1 acts to repress photomorphogenesis in the absence of light. It was shown that in the dark, COP1 directly interacts with the bZIP transcription factor HY5, a positive regulator of photomorphogenesis, and promotes its proteasome-mediated degradation. Here we identify a novel bZIP protein HYH, as a new target of COP1. We identify a physical and genetic interaction between HYH and COP1 and show that this interaction results in dark-specific degradation of HYH. Genetic analysis indicates that HYH is predominantly involved in blue-light regulation of development and gene expression, and that the function of HYH in part overlaps with that of HY5. The accumulation of HYH protein, not the mRNA, is dependent on the presence of HY5. Our data suggest that HYH and HY5 can, respectively, act as heterodimers and homodimers, thus mediating light-regulated expression of overlapping as well as distinct target genes. We propose that COP1 mediates light control of gene expression through targeted degradation of multiple photomorphogenesis-promoting transcription factors in the nucleus.","container-title":"Genes &amp; Development","DOI":"10.1101/gad.969702","ISSN":"0890-9369, 1549-5477","issue":"10","journalAbbreviation":"Genes Dev.","language":"en","note":"PMID: 12023303","page":"1247-1259","source":"genesdev.cshlp.org","title":"Two interacting bZIP proteins are direct targets of COP1-mediated control of light-dependent gene expression in Arabidopsis","volume":"16","author":[{"family":"Holm","given":"Magnus"},{"family":"Ma","given":"Li-Geng"},{"family":"Qu","given":"Li-Jia"},{"family":"Deng","given":"Xing-Wang"}],"issued":{"date-parts":[["2002",5,15]]}}},{"id":3534,"uris":["http://zotero.org/users/2970095/items/E48IC9BE"],"uri":["http://zotero.org/users/2970095/items/E48IC9BE"],"itemData":{"id":3534,"type":"article-journal","abstract":"Arabidopsis seedlings display contrasting developmental patterns depending on the ambient light. Seedlings grown in the light develop photomorphogenically, characterized by short hypocotyls and expanded green cotyledons. In contrast, seedlings grown in darkness become etiolated, with elongated hypocotyls and dosed cotyledons on an apical hook. Light signals, perceived by multiple photoreceptors and transduced to downstream regulators, dictate the extent of photomorphogenic development in a quantitative manner. Two key downstream components, COP1 and HY5, act antagonistically in regulating seedling development. HY5 is a bZIP transcription factor that binds directly to the promoters of light-inducible genes, promoting their expression and photomorphogenic development. COP1 is a RING-finger protein with WD-40 repeats whose nuclear abundance is negatively regulated by light. COP1 interacts directly with HY5 in the nucleus to regulate its activity negatively. Here we show that the abundance of HY5 is directly correlated with the extent of photomorphogenic development, and that the COP1-HY5 interaction may specifically target HY5 for proteasome-mediated degradation in the nucleus.","container-title":"Nature","DOI":"10.1038/35013076","ISSN":"0028-0836","issue":"6785","journalAbbreviation":"Nature","language":"eng","note":"PMID: 10839542","page":"462-466","source":"PubMed","title":"Targeted destabilization of HY5 during light-regulated development of Arabidopsis","volume":"405","author":[{"family":"Osterlund","given":"M. T."},{"family":"Hardtke","given":"C. S."},{"family":"Wei","given":"N."},{"family":"Deng","given":"X. W."}],"issued":{"date-parts":[["2000",5,25]]}}},{"id":356,"uris":["http://zotero.org/users/2970095/items/QT28Z9M6"],"uri":["http://zotero.org/users/2970095/items/QT28Z9M6"],"itemData":{"id":356,"type":"article-journal","abstract</w:instrText>
      </w:r>
      <w:r w:rsidR="00485B98" w:rsidRPr="004E0A36">
        <w:rPr>
          <w:rFonts w:ascii="Arial" w:hAnsi="Arial" w:cs="Arial"/>
          <w:lang w:val="en-GB"/>
        </w:rPr>
        <w:instrText xml:space="preserve">":"Arabidopsis COP1 is a constitutive repressor of photomorphogenesis that interacts with photomorphogenesis-promoting factors such as HY5 to promote their proteasome-mediated degradation. SPA1 is a repressor of phytochrome A-mediated responses to far-red light. Here we report that COP1 acts as part of a large protein complex and interacts with SPA1 in a light-dependent manner. We further demonstrate the E3 ubiquitin ligase activity of COP1 on HY5 in vitro and the alteration of that activity by SPA1. Thus, the COP1-SPA1 interaction defines a critical step in coordinating COP1-mediated ubiquitination and subsequent degradation of HY5 with PHYA signaling.","container-title":"Genes &amp; Development","DOI":"10.1101/gad.1122903","ISSN":"0890-9369, 1549-5477","issue":"21","journalAbbreviation":"Genes Dev.","language":"en","note":"PMID: 14597662","page":"2642-2647","source":"genesdev.cshlp.org","title":"The COP1–SPA1 interaction defines a critical step in phytochrome A-mediated regulation of HY5 activity","volume":"17","author":[{"family":"Saijo","given":"Yusuke"},{"family":"Sullivan","given":"James A."},{"family":"Wang","given":"Haiyang"},{"family":"Yang","given":"Jianping"},{"family":"Shen","given":"Yunping"},{"family":"Rubio","given":"Vicente"},{"family":"Ma","given":"Ligeng"},{"family":"Hoecker","given":"Ute"},{"family":"Deng","given":"Xing Wang"}],"issued":{"date-parts":[["2003",1,11]]}}}],"schema":"https://github.com/citation-style-language/schema/raw/master/csl-citation.json"} </w:instrText>
      </w:r>
      <w:r w:rsidR="00485B98">
        <w:rPr>
          <w:rFonts w:ascii="Arial" w:hAnsi="Arial" w:cs="Arial"/>
        </w:rPr>
        <w:fldChar w:fldCharType="separate"/>
      </w:r>
      <w:r w:rsidR="00485B98" w:rsidRPr="004E0A36">
        <w:rPr>
          <w:rFonts w:ascii="Arial" w:hAnsi="Arial" w:cs="Arial"/>
          <w:lang w:val="en-GB"/>
        </w:rPr>
        <w:t>(Holm et al., 2002; Osterlund et al., 2000; Saijo et al., 2003)</w:t>
      </w:r>
      <w:r w:rsidR="00485B98">
        <w:rPr>
          <w:rFonts w:ascii="Arial" w:hAnsi="Arial" w:cs="Arial"/>
        </w:rPr>
        <w:fldChar w:fldCharType="end"/>
      </w:r>
      <w:r w:rsidRPr="004E0A36">
        <w:rPr>
          <w:rFonts w:ascii="Arial" w:hAnsi="Arial" w:cs="Arial"/>
          <w:lang w:val="en-GB"/>
        </w:rPr>
        <w:t xml:space="preserve">. </w:t>
      </w:r>
      <w:r w:rsidRPr="005D6489">
        <w:rPr>
          <w:rFonts w:ascii="Arial" w:hAnsi="Arial" w:cs="Arial"/>
        </w:rPr>
        <w:t xml:space="preserve">Boosting HY5 and HYH protein levels via both mechanisms will trigger light responses in the early morning, but this process may require fine-tuning through other factors including BBX proteins. BBX24, BBX25 and BBX32 interfere with HY5 transcriptional activity through direct interaction </w:t>
      </w:r>
      <w:r w:rsidR="00485B98">
        <w:rPr>
          <w:rFonts w:ascii="Arial" w:hAnsi="Arial" w:cs="Arial"/>
        </w:rPr>
        <w:fldChar w:fldCharType="begin"/>
      </w:r>
      <w:r w:rsidR="00485B98">
        <w:rPr>
          <w:rFonts w:ascii="Arial" w:hAnsi="Arial" w:cs="Arial"/>
        </w:rPr>
        <w:instrText xml:space="preserve"> ADDIN ZOTERO_ITEM CSL_CITATION {"citationID":"R5gDptD7","properties":{"formattedCitation":"(Gangappa et al., 2013; Holtan et al., 2011; Job et al., 2018)","plainCitation":"(Gangappa et al., 2013; Holtan et al., 2011; Job et al., 2018)","noteIndex":0},"citationItems":[{"id":3208,"uris":["http://zotero.org/users/2970095/items/FGJE7PAB"],"uri":["http://zotero.org/users/2970095/items/FGJE7PAB"],"itemData":{"id":3208,"type":"article-journal","abstract":"The B-box domains of BBX25 physically interact with the bZIP domain of HY5, and BBX24 and BBX25 inhibit the activation of BBX22 expression by HY5, probably by forming inactive heterodimers. In contrast with their role during deetiolation, BBX24 and BBX25 can switch roles and function independently of HY5 in the hypocotyl shade avoidance response., ELONGATED HYPOCOTYL5 (HY5) is a basic domain/leucine zipper (bZIP) transcription factor, central for the regulation of seedling photomorphogenesis. Here, we identified a B-BOX (BBX)–containing protein, BBX25/SALT TOLERANCE HOMOLOG, as an interacting partner of HY5, which has been previously found to physically interact with CONSTITUTIVE PHOTOMORPHOGENIC1 (COP1). BBX25 physically interacts with HY5 both in vitro and in vivo. By physiological and genetic approaches, we showed that BBX25 is a negative regulator of seedling photomorphogenesis. BBX25 and its homolog BBX24 regulate deetiolation processes and hypocotyl shade avoidance response in an additive manner. Moreover, genetic relationships of bbx25 and bbx24 with hy5 and cop1 revealed that BBX25 and BBX24 additively enhance COP1 and suppress HY5 functions. BBX25 accumulates in a light-dependent manner and undergoes COP1-mediated degradation in dark and light conditions. Furthermore, a protoplast cotransfection assay showed that BBX24 and BBX25 repress BBX22 expression by interfering with HY5 transcriptional activity. As HY5 binds to the BBX22 promoter and promotes its expression, our results identify a direct mechanism through which the expression of BBX22 is regulated. We suggest that BBX25 and BBX24 function as transcriptional corepressors, probably by forming inactive heterodimers with HY5, downregulating BBX22 expression for the fine-tuning of light-mediated seedling development.","container-title":"The Plant Cell","DOI":"10.1105/tpc.113.109751","ISSN":"1040-4651","issue":"4","journalAbbreviation":"Plant Cell","note":"PMID: 23624715\nPMCID: PMC3663265","page":"1243-1257","source":"PubMed Central","title":"The Arabidopsis B-BOX Protein BBX25 Interacts with HY5, Negatively Regulating BBX22 Expression to Suppress Seedling Photomorphogenesis[C][W]","volume":"25","author":[{"family":"Gangappa","given":"Sreeramaiah N."},{"family":"Crocco","given":"Carlos D."},{"family":"Johansson","given":"Henrik"},{"family":"Datta","given":"Sourav"},{"family":"Hettiarachchi","given":"Chamari"},{"family":"Holm","given":"Magnus"},{"family":"Botto","given":"Javier F."}],"issued":{"date-parts":[["2013",4]]}}},{"id":3195,"uris":["http://zotero.org/users/2970095/items/W9M3HG7M"],"uri":["http://zotero.org/users/2970095/items/W9M3HG7M"],"itemData":{"id":3195,"type":"article-journal","abstract":"A B-box zinc finger protein, B-BOX32 (BBX32), was identified as playing a role in determining hypocotyl length during a large-scale functional genomics study in Arabidopsis (Arabidopsis thaliana). Further analysis revealed that seedlings overexpressing BBX32 display elongated hypocotyls in red, far-red, and blue light, along with reduced cotyledon expansion in red light. Through comparative analysis of mutant and overexpression line phenotypes, including global expression profiling and growth curve studies, we demonstrate that BBX32 acts antagonistically to ELONGATED HYPOCOTYL5 (HY5). We further show that BBX32 interacts with SALT TOLERANCE HOMOLOG2/BBX21, another B-box protein previously shown to interact with HY5. Based on these data, we propose that BBX32 functions downstream of multiple photoreceptors as a modulator of light responses. As such, BBX32 potentially has a native role in mediating gene repression to maintain dark adaptation.","container-title":"Plant Physiology","DOI":"10.1104/pp.111.177139","ISSN":"0032-0889","issue":"4","journalAbbreviation":"Plant Physiol","note":"PMID: 21632973\nPMCID: PMC3149924","page":"2109-2123","source":"PubMed Central","title":"BBX32, an Arabidopsis B-Box Protein, Functions in Light Signaling by Suppressing HY5-Regulated Gene Expression and Interacting with STH2/BBX21[W][OA]","volume":"156","author":[{"family":"Holtan","given":"Hans E."},{"family":"Bandong","given":"Simona"},{"family":"Marion","given":"Colleen M."},{"family":"Adam","given":"Luc"},{"family":"Tiwari","given":"Shiv"},{"family":"Shen","given":"Yu"},{"family":"Maloof","given":"Julin N."},{"family":"Maszle","given":"Don R."},{"family":"Ohto","given":"Masa-aki"},{"family":"Preuss","given":"Sasha"},{"family":"Meister","given":"Rob"},{"family":"Petracek","given":"Marie"},{"family":"Repetti","given":"Peter P."},{"family":"Reuber","given":"T. Lynne"},{"family":"Ratcliffe","given":"Oliver J."},{"family":"Khanna","given":"Rajnish"}],"issued":{"date-parts":[["2011",8]]}}},{"id":3198,"uris":["http://zotero.org/users/2970095/items/5ANXPXFU"],"uri":["http://zotero.org/users/2970095/items/5ANXPXFU"],"itemData":{"id":3198,"type":"article-journal","abstract":"The Arabidopsis (Arabidopsis thaliana) BBX family comprises several positive and negative regulators of photomorphogenesis. BBX24, a member of BBX structural group IV, acts as a negative regulator of photomorphogenesis, whereas another member from the same group, BBX21, is a positive regulator. The molecular basis for the functional diversity shown by these related BBX family members is unknown. Using domain-swap lines, we show that the C-terminal regions of BBX24 and BBX21 specify their function. Because both BBX21 and BBX24 work in close association with HY5, we hypothesized that these proteins differentially regulate the levels or activity of HY5 to fulfill their opposite roles. We show that BBX21 can regulate HY5 post-transcriptionally and the two proteins can coordinate to promote photomorphogenesis. By contrast, BBX24 interferes with the binding of HY5 to the promoter of an anthocyanin biosynthetic gene, possibly by heterodimerizing with HY5 and preventing it from binding DNA. Our finding that both BBX21 and BBX24 regulate HY5 activity post-transcriptionally, in opposite ways, suggests that closely related B-box proteins execute contrasting functions through differential regulation of HY5.","container-title":"Plant Physiology","DOI":"10.1104/pp.17.00856","ISSN":"0032-0889, 1532-2548","issue":"4","language":"en","note":"PMID: 29439209","page":"2963-2976","source":"www.plantphysiol.org","title":"Two B-Box Proteins Regulate Photomorphogenesis by Oppositely Modulating HY5 through their Diverse C-Terminal Domains","volume":"176","author":[{"family":"Job","given":"Nikhil"},{"family":"Yadukrishnan","given":"Premachandran"},{"family":"Bursch","given":"Katharina"},{"family":"Datta","given":"Sourav"},{"family":"Johansson","given":"Henrik"}],"issued":{"date-parts":[["2018",4,1]]}}}],"schema":"https://github.com/citation-style-language/schema/raw/master/csl-citation.json"} </w:instrText>
      </w:r>
      <w:r w:rsidR="00485B98">
        <w:rPr>
          <w:rFonts w:ascii="Arial" w:hAnsi="Arial" w:cs="Arial"/>
        </w:rPr>
        <w:fldChar w:fldCharType="separate"/>
      </w:r>
      <w:r w:rsidR="00485B98" w:rsidRPr="00485B98">
        <w:rPr>
          <w:rFonts w:ascii="Arial" w:hAnsi="Arial" w:cs="Arial"/>
        </w:rPr>
        <w:t>(Gangappa et al., 2013; Holtan et al., 2011; Job et al., 2018)</w:t>
      </w:r>
      <w:r w:rsidR="00485B98">
        <w:rPr>
          <w:rFonts w:ascii="Arial" w:hAnsi="Arial" w:cs="Arial"/>
        </w:rPr>
        <w:fldChar w:fldCharType="end"/>
      </w:r>
      <w:r w:rsidRPr="005D6489">
        <w:rPr>
          <w:rFonts w:ascii="Arial" w:hAnsi="Arial" w:cs="Arial"/>
        </w:rPr>
        <w:t>, while BBX30 and BBX31 act downstream of HY5 to promote elongation growth</w:t>
      </w:r>
      <w:r w:rsidR="00485B98">
        <w:rPr>
          <w:rFonts w:ascii="Arial" w:hAnsi="Arial" w:cs="Arial"/>
        </w:rPr>
        <w:t xml:space="preserve"> </w:t>
      </w:r>
      <w:r w:rsidR="00485B98">
        <w:rPr>
          <w:rFonts w:ascii="Arial" w:hAnsi="Arial" w:cs="Arial"/>
        </w:rPr>
        <w:fldChar w:fldCharType="begin"/>
      </w:r>
      <w:r w:rsidR="00485B98">
        <w:rPr>
          <w:rFonts w:ascii="Arial" w:hAnsi="Arial" w:cs="Arial"/>
        </w:rPr>
        <w:instrText xml:space="preserve"> ADDIN ZOTERO_ITEM CSL_CITATION {"citationID":"g96wJOmk","properties":{"formattedCitation":"(Heng et al., 2019)","plainCitation":"(Heng et al., 2019)","noteIndex":0},"citationItems":[{"id":3177,"uris":["http://zotero.org/users/2970095/items/RMJXBLM8"],"uri":["http://zotero.org/users/2970095/items/RMJXBLM8"],"itemData":{"id":3177,"type":"article-journal","abstract":"Light-mediated seedling development is coordinately controlled by a variety of key regulators. Here, we identified two B-box (BBX)-containing proteins, BBX30 and BBX31, as repressors of photomorphogenesis. ELONGATED HYPOCOTYL5, a central regulator of light signaling, directly binds to the G-box cis-element present in the promoters of BBX30 and BBX31 and negatively controls their transcription levels in the light. Seedlings with mutations in BBX30 or BBX31 are hypersensitive to light, whereas the overexpression of BBX30 or BBX31 leads to hypo-photomorphogenic growth in the light. Furthermore, transgenic and phenotypic analysis revealed that the B-box domain of BBX30 or BBX31 is essential for their respective functioning in the regulation of photomorphogenic development in plants. In conclusion, BBX30 and BBX31 act as key negative regulators of light signaling, and their transcription is repressed by ELONGATED HYPOCOTYL5 through directly associating with their promoters.","container-title":"Plant Physiology","DOI":"10.1104/pp.18.01244","ISSN":"0032-0889, 1532-2548","issue":"1","language":"en","note":"PMID: 30765480","page":"497-508","source":"www.plantphysiol.org","title":"B-Box Containing Proteins BBX30 and BBX31, Acting Downstream of HY5, Negatively Regulate Photomorphogenesis in Arabidopsis","volume":"180","author":[{"family":"Heng","given":"Yueqin"},{"family":"Lin","given":"Fang"},{"family":"Jiang","given":"Yan"},{"family":"Ding","given":"Mingquan"},{"family":"Yan","given":"Tingting"},{"family":"Lan","given":"Hongxia"},{"family":"Zhou","given":"Hua"},{"family":"Zhao","given":"Xianhai"},{"family":"Xu","given":"Dongqing"},{"family":"Deng","given":"Xing Wang"}],"issued":{"date-parts":[["2019",5,1]]}}}],"schema":"https://github.com/citation-style-language/schema/raw/master/csl-citation.json"} </w:instrText>
      </w:r>
      <w:r w:rsidR="00485B98">
        <w:rPr>
          <w:rFonts w:ascii="Arial" w:hAnsi="Arial" w:cs="Arial"/>
        </w:rPr>
        <w:fldChar w:fldCharType="separate"/>
      </w:r>
      <w:r w:rsidR="00485B98" w:rsidRPr="00485B98">
        <w:rPr>
          <w:rFonts w:ascii="Arial" w:hAnsi="Arial" w:cs="Arial"/>
        </w:rPr>
        <w:t>(Heng et al., 2019)</w:t>
      </w:r>
      <w:r w:rsidR="00485B98">
        <w:rPr>
          <w:rFonts w:ascii="Arial" w:hAnsi="Arial" w:cs="Arial"/>
        </w:rPr>
        <w:fldChar w:fldCharType="end"/>
      </w:r>
      <w:r w:rsidRPr="005D6489">
        <w:rPr>
          <w:rFonts w:ascii="Arial" w:hAnsi="Arial" w:cs="Arial"/>
        </w:rPr>
        <w:t xml:space="preserve">. BBX20 and BBX21 on the other hand promote HY5 function by increasing </w:t>
      </w:r>
      <w:r w:rsidRPr="005D6489">
        <w:rPr>
          <w:rFonts w:ascii="Arial" w:hAnsi="Arial" w:cs="Arial"/>
          <w:i/>
        </w:rPr>
        <w:t>HY5</w:t>
      </w:r>
      <w:r w:rsidRPr="005D6489">
        <w:rPr>
          <w:rFonts w:ascii="Arial" w:hAnsi="Arial" w:cs="Arial"/>
        </w:rPr>
        <w:t xml:space="preserve"> transcript level and post-translationally enhancing HY5 activity</w:t>
      </w:r>
      <w:r w:rsidR="00485B98">
        <w:rPr>
          <w:rFonts w:ascii="Arial" w:hAnsi="Arial" w:cs="Arial"/>
        </w:rPr>
        <w:t xml:space="preserve"> </w:t>
      </w:r>
      <w:r w:rsidR="00485B98">
        <w:rPr>
          <w:rFonts w:ascii="Arial" w:hAnsi="Arial" w:cs="Arial"/>
        </w:rPr>
        <w:fldChar w:fldCharType="begin"/>
      </w:r>
      <w:r w:rsidR="00BA2F83">
        <w:rPr>
          <w:rFonts w:ascii="Arial" w:hAnsi="Arial" w:cs="Arial"/>
        </w:rPr>
        <w:instrText xml:space="preserve"> ADDIN ZOTERO_ITEM CSL_CITATION {"citationID":"aGUYY9MT","properties":{"formattedCitation":"(Bursch et al., 2020; Job et al., 2018; Wei et al., 2016; Xu et al., 2018)","plainCitation":"(Bursch et al., 2020; Job et al., 2018; Wei et al., 2016; Xu et al., 2018)","noteIndex":0},"citationItems":[{"id":3858,"uris":["http://zotero.org/users/2970095/items/F3MDV5MB"],"uri":["http://zotero.org/users/2970095/items/F3MDV5MB"],"itemData":{"id":3858,"type":"article-journal","abstract":"As a source of both energy and environmental information, monitoring of incoming light is crucial for plants to optimize growth throughout development1. Concordantly, the light signalling pathways in plants are highly integrated with numerous other regulatory pathways2,3. One of these signal integrators is the basic leucine zipper domain (bZIP) transcription factor LONG HYPOCOTYL 5 (HY5), which has a key role as a positive regulator of light signalling in plants4,5. Although HY5 is thought to act as a DNA-binding transcriptional regulator6,7, the lack of any apparent transactivation domain8 makes it unclear how HY5 is able to accomplish its many functions. Here we describe the identification of three B-box containing proteins (BBX20, BBX21 and BBX22) as essential partners for HY5-dependent modulation of hypocotyl elongation, anthocyanin accumulation and transcriptional regulation. The bbx20 bbx21 bbx22 (bbx202122) triple mutant mimics the phenotypes of hy5 in the light and its ability to suppress the cop1 mutant phenotype in darkness. Furthermore, 84% of genes that exhibit differential expression in bbx202122 are also regulated by HY5, and we provide evidence that HY5 requires the B-box proteins for transcriptional regulation. Finally, expression of a truncated dark-stable version of HY5 (HY5(ΔN77)) together with BBX21 mutated in its VP motif strongly promoted de-etiolation in dark-grown seedlings, demonstrating the functional interdependence of these factors. In sum, this work clarifies long-standing questions regarding HY5 action and provides an example of how a master regulator might gain both specificity and dynamicity through the obligate dependence of cofactors.","container-title":"Nature Plants","DOI":"10.1038/s41477-020-0725-0","ISSN":"2055-0278","language":"en","note":"publisher: Nature Publishing Group","page":"1-8","source":"www.nature.com","title":"Identification of BBX proteins as rate-limiting cofactors of HY5","author":[{"family":"Bursch","given":"Katharina"},{"family":"Toledo-Ortiz","given":"Gabriela"},{"family":"Pireyre","given":"Marie"},{"family":"Lohr","given":"Miriam"},{"family":"Braatz","given":"Cordula"},{"family":"Johansson","given":"Henrik"}],"issued":{"date-parts":[["2020",7,13]]}}},{"id":3198,"uris":["http://zotero.org/users/2970095/items/5ANXPXFU"],"uri":["http://zotero.org/users/2970095/items/5ANXPXFU"],"itemData":{"id":3198,"type":"article-journal","abstract":"The Arabidopsis (Arabidopsis thaliana) BBX family comprises several positive and negative regulators of photomorphogenesis. BBX24, a member of BBX structural group IV, acts as a negative regulator of photomorphogenesis, whereas another member from the same group, BBX21, is a positive regulator. The molecular basis for the functional diversity shown by these related BBX family members is unknown. Using domain-swap lines, we show that the C-terminal regions of BBX24 and BBX21 specify their function. Because both BBX21 and BBX24 work in close association with HY5, we hypothesized that these proteins differentially regulate the levels or activity of HY5 to fulfill their opposite roles. We show that BBX21 can regulate HY5 post-transcriptionally and the two proteins can coordinate to promote photomorphogenesis. By contrast, BBX24 interferes with the binding of HY5 to the promoter of an anthocyanin biosynthetic gene, possibly by heterodimerizing with HY5 and preventing it from binding DNA. Our finding that both BBX21 and BBX24 regulate HY5 activity post-transcriptionally, in opposite ways, suggests that closely related B-box proteins execute contrasting functions through differential regulation of HY5.","container-title":"Plant Physiology","DOI":"10.1104/pp.17.00856","ISSN":"0032-0889, 1532-2548","issue":"4","language":"en","note":"PMID: 29439209","page":"2963-2976","source":"www.plantphysiol.org","title":"Two B-Box Proteins Regulate Photomorphogenesis by Oppositely Modulating HY5 through their Diverse C-Terminal Domains","volume":"176","author":[{"family":"Job","given":"Nikhil"},{"family":"Yadukrishnan","given":"Premachandran"},{"family":"Bursch","given":"Katharina"},{"family":"Datta","given":"Sourav"},{"family":"Johansson","given":"Henrik"}],"issued":{"date-parts":[["2018",4,1]]}}},{"id":3188,"uris":["http://zotero.org/users/2970095/items/FZDD2I3R"],"uri":["http://zotero.org/users/2970095/items/FZDD2I3R"],"itemData":{"id":3188,"type":"article-journal","abstract":"Plant growth is controlled by integration of hormonal and light-signaling pathways. BZS1 is a B-box zinc finger protein previously characterized as a negative regulator in the brassinosteroid (BR) signaling pathway and positive regulator in the light-signaling pathway. However, the mechanisms by which BZS1/BBX20 integrates light and hormonal pathways are not fully understood. Here, using a quantitative proteomic workflow, we identified several BZS1-associated proteins including light signaling components COP1 and HY5. Direct interactions of BZS1 with COP1 and HY5 were verified by yeast two-hybrid and co-immunoprecipitation assays. Overexpression of BZS1 causes a dwarf phenotype that is suppressed by the hy5 mutation, while overexpression of BZS1 fused with the SRDX transcription repression domain (BZS1-SRDX) causes a long-hypocotyl phenotype similar to hy5, indicating that BZS1’s function requires HY5. BZS1 positively regulates HY5 expression, whereas HY5 negatively regulates BZS1 protein level, forming a feedback loop that potentially contributes to signaling dynamics. In contrast to BR, strigolactone (SL) increases BZS1 level, whereas the SL responses of hypocotyl elongation, chlorophyll and HY5 accumulation are diminished in the BZS1-SRDX seedlings, indicating that BZS1 is involved in these SL responses. These results demonstrate that BZS1 interacts with HY5 and plays a central role in integrating light and multiple hormone signals for photomorphogenesis in Arabidopsis.","container-title":"Journal of genetics and genomics = Yi chuan xue bao","DOI":"10.1016/j.jgg.2016.05.007","ISSN":"1673-8527","issue":"9","journalAbbreviation":"J Genet Genomics","note":"PMID: 27523280\nPMCID: PMC5457796","page":"555-563","source":"PubMed Central","title":"The Arabidopsis B-BOX Protein BZS1/BBX20 Interacts with HY5 and Mediates Strigolactone Regulation of Photomorphogenesis","volume":"43","author":[{"family":"Wei","given":"Chuang-Qi"},{"family":"Chien","given":"Chih-Wei"},{"family":"Ai","given":"Lian-Feng"},{"family":"Zhao","given":"Jun"},{"family":"Zhang","given":"Zhenzhen"},{"family":"Li","given":"Kathy H."},{"family":"Burlingame","given":"Alma L."},{"family":"Sun","given":"Yu"},{"family":"Wang","given":"Zhi-Yong"}],"issued":{"date-parts":[["2016",9,20]]}}},{"id":3181,"uris":["http://zotero.org/users/2970095/items/2LAIZWU9"],"uri":["http://zotero.org/users/2970095/items/2LAIZWU9"],"itemData":{"id":3181,"type":"article-journal","abstract":"B-box-containing (BBX) proteins play critical roles in a variety of cellular and developmental processes in plants. BBX21 (also known as SALT TOLERANCE HOMOLOG2), which contains two B-box domains in tandem at the N terminus, has been previously demonstrated as a key component involved in the COP1-HY5 signaling hub. However, the exact molecular and physiological roles of B-box domains in BBX21 are largely unclear. Here, we found that structurally disruption of the second B-box domain, but not the first one, in BBX21 completely abolishes its biological and physiological activity in conferring hyperphotomorphogenetic phenotype in Arabidopsis (Arabidopsis thaliana). Intact B-box domains in BBX21 are not required for interaction with COP1 and its degradation by COP1 via the 26S proteasome system. However, disruption of the second B-box of BBX21 nearly impairs its ability for binding of T/G-box within the HY5 promoter both in vitro and in vivo, as well as controlling HY5 and HY5-regulated gene expression in Arabidopsis seedlings. Taken together, this study provides a mechanistic framework in which BBX21 directly binds to the T/G-box present in the HY5 promoter possibly through its second B-box domain, which in turn controls HY5 and HY5-regulated gene expression to promote photomorphogenesis.","container-title":"Plant Physiology","DOI":"10.1104/pp.17.01305","ISSN":"0032-0889, 1532-2548","issue":"3","language":"en","note":"PMID: 29259103","page":"2365-2375","source":"www.plantphysiol.org","title":"The B-Box Domain Protein BBX21 Promotes Photomorphogenesis","volume":"176","author":[{"family":"Xu","given":"Dongqing"},{"family":"Jiang","given":"Yan"},{"family":"Li","given":"Jian"},{"family":"Holm","given":"Magnus"},{"family":"Deng","given":"Xing Wang"}],"issued":{"date-parts":[["2018",3,1]]}}}],"schema":"https://github.com/citation-style-language/schema/raw/master/csl-citation.json"} </w:instrText>
      </w:r>
      <w:r w:rsidR="00485B98">
        <w:rPr>
          <w:rFonts w:ascii="Arial" w:hAnsi="Arial" w:cs="Arial"/>
        </w:rPr>
        <w:fldChar w:fldCharType="separate"/>
      </w:r>
      <w:r w:rsidR="00BA2F83" w:rsidRPr="00BA2F83">
        <w:rPr>
          <w:rFonts w:ascii="Arial" w:hAnsi="Arial" w:cs="Arial"/>
        </w:rPr>
        <w:t>(Bursch et al., 2020; Job et al., 2018; Wei et al., 2016; Xu et al., 2018)</w:t>
      </w:r>
      <w:r w:rsidR="00485B98">
        <w:rPr>
          <w:rFonts w:ascii="Arial" w:hAnsi="Arial" w:cs="Arial"/>
        </w:rPr>
        <w:fldChar w:fldCharType="end"/>
      </w:r>
      <w:r w:rsidRPr="005D6489">
        <w:rPr>
          <w:rFonts w:ascii="Arial" w:hAnsi="Arial" w:cs="Arial"/>
        </w:rPr>
        <w:t>, but these effects seem to be largely suppressed at dawn. Another layer of complexity is added by the fact that the COP1/SPA complex also promotes degradation of several BBX proteins</w:t>
      </w:r>
      <w:r w:rsidRPr="00485B98">
        <w:rPr>
          <w:rFonts w:ascii="Arial" w:hAnsi="Arial" w:cs="Arial"/>
          <w:lang w:val="en-GB"/>
        </w:rPr>
        <w:t xml:space="preserve"> (</w:t>
      </w:r>
      <w:proofErr w:type="spellStart"/>
      <w:r w:rsidRPr="00485B98">
        <w:rPr>
          <w:rFonts w:ascii="Arial" w:hAnsi="Arial" w:cs="Arial"/>
          <w:lang w:val="en-GB"/>
        </w:rPr>
        <w:t>Indorf</w:t>
      </w:r>
      <w:proofErr w:type="spellEnd"/>
      <w:r w:rsidRPr="00485B98">
        <w:rPr>
          <w:rFonts w:ascii="Arial" w:hAnsi="Arial" w:cs="Arial"/>
          <w:lang w:val="en-GB"/>
        </w:rPr>
        <w:t xml:space="preserve"> et al. 2007; Yan et al. 2011; Xu et al. 2016; </w:t>
      </w:r>
      <w:proofErr w:type="spellStart"/>
      <w:r w:rsidRPr="00485B98">
        <w:rPr>
          <w:rFonts w:ascii="Arial" w:hAnsi="Arial" w:cs="Arial"/>
          <w:lang w:val="en-GB"/>
        </w:rPr>
        <w:t>Gangappa</w:t>
      </w:r>
      <w:proofErr w:type="spellEnd"/>
      <w:r w:rsidRPr="00485B98">
        <w:rPr>
          <w:rFonts w:ascii="Arial" w:hAnsi="Arial" w:cs="Arial"/>
          <w:lang w:val="en-GB"/>
        </w:rPr>
        <w:t xml:space="preserve"> et al. 2013).</w:t>
      </w:r>
    </w:p>
    <w:p w14:paraId="2BD05278" w14:textId="043D38B6" w:rsidR="009C304E" w:rsidRPr="005D6489" w:rsidRDefault="00BA10FA" w:rsidP="005D6489">
      <w:pPr>
        <w:pStyle w:val="BodyText"/>
        <w:spacing w:line="360" w:lineRule="auto"/>
        <w:rPr>
          <w:rFonts w:ascii="Arial" w:hAnsi="Arial" w:cs="Arial"/>
        </w:rPr>
      </w:pPr>
      <w:r w:rsidRPr="005D6489">
        <w:rPr>
          <w:rFonts w:ascii="Arial" w:hAnsi="Arial" w:cs="Arial"/>
        </w:rPr>
        <w:t>HY5 and BBX proteins interdependently tune photomorphogenic responses such as the reduction in elongation growth after dawn</w:t>
      </w:r>
      <w:r w:rsidR="00F96D50">
        <w:rPr>
          <w:rFonts w:ascii="Arial" w:hAnsi="Arial" w:cs="Arial"/>
        </w:rPr>
        <w:t xml:space="preserve"> and may provide light input to the circadian clock </w:t>
      </w:r>
      <w:r w:rsidR="00554976">
        <w:rPr>
          <w:rFonts w:ascii="Arial" w:hAnsi="Arial" w:cs="Arial"/>
        </w:rPr>
        <w:t>via</w:t>
      </w:r>
      <w:r w:rsidR="00F96D50">
        <w:rPr>
          <w:rFonts w:ascii="Arial" w:hAnsi="Arial" w:cs="Arial"/>
        </w:rPr>
        <w:t xml:space="preserve"> </w:t>
      </w:r>
      <w:r w:rsidR="00F96D50" w:rsidRPr="004E0A36">
        <w:rPr>
          <w:rFonts w:ascii="Arial" w:hAnsi="Arial" w:cs="Arial"/>
          <w:i/>
        </w:rPr>
        <w:t>TOC1</w:t>
      </w:r>
      <w:r w:rsidR="00F96D50">
        <w:rPr>
          <w:rFonts w:ascii="Arial" w:hAnsi="Arial" w:cs="Arial"/>
        </w:rPr>
        <w:t xml:space="preserve"> and </w:t>
      </w:r>
      <w:proofErr w:type="gramStart"/>
      <w:r w:rsidR="00F96D50" w:rsidRPr="004E0A36">
        <w:rPr>
          <w:rFonts w:ascii="Arial" w:hAnsi="Arial" w:cs="Arial"/>
          <w:i/>
        </w:rPr>
        <w:t>ASG4</w:t>
      </w:r>
      <w:r w:rsidR="00F96D50">
        <w:rPr>
          <w:rFonts w:ascii="Arial" w:hAnsi="Arial" w:cs="Arial"/>
        </w:rPr>
        <w:t>,</w:t>
      </w:r>
      <w:r w:rsidR="00F96D50" w:rsidRPr="005D6489">
        <w:rPr>
          <w:rFonts w:ascii="Arial" w:hAnsi="Arial" w:cs="Arial"/>
        </w:rPr>
        <w:t xml:space="preserve"> </w:t>
      </w:r>
      <w:r w:rsidRPr="005D6489">
        <w:rPr>
          <w:rFonts w:ascii="Arial" w:hAnsi="Arial" w:cs="Arial"/>
        </w:rPr>
        <w:t>but</w:t>
      </w:r>
      <w:proofErr w:type="gramEnd"/>
      <w:r w:rsidRPr="005D6489">
        <w:rPr>
          <w:rFonts w:ascii="Arial" w:hAnsi="Arial" w:cs="Arial"/>
        </w:rPr>
        <w:t xml:space="preserve"> may </w:t>
      </w:r>
      <w:r w:rsidR="00F96D50">
        <w:rPr>
          <w:rFonts w:ascii="Arial" w:hAnsi="Arial" w:cs="Arial"/>
        </w:rPr>
        <w:t xml:space="preserve">also </w:t>
      </w:r>
      <w:r w:rsidRPr="005D6489">
        <w:rPr>
          <w:rFonts w:ascii="Arial" w:hAnsi="Arial" w:cs="Arial"/>
        </w:rPr>
        <w:t xml:space="preserve">exert additional functions independently of each other. BBX proteins have not yet been implicated in other HY5-mediated </w:t>
      </w:r>
      <w:r w:rsidRPr="005D6489">
        <w:rPr>
          <w:rFonts w:ascii="Arial" w:hAnsi="Arial" w:cs="Arial"/>
        </w:rPr>
        <w:lastRenderedPageBreak/>
        <w:t xml:space="preserve">responses such as biosynthesis of secondary metabolites. On the other hand, BBX30, BBX31 and BBX32 act as negative regulators of the floral transition independently of HY5 through the repression of </w:t>
      </w:r>
      <w:r w:rsidRPr="005D6489">
        <w:rPr>
          <w:rFonts w:ascii="Arial" w:hAnsi="Arial" w:cs="Arial"/>
          <w:i/>
        </w:rPr>
        <w:t>FLOWERING LOCUS T</w:t>
      </w:r>
      <w:r w:rsidRPr="005D6489">
        <w:rPr>
          <w:rFonts w:ascii="Arial" w:hAnsi="Arial" w:cs="Arial"/>
        </w:rPr>
        <w:t xml:space="preserve"> (</w:t>
      </w:r>
      <w:r w:rsidRPr="005D6489">
        <w:rPr>
          <w:rFonts w:ascii="Arial" w:hAnsi="Arial" w:cs="Arial"/>
          <w:i/>
        </w:rPr>
        <w:t>FT</w:t>
      </w:r>
      <w:r w:rsidRPr="005D6489">
        <w:rPr>
          <w:rFonts w:ascii="Arial" w:hAnsi="Arial" w:cs="Arial"/>
        </w:rPr>
        <w:t xml:space="preserve">) </w:t>
      </w:r>
      <w:r w:rsidR="00485B98">
        <w:rPr>
          <w:rFonts w:ascii="Arial" w:hAnsi="Arial" w:cs="Arial"/>
        </w:rPr>
        <w:fldChar w:fldCharType="begin"/>
      </w:r>
      <w:r w:rsidR="00485B98">
        <w:rPr>
          <w:rFonts w:ascii="Arial" w:hAnsi="Arial" w:cs="Arial"/>
        </w:rPr>
        <w:instrText xml:space="preserve"> ADDIN ZOTERO_ITEM CSL_CITATION {"citationID":"5jmRd7Bc","properties":{"formattedCitation":"(Graeff et al., 2016; Tripathi et al., 2017)","plainCitation":"(Graeff et al., 2016; Tripathi et al., 2017)","noteIndex":0},"citationItems":[{"id":3224,"uris":["http://zotero.org/users/2970095/items/LVFJY3P4"],"uri":["http://zotero.org/users/2970095/items/LVFJY3P4"],"itemData":{"id":3224,"type":"article-journal","abstract":"MicroProteins are short, single domain proteins that act by sequestering larger, multi-domain proteins into non-functional complexes. MicroProteins have been identified in plants and animals, where they are mostly involved in the regulation of developmental processes. Here we show that two Arabidopsis thaliana microProteins, miP1a and miP1b, physically interact with CONSTANS (CO) a potent regulator of flowering time. The miP1a/b-type microProteins evolved in dicotyledonous plants and have an additional carboxy-terminal PF(V/L)FL motif. This motif enables miP1a/b microProteins to interact with TOPLESS/TOPLESS-RELATED (TPL/TPR) proteins. Interaction of CO with miP1a/b/TPL causes late flowering due to a failure in the induction of FLOWERING LOCUS T (FT) expression under inductive long day conditions. Both miP1a and miP1b are expressed in vascular tissue, where CO and FT are active. Genetically, miP1a/b act upstream of CO thus our findings unravel a novel layer of flowering time regulation via microProtein-inhibition.","container-title":"PLOS Genetics","DOI":"10.1371/journal.pgen.1005959","ISSN":"1553-7404","issue":"3","journalAbbreviation":"PLOS Genetics","language":"en","page":"e1005959","source":"PLoS Journals","title":"MicroProtein-Mediated Recruitment of CONSTANS into a TOPLESS Trimeric Complex Represses Flowering in Arabidopsis","volume":"12","author":[{"family":"Graeff","given":"Moritz"},{"family":"Straub","given":"Daniel"},{"family":"Eguen","given":"Tenai"},{"family":"Dolde","given":"Ulla"},{"family":"Rodrigues","given":"Vandasue"},{"family":"Brandt","given":"Ronny"},{"family":"Wenkel","given":"Stephan"}],"issued":{"date-parts":[["2016",3,25]]}}},{"id":3221,"uris":["http://zotero.org/users/2970095/items/RL5WC3X8"],"uri":["http://zotero.org/users/2970095/items/RL5WC3X8"],"itemData":{"id":3221,"type":"article-journal","abstract":"Clock genes have been shown to be important in regulating many key agronomic traits. Therefore, identifying new players in this interconnected clock network will provide novel strategies toward developing new crop varieties. Our study identifies CONSTANS-LIKE 3 (COL3) as a critical protein-binding partner for B-BOX32 (BBX32) action in Arabidopsis. The discovery of the interaction with COL3 provides molecular clues as to how BBX32 exerts its effects on growth and yield. It also implicates COL3 as an integral protein-binding partner that can be used in combination with BBX32 for increased productivity. This regulatory pathway could be applied as an efficient strategy for genetic manipulation in crops for increased agricultural productivity., Plants have the ability to respond to seasonal environmental variations by monitoring day length to initiate flowering. The transition from vegetative to the reproductive stage is the critical developmental switch in flowering plants to ensure optimal fitness and/or yield. It has been previously reported that B-BOX32 (BBX32) has the potential to increase grain yield when ectopically expressed in soybean. In the present study, we performed a detailed molecular characterization of the Arabidopsis B-box domain gene BBX32. We showed that the circadian clock in Arabidopsis regulates BBX32 and expressed in the early morning. To understand the molecular mechanism of BBX32 regulation, we performed a large-scale yeast two-hybrid screen and identified CONSTANS-LIKE 3 (COL3)/BBX4 as one of its interacting protein partners. Using different genetic and biochemical assays, we have validated this interaction and shown that COL3 targets FT in the presence of BBX32 to regulate the flowering pathway. Based on these findings, we hypothesized that this BBX32-COL3 module could be an additional regulatory mechanism affecting the reproductive development in Arabidopsis that could be translated to crops for increased agricultural productivity.","container-title":"Proceedings of the National Academy of Sciences of the United States of America","DOI":"10.1073/pnas.1616459114","ISSN":"0027-8424","issue":"1","journalAbbreviation":"Proc Natl Acad Sci U S A","note":"PMID: 27999181\nPMCID: PMC5224386","page":"172-177","source":"PubMed Central","title":"Arabidopsis B-BOX32 interacts with CONSTANS-LIKE3 to regulate flowering","volume":"114","author":[{"family":"Tripathi","given":"Prateek"},{"family":"Carvallo","given":"Marcela"},{"family":"Hamilton","given":"Elizabeth E."},{"family":"Preuss","given":"Sasha"},{"family":"Kay","given":"Steve A."}],"issued":{"date-parts":[["2017",1,3]]}}}],"schema":"https://github.com/citation-style-language/schema/raw/master/csl-citation.json"} </w:instrText>
      </w:r>
      <w:r w:rsidR="00485B98">
        <w:rPr>
          <w:rFonts w:ascii="Arial" w:hAnsi="Arial" w:cs="Arial"/>
        </w:rPr>
        <w:fldChar w:fldCharType="separate"/>
      </w:r>
      <w:r w:rsidR="00485B98" w:rsidRPr="00485B98">
        <w:rPr>
          <w:rFonts w:ascii="Arial" w:hAnsi="Arial" w:cs="Arial"/>
        </w:rPr>
        <w:t>(Graeff et al., 2016; Tripathi et al., 2017)</w:t>
      </w:r>
      <w:r w:rsidR="00485B98">
        <w:rPr>
          <w:rFonts w:ascii="Arial" w:hAnsi="Arial" w:cs="Arial"/>
        </w:rPr>
        <w:fldChar w:fldCharType="end"/>
      </w:r>
      <w:r w:rsidRPr="005D6489">
        <w:rPr>
          <w:rFonts w:ascii="Arial" w:hAnsi="Arial" w:cs="Arial"/>
        </w:rPr>
        <w:t xml:space="preserve">. Strong induction of these genes in the early morning may be involved in gating </w:t>
      </w:r>
      <w:r w:rsidRPr="005D6489">
        <w:rPr>
          <w:rFonts w:ascii="Arial" w:hAnsi="Arial" w:cs="Arial"/>
          <w:i/>
        </w:rPr>
        <w:t>FT’s</w:t>
      </w:r>
      <w:r w:rsidRPr="005D6489">
        <w:rPr>
          <w:rFonts w:ascii="Arial" w:hAnsi="Arial" w:cs="Arial"/>
        </w:rPr>
        <w:t xml:space="preserve"> responsiveness to inductive signals in the photoperiodic control of flowering.</w:t>
      </w:r>
    </w:p>
    <w:p w14:paraId="19BEDF73" w14:textId="3B92C4C4" w:rsidR="00A643D7" w:rsidRPr="005D6489" w:rsidRDefault="00BA10FA" w:rsidP="005D6489">
      <w:pPr>
        <w:pStyle w:val="BodyText"/>
        <w:spacing w:line="360" w:lineRule="auto"/>
        <w:rPr>
          <w:rFonts w:ascii="Arial" w:hAnsi="Arial" w:cs="Arial"/>
        </w:rPr>
      </w:pPr>
      <w:r w:rsidRPr="005D6489">
        <w:rPr>
          <w:rFonts w:ascii="Arial" w:hAnsi="Arial" w:cs="Arial"/>
        </w:rPr>
        <w:t>In summary, our results reveal a large transcriptional regulatory network that controls the dawn burst of gene expression</w:t>
      </w:r>
      <w:r w:rsidR="00B80E61">
        <w:rPr>
          <w:rFonts w:ascii="Arial" w:hAnsi="Arial" w:cs="Arial"/>
        </w:rPr>
        <w:t xml:space="preserve"> downstream of photoreceptor, circadian clock and chloroplast-derived signals</w:t>
      </w:r>
      <w:r w:rsidR="00D50423">
        <w:rPr>
          <w:rFonts w:ascii="Arial" w:hAnsi="Arial" w:cs="Arial"/>
        </w:rPr>
        <w:t>.</w:t>
      </w:r>
      <w:r w:rsidR="00B80E61">
        <w:rPr>
          <w:rFonts w:ascii="Arial" w:hAnsi="Arial" w:cs="Arial"/>
        </w:rPr>
        <w:t xml:space="preserve"> </w:t>
      </w:r>
      <w:r w:rsidRPr="005D6489">
        <w:rPr>
          <w:rFonts w:ascii="Arial" w:hAnsi="Arial" w:cs="Arial"/>
        </w:rPr>
        <w:t xml:space="preserve">Phytochrome and cryptochrome photoreceptors coordinate a </w:t>
      </w:r>
      <w:r w:rsidR="00B80E61">
        <w:rPr>
          <w:rFonts w:ascii="Arial" w:hAnsi="Arial" w:cs="Arial"/>
        </w:rPr>
        <w:t>subset</w:t>
      </w:r>
      <w:r w:rsidRPr="005D6489">
        <w:rPr>
          <w:rFonts w:ascii="Arial" w:hAnsi="Arial" w:cs="Arial"/>
        </w:rPr>
        <w:t xml:space="preserve"> of this network to adjust photomorphogenesis, photoperiodism and clock entrainment in accordance with the plant’s light environment</w:t>
      </w:r>
      <w:r w:rsidR="00B80E61">
        <w:rPr>
          <w:rFonts w:ascii="Arial" w:hAnsi="Arial" w:cs="Arial"/>
        </w:rPr>
        <w:t>.</w:t>
      </w:r>
    </w:p>
    <w:p w14:paraId="43AC0DBC" w14:textId="77777777" w:rsidR="004854DE" w:rsidRPr="008C6C8F" w:rsidRDefault="004854DE" w:rsidP="004854DE">
      <w:pPr>
        <w:pStyle w:val="Heading1"/>
        <w:spacing w:line="360" w:lineRule="auto"/>
        <w:rPr>
          <w:rFonts w:ascii="Arial" w:hAnsi="Arial" w:cs="Arial"/>
          <w:sz w:val="28"/>
        </w:rPr>
      </w:pPr>
      <w:r w:rsidRPr="008C6C8F">
        <w:rPr>
          <w:rFonts w:ascii="Arial" w:hAnsi="Arial" w:cs="Arial"/>
          <w:sz w:val="28"/>
        </w:rPr>
        <w:lastRenderedPageBreak/>
        <w:t>Methods</w:t>
      </w:r>
    </w:p>
    <w:p w14:paraId="3A97B0D3" w14:textId="77777777" w:rsidR="004854DE" w:rsidRPr="008C6C8F" w:rsidRDefault="004854DE" w:rsidP="004854DE">
      <w:pPr>
        <w:pStyle w:val="Heading2"/>
        <w:spacing w:line="360" w:lineRule="auto"/>
        <w:rPr>
          <w:rFonts w:ascii="Arial" w:hAnsi="Arial" w:cs="Arial"/>
          <w:sz w:val="28"/>
        </w:rPr>
      </w:pPr>
      <w:bookmarkStart w:id="15" w:name="plant-strains-used"/>
      <w:bookmarkEnd w:id="15"/>
      <w:r w:rsidRPr="008C6C8F">
        <w:rPr>
          <w:rFonts w:ascii="Arial" w:hAnsi="Arial" w:cs="Arial"/>
          <w:sz w:val="28"/>
        </w:rPr>
        <w:t>Plant material and growth conditions</w:t>
      </w:r>
    </w:p>
    <w:p w14:paraId="68676C16" w14:textId="4B0BA248" w:rsidR="004854DE" w:rsidRPr="00BD40B5" w:rsidRDefault="004854DE" w:rsidP="004854DE">
      <w:pPr>
        <w:pStyle w:val="Heading2"/>
        <w:spacing w:line="360" w:lineRule="auto"/>
        <w:rPr>
          <w:rFonts w:ascii="Arial" w:hAnsi="Arial" w:cs="Arial"/>
          <w:b w:val="0"/>
          <w:color w:val="auto"/>
          <w:sz w:val="24"/>
          <w:szCs w:val="24"/>
        </w:rPr>
      </w:pPr>
      <w:bookmarkStart w:id="16" w:name="section-4"/>
      <w:bookmarkEnd w:id="16"/>
      <w:r w:rsidRPr="00BD40B5">
        <w:rPr>
          <w:rFonts w:ascii="Arial" w:hAnsi="Arial" w:cs="Arial"/>
          <w:b w:val="0"/>
          <w:color w:val="auto"/>
          <w:sz w:val="24"/>
          <w:szCs w:val="24"/>
        </w:rPr>
        <w:t xml:space="preserve">All Arabidopsis thaliana mutants used in this study have been described previously. </w:t>
      </w:r>
      <w:r w:rsidRPr="00BD40B5">
        <w:rPr>
          <w:rFonts w:ascii="Arial" w:hAnsi="Arial" w:cs="Arial"/>
          <w:b w:val="0"/>
          <w:i/>
          <w:color w:val="auto"/>
          <w:sz w:val="24"/>
          <w:szCs w:val="24"/>
        </w:rPr>
        <w:t>phyA-201 phyB-5</w:t>
      </w:r>
      <w:r w:rsidRPr="00BD40B5">
        <w:rPr>
          <w:rFonts w:ascii="Arial" w:hAnsi="Arial" w:cs="Arial"/>
          <w:b w:val="0"/>
          <w:color w:val="auto"/>
          <w:sz w:val="24"/>
          <w:szCs w:val="24"/>
        </w:rPr>
        <w:t xml:space="preserve"> </w:t>
      </w:r>
      <w:r w:rsidRPr="00BD40B5">
        <w:rPr>
          <w:rFonts w:ascii="Arial" w:hAnsi="Arial" w:cs="Arial"/>
          <w:b w:val="0"/>
          <w:color w:val="auto"/>
          <w:sz w:val="24"/>
        </w:rPr>
        <w:t xml:space="preserve"> </w:t>
      </w:r>
      <w:r w:rsidRPr="00BD40B5">
        <w:rPr>
          <w:rFonts w:ascii="Arial" w:hAnsi="Arial" w:cs="Arial"/>
          <w:b w:val="0"/>
          <w:color w:val="auto"/>
          <w:sz w:val="24"/>
        </w:rPr>
        <w:fldChar w:fldCharType="begin"/>
      </w:r>
      <w:r w:rsidRPr="00BD40B5">
        <w:rPr>
          <w:rFonts w:ascii="Arial" w:hAnsi="Arial" w:cs="Arial"/>
          <w:b w:val="0"/>
          <w:color w:val="auto"/>
          <w:sz w:val="24"/>
        </w:rPr>
        <w:instrText xml:space="preserve"> ADDIN ZOTERO_ITEM CSL_CITATION {"citationID":"h9y5N3ui","properties":{"formattedCitation":"(Reed et al., 1998)","plainCitation":"(Reed et al., 1998)","noteIndex":0},"citationItems":[{"id":128,"uris":["http://zotero.org/users/2970095/items/ZHE7MNDM"],"uri":["http://zotero.org/users/2970095/items/ZHE7MNDM"],"itemData":{"id":128,"type":"article-journal","abstract":"Ambient light controls the development and physiology of plants. The Arabidopsis thaliana photoreceptor phytochrome B (PHYB) regulates developmental light responses at both seedling and adult stages. To identify genes that mediate control of development by light, we screened for suppressors of the long hypocotyl phenotype caused by a phyB mutation. Genetic analyses show that the shy (short hypocotyl) mutations we have isolated fall in several loci. Phenotypes of the mutants suggest that some of the genes identified have functions in control of light responses. Other loci specifically affect cell elongation or expansion.","container-title":"Genetics","ISSN":"0016-6731, 1943-2631","issue":"3","journalAbbreviation":"Genetics","language":"en","note":"PMID: 9539443","page":"1295-1310","source":"www.genetics.org","title":"Suppressors of an Arabidopsis thaliana phyB Mutation Identify Genes That Control Light Signaling and Hypocotyl Elongation","volume":"148","author":[{"family":"Reed","given":"Jason W."},{"family":"Elumalai","given":"Rangasamy P."},{"family":"Chory","given":"Joanne"}],"issued":{"date-parts":[["1998",1,3]]}}}],"schema":"https://github.com/citation-style-language/schema/raw/master/csl-citation.json"} </w:instrText>
      </w:r>
      <w:r w:rsidRPr="00BD40B5">
        <w:rPr>
          <w:rFonts w:ascii="Arial" w:hAnsi="Arial" w:cs="Arial"/>
          <w:b w:val="0"/>
          <w:color w:val="auto"/>
          <w:sz w:val="24"/>
        </w:rPr>
        <w:fldChar w:fldCharType="separate"/>
      </w:r>
      <w:r w:rsidRPr="00BD40B5">
        <w:rPr>
          <w:rFonts w:ascii="Arial" w:hAnsi="Arial" w:cs="Arial"/>
          <w:b w:val="0"/>
          <w:color w:val="auto"/>
          <w:sz w:val="24"/>
        </w:rPr>
        <w:t>(Reed et al., 1998)</w:t>
      </w:r>
      <w:r w:rsidRPr="00BD40B5">
        <w:rPr>
          <w:rFonts w:ascii="Arial" w:hAnsi="Arial" w:cs="Arial"/>
          <w:b w:val="0"/>
          <w:color w:val="auto"/>
          <w:sz w:val="24"/>
        </w:rPr>
        <w:fldChar w:fldCharType="end"/>
      </w:r>
      <w:r w:rsidRPr="00BD40B5">
        <w:rPr>
          <w:rFonts w:ascii="Arial" w:hAnsi="Arial" w:cs="Arial"/>
          <w:b w:val="0"/>
          <w:color w:val="auto"/>
          <w:sz w:val="24"/>
          <w:szCs w:val="24"/>
        </w:rPr>
        <w:t xml:space="preserve">, </w:t>
      </w:r>
      <w:r w:rsidRPr="00BD40B5">
        <w:rPr>
          <w:rFonts w:ascii="Arial" w:hAnsi="Arial" w:cs="Arial"/>
          <w:b w:val="0"/>
          <w:i/>
          <w:color w:val="auto"/>
          <w:sz w:val="24"/>
          <w:szCs w:val="24"/>
        </w:rPr>
        <w:t>phyA-201 phyB-5 cry1-201 cry2</w:t>
      </w:r>
      <w:r w:rsidRPr="00BD40B5">
        <w:rPr>
          <w:rFonts w:ascii="Arial" w:hAnsi="Arial" w:cs="Arial"/>
          <w:b w:val="0"/>
          <w:color w:val="auto"/>
          <w:sz w:val="24"/>
          <w:szCs w:val="24"/>
        </w:rPr>
        <w:t>/</w:t>
      </w:r>
      <w:r w:rsidRPr="00BD40B5">
        <w:rPr>
          <w:rFonts w:ascii="Arial" w:hAnsi="Arial" w:cs="Arial"/>
          <w:b w:val="0"/>
          <w:i/>
          <w:color w:val="auto"/>
          <w:sz w:val="24"/>
          <w:szCs w:val="24"/>
        </w:rPr>
        <w:t>fha-1</w:t>
      </w:r>
      <w:r w:rsidRPr="00BD40B5">
        <w:rPr>
          <w:rFonts w:ascii="Arial" w:hAnsi="Arial" w:cs="Arial"/>
          <w:b w:val="0"/>
          <w:color w:val="auto"/>
          <w:sz w:val="24"/>
          <w:szCs w:val="24"/>
        </w:rPr>
        <w:t xml:space="preserve"> </w:t>
      </w:r>
      <w:r w:rsidRPr="00BD40B5">
        <w:rPr>
          <w:rFonts w:ascii="Arial" w:hAnsi="Arial" w:cs="Arial"/>
          <w:b w:val="0"/>
          <w:color w:val="auto"/>
          <w:sz w:val="24"/>
        </w:rPr>
        <w:fldChar w:fldCharType="begin"/>
      </w:r>
      <w:r w:rsidRPr="00BD40B5">
        <w:rPr>
          <w:rFonts w:ascii="Arial" w:hAnsi="Arial" w:cs="Arial"/>
          <w:b w:val="0"/>
          <w:color w:val="auto"/>
          <w:sz w:val="24"/>
        </w:rPr>
        <w:instrText xml:space="preserve"> ADDIN ZOTERO_ITEM CSL_CITATION {"citationID":"D6Th8nTO","properties":{"formattedCitation":"(Yanovsky et al., 2000)","plainCitation":"(Yanovsky et al., 2000)","noteIndex":0},"citationItems":[{"id":2561,"uris":["http://zotero.org/users/2970095/items/GE4UT5XJ"],"uri":["http://zotero.org/users/2970095/items/GE4UT5XJ"],"itemData":{"id":2561,"type":"article-journal","abstract":"Time measurement and light detection are inextricably linked. Cryptochromes, the blue-light photoreceptors shared between plants and animals, are critical for circadian rhythms in flies and mice 1, 2, 3. WC-1, a putative blue-light photoreceptor, is also essential for the maintenance of circadian rhythms in Neurospora[4]. In contrast, we report here that in Arabidopsis thaliana the double mutant lacking the cryptochromes cry1 and cry2, and even a quadruple mutant lacking the red/far-red photoreceptor phytochromes phyA and phyB as well as cry1 and cry2, retain robust circadian rhythmicity. Interestingly, the quadruple mutant was nearly blind for developmental responses but perceived a light cue for entraining the circadian clock. These results indicate that cryptochromes and phytochromes are not essential components of the central oscillator in Arabidopsis and suggest that plants could possess specific photosensory mechanisms for temporal orientation, in addition to cryptochromes and phytochromes, which are used for both spatial and temporal adaptation.","container-title":"Current Biology","DOI":"10.1016/S0960-9822(00)00651-5","ISSN":"0960-9822","issue":"16","journalAbbreviation":"Current Biology","page":"1013-1015","source":"ScienceDirect","title":"A quadruple photoreceptor mutant still keeps track of time","volume":"10","author":[{"family":"Yanovsky","given":"Marcelo J"},{"family":"Mazzella","given":"M. Agustina"},{"family":"Casal","given":"Jorge J"}],"issued":{"date-parts":[["2000",8,14]]}}}],"schema":"https://github.com/citation-style-language/schema/raw/master/csl-citation.json"} </w:instrText>
      </w:r>
      <w:r w:rsidRPr="00BD40B5">
        <w:rPr>
          <w:rFonts w:ascii="Arial" w:hAnsi="Arial" w:cs="Arial"/>
          <w:b w:val="0"/>
          <w:color w:val="auto"/>
          <w:sz w:val="24"/>
        </w:rPr>
        <w:fldChar w:fldCharType="separate"/>
      </w:r>
      <w:r w:rsidRPr="00BD40B5">
        <w:rPr>
          <w:rFonts w:ascii="Arial" w:hAnsi="Arial" w:cs="Arial"/>
          <w:b w:val="0"/>
          <w:color w:val="auto"/>
          <w:sz w:val="24"/>
        </w:rPr>
        <w:t>(Yanovsky et al., 2000)</w:t>
      </w:r>
      <w:r w:rsidRPr="00BD40B5">
        <w:rPr>
          <w:rFonts w:ascii="Arial" w:hAnsi="Arial" w:cs="Arial"/>
          <w:b w:val="0"/>
          <w:color w:val="auto"/>
          <w:sz w:val="24"/>
        </w:rPr>
        <w:fldChar w:fldCharType="end"/>
      </w:r>
      <w:r w:rsidRPr="00BD40B5">
        <w:rPr>
          <w:rFonts w:ascii="Arial" w:hAnsi="Arial" w:cs="Arial"/>
          <w:b w:val="0"/>
          <w:color w:val="auto"/>
          <w:sz w:val="24"/>
          <w:szCs w:val="24"/>
        </w:rPr>
        <w:t xml:space="preserve"> and </w:t>
      </w:r>
      <w:r w:rsidRPr="00BD40B5">
        <w:rPr>
          <w:rFonts w:ascii="Arial" w:hAnsi="Arial" w:cs="Arial"/>
          <w:b w:val="0"/>
          <w:i/>
          <w:color w:val="auto"/>
          <w:sz w:val="24"/>
          <w:szCs w:val="24"/>
        </w:rPr>
        <w:t>phyA-201 phyB-1 phyC-1 phyD-1 phyE-1</w:t>
      </w:r>
      <w:r w:rsidRPr="00BD40B5">
        <w:rPr>
          <w:rFonts w:ascii="Arial" w:hAnsi="Arial" w:cs="Arial"/>
          <w:b w:val="0"/>
          <w:color w:val="auto"/>
          <w:sz w:val="24"/>
          <w:szCs w:val="24"/>
        </w:rPr>
        <w:t xml:space="preserve"> (</w:t>
      </w:r>
      <w:proofErr w:type="spellStart"/>
      <w:r w:rsidRPr="00BD40B5">
        <w:rPr>
          <w:rFonts w:ascii="Arial" w:hAnsi="Arial" w:cs="Arial"/>
          <w:b w:val="0"/>
          <w:i/>
          <w:color w:val="auto"/>
          <w:sz w:val="24"/>
          <w:szCs w:val="24"/>
        </w:rPr>
        <w:t>phyABCDE</w:t>
      </w:r>
      <w:proofErr w:type="spellEnd"/>
      <w:r w:rsidRPr="00BD40B5">
        <w:rPr>
          <w:rFonts w:ascii="Arial" w:hAnsi="Arial" w:cs="Arial"/>
          <w:b w:val="0"/>
          <w:color w:val="auto"/>
          <w:sz w:val="24"/>
          <w:szCs w:val="24"/>
        </w:rPr>
        <w:t xml:space="preserve">) </w:t>
      </w:r>
      <w:r w:rsidRPr="00BD40B5">
        <w:rPr>
          <w:rFonts w:ascii="Arial" w:hAnsi="Arial" w:cs="Arial"/>
          <w:b w:val="0"/>
          <w:color w:val="auto"/>
          <w:sz w:val="24"/>
        </w:rPr>
        <w:fldChar w:fldCharType="begin"/>
      </w:r>
      <w:r w:rsidRPr="00BD40B5">
        <w:rPr>
          <w:rFonts w:ascii="Arial" w:hAnsi="Arial" w:cs="Arial"/>
          <w:b w:val="0"/>
          <w:color w:val="auto"/>
          <w:sz w:val="24"/>
        </w:rPr>
        <w:instrText xml:space="preserve"> ADDIN ZOTERO_ITEM CSL_CITATION {"citationID":"j2yu2FvB","properties":{"formattedCitation":"(Hu et al., 2013)","plainCitation":"(Hu et al., 2013)","noteIndex":0},"citationItems":[{"id":3235,"uris":["http://zotero.org/users/2970095/items/4JV9KBEJ"],"uri":["http://zotero.org/users/2970095/items/4JV9KBEJ"],"itemData":{"id":3235,"type":"article-journal","abstract":"In view of the extensive literature on phytochrome mutants in the Ler accession of Arabidopsis, we sought to secure a phytochrome-null line in the same genetic background for comparative studies. Here we report the isolation and phenotypic characterization of phyABCDE quintuple and phyABDE quadruple mutants in the Ler background. Unlike earlier studies, these lines possess a functional allele of FT permitting measurements of photoperiod-dependent flowering behavior. Comparative studies of both classes of mutants establish that phytochromes are dispensable for completion of the Arabidopsis life cycle under red light, despite the lack of a transcriptomic response, and also indicate that phyC is nonfunctional in the absence of other phytochromes. Phytochrome-less plants can produce chlorophyll for photosynthesis under continuous red light, yet require elevated fluence rates for survival. Unexpectedly, our analyses reveal both light-dependent and -independent roles for phytochromes to regulate the Arabidopsis circadian clock. The rapid transition of these mutants from vegetative to reproductive growth, as well as their insensitivity to photoperiod, establish a dual role for phytochromes to arrest and to promote progression of plant development in response to the prevailing light environment.","container-title":"Proceedings of the National Academy of Sciences of the United States of America","DOI":"10.1073/pnas.1221738110","ISSN":"0027-8424","issue":"4","journalAbbreviation":"Proc Natl Acad Sci U S A","note":"PMID: 23302690\nPMCID: PMC3557068","page":"1542-1547","source":"PubMed Central","title":"Unanticipated regulatory roles for Arabidopsis phytochromes revealed by null mutant analysis","volume":"110","author":[{"family":"Hu","given":"Wei"},{"family":"Franklin","given":"Keara A."},{"family":"Sharrock","given":"Robert A."},{"family":"Jones","given":"Matthew A."},{"family":"Harmer","given":"Stacey L."},{"family":"Lagarias","given":"J. Clark"}],"issued":{"date-parts":[["2013",1,22]]}}}],"schema":"https://github.com/citation-style-language/schema/raw/master/csl-citation.json"} </w:instrText>
      </w:r>
      <w:r w:rsidRPr="00BD40B5">
        <w:rPr>
          <w:rFonts w:ascii="Arial" w:hAnsi="Arial" w:cs="Arial"/>
          <w:b w:val="0"/>
          <w:color w:val="auto"/>
          <w:sz w:val="24"/>
        </w:rPr>
        <w:fldChar w:fldCharType="separate"/>
      </w:r>
      <w:r w:rsidRPr="00BD40B5">
        <w:rPr>
          <w:rFonts w:ascii="Arial" w:hAnsi="Arial" w:cs="Arial"/>
          <w:b w:val="0"/>
          <w:color w:val="auto"/>
          <w:sz w:val="24"/>
        </w:rPr>
        <w:t>(Hu et al., 2013)</w:t>
      </w:r>
      <w:r w:rsidRPr="00BD40B5">
        <w:rPr>
          <w:rFonts w:ascii="Arial" w:hAnsi="Arial" w:cs="Arial"/>
          <w:b w:val="0"/>
          <w:color w:val="auto"/>
          <w:sz w:val="24"/>
        </w:rPr>
        <w:fldChar w:fldCharType="end"/>
      </w:r>
      <w:r w:rsidRPr="00BD40B5">
        <w:rPr>
          <w:rFonts w:ascii="Arial" w:hAnsi="Arial" w:cs="Arial"/>
          <w:b w:val="0"/>
          <w:color w:val="auto"/>
          <w:sz w:val="24"/>
          <w:szCs w:val="24"/>
        </w:rPr>
        <w:t xml:space="preserve"> are in the </w:t>
      </w:r>
      <w:proofErr w:type="spellStart"/>
      <w:r w:rsidRPr="00BD40B5">
        <w:rPr>
          <w:rFonts w:ascii="Arial" w:hAnsi="Arial" w:cs="Arial"/>
          <w:b w:val="0"/>
          <w:color w:val="auto"/>
          <w:sz w:val="24"/>
          <w:szCs w:val="24"/>
        </w:rPr>
        <w:t>Ler</w:t>
      </w:r>
      <w:proofErr w:type="spellEnd"/>
      <w:r w:rsidRPr="00BD40B5">
        <w:rPr>
          <w:rFonts w:ascii="Arial" w:hAnsi="Arial" w:cs="Arial"/>
          <w:b w:val="0"/>
          <w:color w:val="auto"/>
          <w:sz w:val="24"/>
          <w:szCs w:val="24"/>
        </w:rPr>
        <w:t xml:space="preserve"> background,</w:t>
      </w:r>
      <w:r w:rsidR="00DB5C47">
        <w:rPr>
          <w:rFonts w:ascii="Arial" w:hAnsi="Arial" w:cs="Arial"/>
          <w:b w:val="0"/>
          <w:color w:val="auto"/>
          <w:sz w:val="24"/>
          <w:szCs w:val="24"/>
        </w:rPr>
        <w:t xml:space="preserve"> </w:t>
      </w:r>
      <w:r w:rsidR="00DB5C47" w:rsidRPr="004E0A36">
        <w:rPr>
          <w:rFonts w:ascii="Arial" w:hAnsi="Arial" w:cs="Arial"/>
          <w:b w:val="0"/>
          <w:i/>
          <w:color w:val="auto"/>
          <w:sz w:val="24"/>
          <w:szCs w:val="24"/>
        </w:rPr>
        <w:t xml:space="preserve">bbx30-1 bbx31-1 </w:t>
      </w:r>
      <w:r w:rsidR="00256224">
        <w:rPr>
          <w:rFonts w:ascii="Arial" w:hAnsi="Arial" w:cs="Arial"/>
          <w:b w:val="0"/>
          <w:color w:val="auto"/>
          <w:sz w:val="24"/>
          <w:szCs w:val="24"/>
        </w:rPr>
        <w:fldChar w:fldCharType="begin"/>
      </w:r>
      <w:r w:rsidR="00BA2F83">
        <w:rPr>
          <w:rFonts w:ascii="Arial" w:hAnsi="Arial" w:cs="Arial"/>
          <w:b w:val="0"/>
          <w:color w:val="auto"/>
          <w:sz w:val="24"/>
          <w:szCs w:val="24"/>
        </w:rPr>
        <w:instrText xml:space="preserve"> ADDIN ZOTERO_ITEM CSL_CITATION {"citationID":"aPxNUIJd","properties":{"formattedCitation":"(Yadav et al., 2019)","plainCitation":"(Yadav et al., 2019)","noteIndex":0},"citationItems":[{"id":3171,"uris":["http://zotero.org/users/2970095/items/QRI2HM6G"],"uri":["http://zotero.org/users/2970095/items/QRI2HM6G"],"itemData":{"id":3171,"type":"article-journal","abstract":"BBX31 negatively regulates photomorphogenesis in visible light and positively regulates UV-B signaling to protect plants from UV radiation., The bZIP transcription factor ELONGATED HYPOCOTYL5 (HY5) represents a major hub in the light-signaling cascade both under visible and UV-B light. The mode of transcriptional regulation of HY5, especially under UV-B light, is not well characterized. B-BOX (BBX) transcription factors regulate HY5 transcription and also posttranscriptionally modulate HY5 to control photomorphogenesis under white light. Here, we identify BBX31 as a key signaling intermediate in visible and UV-B light signal transduction in Arabidopsis (Arabidopsis thaliana). BBX31 expression is induced by UV-B radiation in a fluence-dependent manner. HY5 directly binds to the promoter of BBX31 and regulates its transcript levels. Loss- and gain-of-function mutants of BBX31 indicate that it acts as a negative regulator of photomorphogenesis under white light but is a positive regulator of UV-B signaling. Genetic interaction studies suggest that BBX31 regulates photomorphogenesis independent of HY5. We found no evidence for a direct BBX31-HY5 interaction, and they primarily regulate different sets of genes in white light. Under high doses of UV-B radiation, BBX31 promotes the accumulation of UV-protective flavonoids and phenolic compounds. It enhances tolerance to UV-B radiation by regulating genes involved in photoprotection and DNA repair in a HY5-dependent manner. Under UV-B radiation, overexpression of BBX31 enhances HY5 transcriptional levels in a UV RESISTANCE LOCUS8-dependent manner, suggesting that BBX31 might regulate HY5 transcription.","container-title":"Plant Physiology","DOI":"10.1104/pp.18.01258","ISSN":"0032-0889","issue":"4","journalAbbreviation":"Plant Physiol","note":"PMID: 30723178\nPMCID: PMC6446756","page":"1876-1892","source":"PubMed Central","title":"The B-Box-Containing MicroProtein miP1a/BBX31 Regulates Photomorphogenesis and UV-B Protection1","volume":"179","author":[{"family":"Yadav","given":"Arpita"},{"family":"Bakshi","given":"Souvika"},{"family":"Yadukrishnan","given":"Premachandran"},{"family":"Lingwan","given":"Maneesh"},{"family":"Dolde","given":"Ulla"},{"family":"Wenkel","given":"Stephan"},{"family":"Masakapalli","given":"Shyam Kumar"},{"family":"Datta","given":"Sourav"}],"issued":{"date-parts":[["2019",4]]}}}],"schema":"https://github.com/citation-style-language/schema/raw/master/csl-citation.json"} </w:instrText>
      </w:r>
      <w:r w:rsidR="00256224">
        <w:rPr>
          <w:rFonts w:ascii="Arial" w:hAnsi="Arial" w:cs="Arial"/>
          <w:b w:val="0"/>
          <w:color w:val="auto"/>
          <w:sz w:val="24"/>
          <w:szCs w:val="24"/>
        </w:rPr>
        <w:fldChar w:fldCharType="separate"/>
      </w:r>
      <w:r w:rsidR="00256224" w:rsidRPr="00256224">
        <w:rPr>
          <w:rFonts w:ascii="Arial" w:hAnsi="Arial" w:cs="Arial"/>
          <w:sz w:val="24"/>
        </w:rPr>
        <w:t>(Yadav et al., 2019)</w:t>
      </w:r>
      <w:r w:rsidR="00256224">
        <w:rPr>
          <w:rFonts w:ascii="Arial" w:hAnsi="Arial" w:cs="Arial"/>
          <w:b w:val="0"/>
          <w:color w:val="auto"/>
          <w:sz w:val="24"/>
          <w:szCs w:val="24"/>
        </w:rPr>
        <w:fldChar w:fldCharType="end"/>
      </w:r>
      <w:r w:rsidR="00256224">
        <w:rPr>
          <w:rFonts w:ascii="Arial" w:hAnsi="Arial" w:cs="Arial"/>
          <w:b w:val="0"/>
          <w:color w:val="auto"/>
          <w:sz w:val="24"/>
          <w:szCs w:val="24"/>
        </w:rPr>
        <w:t xml:space="preserve">, </w:t>
      </w:r>
      <w:r w:rsidR="00256224" w:rsidRPr="004E0A36">
        <w:rPr>
          <w:rFonts w:ascii="Arial" w:hAnsi="Arial" w:cs="Arial"/>
          <w:b w:val="0"/>
          <w:i/>
          <w:color w:val="auto"/>
          <w:sz w:val="24"/>
          <w:szCs w:val="24"/>
        </w:rPr>
        <w:t>BBX31-Ox</w:t>
      </w:r>
      <w:r w:rsidR="00256224">
        <w:rPr>
          <w:rFonts w:ascii="Arial" w:hAnsi="Arial" w:cs="Arial"/>
          <w:b w:val="0"/>
          <w:color w:val="auto"/>
          <w:sz w:val="24"/>
          <w:szCs w:val="24"/>
        </w:rPr>
        <w:t xml:space="preserve"> </w:t>
      </w:r>
      <w:r w:rsidR="00256224">
        <w:rPr>
          <w:rFonts w:ascii="Arial" w:hAnsi="Arial" w:cs="Arial"/>
          <w:b w:val="0"/>
          <w:color w:val="auto"/>
          <w:sz w:val="24"/>
          <w:szCs w:val="24"/>
        </w:rPr>
        <w:fldChar w:fldCharType="begin"/>
      </w:r>
      <w:r w:rsidR="00256224">
        <w:rPr>
          <w:rFonts w:ascii="Arial" w:hAnsi="Arial" w:cs="Arial"/>
          <w:b w:val="0"/>
          <w:color w:val="auto"/>
          <w:sz w:val="24"/>
          <w:szCs w:val="24"/>
        </w:rPr>
        <w:instrText xml:space="preserve"> ADDIN ZOTERO_ITEM CSL_CITATION {"citationID":"iSiMbgeD","properties":{"formattedCitation":"(Graeff et al., 2016)","plainCitation":"(Graeff et al., 2016)","noteIndex":0},"citationItems":[{"id":3224,"uris":["http://zotero.org/users/2970095/items/LVFJY3P4"],"uri":["http://zotero.org/users/2970095/items/LVFJY3P4"],"itemData":{"id":3224,"type":"article-journal","abstract":"MicroProteins are short, single domain proteins that act by sequestering larger, multi-domain proteins into non-functional complexes. MicroProteins have been identified in plants and animals, where they are mostly involved in the regulation of developmental processes. Here we show that two Arabidopsis thaliana microProteins, miP1a and miP1b, physically interact with CONSTANS (CO) a potent regulator of flowering time. The miP1a/b-type microProteins evolved in dicotyledonous plants and have an additional carboxy-terminal PF(V/L)FL motif. This motif enables miP1a/b microProteins to interact with TOPLESS/TOPLESS-RELATED (TPL/TPR) proteins. Interaction of CO with miP1a/b/TPL causes late flowering due to a failure in the induction of FLOWERING LOCUS T (FT) expression under inductive long day conditions. Both miP1a and miP1b are expressed in vascular tissue, where CO and FT are active. Genetically, miP1a/b act upstream of CO thus our findings unravel a novel layer of flowering time regulation via microProtein-inhibition.","container-title":"PLOS Genetics","DOI":"10.1371/journal.pgen.1005959","ISSN":"1553-7404","issue":"3","journalAbbreviation":"PLOS Genetics","language":"en","page":"e1005959","source":"PLoS Journals","title":"MicroProtein-Mediated Recruitment of CONSTANS into a TOPLESS Trimeric Complex Represses Flowering in Arabidopsis","volume":"12","author":[{"family":"Graeff","given":"Moritz"},{"family":"Straub","given":"Daniel"},{"family":"Eguen","given":"Tenai"},{"family":"Dolde","given":"Ulla"},{"family":"Rodrigues","given":"Vandasue"},{"family":"Brandt","given":"Ronny"},{"family":"Wenkel","given":"Stephan"}],"issued":{"date-parts":[["2016",3,25]]}}}],"schema":"https://github.com/citation-style-language/schema/raw/master/csl-citation.json"} </w:instrText>
      </w:r>
      <w:r w:rsidR="00256224">
        <w:rPr>
          <w:rFonts w:ascii="Arial" w:hAnsi="Arial" w:cs="Arial"/>
          <w:b w:val="0"/>
          <w:color w:val="auto"/>
          <w:sz w:val="24"/>
          <w:szCs w:val="24"/>
        </w:rPr>
        <w:fldChar w:fldCharType="separate"/>
      </w:r>
      <w:r w:rsidR="00256224" w:rsidRPr="00256224">
        <w:rPr>
          <w:rFonts w:ascii="Arial" w:hAnsi="Arial" w:cs="Arial"/>
          <w:sz w:val="24"/>
        </w:rPr>
        <w:t>(Graeff et al., 2016)</w:t>
      </w:r>
      <w:r w:rsidR="00256224">
        <w:rPr>
          <w:rFonts w:ascii="Arial" w:hAnsi="Arial" w:cs="Arial"/>
          <w:b w:val="0"/>
          <w:color w:val="auto"/>
          <w:sz w:val="24"/>
          <w:szCs w:val="24"/>
        </w:rPr>
        <w:fldChar w:fldCharType="end"/>
      </w:r>
      <w:r w:rsidR="00256224">
        <w:rPr>
          <w:rFonts w:ascii="Arial" w:hAnsi="Arial" w:cs="Arial"/>
          <w:b w:val="0"/>
          <w:color w:val="auto"/>
          <w:sz w:val="24"/>
          <w:szCs w:val="24"/>
        </w:rPr>
        <w:t>,</w:t>
      </w:r>
      <w:r w:rsidRPr="004E0A36">
        <w:rPr>
          <w:rFonts w:ascii="Arial" w:hAnsi="Arial" w:cs="Arial"/>
          <w:b w:val="0"/>
          <w:i/>
          <w:color w:val="auto"/>
          <w:sz w:val="24"/>
          <w:szCs w:val="24"/>
        </w:rPr>
        <w:t xml:space="preserve"> elf3-1</w:t>
      </w:r>
      <w:r w:rsidRPr="00BD40B5">
        <w:rPr>
          <w:rFonts w:ascii="Arial" w:hAnsi="Arial" w:cs="Arial"/>
          <w:b w:val="0"/>
          <w:color w:val="auto"/>
          <w:sz w:val="24"/>
          <w:szCs w:val="24"/>
        </w:rPr>
        <w:t xml:space="preserve"> </w:t>
      </w:r>
      <w:r w:rsidRPr="00BD40B5">
        <w:rPr>
          <w:rFonts w:ascii="Arial" w:hAnsi="Arial" w:cs="Arial"/>
          <w:b w:val="0"/>
          <w:color w:val="auto"/>
          <w:sz w:val="24"/>
          <w:szCs w:val="24"/>
        </w:rPr>
        <w:fldChar w:fldCharType="begin"/>
      </w:r>
      <w:r w:rsidRPr="00BD40B5">
        <w:rPr>
          <w:rFonts w:ascii="Arial" w:hAnsi="Arial" w:cs="Arial"/>
          <w:b w:val="0"/>
          <w:color w:val="auto"/>
          <w:sz w:val="24"/>
          <w:szCs w:val="24"/>
        </w:rPr>
        <w:instrText xml:space="preserve"> ADDIN ZOTERO_ITEM CSL_CITATION {"citationID":"No1Eicgh","properties":{"formattedCitation":"(Zagotta et al., 1996)","plainCitation":"(Zagotta et al., 1996)","noteIndex":0},"citationItems":[{"id":3242,"uris":["http://zotero.org/users/2970095/items/9B9TZUEJ"],"uri":["http://zotero.org/users/2970095/items/9B9TZUEJ"],"itemData":{"id":3242,"type":"article-journal","abstract":"Flowering in Arabidopsis thaliana is promoted by long-day (LD) photoperiods such that plants grown in LD flower earlier, and after the production of fewer leaves, than plants grown in short-day (SD) photoperiods. The early-flowering 3 (elf3) mutant of Arabidopsis, which is insensitive to photoperiod with regard to floral initiation has been characterized. elf3 mutants are also altered in several aspects of vegetative photomorphogenesis, including hypocotyl elongation. When inhibition of hypocotyl elongation was measured, elf3 mutant seedlings were less responsive than wild-type to all wavelengths of light, and most notably defective in blue and green light-mediated inhibition. When analyzed for the flowering-time phenotype, elf3 was epistatic to mutant alleles of the blue-light receptor encoding gene, HY4. However, when elf3 mutants were made deficient for functional phytochrome by the introduction of hy2 mutant alleles, the elf3 hy2 double mutants displayed the novel phenotype of flowering earlier than either single mutant while still exhibiting photoperiod insensitivity, indicating that a phytochrome-mediated pathway regulating floral initiation remains functional in elf3 single mutants. In addition, the inflorescences of one allelic combination of elf3 hy2 double mutants form a terminal flower similar to the structure produced by tfl1 single mutants. These results suggest that one of the signal transduction pathways controlling photoperiodism in Arabidopsis is regulated, at least in part, by photoreceptors other than phytochrome, and that the activity of the Arabidopsis inflorescence and floral meristem identity genes may be regulated by this same pathway.","container-title":"The Plant Journal","DOI":"10.1046/j.1365-313X.1996.10040691.x","ISSN":"1365-313X","issue":"4","language":"en","page":"691-702","source":"Wiley Online Library","title":"The Arabidopsis ELF3 gene regulates vegetative photomorphogenesis and the photoperiodic induction of flowering","volume":"10","author":[{"family":"Zagotta","given":"Michelle T."},{"family":"Hicks","given":"Karen A."},{"family":"Jacobs","given":"Carolyn I."},{"family":"Young","given":"Jeff C."},{"family":"Hangarter","given":"Roger P."},{"family":"Meeks</w:instrText>
      </w:r>
      <w:r w:rsidRPr="00BD40B5">
        <w:rPr>
          <w:rFonts w:ascii="Cambria Math" w:hAnsi="Cambria Math" w:cs="Cambria Math"/>
          <w:b w:val="0"/>
          <w:color w:val="auto"/>
          <w:sz w:val="24"/>
          <w:szCs w:val="24"/>
        </w:rPr>
        <w:instrText>‐</w:instrText>
      </w:r>
      <w:r w:rsidRPr="00BD40B5">
        <w:rPr>
          <w:rFonts w:ascii="Arial" w:hAnsi="Arial" w:cs="Arial"/>
          <w:b w:val="0"/>
          <w:color w:val="auto"/>
          <w:sz w:val="24"/>
          <w:szCs w:val="24"/>
        </w:rPr>
        <w:instrText xml:space="preserve">Wagner","given":"D. Ry"}],"issued":{"date-parts":[["1996"]]}}}],"schema":"https://github.com/citation-style-language/schema/raw/master/csl-citation.json"} </w:instrText>
      </w:r>
      <w:r w:rsidRPr="00BD40B5">
        <w:rPr>
          <w:rFonts w:ascii="Arial" w:hAnsi="Arial" w:cs="Arial"/>
          <w:b w:val="0"/>
          <w:color w:val="auto"/>
          <w:sz w:val="24"/>
          <w:szCs w:val="24"/>
        </w:rPr>
        <w:fldChar w:fldCharType="separate"/>
      </w:r>
      <w:r w:rsidRPr="00BD40B5">
        <w:rPr>
          <w:rFonts w:ascii="Arial" w:hAnsi="Arial" w:cs="Arial"/>
          <w:b w:val="0"/>
          <w:color w:val="auto"/>
          <w:sz w:val="24"/>
        </w:rPr>
        <w:t>(Zagotta et al., 1996)</w:t>
      </w:r>
      <w:r w:rsidRPr="00BD40B5">
        <w:rPr>
          <w:rFonts w:ascii="Arial" w:hAnsi="Arial" w:cs="Arial"/>
          <w:b w:val="0"/>
          <w:color w:val="auto"/>
          <w:sz w:val="24"/>
          <w:szCs w:val="24"/>
        </w:rPr>
        <w:fldChar w:fldCharType="end"/>
      </w:r>
      <w:r w:rsidRPr="00BD40B5">
        <w:rPr>
          <w:rFonts w:ascii="Arial" w:hAnsi="Arial" w:cs="Arial"/>
          <w:b w:val="0"/>
          <w:color w:val="auto"/>
          <w:sz w:val="24"/>
          <w:szCs w:val="24"/>
        </w:rPr>
        <w:t xml:space="preserve">, </w:t>
      </w:r>
      <w:r w:rsidRPr="00BD40B5">
        <w:rPr>
          <w:rFonts w:ascii="Arial" w:hAnsi="Arial" w:cs="Arial"/>
          <w:b w:val="0"/>
          <w:i/>
          <w:color w:val="auto"/>
          <w:sz w:val="24"/>
          <w:szCs w:val="24"/>
        </w:rPr>
        <w:t>cry1-104 cry2-1</w:t>
      </w:r>
      <w:r w:rsidRPr="00BD40B5">
        <w:rPr>
          <w:rFonts w:ascii="Arial" w:hAnsi="Arial" w:cs="Arial"/>
          <w:b w:val="0"/>
          <w:color w:val="auto"/>
          <w:sz w:val="24"/>
          <w:szCs w:val="24"/>
        </w:rPr>
        <w:t xml:space="preserve"> </w:t>
      </w:r>
      <w:r w:rsidRPr="00BD40B5">
        <w:rPr>
          <w:rFonts w:ascii="Arial" w:hAnsi="Arial" w:cs="Arial"/>
          <w:b w:val="0"/>
          <w:color w:val="auto"/>
          <w:sz w:val="24"/>
          <w:szCs w:val="24"/>
        </w:rPr>
        <w:fldChar w:fldCharType="begin"/>
      </w:r>
      <w:r w:rsidRPr="00BD40B5">
        <w:rPr>
          <w:rFonts w:ascii="Arial" w:hAnsi="Arial" w:cs="Arial"/>
          <w:b w:val="0"/>
          <w:color w:val="auto"/>
          <w:sz w:val="24"/>
          <w:szCs w:val="24"/>
        </w:rPr>
        <w:instrText xml:space="preserve"> ADDIN ZOTERO_ITEM CSL_CITATION {"citationID":"j27zJzQj","properties":{"formattedCitation":"(Mao et al., 2005)","plainCitation":"(Mao et al., 2005)","noteIndex":0},"citationItems":[{"id":3238,"uris":["http://zotero.org/users/2970095/items/AM7KFNE9"],"uri":["http://zotero.org/users/2970095/items/AM7KFNE9"],"itemData":{"id":3238,"type":"article-journal","abstract":"Cryptochromes (CRY) are blue light photoreceptors that mediate various light-induced responses in plants and animals. Arabidopsis CRY (CRY1 and CRY2) functions through negatively regulating constitutive photomorphogenic (COP) 1, a repressor of photomorphogenesis. Water evaporation and photosynthesis are regulated by the stomatal pores in plants, which are closed in darkness but open in response to blue light. There is evidence only for the phototropin blue light receptors (PHOT1 and PHOT2) in mediating blue light regulation of stomatal opening. Here, we report a previously uncharacterized role for Arabidopsis CRY and COP1 in the regulation of stomatal opening. Stomata of the cry1 cry2 double mutant showed reduced blue light response, whereas those of the CRY1-overexpressing plants showed hypersensitive response to blue light. In addition, stomata of the phot1 phot2 double mutant responded to blue light, but those of the cry1 cry2 phot1 phot2 quadruple mutant hardly responded. Strikingly, stomata of the cop1 mutant were constitutively open in darkness and stomata of the cry1 cry2 cop1 and phot1 phot2 cop1 triple mutants were open as wide as those of the cop1 single mutant under blue light. These results indicate that CRY functions additively with PHOT in mediating blue light-induced stomatal opening and that COP1 is a repressor of stomatal opening and likely acts downstream of CRY and PHOT signaling pathways.","container-title":"Proceedings of the National Academy of Sciences","DOI":"10.1073/pnas.0501011102","ISSN":"0027-8424, 1091-6490","issue":"34","journalAbbreviation":"PNAS","language":"en","note":"PMID: 16093319","page":"12270-12275","source":"www.pnas.org","title":"A role for Arabidopsis cryptochromes and COP1 in the regulation of stomatal opening","volume":"102","author":[{"family":"Mao","given":"Jian"},{"family":"Zhang","given":"Yan-Chun"},{"family":"Sang","given":"Yi"},{"family":"Li","given":"Qing-Hua"},{"family":"Yang","given":"Hong-Quan"}],"issued":{"date-parts":[["2005",8,23]]}}}],"schema":"https://github.com/citation-style-language/schema/raw/master/csl-citation.json"} </w:instrText>
      </w:r>
      <w:r w:rsidRPr="00BD40B5">
        <w:rPr>
          <w:rFonts w:ascii="Arial" w:hAnsi="Arial" w:cs="Arial"/>
          <w:b w:val="0"/>
          <w:color w:val="auto"/>
          <w:sz w:val="24"/>
          <w:szCs w:val="24"/>
        </w:rPr>
        <w:fldChar w:fldCharType="separate"/>
      </w:r>
      <w:r w:rsidRPr="00BD40B5">
        <w:rPr>
          <w:rFonts w:ascii="Arial" w:hAnsi="Arial" w:cs="Arial"/>
          <w:b w:val="0"/>
          <w:color w:val="auto"/>
          <w:sz w:val="24"/>
        </w:rPr>
        <w:t>(Mao et al., 2005)</w:t>
      </w:r>
      <w:r w:rsidRPr="00BD40B5">
        <w:rPr>
          <w:rFonts w:ascii="Arial" w:hAnsi="Arial" w:cs="Arial"/>
          <w:b w:val="0"/>
          <w:color w:val="auto"/>
          <w:sz w:val="24"/>
          <w:szCs w:val="24"/>
        </w:rPr>
        <w:fldChar w:fldCharType="end"/>
      </w:r>
      <w:r w:rsidR="00B56A60">
        <w:rPr>
          <w:rFonts w:ascii="Arial" w:hAnsi="Arial" w:cs="Arial"/>
          <w:b w:val="0"/>
          <w:color w:val="auto"/>
          <w:sz w:val="24"/>
          <w:szCs w:val="24"/>
        </w:rPr>
        <w:t xml:space="preserve">, </w:t>
      </w:r>
      <w:r w:rsidR="00B56A60" w:rsidRPr="004E0A36">
        <w:rPr>
          <w:rFonts w:ascii="Arial" w:hAnsi="Arial" w:cs="Arial"/>
          <w:b w:val="0"/>
          <w:i/>
          <w:color w:val="auto"/>
          <w:sz w:val="24"/>
          <w:szCs w:val="24"/>
        </w:rPr>
        <w:t xml:space="preserve">hy5-2 </w:t>
      </w:r>
      <w:proofErr w:type="spellStart"/>
      <w:r w:rsidR="00B56A60" w:rsidRPr="004E0A36">
        <w:rPr>
          <w:rFonts w:ascii="Arial" w:hAnsi="Arial" w:cs="Arial"/>
          <w:b w:val="0"/>
          <w:i/>
          <w:color w:val="auto"/>
          <w:sz w:val="24"/>
          <w:szCs w:val="24"/>
        </w:rPr>
        <w:t>hyh</w:t>
      </w:r>
      <w:proofErr w:type="spellEnd"/>
      <w:r w:rsidR="00B56A60">
        <w:rPr>
          <w:rFonts w:ascii="Arial" w:hAnsi="Arial" w:cs="Arial"/>
          <w:b w:val="0"/>
          <w:color w:val="auto"/>
          <w:sz w:val="24"/>
          <w:szCs w:val="24"/>
        </w:rPr>
        <w:t xml:space="preserve"> </w:t>
      </w:r>
      <w:r w:rsidR="00B56A60">
        <w:rPr>
          <w:rFonts w:ascii="Arial" w:hAnsi="Arial" w:cs="Arial"/>
          <w:b w:val="0"/>
          <w:color w:val="auto"/>
          <w:sz w:val="24"/>
          <w:szCs w:val="24"/>
        </w:rPr>
        <w:fldChar w:fldCharType="begin"/>
      </w:r>
      <w:r w:rsidR="00B56A60">
        <w:rPr>
          <w:rFonts w:ascii="Arial" w:hAnsi="Arial" w:cs="Arial"/>
          <w:b w:val="0"/>
          <w:color w:val="auto"/>
          <w:sz w:val="24"/>
          <w:szCs w:val="24"/>
        </w:rPr>
        <w:instrText xml:space="preserve"> ADDIN ZOTERO_ITEM CSL_CITATION {"citationID":"GpiMSqQy","properties":{"formattedCitation":"(Zhang et al., 2017)","plainCitation":"(Zhang et al., 2017)","noteIndex":0},"citationItems":[{"id":4056,"uris":["http://zotero.org/users/2970095/items/7XWDAJAS"],"uri":["http://zotero.org/users/2970095/items/7XWDAJAS"],"itemData":{"id":4056,"type":"article-journal","abstract":"ELONGATED HYPOCOTYL 5 (HY5), a member of the bZIP gene family, is a positive regulator of the light signaling pathway in Arabidopsis thaliana. Whereas the hy5 mutant exhibits an elongated hypocotyl when grown in the light, the hy5 homolog (hyh) mutant does not. Although the functions of HY5 and HYH in light-mediated seedling development have been revealed, the tissue-specific expression patterns of HY5 and HYH and their interconnected regulation are largely unknown. Here, we report that HY5 regulates HYH expression in roots and contributes to root growth under different light conditions. We generated HY5 and HYH transcriptional and translational fusion reporter lines to investigate their expression patterns. HY5 was constitutively expressed in all root tissues, while HYH was predominantly expressed in root xylem cells. Root growth after a dark-to-light transition was perturbed in the hy5 and hy5hyh mutant lines, but not in the hyh mutant line, indicating that HY5 plays a major role in light-regulated root growth. Light-induced HY5/HYH expression occurred autonomously in roots. HYH expression in roots was decreased in the hy5 mutant, suggesting that HY5 regulates HYH expression. Collectively, these results indicate that an organ-specific HY5-mediated pathway controls root photomorphogenic development independently of light signaling in the shoot.","container-title":"PLOS ONE","DOI":"10.1371/journal.pone.0180449","ISSN":"1932-6203","issue":"7","journalAbbreviation":"PLOS ONE","language":"en","note":"publisher: Public Library of Science","page":"e0180449","source":"PLoS Journals","title":"Dissection of HY5/HYH expression in Arabidopsis reveals a root-autonomous HY5-mediated photomorphogenic pathway","volume":"12","author":[{"family":"Zhang","given":"Yonghong"},{"family":"Li","given":"Chen"},{"family":"Zhang","given":"Jingxuan"},{"family":"Wang","given":"Jiajing"},{"family":"Yang","given":"Jingwei"},{"family":"Lv","given":"Yanxia"},{"family":"Yang","given":"Nian"},{"family":"Liu","given":"Jianping"},{"family":"Wang","given":"Xuanbin"},{"family":"Palfalvi","given":"Gergo"},{"family":"Wang","given":"Guodong"},{"family":"Zheng","given":"Lanlan"}],"issued":{"date-parts":[["2017",7,6]]}}}],"schema":"https://github.com/citation-style-language/schema/raw/master/csl-citation.json"} </w:instrText>
      </w:r>
      <w:r w:rsidR="00B56A60">
        <w:rPr>
          <w:rFonts w:ascii="Arial" w:hAnsi="Arial" w:cs="Arial"/>
          <w:b w:val="0"/>
          <w:color w:val="auto"/>
          <w:sz w:val="24"/>
          <w:szCs w:val="24"/>
        </w:rPr>
        <w:fldChar w:fldCharType="separate"/>
      </w:r>
      <w:r w:rsidR="00B56A60" w:rsidRPr="00B56A60">
        <w:rPr>
          <w:rFonts w:ascii="Arial" w:hAnsi="Arial" w:cs="Arial"/>
          <w:sz w:val="24"/>
        </w:rPr>
        <w:t>(Zhang et al., 2017)</w:t>
      </w:r>
      <w:r w:rsidR="00B56A60">
        <w:rPr>
          <w:rFonts w:ascii="Arial" w:hAnsi="Arial" w:cs="Arial"/>
          <w:b w:val="0"/>
          <w:color w:val="auto"/>
          <w:sz w:val="24"/>
          <w:szCs w:val="24"/>
        </w:rPr>
        <w:fldChar w:fldCharType="end"/>
      </w:r>
      <w:r w:rsidRPr="00BD40B5">
        <w:rPr>
          <w:rFonts w:ascii="Arial" w:hAnsi="Arial" w:cs="Arial"/>
          <w:b w:val="0"/>
          <w:color w:val="auto"/>
          <w:sz w:val="24"/>
          <w:szCs w:val="24"/>
        </w:rPr>
        <w:t xml:space="preserve"> and </w:t>
      </w:r>
      <w:r w:rsidRPr="00BD40B5">
        <w:rPr>
          <w:rFonts w:ascii="Arial" w:hAnsi="Arial" w:cs="Arial"/>
          <w:b w:val="0"/>
          <w:i/>
          <w:color w:val="auto"/>
          <w:sz w:val="24"/>
          <w:szCs w:val="24"/>
        </w:rPr>
        <w:t>prr5-11 prr7-11 prr9-10</w:t>
      </w:r>
      <w:r w:rsidRPr="00BD40B5">
        <w:rPr>
          <w:rFonts w:ascii="Arial" w:hAnsi="Arial" w:cs="Arial"/>
          <w:b w:val="0"/>
          <w:color w:val="auto"/>
          <w:sz w:val="24"/>
          <w:szCs w:val="24"/>
        </w:rPr>
        <w:t xml:space="preserve"> </w:t>
      </w:r>
      <w:r w:rsidRPr="00BD40B5">
        <w:rPr>
          <w:rFonts w:ascii="Arial" w:hAnsi="Arial" w:cs="Arial"/>
          <w:b w:val="0"/>
          <w:color w:val="auto"/>
          <w:sz w:val="24"/>
          <w:szCs w:val="24"/>
        </w:rPr>
        <w:fldChar w:fldCharType="begin"/>
      </w:r>
      <w:r w:rsidRPr="00BD40B5">
        <w:rPr>
          <w:rFonts w:ascii="Arial" w:hAnsi="Arial" w:cs="Arial"/>
          <w:b w:val="0"/>
          <w:color w:val="auto"/>
          <w:sz w:val="24"/>
          <w:szCs w:val="24"/>
        </w:rPr>
        <w:instrText xml:space="preserve"> ADDIN ZOTERO_ITEM CSL_CITATION {"citationID":"aKsJhDqn","properties":{"formattedCitation":"(Nakamichi et al., 2005)","plainCitation":"(Nakamichi et al., 2005)","noteIndex":0},"citationItems":[{"id":268,"uris":["http://zotero.org/users/2970095/items/DPD2PSSJ"],"uri":["http://zotero.org/users/2970095/items/DPD2PSSJ"],"itemData":{"id":268,"type":"article-journal","abstract":"In Arabidopsis thaliana, a number of clock-associated protein components have been identified. Among them, CCA1 (CIRCADIAN CLOCK-ASSOCIATED 1)/LHY (LATE ELONGATED HYPOCOTYL) and TOC1 (TIMING OF CAB EXPRESSION 1) are believed to be the essential components of the central oscillator. CCA1 and LHY are homologous and partially redundant Myb-related DNA-binding proteins, whereas TOC1 is a member of a small family of proteins, designated as PSEUDO-RESPONSE REGULATOR. It is also believed that these two different types of clock components form an autoregulatory positive/negative feedback loop at the levels of transcription/translation that generates intrinsic rhythms. Nonetheless, it was not yet certain whether or not other PRR family members (PRR9, PRR7, PRR5 and PRR3) are implicated in clock function per se. Employing a set of prr9, prr7 and prr5 mutant alleles, here we established all possible single, double and triple prr mutants. They were examined extensively by comparing them with each other with regard to their phenotypes of circadian rhythms, photoperiodicity-dependent control of flowering time and photomorphogenic responses to red light during de-etiolation. Notably, the prr9 prr7 prr5 triple lesions in plants resulted in severe phenotypes: (i) arrhythmia in the continuous light conditions, and an anomalous phasing of diurnal oscillation of certain circadian-controlled genes even in the entrained light/dark cycle conditions; (ii) late flowering that was no longer sensitive to the photoperiodicity; and (iii) hyposensitivity (or blind) to red light in the photomorphogenic responses. The phenotypes of the single and double mutants were also characterized extensively, showing that they exhibited circadian-associated phenotypes characteristic for each. These results are discussed from the viewpoint that PRR9/PRR7/PRR5 together act as period-controlling factors, and they play overlapping and distinctive roles close to (or within) the central oscillator in which the relative, PRR1/TOC1, plays an essential role.","container-title":"Plant and Cell Physiology","DOI":"10.1093/pcp/pci086","ISSN":"0032-0781, 1471-9053","issue":"5","journalAbbreviation":"Plant Cell Physiol","language":"en","note":"PMID: 15767265","page":"686-698","source":"pcp.oxfordjournals.org","title":"PSEUDO-RESPONSE REGULATORS, PRR9, PRR7 and PRR5, Together Play Essential Roles Close to the Circadian Clock of Arabidopsis thaliana","volume":"46","author":[{"family":"Nakamichi","given":"Norihito"},{"family":"Kita","given":"Masanori"},{"family":"Ito","given":"Shogo"},{"family":"Yamashino","given":"Takafumi"},{"family":"Mizuno","given":"Takeshi"}],"issued":{"date-parts":[["2005",1,5]]}}}],"schema":"https://github.com/citation-style-language/schema/raw/master/csl-citation.json"} </w:instrText>
      </w:r>
      <w:r w:rsidRPr="00BD40B5">
        <w:rPr>
          <w:rFonts w:ascii="Arial" w:hAnsi="Arial" w:cs="Arial"/>
          <w:b w:val="0"/>
          <w:color w:val="auto"/>
          <w:sz w:val="24"/>
          <w:szCs w:val="24"/>
        </w:rPr>
        <w:fldChar w:fldCharType="separate"/>
      </w:r>
      <w:r w:rsidRPr="00BD40B5">
        <w:rPr>
          <w:rFonts w:ascii="Arial" w:hAnsi="Arial" w:cs="Arial"/>
          <w:b w:val="0"/>
          <w:color w:val="auto"/>
          <w:sz w:val="24"/>
        </w:rPr>
        <w:t>(Nakamichi et al., 2005)</w:t>
      </w:r>
      <w:r w:rsidRPr="00BD40B5">
        <w:rPr>
          <w:rFonts w:ascii="Arial" w:hAnsi="Arial" w:cs="Arial"/>
          <w:b w:val="0"/>
          <w:color w:val="auto"/>
          <w:sz w:val="24"/>
          <w:szCs w:val="24"/>
        </w:rPr>
        <w:fldChar w:fldCharType="end"/>
      </w:r>
      <w:r w:rsidRPr="00BD40B5">
        <w:rPr>
          <w:rFonts w:ascii="Arial" w:hAnsi="Arial" w:cs="Arial"/>
          <w:b w:val="0"/>
          <w:color w:val="auto"/>
          <w:sz w:val="24"/>
          <w:szCs w:val="24"/>
        </w:rPr>
        <w:t xml:space="preserve"> are in the Col-0 background, and </w:t>
      </w:r>
      <w:r w:rsidRPr="00BD40B5">
        <w:rPr>
          <w:rFonts w:ascii="Arial" w:hAnsi="Arial" w:cs="Arial"/>
          <w:b w:val="0"/>
          <w:i/>
          <w:color w:val="auto"/>
          <w:sz w:val="24"/>
          <w:szCs w:val="24"/>
        </w:rPr>
        <w:t>hsfA1a hsfA1b hsfA1d hsfA1e</w:t>
      </w:r>
      <w:r w:rsidRPr="00BD40B5">
        <w:rPr>
          <w:rFonts w:ascii="Arial" w:hAnsi="Arial" w:cs="Arial"/>
          <w:b w:val="0"/>
          <w:color w:val="auto"/>
          <w:sz w:val="24"/>
          <w:szCs w:val="24"/>
        </w:rPr>
        <w:t xml:space="preserve"> (</w:t>
      </w:r>
      <w:r w:rsidRPr="00BD40B5">
        <w:rPr>
          <w:rFonts w:ascii="Arial" w:hAnsi="Arial" w:cs="Arial"/>
          <w:b w:val="0"/>
          <w:i/>
          <w:color w:val="auto"/>
          <w:sz w:val="24"/>
          <w:szCs w:val="24"/>
        </w:rPr>
        <w:t>hsfa1QK</w:t>
      </w:r>
      <w:r w:rsidRPr="00BD40B5">
        <w:rPr>
          <w:rFonts w:ascii="Arial" w:hAnsi="Arial" w:cs="Arial"/>
          <w:b w:val="0"/>
          <w:color w:val="auto"/>
          <w:sz w:val="24"/>
          <w:szCs w:val="24"/>
        </w:rPr>
        <w:t xml:space="preserve">) </w:t>
      </w:r>
      <w:r w:rsidRPr="00BD40B5">
        <w:rPr>
          <w:rFonts w:ascii="Arial" w:hAnsi="Arial" w:cs="Arial"/>
          <w:b w:val="0"/>
          <w:color w:val="auto"/>
          <w:sz w:val="24"/>
        </w:rPr>
        <w:fldChar w:fldCharType="begin"/>
      </w:r>
      <w:r w:rsidRPr="00BD40B5">
        <w:rPr>
          <w:rFonts w:ascii="Arial" w:hAnsi="Arial" w:cs="Arial"/>
          <w:b w:val="0"/>
          <w:color w:val="auto"/>
          <w:sz w:val="24"/>
        </w:rPr>
        <w:instrText xml:space="preserve"> ADDIN ZOTERO_ITEM CSL_CITATION {"citationID":"BlszBmkS","properties":{"formattedCitation":"(Liu et al., 2011)","plainCitation":"(Liu et al., 2011)","noteIndex":0},"citationItems":[{"id":240,"uris":["http://zotero.org/users/2970095/items/8MHZNIF9"],"uri":["http://zotero.org/users/2970095/items/8MHZNIF9"],"itemData":{"id":240,"type":"article-journal","abstract":"In Arabidopsis, there are four homologs of class A1 heat shock factor (HSFA1) genes, which likely encode the master regulators of heat shock response (HSR). However, previous studies with double knockout (KO) mutants were unable to confirm this point probably due to functional redundancy. Here, we generated a quadruple KO (QK) and four triple KO mutants to dissect their functions. Our data show that members of the HSFA1 group not only play a pivotal role in HSR but also are involved in growth and development. Alterations in morphology and retardation in growth were observed in the quadruple but not in triple KO mutants. The basal and acquired thermotolerance capacity was dramatically decreased in the QK mutant but varied in triple KO mutants at different developmental stages. The transcriptomics profiles suggested that more than 65% of the heat stress (HS)-up-regulated genes were HSFA1 dependent. HSFA1s were also involved in the expression of several HS genes induced by H2O2, salt and mannitol, which is consistent with the increased sensitive phenotype of the QK mutant to the stress factors. In conclusion, the Arabidopsis HSFA1s function as the master regulators of HSR and participate as important components in other abiotic stress responses as well.","container-title":"Plant, Cell &amp; Environment","DOI":"10.1111/j.1365-3040.2011.02278.x","ISSN":"1365-3040","issue":"5","language":"en","page":"738-751","source":"Wiley Online Library","title":"The role of class A1 heat shock factors (HSFA1s) in response to heat and other stresses in Arabidopsis","volume":"34","author":[{"family":"Liu","given":"Hsiang-Chin"},{"family":"Liao","given":"Hsiu-Ting"},{"family":"Charng","given":"Yee-Yung"}],"issued":{"date-parts":[["2011",5,1]]}}}],"schema":"https://github.com/citation-style-language/schema/raw/master/csl-citation.json"} </w:instrText>
      </w:r>
      <w:r w:rsidRPr="00BD40B5">
        <w:rPr>
          <w:rFonts w:ascii="Arial" w:hAnsi="Arial" w:cs="Arial"/>
          <w:b w:val="0"/>
          <w:color w:val="auto"/>
          <w:sz w:val="24"/>
        </w:rPr>
        <w:fldChar w:fldCharType="separate"/>
      </w:r>
      <w:r w:rsidRPr="00BD40B5">
        <w:rPr>
          <w:rFonts w:ascii="Arial" w:hAnsi="Arial" w:cs="Arial"/>
          <w:b w:val="0"/>
          <w:color w:val="auto"/>
          <w:sz w:val="24"/>
        </w:rPr>
        <w:t>(Liu et al., 2011)</w:t>
      </w:r>
      <w:r w:rsidRPr="00BD40B5">
        <w:rPr>
          <w:rFonts w:ascii="Arial" w:hAnsi="Arial" w:cs="Arial"/>
          <w:b w:val="0"/>
          <w:color w:val="auto"/>
          <w:sz w:val="24"/>
        </w:rPr>
        <w:fldChar w:fldCharType="end"/>
      </w:r>
      <w:r w:rsidRPr="00BD40B5">
        <w:rPr>
          <w:rFonts w:ascii="Arial" w:hAnsi="Arial" w:cs="Arial"/>
          <w:b w:val="0"/>
          <w:color w:val="auto"/>
          <w:sz w:val="24"/>
        </w:rPr>
        <w:t xml:space="preserve"> </w:t>
      </w:r>
      <w:r w:rsidRPr="00BD40B5">
        <w:rPr>
          <w:rFonts w:ascii="Arial" w:hAnsi="Arial" w:cs="Arial"/>
          <w:b w:val="0"/>
          <w:color w:val="auto"/>
          <w:sz w:val="24"/>
          <w:szCs w:val="24"/>
        </w:rPr>
        <w:t>is in a mixed Col-0/</w:t>
      </w:r>
      <w:proofErr w:type="spellStart"/>
      <w:r w:rsidRPr="00BD40B5">
        <w:rPr>
          <w:rFonts w:ascii="Arial" w:hAnsi="Arial" w:cs="Arial"/>
          <w:b w:val="0"/>
          <w:color w:val="auto"/>
          <w:sz w:val="24"/>
          <w:szCs w:val="24"/>
        </w:rPr>
        <w:t>Ws</w:t>
      </w:r>
      <w:proofErr w:type="spellEnd"/>
      <w:r w:rsidRPr="00BD40B5">
        <w:rPr>
          <w:rFonts w:ascii="Arial" w:hAnsi="Arial" w:cs="Arial"/>
          <w:b w:val="0"/>
          <w:color w:val="auto"/>
          <w:sz w:val="24"/>
          <w:szCs w:val="24"/>
        </w:rPr>
        <w:t xml:space="preserve"> background.</w:t>
      </w:r>
    </w:p>
    <w:p w14:paraId="62AA753C" w14:textId="43A428A2" w:rsidR="004854DE" w:rsidRDefault="004854DE" w:rsidP="004854DE">
      <w:pPr>
        <w:pStyle w:val="Heading2"/>
        <w:spacing w:line="360" w:lineRule="auto"/>
        <w:rPr>
          <w:rFonts w:ascii="Arial" w:hAnsi="Arial" w:cs="Arial"/>
          <w:b w:val="0"/>
          <w:color w:val="auto"/>
          <w:sz w:val="24"/>
          <w:szCs w:val="24"/>
        </w:rPr>
      </w:pPr>
      <w:r w:rsidRPr="005D6489">
        <w:rPr>
          <w:rFonts w:ascii="Arial" w:hAnsi="Arial" w:cs="Arial"/>
          <w:b w:val="0"/>
          <w:color w:val="auto"/>
          <w:sz w:val="24"/>
          <w:szCs w:val="24"/>
        </w:rPr>
        <w:t>For all experiments, seeds were surface-</w:t>
      </w:r>
      <w:proofErr w:type="spellStart"/>
      <w:r w:rsidRPr="005D6489">
        <w:rPr>
          <w:rFonts w:ascii="Arial" w:hAnsi="Arial" w:cs="Arial"/>
          <w:b w:val="0"/>
          <w:color w:val="auto"/>
          <w:sz w:val="24"/>
          <w:szCs w:val="24"/>
        </w:rPr>
        <w:t>sterilised</w:t>
      </w:r>
      <w:proofErr w:type="spellEnd"/>
      <w:r w:rsidRPr="005D6489">
        <w:rPr>
          <w:rFonts w:ascii="Arial" w:hAnsi="Arial" w:cs="Arial"/>
          <w:b w:val="0"/>
          <w:color w:val="auto"/>
          <w:sz w:val="24"/>
          <w:szCs w:val="24"/>
        </w:rPr>
        <w:t xml:space="preserve"> and sown on ½ </w:t>
      </w:r>
      <w:proofErr w:type="spellStart"/>
      <w:r w:rsidRPr="005D6489">
        <w:rPr>
          <w:rFonts w:ascii="Arial" w:hAnsi="Arial" w:cs="Arial"/>
          <w:b w:val="0"/>
          <w:color w:val="auto"/>
          <w:sz w:val="24"/>
          <w:szCs w:val="24"/>
        </w:rPr>
        <w:t>Murashige</w:t>
      </w:r>
      <w:proofErr w:type="spellEnd"/>
      <w:r w:rsidRPr="005D6489">
        <w:rPr>
          <w:rFonts w:ascii="Arial" w:hAnsi="Arial" w:cs="Arial"/>
          <w:b w:val="0"/>
          <w:color w:val="auto"/>
          <w:sz w:val="24"/>
          <w:szCs w:val="24"/>
        </w:rPr>
        <w:t xml:space="preserve"> and Skoog (MS) agar plates at pH5.7 without sucrose</w:t>
      </w:r>
      <w:r w:rsidR="00AD7083">
        <w:rPr>
          <w:rFonts w:ascii="Arial" w:hAnsi="Arial" w:cs="Arial"/>
          <w:b w:val="0"/>
          <w:color w:val="auto"/>
          <w:sz w:val="24"/>
          <w:szCs w:val="24"/>
        </w:rPr>
        <w:t>; the agar was</w:t>
      </w:r>
      <w:r w:rsidR="00DB5C47">
        <w:rPr>
          <w:rFonts w:ascii="Arial" w:hAnsi="Arial" w:cs="Arial"/>
          <w:b w:val="0"/>
          <w:color w:val="auto"/>
          <w:sz w:val="24"/>
          <w:szCs w:val="24"/>
        </w:rPr>
        <w:t xml:space="preserve"> topped with nylon mesh </w:t>
      </w:r>
      <w:r w:rsidR="00256224">
        <w:rPr>
          <w:rFonts w:ascii="Arial" w:hAnsi="Arial" w:cs="Arial"/>
          <w:b w:val="0"/>
          <w:color w:val="auto"/>
          <w:sz w:val="24"/>
          <w:szCs w:val="24"/>
        </w:rPr>
        <w:t>that allowed quick removal of seedlings for sample collection</w:t>
      </w:r>
      <w:r w:rsidRPr="005D6489">
        <w:rPr>
          <w:rFonts w:ascii="Arial" w:hAnsi="Arial" w:cs="Arial"/>
          <w:b w:val="0"/>
          <w:color w:val="auto"/>
          <w:sz w:val="24"/>
          <w:szCs w:val="24"/>
        </w:rPr>
        <w:t>. They were stratified for 3 days at 4°C in the dark and then allowed to germinate for 24 h at 22°C under cool-white fluorescent light at 75-85 µmol m</w:t>
      </w:r>
      <w:r w:rsidRPr="005D6489">
        <w:rPr>
          <w:rFonts w:ascii="Arial" w:hAnsi="Arial" w:cs="Arial"/>
          <w:b w:val="0"/>
          <w:color w:val="auto"/>
          <w:sz w:val="24"/>
          <w:szCs w:val="24"/>
          <w:vertAlign w:val="superscript"/>
        </w:rPr>
        <w:t>-2</w:t>
      </w:r>
      <w:r w:rsidRPr="005D6489">
        <w:rPr>
          <w:rFonts w:ascii="Arial" w:hAnsi="Arial" w:cs="Arial"/>
          <w:b w:val="0"/>
          <w:color w:val="auto"/>
          <w:sz w:val="24"/>
          <w:szCs w:val="24"/>
        </w:rPr>
        <w:t xml:space="preserve"> s</w:t>
      </w:r>
      <w:r w:rsidRPr="005D6489">
        <w:rPr>
          <w:rFonts w:ascii="Arial" w:hAnsi="Arial" w:cs="Arial"/>
          <w:b w:val="0"/>
          <w:color w:val="auto"/>
          <w:sz w:val="24"/>
          <w:szCs w:val="24"/>
          <w:vertAlign w:val="superscript"/>
        </w:rPr>
        <w:t>-1</w:t>
      </w:r>
      <w:r w:rsidRPr="005D6489">
        <w:rPr>
          <w:rFonts w:ascii="Arial" w:hAnsi="Arial" w:cs="Arial"/>
          <w:b w:val="0"/>
          <w:color w:val="auto"/>
          <w:sz w:val="24"/>
          <w:szCs w:val="24"/>
        </w:rPr>
        <w:t xml:space="preserve">. Plates were then shifted into chambers at constant 22°C or 27°C and cool-white fluorescent light at </w:t>
      </w:r>
      <w:r w:rsidR="00DB5C47">
        <w:rPr>
          <w:rFonts w:ascii="Arial" w:hAnsi="Arial" w:cs="Arial"/>
          <w:b w:val="0"/>
          <w:color w:val="auto"/>
          <w:sz w:val="24"/>
          <w:szCs w:val="24"/>
        </w:rPr>
        <w:t>90-</w:t>
      </w:r>
      <w:r w:rsidRPr="005D6489">
        <w:rPr>
          <w:rFonts w:ascii="Arial" w:hAnsi="Arial" w:cs="Arial"/>
          <w:b w:val="0"/>
          <w:color w:val="auto"/>
          <w:sz w:val="24"/>
          <w:szCs w:val="24"/>
        </w:rPr>
        <w:t>100 µmol m</w:t>
      </w:r>
      <w:r w:rsidRPr="005D6489">
        <w:rPr>
          <w:rFonts w:ascii="Arial" w:hAnsi="Arial" w:cs="Arial"/>
          <w:b w:val="0"/>
          <w:color w:val="auto"/>
          <w:sz w:val="24"/>
          <w:szCs w:val="24"/>
          <w:vertAlign w:val="superscript"/>
        </w:rPr>
        <w:t>-2</w:t>
      </w:r>
      <w:r w:rsidRPr="005D6489">
        <w:rPr>
          <w:rFonts w:ascii="Arial" w:hAnsi="Arial" w:cs="Arial"/>
          <w:b w:val="0"/>
          <w:color w:val="auto"/>
          <w:sz w:val="24"/>
          <w:szCs w:val="24"/>
        </w:rPr>
        <w:t xml:space="preserve"> s</w:t>
      </w:r>
      <w:r w:rsidRPr="005D6489">
        <w:rPr>
          <w:rFonts w:ascii="Arial" w:hAnsi="Arial" w:cs="Arial"/>
          <w:b w:val="0"/>
          <w:color w:val="auto"/>
          <w:sz w:val="24"/>
          <w:szCs w:val="24"/>
          <w:vertAlign w:val="superscript"/>
        </w:rPr>
        <w:t>-1</w:t>
      </w:r>
      <w:r w:rsidRPr="005D6489">
        <w:rPr>
          <w:rFonts w:ascii="Arial" w:hAnsi="Arial" w:cs="Arial"/>
          <w:b w:val="0"/>
          <w:color w:val="auto"/>
          <w:sz w:val="24"/>
          <w:szCs w:val="24"/>
        </w:rPr>
        <w:t xml:space="preserve"> with short photoperiods (8 h light, 16 h dark).</w:t>
      </w:r>
      <w:r w:rsidR="00034E23" w:rsidRPr="004E0A36">
        <w:rPr>
          <w:rFonts w:ascii="Arial" w:eastAsia="Times New Roman" w:hAnsi="Arial" w:cs="Arial"/>
          <w:b w:val="0"/>
          <w:bCs w:val="0"/>
          <w:color w:val="222222"/>
          <w:sz w:val="24"/>
          <w:szCs w:val="24"/>
          <w:shd w:val="clear" w:color="auto" w:fill="FFFFFF"/>
          <w:lang w:val="en-GB"/>
        </w:rPr>
        <w:t xml:space="preserve"> </w:t>
      </w:r>
      <w:r w:rsidR="00034E23" w:rsidRPr="00034E23">
        <w:rPr>
          <w:rFonts w:ascii="Arial" w:hAnsi="Arial" w:cs="Arial"/>
          <w:b w:val="0"/>
          <w:color w:val="auto"/>
          <w:sz w:val="24"/>
          <w:szCs w:val="24"/>
          <w:lang w:val="en-GB"/>
        </w:rPr>
        <w:t>The plates from which we collected were picked randomly, not based on position. We also mixed-up plate positions in the chamber on several days to reduce positional effects.</w:t>
      </w:r>
    </w:p>
    <w:p w14:paraId="4060788E" w14:textId="77777777" w:rsidR="004854DE" w:rsidRPr="008C6C8F" w:rsidRDefault="004854DE" w:rsidP="004854DE">
      <w:pPr>
        <w:pStyle w:val="Heading2"/>
        <w:spacing w:line="360" w:lineRule="auto"/>
        <w:rPr>
          <w:rFonts w:ascii="Arial" w:hAnsi="Arial" w:cs="Arial"/>
          <w:sz w:val="28"/>
        </w:rPr>
      </w:pPr>
      <w:bookmarkStart w:id="17" w:name="plant-growth-conditions"/>
      <w:bookmarkStart w:id="18" w:name="rna-seq-high-resolution-time-series"/>
      <w:bookmarkEnd w:id="17"/>
      <w:bookmarkEnd w:id="18"/>
      <w:r w:rsidRPr="008C6C8F">
        <w:rPr>
          <w:rFonts w:ascii="Arial" w:hAnsi="Arial" w:cs="Arial"/>
          <w:sz w:val="28"/>
        </w:rPr>
        <w:t>RNA isolation and quantitative PCR (qPCR)</w:t>
      </w:r>
    </w:p>
    <w:p w14:paraId="4FFDBFCB" w14:textId="4C561C95" w:rsidR="004854DE" w:rsidRPr="005D6489" w:rsidRDefault="004854DE" w:rsidP="004854DE">
      <w:pPr>
        <w:pStyle w:val="FirstParagraph"/>
        <w:spacing w:line="360" w:lineRule="auto"/>
        <w:rPr>
          <w:rFonts w:ascii="Arial" w:hAnsi="Arial" w:cs="Arial"/>
        </w:rPr>
      </w:pPr>
      <w:r w:rsidRPr="005D6489">
        <w:rPr>
          <w:rFonts w:ascii="Arial" w:hAnsi="Arial" w:cs="Arial"/>
        </w:rPr>
        <w:t xml:space="preserve">For expression analysis, 15-20 7-d-old seedlings were collected per sample by snap-freezing in liquid nitrogen, disrupted using a </w:t>
      </w:r>
      <w:proofErr w:type="spellStart"/>
      <w:r w:rsidRPr="005D6489">
        <w:rPr>
          <w:rFonts w:ascii="Arial" w:hAnsi="Arial" w:cs="Arial"/>
        </w:rPr>
        <w:t>TissueLyser</w:t>
      </w:r>
      <w:proofErr w:type="spellEnd"/>
      <w:r w:rsidRPr="005D6489">
        <w:rPr>
          <w:rFonts w:ascii="Arial" w:hAnsi="Arial" w:cs="Arial"/>
        </w:rPr>
        <w:t xml:space="preserve"> II (Qiagen) and RNA was extracted using the MagMax</w:t>
      </w:r>
      <w:r w:rsidRPr="005D6489">
        <w:rPr>
          <w:rFonts w:ascii="Arial" w:hAnsi="Arial" w:cs="Arial"/>
          <w:vertAlign w:val="superscript"/>
        </w:rPr>
        <w:t>TM</w:t>
      </w:r>
      <w:r w:rsidRPr="005D6489">
        <w:rPr>
          <w:rFonts w:ascii="Arial" w:hAnsi="Arial" w:cs="Arial"/>
        </w:rPr>
        <w:t xml:space="preserve">-96 Total RNA Isolation Kit (Thermo Fisher Scientific). The RNA was reverse transcribed into cDNA using the </w:t>
      </w:r>
      <w:proofErr w:type="spellStart"/>
      <w:r w:rsidRPr="005D6489">
        <w:rPr>
          <w:rFonts w:ascii="Arial" w:hAnsi="Arial" w:cs="Arial"/>
        </w:rPr>
        <w:t>Transcriptor</w:t>
      </w:r>
      <w:proofErr w:type="spellEnd"/>
      <w:r w:rsidRPr="005D6489">
        <w:rPr>
          <w:rFonts w:ascii="Arial" w:hAnsi="Arial" w:cs="Arial"/>
        </w:rPr>
        <w:t xml:space="preserve"> First Strand cDNA Synthesis Kit (Roche). Transcript levels were determined by qPCR on a </w:t>
      </w:r>
      <w:proofErr w:type="spellStart"/>
      <w:r w:rsidRPr="005D6489">
        <w:rPr>
          <w:rFonts w:ascii="Arial" w:hAnsi="Arial" w:cs="Arial"/>
        </w:rPr>
        <w:t>LightCycler</w:t>
      </w:r>
      <w:proofErr w:type="spellEnd"/>
      <w:r w:rsidRPr="005D6489">
        <w:rPr>
          <w:rFonts w:ascii="Arial" w:hAnsi="Arial" w:cs="Arial"/>
        </w:rPr>
        <w:t xml:space="preserve">® 480 II instrument (Roche) using </w:t>
      </w:r>
      <w:proofErr w:type="spellStart"/>
      <w:r w:rsidRPr="005D6489">
        <w:rPr>
          <w:rFonts w:ascii="Arial" w:hAnsi="Arial" w:cs="Arial"/>
        </w:rPr>
        <w:t>LightCycler</w:t>
      </w:r>
      <w:proofErr w:type="spellEnd"/>
      <w:r w:rsidRPr="005D6489">
        <w:rPr>
          <w:rFonts w:ascii="Arial" w:hAnsi="Arial" w:cs="Arial"/>
        </w:rPr>
        <w:t xml:space="preserve">® 480 SYBR Green I Master Mix (Roche). Data were </w:t>
      </w:r>
      <w:proofErr w:type="spellStart"/>
      <w:r w:rsidRPr="005D6489">
        <w:rPr>
          <w:rFonts w:ascii="Arial" w:hAnsi="Arial" w:cs="Arial"/>
        </w:rPr>
        <w:t>analysed</w:t>
      </w:r>
      <w:proofErr w:type="spellEnd"/>
      <w:r w:rsidRPr="005D6489">
        <w:rPr>
          <w:rFonts w:ascii="Arial" w:hAnsi="Arial" w:cs="Arial"/>
        </w:rPr>
        <w:t xml:space="preserve"> by the ΔΔC</w:t>
      </w:r>
      <w:r w:rsidRPr="005D6489">
        <w:rPr>
          <w:rFonts w:ascii="Arial" w:hAnsi="Arial" w:cs="Arial"/>
          <w:vertAlign w:val="subscript"/>
        </w:rPr>
        <w:t>T</w:t>
      </w:r>
      <w:r w:rsidRPr="005D6489">
        <w:rPr>
          <w:rFonts w:ascii="Arial" w:hAnsi="Arial" w:cs="Arial"/>
        </w:rPr>
        <w:t xml:space="preserve"> method and two</w:t>
      </w:r>
      <w:r w:rsidR="00DB5C47">
        <w:rPr>
          <w:rFonts w:ascii="Arial" w:hAnsi="Arial" w:cs="Arial"/>
        </w:rPr>
        <w:t xml:space="preserve"> to three</w:t>
      </w:r>
      <w:r w:rsidRPr="005D6489">
        <w:rPr>
          <w:rFonts w:ascii="Arial" w:hAnsi="Arial" w:cs="Arial"/>
        </w:rPr>
        <w:t xml:space="preserve"> biological replicates were </w:t>
      </w:r>
      <w:r w:rsidRPr="005D6489">
        <w:rPr>
          <w:rFonts w:ascii="Arial" w:hAnsi="Arial" w:cs="Arial"/>
        </w:rPr>
        <w:lastRenderedPageBreak/>
        <w:t xml:space="preserve">used. Primers used for qPCR are listed in </w:t>
      </w:r>
      <w:r w:rsidRPr="00444867">
        <w:rPr>
          <w:rFonts w:ascii="Arial" w:hAnsi="Arial" w:cs="Arial"/>
          <w:b/>
        </w:rPr>
        <w:t>Table S6</w:t>
      </w:r>
      <w:r>
        <w:rPr>
          <w:rFonts w:ascii="Arial" w:hAnsi="Arial" w:cs="Arial"/>
        </w:rPr>
        <w:t>.</w:t>
      </w:r>
      <w:r w:rsidRPr="005D6489">
        <w:rPr>
          <w:rFonts w:ascii="Arial" w:hAnsi="Arial" w:cs="Arial"/>
        </w:rPr>
        <w:br/>
      </w:r>
    </w:p>
    <w:p w14:paraId="54B3B147" w14:textId="77777777" w:rsidR="004854DE" w:rsidRPr="008C6C8F" w:rsidRDefault="004854DE" w:rsidP="004854DE">
      <w:pPr>
        <w:pStyle w:val="Heading2"/>
        <w:spacing w:line="360" w:lineRule="auto"/>
        <w:rPr>
          <w:rFonts w:ascii="Arial" w:hAnsi="Arial" w:cs="Arial"/>
          <w:sz w:val="28"/>
        </w:rPr>
      </w:pPr>
      <w:r w:rsidRPr="008C6C8F">
        <w:rPr>
          <w:rFonts w:ascii="Arial" w:hAnsi="Arial" w:cs="Arial"/>
          <w:sz w:val="28"/>
        </w:rPr>
        <w:t>RNA-seq: High resolution time series </w:t>
      </w:r>
    </w:p>
    <w:p w14:paraId="0CA4C52A" w14:textId="15C9F273" w:rsidR="004854DE" w:rsidRPr="005D6489" w:rsidRDefault="004854DE" w:rsidP="004854DE">
      <w:pPr>
        <w:pStyle w:val="FirstParagraph"/>
        <w:spacing w:line="360" w:lineRule="auto"/>
        <w:rPr>
          <w:rFonts w:ascii="Arial" w:hAnsi="Arial" w:cs="Arial"/>
        </w:rPr>
      </w:pPr>
      <w:r w:rsidRPr="005D6489">
        <w:rPr>
          <w:rFonts w:ascii="Arial" w:hAnsi="Arial" w:cs="Arial"/>
        </w:rPr>
        <w:t xml:space="preserve">For the high-resolution time </w:t>
      </w:r>
      <w:proofErr w:type="spellStart"/>
      <w:r w:rsidRPr="005D6489">
        <w:rPr>
          <w:rFonts w:ascii="Arial" w:hAnsi="Arial" w:cs="Arial"/>
        </w:rPr>
        <w:t>couse</w:t>
      </w:r>
      <w:proofErr w:type="spellEnd"/>
      <w:r w:rsidRPr="005D6489">
        <w:rPr>
          <w:rFonts w:ascii="Arial" w:hAnsi="Arial" w:cs="Arial"/>
        </w:rPr>
        <w:t xml:space="preserve">, 15-20 7-d-old </w:t>
      </w:r>
      <w:r w:rsidR="00AD7083">
        <w:rPr>
          <w:rFonts w:ascii="Arial" w:hAnsi="Arial" w:cs="Arial"/>
        </w:rPr>
        <w:t xml:space="preserve">whole </w:t>
      </w:r>
      <w:r w:rsidRPr="005D6489">
        <w:rPr>
          <w:rFonts w:ascii="Arial" w:hAnsi="Arial" w:cs="Arial"/>
        </w:rPr>
        <w:t xml:space="preserve">seedlings were collected per sample. Samples were collected 10 min before dawn as well as in 2 min intervals for the first half hour after dawn followed by 15 min intervals for the following 90 min. RNA was extracted as described above. RNA quality and integrity </w:t>
      </w:r>
      <w:proofErr w:type="gramStart"/>
      <w:r w:rsidRPr="005D6489">
        <w:rPr>
          <w:rFonts w:ascii="Arial" w:hAnsi="Arial" w:cs="Arial"/>
        </w:rPr>
        <w:t>was</w:t>
      </w:r>
      <w:proofErr w:type="gramEnd"/>
      <w:r w:rsidRPr="005D6489">
        <w:rPr>
          <w:rFonts w:ascii="Arial" w:hAnsi="Arial" w:cs="Arial"/>
        </w:rPr>
        <w:t xml:space="preserve"> assessed on an Agilent 2200 </w:t>
      </w:r>
      <w:proofErr w:type="spellStart"/>
      <w:r w:rsidRPr="005D6489">
        <w:rPr>
          <w:rFonts w:ascii="Arial" w:hAnsi="Arial" w:cs="Arial"/>
        </w:rPr>
        <w:t>TapeStation</w:t>
      </w:r>
      <w:proofErr w:type="spellEnd"/>
      <w:r w:rsidRPr="005D6489">
        <w:rPr>
          <w:rFonts w:ascii="Arial" w:hAnsi="Arial" w:cs="Arial"/>
        </w:rPr>
        <w:t xml:space="preserve">. Library preparation was performed with 1 µg of high integrity total RNA using the </w:t>
      </w:r>
      <w:proofErr w:type="spellStart"/>
      <w:r w:rsidRPr="005D6489">
        <w:rPr>
          <w:rFonts w:ascii="Arial" w:hAnsi="Arial" w:cs="Arial"/>
        </w:rPr>
        <w:t>NEBNext</w:t>
      </w:r>
      <w:proofErr w:type="spellEnd"/>
      <w:r w:rsidRPr="005D6489">
        <w:rPr>
          <w:rFonts w:ascii="Arial" w:hAnsi="Arial" w:cs="Arial"/>
        </w:rPr>
        <w:t xml:space="preserve">® </w:t>
      </w:r>
      <w:proofErr w:type="spellStart"/>
      <w:r w:rsidRPr="005D6489">
        <w:rPr>
          <w:rFonts w:ascii="Arial" w:hAnsi="Arial" w:cs="Arial"/>
        </w:rPr>
        <w:t>Ultra</w:t>
      </w:r>
      <w:r w:rsidRPr="005D6489">
        <w:rPr>
          <w:rFonts w:ascii="Arial" w:hAnsi="Arial" w:cs="Arial"/>
          <w:vertAlign w:val="superscript"/>
        </w:rPr>
        <w:t>TM</w:t>
      </w:r>
      <w:proofErr w:type="spellEnd"/>
      <w:r w:rsidRPr="005D6489">
        <w:rPr>
          <w:rFonts w:ascii="Arial" w:hAnsi="Arial" w:cs="Arial"/>
        </w:rPr>
        <w:t xml:space="preserve"> Directional RNA Library Prep Kit for Illumina® (New England Biolabs). The libraries were sequenced on a </w:t>
      </w:r>
      <w:proofErr w:type="spellStart"/>
      <w:r w:rsidRPr="005D6489">
        <w:rPr>
          <w:rFonts w:ascii="Arial" w:hAnsi="Arial" w:cs="Arial"/>
        </w:rPr>
        <w:t>NextSeq</w:t>
      </w:r>
      <w:proofErr w:type="spellEnd"/>
      <w:r w:rsidRPr="005D6489">
        <w:rPr>
          <w:rFonts w:ascii="Arial" w:hAnsi="Arial" w:cs="Arial"/>
        </w:rPr>
        <w:t xml:space="preserve">® 500 (Illumina) using paired-end sequencing of 75 bp with a </w:t>
      </w:r>
      <w:proofErr w:type="spellStart"/>
      <w:r w:rsidRPr="005D6489">
        <w:rPr>
          <w:rFonts w:ascii="Arial" w:hAnsi="Arial" w:cs="Arial"/>
        </w:rPr>
        <w:t>NextSeq</w:t>
      </w:r>
      <w:proofErr w:type="spellEnd"/>
      <w:r w:rsidRPr="005D6489">
        <w:rPr>
          <w:rFonts w:ascii="Arial" w:hAnsi="Arial" w:cs="Arial"/>
        </w:rPr>
        <w:t xml:space="preserve">® 500/550 High Output v2 Kit for 150 cycles. </w:t>
      </w:r>
    </w:p>
    <w:p w14:paraId="282CA3F7" w14:textId="77777777" w:rsidR="004854DE" w:rsidRPr="008C6C8F" w:rsidRDefault="004854DE" w:rsidP="004854DE">
      <w:pPr>
        <w:pStyle w:val="Heading2"/>
        <w:spacing w:line="360" w:lineRule="auto"/>
        <w:rPr>
          <w:rFonts w:ascii="Arial" w:hAnsi="Arial" w:cs="Arial"/>
          <w:sz w:val="28"/>
        </w:rPr>
      </w:pPr>
      <w:bookmarkStart w:id="19" w:name="quant-seq-low-resolution-time-series"/>
      <w:bookmarkEnd w:id="19"/>
      <w:r w:rsidRPr="008C6C8F">
        <w:rPr>
          <w:rFonts w:ascii="Arial" w:hAnsi="Arial" w:cs="Arial"/>
          <w:sz w:val="28"/>
        </w:rPr>
        <w:t>Quant-seq: Low resolution time series</w:t>
      </w:r>
    </w:p>
    <w:p w14:paraId="539B0E0D" w14:textId="7F66E803" w:rsidR="004854DE" w:rsidRPr="005D6489" w:rsidRDefault="004854DE" w:rsidP="004854DE">
      <w:pPr>
        <w:pStyle w:val="FirstParagraph"/>
        <w:spacing w:line="360" w:lineRule="auto"/>
        <w:rPr>
          <w:rFonts w:ascii="Arial" w:hAnsi="Arial" w:cs="Arial"/>
        </w:rPr>
      </w:pPr>
      <w:r w:rsidRPr="005D6489">
        <w:rPr>
          <w:rFonts w:ascii="Arial" w:hAnsi="Arial" w:cs="Arial"/>
        </w:rPr>
        <w:t xml:space="preserve">For the low-resolution time course, 15-20 7-d-old </w:t>
      </w:r>
      <w:r w:rsidR="00AD7083">
        <w:rPr>
          <w:rFonts w:ascii="Arial" w:hAnsi="Arial" w:cs="Arial"/>
        </w:rPr>
        <w:t xml:space="preserve">whole </w:t>
      </w:r>
      <w:r w:rsidRPr="005D6489">
        <w:rPr>
          <w:rFonts w:ascii="Arial" w:hAnsi="Arial" w:cs="Arial"/>
        </w:rPr>
        <w:t xml:space="preserve">seedlings were collected per sample. Samples were collected 10 min before dawn as well as 10, 24, 30, 45, 60, 105 and 120 min after dawn. RNA was extracted as described above. RNA quality and integrity </w:t>
      </w:r>
      <w:proofErr w:type="gramStart"/>
      <w:r w:rsidRPr="005D6489">
        <w:rPr>
          <w:rFonts w:ascii="Arial" w:hAnsi="Arial" w:cs="Arial"/>
        </w:rPr>
        <w:t>was</w:t>
      </w:r>
      <w:proofErr w:type="gramEnd"/>
      <w:r w:rsidRPr="005D6489">
        <w:rPr>
          <w:rFonts w:ascii="Arial" w:hAnsi="Arial" w:cs="Arial"/>
        </w:rPr>
        <w:t xml:space="preserve"> assessed on an Agilent 2200 </w:t>
      </w:r>
      <w:proofErr w:type="spellStart"/>
      <w:r w:rsidRPr="005D6489">
        <w:rPr>
          <w:rFonts w:ascii="Arial" w:hAnsi="Arial" w:cs="Arial"/>
        </w:rPr>
        <w:t>TapeStation</w:t>
      </w:r>
      <w:proofErr w:type="spellEnd"/>
      <w:r w:rsidRPr="005D6489">
        <w:rPr>
          <w:rFonts w:ascii="Arial" w:hAnsi="Arial" w:cs="Arial"/>
        </w:rPr>
        <w:t xml:space="preserve">. Library preparation was performed with 500 ng of high integrity total RNA using the </w:t>
      </w:r>
      <w:proofErr w:type="spellStart"/>
      <w:r w:rsidRPr="005D6489">
        <w:rPr>
          <w:rFonts w:ascii="Arial" w:hAnsi="Arial" w:cs="Arial"/>
        </w:rPr>
        <w:t>QuantSeq</w:t>
      </w:r>
      <w:proofErr w:type="spellEnd"/>
      <w:r w:rsidRPr="005D6489">
        <w:rPr>
          <w:rFonts w:ascii="Arial" w:hAnsi="Arial" w:cs="Arial"/>
        </w:rPr>
        <w:t xml:space="preserve"> 3’ mRNA-Seq Library Prep Kit FWD for Illumina® (</w:t>
      </w:r>
      <w:proofErr w:type="spellStart"/>
      <w:r w:rsidRPr="005D6489">
        <w:rPr>
          <w:rFonts w:ascii="Arial" w:hAnsi="Arial" w:cs="Arial"/>
        </w:rPr>
        <w:t>Lexogen</w:t>
      </w:r>
      <w:proofErr w:type="spellEnd"/>
      <w:r w:rsidRPr="005D6489">
        <w:rPr>
          <w:rFonts w:ascii="Arial" w:hAnsi="Arial" w:cs="Arial"/>
        </w:rPr>
        <w:t xml:space="preserve">). The libraries were sequenced on a </w:t>
      </w:r>
      <w:proofErr w:type="spellStart"/>
      <w:r w:rsidRPr="005D6489">
        <w:rPr>
          <w:rFonts w:ascii="Arial" w:hAnsi="Arial" w:cs="Arial"/>
        </w:rPr>
        <w:t>NextSeq</w:t>
      </w:r>
      <w:proofErr w:type="spellEnd"/>
      <w:r w:rsidRPr="005D6489">
        <w:rPr>
          <w:rFonts w:ascii="Arial" w:hAnsi="Arial" w:cs="Arial"/>
        </w:rPr>
        <w:t xml:space="preserve">® 500 (Illumina) using single-end sequencing of 75 bp with a </w:t>
      </w:r>
      <w:proofErr w:type="spellStart"/>
      <w:r w:rsidRPr="005D6489">
        <w:rPr>
          <w:rFonts w:ascii="Arial" w:hAnsi="Arial" w:cs="Arial"/>
        </w:rPr>
        <w:t>NextSeq</w:t>
      </w:r>
      <w:proofErr w:type="spellEnd"/>
      <w:r w:rsidRPr="005D6489">
        <w:rPr>
          <w:rFonts w:ascii="Arial" w:hAnsi="Arial" w:cs="Arial"/>
        </w:rPr>
        <w:t>® 500/550 High Output v2 Kit for 75 cycles.</w:t>
      </w:r>
    </w:p>
    <w:p w14:paraId="7E76E1F5" w14:textId="77777777" w:rsidR="004854DE" w:rsidRPr="008C6C8F" w:rsidRDefault="004854DE" w:rsidP="004854DE">
      <w:pPr>
        <w:pStyle w:val="Heading2"/>
        <w:spacing w:line="360" w:lineRule="auto"/>
        <w:rPr>
          <w:rFonts w:ascii="Arial" w:hAnsi="Arial" w:cs="Arial"/>
          <w:sz w:val="28"/>
        </w:rPr>
      </w:pPr>
      <w:bookmarkStart w:id="20" w:name="bioinformatics-analysis-of-rna-seq-data"/>
      <w:bookmarkEnd w:id="20"/>
      <w:r w:rsidRPr="008C6C8F">
        <w:rPr>
          <w:rFonts w:ascii="Arial" w:hAnsi="Arial" w:cs="Arial"/>
          <w:sz w:val="28"/>
        </w:rPr>
        <w:t>Bioinformatics analysis of RNA-seq data</w:t>
      </w:r>
    </w:p>
    <w:p w14:paraId="31C78105" w14:textId="29DFAACF" w:rsidR="004854DE" w:rsidRPr="00910317" w:rsidRDefault="004854DE" w:rsidP="004854DE">
      <w:pPr>
        <w:pStyle w:val="FirstParagraph"/>
        <w:spacing w:line="360" w:lineRule="auto"/>
        <w:rPr>
          <w:rFonts w:ascii="Arial" w:hAnsi="Arial" w:cs="Arial"/>
          <w:b/>
          <w:bCs/>
          <w:lang w:val="en-GB"/>
        </w:rPr>
      </w:pPr>
      <w:r>
        <w:rPr>
          <w:rFonts w:ascii="Arial" w:hAnsi="Arial" w:cs="Arial"/>
        </w:rPr>
        <w:t xml:space="preserve">All data is available in SRA: </w:t>
      </w:r>
      <w:r w:rsidR="00904795" w:rsidRPr="00904795">
        <w:rPr>
          <w:rFonts w:ascii="Arial" w:hAnsi="Arial" w:cs="Arial"/>
          <w:b/>
          <w:bCs/>
          <w:lang w:val="en-GB"/>
        </w:rPr>
        <w:t>PRJNA687210</w:t>
      </w:r>
      <w:r>
        <w:rPr>
          <w:rFonts w:ascii="Arial" w:hAnsi="Arial" w:cs="Arial"/>
          <w:b/>
          <w:bCs/>
          <w:lang w:val="en-GB"/>
        </w:rPr>
        <w:t xml:space="preserve">. </w:t>
      </w:r>
      <w:r w:rsidRPr="005D6489">
        <w:rPr>
          <w:rFonts w:ascii="Arial" w:hAnsi="Arial" w:cs="Arial"/>
        </w:rPr>
        <w:t xml:space="preserve">The Illumina RNA-seq data was </w:t>
      </w:r>
      <w:proofErr w:type="spellStart"/>
      <w:r w:rsidRPr="005D6489">
        <w:rPr>
          <w:rFonts w:ascii="Arial" w:hAnsi="Arial" w:cs="Arial"/>
        </w:rPr>
        <w:t>analysed</w:t>
      </w:r>
      <w:proofErr w:type="spellEnd"/>
      <w:r w:rsidRPr="005D6489">
        <w:rPr>
          <w:rFonts w:ascii="Arial" w:hAnsi="Arial" w:cs="Arial"/>
        </w:rPr>
        <w:t xml:space="preserve"> using the same bioinformatics pipeline used in Ezer et al.</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OsoxLg5X","properties":{"formattedCitation":"(2017b)","plainCitation":"(2017b)","noteIndex":0},"citationItems":[{"id":3245,"uris":["http://zotero.org/users/2970095/items/QBMDGT9D"],"uri":["http://zotero.org/users/2970095/items/QBMDGT9D"],"itemData":{"id":3245,"type":"article-journal","abstract":"Plants have significantly more transcription factor (TF) families than animals and fungi, and plant TF families tend to contain more genes; these expansions are linked to adaptation to environmental stressors. Many TF family members bind to similar or identical sequence motifs, such as G-boxes (CACGTG), so it is difficult to predict regulatory relationships. We determined that the flanking sequences near G-boxes help determine in vitro specificity but that this is insufficient to predict the transcription pattern of genes near G-boxes. Therefore, we constructed a gene regulatory network that identifies the set of bZIPs and bHLHs that are most predictive of the expression of genes downstream of perfect G-boxes. This network accurately predicts transcriptional patterns and reconstructs known regulatory subnetworks. Finally, we present Ara-BOX-cis (araboxcis.org), a Web site that provides interactive visualizations of the G-box regulatory network, a useful resource for generating predictions for gene regulatory relations.","container-title":"Plant Physiology","DOI":"10.1104/pp.17.01086","ISSN":"0032-0889, 1532-2548","issue":"2","language":"en","note":"PMID: 28864470","page":"628-640","source":"www.plantphysiol.org","title":"The G-Box Transcriptional Regulatory Code in Arabidopsis","volume":"175","author":[{"family":"Ezer","given":"Daphne"},{"family":"Shepherd","given":"Samuel J. K."},{"family":"Brestovitsky","given":"Anna"},{"family":"Dickinson","given":"Patrick"},{"family":"Cortijo","given":"Sandra"},{"family":"Charoensawan","given":"Varodom"},{"family":"Box","given":"Mathew S."},{"family":"Biswas","given":"Surojit"},{"family":"Jaeger","given":"Katja E."},{"family":"Wigge","given":"Philip A."}],"issued":{"date-parts":[["2017",10,1]]}},"suppress-author":true}],"schema":"https://github.com/citation-style-language/schema/raw/master/csl-citation.json"} </w:instrText>
      </w:r>
      <w:r>
        <w:rPr>
          <w:rFonts w:ascii="Arial" w:hAnsi="Arial" w:cs="Arial"/>
        </w:rPr>
        <w:fldChar w:fldCharType="separate"/>
      </w:r>
      <w:r w:rsidRPr="00BD40B5">
        <w:rPr>
          <w:rFonts w:ascii="Arial" w:hAnsi="Arial" w:cs="Arial"/>
        </w:rPr>
        <w:t>(2017b)</w:t>
      </w:r>
      <w:r>
        <w:rPr>
          <w:rFonts w:ascii="Arial" w:hAnsi="Arial" w:cs="Arial"/>
        </w:rPr>
        <w:fldChar w:fldCharType="end"/>
      </w:r>
      <w:r w:rsidRPr="005D6489">
        <w:rPr>
          <w:rFonts w:ascii="Arial" w:hAnsi="Arial" w:cs="Arial"/>
        </w:rPr>
        <w:t>, using Trimmomatic-0.32 to trim reads </w:t>
      </w:r>
      <w:r>
        <w:rPr>
          <w:rFonts w:ascii="Arial" w:hAnsi="Arial" w:cs="Arial"/>
        </w:rPr>
        <w:fldChar w:fldCharType="begin"/>
      </w:r>
      <w:r>
        <w:rPr>
          <w:rFonts w:ascii="Arial" w:hAnsi="Arial" w:cs="Arial"/>
        </w:rPr>
        <w:instrText xml:space="preserve"> ADDIN ZOTERO_ITEM CSL_CITATION {"citationID":"9saCSVIy","properties":{"formattedCitation":"(Bolger et al., 2014)","plainCitation":"(Bolger et al., 2014)","noteIndex":0},"citationItems":[{"id":3499,"uris":["http://zotero.org/users/2970095/items/D2Y8QK4F"],"uri":["http://zotero.org/users/2970095/items/D2Y8QK4F"],"itemData":{"id":3499,"type":"article-journal","abstract":"Motivation: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Contact:\nusadel@bio1.rwth-aachen.de, Supplementary information:\nSupplementary data are available at Bioinformatics online.","container-title":"Bioinformatics","DOI":"10.1093/bioinformatics/btu170","ISSN":"1367-4803","issue":"15","journalAbbreviation":"Bioinformatics","note":"PMID: 24695404\nPMCID: PMC4103590","page":"2114-2120","source":"PubMed Central","title":"Trimmomatic: a flexible trimmer for Illumina sequence data","title-short":"Trimmomatic","volume":"30","author":[{"family":"Bolger","given":"Anthony M."},{"family":"Lohse","given":"Marc"},{"family":"Usadel","given":"Bjoern"}],"issued":{"date-parts":[["2014",8,1]]}}}],"schema":"https://github.com/citation-style-language/schema/raw/master/csl-citation.json"} </w:instrText>
      </w:r>
      <w:r>
        <w:rPr>
          <w:rFonts w:ascii="Arial" w:hAnsi="Arial" w:cs="Arial"/>
        </w:rPr>
        <w:fldChar w:fldCharType="separate"/>
      </w:r>
      <w:r w:rsidRPr="00BD40B5">
        <w:rPr>
          <w:rFonts w:ascii="Arial" w:hAnsi="Arial" w:cs="Arial"/>
        </w:rPr>
        <w:t>(Bolger et al., 2014)</w:t>
      </w:r>
      <w:r>
        <w:rPr>
          <w:rFonts w:ascii="Arial" w:hAnsi="Arial" w:cs="Arial"/>
        </w:rPr>
        <w:fldChar w:fldCharType="end"/>
      </w:r>
      <w:r w:rsidRPr="005D6489">
        <w:rPr>
          <w:rFonts w:ascii="Arial" w:hAnsi="Arial" w:cs="Arial"/>
        </w:rPr>
        <w:t xml:space="preserve">, </w:t>
      </w:r>
      <w:proofErr w:type="spellStart"/>
      <w:r w:rsidRPr="005D6489">
        <w:rPr>
          <w:rFonts w:ascii="Arial" w:hAnsi="Arial" w:cs="Arial"/>
        </w:rPr>
        <w:t>Tophat</w:t>
      </w:r>
      <w:proofErr w:type="spellEnd"/>
      <w:r w:rsidRPr="005D6489">
        <w:rPr>
          <w:rFonts w:ascii="Arial" w:hAnsi="Arial" w:cs="Arial"/>
        </w:rPr>
        <w:t> for mapping to the TAIR10 annotated genome </w:t>
      </w:r>
      <w:r>
        <w:rPr>
          <w:rFonts w:ascii="Arial" w:hAnsi="Arial" w:cs="Arial"/>
        </w:rPr>
        <w:fldChar w:fldCharType="begin"/>
      </w:r>
      <w:r>
        <w:rPr>
          <w:rFonts w:ascii="Arial" w:hAnsi="Arial" w:cs="Arial"/>
        </w:rPr>
        <w:instrText xml:space="preserve"> ADDIN ZOTERO_ITEM CSL_CITATION {"citationID":"STfPpVJE","properties":{"formattedCitation":"(Trapnell et al., 2009)","plainCitation":"(Trapnell et al., 2009)","noteIndex":0},"citationItems":[{"id":3502,"uris":["http://zotero.org/users/2970095/items/M5EDZ2BN"],"uri":["http://zotero.org/users/2970095/items/M5EDZ2BN"],"itemData":{"id":3502,"type":"article-journal","abstract":"Motivation: A new protocol for sequencing the messenger RNA in a cell, known as RNA-Seq, generates millions of short sequence fragments in a single run. These fragments, or ‘reads’, can be used to measure levels of gene expression and to identify novel splice variants of genes. However, current software for aligning RNA-Seq data to a genome relies on known splice junctions and cannot identify novel ones. TopHat is an efficient read-mapping algorithm designed to align reads from an RNA-Seq experiment to a reference genome without relying on known splice sites., Results: We mapped the RNA-Seq reads from a recent mammalian RNA-Seq experiment and recovered more than 72% of the splice junctions reported by the annotation-based software from that study, along with nearly 20 000 previously unreported junctions. The TopHat pipeline is much faster than previous systems, mapping nearly 2.2 million reads per CPU hour, which is sufficient to process an entire RNA-Seq experiment in less than a day on a standard desktop computer. We describe several challenges unique to ab initio splice site discovery from RNA-Seq reads that will require further algorithm development., Availability: TopHat is free, open-source software available from http://tophat.cbcb.umd.edu, Contact: cole@cs.umd.edu, Supplementary information: Supplementary data are available at Bioinformatics online.","container-title":"Bioinformatics","DOI":"10.1093/bioinformatics/btp120","ISSN":"1367-4803","issue":"9","journalAbbreviation":"Bioinformatics","note":"PMID: 19289445\nPMCID: PMC2672628","page":"1105-1111","source":"PubMed Central","title":"TopHat: discovering splice junctions with RNA-Seq","title-short":"TopHat","volume":"25","author":[{"family":"Trapnell","given":"Cole"},{"family":"Pachter","given":"Lior"},{"family":"Salzberg","given":"Steven L."}],"issued":{"date-parts":[["2009",5,1]]}}}],"schema":"https://github.com/citation-style-language/schema/raw/master/csl-citation.json"} </w:instrText>
      </w:r>
      <w:r>
        <w:rPr>
          <w:rFonts w:ascii="Arial" w:hAnsi="Arial" w:cs="Arial"/>
        </w:rPr>
        <w:fldChar w:fldCharType="separate"/>
      </w:r>
      <w:r w:rsidRPr="00BD40B5">
        <w:rPr>
          <w:rFonts w:ascii="Arial" w:hAnsi="Arial" w:cs="Arial"/>
        </w:rPr>
        <w:t>(</w:t>
      </w:r>
      <w:proofErr w:type="spellStart"/>
      <w:r w:rsidRPr="00BD40B5">
        <w:rPr>
          <w:rFonts w:ascii="Arial" w:hAnsi="Arial" w:cs="Arial"/>
        </w:rPr>
        <w:t>Trapnell</w:t>
      </w:r>
      <w:proofErr w:type="spellEnd"/>
      <w:r w:rsidRPr="00BD40B5">
        <w:rPr>
          <w:rFonts w:ascii="Arial" w:hAnsi="Arial" w:cs="Arial"/>
        </w:rPr>
        <w:t xml:space="preserve"> et al., 2009)</w:t>
      </w:r>
      <w:r>
        <w:rPr>
          <w:rFonts w:ascii="Arial" w:hAnsi="Arial" w:cs="Arial"/>
        </w:rPr>
        <w:fldChar w:fldCharType="end"/>
      </w:r>
      <w:r w:rsidRPr="005D6489">
        <w:rPr>
          <w:rFonts w:ascii="Arial" w:hAnsi="Arial" w:cs="Arial"/>
        </w:rPr>
        <w:t xml:space="preserve">, </w:t>
      </w:r>
      <w:proofErr w:type="spellStart"/>
      <w:r w:rsidRPr="005D6489">
        <w:rPr>
          <w:rFonts w:ascii="Arial" w:hAnsi="Arial" w:cs="Arial"/>
        </w:rPr>
        <w:t>HTseq</w:t>
      </w:r>
      <w:proofErr w:type="spellEnd"/>
      <w:r w:rsidRPr="005D6489">
        <w:rPr>
          <w:rFonts w:ascii="Arial" w:hAnsi="Arial" w:cs="Arial"/>
        </w:rPr>
        <w:t>-count to find the raw counts after duplicates were removed </w:t>
      </w:r>
      <w:r>
        <w:rPr>
          <w:rFonts w:ascii="Arial" w:hAnsi="Arial" w:cs="Arial"/>
        </w:rPr>
        <w:fldChar w:fldCharType="begin"/>
      </w:r>
      <w:r>
        <w:rPr>
          <w:rFonts w:ascii="Arial" w:hAnsi="Arial" w:cs="Arial"/>
        </w:rPr>
        <w:instrText xml:space="preserve"> ADDIN ZOTERO_ITEM CSL_CITATION {"citationID":"IMRzs2L3","properties":{"formattedCitation":"(Anders et al., 2015)","plainCitation":"(Anders et al., 2015)","noteIndex":0},"citationItems":[{"id":3536,"uris":["http://zotero.org/users/2970095/items/2FEFFMU2"],"uri":["http://zotero.org/users/2970095/items/2FEFFMU2"],"itemData":{"id":3536,"type":"article-journal","abstract":"Motivation: A large choice of tools exists for many standard tasks in the analysis of high-throughput sequencing (HTS) data. However, once a project deviates from standard workflows, custom scripts are needed., 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and variant calls, and provides data structures that allow for querying via genomic coordinates. We also present htseq-count, a tool developed with HTSeq that preprocesses RNA-Seq data for differential expression analysis by counting the overlap of reads with genes., Availability and implementation: HTSeq is released as an open-source software under the GNU General Public Licence and available from http://www-huber.embl.de/HTSeq or from the Python Package Index at https://pypi.python.org/pypi/HTSeq., Contact:\nsanders@fs.tum.de","container-title":"Bioinformatics","DOI":"10.1093/bioinformatics/btu638","ISSN":"1367-4803","issue":"2","journalAbbreviation":"Bioinformatics","note":"PMID: 25260700\nPMCID: PMC4287950","page":"166-169","source":"PubMed Central","title":"HTSeq—a Python framework to work with high-throughput sequencing data","volume":"31","author":[{"family":"Anders","given":"Simon"},{"family":"Pyl","given":"Paul Theodor"},{"family":"Huber","given":"Wolfgang"}],"issued":{"date-parts":[["2015",1,15]]}}}],"schema":"https://github.com/citation-style-language/schema/raw/master/csl-citation.json"} </w:instrText>
      </w:r>
      <w:r>
        <w:rPr>
          <w:rFonts w:ascii="Arial" w:hAnsi="Arial" w:cs="Arial"/>
        </w:rPr>
        <w:fldChar w:fldCharType="separate"/>
      </w:r>
      <w:r w:rsidRPr="00BD40B5">
        <w:rPr>
          <w:rFonts w:ascii="Arial" w:hAnsi="Arial" w:cs="Arial"/>
        </w:rPr>
        <w:t>(Anders et al., 2015)</w:t>
      </w:r>
      <w:r>
        <w:rPr>
          <w:rFonts w:ascii="Arial" w:hAnsi="Arial" w:cs="Arial"/>
        </w:rPr>
        <w:fldChar w:fldCharType="end"/>
      </w:r>
      <w:r w:rsidRPr="005D6489">
        <w:rPr>
          <w:rFonts w:ascii="Arial" w:hAnsi="Arial" w:cs="Arial"/>
        </w:rPr>
        <w:t>, and Cufflinks to calculate Fragments Per Kilobase Million (FPKM), which was then converted into Transcripts Per Million (TPM) </w:t>
      </w:r>
      <w:r>
        <w:rPr>
          <w:rFonts w:ascii="Arial" w:hAnsi="Arial" w:cs="Arial"/>
        </w:rPr>
        <w:fldChar w:fldCharType="begin"/>
      </w:r>
      <w:r>
        <w:rPr>
          <w:rFonts w:ascii="Arial" w:hAnsi="Arial" w:cs="Arial"/>
        </w:rPr>
        <w:instrText xml:space="preserve"> ADDIN ZOTERO_ITEM CSL_CITATION {"citationID":"QWuoAkis","properties":{"formattedCitation":"(Trapnell et al., 2013)","plainCitation":"(Trapnell et al., 2013)","noteIndex":0},"citationItems":[{"id":3505,"uris":["http://zotero.org/users/2970095/items/BYDKPD4F"],"uri":["http://zotero.org/users/2970095/items/BYDKPD4F"],"itemData":{"id":3505,"type":"article-journal","abstract":"Differential analysis of gene and transcript expression using high-throughput RNA sequencing (RNA-seq) is complicated by several sources of measurement variability and poses numerous statistical challenges. We present Cuffdiff 2, an algorithm that estimates expression at transcript-level resolution and controls for variability evident across replicate libraries. Cuffdiff 2 robustly identifies differentially expressed transcripts and genes and reveals differential splicing and promoter-preference changes. We demonstrate the accuracy of our approach through differential analysis of lung fibroblasts in response to loss of the developmental transcription factor HOXA1, which we show is required for lung fibroblast and HeLa cell cycle progression. Loss of HOXA1 results in significant expression level changes in thousands of individual transcripts, along with isoform switching events in key regulators of the cell cycle. Cuffdiff 2 performs robust differential analysis in RNA-seq experiments at transcript resolution, revealing a layer of regulation not readily observable with other high-throughput technologies.","container-title":"Nature biotechnology","DOI":"10.1038/nbt.2450","ISSN":"1087-0156","issue":"1","journalAbbreviation":"Nat Biotechnol","note":"PMID: 23222703\nPMCID: PMC3869392","source":"PubMed Central","title":"Differential analysis of gene regulation at transcript resolution with RNA-seq","URL":"https://www.ncbi.nlm.nih.gov/pmc/articles/PMC3869392/","volume":"31","author":[{"family":"Trapnell","given":"Cole"},{"family":"Hendrickson","given":"David G"},{"family":"Sauvageau","given":"Martin"},{"family":"Goff","given":"Loyal"},{"family":"Rinn","given":"John L"},{"family":"Pachter","given":"Lior"}],"accessed":{"date-parts":[["2020",4,6]]},"issued":{"date-parts":[["2013",1]]}}}],"schema":"https://github.com/citation-style-language/schema/raw/master/csl-citation.json"} </w:instrText>
      </w:r>
      <w:r>
        <w:rPr>
          <w:rFonts w:ascii="Arial" w:hAnsi="Arial" w:cs="Arial"/>
        </w:rPr>
        <w:fldChar w:fldCharType="separate"/>
      </w:r>
      <w:r w:rsidRPr="00BD40B5">
        <w:rPr>
          <w:rFonts w:ascii="Arial" w:hAnsi="Arial" w:cs="Arial"/>
        </w:rPr>
        <w:t>(</w:t>
      </w:r>
      <w:proofErr w:type="spellStart"/>
      <w:r w:rsidRPr="00BD40B5">
        <w:rPr>
          <w:rFonts w:ascii="Arial" w:hAnsi="Arial" w:cs="Arial"/>
        </w:rPr>
        <w:t>Trapnell</w:t>
      </w:r>
      <w:proofErr w:type="spellEnd"/>
      <w:r w:rsidRPr="00BD40B5">
        <w:rPr>
          <w:rFonts w:ascii="Arial" w:hAnsi="Arial" w:cs="Arial"/>
        </w:rPr>
        <w:t xml:space="preserve"> </w:t>
      </w:r>
      <w:r w:rsidRPr="00BD40B5">
        <w:rPr>
          <w:rFonts w:ascii="Arial" w:hAnsi="Arial" w:cs="Arial"/>
        </w:rPr>
        <w:lastRenderedPageBreak/>
        <w:t>et al., 2013)</w:t>
      </w:r>
      <w:r>
        <w:rPr>
          <w:rFonts w:ascii="Arial" w:hAnsi="Arial" w:cs="Arial"/>
        </w:rPr>
        <w:fldChar w:fldCharType="end"/>
      </w:r>
      <w:r w:rsidRPr="005D6489">
        <w:rPr>
          <w:rFonts w:ascii="Arial" w:hAnsi="Arial" w:cs="Arial"/>
        </w:rPr>
        <w:t xml:space="preserve">.  The time points for the </w:t>
      </w:r>
      <w:proofErr w:type="spellStart"/>
      <w:r w:rsidRPr="005D6489">
        <w:rPr>
          <w:rFonts w:ascii="Arial" w:hAnsi="Arial" w:cs="Arial"/>
        </w:rPr>
        <w:t>Lexogen</w:t>
      </w:r>
      <w:proofErr w:type="spellEnd"/>
      <w:r w:rsidRPr="005D6489">
        <w:rPr>
          <w:rFonts w:ascii="Arial" w:hAnsi="Arial" w:cs="Arial"/>
        </w:rPr>
        <w:t xml:space="preserve"> Quant-seq experiment were selected using </w:t>
      </w:r>
      <w:proofErr w:type="spellStart"/>
      <w:r>
        <w:rPr>
          <w:rFonts w:ascii="Arial" w:hAnsi="Arial" w:cs="Arial"/>
        </w:rPr>
        <w:t>NITPicker</w:t>
      </w:r>
      <w:proofErr w:type="spellEnd"/>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{"citationID":"7pxanzIu","properties":{"formattedCitation":"(Ezer and Keir, 2019)","plainCitation":"(Ezer and Keir, 2019)","noteIndex":0},"citationItems":[{"id":3508,"uris":["http://zotero.org/users/2970095/items/8393NAFT"],"uri":["http://zotero.org/users/2970095/items/8393NAFT"],"itemData":{"id":3508,"type":"article-journal","abstract":"The design of an experiment influences both what a researcher can measure, as well as how much confidence can be placed in the results. As such, it is vitally important that experimental design decisions do not systematically bias research outcomes. At the same time, making optimal design decisions can produce results leading to statistically stronger conclusions. Deciding where and when to sample are among the most critical aspects of many experimental designs; for example, we might have to choose the time points at which to measure some quantity in a time series experiment. Choosing times which are too far apart could result in missing short bursts of activity. On the other hand, there may be time points which provide very little information regarding the overall behaviour of the quantity in question.","container-title":"BMC Bioinformatics","DOI":"10.1186/s12859-019-2717-5","ISSN":"1471-2105","issue":"1","journalAbbreviation":"BMC Bioinformatics","page":"166","source":"BioMed Central","title":"NITPicker: selecting time points for follow-up experiments","title-short":"NITPicker","volume":"20","author":[{"family":"Ezer","given":"Daphne"},{"family":"Keir","given":"Joseph"}],"issued":{"date-parts":[["2019",4,2]]}}}],"schema":"https://github.com/citation-style-language/schema/raw/master/csl-citation.json"} </w:instrText>
      </w:r>
      <w:r>
        <w:rPr>
          <w:rFonts w:ascii="Arial" w:hAnsi="Arial" w:cs="Arial"/>
        </w:rPr>
        <w:fldChar w:fldCharType="separate"/>
      </w:r>
      <w:r w:rsidRPr="00BD40B5">
        <w:rPr>
          <w:rFonts w:ascii="Arial" w:hAnsi="Arial" w:cs="Arial"/>
        </w:rPr>
        <w:t>(Ezer and Keir, 2019)</w:t>
      </w:r>
      <w:r>
        <w:rPr>
          <w:rFonts w:ascii="Arial" w:hAnsi="Arial" w:cs="Arial"/>
        </w:rPr>
        <w:fldChar w:fldCharType="end"/>
      </w:r>
      <w:r w:rsidRPr="005D6489">
        <w:rPr>
          <w:rFonts w:ascii="Arial" w:hAnsi="Arial" w:cs="Arial"/>
        </w:rPr>
        <w:t>. </w:t>
      </w:r>
    </w:p>
    <w:p w14:paraId="4DAD70F6" w14:textId="77777777" w:rsidR="004854DE" w:rsidRPr="005D6489" w:rsidRDefault="004854DE" w:rsidP="004854DE">
      <w:pPr>
        <w:pStyle w:val="BodyText"/>
        <w:spacing w:line="360" w:lineRule="auto"/>
        <w:rPr>
          <w:rFonts w:ascii="Arial" w:hAnsi="Arial" w:cs="Arial"/>
        </w:rPr>
      </w:pPr>
      <w:r w:rsidRPr="005D6489">
        <w:rPr>
          <w:rFonts w:ascii="Arial" w:hAnsi="Arial" w:cs="Arial"/>
        </w:rPr>
        <w:t xml:space="preserve">The </w:t>
      </w:r>
      <w:proofErr w:type="spellStart"/>
      <w:r w:rsidRPr="005D6489">
        <w:rPr>
          <w:rFonts w:ascii="Arial" w:hAnsi="Arial" w:cs="Arial"/>
        </w:rPr>
        <w:t>Lexogen</w:t>
      </w:r>
      <w:proofErr w:type="spellEnd"/>
      <w:r w:rsidRPr="005D6489">
        <w:rPr>
          <w:rFonts w:ascii="Arial" w:hAnsi="Arial" w:cs="Arial"/>
        </w:rPr>
        <w:t xml:space="preserve"> Quant-seq data was </w:t>
      </w:r>
      <w:proofErr w:type="spellStart"/>
      <w:r w:rsidRPr="005D6489">
        <w:rPr>
          <w:rFonts w:ascii="Arial" w:hAnsi="Arial" w:cs="Arial"/>
        </w:rPr>
        <w:t>analysed</w:t>
      </w:r>
      <w:proofErr w:type="spellEnd"/>
      <w:r w:rsidRPr="005D6489">
        <w:rPr>
          <w:rFonts w:ascii="Arial" w:hAnsi="Arial" w:cs="Arial"/>
        </w:rPr>
        <w:t xml:space="preserve"> using the Integrated Data Analysis Pipeline on </w:t>
      </w:r>
      <w:proofErr w:type="spellStart"/>
      <w:r w:rsidRPr="005D6489">
        <w:rPr>
          <w:rFonts w:ascii="Arial" w:hAnsi="Arial" w:cs="Arial"/>
        </w:rPr>
        <w:t>Bluebee</w:t>
      </w:r>
      <w:proofErr w:type="spellEnd"/>
      <w:r w:rsidRPr="005D6489">
        <w:rPr>
          <w:rFonts w:ascii="Arial" w:hAnsi="Arial" w:cs="Arial"/>
        </w:rPr>
        <w:t>® platform, which maps the reads to the genome using the STAR Aligner </w:t>
      </w:r>
      <w:r>
        <w:rPr>
          <w:rFonts w:ascii="Arial" w:hAnsi="Arial" w:cs="Arial"/>
        </w:rPr>
        <w:fldChar w:fldCharType="begin"/>
      </w:r>
      <w:r>
        <w:rPr>
          <w:rFonts w:ascii="Arial" w:hAnsi="Arial" w:cs="Arial"/>
        </w:rPr>
        <w:instrText xml:space="preserve"> ADDIN ZOTERO_ITEM CSL_CITATION {"citationID":"poGaDUe0","properties":{"formattedCitation":"(Dobin et al., 2013)","plainCitation":"(Dobin et al., 2013)","noteIndex":0},"citationItems":[{"id":3511,"uris":["http://zotero.org/users/2970095/items/GPNBLNUM"],"uri":["http://zotero.org/users/2970095/items/GPNBLNUM"],"itemData":{"id":3511,"type":"article-journal","abstract":"Motivation: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 Contact:\ndobin@cshl.edu.","container-title":"Bioinformatics","DOI":"10.1093/bioinformatics/bts635","ISSN":"1367-4803","issue":"1","journalAbbreviation":"Bioinformatics","note":"PMID: 23104886\nPMCID: PMC3530905","page":"15-21","source":"PubMed Central","title":"STAR: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R."}],"issued":{"date-parts":[["2013",1]]}}}],"schema":"https://github.com/citation-style-language/schema/raw/master/csl-citation.json"} </w:instrText>
      </w:r>
      <w:r>
        <w:rPr>
          <w:rFonts w:ascii="Arial" w:hAnsi="Arial" w:cs="Arial"/>
        </w:rPr>
        <w:fldChar w:fldCharType="separate"/>
      </w:r>
      <w:r w:rsidRPr="00BD40B5">
        <w:rPr>
          <w:rFonts w:ascii="Arial" w:hAnsi="Arial" w:cs="Arial"/>
        </w:rPr>
        <w:t>(</w:t>
      </w:r>
      <w:proofErr w:type="spellStart"/>
      <w:r w:rsidRPr="00BD40B5">
        <w:rPr>
          <w:rFonts w:ascii="Arial" w:hAnsi="Arial" w:cs="Arial"/>
        </w:rPr>
        <w:t>Dobin</w:t>
      </w:r>
      <w:proofErr w:type="spellEnd"/>
      <w:r w:rsidRPr="00BD40B5">
        <w:rPr>
          <w:rFonts w:ascii="Arial" w:hAnsi="Arial" w:cs="Arial"/>
        </w:rPr>
        <w:t xml:space="preserve"> et al., 2013)</w:t>
      </w:r>
      <w:r>
        <w:rPr>
          <w:rFonts w:ascii="Arial" w:hAnsi="Arial" w:cs="Arial"/>
        </w:rPr>
        <w:fldChar w:fldCharType="end"/>
      </w:r>
      <w:r w:rsidRPr="005D6489">
        <w:rPr>
          <w:rFonts w:ascii="Arial" w:hAnsi="Arial" w:cs="Arial"/>
        </w:rPr>
        <w:t xml:space="preserve"> and counts reads using </w:t>
      </w:r>
      <w:proofErr w:type="spellStart"/>
      <w:r w:rsidRPr="005D6489">
        <w:rPr>
          <w:rFonts w:ascii="Arial" w:hAnsi="Arial" w:cs="Arial"/>
        </w:rPr>
        <w:t>HTseq</w:t>
      </w:r>
      <w:proofErr w:type="spellEnd"/>
      <w:r w:rsidRPr="005D6489">
        <w:rPr>
          <w:rFonts w:ascii="Arial" w:hAnsi="Arial" w:cs="Arial"/>
        </w:rPr>
        <w:t>-count </w:t>
      </w:r>
      <w:r>
        <w:rPr>
          <w:rFonts w:ascii="Arial" w:hAnsi="Arial" w:cs="Arial"/>
        </w:rPr>
        <w:fldChar w:fldCharType="begin"/>
      </w:r>
      <w:r>
        <w:rPr>
          <w:rFonts w:ascii="Arial" w:hAnsi="Arial" w:cs="Arial"/>
        </w:rPr>
        <w:instrText xml:space="preserve"> ADDIN ZOTERO_ITEM CSL_CITATION {"citationID":"B3ITd3Jv","properties":{"formattedCitation":"(Anders et al., 2015)","plainCitation":"(Anders et al., 2015)","noteIndex":0},"citationItems":[{"id":3536,"uris":["http://zotero.org/users/2970095/items/2FEFFMU2"],"uri":["http://zotero.org/users/2970095/items/2FEFFMU2"],"itemData":{"id":3536,"type":"article-journal","abstract":"Motivation: A large choice of tools exists for many standard tasks in the analysis of high-throughput sequencing (HTS) data. However, once a project deviates from standard workflows, custom scripts are needed., 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and variant calls, and provides data structures that allow for querying via genomic coordinates. We also present htseq-count, a tool developed with HTSeq that preprocesses RNA-Seq data for differential expression analysis by counting the overlap of reads with genes., Availability and implementation: HTSeq is released as an open-source software under the GNU General Public Licence and available from http://www-huber.embl.de/HTSeq or from the Python Package Index at https://pypi.python.org/pypi/HTSeq., Contact:\nsanders@fs.tum.de","container-title":"Bioinformatics","DOI":"10.1093/bioinformatics/btu638","ISSN":"1367-4803","issue":"2","journalAbbreviation":"Bioinformatics","note":"PMID: 25260700\nPMCID: PMC4287950","page":"166-169","source":"PubMed Central","title":"HTSeq—a Python framework to work with high-throughput sequencing data","volume":"31","author":[{"family":"Anders","given":"Simon"},{"family":"Pyl","given":"Paul Theodor"},{"family":"Huber","given":"Wolfgang"}],"issued":{"date-parts":[["2015",1,15]]}}}],"schema":"https://github.com/citation-style-language/schema/raw/master/csl-citation.json"} </w:instrText>
      </w:r>
      <w:r>
        <w:rPr>
          <w:rFonts w:ascii="Arial" w:hAnsi="Arial" w:cs="Arial"/>
        </w:rPr>
        <w:fldChar w:fldCharType="separate"/>
      </w:r>
      <w:r w:rsidRPr="00BD40B5">
        <w:rPr>
          <w:rFonts w:ascii="Arial" w:hAnsi="Arial" w:cs="Arial"/>
        </w:rPr>
        <w:t>(Anders et al., 2015)</w:t>
      </w:r>
      <w:r>
        <w:rPr>
          <w:rFonts w:ascii="Arial" w:hAnsi="Arial" w:cs="Arial"/>
        </w:rPr>
        <w:fldChar w:fldCharType="end"/>
      </w:r>
      <w:r w:rsidRPr="005D6489">
        <w:rPr>
          <w:rFonts w:ascii="Arial" w:hAnsi="Arial" w:cs="Arial"/>
        </w:rPr>
        <w:t xml:space="preserve">.  Quant-seq expression values are expressed as Reads per Million (RPM), because Quant-seq does not require </w:t>
      </w:r>
      <w:proofErr w:type="spellStart"/>
      <w:r w:rsidRPr="005D6489">
        <w:rPr>
          <w:rFonts w:ascii="Arial" w:hAnsi="Arial" w:cs="Arial"/>
        </w:rPr>
        <w:t>normalisation</w:t>
      </w:r>
      <w:proofErr w:type="spellEnd"/>
      <w:r w:rsidRPr="005D6489">
        <w:rPr>
          <w:rFonts w:ascii="Arial" w:hAnsi="Arial" w:cs="Arial"/>
        </w:rPr>
        <w:t xml:space="preserve"> by gene length.</w:t>
      </w:r>
    </w:p>
    <w:p w14:paraId="11D36689" w14:textId="77777777" w:rsidR="004854DE" w:rsidRPr="008C6C8F" w:rsidRDefault="004854DE" w:rsidP="004854DE">
      <w:pPr>
        <w:pStyle w:val="Heading2"/>
        <w:spacing w:line="360" w:lineRule="auto"/>
        <w:rPr>
          <w:rFonts w:ascii="Arial" w:hAnsi="Arial" w:cs="Arial"/>
          <w:sz w:val="28"/>
        </w:rPr>
      </w:pPr>
      <w:bookmarkStart w:id="21" w:name="clustering"/>
      <w:bookmarkEnd w:id="21"/>
      <w:r w:rsidRPr="008C6C8F">
        <w:rPr>
          <w:rFonts w:ascii="Arial" w:hAnsi="Arial" w:cs="Arial"/>
          <w:sz w:val="28"/>
        </w:rPr>
        <w:t>Clustering</w:t>
      </w:r>
    </w:p>
    <w:p w14:paraId="76114F16" w14:textId="77777777" w:rsidR="004854DE" w:rsidRPr="005D6489" w:rsidRDefault="004854DE" w:rsidP="004854DE">
      <w:pPr>
        <w:pStyle w:val="FirstParagraph"/>
        <w:spacing w:line="360" w:lineRule="auto"/>
        <w:rPr>
          <w:rFonts w:ascii="Arial" w:hAnsi="Arial" w:cs="Arial"/>
        </w:rPr>
      </w:pPr>
      <w:r w:rsidRPr="005D6489">
        <w:rPr>
          <w:rFonts w:ascii="Arial" w:hAnsi="Arial" w:cs="Arial"/>
        </w:rPr>
        <w:t xml:space="preserve">Clustering of the 24-hour time series (Figure 1) were drawn using hierarchical clustering (default parameters of </w:t>
      </w:r>
      <w:proofErr w:type="spellStart"/>
      <w:r w:rsidRPr="005D6489">
        <w:rPr>
          <w:rFonts w:ascii="Arial" w:hAnsi="Arial" w:cs="Arial"/>
        </w:rPr>
        <w:t>hclust</w:t>
      </w:r>
      <w:proofErr w:type="spellEnd"/>
      <w:r w:rsidRPr="005D6489">
        <w:rPr>
          <w:rFonts w:ascii="Arial" w:hAnsi="Arial" w:cs="Arial"/>
        </w:rPr>
        <w:t xml:space="preserve"> in R).</w:t>
      </w:r>
    </w:p>
    <w:p w14:paraId="1113FD79" w14:textId="77777777" w:rsidR="004854DE" w:rsidRPr="005D6489" w:rsidRDefault="004854DE" w:rsidP="004854DE">
      <w:pPr>
        <w:pStyle w:val="BodyText"/>
        <w:spacing w:line="360" w:lineRule="auto"/>
        <w:rPr>
          <w:rFonts w:ascii="Arial" w:hAnsi="Arial" w:cs="Arial"/>
        </w:rPr>
      </w:pPr>
      <w:r w:rsidRPr="005D6489">
        <w:rPr>
          <w:rFonts w:ascii="Arial" w:hAnsi="Arial" w:cs="Arial"/>
        </w:rPr>
        <w:t>Clustering of the high resolution time gene expression time series data (in Figure 2) was performed using the CLUST algorithm </w:t>
      </w:r>
      <w:r>
        <w:rPr>
          <w:rFonts w:ascii="Arial" w:hAnsi="Arial" w:cs="Arial"/>
        </w:rPr>
        <w:fldChar w:fldCharType="begin"/>
      </w:r>
      <w:r>
        <w:rPr>
          <w:rFonts w:ascii="Arial" w:hAnsi="Arial" w:cs="Arial"/>
        </w:rPr>
        <w:instrText xml:space="preserve"> ADDIN ZOTERO_ITEM CSL_CITATION {"citationID":"NMKwxd7I","properties":{"formattedCitation":"(Abu-Jamous and Kelly, 2018)","plainCitation":"(Abu-Jamous and Kelly, 2018)","noteIndex":0},"citationItems":[{"id":3514,"uris":["http://zotero.org/users/2970095/items/EWLKU482"],"uri":["http://zotero.org/users/2970095/items/EWLKU482"],"itemData":{"id":3514,"type":"article-journal","abstract":"Identifying co-expressed gene clusters can provide evidence for genetic or physical interactions. Thus, co-expression clustering is a routine step in large-scale analyses of gene expression data. We show that commonly used clustering methods produce results that substantially disagree and that do not match the biological expectations of co-expressed gene clusters. We present clust, a method that solves these problems by extracting clusters matching the biological expectations of co-expressed genes and outperforms widely used methods. Additionally, clust can simultaneously cluster multiple datasets, enabling users to leverage the large quantity of public expression data for novel comparative analysis. Clust is available at https://github.com/BaselAbujamous/clust.","container-title":"Genome Biology","DOI":"10.1186/s13059-018-1536-8","ISSN":"1474-760X","issue":"1","journalAbbreviation":"Genome Biology","page":"172","source":"BioMed Central","title":"Clust: automatic extraction of optimal co-expressed gene clusters from gene expression data","title-short":"Clust","volume":"19","author":[{"family":"Abu-Jamous","given":"Basel"},{"family":"Kelly","given":"Steven"}],"issued":{"date-parts":[["2018",10,25]]}}}],"schema":"https://github.com/citation-style-language/schema/raw/master/csl-citation.json"} </w:instrText>
      </w:r>
      <w:r>
        <w:rPr>
          <w:rFonts w:ascii="Arial" w:hAnsi="Arial" w:cs="Arial"/>
        </w:rPr>
        <w:fldChar w:fldCharType="separate"/>
      </w:r>
      <w:r w:rsidRPr="00BD40B5">
        <w:rPr>
          <w:rFonts w:ascii="Arial" w:hAnsi="Arial" w:cs="Arial"/>
        </w:rPr>
        <w:t>(Abu-</w:t>
      </w:r>
      <w:proofErr w:type="spellStart"/>
      <w:r w:rsidRPr="00BD40B5">
        <w:rPr>
          <w:rFonts w:ascii="Arial" w:hAnsi="Arial" w:cs="Arial"/>
        </w:rPr>
        <w:t>Jamous</w:t>
      </w:r>
      <w:proofErr w:type="spellEnd"/>
      <w:r w:rsidRPr="00BD40B5">
        <w:rPr>
          <w:rFonts w:ascii="Arial" w:hAnsi="Arial" w:cs="Arial"/>
        </w:rPr>
        <w:t xml:space="preserve"> and Kelly, 2018)</w:t>
      </w:r>
      <w:r>
        <w:rPr>
          <w:rFonts w:ascii="Arial" w:hAnsi="Arial" w:cs="Arial"/>
        </w:rPr>
        <w:fldChar w:fldCharType="end"/>
      </w:r>
      <w:r w:rsidRPr="005D6489">
        <w:rPr>
          <w:rFonts w:ascii="Arial" w:hAnsi="Arial" w:cs="Arial"/>
        </w:rPr>
        <w:t xml:space="preserve">, using recommended settings for RNA-seq TPM data as per the reference manual (i.e. log2, Z- and quantile </w:t>
      </w:r>
      <w:proofErr w:type="spellStart"/>
      <w:r w:rsidRPr="005D6489">
        <w:rPr>
          <w:rFonts w:ascii="Arial" w:hAnsi="Arial" w:cs="Arial"/>
        </w:rPr>
        <w:t>normalisation</w:t>
      </w:r>
      <w:proofErr w:type="spellEnd"/>
      <w:r w:rsidRPr="005D6489">
        <w:rPr>
          <w:rFonts w:ascii="Arial" w:hAnsi="Arial" w:cs="Arial"/>
        </w:rPr>
        <w:t xml:space="preserve"> of TPM values).  </w:t>
      </w:r>
    </w:p>
    <w:p w14:paraId="46EFD5CF" w14:textId="77777777" w:rsidR="004854DE" w:rsidRPr="005D6489" w:rsidRDefault="004854DE" w:rsidP="004854DE">
      <w:pPr>
        <w:pStyle w:val="BodyText"/>
        <w:spacing w:line="360" w:lineRule="auto"/>
        <w:rPr>
          <w:rFonts w:ascii="Arial" w:hAnsi="Arial" w:cs="Arial"/>
        </w:rPr>
      </w:pPr>
      <w:r w:rsidRPr="005D6489">
        <w:rPr>
          <w:rFonts w:ascii="Arial" w:hAnsi="Arial" w:cs="Arial"/>
        </w:rPr>
        <w:t>The clustering in Figure 2A was performed only on the 22°C high resolution time series data.  The other gene expression time series in Figure 2A and 2B were drawn using the same gene order.  The z-scores were calculated across all samples within each row of Figure 2A and Figure 2B.</w:t>
      </w:r>
    </w:p>
    <w:p w14:paraId="79EA51A5" w14:textId="77777777" w:rsidR="004854DE" w:rsidRPr="008C6C8F" w:rsidRDefault="004854DE" w:rsidP="004854DE">
      <w:pPr>
        <w:pStyle w:val="Heading2"/>
        <w:spacing w:line="360" w:lineRule="auto"/>
        <w:rPr>
          <w:rFonts w:ascii="Arial" w:hAnsi="Arial" w:cs="Arial"/>
          <w:sz w:val="28"/>
        </w:rPr>
      </w:pPr>
      <w:bookmarkStart w:id="22" w:name="gene-list-curation-for-network-inference"/>
      <w:bookmarkEnd w:id="22"/>
      <w:r w:rsidRPr="008C6C8F">
        <w:rPr>
          <w:rFonts w:ascii="Arial" w:hAnsi="Arial" w:cs="Arial"/>
          <w:sz w:val="28"/>
        </w:rPr>
        <w:t>Gene list curation for network inference </w:t>
      </w:r>
    </w:p>
    <w:p w14:paraId="2D4B12EA" w14:textId="77777777" w:rsidR="004854DE" w:rsidRPr="005D6489" w:rsidRDefault="004854DE" w:rsidP="004854DE">
      <w:pPr>
        <w:pStyle w:val="FirstParagraph"/>
        <w:spacing w:line="360" w:lineRule="auto"/>
        <w:rPr>
          <w:rFonts w:ascii="Arial" w:hAnsi="Arial" w:cs="Arial"/>
        </w:rPr>
      </w:pPr>
      <w:bookmarkStart w:id="23" w:name="network-inference-and-analysis"/>
      <w:bookmarkEnd w:id="23"/>
      <w:r w:rsidRPr="005D6489">
        <w:rPr>
          <w:rFonts w:ascii="Arial" w:hAnsi="Arial" w:cs="Arial"/>
        </w:rPr>
        <w:t>A number of criteria were used to generate a gene list for performing network inference.  </w:t>
      </w:r>
    </w:p>
    <w:p w14:paraId="34216B1B" w14:textId="77777777" w:rsidR="004854DE" w:rsidRPr="005D6489" w:rsidRDefault="004854DE" w:rsidP="004854DE">
      <w:pPr>
        <w:pStyle w:val="BodyText"/>
        <w:spacing w:line="360" w:lineRule="auto"/>
        <w:rPr>
          <w:rFonts w:ascii="Arial" w:hAnsi="Arial" w:cs="Arial"/>
        </w:rPr>
      </w:pPr>
      <w:r>
        <w:rPr>
          <w:rFonts w:ascii="Arial" w:hAnsi="Arial" w:cs="Arial"/>
        </w:rPr>
        <w:t>In the beginning</w:t>
      </w:r>
      <w:r w:rsidRPr="005D6489">
        <w:rPr>
          <w:rFonts w:ascii="Arial" w:hAnsi="Arial" w:cs="Arial"/>
        </w:rPr>
        <w:t xml:space="preserve">, all lowly or non-expressing genes were not included in the network inference analysis. The criteria for removal each sample were: [1] </w:t>
      </w:r>
      <w:proofErr w:type="spellStart"/>
      <w:proofErr w:type="gramStart"/>
      <w:r w:rsidRPr="005D6489">
        <w:rPr>
          <w:rFonts w:ascii="Arial" w:hAnsi="Arial" w:cs="Arial"/>
        </w:rPr>
        <w:t>rowSum</w:t>
      </w:r>
      <w:proofErr w:type="spellEnd"/>
      <w:r w:rsidRPr="005D6489">
        <w:rPr>
          <w:rFonts w:ascii="Arial" w:hAnsi="Arial" w:cs="Arial"/>
        </w:rPr>
        <w:t>(</w:t>
      </w:r>
      <w:proofErr w:type="spellStart"/>
      <w:proofErr w:type="gramEnd"/>
      <w:r w:rsidRPr="005D6489">
        <w:rPr>
          <w:rFonts w:ascii="Arial" w:hAnsi="Arial" w:cs="Arial"/>
        </w:rPr>
        <w:t>RPM</w:t>
      </w:r>
      <w:r w:rsidRPr="00436E64">
        <w:rPr>
          <w:rFonts w:ascii="Arial" w:hAnsi="Arial" w:cs="Arial"/>
          <w:vertAlign w:val="subscript"/>
        </w:rPr>
        <w:t>j</w:t>
      </w:r>
      <w:r>
        <w:rPr>
          <w:rFonts w:ascii="Arial" w:hAnsi="Arial" w:cs="Arial"/>
          <w:vertAlign w:val="subscript"/>
        </w:rPr>
        <w:t>,</w:t>
      </w:r>
      <w:r w:rsidRPr="00436E64">
        <w:rPr>
          <w:rFonts w:ascii="Arial" w:hAnsi="Arial" w:cs="Arial"/>
          <w:vertAlign w:val="subscript"/>
        </w:rPr>
        <w:t>t</w:t>
      </w:r>
      <w:proofErr w:type="spellEnd"/>
      <w:r w:rsidRPr="005D6489">
        <w:rPr>
          <w:rFonts w:ascii="Arial" w:hAnsi="Arial" w:cs="Arial"/>
        </w:rPr>
        <w:t xml:space="preserve">) &lt; 7 x </w:t>
      </w:r>
      <w:proofErr w:type="spellStart"/>
      <w:r>
        <w:rPr>
          <w:rFonts w:ascii="Arial" w:hAnsi="Arial" w:cs="Arial"/>
        </w:rPr>
        <w:t>n</w:t>
      </w:r>
      <w:r w:rsidRPr="00436E64">
        <w:rPr>
          <w:rFonts w:ascii="Arial" w:hAnsi="Arial" w:cs="Arial"/>
          <w:vertAlign w:val="subscript"/>
        </w:rPr>
        <w:t>j,t</w:t>
      </w:r>
      <w:proofErr w:type="spellEnd"/>
      <w:r>
        <w:rPr>
          <w:rFonts w:ascii="Arial" w:hAnsi="Arial" w:cs="Arial"/>
        </w:rPr>
        <w:t xml:space="preserve"> </w:t>
      </w:r>
      <w:r w:rsidRPr="005D6489">
        <w:rPr>
          <w:rFonts w:ascii="Arial" w:hAnsi="Arial" w:cs="Arial"/>
        </w:rPr>
        <w:t>x 1.05 (</w:t>
      </w:r>
      <w:proofErr w:type="spellStart"/>
      <w:r w:rsidRPr="005D6489">
        <w:rPr>
          <w:rFonts w:ascii="Arial" w:hAnsi="Arial" w:cs="Arial"/>
        </w:rPr>
        <w:t>RPM</w:t>
      </w:r>
      <w:r w:rsidRPr="00436E64">
        <w:rPr>
          <w:rFonts w:ascii="Arial" w:hAnsi="Arial" w:cs="Arial"/>
          <w:vertAlign w:val="subscript"/>
        </w:rPr>
        <w:t>j,t</w:t>
      </w:r>
      <w:proofErr w:type="spellEnd"/>
      <w:r w:rsidRPr="005D6489">
        <w:rPr>
          <w:rFonts w:ascii="Arial" w:hAnsi="Arial" w:cs="Arial"/>
        </w:rPr>
        <w:t xml:space="preserve"> is RPM value and </w:t>
      </w:r>
      <w:proofErr w:type="spellStart"/>
      <w:r>
        <w:rPr>
          <w:rFonts w:ascii="Arial" w:hAnsi="Arial" w:cs="Arial"/>
        </w:rPr>
        <w:t>n</w:t>
      </w:r>
      <w:r w:rsidRPr="00436E64">
        <w:rPr>
          <w:rFonts w:ascii="Arial" w:hAnsi="Arial" w:cs="Arial"/>
          <w:vertAlign w:val="subscript"/>
        </w:rPr>
        <w:t>j,t</w:t>
      </w:r>
      <w:proofErr w:type="spellEnd"/>
      <w:r>
        <w:rPr>
          <w:rFonts w:ascii="Arial" w:hAnsi="Arial" w:cs="Arial"/>
        </w:rPr>
        <w:t xml:space="preserve"> </w:t>
      </w:r>
      <w:r w:rsidRPr="005D6489">
        <w:rPr>
          <w:rFonts w:ascii="Arial" w:hAnsi="Arial" w:cs="Arial"/>
        </w:rPr>
        <w:t xml:space="preserve">the total number of time-points for gene j at timepoint t) and [2] genes that had &lt;5 time-points where the </w:t>
      </w:r>
      <w:proofErr w:type="spellStart"/>
      <w:r w:rsidRPr="005D6489">
        <w:rPr>
          <w:rFonts w:ascii="Arial" w:hAnsi="Arial" w:cs="Arial"/>
        </w:rPr>
        <w:t>TPM</w:t>
      </w:r>
      <w:r w:rsidRPr="00436E64">
        <w:rPr>
          <w:rFonts w:ascii="Arial" w:hAnsi="Arial" w:cs="Arial"/>
          <w:vertAlign w:val="subscript"/>
        </w:rPr>
        <w:t>j</w:t>
      </w:r>
      <w:proofErr w:type="spellEnd"/>
      <w:r w:rsidRPr="005D6489">
        <w:rPr>
          <w:rFonts w:ascii="Arial" w:hAnsi="Arial" w:cs="Arial"/>
        </w:rPr>
        <w:t xml:space="preserve"> &lt; 7.  Genes with at least one time-point containing TPM = 0 were removed (requirement of dynGENIE3 package).</w:t>
      </w:r>
    </w:p>
    <w:p w14:paraId="0116CB52" w14:textId="77777777" w:rsidR="004854DE" w:rsidRPr="005D6489" w:rsidRDefault="004854DE" w:rsidP="004854DE">
      <w:pPr>
        <w:pStyle w:val="BodyText"/>
        <w:spacing w:line="360" w:lineRule="auto"/>
        <w:rPr>
          <w:rFonts w:ascii="Arial" w:hAnsi="Arial" w:cs="Arial"/>
        </w:rPr>
      </w:pPr>
      <w:r w:rsidRPr="005D6489">
        <w:rPr>
          <w:rFonts w:ascii="Arial" w:hAnsi="Arial" w:cs="Arial"/>
        </w:rPr>
        <w:lastRenderedPageBreak/>
        <w:t>The final gene list used for network inference was obtained from the following sources: (1) GO categories, (2) consensus cluster and (3) DE analysis.  A gene only needed to meet one of these three criteria in order to be included in the analysis.</w:t>
      </w:r>
      <w:r>
        <w:rPr>
          <w:rFonts w:ascii="Arial" w:hAnsi="Arial" w:cs="Arial"/>
        </w:rPr>
        <w:t xml:space="preserve"> Note that prior to the analysis in each of the three approaches, only genes satisfying the mentioned expression thresholds were included. </w:t>
      </w:r>
    </w:p>
    <w:p w14:paraId="6282BA77" w14:textId="77777777" w:rsidR="004854DE" w:rsidRPr="005D6489" w:rsidRDefault="004854DE" w:rsidP="004854DE">
      <w:pPr>
        <w:pStyle w:val="BodyText"/>
        <w:spacing w:line="360" w:lineRule="auto"/>
        <w:rPr>
          <w:rFonts w:ascii="Arial" w:hAnsi="Arial" w:cs="Arial"/>
        </w:rPr>
      </w:pPr>
      <w:r w:rsidRPr="005D6489">
        <w:rPr>
          <w:rFonts w:ascii="Arial" w:hAnsi="Arial" w:cs="Arial"/>
        </w:rPr>
        <w:t>First</w:t>
      </w:r>
      <w:r>
        <w:rPr>
          <w:rFonts w:ascii="Arial" w:hAnsi="Arial" w:cs="Arial"/>
        </w:rPr>
        <w:t>ly</w:t>
      </w:r>
      <w:r w:rsidRPr="005D6489">
        <w:rPr>
          <w:rFonts w:ascii="Arial" w:hAnsi="Arial" w:cs="Arial"/>
        </w:rPr>
        <w:t>, all genes that had GO categories that were of biological interest to us were initially included.  Specifically, this referred to genes that had Biological Process GO terms that included the words ’stress’, ‘light’, ‘auxin’, ‘abscisic’, ‘ethylene’, ‘circadian’, as well as all genes that had the Molecular Function ‘DNA binding’. </w:t>
      </w:r>
    </w:p>
    <w:p w14:paraId="4C38517B" w14:textId="77777777" w:rsidR="004854DE" w:rsidRPr="005D6489" w:rsidRDefault="004854DE" w:rsidP="004854DE">
      <w:pPr>
        <w:pStyle w:val="BodyText"/>
        <w:spacing w:line="360" w:lineRule="auto"/>
        <w:rPr>
          <w:rFonts w:ascii="Arial" w:hAnsi="Arial" w:cs="Arial"/>
        </w:rPr>
      </w:pPr>
      <w:r w:rsidRPr="005D6489">
        <w:rPr>
          <w:rFonts w:ascii="Arial" w:hAnsi="Arial" w:cs="Arial"/>
        </w:rPr>
        <w:t xml:space="preserve">Secondly, we selected for genes that had similar expression patterns as other genes in the data set.  The reason we chose </w:t>
      </w:r>
      <w:proofErr w:type="gramStart"/>
      <w:r w:rsidRPr="005D6489">
        <w:rPr>
          <w:rFonts w:ascii="Arial" w:hAnsi="Arial" w:cs="Arial"/>
        </w:rPr>
        <w:t>this criteria</w:t>
      </w:r>
      <w:proofErr w:type="gramEnd"/>
      <w:r w:rsidRPr="005D6489">
        <w:rPr>
          <w:rFonts w:ascii="Arial" w:hAnsi="Arial" w:cs="Arial"/>
        </w:rPr>
        <w:t xml:space="preserve"> was that we did not want to include lots of genes that had extremely noisy patterns of expression.  Clustering of the time-course gene expression was performed for each sample Col-0, </w:t>
      </w:r>
      <w:proofErr w:type="spellStart"/>
      <w:r w:rsidRPr="005D6489">
        <w:rPr>
          <w:rFonts w:ascii="Arial" w:hAnsi="Arial" w:cs="Arial"/>
        </w:rPr>
        <w:t>Ler</w:t>
      </w:r>
      <w:proofErr w:type="spellEnd"/>
      <w:r w:rsidRPr="005D6489">
        <w:rPr>
          <w:rFonts w:ascii="Arial" w:hAnsi="Arial" w:cs="Arial"/>
        </w:rPr>
        <w:t>, </w:t>
      </w:r>
      <w:r w:rsidRPr="005D6489">
        <w:rPr>
          <w:rFonts w:ascii="Arial" w:hAnsi="Arial" w:cs="Arial"/>
          <w:i/>
        </w:rPr>
        <w:t>prr5 prr7 prr9</w:t>
      </w:r>
      <w:r w:rsidRPr="005D6489">
        <w:rPr>
          <w:rFonts w:ascii="Arial" w:hAnsi="Arial" w:cs="Arial"/>
        </w:rPr>
        <w:t>, </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w:t>
      </w:r>
      <w:r w:rsidRPr="005D6489">
        <w:rPr>
          <w:rFonts w:ascii="Arial" w:hAnsi="Arial" w:cs="Arial"/>
        </w:rPr>
        <w:t>, </w:t>
      </w:r>
      <w:r w:rsidRPr="005D6489">
        <w:rPr>
          <w:rFonts w:ascii="Arial" w:hAnsi="Arial" w:cs="Arial"/>
          <w:i/>
        </w:rPr>
        <w:t>hsfa1QK </w:t>
      </w:r>
      <w:r w:rsidRPr="005D6489">
        <w:rPr>
          <w:rFonts w:ascii="Arial" w:hAnsi="Arial" w:cs="Arial"/>
        </w:rPr>
        <w:t>at 22°C using the CLUST algorithm using</w:t>
      </w:r>
      <w:r>
        <w:rPr>
          <w:rFonts w:ascii="Arial" w:hAnsi="Arial" w:cs="Arial"/>
        </w:rPr>
        <w:t xml:space="preserve"> the</w:t>
      </w:r>
      <w:r w:rsidRPr="005D6489">
        <w:rPr>
          <w:rFonts w:ascii="Arial" w:hAnsi="Arial" w:cs="Arial"/>
        </w:rPr>
        <w:t xml:space="preserve"> recommended settings</w:t>
      </w:r>
      <w:r>
        <w:rPr>
          <w:rFonts w:ascii="Arial" w:hAnsi="Arial" w:cs="Arial"/>
        </w:rPr>
        <w:t xml:space="preserve"> (mentioned previously)</w:t>
      </w:r>
      <w:r w:rsidRPr="005D6489">
        <w:rPr>
          <w:rFonts w:ascii="Arial" w:hAnsi="Arial" w:cs="Arial"/>
        </w:rPr>
        <w:t xml:space="preserve">.  Recall that the CLUST algorithm filters genes that do not cluster well with any of the clusters.  Any gene that appeared in any of the clusters detected by the CLUST algorithm </w:t>
      </w:r>
      <w:r>
        <w:rPr>
          <w:rFonts w:ascii="Arial" w:hAnsi="Arial" w:cs="Arial"/>
        </w:rPr>
        <w:t>was</w:t>
      </w:r>
      <w:r w:rsidRPr="005D6489">
        <w:rPr>
          <w:rFonts w:ascii="Arial" w:hAnsi="Arial" w:cs="Arial"/>
        </w:rPr>
        <w:t xml:space="preserve"> included in the analysis.</w:t>
      </w:r>
    </w:p>
    <w:p w14:paraId="279AB05B" w14:textId="77777777" w:rsidR="004854DE" w:rsidRPr="005D6489" w:rsidRDefault="004854DE" w:rsidP="004854DE">
      <w:pPr>
        <w:pStyle w:val="BodyText"/>
        <w:spacing w:line="360" w:lineRule="auto"/>
        <w:rPr>
          <w:rFonts w:ascii="Arial" w:hAnsi="Arial" w:cs="Arial"/>
        </w:rPr>
      </w:pPr>
      <w:r w:rsidRPr="005D6489">
        <w:rPr>
          <w:rFonts w:ascii="Arial" w:hAnsi="Arial" w:cs="Arial"/>
        </w:rPr>
        <w:t xml:space="preserve">Thirdly, differential expression analysis of gene was performed based on the time-course </w:t>
      </w:r>
      <w:r>
        <w:rPr>
          <w:rFonts w:ascii="Arial" w:hAnsi="Arial" w:cs="Arial"/>
        </w:rPr>
        <w:t xml:space="preserve">expression </w:t>
      </w:r>
      <w:r w:rsidRPr="005D6489">
        <w:rPr>
          <w:rFonts w:ascii="Arial" w:hAnsi="Arial" w:cs="Arial"/>
        </w:rPr>
        <w:t xml:space="preserve">using the </w:t>
      </w:r>
      <w:proofErr w:type="spellStart"/>
      <w:r w:rsidRPr="00436E64">
        <w:rPr>
          <w:rFonts w:ascii="Arial" w:hAnsi="Arial" w:cs="Arial"/>
          <w:i/>
          <w:iCs/>
        </w:rPr>
        <w:t>odp</w:t>
      </w:r>
      <w:proofErr w:type="spellEnd"/>
      <w:r w:rsidRPr="005D6489">
        <w:rPr>
          <w:rFonts w:ascii="Arial" w:hAnsi="Arial" w:cs="Arial"/>
        </w:rPr>
        <w:t xml:space="preserve"> method from the package edge (R Bioconductor) (</w:t>
      </w:r>
      <w:proofErr w:type="spellStart"/>
      <w:r w:rsidRPr="005D6489">
        <w:rPr>
          <w:rFonts w:ascii="Arial" w:hAnsi="Arial" w:cs="Arial"/>
        </w:rPr>
        <w:t>Storey</w:t>
      </w:r>
      <w:proofErr w:type="spellEnd"/>
      <w:r w:rsidRPr="005D6489">
        <w:rPr>
          <w:rFonts w:ascii="Arial" w:hAnsi="Arial" w:cs="Arial"/>
        </w:rPr>
        <w:t xml:space="preserve"> et al. 2005). Significant genes were chosen based on having an adjusted p-value (q-value) &lt; 0.05. The following WT and mutant pairs at 22°C were compared: Col-0 vs </w:t>
      </w:r>
      <w:r w:rsidRPr="005D6489">
        <w:rPr>
          <w:rFonts w:ascii="Arial" w:hAnsi="Arial" w:cs="Arial"/>
          <w:i/>
        </w:rPr>
        <w:t>prr5 prr7 prr9</w:t>
      </w:r>
      <w:r w:rsidRPr="005D6489">
        <w:rPr>
          <w:rFonts w:ascii="Arial" w:hAnsi="Arial" w:cs="Arial"/>
        </w:rPr>
        <w:t>, Col-0 vs </w:t>
      </w:r>
      <w:r w:rsidRPr="005D6489">
        <w:rPr>
          <w:rFonts w:ascii="Arial" w:hAnsi="Arial" w:cs="Arial"/>
          <w:i/>
        </w:rPr>
        <w:t>hsfa1QK </w:t>
      </w:r>
      <w:r w:rsidRPr="005D6489">
        <w:rPr>
          <w:rFonts w:ascii="Arial" w:hAnsi="Arial" w:cs="Arial"/>
        </w:rPr>
        <w:t xml:space="preserve">and </w:t>
      </w:r>
      <w:proofErr w:type="spellStart"/>
      <w:r w:rsidRPr="005D6489">
        <w:rPr>
          <w:rFonts w:ascii="Arial" w:hAnsi="Arial" w:cs="Arial"/>
        </w:rPr>
        <w:t>Ler</w:t>
      </w:r>
      <w:proofErr w:type="spellEnd"/>
      <w:r w:rsidRPr="005D6489">
        <w:rPr>
          <w:rFonts w:ascii="Arial" w:hAnsi="Arial" w:cs="Arial"/>
        </w:rPr>
        <w:t xml:space="preserve"> vs </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w:t>
      </w:r>
      <w:r w:rsidRPr="005D6489">
        <w:rPr>
          <w:rFonts w:ascii="Arial" w:hAnsi="Arial" w:cs="Arial"/>
        </w:rPr>
        <w:t>. </w:t>
      </w:r>
    </w:p>
    <w:p w14:paraId="746C5046" w14:textId="77777777" w:rsidR="004854DE" w:rsidRPr="005D6489" w:rsidRDefault="004854DE" w:rsidP="004854DE">
      <w:pPr>
        <w:pStyle w:val="BodyText"/>
        <w:spacing w:line="360" w:lineRule="auto"/>
        <w:rPr>
          <w:rFonts w:ascii="Arial" w:hAnsi="Arial" w:cs="Arial"/>
        </w:rPr>
      </w:pPr>
      <w:r w:rsidRPr="005D6489">
        <w:rPr>
          <w:rFonts w:ascii="Arial" w:hAnsi="Arial" w:cs="Arial"/>
        </w:rPr>
        <w:t xml:space="preserve">This analysis produced a gene list </w:t>
      </w:r>
      <w:r>
        <w:rPr>
          <w:rFonts w:ascii="Arial" w:hAnsi="Arial" w:cs="Arial"/>
        </w:rPr>
        <w:t xml:space="preserve">that </w:t>
      </w:r>
      <w:r w:rsidRPr="005D6489">
        <w:rPr>
          <w:rFonts w:ascii="Arial" w:hAnsi="Arial" w:cs="Arial"/>
        </w:rPr>
        <w:t>was too expansive for dynGenie3.  The filtered gene list was ranked based on decreasing CV (</w:t>
      </w:r>
      <w:proofErr w:type="spellStart"/>
      <w:r w:rsidRPr="005D6489">
        <w:rPr>
          <w:rFonts w:ascii="Arial" w:hAnsi="Arial" w:cs="Arial"/>
        </w:rPr>
        <w:t>sd</w:t>
      </w:r>
      <w:proofErr w:type="spellEnd"/>
      <w:r w:rsidRPr="005D6489">
        <w:rPr>
          <w:rFonts w:ascii="Arial" w:hAnsi="Arial" w:cs="Arial"/>
        </w:rPr>
        <w:t>/mean) with the top 1500 chosen for network inference. </w:t>
      </w:r>
      <w:r>
        <w:rPr>
          <w:rFonts w:ascii="Arial" w:hAnsi="Arial" w:cs="Arial"/>
        </w:rPr>
        <w:t xml:space="preserve">All the 1500 selected genes were confirmed to satisfy the expression cutoffs outlined earlier.  </w:t>
      </w:r>
    </w:p>
    <w:p w14:paraId="7A5076A0" w14:textId="77777777" w:rsidR="004854DE" w:rsidRPr="008C6C8F" w:rsidRDefault="004854DE" w:rsidP="004854DE">
      <w:pPr>
        <w:pStyle w:val="Heading2"/>
        <w:spacing w:line="360" w:lineRule="auto"/>
        <w:rPr>
          <w:rFonts w:ascii="Arial" w:hAnsi="Arial" w:cs="Arial"/>
          <w:sz w:val="28"/>
        </w:rPr>
      </w:pPr>
      <w:r w:rsidRPr="008C6C8F">
        <w:rPr>
          <w:rFonts w:ascii="Arial" w:hAnsi="Arial" w:cs="Arial"/>
          <w:sz w:val="28"/>
        </w:rPr>
        <w:t>Network inference and analysis</w:t>
      </w:r>
    </w:p>
    <w:p w14:paraId="65B0C90B" w14:textId="5EB258FE" w:rsidR="009C304E" w:rsidRPr="005D6489" w:rsidRDefault="004854DE" w:rsidP="006407EE">
      <w:pPr>
        <w:spacing w:line="360" w:lineRule="auto"/>
        <w:rPr>
          <w:rFonts w:ascii="Arial" w:hAnsi="Arial" w:cs="Arial"/>
        </w:rPr>
      </w:pPr>
      <w:r w:rsidRPr="005D6489">
        <w:rPr>
          <w:rFonts w:ascii="Arial" w:hAnsi="Arial" w:cs="Arial"/>
        </w:rPr>
        <w:t xml:space="preserve">Network inference on the curated gene list was performed using dynGENIE3 R package (Huynh-Thu and </w:t>
      </w:r>
      <w:proofErr w:type="spellStart"/>
      <w:r w:rsidRPr="005D6489">
        <w:rPr>
          <w:rFonts w:ascii="Arial" w:hAnsi="Arial" w:cs="Arial"/>
        </w:rPr>
        <w:t>Geurts</w:t>
      </w:r>
      <w:proofErr w:type="spellEnd"/>
      <w:r w:rsidRPr="005D6489">
        <w:rPr>
          <w:rFonts w:ascii="Arial" w:hAnsi="Arial" w:cs="Arial"/>
        </w:rPr>
        <w:t xml:space="preserve"> 2018). For each gene, the time-course gene </w:t>
      </w:r>
      <w:r w:rsidRPr="005D6489">
        <w:rPr>
          <w:rFonts w:ascii="Arial" w:hAnsi="Arial" w:cs="Arial"/>
        </w:rPr>
        <w:lastRenderedPageBreak/>
        <w:t>expression was supplied from the following samples: Col-0/</w:t>
      </w:r>
      <w:proofErr w:type="spellStart"/>
      <w:r w:rsidRPr="005D6489">
        <w:rPr>
          <w:rFonts w:ascii="Arial" w:hAnsi="Arial" w:cs="Arial"/>
        </w:rPr>
        <w:t>Ler</w:t>
      </w:r>
      <w:proofErr w:type="spellEnd"/>
      <w:r w:rsidRPr="005D6489">
        <w:rPr>
          <w:rFonts w:ascii="Arial" w:hAnsi="Arial" w:cs="Arial"/>
        </w:rPr>
        <w:t>/</w:t>
      </w:r>
      <w:r w:rsidRPr="005D6489">
        <w:rPr>
          <w:rFonts w:ascii="Arial" w:hAnsi="Arial" w:cs="Arial"/>
          <w:i/>
        </w:rPr>
        <w:t>prr5 prr7 prr9/</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cry2/hsfa1QK </w:t>
      </w:r>
      <w:r w:rsidRPr="005D6489">
        <w:rPr>
          <w:rFonts w:ascii="Arial" w:hAnsi="Arial" w:cs="Arial"/>
        </w:rPr>
        <w:t>at 22°C and Col-0/</w:t>
      </w:r>
      <w:proofErr w:type="spellStart"/>
      <w:r w:rsidRPr="005D6489">
        <w:rPr>
          <w:rFonts w:ascii="Arial" w:hAnsi="Arial" w:cs="Arial"/>
        </w:rPr>
        <w:t>Ler</w:t>
      </w:r>
      <w:proofErr w:type="spellEnd"/>
      <w:r w:rsidRPr="005D6489">
        <w:rPr>
          <w:rFonts w:ascii="Arial" w:hAnsi="Arial" w:cs="Arial"/>
        </w:rPr>
        <w:t>/</w:t>
      </w:r>
      <w:r w:rsidRPr="005D6489">
        <w:rPr>
          <w:rFonts w:ascii="Arial" w:hAnsi="Arial" w:cs="Arial"/>
          <w:i/>
        </w:rPr>
        <w:t>prr5 prr7 prr9/</w:t>
      </w:r>
      <w:proofErr w:type="spellStart"/>
      <w:r w:rsidRPr="005D6489">
        <w:rPr>
          <w:rFonts w:ascii="Arial" w:hAnsi="Arial" w:cs="Arial"/>
          <w:i/>
        </w:rPr>
        <w:t>phyA</w:t>
      </w:r>
      <w:proofErr w:type="spellEnd"/>
      <w:r w:rsidRPr="005D6489">
        <w:rPr>
          <w:rFonts w:ascii="Arial" w:hAnsi="Arial" w:cs="Arial"/>
          <w:i/>
        </w:rPr>
        <w:t xml:space="preserve"> </w:t>
      </w:r>
      <w:proofErr w:type="spellStart"/>
      <w:r w:rsidRPr="005D6489">
        <w:rPr>
          <w:rFonts w:ascii="Arial" w:hAnsi="Arial" w:cs="Arial"/>
          <w:i/>
        </w:rPr>
        <w:t>phyB</w:t>
      </w:r>
      <w:proofErr w:type="spellEnd"/>
      <w:r w:rsidRPr="005D6489">
        <w:rPr>
          <w:rFonts w:ascii="Arial" w:hAnsi="Arial" w:cs="Arial"/>
          <w:i/>
        </w:rPr>
        <w:t xml:space="preserve"> cry1 cry2 </w:t>
      </w:r>
      <w:r w:rsidRPr="005D6489">
        <w:rPr>
          <w:rFonts w:ascii="Arial" w:hAnsi="Arial" w:cs="Arial"/>
        </w:rPr>
        <w:t>at 27°C. For downstream analysis of network, only edges that had scores within the top 1% and that were consistent with DAP-</w:t>
      </w:r>
      <w:proofErr w:type="spellStart"/>
      <w:r w:rsidRPr="005D6489">
        <w:rPr>
          <w:rFonts w:ascii="Arial" w:hAnsi="Arial" w:cs="Arial"/>
        </w:rPr>
        <w:t>seq</w:t>
      </w:r>
      <w:proofErr w:type="spellEnd"/>
      <w:r w:rsidRPr="005D6489">
        <w:rPr>
          <w:rFonts w:ascii="Arial" w:hAnsi="Arial" w:cs="Arial"/>
        </w:rPr>
        <w:t xml:space="preserve"> data </w:t>
      </w:r>
      <w:r>
        <w:rPr>
          <w:rFonts w:ascii="Arial" w:hAnsi="Arial" w:cs="Arial"/>
        </w:rPr>
        <w:fldChar w:fldCharType="begin"/>
      </w:r>
      <w:r>
        <w:rPr>
          <w:rFonts w:ascii="Arial" w:hAnsi="Arial" w:cs="Arial"/>
        </w:rPr>
        <w:instrText xml:space="preserve"> ADDIN ZOTERO_ITEM CSL_CITATION {"citationID":"PEIV3xjf","properties":{"formattedCitation":"(O\\uc0\\u8217{}Malley et al., 2016)","plainCitation":"(O’Malley et al., 2016)","noteIndex":0},"citationItems":[{"id":3485,"uris":["http://zotero.org/users/2970095/items/Q4LPX9HD"],"uri":["http://zotero.org/users/2970095/items/Q4LPX9HD"],"itemData":{"id":3485,"type":"article-journal","abstract":"The cistrome is the complete set of transcription factor (TF) binding sites (cis-elements) in an organism, while an epicistrome incorporates tissue-specific DNA chemical modifications and TF-specific chemical sensitivities into these binding profiles. Robust methods to construct comprehensive cistrome and epicistrome maps are critical for elucidating complex transcriptional networks that underlie growth, behavior, and disease. Here, we describe DNA affinity purification sequencing (DAP-seq), a high-throughput TF binding site discovery method that interrogates genomic DNA with in-vitro-expressed TFs. Using DAP-seq, we defined the Arabidopsis cistrome by resolving motifs and peaks for 529 TFs. Because genomic DNA used in DAP-seq retains 5-methylcytosines, we determined that &gt;75% (248/327) of Arabidopsis TFs surveyed were methylation sensitive, a property that strongly impacts the epicistrome landscape. DAP-seq datasets also yielded insight into the biology and binding site architecture of numerous TFs, demonstrating the value of DAP-seq for cost-effective cistromic and epicistromic annotation in any organism.,","container-title":"Cell","DOI":"10.1016/j.cell.2016.04.038","ISSN":"0092-8674","issue":"5","journalAbbreviation":"Cell","note":"PMID: 27203113\nPMCID: PMC4907330","page":"1280-1292","source":"PubMed Central","title":"Cistrome and Epicistrome Features Shape the Regulatory DNA Landscape","volume":"165","author":[{"family":"O’Malley","given":"Ronan C."},{"family":"Huang","given":"Shao-shan Carol"},{"family":"Song","given":"Liang"},{"family":"Lewsey","given":"Mathew G."},{"family":"Bartlett","given":"Anna"},{"family":"Nery","given":"Joseph R."},{"family":"Galli","given":"Mary"},{"family":"Gallavotti","given":"Andrea"},{"family":"Ecker","given":"Joseph R."}],"issued":{"date-parts":[["2016",5,19]]}}}],"schema":"https://github.com/citation-style-language/schema/raw/master/csl-citation.json"} </w:instrText>
      </w:r>
      <w:r>
        <w:rPr>
          <w:rFonts w:ascii="Arial" w:hAnsi="Arial" w:cs="Arial"/>
        </w:rPr>
        <w:fldChar w:fldCharType="separate"/>
      </w:r>
      <w:r w:rsidRPr="006942CB">
        <w:rPr>
          <w:rFonts w:ascii="Arial" w:hAnsi="Arial" w:cs="Arial"/>
        </w:rPr>
        <w:t>(O’Malley et al., 2016)</w:t>
      </w:r>
      <w:r>
        <w:rPr>
          <w:rFonts w:ascii="Arial" w:hAnsi="Arial" w:cs="Arial"/>
        </w:rPr>
        <w:fldChar w:fldCharType="end"/>
      </w:r>
      <w:r w:rsidRPr="005D6489">
        <w:rPr>
          <w:rFonts w:ascii="Arial" w:hAnsi="Arial" w:cs="Arial"/>
        </w:rPr>
        <w:t xml:space="preserve"> were included.  GO term enrichment within the network was determined using the </w:t>
      </w:r>
      <w:proofErr w:type="spellStart"/>
      <w:r w:rsidRPr="005D6489">
        <w:rPr>
          <w:rFonts w:ascii="Arial" w:hAnsi="Arial" w:cs="Arial"/>
        </w:rPr>
        <w:t>PAFway</w:t>
      </w:r>
      <w:proofErr w:type="spellEnd"/>
      <w:r w:rsidRPr="005D6489">
        <w:rPr>
          <w:rFonts w:ascii="Arial" w:hAnsi="Arial" w:cs="Arial"/>
        </w:rPr>
        <w:t xml:space="preserve"> package </w:t>
      </w:r>
      <w:r>
        <w:rPr>
          <w:rFonts w:ascii="Arial" w:hAnsi="Arial" w:cs="Arial"/>
        </w:rPr>
        <w:t>in CRAN</w:t>
      </w:r>
      <w:r w:rsidRPr="005D6489">
        <w:rPr>
          <w:rFonts w:ascii="Arial" w:hAnsi="Arial" w:cs="Arial"/>
        </w:rPr>
        <w:t>.  Figures were drawn using the network visualisation tools developed for Ara-BOX-cis </w:t>
      </w:r>
      <w:r>
        <w:rPr>
          <w:rFonts w:ascii="Arial" w:hAnsi="Arial" w:cs="Arial"/>
        </w:rPr>
        <w:fldChar w:fldCharType="begin"/>
      </w:r>
      <w:r>
        <w:rPr>
          <w:rFonts w:ascii="Arial" w:hAnsi="Arial" w:cs="Arial"/>
        </w:rPr>
        <w:instrText xml:space="preserve"> ADDIN ZOTERO_ITEM CSL_CITATION {"citationID":"TlGdKunt","properties":{"formattedCitation":"(Ezer et al., 2017b)","plainCitation":"(Ezer et al., 2017b)","noteIndex":0},"citationItems":[{"id":3245,"uris":["http://zotero.org/users/2970095/items/QBMDGT9D"],"uri":["http://zotero.org/users/2970095/items/QBMDGT9D"],"itemData":{"id":3245,"type":"article-journal","abstract":"Plants have significantly more transcription factor (TF) families than animals and fungi, and plant TF families tend to contain more genes; these expansions are linked to adaptation to environmental stressors. Many TF family members bind to similar or identical sequence motifs, such as G-boxes (CACGTG), so it is difficult to predict regulatory relationships. We determined that the flanking sequences near G-boxes help determine in vitro specificity but that this is insufficient to predict the transcription pattern of genes near G-boxes. Therefore, we constructed a gene regulatory network that identifies the set of bZIPs and bHLHs that are most predictive of the expression of genes downstream of perfect G-boxes. This network accurately predicts transcriptional patterns and reconstructs known regulatory subnetworks. Finally, we present Ara-BOX-cis (araboxcis.org), a Web site that provides interactive visualizations of the G-box regulatory network, a useful resource for generating predictions for gene regulatory relations.","container-title":"Plant Physiology","DOI":"10.1104/pp.17.01086","ISSN":"0032-0889, 1532-2548","issue":"2","language":"en","note":"PMID: 28864470","page":"628-640","source":"www.plantphysiol.org","title":"The G-Box Transcriptional Regulatory Code in Arabidopsis","volume":"175","author":[{"family":"Ezer","given":"Daphne"},{"family":"Shepherd","given":"Samuel J. K."},{"family":"Brestovitsky","given":"Anna"},{"family":"Dickinson","given":"Patrick"},{"family":"Cortijo","given":"Sandra"},{"family":"Charoensawan","given":"Varodom"},{"family":"Box","given":"Mathew S."},{"family":"Biswas","given":"Surojit"},{"family":"Jaeger","given":"Katja E."},{"family":"Wigge","given":"Philip A."}],"issued":{"date-parts":[["2017",10,1]]}}}],"schema":"https://github.com/citation-style-language/schema/raw/master/csl-citation.json"} </w:instrText>
      </w:r>
      <w:r>
        <w:rPr>
          <w:rFonts w:ascii="Arial" w:hAnsi="Arial" w:cs="Arial"/>
        </w:rPr>
        <w:fldChar w:fldCharType="separate"/>
      </w:r>
      <w:r w:rsidRPr="006942CB">
        <w:rPr>
          <w:rFonts w:ascii="Arial" w:hAnsi="Arial" w:cs="Arial"/>
        </w:rPr>
        <w:t>(Ezer et al., 2017b)</w:t>
      </w:r>
      <w:r>
        <w:rPr>
          <w:rFonts w:ascii="Arial" w:hAnsi="Arial" w:cs="Arial"/>
        </w:rPr>
        <w:fldChar w:fldCharType="end"/>
      </w:r>
      <w:r w:rsidRPr="005D6489">
        <w:rPr>
          <w:rFonts w:ascii="Arial" w:hAnsi="Arial" w:cs="Arial"/>
        </w:rPr>
        <w:t xml:space="preserve">, and is available here: </w:t>
      </w:r>
      <w:hyperlink r:id="rId9" w:history="1">
        <w:r w:rsidRPr="005D6489">
          <w:rPr>
            <w:rStyle w:val="Hyperlink"/>
            <w:rFonts w:ascii="Arial" w:hAnsi="Arial" w:cs="Arial"/>
          </w:rPr>
          <w:t>http://www-users.york.ac.uk/~de656/dawnBurst/dawnBurst.html</w:t>
        </w:r>
      </w:hyperlink>
    </w:p>
    <w:p w14:paraId="158AED50" w14:textId="04A89A73" w:rsidR="00A643D7" w:rsidRPr="008C6C8F" w:rsidRDefault="007636BE" w:rsidP="00A643D7">
      <w:pPr>
        <w:pStyle w:val="Heading1"/>
        <w:spacing w:line="360" w:lineRule="auto"/>
        <w:rPr>
          <w:rFonts w:ascii="Arial" w:hAnsi="Arial" w:cs="Arial"/>
          <w:sz w:val="28"/>
        </w:rPr>
      </w:pPr>
      <w:bookmarkStart w:id="24" w:name="materials-and-methods"/>
      <w:bookmarkStart w:id="25" w:name="end-of-methods-bits-of-text-from-matthew"/>
      <w:bookmarkStart w:id="26" w:name="acknowledgements"/>
      <w:bookmarkEnd w:id="24"/>
      <w:bookmarkEnd w:id="25"/>
      <w:bookmarkEnd w:id="26"/>
      <w:r>
        <w:rPr>
          <w:rFonts w:ascii="Arial" w:hAnsi="Arial" w:cs="Arial"/>
          <w:sz w:val="28"/>
        </w:rPr>
        <w:t>Acknowledgements</w:t>
      </w:r>
    </w:p>
    <w:p w14:paraId="113ABDAA" w14:textId="7AB11C5A" w:rsidR="00A643D7" w:rsidRPr="008C4349" w:rsidRDefault="007636BE" w:rsidP="005D6489">
      <w:pPr>
        <w:pStyle w:val="Heading1"/>
        <w:spacing w:line="360" w:lineRule="auto"/>
        <w:rPr>
          <w:rFonts w:ascii="Arial" w:hAnsi="Arial" w:cs="Arial"/>
        </w:rPr>
      </w:pPr>
      <w:r>
        <w:rPr>
          <w:rFonts w:ascii="Arial" w:hAnsi="Arial" w:cs="Arial"/>
          <w:b w:val="0"/>
          <w:sz w:val="24"/>
          <w:szCs w:val="24"/>
          <w:lang w:val="en-GB"/>
        </w:rPr>
        <w:t xml:space="preserve">We thank Stephan </w:t>
      </w:r>
      <w:proofErr w:type="spellStart"/>
      <w:r>
        <w:rPr>
          <w:rFonts w:ascii="Arial" w:hAnsi="Arial" w:cs="Arial"/>
          <w:b w:val="0"/>
          <w:sz w:val="24"/>
          <w:szCs w:val="24"/>
          <w:lang w:val="en-GB"/>
        </w:rPr>
        <w:t>Wenkel</w:t>
      </w:r>
      <w:proofErr w:type="spellEnd"/>
      <w:r>
        <w:rPr>
          <w:rFonts w:ascii="Arial" w:hAnsi="Arial" w:cs="Arial"/>
          <w:b w:val="0"/>
          <w:sz w:val="24"/>
          <w:szCs w:val="24"/>
          <w:lang w:val="en-GB"/>
        </w:rPr>
        <w:t xml:space="preserve"> for sharing of </w:t>
      </w:r>
      <w:r w:rsidRPr="004E0A36">
        <w:rPr>
          <w:rFonts w:ascii="Arial" w:hAnsi="Arial" w:cs="Arial"/>
          <w:b w:val="0"/>
          <w:i/>
          <w:sz w:val="24"/>
          <w:szCs w:val="24"/>
          <w:lang w:val="en-GB"/>
        </w:rPr>
        <w:t>bbx30 bbx31</w:t>
      </w:r>
      <w:r>
        <w:rPr>
          <w:rFonts w:ascii="Arial" w:hAnsi="Arial" w:cs="Arial"/>
          <w:b w:val="0"/>
          <w:sz w:val="24"/>
          <w:szCs w:val="24"/>
          <w:lang w:val="en-GB"/>
        </w:rPr>
        <w:t xml:space="preserve"> and </w:t>
      </w:r>
      <w:r w:rsidRPr="004E0A36">
        <w:rPr>
          <w:rFonts w:ascii="Arial" w:hAnsi="Arial" w:cs="Arial"/>
          <w:b w:val="0"/>
          <w:i/>
          <w:sz w:val="24"/>
          <w:szCs w:val="24"/>
          <w:lang w:val="en-GB"/>
        </w:rPr>
        <w:t>BBX31-Ox</w:t>
      </w:r>
      <w:r>
        <w:rPr>
          <w:rFonts w:ascii="Arial" w:hAnsi="Arial" w:cs="Arial"/>
          <w:b w:val="0"/>
          <w:sz w:val="24"/>
          <w:szCs w:val="24"/>
          <w:lang w:val="en-GB"/>
        </w:rPr>
        <w:t xml:space="preserve"> seeds and discussion of unpublished results. </w:t>
      </w:r>
      <w:r w:rsidR="00A643D7" w:rsidRPr="008C4349">
        <w:rPr>
          <w:rFonts w:ascii="Arial" w:hAnsi="Arial" w:cs="Arial"/>
          <w:b w:val="0"/>
          <w:sz w:val="24"/>
          <w:szCs w:val="24"/>
          <w:lang w:val="en-GB"/>
        </w:rPr>
        <w:t>This project was funded by the Alan Turing Institute Research Fellowship under EPSRC Research grant (TU/A/000017)</w:t>
      </w:r>
      <w:r w:rsidR="00A643D7">
        <w:rPr>
          <w:rFonts w:ascii="Arial" w:hAnsi="Arial" w:cs="Arial"/>
          <w:b w:val="0"/>
          <w:sz w:val="24"/>
          <w:szCs w:val="24"/>
          <w:lang w:val="en-GB"/>
        </w:rPr>
        <w:t xml:space="preserve"> to DE</w:t>
      </w:r>
      <w:r w:rsidR="00A643D7" w:rsidRPr="008C4349">
        <w:rPr>
          <w:rFonts w:ascii="Arial" w:hAnsi="Arial" w:cs="Arial"/>
          <w:b w:val="0"/>
          <w:sz w:val="24"/>
          <w:szCs w:val="24"/>
          <w:lang w:val="en-GB"/>
        </w:rPr>
        <w:t>; EPSRC/BBSRC Innovation Fellowship (EP/S001360/1)</w:t>
      </w:r>
      <w:r w:rsidR="00A643D7">
        <w:rPr>
          <w:rFonts w:ascii="Arial" w:hAnsi="Arial" w:cs="Arial"/>
          <w:b w:val="0"/>
          <w:sz w:val="24"/>
          <w:szCs w:val="24"/>
          <w:lang w:val="en-GB"/>
        </w:rPr>
        <w:t xml:space="preserve"> to DE and SC; and an EMBO fellowship (ALTF 1418-2015) to MB. </w:t>
      </w:r>
    </w:p>
    <w:p w14:paraId="15DDCB6B" w14:textId="190F6257" w:rsidR="00794917" w:rsidRDefault="00794917" w:rsidP="00794917">
      <w:pPr>
        <w:pStyle w:val="Heading1"/>
      </w:pPr>
      <w:r>
        <w:t>Author Contributions</w:t>
      </w:r>
    </w:p>
    <w:p w14:paraId="7E3C5A86" w14:textId="535E2EA6" w:rsidR="00794917" w:rsidRPr="00794917" w:rsidRDefault="00794917" w:rsidP="004E0A36">
      <w:pPr>
        <w:pStyle w:val="BodyText"/>
        <w:spacing w:line="360" w:lineRule="auto"/>
      </w:pPr>
      <w:r w:rsidRPr="00794917">
        <w:t>MB, DE, PAW planned and designed the research.  MB, DN, DS, KEJ designed and performed the experiments.  MM, HL, SC, DE designed and performed the data analysis.  MB, MM, PAW, DE wrote the manuscript.</w:t>
      </w:r>
    </w:p>
    <w:p w14:paraId="46D4AA86" w14:textId="77777777" w:rsidR="006942CB" w:rsidRDefault="00BA10FA" w:rsidP="005D6489">
      <w:pPr>
        <w:pStyle w:val="Heading1"/>
        <w:spacing w:line="360" w:lineRule="auto"/>
        <w:rPr>
          <w:rFonts w:ascii="Arial" w:hAnsi="Arial" w:cs="Arial"/>
          <w:sz w:val="28"/>
        </w:rPr>
      </w:pPr>
      <w:bookmarkStart w:id="27" w:name="competing-interests"/>
      <w:bookmarkEnd w:id="27"/>
      <w:r w:rsidRPr="008C6C8F">
        <w:rPr>
          <w:rFonts w:ascii="Arial" w:hAnsi="Arial" w:cs="Arial"/>
          <w:sz w:val="28"/>
        </w:rPr>
        <w:t>Competing interests</w:t>
      </w:r>
      <w:bookmarkStart w:id="28" w:name="references"/>
      <w:bookmarkEnd w:id="28"/>
    </w:p>
    <w:p w14:paraId="581D9162" w14:textId="679EA1E8" w:rsidR="006942CB" w:rsidRPr="006942CB" w:rsidRDefault="006942CB" w:rsidP="006942CB">
      <w:pPr>
        <w:pStyle w:val="Heading1"/>
        <w:spacing w:before="240" w:line="360" w:lineRule="auto"/>
        <w:rPr>
          <w:rFonts w:ascii="Arial" w:hAnsi="Arial" w:cs="Arial"/>
          <w:sz w:val="28"/>
        </w:rPr>
      </w:pPr>
      <w:r w:rsidRPr="006942CB">
        <w:rPr>
          <w:rFonts w:ascii="Arial" w:eastAsiaTheme="minorHAnsi" w:hAnsi="Arial" w:cs="Arial"/>
          <w:b w:val="0"/>
          <w:bCs w:val="0"/>
          <w:color w:val="auto"/>
          <w:sz w:val="24"/>
          <w:szCs w:val="24"/>
        </w:rPr>
        <w:t>The authors declared that they have no conflict of interest.</w:t>
      </w:r>
    </w:p>
    <w:p w14:paraId="7846C5BB" w14:textId="015F3FD0" w:rsidR="009C304E" w:rsidRPr="008C6C8F" w:rsidRDefault="00BA10FA" w:rsidP="005D6489">
      <w:pPr>
        <w:pStyle w:val="Heading1"/>
        <w:spacing w:line="360" w:lineRule="auto"/>
        <w:rPr>
          <w:rFonts w:ascii="Arial" w:hAnsi="Arial" w:cs="Arial"/>
          <w:sz w:val="28"/>
        </w:rPr>
      </w:pPr>
      <w:r w:rsidRPr="008C6C8F">
        <w:rPr>
          <w:rFonts w:ascii="Arial" w:hAnsi="Arial" w:cs="Arial"/>
          <w:sz w:val="28"/>
        </w:rPr>
        <w:t>References</w:t>
      </w:r>
    </w:p>
    <w:p w14:paraId="1CDA13AD" w14:textId="77777777" w:rsidR="00BA2F83" w:rsidRDefault="00653821" w:rsidP="00BA2F83">
      <w:pPr>
        <w:pStyle w:val="Bibliography"/>
      </w:pPr>
      <w:r>
        <w:fldChar w:fldCharType="begin"/>
      </w:r>
      <w:r w:rsidR="00B56A60">
        <w:rPr>
          <w:lang w:val="en-GB"/>
        </w:rPr>
        <w:instrText xml:space="preserve"> ADDIN ZOTERO_BIBL {"uncited":[],"omitted":[],"custom":[]} CSL_BIBLIOGRAPHY </w:instrText>
      </w:r>
      <w:r>
        <w:fldChar w:fldCharType="separate"/>
      </w:r>
      <w:r w:rsidR="00BA2F83">
        <w:t xml:space="preserve">Abu-Jamous B, Kelly S. 2018. Clust: automatic extraction of optimal co-expressed gene clusters from gene expression data. </w:t>
      </w:r>
      <w:r w:rsidR="00BA2F83">
        <w:rPr>
          <w:i/>
          <w:iCs/>
        </w:rPr>
        <w:t>Genome Biology</w:t>
      </w:r>
      <w:r w:rsidR="00BA2F83">
        <w:t xml:space="preserve"> </w:t>
      </w:r>
      <w:r w:rsidR="00BA2F83">
        <w:rPr>
          <w:b/>
          <w:bCs/>
        </w:rPr>
        <w:t>19</w:t>
      </w:r>
      <w:r w:rsidR="00BA2F83">
        <w:t>:172. doi:10.1186/s13059-018-1536-8</w:t>
      </w:r>
    </w:p>
    <w:p w14:paraId="75318A64" w14:textId="77777777" w:rsidR="00BA2F83" w:rsidRDefault="00BA2F83" w:rsidP="00BA2F83">
      <w:pPr>
        <w:pStyle w:val="Bibliography"/>
      </w:pPr>
      <w:r>
        <w:lastRenderedPageBreak/>
        <w:t xml:space="preserve">Anders S, Pyl PT, Huber W. 2015. HTSeq—a Python framework to work with high-throughput sequencing data. </w:t>
      </w:r>
      <w:r>
        <w:rPr>
          <w:i/>
          <w:iCs/>
        </w:rPr>
        <w:t>Bioinformatics</w:t>
      </w:r>
      <w:r>
        <w:t xml:space="preserve"> </w:t>
      </w:r>
      <w:r>
        <w:rPr>
          <w:b/>
          <w:bCs/>
        </w:rPr>
        <w:t>31</w:t>
      </w:r>
      <w:r>
        <w:t>:166–169. doi:10.1093/bioinformatics/btu638</w:t>
      </w:r>
    </w:p>
    <w:p w14:paraId="08972787" w14:textId="77777777" w:rsidR="00BA2F83" w:rsidRPr="004E0A36" w:rsidRDefault="00BA2F83" w:rsidP="00BA2F83">
      <w:pPr>
        <w:pStyle w:val="Bibliography"/>
        <w:rPr>
          <w:lang w:val="de-DE"/>
        </w:rPr>
      </w:pPr>
      <w:r>
        <w:t xml:space="preserve">Annunziata MG, Apelt F, Carillo P, Krause U, Feil R, Koehl K, Lunn JE, Stitt M. 2018. Response of Arabidopsis primary metabolism and circadian clock to low night temperature in a natural light environment. </w:t>
      </w:r>
      <w:r w:rsidRPr="004E0A36">
        <w:rPr>
          <w:i/>
          <w:iCs/>
          <w:lang w:val="de-DE"/>
        </w:rPr>
        <w:t>J Exp Bot</w:t>
      </w:r>
      <w:r w:rsidRPr="004E0A36">
        <w:rPr>
          <w:lang w:val="de-DE"/>
        </w:rPr>
        <w:t xml:space="preserve"> </w:t>
      </w:r>
      <w:r w:rsidRPr="004E0A36">
        <w:rPr>
          <w:b/>
          <w:bCs/>
          <w:lang w:val="de-DE"/>
        </w:rPr>
        <w:t>69</w:t>
      </w:r>
      <w:r w:rsidRPr="004E0A36">
        <w:rPr>
          <w:lang w:val="de-DE"/>
        </w:rPr>
        <w:t>:4881–4895. doi:10.1093/jxb/ery276</w:t>
      </w:r>
    </w:p>
    <w:p w14:paraId="29D409A3" w14:textId="77777777" w:rsidR="00BA2F83" w:rsidRDefault="00BA2F83" w:rsidP="00BA2F83">
      <w:pPr>
        <w:pStyle w:val="Bibliography"/>
      </w:pPr>
      <w:r w:rsidRPr="004E0A36">
        <w:rPr>
          <w:lang w:val="de-DE"/>
        </w:rPr>
        <w:t xml:space="preserve">Bolger AM, Lohse M, Usadel B. 2014. </w:t>
      </w:r>
      <w:r>
        <w:t xml:space="preserve">Trimmomatic: a flexible trimmer for Illumina sequence data. </w:t>
      </w:r>
      <w:r>
        <w:rPr>
          <w:i/>
          <w:iCs/>
        </w:rPr>
        <w:t>Bioinformatics</w:t>
      </w:r>
      <w:r>
        <w:t xml:space="preserve"> </w:t>
      </w:r>
      <w:r>
        <w:rPr>
          <w:b/>
          <w:bCs/>
        </w:rPr>
        <w:t>30</w:t>
      </w:r>
      <w:r>
        <w:t>:2114–2120. doi:10.1093/bioinformatics/btu170</w:t>
      </w:r>
    </w:p>
    <w:p w14:paraId="46827068" w14:textId="77777777" w:rsidR="00BA2F83" w:rsidRDefault="00BA2F83" w:rsidP="00BA2F83">
      <w:pPr>
        <w:pStyle w:val="Bibliography"/>
      </w:pPr>
      <w:r>
        <w:t xml:space="preserve">Bursch K, Toledo-Ortiz G, Pireyre M, Lohr M, Braatz C, Johansson H. 2020. Identification of BBX proteins as rate-limiting cofactors of HY5. </w:t>
      </w:r>
      <w:r>
        <w:rPr>
          <w:i/>
          <w:iCs/>
        </w:rPr>
        <w:t>Nature Plants</w:t>
      </w:r>
      <w:r>
        <w:t xml:space="preserve"> 1–8. doi:10.1038/s41477-020-0725-0</w:t>
      </w:r>
    </w:p>
    <w:p w14:paraId="151F167B" w14:textId="77777777" w:rsidR="00BA2F83" w:rsidRDefault="00BA2F83" w:rsidP="00BA2F83">
      <w:pPr>
        <w:pStyle w:val="Bibliography"/>
      </w:pPr>
      <w:r>
        <w:t xml:space="preserve">Chattopadhyay S, Ang L-H, Puente P, Deng X-W, Wei N. 1998. Arabidopsis bZIP Protein HY5 Directly Interacts with Light-Responsive Promoters in Mediating Light Control of Gene Expression. </w:t>
      </w:r>
      <w:r>
        <w:rPr>
          <w:i/>
          <w:iCs/>
        </w:rPr>
        <w:t>Plant Cell</w:t>
      </w:r>
      <w:r>
        <w:t xml:space="preserve"> </w:t>
      </w:r>
      <w:r>
        <w:rPr>
          <w:b/>
          <w:bCs/>
        </w:rPr>
        <w:t>10</w:t>
      </w:r>
      <w:r>
        <w:t>:673–683. doi:10.1105/tpc.10.5.673</w:t>
      </w:r>
    </w:p>
    <w:p w14:paraId="64AE3836" w14:textId="77777777" w:rsidR="00BA2F83" w:rsidRDefault="00BA2F83" w:rsidP="00BA2F83">
      <w:pPr>
        <w:pStyle w:val="Bibliography"/>
      </w:pPr>
      <w:r>
        <w:t xml:space="preserve">Chen F, Li B, Li G, Charron J-B, Dai M, Shi X, Deng XW. 2014. Arabidopsis Phytochrome A Directly Targets Numerous Promoters for Individualized Modulation of Genes in a Wide Range of Pathways. </w:t>
      </w:r>
      <w:r>
        <w:rPr>
          <w:i/>
          <w:iCs/>
        </w:rPr>
        <w:t>The Plant Cell</w:t>
      </w:r>
      <w:r>
        <w:t xml:space="preserve"> </w:t>
      </w:r>
      <w:r>
        <w:rPr>
          <w:b/>
          <w:bCs/>
        </w:rPr>
        <w:t>26</w:t>
      </w:r>
      <w:r>
        <w:t>:1949–1966. doi:10.1105/tpc.114.123950</w:t>
      </w:r>
    </w:p>
    <w:p w14:paraId="0AAF4D0E" w14:textId="77777777" w:rsidR="00BA2F83" w:rsidRDefault="00BA2F83" w:rsidP="00BA2F83">
      <w:pPr>
        <w:pStyle w:val="Bibliography"/>
      </w:pPr>
      <w:r>
        <w:t xml:space="preserve">Christie JM, Blackwood L, Petersen J, Sullivan S. 2015. Plant Flavoprotein Photoreceptors. </w:t>
      </w:r>
      <w:r>
        <w:rPr>
          <w:i/>
          <w:iCs/>
        </w:rPr>
        <w:t>Plant Cell Physiol</w:t>
      </w:r>
      <w:r>
        <w:t xml:space="preserve"> </w:t>
      </w:r>
      <w:r>
        <w:rPr>
          <w:b/>
          <w:bCs/>
        </w:rPr>
        <w:t>56</w:t>
      </w:r>
      <w:r>
        <w:t>:401–413. doi:10.1093/pcp/pcu196</w:t>
      </w:r>
    </w:p>
    <w:p w14:paraId="022BD8F9" w14:textId="77777777" w:rsidR="00BA2F83" w:rsidRDefault="00BA2F83" w:rsidP="00BA2F83">
      <w:pPr>
        <w:pStyle w:val="Bibliography"/>
      </w:pPr>
      <w:r>
        <w:t xml:space="preserve">Cortijo S, Aydin Z, Ahnert S, Locke JC. 2019. Widespread inter-individual gene expression variability in Arabidopsis thaliana. </w:t>
      </w:r>
      <w:r>
        <w:rPr>
          <w:i/>
          <w:iCs/>
        </w:rPr>
        <w:t>Molecular Systems Biology</w:t>
      </w:r>
      <w:r>
        <w:t xml:space="preserve"> </w:t>
      </w:r>
      <w:r>
        <w:rPr>
          <w:b/>
          <w:bCs/>
        </w:rPr>
        <w:t>15</w:t>
      </w:r>
      <w:r>
        <w:t>:e8591. doi:10.15252/msb.20188591</w:t>
      </w:r>
    </w:p>
    <w:p w14:paraId="672F757D" w14:textId="77777777" w:rsidR="00BA2F83" w:rsidRDefault="00BA2F83" w:rsidP="00BA2F83">
      <w:pPr>
        <w:pStyle w:val="Bibliography"/>
      </w:pPr>
      <w:r>
        <w:t xml:space="preserve">Creux N, Harmer S. 2019. Circadian Rhythms in Plants. </w:t>
      </w:r>
      <w:r>
        <w:rPr>
          <w:i/>
          <w:iCs/>
        </w:rPr>
        <w:t>Cold Spring Harb Perspect Biol</w:t>
      </w:r>
      <w:r>
        <w:t xml:space="preserve"> </w:t>
      </w:r>
      <w:r>
        <w:rPr>
          <w:b/>
          <w:bCs/>
        </w:rPr>
        <w:t>11</w:t>
      </w:r>
      <w:r>
        <w:t>:a034611. doi:10.1101/cshperspect.a034611</w:t>
      </w:r>
    </w:p>
    <w:p w14:paraId="22BB1C9F" w14:textId="77777777" w:rsidR="00BA2F83" w:rsidRDefault="00BA2F83" w:rsidP="00BA2F83">
      <w:pPr>
        <w:pStyle w:val="Bibliography"/>
      </w:pPr>
      <w:r>
        <w:t xml:space="preserve">Devlin PF, Kay SA. 2000. Cryptochromes Are Required for Phytochrome Signaling to the Circadian Clock but Not for Rhythmicity. </w:t>
      </w:r>
      <w:r>
        <w:rPr>
          <w:i/>
          <w:iCs/>
        </w:rPr>
        <w:t>The Plant Cell</w:t>
      </w:r>
      <w:r>
        <w:t xml:space="preserve"> </w:t>
      </w:r>
      <w:r>
        <w:rPr>
          <w:b/>
          <w:bCs/>
        </w:rPr>
        <w:t>12</w:t>
      </w:r>
      <w:r>
        <w:t>:2499–2509. doi:10.1105/tpc.12.12.2499</w:t>
      </w:r>
    </w:p>
    <w:p w14:paraId="7F45D2EE" w14:textId="77777777" w:rsidR="00BA2F83" w:rsidRDefault="00BA2F83" w:rsidP="00BA2F83">
      <w:pPr>
        <w:pStyle w:val="Bibliography"/>
      </w:pPr>
      <w:r>
        <w:t xml:space="preserve">Dickinson PJ, Kumar M, Martinho C, Yoo SJ, Lan H, Artavanis G, Charoensawan V, Schöttler MA, Bock R, Jaeger KE, Wigge PA. 2018. Chloroplast Signaling Gates Thermotolerance in Arabidopsis. </w:t>
      </w:r>
      <w:r>
        <w:rPr>
          <w:i/>
          <w:iCs/>
        </w:rPr>
        <w:t>Cell Reports</w:t>
      </w:r>
      <w:r>
        <w:t xml:space="preserve"> </w:t>
      </w:r>
      <w:r>
        <w:rPr>
          <w:b/>
          <w:bCs/>
        </w:rPr>
        <w:t>22</w:t>
      </w:r>
      <w:r>
        <w:t>:1657–1665. doi:10.1016/j.celrep.2018.01.054</w:t>
      </w:r>
    </w:p>
    <w:p w14:paraId="34B9E621" w14:textId="77777777" w:rsidR="00BA2F83" w:rsidRDefault="00BA2F83" w:rsidP="00BA2F83">
      <w:pPr>
        <w:pStyle w:val="Bibliography"/>
      </w:pPr>
      <w:r>
        <w:t xml:space="preserve">Dobin A, Davis CA, Schlesinger F, Drenkow J, Zaleski C, Jha S, Batut P, Chaisson M, Gingeras TR. 2013. STAR: ultrafast universal RNA-seq aligner. </w:t>
      </w:r>
      <w:r>
        <w:rPr>
          <w:i/>
          <w:iCs/>
        </w:rPr>
        <w:t>Bioinformatics</w:t>
      </w:r>
      <w:r>
        <w:t xml:space="preserve"> </w:t>
      </w:r>
      <w:r>
        <w:rPr>
          <w:b/>
          <w:bCs/>
        </w:rPr>
        <w:t>29</w:t>
      </w:r>
      <w:r>
        <w:t>:15–21. doi:10.1093/bioinformatics/bts635</w:t>
      </w:r>
    </w:p>
    <w:p w14:paraId="5ABE4898" w14:textId="77777777" w:rsidR="00BA2F83" w:rsidRDefault="00BA2F83" w:rsidP="00BA2F83">
      <w:pPr>
        <w:pStyle w:val="Bibliography"/>
      </w:pPr>
      <w:r>
        <w:t>Dutta Gupta S, Agarwal A. 2017. Artificial Lighting System for Plant Growth and Development: Chronological Advancement, Working Principles, and Comparative Assessment In: Dutta Gupta S, editor. Light Emitting Diodes for Agriculture: Smart Lighting. Singapore: Springer. pp. 1–25. doi:10.1007/978-981-10-5807-3_1</w:t>
      </w:r>
    </w:p>
    <w:p w14:paraId="50F3C96F" w14:textId="77777777" w:rsidR="00BA2F83" w:rsidRDefault="00BA2F83" w:rsidP="00BA2F83">
      <w:pPr>
        <w:pStyle w:val="Bibliography"/>
      </w:pPr>
      <w:r>
        <w:t xml:space="preserve">Ezer D, Jung J-H, Lan H, Biswas S, Gregoire L, Box MS, Charoensawan V, Cortijo S, Lai X, Stöckle D, Zubieta C, Jaeger KE, Wigge PA. 2017a. The evening complex coordinates environmental and endogenous signals in </w:t>
      </w:r>
      <w:r>
        <w:rPr>
          <w:i/>
          <w:iCs/>
        </w:rPr>
        <w:t>Arabidopsis</w:t>
      </w:r>
      <w:r>
        <w:t xml:space="preserve">. </w:t>
      </w:r>
      <w:r>
        <w:rPr>
          <w:i/>
          <w:iCs/>
        </w:rPr>
        <w:t>Nature Plants</w:t>
      </w:r>
      <w:r>
        <w:t xml:space="preserve"> </w:t>
      </w:r>
      <w:r>
        <w:rPr>
          <w:b/>
          <w:bCs/>
        </w:rPr>
        <w:t>3</w:t>
      </w:r>
      <w:r>
        <w:t>:17087. doi:10.1038/nplants.2017.87</w:t>
      </w:r>
    </w:p>
    <w:p w14:paraId="3383757A" w14:textId="77777777" w:rsidR="00BA2F83" w:rsidRDefault="00BA2F83" w:rsidP="00BA2F83">
      <w:pPr>
        <w:pStyle w:val="Bibliography"/>
      </w:pPr>
      <w:r>
        <w:t xml:space="preserve">Ezer D, Keir J. 2019. NITPicker: selecting time points for follow-up experiments. </w:t>
      </w:r>
      <w:r>
        <w:rPr>
          <w:i/>
          <w:iCs/>
        </w:rPr>
        <w:t>BMC Bioinformatics</w:t>
      </w:r>
      <w:r>
        <w:t xml:space="preserve"> </w:t>
      </w:r>
      <w:r>
        <w:rPr>
          <w:b/>
          <w:bCs/>
        </w:rPr>
        <w:t>20</w:t>
      </w:r>
      <w:r>
        <w:t>:166. doi:10.1186/s12859-019-2717-5</w:t>
      </w:r>
    </w:p>
    <w:p w14:paraId="553E8E1B" w14:textId="77777777" w:rsidR="00BA2F83" w:rsidRDefault="00BA2F83" w:rsidP="00BA2F83">
      <w:pPr>
        <w:pStyle w:val="Bibliography"/>
      </w:pPr>
      <w:r>
        <w:lastRenderedPageBreak/>
        <w:t xml:space="preserve">Ezer D, Shepherd SJK, Brestovitsky A, Dickinson P, Cortijo S, Charoensawan V, Box MS, Biswas S, Jaeger KE, Wigge PA. 2017b. The G-Box Transcriptional Regulatory Code in Arabidopsis. </w:t>
      </w:r>
      <w:r>
        <w:rPr>
          <w:i/>
          <w:iCs/>
        </w:rPr>
        <w:t>Plant Physiology</w:t>
      </w:r>
      <w:r>
        <w:t xml:space="preserve"> </w:t>
      </w:r>
      <w:r>
        <w:rPr>
          <w:b/>
          <w:bCs/>
        </w:rPr>
        <w:t>175</w:t>
      </w:r>
      <w:r>
        <w:t>:628–640. doi:10.1104/pp.17.01086</w:t>
      </w:r>
    </w:p>
    <w:p w14:paraId="5BDE71E8" w14:textId="77777777" w:rsidR="00BA2F83" w:rsidRDefault="00BA2F83" w:rsidP="00BA2F83">
      <w:pPr>
        <w:pStyle w:val="Bibliography"/>
      </w:pPr>
      <w:r>
        <w:t xml:space="preserve">Fan X-Y, Sun Yu, Cao D-M, Bai M-Y, Luo X-M, Yang H-J, Wei C-Q, Zhu S-W, Sun Ying, Chong K, Wang Z-Y. 2012. BZS1, a B-box Protein, Promotes Photomorphogenesis Downstream of Both Brassinosteroid and Light Signaling Pathways. </w:t>
      </w:r>
      <w:r>
        <w:rPr>
          <w:i/>
          <w:iCs/>
        </w:rPr>
        <w:t>Molecular Plant</w:t>
      </w:r>
      <w:r>
        <w:t xml:space="preserve"> </w:t>
      </w:r>
      <w:r>
        <w:rPr>
          <w:b/>
          <w:bCs/>
        </w:rPr>
        <w:t>5</w:t>
      </w:r>
      <w:r>
        <w:t>:591–600. doi:10.1093/mp/sss041</w:t>
      </w:r>
    </w:p>
    <w:p w14:paraId="7FC4B1C9" w14:textId="77777777" w:rsidR="00BA2F83" w:rsidRDefault="00BA2F83" w:rsidP="00BA2F83">
      <w:pPr>
        <w:pStyle w:val="Bibliography"/>
      </w:pPr>
      <w:r>
        <w:t xml:space="preserve">Farré EM, Harmer SL, Harmon FG, Yanovsky MJ, Kay SA. 2005. Overlapping and Distinct Roles of PRR7 and PRR9 in the Arabidopsis Circadian Clock. </w:t>
      </w:r>
      <w:r>
        <w:rPr>
          <w:i/>
          <w:iCs/>
        </w:rPr>
        <w:t>Current Biology</w:t>
      </w:r>
      <w:r>
        <w:t xml:space="preserve"> </w:t>
      </w:r>
      <w:r>
        <w:rPr>
          <w:b/>
          <w:bCs/>
        </w:rPr>
        <w:t>15</w:t>
      </w:r>
      <w:r>
        <w:t>:47–54. doi:10.1016/j.cub.2004.12.067</w:t>
      </w:r>
    </w:p>
    <w:p w14:paraId="37E56A6D" w14:textId="77777777" w:rsidR="00BA2F83" w:rsidRDefault="00BA2F83" w:rsidP="00BA2F83">
      <w:pPr>
        <w:pStyle w:val="Bibliography"/>
      </w:pPr>
      <w:r>
        <w:t xml:space="preserve">Franklin KA, Larner VS, Whitelam GC. 2005. The signal transducing photoreceptors of plants. </w:t>
      </w:r>
      <w:r>
        <w:rPr>
          <w:i/>
          <w:iCs/>
        </w:rPr>
        <w:t>Int J Dev Biol</w:t>
      </w:r>
      <w:r>
        <w:t xml:space="preserve"> </w:t>
      </w:r>
      <w:r>
        <w:rPr>
          <w:b/>
          <w:bCs/>
        </w:rPr>
        <w:t>49</w:t>
      </w:r>
      <w:r>
        <w:t>:653–664. doi:10.1387/ijdb.051989kf</w:t>
      </w:r>
    </w:p>
    <w:p w14:paraId="77309B8E" w14:textId="77777777" w:rsidR="00BA2F83" w:rsidRDefault="00BA2F83" w:rsidP="00BA2F83">
      <w:pPr>
        <w:pStyle w:val="Bibliography"/>
      </w:pPr>
      <w:r>
        <w:t xml:space="preserve">Gangappa SN, Botto JF. 2016. The Multifaceted Roles of HY5 in Plant Growth and Development. </w:t>
      </w:r>
      <w:r>
        <w:rPr>
          <w:i/>
          <w:iCs/>
        </w:rPr>
        <w:t>Molecular Plant</w:t>
      </w:r>
      <w:r>
        <w:t xml:space="preserve"> </w:t>
      </w:r>
      <w:r>
        <w:rPr>
          <w:b/>
          <w:bCs/>
        </w:rPr>
        <w:t>9</w:t>
      </w:r>
      <w:r>
        <w:t>:1353–1365. doi:10.1016/j.molp.2016.07.002</w:t>
      </w:r>
    </w:p>
    <w:p w14:paraId="1ECC8D20" w14:textId="77777777" w:rsidR="00BA2F83" w:rsidRDefault="00BA2F83" w:rsidP="00BA2F83">
      <w:pPr>
        <w:pStyle w:val="Bibliography"/>
      </w:pPr>
      <w:r>
        <w:t xml:space="preserve">Gangappa SN, Crocco CD, Johansson H, Datta S, Hettiarachchi C, Holm M, Botto JF. 2013. The Arabidopsis B-BOX Protein BBX25 Interacts with HY5, Negatively Regulating BBX22 Expression to Suppress Seedling Photomorphogenesis[C][W]. </w:t>
      </w:r>
      <w:r>
        <w:rPr>
          <w:i/>
          <w:iCs/>
        </w:rPr>
        <w:t>Plant Cell</w:t>
      </w:r>
      <w:r>
        <w:t xml:space="preserve"> </w:t>
      </w:r>
      <w:r>
        <w:rPr>
          <w:b/>
          <w:bCs/>
        </w:rPr>
        <w:t>25</w:t>
      </w:r>
      <w:r>
        <w:t>:1243–1257. doi:10.1105/tpc.113.109751</w:t>
      </w:r>
    </w:p>
    <w:p w14:paraId="284EC5E4" w14:textId="77777777" w:rsidR="00BA2F83" w:rsidRPr="004E0A36" w:rsidRDefault="00BA2F83" w:rsidP="00BA2F83">
      <w:pPr>
        <w:pStyle w:val="Bibliography"/>
        <w:rPr>
          <w:lang w:val="de-DE"/>
        </w:rPr>
      </w:pPr>
      <w:r>
        <w:t xml:space="preserve">Gil K-E, Park C-M. 2019. Thermal adaptation and plasticity of the plant circadian clock. </w:t>
      </w:r>
      <w:r w:rsidRPr="004E0A36">
        <w:rPr>
          <w:i/>
          <w:iCs/>
          <w:lang w:val="de-DE"/>
        </w:rPr>
        <w:t>New Phytologist</w:t>
      </w:r>
      <w:r w:rsidRPr="004E0A36">
        <w:rPr>
          <w:lang w:val="de-DE"/>
        </w:rPr>
        <w:t xml:space="preserve"> </w:t>
      </w:r>
      <w:r w:rsidRPr="004E0A36">
        <w:rPr>
          <w:b/>
          <w:bCs/>
          <w:lang w:val="de-DE"/>
        </w:rPr>
        <w:t>221</w:t>
      </w:r>
      <w:r w:rsidRPr="004E0A36">
        <w:rPr>
          <w:lang w:val="de-DE"/>
        </w:rPr>
        <w:t>:1215–1229. doi:10.1111/nph.15518</w:t>
      </w:r>
    </w:p>
    <w:p w14:paraId="710A7752" w14:textId="77777777" w:rsidR="00BA2F83" w:rsidRDefault="00BA2F83" w:rsidP="00BA2F83">
      <w:pPr>
        <w:pStyle w:val="Bibliography"/>
      </w:pPr>
      <w:r w:rsidRPr="004E0A36">
        <w:rPr>
          <w:lang w:val="de-DE"/>
        </w:rPr>
        <w:t xml:space="preserve">Graeff M, Straub D, Eguen T, Dolde U, Rodrigues V, Brandt R, Wenkel S. 2016. </w:t>
      </w:r>
      <w:r>
        <w:t xml:space="preserve">MicroProtein-Mediated Recruitment of CONSTANS into a TOPLESS Trimeric Complex Represses Flowering in Arabidopsis. </w:t>
      </w:r>
      <w:r>
        <w:rPr>
          <w:i/>
          <w:iCs/>
        </w:rPr>
        <w:t>PLOS Genetics</w:t>
      </w:r>
      <w:r>
        <w:t xml:space="preserve"> </w:t>
      </w:r>
      <w:r>
        <w:rPr>
          <w:b/>
          <w:bCs/>
        </w:rPr>
        <w:t>12</w:t>
      </w:r>
      <w:r>
        <w:t>:e1005959. doi:10.1371/journal.pgen.1005959</w:t>
      </w:r>
    </w:p>
    <w:p w14:paraId="3990672C" w14:textId="77777777" w:rsidR="00BA2F83" w:rsidRDefault="00BA2F83" w:rsidP="00BA2F83">
      <w:pPr>
        <w:pStyle w:val="Bibliography"/>
      </w:pPr>
      <w:r>
        <w:t xml:space="preserve">Grundy J, Stoker C, Carré IA. 2015. Circadian regulation of abiotic stress tolerance in plants. </w:t>
      </w:r>
      <w:r>
        <w:rPr>
          <w:i/>
          <w:iCs/>
        </w:rPr>
        <w:t>Front Plant Sci</w:t>
      </w:r>
      <w:r>
        <w:t xml:space="preserve"> </w:t>
      </w:r>
      <w:r>
        <w:rPr>
          <w:b/>
          <w:bCs/>
        </w:rPr>
        <w:t>6</w:t>
      </w:r>
      <w:r>
        <w:t>. doi:10.3389/fpls.2015.00648</w:t>
      </w:r>
    </w:p>
    <w:p w14:paraId="73D2C97D" w14:textId="77777777" w:rsidR="00BA2F83" w:rsidRDefault="00BA2F83" w:rsidP="00BA2F83">
      <w:pPr>
        <w:pStyle w:val="Bibliography"/>
      </w:pPr>
      <w:r>
        <w:t xml:space="preserve">Hall A, Kozma‐Bognár L, Bastow RM, Nagy F, Millar AJ. 2002. Distinct regulation of CAB and PHYB gene expression by similar circadian clocks. </w:t>
      </w:r>
      <w:r>
        <w:rPr>
          <w:i/>
          <w:iCs/>
        </w:rPr>
        <w:t>The Plant Journal</w:t>
      </w:r>
      <w:r>
        <w:t xml:space="preserve"> </w:t>
      </w:r>
      <w:r>
        <w:rPr>
          <w:b/>
          <w:bCs/>
        </w:rPr>
        <w:t>32</w:t>
      </w:r>
      <w:r>
        <w:t>:529–537. doi:10.1046/j.1365-313X.2002.01441.x</w:t>
      </w:r>
    </w:p>
    <w:p w14:paraId="7888BDB0" w14:textId="77777777" w:rsidR="00BA2F83" w:rsidRDefault="00BA2F83" w:rsidP="00BA2F83">
      <w:pPr>
        <w:pStyle w:val="Bibliography"/>
      </w:pPr>
      <w:r>
        <w:t xml:space="preserve">Haydon MJ, Mielczarek O, Robertson FC, Hubbard KE, Webb AAR. 2013. Photosynthetic entrainment of the Arabidopsis thaliana circadian clock. </w:t>
      </w:r>
      <w:r>
        <w:rPr>
          <w:i/>
          <w:iCs/>
        </w:rPr>
        <w:t>Nature</w:t>
      </w:r>
      <w:r>
        <w:t xml:space="preserve"> </w:t>
      </w:r>
      <w:r>
        <w:rPr>
          <w:b/>
          <w:bCs/>
        </w:rPr>
        <w:t>502</w:t>
      </w:r>
      <w:r>
        <w:t>:689–692. doi:10.1038/nature12603</w:t>
      </w:r>
    </w:p>
    <w:p w14:paraId="30E1FDC1" w14:textId="77777777" w:rsidR="00BA2F83" w:rsidRDefault="00BA2F83" w:rsidP="00BA2F83">
      <w:pPr>
        <w:pStyle w:val="Bibliography"/>
      </w:pPr>
      <w:r>
        <w:t xml:space="preserve">Heng Y, Lin F, Jiang Y, Ding M, Yan T, Lan H, Zhou H, Zhao X, Xu D, Deng XW. 2019. B-Box Containing Proteins BBX30 and BBX31, Acting Downstream of HY5, Negatively Regulate Photomorphogenesis in Arabidopsis. </w:t>
      </w:r>
      <w:r>
        <w:rPr>
          <w:i/>
          <w:iCs/>
        </w:rPr>
        <w:t>Plant Physiology</w:t>
      </w:r>
      <w:r>
        <w:t xml:space="preserve"> </w:t>
      </w:r>
      <w:r>
        <w:rPr>
          <w:b/>
          <w:bCs/>
        </w:rPr>
        <w:t>180</w:t>
      </w:r>
      <w:r>
        <w:t>:497–508. doi:10.1104/pp.18.01244</w:t>
      </w:r>
    </w:p>
    <w:p w14:paraId="68D08F7B" w14:textId="77777777" w:rsidR="00BA2F83" w:rsidRDefault="00BA2F83" w:rsidP="00BA2F83">
      <w:pPr>
        <w:pStyle w:val="Bibliography"/>
      </w:pPr>
      <w:r>
        <w:t xml:space="preserve">Henriques R, Wang H, Liu J, Boix M, Huang L-F, Chua N-H. 2017. The antiphasic regulatory module comprising CDF5 and its antisense RNA FLORE links the circadian clock to photoperiodic flowering. </w:t>
      </w:r>
      <w:r>
        <w:rPr>
          <w:i/>
          <w:iCs/>
        </w:rPr>
        <w:t>New Phytologist</w:t>
      </w:r>
      <w:r>
        <w:t xml:space="preserve"> </w:t>
      </w:r>
      <w:r>
        <w:rPr>
          <w:b/>
          <w:bCs/>
        </w:rPr>
        <w:t>216</w:t>
      </w:r>
      <w:r>
        <w:t>:854–867. doi:10.1111/nph.14703</w:t>
      </w:r>
    </w:p>
    <w:p w14:paraId="241D4EA2" w14:textId="77777777" w:rsidR="00BA2F83" w:rsidRDefault="00BA2F83" w:rsidP="00BA2F83">
      <w:pPr>
        <w:pStyle w:val="Bibliography"/>
      </w:pPr>
      <w:r>
        <w:t xml:space="preserve">Hoecker U. 2017. The activities of the E3 ubiquitin ligase COP1/SPA, a key repressor in light signaling. </w:t>
      </w:r>
      <w:r>
        <w:rPr>
          <w:i/>
          <w:iCs/>
        </w:rPr>
        <w:t>Current Opinion in Plant Biology</w:t>
      </w:r>
      <w:r>
        <w:t xml:space="preserve">, 37 Physiology and metabolism 2017 </w:t>
      </w:r>
      <w:r>
        <w:rPr>
          <w:b/>
          <w:bCs/>
        </w:rPr>
        <w:t>37</w:t>
      </w:r>
      <w:r>
        <w:t>:63–69. doi:10.1016/j.pbi.2017.03.015</w:t>
      </w:r>
    </w:p>
    <w:p w14:paraId="135E5460" w14:textId="77777777" w:rsidR="00BA2F83" w:rsidRDefault="00BA2F83" w:rsidP="00BA2F83">
      <w:pPr>
        <w:pStyle w:val="Bibliography"/>
      </w:pPr>
      <w:r w:rsidRPr="004E0A36">
        <w:rPr>
          <w:lang w:val="de-DE"/>
        </w:rPr>
        <w:t xml:space="preserve">Holm M, Ma L-G, Qu L-J, Deng X-W. 2002. </w:t>
      </w:r>
      <w:r>
        <w:t xml:space="preserve">Two interacting bZIP proteins are direct targets of COP1-mediated control of light-dependent gene expression in Arabidopsis. </w:t>
      </w:r>
      <w:r>
        <w:rPr>
          <w:i/>
          <w:iCs/>
        </w:rPr>
        <w:t>Genes Dev</w:t>
      </w:r>
      <w:r>
        <w:t xml:space="preserve"> </w:t>
      </w:r>
      <w:r>
        <w:rPr>
          <w:b/>
          <w:bCs/>
        </w:rPr>
        <w:t>16</w:t>
      </w:r>
      <w:r>
        <w:t>:1247–1259. doi:10.1101/gad.969702</w:t>
      </w:r>
    </w:p>
    <w:p w14:paraId="24D7B135" w14:textId="77777777" w:rsidR="00BA2F83" w:rsidRDefault="00BA2F83" w:rsidP="00BA2F83">
      <w:pPr>
        <w:pStyle w:val="Bibliography"/>
      </w:pPr>
      <w:r>
        <w:lastRenderedPageBreak/>
        <w:t xml:space="preserve">Holtan HE, Bandong S, Marion CM, Adam L, Tiwari S, Shen Y, Maloof JN, Maszle DR, Ohto M, Preuss S, Meister R, Petracek M, Repetti PP, Reuber TL, Ratcliffe OJ, Khanna R. 2011. BBX32, an Arabidopsis B-Box Protein, Functions in Light Signaling by Suppressing HY5-Regulated Gene Expression and Interacting with STH2/BBX21[W][OA]. </w:t>
      </w:r>
      <w:r>
        <w:rPr>
          <w:i/>
          <w:iCs/>
        </w:rPr>
        <w:t>Plant Physiol</w:t>
      </w:r>
      <w:r>
        <w:t xml:space="preserve"> </w:t>
      </w:r>
      <w:r>
        <w:rPr>
          <w:b/>
          <w:bCs/>
        </w:rPr>
        <w:t>156</w:t>
      </w:r>
      <w:r>
        <w:t>:2109–2123. doi:10.1104/pp.111.177139</w:t>
      </w:r>
    </w:p>
    <w:p w14:paraId="01B5F8ED" w14:textId="77777777" w:rsidR="00BA2F83" w:rsidRDefault="00BA2F83" w:rsidP="00BA2F83">
      <w:pPr>
        <w:pStyle w:val="Bibliography"/>
      </w:pPr>
      <w:r>
        <w:t xml:space="preserve">Hu W, Franklin KA, Sharrock RA, Jones MA, Harmer SL, Lagarias JC. 2013. Unanticipated regulatory roles for Arabidopsis phytochromes revealed by null mutant analysis. </w:t>
      </w:r>
      <w:r>
        <w:rPr>
          <w:i/>
          <w:iCs/>
        </w:rPr>
        <w:t>Proc Natl Acad Sci U S A</w:t>
      </w:r>
      <w:r>
        <w:t xml:space="preserve"> </w:t>
      </w:r>
      <w:r>
        <w:rPr>
          <w:b/>
          <w:bCs/>
        </w:rPr>
        <w:t>110</w:t>
      </w:r>
      <w:r>
        <w:t>:1542–1547. doi:10.1073/pnas.1221738110</w:t>
      </w:r>
    </w:p>
    <w:p w14:paraId="3D1B5831" w14:textId="77777777" w:rsidR="00BA2F83" w:rsidRDefault="00BA2F83" w:rsidP="00BA2F83">
      <w:pPr>
        <w:pStyle w:val="Bibliography"/>
      </w:pPr>
      <w:r>
        <w:t xml:space="preserve">Huynh-Thu VA, Geurts P. 2018. dynGENIE3: dynamical GENIE3 for the inference of gene networks from time series expression data. </w:t>
      </w:r>
      <w:r>
        <w:rPr>
          <w:i/>
          <w:iCs/>
        </w:rPr>
        <w:t>Scientific Reports</w:t>
      </w:r>
      <w:r>
        <w:t xml:space="preserve"> </w:t>
      </w:r>
      <w:r>
        <w:rPr>
          <w:b/>
          <w:bCs/>
        </w:rPr>
        <w:t>8</w:t>
      </w:r>
      <w:r>
        <w:t>:1–12. doi:10.1038/s41598-018-21715-0</w:t>
      </w:r>
    </w:p>
    <w:p w14:paraId="5D131D34" w14:textId="77777777" w:rsidR="00BA2F83" w:rsidRDefault="00BA2F83" w:rsidP="00BA2F83">
      <w:pPr>
        <w:pStyle w:val="Bibliography"/>
      </w:pPr>
      <w:r>
        <w:t>Ibaraki Y. 2016. Lighting Efficiency in Plant Production Under Artificial Lighting and Plant Growth Modeling for Evaluating the Lighting Efficiency In: Kozai T, Fujiwara K, Runkle ES, editors. LED Lighting for Urban Agriculture. Singapore: Springer. pp. 151–161. doi:10.1007/978-981-10-1848-0_11</w:t>
      </w:r>
    </w:p>
    <w:p w14:paraId="415436B9" w14:textId="77777777" w:rsidR="00BA2F83" w:rsidRDefault="00BA2F83" w:rsidP="00BA2F83">
      <w:pPr>
        <w:pStyle w:val="Bibliography"/>
      </w:pPr>
      <w:r>
        <w:t xml:space="preserve">Ikeda M, Mitsuda N, Ohme-Takagi M. 2011. Arabidopsis HsfB1 and HsfB2b Act as Repressors of the Expression of Heat-Inducible Hsfs But Positively Regulate the Acquired Thermotolerance1[C][W][OA]. </w:t>
      </w:r>
      <w:r>
        <w:rPr>
          <w:i/>
          <w:iCs/>
        </w:rPr>
        <w:t>Plant Physiol</w:t>
      </w:r>
      <w:r>
        <w:t xml:space="preserve"> </w:t>
      </w:r>
      <w:r>
        <w:rPr>
          <w:b/>
          <w:bCs/>
        </w:rPr>
        <w:t>157</w:t>
      </w:r>
      <w:r>
        <w:t>:1243–1254. doi:10.1104/pp.111.179036</w:t>
      </w:r>
    </w:p>
    <w:p w14:paraId="56C42116" w14:textId="77777777" w:rsidR="00BA2F83" w:rsidRDefault="00BA2F83" w:rsidP="00BA2F83">
      <w:pPr>
        <w:pStyle w:val="Bibliography"/>
      </w:pPr>
      <w:r>
        <w:t xml:space="preserve">Indorf M, Cordero J, Neuhaus G, Rodríguez‐Franco M. 2007. Salt tolerance (STO), a stress-related protein, has a major role in light signalling. </w:t>
      </w:r>
      <w:r>
        <w:rPr>
          <w:i/>
          <w:iCs/>
        </w:rPr>
        <w:t>The Plant Journal</w:t>
      </w:r>
      <w:r>
        <w:t xml:space="preserve"> </w:t>
      </w:r>
      <w:r>
        <w:rPr>
          <w:b/>
          <w:bCs/>
        </w:rPr>
        <w:t>51</w:t>
      </w:r>
      <w:r>
        <w:t>:563–574. doi:10.1111/j.1365-313X.2007.03162.x</w:t>
      </w:r>
    </w:p>
    <w:p w14:paraId="3D362694" w14:textId="77777777" w:rsidR="00BA2F83" w:rsidRDefault="00BA2F83" w:rsidP="00BA2F83">
      <w:pPr>
        <w:pStyle w:val="Bibliography"/>
      </w:pPr>
      <w:r>
        <w:t xml:space="preserve">Ingle RA, Stoker C, Stone W, Adams N, Smith R, Grant M, Carré I, Roden LC, Denby KJ. 2015. Jasmonate signalling drives time-of-day differences in susceptibility of Arabidopsis to the fungal pathogen Botrytis cinerea. </w:t>
      </w:r>
      <w:r>
        <w:rPr>
          <w:i/>
          <w:iCs/>
        </w:rPr>
        <w:t>The Plant Journal</w:t>
      </w:r>
      <w:r>
        <w:t xml:space="preserve"> </w:t>
      </w:r>
      <w:r>
        <w:rPr>
          <w:b/>
          <w:bCs/>
        </w:rPr>
        <w:t>84</w:t>
      </w:r>
      <w:r>
        <w:t>:937–948. doi:10.1111/tpj.13050</w:t>
      </w:r>
    </w:p>
    <w:p w14:paraId="6172D095" w14:textId="77777777" w:rsidR="00BA2F83" w:rsidRDefault="00BA2F83" w:rsidP="00BA2F83">
      <w:pPr>
        <w:pStyle w:val="Bibliography"/>
      </w:pPr>
      <w:r>
        <w:t xml:space="preserve">Jackson SD. 2009. Plant responses to photoperiod. </w:t>
      </w:r>
      <w:r>
        <w:rPr>
          <w:i/>
          <w:iCs/>
        </w:rPr>
        <w:t>New Phytologist</w:t>
      </w:r>
      <w:r>
        <w:t xml:space="preserve"> </w:t>
      </w:r>
      <w:r>
        <w:rPr>
          <w:b/>
          <w:bCs/>
        </w:rPr>
        <w:t>181</w:t>
      </w:r>
      <w:r>
        <w:t>:517–531. doi:10.1111/j.1469-8137.2008.02681.x</w:t>
      </w:r>
    </w:p>
    <w:p w14:paraId="0CB8D5A6" w14:textId="77777777" w:rsidR="00BA2F83" w:rsidRDefault="00BA2F83" w:rsidP="00BA2F83">
      <w:pPr>
        <w:pStyle w:val="Bibliography"/>
      </w:pPr>
      <w:r>
        <w:t xml:space="preserve">Job N, Yadukrishnan P, Bursch K, Datta S, Johansson H. 2018. Two B-Box Proteins Regulate Photomorphogenesis by Oppositely Modulating HY5 through their Diverse C-Terminal Domains. </w:t>
      </w:r>
      <w:r>
        <w:rPr>
          <w:i/>
          <w:iCs/>
        </w:rPr>
        <w:t>Plant Physiology</w:t>
      </w:r>
      <w:r>
        <w:t xml:space="preserve"> </w:t>
      </w:r>
      <w:r>
        <w:rPr>
          <w:b/>
          <w:bCs/>
        </w:rPr>
        <w:t>176</w:t>
      </w:r>
      <w:r>
        <w:t>:2963–2976. doi:10.1104/pp.17.00856</w:t>
      </w:r>
    </w:p>
    <w:p w14:paraId="29E8FBE6" w14:textId="77777777" w:rsidR="00BA2F83" w:rsidRDefault="00BA2F83" w:rsidP="00BA2F83">
      <w:pPr>
        <w:pStyle w:val="Bibliography"/>
      </w:pPr>
      <w:r>
        <w:t xml:space="preserve">Jung J-H, Domijan M, Klose C, Biswas S, Ezer D, Gao M, Khattak AK, Box MS, Charoensawan V, Cortijo S, Kumar M, Grant A, Locke JCW, Schäfer E, Jaeger KE, Wigge PA. 2016. Phytochromes function as thermosensors in Arabidopsis. </w:t>
      </w:r>
      <w:r>
        <w:rPr>
          <w:i/>
          <w:iCs/>
        </w:rPr>
        <w:t>Science</w:t>
      </w:r>
      <w:r>
        <w:t xml:space="preserve"> </w:t>
      </w:r>
      <w:r>
        <w:rPr>
          <w:b/>
          <w:bCs/>
        </w:rPr>
        <w:t>354</w:t>
      </w:r>
      <w:r>
        <w:t>:886–889. doi:10.1126/science.aaf6005</w:t>
      </w:r>
    </w:p>
    <w:p w14:paraId="6A14820A" w14:textId="77777777" w:rsidR="00BA2F83" w:rsidRDefault="00BA2F83" w:rsidP="00BA2F83">
      <w:pPr>
        <w:pStyle w:val="Bibliography"/>
      </w:pPr>
      <w:r>
        <w:t>Kami C, Lorrain S, Hornitschek P, Fankhauser C. 2010. Chapter Two - Light-Regulated Plant Growth and Development In: Timmermans MCP, editor. Current Topics in Developmental Biology, Plant Development. Academic Press. pp. 29–66. doi:10.1016/S0070-2153(10)91002-8</w:t>
      </w:r>
    </w:p>
    <w:p w14:paraId="2FCDB185" w14:textId="77777777" w:rsidR="00BA2F83" w:rsidRDefault="00BA2F83" w:rsidP="00BA2F83">
      <w:pPr>
        <w:pStyle w:val="Bibliography"/>
      </w:pPr>
      <w:r w:rsidRPr="004E0A36">
        <w:rPr>
          <w:lang w:val="de-DE"/>
        </w:rPr>
        <w:t xml:space="preserve">Legris M, Klose C, Burgie ES, Rojas CCR, Neme M, Hiltbrunner A, Wigge PA, Schäfer E, Vierstra RD, Casal JJ. 2016. </w:t>
      </w:r>
      <w:r>
        <w:t xml:space="preserve">Phytochrome B integrates light and temperature signals in Arabidopsis. </w:t>
      </w:r>
      <w:r>
        <w:rPr>
          <w:i/>
          <w:iCs/>
        </w:rPr>
        <w:t>Science</w:t>
      </w:r>
      <w:r>
        <w:t xml:space="preserve"> </w:t>
      </w:r>
      <w:r>
        <w:rPr>
          <w:b/>
          <w:bCs/>
        </w:rPr>
        <w:t>354</w:t>
      </w:r>
      <w:r>
        <w:t>:897–900. doi:10.1126/science.aaf5656</w:t>
      </w:r>
    </w:p>
    <w:p w14:paraId="012006C6" w14:textId="77777777" w:rsidR="00BA2F83" w:rsidRDefault="00BA2F83" w:rsidP="00BA2F83">
      <w:pPr>
        <w:pStyle w:val="Bibliography"/>
      </w:pPr>
      <w:r>
        <w:t xml:space="preserve">Liu H-C, Liao H-T, Charng Y-Y. 2011. The role of class A1 heat shock factors (HSFA1s) in response to heat and other stresses in Arabidopsis. </w:t>
      </w:r>
      <w:r>
        <w:rPr>
          <w:i/>
          <w:iCs/>
        </w:rPr>
        <w:t>Plant, Cell &amp; Environment</w:t>
      </w:r>
      <w:r>
        <w:t xml:space="preserve"> </w:t>
      </w:r>
      <w:r>
        <w:rPr>
          <w:b/>
          <w:bCs/>
        </w:rPr>
        <w:t>34</w:t>
      </w:r>
      <w:r>
        <w:t>:738–751. doi:10.1111/j.1365-3040.2011.02278.x</w:t>
      </w:r>
    </w:p>
    <w:p w14:paraId="44B08A09" w14:textId="77777777" w:rsidR="00BA2F83" w:rsidRDefault="00BA2F83" w:rsidP="00BA2F83">
      <w:pPr>
        <w:pStyle w:val="Bibliography"/>
      </w:pPr>
      <w:r>
        <w:lastRenderedPageBreak/>
        <w:t xml:space="preserve">Liu TL, Newton L, Liu M-J, Shiu S-H, Farré EM. 2016. A G-Box-Like Motif Is Necessary for Transcriptional Regulation by Circadian Pseudo-Response Regulators in Arabidopsis. </w:t>
      </w:r>
      <w:r>
        <w:rPr>
          <w:i/>
          <w:iCs/>
        </w:rPr>
        <w:t>Plant Physiol</w:t>
      </w:r>
      <w:r>
        <w:t xml:space="preserve"> </w:t>
      </w:r>
      <w:r>
        <w:rPr>
          <w:b/>
          <w:bCs/>
        </w:rPr>
        <w:t>170</w:t>
      </w:r>
      <w:r>
        <w:t>:528–539. doi:10.1104/pp.15.01562</w:t>
      </w:r>
    </w:p>
    <w:p w14:paraId="43AC4646" w14:textId="77777777" w:rsidR="00BA2F83" w:rsidRDefault="00BA2F83" w:rsidP="00BA2F83">
      <w:pPr>
        <w:pStyle w:val="Bibliography"/>
      </w:pPr>
      <w:r>
        <w:t xml:space="preserve">Ma D, Li X, Guo Y, Chu J, Fang S, Yan C, Noel JP, Liu H. 2016. Cryptochrome 1 interacts with PIF4 to regulate high temperature-mediated hypocotyl elongation in response to blue light. </w:t>
      </w:r>
      <w:r>
        <w:rPr>
          <w:i/>
          <w:iCs/>
        </w:rPr>
        <w:t>PNAS</w:t>
      </w:r>
      <w:r>
        <w:t xml:space="preserve"> </w:t>
      </w:r>
      <w:r>
        <w:rPr>
          <w:b/>
          <w:bCs/>
        </w:rPr>
        <w:t>113</w:t>
      </w:r>
      <w:r>
        <w:t>:224–229. doi:10.1073/pnas.1511437113</w:t>
      </w:r>
    </w:p>
    <w:p w14:paraId="4310C9EA" w14:textId="77777777" w:rsidR="00BA2F83" w:rsidRDefault="00BA2F83" w:rsidP="00BA2F83">
      <w:pPr>
        <w:pStyle w:val="Bibliography"/>
      </w:pPr>
      <w:r>
        <w:t xml:space="preserve">Mao J, Zhang Y-C, Sang Y, Li Q-H, Yang H-Q. 2005. A role for Arabidopsis cryptochromes and COP1 in the regulation of stomatal opening. </w:t>
      </w:r>
      <w:r>
        <w:rPr>
          <w:i/>
          <w:iCs/>
        </w:rPr>
        <w:t>PNAS</w:t>
      </w:r>
      <w:r>
        <w:t xml:space="preserve"> </w:t>
      </w:r>
      <w:r>
        <w:rPr>
          <w:b/>
          <w:bCs/>
        </w:rPr>
        <w:t>102</w:t>
      </w:r>
      <w:r>
        <w:t>:12270–12275. doi:10.1073/pnas.0501011102</w:t>
      </w:r>
    </w:p>
    <w:p w14:paraId="761EF1B8" w14:textId="77777777" w:rsidR="00BA2F83" w:rsidRDefault="00BA2F83" w:rsidP="00BA2F83">
      <w:pPr>
        <w:pStyle w:val="Bibliography"/>
      </w:pPr>
      <w:r>
        <w:t xml:space="preserve">Martín G, Rovira A, Veciana N, Soy J, Toledo-Ortiz G, Gommers CMM, Boix M, Henriques R, Minguet EG, Alabadí D, Halliday KJ, Leivar P, Monte E. 2018. Circadian Waves of Transcriptional Repression Shape PIF-Regulated Photoperiod-Responsive Growth in Arabidopsis. </w:t>
      </w:r>
      <w:r>
        <w:rPr>
          <w:i/>
          <w:iCs/>
        </w:rPr>
        <w:t>Current Biology</w:t>
      </w:r>
      <w:r>
        <w:t xml:space="preserve"> </w:t>
      </w:r>
      <w:r>
        <w:rPr>
          <w:b/>
          <w:bCs/>
        </w:rPr>
        <w:t>28</w:t>
      </w:r>
      <w:r>
        <w:t>:311-318.e5. doi:10.1016/j.cub.2017.12.021</w:t>
      </w:r>
    </w:p>
    <w:p w14:paraId="1C2C0646" w14:textId="77777777" w:rsidR="00BA2F83" w:rsidRDefault="00BA2F83" w:rsidP="00BA2F83">
      <w:pPr>
        <w:pStyle w:val="Bibliography"/>
      </w:pPr>
      <w:r>
        <w:t xml:space="preserve">Michael TP, Breton G, Hazen SP, Priest H, Mockler TC, Kay SA, Chory J. 2008. A Morning-Specific Phytohormone Gene Expression Program underlying Rhythmic Plant Growth. </w:t>
      </w:r>
      <w:r>
        <w:rPr>
          <w:i/>
          <w:iCs/>
        </w:rPr>
        <w:t>PLOS Biology</w:t>
      </w:r>
      <w:r>
        <w:t xml:space="preserve"> </w:t>
      </w:r>
      <w:r>
        <w:rPr>
          <w:b/>
          <w:bCs/>
        </w:rPr>
        <w:t>6</w:t>
      </w:r>
      <w:r>
        <w:t>:e225. doi:10.1371/journal.pbio.0060225</w:t>
      </w:r>
    </w:p>
    <w:p w14:paraId="5FF96A98" w14:textId="77777777" w:rsidR="00BA2F83" w:rsidRPr="004E0A36" w:rsidRDefault="00BA2F83" w:rsidP="00BA2F83">
      <w:pPr>
        <w:pStyle w:val="Bibliography"/>
        <w:rPr>
          <w:lang w:val="de-DE"/>
        </w:rPr>
      </w:pPr>
      <w:r>
        <w:t xml:space="preserve">Millar AJ. 2004. Input signals to the plant circadian clock. </w:t>
      </w:r>
      <w:r w:rsidRPr="004E0A36">
        <w:rPr>
          <w:i/>
          <w:iCs/>
          <w:lang w:val="de-DE"/>
        </w:rPr>
        <w:t>J Exp Bot</w:t>
      </w:r>
      <w:r w:rsidRPr="004E0A36">
        <w:rPr>
          <w:lang w:val="de-DE"/>
        </w:rPr>
        <w:t xml:space="preserve"> </w:t>
      </w:r>
      <w:r w:rsidRPr="004E0A36">
        <w:rPr>
          <w:b/>
          <w:bCs/>
          <w:lang w:val="de-DE"/>
        </w:rPr>
        <w:t>55</w:t>
      </w:r>
      <w:r w:rsidRPr="004E0A36">
        <w:rPr>
          <w:lang w:val="de-DE"/>
        </w:rPr>
        <w:t>:277–283. doi:10.1093/jxb/erh034</w:t>
      </w:r>
    </w:p>
    <w:p w14:paraId="7E7B27C6" w14:textId="77777777" w:rsidR="00BA2F83" w:rsidRDefault="00BA2F83" w:rsidP="00BA2F83">
      <w:pPr>
        <w:pStyle w:val="Bibliography"/>
      </w:pPr>
      <w:r>
        <w:t xml:space="preserve">Mizoguchi T, Wheatley K, Hanzawa Y, Wright L, Mizoguchi M, Song H-R, Carré IA, Coupland G. 2002. LHY and CCA1 Are Partially Redundant Genes Required to Maintain Circadian Rhythms in Arabidopsis. </w:t>
      </w:r>
      <w:r>
        <w:rPr>
          <w:i/>
          <w:iCs/>
        </w:rPr>
        <w:t>Developmental Cell</w:t>
      </w:r>
      <w:r>
        <w:t xml:space="preserve"> </w:t>
      </w:r>
      <w:r>
        <w:rPr>
          <w:b/>
          <w:bCs/>
        </w:rPr>
        <w:t>2</w:t>
      </w:r>
      <w:r>
        <w:t>:629–641. doi:10.1016/S1534-5807(02)00170-3</w:t>
      </w:r>
    </w:p>
    <w:p w14:paraId="55B1DFF9" w14:textId="77777777" w:rsidR="00BA2F83" w:rsidRDefault="00BA2F83" w:rsidP="00BA2F83">
      <w:pPr>
        <w:pStyle w:val="Bibliography"/>
      </w:pPr>
      <w:r>
        <w:t xml:space="preserve">Mwimba M, Karapetyan S, Liu L, Marqués J, McGinnis EM, Buchler NE, Dong X. 2018. Daily humidity oscillation regulates the circadian clock to influence plant physiology. </w:t>
      </w:r>
      <w:r>
        <w:rPr>
          <w:i/>
          <w:iCs/>
        </w:rPr>
        <w:t>Nature Communications</w:t>
      </w:r>
      <w:r>
        <w:t xml:space="preserve"> </w:t>
      </w:r>
      <w:r>
        <w:rPr>
          <w:b/>
          <w:bCs/>
        </w:rPr>
        <w:t>9</w:t>
      </w:r>
      <w:r>
        <w:t>:1–10. doi:10.1038/s41467-018-06692-2</w:t>
      </w:r>
    </w:p>
    <w:p w14:paraId="23EA35D7" w14:textId="77777777" w:rsidR="00BA2F83" w:rsidRDefault="00BA2F83" w:rsidP="00BA2F83">
      <w:pPr>
        <w:pStyle w:val="Bibliography"/>
      </w:pPr>
      <w:r>
        <w:t xml:space="preserve">Nakamichi N, Kita M, Ito S, Yamashino T, Mizuno T. 2005. PSEUDO-RESPONSE REGULATORS, PRR9, PRR7 and PRR5, Together Play Essential Roles Close to the Circadian Clock of Arabidopsis thaliana. </w:t>
      </w:r>
      <w:r>
        <w:rPr>
          <w:i/>
          <w:iCs/>
        </w:rPr>
        <w:t>Plant Cell Physiol</w:t>
      </w:r>
      <w:r>
        <w:t xml:space="preserve"> </w:t>
      </w:r>
      <w:r>
        <w:rPr>
          <w:b/>
          <w:bCs/>
        </w:rPr>
        <w:t>46</w:t>
      </w:r>
      <w:r>
        <w:t>:686–698. doi:10.1093/pcp/pci086</w:t>
      </w:r>
    </w:p>
    <w:p w14:paraId="6B203F89" w14:textId="77777777" w:rsidR="00BA2F83" w:rsidRDefault="00BA2F83" w:rsidP="00BA2F83">
      <w:pPr>
        <w:pStyle w:val="Bibliography"/>
      </w:pPr>
      <w:r>
        <w:t xml:space="preserve">Olvera-Gonzalez E, Alaniz-Lumbreras D, Ivanov-Tsonchev R, Villa-Hernández J, Olvera-Olvera C, González-Ramírez E, Araiza-Esquivel M, Torres-Argüelles V, Castaño V. 2013. Intelligent lighting system for plant growth and development. </w:t>
      </w:r>
      <w:r>
        <w:rPr>
          <w:i/>
          <w:iCs/>
        </w:rPr>
        <w:t>Computers and Electronics in Agriculture</w:t>
      </w:r>
      <w:r>
        <w:t xml:space="preserve"> </w:t>
      </w:r>
      <w:r>
        <w:rPr>
          <w:b/>
          <w:bCs/>
        </w:rPr>
        <w:t>92</w:t>
      </w:r>
      <w:r>
        <w:t>:48–53. doi:10.1016/j.compag.2012.11.012</w:t>
      </w:r>
    </w:p>
    <w:p w14:paraId="4F326115" w14:textId="77777777" w:rsidR="00BA2F83" w:rsidRDefault="00BA2F83" w:rsidP="00BA2F83">
      <w:pPr>
        <w:pStyle w:val="Bibliography"/>
      </w:pPr>
      <w:r>
        <w:t xml:space="preserve">O’Malley RC, Huang SC, Song L, Lewsey MG, Bartlett A, Nery JR, Galli M, Gallavotti A, Ecker JR. 2016. Cistrome and Epicistrome Features Shape the Regulatory DNA Landscape. </w:t>
      </w:r>
      <w:r>
        <w:rPr>
          <w:i/>
          <w:iCs/>
        </w:rPr>
        <w:t>Cell</w:t>
      </w:r>
      <w:r>
        <w:t xml:space="preserve"> </w:t>
      </w:r>
      <w:r>
        <w:rPr>
          <w:b/>
          <w:bCs/>
        </w:rPr>
        <w:t>165</w:t>
      </w:r>
      <w:r>
        <w:t>:1280–1292. doi:10.1016/j.cell.2016.04.038</w:t>
      </w:r>
    </w:p>
    <w:p w14:paraId="5AC33546" w14:textId="77777777" w:rsidR="00BA2F83" w:rsidRDefault="00BA2F83" w:rsidP="00BA2F83">
      <w:pPr>
        <w:pStyle w:val="Bibliography"/>
      </w:pPr>
      <w:r w:rsidRPr="004E0A36">
        <w:rPr>
          <w:lang w:val="de-DE"/>
        </w:rPr>
        <w:t xml:space="preserve">Osterlund MT, Hardtke CS, Wei N, Deng XW. 2000. </w:t>
      </w:r>
      <w:r>
        <w:t xml:space="preserve">Targeted destabilization of HY5 during light-regulated development of Arabidopsis. </w:t>
      </w:r>
      <w:r>
        <w:rPr>
          <w:i/>
          <w:iCs/>
        </w:rPr>
        <w:t>Nature</w:t>
      </w:r>
      <w:r>
        <w:t xml:space="preserve"> </w:t>
      </w:r>
      <w:r>
        <w:rPr>
          <w:b/>
          <w:bCs/>
        </w:rPr>
        <w:t>405</w:t>
      </w:r>
      <w:r>
        <w:t>:462–466. doi:10.1038/35013076</w:t>
      </w:r>
    </w:p>
    <w:p w14:paraId="0DDFA5AF" w14:textId="77777777" w:rsidR="00BA2F83" w:rsidRDefault="00BA2F83" w:rsidP="00BA2F83">
      <w:pPr>
        <w:pStyle w:val="Bibliography"/>
      </w:pPr>
      <w:r>
        <w:t xml:space="preserve">Oyama T, Shimura Y, Okada K. 1997. The Arabidopsis HY5 gene encodes a bZIP protein that regulates stimulus-induced development of root and hypocotyl. </w:t>
      </w:r>
      <w:r>
        <w:rPr>
          <w:i/>
          <w:iCs/>
        </w:rPr>
        <w:t>Genes Dev</w:t>
      </w:r>
      <w:r>
        <w:t xml:space="preserve"> </w:t>
      </w:r>
      <w:r>
        <w:rPr>
          <w:b/>
          <w:bCs/>
        </w:rPr>
        <w:t>11</w:t>
      </w:r>
      <w:r>
        <w:t>:2983–2995. doi:10.1101/gad.11.22.2983</w:t>
      </w:r>
    </w:p>
    <w:p w14:paraId="57E3E996" w14:textId="77777777" w:rsidR="00BA2F83" w:rsidRDefault="00BA2F83" w:rsidP="00BA2F83">
      <w:pPr>
        <w:pStyle w:val="Bibliography"/>
      </w:pPr>
      <w:r>
        <w:t xml:space="preserve">Pedmale UV, Huang SC, Zander M, Cole BJ, Hetzel J, Ljung K, Reis PAB, Sridevi P, Nito K, Nery JR, Ecker JR, Chory J. 2016. Cryptochromes Interact Directly with PIFs to Control Plant Growth in Limiting Blue Light. </w:t>
      </w:r>
      <w:r>
        <w:rPr>
          <w:i/>
          <w:iCs/>
        </w:rPr>
        <w:t>Cell</w:t>
      </w:r>
      <w:r>
        <w:t xml:space="preserve"> </w:t>
      </w:r>
      <w:r>
        <w:rPr>
          <w:b/>
          <w:bCs/>
        </w:rPr>
        <w:t>164</w:t>
      </w:r>
      <w:r>
        <w:t>:233–245. doi:10.1016/j.cell.2015.12.018</w:t>
      </w:r>
    </w:p>
    <w:p w14:paraId="5D85167A" w14:textId="77777777" w:rsidR="00BA2F83" w:rsidRDefault="00BA2F83" w:rsidP="00BA2F83">
      <w:pPr>
        <w:pStyle w:val="Bibliography"/>
      </w:pPr>
      <w:r>
        <w:lastRenderedPageBreak/>
        <w:t xml:space="preserve">Podolec R, Ulm R. 2018. Photoreceptor-mediated regulation of the COP1/SPA E3 ubiquitin ligase. </w:t>
      </w:r>
      <w:r>
        <w:rPr>
          <w:i/>
          <w:iCs/>
        </w:rPr>
        <w:t>Current Opinion in Plant Biology</w:t>
      </w:r>
      <w:r>
        <w:t xml:space="preserve">, Cell signalling and gene regulation </w:t>
      </w:r>
      <w:r>
        <w:rPr>
          <w:b/>
          <w:bCs/>
        </w:rPr>
        <w:t>45</w:t>
      </w:r>
      <w:r>
        <w:t>:18–25. doi:10.1016/j.pbi.2018.04.018</w:t>
      </w:r>
    </w:p>
    <w:p w14:paraId="55BC313E" w14:textId="77777777" w:rsidR="00BA2F83" w:rsidRDefault="00BA2F83" w:rsidP="00BA2F83">
      <w:pPr>
        <w:pStyle w:val="Bibliography"/>
      </w:pPr>
      <w:r>
        <w:t xml:space="preserve">Rawat R, Schwartz J, Jones MA, Sairanen I, Cheng Y, Andersson CR, Zhao Y, Ljung K, Harmer SL. 2009. REVEILLE1, a Myb-like transcription factor, integrates the circadian clock and auxin pathways. </w:t>
      </w:r>
      <w:r>
        <w:rPr>
          <w:i/>
          <w:iCs/>
        </w:rPr>
        <w:t>Proc Natl Acad Sci U S A</w:t>
      </w:r>
      <w:r>
        <w:t xml:space="preserve"> </w:t>
      </w:r>
      <w:r>
        <w:rPr>
          <w:b/>
          <w:bCs/>
        </w:rPr>
        <w:t>106</w:t>
      </w:r>
      <w:r>
        <w:t>:16883–16888. doi:10.1073/pnas.0813035106</w:t>
      </w:r>
    </w:p>
    <w:p w14:paraId="2FB9F915" w14:textId="77777777" w:rsidR="00BA2F83" w:rsidRDefault="00BA2F83" w:rsidP="00BA2F83">
      <w:pPr>
        <w:pStyle w:val="Bibliography"/>
      </w:pPr>
      <w:r>
        <w:t xml:space="preserve">Reed JW, Elumalai RP, Chory J. 1998. Suppressors of an Arabidopsis thaliana phyB Mutation Identify Genes That Control Light Signaling and Hypocotyl Elongation. </w:t>
      </w:r>
      <w:r>
        <w:rPr>
          <w:i/>
          <w:iCs/>
        </w:rPr>
        <w:t>Genetics</w:t>
      </w:r>
      <w:r>
        <w:t xml:space="preserve"> </w:t>
      </w:r>
      <w:r>
        <w:rPr>
          <w:b/>
          <w:bCs/>
        </w:rPr>
        <w:t>148</w:t>
      </w:r>
      <w:r>
        <w:t>:1295–1310.</w:t>
      </w:r>
    </w:p>
    <w:p w14:paraId="0C956124" w14:textId="77777777" w:rsidR="00BA2F83" w:rsidRDefault="00BA2F83" w:rsidP="00BA2F83">
      <w:pPr>
        <w:pStyle w:val="Bibliography"/>
      </w:pPr>
      <w:r>
        <w:t xml:space="preserve">Rugnone ML, Soverna AF, Sanchez SE, Schlaen RG, Hernando CE, Seymour DK, Mancini E, Chernomoretz A, Weigel D, Más P, Yanovsky MJ. 2013. LNK genes integrate light and clock signaling networks at the core of the Arabidopsis oscillator. </w:t>
      </w:r>
      <w:r>
        <w:rPr>
          <w:i/>
          <w:iCs/>
        </w:rPr>
        <w:t>PNAS</w:t>
      </w:r>
      <w:r>
        <w:t xml:space="preserve"> </w:t>
      </w:r>
      <w:r>
        <w:rPr>
          <w:b/>
          <w:bCs/>
        </w:rPr>
        <w:t>110</w:t>
      </w:r>
      <w:r>
        <w:t>:12120–12125. doi:10.1073/pnas.1302170110</w:t>
      </w:r>
    </w:p>
    <w:p w14:paraId="59BC52A1" w14:textId="77777777" w:rsidR="00BA2F83" w:rsidRDefault="00BA2F83" w:rsidP="00BA2F83">
      <w:pPr>
        <w:pStyle w:val="Bibliography"/>
      </w:pPr>
      <w:r>
        <w:t xml:space="preserve">Saijo Y, Sullivan JA, Wang H, Yang J, Shen Y, Rubio V, Ma L, Hoecker U, Deng XW. 2003. The COP1–SPA1 interaction defines a critical step in phytochrome A-mediated regulation of HY5 activity. </w:t>
      </w:r>
      <w:r>
        <w:rPr>
          <w:i/>
          <w:iCs/>
        </w:rPr>
        <w:t>Genes Dev</w:t>
      </w:r>
      <w:r>
        <w:t xml:space="preserve"> </w:t>
      </w:r>
      <w:r>
        <w:rPr>
          <w:b/>
          <w:bCs/>
        </w:rPr>
        <w:t>17</w:t>
      </w:r>
      <w:r>
        <w:t>:2642–2647. doi:10.1101/gad.1122903</w:t>
      </w:r>
    </w:p>
    <w:p w14:paraId="28BADF4E" w14:textId="77777777" w:rsidR="00BA2F83" w:rsidRDefault="00BA2F83" w:rsidP="00BA2F83">
      <w:pPr>
        <w:pStyle w:val="Bibliography"/>
      </w:pPr>
      <w:r>
        <w:t xml:space="preserve">Salomé P. A., McClung CR. 2005. What makes the Arabidopsis clock tick on time? A review on entrainment. </w:t>
      </w:r>
      <w:r>
        <w:rPr>
          <w:i/>
          <w:iCs/>
        </w:rPr>
        <w:t>Plant, Cell &amp; Environment</w:t>
      </w:r>
      <w:r>
        <w:t xml:space="preserve"> </w:t>
      </w:r>
      <w:r>
        <w:rPr>
          <w:b/>
          <w:bCs/>
        </w:rPr>
        <w:t>28</w:t>
      </w:r>
      <w:r>
        <w:t>:21–38. doi:10.1111/j.1365-3040.2004.01261.x</w:t>
      </w:r>
    </w:p>
    <w:p w14:paraId="24156DA2" w14:textId="77777777" w:rsidR="00BA2F83" w:rsidRDefault="00BA2F83" w:rsidP="00BA2F83">
      <w:pPr>
        <w:pStyle w:val="Bibliography"/>
      </w:pPr>
      <w:r>
        <w:t xml:space="preserve">Salomé Patrice A., McClung CR. 2005. PSEUDO-RESPONSE REGULATOR 7 and 9 Are Partially Redundant Genes Essential for the Temperature Responsiveness of the Arabidopsis Circadian Clock. </w:t>
      </w:r>
      <w:r>
        <w:rPr>
          <w:i/>
          <w:iCs/>
        </w:rPr>
        <w:t>Plant Cell</w:t>
      </w:r>
      <w:r>
        <w:t xml:space="preserve"> </w:t>
      </w:r>
      <w:r>
        <w:rPr>
          <w:b/>
          <w:bCs/>
        </w:rPr>
        <w:t>17</w:t>
      </w:r>
      <w:r>
        <w:t>:791–803. doi:10.1105/tpc.104.029504</w:t>
      </w:r>
    </w:p>
    <w:p w14:paraId="651B9F77" w14:textId="77777777" w:rsidR="00BA2F83" w:rsidRDefault="00BA2F83" w:rsidP="00BA2F83">
      <w:pPr>
        <w:pStyle w:val="Bibliography"/>
      </w:pPr>
      <w:r>
        <w:t xml:space="preserve">Salomé PA, Michael TP, Kearns EV, Fett-Neto AG, Sharrock RA, McClung CR. 2002. The out of phase 1 Mutant Defines a Role for PHYB in Circadian Phase Control in Arabidopsis. </w:t>
      </w:r>
      <w:r>
        <w:rPr>
          <w:i/>
          <w:iCs/>
        </w:rPr>
        <w:t>Plant Physiology</w:t>
      </w:r>
      <w:r>
        <w:t xml:space="preserve"> </w:t>
      </w:r>
      <w:r>
        <w:rPr>
          <w:b/>
          <w:bCs/>
        </w:rPr>
        <w:t>129</w:t>
      </w:r>
      <w:r>
        <w:t>:1674–1685. doi:10.1104/pp.003418</w:t>
      </w:r>
    </w:p>
    <w:p w14:paraId="6FC17A3C" w14:textId="77777777" w:rsidR="00BA2F83" w:rsidRDefault="00BA2F83" w:rsidP="00BA2F83">
      <w:pPr>
        <w:pStyle w:val="Bibliography"/>
      </w:pPr>
      <w:r>
        <w:t xml:space="preserve">Seaton DD, Toledo-Ortiz G, Ganpudi A, Kubota A, Imaizumi T, Halliday KJ. 2018. Dawn and photoperiod sensing by phytochrome A. </w:t>
      </w:r>
      <w:r>
        <w:rPr>
          <w:i/>
          <w:iCs/>
        </w:rPr>
        <w:t>Proc Natl Acad Sci U S A</w:t>
      </w:r>
      <w:r>
        <w:t xml:space="preserve"> </w:t>
      </w:r>
      <w:r>
        <w:rPr>
          <w:b/>
          <w:bCs/>
        </w:rPr>
        <w:t>115</w:t>
      </w:r>
      <w:r>
        <w:t>:10523–10528. doi:10.1073/pnas.1803398115</w:t>
      </w:r>
    </w:p>
    <w:p w14:paraId="6C7B401D" w14:textId="77777777" w:rsidR="00BA2F83" w:rsidRDefault="00BA2F83" w:rsidP="00BA2F83">
      <w:pPr>
        <w:pStyle w:val="Bibliography"/>
      </w:pPr>
      <w:r>
        <w:t xml:space="preserve">Shin J, Sánchez-Villarreal A, Davis AM, Du S-X, Berendzen KW, Koncz C, Ding Z, Li C, Davis SJ. 2017. The metabolic sensor AKIN10 modulates the Arabidopsis circadian clock in a light-dependent manner. </w:t>
      </w:r>
      <w:r>
        <w:rPr>
          <w:i/>
          <w:iCs/>
        </w:rPr>
        <w:t>Plant Cell Environ</w:t>
      </w:r>
      <w:r>
        <w:t xml:space="preserve"> </w:t>
      </w:r>
      <w:r>
        <w:rPr>
          <w:b/>
          <w:bCs/>
        </w:rPr>
        <w:t>40</w:t>
      </w:r>
      <w:r>
        <w:t>:997–1008. doi:10.1111/pce.12903</w:t>
      </w:r>
    </w:p>
    <w:p w14:paraId="4F577D2A" w14:textId="77777777" w:rsidR="00BA2F83" w:rsidRDefault="00BA2F83" w:rsidP="00BA2F83">
      <w:pPr>
        <w:pStyle w:val="Bibliography"/>
      </w:pPr>
      <w:r>
        <w:t xml:space="preserve">Somers DE, Devlin PF, Kay SA. 1998. Phytochromes and Cryptochromes in the Entrainment of the Arabidopsis Circadian Clock. </w:t>
      </w:r>
      <w:r>
        <w:rPr>
          <w:i/>
          <w:iCs/>
        </w:rPr>
        <w:t>Science</w:t>
      </w:r>
      <w:r>
        <w:t xml:space="preserve"> </w:t>
      </w:r>
      <w:r>
        <w:rPr>
          <w:b/>
          <w:bCs/>
        </w:rPr>
        <w:t>282</w:t>
      </w:r>
      <w:r>
        <w:t>:1488–1490. doi:10.1126/science.282.5393.1488</w:t>
      </w:r>
    </w:p>
    <w:p w14:paraId="6A698BFF" w14:textId="77777777" w:rsidR="00BA2F83" w:rsidRDefault="00BA2F83" w:rsidP="00BA2F83">
      <w:pPr>
        <w:pStyle w:val="Bibliography"/>
      </w:pPr>
      <w:r>
        <w:t xml:space="preserve">Suetsugu N, Wada M. 2013. Evolution of Three LOV Blue Light Receptor Families in Green Plants and Photosynthetic Stramenopiles: Phototropin, ZTL/FKF1/LKP2 and Aureochrome. </w:t>
      </w:r>
      <w:r>
        <w:rPr>
          <w:i/>
          <w:iCs/>
        </w:rPr>
        <w:t>Plant Cell Physiol</w:t>
      </w:r>
      <w:r>
        <w:t xml:space="preserve"> </w:t>
      </w:r>
      <w:r>
        <w:rPr>
          <w:b/>
          <w:bCs/>
        </w:rPr>
        <w:t>54</w:t>
      </w:r>
      <w:r>
        <w:t>:8–23. doi:10.1093/pcp/pcs165</w:t>
      </w:r>
    </w:p>
    <w:p w14:paraId="6E2CAA5F" w14:textId="77777777" w:rsidR="00BA2F83" w:rsidRPr="004E0A36" w:rsidRDefault="00BA2F83" w:rsidP="00BA2F83">
      <w:pPr>
        <w:pStyle w:val="Bibliography"/>
        <w:rPr>
          <w:lang w:val="de-DE"/>
        </w:rPr>
      </w:pPr>
      <w:r>
        <w:t xml:space="preserve">Trapnell C, Hendrickson DG, Sauvageau M, Goff L, Rinn JL, Pachter L. 2013. Differential analysis of gene regulation at transcript resolution with RNA-seq. </w:t>
      </w:r>
      <w:r w:rsidRPr="004E0A36">
        <w:rPr>
          <w:i/>
          <w:iCs/>
          <w:lang w:val="de-DE"/>
        </w:rPr>
        <w:t>Nat Biotechnol</w:t>
      </w:r>
      <w:r w:rsidRPr="004E0A36">
        <w:rPr>
          <w:lang w:val="de-DE"/>
        </w:rPr>
        <w:t xml:space="preserve"> </w:t>
      </w:r>
      <w:r w:rsidRPr="004E0A36">
        <w:rPr>
          <w:b/>
          <w:bCs/>
          <w:lang w:val="de-DE"/>
        </w:rPr>
        <w:t>31</w:t>
      </w:r>
      <w:r w:rsidRPr="004E0A36">
        <w:rPr>
          <w:lang w:val="de-DE"/>
        </w:rPr>
        <w:t>. doi:10.1038/nbt.2450</w:t>
      </w:r>
    </w:p>
    <w:p w14:paraId="4290FE90" w14:textId="77777777" w:rsidR="00BA2F83" w:rsidRDefault="00BA2F83" w:rsidP="00BA2F83">
      <w:pPr>
        <w:pStyle w:val="Bibliography"/>
      </w:pPr>
      <w:r w:rsidRPr="004E0A36">
        <w:rPr>
          <w:lang w:val="de-DE"/>
        </w:rPr>
        <w:t xml:space="preserve">Trapnell C, Pachter L, Salzberg SL. 2009. </w:t>
      </w:r>
      <w:r>
        <w:t xml:space="preserve">TopHat: discovering splice junctions with RNA-Seq. </w:t>
      </w:r>
      <w:r>
        <w:rPr>
          <w:i/>
          <w:iCs/>
        </w:rPr>
        <w:t>Bioinformatics</w:t>
      </w:r>
      <w:r>
        <w:t xml:space="preserve"> </w:t>
      </w:r>
      <w:r>
        <w:rPr>
          <w:b/>
          <w:bCs/>
        </w:rPr>
        <w:t>25</w:t>
      </w:r>
      <w:r>
        <w:t>:1105–1111. doi:10.1093/bioinformatics/btp120</w:t>
      </w:r>
    </w:p>
    <w:p w14:paraId="4F82C47C" w14:textId="77777777" w:rsidR="00BA2F83" w:rsidRDefault="00BA2F83" w:rsidP="00BA2F83">
      <w:pPr>
        <w:pStyle w:val="Bibliography"/>
      </w:pPr>
      <w:r>
        <w:t xml:space="preserve">Tripathi P, Carvallo M, Hamilton EE, Preuss S, Kay SA. 2017. Arabidopsis B-BOX32 interacts with CONSTANS-LIKE3 to regulate flowering. </w:t>
      </w:r>
      <w:r>
        <w:rPr>
          <w:i/>
          <w:iCs/>
        </w:rPr>
        <w:t>Proc Natl Acad Sci U S A</w:t>
      </w:r>
      <w:r>
        <w:t xml:space="preserve"> </w:t>
      </w:r>
      <w:r>
        <w:rPr>
          <w:b/>
          <w:bCs/>
        </w:rPr>
        <w:t>114</w:t>
      </w:r>
      <w:r>
        <w:t>:172–177. doi:10.1073/pnas.1616459114</w:t>
      </w:r>
    </w:p>
    <w:p w14:paraId="66B8B1A5" w14:textId="77777777" w:rsidR="00BA2F83" w:rsidRDefault="00BA2F83" w:rsidP="00BA2F83">
      <w:pPr>
        <w:pStyle w:val="Bibliography"/>
      </w:pPr>
      <w:r>
        <w:lastRenderedPageBreak/>
        <w:t xml:space="preserve">Wang W, Barnaby JY, Tada Y, Li H, Tör M, Caldelari D, Lee D, Fu X-D, Dong X. 2011. Timing of plant immune responses by a central circadian regulator. </w:t>
      </w:r>
      <w:r>
        <w:rPr>
          <w:i/>
          <w:iCs/>
        </w:rPr>
        <w:t>Nature</w:t>
      </w:r>
      <w:r>
        <w:t xml:space="preserve"> </w:t>
      </w:r>
      <w:r>
        <w:rPr>
          <w:b/>
          <w:bCs/>
        </w:rPr>
        <w:t>470</w:t>
      </w:r>
      <w:r>
        <w:t>:110–114. doi:10.1038/nature09766</w:t>
      </w:r>
    </w:p>
    <w:p w14:paraId="5683F6A9" w14:textId="77777777" w:rsidR="00BA2F83" w:rsidRDefault="00BA2F83" w:rsidP="00BA2F83">
      <w:pPr>
        <w:pStyle w:val="Bibliography"/>
      </w:pPr>
      <w:r>
        <w:t xml:space="preserve">Webb AAR, Seki M, Satake A, Caldana C. 2019. Continuous dynamic adjustment of the plant circadian oscillator. </w:t>
      </w:r>
      <w:r>
        <w:rPr>
          <w:i/>
          <w:iCs/>
        </w:rPr>
        <w:t>Nature Communications</w:t>
      </w:r>
      <w:r>
        <w:t xml:space="preserve"> </w:t>
      </w:r>
      <w:r>
        <w:rPr>
          <w:b/>
          <w:bCs/>
        </w:rPr>
        <w:t>10</w:t>
      </w:r>
      <w:r>
        <w:t>:1–9. doi:10.1038/s41467-019-08398-5</w:t>
      </w:r>
    </w:p>
    <w:p w14:paraId="1F9A8491" w14:textId="77777777" w:rsidR="00BA2F83" w:rsidRDefault="00BA2F83" w:rsidP="00BA2F83">
      <w:pPr>
        <w:pStyle w:val="Bibliography"/>
      </w:pPr>
      <w:r>
        <w:t xml:space="preserve">Wei C-Q, Chien C-W, Ai L-F, Zhao J, Zhang Z, Li KH, Burlingame AL, Sun Y, Wang Z-Y. 2016. The Arabidopsis B-BOX Protein BZS1/BBX20 Interacts with HY5 and Mediates Strigolactone Regulation of Photomorphogenesis. </w:t>
      </w:r>
      <w:r>
        <w:rPr>
          <w:i/>
          <w:iCs/>
        </w:rPr>
        <w:t>J Genet Genomics</w:t>
      </w:r>
      <w:r>
        <w:t xml:space="preserve"> </w:t>
      </w:r>
      <w:r>
        <w:rPr>
          <w:b/>
          <w:bCs/>
        </w:rPr>
        <w:t>43</w:t>
      </w:r>
      <w:r>
        <w:t>:555–563. doi:10.1016/j.jgg.2016.05.007</w:t>
      </w:r>
    </w:p>
    <w:p w14:paraId="05DC79FC" w14:textId="77777777" w:rsidR="00BA2F83" w:rsidRDefault="00BA2F83" w:rsidP="00BA2F83">
      <w:pPr>
        <w:pStyle w:val="Bibliography"/>
      </w:pPr>
      <w:r>
        <w:t xml:space="preserve">Xu D. 2019. COP1 and BBXs-HY5-mediated light signal transduction in plants. </w:t>
      </w:r>
      <w:r>
        <w:rPr>
          <w:i/>
          <w:iCs/>
        </w:rPr>
        <w:t>New Phytol</w:t>
      </w:r>
      <w:r>
        <w:t>. doi:10.1111/nph.16296</w:t>
      </w:r>
    </w:p>
    <w:p w14:paraId="76405AB6" w14:textId="77777777" w:rsidR="00BA2F83" w:rsidRDefault="00BA2F83" w:rsidP="00BA2F83">
      <w:pPr>
        <w:pStyle w:val="Bibliography"/>
      </w:pPr>
      <w:r>
        <w:t xml:space="preserve">Xu D, Jiang Y, Li J, Holm M, Deng XW. 2018. The B-Box Domain Protein BBX21 Promotes Photomorphogenesis. </w:t>
      </w:r>
      <w:r>
        <w:rPr>
          <w:i/>
          <w:iCs/>
        </w:rPr>
        <w:t>Plant Physiology</w:t>
      </w:r>
      <w:r>
        <w:t xml:space="preserve"> </w:t>
      </w:r>
      <w:r>
        <w:rPr>
          <w:b/>
          <w:bCs/>
        </w:rPr>
        <w:t>176</w:t>
      </w:r>
      <w:r>
        <w:t>:2365–2375. doi:10.1104/pp.17.01305</w:t>
      </w:r>
    </w:p>
    <w:p w14:paraId="1DE4F1BA" w14:textId="77777777" w:rsidR="00BA2F83" w:rsidRDefault="00BA2F83" w:rsidP="00BA2F83">
      <w:pPr>
        <w:pStyle w:val="Bibliography"/>
      </w:pPr>
      <w:r>
        <w:t xml:space="preserve">Yadav A, Bakshi S, Yadukrishnan P, Lingwan M, Dolde U, Wenkel S, Masakapalli SK, Datta S. 2019. The B-Box-Containing MicroProtein miP1a/BBX31 Regulates Photomorphogenesis and UV-B Protection1. </w:t>
      </w:r>
      <w:r>
        <w:rPr>
          <w:i/>
          <w:iCs/>
        </w:rPr>
        <w:t>Plant Physiol</w:t>
      </w:r>
      <w:r>
        <w:t xml:space="preserve"> </w:t>
      </w:r>
      <w:r>
        <w:rPr>
          <w:b/>
          <w:bCs/>
        </w:rPr>
        <w:t>179</w:t>
      </w:r>
      <w:r>
        <w:t>:1876–1892. doi:10.1104/pp.18.01258</w:t>
      </w:r>
    </w:p>
    <w:p w14:paraId="731A3EEA" w14:textId="77777777" w:rsidR="00BA2F83" w:rsidRDefault="00BA2F83" w:rsidP="00BA2F83">
      <w:pPr>
        <w:pStyle w:val="Bibliography"/>
      </w:pPr>
      <w:r>
        <w:t xml:space="preserve">Yanovsky MJ, Mazzella MA, Casal JJ. 2000. A quadruple photoreceptor mutant still keeps track of time. </w:t>
      </w:r>
      <w:r>
        <w:rPr>
          <w:i/>
          <w:iCs/>
        </w:rPr>
        <w:t>Current Biology</w:t>
      </w:r>
      <w:r>
        <w:t xml:space="preserve"> </w:t>
      </w:r>
      <w:r>
        <w:rPr>
          <w:b/>
          <w:bCs/>
        </w:rPr>
        <w:t>10</w:t>
      </w:r>
      <w:r>
        <w:t>:1013–1015. doi:10.1016/S0960-9822(00)00651-5</w:t>
      </w:r>
    </w:p>
    <w:p w14:paraId="50EC88C0" w14:textId="77777777" w:rsidR="00BA2F83" w:rsidRDefault="00BA2F83" w:rsidP="00BA2F83">
      <w:pPr>
        <w:pStyle w:val="Bibliography"/>
      </w:pPr>
      <w:r>
        <w:t xml:space="preserve">Yoshida T, Ohama N, Nakajima J, Kidokoro S, Mizoi J, Nakashima K, Maruyama K, Kim J-M, Seki M, Todaka D, Osakabe Y, Sakuma Y, Schöffl F, Shinozaki K, Yamaguchi-Shinozaki K. 2011. Arabidopsis HsfA1 transcription factors function as the main positive regulators in heat shock-responsive gene expression. </w:t>
      </w:r>
      <w:r>
        <w:rPr>
          <w:i/>
          <w:iCs/>
        </w:rPr>
        <w:t>Mol Genet Genomics</w:t>
      </w:r>
      <w:r>
        <w:t xml:space="preserve"> </w:t>
      </w:r>
      <w:r>
        <w:rPr>
          <w:b/>
          <w:bCs/>
        </w:rPr>
        <w:t>286</w:t>
      </w:r>
      <w:r>
        <w:t>:321–332. doi:10.1007/s00438-011-0647-7</w:t>
      </w:r>
    </w:p>
    <w:p w14:paraId="1D46FD67" w14:textId="77777777" w:rsidR="00BA2F83" w:rsidRPr="004E0A36" w:rsidRDefault="00BA2F83" w:rsidP="00BA2F83">
      <w:pPr>
        <w:pStyle w:val="Bibliography"/>
        <w:rPr>
          <w:lang w:val="de-DE"/>
        </w:rPr>
      </w:pPr>
      <w:r>
        <w:t xml:space="preserve">Zagotta MT, Hicks KA, Jacobs CI, Young JC, Hangarter RP, Meeks‐Wagner DR. 1996. The Arabidopsis ELF3 gene regulates vegetative photomorphogenesis and the photoperiodic induction of flowering. </w:t>
      </w:r>
      <w:r w:rsidRPr="004E0A36">
        <w:rPr>
          <w:i/>
          <w:iCs/>
          <w:lang w:val="de-DE"/>
        </w:rPr>
        <w:t>The Plant Journal</w:t>
      </w:r>
      <w:r w:rsidRPr="004E0A36">
        <w:rPr>
          <w:lang w:val="de-DE"/>
        </w:rPr>
        <w:t xml:space="preserve"> </w:t>
      </w:r>
      <w:r w:rsidRPr="004E0A36">
        <w:rPr>
          <w:b/>
          <w:bCs/>
          <w:lang w:val="de-DE"/>
        </w:rPr>
        <w:t>10</w:t>
      </w:r>
      <w:r w:rsidRPr="004E0A36">
        <w:rPr>
          <w:lang w:val="de-DE"/>
        </w:rPr>
        <w:t>:691–702. doi:10.1046/j.1365-313X.1996.10040691.x</w:t>
      </w:r>
    </w:p>
    <w:p w14:paraId="47740F1E" w14:textId="77777777" w:rsidR="00BA2F83" w:rsidRDefault="00BA2F83" w:rsidP="00BA2F83">
      <w:pPr>
        <w:pStyle w:val="Bibliography"/>
      </w:pPr>
      <w:r w:rsidRPr="004E0A36">
        <w:rPr>
          <w:lang w:val="de-DE"/>
        </w:rPr>
        <w:t xml:space="preserve">Zhang N, Meng Y, Li X, Zhou Y, Ma L, Fu L, Schwarzländer M, Liu H, Xiong Y. 2019. </w:t>
      </w:r>
      <w:r>
        <w:t xml:space="preserve">Metabolite-mediated TOR signaling regulates the circadian clock in Arabidopsis. </w:t>
      </w:r>
      <w:r>
        <w:rPr>
          <w:i/>
          <w:iCs/>
        </w:rPr>
        <w:t>Proc Natl Acad Sci USA</w:t>
      </w:r>
      <w:r>
        <w:t xml:space="preserve"> </w:t>
      </w:r>
      <w:r>
        <w:rPr>
          <w:b/>
          <w:bCs/>
        </w:rPr>
        <w:t>116</w:t>
      </w:r>
      <w:r>
        <w:t>:25395–25397. doi:10.1073/pnas.1913095116</w:t>
      </w:r>
    </w:p>
    <w:p w14:paraId="4A74BC4D" w14:textId="77777777" w:rsidR="00BA2F83" w:rsidRDefault="00BA2F83" w:rsidP="00BA2F83">
      <w:pPr>
        <w:pStyle w:val="Bibliography"/>
      </w:pPr>
      <w:r>
        <w:t xml:space="preserve">Zhang Y, Li C, Zhang J, Wang J, Yang J, Lv Y, Yang N, Liu J, Wang X, Palfalvi G, Wang G, Zheng L. 2017. Dissection of HY5/HYH expression in Arabidopsis reveals a root-autonomous HY5-mediated photomorphogenic pathway. </w:t>
      </w:r>
      <w:r>
        <w:rPr>
          <w:i/>
          <w:iCs/>
        </w:rPr>
        <w:t>PLOS ONE</w:t>
      </w:r>
      <w:r>
        <w:t xml:space="preserve"> </w:t>
      </w:r>
      <w:r>
        <w:rPr>
          <w:b/>
          <w:bCs/>
        </w:rPr>
        <w:t>12</w:t>
      </w:r>
      <w:r>
        <w:t>:e0180449. doi:10.1371/journal.pone.0180449</w:t>
      </w:r>
    </w:p>
    <w:p w14:paraId="68E23E69" w14:textId="77777777" w:rsidR="006F7B1E" w:rsidRDefault="006F7B1E" w:rsidP="00BA2F83">
      <w:pPr>
        <w:pStyle w:val="Bibliography"/>
      </w:pPr>
    </w:p>
    <w:p w14:paraId="26F92BE8" w14:textId="77777777" w:rsidR="006F7B1E" w:rsidRDefault="006F7B1E" w:rsidP="004E0A36">
      <w:pPr>
        <w:pStyle w:val="Bibliography"/>
        <w:ind w:left="0" w:firstLine="0"/>
      </w:pPr>
    </w:p>
    <w:p w14:paraId="03DB877A" w14:textId="7B68BDF8" w:rsidR="00A35E1A" w:rsidRPr="005D6489" w:rsidRDefault="00653821" w:rsidP="00A35E1A">
      <w:pPr>
        <w:pStyle w:val="ImageCaption"/>
        <w:spacing w:line="360" w:lineRule="auto"/>
        <w:rPr>
          <w:rFonts w:ascii="Arial" w:hAnsi="Arial" w:cs="Arial"/>
          <w:b/>
        </w:rPr>
      </w:pPr>
      <w:r>
        <w:rPr>
          <w:rFonts w:ascii="Arial" w:hAnsi="Arial" w:cs="Arial"/>
        </w:rPr>
        <w:lastRenderedPageBreak/>
        <w:fldChar w:fldCharType="end"/>
      </w:r>
      <w:r w:rsidR="00A35E1A" w:rsidRPr="005D6489">
        <w:rPr>
          <w:rFonts w:ascii="Arial" w:hAnsi="Arial" w:cs="Arial"/>
          <w:b/>
          <w:noProof/>
          <w:lang w:val="en-GB" w:eastAsia="en-GB"/>
        </w:rPr>
        <w:drawing>
          <wp:inline distT="0" distB="0" distL="0" distR="0" wp14:anchorId="6085DF7D" wp14:editId="0ADBA6A4">
            <wp:extent cx="5943600" cy="3885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_Dawn_burstExists.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inline>
        </w:drawing>
      </w:r>
    </w:p>
    <w:p w14:paraId="17E8FEDB" w14:textId="77777777" w:rsidR="00A35E1A" w:rsidRPr="005D6489" w:rsidRDefault="00A35E1A" w:rsidP="00A35E1A">
      <w:pPr>
        <w:pStyle w:val="ImageCaption"/>
        <w:rPr>
          <w:rFonts w:ascii="Arial" w:hAnsi="Arial" w:cs="Arial"/>
        </w:rPr>
      </w:pPr>
      <w:r w:rsidRPr="005D6489">
        <w:rPr>
          <w:rFonts w:ascii="Arial" w:hAnsi="Arial" w:cs="Arial"/>
          <w:b/>
        </w:rPr>
        <w:t xml:space="preserve">Figure 1: DNA binding proteins exhibit a burst of expression at dawn. </w:t>
      </w:r>
      <w:r w:rsidRPr="005D6489">
        <w:rPr>
          <w:rFonts w:ascii="Arial" w:hAnsi="Arial" w:cs="Arial"/>
        </w:rPr>
        <w:t>(A) The gene expression pattern of DNA binding proteins in ethylene (</w:t>
      </w:r>
      <w:proofErr w:type="spellStart"/>
      <w:r w:rsidRPr="005D6489">
        <w:rPr>
          <w:rFonts w:ascii="Arial" w:hAnsi="Arial" w:cs="Arial"/>
        </w:rPr>
        <w:t>i</w:t>
      </w:r>
      <w:proofErr w:type="spellEnd"/>
      <w:r w:rsidRPr="005D6489">
        <w:rPr>
          <w:rFonts w:ascii="Arial" w:hAnsi="Arial" w:cs="Arial"/>
        </w:rPr>
        <w:t>), ABA (ii</w:t>
      </w:r>
      <w:proofErr w:type="gramStart"/>
      <w:r w:rsidRPr="005D6489">
        <w:rPr>
          <w:rFonts w:ascii="Arial" w:hAnsi="Arial" w:cs="Arial"/>
        </w:rPr>
        <w:t>) ,</w:t>
      </w:r>
      <w:proofErr w:type="gramEnd"/>
      <w:r w:rsidRPr="005D6489">
        <w:rPr>
          <w:rFonts w:ascii="Arial" w:hAnsi="Arial" w:cs="Arial"/>
        </w:rPr>
        <w:t xml:space="preserve"> stress (iii), and light (iv) were clustered based on their expression in 8 time points under short day conditions in Col-0 at 22°C. The time point right before dawn (ZT0) and an hour after dawn (ZT1) are highlighted for clarity.  Similar figures for ‘auxin’,</w:t>
      </w:r>
      <w:r>
        <w:rPr>
          <w:rFonts w:ascii="Arial" w:hAnsi="Arial" w:cs="Arial"/>
        </w:rPr>
        <w:t xml:space="preserve"> ’</w:t>
      </w:r>
      <w:proofErr w:type="spellStart"/>
      <w:r>
        <w:rPr>
          <w:rFonts w:ascii="Arial" w:hAnsi="Arial" w:cs="Arial"/>
        </w:rPr>
        <w:t>brassinosteroid</w:t>
      </w:r>
      <w:proofErr w:type="spellEnd"/>
      <w:r>
        <w:rPr>
          <w:rFonts w:ascii="Arial" w:hAnsi="Arial" w:cs="Arial"/>
        </w:rPr>
        <w:t>’,</w:t>
      </w:r>
      <w:r w:rsidRPr="005D6489">
        <w:rPr>
          <w:rFonts w:ascii="Arial" w:hAnsi="Arial" w:cs="Arial"/>
        </w:rPr>
        <w:t xml:space="preserve"> ‘circadian clock’ and ‘all DNA binding’ are found in Fig S1.  (B) DNA-binding proteins whose genes have maximal expression at ZT0 (right before dawn) or ZT1 (an hour after dawn) in Col-0 at 22°C were identified, based on the analysis in (A).  We compare the expression levels of these genes in </w:t>
      </w:r>
      <w:proofErr w:type="spellStart"/>
      <w:r w:rsidRPr="005D6489">
        <w:rPr>
          <w:rFonts w:ascii="Arial" w:hAnsi="Arial" w:cs="Arial"/>
        </w:rPr>
        <w:t>phyABCDE</w:t>
      </w:r>
      <w:proofErr w:type="spellEnd"/>
      <w:r w:rsidRPr="005D6489">
        <w:rPr>
          <w:rFonts w:ascii="Arial" w:hAnsi="Arial" w:cs="Arial"/>
        </w:rPr>
        <w:t xml:space="preserve"> backgrounds compared to </w:t>
      </w:r>
      <w:proofErr w:type="spellStart"/>
      <w:r w:rsidRPr="005D6489">
        <w:rPr>
          <w:rFonts w:ascii="Arial" w:hAnsi="Arial" w:cs="Arial"/>
        </w:rPr>
        <w:t>Ler</w:t>
      </w:r>
      <w:proofErr w:type="spellEnd"/>
      <w:r w:rsidRPr="005D6489">
        <w:rPr>
          <w:rFonts w:ascii="Arial" w:hAnsi="Arial" w:cs="Arial"/>
        </w:rPr>
        <w:t xml:space="preserve"> (the background strain for </w:t>
      </w:r>
      <w:proofErr w:type="spellStart"/>
      <w:r w:rsidRPr="005D6489">
        <w:rPr>
          <w:rFonts w:ascii="Arial" w:hAnsi="Arial" w:cs="Arial"/>
        </w:rPr>
        <w:t>phyABCDE</w:t>
      </w:r>
      <w:proofErr w:type="spellEnd"/>
      <w:r w:rsidRPr="005D6489">
        <w:rPr>
          <w:rFonts w:ascii="Arial" w:hAnsi="Arial" w:cs="Arial"/>
        </w:rPr>
        <w:t xml:space="preserve">).  Similar figures comparing elf3-1 and Col-0 are found in Fig S2.   </w:t>
      </w:r>
    </w:p>
    <w:p w14:paraId="11CC9AD2" w14:textId="77777777" w:rsidR="00A35E1A" w:rsidRPr="005D6489" w:rsidRDefault="00A35E1A" w:rsidP="00A35E1A">
      <w:pPr>
        <w:pStyle w:val="FigurewithCaption"/>
        <w:spacing w:line="360" w:lineRule="auto"/>
        <w:rPr>
          <w:rFonts w:ascii="Arial" w:hAnsi="Arial" w:cs="Arial"/>
        </w:rPr>
      </w:pPr>
      <w:r w:rsidRPr="005D6489">
        <w:rPr>
          <w:rFonts w:ascii="Arial" w:hAnsi="Arial" w:cs="Arial"/>
          <w:noProof/>
          <w:lang w:val="en-GB" w:eastAsia="en-GB"/>
        </w:rPr>
        <w:lastRenderedPageBreak/>
        <w:drawing>
          <wp:inline distT="0" distB="0" distL="0" distR="0" wp14:anchorId="7905364F" wp14:editId="58015FC5">
            <wp:extent cx="6015395" cy="4725319"/>
            <wp:effectExtent l="0" t="0" r="0" b="0"/>
            <wp:docPr id="5" name="Picture" descr="Multiple waves of gene expression at dawn.  Genes encoding DNA binding proteins were clustered into 10 groups using CLUST based on their gene expression pattern at 22oC in Col-0.  (A) The gene expression pattern of these clusters is shown for Col-0 at both 22oC and 27oC.  (B) Previous experiments by Rugnone et al, 2013 identified genes that are sensitive to light in a time-of-day dependent way.  Many of these genes that were identified as being light induced or repressed in the day and night were also found to be expressed within the clusters in (A).  We use a table instead of a Venn Diagram for clarity.  A coloured block indicates that there is a p-value &lt; 0.05 based on a Fisher exact test with Bonferroni correction (red if it is more overlap than expected and blue if there is less than expected).  Bold indicates that the p-value &lt;0.001.  (C) The gene expression pattern for those clusters in (A) for additional strains at 22oC.  Note that this experiment used fewer time points and also sequencing was done with Lexogen instead of Illumina.  Due to space, the names of the strains were abbreviated as follows: hsfA1QK was labelled as hsfQ, phyA phyB cry1 cry2 was labelled as phyABcry12, and prr5 prr7 prr9 was labelled as prr579.  "/>
            <wp:cNvGraphicFramePr/>
            <a:graphic xmlns:a="http://schemas.openxmlformats.org/drawingml/2006/main">
              <a:graphicData uri="http://schemas.openxmlformats.org/drawingml/2006/picture">
                <pic:pic xmlns:pic="http://schemas.openxmlformats.org/drawingml/2006/picture">
                  <pic:nvPicPr>
                    <pic:cNvPr id="0" name="Picture" descr="figures/Figure2-dawnDynamics-v2/Figure2-dawnDynamics-v2.png"/>
                    <pic:cNvPicPr>
                      <a:picLocks noChangeAspect="1" noChangeArrowheads="1"/>
                    </pic:cNvPicPr>
                  </pic:nvPicPr>
                  <pic:blipFill>
                    <a:blip r:embed="rId11"/>
                    <a:stretch>
                      <a:fillRect/>
                    </a:stretch>
                  </pic:blipFill>
                  <pic:spPr bwMode="auto">
                    <a:xfrm>
                      <a:off x="0" y="0"/>
                      <a:ext cx="6046411" cy="4749683"/>
                    </a:xfrm>
                    <a:prstGeom prst="rect">
                      <a:avLst/>
                    </a:prstGeom>
                    <a:noFill/>
                    <a:ln w="9525">
                      <a:noFill/>
                      <a:headEnd/>
                      <a:tailEnd/>
                    </a:ln>
                  </pic:spPr>
                </pic:pic>
              </a:graphicData>
            </a:graphic>
          </wp:inline>
        </w:drawing>
      </w:r>
    </w:p>
    <w:p w14:paraId="715C325E" w14:textId="6A01404F" w:rsidR="00A35E1A" w:rsidRPr="005D6489" w:rsidRDefault="00A35E1A" w:rsidP="00A35E1A">
      <w:pPr>
        <w:pStyle w:val="ImageCaption"/>
      </w:pPr>
      <w:r w:rsidRPr="005D6489">
        <w:rPr>
          <w:rFonts w:ascii="Arial" w:hAnsi="Arial" w:cs="Arial"/>
          <w:b/>
        </w:rPr>
        <w:t xml:space="preserve">Figure 2: </w:t>
      </w:r>
      <w:r w:rsidRPr="004E0A36">
        <w:rPr>
          <w:rFonts w:ascii="Arial" w:hAnsi="Arial" w:cs="Arial"/>
          <w:b/>
          <w:bCs/>
        </w:rPr>
        <w:t>Multiple waves of gene expression at dawn</w:t>
      </w:r>
      <w:r w:rsidRPr="005D6489">
        <w:rPr>
          <w:rFonts w:ascii="Arial" w:hAnsi="Arial" w:cs="Arial"/>
        </w:rPr>
        <w:t>.  Genes encoding DNA binding proteins were clustered into 10 groups using CLUST based on their gene expression pattern at 22°C in Col-0</w:t>
      </w:r>
      <w:r w:rsidR="00E970CC">
        <w:rPr>
          <w:rFonts w:ascii="Arial" w:hAnsi="Arial" w:cs="Arial"/>
        </w:rPr>
        <w:t xml:space="preserve"> grown in short day conditions</w:t>
      </w:r>
      <w:r w:rsidRPr="005D6489">
        <w:rPr>
          <w:rFonts w:ascii="Arial" w:hAnsi="Arial" w:cs="Arial"/>
        </w:rPr>
        <w:t xml:space="preserve">.  (A) The gene expression pattern of these clusters is shown for Col-0 at both 22°C and 27°C.  (B) Previous experiments by </w:t>
      </w:r>
      <w:proofErr w:type="spellStart"/>
      <w:r w:rsidRPr="005D6489">
        <w:rPr>
          <w:rFonts w:ascii="Arial" w:hAnsi="Arial" w:cs="Arial"/>
        </w:rPr>
        <w:t>Rugnone</w:t>
      </w:r>
      <w:proofErr w:type="spellEnd"/>
      <w:r w:rsidRPr="005D6489">
        <w:rPr>
          <w:rFonts w:ascii="Arial" w:hAnsi="Arial" w:cs="Arial"/>
        </w:rPr>
        <w:t xml:space="preserve"> et al, 2013 identified genes that are sensitive to light in a time-of-day dependent way.  Many of these genes that were identified as being light induced or repressed in the day and night were also found to be expressed within the clusters in (A).  We use a table instead of a Venn </w:t>
      </w:r>
      <w:r>
        <w:rPr>
          <w:rFonts w:ascii="Arial" w:hAnsi="Arial" w:cs="Arial"/>
        </w:rPr>
        <w:t>d</w:t>
      </w:r>
      <w:r w:rsidRPr="005D6489">
        <w:rPr>
          <w:rFonts w:ascii="Arial" w:hAnsi="Arial" w:cs="Arial"/>
        </w:rPr>
        <w:t xml:space="preserve">iagram for clarity.  A </w:t>
      </w:r>
      <w:proofErr w:type="spellStart"/>
      <w:r w:rsidRPr="005D6489">
        <w:rPr>
          <w:rFonts w:ascii="Arial" w:hAnsi="Arial" w:cs="Arial"/>
        </w:rPr>
        <w:t>coloured</w:t>
      </w:r>
      <w:proofErr w:type="spellEnd"/>
      <w:r w:rsidRPr="005D6489">
        <w:rPr>
          <w:rFonts w:ascii="Arial" w:hAnsi="Arial" w:cs="Arial"/>
        </w:rPr>
        <w:t xml:space="preserve"> block indicates that there is a p-value &lt; 0.05 based on a Fisher exact test with Bonferroni correction (red if it is more overlap than expected and blue if there is less than expected).  Bold indicates that the p-value &lt;0.001.  (C) The gene expression pattern for those clusters in (A) for additional strains at 22°C.  Note that this experiment used fewer time points and </w:t>
      </w:r>
      <w:r>
        <w:rPr>
          <w:rFonts w:ascii="Arial" w:hAnsi="Arial" w:cs="Arial"/>
        </w:rPr>
        <w:t>transcripts were quantified using end-sequencing (</w:t>
      </w:r>
      <w:proofErr w:type="spellStart"/>
      <w:r>
        <w:rPr>
          <w:rFonts w:ascii="Arial" w:hAnsi="Arial" w:cs="Arial"/>
        </w:rPr>
        <w:t>QuantSeq</w:t>
      </w:r>
      <w:proofErr w:type="spellEnd"/>
      <w:r>
        <w:rPr>
          <w:rFonts w:ascii="Arial" w:hAnsi="Arial" w:cs="Arial"/>
        </w:rPr>
        <w:t xml:space="preserve"> 3’ sequencing, </w:t>
      </w:r>
      <w:proofErr w:type="spellStart"/>
      <w:r>
        <w:rPr>
          <w:rFonts w:ascii="Arial" w:hAnsi="Arial" w:cs="Arial"/>
        </w:rPr>
        <w:t>Lexogen</w:t>
      </w:r>
      <w:proofErr w:type="spellEnd"/>
      <w:r>
        <w:rPr>
          <w:rFonts w:ascii="Arial" w:hAnsi="Arial" w:cs="Arial"/>
        </w:rPr>
        <w:t>) instead of whole transcript sequencing (Illumina RNA-seq)</w:t>
      </w:r>
      <w:r w:rsidRPr="005D6489">
        <w:rPr>
          <w:rFonts w:ascii="Arial" w:hAnsi="Arial" w:cs="Arial"/>
        </w:rPr>
        <w:t xml:space="preserve">.  Due to space, the names of the strains were abbreviated as follows: hsfA1QK was labelled as </w:t>
      </w:r>
      <w:proofErr w:type="spellStart"/>
      <w:r w:rsidRPr="005D6489">
        <w:rPr>
          <w:rFonts w:ascii="Arial" w:hAnsi="Arial" w:cs="Arial"/>
        </w:rPr>
        <w:t>hsfQ</w:t>
      </w:r>
      <w:proofErr w:type="spellEnd"/>
      <w:r w:rsidRPr="005D6489">
        <w:rPr>
          <w:rFonts w:ascii="Arial" w:hAnsi="Arial" w:cs="Arial"/>
        </w:rPr>
        <w:t xml:space="preserve">, </w:t>
      </w:r>
      <w:proofErr w:type="spellStart"/>
      <w:r w:rsidRPr="005D6489">
        <w:rPr>
          <w:rFonts w:ascii="Arial" w:hAnsi="Arial" w:cs="Arial"/>
        </w:rPr>
        <w:t>phyA</w:t>
      </w:r>
      <w:proofErr w:type="spellEnd"/>
      <w:r w:rsidRPr="005D6489">
        <w:rPr>
          <w:rFonts w:ascii="Arial" w:hAnsi="Arial" w:cs="Arial"/>
        </w:rPr>
        <w:t xml:space="preserve"> </w:t>
      </w:r>
      <w:proofErr w:type="spellStart"/>
      <w:r w:rsidRPr="005D6489">
        <w:rPr>
          <w:rFonts w:ascii="Arial" w:hAnsi="Arial" w:cs="Arial"/>
        </w:rPr>
        <w:t>phyB</w:t>
      </w:r>
      <w:proofErr w:type="spellEnd"/>
      <w:r w:rsidRPr="005D6489">
        <w:rPr>
          <w:rFonts w:ascii="Arial" w:hAnsi="Arial" w:cs="Arial"/>
        </w:rPr>
        <w:t xml:space="preserve"> cry1 cry2 was labelled as phyABcry12, and prr5 prr7 prr9 was labelled as prr579.  </w:t>
      </w:r>
      <w:r w:rsidR="003E6726">
        <w:rPr>
          <w:rFonts w:ascii="Arial" w:hAnsi="Arial" w:cs="Arial"/>
        </w:rPr>
        <w:t>Note that z-scores were calculated from the gene expression values in TPM.</w:t>
      </w:r>
    </w:p>
    <w:p w14:paraId="074F1D62" w14:textId="58CF1FD7" w:rsidR="00A35E1A" w:rsidRDefault="00A35E1A" w:rsidP="00A35E1A">
      <w:pPr>
        <w:rPr>
          <w:rFonts w:ascii="Arial" w:hAnsi="Arial" w:cs="Arial"/>
          <w:i/>
        </w:rPr>
      </w:pPr>
      <w:r w:rsidRPr="005D6489">
        <w:rPr>
          <w:rFonts w:ascii="Arial" w:hAnsi="Arial" w:cs="Arial"/>
          <w:noProof/>
          <w:lang w:eastAsia="en-GB"/>
        </w:rPr>
        <w:lastRenderedPageBreak/>
        <w:drawing>
          <wp:inline distT="0" distB="0" distL="0" distR="0" wp14:anchorId="0126F513" wp14:editId="3DA57A81">
            <wp:extent cx="5545865" cy="6258021"/>
            <wp:effectExtent l="0" t="0" r="4445" b="3175"/>
            <wp:docPr id="6" name="Picture"/>
            <wp:cNvGraphicFramePr/>
            <a:graphic xmlns:a="http://schemas.openxmlformats.org/drawingml/2006/main">
              <a:graphicData uri="http://schemas.openxmlformats.org/drawingml/2006/picture">
                <pic:pic xmlns:pic="http://schemas.openxmlformats.org/drawingml/2006/picture">
                  <pic:nvPicPr>
                    <pic:cNvPr id="0" name="Picture" descr="figures/Figure3-network/Figure4-Dawn-networkRevised.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45865" cy="6258021"/>
                    </a:xfrm>
                    <a:prstGeom prst="rect">
                      <a:avLst/>
                    </a:prstGeom>
                    <a:noFill/>
                    <a:ln>
                      <a:noFill/>
                    </a:ln>
                    <a:extLst>
                      <a:ext uri="{53640926-AAD7-44D8-BBD7-CCE9431645EC}">
                        <a14:shadowObscured xmlns:a14="http://schemas.microsoft.com/office/drawing/2010/main"/>
                      </a:ext>
                    </a:extLst>
                  </pic:spPr>
                </pic:pic>
              </a:graphicData>
            </a:graphic>
          </wp:inline>
        </w:drawing>
      </w:r>
      <w:r w:rsidRPr="00924A25">
        <w:rPr>
          <w:rFonts w:ascii="Arial" w:hAnsi="Arial" w:cs="Arial"/>
          <w:b/>
          <w:i/>
        </w:rPr>
        <w:t xml:space="preserve"> </w:t>
      </w:r>
      <w:r w:rsidRPr="007D30D4">
        <w:rPr>
          <w:rFonts w:ascii="Arial" w:hAnsi="Arial" w:cs="Arial"/>
          <w:b/>
          <w:i/>
        </w:rPr>
        <w:t>Figure 3</w:t>
      </w:r>
      <w:r w:rsidRPr="007D30D4">
        <w:rPr>
          <w:rFonts w:ascii="Arial" w:hAnsi="Arial" w:cs="Arial"/>
          <w:i/>
        </w:rPr>
        <w:t xml:space="preserve">: </w:t>
      </w:r>
      <w:r w:rsidRPr="004E0A36">
        <w:rPr>
          <w:rFonts w:ascii="Arial" w:hAnsi="Arial" w:cs="Arial"/>
          <w:b/>
          <w:bCs/>
          <w:i/>
        </w:rPr>
        <w:t>Analysis of higher confidence morning gene network</w:t>
      </w:r>
      <w:r w:rsidRPr="007D30D4">
        <w:rPr>
          <w:rFonts w:ascii="Arial" w:hAnsi="Arial" w:cs="Arial"/>
          <w:i/>
        </w:rPr>
        <w:t>.  (A) This depicts the complete network of gene regulatory relationships that are predicted by dynGenie3 and consistent with DAP-</w:t>
      </w:r>
      <w:proofErr w:type="spellStart"/>
      <w:r w:rsidRPr="007D30D4">
        <w:rPr>
          <w:rFonts w:ascii="Arial" w:hAnsi="Arial" w:cs="Arial"/>
          <w:i/>
        </w:rPr>
        <w:t>seq</w:t>
      </w:r>
      <w:proofErr w:type="spellEnd"/>
      <w:r w:rsidRPr="007D30D4">
        <w:rPr>
          <w:rFonts w:ascii="Arial" w:hAnsi="Arial" w:cs="Arial"/>
          <w:i/>
        </w:rPr>
        <w:t xml:space="preserve"> data.  All genes that regulate at least one downstream target are coloured dark blue, while other genes are colour-coded by the time period in which they have maximal expression (as expressed as the average gene expression in 3 adjacent time points).  The complete network can be viewed here: </w:t>
      </w:r>
      <w:hyperlink r:id="rId13" w:history="1">
        <w:r w:rsidRPr="007D30D4">
          <w:rPr>
            <w:rStyle w:val="Hyperlink"/>
            <w:rFonts w:ascii="Arial" w:hAnsi="Arial" w:cs="Arial"/>
            <w:i/>
          </w:rPr>
          <w:t>http://www-users.york.ac.uk/~de656/dawnBurst/dawnBurst.html</w:t>
        </w:r>
      </w:hyperlink>
      <w:r w:rsidRPr="007D30D4">
        <w:rPr>
          <w:rStyle w:val="Hyperlink"/>
          <w:rFonts w:ascii="Arial" w:hAnsi="Arial" w:cs="Arial"/>
          <w:i/>
        </w:rPr>
        <w:t xml:space="preserve">. </w:t>
      </w:r>
      <w:r w:rsidRPr="007D30D4">
        <w:rPr>
          <w:rFonts w:ascii="Arial" w:hAnsi="Arial" w:cs="Arial"/>
          <w:i/>
        </w:rPr>
        <w:t xml:space="preserve">(B) This graph depicts enrichment for pairs of GO terms within the network, as determined by the </w:t>
      </w:r>
      <w:proofErr w:type="spellStart"/>
      <w:r w:rsidRPr="007D30D4">
        <w:rPr>
          <w:rFonts w:ascii="Arial" w:hAnsi="Arial" w:cs="Arial"/>
          <w:i/>
        </w:rPr>
        <w:t>PAFway</w:t>
      </w:r>
      <w:proofErr w:type="spellEnd"/>
      <w:r w:rsidRPr="007D30D4">
        <w:rPr>
          <w:rFonts w:ascii="Arial" w:hAnsi="Arial" w:cs="Arial"/>
          <w:i/>
        </w:rPr>
        <w:t xml:space="preserve"> package.  The specific upstream and downstream targets predicted for HY5 (C) and BBX31 (D) are shown.   Genes that are discussed in the text are highlighted in bold for clarity.  The colour key is the same as in (A). </w:t>
      </w:r>
    </w:p>
    <w:p w14:paraId="1D055612" w14:textId="77777777" w:rsidR="004174D0" w:rsidRDefault="004174D0" w:rsidP="00A35E1A">
      <w:pPr>
        <w:rPr>
          <w:rFonts w:ascii="Arial" w:hAnsi="Arial" w:cs="Arial"/>
          <w:i/>
        </w:rPr>
      </w:pPr>
    </w:p>
    <w:p w14:paraId="5EB4D571" w14:textId="77777777" w:rsidR="00A35E1A" w:rsidRPr="005D6489" w:rsidRDefault="00A35E1A" w:rsidP="00A35E1A">
      <w:pPr>
        <w:pStyle w:val="FigurewithCaption"/>
        <w:spacing w:line="360" w:lineRule="auto"/>
        <w:rPr>
          <w:rFonts w:ascii="Arial" w:hAnsi="Arial" w:cs="Arial"/>
        </w:rPr>
      </w:pPr>
      <w:r w:rsidRPr="005D6489">
        <w:rPr>
          <w:rFonts w:ascii="Arial" w:hAnsi="Arial" w:cs="Arial"/>
          <w:noProof/>
          <w:lang w:val="en-GB" w:eastAsia="en-GB"/>
        </w:rPr>
        <w:drawing>
          <wp:inline distT="0" distB="0" distL="0" distR="0" wp14:anchorId="2BE69F3B" wp14:editId="497761EA">
            <wp:extent cx="6024385" cy="4204151"/>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figures/Figure-5-Dawn/Figure-5-Dawn.sv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24385" cy="4204151"/>
                    </a:xfrm>
                    <a:prstGeom prst="rect">
                      <a:avLst/>
                    </a:prstGeom>
                    <a:noFill/>
                    <a:ln w="9525">
                      <a:noFill/>
                      <a:headEnd/>
                      <a:tailEnd/>
                    </a:ln>
                  </pic:spPr>
                </pic:pic>
              </a:graphicData>
            </a:graphic>
          </wp:inline>
        </w:drawing>
      </w:r>
    </w:p>
    <w:p w14:paraId="5A6D3DBF" w14:textId="15C0C565" w:rsidR="00A35E1A" w:rsidRPr="005D6489" w:rsidRDefault="00A35E1A" w:rsidP="00A35E1A">
      <w:pPr>
        <w:pStyle w:val="ImageCaption"/>
        <w:rPr>
          <w:rFonts w:ascii="Arial" w:hAnsi="Arial" w:cs="Arial"/>
        </w:rPr>
      </w:pPr>
      <w:r w:rsidRPr="005D6489">
        <w:rPr>
          <w:rFonts w:ascii="Arial" w:hAnsi="Arial" w:cs="Arial"/>
          <w:b/>
        </w:rPr>
        <w:t>Figure 4:</w:t>
      </w:r>
      <w:r w:rsidRPr="005D6489">
        <w:rPr>
          <w:rFonts w:ascii="Arial" w:hAnsi="Arial" w:cs="Arial"/>
        </w:rPr>
        <w:t xml:space="preserve"> </w:t>
      </w:r>
      <w:r w:rsidRPr="004E0A36">
        <w:rPr>
          <w:rFonts w:ascii="Arial" w:hAnsi="Arial" w:cs="Arial"/>
          <w:b/>
          <w:bCs/>
        </w:rPr>
        <w:t xml:space="preserve">Gene expression profiles for genes related to key </w:t>
      </w:r>
      <w:r w:rsidR="00E970CC" w:rsidRPr="004E0A36">
        <w:rPr>
          <w:rFonts w:ascii="Arial" w:hAnsi="Arial" w:cs="Arial"/>
          <w:b/>
          <w:bCs/>
        </w:rPr>
        <w:t xml:space="preserve">BBX/HY5 </w:t>
      </w:r>
      <w:r w:rsidRPr="004E0A36">
        <w:rPr>
          <w:rFonts w:ascii="Arial" w:hAnsi="Arial" w:cs="Arial"/>
          <w:b/>
          <w:bCs/>
        </w:rPr>
        <w:t>subnetwork</w:t>
      </w:r>
      <w:r w:rsidR="00E970CC" w:rsidRPr="004E0A36">
        <w:rPr>
          <w:rFonts w:ascii="Arial" w:hAnsi="Arial" w:cs="Arial"/>
          <w:b/>
          <w:bCs/>
        </w:rPr>
        <w:t xml:space="preserve"> in wild-type and </w:t>
      </w:r>
      <w:proofErr w:type="spellStart"/>
      <w:r w:rsidR="00E970CC" w:rsidRPr="004E0A36">
        <w:rPr>
          <w:rFonts w:ascii="Arial" w:hAnsi="Arial" w:cs="Arial"/>
          <w:b/>
          <w:bCs/>
        </w:rPr>
        <w:t>phyA</w:t>
      </w:r>
      <w:proofErr w:type="spellEnd"/>
      <w:r w:rsidR="00E970CC" w:rsidRPr="004E0A36">
        <w:rPr>
          <w:rFonts w:ascii="Arial" w:hAnsi="Arial" w:cs="Arial"/>
          <w:b/>
          <w:bCs/>
        </w:rPr>
        <w:t xml:space="preserve"> </w:t>
      </w:r>
      <w:proofErr w:type="spellStart"/>
      <w:r w:rsidR="00E970CC" w:rsidRPr="004E0A36">
        <w:rPr>
          <w:rFonts w:ascii="Arial" w:hAnsi="Arial" w:cs="Arial"/>
          <w:b/>
          <w:bCs/>
        </w:rPr>
        <w:t>phyB</w:t>
      </w:r>
      <w:proofErr w:type="spellEnd"/>
      <w:r w:rsidR="00E970CC" w:rsidRPr="004E0A36">
        <w:rPr>
          <w:rFonts w:ascii="Arial" w:hAnsi="Arial" w:cs="Arial"/>
          <w:b/>
          <w:bCs/>
        </w:rPr>
        <w:t xml:space="preserve"> cry1 cry2 seedlings</w:t>
      </w:r>
      <w:r w:rsidRPr="005D6489">
        <w:rPr>
          <w:rFonts w:ascii="Arial" w:hAnsi="Arial" w:cs="Arial"/>
        </w:rPr>
        <w:t xml:space="preserve">. </w:t>
      </w:r>
      <w:r w:rsidR="00E970CC">
        <w:rPr>
          <w:rFonts w:ascii="Arial" w:hAnsi="Arial" w:cs="Arial"/>
        </w:rPr>
        <w:t>Gene</w:t>
      </w:r>
      <w:r w:rsidR="007F7A4C">
        <w:rPr>
          <w:rFonts w:ascii="Arial" w:hAnsi="Arial" w:cs="Arial"/>
        </w:rPr>
        <w:t xml:space="preserve"> expression is </w:t>
      </w:r>
      <w:r w:rsidR="00E970CC">
        <w:rPr>
          <w:rFonts w:ascii="Arial" w:hAnsi="Arial" w:cs="Arial"/>
        </w:rPr>
        <w:t>expressed as</w:t>
      </w:r>
      <w:r w:rsidR="007F7A4C">
        <w:rPr>
          <w:rFonts w:ascii="Arial" w:hAnsi="Arial" w:cs="Arial"/>
        </w:rPr>
        <w:t xml:space="preserve"> transcripts per million (TPM)</w:t>
      </w:r>
      <w:r w:rsidR="00C02AA5">
        <w:rPr>
          <w:rFonts w:ascii="Arial" w:hAnsi="Arial" w:cs="Arial"/>
        </w:rPr>
        <w:t xml:space="preserve"> as determined by the RNA-seq experiments</w:t>
      </w:r>
      <w:r w:rsidR="007F7A4C">
        <w:rPr>
          <w:rFonts w:ascii="Arial" w:hAnsi="Arial" w:cs="Arial"/>
        </w:rPr>
        <w:t xml:space="preserve">.  </w:t>
      </w:r>
      <w:r w:rsidRPr="005D6489">
        <w:rPr>
          <w:rFonts w:ascii="Arial" w:hAnsi="Arial" w:cs="Arial"/>
        </w:rPr>
        <w:t xml:space="preserve">The </w:t>
      </w:r>
      <w:proofErr w:type="spellStart"/>
      <w:r w:rsidRPr="005D6489">
        <w:rPr>
          <w:rFonts w:ascii="Arial" w:hAnsi="Arial" w:cs="Arial"/>
        </w:rPr>
        <w:t>colour</w:t>
      </w:r>
      <w:proofErr w:type="spellEnd"/>
      <w:r w:rsidRPr="005D6489">
        <w:rPr>
          <w:rFonts w:ascii="Arial" w:hAnsi="Arial" w:cs="Arial"/>
        </w:rPr>
        <w:t xml:space="preserve"> of the box that surrounds the line plot corresponds to the corresponding element in our model of network, illustrated in the top right.  </w:t>
      </w:r>
    </w:p>
    <w:p w14:paraId="5C866552" w14:textId="1918DD20" w:rsidR="004D59F5" w:rsidRDefault="004D59F5" w:rsidP="005D6489">
      <w:pPr>
        <w:pStyle w:val="BodyText"/>
        <w:spacing w:line="360" w:lineRule="auto"/>
        <w:rPr>
          <w:rFonts w:ascii="Arial" w:hAnsi="Arial" w:cs="Arial"/>
        </w:rPr>
      </w:pPr>
    </w:p>
    <w:p w14:paraId="2F018F65" w14:textId="77777777" w:rsidR="003112D7" w:rsidRDefault="003112D7" w:rsidP="005D6489">
      <w:pPr>
        <w:pStyle w:val="BodyText"/>
        <w:spacing w:line="360" w:lineRule="auto"/>
        <w:rPr>
          <w:rFonts w:ascii="Arial" w:hAnsi="Arial" w:cs="Arial"/>
        </w:rPr>
      </w:pPr>
    </w:p>
    <w:p w14:paraId="35EB2386" w14:textId="77777777" w:rsidR="003112D7" w:rsidRDefault="003112D7" w:rsidP="005D6489">
      <w:pPr>
        <w:pStyle w:val="BodyText"/>
        <w:spacing w:line="360" w:lineRule="auto"/>
        <w:rPr>
          <w:rFonts w:ascii="Arial" w:hAnsi="Arial" w:cs="Arial"/>
        </w:rPr>
      </w:pPr>
    </w:p>
    <w:p w14:paraId="2692CAF1" w14:textId="77777777" w:rsidR="003112D7" w:rsidRDefault="003112D7" w:rsidP="005D6489">
      <w:pPr>
        <w:pStyle w:val="BodyText"/>
        <w:spacing w:line="360" w:lineRule="auto"/>
        <w:rPr>
          <w:rFonts w:ascii="Arial" w:hAnsi="Arial" w:cs="Arial"/>
        </w:rPr>
      </w:pPr>
    </w:p>
    <w:p w14:paraId="1DDE9CEF" w14:textId="77777777" w:rsidR="003112D7" w:rsidRDefault="003112D7" w:rsidP="005D6489">
      <w:pPr>
        <w:pStyle w:val="BodyText"/>
        <w:spacing w:line="360" w:lineRule="auto"/>
        <w:rPr>
          <w:rFonts w:ascii="Arial" w:hAnsi="Arial" w:cs="Arial"/>
        </w:rPr>
      </w:pPr>
    </w:p>
    <w:p w14:paraId="4546714C" w14:textId="77777777" w:rsidR="003112D7" w:rsidRDefault="003112D7" w:rsidP="005D6489">
      <w:pPr>
        <w:pStyle w:val="BodyText"/>
        <w:spacing w:line="360" w:lineRule="auto"/>
        <w:rPr>
          <w:rFonts w:ascii="Arial" w:hAnsi="Arial" w:cs="Arial"/>
        </w:rPr>
      </w:pPr>
    </w:p>
    <w:p w14:paraId="7480B943" w14:textId="77777777" w:rsidR="003112D7" w:rsidRDefault="003112D7" w:rsidP="005D6489">
      <w:pPr>
        <w:pStyle w:val="BodyText"/>
        <w:spacing w:line="360" w:lineRule="auto"/>
        <w:rPr>
          <w:rFonts w:ascii="Arial" w:hAnsi="Arial" w:cs="Arial"/>
        </w:rPr>
      </w:pPr>
    </w:p>
    <w:p w14:paraId="687C6880" w14:textId="17A68D95" w:rsidR="003112D7" w:rsidRDefault="00A42B27" w:rsidP="005D6489">
      <w:pPr>
        <w:pStyle w:val="BodyText"/>
        <w:spacing w:line="360" w:lineRule="auto"/>
        <w:rPr>
          <w:rFonts w:ascii="Arial" w:hAnsi="Arial" w:cs="Arial"/>
        </w:rPr>
      </w:pPr>
      <w:r>
        <w:rPr>
          <w:rFonts w:ascii="Arial" w:hAnsi="Arial" w:cs="Arial"/>
          <w:noProof/>
          <w:lang w:val="en-GB" w:eastAsia="en-GB"/>
        </w:rPr>
        <w:lastRenderedPageBreak/>
        <w:drawing>
          <wp:inline distT="0" distB="0" distL="0" distR="0" wp14:anchorId="6B924AB8" wp14:editId="20B166F3">
            <wp:extent cx="5896610" cy="82296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5.png"/>
                    <pic:cNvPicPr/>
                  </pic:nvPicPr>
                  <pic:blipFill>
                    <a:blip r:embed="rId15">
                      <a:extLst>
                        <a:ext uri="{28A0092B-C50C-407E-A947-70E740481C1C}">
                          <a14:useLocalDpi xmlns:a14="http://schemas.microsoft.com/office/drawing/2010/main" val="0"/>
                        </a:ext>
                      </a:extLst>
                    </a:blip>
                    <a:stretch>
                      <a:fillRect/>
                    </a:stretch>
                  </pic:blipFill>
                  <pic:spPr>
                    <a:xfrm>
                      <a:off x="0" y="0"/>
                      <a:ext cx="5896610" cy="8229600"/>
                    </a:xfrm>
                    <a:prstGeom prst="rect">
                      <a:avLst/>
                    </a:prstGeom>
                  </pic:spPr>
                </pic:pic>
              </a:graphicData>
            </a:graphic>
          </wp:inline>
        </w:drawing>
      </w:r>
    </w:p>
    <w:p w14:paraId="4837623D" w14:textId="5ACB48F8" w:rsidR="003112D7" w:rsidRPr="005D6489" w:rsidRDefault="003112D7" w:rsidP="003112D7">
      <w:pPr>
        <w:pStyle w:val="ImageCaption"/>
        <w:rPr>
          <w:rFonts w:ascii="Arial" w:hAnsi="Arial" w:cs="Arial"/>
        </w:rPr>
      </w:pPr>
      <w:r w:rsidRPr="005D6489">
        <w:rPr>
          <w:rFonts w:ascii="Arial" w:hAnsi="Arial" w:cs="Arial"/>
          <w:b/>
        </w:rPr>
        <w:lastRenderedPageBreak/>
        <w:t xml:space="preserve">Figure </w:t>
      </w:r>
      <w:r>
        <w:rPr>
          <w:rFonts w:ascii="Arial" w:hAnsi="Arial" w:cs="Arial"/>
          <w:b/>
        </w:rPr>
        <w:t>5</w:t>
      </w:r>
      <w:r w:rsidRPr="005D6489">
        <w:rPr>
          <w:rFonts w:ascii="Arial" w:hAnsi="Arial" w:cs="Arial"/>
          <w:b/>
        </w:rPr>
        <w:t>:</w:t>
      </w:r>
      <w:r w:rsidRPr="005D6489">
        <w:rPr>
          <w:rFonts w:ascii="Arial" w:hAnsi="Arial" w:cs="Arial"/>
        </w:rPr>
        <w:t xml:space="preserve"> </w:t>
      </w:r>
      <w:r w:rsidRPr="004E0A36">
        <w:rPr>
          <w:rFonts w:ascii="Arial" w:hAnsi="Arial" w:cs="Arial"/>
          <w:b/>
          <w:bCs/>
        </w:rPr>
        <w:t>Gene expression profiles monitored by qPCR for genes related to the key BBX/HY5 subnetwork</w:t>
      </w:r>
      <w:r w:rsidRPr="003112D7">
        <w:rPr>
          <w:rFonts w:ascii="Arial" w:hAnsi="Arial" w:cs="Arial"/>
        </w:rPr>
        <w:t xml:space="preserve">. Expression was </w:t>
      </w:r>
      <w:proofErr w:type="spellStart"/>
      <w:r w:rsidRPr="003112D7">
        <w:rPr>
          <w:rFonts w:ascii="Arial" w:hAnsi="Arial" w:cs="Arial"/>
        </w:rPr>
        <w:t>analysed</w:t>
      </w:r>
      <w:proofErr w:type="spellEnd"/>
      <w:r w:rsidRPr="003112D7">
        <w:rPr>
          <w:rFonts w:ascii="Arial" w:hAnsi="Arial" w:cs="Arial"/>
        </w:rPr>
        <w:t xml:space="preserve"> in 7-d-old seedlings grown in short day conditions at 22°C. Genes </w:t>
      </w:r>
      <w:proofErr w:type="spellStart"/>
      <w:r w:rsidRPr="003112D7">
        <w:rPr>
          <w:rFonts w:ascii="Arial" w:hAnsi="Arial" w:cs="Arial"/>
        </w:rPr>
        <w:t>analysed</w:t>
      </w:r>
      <w:proofErr w:type="spellEnd"/>
      <w:r w:rsidRPr="003112D7">
        <w:rPr>
          <w:rFonts w:ascii="Arial" w:hAnsi="Arial" w:cs="Arial"/>
        </w:rPr>
        <w:t xml:space="preserve"> cover </w:t>
      </w:r>
      <w:r>
        <w:rPr>
          <w:rFonts w:ascii="Arial" w:hAnsi="Arial" w:cs="Arial"/>
        </w:rPr>
        <w:t xml:space="preserve">representatives of </w:t>
      </w:r>
      <w:r w:rsidRPr="003112D7">
        <w:rPr>
          <w:rFonts w:ascii="Arial" w:hAnsi="Arial" w:cs="Arial"/>
        </w:rPr>
        <w:t>BBX set A (</w:t>
      </w:r>
      <w:r>
        <w:rPr>
          <w:rFonts w:ascii="Arial" w:hAnsi="Arial" w:cs="Arial"/>
        </w:rPr>
        <w:t>BBX16 and BBX31) (</w:t>
      </w:r>
      <w:r w:rsidRPr="003112D7">
        <w:rPr>
          <w:rFonts w:ascii="Arial" w:hAnsi="Arial" w:cs="Arial"/>
        </w:rPr>
        <w:t xml:space="preserve">A), HY5/HYH (B), BBX set B (C) and </w:t>
      </w:r>
      <w:r>
        <w:rPr>
          <w:rFonts w:ascii="Arial" w:hAnsi="Arial" w:cs="Arial"/>
        </w:rPr>
        <w:t>the</w:t>
      </w:r>
      <w:r w:rsidRPr="003112D7">
        <w:rPr>
          <w:rFonts w:ascii="Arial" w:hAnsi="Arial" w:cs="Arial"/>
        </w:rPr>
        <w:t xml:space="preserve"> putative HY5/BBX target genes</w:t>
      </w:r>
      <w:r>
        <w:rPr>
          <w:rFonts w:ascii="Arial" w:hAnsi="Arial" w:cs="Arial"/>
        </w:rPr>
        <w:t xml:space="preserve"> BBX18 and ASG4</w:t>
      </w:r>
      <w:r w:rsidRPr="003112D7">
        <w:rPr>
          <w:rFonts w:ascii="Arial" w:hAnsi="Arial" w:cs="Arial"/>
        </w:rPr>
        <w:t xml:space="preserve"> (D). </w:t>
      </w:r>
      <w:r>
        <w:rPr>
          <w:rFonts w:ascii="Arial" w:hAnsi="Arial" w:cs="Arial"/>
        </w:rPr>
        <w:t xml:space="preserve">Their expression was </w:t>
      </w:r>
      <w:proofErr w:type="spellStart"/>
      <w:r>
        <w:rPr>
          <w:rFonts w:ascii="Arial" w:hAnsi="Arial" w:cs="Arial"/>
        </w:rPr>
        <w:t>analysed</w:t>
      </w:r>
      <w:proofErr w:type="spellEnd"/>
      <w:r>
        <w:rPr>
          <w:rFonts w:ascii="Arial" w:hAnsi="Arial" w:cs="Arial"/>
        </w:rPr>
        <w:t xml:space="preserve"> during an extended night at the start of day 8 (night extension, left column), in </w:t>
      </w:r>
      <w:proofErr w:type="spellStart"/>
      <w:r>
        <w:rPr>
          <w:rFonts w:ascii="Arial" w:hAnsi="Arial" w:cs="Arial"/>
        </w:rPr>
        <w:t>phyA</w:t>
      </w:r>
      <w:proofErr w:type="spellEnd"/>
      <w:r>
        <w:rPr>
          <w:rFonts w:ascii="Arial" w:hAnsi="Arial" w:cs="Arial"/>
        </w:rPr>
        <w:t xml:space="preserve"> </w:t>
      </w:r>
      <w:proofErr w:type="spellStart"/>
      <w:r>
        <w:rPr>
          <w:rFonts w:ascii="Arial" w:hAnsi="Arial" w:cs="Arial"/>
        </w:rPr>
        <w:t>phyB</w:t>
      </w:r>
      <w:proofErr w:type="spellEnd"/>
      <w:r>
        <w:rPr>
          <w:rFonts w:ascii="Arial" w:hAnsi="Arial" w:cs="Arial"/>
        </w:rPr>
        <w:t xml:space="preserve"> cry1 cry2, prr5 prr7 prr9 and hsfa1QK mutants (middle column), in hy5 </w:t>
      </w:r>
      <w:proofErr w:type="spellStart"/>
      <w:r>
        <w:rPr>
          <w:rFonts w:ascii="Arial" w:hAnsi="Arial" w:cs="Arial"/>
        </w:rPr>
        <w:t>hyh</w:t>
      </w:r>
      <w:proofErr w:type="spellEnd"/>
      <w:r>
        <w:rPr>
          <w:rFonts w:ascii="Arial" w:hAnsi="Arial" w:cs="Arial"/>
        </w:rPr>
        <w:t xml:space="preserve"> and bbx30 bbx31 mutants and a BBX31 </w:t>
      </w:r>
      <w:proofErr w:type="spellStart"/>
      <w:r>
        <w:rPr>
          <w:rFonts w:ascii="Arial" w:hAnsi="Arial" w:cs="Arial"/>
        </w:rPr>
        <w:t>overexpressor</w:t>
      </w:r>
      <w:proofErr w:type="spellEnd"/>
      <w:r>
        <w:rPr>
          <w:rFonts w:ascii="Arial" w:hAnsi="Arial" w:cs="Arial"/>
        </w:rPr>
        <w:t xml:space="preserve"> (BBX31-Ox) line (right column). </w:t>
      </w:r>
      <w:r w:rsidRPr="003112D7">
        <w:rPr>
          <w:rFonts w:ascii="Arial" w:hAnsi="Arial" w:cs="Arial"/>
        </w:rPr>
        <w:t>Data represent the mean ± standard error of the mean (SEM) of three biological replicates.</w:t>
      </w:r>
      <w:r>
        <w:rPr>
          <w:rFonts w:ascii="Arial" w:hAnsi="Arial" w:cs="Arial"/>
        </w:rPr>
        <w:t xml:space="preserve"> Note the Col-0 pattern is shown in all panels for comparison.</w:t>
      </w:r>
      <w:r w:rsidR="00D46402" w:rsidRPr="00D46402">
        <w:t xml:space="preserve"> </w:t>
      </w:r>
      <w:r w:rsidR="00D46402" w:rsidRPr="00D46402">
        <w:rPr>
          <w:rFonts w:ascii="Arial" w:hAnsi="Arial" w:cs="Arial"/>
        </w:rPr>
        <w:t>Data for additional genes of BBX set A and four additional targets can be found in Figure S8.</w:t>
      </w:r>
    </w:p>
    <w:p w14:paraId="3B9B1089" w14:textId="77777777" w:rsidR="003112D7" w:rsidRPr="005D6489" w:rsidRDefault="003112D7" w:rsidP="005D6489">
      <w:pPr>
        <w:pStyle w:val="BodyText"/>
        <w:spacing w:line="360" w:lineRule="auto"/>
        <w:rPr>
          <w:rFonts w:ascii="Arial" w:hAnsi="Arial" w:cs="Arial"/>
        </w:rPr>
      </w:pPr>
    </w:p>
    <w:sectPr w:rsidR="003112D7" w:rsidRPr="005D6489" w:rsidSect="003112D7">
      <w:footerReference w:type="even" r:id="rId16"/>
      <w:footerReference w:type="default" r:id="rId17"/>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AD1CC" w14:textId="77777777" w:rsidR="00EE0136" w:rsidRDefault="00EE0136">
      <w:r>
        <w:separator/>
      </w:r>
    </w:p>
  </w:endnote>
  <w:endnote w:type="continuationSeparator" w:id="0">
    <w:p w14:paraId="3D01BFE7" w14:textId="77777777" w:rsidR="00EE0136" w:rsidRDefault="00EE0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1908362"/>
      <w:docPartObj>
        <w:docPartGallery w:val="Page Numbers (Bottom of Page)"/>
        <w:docPartUnique/>
      </w:docPartObj>
    </w:sdtPr>
    <w:sdtEndPr>
      <w:rPr>
        <w:rStyle w:val="PageNumber"/>
      </w:rPr>
    </w:sdtEndPr>
    <w:sdtContent>
      <w:p w14:paraId="6E01ECA4" w14:textId="699E0632" w:rsidR="004E0A36" w:rsidRDefault="004E0A36" w:rsidP="00A42B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C6B6C" w14:textId="77777777" w:rsidR="004E0A36" w:rsidRDefault="004E0A36" w:rsidP="004E0A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7069274"/>
      <w:docPartObj>
        <w:docPartGallery w:val="Page Numbers (Bottom of Page)"/>
        <w:docPartUnique/>
      </w:docPartObj>
    </w:sdtPr>
    <w:sdtEndPr>
      <w:rPr>
        <w:rStyle w:val="PageNumber"/>
      </w:rPr>
    </w:sdtEndPr>
    <w:sdtContent>
      <w:p w14:paraId="666C14E8" w14:textId="3540EBE5" w:rsidR="004E0A36" w:rsidRDefault="004E0A36" w:rsidP="00A42B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90057">
          <w:rPr>
            <w:rStyle w:val="PageNumber"/>
            <w:noProof/>
          </w:rPr>
          <w:t>2</w:t>
        </w:r>
        <w:r>
          <w:rPr>
            <w:rStyle w:val="PageNumber"/>
          </w:rPr>
          <w:fldChar w:fldCharType="end"/>
        </w:r>
      </w:p>
    </w:sdtContent>
  </w:sdt>
  <w:p w14:paraId="71A1C76A" w14:textId="77777777" w:rsidR="004E0A36" w:rsidRDefault="004E0A36" w:rsidP="004E0A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976AE" w14:textId="77777777" w:rsidR="00EE0136" w:rsidRDefault="00EE0136">
      <w:r>
        <w:separator/>
      </w:r>
    </w:p>
  </w:footnote>
  <w:footnote w:type="continuationSeparator" w:id="0">
    <w:p w14:paraId="215570BA" w14:textId="77777777" w:rsidR="00EE0136" w:rsidRDefault="00EE0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17F69BA"/>
    <w:multiLevelType w:val="multilevel"/>
    <w:tmpl w:val="7942751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2D694781"/>
    <w:multiLevelType w:val="hybridMultilevel"/>
    <w:tmpl w:val="AAC8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A82446"/>
    <w:multiLevelType w:val="multilevel"/>
    <w:tmpl w:val="6DEC980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53DE32BD"/>
    <w:multiLevelType w:val="hybridMultilevel"/>
    <w:tmpl w:val="A4562A02"/>
    <w:lvl w:ilvl="0" w:tplc="3FEEEF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3D260C"/>
    <w:multiLevelType w:val="hybridMultilevel"/>
    <w:tmpl w:val="893A18E8"/>
    <w:lvl w:ilvl="0" w:tplc="C08A1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E80C8E"/>
    <w:multiLevelType w:val="multilevel"/>
    <w:tmpl w:val="657A8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1C26BAA"/>
    <w:multiLevelType w:val="hybridMultilevel"/>
    <w:tmpl w:val="657A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937B89"/>
    <w:multiLevelType w:val="hybridMultilevel"/>
    <w:tmpl w:val="72382F8E"/>
    <w:lvl w:ilvl="0" w:tplc="694E4FE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11C8B"/>
    <w:rsid w:val="00021FC6"/>
    <w:rsid w:val="00022C14"/>
    <w:rsid w:val="00034610"/>
    <w:rsid w:val="00034E23"/>
    <w:rsid w:val="00041A6A"/>
    <w:rsid w:val="00050CC1"/>
    <w:rsid w:val="0006060A"/>
    <w:rsid w:val="00066A6F"/>
    <w:rsid w:val="00082694"/>
    <w:rsid w:val="00094880"/>
    <w:rsid w:val="00097DAE"/>
    <w:rsid w:val="000B1922"/>
    <w:rsid w:val="000B1C10"/>
    <w:rsid w:val="000C0D81"/>
    <w:rsid w:val="000C359B"/>
    <w:rsid w:val="000D2B8B"/>
    <w:rsid w:val="000E05FA"/>
    <w:rsid w:val="000E3ACA"/>
    <w:rsid w:val="000E7265"/>
    <w:rsid w:val="0010563B"/>
    <w:rsid w:val="00107467"/>
    <w:rsid w:val="00111CE2"/>
    <w:rsid w:val="00126C83"/>
    <w:rsid w:val="00141668"/>
    <w:rsid w:val="001543E8"/>
    <w:rsid w:val="00163452"/>
    <w:rsid w:val="0018044E"/>
    <w:rsid w:val="00182373"/>
    <w:rsid w:val="00184A4E"/>
    <w:rsid w:val="001A1AFA"/>
    <w:rsid w:val="001A4E8B"/>
    <w:rsid w:val="001A5655"/>
    <w:rsid w:val="001B40D1"/>
    <w:rsid w:val="001D0C0C"/>
    <w:rsid w:val="001D6712"/>
    <w:rsid w:val="001E1D93"/>
    <w:rsid w:val="001F6D4D"/>
    <w:rsid w:val="00204A55"/>
    <w:rsid w:val="00212589"/>
    <w:rsid w:val="00226274"/>
    <w:rsid w:val="00234C53"/>
    <w:rsid w:val="00251856"/>
    <w:rsid w:val="00252C7B"/>
    <w:rsid w:val="00256224"/>
    <w:rsid w:val="00260BA7"/>
    <w:rsid w:val="002652DD"/>
    <w:rsid w:val="002761A4"/>
    <w:rsid w:val="00291A8A"/>
    <w:rsid w:val="002A0F23"/>
    <w:rsid w:val="002A5348"/>
    <w:rsid w:val="002A5F0E"/>
    <w:rsid w:val="002B27AC"/>
    <w:rsid w:val="002B76BF"/>
    <w:rsid w:val="002C51DF"/>
    <w:rsid w:val="002D79E1"/>
    <w:rsid w:val="002E0970"/>
    <w:rsid w:val="002E5457"/>
    <w:rsid w:val="002F218E"/>
    <w:rsid w:val="00302271"/>
    <w:rsid w:val="003112D7"/>
    <w:rsid w:val="00321522"/>
    <w:rsid w:val="0033507B"/>
    <w:rsid w:val="00336BF5"/>
    <w:rsid w:val="00352D62"/>
    <w:rsid w:val="00353AE7"/>
    <w:rsid w:val="0035681A"/>
    <w:rsid w:val="00383E4E"/>
    <w:rsid w:val="00391F3E"/>
    <w:rsid w:val="00392BAA"/>
    <w:rsid w:val="003930AA"/>
    <w:rsid w:val="003A2DAF"/>
    <w:rsid w:val="003A5A36"/>
    <w:rsid w:val="003B5CC2"/>
    <w:rsid w:val="003C38C5"/>
    <w:rsid w:val="003D6E19"/>
    <w:rsid w:val="003E3560"/>
    <w:rsid w:val="003E6726"/>
    <w:rsid w:val="003F1AA6"/>
    <w:rsid w:val="003F5AD9"/>
    <w:rsid w:val="00400C96"/>
    <w:rsid w:val="00412015"/>
    <w:rsid w:val="00412BF8"/>
    <w:rsid w:val="004174D0"/>
    <w:rsid w:val="004336B6"/>
    <w:rsid w:val="004369D9"/>
    <w:rsid w:val="00444867"/>
    <w:rsid w:val="00453365"/>
    <w:rsid w:val="0045336D"/>
    <w:rsid w:val="00453869"/>
    <w:rsid w:val="00473757"/>
    <w:rsid w:val="00475A9D"/>
    <w:rsid w:val="004854DE"/>
    <w:rsid w:val="00485B98"/>
    <w:rsid w:val="004C47F8"/>
    <w:rsid w:val="004D3407"/>
    <w:rsid w:val="004D59F5"/>
    <w:rsid w:val="004E0A36"/>
    <w:rsid w:val="004E29B3"/>
    <w:rsid w:val="004F116D"/>
    <w:rsid w:val="004F2E1C"/>
    <w:rsid w:val="00512A1F"/>
    <w:rsid w:val="005170E3"/>
    <w:rsid w:val="00520561"/>
    <w:rsid w:val="005252B3"/>
    <w:rsid w:val="00540316"/>
    <w:rsid w:val="005467A2"/>
    <w:rsid w:val="00547200"/>
    <w:rsid w:val="00554976"/>
    <w:rsid w:val="00555146"/>
    <w:rsid w:val="0055799B"/>
    <w:rsid w:val="00561747"/>
    <w:rsid w:val="00581E9F"/>
    <w:rsid w:val="0058598B"/>
    <w:rsid w:val="00590D07"/>
    <w:rsid w:val="00593800"/>
    <w:rsid w:val="005A4E5B"/>
    <w:rsid w:val="005C5868"/>
    <w:rsid w:val="005D2BBD"/>
    <w:rsid w:val="005D6489"/>
    <w:rsid w:val="005D670F"/>
    <w:rsid w:val="005D6831"/>
    <w:rsid w:val="005F0639"/>
    <w:rsid w:val="005F063F"/>
    <w:rsid w:val="0062204C"/>
    <w:rsid w:val="006407EE"/>
    <w:rsid w:val="00640866"/>
    <w:rsid w:val="0064168E"/>
    <w:rsid w:val="00644909"/>
    <w:rsid w:val="00653821"/>
    <w:rsid w:val="00654558"/>
    <w:rsid w:val="0066233C"/>
    <w:rsid w:val="00683E4F"/>
    <w:rsid w:val="0068476B"/>
    <w:rsid w:val="00684CB8"/>
    <w:rsid w:val="00692E0C"/>
    <w:rsid w:val="006942CB"/>
    <w:rsid w:val="0069480E"/>
    <w:rsid w:val="006C17BF"/>
    <w:rsid w:val="006D6468"/>
    <w:rsid w:val="006F7B1E"/>
    <w:rsid w:val="007170A1"/>
    <w:rsid w:val="0071795E"/>
    <w:rsid w:val="00717ED2"/>
    <w:rsid w:val="00726D69"/>
    <w:rsid w:val="0073329A"/>
    <w:rsid w:val="00740530"/>
    <w:rsid w:val="007454A1"/>
    <w:rsid w:val="00755F3E"/>
    <w:rsid w:val="007611FA"/>
    <w:rsid w:val="007636BE"/>
    <w:rsid w:val="007773AB"/>
    <w:rsid w:val="00784844"/>
    <w:rsid w:val="00784D58"/>
    <w:rsid w:val="00794917"/>
    <w:rsid w:val="007A0DF8"/>
    <w:rsid w:val="007A169B"/>
    <w:rsid w:val="007A57CC"/>
    <w:rsid w:val="007A63CE"/>
    <w:rsid w:val="007A7AAF"/>
    <w:rsid w:val="007B3FF4"/>
    <w:rsid w:val="007B7CFE"/>
    <w:rsid w:val="007E0C9A"/>
    <w:rsid w:val="007F0900"/>
    <w:rsid w:val="007F3E8B"/>
    <w:rsid w:val="007F7A4C"/>
    <w:rsid w:val="00801F74"/>
    <w:rsid w:val="008206DD"/>
    <w:rsid w:val="00822729"/>
    <w:rsid w:val="00823FB5"/>
    <w:rsid w:val="008247C2"/>
    <w:rsid w:val="008318C5"/>
    <w:rsid w:val="0083511F"/>
    <w:rsid w:val="00841842"/>
    <w:rsid w:val="00843E1D"/>
    <w:rsid w:val="00862CB1"/>
    <w:rsid w:val="00866678"/>
    <w:rsid w:val="008756F8"/>
    <w:rsid w:val="00880B45"/>
    <w:rsid w:val="00891F21"/>
    <w:rsid w:val="008936B1"/>
    <w:rsid w:val="008B42BC"/>
    <w:rsid w:val="008B7823"/>
    <w:rsid w:val="008C09DA"/>
    <w:rsid w:val="008C4349"/>
    <w:rsid w:val="008C6C8F"/>
    <w:rsid w:val="008D6673"/>
    <w:rsid w:val="008D6863"/>
    <w:rsid w:val="008E10B5"/>
    <w:rsid w:val="008F0C61"/>
    <w:rsid w:val="009004D4"/>
    <w:rsid w:val="00904795"/>
    <w:rsid w:val="00906DA6"/>
    <w:rsid w:val="0090727D"/>
    <w:rsid w:val="00907CA8"/>
    <w:rsid w:val="00910317"/>
    <w:rsid w:val="009249AE"/>
    <w:rsid w:val="00924A25"/>
    <w:rsid w:val="00924DA8"/>
    <w:rsid w:val="0093015D"/>
    <w:rsid w:val="0094676E"/>
    <w:rsid w:val="009470AF"/>
    <w:rsid w:val="00953ED6"/>
    <w:rsid w:val="00956BEA"/>
    <w:rsid w:val="00961147"/>
    <w:rsid w:val="00961647"/>
    <w:rsid w:val="009622C4"/>
    <w:rsid w:val="00962AE3"/>
    <w:rsid w:val="00993A05"/>
    <w:rsid w:val="009C304E"/>
    <w:rsid w:val="009E62D9"/>
    <w:rsid w:val="009F11C9"/>
    <w:rsid w:val="00A01959"/>
    <w:rsid w:val="00A15A5F"/>
    <w:rsid w:val="00A20F53"/>
    <w:rsid w:val="00A337BA"/>
    <w:rsid w:val="00A35E1A"/>
    <w:rsid w:val="00A40C33"/>
    <w:rsid w:val="00A42B27"/>
    <w:rsid w:val="00A43211"/>
    <w:rsid w:val="00A46896"/>
    <w:rsid w:val="00A51C4C"/>
    <w:rsid w:val="00A6401E"/>
    <w:rsid w:val="00A643D7"/>
    <w:rsid w:val="00A91125"/>
    <w:rsid w:val="00A94914"/>
    <w:rsid w:val="00AB3708"/>
    <w:rsid w:val="00AB394B"/>
    <w:rsid w:val="00AB5DFC"/>
    <w:rsid w:val="00AC2B6E"/>
    <w:rsid w:val="00AC37EE"/>
    <w:rsid w:val="00AD7083"/>
    <w:rsid w:val="00AE3290"/>
    <w:rsid w:val="00AE61BB"/>
    <w:rsid w:val="00AF73FC"/>
    <w:rsid w:val="00B02243"/>
    <w:rsid w:val="00B07093"/>
    <w:rsid w:val="00B12150"/>
    <w:rsid w:val="00B12837"/>
    <w:rsid w:val="00B155E1"/>
    <w:rsid w:val="00B21C3D"/>
    <w:rsid w:val="00B22217"/>
    <w:rsid w:val="00B32186"/>
    <w:rsid w:val="00B35307"/>
    <w:rsid w:val="00B35BB9"/>
    <w:rsid w:val="00B36AA9"/>
    <w:rsid w:val="00B5029A"/>
    <w:rsid w:val="00B51301"/>
    <w:rsid w:val="00B524E4"/>
    <w:rsid w:val="00B5250F"/>
    <w:rsid w:val="00B56A60"/>
    <w:rsid w:val="00B60651"/>
    <w:rsid w:val="00B67605"/>
    <w:rsid w:val="00B74556"/>
    <w:rsid w:val="00B80E61"/>
    <w:rsid w:val="00B86B75"/>
    <w:rsid w:val="00BA10FA"/>
    <w:rsid w:val="00BA2F83"/>
    <w:rsid w:val="00BB6565"/>
    <w:rsid w:val="00BC303A"/>
    <w:rsid w:val="00BC48D5"/>
    <w:rsid w:val="00BD40B5"/>
    <w:rsid w:val="00BD73ED"/>
    <w:rsid w:val="00BE39BF"/>
    <w:rsid w:val="00BE59D4"/>
    <w:rsid w:val="00C0202E"/>
    <w:rsid w:val="00C02AA5"/>
    <w:rsid w:val="00C1498B"/>
    <w:rsid w:val="00C176BA"/>
    <w:rsid w:val="00C2486D"/>
    <w:rsid w:val="00C26540"/>
    <w:rsid w:val="00C32157"/>
    <w:rsid w:val="00C36279"/>
    <w:rsid w:val="00C36576"/>
    <w:rsid w:val="00C40F4F"/>
    <w:rsid w:val="00C433C9"/>
    <w:rsid w:val="00C44832"/>
    <w:rsid w:val="00C56E9D"/>
    <w:rsid w:val="00C710EB"/>
    <w:rsid w:val="00CA6B08"/>
    <w:rsid w:val="00CB06A0"/>
    <w:rsid w:val="00CB4D45"/>
    <w:rsid w:val="00CB6C36"/>
    <w:rsid w:val="00CC4EBD"/>
    <w:rsid w:val="00CD34FB"/>
    <w:rsid w:val="00CD4310"/>
    <w:rsid w:val="00CD5B52"/>
    <w:rsid w:val="00CE6D40"/>
    <w:rsid w:val="00D01863"/>
    <w:rsid w:val="00D07D77"/>
    <w:rsid w:val="00D14418"/>
    <w:rsid w:val="00D41D34"/>
    <w:rsid w:val="00D41DE7"/>
    <w:rsid w:val="00D46402"/>
    <w:rsid w:val="00D50423"/>
    <w:rsid w:val="00D51C55"/>
    <w:rsid w:val="00D86EFE"/>
    <w:rsid w:val="00D94636"/>
    <w:rsid w:val="00DA037C"/>
    <w:rsid w:val="00DB54BD"/>
    <w:rsid w:val="00DB5C47"/>
    <w:rsid w:val="00DC084F"/>
    <w:rsid w:val="00DC58A8"/>
    <w:rsid w:val="00DD1099"/>
    <w:rsid w:val="00DD6B9C"/>
    <w:rsid w:val="00DE362A"/>
    <w:rsid w:val="00E037F9"/>
    <w:rsid w:val="00E047BE"/>
    <w:rsid w:val="00E133E4"/>
    <w:rsid w:val="00E27D5C"/>
    <w:rsid w:val="00E315A3"/>
    <w:rsid w:val="00E33A2B"/>
    <w:rsid w:val="00E35CE8"/>
    <w:rsid w:val="00E45AAD"/>
    <w:rsid w:val="00E461CE"/>
    <w:rsid w:val="00E57328"/>
    <w:rsid w:val="00E65E43"/>
    <w:rsid w:val="00E6794C"/>
    <w:rsid w:val="00E7722C"/>
    <w:rsid w:val="00E80CC1"/>
    <w:rsid w:val="00E87980"/>
    <w:rsid w:val="00E87D20"/>
    <w:rsid w:val="00E970CC"/>
    <w:rsid w:val="00EA62AD"/>
    <w:rsid w:val="00EA66B9"/>
    <w:rsid w:val="00EB2EFB"/>
    <w:rsid w:val="00EB3F10"/>
    <w:rsid w:val="00EC193B"/>
    <w:rsid w:val="00EE0136"/>
    <w:rsid w:val="00EF0B23"/>
    <w:rsid w:val="00F13D54"/>
    <w:rsid w:val="00F14D36"/>
    <w:rsid w:val="00F16E3C"/>
    <w:rsid w:val="00F24E9C"/>
    <w:rsid w:val="00F25A7F"/>
    <w:rsid w:val="00F334D8"/>
    <w:rsid w:val="00F36C09"/>
    <w:rsid w:val="00F60690"/>
    <w:rsid w:val="00F6234C"/>
    <w:rsid w:val="00F66B4A"/>
    <w:rsid w:val="00F73159"/>
    <w:rsid w:val="00F801CA"/>
    <w:rsid w:val="00F82D6C"/>
    <w:rsid w:val="00F90057"/>
    <w:rsid w:val="00F924AA"/>
    <w:rsid w:val="00F93C0C"/>
    <w:rsid w:val="00F96D50"/>
    <w:rsid w:val="00FB17A5"/>
    <w:rsid w:val="00FB5417"/>
    <w:rsid w:val="00FF246D"/>
    <w:rsid w:val="00FF60B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0C6AB"/>
  <w15:docId w15:val="{09B9360A-3970-AE4E-9C0D-074D0089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3C0C"/>
    <w:pPr>
      <w:spacing w:after="0"/>
    </w:pPr>
    <w:rPr>
      <w:rFonts w:ascii="Times New Roman" w:eastAsia="Times New Roman" w:hAnsi="Times New Roman" w:cs="Times New Roman"/>
      <w:lang w:val="en-GB"/>
    </w:rPr>
  </w:style>
  <w:style w:type="paragraph" w:styleId="Heading1">
    <w:name w:val="heading 1"/>
    <w:basedOn w:val="Normal"/>
    <w:next w:val="BodyText"/>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BodyText"/>
    <w:uiPriority w:val="9"/>
    <w:unhideWhenUsed/>
    <w:qFormat/>
    <w:pPr>
      <w:keepNext/>
      <w:keepLines/>
      <w:spacing w:before="200"/>
      <w:outlineLvl w:val="1"/>
    </w:pPr>
    <w:rPr>
      <w:rFonts w:asciiTheme="majorHAnsi" w:eastAsiaTheme="majorEastAsia" w:hAnsiTheme="majorHAnsi" w:cstheme="majorBidi"/>
      <w:b/>
      <w:bCs/>
      <w:color w:val="4F81BD" w:themeColor="accent1"/>
      <w:sz w:val="32"/>
      <w:szCs w:val="32"/>
      <w:lang w:val="en-US"/>
    </w:rPr>
  </w:style>
  <w:style w:type="paragraph" w:styleId="Heading3">
    <w:name w:val="heading 3"/>
    <w:basedOn w:val="Normal"/>
    <w:next w:val="BodyText"/>
    <w:uiPriority w:val="9"/>
    <w:unhideWhenUsed/>
    <w:qFormat/>
    <w:pPr>
      <w:keepNext/>
      <w:keepLines/>
      <w:spacing w:before="200"/>
      <w:outlineLvl w:val="2"/>
    </w:pPr>
    <w:rPr>
      <w:rFonts w:asciiTheme="majorHAnsi" w:eastAsiaTheme="majorEastAsia" w:hAnsiTheme="majorHAnsi" w:cstheme="majorBidi"/>
      <w:b/>
      <w:bCs/>
      <w:color w:val="4F81BD" w:themeColor="accent1"/>
      <w:sz w:val="28"/>
      <w:szCs w:val="28"/>
      <w:lang w:val="en-US"/>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
      <w:bCs/>
      <w:color w:val="4F81BD" w:themeColor="accent1"/>
      <w:lang w:val="en-US"/>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
      <w:iCs/>
      <w:color w:val="4F81BD" w:themeColor="accent1"/>
      <w:lang w:val="en-US"/>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rPr>
      <w:rFonts w:asciiTheme="minorHAnsi" w:eastAsiaTheme="minorHAnsi" w:hAnsiTheme="minorHAnsi" w:cstheme="minorBidi"/>
      <w:lang w:val="en-US"/>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lang w:val="en-US"/>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pPr>
      <w:ind w:left="720" w:hanging="72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pPr>
      <w:spacing w:after="200"/>
    </w:pPr>
    <w:rPr>
      <w:rFonts w:asciiTheme="minorHAnsi" w:eastAsiaTheme="minorHAnsi" w:hAnsiTheme="minorHAnsi" w:cstheme="minorBidi"/>
      <w:lang w:val="en-US"/>
    </w:rPr>
  </w:style>
  <w:style w:type="paragraph" w:customStyle="1" w:styleId="DefinitionTerm">
    <w:name w:val="Definition Term"/>
    <w:basedOn w:val="Normal"/>
    <w:next w:val="Definition"/>
    <w:pPr>
      <w:keepNext/>
      <w:keepLines/>
    </w:pPr>
    <w:rPr>
      <w:rFonts w:asciiTheme="minorHAnsi" w:eastAsiaTheme="minorHAnsi" w:hAnsiTheme="minorHAnsi" w:cstheme="minorBidi"/>
      <w:b/>
      <w:lang w:val="en-US"/>
    </w:rPr>
  </w:style>
  <w:style w:type="paragraph" w:customStyle="1" w:styleId="Definition">
    <w:name w:val="Definition"/>
    <w:basedOn w:val="Normal"/>
    <w:pPr>
      <w:spacing w:after="200"/>
    </w:pPr>
    <w:rPr>
      <w:rFonts w:asciiTheme="minorHAnsi" w:eastAsiaTheme="minorHAnsi" w:hAnsiTheme="minorHAnsi" w:cstheme="minorBidi"/>
      <w:lang w:val="en-US"/>
    </w:rPr>
  </w:style>
  <w:style w:type="paragraph" w:styleId="Caption">
    <w:name w:val="caption"/>
    <w:basedOn w:val="Normal"/>
    <w:link w:val="CaptionChar"/>
    <w:pPr>
      <w:spacing w:after="120"/>
    </w:pPr>
    <w:rPr>
      <w:rFonts w:asciiTheme="minorHAnsi" w:eastAsiaTheme="minorHAnsi" w:hAnsiTheme="minorHAnsi" w:cstheme="minorBidi"/>
      <w:i/>
      <w:lang w:val="en-US"/>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pPr>
      <w:spacing w:after="200"/>
    </w:pPr>
    <w:rPr>
      <w:rFonts w:asciiTheme="minorHAnsi" w:eastAsiaTheme="minorHAnsi" w:hAnsiTheme="minorHAnsi" w:cstheme="minorBidi"/>
      <w:lang w:val="en-US"/>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spacing w:after="200"/>
    </w:pPr>
    <w:rPr>
      <w:rFonts w:asciiTheme="minorHAnsi" w:eastAsiaTheme="minorHAnsi" w:hAnsiTheme="minorHAnsi" w:cstheme="minorBidi"/>
      <w:lang w:val="en-US"/>
    </w:r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semiHidden/>
    <w:unhideWhenUsed/>
    <w:rsid w:val="00E037F9"/>
    <w:rPr>
      <w:rFonts w:eastAsiaTheme="minorHAnsi"/>
      <w:sz w:val="18"/>
      <w:szCs w:val="18"/>
      <w:lang w:val="en-US"/>
    </w:rPr>
  </w:style>
  <w:style w:type="character" w:customStyle="1" w:styleId="BalloonTextChar">
    <w:name w:val="Balloon Text Char"/>
    <w:basedOn w:val="DefaultParagraphFont"/>
    <w:link w:val="BalloonText"/>
    <w:semiHidden/>
    <w:rsid w:val="00E037F9"/>
    <w:rPr>
      <w:rFonts w:ascii="Times New Roman" w:hAnsi="Times New Roman" w:cs="Times New Roman"/>
      <w:sz w:val="18"/>
      <w:szCs w:val="18"/>
    </w:rPr>
  </w:style>
  <w:style w:type="character" w:styleId="CommentReference">
    <w:name w:val="annotation reference"/>
    <w:basedOn w:val="DefaultParagraphFont"/>
    <w:semiHidden/>
    <w:unhideWhenUsed/>
    <w:rsid w:val="00A40C33"/>
    <w:rPr>
      <w:sz w:val="16"/>
      <w:szCs w:val="16"/>
    </w:rPr>
  </w:style>
  <w:style w:type="paragraph" w:styleId="CommentText">
    <w:name w:val="annotation text"/>
    <w:basedOn w:val="Normal"/>
    <w:link w:val="CommentTextChar"/>
    <w:semiHidden/>
    <w:unhideWhenUsed/>
    <w:rsid w:val="00A40C33"/>
    <w:pPr>
      <w:spacing w:after="20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semiHidden/>
    <w:rsid w:val="00A40C33"/>
    <w:rPr>
      <w:sz w:val="20"/>
      <w:szCs w:val="20"/>
    </w:rPr>
  </w:style>
  <w:style w:type="paragraph" w:styleId="CommentSubject">
    <w:name w:val="annotation subject"/>
    <w:basedOn w:val="CommentText"/>
    <w:next w:val="CommentText"/>
    <w:link w:val="CommentSubjectChar"/>
    <w:semiHidden/>
    <w:unhideWhenUsed/>
    <w:rsid w:val="00A40C33"/>
    <w:rPr>
      <w:b/>
      <w:bCs/>
    </w:rPr>
  </w:style>
  <w:style w:type="character" w:customStyle="1" w:styleId="CommentSubjectChar">
    <w:name w:val="Comment Subject Char"/>
    <w:basedOn w:val="CommentTextChar"/>
    <w:link w:val="CommentSubject"/>
    <w:semiHidden/>
    <w:rsid w:val="00A40C33"/>
    <w:rPr>
      <w:b/>
      <w:bCs/>
      <w:sz w:val="20"/>
      <w:szCs w:val="20"/>
    </w:rPr>
  </w:style>
  <w:style w:type="character" w:styleId="FollowedHyperlink">
    <w:name w:val="FollowedHyperlink"/>
    <w:basedOn w:val="DefaultParagraphFont"/>
    <w:semiHidden/>
    <w:unhideWhenUsed/>
    <w:rsid w:val="00953ED6"/>
    <w:rPr>
      <w:color w:val="800080" w:themeColor="followedHyperlink"/>
      <w:u w:val="single"/>
    </w:rPr>
  </w:style>
  <w:style w:type="character" w:styleId="Emphasis">
    <w:name w:val="Emphasis"/>
    <w:basedOn w:val="DefaultParagraphFont"/>
    <w:uiPriority w:val="20"/>
    <w:qFormat/>
    <w:rsid w:val="00F93C0C"/>
    <w:rPr>
      <w:i/>
      <w:iCs/>
    </w:rPr>
  </w:style>
  <w:style w:type="character" w:customStyle="1" w:styleId="UnresolvedMention1">
    <w:name w:val="Unresolved Mention1"/>
    <w:basedOn w:val="DefaultParagraphFont"/>
    <w:uiPriority w:val="99"/>
    <w:semiHidden/>
    <w:unhideWhenUsed/>
    <w:rsid w:val="00F93C0C"/>
    <w:rPr>
      <w:color w:val="605E5C"/>
      <w:shd w:val="clear" w:color="auto" w:fill="E1DFDD"/>
    </w:rPr>
  </w:style>
  <w:style w:type="character" w:styleId="LineNumber">
    <w:name w:val="line number"/>
    <w:basedOn w:val="DefaultParagraphFont"/>
    <w:semiHidden/>
    <w:unhideWhenUsed/>
    <w:rsid w:val="00DD1099"/>
  </w:style>
  <w:style w:type="character" w:customStyle="1" w:styleId="UnresolvedMention2">
    <w:name w:val="Unresolved Mention2"/>
    <w:basedOn w:val="DefaultParagraphFont"/>
    <w:uiPriority w:val="99"/>
    <w:semiHidden/>
    <w:unhideWhenUsed/>
    <w:rsid w:val="004F2E1C"/>
    <w:rPr>
      <w:color w:val="605E5C"/>
      <w:shd w:val="clear" w:color="auto" w:fill="E1DFDD"/>
    </w:rPr>
  </w:style>
  <w:style w:type="paragraph" w:styleId="ListParagraph">
    <w:name w:val="List Paragraph"/>
    <w:basedOn w:val="Normal"/>
    <w:rsid w:val="00E133E4"/>
    <w:pPr>
      <w:ind w:left="720"/>
      <w:contextualSpacing/>
    </w:pPr>
  </w:style>
  <w:style w:type="paragraph" w:styleId="Revision">
    <w:name w:val="Revision"/>
    <w:hidden/>
    <w:semiHidden/>
    <w:rsid w:val="00F36C09"/>
    <w:pPr>
      <w:spacing w:after="0"/>
    </w:pPr>
    <w:rPr>
      <w:rFonts w:ascii="Times New Roman" w:eastAsia="Times New Roman" w:hAnsi="Times New Roman" w:cs="Times New Roman"/>
      <w:lang w:val="en-GB"/>
    </w:rPr>
  </w:style>
  <w:style w:type="paragraph" w:styleId="Footer">
    <w:name w:val="footer"/>
    <w:basedOn w:val="Normal"/>
    <w:link w:val="FooterChar"/>
    <w:unhideWhenUsed/>
    <w:rsid w:val="00453365"/>
    <w:pPr>
      <w:tabs>
        <w:tab w:val="center" w:pos="4513"/>
        <w:tab w:val="right" w:pos="9026"/>
      </w:tabs>
    </w:pPr>
  </w:style>
  <w:style w:type="character" w:customStyle="1" w:styleId="FooterChar">
    <w:name w:val="Footer Char"/>
    <w:basedOn w:val="DefaultParagraphFont"/>
    <w:link w:val="Footer"/>
    <w:rsid w:val="00453365"/>
    <w:rPr>
      <w:rFonts w:ascii="Times New Roman" w:eastAsia="Times New Roman" w:hAnsi="Times New Roman" w:cs="Times New Roman"/>
      <w:lang w:val="en-GB"/>
    </w:rPr>
  </w:style>
  <w:style w:type="character" w:styleId="PageNumber">
    <w:name w:val="page number"/>
    <w:basedOn w:val="DefaultParagraphFont"/>
    <w:semiHidden/>
    <w:unhideWhenUsed/>
    <w:rsid w:val="00453365"/>
  </w:style>
  <w:style w:type="paragraph" w:styleId="Header">
    <w:name w:val="header"/>
    <w:basedOn w:val="Normal"/>
    <w:link w:val="HeaderChar"/>
    <w:unhideWhenUsed/>
    <w:rsid w:val="004E0A36"/>
    <w:pPr>
      <w:tabs>
        <w:tab w:val="center" w:pos="4513"/>
        <w:tab w:val="right" w:pos="9026"/>
      </w:tabs>
    </w:pPr>
  </w:style>
  <w:style w:type="character" w:customStyle="1" w:styleId="HeaderChar">
    <w:name w:val="Header Char"/>
    <w:basedOn w:val="DefaultParagraphFont"/>
    <w:link w:val="Header"/>
    <w:rsid w:val="004E0A36"/>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09165">
      <w:bodyDiv w:val="1"/>
      <w:marLeft w:val="0"/>
      <w:marRight w:val="0"/>
      <w:marTop w:val="0"/>
      <w:marBottom w:val="0"/>
      <w:divBdr>
        <w:top w:val="none" w:sz="0" w:space="0" w:color="auto"/>
        <w:left w:val="none" w:sz="0" w:space="0" w:color="auto"/>
        <w:bottom w:val="none" w:sz="0" w:space="0" w:color="auto"/>
        <w:right w:val="none" w:sz="0" w:space="0" w:color="auto"/>
      </w:divBdr>
    </w:div>
    <w:div w:id="112552887">
      <w:bodyDiv w:val="1"/>
      <w:marLeft w:val="0"/>
      <w:marRight w:val="0"/>
      <w:marTop w:val="0"/>
      <w:marBottom w:val="0"/>
      <w:divBdr>
        <w:top w:val="none" w:sz="0" w:space="0" w:color="auto"/>
        <w:left w:val="none" w:sz="0" w:space="0" w:color="auto"/>
        <w:bottom w:val="none" w:sz="0" w:space="0" w:color="auto"/>
        <w:right w:val="none" w:sz="0" w:space="0" w:color="auto"/>
      </w:divBdr>
    </w:div>
    <w:div w:id="123231579">
      <w:bodyDiv w:val="1"/>
      <w:marLeft w:val="0"/>
      <w:marRight w:val="0"/>
      <w:marTop w:val="0"/>
      <w:marBottom w:val="0"/>
      <w:divBdr>
        <w:top w:val="none" w:sz="0" w:space="0" w:color="auto"/>
        <w:left w:val="none" w:sz="0" w:space="0" w:color="auto"/>
        <w:bottom w:val="none" w:sz="0" w:space="0" w:color="auto"/>
        <w:right w:val="none" w:sz="0" w:space="0" w:color="auto"/>
      </w:divBdr>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153424326">
      <w:bodyDiv w:val="1"/>
      <w:marLeft w:val="0"/>
      <w:marRight w:val="0"/>
      <w:marTop w:val="0"/>
      <w:marBottom w:val="0"/>
      <w:divBdr>
        <w:top w:val="none" w:sz="0" w:space="0" w:color="auto"/>
        <w:left w:val="none" w:sz="0" w:space="0" w:color="auto"/>
        <w:bottom w:val="none" w:sz="0" w:space="0" w:color="auto"/>
        <w:right w:val="none" w:sz="0" w:space="0" w:color="auto"/>
      </w:divBdr>
    </w:div>
    <w:div w:id="160970250">
      <w:bodyDiv w:val="1"/>
      <w:marLeft w:val="0"/>
      <w:marRight w:val="0"/>
      <w:marTop w:val="0"/>
      <w:marBottom w:val="0"/>
      <w:divBdr>
        <w:top w:val="none" w:sz="0" w:space="0" w:color="auto"/>
        <w:left w:val="none" w:sz="0" w:space="0" w:color="auto"/>
        <w:bottom w:val="none" w:sz="0" w:space="0" w:color="auto"/>
        <w:right w:val="none" w:sz="0" w:space="0" w:color="auto"/>
      </w:divBdr>
      <w:divsChild>
        <w:div w:id="86199743">
          <w:marLeft w:val="0"/>
          <w:marRight w:val="0"/>
          <w:marTop w:val="0"/>
          <w:marBottom w:val="0"/>
          <w:divBdr>
            <w:top w:val="none" w:sz="0" w:space="0" w:color="auto"/>
            <w:left w:val="none" w:sz="0" w:space="0" w:color="auto"/>
            <w:bottom w:val="none" w:sz="0" w:space="0" w:color="auto"/>
            <w:right w:val="none" w:sz="0" w:space="0" w:color="auto"/>
          </w:divBdr>
        </w:div>
        <w:div w:id="1162819044">
          <w:marLeft w:val="0"/>
          <w:marRight w:val="0"/>
          <w:marTop w:val="0"/>
          <w:marBottom w:val="0"/>
          <w:divBdr>
            <w:top w:val="none" w:sz="0" w:space="0" w:color="auto"/>
            <w:left w:val="none" w:sz="0" w:space="0" w:color="auto"/>
            <w:bottom w:val="none" w:sz="0" w:space="0" w:color="auto"/>
            <w:right w:val="none" w:sz="0" w:space="0" w:color="auto"/>
          </w:divBdr>
        </w:div>
      </w:divsChild>
    </w:div>
    <w:div w:id="194580993">
      <w:bodyDiv w:val="1"/>
      <w:marLeft w:val="0"/>
      <w:marRight w:val="0"/>
      <w:marTop w:val="0"/>
      <w:marBottom w:val="0"/>
      <w:divBdr>
        <w:top w:val="none" w:sz="0" w:space="0" w:color="auto"/>
        <w:left w:val="none" w:sz="0" w:space="0" w:color="auto"/>
        <w:bottom w:val="none" w:sz="0" w:space="0" w:color="auto"/>
        <w:right w:val="none" w:sz="0" w:space="0" w:color="auto"/>
      </w:divBdr>
    </w:div>
    <w:div w:id="283578169">
      <w:bodyDiv w:val="1"/>
      <w:marLeft w:val="0"/>
      <w:marRight w:val="0"/>
      <w:marTop w:val="0"/>
      <w:marBottom w:val="0"/>
      <w:divBdr>
        <w:top w:val="none" w:sz="0" w:space="0" w:color="auto"/>
        <w:left w:val="none" w:sz="0" w:space="0" w:color="auto"/>
        <w:bottom w:val="none" w:sz="0" w:space="0" w:color="auto"/>
        <w:right w:val="none" w:sz="0" w:space="0" w:color="auto"/>
      </w:divBdr>
    </w:div>
    <w:div w:id="295915088">
      <w:bodyDiv w:val="1"/>
      <w:marLeft w:val="0"/>
      <w:marRight w:val="0"/>
      <w:marTop w:val="0"/>
      <w:marBottom w:val="0"/>
      <w:divBdr>
        <w:top w:val="none" w:sz="0" w:space="0" w:color="auto"/>
        <w:left w:val="none" w:sz="0" w:space="0" w:color="auto"/>
        <w:bottom w:val="none" w:sz="0" w:space="0" w:color="auto"/>
        <w:right w:val="none" w:sz="0" w:space="0" w:color="auto"/>
      </w:divBdr>
    </w:div>
    <w:div w:id="541792567">
      <w:bodyDiv w:val="1"/>
      <w:marLeft w:val="0"/>
      <w:marRight w:val="0"/>
      <w:marTop w:val="0"/>
      <w:marBottom w:val="0"/>
      <w:divBdr>
        <w:top w:val="none" w:sz="0" w:space="0" w:color="auto"/>
        <w:left w:val="none" w:sz="0" w:space="0" w:color="auto"/>
        <w:bottom w:val="none" w:sz="0" w:space="0" w:color="auto"/>
        <w:right w:val="none" w:sz="0" w:space="0" w:color="auto"/>
      </w:divBdr>
    </w:div>
    <w:div w:id="553277164">
      <w:bodyDiv w:val="1"/>
      <w:marLeft w:val="0"/>
      <w:marRight w:val="0"/>
      <w:marTop w:val="0"/>
      <w:marBottom w:val="0"/>
      <w:divBdr>
        <w:top w:val="none" w:sz="0" w:space="0" w:color="auto"/>
        <w:left w:val="none" w:sz="0" w:space="0" w:color="auto"/>
        <w:bottom w:val="none" w:sz="0" w:space="0" w:color="auto"/>
        <w:right w:val="none" w:sz="0" w:space="0" w:color="auto"/>
      </w:divBdr>
    </w:div>
    <w:div w:id="593903477">
      <w:bodyDiv w:val="1"/>
      <w:marLeft w:val="0"/>
      <w:marRight w:val="0"/>
      <w:marTop w:val="0"/>
      <w:marBottom w:val="0"/>
      <w:divBdr>
        <w:top w:val="none" w:sz="0" w:space="0" w:color="auto"/>
        <w:left w:val="none" w:sz="0" w:space="0" w:color="auto"/>
        <w:bottom w:val="none" w:sz="0" w:space="0" w:color="auto"/>
        <w:right w:val="none" w:sz="0" w:space="0" w:color="auto"/>
      </w:divBdr>
      <w:divsChild>
        <w:div w:id="1006131106">
          <w:marLeft w:val="0"/>
          <w:marRight w:val="0"/>
          <w:marTop w:val="0"/>
          <w:marBottom w:val="0"/>
          <w:divBdr>
            <w:top w:val="none" w:sz="0" w:space="0" w:color="auto"/>
            <w:left w:val="none" w:sz="0" w:space="0" w:color="auto"/>
            <w:bottom w:val="none" w:sz="0" w:space="0" w:color="auto"/>
            <w:right w:val="none" w:sz="0" w:space="0" w:color="auto"/>
          </w:divBdr>
        </w:div>
        <w:div w:id="1930503031">
          <w:marLeft w:val="0"/>
          <w:marRight w:val="0"/>
          <w:marTop w:val="0"/>
          <w:marBottom w:val="0"/>
          <w:divBdr>
            <w:top w:val="none" w:sz="0" w:space="0" w:color="auto"/>
            <w:left w:val="none" w:sz="0" w:space="0" w:color="auto"/>
            <w:bottom w:val="none" w:sz="0" w:space="0" w:color="auto"/>
            <w:right w:val="none" w:sz="0" w:space="0" w:color="auto"/>
          </w:divBdr>
        </w:div>
      </w:divsChild>
    </w:div>
    <w:div w:id="644354478">
      <w:bodyDiv w:val="1"/>
      <w:marLeft w:val="0"/>
      <w:marRight w:val="0"/>
      <w:marTop w:val="0"/>
      <w:marBottom w:val="0"/>
      <w:divBdr>
        <w:top w:val="none" w:sz="0" w:space="0" w:color="auto"/>
        <w:left w:val="none" w:sz="0" w:space="0" w:color="auto"/>
        <w:bottom w:val="none" w:sz="0" w:space="0" w:color="auto"/>
        <w:right w:val="none" w:sz="0" w:space="0" w:color="auto"/>
      </w:divBdr>
    </w:div>
    <w:div w:id="691879094">
      <w:bodyDiv w:val="1"/>
      <w:marLeft w:val="0"/>
      <w:marRight w:val="0"/>
      <w:marTop w:val="0"/>
      <w:marBottom w:val="0"/>
      <w:divBdr>
        <w:top w:val="none" w:sz="0" w:space="0" w:color="auto"/>
        <w:left w:val="none" w:sz="0" w:space="0" w:color="auto"/>
        <w:bottom w:val="none" w:sz="0" w:space="0" w:color="auto"/>
        <w:right w:val="none" w:sz="0" w:space="0" w:color="auto"/>
      </w:divBdr>
    </w:div>
    <w:div w:id="741413877">
      <w:bodyDiv w:val="1"/>
      <w:marLeft w:val="0"/>
      <w:marRight w:val="0"/>
      <w:marTop w:val="0"/>
      <w:marBottom w:val="0"/>
      <w:divBdr>
        <w:top w:val="none" w:sz="0" w:space="0" w:color="auto"/>
        <w:left w:val="none" w:sz="0" w:space="0" w:color="auto"/>
        <w:bottom w:val="none" w:sz="0" w:space="0" w:color="auto"/>
        <w:right w:val="none" w:sz="0" w:space="0" w:color="auto"/>
      </w:divBdr>
    </w:div>
    <w:div w:id="1057320251">
      <w:bodyDiv w:val="1"/>
      <w:marLeft w:val="0"/>
      <w:marRight w:val="0"/>
      <w:marTop w:val="0"/>
      <w:marBottom w:val="0"/>
      <w:divBdr>
        <w:top w:val="none" w:sz="0" w:space="0" w:color="auto"/>
        <w:left w:val="none" w:sz="0" w:space="0" w:color="auto"/>
        <w:bottom w:val="none" w:sz="0" w:space="0" w:color="auto"/>
        <w:right w:val="none" w:sz="0" w:space="0" w:color="auto"/>
      </w:divBdr>
    </w:div>
    <w:div w:id="1090589478">
      <w:bodyDiv w:val="1"/>
      <w:marLeft w:val="0"/>
      <w:marRight w:val="0"/>
      <w:marTop w:val="0"/>
      <w:marBottom w:val="0"/>
      <w:divBdr>
        <w:top w:val="none" w:sz="0" w:space="0" w:color="auto"/>
        <w:left w:val="none" w:sz="0" w:space="0" w:color="auto"/>
        <w:bottom w:val="none" w:sz="0" w:space="0" w:color="auto"/>
        <w:right w:val="none" w:sz="0" w:space="0" w:color="auto"/>
      </w:divBdr>
    </w:div>
    <w:div w:id="1109203751">
      <w:bodyDiv w:val="1"/>
      <w:marLeft w:val="0"/>
      <w:marRight w:val="0"/>
      <w:marTop w:val="0"/>
      <w:marBottom w:val="0"/>
      <w:divBdr>
        <w:top w:val="none" w:sz="0" w:space="0" w:color="auto"/>
        <w:left w:val="none" w:sz="0" w:space="0" w:color="auto"/>
        <w:bottom w:val="none" w:sz="0" w:space="0" w:color="auto"/>
        <w:right w:val="none" w:sz="0" w:space="0" w:color="auto"/>
      </w:divBdr>
    </w:div>
    <w:div w:id="1213617286">
      <w:bodyDiv w:val="1"/>
      <w:marLeft w:val="0"/>
      <w:marRight w:val="0"/>
      <w:marTop w:val="0"/>
      <w:marBottom w:val="0"/>
      <w:divBdr>
        <w:top w:val="none" w:sz="0" w:space="0" w:color="auto"/>
        <w:left w:val="none" w:sz="0" w:space="0" w:color="auto"/>
        <w:bottom w:val="none" w:sz="0" w:space="0" w:color="auto"/>
        <w:right w:val="none" w:sz="0" w:space="0" w:color="auto"/>
      </w:divBdr>
    </w:div>
    <w:div w:id="1247498857">
      <w:bodyDiv w:val="1"/>
      <w:marLeft w:val="0"/>
      <w:marRight w:val="0"/>
      <w:marTop w:val="0"/>
      <w:marBottom w:val="0"/>
      <w:divBdr>
        <w:top w:val="none" w:sz="0" w:space="0" w:color="auto"/>
        <w:left w:val="none" w:sz="0" w:space="0" w:color="auto"/>
        <w:bottom w:val="none" w:sz="0" w:space="0" w:color="auto"/>
        <w:right w:val="none" w:sz="0" w:space="0" w:color="auto"/>
      </w:divBdr>
    </w:div>
    <w:div w:id="1430004929">
      <w:bodyDiv w:val="1"/>
      <w:marLeft w:val="0"/>
      <w:marRight w:val="0"/>
      <w:marTop w:val="0"/>
      <w:marBottom w:val="0"/>
      <w:divBdr>
        <w:top w:val="none" w:sz="0" w:space="0" w:color="auto"/>
        <w:left w:val="none" w:sz="0" w:space="0" w:color="auto"/>
        <w:bottom w:val="none" w:sz="0" w:space="0" w:color="auto"/>
        <w:right w:val="none" w:sz="0" w:space="0" w:color="auto"/>
      </w:divBdr>
    </w:div>
    <w:div w:id="1436293736">
      <w:bodyDiv w:val="1"/>
      <w:marLeft w:val="0"/>
      <w:marRight w:val="0"/>
      <w:marTop w:val="0"/>
      <w:marBottom w:val="0"/>
      <w:divBdr>
        <w:top w:val="none" w:sz="0" w:space="0" w:color="auto"/>
        <w:left w:val="none" w:sz="0" w:space="0" w:color="auto"/>
        <w:bottom w:val="none" w:sz="0" w:space="0" w:color="auto"/>
        <w:right w:val="none" w:sz="0" w:space="0" w:color="auto"/>
      </w:divBdr>
    </w:div>
    <w:div w:id="1477382735">
      <w:bodyDiv w:val="1"/>
      <w:marLeft w:val="0"/>
      <w:marRight w:val="0"/>
      <w:marTop w:val="0"/>
      <w:marBottom w:val="0"/>
      <w:divBdr>
        <w:top w:val="none" w:sz="0" w:space="0" w:color="auto"/>
        <w:left w:val="none" w:sz="0" w:space="0" w:color="auto"/>
        <w:bottom w:val="none" w:sz="0" w:space="0" w:color="auto"/>
        <w:right w:val="none" w:sz="0" w:space="0" w:color="auto"/>
      </w:divBdr>
    </w:div>
    <w:div w:id="1539079036">
      <w:bodyDiv w:val="1"/>
      <w:marLeft w:val="0"/>
      <w:marRight w:val="0"/>
      <w:marTop w:val="0"/>
      <w:marBottom w:val="0"/>
      <w:divBdr>
        <w:top w:val="none" w:sz="0" w:space="0" w:color="auto"/>
        <w:left w:val="none" w:sz="0" w:space="0" w:color="auto"/>
        <w:bottom w:val="none" w:sz="0" w:space="0" w:color="auto"/>
        <w:right w:val="none" w:sz="0" w:space="0" w:color="auto"/>
      </w:divBdr>
    </w:div>
    <w:div w:id="1540555941">
      <w:bodyDiv w:val="1"/>
      <w:marLeft w:val="0"/>
      <w:marRight w:val="0"/>
      <w:marTop w:val="0"/>
      <w:marBottom w:val="0"/>
      <w:divBdr>
        <w:top w:val="none" w:sz="0" w:space="0" w:color="auto"/>
        <w:left w:val="none" w:sz="0" w:space="0" w:color="auto"/>
        <w:bottom w:val="none" w:sz="0" w:space="0" w:color="auto"/>
        <w:right w:val="none" w:sz="0" w:space="0" w:color="auto"/>
      </w:divBdr>
    </w:div>
    <w:div w:id="1601911022">
      <w:bodyDiv w:val="1"/>
      <w:marLeft w:val="0"/>
      <w:marRight w:val="0"/>
      <w:marTop w:val="0"/>
      <w:marBottom w:val="0"/>
      <w:divBdr>
        <w:top w:val="none" w:sz="0" w:space="0" w:color="auto"/>
        <w:left w:val="none" w:sz="0" w:space="0" w:color="auto"/>
        <w:bottom w:val="none" w:sz="0" w:space="0" w:color="auto"/>
        <w:right w:val="none" w:sz="0" w:space="0" w:color="auto"/>
      </w:divBdr>
    </w:div>
    <w:div w:id="1651784411">
      <w:bodyDiv w:val="1"/>
      <w:marLeft w:val="0"/>
      <w:marRight w:val="0"/>
      <w:marTop w:val="0"/>
      <w:marBottom w:val="0"/>
      <w:divBdr>
        <w:top w:val="none" w:sz="0" w:space="0" w:color="auto"/>
        <w:left w:val="none" w:sz="0" w:space="0" w:color="auto"/>
        <w:bottom w:val="none" w:sz="0" w:space="0" w:color="auto"/>
        <w:right w:val="none" w:sz="0" w:space="0" w:color="auto"/>
      </w:divBdr>
    </w:div>
    <w:div w:id="1664043273">
      <w:bodyDiv w:val="1"/>
      <w:marLeft w:val="0"/>
      <w:marRight w:val="0"/>
      <w:marTop w:val="0"/>
      <w:marBottom w:val="0"/>
      <w:divBdr>
        <w:top w:val="none" w:sz="0" w:space="0" w:color="auto"/>
        <w:left w:val="none" w:sz="0" w:space="0" w:color="auto"/>
        <w:bottom w:val="none" w:sz="0" w:space="0" w:color="auto"/>
        <w:right w:val="none" w:sz="0" w:space="0" w:color="auto"/>
      </w:divBdr>
    </w:div>
    <w:div w:id="1762332077">
      <w:bodyDiv w:val="1"/>
      <w:marLeft w:val="0"/>
      <w:marRight w:val="0"/>
      <w:marTop w:val="0"/>
      <w:marBottom w:val="0"/>
      <w:divBdr>
        <w:top w:val="none" w:sz="0" w:space="0" w:color="auto"/>
        <w:left w:val="none" w:sz="0" w:space="0" w:color="auto"/>
        <w:bottom w:val="none" w:sz="0" w:space="0" w:color="auto"/>
        <w:right w:val="none" w:sz="0" w:space="0" w:color="auto"/>
      </w:divBdr>
    </w:div>
    <w:div w:id="1848473631">
      <w:bodyDiv w:val="1"/>
      <w:marLeft w:val="0"/>
      <w:marRight w:val="0"/>
      <w:marTop w:val="0"/>
      <w:marBottom w:val="0"/>
      <w:divBdr>
        <w:top w:val="none" w:sz="0" w:space="0" w:color="auto"/>
        <w:left w:val="none" w:sz="0" w:space="0" w:color="auto"/>
        <w:bottom w:val="none" w:sz="0" w:space="0" w:color="auto"/>
        <w:right w:val="none" w:sz="0" w:space="0" w:color="auto"/>
      </w:divBdr>
    </w:div>
    <w:div w:id="1950426729">
      <w:bodyDiv w:val="1"/>
      <w:marLeft w:val="0"/>
      <w:marRight w:val="0"/>
      <w:marTop w:val="0"/>
      <w:marBottom w:val="0"/>
      <w:divBdr>
        <w:top w:val="none" w:sz="0" w:space="0" w:color="auto"/>
        <w:left w:val="none" w:sz="0" w:space="0" w:color="auto"/>
        <w:bottom w:val="none" w:sz="0" w:space="0" w:color="auto"/>
        <w:right w:val="none" w:sz="0" w:space="0" w:color="auto"/>
      </w:divBdr>
    </w:div>
    <w:div w:id="1967271737">
      <w:bodyDiv w:val="1"/>
      <w:marLeft w:val="0"/>
      <w:marRight w:val="0"/>
      <w:marTop w:val="0"/>
      <w:marBottom w:val="0"/>
      <w:divBdr>
        <w:top w:val="none" w:sz="0" w:space="0" w:color="auto"/>
        <w:left w:val="none" w:sz="0" w:space="0" w:color="auto"/>
        <w:bottom w:val="none" w:sz="0" w:space="0" w:color="auto"/>
        <w:right w:val="none" w:sz="0" w:space="0" w:color="auto"/>
      </w:divBdr>
    </w:div>
    <w:div w:id="2046977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ers.york.ac.uk/~de656/dawnBurst/dawnBurst.html" TargetMode="External"/><Relationship Id="rId13" Type="http://schemas.openxmlformats.org/officeDocument/2006/relationships/hyperlink" Target="http://www-users.york.ac.uk/~de656/dawnBurst/dawnBurs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ers.york.ac.uk/~de656/dawnBurst/dawnBurst.html"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4D02-3941-43C5-A3F0-ADC321DF1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52985</Words>
  <Characters>302015</Characters>
  <Application>Microsoft Office Word</Application>
  <DocSecurity>0</DocSecurity>
  <Lines>2516</Lines>
  <Paragraphs>708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dawn burst: phytochromes and cryptochromes link light entrainment and photomorphogenesis in the early morning via the BBX family and HY5</vt:lpstr>
      <vt:lpstr>The dawn burst: phytochromes and cryptochromes link light entrainment and photomorphogenesis in the early morning via the BBX family and HY5</vt:lpstr>
    </vt:vector>
  </TitlesOfParts>
  <Company/>
  <LinksUpToDate>false</LinksUpToDate>
  <CharactersWithSpaces>354292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dawn burst: phytochromes and cryptochromes link light entrainment and photomorphogenesis in the early morning via the BBX family and HY5</dc:title>
  <dc:creator>mahiarmahjoub;martin.balcerowicz;sconde;Philip Wigge;Daphne</dc:creator>
  <cp:lastModifiedBy>Daphne Ezer</cp:lastModifiedBy>
  <cp:revision>2</cp:revision>
  <dcterms:created xsi:type="dcterms:W3CDTF">2021-02-03T11:03:00Z</dcterms:created>
  <dcterms:modified xsi:type="dcterms:W3CDTF">2021-02-03T11:03:00Z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id="jAcOB7gq"/&gt;&lt;style id="http://www.zotero.org/styles/elife" hasBibliography="1" bibliographyStyleHasBeenSet="1"/&gt;&lt;prefs&gt;&lt;pref name="fieldType" value="Field"/&gt;&lt;/prefs&gt;&lt;/data&gt;</vt:lpwstr>
  </property>
</Properties>
</file>