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4D31C" w14:textId="3F92C268" w:rsidR="00C15810" w:rsidRPr="006F0EBE" w:rsidRDefault="00083D70" w:rsidP="007B0E00">
      <w:pPr>
        <w:spacing w:after="0"/>
        <w:jc w:val="center"/>
        <w:rPr>
          <w:rFonts w:ascii="Calibri" w:eastAsia="SimSun" w:hAnsi="Calibri" w:cs="Arial"/>
          <w:sz w:val="22"/>
          <w:szCs w:val="22"/>
          <w:lang w:val="en-US" w:eastAsia="zh-CN"/>
        </w:rPr>
      </w:pPr>
      <w:r w:rsidRPr="006F0EBE">
        <w:rPr>
          <w:rFonts w:ascii="Arial" w:eastAsia="SimSun" w:hAnsi="Arial" w:cs="Arial"/>
          <w:b/>
          <w:bCs/>
          <w:kern w:val="32"/>
          <w:sz w:val="28"/>
          <w:szCs w:val="28"/>
          <w:lang w:val="en-US"/>
        </w:rPr>
        <w:t>The impact of taxa</w:t>
      </w:r>
      <w:bookmarkStart w:id="0" w:name="_GoBack"/>
      <w:bookmarkEnd w:id="0"/>
      <w:r w:rsidRPr="006F0EBE">
        <w:rPr>
          <w:rFonts w:ascii="Arial" w:eastAsia="SimSun" w:hAnsi="Arial" w:cs="Arial"/>
          <w:b/>
          <w:bCs/>
          <w:kern w:val="32"/>
          <w:sz w:val="28"/>
          <w:szCs w:val="28"/>
          <w:lang w:val="en-US"/>
        </w:rPr>
        <w:t xml:space="preserve">tion and </w:t>
      </w:r>
      <w:r w:rsidR="00632D54" w:rsidRPr="006F0EBE">
        <w:rPr>
          <w:rFonts w:ascii="Arial" w:eastAsia="SimSun" w:hAnsi="Arial" w:cs="Arial"/>
          <w:b/>
          <w:bCs/>
          <w:kern w:val="32"/>
          <w:sz w:val="28"/>
          <w:szCs w:val="28"/>
          <w:lang w:val="en-US"/>
        </w:rPr>
        <w:t xml:space="preserve">signposting </w:t>
      </w:r>
      <w:r w:rsidRPr="006F0EBE">
        <w:rPr>
          <w:rFonts w:ascii="Arial" w:eastAsia="SimSun" w:hAnsi="Arial" w:cs="Arial"/>
          <w:b/>
          <w:bCs/>
          <w:kern w:val="32"/>
          <w:sz w:val="28"/>
          <w:szCs w:val="28"/>
          <w:lang w:val="en-US"/>
        </w:rPr>
        <w:t>on diet: an online field study</w:t>
      </w:r>
      <w:r w:rsidRPr="006F0EBE" w:rsidDel="00083D70">
        <w:rPr>
          <w:rFonts w:ascii="Arial" w:hAnsi="Arial" w:cs="Arial"/>
          <w:b/>
          <w:bCs/>
          <w:sz w:val="28"/>
          <w:szCs w:val="28"/>
          <w:lang w:val="en-US" w:eastAsia="zh-CN"/>
        </w:rPr>
        <w:t xml:space="preserve"> </w:t>
      </w:r>
      <w:r w:rsidR="00CD7715" w:rsidRPr="006F0EBE">
        <w:rPr>
          <w:rFonts w:ascii="Arial" w:hAnsi="Arial" w:cs="Arial"/>
          <w:b/>
          <w:bCs/>
          <w:sz w:val="28"/>
          <w:szCs w:val="28"/>
          <w:lang w:val="en-US" w:eastAsia="zh-CN"/>
        </w:rPr>
        <w:t>with breakfast cereals and soft dri</w:t>
      </w:r>
      <w:r w:rsidR="00B93616" w:rsidRPr="006F0EBE">
        <w:rPr>
          <w:rFonts w:ascii="Arial" w:hAnsi="Arial" w:cs="Arial"/>
          <w:b/>
          <w:bCs/>
          <w:sz w:val="28"/>
          <w:szCs w:val="28"/>
          <w:lang w:val="en-US" w:eastAsia="zh-CN"/>
        </w:rPr>
        <w:t>n</w:t>
      </w:r>
      <w:r w:rsidR="00CD7715" w:rsidRPr="006F0EBE">
        <w:rPr>
          <w:rFonts w:ascii="Arial" w:hAnsi="Arial" w:cs="Arial"/>
          <w:b/>
          <w:bCs/>
          <w:sz w:val="28"/>
          <w:szCs w:val="28"/>
          <w:lang w:val="en-US" w:eastAsia="zh-CN"/>
        </w:rPr>
        <w:t>ks</w:t>
      </w:r>
    </w:p>
    <w:p w14:paraId="6FF80CFD" w14:textId="77777777" w:rsidR="00BE4584" w:rsidRDefault="00BE4584" w:rsidP="007B0E00">
      <w:pPr>
        <w:spacing w:after="0"/>
        <w:jc w:val="center"/>
        <w:rPr>
          <w:rFonts w:eastAsia="SimSun"/>
          <w:lang w:val="en-US" w:eastAsia="zh-CN"/>
        </w:rPr>
      </w:pPr>
    </w:p>
    <w:p w14:paraId="17924925" w14:textId="2767D9D6" w:rsidR="003972C2" w:rsidRPr="006F0EBE" w:rsidRDefault="009C76FA" w:rsidP="007B0E00">
      <w:pPr>
        <w:spacing w:after="0"/>
        <w:jc w:val="center"/>
        <w:rPr>
          <w:rFonts w:eastAsia="SimSun"/>
          <w:sz w:val="22"/>
          <w:szCs w:val="22"/>
          <w:lang w:val="en-US" w:eastAsia="zh-CN"/>
        </w:rPr>
      </w:pPr>
      <w:r w:rsidRPr="006F0EBE">
        <w:rPr>
          <w:rFonts w:eastAsia="SimSun"/>
          <w:lang w:val="en-US" w:eastAsia="zh-CN"/>
        </w:rPr>
        <w:t>DANIEL JOHN ZIZZO, MELANIE PARRAVANO, RYOTA NAKAMURA, SUZANNA FORWOOD AND MARC SUHRCKE</w:t>
      </w:r>
      <w:r w:rsidR="003972C2" w:rsidRPr="006F0EBE">
        <w:rPr>
          <w:rFonts w:eastAsia="SimSun"/>
          <w:sz w:val="22"/>
          <w:szCs w:val="22"/>
          <w:lang w:val="en-US" w:eastAsia="zh-CN"/>
        </w:rPr>
        <w:t>*</w:t>
      </w:r>
    </w:p>
    <w:p w14:paraId="1F8462B5" w14:textId="09B2D29C" w:rsidR="00BE4584" w:rsidRDefault="00BE4584" w:rsidP="00585926">
      <w:pPr>
        <w:spacing w:after="0"/>
        <w:ind w:right="662" w:firstLine="0"/>
        <w:rPr>
          <w:rFonts w:eastAsia="SimSun"/>
          <w:lang w:val="en-US"/>
        </w:rPr>
      </w:pPr>
    </w:p>
    <w:p w14:paraId="3E9B0EEF" w14:textId="4A8C61FF" w:rsidR="00C15810" w:rsidRPr="006F0EBE" w:rsidRDefault="00C3536E" w:rsidP="007B0E00">
      <w:pPr>
        <w:spacing w:after="0"/>
        <w:ind w:left="662" w:right="662"/>
        <w:rPr>
          <w:rFonts w:eastAsia="SimSun"/>
          <w:lang w:val="en-US" w:eastAsia="zh-CN"/>
        </w:rPr>
      </w:pPr>
      <w:r w:rsidRPr="006F0EBE">
        <w:rPr>
          <w:rFonts w:eastAsia="SimSun"/>
          <w:lang w:val="en-US"/>
        </w:rPr>
        <w:t>We present a large scale study where a</w:t>
      </w:r>
      <w:r w:rsidRPr="006F0EBE">
        <w:rPr>
          <w:rFonts w:eastAsia="SimSun"/>
          <w:lang w:val="en-US" w:eastAsia="zh-CN"/>
        </w:rPr>
        <w:t xml:space="preserve"> nationally representative sample of 1,000 participants were asked to make real purchases within an online supermarket platform. The study captured </w:t>
      </w:r>
      <w:r w:rsidR="00B93616" w:rsidRPr="006F0EBE">
        <w:rPr>
          <w:rFonts w:eastAsia="SimSun"/>
          <w:lang w:val="en-US" w:eastAsia="zh-CN"/>
        </w:rPr>
        <w:t xml:space="preserve">the effect of price changes, and of the signposting of such changes, </w:t>
      </w:r>
      <w:r w:rsidRPr="006F0EBE">
        <w:rPr>
          <w:rFonts w:eastAsia="SimSun"/>
          <w:lang w:val="en-US" w:eastAsia="zh-CN"/>
        </w:rPr>
        <w:t xml:space="preserve">for </w:t>
      </w:r>
      <w:r w:rsidR="00B93616" w:rsidRPr="006F0EBE">
        <w:rPr>
          <w:rFonts w:eastAsia="SimSun"/>
          <w:lang w:val="en-US" w:eastAsia="zh-CN"/>
        </w:rPr>
        <w:t xml:space="preserve">breakfast </w:t>
      </w:r>
      <w:r w:rsidRPr="006F0EBE">
        <w:rPr>
          <w:rFonts w:eastAsia="SimSun"/>
          <w:lang w:val="en-US" w:eastAsia="zh-CN"/>
        </w:rPr>
        <w:t xml:space="preserve">cereals and soft drinks. We find that </w:t>
      </w:r>
      <w:r w:rsidR="00B161FE" w:rsidRPr="006F0EBE">
        <w:rPr>
          <w:rFonts w:eastAsia="SimSun"/>
          <w:lang w:val="en-US" w:eastAsia="zh-CN"/>
        </w:rPr>
        <w:t>such</w:t>
      </w:r>
      <w:r w:rsidRPr="006F0EBE">
        <w:rPr>
          <w:rFonts w:eastAsia="SimSun"/>
          <w:lang w:val="en-US" w:eastAsia="zh-CN"/>
        </w:rPr>
        <w:t xml:space="preserve"> taxes are an effective means of altering food purchasing, with a 20% rate being sufficient to make a significant impact</w:t>
      </w:r>
      <w:r w:rsidR="00BA03C1" w:rsidRPr="006F0EBE">
        <w:rPr>
          <w:rFonts w:eastAsia="SimSun"/>
          <w:lang w:val="en-US" w:eastAsia="zh-CN"/>
        </w:rPr>
        <w:t xml:space="preserve"> if </w:t>
      </w:r>
      <w:r w:rsidR="009761C5" w:rsidRPr="006F0EBE">
        <w:rPr>
          <w:rFonts w:eastAsia="SimSun"/>
          <w:lang w:val="en-US" w:eastAsia="zh-CN"/>
        </w:rPr>
        <w:t xml:space="preserve">(and only if) </w:t>
      </w:r>
      <w:r w:rsidR="00BA03C1" w:rsidRPr="006F0EBE">
        <w:rPr>
          <w:rFonts w:eastAsia="SimSun"/>
          <w:lang w:val="en-US" w:eastAsia="zh-CN"/>
        </w:rPr>
        <w:t>the tax is signposted</w:t>
      </w:r>
      <w:r w:rsidRPr="006F0EBE">
        <w:rPr>
          <w:rFonts w:eastAsia="SimSun"/>
          <w:lang w:val="en-US" w:eastAsia="zh-CN"/>
        </w:rPr>
        <w:t xml:space="preserve">. Signposting represents a </w:t>
      </w:r>
      <w:r w:rsidRPr="006F0EBE">
        <w:rPr>
          <w:rFonts w:eastAsia="MS Mincho"/>
          <w:lang w:val="en-US" w:eastAsia="ja-JP"/>
        </w:rPr>
        <w:t xml:space="preserve">complementary “nudge” policy that could enhance the impact of the tax, though </w:t>
      </w:r>
      <w:r w:rsidR="00BA03C1" w:rsidRPr="006F0EBE">
        <w:rPr>
          <w:rFonts w:eastAsia="MS Mincho"/>
          <w:lang w:val="en-US" w:eastAsia="ja-JP"/>
        </w:rPr>
        <w:t>its</w:t>
      </w:r>
      <w:r w:rsidRPr="006F0EBE">
        <w:rPr>
          <w:rFonts w:eastAsia="MS Mincho"/>
          <w:lang w:val="en-US" w:eastAsia="ja-JP"/>
        </w:rPr>
        <w:t xml:space="preserve"> effectiveness depend</w:t>
      </w:r>
      <w:r w:rsidR="009761C5" w:rsidRPr="006F0EBE">
        <w:rPr>
          <w:rFonts w:eastAsia="MS Mincho"/>
          <w:lang w:val="en-US" w:eastAsia="ja-JP"/>
        </w:rPr>
        <w:t>s</w:t>
      </w:r>
      <w:r w:rsidRPr="006F0EBE">
        <w:rPr>
          <w:rFonts w:eastAsia="MS Mincho"/>
          <w:lang w:val="en-US" w:eastAsia="ja-JP"/>
        </w:rPr>
        <w:t xml:space="preserve"> on the product category.</w:t>
      </w:r>
    </w:p>
    <w:p w14:paraId="5D98B2E0" w14:textId="5FAFB288" w:rsidR="00C15810" w:rsidRPr="006F0EBE" w:rsidRDefault="00C15810" w:rsidP="00585926">
      <w:pPr>
        <w:spacing w:after="0"/>
        <w:ind w:firstLine="662"/>
        <w:rPr>
          <w:rFonts w:eastAsia="SimSun"/>
          <w:lang w:val="en-US" w:eastAsia="zh-CN"/>
        </w:rPr>
      </w:pPr>
      <w:r w:rsidRPr="006F0EBE">
        <w:rPr>
          <w:rFonts w:eastAsia="SimSun"/>
          <w:lang w:val="en-US" w:eastAsia="zh-CN"/>
        </w:rPr>
        <w:t xml:space="preserve">Keywords: </w:t>
      </w:r>
      <w:r w:rsidR="00571C68" w:rsidRPr="006F0EBE">
        <w:rPr>
          <w:rFonts w:eastAsia="SimSun"/>
          <w:lang w:val="en-US" w:eastAsia="zh-CN"/>
        </w:rPr>
        <w:t xml:space="preserve">taxes, </w:t>
      </w:r>
      <w:r w:rsidR="00632D54" w:rsidRPr="006F0EBE">
        <w:rPr>
          <w:rFonts w:eastAsia="SimSun"/>
          <w:lang w:val="en-US" w:eastAsia="zh-CN"/>
        </w:rPr>
        <w:t>signposting</w:t>
      </w:r>
      <w:r w:rsidR="00571C68" w:rsidRPr="006F0EBE">
        <w:rPr>
          <w:rFonts w:eastAsia="SimSun"/>
          <w:lang w:val="en-US" w:eastAsia="zh-CN"/>
        </w:rPr>
        <w:t>, healthy diet, nudges</w:t>
      </w:r>
      <w:r w:rsidR="001B1410" w:rsidRPr="006F0EBE">
        <w:rPr>
          <w:rFonts w:eastAsia="SimSun"/>
          <w:lang w:val="en-US" w:eastAsia="zh-CN"/>
        </w:rPr>
        <w:t>, public health</w:t>
      </w:r>
      <w:r w:rsidRPr="006F0EBE">
        <w:rPr>
          <w:rFonts w:eastAsia="SimSun"/>
          <w:lang w:val="en-US" w:eastAsia="zh-CN"/>
        </w:rPr>
        <w:t>.</w:t>
      </w:r>
    </w:p>
    <w:p w14:paraId="3B02BA74" w14:textId="72B71488" w:rsidR="001D480A" w:rsidRDefault="00C15810" w:rsidP="00D43E59">
      <w:pPr>
        <w:spacing w:after="0"/>
        <w:ind w:firstLine="662"/>
        <w:rPr>
          <w:rFonts w:eastAsia="SimSun"/>
          <w:lang w:val="en-US" w:eastAsia="zh-CN"/>
        </w:rPr>
      </w:pPr>
      <w:r w:rsidRPr="006F0EBE">
        <w:rPr>
          <w:rFonts w:eastAsia="SimSun"/>
          <w:lang w:val="en-US" w:eastAsia="zh-CN"/>
        </w:rPr>
        <w:t>JEL classification numbers:</w:t>
      </w:r>
      <w:r w:rsidR="001B1410" w:rsidRPr="006F0EBE">
        <w:rPr>
          <w:rFonts w:eastAsia="SimSun"/>
          <w:lang w:val="en-US" w:eastAsia="zh-CN"/>
        </w:rPr>
        <w:t xml:space="preserve"> C93,</w:t>
      </w:r>
      <w:r w:rsidRPr="006F0EBE">
        <w:rPr>
          <w:rFonts w:eastAsia="SimSun"/>
          <w:lang w:val="en-US" w:eastAsia="zh-CN"/>
        </w:rPr>
        <w:t xml:space="preserve"> </w:t>
      </w:r>
      <w:r w:rsidR="001B1410" w:rsidRPr="006F0EBE">
        <w:rPr>
          <w:rFonts w:eastAsia="SimSun"/>
          <w:lang w:val="en-US" w:eastAsia="zh-CN"/>
        </w:rPr>
        <w:t>D12, H31, I1</w:t>
      </w:r>
      <w:r w:rsidR="007B1650" w:rsidRPr="006F0EBE">
        <w:rPr>
          <w:rFonts w:eastAsia="SimSun"/>
          <w:lang w:val="en-US" w:eastAsia="zh-CN"/>
        </w:rPr>
        <w:t>2</w:t>
      </w:r>
      <w:r w:rsidRPr="006F0EBE">
        <w:rPr>
          <w:rFonts w:eastAsia="SimSun"/>
          <w:lang w:val="en-US" w:eastAsia="zh-CN"/>
        </w:rPr>
        <w:t>.</w:t>
      </w:r>
    </w:p>
    <w:p w14:paraId="7310E20D" w14:textId="76C03818" w:rsidR="00D43E59" w:rsidRDefault="00D43E59" w:rsidP="007B0E00">
      <w:pPr>
        <w:spacing w:after="0"/>
        <w:rPr>
          <w:rFonts w:eastAsia="SimSun"/>
          <w:sz w:val="22"/>
          <w:szCs w:val="22"/>
          <w:lang w:val="en-US" w:eastAsia="zh-CN"/>
        </w:rPr>
      </w:pPr>
    </w:p>
    <w:p w14:paraId="454F139A" w14:textId="6663B3D2" w:rsidR="00C15810" w:rsidRPr="006F0EBE" w:rsidRDefault="00C15810" w:rsidP="007B0E00">
      <w:pPr>
        <w:spacing w:after="0"/>
        <w:rPr>
          <w:rFonts w:eastAsia="SimSun"/>
          <w:sz w:val="16"/>
          <w:szCs w:val="16"/>
          <w:lang w:val="en-US" w:eastAsia="zh-CN"/>
        </w:rPr>
      </w:pPr>
      <w:r w:rsidRPr="006F0EBE">
        <w:rPr>
          <w:rFonts w:eastAsia="SimSun"/>
          <w:sz w:val="22"/>
          <w:szCs w:val="22"/>
          <w:lang w:val="en-US" w:eastAsia="zh-CN"/>
        </w:rPr>
        <w:t xml:space="preserve">* </w:t>
      </w:r>
      <w:r w:rsidR="003972C2" w:rsidRPr="006F0EBE">
        <w:rPr>
          <w:rFonts w:eastAsia="SimSun"/>
          <w:sz w:val="16"/>
          <w:szCs w:val="16"/>
          <w:lang w:val="en-US" w:eastAsia="zh-CN"/>
        </w:rPr>
        <w:t xml:space="preserve">Zizzo: </w:t>
      </w:r>
      <w:r w:rsidR="0055495A">
        <w:rPr>
          <w:rFonts w:eastAsia="SimSun"/>
          <w:sz w:val="16"/>
          <w:szCs w:val="16"/>
          <w:lang w:val="en-US" w:eastAsia="zh-CN"/>
        </w:rPr>
        <w:t>University of Queensland</w:t>
      </w:r>
      <w:r w:rsidR="003972C2" w:rsidRPr="006F0EBE">
        <w:rPr>
          <w:rFonts w:eastAsia="SimSun"/>
          <w:sz w:val="16"/>
          <w:szCs w:val="16"/>
          <w:lang w:val="en-US" w:eastAsia="zh-CN"/>
        </w:rPr>
        <w:t>; c</w:t>
      </w:r>
      <w:r w:rsidRPr="006F0EBE">
        <w:rPr>
          <w:rFonts w:eastAsia="SimSun"/>
          <w:sz w:val="16"/>
          <w:szCs w:val="16"/>
          <w:lang w:val="en-US" w:eastAsia="zh-CN"/>
        </w:rPr>
        <w:t xml:space="preserve">orresponding author. </w:t>
      </w:r>
      <w:r w:rsidRPr="004252A1">
        <w:rPr>
          <w:rFonts w:eastAsia="SimSun"/>
          <w:sz w:val="16"/>
          <w:szCs w:val="16"/>
          <w:lang w:val="it-IT" w:eastAsia="zh-CN"/>
        </w:rPr>
        <w:t>E-mail:</w:t>
      </w:r>
      <w:r w:rsidR="0055495A" w:rsidRPr="004252A1">
        <w:rPr>
          <w:rFonts w:eastAsia="SimSun"/>
          <w:sz w:val="16"/>
          <w:szCs w:val="16"/>
          <w:lang w:val="it-IT" w:eastAsia="zh-CN"/>
        </w:rPr>
        <w:t xml:space="preserve"> </w:t>
      </w:r>
      <w:hyperlink r:id="rId8" w:history="1">
        <w:r w:rsidR="0055495A" w:rsidRPr="004252A1">
          <w:rPr>
            <w:rStyle w:val="Hyperlink"/>
            <w:rFonts w:eastAsia="SimSun"/>
            <w:sz w:val="16"/>
            <w:szCs w:val="16"/>
            <w:lang w:val="it-IT" w:eastAsia="zh-CN"/>
          </w:rPr>
          <w:t>d.zizzo@uq.edu.au</w:t>
        </w:r>
      </w:hyperlink>
      <w:r w:rsidRPr="004252A1">
        <w:rPr>
          <w:rFonts w:eastAsia="SimSun"/>
          <w:sz w:val="16"/>
          <w:szCs w:val="16"/>
          <w:lang w:val="it-IT" w:eastAsia="zh-CN"/>
        </w:rPr>
        <w:t xml:space="preserve">. </w:t>
      </w:r>
      <w:r w:rsidR="003972C2" w:rsidRPr="006F0EBE">
        <w:rPr>
          <w:rFonts w:eastAsia="SimSun"/>
          <w:sz w:val="16"/>
          <w:szCs w:val="16"/>
          <w:lang w:val="en-US" w:eastAsia="zh-CN"/>
        </w:rPr>
        <w:t xml:space="preserve">Parravano: </w:t>
      </w:r>
      <w:r w:rsidR="000632D9" w:rsidRPr="006F0EBE">
        <w:rPr>
          <w:rFonts w:eastAsia="SimSun"/>
          <w:sz w:val="16"/>
          <w:szCs w:val="16"/>
          <w:lang w:val="en-US" w:eastAsia="zh-CN"/>
        </w:rPr>
        <w:t xml:space="preserve">BHRU and </w:t>
      </w:r>
      <w:r w:rsidR="00DC30DE" w:rsidRPr="006F0EBE">
        <w:rPr>
          <w:rFonts w:eastAsia="SimSun"/>
          <w:sz w:val="16"/>
          <w:szCs w:val="16"/>
          <w:lang w:val="en-US" w:eastAsia="zh-CN"/>
        </w:rPr>
        <w:t>Newcastle Universit</w:t>
      </w:r>
      <w:r w:rsidR="00776BBD" w:rsidRPr="006F0EBE">
        <w:rPr>
          <w:rFonts w:eastAsia="SimSun"/>
          <w:sz w:val="16"/>
          <w:szCs w:val="16"/>
          <w:lang w:val="en-US" w:eastAsia="zh-CN"/>
        </w:rPr>
        <w:t>y</w:t>
      </w:r>
      <w:r w:rsidR="003972C2" w:rsidRPr="006F0EBE">
        <w:rPr>
          <w:rFonts w:eastAsia="SimSun"/>
          <w:sz w:val="16"/>
          <w:szCs w:val="16"/>
          <w:lang w:val="en-US" w:eastAsia="zh-CN"/>
        </w:rPr>
        <w:t>. Nakamura</w:t>
      </w:r>
      <w:r w:rsidR="00BA4133" w:rsidRPr="006F0EBE">
        <w:rPr>
          <w:rFonts w:eastAsia="SimSun"/>
          <w:sz w:val="16"/>
          <w:szCs w:val="16"/>
          <w:lang w:val="en-US" w:eastAsia="zh-CN"/>
        </w:rPr>
        <w:t xml:space="preserve">: </w:t>
      </w:r>
      <w:proofErr w:type="spellStart"/>
      <w:r w:rsidR="00BA4133" w:rsidRPr="00A31C4A">
        <w:rPr>
          <w:sz w:val="16"/>
          <w:szCs w:val="16"/>
          <w:lang w:val="en-US" w:eastAsia="ja-JP"/>
        </w:rPr>
        <w:t>Hitotsubashi</w:t>
      </w:r>
      <w:proofErr w:type="spellEnd"/>
      <w:r w:rsidR="00BA4133" w:rsidRPr="00A31C4A">
        <w:rPr>
          <w:sz w:val="16"/>
          <w:szCs w:val="16"/>
          <w:lang w:val="en-US" w:eastAsia="ja-JP"/>
        </w:rPr>
        <w:t xml:space="preserve"> University.</w:t>
      </w:r>
      <w:r w:rsidR="003972C2" w:rsidRPr="006F0EBE">
        <w:rPr>
          <w:rFonts w:eastAsia="SimSun"/>
          <w:sz w:val="16"/>
          <w:szCs w:val="16"/>
          <w:lang w:val="en-US" w:eastAsia="zh-CN"/>
        </w:rPr>
        <w:t xml:space="preserve"> Forwood: Anglia Ruskin University. </w:t>
      </w:r>
      <w:proofErr w:type="spellStart"/>
      <w:r w:rsidR="00BA4133" w:rsidRPr="006F0EBE">
        <w:rPr>
          <w:rFonts w:eastAsia="SimSun"/>
          <w:sz w:val="16"/>
          <w:szCs w:val="16"/>
          <w:lang w:val="en-US" w:eastAsia="zh-CN"/>
        </w:rPr>
        <w:t>Suhrcke</w:t>
      </w:r>
      <w:proofErr w:type="spellEnd"/>
      <w:r w:rsidR="00BA4133" w:rsidRPr="006F0EBE">
        <w:rPr>
          <w:rFonts w:eastAsia="SimSun"/>
          <w:sz w:val="16"/>
          <w:szCs w:val="16"/>
          <w:lang w:val="en-US" w:eastAsia="zh-CN"/>
        </w:rPr>
        <w:t>: University of York</w:t>
      </w:r>
      <w:r w:rsidR="005E5C66">
        <w:rPr>
          <w:rFonts w:eastAsia="SimSun"/>
          <w:sz w:val="16"/>
          <w:szCs w:val="16"/>
          <w:lang w:val="en-US" w:eastAsia="zh-CN"/>
        </w:rPr>
        <w:t xml:space="preserve"> and Luxembourg Institute of Socio-economic Research</w:t>
      </w:r>
      <w:r w:rsidR="00BA4133" w:rsidRPr="006F0EBE">
        <w:rPr>
          <w:rFonts w:eastAsia="SimSun"/>
          <w:sz w:val="16"/>
          <w:szCs w:val="16"/>
          <w:lang w:val="en-US" w:eastAsia="zh-CN"/>
        </w:rPr>
        <w:t xml:space="preserve">. </w:t>
      </w:r>
      <w:r w:rsidR="00620D5F" w:rsidRPr="006F0EBE">
        <w:rPr>
          <w:rFonts w:eastAsia="SimSun"/>
          <w:sz w:val="16"/>
          <w:szCs w:val="16"/>
          <w:lang w:val="en-US" w:eastAsia="zh-CN"/>
        </w:rPr>
        <w:t xml:space="preserve">This report is independent research commissioned and funded by the Department of Health Policy Research </w:t>
      </w:r>
      <w:proofErr w:type="spellStart"/>
      <w:r w:rsidR="00620D5F" w:rsidRPr="006F0EBE">
        <w:rPr>
          <w:rFonts w:eastAsia="SimSun"/>
          <w:sz w:val="16"/>
          <w:szCs w:val="16"/>
          <w:lang w:val="en-US" w:eastAsia="zh-CN"/>
        </w:rPr>
        <w:t>Programme</w:t>
      </w:r>
      <w:proofErr w:type="spellEnd"/>
      <w:r w:rsidR="00620D5F" w:rsidRPr="006F0EBE">
        <w:rPr>
          <w:rFonts w:eastAsia="SimSun"/>
          <w:sz w:val="16"/>
          <w:szCs w:val="16"/>
          <w:lang w:val="en-US" w:eastAsia="zh-CN"/>
        </w:rPr>
        <w:t xml:space="preserve"> (Policy Research Unit in </w:t>
      </w:r>
      <w:proofErr w:type="spellStart"/>
      <w:r w:rsidR="00620D5F" w:rsidRPr="006F0EBE">
        <w:rPr>
          <w:rFonts w:eastAsia="SimSun"/>
          <w:sz w:val="16"/>
          <w:szCs w:val="16"/>
          <w:lang w:val="en-US" w:eastAsia="zh-CN"/>
        </w:rPr>
        <w:t>Behaviour</w:t>
      </w:r>
      <w:proofErr w:type="spellEnd"/>
      <w:r w:rsidR="00620D5F" w:rsidRPr="006F0EBE">
        <w:rPr>
          <w:rFonts w:eastAsia="SimSun"/>
          <w:sz w:val="16"/>
          <w:szCs w:val="16"/>
          <w:lang w:val="en-US" w:eastAsia="zh-CN"/>
        </w:rPr>
        <w:t xml:space="preserve"> and Health (PR-UN-0409-10109)).</w:t>
      </w:r>
      <w:r w:rsidR="00C7066F">
        <w:rPr>
          <w:rFonts w:eastAsia="SimSun"/>
          <w:sz w:val="16"/>
          <w:szCs w:val="16"/>
          <w:lang w:val="en-US" w:eastAsia="zh-CN"/>
        </w:rPr>
        <w:t xml:space="preserve"> </w:t>
      </w:r>
      <w:r w:rsidR="00620D5F" w:rsidRPr="006F0EBE">
        <w:rPr>
          <w:rFonts w:eastAsia="SimSun"/>
          <w:sz w:val="16"/>
          <w:szCs w:val="16"/>
          <w:lang w:val="en-US" w:eastAsia="zh-CN"/>
        </w:rPr>
        <w:t xml:space="preserve">The views expressed in this publication are those of the authors and not necessarily those of the Department of Health. </w:t>
      </w:r>
      <w:r w:rsidR="00983712" w:rsidRPr="006F0EBE">
        <w:rPr>
          <w:rFonts w:eastAsia="SimSun"/>
          <w:sz w:val="16"/>
          <w:szCs w:val="16"/>
          <w:lang w:val="en-US" w:eastAsia="zh-CN"/>
        </w:rPr>
        <w:t xml:space="preserve">We also gratefully acknowledge the support of </w:t>
      </w:r>
      <w:r w:rsidR="00983712" w:rsidRPr="006F0EBE">
        <w:rPr>
          <w:sz w:val="16"/>
          <w:szCs w:val="16"/>
          <w:lang w:val="en-US" w:eastAsia="ja-JP"/>
        </w:rPr>
        <w:t xml:space="preserve">the UKCRC Centre for Diet and Physical Activity Research (CEDAR) and the ESRC (Network for Integrated </w:t>
      </w:r>
      <w:proofErr w:type="spellStart"/>
      <w:r w:rsidR="00983712" w:rsidRPr="006F0EBE">
        <w:rPr>
          <w:sz w:val="16"/>
          <w:szCs w:val="16"/>
          <w:lang w:val="en-US" w:eastAsia="ja-JP"/>
        </w:rPr>
        <w:t>Behavioural</w:t>
      </w:r>
      <w:proofErr w:type="spellEnd"/>
      <w:r w:rsidR="00983712" w:rsidRPr="006F0EBE">
        <w:rPr>
          <w:sz w:val="16"/>
          <w:szCs w:val="16"/>
          <w:lang w:val="en-US" w:eastAsia="ja-JP"/>
        </w:rPr>
        <w:t xml:space="preserve"> Science, ES/K002201/1). </w:t>
      </w:r>
      <w:r w:rsidRPr="006F0EBE">
        <w:rPr>
          <w:rFonts w:eastAsia="SimSun"/>
          <w:sz w:val="16"/>
          <w:szCs w:val="16"/>
          <w:lang w:val="en-US" w:eastAsia="zh-CN"/>
        </w:rPr>
        <w:t>We thank</w:t>
      </w:r>
      <w:r w:rsidR="00E0427A">
        <w:rPr>
          <w:rFonts w:eastAsia="SimSun"/>
          <w:sz w:val="16"/>
          <w:szCs w:val="16"/>
          <w:lang w:val="en-US" w:eastAsia="zh-CN"/>
        </w:rPr>
        <w:t xml:space="preserve"> </w:t>
      </w:r>
      <w:r w:rsidR="00776BBD" w:rsidRPr="006F0EBE">
        <w:rPr>
          <w:rFonts w:eastAsia="SimSun"/>
          <w:sz w:val="16"/>
          <w:szCs w:val="16"/>
          <w:lang w:val="en-US" w:eastAsia="zh-CN"/>
        </w:rPr>
        <w:t xml:space="preserve">Susan </w:t>
      </w:r>
      <w:proofErr w:type="spellStart"/>
      <w:r w:rsidR="00776BBD" w:rsidRPr="006F0EBE">
        <w:rPr>
          <w:rFonts w:eastAsia="SimSun"/>
          <w:sz w:val="16"/>
          <w:szCs w:val="16"/>
          <w:lang w:val="en-US" w:eastAsia="zh-CN"/>
        </w:rPr>
        <w:t>Jebb</w:t>
      </w:r>
      <w:proofErr w:type="spellEnd"/>
      <w:r w:rsidR="00776BBD" w:rsidRPr="006F0EBE">
        <w:rPr>
          <w:rFonts w:eastAsia="SimSun"/>
          <w:sz w:val="16"/>
          <w:szCs w:val="16"/>
          <w:lang w:val="en-US" w:eastAsia="zh-CN"/>
        </w:rPr>
        <w:t>,</w:t>
      </w:r>
      <w:r w:rsidRPr="006F0EBE">
        <w:rPr>
          <w:rFonts w:eastAsia="SimSun"/>
          <w:sz w:val="16"/>
          <w:szCs w:val="16"/>
          <w:lang w:val="en-US" w:eastAsia="zh-CN"/>
        </w:rPr>
        <w:t xml:space="preserve"> </w:t>
      </w:r>
      <w:r w:rsidR="00031695" w:rsidRPr="006F0EBE">
        <w:rPr>
          <w:rFonts w:eastAsia="SimSun"/>
          <w:sz w:val="16"/>
          <w:szCs w:val="16"/>
          <w:lang w:val="en-US" w:eastAsia="zh-CN"/>
        </w:rPr>
        <w:t>Dan</w:t>
      </w:r>
      <w:r w:rsidR="00C04E53" w:rsidRPr="006F0EBE">
        <w:rPr>
          <w:rFonts w:eastAsia="SimSun"/>
          <w:sz w:val="16"/>
          <w:szCs w:val="16"/>
          <w:lang w:val="en-US" w:eastAsia="zh-CN"/>
        </w:rPr>
        <w:t xml:space="preserve"> </w:t>
      </w:r>
      <w:proofErr w:type="spellStart"/>
      <w:r w:rsidR="00C04E53" w:rsidRPr="006F0EBE">
        <w:rPr>
          <w:rFonts w:eastAsia="SimSun"/>
          <w:sz w:val="16"/>
          <w:szCs w:val="16"/>
          <w:lang w:val="en-US" w:eastAsia="zh-CN"/>
        </w:rPr>
        <w:t>Hamermesh</w:t>
      </w:r>
      <w:proofErr w:type="spellEnd"/>
      <w:r w:rsidR="00C04E53" w:rsidRPr="006F0EBE">
        <w:rPr>
          <w:rFonts w:eastAsia="SimSun"/>
          <w:sz w:val="16"/>
          <w:szCs w:val="16"/>
          <w:lang w:val="en-US" w:eastAsia="zh-CN"/>
        </w:rPr>
        <w:t xml:space="preserve">, </w:t>
      </w:r>
      <w:r w:rsidR="0048121C" w:rsidRPr="006F0EBE">
        <w:rPr>
          <w:rFonts w:eastAsia="SimSun"/>
          <w:sz w:val="16"/>
          <w:szCs w:val="16"/>
          <w:lang w:val="en-US" w:eastAsia="zh-CN"/>
        </w:rPr>
        <w:t xml:space="preserve">Melanie </w:t>
      </w:r>
      <w:proofErr w:type="spellStart"/>
      <w:r w:rsidR="0048121C" w:rsidRPr="006F0EBE">
        <w:rPr>
          <w:rFonts w:eastAsia="SimSun"/>
          <w:sz w:val="16"/>
          <w:szCs w:val="16"/>
          <w:lang w:val="en-US" w:eastAsia="zh-CN"/>
        </w:rPr>
        <w:t>Lührmann</w:t>
      </w:r>
      <w:proofErr w:type="spellEnd"/>
      <w:r w:rsidR="00126CDD" w:rsidRPr="006F0EBE">
        <w:rPr>
          <w:rFonts w:eastAsia="SimSun"/>
          <w:sz w:val="16"/>
          <w:szCs w:val="16"/>
          <w:lang w:val="en-US" w:eastAsia="zh-CN"/>
        </w:rPr>
        <w:t xml:space="preserve">, </w:t>
      </w:r>
      <w:r w:rsidR="003908A2" w:rsidRPr="006F0EBE">
        <w:rPr>
          <w:rFonts w:eastAsia="SimSun"/>
          <w:sz w:val="16"/>
          <w:szCs w:val="16"/>
          <w:lang w:val="en-US" w:eastAsia="zh-CN"/>
        </w:rPr>
        <w:t xml:space="preserve">Bruce Lyons, </w:t>
      </w:r>
      <w:r w:rsidR="00806F74" w:rsidRPr="006F0EBE">
        <w:rPr>
          <w:rFonts w:eastAsia="SimSun"/>
          <w:sz w:val="16"/>
          <w:szCs w:val="16"/>
          <w:lang w:val="en-US" w:eastAsia="zh-CN"/>
        </w:rPr>
        <w:t xml:space="preserve">Theresa Marteau, </w:t>
      </w:r>
      <w:r w:rsidR="003908A2" w:rsidRPr="006F0EBE">
        <w:rPr>
          <w:rFonts w:eastAsia="SimSun"/>
          <w:sz w:val="16"/>
          <w:szCs w:val="16"/>
          <w:lang w:val="en-US" w:eastAsia="zh-CN"/>
        </w:rPr>
        <w:t xml:space="preserve">Peter Moffatt, </w:t>
      </w:r>
      <w:r w:rsidR="00E83B82" w:rsidRPr="006F0EBE">
        <w:rPr>
          <w:rFonts w:eastAsia="SimSun"/>
          <w:sz w:val="16"/>
          <w:szCs w:val="16"/>
          <w:lang w:val="en-US" w:eastAsia="zh-CN"/>
        </w:rPr>
        <w:t xml:space="preserve">Moritz </w:t>
      </w:r>
      <w:proofErr w:type="spellStart"/>
      <w:r w:rsidR="00E83B82" w:rsidRPr="006F0EBE">
        <w:rPr>
          <w:rFonts w:eastAsia="SimSun"/>
          <w:sz w:val="16"/>
          <w:szCs w:val="16"/>
          <w:lang w:val="en-US" w:eastAsia="zh-CN"/>
        </w:rPr>
        <w:t>Mosenhauer</w:t>
      </w:r>
      <w:proofErr w:type="spellEnd"/>
      <w:r w:rsidR="00E83B82" w:rsidRPr="006F0EBE">
        <w:rPr>
          <w:rFonts w:eastAsia="SimSun"/>
          <w:sz w:val="16"/>
          <w:szCs w:val="16"/>
          <w:lang w:val="en-US" w:eastAsia="zh-CN"/>
        </w:rPr>
        <w:t xml:space="preserve">, </w:t>
      </w:r>
      <w:r w:rsidR="005D6025" w:rsidRPr="006F0EBE">
        <w:rPr>
          <w:rFonts w:eastAsia="SimSun"/>
          <w:sz w:val="16"/>
          <w:szCs w:val="16"/>
          <w:lang w:val="en-US" w:eastAsia="zh-CN"/>
        </w:rPr>
        <w:t xml:space="preserve">Vicki </w:t>
      </w:r>
      <w:proofErr w:type="spellStart"/>
      <w:r w:rsidR="005D6025" w:rsidRPr="006F0EBE">
        <w:rPr>
          <w:rFonts w:eastAsia="SimSun"/>
          <w:sz w:val="16"/>
          <w:szCs w:val="16"/>
          <w:lang w:val="en-US" w:eastAsia="zh-CN"/>
        </w:rPr>
        <w:t>Pyne</w:t>
      </w:r>
      <w:proofErr w:type="spellEnd"/>
      <w:r w:rsidR="005D6025" w:rsidRPr="006F0EBE">
        <w:rPr>
          <w:rFonts w:eastAsia="SimSun"/>
          <w:sz w:val="16"/>
          <w:szCs w:val="16"/>
          <w:lang w:val="en-US" w:eastAsia="zh-CN"/>
        </w:rPr>
        <w:t xml:space="preserve">, </w:t>
      </w:r>
      <w:r w:rsidR="00776BBD" w:rsidRPr="006F0EBE">
        <w:rPr>
          <w:rFonts w:eastAsia="SimSun"/>
          <w:sz w:val="16"/>
          <w:szCs w:val="16"/>
          <w:lang w:val="en-US" w:eastAsia="zh-CN"/>
        </w:rPr>
        <w:t>Martin Roland, Richard Smith</w:t>
      </w:r>
      <w:r w:rsidR="003908A2" w:rsidRPr="006F0EBE">
        <w:rPr>
          <w:rFonts w:eastAsia="SimSun"/>
          <w:sz w:val="16"/>
          <w:szCs w:val="16"/>
          <w:lang w:val="en-US" w:eastAsia="zh-CN"/>
        </w:rPr>
        <w:t>, Robert Sugden</w:t>
      </w:r>
      <w:r w:rsidR="009D5799" w:rsidRPr="006F0EBE">
        <w:rPr>
          <w:rFonts w:eastAsia="SimSun"/>
          <w:sz w:val="16"/>
          <w:szCs w:val="16"/>
          <w:lang w:val="en-US" w:eastAsia="zh-CN"/>
        </w:rPr>
        <w:t xml:space="preserve">, </w:t>
      </w:r>
      <w:proofErr w:type="spellStart"/>
      <w:r w:rsidR="009D5799" w:rsidRPr="006F0EBE">
        <w:rPr>
          <w:rFonts w:eastAsia="SimSun"/>
          <w:sz w:val="16"/>
          <w:szCs w:val="16"/>
          <w:lang w:val="en-US" w:eastAsia="zh-CN"/>
        </w:rPr>
        <w:t>Lise</w:t>
      </w:r>
      <w:proofErr w:type="spellEnd"/>
      <w:r w:rsidR="009D5799" w:rsidRPr="006F0EBE">
        <w:rPr>
          <w:rFonts w:eastAsia="SimSun"/>
          <w:sz w:val="16"/>
          <w:szCs w:val="16"/>
          <w:lang w:val="en-US" w:eastAsia="zh-CN"/>
        </w:rPr>
        <w:t xml:space="preserve"> </w:t>
      </w:r>
      <w:proofErr w:type="spellStart"/>
      <w:r w:rsidR="009D5799" w:rsidRPr="006F0EBE">
        <w:rPr>
          <w:rFonts w:eastAsia="SimSun"/>
          <w:sz w:val="16"/>
          <w:szCs w:val="16"/>
          <w:lang w:val="en-US" w:eastAsia="zh-CN"/>
        </w:rPr>
        <w:t>Vesterlund</w:t>
      </w:r>
      <w:proofErr w:type="spellEnd"/>
      <w:r w:rsidR="00D43E59">
        <w:rPr>
          <w:rFonts w:eastAsia="SimSun"/>
          <w:sz w:val="16"/>
          <w:szCs w:val="16"/>
          <w:lang w:val="en-US" w:eastAsia="zh-CN"/>
        </w:rPr>
        <w:t>, the Co-Editors handling the manuscript, two anonymous reviewers</w:t>
      </w:r>
      <w:r w:rsidR="00B93616" w:rsidRPr="006F0EBE">
        <w:rPr>
          <w:rFonts w:eastAsia="SimSun"/>
          <w:sz w:val="16"/>
          <w:szCs w:val="16"/>
          <w:lang w:val="en-US" w:eastAsia="zh-CN"/>
        </w:rPr>
        <w:t xml:space="preserve"> and </w:t>
      </w:r>
      <w:r w:rsidR="003972C2" w:rsidRPr="006F0EBE">
        <w:rPr>
          <w:rFonts w:eastAsia="SimSun"/>
          <w:sz w:val="16"/>
          <w:szCs w:val="16"/>
          <w:lang w:val="en-US" w:eastAsia="zh-CN"/>
        </w:rPr>
        <w:t xml:space="preserve">participants to presentations at </w:t>
      </w:r>
      <w:r w:rsidR="00571C68" w:rsidRPr="006F0EBE">
        <w:rPr>
          <w:rFonts w:eastAsia="SimSun"/>
          <w:sz w:val="16"/>
          <w:szCs w:val="16"/>
          <w:lang w:val="en-US" w:eastAsia="zh-CN"/>
        </w:rPr>
        <w:t xml:space="preserve">Cambridge, </w:t>
      </w:r>
      <w:r w:rsidR="00B93616" w:rsidRPr="006F0EBE">
        <w:rPr>
          <w:rFonts w:eastAsia="SimSun"/>
          <w:sz w:val="16"/>
          <w:szCs w:val="16"/>
          <w:lang w:val="en-US" w:eastAsia="zh-CN"/>
        </w:rPr>
        <w:t xml:space="preserve">East Anglia, </w:t>
      </w:r>
      <w:r w:rsidR="00083D70" w:rsidRPr="006F0EBE">
        <w:rPr>
          <w:rFonts w:eastAsia="SimSun"/>
          <w:sz w:val="16"/>
          <w:szCs w:val="16"/>
          <w:lang w:val="en-US" w:eastAsia="zh-CN"/>
        </w:rPr>
        <w:t xml:space="preserve">Essen, </w:t>
      </w:r>
      <w:r w:rsidR="0009135F" w:rsidRPr="006F0EBE">
        <w:rPr>
          <w:rFonts w:eastAsia="SimSun"/>
          <w:sz w:val="16"/>
          <w:szCs w:val="16"/>
          <w:lang w:val="en-US" w:eastAsia="zh-CN"/>
        </w:rPr>
        <w:t xml:space="preserve">Glasgow, </w:t>
      </w:r>
      <w:r w:rsidR="00613B96" w:rsidRPr="006F0EBE">
        <w:rPr>
          <w:rFonts w:eastAsia="SimSun"/>
          <w:sz w:val="16"/>
          <w:szCs w:val="16"/>
          <w:lang w:val="en-US" w:eastAsia="zh-CN"/>
        </w:rPr>
        <w:t>Malaga,</w:t>
      </w:r>
      <w:r w:rsidR="00D634BE" w:rsidRPr="006F0EBE">
        <w:rPr>
          <w:rFonts w:eastAsia="SimSun"/>
          <w:sz w:val="16"/>
          <w:szCs w:val="16"/>
          <w:lang w:val="en-US" w:eastAsia="zh-CN"/>
        </w:rPr>
        <w:t xml:space="preserve"> </w:t>
      </w:r>
      <w:r w:rsidR="00456699" w:rsidRPr="006F0EBE">
        <w:rPr>
          <w:rFonts w:eastAsia="SimSun"/>
          <w:sz w:val="16"/>
          <w:szCs w:val="16"/>
          <w:lang w:val="en-US" w:eastAsia="zh-CN"/>
        </w:rPr>
        <w:t xml:space="preserve">two </w:t>
      </w:r>
      <w:r w:rsidR="00571C68" w:rsidRPr="006F0EBE">
        <w:rPr>
          <w:rFonts w:eastAsia="SimSun"/>
          <w:sz w:val="16"/>
          <w:szCs w:val="16"/>
          <w:lang w:val="en-US" w:eastAsia="zh-CN"/>
        </w:rPr>
        <w:t>Newcastle</w:t>
      </w:r>
      <w:r w:rsidR="006710C6" w:rsidRPr="006F0EBE">
        <w:rPr>
          <w:rFonts w:eastAsia="SimSun"/>
          <w:sz w:val="16"/>
          <w:szCs w:val="16"/>
          <w:lang w:val="en-US" w:eastAsia="zh-CN"/>
        </w:rPr>
        <w:t xml:space="preserve"> seminars</w:t>
      </w:r>
      <w:r w:rsidR="00571C68" w:rsidRPr="006F0EBE">
        <w:rPr>
          <w:rFonts w:eastAsia="SimSun"/>
          <w:sz w:val="16"/>
          <w:szCs w:val="16"/>
          <w:lang w:val="en-US" w:eastAsia="zh-CN"/>
        </w:rPr>
        <w:t>, Nottingham, Reading</w:t>
      </w:r>
      <w:r w:rsidR="006710C6" w:rsidRPr="006F0EBE">
        <w:rPr>
          <w:rFonts w:eastAsia="SimSun"/>
          <w:sz w:val="16"/>
          <w:szCs w:val="16"/>
          <w:lang w:val="en-US" w:eastAsia="zh-CN"/>
        </w:rPr>
        <w:t xml:space="preserve">, </w:t>
      </w:r>
      <w:r w:rsidR="009D5799" w:rsidRPr="006F0EBE">
        <w:rPr>
          <w:rFonts w:eastAsia="SimSun"/>
          <w:sz w:val="16"/>
          <w:szCs w:val="16"/>
          <w:lang w:val="en-US" w:eastAsia="zh-CN"/>
        </w:rPr>
        <w:t xml:space="preserve">Royal Holloway, </w:t>
      </w:r>
      <w:r w:rsidR="00022CA6">
        <w:rPr>
          <w:rFonts w:eastAsia="SimSun"/>
          <w:sz w:val="16"/>
          <w:szCs w:val="16"/>
          <w:lang w:val="en-US" w:eastAsia="zh-CN"/>
        </w:rPr>
        <w:t xml:space="preserve">Toulouse, Queensland, </w:t>
      </w:r>
      <w:r w:rsidR="009D5799" w:rsidRPr="006F0EBE">
        <w:rPr>
          <w:rFonts w:eastAsia="SimSun"/>
          <w:sz w:val="16"/>
          <w:szCs w:val="16"/>
          <w:lang w:val="en-US" w:eastAsia="zh-CN"/>
        </w:rPr>
        <w:t xml:space="preserve">Washington DC (Southern Economic Association), </w:t>
      </w:r>
      <w:r w:rsidR="006710C6" w:rsidRPr="006F0EBE">
        <w:rPr>
          <w:rFonts w:eastAsia="SimSun"/>
          <w:sz w:val="16"/>
          <w:szCs w:val="16"/>
          <w:lang w:val="en-US" w:eastAsia="zh-CN"/>
        </w:rPr>
        <w:t>Wageningen</w:t>
      </w:r>
      <w:r w:rsidR="00571C68" w:rsidRPr="006F0EBE">
        <w:rPr>
          <w:rFonts w:eastAsia="SimSun"/>
          <w:sz w:val="16"/>
          <w:szCs w:val="16"/>
          <w:lang w:val="en-US" w:eastAsia="zh-CN"/>
        </w:rPr>
        <w:t xml:space="preserve"> </w:t>
      </w:r>
      <w:r w:rsidR="009D5799" w:rsidRPr="006F0EBE">
        <w:rPr>
          <w:rFonts w:eastAsia="SimSun"/>
          <w:sz w:val="16"/>
          <w:szCs w:val="16"/>
          <w:lang w:val="en-US" w:eastAsia="zh-CN"/>
        </w:rPr>
        <w:t xml:space="preserve">(SABE/IAREP) </w:t>
      </w:r>
      <w:r w:rsidR="00571C68" w:rsidRPr="006F0EBE">
        <w:rPr>
          <w:rFonts w:eastAsia="SimSun"/>
          <w:sz w:val="16"/>
          <w:szCs w:val="16"/>
          <w:lang w:val="en-US" w:eastAsia="zh-CN"/>
        </w:rPr>
        <w:t>and York for relevant encouragement and advice</w:t>
      </w:r>
      <w:r w:rsidRPr="006F0EBE">
        <w:rPr>
          <w:rFonts w:eastAsia="SimSun"/>
          <w:sz w:val="16"/>
          <w:szCs w:val="16"/>
          <w:lang w:val="en-US" w:eastAsia="zh-CN"/>
        </w:rPr>
        <w:t xml:space="preserve">. </w:t>
      </w:r>
      <w:r w:rsidR="0020271E" w:rsidRPr="006F0EBE">
        <w:rPr>
          <w:rFonts w:eastAsia="SimSun"/>
          <w:sz w:val="16"/>
          <w:szCs w:val="16"/>
          <w:lang w:val="en-US" w:eastAsia="zh-CN"/>
        </w:rPr>
        <w:t xml:space="preserve">We also thank </w:t>
      </w:r>
      <w:proofErr w:type="spellStart"/>
      <w:r w:rsidR="003C6E6E" w:rsidRPr="006F0EBE">
        <w:rPr>
          <w:rFonts w:eastAsia="SimSun"/>
          <w:sz w:val="16"/>
          <w:szCs w:val="16"/>
          <w:lang w:val="en-US" w:eastAsia="zh-CN"/>
        </w:rPr>
        <w:t>Ka</w:t>
      </w:r>
      <w:r w:rsidR="00875CBE" w:rsidRPr="006F0EBE">
        <w:rPr>
          <w:rFonts w:eastAsia="SimSun"/>
          <w:sz w:val="16"/>
          <w:szCs w:val="16"/>
          <w:lang w:val="en-US" w:eastAsia="zh-CN"/>
        </w:rPr>
        <w:t>j</w:t>
      </w:r>
      <w:r w:rsidR="003C6E6E" w:rsidRPr="006F0EBE">
        <w:rPr>
          <w:rFonts w:eastAsia="SimSun"/>
          <w:sz w:val="16"/>
          <w:szCs w:val="16"/>
          <w:lang w:val="en-US" w:eastAsia="zh-CN"/>
        </w:rPr>
        <w:t>sa</w:t>
      </w:r>
      <w:proofErr w:type="spellEnd"/>
      <w:r w:rsidR="003C6E6E" w:rsidRPr="006F0EBE">
        <w:rPr>
          <w:rFonts w:eastAsia="SimSun"/>
          <w:sz w:val="16"/>
          <w:szCs w:val="16"/>
          <w:lang w:val="en-US" w:eastAsia="zh-CN"/>
        </w:rPr>
        <w:t xml:space="preserve"> Berg and </w:t>
      </w:r>
      <w:r w:rsidR="0020271E" w:rsidRPr="006F0EBE">
        <w:rPr>
          <w:rFonts w:eastAsia="SimSun"/>
          <w:sz w:val="16"/>
          <w:szCs w:val="16"/>
          <w:lang w:val="en-US" w:eastAsia="zh-CN"/>
        </w:rPr>
        <w:t xml:space="preserve">Jia Liu for research assistance. </w:t>
      </w:r>
      <w:r w:rsidRPr="006F0EBE">
        <w:rPr>
          <w:rFonts w:eastAsia="SimSun"/>
          <w:sz w:val="16"/>
          <w:szCs w:val="16"/>
          <w:lang w:val="en-US" w:eastAsia="zh-CN"/>
        </w:rPr>
        <w:t>The usual disclaimer applies.</w:t>
      </w:r>
      <w:r w:rsidR="00095E7C" w:rsidRPr="006F0EBE">
        <w:rPr>
          <w:rFonts w:eastAsia="SimSun"/>
          <w:sz w:val="16"/>
          <w:szCs w:val="16"/>
          <w:lang w:val="en-US" w:eastAsia="zh-CN"/>
        </w:rPr>
        <w:t xml:space="preserve"> </w:t>
      </w:r>
      <w:r w:rsidR="00806F74">
        <w:rPr>
          <w:rFonts w:eastAsia="SimSun"/>
          <w:sz w:val="16"/>
          <w:szCs w:val="16"/>
          <w:lang w:val="en-US" w:eastAsia="zh-CN"/>
        </w:rPr>
        <w:t>Data collection took place while Zizzo and Parravano were based at the University of East Anglia, and t</w:t>
      </w:r>
      <w:r w:rsidR="00095E7C" w:rsidRPr="006F0EBE">
        <w:rPr>
          <w:rFonts w:eastAsia="SimSun"/>
          <w:sz w:val="16"/>
          <w:szCs w:val="16"/>
          <w:lang w:val="en-US" w:eastAsia="zh-CN"/>
        </w:rPr>
        <w:t>he study protocol received approval from the University of East Anglia, School of Economics Ethics Committee (Application No: 0170).</w:t>
      </w:r>
      <w:r w:rsidR="008F2AC9">
        <w:rPr>
          <w:rFonts w:eastAsia="SimSun"/>
          <w:sz w:val="16"/>
          <w:szCs w:val="16"/>
          <w:lang w:val="en-US" w:eastAsia="zh-CN"/>
        </w:rPr>
        <w:t xml:space="preserve"> Online appendices and additional files are provided electronically as supplementary material.</w:t>
      </w:r>
    </w:p>
    <w:p w14:paraId="000ED8D1" w14:textId="1B52F25B" w:rsidR="00A41457" w:rsidRPr="006F0EBE" w:rsidRDefault="005C5969" w:rsidP="007B0E00">
      <w:pPr>
        <w:spacing w:after="0"/>
        <w:ind w:firstLine="0"/>
        <w:jc w:val="center"/>
        <w:rPr>
          <w:rFonts w:eastAsia="SimSun"/>
          <w:b/>
          <w:bCs/>
          <w:lang w:val="en-US" w:eastAsia="zh-CN"/>
        </w:rPr>
      </w:pPr>
      <w:r>
        <w:rPr>
          <w:rFonts w:eastAsia="SimSun"/>
          <w:b/>
          <w:bCs/>
          <w:lang w:val="en-US" w:eastAsia="zh-CN"/>
        </w:rPr>
        <w:lastRenderedPageBreak/>
        <w:t>1</w:t>
      </w:r>
      <w:r w:rsidR="00571C68" w:rsidRPr="006F0EBE">
        <w:rPr>
          <w:rFonts w:eastAsia="SimSun"/>
          <w:b/>
          <w:bCs/>
          <w:lang w:val="en-US" w:eastAsia="zh-CN"/>
        </w:rPr>
        <w:t xml:space="preserve">. </w:t>
      </w:r>
      <w:r w:rsidR="00A41457" w:rsidRPr="006F0EBE">
        <w:rPr>
          <w:rFonts w:eastAsia="SimSun"/>
          <w:b/>
          <w:bCs/>
          <w:lang w:val="en-US" w:eastAsia="zh-CN"/>
        </w:rPr>
        <w:t>Introduction</w:t>
      </w:r>
    </w:p>
    <w:p w14:paraId="54A0784E" w14:textId="72A2DEE8" w:rsidR="000B308A" w:rsidRPr="006F0EBE" w:rsidRDefault="00912015" w:rsidP="007B0E00">
      <w:pPr>
        <w:spacing w:after="0"/>
        <w:rPr>
          <w:rFonts w:eastAsia="SimSun"/>
          <w:lang w:val="en-US" w:eastAsia="zh-CN"/>
        </w:rPr>
      </w:pPr>
      <w:r w:rsidRPr="006F0EBE">
        <w:rPr>
          <w:rFonts w:eastAsia="SimSun"/>
          <w:lang w:val="en-US" w:eastAsia="zh-CN"/>
        </w:rPr>
        <w:t>This</w:t>
      </w:r>
      <w:r w:rsidR="000B308A" w:rsidRPr="006F0EBE">
        <w:rPr>
          <w:rFonts w:eastAsia="SimSun"/>
          <w:lang w:val="en-US" w:eastAsia="zh-CN"/>
        </w:rPr>
        <w:t xml:space="preserve"> </w:t>
      </w:r>
      <w:r w:rsidR="00B76588" w:rsidRPr="006F0EBE">
        <w:rPr>
          <w:rFonts w:eastAsia="SimSun"/>
          <w:lang w:val="en-US" w:eastAsia="zh-CN"/>
        </w:rPr>
        <w:t xml:space="preserve">paper </w:t>
      </w:r>
      <w:r w:rsidR="000B308A" w:rsidRPr="006F0EBE">
        <w:rPr>
          <w:rFonts w:eastAsia="SimSun"/>
          <w:lang w:val="en-US" w:eastAsia="zh-CN"/>
        </w:rPr>
        <w:t>presents a</w:t>
      </w:r>
      <w:r w:rsidR="002D5336" w:rsidRPr="006F0EBE">
        <w:rPr>
          <w:rFonts w:eastAsia="SimSun"/>
          <w:lang w:val="en-US" w:eastAsia="zh-CN"/>
        </w:rPr>
        <w:t xml:space="preserve"> large scale </w:t>
      </w:r>
      <w:r w:rsidR="000B308A" w:rsidRPr="006F0EBE">
        <w:rPr>
          <w:rFonts w:eastAsia="SimSun"/>
          <w:lang w:val="en-US" w:eastAsia="zh-CN"/>
        </w:rPr>
        <w:t xml:space="preserve">online </w:t>
      </w:r>
      <w:r w:rsidR="006F778B">
        <w:rPr>
          <w:rFonts w:eastAsia="SimSun"/>
          <w:lang w:val="en-US" w:eastAsia="zh-CN"/>
        </w:rPr>
        <w:t>experiment</w:t>
      </w:r>
      <w:r w:rsidR="006F778B" w:rsidRPr="006F0EBE">
        <w:rPr>
          <w:rFonts w:eastAsia="SimSun"/>
          <w:lang w:val="en-US" w:eastAsia="zh-CN"/>
        </w:rPr>
        <w:t xml:space="preserve"> </w:t>
      </w:r>
      <w:r w:rsidR="000B308A" w:rsidRPr="006F0EBE">
        <w:rPr>
          <w:rFonts w:eastAsia="SimSun"/>
          <w:lang w:val="en-US" w:eastAsia="zh-CN"/>
        </w:rPr>
        <w:t>with a nationally representative sample from the United Kingdom to look</w:t>
      </w:r>
      <w:r w:rsidRPr="006F0EBE">
        <w:rPr>
          <w:rFonts w:eastAsia="SimSun"/>
          <w:lang w:val="en-US" w:eastAsia="zh-CN"/>
        </w:rPr>
        <w:t xml:space="preserve"> at the effect of price changes</w:t>
      </w:r>
      <w:r w:rsidR="00632D54" w:rsidRPr="006F0EBE">
        <w:rPr>
          <w:rFonts w:eastAsia="SimSun"/>
          <w:lang w:val="en-US" w:eastAsia="zh-CN"/>
        </w:rPr>
        <w:t xml:space="preserve">, and ways in which these price changes are </w:t>
      </w:r>
      <w:r w:rsidR="00E9756F">
        <w:rPr>
          <w:rFonts w:eastAsia="SimSun"/>
          <w:lang w:val="en-US" w:eastAsia="zh-CN"/>
        </w:rPr>
        <w:t>signposted</w:t>
      </w:r>
      <w:r w:rsidR="00632D54" w:rsidRPr="006F0EBE">
        <w:rPr>
          <w:rFonts w:eastAsia="SimSun"/>
          <w:lang w:val="en-US" w:eastAsia="zh-CN"/>
        </w:rPr>
        <w:t>,</w:t>
      </w:r>
      <w:r w:rsidRPr="006F0EBE">
        <w:rPr>
          <w:rFonts w:eastAsia="SimSun"/>
          <w:lang w:val="en-US" w:eastAsia="zh-CN"/>
        </w:rPr>
        <w:t xml:space="preserve"> on healthy </w:t>
      </w:r>
      <w:r w:rsidR="000B308A" w:rsidRPr="006F0EBE">
        <w:rPr>
          <w:rFonts w:eastAsia="SimSun"/>
          <w:lang w:val="en-US" w:eastAsia="zh-CN"/>
        </w:rPr>
        <w:t>diet choice</w:t>
      </w:r>
      <w:r w:rsidR="00632D54" w:rsidRPr="006F0EBE">
        <w:rPr>
          <w:rFonts w:eastAsia="SimSun"/>
          <w:lang w:val="en-US" w:eastAsia="zh-CN"/>
        </w:rPr>
        <w:t xml:space="preserve"> in relation to </w:t>
      </w:r>
      <w:r w:rsidR="002D5D5A" w:rsidRPr="006F0EBE">
        <w:rPr>
          <w:rFonts w:eastAsia="SimSun"/>
          <w:lang w:val="en-US" w:eastAsia="zh-CN"/>
        </w:rPr>
        <w:t xml:space="preserve">soft drinks and </w:t>
      </w:r>
      <w:r w:rsidR="00632D54" w:rsidRPr="006F0EBE">
        <w:rPr>
          <w:rFonts w:eastAsia="SimSun"/>
          <w:lang w:val="en-US" w:eastAsia="zh-CN"/>
        </w:rPr>
        <w:t xml:space="preserve">breakfast cereals </w:t>
      </w:r>
      <w:r w:rsidR="002D5D5A">
        <w:rPr>
          <w:rFonts w:eastAsia="SimSun"/>
          <w:lang w:val="en-US" w:eastAsia="zh-CN"/>
        </w:rPr>
        <w:t>(cereals in the rest of the paper)</w:t>
      </w:r>
      <w:r w:rsidR="000B308A" w:rsidRPr="006F0EBE">
        <w:rPr>
          <w:rFonts w:eastAsia="SimSun"/>
          <w:lang w:val="en-US" w:eastAsia="zh-CN"/>
        </w:rPr>
        <w:t xml:space="preserve">. </w:t>
      </w:r>
      <w:r w:rsidR="006F778B">
        <w:rPr>
          <w:rFonts w:eastAsia="SimSun"/>
          <w:lang w:val="en-US" w:eastAsia="zh-CN"/>
        </w:rPr>
        <w:t>Experimental p</w:t>
      </w:r>
      <w:r w:rsidR="000B308A" w:rsidRPr="006F0EBE">
        <w:rPr>
          <w:rFonts w:eastAsia="SimSun"/>
          <w:lang w:val="en-US" w:eastAsia="zh-CN"/>
        </w:rPr>
        <w:t xml:space="preserve">articipants used real budgets and had an opportunity to buy real groceries online which were then delivered to their door. The groceries were from a list of almost 1,000 products offered by Tesco, the largest U.K. supermarket retailer, and checks were made for any effect of online purchases on later purchases </w:t>
      </w:r>
      <w:r w:rsidR="00F21F7E" w:rsidRPr="006F0EBE">
        <w:rPr>
          <w:rFonts w:eastAsia="SimSun"/>
          <w:lang w:val="en-US" w:eastAsia="zh-CN"/>
        </w:rPr>
        <w:t>to better identify the net effect of our potential policy interventions</w:t>
      </w:r>
      <w:r w:rsidR="000B308A" w:rsidRPr="006F0EBE">
        <w:rPr>
          <w:rFonts w:eastAsia="SimSun"/>
          <w:lang w:val="en-US" w:eastAsia="zh-CN"/>
        </w:rPr>
        <w:t>.</w:t>
      </w:r>
      <w:r w:rsidR="00BA1D96">
        <w:rPr>
          <w:rFonts w:eastAsia="SimSun"/>
          <w:lang w:val="en-US" w:eastAsia="zh-CN"/>
        </w:rPr>
        <w:t xml:space="preserve"> </w:t>
      </w:r>
      <w:r w:rsidR="00BA1D96" w:rsidRPr="006F0EBE">
        <w:rPr>
          <w:rFonts w:eastAsia="SimSun"/>
          <w:lang w:val="en-US" w:eastAsia="zh-CN"/>
        </w:rPr>
        <w:t xml:space="preserve">We </w:t>
      </w:r>
      <w:r w:rsidR="00BA1D96">
        <w:rPr>
          <w:rFonts w:eastAsia="SimSun"/>
          <w:lang w:val="en-US" w:eastAsia="zh-CN"/>
        </w:rPr>
        <w:t>use</w:t>
      </w:r>
      <w:r w:rsidR="00BA1D96" w:rsidRPr="006F0EBE">
        <w:rPr>
          <w:rFonts w:eastAsia="SimSun"/>
          <w:lang w:val="en-US" w:eastAsia="zh-CN"/>
        </w:rPr>
        <w:t xml:space="preserve"> a purpose-built online supermarket that is carefully modelled on a major real world online supermarket (Tesco.com</w:t>
      </w:r>
      <w:r w:rsidR="00BA1D96">
        <w:rPr>
          <w:rFonts w:eastAsia="SimSun"/>
          <w:lang w:val="en-US" w:eastAsia="zh-CN"/>
        </w:rPr>
        <w:t>; f</w:t>
      </w:r>
      <w:r w:rsidR="00BA1D96" w:rsidRPr="00AB156E">
        <w:rPr>
          <w:rFonts w:eastAsia="SimSun"/>
          <w:lang w:val="en-US" w:eastAsia="zh-CN"/>
        </w:rPr>
        <w:t xml:space="preserve">or further details about the online supermarket platform, see section </w:t>
      </w:r>
      <w:r w:rsidR="00BA1D96">
        <w:rPr>
          <w:rFonts w:eastAsia="SimSun"/>
          <w:lang w:val="en-US" w:eastAsia="zh-CN"/>
        </w:rPr>
        <w:t>3).</w:t>
      </w:r>
      <w:r w:rsidR="00BA1D96" w:rsidRPr="00AB156E">
        <w:rPr>
          <w:rFonts w:eastAsia="SimSun"/>
          <w:lang w:val="en-US" w:eastAsia="zh-CN"/>
        </w:rPr>
        <w:t xml:space="preserve"> </w:t>
      </w:r>
      <w:r w:rsidR="00BA1D96" w:rsidRPr="006F0EBE">
        <w:rPr>
          <w:rFonts w:eastAsia="SimSun"/>
          <w:lang w:val="en-US" w:eastAsia="zh-CN"/>
        </w:rPr>
        <w:t xml:space="preserve">The platform enables us to examine shoppers’ purchases in a setting which is </w:t>
      </w:r>
      <w:r w:rsidR="00F15507">
        <w:rPr>
          <w:rFonts w:eastAsia="SimSun"/>
          <w:lang w:val="en-US" w:eastAsia="zh-CN"/>
        </w:rPr>
        <w:t>close to</w:t>
      </w:r>
      <w:r w:rsidR="00BA1D96" w:rsidRPr="006F0EBE">
        <w:rPr>
          <w:rFonts w:eastAsia="SimSun"/>
          <w:lang w:val="en-US" w:eastAsia="zh-CN"/>
        </w:rPr>
        <w:t xml:space="preserve"> a real online supermarket, while fully preserving experimental control to help ensure interpretability of our empirical findings.</w:t>
      </w:r>
      <w:r w:rsidR="001B392E">
        <w:rPr>
          <w:rFonts w:eastAsia="SimSun"/>
          <w:lang w:val="en-US" w:eastAsia="zh-CN"/>
        </w:rPr>
        <w:t xml:space="preserve"> We model taxes of 20% or 40%, either simply as a price change or minimally signposted with the amount of the tax, marked with T, next to the baseline price.</w:t>
      </w:r>
    </w:p>
    <w:p w14:paraId="2B3432E3" w14:textId="54A8B362" w:rsidR="00A41457" w:rsidRPr="006F0EBE" w:rsidRDefault="00A41457" w:rsidP="007B0E00">
      <w:pPr>
        <w:spacing w:after="0"/>
        <w:rPr>
          <w:rFonts w:eastAsia="SimSun"/>
          <w:lang w:val="en-US" w:eastAsia="zh-CN"/>
        </w:rPr>
      </w:pPr>
      <w:r w:rsidRPr="006F0EBE">
        <w:rPr>
          <w:rFonts w:eastAsia="SimSun"/>
          <w:lang w:val="en-US" w:eastAsia="zh-CN"/>
        </w:rPr>
        <w:t xml:space="preserve">There has been considerable recent policy interest in the potential use of fiscal policy to influence dietary </w:t>
      </w:r>
      <w:r w:rsidR="00912015" w:rsidRPr="006F0EBE">
        <w:rPr>
          <w:rFonts w:eastAsia="SimSun"/>
          <w:lang w:val="en-US" w:eastAsia="zh-CN"/>
        </w:rPr>
        <w:t>behavior</w:t>
      </w:r>
      <w:r w:rsidRPr="006F0EBE">
        <w:rPr>
          <w:rFonts w:eastAsia="SimSun"/>
          <w:lang w:val="en-US" w:eastAsia="zh-CN"/>
        </w:rPr>
        <w:t xml:space="preserve"> (</w:t>
      </w:r>
      <w:proofErr w:type="spellStart"/>
      <w:r w:rsidRPr="006F0EBE">
        <w:rPr>
          <w:rFonts w:eastAsia="SimSun"/>
          <w:lang w:val="en-US" w:eastAsia="zh-CN"/>
        </w:rPr>
        <w:t>Mytton</w:t>
      </w:r>
      <w:proofErr w:type="spellEnd"/>
      <w:r w:rsidRPr="006F0EBE">
        <w:rPr>
          <w:rFonts w:eastAsia="SimSun"/>
          <w:lang w:val="en-US" w:eastAsia="zh-CN"/>
        </w:rPr>
        <w:t xml:space="preserve"> et al.</w:t>
      </w:r>
      <w:r w:rsidR="000B4DC4">
        <w:rPr>
          <w:rFonts w:eastAsia="SimSun"/>
          <w:lang w:val="en-US" w:eastAsia="zh-CN"/>
        </w:rPr>
        <w:t>,</w:t>
      </w:r>
      <w:r w:rsidRPr="006F0EBE">
        <w:rPr>
          <w:rFonts w:eastAsia="SimSun"/>
          <w:lang w:val="en-US" w:eastAsia="zh-CN"/>
        </w:rPr>
        <w:t xml:space="preserve"> 2012)</w:t>
      </w:r>
      <w:r w:rsidR="00370FB5" w:rsidRPr="006F0EBE">
        <w:rPr>
          <w:rFonts w:eastAsia="SimSun"/>
          <w:lang w:val="en-US" w:eastAsia="zh-CN"/>
        </w:rPr>
        <w:t>, for example in the form of a ‘fat tax’ or of a ‘sugar tax’</w:t>
      </w:r>
      <w:r w:rsidR="00947CA7" w:rsidRPr="006F0EBE">
        <w:rPr>
          <w:rFonts w:eastAsia="SimSun"/>
          <w:lang w:val="en-US" w:eastAsia="zh-CN"/>
        </w:rPr>
        <w:t xml:space="preserve"> as already trialed</w:t>
      </w:r>
      <w:r w:rsidR="00370FB5" w:rsidRPr="006F0EBE">
        <w:rPr>
          <w:rFonts w:eastAsia="SimSun"/>
          <w:lang w:val="en-US" w:eastAsia="zh-CN"/>
        </w:rPr>
        <w:t xml:space="preserve"> in different </w:t>
      </w:r>
      <w:r w:rsidR="00947CA7" w:rsidRPr="006F0EBE">
        <w:rPr>
          <w:rFonts w:eastAsia="SimSun"/>
          <w:lang w:val="en-US" w:eastAsia="zh-CN"/>
        </w:rPr>
        <w:t xml:space="preserve">forms in Australia, </w:t>
      </w:r>
      <w:r w:rsidR="000050C2" w:rsidRPr="006F0EBE">
        <w:rPr>
          <w:rFonts w:eastAsia="SimSun"/>
          <w:lang w:val="en-US" w:eastAsia="zh-CN"/>
        </w:rPr>
        <w:t xml:space="preserve">Chile, </w:t>
      </w:r>
      <w:r w:rsidR="00947CA7" w:rsidRPr="006F0EBE">
        <w:rPr>
          <w:rFonts w:eastAsia="SimSun"/>
          <w:lang w:val="en-US" w:eastAsia="zh-CN"/>
        </w:rPr>
        <w:t>Denmark, France, Hungary, Mexico and</w:t>
      </w:r>
      <w:r w:rsidR="005205BC" w:rsidRPr="006F0EBE">
        <w:rPr>
          <w:rFonts w:eastAsia="SimSun"/>
          <w:lang w:val="en-US" w:eastAsia="zh-CN"/>
        </w:rPr>
        <w:t xml:space="preserve"> Norway</w:t>
      </w:r>
      <w:r w:rsidR="00577812" w:rsidRPr="006F0EBE">
        <w:rPr>
          <w:rFonts w:eastAsia="SimSun"/>
          <w:lang w:val="en-US" w:eastAsia="zh-CN"/>
        </w:rPr>
        <w:t xml:space="preserve"> (</w:t>
      </w:r>
      <w:proofErr w:type="spellStart"/>
      <w:r w:rsidR="00577812" w:rsidRPr="006F0EBE">
        <w:rPr>
          <w:rFonts w:eastAsia="SimSun"/>
          <w:lang w:val="en-US" w:eastAsia="zh-CN"/>
        </w:rPr>
        <w:t>Cornelsen</w:t>
      </w:r>
      <w:proofErr w:type="spellEnd"/>
      <w:r w:rsidR="00577812" w:rsidRPr="006F0EBE">
        <w:rPr>
          <w:rFonts w:eastAsia="SimSun"/>
          <w:lang w:val="en-US" w:eastAsia="zh-CN"/>
        </w:rPr>
        <w:t xml:space="preserve"> and </w:t>
      </w:r>
      <w:proofErr w:type="spellStart"/>
      <w:r w:rsidR="00577812" w:rsidRPr="006F0EBE">
        <w:rPr>
          <w:rFonts w:eastAsia="SimSun"/>
          <w:lang w:val="en-US" w:eastAsia="zh-CN"/>
        </w:rPr>
        <w:t>Carreido</w:t>
      </w:r>
      <w:proofErr w:type="spellEnd"/>
      <w:r w:rsidR="00577812" w:rsidRPr="006F0EBE">
        <w:rPr>
          <w:rFonts w:eastAsia="SimSun"/>
          <w:lang w:val="en-US" w:eastAsia="zh-CN"/>
        </w:rPr>
        <w:t xml:space="preserve"> 2015</w:t>
      </w:r>
      <w:r w:rsidR="003908A2" w:rsidRPr="006F0EBE">
        <w:rPr>
          <w:rFonts w:eastAsia="SimSun"/>
          <w:lang w:val="en-US" w:eastAsia="zh-CN"/>
        </w:rPr>
        <w:t xml:space="preserve">; </w:t>
      </w:r>
      <w:r w:rsidR="00A42760">
        <w:rPr>
          <w:rFonts w:eastAsia="SimSun"/>
          <w:lang w:val="en-US" w:eastAsia="zh-CN"/>
        </w:rPr>
        <w:t>Public Health England</w:t>
      </w:r>
      <w:r w:rsidR="003908A2" w:rsidRPr="006F0EBE">
        <w:rPr>
          <w:rFonts w:eastAsia="SimSun"/>
          <w:lang w:val="en-US" w:eastAsia="zh-CN"/>
        </w:rPr>
        <w:t>, 2015</w:t>
      </w:r>
      <w:r w:rsidR="00577812" w:rsidRPr="006F0EBE">
        <w:rPr>
          <w:rFonts w:eastAsia="SimSun"/>
          <w:lang w:val="en-US" w:eastAsia="zh-CN"/>
        </w:rPr>
        <w:t>)</w:t>
      </w:r>
      <w:r w:rsidR="00593B77" w:rsidRPr="006F0EBE">
        <w:rPr>
          <w:rFonts w:eastAsia="SimSun"/>
          <w:lang w:val="en-US" w:eastAsia="zh-CN"/>
        </w:rPr>
        <w:t xml:space="preserve"> and </w:t>
      </w:r>
      <w:r w:rsidR="001968C0">
        <w:rPr>
          <w:rFonts w:eastAsia="SimSun"/>
          <w:lang w:val="en-US" w:eastAsia="zh-CN"/>
        </w:rPr>
        <w:t xml:space="preserve">since April 2018 also </w:t>
      </w:r>
      <w:r w:rsidR="00593B77" w:rsidRPr="006F0EBE">
        <w:rPr>
          <w:rFonts w:eastAsia="SimSun"/>
          <w:lang w:val="en-US" w:eastAsia="zh-CN"/>
        </w:rPr>
        <w:t>in the UK (UK Government, 2016)</w:t>
      </w:r>
      <w:r w:rsidRPr="006F0EBE">
        <w:rPr>
          <w:rFonts w:eastAsia="SimSun"/>
          <w:lang w:val="en-US" w:eastAsia="zh-CN"/>
        </w:rPr>
        <w:t xml:space="preserve">. </w:t>
      </w:r>
      <w:r w:rsidR="009761C5" w:rsidRPr="006F0EBE">
        <w:rPr>
          <w:rFonts w:eastAsia="SimSun"/>
          <w:lang w:val="en-US" w:eastAsia="zh-CN"/>
        </w:rPr>
        <w:t>The WHO (2016) has recently recommended the introduction of a 20% tax on soft drinks worldwide</w:t>
      </w:r>
      <w:r w:rsidR="009E0CB2">
        <w:rPr>
          <w:rFonts w:eastAsia="SimSun"/>
          <w:lang w:val="en-US" w:eastAsia="zh-CN"/>
        </w:rPr>
        <w:t xml:space="preserve"> – a conclusion that is </w:t>
      </w:r>
      <w:r w:rsidR="00206EF8">
        <w:rPr>
          <w:rFonts w:eastAsia="SimSun"/>
          <w:lang w:val="en-US" w:eastAsia="zh-CN"/>
        </w:rPr>
        <w:t xml:space="preserve">(ex post) supported </w:t>
      </w:r>
      <w:r w:rsidR="009E0CB2">
        <w:rPr>
          <w:rFonts w:eastAsia="SimSun"/>
          <w:lang w:val="en-US" w:eastAsia="zh-CN"/>
        </w:rPr>
        <w:t xml:space="preserve">by the findings of a recent systematic review </w:t>
      </w:r>
      <w:r w:rsidR="00206EF8">
        <w:rPr>
          <w:rFonts w:eastAsia="SimSun"/>
          <w:lang w:val="en-US" w:eastAsia="zh-CN"/>
        </w:rPr>
        <w:t>of taxation to promote health behaviors not only in terms of diet (Wright et al</w:t>
      </w:r>
      <w:r w:rsidR="006B29AE">
        <w:rPr>
          <w:rFonts w:eastAsia="SimSun"/>
          <w:lang w:val="en-US" w:eastAsia="zh-CN"/>
        </w:rPr>
        <w:t>.,</w:t>
      </w:r>
      <w:r w:rsidR="00206EF8">
        <w:rPr>
          <w:rFonts w:eastAsia="SimSun"/>
          <w:lang w:val="en-US" w:eastAsia="zh-CN"/>
        </w:rPr>
        <w:t xml:space="preserve"> 2017)</w:t>
      </w:r>
      <w:r w:rsidR="009761C5" w:rsidRPr="006F0EBE">
        <w:rPr>
          <w:rFonts w:eastAsia="SimSun"/>
          <w:lang w:val="en-US" w:eastAsia="zh-CN"/>
        </w:rPr>
        <w:t xml:space="preserve">. </w:t>
      </w:r>
      <w:r w:rsidR="00F21F7E" w:rsidRPr="006F0EBE">
        <w:rPr>
          <w:rFonts w:eastAsia="SimSun"/>
          <w:lang w:val="en-US" w:eastAsia="zh-CN"/>
        </w:rPr>
        <w:t>There</w:t>
      </w:r>
      <w:r w:rsidRPr="006F0EBE">
        <w:rPr>
          <w:rFonts w:eastAsia="SimSun"/>
          <w:lang w:val="en-US" w:eastAsia="zh-CN"/>
        </w:rPr>
        <w:t xml:space="preserve"> is in principle a defendable justification for public policy to correct what may be conceived as a market failure associated with the external costs arising from obesity (</w:t>
      </w:r>
      <w:proofErr w:type="spellStart"/>
      <w:r w:rsidRPr="006F0EBE">
        <w:rPr>
          <w:rFonts w:eastAsia="SimSun"/>
          <w:lang w:val="en-US" w:eastAsia="zh-CN"/>
        </w:rPr>
        <w:t>Cawley</w:t>
      </w:r>
      <w:proofErr w:type="spellEnd"/>
      <w:r w:rsidRPr="006F0EBE">
        <w:rPr>
          <w:rFonts w:eastAsia="SimSun"/>
          <w:lang w:val="en-US" w:eastAsia="zh-CN"/>
        </w:rPr>
        <w:t xml:space="preserve"> </w:t>
      </w:r>
      <w:r w:rsidR="00FC6CD4" w:rsidRPr="006F0EBE">
        <w:rPr>
          <w:rFonts w:eastAsia="SimSun"/>
          <w:lang w:val="en-US" w:eastAsia="zh-CN"/>
        </w:rPr>
        <w:t xml:space="preserve">and </w:t>
      </w:r>
      <w:proofErr w:type="spellStart"/>
      <w:r w:rsidR="00FC6CD4" w:rsidRPr="006F0EBE">
        <w:rPr>
          <w:rFonts w:eastAsia="SimSun"/>
          <w:lang w:val="en-US" w:eastAsia="zh-CN"/>
        </w:rPr>
        <w:t>Frisvold</w:t>
      </w:r>
      <w:proofErr w:type="spellEnd"/>
      <w:r w:rsidR="000B4DC4">
        <w:rPr>
          <w:rFonts w:eastAsia="SimSun"/>
          <w:lang w:val="en-US" w:eastAsia="zh-CN"/>
        </w:rPr>
        <w:t>,</w:t>
      </w:r>
      <w:r w:rsidR="00FC6CD4" w:rsidRPr="006F0EBE">
        <w:rPr>
          <w:rFonts w:eastAsia="SimSun"/>
          <w:lang w:val="en-US" w:eastAsia="zh-CN"/>
        </w:rPr>
        <w:t xml:space="preserve"> </w:t>
      </w:r>
      <w:r w:rsidR="00AB01D2" w:rsidRPr="006F0EBE">
        <w:rPr>
          <w:rFonts w:eastAsia="SimSun"/>
          <w:lang w:val="en-US" w:eastAsia="zh-CN"/>
        </w:rPr>
        <w:t>201</w:t>
      </w:r>
      <w:r w:rsidR="00AB01D2">
        <w:rPr>
          <w:rFonts w:eastAsia="SimSun"/>
          <w:lang w:val="en-US" w:eastAsia="zh-CN"/>
        </w:rPr>
        <w:t>7</w:t>
      </w:r>
      <w:r w:rsidRPr="006F0EBE">
        <w:rPr>
          <w:rFonts w:eastAsia="SimSun"/>
          <w:lang w:val="en-US" w:eastAsia="zh-CN"/>
        </w:rPr>
        <w:t xml:space="preserve">). </w:t>
      </w:r>
      <w:r w:rsidR="00483FF0">
        <w:rPr>
          <w:rFonts w:eastAsia="SimSun"/>
          <w:lang w:val="en-US" w:eastAsia="zh-CN"/>
        </w:rPr>
        <w:t xml:space="preserve">A public policy response may also be </w:t>
      </w:r>
      <w:r w:rsidR="00483FF0">
        <w:rPr>
          <w:rFonts w:eastAsia="SimSun"/>
          <w:lang w:val="en-US" w:eastAsia="zh-CN"/>
        </w:rPr>
        <w:lastRenderedPageBreak/>
        <w:t xml:space="preserve">justified on the basis of internalities, in the sense that </w:t>
      </w:r>
      <w:r w:rsidR="00483FF0" w:rsidRPr="00483FF0">
        <w:rPr>
          <w:rFonts w:eastAsia="SimSun"/>
          <w:lang w:val="en-US" w:eastAsia="zh-CN"/>
        </w:rPr>
        <w:t xml:space="preserve">at least </w:t>
      </w:r>
      <w:r w:rsidR="00483FF0">
        <w:rPr>
          <w:rFonts w:eastAsia="SimSun"/>
          <w:lang w:val="en-US" w:eastAsia="zh-CN"/>
        </w:rPr>
        <w:t xml:space="preserve">a share of </w:t>
      </w:r>
      <w:r w:rsidR="00483FF0" w:rsidRPr="00483FF0">
        <w:rPr>
          <w:rFonts w:eastAsia="SimSun"/>
          <w:lang w:val="en-US" w:eastAsia="zh-CN"/>
        </w:rPr>
        <w:t>the</w:t>
      </w:r>
      <w:r w:rsidR="00483FF0">
        <w:rPr>
          <w:rFonts w:eastAsia="SimSun"/>
          <w:lang w:val="en-US" w:eastAsia="zh-CN"/>
        </w:rPr>
        <w:t xml:space="preserve"> health consequences incurred </w:t>
      </w:r>
      <w:r w:rsidR="00483FF0" w:rsidRPr="00483FF0">
        <w:rPr>
          <w:rFonts w:eastAsia="SimSun"/>
          <w:lang w:val="en-US" w:eastAsia="zh-CN"/>
        </w:rPr>
        <w:t xml:space="preserve">are not taken into account by </w:t>
      </w:r>
      <w:r w:rsidR="00483FF0">
        <w:rPr>
          <w:rFonts w:eastAsia="SimSun"/>
          <w:lang w:val="en-US" w:eastAsia="zh-CN"/>
        </w:rPr>
        <w:t xml:space="preserve">the individual when </w:t>
      </w:r>
      <w:r w:rsidR="00483FF0" w:rsidRPr="00483FF0">
        <w:rPr>
          <w:rFonts w:eastAsia="SimSun"/>
          <w:lang w:val="en-US" w:eastAsia="zh-CN"/>
        </w:rPr>
        <w:t xml:space="preserve">making </w:t>
      </w:r>
      <w:r w:rsidR="00483FF0">
        <w:rPr>
          <w:rFonts w:eastAsia="SimSun"/>
          <w:lang w:val="en-US" w:eastAsia="zh-CN"/>
        </w:rPr>
        <w:t xml:space="preserve">his or her </w:t>
      </w:r>
      <w:r w:rsidR="00483FF0" w:rsidRPr="00483FF0">
        <w:rPr>
          <w:rFonts w:eastAsia="SimSun"/>
          <w:lang w:val="en-US" w:eastAsia="zh-CN"/>
        </w:rPr>
        <w:t>food choices</w:t>
      </w:r>
      <w:r w:rsidR="00483FF0">
        <w:rPr>
          <w:rFonts w:eastAsia="SimSun"/>
          <w:lang w:val="en-US" w:eastAsia="zh-CN"/>
        </w:rPr>
        <w:t xml:space="preserve"> (</w:t>
      </w:r>
      <w:r w:rsidR="00E96235">
        <w:rPr>
          <w:rFonts w:eastAsia="SimSun"/>
          <w:lang w:val="en-US" w:eastAsia="zh-CN"/>
        </w:rPr>
        <w:t xml:space="preserve">e.g., </w:t>
      </w:r>
      <w:r w:rsidR="00C252A4">
        <w:rPr>
          <w:rFonts w:eastAsia="SimSun"/>
          <w:lang w:val="en-US" w:eastAsia="zh-CN"/>
        </w:rPr>
        <w:t xml:space="preserve">Griffith et al, </w:t>
      </w:r>
      <w:r w:rsidR="00483FF0">
        <w:rPr>
          <w:rFonts w:eastAsia="SimSun"/>
          <w:lang w:val="en-US" w:eastAsia="zh-CN"/>
        </w:rPr>
        <w:t>20</w:t>
      </w:r>
      <w:r w:rsidR="00293666">
        <w:rPr>
          <w:rFonts w:eastAsia="SimSun"/>
          <w:lang w:val="en-US" w:eastAsia="zh-CN"/>
        </w:rPr>
        <w:t>18</w:t>
      </w:r>
      <w:r w:rsidR="00483FF0">
        <w:rPr>
          <w:rFonts w:eastAsia="SimSun"/>
          <w:lang w:val="en-US" w:eastAsia="zh-CN"/>
        </w:rPr>
        <w:t>)</w:t>
      </w:r>
      <w:r w:rsidR="00483FF0" w:rsidRPr="00483FF0">
        <w:rPr>
          <w:rFonts w:eastAsia="SimSun"/>
          <w:lang w:val="en-US" w:eastAsia="zh-CN"/>
        </w:rPr>
        <w:t>.</w:t>
      </w:r>
    </w:p>
    <w:p w14:paraId="4095BB7F" w14:textId="775EE520" w:rsidR="007C0671" w:rsidRDefault="007B629E" w:rsidP="007B0E00">
      <w:pPr>
        <w:spacing w:after="0"/>
        <w:rPr>
          <w:rFonts w:eastAsia="SimSun"/>
          <w:lang w:val="en-US" w:eastAsia="zh-CN"/>
        </w:rPr>
      </w:pPr>
      <w:r w:rsidRPr="006F0EBE">
        <w:rPr>
          <w:rFonts w:eastAsia="SimSun"/>
          <w:lang w:val="en-US" w:eastAsia="zh-CN"/>
        </w:rPr>
        <w:t xml:space="preserve">Our study is </w:t>
      </w:r>
      <w:r w:rsidR="0055495A">
        <w:rPr>
          <w:rFonts w:eastAsia="SimSun"/>
          <w:lang w:val="en-US" w:eastAsia="zh-CN"/>
        </w:rPr>
        <w:t xml:space="preserve">useful and </w:t>
      </w:r>
      <w:r w:rsidRPr="006F0EBE">
        <w:rPr>
          <w:rFonts w:eastAsia="SimSun"/>
          <w:lang w:val="en-US" w:eastAsia="zh-CN"/>
        </w:rPr>
        <w:t>innovative in several respects</w:t>
      </w:r>
      <w:r w:rsidR="00AB156E">
        <w:rPr>
          <w:rFonts w:eastAsia="SimSun"/>
          <w:lang w:val="en-US" w:eastAsia="zh-CN"/>
        </w:rPr>
        <w:t xml:space="preserve"> against the existing literature</w:t>
      </w:r>
      <w:r w:rsidR="007C0671">
        <w:rPr>
          <w:rFonts w:eastAsia="SimSun"/>
          <w:lang w:val="en-US" w:eastAsia="zh-CN"/>
        </w:rPr>
        <w:t>. In terms of price interventions, as discussed in the</w:t>
      </w:r>
      <w:r w:rsidR="00AB156E">
        <w:rPr>
          <w:rFonts w:eastAsia="SimSun"/>
          <w:lang w:val="en-US" w:eastAsia="zh-CN"/>
        </w:rPr>
        <w:t xml:space="preserve"> </w:t>
      </w:r>
      <w:r w:rsidR="007C0671">
        <w:rPr>
          <w:rFonts w:eastAsia="SimSun"/>
          <w:lang w:val="en-US" w:eastAsia="zh-CN"/>
        </w:rPr>
        <w:t xml:space="preserve">literature review in the </w:t>
      </w:r>
      <w:r w:rsidR="00AB156E">
        <w:rPr>
          <w:rFonts w:eastAsia="SimSun"/>
          <w:lang w:val="en-US" w:eastAsia="zh-CN"/>
        </w:rPr>
        <w:t>next section</w:t>
      </w:r>
      <w:r w:rsidR="007C0671">
        <w:rPr>
          <w:rFonts w:eastAsia="SimSun"/>
          <w:lang w:val="en-US" w:eastAsia="zh-CN"/>
        </w:rPr>
        <w:t xml:space="preserve">, the evidence from the small number of policy impact evaluations is surprisingly mixed, and the limitations of epidemiological modelling studies and econometric analysis make a complementary experimental approach useful. Unfortunately, </w:t>
      </w:r>
      <w:r w:rsidR="00E9756F">
        <w:rPr>
          <w:rFonts w:eastAsia="SimSun"/>
          <w:lang w:val="en-US" w:eastAsia="zh-CN"/>
        </w:rPr>
        <w:t xml:space="preserve">as reviewed in the next section, </w:t>
      </w:r>
      <w:r w:rsidR="007C0671">
        <w:rPr>
          <w:rFonts w:eastAsia="SimSun"/>
          <w:lang w:val="en-US" w:eastAsia="zh-CN"/>
        </w:rPr>
        <w:t xml:space="preserve">the existing experimental evidence on price interventions is also mixed </w:t>
      </w:r>
      <w:r w:rsidR="00E9756F">
        <w:rPr>
          <w:rFonts w:eastAsia="SimSun"/>
          <w:lang w:val="en-US" w:eastAsia="zh-CN"/>
        </w:rPr>
        <w:t xml:space="preserve">(e.g. Epstein et al., 2012; </w:t>
      </w:r>
      <w:proofErr w:type="spellStart"/>
      <w:r w:rsidR="00E9756F">
        <w:rPr>
          <w:rFonts w:eastAsia="SimSun"/>
          <w:lang w:val="en-US" w:eastAsia="zh-CN"/>
        </w:rPr>
        <w:t>Shemi</w:t>
      </w:r>
      <w:r w:rsidR="00083DA6">
        <w:rPr>
          <w:rFonts w:eastAsia="SimSun"/>
          <w:lang w:val="en-US" w:eastAsia="zh-CN"/>
        </w:rPr>
        <w:t>l</w:t>
      </w:r>
      <w:r w:rsidR="00E9756F">
        <w:rPr>
          <w:rFonts w:eastAsia="SimSun"/>
          <w:lang w:val="en-US" w:eastAsia="zh-CN"/>
        </w:rPr>
        <w:t>t</w:t>
      </w:r>
      <w:proofErr w:type="spellEnd"/>
      <w:r w:rsidR="00E9756F">
        <w:rPr>
          <w:rFonts w:eastAsia="SimSun"/>
          <w:lang w:val="en-US" w:eastAsia="zh-CN"/>
        </w:rPr>
        <w:t xml:space="preserve"> et al., 2013) </w:t>
      </w:r>
      <w:r w:rsidR="007C0671">
        <w:rPr>
          <w:rFonts w:eastAsia="SimSun"/>
          <w:lang w:val="en-US" w:eastAsia="zh-CN"/>
        </w:rPr>
        <w:t>and has limitations in terms of very small number of studies properly incentivized</w:t>
      </w:r>
      <w:r w:rsidR="00E9756F">
        <w:rPr>
          <w:rFonts w:eastAsia="SimSun"/>
          <w:lang w:val="en-US" w:eastAsia="zh-CN"/>
        </w:rPr>
        <w:t>, in terms of structuring the shopping task as an artificial assignment and in terms of lack of control for compensation effects betwee</w:t>
      </w:r>
      <w:r w:rsidR="004C284B">
        <w:rPr>
          <w:rFonts w:eastAsia="SimSun"/>
          <w:lang w:val="en-US" w:eastAsia="zh-CN"/>
        </w:rPr>
        <w:t>n shopping in and outside the laboratory</w:t>
      </w:r>
      <w:r w:rsidR="00E9756F">
        <w:rPr>
          <w:rFonts w:eastAsia="SimSun"/>
          <w:lang w:val="en-US" w:eastAsia="zh-CN"/>
        </w:rPr>
        <w:t>; almost all of it is also with students or other convenience samples.</w:t>
      </w:r>
      <w:r w:rsidR="007C0671">
        <w:rPr>
          <w:rFonts w:eastAsia="SimSun"/>
          <w:lang w:val="en-US" w:eastAsia="zh-CN"/>
        </w:rPr>
        <w:t xml:space="preserve"> </w:t>
      </w:r>
      <w:r w:rsidR="00E9756F">
        <w:rPr>
          <w:rFonts w:eastAsia="SimSun"/>
          <w:lang w:val="en-US" w:eastAsia="zh-CN"/>
        </w:rPr>
        <w:t xml:space="preserve">These limitations largely affect the only one previous and important study (Chetty et al., </w:t>
      </w:r>
      <w:r w:rsidR="00AB01D2">
        <w:rPr>
          <w:rFonts w:eastAsia="SimSun"/>
          <w:lang w:val="en-US" w:eastAsia="zh-CN"/>
        </w:rPr>
        <w:t>2009</w:t>
      </w:r>
      <w:r w:rsidR="00E9756F">
        <w:rPr>
          <w:rFonts w:eastAsia="SimSun"/>
          <w:lang w:val="en-US" w:eastAsia="zh-CN"/>
        </w:rPr>
        <w:t>) that combines price with signposting in a diet context; their signposting is also implemented in a different way than ours (see section 2).</w:t>
      </w:r>
    </w:p>
    <w:p w14:paraId="758533CB" w14:textId="48468489" w:rsidR="00A41457" w:rsidRPr="006F0EBE" w:rsidRDefault="00E9756F" w:rsidP="007B0E00">
      <w:pPr>
        <w:spacing w:after="0"/>
        <w:rPr>
          <w:rFonts w:eastAsia="SimSun"/>
          <w:lang w:val="en-US" w:eastAsia="zh-CN"/>
        </w:rPr>
      </w:pPr>
      <w:r>
        <w:rPr>
          <w:rFonts w:eastAsia="SimSun"/>
          <w:lang w:val="en-US" w:eastAsia="zh-CN"/>
        </w:rPr>
        <w:t>In our study</w:t>
      </w:r>
      <w:r w:rsidR="009314A9" w:rsidRPr="006F0EBE">
        <w:rPr>
          <w:rFonts w:eastAsia="SimSun"/>
          <w:lang w:val="en-US" w:eastAsia="zh-CN"/>
        </w:rPr>
        <w:t xml:space="preserve"> </w:t>
      </w:r>
      <w:r>
        <w:rPr>
          <w:rFonts w:eastAsia="SimSun"/>
          <w:lang w:val="en-US" w:eastAsia="zh-CN"/>
        </w:rPr>
        <w:t>b</w:t>
      </w:r>
      <w:r w:rsidR="001B3340" w:rsidRPr="006F0EBE">
        <w:rPr>
          <w:rFonts w:eastAsia="SimSun"/>
          <w:lang w:val="en-US" w:eastAsia="zh-CN"/>
        </w:rPr>
        <w:t>udgets and purchases are for real, i.e. participants are given budget and groceries (cereals and soft drinks) that will be delivered via a real supermarket to their doorstep.</w:t>
      </w:r>
      <w:r w:rsidR="00BE416B" w:rsidRPr="006F0EBE">
        <w:rPr>
          <w:rFonts w:eastAsia="SimSun"/>
          <w:lang w:val="en-US" w:eastAsia="zh-CN"/>
        </w:rPr>
        <w:t xml:space="preserve"> </w:t>
      </w:r>
      <w:r w:rsidR="00395ACF" w:rsidRPr="006F0EBE">
        <w:rPr>
          <w:rFonts w:eastAsia="SimSun"/>
          <w:lang w:val="en-US" w:eastAsia="zh-CN"/>
        </w:rPr>
        <w:t>We also restrict the sample of participants to people that have a latent demand for the product categories being considered, in that they have consumed cereals and soft drinks at least once in the last month</w:t>
      </w:r>
      <w:r w:rsidR="00A15BF7" w:rsidRPr="006F0EBE">
        <w:rPr>
          <w:rFonts w:eastAsia="SimSun"/>
          <w:lang w:val="en-US" w:eastAsia="zh-CN"/>
        </w:rPr>
        <w:t>. This avoids</w:t>
      </w:r>
      <w:r w:rsidR="00395ACF" w:rsidRPr="006F0EBE">
        <w:rPr>
          <w:rFonts w:eastAsia="SimSun"/>
          <w:lang w:val="en-US" w:eastAsia="zh-CN"/>
        </w:rPr>
        <w:t xml:space="preserve"> any </w:t>
      </w:r>
      <w:r w:rsidR="00274F5E" w:rsidRPr="006F0EBE">
        <w:rPr>
          <w:rFonts w:eastAsia="SimSun"/>
          <w:lang w:val="en-US" w:eastAsia="zh-CN"/>
        </w:rPr>
        <w:t xml:space="preserve">power reduction and </w:t>
      </w:r>
      <w:r w:rsidR="00395ACF" w:rsidRPr="006F0EBE">
        <w:rPr>
          <w:rFonts w:eastAsia="SimSun"/>
          <w:lang w:val="en-US" w:eastAsia="zh-CN"/>
        </w:rPr>
        <w:t>estimation bias by including people who do not generally buy either</w:t>
      </w:r>
      <w:r w:rsidR="00274F5E" w:rsidRPr="006F0EBE">
        <w:rPr>
          <w:rFonts w:eastAsia="SimSun"/>
          <w:lang w:val="en-US" w:eastAsia="zh-CN"/>
        </w:rPr>
        <w:t>, but who may spuriously feel they have to in an experimental setting</w:t>
      </w:r>
      <w:r w:rsidR="00395ACF" w:rsidRPr="006F0EBE">
        <w:rPr>
          <w:rFonts w:eastAsia="SimSun"/>
          <w:lang w:val="en-US" w:eastAsia="zh-CN"/>
        </w:rPr>
        <w:t xml:space="preserve">. </w:t>
      </w:r>
      <w:r>
        <w:rPr>
          <w:rFonts w:eastAsia="SimSun"/>
          <w:lang w:val="en-US" w:eastAsia="zh-CN"/>
        </w:rPr>
        <w:t>We</w:t>
      </w:r>
      <w:r w:rsidR="00BE416B" w:rsidRPr="006F0EBE">
        <w:rPr>
          <w:rFonts w:eastAsia="SimSun"/>
          <w:lang w:val="en-US" w:eastAsia="zh-CN"/>
        </w:rPr>
        <w:t xml:space="preserve"> consider a nationally representative</w:t>
      </w:r>
      <w:r w:rsidR="00A0285E" w:rsidRPr="006F0EBE">
        <w:rPr>
          <w:rFonts w:eastAsia="SimSun"/>
          <w:lang w:val="en-US" w:eastAsia="zh-CN"/>
        </w:rPr>
        <w:t>,</w:t>
      </w:r>
      <w:r w:rsidR="00BE416B" w:rsidRPr="006F0EBE">
        <w:rPr>
          <w:rFonts w:eastAsia="SimSun"/>
          <w:lang w:val="en-US" w:eastAsia="zh-CN"/>
        </w:rPr>
        <w:t xml:space="preserve"> </w:t>
      </w:r>
      <w:r w:rsidR="00524D88" w:rsidRPr="006F0EBE">
        <w:rPr>
          <w:rFonts w:eastAsia="SimSun"/>
          <w:lang w:val="en-US" w:eastAsia="zh-CN"/>
        </w:rPr>
        <w:t xml:space="preserve">large </w:t>
      </w:r>
      <w:r w:rsidR="00BE416B" w:rsidRPr="006F0EBE">
        <w:rPr>
          <w:rFonts w:eastAsia="SimSun"/>
          <w:lang w:val="en-US" w:eastAsia="zh-CN"/>
        </w:rPr>
        <w:t>sample of consumers</w:t>
      </w:r>
      <w:r w:rsidR="00274F5E" w:rsidRPr="006F0EBE">
        <w:rPr>
          <w:rFonts w:eastAsia="SimSun"/>
          <w:lang w:val="en-US" w:eastAsia="zh-CN"/>
        </w:rPr>
        <w:t xml:space="preserve"> (of our two product categories)</w:t>
      </w:r>
      <w:r w:rsidR="00524D88" w:rsidRPr="006F0EBE">
        <w:rPr>
          <w:rFonts w:eastAsia="SimSun"/>
          <w:lang w:val="en-US" w:eastAsia="zh-CN"/>
        </w:rPr>
        <w:t>, the largest we are aware of in terms of tax studies on diet choices</w:t>
      </w:r>
      <w:r w:rsidR="009F4CBE" w:rsidRPr="006F0EBE">
        <w:rPr>
          <w:rFonts w:eastAsia="SimSun"/>
          <w:lang w:val="en-US" w:eastAsia="zh-CN"/>
        </w:rPr>
        <w:t>;</w:t>
      </w:r>
      <w:r w:rsidR="00BE416B" w:rsidRPr="006F0EBE">
        <w:rPr>
          <w:rFonts w:eastAsia="SimSun"/>
          <w:lang w:val="en-US" w:eastAsia="zh-CN"/>
        </w:rPr>
        <w:t xml:space="preserve"> and we have an intertemporal</w:t>
      </w:r>
      <w:r>
        <w:rPr>
          <w:rFonts w:eastAsia="SimSun"/>
          <w:lang w:val="en-US" w:eastAsia="zh-CN"/>
        </w:rPr>
        <w:t xml:space="preserve"> if admittedly partial</w:t>
      </w:r>
      <w:r w:rsidR="00BE416B" w:rsidRPr="006F0EBE">
        <w:rPr>
          <w:rFonts w:eastAsia="SimSun"/>
          <w:lang w:val="en-US" w:eastAsia="zh-CN"/>
        </w:rPr>
        <w:t xml:space="preserve"> check about the effect of the online purchase on other purchases. </w:t>
      </w:r>
      <w:r w:rsidR="00667290">
        <w:rPr>
          <w:rFonts w:eastAsia="SimSun"/>
          <w:lang w:val="en-US" w:eastAsia="zh-CN"/>
        </w:rPr>
        <w:t xml:space="preserve">Specifically, we run a post-experiment shopper diary enabling at least partially to verify the </w:t>
      </w:r>
      <w:r w:rsidR="00667290">
        <w:rPr>
          <w:rFonts w:eastAsia="SimSun"/>
          <w:lang w:val="en-US" w:eastAsia="zh-CN"/>
        </w:rPr>
        <w:lastRenderedPageBreak/>
        <w:t xml:space="preserve">trade-offs between experimental and post-experimental purchases (see sections 2.3, 5 and </w:t>
      </w:r>
      <w:r w:rsidR="00B64D51">
        <w:rPr>
          <w:rFonts w:eastAsia="SimSun"/>
          <w:lang w:val="en-US" w:eastAsia="zh-CN"/>
        </w:rPr>
        <w:t>o</w:t>
      </w:r>
      <w:r w:rsidR="00667290">
        <w:rPr>
          <w:rFonts w:eastAsia="SimSun"/>
          <w:lang w:val="en-US" w:eastAsia="zh-CN"/>
        </w:rPr>
        <w:t xml:space="preserve">nline </w:t>
      </w:r>
      <w:r w:rsidR="00B64D51">
        <w:rPr>
          <w:rFonts w:eastAsia="SimSun"/>
          <w:lang w:val="en-US" w:eastAsia="zh-CN"/>
        </w:rPr>
        <w:t>a</w:t>
      </w:r>
      <w:r w:rsidR="00667290">
        <w:rPr>
          <w:rFonts w:eastAsia="SimSun"/>
          <w:lang w:val="en-US" w:eastAsia="zh-CN"/>
        </w:rPr>
        <w:t xml:space="preserve">ppendix B). </w:t>
      </w:r>
      <w:r w:rsidR="00CE1C4B" w:rsidRPr="006F0EBE">
        <w:rPr>
          <w:rFonts w:eastAsia="SimSun"/>
          <w:lang w:val="en-US" w:eastAsia="zh-CN"/>
        </w:rPr>
        <w:t>Looking at a representative sample enables us</w:t>
      </w:r>
      <w:r w:rsidR="00BE416B" w:rsidRPr="006F0EBE">
        <w:rPr>
          <w:rFonts w:eastAsia="SimSun"/>
          <w:lang w:val="en-US" w:eastAsia="zh-CN"/>
        </w:rPr>
        <w:t xml:space="preserve"> to verify whether </w:t>
      </w:r>
      <w:r w:rsidR="00A0588F" w:rsidRPr="006F0EBE">
        <w:rPr>
          <w:rFonts w:eastAsia="SimSun"/>
          <w:lang w:val="en-US" w:eastAsia="zh-CN"/>
        </w:rPr>
        <w:t>taxes on less healthy products</w:t>
      </w:r>
      <w:r w:rsidR="00BE416B" w:rsidRPr="006F0EBE">
        <w:rPr>
          <w:rFonts w:eastAsia="SimSun"/>
          <w:lang w:val="en-US" w:eastAsia="zh-CN"/>
        </w:rPr>
        <w:t xml:space="preserve"> are more likely to be </w:t>
      </w:r>
      <w:r w:rsidR="00C476DA">
        <w:rPr>
          <w:rFonts w:eastAsia="SimSun"/>
          <w:lang w:val="en-US" w:eastAsia="zh-CN"/>
        </w:rPr>
        <w:t>(in)</w:t>
      </w:r>
      <w:r w:rsidR="00BE416B" w:rsidRPr="006F0EBE">
        <w:rPr>
          <w:rFonts w:eastAsia="SimSun"/>
          <w:lang w:val="en-US" w:eastAsia="zh-CN"/>
        </w:rPr>
        <w:t>effective with particular segments of the population</w:t>
      </w:r>
      <w:r w:rsidR="00C476DA">
        <w:rPr>
          <w:rFonts w:eastAsia="SimSun"/>
          <w:lang w:val="en-US" w:eastAsia="zh-CN"/>
        </w:rPr>
        <w:t>, where evidence from existing research is mixed (see section 2)</w:t>
      </w:r>
      <w:r w:rsidR="00CE1C4B" w:rsidRPr="006F0EBE">
        <w:rPr>
          <w:rFonts w:eastAsia="SimSun"/>
          <w:lang w:val="en-US" w:eastAsia="zh-CN"/>
        </w:rPr>
        <w:t>.</w:t>
      </w:r>
    </w:p>
    <w:p w14:paraId="1220F0A1" w14:textId="3FF24783" w:rsidR="00C324E5" w:rsidRPr="006F0EBE" w:rsidRDefault="00C324E5" w:rsidP="007B0E00">
      <w:pPr>
        <w:spacing w:after="0"/>
        <w:rPr>
          <w:rFonts w:eastAsia="SimSun"/>
          <w:lang w:val="en-US" w:eastAsia="zh-CN"/>
        </w:rPr>
      </w:pPr>
      <w:r w:rsidRPr="006F0EBE">
        <w:rPr>
          <w:rFonts w:eastAsia="SimSun"/>
          <w:lang w:val="en-US" w:eastAsia="zh-CN"/>
        </w:rPr>
        <w:t xml:space="preserve">We focus on cereals and soft drinks as they are reasonably popular among UK households, include sizeable proportions of both healthy and unhealthy products within each category and </w:t>
      </w:r>
      <w:r w:rsidR="00A0588F" w:rsidRPr="006F0EBE">
        <w:rPr>
          <w:rFonts w:eastAsia="SimSun"/>
          <w:lang w:val="en-US" w:eastAsia="zh-CN"/>
        </w:rPr>
        <w:t>are priced</w:t>
      </w:r>
      <w:r w:rsidRPr="006F0EBE">
        <w:rPr>
          <w:rFonts w:eastAsia="SimSun"/>
          <w:lang w:val="en-US" w:eastAsia="zh-CN"/>
        </w:rPr>
        <w:t xml:space="preserve"> within the experimental budget of UK £10.</w:t>
      </w:r>
      <w:r w:rsidR="005C4E33" w:rsidRPr="006F0EBE">
        <w:rPr>
          <w:rFonts w:eastAsia="SimSun"/>
          <w:lang w:val="en-US" w:eastAsia="zh-CN"/>
        </w:rPr>
        <w:t xml:space="preserve"> </w:t>
      </w:r>
      <w:r w:rsidRPr="006F0EBE">
        <w:rPr>
          <w:rFonts w:eastAsia="SimSun"/>
          <w:lang w:val="en-US" w:eastAsia="zh-CN"/>
        </w:rPr>
        <w:t xml:space="preserve">From a public policy perspective, taxes on sugary soft drinks have been implemented in countries such as Mexico and are </w:t>
      </w:r>
      <w:r w:rsidR="00190D26" w:rsidRPr="006F0EBE">
        <w:rPr>
          <w:rFonts w:eastAsia="SimSun"/>
          <w:lang w:val="en-US" w:eastAsia="zh-CN"/>
        </w:rPr>
        <w:t>being</w:t>
      </w:r>
      <w:r w:rsidRPr="006F0EBE">
        <w:rPr>
          <w:rFonts w:eastAsia="SimSun"/>
          <w:lang w:val="en-US" w:eastAsia="zh-CN"/>
        </w:rPr>
        <w:t xml:space="preserve"> debate</w:t>
      </w:r>
      <w:r w:rsidR="00190D26" w:rsidRPr="006F0EBE">
        <w:rPr>
          <w:rFonts w:eastAsia="SimSun"/>
          <w:lang w:val="en-US" w:eastAsia="zh-CN"/>
        </w:rPr>
        <w:t>d</w:t>
      </w:r>
      <w:r w:rsidRPr="006F0EBE">
        <w:rPr>
          <w:rFonts w:eastAsia="SimSun"/>
          <w:lang w:val="en-US" w:eastAsia="zh-CN"/>
        </w:rPr>
        <w:t xml:space="preserve"> in many countries </w:t>
      </w:r>
      <w:r w:rsidR="00E4447E" w:rsidRPr="006F0EBE">
        <w:rPr>
          <w:rFonts w:eastAsia="SimSun"/>
          <w:lang w:val="en-US" w:eastAsia="zh-CN"/>
        </w:rPr>
        <w:t>(</w:t>
      </w:r>
      <w:proofErr w:type="spellStart"/>
      <w:r w:rsidR="00E4447E" w:rsidRPr="006F0EBE">
        <w:rPr>
          <w:rFonts w:eastAsia="SimSun"/>
          <w:lang w:val="en-US" w:eastAsia="zh-CN"/>
        </w:rPr>
        <w:t>Cornelsen</w:t>
      </w:r>
      <w:proofErr w:type="spellEnd"/>
      <w:r w:rsidR="00E4447E" w:rsidRPr="006F0EBE">
        <w:rPr>
          <w:rFonts w:eastAsia="SimSun"/>
          <w:lang w:val="en-US" w:eastAsia="zh-CN"/>
        </w:rPr>
        <w:t xml:space="preserve"> and </w:t>
      </w:r>
      <w:proofErr w:type="spellStart"/>
      <w:r w:rsidR="00E4447E" w:rsidRPr="006F0EBE">
        <w:rPr>
          <w:rFonts w:eastAsia="SimSun"/>
          <w:lang w:val="en-US" w:eastAsia="zh-CN"/>
        </w:rPr>
        <w:t>Carreido</w:t>
      </w:r>
      <w:proofErr w:type="spellEnd"/>
      <w:r w:rsidR="00E263C3">
        <w:rPr>
          <w:rFonts w:eastAsia="SimSun"/>
          <w:lang w:val="en-US" w:eastAsia="zh-CN"/>
        </w:rPr>
        <w:t>,</w:t>
      </w:r>
      <w:r w:rsidR="00E4447E" w:rsidRPr="006F0EBE">
        <w:rPr>
          <w:rFonts w:eastAsia="SimSun"/>
          <w:lang w:val="en-US" w:eastAsia="zh-CN"/>
        </w:rPr>
        <w:t xml:space="preserve"> 2015)</w:t>
      </w:r>
      <w:r w:rsidR="005D6025" w:rsidRPr="006F0EBE">
        <w:rPr>
          <w:rFonts w:eastAsia="SimSun"/>
          <w:lang w:val="en-US" w:eastAsia="zh-CN"/>
        </w:rPr>
        <w:t xml:space="preserve">. In relation to the </w:t>
      </w:r>
      <w:r w:rsidRPr="006F0EBE">
        <w:rPr>
          <w:rFonts w:eastAsia="SimSun"/>
          <w:lang w:val="en-US" w:eastAsia="zh-CN"/>
        </w:rPr>
        <w:t>UK</w:t>
      </w:r>
      <w:r w:rsidR="00F255AD" w:rsidRPr="006F0EBE">
        <w:rPr>
          <w:rFonts w:eastAsia="SimSun"/>
          <w:lang w:val="en-US" w:eastAsia="zh-CN"/>
        </w:rPr>
        <w:t>,</w:t>
      </w:r>
      <w:r w:rsidRPr="006F0EBE">
        <w:rPr>
          <w:rFonts w:eastAsia="SimSun"/>
          <w:lang w:val="en-US" w:eastAsia="zh-CN"/>
        </w:rPr>
        <w:t xml:space="preserve"> </w:t>
      </w:r>
      <w:r w:rsidR="005D6025" w:rsidRPr="006F0EBE">
        <w:rPr>
          <w:rFonts w:eastAsia="SimSun"/>
          <w:lang w:val="en-US" w:eastAsia="zh-CN"/>
        </w:rPr>
        <w:t xml:space="preserve">an introduction of a price increase of a minimum of 10-20% via a tax or levy on high sugar products, such as on sugar-sweetened beverages, was one out of eight measures identified </w:t>
      </w:r>
      <w:r w:rsidR="00A42760">
        <w:rPr>
          <w:rFonts w:eastAsia="SimSun"/>
          <w:lang w:val="en-US" w:eastAsia="zh-CN"/>
        </w:rPr>
        <w:t xml:space="preserve">in Public Health England (2015) </w:t>
      </w:r>
      <w:r w:rsidR="005D6025" w:rsidRPr="006F0EBE">
        <w:rPr>
          <w:rFonts w:eastAsia="SimSun"/>
          <w:lang w:val="en-US" w:eastAsia="zh-CN"/>
        </w:rPr>
        <w:t>that could help facilitate a reduction in sugar intakes</w:t>
      </w:r>
      <w:r w:rsidR="00F255AD" w:rsidRPr="006F0EBE">
        <w:rPr>
          <w:rFonts w:eastAsia="SimSun"/>
          <w:lang w:val="en-US" w:eastAsia="zh-CN"/>
        </w:rPr>
        <w:t xml:space="preserve">. </w:t>
      </w:r>
      <w:r w:rsidR="00274F5E" w:rsidRPr="006F0EBE">
        <w:rPr>
          <w:rFonts w:eastAsia="SimSun"/>
          <w:lang w:val="en-US" w:eastAsia="zh-CN"/>
        </w:rPr>
        <w:t>Cereals</w:t>
      </w:r>
      <w:r w:rsidRPr="006F0EBE">
        <w:rPr>
          <w:rFonts w:eastAsia="SimSun"/>
          <w:lang w:val="en-US" w:eastAsia="zh-CN"/>
        </w:rPr>
        <w:t xml:space="preserve"> are </w:t>
      </w:r>
      <w:r w:rsidR="00F255AD" w:rsidRPr="006F0EBE">
        <w:rPr>
          <w:rFonts w:eastAsia="SimSun"/>
          <w:lang w:val="en-US" w:eastAsia="zh-CN"/>
        </w:rPr>
        <w:t>also interesting</w:t>
      </w:r>
      <w:r w:rsidRPr="006F0EBE">
        <w:rPr>
          <w:rFonts w:eastAsia="SimSun"/>
          <w:lang w:val="en-US" w:eastAsia="zh-CN"/>
        </w:rPr>
        <w:t xml:space="preserve"> as they</w:t>
      </w:r>
      <w:r w:rsidR="00FC5304" w:rsidRPr="006F0EBE">
        <w:rPr>
          <w:rFonts w:eastAsia="SimSun"/>
          <w:lang w:val="en-US" w:eastAsia="zh-CN"/>
        </w:rPr>
        <w:t xml:space="preserve"> can make an important contribution to micronutrient intake</w:t>
      </w:r>
      <w:r w:rsidR="00061BA9">
        <w:rPr>
          <w:rFonts w:eastAsia="SimSun"/>
          <w:lang w:val="en-US" w:eastAsia="zh-CN"/>
        </w:rPr>
        <w:t>. M</w:t>
      </w:r>
      <w:r w:rsidR="00FC5304" w:rsidRPr="006F0EBE">
        <w:rPr>
          <w:rFonts w:eastAsia="SimSun"/>
          <w:lang w:val="en-US" w:eastAsia="zh-CN"/>
        </w:rPr>
        <w:t xml:space="preserve">any of them </w:t>
      </w:r>
      <w:r w:rsidR="00311491" w:rsidRPr="006F0EBE">
        <w:rPr>
          <w:rFonts w:eastAsia="SimSun"/>
          <w:lang w:val="en-US" w:eastAsia="zh-CN"/>
        </w:rPr>
        <w:t xml:space="preserve">represent </w:t>
      </w:r>
      <w:r w:rsidR="00FC5304" w:rsidRPr="006F0EBE">
        <w:rPr>
          <w:rFonts w:eastAsia="SimSun"/>
          <w:lang w:val="en-US" w:eastAsia="zh-CN"/>
        </w:rPr>
        <w:t xml:space="preserve">a good source of </w:t>
      </w:r>
      <w:r w:rsidR="0051587D" w:rsidRPr="006F0EBE">
        <w:rPr>
          <w:rFonts w:eastAsia="SimSun"/>
          <w:lang w:val="en-US" w:eastAsia="zh-CN"/>
        </w:rPr>
        <w:t>fiber</w:t>
      </w:r>
      <w:r w:rsidR="00FC5304" w:rsidRPr="006F0EBE">
        <w:rPr>
          <w:rFonts w:eastAsia="SimSun"/>
          <w:lang w:val="en-US" w:eastAsia="zh-CN"/>
        </w:rPr>
        <w:t xml:space="preserve"> (Williamson</w:t>
      </w:r>
      <w:r w:rsidR="000B4DC4">
        <w:rPr>
          <w:rFonts w:eastAsia="SimSun"/>
          <w:lang w:val="en-US" w:eastAsia="zh-CN"/>
        </w:rPr>
        <w:t>,</w:t>
      </w:r>
      <w:r w:rsidR="00FC5304" w:rsidRPr="006F0EBE">
        <w:rPr>
          <w:rFonts w:eastAsia="SimSun"/>
          <w:lang w:val="en-US" w:eastAsia="zh-CN"/>
        </w:rPr>
        <w:t xml:space="preserve"> 2010)</w:t>
      </w:r>
      <w:r w:rsidR="00311491" w:rsidRPr="006F0EBE">
        <w:rPr>
          <w:rFonts w:eastAsia="SimSun"/>
          <w:lang w:val="en-US" w:eastAsia="zh-CN"/>
        </w:rPr>
        <w:t>,</w:t>
      </w:r>
      <w:r w:rsidR="00FC5304" w:rsidRPr="006F0EBE">
        <w:rPr>
          <w:rFonts w:eastAsia="SimSun"/>
          <w:lang w:val="en-US" w:eastAsia="zh-CN"/>
        </w:rPr>
        <w:t xml:space="preserve"> </w:t>
      </w:r>
      <w:r w:rsidR="00061BA9">
        <w:rPr>
          <w:rFonts w:eastAsia="SimSun"/>
          <w:lang w:val="en-US" w:eastAsia="zh-CN"/>
        </w:rPr>
        <w:t xml:space="preserve">though </w:t>
      </w:r>
      <w:r w:rsidR="00FC5304" w:rsidRPr="006F0EBE">
        <w:rPr>
          <w:rFonts w:eastAsia="SimSun"/>
          <w:lang w:val="en-US" w:eastAsia="zh-CN"/>
        </w:rPr>
        <w:t xml:space="preserve">a considerable </w:t>
      </w:r>
      <w:r w:rsidR="00CB024B" w:rsidRPr="006F0EBE">
        <w:rPr>
          <w:rFonts w:eastAsia="SimSun"/>
          <w:lang w:val="en-US" w:eastAsia="zh-CN"/>
        </w:rPr>
        <w:t xml:space="preserve">and growing </w:t>
      </w:r>
      <w:r w:rsidR="00FC5304" w:rsidRPr="006F0EBE">
        <w:rPr>
          <w:rFonts w:eastAsia="SimSun"/>
          <w:lang w:val="en-US" w:eastAsia="zh-CN"/>
        </w:rPr>
        <w:t xml:space="preserve">proportion of </w:t>
      </w:r>
      <w:r w:rsidR="003F26D2" w:rsidRPr="006F0EBE">
        <w:rPr>
          <w:rFonts w:eastAsia="SimSun"/>
          <w:lang w:val="en-US" w:eastAsia="zh-CN"/>
        </w:rPr>
        <w:t xml:space="preserve">cereals </w:t>
      </w:r>
      <w:r w:rsidR="00FC5304" w:rsidRPr="006F0EBE">
        <w:rPr>
          <w:rFonts w:eastAsia="SimSun"/>
          <w:lang w:val="en-US" w:eastAsia="zh-CN"/>
        </w:rPr>
        <w:t>have high levels of sugar and salt</w:t>
      </w:r>
      <w:r w:rsidR="00877E1D" w:rsidRPr="006F0EBE">
        <w:rPr>
          <w:rFonts w:eastAsia="SimSun"/>
          <w:lang w:val="en-US" w:eastAsia="zh-CN"/>
        </w:rPr>
        <w:t xml:space="preserve"> (Action on Sugar</w:t>
      </w:r>
      <w:r w:rsidR="000B4DC4">
        <w:rPr>
          <w:rFonts w:eastAsia="SimSun"/>
          <w:lang w:val="en-US" w:eastAsia="zh-CN"/>
        </w:rPr>
        <w:t>,</w:t>
      </w:r>
      <w:r w:rsidR="00877E1D" w:rsidRPr="006F0EBE">
        <w:rPr>
          <w:rFonts w:eastAsia="SimSun"/>
          <w:lang w:val="en-US" w:eastAsia="zh-CN"/>
        </w:rPr>
        <w:t xml:space="preserve"> 201</w:t>
      </w:r>
      <w:r w:rsidR="00FF7CD6" w:rsidRPr="006F0EBE">
        <w:rPr>
          <w:rFonts w:eastAsia="SimSun"/>
          <w:lang w:val="en-US" w:eastAsia="zh-CN"/>
        </w:rPr>
        <w:t>5</w:t>
      </w:r>
      <w:r w:rsidR="00877E1D" w:rsidRPr="006F0EBE">
        <w:rPr>
          <w:rFonts w:eastAsia="SimSun"/>
          <w:lang w:val="en-US" w:eastAsia="zh-CN"/>
        </w:rPr>
        <w:t>)</w:t>
      </w:r>
      <w:r w:rsidR="002D7E7D" w:rsidRPr="006F0EBE">
        <w:rPr>
          <w:rFonts w:eastAsia="SimSun"/>
          <w:lang w:val="en-US" w:eastAsia="zh-CN"/>
        </w:rPr>
        <w:t>.</w:t>
      </w:r>
      <w:r w:rsidRPr="006F0EBE">
        <w:rPr>
          <w:rFonts w:eastAsia="SimSun"/>
          <w:lang w:val="en-US" w:eastAsia="zh-CN"/>
        </w:rPr>
        <w:t xml:space="preserve"> </w:t>
      </w:r>
    </w:p>
    <w:p w14:paraId="14BC09F6" w14:textId="3A01A51D" w:rsidR="00A90DC7" w:rsidRDefault="00A90DC7" w:rsidP="007B0E00">
      <w:pPr>
        <w:spacing w:after="0"/>
        <w:rPr>
          <w:lang w:val="en-US"/>
        </w:rPr>
      </w:pPr>
      <w:r w:rsidRPr="00A31C4A">
        <w:rPr>
          <w:lang w:val="en-US"/>
        </w:rPr>
        <w:t xml:space="preserve">We consider price changes of 20% and 40%. </w:t>
      </w:r>
      <w:r w:rsidR="005C4E33" w:rsidRPr="00A31C4A">
        <w:rPr>
          <w:lang w:val="en-US"/>
        </w:rPr>
        <w:t xml:space="preserve">We do not try to model price promotions but rather taxes, as this </w:t>
      </w:r>
      <w:r w:rsidR="00E96235">
        <w:t>has been the almost exclusive focus in the recent policy debate</w:t>
      </w:r>
      <w:r w:rsidR="005C4E33" w:rsidRPr="00A31C4A">
        <w:rPr>
          <w:lang w:val="en-US"/>
        </w:rPr>
        <w:t xml:space="preserve">. </w:t>
      </w:r>
      <w:r w:rsidRPr="00A31C4A">
        <w:rPr>
          <w:lang w:val="en-US"/>
        </w:rPr>
        <w:t xml:space="preserve">A price change of (around) 20% is standard in the literature (Bonnet and </w:t>
      </w:r>
      <w:proofErr w:type="spellStart"/>
      <w:r w:rsidRPr="00A31C4A">
        <w:rPr>
          <w:lang w:val="en-US"/>
        </w:rPr>
        <w:t>Réquillart</w:t>
      </w:r>
      <w:proofErr w:type="spellEnd"/>
      <w:r w:rsidR="000B4DC4">
        <w:rPr>
          <w:lang w:val="en-US"/>
        </w:rPr>
        <w:t>,</w:t>
      </w:r>
      <w:r w:rsidRPr="00A31C4A">
        <w:rPr>
          <w:lang w:val="en-US"/>
        </w:rPr>
        <w:t xml:space="preserve"> 2013; Briggs et al.</w:t>
      </w:r>
      <w:r w:rsidR="000B4DC4">
        <w:rPr>
          <w:lang w:val="en-US"/>
        </w:rPr>
        <w:t>,</w:t>
      </w:r>
      <w:r w:rsidRPr="00A31C4A">
        <w:rPr>
          <w:lang w:val="en-US"/>
        </w:rPr>
        <w:t xml:space="preserve"> 2013; Epstein et al.</w:t>
      </w:r>
      <w:r w:rsidR="000B4DC4">
        <w:rPr>
          <w:lang w:val="en-US"/>
        </w:rPr>
        <w:t>,</w:t>
      </w:r>
      <w:r w:rsidRPr="00A31C4A">
        <w:rPr>
          <w:lang w:val="en-US"/>
        </w:rPr>
        <w:t xml:space="preserve"> 2007; Waterlander et al.</w:t>
      </w:r>
      <w:r w:rsidR="000B4DC4">
        <w:rPr>
          <w:lang w:val="en-US"/>
        </w:rPr>
        <w:t>,</w:t>
      </w:r>
      <w:r w:rsidRPr="00A31C4A">
        <w:rPr>
          <w:lang w:val="en-US"/>
        </w:rPr>
        <w:t xml:space="preserve"> </w:t>
      </w:r>
      <w:r w:rsidR="0051587D" w:rsidRPr="00A31C4A">
        <w:rPr>
          <w:lang w:val="en-US"/>
        </w:rPr>
        <w:t>2012</w:t>
      </w:r>
      <w:r w:rsidR="001F3A90" w:rsidRPr="00A31C4A">
        <w:rPr>
          <w:lang w:val="en-US"/>
        </w:rPr>
        <w:t>a, 2012b</w:t>
      </w:r>
      <w:r w:rsidRPr="00A31C4A">
        <w:rPr>
          <w:lang w:val="en-US"/>
        </w:rPr>
        <w:t>)</w:t>
      </w:r>
      <w:r w:rsidR="008B36AE" w:rsidRPr="00A31C4A">
        <w:rPr>
          <w:lang w:val="en-US"/>
        </w:rPr>
        <w:t>, it</w:t>
      </w:r>
      <w:r w:rsidRPr="00A31C4A">
        <w:rPr>
          <w:lang w:val="en-US"/>
        </w:rPr>
        <w:t xml:space="preserve"> is at the upper bound of food taxes typically considered by policy makers</w:t>
      </w:r>
      <w:r w:rsidR="008B36AE" w:rsidRPr="00A31C4A">
        <w:rPr>
          <w:lang w:val="en-US"/>
        </w:rPr>
        <w:t>, and the lower bound of what public health researchers consider as necessary for making a significant, positive impact on health (</w:t>
      </w:r>
      <w:proofErr w:type="spellStart"/>
      <w:r w:rsidR="008B36AE" w:rsidRPr="00A31C4A">
        <w:rPr>
          <w:lang w:val="en-US"/>
        </w:rPr>
        <w:t>Mytton</w:t>
      </w:r>
      <w:proofErr w:type="spellEnd"/>
      <w:r w:rsidR="008B36AE" w:rsidRPr="00A31C4A">
        <w:rPr>
          <w:lang w:val="en-US"/>
        </w:rPr>
        <w:t xml:space="preserve"> et al</w:t>
      </w:r>
      <w:r w:rsidR="000B4DC4">
        <w:rPr>
          <w:lang w:val="en-US"/>
        </w:rPr>
        <w:t>.,</w:t>
      </w:r>
      <w:r w:rsidR="008B36AE" w:rsidRPr="00A31C4A">
        <w:rPr>
          <w:lang w:val="en-US"/>
        </w:rPr>
        <w:t xml:space="preserve"> 2012)</w:t>
      </w:r>
      <w:r w:rsidRPr="00A31C4A">
        <w:rPr>
          <w:lang w:val="en-US"/>
        </w:rPr>
        <w:t>. A price change of 40% is a ‘large’ change and provide</w:t>
      </w:r>
      <w:r w:rsidR="0051587D" w:rsidRPr="00A31C4A">
        <w:rPr>
          <w:lang w:val="en-US"/>
        </w:rPr>
        <w:t>s</w:t>
      </w:r>
      <w:r w:rsidRPr="00A31C4A">
        <w:rPr>
          <w:lang w:val="en-US"/>
        </w:rPr>
        <w:t xml:space="preserve"> </w:t>
      </w:r>
      <w:r w:rsidR="004702E5" w:rsidRPr="00A31C4A">
        <w:rPr>
          <w:lang w:val="en-US"/>
        </w:rPr>
        <w:t xml:space="preserve">a </w:t>
      </w:r>
      <w:r w:rsidR="00190D26" w:rsidRPr="00A31C4A">
        <w:rPr>
          <w:lang w:val="en-US"/>
        </w:rPr>
        <w:t>stress test for whether any effect can be found</w:t>
      </w:r>
      <w:r w:rsidR="008B36AE" w:rsidRPr="00A31C4A">
        <w:rPr>
          <w:lang w:val="en-US"/>
        </w:rPr>
        <w:t>,</w:t>
      </w:r>
      <w:r w:rsidR="00190D26" w:rsidRPr="00A31C4A">
        <w:rPr>
          <w:lang w:val="en-US"/>
        </w:rPr>
        <w:t xml:space="preserve"> given the inconclusiveness of the results in the literature</w:t>
      </w:r>
      <w:r w:rsidRPr="00A31C4A">
        <w:rPr>
          <w:lang w:val="en-US"/>
        </w:rPr>
        <w:t>.</w:t>
      </w:r>
      <w:r w:rsidR="005C4E33" w:rsidRPr="00A31C4A">
        <w:rPr>
          <w:lang w:val="en-US"/>
        </w:rPr>
        <w:t xml:space="preserve"> </w:t>
      </w:r>
      <w:r w:rsidR="000A16D9" w:rsidRPr="00A31C4A">
        <w:rPr>
          <w:lang w:val="en-US"/>
        </w:rPr>
        <w:t>I</w:t>
      </w:r>
      <w:r w:rsidR="005C4E33" w:rsidRPr="00A31C4A">
        <w:rPr>
          <w:lang w:val="en-US"/>
        </w:rPr>
        <w:t xml:space="preserve">n all cases price changes are in the form of taxes, which rules out the possibility that lab behavior may be driven by stockpiling (as there cannot be offers better than those found in the natural </w:t>
      </w:r>
      <w:r w:rsidR="005C4E33" w:rsidRPr="00A31C4A">
        <w:rPr>
          <w:lang w:val="en-US"/>
        </w:rPr>
        <w:lastRenderedPageBreak/>
        <w:t>world, to which our baseline prices are benchmarked against)</w:t>
      </w:r>
      <w:r w:rsidR="00FC7EA4">
        <w:rPr>
          <w:lang w:val="en-US"/>
        </w:rPr>
        <w:t>, though it does not rule out other kinds of compensation effects</w:t>
      </w:r>
      <w:r w:rsidR="00315D04" w:rsidRPr="00F4497E">
        <w:rPr>
          <w:lang w:val="en-US"/>
        </w:rPr>
        <w:t>, which we deal with using a post-experimental shopper diary</w:t>
      </w:r>
      <w:r w:rsidR="005C4E33" w:rsidRPr="00F4497E">
        <w:rPr>
          <w:lang w:val="en-US"/>
        </w:rPr>
        <w:t>.</w:t>
      </w:r>
    </w:p>
    <w:p w14:paraId="4BA9CA93" w14:textId="45942678" w:rsidR="000A7192" w:rsidRDefault="000A7192" w:rsidP="000A7192">
      <w:pPr>
        <w:spacing w:after="0"/>
        <w:rPr>
          <w:rFonts w:eastAsia="MS Mincho"/>
          <w:lang w:val="en-US" w:eastAsia="ja-JP"/>
        </w:rPr>
      </w:pPr>
      <w:r>
        <w:rPr>
          <w:lang w:val="en-US"/>
        </w:rPr>
        <w:t xml:space="preserve">Our experiment also considers whether signposting part of the price as a tax strengthens the effect of the tax in reducing demand. </w:t>
      </w:r>
      <w:r w:rsidRPr="00127F43">
        <w:rPr>
          <w:rFonts w:eastAsia="MS Mincho"/>
          <w:lang w:val="en-US" w:eastAsia="ja-JP"/>
        </w:rPr>
        <w:t>There are</w:t>
      </w:r>
      <w:r>
        <w:rPr>
          <w:rFonts w:eastAsia="MS Mincho"/>
          <w:lang w:val="en-US" w:eastAsia="ja-JP"/>
        </w:rPr>
        <w:t xml:space="preserve"> a number of</w:t>
      </w:r>
      <w:r w:rsidRPr="00127F43">
        <w:rPr>
          <w:rFonts w:eastAsia="MS Mincho"/>
          <w:lang w:val="en-US" w:eastAsia="ja-JP"/>
        </w:rPr>
        <w:t xml:space="preserve"> mechanisms which explain why signposting </w:t>
      </w:r>
      <w:r>
        <w:rPr>
          <w:rFonts w:eastAsia="MS Mincho"/>
          <w:lang w:val="en-US" w:eastAsia="ja-JP"/>
        </w:rPr>
        <w:t>could be</w:t>
      </w:r>
      <w:r w:rsidRPr="00127F43">
        <w:rPr>
          <w:rFonts w:eastAsia="MS Mincho"/>
          <w:lang w:val="en-US" w:eastAsia="ja-JP"/>
        </w:rPr>
        <w:t xml:space="preserve"> effective as a nudge</w:t>
      </w:r>
      <w:r>
        <w:rPr>
          <w:rFonts w:eastAsia="MS Mincho"/>
          <w:lang w:val="en-US" w:eastAsia="ja-JP"/>
        </w:rPr>
        <w:t>. First, it may increase the salience of a price change relative to a reference price. Second, it may inform consumers with limited attention that the price is different. We note that that the asymmetric results with taxes and subsidies by Feldman and Ruffle (2015), with signposting of taxes mattering but signposting of subsidies not mattering, cast some doubt on these specific interpretations. That said, because their implementation of signposting is different and they do not focus on diet, further research is needed to test these possible mechanisms.</w:t>
      </w:r>
    </w:p>
    <w:p w14:paraId="6C28252C" w14:textId="5F94A9F3" w:rsidR="000A7192" w:rsidRPr="00A31C4A" w:rsidRDefault="000A7192" w:rsidP="00E263C3">
      <w:pPr>
        <w:spacing w:after="0"/>
        <w:rPr>
          <w:lang w:val="en-US"/>
        </w:rPr>
      </w:pPr>
      <w:r>
        <w:rPr>
          <w:rFonts w:eastAsia="MS Mincho"/>
          <w:lang w:val="en-US" w:eastAsia="ja-JP"/>
        </w:rPr>
        <w:t>Third, along the lines of Johnson et al. (2012), signposting may reduce the cognitive load of the decision maker by partitioning the products as taxed or untaxed. Fourth, it may inform the consumer that part of an overall price is made up of a tax. Both the third and fourth channels do not however explain why consumers react to a tax as they do. Tax aversion (</w:t>
      </w:r>
      <w:proofErr w:type="spellStart"/>
      <w:r>
        <w:rPr>
          <w:rFonts w:eastAsia="MS Mincho"/>
          <w:lang w:val="en-US" w:eastAsia="ja-JP"/>
        </w:rPr>
        <w:t>Sussman</w:t>
      </w:r>
      <w:proofErr w:type="spellEnd"/>
      <w:r>
        <w:rPr>
          <w:rFonts w:eastAsia="MS Mincho"/>
          <w:lang w:val="en-US" w:eastAsia="ja-JP"/>
        </w:rPr>
        <w:t xml:space="preserve"> and </w:t>
      </w:r>
      <w:proofErr w:type="spellStart"/>
      <w:r>
        <w:rPr>
          <w:rFonts w:eastAsia="MS Mincho"/>
          <w:lang w:val="en-US" w:eastAsia="ja-JP"/>
        </w:rPr>
        <w:t>Olivola</w:t>
      </w:r>
      <w:proofErr w:type="spellEnd"/>
      <w:r>
        <w:rPr>
          <w:rFonts w:eastAsia="MS Mincho"/>
          <w:lang w:val="en-US" w:eastAsia="ja-JP"/>
        </w:rPr>
        <w:t>, 2011) explains this and is consistent with the evidence by Feldman and Ruffle (2015).</w:t>
      </w:r>
    </w:p>
    <w:p w14:paraId="0CD6E20F" w14:textId="6548BFBE" w:rsidR="004762F9" w:rsidRPr="006F0EBE" w:rsidRDefault="00A15BF7" w:rsidP="007B0E00">
      <w:pPr>
        <w:spacing w:after="0"/>
        <w:rPr>
          <w:rFonts w:eastAsia="SimSun"/>
          <w:lang w:val="en-US" w:eastAsia="zh-CN"/>
        </w:rPr>
      </w:pPr>
      <w:r w:rsidRPr="006F0EBE">
        <w:rPr>
          <w:rFonts w:eastAsia="SimSun"/>
          <w:lang w:val="en-US" w:eastAsia="zh-CN"/>
        </w:rPr>
        <w:t>In brief, our key result is</w:t>
      </w:r>
      <w:r w:rsidR="009F4CBE" w:rsidRPr="006F0EBE">
        <w:rPr>
          <w:rFonts w:eastAsia="SimSun"/>
          <w:lang w:val="en-US" w:eastAsia="zh-CN"/>
        </w:rPr>
        <w:t xml:space="preserve"> th</w:t>
      </w:r>
      <w:r w:rsidRPr="006F0EBE">
        <w:rPr>
          <w:rFonts w:eastAsia="SimSun"/>
          <w:lang w:val="en-US" w:eastAsia="zh-CN"/>
        </w:rPr>
        <w:t xml:space="preserve">at taxation of less healthy </w:t>
      </w:r>
      <w:r w:rsidR="00944BE0" w:rsidRPr="006F0EBE">
        <w:rPr>
          <w:rFonts w:eastAsia="SimSun"/>
          <w:lang w:val="en-US" w:eastAsia="zh-CN"/>
        </w:rPr>
        <w:t xml:space="preserve">cereals and soft drinks </w:t>
      </w:r>
      <w:r w:rsidRPr="006F0EBE">
        <w:rPr>
          <w:rFonts w:eastAsia="SimSun"/>
          <w:lang w:val="en-US" w:eastAsia="zh-CN"/>
        </w:rPr>
        <w:t xml:space="preserve">has a sizeable negative impact on their </w:t>
      </w:r>
      <w:r w:rsidR="00354809" w:rsidRPr="006F0EBE">
        <w:rPr>
          <w:rFonts w:eastAsia="SimSun"/>
          <w:lang w:val="en-US" w:eastAsia="zh-CN"/>
        </w:rPr>
        <w:t>purchases</w:t>
      </w:r>
      <w:r w:rsidR="00C846A3" w:rsidRPr="006F0EBE">
        <w:rPr>
          <w:rFonts w:eastAsia="SimSun"/>
          <w:lang w:val="en-US" w:eastAsia="zh-CN"/>
        </w:rPr>
        <w:t xml:space="preserve">, particularly, in the case of cereals, when the price change is </w:t>
      </w:r>
      <w:r w:rsidR="00FF48F6" w:rsidRPr="006F0EBE">
        <w:rPr>
          <w:rFonts w:eastAsia="SimSun"/>
          <w:lang w:val="en-US" w:eastAsia="zh-CN"/>
        </w:rPr>
        <w:t>salient (</w:t>
      </w:r>
      <w:r w:rsidR="00C846A3" w:rsidRPr="006F0EBE">
        <w:rPr>
          <w:rFonts w:eastAsia="SimSun"/>
          <w:lang w:val="en-US" w:eastAsia="zh-CN"/>
        </w:rPr>
        <w:t>signposted</w:t>
      </w:r>
      <w:r w:rsidR="00FF48F6" w:rsidRPr="006F0EBE">
        <w:rPr>
          <w:rFonts w:eastAsia="SimSun"/>
          <w:lang w:val="en-US" w:eastAsia="zh-CN"/>
        </w:rPr>
        <w:t>)</w:t>
      </w:r>
      <w:r w:rsidR="00C846A3" w:rsidRPr="006F0EBE">
        <w:rPr>
          <w:rFonts w:eastAsia="SimSun"/>
          <w:lang w:val="en-US" w:eastAsia="zh-CN"/>
        </w:rPr>
        <w:t>, though more generally the effects of signposting are nuanced.</w:t>
      </w:r>
      <w:r w:rsidRPr="006F0EBE">
        <w:rPr>
          <w:rFonts w:eastAsia="SimSun"/>
          <w:lang w:val="en-US" w:eastAsia="zh-CN"/>
        </w:rPr>
        <w:t xml:space="preserve"> </w:t>
      </w:r>
      <w:r w:rsidR="00C846A3" w:rsidRPr="006F0EBE">
        <w:rPr>
          <w:rFonts w:eastAsia="SimSun"/>
          <w:lang w:val="en-US" w:eastAsia="zh-CN"/>
        </w:rPr>
        <w:t>A policy ‘reasonable’ tax value of 20% is sufficient to lead to large changes in behavior</w:t>
      </w:r>
      <w:r w:rsidR="009761C5" w:rsidRPr="006F0EBE">
        <w:rPr>
          <w:rFonts w:eastAsia="SimSun"/>
          <w:lang w:val="en-US" w:eastAsia="zh-CN"/>
        </w:rPr>
        <w:t>, which is robust across product categories if and only if signposting is used</w:t>
      </w:r>
      <w:r w:rsidR="00C846A3" w:rsidRPr="006F0EBE">
        <w:rPr>
          <w:rFonts w:eastAsia="SimSun"/>
          <w:lang w:val="en-US" w:eastAsia="zh-CN"/>
        </w:rPr>
        <w:t xml:space="preserve">. </w:t>
      </w:r>
      <w:r w:rsidR="009761C5" w:rsidRPr="006F0EBE">
        <w:rPr>
          <w:rFonts w:eastAsia="SimSun"/>
          <w:lang w:val="en-US" w:eastAsia="zh-CN"/>
        </w:rPr>
        <w:t>W</w:t>
      </w:r>
      <w:r w:rsidR="00C846A3" w:rsidRPr="006F0EBE">
        <w:rPr>
          <w:rFonts w:eastAsia="SimSun"/>
          <w:lang w:val="en-US" w:eastAsia="zh-CN"/>
        </w:rPr>
        <w:t xml:space="preserve">e find no evidence of </w:t>
      </w:r>
      <w:r w:rsidR="00CB024B" w:rsidRPr="006F0EBE">
        <w:rPr>
          <w:rFonts w:eastAsia="SimSun"/>
          <w:lang w:val="en-US" w:eastAsia="zh-CN"/>
        </w:rPr>
        <w:t xml:space="preserve">adverse distributional </w:t>
      </w:r>
      <w:r w:rsidR="00DC717A" w:rsidRPr="006F0EBE">
        <w:rPr>
          <w:rFonts w:eastAsia="SimSun"/>
          <w:lang w:val="en-US" w:eastAsia="zh-CN"/>
        </w:rPr>
        <w:t>effects</w:t>
      </w:r>
      <w:r w:rsidR="00C846A3" w:rsidRPr="006F0EBE">
        <w:rPr>
          <w:rFonts w:eastAsia="SimSun"/>
          <w:lang w:val="en-US" w:eastAsia="zh-CN"/>
        </w:rPr>
        <w:t xml:space="preserve"> </w:t>
      </w:r>
      <w:r w:rsidR="00CB024B" w:rsidRPr="006F0EBE">
        <w:rPr>
          <w:rFonts w:eastAsia="SimSun"/>
          <w:lang w:val="en-US" w:eastAsia="zh-CN"/>
        </w:rPr>
        <w:t xml:space="preserve">between socioeconomic groups </w:t>
      </w:r>
      <w:r w:rsidR="00C846A3" w:rsidRPr="006F0EBE">
        <w:rPr>
          <w:rFonts w:eastAsia="SimSun"/>
          <w:lang w:val="en-US" w:eastAsia="zh-CN"/>
        </w:rPr>
        <w:t>to worry about as a result of the price changes.</w:t>
      </w:r>
      <w:r w:rsidR="009F4CBE" w:rsidRPr="006F0EBE">
        <w:rPr>
          <w:rFonts w:eastAsia="SimSun"/>
          <w:lang w:val="en-US" w:eastAsia="zh-CN"/>
        </w:rPr>
        <w:t xml:space="preserve"> The rest of the paper is structured as follows. Section 2 </w:t>
      </w:r>
      <w:r w:rsidR="005C5969">
        <w:rPr>
          <w:rFonts w:eastAsia="SimSun"/>
          <w:lang w:val="en-US" w:eastAsia="zh-CN"/>
        </w:rPr>
        <w:t xml:space="preserve">provides a literature review. Section 3 </w:t>
      </w:r>
      <w:r w:rsidR="009F4CBE" w:rsidRPr="006F0EBE">
        <w:rPr>
          <w:rFonts w:eastAsia="SimSun"/>
          <w:lang w:val="en-US" w:eastAsia="zh-CN"/>
        </w:rPr>
        <w:t>describes the online supermarket platform</w:t>
      </w:r>
      <w:r w:rsidR="004762F9" w:rsidRPr="006F0EBE">
        <w:rPr>
          <w:rFonts w:eastAsia="SimSun"/>
          <w:lang w:val="en-US" w:eastAsia="zh-CN"/>
        </w:rPr>
        <w:t xml:space="preserve">, the product categories and healthfulness classification, and the experimental design, as well as providing details on participants, procedures, </w:t>
      </w:r>
      <w:r w:rsidR="004762F9" w:rsidRPr="006F0EBE">
        <w:rPr>
          <w:rFonts w:eastAsia="SimSun"/>
          <w:lang w:val="en-US" w:eastAsia="zh-CN"/>
        </w:rPr>
        <w:lastRenderedPageBreak/>
        <w:t xml:space="preserve">variables and the econometric model being employed. Section </w:t>
      </w:r>
      <w:r w:rsidR="005C5969">
        <w:rPr>
          <w:rFonts w:eastAsia="SimSun"/>
          <w:lang w:val="en-US" w:eastAsia="zh-CN"/>
        </w:rPr>
        <w:t>4</w:t>
      </w:r>
      <w:r w:rsidR="004762F9" w:rsidRPr="006F0EBE">
        <w:rPr>
          <w:rFonts w:eastAsia="SimSun"/>
          <w:lang w:val="en-US" w:eastAsia="zh-CN"/>
        </w:rPr>
        <w:t xml:space="preserve"> describes the sample characteristics and experimental results</w:t>
      </w:r>
      <w:r w:rsidR="00A14625">
        <w:rPr>
          <w:rFonts w:eastAsia="SimSun"/>
          <w:lang w:val="en-US" w:eastAsia="zh-CN"/>
        </w:rPr>
        <w:t xml:space="preserve"> and</w:t>
      </w:r>
      <w:r w:rsidR="004762F9" w:rsidRPr="006F0EBE">
        <w:rPr>
          <w:rFonts w:eastAsia="SimSun"/>
          <w:lang w:val="en-US" w:eastAsia="zh-CN"/>
        </w:rPr>
        <w:t xml:space="preserve"> section </w:t>
      </w:r>
      <w:r w:rsidR="005C5969">
        <w:rPr>
          <w:rFonts w:eastAsia="SimSun"/>
          <w:lang w:val="en-US" w:eastAsia="zh-CN"/>
        </w:rPr>
        <w:t>5</w:t>
      </w:r>
      <w:r w:rsidR="004762F9" w:rsidRPr="006F0EBE">
        <w:rPr>
          <w:rFonts w:eastAsia="SimSun"/>
          <w:lang w:val="en-US" w:eastAsia="zh-CN"/>
        </w:rPr>
        <w:t xml:space="preserve"> includes a discussion.</w:t>
      </w:r>
    </w:p>
    <w:p w14:paraId="5DA6DFA7" w14:textId="52ABBBE1" w:rsidR="0000749A" w:rsidRPr="006F0EBE" w:rsidRDefault="005C5969" w:rsidP="007B0E00">
      <w:pPr>
        <w:spacing w:after="0"/>
        <w:ind w:firstLine="0"/>
        <w:jc w:val="center"/>
        <w:rPr>
          <w:rFonts w:eastAsia="SimSun"/>
          <w:b/>
          <w:bCs/>
          <w:lang w:val="en-US" w:eastAsia="zh-CN"/>
        </w:rPr>
      </w:pPr>
      <w:r>
        <w:rPr>
          <w:rFonts w:eastAsia="SimSun"/>
          <w:b/>
          <w:bCs/>
          <w:lang w:val="en-US" w:eastAsia="zh-CN"/>
        </w:rPr>
        <w:t>2.</w:t>
      </w:r>
      <w:r w:rsidR="0000749A" w:rsidRPr="006F0EBE">
        <w:rPr>
          <w:rFonts w:eastAsia="SimSun"/>
          <w:b/>
          <w:bCs/>
          <w:lang w:val="en-US" w:eastAsia="zh-CN"/>
        </w:rPr>
        <w:t xml:space="preserve"> </w:t>
      </w:r>
      <w:r w:rsidR="0000749A">
        <w:rPr>
          <w:rFonts w:eastAsia="SimSun"/>
          <w:b/>
          <w:bCs/>
          <w:lang w:val="en-US" w:eastAsia="zh-CN"/>
        </w:rPr>
        <w:t>Literature Review</w:t>
      </w:r>
    </w:p>
    <w:p w14:paraId="1134A428" w14:textId="3360F962" w:rsidR="00D97126" w:rsidRPr="007B0E00" w:rsidRDefault="005C5969" w:rsidP="007B0E00">
      <w:pPr>
        <w:spacing w:after="0"/>
        <w:ind w:firstLine="0"/>
        <w:jc w:val="center"/>
        <w:outlineLvl w:val="2"/>
        <w:rPr>
          <w:rFonts w:eastAsia="SimSun"/>
          <w:bCs/>
          <w:i/>
          <w:lang w:val="en-US" w:eastAsia="zh-CN"/>
        </w:rPr>
      </w:pPr>
      <w:r>
        <w:rPr>
          <w:rFonts w:eastAsia="SimSun"/>
          <w:bCs/>
          <w:i/>
          <w:lang w:val="en-US" w:eastAsia="zh-CN"/>
        </w:rPr>
        <w:t>2.1</w:t>
      </w:r>
      <w:r w:rsidR="00D97126" w:rsidRPr="006F0EBE">
        <w:rPr>
          <w:rFonts w:eastAsia="SimSun"/>
          <w:bCs/>
          <w:i/>
          <w:lang w:val="en-US" w:eastAsia="zh-CN"/>
        </w:rPr>
        <w:t xml:space="preserve"> </w:t>
      </w:r>
      <w:r w:rsidR="00D97126">
        <w:rPr>
          <w:rFonts w:eastAsia="SimSun"/>
          <w:bCs/>
          <w:i/>
          <w:lang w:val="en-US" w:eastAsia="zh-CN"/>
        </w:rPr>
        <w:t>Price Interventions</w:t>
      </w:r>
    </w:p>
    <w:p w14:paraId="4A2F4582" w14:textId="434C719E" w:rsidR="009F2AEF" w:rsidRDefault="00D95528" w:rsidP="00EF1F16">
      <w:pPr>
        <w:spacing w:after="0"/>
        <w:rPr>
          <w:rFonts w:eastAsia="SimSun"/>
          <w:lang w:val="en-US" w:eastAsia="zh-CN"/>
        </w:rPr>
      </w:pPr>
      <w:r>
        <w:rPr>
          <w:rFonts w:eastAsia="SimSun"/>
          <w:lang w:val="en-US" w:eastAsia="zh-CN"/>
        </w:rPr>
        <w:t>W</w:t>
      </w:r>
      <w:r w:rsidR="00AB1736">
        <w:rPr>
          <w:rFonts w:eastAsia="SimSun"/>
          <w:lang w:val="en-US" w:eastAsia="zh-CN"/>
        </w:rPr>
        <w:t>ith thus far few natural world</w:t>
      </w:r>
      <w:r>
        <w:rPr>
          <w:rFonts w:eastAsia="SimSun"/>
          <w:lang w:val="en-US" w:eastAsia="zh-CN"/>
        </w:rPr>
        <w:t xml:space="preserve"> policy impact evaluations </w:t>
      </w:r>
      <w:r w:rsidR="0004367D">
        <w:rPr>
          <w:rFonts w:eastAsia="SimSun"/>
          <w:lang w:val="en-US" w:eastAsia="zh-CN"/>
        </w:rPr>
        <w:t xml:space="preserve">and limited incentivized experimental evidence </w:t>
      </w:r>
      <w:r>
        <w:rPr>
          <w:rFonts w:eastAsia="SimSun"/>
          <w:lang w:val="en-US" w:eastAsia="zh-CN"/>
        </w:rPr>
        <w:t xml:space="preserve">(see below), </w:t>
      </w:r>
      <w:r w:rsidRPr="00C77A96">
        <w:rPr>
          <w:rFonts w:eastAsia="SimSun"/>
          <w:lang w:val="en-US" w:eastAsia="zh-CN"/>
        </w:rPr>
        <w:t xml:space="preserve">the bulk of the existing </w:t>
      </w:r>
      <w:r>
        <w:rPr>
          <w:rFonts w:eastAsia="SimSun"/>
          <w:lang w:val="en-US" w:eastAsia="zh-CN"/>
        </w:rPr>
        <w:t xml:space="preserve">evidence </w:t>
      </w:r>
      <w:r w:rsidR="00E97669">
        <w:rPr>
          <w:rFonts w:eastAsia="SimSun"/>
          <w:lang w:val="en-US" w:eastAsia="zh-CN"/>
        </w:rPr>
        <w:t xml:space="preserve">on the effects of price (tax) of food and beverage on diet </w:t>
      </w:r>
      <w:r>
        <w:rPr>
          <w:rFonts w:eastAsia="SimSun"/>
          <w:lang w:val="en-US" w:eastAsia="zh-CN"/>
        </w:rPr>
        <w:t>either relies</w:t>
      </w:r>
      <w:r w:rsidRPr="00C77A96">
        <w:rPr>
          <w:rFonts w:eastAsia="SimSun"/>
          <w:lang w:val="en-US" w:eastAsia="zh-CN"/>
        </w:rPr>
        <w:t xml:space="preserve"> (1) on epidemiological modelling studies</w:t>
      </w:r>
      <w:r w:rsidR="004341F4">
        <w:rPr>
          <w:rFonts w:eastAsia="SimSun"/>
          <w:lang w:val="en-US" w:eastAsia="zh-CN"/>
        </w:rPr>
        <w:t xml:space="preserve"> </w:t>
      </w:r>
      <w:r w:rsidRPr="00C77A96">
        <w:rPr>
          <w:rFonts w:eastAsia="SimSun"/>
          <w:lang w:val="en-US" w:eastAsia="zh-CN"/>
        </w:rPr>
        <w:t xml:space="preserve">(Briggs et al. 2013) or (2) on econometric analyses of the relationships between food prices and purchase, consumption or diet-related health (Powell and </w:t>
      </w:r>
      <w:proofErr w:type="spellStart"/>
      <w:r w:rsidRPr="00C77A96">
        <w:rPr>
          <w:rFonts w:eastAsia="SimSun"/>
          <w:lang w:val="en-US" w:eastAsia="zh-CN"/>
        </w:rPr>
        <w:t>Chaloupka</w:t>
      </w:r>
      <w:proofErr w:type="spellEnd"/>
      <w:r w:rsidRPr="00C77A96">
        <w:rPr>
          <w:rFonts w:eastAsia="SimSun"/>
          <w:lang w:val="en-US" w:eastAsia="zh-CN"/>
        </w:rPr>
        <w:t xml:space="preserve">, 2009; </w:t>
      </w:r>
      <w:proofErr w:type="spellStart"/>
      <w:r w:rsidRPr="00C77A96">
        <w:rPr>
          <w:rFonts w:eastAsia="SimSun"/>
          <w:lang w:val="en-US" w:eastAsia="zh-CN"/>
        </w:rPr>
        <w:t>Eyles</w:t>
      </w:r>
      <w:proofErr w:type="spellEnd"/>
      <w:r w:rsidRPr="00C77A96">
        <w:rPr>
          <w:rFonts w:eastAsia="SimSun"/>
          <w:lang w:val="en-US" w:eastAsia="zh-CN"/>
        </w:rPr>
        <w:t xml:space="preserve"> et al., 2012). A limitation of the </w:t>
      </w:r>
      <w:r w:rsidR="00E97669">
        <w:rPr>
          <w:rFonts w:eastAsia="SimSun"/>
          <w:lang w:val="en-US" w:eastAsia="zh-CN"/>
        </w:rPr>
        <w:t xml:space="preserve">former approach is that </w:t>
      </w:r>
      <w:r w:rsidR="007A0DDD">
        <w:rPr>
          <w:rFonts w:eastAsia="SimSun"/>
          <w:lang w:val="en-US" w:eastAsia="zh-CN"/>
        </w:rPr>
        <w:t>its</w:t>
      </w:r>
      <w:r w:rsidR="007A0DDD" w:rsidRPr="00C77A96">
        <w:rPr>
          <w:rFonts w:eastAsia="SimSun"/>
          <w:lang w:val="en-US" w:eastAsia="zh-CN"/>
        </w:rPr>
        <w:t xml:space="preserve"> </w:t>
      </w:r>
      <w:r w:rsidR="00E97669" w:rsidRPr="00C77A96">
        <w:rPr>
          <w:rFonts w:eastAsia="SimSun"/>
          <w:lang w:val="en-US" w:eastAsia="zh-CN"/>
        </w:rPr>
        <w:t>results critically depend on underlying assumptions and scenarios considered in the model</w:t>
      </w:r>
      <w:r w:rsidR="00E97669">
        <w:rPr>
          <w:rFonts w:eastAsia="SimSun"/>
          <w:lang w:val="en-US" w:eastAsia="zh-CN"/>
        </w:rPr>
        <w:t xml:space="preserve">. Also, a limitation of </w:t>
      </w:r>
      <w:r w:rsidR="007A0DDD">
        <w:rPr>
          <w:rFonts w:eastAsia="SimSun"/>
          <w:lang w:val="en-US" w:eastAsia="zh-CN"/>
        </w:rPr>
        <w:t xml:space="preserve">the </w:t>
      </w:r>
      <w:r w:rsidRPr="00C77A96">
        <w:rPr>
          <w:rFonts w:eastAsia="SimSun"/>
          <w:lang w:val="en-US" w:eastAsia="zh-CN"/>
        </w:rPr>
        <w:t>latter approach is that the observed variation in prices may be endogenous, resulting in biased estimates of the impact of price changes.</w:t>
      </w:r>
      <w:r w:rsidR="009E32FB">
        <w:rPr>
          <w:rFonts w:eastAsia="SimSun"/>
          <w:lang w:val="en-US" w:eastAsia="zh-CN"/>
        </w:rPr>
        <w:t xml:space="preserve"> </w:t>
      </w:r>
      <w:r w:rsidR="00E97669" w:rsidRPr="006F0EBE">
        <w:rPr>
          <w:rFonts w:eastAsia="SimSun"/>
          <w:lang w:val="en-US" w:eastAsia="zh-CN"/>
        </w:rPr>
        <w:t xml:space="preserve">While it is widely recognized that the case for diet-related taxation is far more nuanced than that for other commodities such as tobacco and alcohol, </w:t>
      </w:r>
      <w:r w:rsidR="00E97669">
        <w:rPr>
          <w:rFonts w:eastAsia="SimSun"/>
          <w:lang w:val="en-US" w:eastAsia="zh-CN"/>
        </w:rPr>
        <w:t>the picture</w:t>
      </w:r>
      <w:r w:rsidR="00E97669" w:rsidRPr="006F0EBE">
        <w:rPr>
          <w:rFonts w:eastAsia="SimSun"/>
          <w:lang w:val="en-US" w:eastAsia="zh-CN"/>
        </w:rPr>
        <w:t xml:space="preserve"> from the existing modeling and econometric evidence</w:t>
      </w:r>
      <w:r w:rsidR="00E97669">
        <w:rPr>
          <w:rFonts w:eastAsia="SimSun"/>
          <w:lang w:val="en-US" w:eastAsia="zh-CN"/>
        </w:rPr>
        <w:t xml:space="preserve"> is mixed</w:t>
      </w:r>
      <w:r w:rsidR="00E97669" w:rsidRPr="006F0EBE">
        <w:rPr>
          <w:rFonts w:eastAsia="SimSun"/>
          <w:lang w:val="en-US" w:eastAsia="zh-CN"/>
        </w:rPr>
        <w:t>.</w:t>
      </w:r>
      <w:r w:rsidR="00E97669">
        <w:rPr>
          <w:rFonts w:eastAsia="SimSun"/>
          <w:lang w:val="en-US" w:eastAsia="zh-CN"/>
        </w:rPr>
        <w:t xml:space="preserve"> </w:t>
      </w:r>
      <w:proofErr w:type="spellStart"/>
      <w:r w:rsidR="00E97669" w:rsidRPr="00426824">
        <w:rPr>
          <w:rFonts w:eastAsia="SimSun"/>
          <w:lang w:val="en-US" w:eastAsia="zh-CN"/>
        </w:rPr>
        <w:t>Thow</w:t>
      </w:r>
      <w:proofErr w:type="spellEnd"/>
      <w:r w:rsidR="00E97669" w:rsidRPr="00426824">
        <w:rPr>
          <w:rFonts w:eastAsia="SimSun"/>
          <w:lang w:val="en-US" w:eastAsia="zh-CN"/>
        </w:rPr>
        <w:t xml:space="preserve"> et al. (201</w:t>
      </w:r>
      <w:r w:rsidR="00083DA6">
        <w:rPr>
          <w:rFonts w:eastAsia="SimSun"/>
          <w:lang w:val="en-US" w:eastAsia="zh-CN"/>
        </w:rPr>
        <w:t>4</w:t>
      </w:r>
      <w:r w:rsidR="00E97669" w:rsidRPr="00426824">
        <w:rPr>
          <w:rFonts w:eastAsia="SimSun"/>
          <w:lang w:val="en-US" w:eastAsia="zh-CN"/>
        </w:rPr>
        <w:t>) and Cornelsen et al. (2015, p.18)</w:t>
      </w:r>
      <w:r w:rsidR="00E97669">
        <w:rPr>
          <w:rFonts w:eastAsia="SimSun"/>
          <w:lang w:val="en-US" w:eastAsia="zh-CN"/>
        </w:rPr>
        <w:t xml:space="preserve"> express</w:t>
      </w:r>
      <w:r w:rsidR="00E97669" w:rsidRPr="00426824">
        <w:rPr>
          <w:rFonts w:eastAsia="SimSun"/>
          <w:lang w:val="en-US" w:eastAsia="zh-CN"/>
        </w:rPr>
        <w:t xml:space="preserve"> contrasting views </w:t>
      </w:r>
      <w:r w:rsidR="00E97669">
        <w:rPr>
          <w:rFonts w:eastAsia="SimSun"/>
          <w:lang w:val="en-US" w:eastAsia="zh-CN"/>
        </w:rPr>
        <w:t xml:space="preserve">on the effectiveness of the taxation on diet </w:t>
      </w:r>
      <w:r w:rsidR="00E97669" w:rsidRPr="00426824">
        <w:rPr>
          <w:rFonts w:eastAsia="SimSun"/>
          <w:lang w:val="en-US" w:eastAsia="zh-CN"/>
        </w:rPr>
        <w:t>(positive and expressing doubt, respectively). Public Health England (2015) argue for price effects but note the limitations of existing research.</w:t>
      </w:r>
      <w:r w:rsidR="00E97669">
        <w:rPr>
          <w:rFonts w:eastAsia="SimSun"/>
          <w:lang w:val="en-US" w:eastAsia="zh-CN"/>
        </w:rPr>
        <w:t xml:space="preserve"> Wright et al. (2017) express a similar qualified view but relying primarily on </w:t>
      </w:r>
      <w:r w:rsidR="00E97669" w:rsidRPr="00C77A96">
        <w:rPr>
          <w:rFonts w:eastAsia="SimSun"/>
          <w:lang w:val="en-US" w:eastAsia="zh-CN"/>
        </w:rPr>
        <w:t xml:space="preserve">epidemiological modelling </w:t>
      </w:r>
      <w:r w:rsidR="00E97669">
        <w:rPr>
          <w:rFonts w:eastAsia="SimSun"/>
          <w:lang w:val="en-US" w:eastAsia="zh-CN"/>
        </w:rPr>
        <w:t xml:space="preserve">studies in their systematic review to argue for a positive finding – and not having any experimental study in their sample. </w:t>
      </w:r>
      <w:r w:rsidR="00150A5A">
        <w:rPr>
          <w:rFonts w:eastAsia="SimSun"/>
          <w:lang w:val="en-US" w:eastAsia="zh-CN"/>
        </w:rPr>
        <w:t xml:space="preserve">A </w:t>
      </w:r>
      <w:r w:rsidR="0013618A">
        <w:rPr>
          <w:rFonts w:eastAsia="SimSun"/>
          <w:lang w:val="en-US" w:eastAsia="zh-CN"/>
        </w:rPr>
        <w:t xml:space="preserve">particularly </w:t>
      </w:r>
      <w:r w:rsidR="00150A5A">
        <w:rPr>
          <w:rFonts w:eastAsia="SimSun"/>
          <w:lang w:val="en-US" w:eastAsia="zh-CN"/>
        </w:rPr>
        <w:t xml:space="preserve">useful, nuanced review of the empirical </w:t>
      </w:r>
      <w:r w:rsidR="0013618A">
        <w:rPr>
          <w:rFonts w:eastAsia="SimSun"/>
          <w:lang w:val="en-US" w:eastAsia="zh-CN"/>
        </w:rPr>
        <w:t xml:space="preserve">(and theoretical) evidence on SSB taxation is by </w:t>
      </w:r>
      <w:proofErr w:type="spellStart"/>
      <w:r w:rsidR="0013618A" w:rsidRPr="0013618A">
        <w:rPr>
          <w:rFonts w:eastAsia="SimSun"/>
          <w:lang w:val="en-US" w:eastAsia="zh-CN"/>
        </w:rPr>
        <w:t>Allcott</w:t>
      </w:r>
      <w:proofErr w:type="spellEnd"/>
      <w:r w:rsidR="0013618A">
        <w:rPr>
          <w:rFonts w:eastAsia="SimSun"/>
          <w:lang w:val="en-US" w:eastAsia="zh-CN"/>
        </w:rPr>
        <w:t xml:space="preserve"> et al (2018), if with a focus on the US evidence.</w:t>
      </w:r>
      <w:r w:rsidR="0013618A" w:rsidRPr="0013618A">
        <w:rPr>
          <w:rFonts w:eastAsia="SimSun"/>
          <w:lang w:val="en-US" w:eastAsia="zh-CN"/>
        </w:rPr>
        <w:t xml:space="preserve"> </w:t>
      </w:r>
      <w:r w:rsidR="00E97669">
        <w:rPr>
          <w:rFonts w:eastAsia="SimSun"/>
          <w:lang w:val="en-US" w:eastAsia="zh-CN"/>
        </w:rPr>
        <w:t xml:space="preserve">Powell et al. (2013) provide estimates of price elasticities from their review, with an estimate of -1.2 for soft drinks; they do not study cereals and their sample is made only from US studies. </w:t>
      </w:r>
      <w:r w:rsidR="009E32FB">
        <w:rPr>
          <w:rFonts w:eastAsia="SimSun"/>
          <w:lang w:val="en-US" w:eastAsia="zh-CN"/>
        </w:rPr>
        <w:t xml:space="preserve">As an example of a specific study, </w:t>
      </w:r>
      <w:proofErr w:type="spellStart"/>
      <w:r w:rsidR="009E32FB" w:rsidRPr="006F0EBE">
        <w:rPr>
          <w:rFonts w:eastAsia="MS Mincho"/>
          <w:lang w:val="en-US" w:eastAsia="ja-JP"/>
        </w:rPr>
        <w:t>Nevo</w:t>
      </w:r>
      <w:proofErr w:type="spellEnd"/>
      <w:r w:rsidR="009E32FB" w:rsidRPr="006F0EBE">
        <w:rPr>
          <w:rFonts w:eastAsia="MS Mincho"/>
          <w:lang w:val="en-US" w:eastAsia="ja-JP"/>
        </w:rPr>
        <w:t xml:space="preserve"> (2001) f</w:t>
      </w:r>
      <w:r w:rsidR="00E24DC6">
        <w:rPr>
          <w:rFonts w:eastAsia="MS Mincho"/>
          <w:lang w:val="en-US" w:eastAsia="ja-JP"/>
        </w:rPr>
        <w:t>ind</w:t>
      </w:r>
      <w:r w:rsidR="009E32FB" w:rsidRPr="006F0EBE">
        <w:rPr>
          <w:rFonts w:eastAsia="MS Mincho"/>
          <w:lang w:val="en-US" w:eastAsia="ja-JP"/>
        </w:rPr>
        <w:t xml:space="preserve"> that the elasticity is on average -1.53 in the </w:t>
      </w:r>
      <w:r w:rsidR="009E32FB">
        <w:rPr>
          <w:rFonts w:eastAsia="MS Mincho"/>
          <w:lang w:val="en-US" w:eastAsia="ja-JP"/>
        </w:rPr>
        <w:t xml:space="preserve">US ready-to-eat </w:t>
      </w:r>
      <w:r w:rsidR="009E32FB">
        <w:rPr>
          <w:rFonts w:eastAsia="MS Mincho"/>
          <w:lang w:val="en-US" w:eastAsia="ja-JP"/>
        </w:rPr>
        <w:lastRenderedPageBreak/>
        <w:t>cereals market. That is,</w:t>
      </w:r>
      <w:r w:rsidR="009E32FB" w:rsidRPr="006F0EBE">
        <w:rPr>
          <w:rFonts w:eastAsia="MS Mincho"/>
          <w:lang w:val="en-US" w:eastAsia="ja-JP"/>
        </w:rPr>
        <w:t xml:space="preserve"> assuming </w:t>
      </w:r>
      <w:r w:rsidR="009E32FB">
        <w:t>a linear relationship between the percentage change in price and the percentage change in demand</w:t>
      </w:r>
      <w:r w:rsidR="009E32FB" w:rsidRPr="006F0EBE">
        <w:rPr>
          <w:rFonts w:eastAsia="MS Mincho"/>
          <w:lang w:val="en-US" w:eastAsia="ja-JP"/>
        </w:rPr>
        <w:t xml:space="preserve">, a 20% and 40% tax would lead to a </w:t>
      </w:r>
      <w:r w:rsidR="009E32FB">
        <w:rPr>
          <w:rFonts w:eastAsia="MS Mincho"/>
          <w:lang w:val="en-US" w:eastAsia="ja-JP"/>
        </w:rPr>
        <w:t>reduction in purchases by ~</w:t>
      </w:r>
      <w:r w:rsidR="009E32FB" w:rsidRPr="006F0EBE">
        <w:rPr>
          <w:rFonts w:eastAsia="MS Mincho"/>
          <w:lang w:val="en-US" w:eastAsia="ja-JP"/>
        </w:rPr>
        <w:t>30% and 60%, respectively.</w:t>
      </w:r>
      <w:r w:rsidR="009F2AEF">
        <w:rPr>
          <w:rFonts w:eastAsia="MS Mincho"/>
          <w:lang w:val="en-US" w:eastAsia="ja-JP"/>
        </w:rPr>
        <w:t xml:space="preserve"> </w:t>
      </w:r>
      <w:r w:rsidR="00823555">
        <w:rPr>
          <w:rFonts w:eastAsia="MS Mincho"/>
          <w:lang w:val="en-US" w:eastAsia="ja-JP"/>
        </w:rPr>
        <w:t>While valuable methodologies</w:t>
      </w:r>
      <w:r w:rsidR="00EF1F16">
        <w:rPr>
          <w:rFonts w:eastAsia="MS Mincho"/>
          <w:lang w:val="en-US" w:eastAsia="ja-JP"/>
        </w:rPr>
        <w:t xml:space="preserve">, </w:t>
      </w:r>
      <w:r w:rsidR="00EF1F16">
        <w:rPr>
          <w:rFonts w:eastAsia="SimSun"/>
          <w:lang w:val="en-US" w:eastAsia="zh-CN"/>
        </w:rPr>
        <w:t xml:space="preserve">the limitations of the epidemiological and </w:t>
      </w:r>
      <w:r w:rsidR="00823555">
        <w:rPr>
          <w:rFonts w:eastAsia="SimSun"/>
          <w:lang w:val="en-US" w:eastAsia="zh-CN"/>
        </w:rPr>
        <w:t>econometric</w:t>
      </w:r>
      <w:r w:rsidR="00EF1F16">
        <w:rPr>
          <w:rFonts w:eastAsia="SimSun"/>
          <w:lang w:val="en-US" w:eastAsia="zh-CN"/>
        </w:rPr>
        <w:t xml:space="preserve"> approach</w:t>
      </w:r>
      <w:r w:rsidR="00823555">
        <w:rPr>
          <w:rFonts w:eastAsia="SimSun"/>
          <w:lang w:val="en-US" w:eastAsia="zh-CN"/>
        </w:rPr>
        <w:t>es</w:t>
      </w:r>
      <w:r w:rsidR="00EF1F16">
        <w:rPr>
          <w:rFonts w:eastAsia="SimSun"/>
          <w:lang w:val="en-US" w:eastAsia="zh-CN"/>
        </w:rPr>
        <w:t xml:space="preserve"> justify the usefulness of an experimental approach </w:t>
      </w:r>
      <w:r w:rsidR="00823555">
        <w:rPr>
          <w:rFonts w:eastAsia="SimSun"/>
          <w:lang w:val="en-US" w:eastAsia="zh-CN"/>
        </w:rPr>
        <w:t xml:space="preserve">to complement them </w:t>
      </w:r>
      <w:r w:rsidR="00EF1F16">
        <w:rPr>
          <w:rFonts w:eastAsia="SimSun"/>
          <w:lang w:val="en-US" w:eastAsia="zh-CN"/>
        </w:rPr>
        <w:t>like the one in this paper, as this can help identify causality more effectively.</w:t>
      </w:r>
    </w:p>
    <w:p w14:paraId="181EC68C" w14:textId="4B5E59F0" w:rsidR="003325FD" w:rsidRDefault="009E32FB" w:rsidP="007B0E00">
      <w:pPr>
        <w:spacing w:after="0"/>
        <w:rPr>
          <w:lang w:val="en-US"/>
        </w:rPr>
      </w:pPr>
      <w:r>
        <w:rPr>
          <w:rFonts w:eastAsia="SimSun"/>
          <w:lang w:val="en-US" w:eastAsia="zh-CN"/>
        </w:rPr>
        <w:t>The</w:t>
      </w:r>
      <w:r w:rsidR="004A76BE">
        <w:rPr>
          <w:rFonts w:eastAsia="SimSun"/>
          <w:lang w:val="en-US" w:eastAsia="zh-CN"/>
        </w:rPr>
        <w:t>re is a</w:t>
      </w:r>
      <w:r w:rsidR="00B828A4">
        <w:rPr>
          <w:rFonts w:eastAsia="SimSun"/>
          <w:lang w:val="en-US" w:eastAsia="zh-CN"/>
        </w:rPr>
        <w:t xml:space="preserve"> limited if growing number of studies looking at</w:t>
      </w:r>
      <w:r w:rsidR="003325FD" w:rsidRPr="006F0EBE">
        <w:rPr>
          <w:rFonts w:eastAsia="SimSun"/>
          <w:lang w:val="en-US" w:eastAsia="zh-CN"/>
        </w:rPr>
        <w:t xml:space="preserve"> </w:t>
      </w:r>
      <w:r w:rsidR="003325FD" w:rsidRPr="00A31C4A">
        <w:rPr>
          <w:lang w:val="en-US"/>
        </w:rPr>
        <w:t xml:space="preserve">the implementation of significant fiscal policy measures (Wareham and </w:t>
      </w:r>
      <w:proofErr w:type="spellStart"/>
      <w:r w:rsidR="003325FD" w:rsidRPr="00A31C4A">
        <w:rPr>
          <w:lang w:val="en-US"/>
        </w:rPr>
        <w:t>Jebb</w:t>
      </w:r>
      <w:proofErr w:type="spellEnd"/>
      <w:r w:rsidR="003325FD">
        <w:rPr>
          <w:lang w:val="en-US"/>
        </w:rPr>
        <w:t>,</w:t>
      </w:r>
      <w:r w:rsidR="00B828A4">
        <w:rPr>
          <w:lang w:val="en-US"/>
        </w:rPr>
        <w:t xml:space="preserve"> 2015</w:t>
      </w:r>
      <w:r w:rsidR="00D7328A">
        <w:rPr>
          <w:lang w:val="en-US"/>
        </w:rPr>
        <w:t xml:space="preserve">; </w:t>
      </w:r>
      <w:proofErr w:type="spellStart"/>
      <w:r w:rsidR="00D7328A">
        <w:rPr>
          <w:lang w:val="en-US"/>
        </w:rPr>
        <w:t>Cawley</w:t>
      </w:r>
      <w:proofErr w:type="spellEnd"/>
      <w:r w:rsidR="00D7328A">
        <w:rPr>
          <w:lang w:val="en-US"/>
        </w:rPr>
        <w:t xml:space="preserve"> et al., 2019</w:t>
      </w:r>
      <w:r w:rsidR="00B828A4">
        <w:rPr>
          <w:lang w:val="en-US"/>
        </w:rPr>
        <w:t>)</w:t>
      </w:r>
      <w:r w:rsidR="009451E9">
        <w:rPr>
          <w:lang w:val="en-US"/>
        </w:rPr>
        <w:t>.</w:t>
      </w:r>
      <w:r w:rsidR="00B828A4">
        <w:rPr>
          <w:lang w:val="en-US"/>
        </w:rPr>
        <w:t xml:space="preserve"> Again there is a mixed picture</w:t>
      </w:r>
      <w:r>
        <w:rPr>
          <w:lang w:val="en-US"/>
        </w:rPr>
        <w:t xml:space="preserve">, </w:t>
      </w:r>
      <w:r w:rsidR="003325FD" w:rsidRPr="00A31C4A">
        <w:rPr>
          <w:lang w:val="en-US"/>
        </w:rPr>
        <w:t>as apparent for example from what some see as a failure of the Danish fat tax (</w:t>
      </w:r>
      <w:proofErr w:type="spellStart"/>
      <w:r w:rsidR="003325FD" w:rsidRPr="00A31C4A">
        <w:rPr>
          <w:lang w:val="en-US"/>
        </w:rPr>
        <w:t>Snowdon</w:t>
      </w:r>
      <w:proofErr w:type="spellEnd"/>
      <w:r w:rsidR="003325FD" w:rsidRPr="00A31C4A">
        <w:rPr>
          <w:lang w:val="en-US"/>
        </w:rPr>
        <w:t>, 2015)</w:t>
      </w:r>
      <w:r w:rsidR="003325FD">
        <w:rPr>
          <w:lang w:val="en-US"/>
        </w:rPr>
        <w:t>, the limited population level effect in the case of the Chilean SSB tax (Caro et al</w:t>
      </w:r>
      <w:r w:rsidR="004A76BE">
        <w:rPr>
          <w:lang w:val="en-US"/>
        </w:rPr>
        <w:t>.</w:t>
      </w:r>
      <w:r w:rsidR="002034A3">
        <w:rPr>
          <w:lang w:val="en-US"/>
        </w:rPr>
        <w:t>,</w:t>
      </w:r>
      <w:r w:rsidR="003325FD">
        <w:rPr>
          <w:lang w:val="en-US"/>
        </w:rPr>
        <w:t xml:space="preserve"> 2018</w:t>
      </w:r>
      <w:r w:rsidR="002034A3">
        <w:rPr>
          <w:lang w:val="en-US"/>
        </w:rPr>
        <w:t>, Nakamura et al., 2018</w:t>
      </w:r>
      <w:r w:rsidR="003325FD">
        <w:rPr>
          <w:lang w:val="en-US"/>
        </w:rPr>
        <w:t>)</w:t>
      </w:r>
      <w:r w:rsidR="003325FD" w:rsidRPr="00A31C4A">
        <w:rPr>
          <w:lang w:val="en-US"/>
        </w:rPr>
        <w:t xml:space="preserve"> and conversely the seeming success of the Mexican excise tax on </w:t>
      </w:r>
      <w:r w:rsidR="003325FD" w:rsidRPr="006F0EBE">
        <w:rPr>
          <w:rFonts w:eastAsia="SimSun"/>
          <w:lang w:val="en-US" w:eastAsia="zh-CN"/>
        </w:rPr>
        <w:t xml:space="preserve">sugary soft drinks </w:t>
      </w:r>
      <w:r w:rsidR="003325FD">
        <w:rPr>
          <w:rFonts w:eastAsia="SimSun"/>
          <w:lang w:val="en-US" w:eastAsia="zh-CN"/>
        </w:rPr>
        <w:t xml:space="preserve">that has been found to have led to a reduction in purchasing of </w:t>
      </w:r>
      <w:r w:rsidR="00F27DB6">
        <w:rPr>
          <w:rFonts w:eastAsia="SimSun"/>
          <w:lang w:val="en-US" w:eastAsia="zh-CN"/>
        </w:rPr>
        <w:t>soft drinks</w:t>
      </w:r>
      <w:r w:rsidR="003325FD">
        <w:rPr>
          <w:rFonts w:eastAsia="SimSun"/>
          <w:lang w:val="en-US" w:eastAsia="zh-CN"/>
        </w:rPr>
        <w:t xml:space="preserve"> by 6-9% over the first two years post-tax implementation </w:t>
      </w:r>
      <w:r w:rsidR="003325FD" w:rsidRPr="00A31C4A">
        <w:rPr>
          <w:lang w:val="en-US"/>
        </w:rPr>
        <w:t>(</w:t>
      </w:r>
      <w:proofErr w:type="spellStart"/>
      <w:r w:rsidR="003325FD" w:rsidRPr="00A31C4A">
        <w:rPr>
          <w:lang w:val="en-US"/>
        </w:rPr>
        <w:t>Colchero</w:t>
      </w:r>
      <w:proofErr w:type="spellEnd"/>
      <w:r w:rsidR="003325FD" w:rsidRPr="00A31C4A">
        <w:rPr>
          <w:lang w:val="en-US"/>
        </w:rPr>
        <w:t xml:space="preserve"> et al., 2016</w:t>
      </w:r>
      <w:r w:rsidR="003325FD">
        <w:rPr>
          <w:lang w:val="en-US"/>
        </w:rPr>
        <w:t>, 2017</w:t>
      </w:r>
      <w:r w:rsidR="003325FD" w:rsidRPr="00A31C4A">
        <w:rPr>
          <w:lang w:val="en-US"/>
        </w:rPr>
        <w:t>)</w:t>
      </w:r>
      <w:r w:rsidR="00F27DB6">
        <w:rPr>
          <w:lang w:val="en-US"/>
        </w:rPr>
        <w:t>.</w:t>
      </w:r>
      <w:r w:rsidR="00BE1641">
        <w:rPr>
          <w:rStyle w:val="FootnoteReference"/>
          <w:lang w:val="en-US"/>
        </w:rPr>
        <w:footnoteReference w:id="1"/>
      </w:r>
      <w:r w:rsidR="00F27DB6">
        <w:rPr>
          <w:lang w:val="en-US"/>
        </w:rPr>
        <w:t xml:space="preserve"> </w:t>
      </w:r>
      <w:r w:rsidR="003325FD">
        <w:rPr>
          <w:lang w:val="en-US"/>
        </w:rPr>
        <w:t xml:space="preserve">In the case of the city-level tax in </w:t>
      </w:r>
      <w:r w:rsidR="003325FD" w:rsidRPr="005636C4">
        <w:rPr>
          <w:lang w:val="en-US"/>
        </w:rPr>
        <w:t>Berk</w:t>
      </w:r>
      <w:r w:rsidR="003325FD">
        <w:rPr>
          <w:lang w:val="en-US"/>
        </w:rPr>
        <w:t>e</w:t>
      </w:r>
      <w:r w:rsidR="003325FD" w:rsidRPr="005636C4">
        <w:rPr>
          <w:lang w:val="en-US"/>
        </w:rPr>
        <w:t xml:space="preserve">ley, </w:t>
      </w:r>
      <w:r w:rsidR="003325FD">
        <w:rPr>
          <w:lang w:val="en-US"/>
        </w:rPr>
        <w:t xml:space="preserve">studies have found </w:t>
      </w:r>
      <w:r w:rsidR="003325FD" w:rsidRPr="005636C4">
        <w:rPr>
          <w:lang w:val="en-US"/>
        </w:rPr>
        <w:t>a 9% decline in purchases</w:t>
      </w:r>
      <w:r w:rsidR="003325FD">
        <w:rPr>
          <w:lang w:val="en-US"/>
        </w:rPr>
        <w:t xml:space="preserve"> based on sales data</w:t>
      </w:r>
      <w:r w:rsidR="003325FD" w:rsidRPr="005636C4">
        <w:rPr>
          <w:lang w:val="en-US"/>
        </w:rPr>
        <w:t xml:space="preserve">, while self-reported changes in consumption </w:t>
      </w:r>
      <w:r w:rsidR="003325FD">
        <w:rPr>
          <w:lang w:val="en-US"/>
        </w:rPr>
        <w:t xml:space="preserve">indicated </w:t>
      </w:r>
      <w:r w:rsidR="003325FD" w:rsidRPr="005636C4">
        <w:rPr>
          <w:lang w:val="en-US"/>
        </w:rPr>
        <w:t xml:space="preserve">a 21% reduction of taxed </w:t>
      </w:r>
      <w:r w:rsidR="009451E9">
        <w:rPr>
          <w:lang w:val="en-US"/>
        </w:rPr>
        <w:t>soft drinks</w:t>
      </w:r>
      <w:r w:rsidR="003325FD" w:rsidRPr="005636C4">
        <w:rPr>
          <w:lang w:val="en-US"/>
        </w:rPr>
        <w:t xml:space="preserve"> (</w:t>
      </w:r>
      <w:proofErr w:type="spellStart"/>
      <w:r w:rsidR="003325FD" w:rsidRPr="005636C4">
        <w:rPr>
          <w:lang w:val="en-US"/>
        </w:rPr>
        <w:t>Falbe</w:t>
      </w:r>
      <w:proofErr w:type="spellEnd"/>
      <w:r w:rsidR="003325FD" w:rsidRPr="005636C4">
        <w:rPr>
          <w:lang w:val="en-US"/>
        </w:rPr>
        <w:t xml:space="preserve"> et al., 2016, Silver et al., 2017). </w:t>
      </w:r>
      <w:r w:rsidR="003325FD">
        <w:rPr>
          <w:lang w:val="en-US"/>
        </w:rPr>
        <w:t xml:space="preserve">To date, </w:t>
      </w:r>
      <w:r w:rsidR="00AD1DC3">
        <w:rPr>
          <w:lang w:val="en-US"/>
        </w:rPr>
        <w:t xml:space="preserve">several of the recently implemented SSB taxes globally have not yet been </w:t>
      </w:r>
      <w:r w:rsidR="00AD113B">
        <w:rPr>
          <w:lang w:val="en-US"/>
        </w:rPr>
        <w:t>subject</w:t>
      </w:r>
      <w:r w:rsidR="00AD1DC3">
        <w:rPr>
          <w:lang w:val="en-US"/>
        </w:rPr>
        <w:t xml:space="preserve"> to </w:t>
      </w:r>
      <w:r w:rsidR="003325FD">
        <w:rPr>
          <w:lang w:val="en-US"/>
        </w:rPr>
        <w:t xml:space="preserve">rigorous </w:t>
      </w:r>
      <w:r w:rsidR="00AD1DC3">
        <w:rPr>
          <w:lang w:val="en-US"/>
        </w:rPr>
        <w:t>ex post-</w:t>
      </w:r>
      <w:r w:rsidR="003325FD">
        <w:rPr>
          <w:lang w:val="en-US"/>
        </w:rPr>
        <w:t>evaluations</w:t>
      </w:r>
      <w:r w:rsidR="00AD1DC3">
        <w:rPr>
          <w:lang w:val="en-US"/>
        </w:rPr>
        <w:t xml:space="preserve">, not least because the time period since implementation has been too short (e.g. in the </w:t>
      </w:r>
      <w:r w:rsidR="003325FD">
        <w:rPr>
          <w:lang w:val="en-US"/>
        </w:rPr>
        <w:t>United Kingdom</w:t>
      </w:r>
      <w:r w:rsidR="00AD1DC3">
        <w:rPr>
          <w:lang w:val="en-US"/>
        </w:rPr>
        <w:t xml:space="preserve"> case)</w:t>
      </w:r>
      <w:r w:rsidR="003325FD" w:rsidRPr="005636C4">
        <w:rPr>
          <w:lang w:val="en-US"/>
        </w:rPr>
        <w:t>.</w:t>
      </w:r>
      <w:r w:rsidR="003325FD">
        <w:rPr>
          <w:lang w:val="en-US"/>
        </w:rPr>
        <w:t xml:space="preserve"> Wh</w:t>
      </w:r>
      <w:r w:rsidR="00440975">
        <w:rPr>
          <w:lang w:val="en-US"/>
        </w:rPr>
        <w:t xml:space="preserve">ile essential, a downside of real </w:t>
      </w:r>
      <w:r w:rsidR="003325FD">
        <w:rPr>
          <w:lang w:val="en-US"/>
        </w:rPr>
        <w:t xml:space="preserve">world tax policy evaluations remains in the limited degree of causal inference that can be achieved – </w:t>
      </w:r>
      <w:r w:rsidR="00AD7CA4">
        <w:rPr>
          <w:lang w:val="en-US"/>
        </w:rPr>
        <w:t xml:space="preserve">due to </w:t>
      </w:r>
      <w:r w:rsidR="003325FD">
        <w:rPr>
          <w:lang w:val="en-US"/>
        </w:rPr>
        <w:t xml:space="preserve">the lack of a proper control group and the typically complex circumstances in which such policies are implemented. </w:t>
      </w:r>
      <w:r>
        <w:rPr>
          <w:lang w:val="en-US"/>
        </w:rPr>
        <w:t xml:space="preserve">For example, </w:t>
      </w:r>
      <w:r>
        <w:rPr>
          <w:lang w:val="en-US"/>
        </w:rPr>
        <w:lastRenderedPageBreak/>
        <w:t>m</w:t>
      </w:r>
      <w:r w:rsidRPr="009E32FB">
        <w:rPr>
          <w:lang w:val="en-US"/>
        </w:rPr>
        <w:t xml:space="preserve">any claims from observational findings are not seen when studied in randomized trials (Ioannidis, 2013) and may instead reflect complex and insufficiently controlled socio-economic patterns of behavior (Lawlor et al., 2004). </w:t>
      </w:r>
      <w:r w:rsidR="00EF1F16">
        <w:rPr>
          <w:lang w:val="en-US"/>
        </w:rPr>
        <w:t>Again</w:t>
      </w:r>
      <w:r w:rsidR="003325FD">
        <w:rPr>
          <w:lang w:val="en-US"/>
        </w:rPr>
        <w:t>, t</w:t>
      </w:r>
      <w:r w:rsidR="003325FD" w:rsidRPr="00A31C4A">
        <w:rPr>
          <w:lang w:val="en-US"/>
        </w:rPr>
        <w:t>h</w:t>
      </w:r>
      <w:r w:rsidR="00EF1F16">
        <w:rPr>
          <w:lang w:val="en-US"/>
        </w:rPr>
        <w:t>is implies that</w:t>
      </w:r>
      <w:r w:rsidR="003325FD" w:rsidRPr="00A31C4A">
        <w:rPr>
          <w:lang w:val="en-US"/>
        </w:rPr>
        <w:t xml:space="preserve"> is an important </w:t>
      </w:r>
      <w:r w:rsidR="00440975">
        <w:rPr>
          <w:lang w:val="en-US"/>
        </w:rPr>
        <w:t xml:space="preserve">complementary </w:t>
      </w:r>
      <w:r w:rsidR="003325FD" w:rsidRPr="00A31C4A">
        <w:rPr>
          <w:lang w:val="en-US"/>
        </w:rPr>
        <w:t xml:space="preserve">role for </w:t>
      </w:r>
      <w:r w:rsidR="00440975">
        <w:rPr>
          <w:lang w:val="en-US"/>
        </w:rPr>
        <w:t>experimental</w:t>
      </w:r>
      <w:r w:rsidR="003325FD" w:rsidRPr="00A31C4A">
        <w:rPr>
          <w:lang w:val="en-US"/>
        </w:rPr>
        <w:t xml:space="preserve"> studies</w:t>
      </w:r>
      <w:r w:rsidR="00EF1F16">
        <w:rPr>
          <w:lang w:val="en-US"/>
        </w:rPr>
        <w:t xml:space="preserve"> such as this one.</w:t>
      </w:r>
    </w:p>
    <w:p w14:paraId="69FE3899" w14:textId="037FCD4D" w:rsidR="008C5F2C" w:rsidRDefault="00D97126" w:rsidP="007B0E00">
      <w:pPr>
        <w:spacing w:after="0"/>
        <w:rPr>
          <w:lang w:val="en-US"/>
        </w:rPr>
      </w:pPr>
      <w:r>
        <w:rPr>
          <w:lang w:val="en-US"/>
        </w:rPr>
        <w:t xml:space="preserve">There has been a small number of </w:t>
      </w:r>
      <w:r w:rsidRPr="006F0EBE">
        <w:rPr>
          <w:rFonts w:eastAsia="SimSun"/>
          <w:lang w:val="en-US" w:eastAsia="zh-CN"/>
        </w:rPr>
        <w:t>recent randomized controlled trials (RCTs) of subsidies to increase purchases of healthier foods, typically fruit and vegetables (Waterlander et al.</w:t>
      </w:r>
      <w:r>
        <w:rPr>
          <w:rFonts w:eastAsia="SimSun"/>
          <w:lang w:val="en-US" w:eastAsia="zh-CN"/>
        </w:rPr>
        <w:t>,</w:t>
      </w:r>
      <w:r w:rsidRPr="006F0EBE">
        <w:rPr>
          <w:rFonts w:eastAsia="SimSun"/>
          <w:lang w:val="en-US" w:eastAsia="zh-CN"/>
        </w:rPr>
        <w:t xml:space="preserve"> 2013; Ball et al.</w:t>
      </w:r>
      <w:r>
        <w:rPr>
          <w:rFonts w:eastAsia="SimSun"/>
          <w:lang w:val="en-US" w:eastAsia="zh-CN"/>
        </w:rPr>
        <w:t>,</w:t>
      </w:r>
      <w:r w:rsidRPr="006F0EBE">
        <w:rPr>
          <w:rFonts w:eastAsia="SimSun"/>
          <w:lang w:val="en-US" w:eastAsia="zh-CN"/>
        </w:rPr>
        <w:t xml:space="preserve"> 2015),</w:t>
      </w:r>
      <w:r>
        <w:rPr>
          <w:rFonts w:eastAsia="SimSun"/>
          <w:lang w:val="en-US" w:eastAsia="zh-CN"/>
        </w:rPr>
        <w:t xml:space="preserve"> as opposed to the </w:t>
      </w:r>
      <w:r w:rsidRPr="006F0EBE">
        <w:rPr>
          <w:rFonts w:eastAsia="SimSun"/>
          <w:lang w:val="en-US" w:eastAsia="zh-CN"/>
        </w:rPr>
        <w:t>potentially more interesting (from a policy viewpoint) case of taxes</w:t>
      </w:r>
      <w:r>
        <w:rPr>
          <w:rFonts w:eastAsia="SimSun"/>
          <w:lang w:val="en-US" w:eastAsia="zh-CN"/>
        </w:rPr>
        <w:t xml:space="preserve"> which we focus on in this paper.</w:t>
      </w:r>
      <w:r w:rsidR="00694D04">
        <w:rPr>
          <w:rFonts w:eastAsia="SimSun"/>
          <w:lang w:val="en-US" w:eastAsia="zh-CN"/>
        </w:rPr>
        <w:t xml:space="preserve"> </w:t>
      </w:r>
      <w:r w:rsidR="00947891">
        <w:rPr>
          <w:lang w:val="en-US"/>
        </w:rPr>
        <w:t xml:space="preserve">Epstein et al. (2012) </w:t>
      </w:r>
      <w:r w:rsidR="00835ADC">
        <w:rPr>
          <w:lang w:val="en-US"/>
        </w:rPr>
        <w:t xml:space="preserve">and </w:t>
      </w:r>
      <w:proofErr w:type="spellStart"/>
      <w:r w:rsidR="00083DA6">
        <w:rPr>
          <w:lang w:val="en-US"/>
        </w:rPr>
        <w:t>Shemilt</w:t>
      </w:r>
      <w:proofErr w:type="spellEnd"/>
      <w:r w:rsidR="00083DA6">
        <w:rPr>
          <w:lang w:val="en-US"/>
        </w:rPr>
        <w:t xml:space="preserve"> </w:t>
      </w:r>
      <w:r w:rsidR="00835ADC">
        <w:rPr>
          <w:lang w:val="en-US"/>
        </w:rPr>
        <w:t xml:space="preserve">et al. (2013) present </w:t>
      </w:r>
      <w:r w:rsidR="00947891">
        <w:rPr>
          <w:lang w:val="en-US"/>
        </w:rPr>
        <w:t>review</w:t>
      </w:r>
      <w:r w:rsidR="00835ADC">
        <w:rPr>
          <w:lang w:val="en-US"/>
        </w:rPr>
        <w:t>s</w:t>
      </w:r>
      <w:r w:rsidR="00947891">
        <w:rPr>
          <w:lang w:val="en-US"/>
        </w:rPr>
        <w:t xml:space="preserve"> of experimental evidence</w:t>
      </w:r>
      <w:r>
        <w:rPr>
          <w:lang w:val="en-US"/>
        </w:rPr>
        <w:t xml:space="preserve"> on the effect of price changes</w:t>
      </w:r>
      <w:r w:rsidR="00835ADC">
        <w:rPr>
          <w:lang w:val="en-US"/>
        </w:rPr>
        <w:t xml:space="preserve"> </w:t>
      </w:r>
      <w:r>
        <w:rPr>
          <w:lang w:val="en-US"/>
        </w:rPr>
        <w:t xml:space="preserve">(generally not labeled as taxes) </w:t>
      </w:r>
      <w:r w:rsidR="00835ADC">
        <w:rPr>
          <w:lang w:val="en-US"/>
        </w:rPr>
        <w:t xml:space="preserve">and </w:t>
      </w:r>
      <w:r>
        <w:rPr>
          <w:lang w:val="en-US"/>
        </w:rPr>
        <w:t>this presents</w:t>
      </w:r>
      <w:r w:rsidR="00947891">
        <w:rPr>
          <w:lang w:val="en-US"/>
        </w:rPr>
        <w:t xml:space="preserve"> mixed results</w:t>
      </w:r>
      <w:r>
        <w:rPr>
          <w:lang w:val="en-US"/>
        </w:rPr>
        <w:t>:</w:t>
      </w:r>
      <w:r w:rsidR="00835ADC">
        <w:rPr>
          <w:lang w:val="en-US"/>
        </w:rPr>
        <w:t xml:space="preserve"> </w:t>
      </w:r>
      <w:r w:rsidR="00947891">
        <w:rPr>
          <w:lang w:val="en-US"/>
        </w:rPr>
        <w:t>much of the existing evidence</w:t>
      </w:r>
      <w:r w:rsidR="00835ADC">
        <w:rPr>
          <w:lang w:val="en-US"/>
        </w:rPr>
        <w:t xml:space="preserve"> </w:t>
      </w:r>
      <w:r w:rsidR="00AB7F68">
        <w:rPr>
          <w:lang w:val="en-US"/>
        </w:rPr>
        <w:t>(</w:t>
      </w:r>
      <w:r w:rsidR="00AB7F68" w:rsidRPr="006F0EBE">
        <w:rPr>
          <w:rFonts w:eastAsia="SimSun"/>
          <w:lang w:val="en-US" w:eastAsia="zh-CN"/>
        </w:rPr>
        <w:t xml:space="preserve">e.g., </w:t>
      </w:r>
      <w:r w:rsidR="00AB7F68">
        <w:rPr>
          <w:rFonts w:eastAsia="SimSun"/>
          <w:lang w:val="en-US" w:eastAsia="zh-CN"/>
        </w:rPr>
        <w:t xml:space="preserve">Epstein et al., 2010; </w:t>
      </w:r>
      <w:proofErr w:type="spellStart"/>
      <w:r w:rsidR="00AB7F68" w:rsidRPr="006F0EBE">
        <w:rPr>
          <w:rFonts w:eastAsia="SimSun"/>
          <w:lang w:val="en-US" w:eastAsia="zh-CN"/>
        </w:rPr>
        <w:t>Giesen</w:t>
      </w:r>
      <w:proofErr w:type="spellEnd"/>
      <w:r w:rsidR="00AB7F68" w:rsidRPr="006F0EBE">
        <w:rPr>
          <w:rFonts w:eastAsia="SimSun"/>
          <w:lang w:val="en-US" w:eastAsia="zh-CN"/>
        </w:rPr>
        <w:t xml:space="preserve"> et al.</w:t>
      </w:r>
      <w:r w:rsidR="00AB7F68">
        <w:rPr>
          <w:rFonts w:eastAsia="SimSun"/>
          <w:lang w:val="en-US" w:eastAsia="zh-CN"/>
        </w:rPr>
        <w:t>, 2011;</w:t>
      </w:r>
      <w:r w:rsidR="00AB7F68" w:rsidRPr="006F0EBE">
        <w:rPr>
          <w:rFonts w:eastAsia="SimSun"/>
          <w:lang w:val="en-US" w:eastAsia="zh-CN"/>
        </w:rPr>
        <w:t xml:space="preserve"> Waterlander et al.</w:t>
      </w:r>
      <w:r w:rsidR="00E144CB">
        <w:rPr>
          <w:rFonts w:eastAsia="SimSun"/>
          <w:lang w:val="en-US" w:eastAsia="zh-CN"/>
        </w:rPr>
        <w:t>,</w:t>
      </w:r>
      <w:r w:rsidR="00AB7F68" w:rsidRPr="006F0EBE">
        <w:rPr>
          <w:rFonts w:eastAsia="SimSun"/>
          <w:lang w:val="en-US" w:eastAsia="zh-CN"/>
        </w:rPr>
        <w:t xml:space="preserve"> 2012a, 2012b)</w:t>
      </w:r>
      <w:r w:rsidR="00AB7F68">
        <w:rPr>
          <w:rFonts w:eastAsia="SimSun"/>
          <w:lang w:val="en-US" w:eastAsia="zh-CN"/>
        </w:rPr>
        <w:t xml:space="preserve"> </w:t>
      </w:r>
      <w:r w:rsidR="00947891">
        <w:rPr>
          <w:lang w:val="en-US"/>
        </w:rPr>
        <w:t xml:space="preserve">is based on hypothetical choices by unincentivized participants (typically </w:t>
      </w:r>
      <w:r w:rsidR="00835ADC">
        <w:rPr>
          <w:lang w:val="en-US"/>
        </w:rPr>
        <w:t xml:space="preserve">but not always </w:t>
      </w:r>
      <w:r w:rsidR="00947891">
        <w:rPr>
          <w:lang w:val="en-US"/>
        </w:rPr>
        <w:t xml:space="preserve">students). Furthermore, it is common to structure the shopping task as an assignment (e.g., think of shopping for a dinner, or for a day of food), which may affect </w:t>
      </w:r>
      <w:r w:rsidR="00806F74">
        <w:rPr>
          <w:lang w:val="en-US"/>
        </w:rPr>
        <w:t>demand</w:t>
      </w:r>
      <w:r w:rsidR="00947891">
        <w:rPr>
          <w:lang w:val="en-US"/>
        </w:rPr>
        <w:t xml:space="preserve"> by inducing participants (especially those more sensitive to experimenter demand) to buy anyway.</w:t>
      </w:r>
      <w:r w:rsidR="007830B6">
        <w:rPr>
          <w:lang w:val="en-US"/>
        </w:rPr>
        <w:t xml:space="preserve"> </w:t>
      </w:r>
      <w:r w:rsidR="002B51A8">
        <w:rPr>
          <w:lang w:val="en-US"/>
        </w:rPr>
        <w:t xml:space="preserve">We now refer to </w:t>
      </w:r>
      <w:r w:rsidR="00332EEA">
        <w:rPr>
          <w:lang w:val="en-US"/>
        </w:rPr>
        <w:t>four</w:t>
      </w:r>
      <w:r w:rsidR="002B51A8">
        <w:rPr>
          <w:lang w:val="en-US"/>
        </w:rPr>
        <w:t xml:space="preserve"> studies that go at least partially beyond this paradigm. </w:t>
      </w:r>
      <w:proofErr w:type="spellStart"/>
      <w:r w:rsidR="00941FFC">
        <w:rPr>
          <w:lang w:val="en-US"/>
        </w:rPr>
        <w:t>F</w:t>
      </w:r>
      <w:r w:rsidR="00941FFC" w:rsidRPr="007B0E00">
        <w:rPr>
          <w:rFonts w:eastAsia="Calibri"/>
          <w:noProof/>
          <w:lang w:val="en-US" w:eastAsia="en-US"/>
        </w:rPr>
        <w:t>é</w:t>
      </w:r>
      <w:r w:rsidR="00941FFC">
        <w:rPr>
          <w:lang w:val="en-US"/>
        </w:rPr>
        <w:t>vrier</w:t>
      </w:r>
      <w:proofErr w:type="spellEnd"/>
      <w:r w:rsidR="00941FFC">
        <w:rPr>
          <w:lang w:val="en-US"/>
        </w:rPr>
        <w:t xml:space="preserve"> and </w:t>
      </w:r>
      <w:proofErr w:type="spellStart"/>
      <w:r w:rsidR="00941FFC">
        <w:rPr>
          <w:lang w:val="en-US"/>
        </w:rPr>
        <w:t>Visser</w:t>
      </w:r>
      <w:proofErr w:type="spellEnd"/>
      <w:r w:rsidR="00941FFC">
        <w:rPr>
          <w:lang w:val="en-US"/>
        </w:rPr>
        <w:t xml:space="preserve"> (2004) </w:t>
      </w:r>
      <w:r w:rsidR="00941FFC" w:rsidRPr="00941FFC">
        <w:rPr>
          <w:lang w:val="en-US"/>
        </w:rPr>
        <w:t>use</w:t>
      </w:r>
      <w:r w:rsidR="00941FFC">
        <w:rPr>
          <w:lang w:val="en-US"/>
        </w:rPr>
        <w:t>d</w:t>
      </w:r>
      <w:r w:rsidR="00941FFC" w:rsidRPr="00941FFC">
        <w:rPr>
          <w:lang w:val="en-US"/>
        </w:rPr>
        <w:t xml:space="preserve"> real budgets </w:t>
      </w:r>
      <w:r w:rsidR="00941FFC">
        <w:rPr>
          <w:lang w:val="en-US"/>
        </w:rPr>
        <w:t xml:space="preserve">and a random population sample </w:t>
      </w:r>
      <w:r w:rsidR="00941FFC" w:rsidRPr="00941FFC">
        <w:rPr>
          <w:lang w:val="en-US"/>
        </w:rPr>
        <w:t>to test the GARP axiom with an orange juice purchasing task</w:t>
      </w:r>
      <w:r w:rsidR="00941FFC">
        <w:rPr>
          <w:lang w:val="en-US"/>
        </w:rPr>
        <w:t>; their interest is not in estimating price effects</w:t>
      </w:r>
      <w:r w:rsidR="00941FFC" w:rsidRPr="00941FFC">
        <w:rPr>
          <w:lang w:val="en-US"/>
        </w:rPr>
        <w:t>.</w:t>
      </w:r>
      <w:r w:rsidR="00941FFC">
        <w:rPr>
          <w:lang w:val="en-US"/>
        </w:rPr>
        <w:t xml:space="preserve"> </w:t>
      </w:r>
      <w:r w:rsidR="00DE5BC7" w:rsidRPr="00DE5BC7">
        <w:rPr>
          <w:lang w:val="en-US"/>
        </w:rPr>
        <w:t xml:space="preserve">Yang and </w:t>
      </w:r>
      <w:proofErr w:type="spellStart"/>
      <w:r w:rsidR="00DE5BC7" w:rsidRPr="00DE5BC7">
        <w:rPr>
          <w:lang w:val="en-US"/>
        </w:rPr>
        <w:t>Chiou</w:t>
      </w:r>
      <w:r w:rsidR="00DE5BC7">
        <w:rPr>
          <w:lang w:val="en-US"/>
        </w:rPr>
        <w:t>’s</w:t>
      </w:r>
      <w:proofErr w:type="spellEnd"/>
      <w:r w:rsidR="00DE5BC7">
        <w:rPr>
          <w:lang w:val="en-US"/>
        </w:rPr>
        <w:t xml:space="preserve"> study</w:t>
      </w:r>
      <w:r w:rsidR="00DE5BC7" w:rsidRPr="00DE5BC7">
        <w:rPr>
          <w:lang w:val="en-US"/>
        </w:rPr>
        <w:t xml:space="preserve"> (2010)</w:t>
      </w:r>
      <w:r w:rsidR="00DE5BC7">
        <w:rPr>
          <w:lang w:val="en-US"/>
        </w:rPr>
        <w:t xml:space="preserve"> on beverages is partially incentivized and find evidences of price effects, more pronounced when they are exposed to health claims regarding the beverages. Theirs is a</w:t>
      </w:r>
      <w:r w:rsidR="00AD113B">
        <w:rPr>
          <w:lang w:val="en-US"/>
        </w:rPr>
        <w:t>n</w:t>
      </w:r>
      <w:r w:rsidR="00DE5BC7">
        <w:rPr>
          <w:lang w:val="en-US"/>
        </w:rPr>
        <w:t xml:space="preserve"> exception to </w:t>
      </w:r>
      <w:r w:rsidR="00AD113B">
        <w:rPr>
          <w:lang w:val="en-US"/>
        </w:rPr>
        <w:t>a</w:t>
      </w:r>
      <w:r w:rsidR="003B7138">
        <w:rPr>
          <w:lang w:val="en-US"/>
        </w:rPr>
        <w:t xml:space="preserve"> </w:t>
      </w:r>
      <w:r w:rsidR="00DE5BC7">
        <w:rPr>
          <w:lang w:val="en-US"/>
        </w:rPr>
        <w:t xml:space="preserve">hypothetical setup in that the beverages were actually purchased; however, unspent budgets were lost, which may have biased the results. </w:t>
      </w:r>
      <w:proofErr w:type="spellStart"/>
      <w:r w:rsidR="00142779">
        <w:rPr>
          <w:lang w:val="en-US"/>
        </w:rPr>
        <w:t>Darmon</w:t>
      </w:r>
      <w:proofErr w:type="spellEnd"/>
      <w:r w:rsidR="00142779">
        <w:rPr>
          <w:lang w:val="en-US"/>
        </w:rPr>
        <w:t xml:space="preserve"> et al. (2014) and </w:t>
      </w:r>
      <w:r w:rsidR="00631B93">
        <w:rPr>
          <w:lang w:val="en-US"/>
        </w:rPr>
        <w:t>Muller</w:t>
      </w:r>
      <w:r w:rsidR="00142779">
        <w:rPr>
          <w:lang w:val="en-US"/>
        </w:rPr>
        <w:t xml:space="preserve"> et al. (201</w:t>
      </w:r>
      <w:r w:rsidR="00AD1DC3">
        <w:rPr>
          <w:lang w:val="en-US"/>
        </w:rPr>
        <w:t>7</w:t>
      </w:r>
      <w:r w:rsidR="00142779">
        <w:rPr>
          <w:lang w:val="en-US"/>
        </w:rPr>
        <w:t xml:space="preserve">) ran insightful incentivized shopping experiments across 180 products in a variety of product categories, with a convenience sample especially targeting low income women. </w:t>
      </w:r>
      <w:proofErr w:type="spellStart"/>
      <w:r w:rsidR="00142779">
        <w:rPr>
          <w:lang w:val="en-US"/>
        </w:rPr>
        <w:t>Darmon</w:t>
      </w:r>
      <w:proofErr w:type="spellEnd"/>
      <w:r w:rsidR="00142779">
        <w:rPr>
          <w:lang w:val="en-US"/>
        </w:rPr>
        <w:t xml:space="preserve"> et al. (2014) found a significant effect on the quantity of unhealthy products only with a combination of </w:t>
      </w:r>
      <w:r w:rsidR="002E5BAD">
        <w:rPr>
          <w:lang w:val="en-US"/>
        </w:rPr>
        <w:t xml:space="preserve">a </w:t>
      </w:r>
      <w:r w:rsidR="00142779">
        <w:rPr>
          <w:lang w:val="en-US"/>
        </w:rPr>
        <w:t xml:space="preserve">30% </w:t>
      </w:r>
      <w:r w:rsidR="002E5BAD">
        <w:rPr>
          <w:lang w:val="en-US"/>
        </w:rPr>
        <w:t xml:space="preserve">price </w:t>
      </w:r>
      <w:r w:rsidR="00142779">
        <w:rPr>
          <w:lang w:val="en-US"/>
        </w:rPr>
        <w:t xml:space="preserve">increase </w:t>
      </w:r>
      <w:r w:rsidR="00142779">
        <w:rPr>
          <w:lang w:val="en-US"/>
        </w:rPr>
        <w:lastRenderedPageBreak/>
        <w:t xml:space="preserve">and decrease on </w:t>
      </w:r>
      <w:r w:rsidR="002E5BAD">
        <w:rPr>
          <w:lang w:val="en-US"/>
        </w:rPr>
        <w:t>un</w:t>
      </w:r>
      <w:r w:rsidR="00142779">
        <w:rPr>
          <w:lang w:val="en-US"/>
        </w:rPr>
        <w:t xml:space="preserve">healthy and healthy food respectively, and recognized the potential of a regressive effect of the tax intervention. </w:t>
      </w:r>
      <w:r w:rsidR="00631B93">
        <w:rPr>
          <w:lang w:val="en-US"/>
        </w:rPr>
        <w:t>Muller</w:t>
      </w:r>
      <w:r w:rsidR="00142779">
        <w:rPr>
          <w:lang w:val="en-US"/>
        </w:rPr>
        <w:t xml:space="preserve"> et al. (201</w:t>
      </w:r>
      <w:r w:rsidR="00AD1DC3">
        <w:rPr>
          <w:lang w:val="en-US"/>
        </w:rPr>
        <w:t>7</w:t>
      </w:r>
      <w:r w:rsidR="00142779">
        <w:rPr>
          <w:lang w:val="en-US"/>
        </w:rPr>
        <w:t xml:space="preserve">) found that low income mothers </w:t>
      </w:r>
      <w:r w:rsidR="003012ED">
        <w:rPr>
          <w:lang w:val="en-US"/>
        </w:rPr>
        <w:t xml:space="preserve">consumed more unhealthy food than </w:t>
      </w:r>
      <w:r w:rsidR="00142779">
        <w:rPr>
          <w:lang w:val="en-US"/>
        </w:rPr>
        <w:t>the benchmark group</w:t>
      </w:r>
      <w:r w:rsidR="006658B2">
        <w:rPr>
          <w:lang w:val="en-US"/>
        </w:rPr>
        <w:t xml:space="preserve"> </w:t>
      </w:r>
      <w:r w:rsidR="003012ED">
        <w:rPr>
          <w:lang w:val="en-US"/>
        </w:rPr>
        <w:t xml:space="preserve">(i.e. medium and higher income mothers) </w:t>
      </w:r>
      <w:r w:rsidR="006658B2">
        <w:rPr>
          <w:lang w:val="en-US"/>
        </w:rPr>
        <w:t xml:space="preserve">– in line with theoretical predictions by </w:t>
      </w:r>
      <w:proofErr w:type="spellStart"/>
      <w:r w:rsidR="006658B2">
        <w:rPr>
          <w:lang w:val="en-US"/>
        </w:rPr>
        <w:t>Mytton</w:t>
      </w:r>
      <w:proofErr w:type="spellEnd"/>
      <w:r w:rsidR="006658B2">
        <w:rPr>
          <w:lang w:val="en-US"/>
        </w:rPr>
        <w:t xml:space="preserve"> et al. (2007) -, but </w:t>
      </w:r>
      <w:r w:rsidR="003012ED">
        <w:rPr>
          <w:lang w:val="en-US"/>
        </w:rPr>
        <w:t xml:space="preserve">they showed lower price sensitivity </w:t>
      </w:r>
      <w:r w:rsidR="002A3329">
        <w:rPr>
          <w:lang w:val="en-US"/>
        </w:rPr>
        <w:t>than the benchmark group</w:t>
      </w:r>
      <w:r w:rsidR="00142779">
        <w:rPr>
          <w:lang w:val="en-US"/>
        </w:rPr>
        <w:t xml:space="preserve">. Limitations of these </w:t>
      </w:r>
      <w:r w:rsidR="006658B2">
        <w:rPr>
          <w:lang w:val="en-US"/>
        </w:rPr>
        <w:t>experiments</w:t>
      </w:r>
      <w:r w:rsidR="00142779">
        <w:rPr>
          <w:lang w:val="en-US"/>
        </w:rPr>
        <w:t xml:space="preserve"> are that the shopping tasks</w:t>
      </w:r>
      <w:r w:rsidR="006658B2">
        <w:rPr>
          <w:lang w:val="en-US"/>
        </w:rPr>
        <w:t xml:space="preserve"> are structured</w:t>
      </w:r>
      <w:r w:rsidR="00142779">
        <w:rPr>
          <w:lang w:val="en-US"/>
        </w:rPr>
        <w:t xml:space="preserve"> as an assignment</w:t>
      </w:r>
      <w:r w:rsidR="006658B2">
        <w:rPr>
          <w:lang w:val="en-US"/>
        </w:rPr>
        <w:t>, which may affect demand schedules</w:t>
      </w:r>
      <w:r w:rsidR="00142779">
        <w:rPr>
          <w:lang w:val="en-US"/>
        </w:rPr>
        <w:t>;</w:t>
      </w:r>
      <w:r w:rsidR="00071AF5">
        <w:rPr>
          <w:lang w:val="en-US"/>
        </w:rPr>
        <w:t xml:space="preserve"> and</w:t>
      </w:r>
      <w:r w:rsidR="00142779">
        <w:rPr>
          <w:lang w:val="en-US"/>
        </w:rPr>
        <w:t xml:space="preserve"> that there is not a one-to-one correspondence between shopping made and obtained (due to having access to a subset of grocery goods). A more general limitation of all experimental studies is the lack of control for compensation effects between shopping in the laboratory and later shopping.</w:t>
      </w:r>
    </w:p>
    <w:p w14:paraId="06BC1211" w14:textId="4AB31275" w:rsidR="00142779" w:rsidRDefault="008C5F2C" w:rsidP="007B0E00">
      <w:pPr>
        <w:spacing w:after="0"/>
        <w:rPr>
          <w:lang w:val="en-US"/>
        </w:rPr>
      </w:pPr>
      <w:r>
        <w:rPr>
          <w:lang w:val="en-US"/>
        </w:rPr>
        <w:t xml:space="preserve">Our experiment addresses these limitations by having a fully incentivized experiment </w:t>
      </w:r>
      <w:r w:rsidR="00355B54">
        <w:rPr>
          <w:lang w:val="en-US"/>
        </w:rPr>
        <w:t xml:space="preserve">with </w:t>
      </w:r>
      <w:r w:rsidR="0097162B">
        <w:rPr>
          <w:lang w:val="en-US"/>
        </w:rPr>
        <w:t>‘</w:t>
      </w:r>
      <w:r w:rsidR="00355B54">
        <w:rPr>
          <w:lang w:val="en-US"/>
        </w:rPr>
        <w:t>quasi-currency</w:t>
      </w:r>
      <w:r w:rsidR="0097162B">
        <w:rPr>
          <w:lang w:val="en-US"/>
        </w:rPr>
        <w:t>’</w:t>
      </w:r>
      <w:r w:rsidR="00355B54">
        <w:rPr>
          <w:lang w:val="en-US"/>
        </w:rPr>
        <w:t xml:space="preserve"> (reward points convertible for money in a large number of popular websites</w:t>
      </w:r>
      <w:r w:rsidR="0097162B">
        <w:rPr>
          <w:lang w:val="en-US"/>
        </w:rPr>
        <w:t>: see section 5</w:t>
      </w:r>
      <w:r w:rsidR="00355B54">
        <w:rPr>
          <w:lang w:val="en-US"/>
        </w:rPr>
        <w:t xml:space="preserve">), </w:t>
      </w:r>
      <w:r>
        <w:rPr>
          <w:lang w:val="en-US"/>
        </w:rPr>
        <w:t>with a one-to-one correspondence between shopping made and obtained, and with shopping tasks not structured as assignments</w:t>
      </w:r>
      <w:r w:rsidR="0004148E">
        <w:rPr>
          <w:lang w:val="en-US"/>
        </w:rPr>
        <w:t xml:space="preserve"> other than in t</w:t>
      </w:r>
      <w:r w:rsidR="00355B54">
        <w:rPr>
          <w:lang w:val="en-US"/>
        </w:rPr>
        <w:t>h</w:t>
      </w:r>
      <w:r w:rsidR="0004148E">
        <w:rPr>
          <w:lang w:val="en-US"/>
        </w:rPr>
        <w:t>e minimal sense that subjects are invited to a website where they can shop</w:t>
      </w:r>
      <w:r>
        <w:rPr>
          <w:lang w:val="en-US"/>
        </w:rPr>
        <w:t>.</w:t>
      </w:r>
      <w:r w:rsidR="0004148E">
        <w:rPr>
          <w:rStyle w:val="FootnoteReference"/>
          <w:lang w:val="en-US"/>
        </w:rPr>
        <w:footnoteReference w:id="2"/>
      </w:r>
      <w:r>
        <w:rPr>
          <w:lang w:val="en-US"/>
        </w:rPr>
        <w:t xml:space="preserve"> We control for order effects by presenting our shopping tasks in random order. We also make a first (if undoubtedly partial) attempt of controlling for the trade-offs between shopping in t</w:t>
      </w:r>
      <w:r w:rsidR="009D4BB4">
        <w:rPr>
          <w:lang w:val="en-US"/>
        </w:rPr>
        <w:t xml:space="preserve">he experiment and shopping outside </w:t>
      </w:r>
      <w:r w:rsidR="00A060D7">
        <w:rPr>
          <w:lang w:val="en-US"/>
        </w:rPr>
        <w:t>(</w:t>
      </w:r>
      <w:r w:rsidR="009D4BB4">
        <w:rPr>
          <w:lang w:val="en-US"/>
        </w:rPr>
        <w:t>if afterwards</w:t>
      </w:r>
      <w:r w:rsidR="00A060D7">
        <w:rPr>
          <w:lang w:val="en-US"/>
        </w:rPr>
        <w:t>)</w:t>
      </w:r>
      <w:r>
        <w:rPr>
          <w:lang w:val="en-US"/>
        </w:rPr>
        <w:t xml:space="preserve"> by verifying whether such compensation effects between the t</w:t>
      </w:r>
      <w:r w:rsidR="009D4BB4">
        <w:rPr>
          <w:lang w:val="en-US"/>
        </w:rPr>
        <w:t>wo exist using post-experimental diary data (see section 2.3</w:t>
      </w:r>
      <w:r w:rsidR="00E76659">
        <w:rPr>
          <w:lang w:val="en-US"/>
        </w:rPr>
        <w:t xml:space="preserve">, 5 and </w:t>
      </w:r>
      <w:r w:rsidR="00B64D51">
        <w:rPr>
          <w:lang w:val="en-US"/>
        </w:rPr>
        <w:t>o</w:t>
      </w:r>
      <w:r w:rsidR="00E76659">
        <w:rPr>
          <w:lang w:val="en-US"/>
        </w:rPr>
        <w:t xml:space="preserve">nline </w:t>
      </w:r>
      <w:r w:rsidR="00B64D51">
        <w:rPr>
          <w:lang w:val="en-US"/>
        </w:rPr>
        <w:t>a</w:t>
      </w:r>
      <w:r w:rsidR="00E76659">
        <w:rPr>
          <w:lang w:val="en-US"/>
        </w:rPr>
        <w:t>ppendix B</w:t>
      </w:r>
      <w:r w:rsidR="009D4BB4">
        <w:rPr>
          <w:lang w:val="en-US"/>
        </w:rPr>
        <w:t xml:space="preserve">). </w:t>
      </w:r>
    </w:p>
    <w:p w14:paraId="780DCEAB" w14:textId="291C1AF3" w:rsidR="00142779" w:rsidRDefault="00142779" w:rsidP="007B0E00">
      <w:pPr>
        <w:spacing w:after="0"/>
        <w:rPr>
          <w:lang w:val="en-US"/>
        </w:rPr>
      </w:pPr>
      <w:r>
        <w:rPr>
          <w:lang w:val="en-US"/>
        </w:rPr>
        <w:t xml:space="preserve">Overall, </w:t>
      </w:r>
      <w:r w:rsidR="008C5F2C">
        <w:rPr>
          <w:lang w:val="en-US"/>
        </w:rPr>
        <w:t xml:space="preserve">from the existing literature </w:t>
      </w:r>
      <w:r>
        <w:rPr>
          <w:lang w:val="en-US"/>
        </w:rPr>
        <w:t xml:space="preserve">there is not a clear conclusion on </w:t>
      </w:r>
      <w:r w:rsidR="006658B2">
        <w:rPr>
          <w:lang w:val="en-US"/>
        </w:rPr>
        <w:t>the health inequality</w:t>
      </w:r>
      <w:r w:rsidR="007A0DDD">
        <w:rPr>
          <w:lang w:val="en-US"/>
        </w:rPr>
        <w:t xml:space="preserve"> </w:t>
      </w:r>
      <w:r w:rsidR="002F59E7">
        <w:rPr>
          <w:lang w:val="en-US"/>
        </w:rPr>
        <w:t xml:space="preserve">impact resulting </w:t>
      </w:r>
      <w:r w:rsidR="006658B2">
        <w:rPr>
          <w:lang w:val="en-US"/>
        </w:rPr>
        <w:t xml:space="preserve">from tax interventions, </w:t>
      </w:r>
      <w:r w:rsidR="002F59E7">
        <w:rPr>
          <w:lang w:val="en-US"/>
        </w:rPr>
        <w:t xml:space="preserve">neither </w:t>
      </w:r>
      <w:r w:rsidR="006658B2">
        <w:rPr>
          <w:lang w:val="en-US"/>
        </w:rPr>
        <w:t>from non-</w:t>
      </w:r>
      <w:r w:rsidR="006658B2">
        <w:rPr>
          <w:lang w:val="en-US"/>
        </w:rPr>
        <w:lastRenderedPageBreak/>
        <w:t>experimental evidence.</w:t>
      </w:r>
      <w:r>
        <w:rPr>
          <w:lang w:val="en-US"/>
        </w:rPr>
        <w:t xml:space="preserve"> </w:t>
      </w:r>
      <w:r w:rsidR="00CE531B" w:rsidRPr="006F0EBE">
        <w:rPr>
          <w:rFonts w:eastAsia="MS Mincho"/>
          <w:lang w:val="en-US" w:eastAsia="ja-JP"/>
        </w:rPr>
        <w:t xml:space="preserve">Briggs et al. (2013) predict no significant difference in the impact of sugar sweetened drink tax in the UK, and Blakely et al. (2011) find no differential impact (by income and education group) of a subsidy on fruit and vegetables in their randomized control trial in New Zealand. </w:t>
      </w:r>
      <w:r w:rsidR="003B442C">
        <w:rPr>
          <w:lang w:val="en-US"/>
        </w:rPr>
        <w:t xml:space="preserve">Sharma et al. (2014) argue for a positive effect based on an econometric analysis of the Australian sugar tax. </w:t>
      </w:r>
      <w:proofErr w:type="spellStart"/>
      <w:r w:rsidR="003B442C">
        <w:rPr>
          <w:lang w:val="en-US"/>
        </w:rPr>
        <w:t>Smed</w:t>
      </w:r>
      <w:proofErr w:type="spellEnd"/>
      <w:r w:rsidR="003B442C">
        <w:rPr>
          <w:lang w:val="en-US"/>
        </w:rPr>
        <w:t xml:space="preserve"> et al. (2007) reach broadly a similar conclusion with Danish data estimated price elasticities. Based on theory-based simulations, </w:t>
      </w:r>
      <w:proofErr w:type="spellStart"/>
      <w:r w:rsidR="003B442C">
        <w:rPr>
          <w:lang w:val="en-US"/>
        </w:rPr>
        <w:t>Schroeter</w:t>
      </w:r>
      <w:proofErr w:type="spellEnd"/>
      <w:r w:rsidR="003B442C">
        <w:rPr>
          <w:lang w:val="en-US"/>
        </w:rPr>
        <w:t xml:space="preserve"> et al. (2008) warn however that a high calorie tax may be deemed equitable only if combined with income redistribution to low income households.  </w:t>
      </w:r>
    </w:p>
    <w:p w14:paraId="01823AF1" w14:textId="6CABC5DB" w:rsidR="007F61D0" w:rsidRDefault="007F61D0" w:rsidP="007B0E00">
      <w:pPr>
        <w:spacing w:after="0"/>
        <w:rPr>
          <w:lang w:val="en-US"/>
        </w:rPr>
      </w:pPr>
      <w:bookmarkStart w:id="1" w:name="_Hlk52356301"/>
      <w:r>
        <w:rPr>
          <w:lang w:val="en-US"/>
        </w:rPr>
        <w:t xml:space="preserve">Some previous studies, irrespective of research designs, particularly investigate differential impacts of price/tax on consumption by socioeconomic and demographic group. Using consumer scanner data from the United Kingdom, Dubois et al. (2017) </w:t>
      </w:r>
      <w:r w:rsidR="000301FE">
        <w:rPr>
          <w:lang w:val="en-US"/>
        </w:rPr>
        <w:t xml:space="preserve">find that a hypothetical implementation of </w:t>
      </w:r>
      <w:r w:rsidR="00674ECB">
        <w:rPr>
          <w:lang w:val="en-US"/>
        </w:rPr>
        <w:t xml:space="preserve">a </w:t>
      </w:r>
      <w:r w:rsidR="000301FE">
        <w:rPr>
          <w:lang w:val="en-US"/>
        </w:rPr>
        <w:t xml:space="preserve">soda tax would be more effective for younger and poor individuals than it would be for other types of individuals. They also find that the impact of the tax would not differ by baseline consumption level of sugar. Although their predictions are backed by </w:t>
      </w:r>
      <w:r w:rsidR="00FF5418">
        <w:rPr>
          <w:lang w:val="en-US"/>
        </w:rPr>
        <w:t xml:space="preserve">previous systematic </w:t>
      </w:r>
      <w:r w:rsidR="004F5A2F">
        <w:rPr>
          <w:lang w:val="en-US"/>
        </w:rPr>
        <w:t xml:space="preserve">evidence </w:t>
      </w:r>
      <w:r w:rsidR="00FF5418">
        <w:rPr>
          <w:lang w:val="en-US"/>
        </w:rPr>
        <w:t>review (Green et al., 2013)</w:t>
      </w:r>
      <w:r w:rsidR="000301FE">
        <w:rPr>
          <w:lang w:val="en-US"/>
        </w:rPr>
        <w:t>, more recent impact evaluations of actual tax policies find otherwise.</w:t>
      </w:r>
      <w:r w:rsidR="00FA4B6D">
        <w:rPr>
          <w:lang w:val="en-US"/>
        </w:rPr>
        <w:t xml:space="preserve"> Cawley </w:t>
      </w:r>
      <w:r w:rsidR="00874BCB">
        <w:rPr>
          <w:lang w:val="en-US"/>
        </w:rPr>
        <w:t>et al. (2018)</w:t>
      </w:r>
      <w:r w:rsidR="000301FE">
        <w:rPr>
          <w:lang w:val="en-US"/>
        </w:rPr>
        <w:t xml:space="preserve"> </w:t>
      </w:r>
      <w:r w:rsidR="00874BCB">
        <w:rPr>
          <w:lang w:val="en-US"/>
        </w:rPr>
        <w:t xml:space="preserve">evaluate the impact of the Philadelphia’s soda tax on purchases of soft drinks, and they find no systematic differences in the magnitude of the impact by income. They did not find </w:t>
      </w:r>
      <w:r w:rsidR="00674ECB">
        <w:rPr>
          <w:lang w:val="en-US"/>
        </w:rPr>
        <w:t xml:space="preserve">a significant </w:t>
      </w:r>
      <w:r w:rsidR="00874BCB">
        <w:rPr>
          <w:lang w:val="en-US"/>
        </w:rPr>
        <w:t>tax impact</w:t>
      </w:r>
      <w:r w:rsidR="00674ECB">
        <w:rPr>
          <w:lang w:val="en-US"/>
        </w:rPr>
        <w:t xml:space="preserve"> on</w:t>
      </w:r>
      <w:r w:rsidR="00874BCB">
        <w:rPr>
          <w:lang w:val="en-US"/>
        </w:rPr>
        <w:t xml:space="preserve"> children, except for those whose pre-tax consumption level </w:t>
      </w:r>
      <w:r w:rsidR="004F5A2F">
        <w:rPr>
          <w:lang w:val="en-US"/>
        </w:rPr>
        <w:t>had been</w:t>
      </w:r>
      <w:r w:rsidR="00874BCB">
        <w:rPr>
          <w:lang w:val="en-US"/>
        </w:rPr>
        <w:t xml:space="preserve"> high. </w:t>
      </w:r>
      <w:r w:rsidR="00FF5418">
        <w:rPr>
          <w:lang w:val="en-US"/>
        </w:rPr>
        <w:t xml:space="preserve">Nakamura et al. (2018) even find that </w:t>
      </w:r>
      <w:r w:rsidR="00767401">
        <w:rPr>
          <w:lang w:val="en-US"/>
        </w:rPr>
        <w:t xml:space="preserve">the impact of soda tax for </w:t>
      </w:r>
      <w:r w:rsidR="00FF5418">
        <w:rPr>
          <w:lang w:val="en-US"/>
        </w:rPr>
        <w:t xml:space="preserve">high socioeconomic group </w:t>
      </w:r>
      <w:r w:rsidR="00767401">
        <w:rPr>
          <w:lang w:val="en-US"/>
        </w:rPr>
        <w:t xml:space="preserve">was greater than that for lower socioeconomic groups in Chile’s tax reform on sugar sweetened beverages in 2014. Moreover, a </w:t>
      </w:r>
      <w:r w:rsidR="00FF5418">
        <w:rPr>
          <w:lang w:val="en-US"/>
        </w:rPr>
        <w:t xml:space="preserve">modelling study from the United Kingdom shows that the impact of soda tax would be greater for younger than older generations, but there would be no differences by income group (Briggs et al., 2013). </w:t>
      </w:r>
      <w:r w:rsidR="00674ECB">
        <w:rPr>
          <w:lang w:val="en-US"/>
        </w:rPr>
        <w:t xml:space="preserve">Hence, the distributional effects </w:t>
      </w:r>
      <w:r w:rsidR="002B7F13">
        <w:rPr>
          <w:lang w:val="en-US"/>
        </w:rPr>
        <w:t xml:space="preserve">of a tax </w:t>
      </w:r>
      <w:r w:rsidR="00674ECB">
        <w:rPr>
          <w:lang w:val="en-US"/>
        </w:rPr>
        <w:t xml:space="preserve">– e.g. by demographic </w:t>
      </w:r>
      <w:r w:rsidR="00674ECB">
        <w:rPr>
          <w:lang w:val="en-US"/>
        </w:rPr>
        <w:lastRenderedPageBreak/>
        <w:t>characteristics, as we do in our experiment –</w:t>
      </w:r>
      <w:r w:rsidR="002B7F13">
        <w:rPr>
          <w:lang w:val="en-US"/>
        </w:rPr>
        <w:t xml:space="preserve"> </w:t>
      </w:r>
      <w:r w:rsidR="00674ECB">
        <w:rPr>
          <w:lang w:val="en-US"/>
        </w:rPr>
        <w:t>remain very much an open empirical question that merits further investigation</w:t>
      </w:r>
      <w:r w:rsidR="00767401">
        <w:rPr>
          <w:lang w:val="en-US"/>
        </w:rPr>
        <w:t xml:space="preserve">. </w:t>
      </w:r>
    </w:p>
    <w:bookmarkEnd w:id="1"/>
    <w:p w14:paraId="561D86FD" w14:textId="77777777" w:rsidR="007F61D0" w:rsidRDefault="007F61D0" w:rsidP="007B0E00">
      <w:pPr>
        <w:spacing w:after="0"/>
        <w:rPr>
          <w:lang w:val="en-US"/>
        </w:rPr>
      </w:pPr>
    </w:p>
    <w:p w14:paraId="374D508B" w14:textId="7E633AFE" w:rsidR="00D97126" w:rsidRPr="006F0EBE" w:rsidRDefault="005C5969" w:rsidP="007B0E00">
      <w:pPr>
        <w:spacing w:after="0"/>
        <w:ind w:firstLine="0"/>
        <w:jc w:val="center"/>
        <w:outlineLvl w:val="2"/>
        <w:rPr>
          <w:rFonts w:eastAsia="SimSun"/>
          <w:bCs/>
          <w:i/>
          <w:lang w:val="en-US" w:eastAsia="zh-CN"/>
        </w:rPr>
      </w:pPr>
      <w:r>
        <w:rPr>
          <w:rFonts w:eastAsia="SimSun"/>
          <w:bCs/>
          <w:i/>
          <w:lang w:val="en-US" w:eastAsia="zh-CN"/>
        </w:rPr>
        <w:t>2.2</w:t>
      </w:r>
      <w:r w:rsidR="00D97126" w:rsidRPr="006F0EBE">
        <w:rPr>
          <w:rFonts w:eastAsia="SimSun"/>
          <w:bCs/>
          <w:i/>
          <w:lang w:val="en-US" w:eastAsia="zh-CN"/>
        </w:rPr>
        <w:t xml:space="preserve"> </w:t>
      </w:r>
      <w:r w:rsidR="00D97126">
        <w:rPr>
          <w:rFonts w:eastAsia="SimSun"/>
          <w:bCs/>
          <w:i/>
          <w:lang w:val="en-US" w:eastAsia="zh-CN"/>
        </w:rPr>
        <w:t>Signposting interventions</w:t>
      </w:r>
    </w:p>
    <w:p w14:paraId="44C7B4CD" w14:textId="4D64D752" w:rsidR="00BC2A6B" w:rsidRPr="007B0E00" w:rsidRDefault="00E937B5" w:rsidP="007B0E00">
      <w:pPr>
        <w:spacing w:after="0"/>
      </w:pPr>
      <w:r w:rsidRPr="00B54D9B">
        <w:rPr>
          <w:rFonts w:eastAsia="SimSun"/>
          <w:lang w:val="en-US" w:eastAsia="zh-CN"/>
        </w:rPr>
        <w:t>T</w:t>
      </w:r>
      <w:r w:rsidR="00D97126" w:rsidRPr="00B54D9B">
        <w:rPr>
          <w:rFonts w:eastAsia="SimSun"/>
          <w:lang w:val="en-US" w:eastAsia="zh-CN"/>
        </w:rPr>
        <w:t>here has been growing policy interest in the use of “nudge” or “choice architecture” approaches to correct behavior (Thaler and Sunstein 2009; Marteau et al. 2011; Hollands et al. 2013</w:t>
      </w:r>
      <w:r w:rsidR="00E144CB">
        <w:rPr>
          <w:rFonts w:eastAsia="SimSun"/>
          <w:lang w:val="en-US" w:eastAsia="zh-CN"/>
        </w:rPr>
        <w:t>, 2017</w:t>
      </w:r>
      <w:r w:rsidR="00D97126" w:rsidRPr="00B54D9B">
        <w:rPr>
          <w:rFonts w:eastAsia="SimSun"/>
          <w:lang w:val="en-US" w:eastAsia="zh-CN"/>
        </w:rPr>
        <w:t>; G</w:t>
      </w:r>
      <w:r w:rsidR="000927AB" w:rsidRPr="00B54D9B">
        <w:rPr>
          <w:rFonts w:eastAsia="SimSun"/>
          <w:lang w:val="en-US" w:eastAsia="zh-CN"/>
        </w:rPr>
        <w:t>uth</w:t>
      </w:r>
      <w:r w:rsidR="00D97126" w:rsidRPr="00B54D9B">
        <w:rPr>
          <w:rFonts w:eastAsia="SimSun"/>
          <w:lang w:val="en-US" w:eastAsia="zh-CN"/>
        </w:rPr>
        <w:t>rie et al. 2015</w:t>
      </w:r>
      <w:r w:rsidRPr="00B54D9B">
        <w:rPr>
          <w:rFonts w:eastAsia="SimSun"/>
          <w:lang w:val="en-US" w:eastAsia="zh-CN"/>
        </w:rPr>
        <w:t>)</w:t>
      </w:r>
      <w:r w:rsidR="00D97126" w:rsidRPr="00B54D9B">
        <w:rPr>
          <w:rFonts w:eastAsia="SimSun"/>
          <w:lang w:val="en-US" w:eastAsia="zh-CN"/>
        </w:rPr>
        <w:t xml:space="preserve">. </w:t>
      </w:r>
      <w:r w:rsidR="00BC2A6B" w:rsidRPr="00B54D9B">
        <w:rPr>
          <w:rFonts w:eastAsia="SimSun"/>
          <w:lang w:val="en-US" w:eastAsia="zh-CN"/>
        </w:rPr>
        <w:t xml:space="preserve">Nudges are </w:t>
      </w:r>
      <w:r w:rsidR="00AC0F2E" w:rsidRPr="00B54D9B">
        <w:rPr>
          <w:rFonts w:eastAsia="SimSun"/>
          <w:lang w:val="en-US" w:eastAsia="zh-CN"/>
        </w:rPr>
        <w:t>“</w:t>
      </w:r>
      <w:r w:rsidR="00AC0F2E" w:rsidRPr="007B0E00">
        <w:t xml:space="preserve">any aspect of the choice architecture that alters people's </w:t>
      </w:r>
      <w:proofErr w:type="spellStart"/>
      <w:r w:rsidR="00AC0F2E" w:rsidRPr="007B0E00">
        <w:t>behavior</w:t>
      </w:r>
      <w:proofErr w:type="spellEnd"/>
      <w:r w:rsidR="00AC0F2E" w:rsidRPr="007B0E00">
        <w:t xml:space="preserve"> in a predictable way without forbidding any options or significantly changing their economic incentives.”</w:t>
      </w:r>
      <w:r w:rsidR="00BC2A6B" w:rsidRPr="00B54D9B">
        <w:rPr>
          <w:rFonts w:eastAsia="SimSun"/>
          <w:lang w:val="en-US" w:eastAsia="zh-CN"/>
        </w:rPr>
        <w:t xml:space="preserve"> (</w:t>
      </w:r>
      <w:r w:rsidR="00AC0F2E" w:rsidRPr="00B54D9B">
        <w:rPr>
          <w:rFonts w:eastAsia="SimSun"/>
          <w:lang w:val="en-US" w:eastAsia="zh-CN"/>
        </w:rPr>
        <w:t xml:space="preserve">Thaler and Sunstein </w:t>
      </w:r>
      <w:r w:rsidR="005D0087" w:rsidRPr="00B54D9B">
        <w:rPr>
          <w:rFonts w:eastAsia="SimSun"/>
          <w:lang w:val="en-US" w:eastAsia="zh-CN"/>
        </w:rPr>
        <w:t>200</w:t>
      </w:r>
      <w:r w:rsidR="005D0087">
        <w:rPr>
          <w:rFonts w:eastAsia="SimSun"/>
          <w:lang w:val="en-US" w:eastAsia="zh-CN"/>
        </w:rPr>
        <w:t>9</w:t>
      </w:r>
      <w:r w:rsidR="00AC0F2E" w:rsidRPr="00B54D9B">
        <w:rPr>
          <w:rFonts w:eastAsia="SimSun"/>
          <w:lang w:val="en-US" w:eastAsia="zh-CN"/>
        </w:rPr>
        <w:t>, p. 8</w:t>
      </w:r>
      <w:r w:rsidR="00BC2A6B" w:rsidRPr="00B54D9B">
        <w:rPr>
          <w:rFonts w:eastAsia="SimSun"/>
          <w:lang w:val="en-US" w:eastAsia="zh-CN"/>
        </w:rPr>
        <w:t xml:space="preserve">).  </w:t>
      </w:r>
      <w:r w:rsidR="00E144CB">
        <w:rPr>
          <w:rFonts w:eastAsia="SimSun"/>
          <w:lang w:val="en-US" w:eastAsia="zh-CN"/>
        </w:rPr>
        <w:t>One type of nudge that</w:t>
      </w:r>
      <w:r w:rsidR="00BC2A6B" w:rsidRPr="00B54D9B">
        <w:rPr>
          <w:rFonts w:eastAsia="SimSun"/>
          <w:lang w:val="en-US" w:eastAsia="zh-CN"/>
        </w:rPr>
        <w:t xml:space="preserve"> would be of policy interest to use alongside fiscal policies is </w:t>
      </w:r>
      <w:r w:rsidR="002851DA" w:rsidRPr="00B54D9B">
        <w:rPr>
          <w:rFonts w:eastAsia="SimSun"/>
          <w:lang w:val="en-US" w:eastAsia="zh-CN"/>
        </w:rPr>
        <w:t>recognized to be</w:t>
      </w:r>
      <w:r w:rsidR="00BC2A6B" w:rsidRPr="00B54D9B">
        <w:rPr>
          <w:rFonts w:eastAsia="SimSun"/>
          <w:lang w:val="en-US" w:eastAsia="zh-CN"/>
        </w:rPr>
        <w:t xml:space="preserve"> signposting</w:t>
      </w:r>
      <w:r w:rsidR="002851DA" w:rsidRPr="00B54D9B">
        <w:rPr>
          <w:rFonts w:eastAsia="SimSun"/>
          <w:lang w:val="en-US" w:eastAsia="zh-CN"/>
        </w:rPr>
        <w:t xml:space="preserve"> of complementary information</w:t>
      </w:r>
      <w:r w:rsidR="00BC2A6B" w:rsidRPr="00B54D9B">
        <w:rPr>
          <w:rFonts w:eastAsia="SimSun"/>
          <w:lang w:val="en-US" w:eastAsia="zh-CN"/>
        </w:rPr>
        <w:t xml:space="preserve"> to raise</w:t>
      </w:r>
      <w:r w:rsidR="000049AF">
        <w:rPr>
          <w:rFonts w:eastAsia="SimSun"/>
          <w:lang w:val="en-US" w:eastAsia="zh-CN"/>
        </w:rPr>
        <w:t xml:space="preserve"> </w:t>
      </w:r>
      <w:r w:rsidR="00BC2A6B" w:rsidRPr="00B54D9B">
        <w:rPr>
          <w:rFonts w:eastAsia="SimSun"/>
          <w:lang w:val="en-US" w:eastAsia="zh-CN"/>
        </w:rPr>
        <w:t>awareness at the point-of-purchase (Hawkes et al 2015)</w:t>
      </w:r>
      <w:r w:rsidR="005518A4">
        <w:rPr>
          <w:rFonts w:eastAsia="SimSun"/>
          <w:lang w:val="en-US" w:eastAsia="zh-CN"/>
        </w:rPr>
        <w:t xml:space="preserve">. </w:t>
      </w:r>
      <w:r w:rsidR="00BC2A6B" w:rsidRPr="00B54D9B">
        <w:rPr>
          <w:rFonts w:eastAsia="SimSun"/>
          <w:lang w:val="en-US" w:eastAsia="zh-CN"/>
        </w:rPr>
        <w:t>Signposting information can affect behavior regardless of whether the consumer is aware of the reference price since the signposting can partition the products (taxed vs un-taxed) and reduce the cognitive load for the decision-maker (Johnson</w:t>
      </w:r>
      <w:r w:rsidR="00333E87">
        <w:rPr>
          <w:rFonts w:eastAsia="SimSun"/>
          <w:lang w:val="en-US" w:eastAsia="zh-CN"/>
        </w:rPr>
        <w:t xml:space="preserve"> et al.</w:t>
      </w:r>
      <w:r w:rsidR="00BC2A6B" w:rsidRPr="00B54D9B">
        <w:rPr>
          <w:rFonts w:eastAsia="SimSun"/>
          <w:lang w:val="en-US" w:eastAsia="zh-CN"/>
        </w:rPr>
        <w:t>, 2012).</w:t>
      </w:r>
      <w:r w:rsidR="000F0031" w:rsidRPr="00B54D9B">
        <w:rPr>
          <w:rFonts w:eastAsia="SimSun"/>
          <w:lang w:val="en-US" w:eastAsia="zh-CN"/>
        </w:rPr>
        <w:t xml:space="preserve"> </w:t>
      </w:r>
    </w:p>
    <w:p w14:paraId="2869D734" w14:textId="36F1753A" w:rsidR="00BC2A6B" w:rsidRPr="007B0E00" w:rsidRDefault="002851DA" w:rsidP="007B0E00">
      <w:pPr>
        <w:spacing w:after="0"/>
      </w:pPr>
      <w:r w:rsidRPr="007B0E00">
        <w:t xml:space="preserve">Guthrie et al. (2015) distinguishes nudge type interventions such as ours from education-based interventions. </w:t>
      </w:r>
      <w:r w:rsidR="00AC0F2E" w:rsidRPr="007B0E00">
        <w:t xml:space="preserve">‘Significantly changing economic incentives’ is normally interpreted with respect to the benchmark of the purely rational and self-interested agent. </w:t>
      </w:r>
      <w:r w:rsidR="00941F02" w:rsidRPr="00941F02">
        <w:t>From the perspective of a rational consumer who only cares about the price and who has no attention constraints,</w:t>
      </w:r>
      <w:r w:rsidR="00AC0F2E" w:rsidRPr="007B0E00">
        <w:t xml:space="preserve"> and noting that only one shopping task counts towards payment, being informed that part of the price is made </w:t>
      </w:r>
      <w:r w:rsidR="00ED01B0" w:rsidRPr="007B0E00">
        <w:t>up of a tax should be irrelevant</w:t>
      </w:r>
      <w:r w:rsidR="00AC0F2E" w:rsidRPr="007B0E00">
        <w:t>. Therefore, there is no significant change in economic incentives and signposting can be classified as a nudge.</w:t>
      </w:r>
      <w:r w:rsidR="001B392E" w:rsidRPr="007B0E00">
        <w:t xml:space="preserve"> </w:t>
      </w:r>
    </w:p>
    <w:p w14:paraId="31C232B4" w14:textId="021FB2D3" w:rsidR="00E937B5" w:rsidRDefault="00D97126" w:rsidP="007B0E00">
      <w:pPr>
        <w:spacing w:after="0"/>
        <w:rPr>
          <w:rFonts w:eastAsia="SimSun"/>
          <w:lang w:val="en-US" w:eastAsia="zh-CN"/>
        </w:rPr>
      </w:pPr>
      <w:r w:rsidRPr="006F0EBE">
        <w:rPr>
          <w:rFonts w:eastAsia="SimSun"/>
          <w:lang w:val="en-US" w:eastAsia="zh-CN"/>
        </w:rPr>
        <w:t xml:space="preserve">Out of the wide range of potential nudge approaches, </w:t>
      </w:r>
      <w:r>
        <w:rPr>
          <w:rFonts w:eastAsia="SimSun"/>
          <w:lang w:val="en-US" w:eastAsia="zh-CN"/>
        </w:rPr>
        <w:t xml:space="preserve">only very little research effort has gone into studying </w:t>
      </w:r>
      <w:r w:rsidR="00E937B5">
        <w:rPr>
          <w:rFonts w:eastAsia="SimSun"/>
          <w:lang w:val="en-US" w:eastAsia="zh-CN"/>
        </w:rPr>
        <w:t xml:space="preserve">the effect of signposting information </w:t>
      </w:r>
      <w:r w:rsidRPr="006F0EBE">
        <w:rPr>
          <w:rFonts w:eastAsia="SimSun"/>
          <w:lang w:val="en-US" w:eastAsia="zh-CN"/>
        </w:rPr>
        <w:t>in the context of diet-related fiscal policies.</w:t>
      </w:r>
      <w:r w:rsidR="00F50CD2">
        <w:rPr>
          <w:rFonts w:eastAsia="SimSun"/>
          <w:lang w:val="en-US" w:eastAsia="zh-CN"/>
        </w:rPr>
        <w:t xml:space="preserve"> With the exception of Zheng et al. (2013: theory and simulations), research has been conducted using an experimental approach.</w:t>
      </w:r>
    </w:p>
    <w:p w14:paraId="2EB7FBCF" w14:textId="7C26DFF5" w:rsidR="00184E3E" w:rsidRDefault="00E937B5" w:rsidP="00A81370">
      <w:pPr>
        <w:spacing w:after="0"/>
        <w:rPr>
          <w:rFonts w:eastAsia="SimSun"/>
          <w:lang w:val="en-US" w:eastAsia="zh-CN"/>
        </w:rPr>
      </w:pPr>
      <w:r w:rsidRPr="006F0EBE">
        <w:rPr>
          <w:rFonts w:eastAsia="SimSun"/>
          <w:lang w:val="en-US" w:eastAsia="zh-CN"/>
        </w:rPr>
        <w:t xml:space="preserve">In non-diet related settings, </w:t>
      </w:r>
      <w:r w:rsidRPr="00E937B5">
        <w:rPr>
          <w:rFonts w:eastAsia="SimSun"/>
          <w:lang w:val="en-US" w:eastAsia="zh-CN"/>
        </w:rPr>
        <w:t xml:space="preserve">Chetty et al. (2009) may have been the first to examine the impact of </w:t>
      </w:r>
      <w:r w:rsidR="002B7C92">
        <w:rPr>
          <w:rFonts w:eastAsia="SimSun"/>
          <w:lang w:val="en-US" w:eastAsia="zh-CN"/>
        </w:rPr>
        <w:t>making explicit a commodity tax i</w:t>
      </w:r>
      <w:r w:rsidRPr="00E937B5">
        <w:rPr>
          <w:rFonts w:eastAsia="SimSun"/>
          <w:lang w:val="en-US" w:eastAsia="zh-CN"/>
        </w:rPr>
        <w:t xml:space="preserve">n the price tag, finding </w:t>
      </w:r>
      <w:r w:rsidRPr="00E937B5">
        <w:rPr>
          <w:rFonts w:eastAsia="SimSun"/>
          <w:lang w:val="en-US" w:eastAsia="zh-CN"/>
        </w:rPr>
        <w:lastRenderedPageBreak/>
        <w:t xml:space="preserve">that this did increase the consumers’ sensitivity to the tax. </w:t>
      </w:r>
      <w:proofErr w:type="spellStart"/>
      <w:r w:rsidRPr="006F0EBE">
        <w:rPr>
          <w:rFonts w:eastAsia="SimSun"/>
          <w:lang w:val="en-US" w:eastAsia="zh-CN"/>
        </w:rPr>
        <w:t>Sussman</w:t>
      </w:r>
      <w:proofErr w:type="spellEnd"/>
      <w:r w:rsidRPr="006F0EBE">
        <w:rPr>
          <w:rFonts w:eastAsia="SimSun"/>
          <w:lang w:val="en-US" w:eastAsia="zh-CN"/>
        </w:rPr>
        <w:t xml:space="preserve"> and </w:t>
      </w:r>
      <w:proofErr w:type="spellStart"/>
      <w:r w:rsidRPr="006F0EBE">
        <w:rPr>
          <w:rFonts w:eastAsia="SimSun"/>
          <w:lang w:val="en-US" w:eastAsia="zh-CN"/>
        </w:rPr>
        <w:t>Olivola</w:t>
      </w:r>
      <w:proofErr w:type="spellEnd"/>
      <w:r w:rsidRPr="006F0EBE">
        <w:rPr>
          <w:rFonts w:eastAsia="SimSun"/>
          <w:lang w:val="en-US" w:eastAsia="zh-CN"/>
        </w:rPr>
        <w:t xml:space="preserve"> (2011) </w:t>
      </w:r>
      <w:r w:rsidR="002B7C92">
        <w:rPr>
          <w:rFonts w:eastAsia="SimSun"/>
          <w:lang w:val="en-US" w:eastAsia="zh-CN"/>
        </w:rPr>
        <w:t>found</w:t>
      </w:r>
      <w:r w:rsidRPr="006F0EBE">
        <w:rPr>
          <w:rFonts w:eastAsia="SimSun"/>
          <w:lang w:val="en-US" w:eastAsia="zh-CN"/>
        </w:rPr>
        <w:t xml:space="preserve"> a general tendency for </w:t>
      </w:r>
      <w:r>
        <w:rPr>
          <w:rFonts w:eastAsia="SimSun"/>
          <w:lang w:val="en-US" w:eastAsia="zh-CN"/>
        </w:rPr>
        <w:t>tax aversion, namely consumers disliking</w:t>
      </w:r>
      <w:r w:rsidRPr="006F0EBE">
        <w:rPr>
          <w:rFonts w:eastAsia="SimSun"/>
          <w:lang w:val="en-US" w:eastAsia="zh-CN"/>
        </w:rPr>
        <w:t xml:space="preserve"> taxes more than equivalent price changes. </w:t>
      </w:r>
      <w:r>
        <w:rPr>
          <w:rFonts w:eastAsia="SimSun"/>
          <w:lang w:val="en-US" w:eastAsia="zh-CN"/>
        </w:rPr>
        <w:t xml:space="preserve">Goldin and </w:t>
      </w:r>
      <w:proofErr w:type="spellStart"/>
      <w:r>
        <w:rPr>
          <w:rFonts w:eastAsia="SimSun"/>
          <w:lang w:val="en-US" w:eastAsia="zh-CN"/>
        </w:rPr>
        <w:t>Homonoff</w:t>
      </w:r>
      <w:proofErr w:type="spellEnd"/>
      <w:r>
        <w:rPr>
          <w:rFonts w:eastAsia="SimSun"/>
          <w:lang w:val="en-US" w:eastAsia="zh-CN"/>
        </w:rPr>
        <w:t xml:space="preserve"> (2013) fou</w:t>
      </w:r>
      <w:r w:rsidRPr="00E937B5">
        <w:rPr>
          <w:rFonts w:eastAsia="SimSun"/>
          <w:lang w:val="en-US" w:eastAsia="zh-CN"/>
        </w:rPr>
        <w:t>nd that high income consumers were less responsive than low income consumers to a tobacco tax that was levied at the cashier but were similarly responsive to a tax that was presented in the price tag.</w:t>
      </w:r>
      <w:r w:rsidR="00F50CD2">
        <w:rPr>
          <w:rFonts w:eastAsia="SimSun"/>
          <w:lang w:val="en-US" w:eastAsia="zh-CN"/>
        </w:rPr>
        <w:t xml:space="preserve"> Feldman and Ruffle (2015)</w:t>
      </w:r>
      <w:r w:rsidR="005B42D4">
        <w:rPr>
          <w:rFonts w:eastAsia="SimSun"/>
          <w:lang w:val="en-US" w:eastAsia="zh-CN"/>
        </w:rPr>
        <w:t xml:space="preserve"> found that, while tax-exclusive prices with the announcement of tax inclusion at point of purchase are effective in increasing consumption relative to a case where tax is explicitly included at point of purchase, subsidy-exclusive prices with the announcement of subsidy inclusion at point of purchase make no difference.</w:t>
      </w:r>
      <w:r w:rsidR="00184E3E">
        <w:rPr>
          <w:rFonts w:eastAsia="SimSun"/>
          <w:lang w:val="en-US" w:eastAsia="zh-CN"/>
        </w:rPr>
        <w:t xml:space="preserve"> </w:t>
      </w:r>
      <w:proofErr w:type="spellStart"/>
      <w:r w:rsidR="00184E3E">
        <w:rPr>
          <w:rFonts w:eastAsia="SimSun"/>
          <w:lang w:val="en-US" w:eastAsia="zh-CN"/>
        </w:rPr>
        <w:t>Taubinsky</w:t>
      </w:r>
      <w:proofErr w:type="spellEnd"/>
      <w:r w:rsidR="00184E3E">
        <w:rPr>
          <w:rFonts w:eastAsia="SimSun"/>
          <w:lang w:val="en-US" w:eastAsia="zh-CN"/>
        </w:rPr>
        <w:t xml:space="preserve"> and Rees-Jones (2018) </w:t>
      </w:r>
      <w:r w:rsidR="006F778B">
        <w:rPr>
          <w:rFonts w:eastAsia="SimSun"/>
          <w:lang w:val="en-US" w:eastAsia="zh-CN"/>
        </w:rPr>
        <w:t>found</w:t>
      </w:r>
      <w:r w:rsidR="00A81370">
        <w:rPr>
          <w:rFonts w:eastAsia="SimSun"/>
          <w:lang w:val="en-US" w:eastAsia="zh-CN"/>
        </w:rPr>
        <w:t xml:space="preserve"> individual</w:t>
      </w:r>
      <w:r w:rsidR="006F778B">
        <w:rPr>
          <w:rFonts w:eastAsia="SimSun"/>
          <w:lang w:val="en-US" w:eastAsia="zh-CN"/>
        </w:rPr>
        <w:t xml:space="preserve"> heterogeneity</w:t>
      </w:r>
      <w:r w:rsidR="00A81370">
        <w:rPr>
          <w:rFonts w:eastAsia="SimSun"/>
          <w:lang w:val="en-US" w:eastAsia="zh-CN"/>
        </w:rPr>
        <w:t xml:space="preserve"> in the degree to which</w:t>
      </w:r>
      <w:r w:rsidR="00184E3E">
        <w:rPr>
          <w:rFonts w:eastAsia="SimSun"/>
          <w:lang w:val="en-US" w:eastAsia="zh-CN"/>
        </w:rPr>
        <w:t xml:space="preserve"> </w:t>
      </w:r>
      <w:r w:rsidR="003746FA">
        <w:rPr>
          <w:rFonts w:eastAsia="SimSun"/>
          <w:lang w:val="en-US" w:eastAsia="zh-CN"/>
        </w:rPr>
        <w:t>subjects</w:t>
      </w:r>
      <w:r w:rsidR="00A81370">
        <w:rPr>
          <w:rFonts w:eastAsia="SimSun"/>
          <w:lang w:val="en-US" w:eastAsia="zh-CN"/>
        </w:rPr>
        <w:t xml:space="preserve"> under-react to </w:t>
      </w:r>
      <w:r w:rsidR="006F778B">
        <w:rPr>
          <w:rFonts w:eastAsia="SimSun"/>
          <w:lang w:val="en-US" w:eastAsia="zh-CN"/>
        </w:rPr>
        <w:t xml:space="preserve">a </w:t>
      </w:r>
      <w:r w:rsidR="00A81370">
        <w:rPr>
          <w:rFonts w:eastAsia="SimSun"/>
          <w:lang w:val="en-US" w:eastAsia="zh-CN"/>
        </w:rPr>
        <w:t xml:space="preserve">sales tax that is not made salient. They also show that this heterogeneity significantly increases the efficiency loss due to distortion of demand driven by such a non-salient tax. </w:t>
      </w:r>
    </w:p>
    <w:p w14:paraId="573A1B1D" w14:textId="1145526F" w:rsidR="00545BC5" w:rsidRDefault="00545BC5" w:rsidP="007B0E00">
      <w:pPr>
        <w:spacing w:after="0"/>
        <w:rPr>
          <w:rFonts w:eastAsia="SimSun"/>
          <w:lang w:val="en-US" w:eastAsia="zh-CN"/>
        </w:rPr>
      </w:pPr>
      <w:r>
        <w:rPr>
          <w:rFonts w:eastAsia="SimSun"/>
          <w:lang w:val="en-US" w:eastAsia="zh-CN"/>
        </w:rPr>
        <w:t>In their systematic review of health focused tax interventions (not just food related), Wright et al</w:t>
      </w:r>
      <w:r w:rsidR="006B29AE">
        <w:rPr>
          <w:rFonts w:eastAsia="SimSun"/>
          <w:lang w:val="en-US" w:eastAsia="zh-CN"/>
        </w:rPr>
        <w:t>.</w:t>
      </w:r>
      <w:r>
        <w:rPr>
          <w:rFonts w:eastAsia="SimSun"/>
          <w:lang w:val="en-US" w:eastAsia="zh-CN"/>
        </w:rPr>
        <w:t xml:space="preserve"> (2017) note the lack of studies combining the two even though they recognize it as a possible reason why US studies of tax interventions in their sample (where taxes are signposted) tend to show stronger effects than those elsewhere (where taxes are not sign-posted).</w:t>
      </w:r>
    </w:p>
    <w:p w14:paraId="4D0C4B9C" w14:textId="13A151FA" w:rsidR="00DD31DB" w:rsidRDefault="00DD31DB" w:rsidP="00DD31DB">
      <w:pPr>
        <w:spacing w:after="0"/>
        <w:rPr>
          <w:rFonts w:eastAsia="SimSun"/>
          <w:lang w:val="en-US" w:eastAsia="zh-CN"/>
        </w:rPr>
      </w:pPr>
      <w:r>
        <w:rPr>
          <w:rFonts w:eastAsia="SimSun"/>
          <w:lang w:val="en-US" w:eastAsia="zh-CN"/>
        </w:rPr>
        <w:t xml:space="preserve">Together with Chen et al. (2015), ours is the first experiment looking at the effect of signposting in a diet context. </w:t>
      </w:r>
      <w:r w:rsidR="00D97126">
        <w:rPr>
          <w:rFonts w:eastAsia="SimSun"/>
          <w:lang w:val="en-US" w:eastAsia="zh-CN"/>
        </w:rPr>
        <w:t>Chen et al. (2015) conducted a lab</w:t>
      </w:r>
      <w:r w:rsidR="00504E65">
        <w:rPr>
          <w:rFonts w:eastAsia="SimSun"/>
          <w:lang w:val="en-US" w:eastAsia="zh-CN"/>
        </w:rPr>
        <w:t>oratory</w:t>
      </w:r>
      <w:r w:rsidR="00D97126">
        <w:rPr>
          <w:rFonts w:eastAsia="SimSun"/>
          <w:lang w:val="en-US" w:eastAsia="zh-CN"/>
        </w:rPr>
        <w:t xml:space="preserve"> experiment </w:t>
      </w:r>
      <w:r w:rsidR="00504E65">
        <w:rPr>
          <w:rFonts w:eastAsia="SimSun"/>
          <w:lang w:val="en-US" w:eastAsia="zh-CN"/>
        </w:rPr>
        <w:t>with non-student university-connected adults</w:t>
      </w:r>
      <w:r w:rsidR="00DF4390">
        <w:rPr>
          <w:rFonts w:eastAsia="SimSun"/>
          <w:lang w:val="en-US" w:eastAsia="zh-CN"/>
        </w:rPr>
        <w:t>, who first made purchases with a $10 voucher with baseline food prices and then made purchases with another $10 voucher with prices of unhealthy products increased by 20%</w:t>
      </w:r>
      <w:r w:rsidR="00504E65">
        <w:rPr>
          <w:rFonts w:eastAsia="SimSun"/>
          <w:lang w:val="en-US" w:eastAsia="zh-CN"/>
        </w:rPr>
        <w:t xml:space="preserve">. </w:t>
      </w:r>
      <w:r w:rsidR="00DF4390">
        <w:rPr>
          <w:rFonts w:eastAsia="SimSun"/>
          <w:lang w:val="en-US" w:eastAsia="zh-CN"/>
        </w:rPr>
        <w:t>They either have a treatment where on top of the screen they state “A 20% ‘unhealthy food’ excise tax has been added to the price of unhealthy food and beverages” or a treatment where on top of the screen they state that “A 20% ‘unhealthy food’ sales tax will be added to your purchase when you check out.” They found effects on purchases of both signposting methods, though more in the first than the second case. There are a number of limitations to this study</w:t>
      </w:r>
      <w:r w:rsidR="00C67409">
        <w:rPr>
          <w:rFonts w:eastAsia="SimSun"/>
          <w:lang w:val="en-US" w:eastAsia="zh-CN"/>
        </w:rPr>
        <w:t xml:space="preserve">, </w:t>
      </w:r>
      <w:r>
        <w:rPr>
          <w:rFonts w:eastAsia="SimSun"/>
          <w:lang w:val="en-US" w:eastAsia="zh-CN"/>
        </w:rPr>
        <w:lastRenderedPageBreak/>
        <w:t>however</w:t>
      </w:r>
      <w:r w:rsidR="00DF4390">
        <w:rPr>
          <w:rFonts w:eastAsia="SimSun"/>
          <w:lang w:val="en-US" w:eastAsia="zh-CN"/>
        </w:rPr>
        <w:t xml:space="preserve">. </w:t>
      </w:r>
      <w:r w:rsidR="00BC11F0">
        <w:rPr>
          <w:rFonts w:eastAsia="SimSun"/>
          <w:lang w:val="en-US" w:eastAsia="zh-CN"/>
        </w:rPr>
        <w:t>First</w:t>
      </w:r>
      <w:r w:rsidR="00DF4390">
        <w:rPr>
          <w:rFonts w:eastAsia="SimSun"/>
          <w:lang w:val="en-US" w:eastAsia="zh-CN"/>
        </w:rPr>
        <w:t xml:space="preserve">, as </w:t>
      </w:r>
      <w:r w:rsidR="00C67409">
        <w:rPr>
          <w:rFonts w:eastAsia="SimSun"/>
          <w:lang w:val="en-US" w:eastAsia="zh-CN"/>
        </w:rPr>
        <w:t xml:space="preserve">in Yang and </w:t>
      </w:r>
      <w:proofErr w:type="spellStart"/>
      <w:r w:rsidR="00C67409">
        <w:rPr>
          <w:rFonts w:eastAsia="SimSun"/>
          <w:lang w:val="en-US" w:eastAsia="zh-CN"/>
        </w:rPr>
        <w:t>Chiou</w:t>
      </w:r>
      <w:proofErr w:type="spellEnd"/>
      <w:r w:rsidR="00C67409">
        <w:rPr>
          <w:rFonts w:eastAsia="SimSun"/>
          <w:lang w:val="en-US" w:eastAsia="zh-CN"/>
        </w:rPr>
        <w:t xml:space="preserve"> (2010), unspent budgets are lost. </w:t>
      </w:r>
      <w:r w:rsidR="00BC11F0">
        <w:rPr>
          <w:rFonts w:eastAsia="SimSun"/>
          <w:lang w:val="en-US" w:eastAsia="zh-CN"/>
        </w:rPr>
        <w:t>Second</w:t>
      </w:r>
      <w:r w:rsidR="00C67409">
        <w:rPr>
          <w:rFonts w:eastAsia="SimSun"/>
          <w:lang w:val="en-US" w:eastAsia="zh-CN"/>
        </w:rPr>
        <w:t xml:space="preserve">, there is a wealth of information provided in terms of ‘unhealthy food’, making more psychological effects than just those entailed by a tax label at work, including potentially experimenter demand. </w:t>
      </w:r>
      <w:r w:rsidR="00BC11F0">
        <w:rPr>
          <w:rFonts w:eastAsia="SimSun"/>
          <w:lang w:val="en-US" w:eastAsia="zh-CN"/>
        </w:rPr>
        <w:t>Third</w:t>
      </w:r>
      <w:r w:rsidR="00C67409">
        <w:rPr>
          <w:rFonts w:eastAsia="SimSun"/>
          <w:lang w:val="en-US" w:eastAsia="zh-CN"/>
        </w:rPr>
        <w:t xml:space="preserve">, the effect of signposting is </w:t>
      </w:r>
      <w:r w:rsidR="002D6481">
        <w:rPr>
          <w:rFonts w:eastAsia="SimSun"/>
          <w:lang w:val="en-US" w:eastAsia="zh-CN"/>
        </w:rPr>
        <w:t xml:space="preserve">likely to be </w:t>
      </w:r>
      <w:r w:rsidR="00C67409">
        <w:rPr>
          <w:rFonts w:eastAsia="SimSun"/>
          <w:lang w:val="en-US" w:eastAsia="zh-CN"/>
        </w:rPr>
        <w:t>mediated by not controlled subjects’ beliefs about what makes an unhealthy product, as well as by whether there is or is not recall of earlier prices in the first treatment</w:t>
      </w:r>
      <w:r w:rsidR="00F27B6C">
        <w:rPr>
          <w:rFonts w:eastAsia="SimSun"/>
          <w:lang w:val="en-US" w:eastAsia="zh-CN"/>
        </w:rPr>
        <w:t xml:space="preserve">; </w:t>
      </w:r>
      <w:r w:rsidR="00F27B6C">
        <w:t xml:space="preserve">to clarify, both the subjects’ beliefs and </w:t>
      </w:r>
      <w:r w:rsidR="00F27B6C" w:rsidRPr="00F27B6C">
        <w:t>the extent of recall may have affected the results in terms of its stated aim of verifying the impact of signposting</w:t>
      </w:r>
      <w:r w:rsidR="00C67409">
        <w:rPr>
          <w:rFonts w:eastAsia="SimSun"/>
          <w:lang w:val="en-US" w:eastAsia="zh-CN"/>
        </w:rPr>
        <w:t>.</w:t>
      </w:r>
      <w:r>
        <w:rPr>
          <w:rFonts w:eastAsia="SimSun"/>
          <w:lang w:val="en-US" w:eastAsia="zh-CN"/>
        </w:rPr>
        <w:t xml:space="preserve"> Our experiment addresses the limitations in Chen et al.’s (2015). Only one shopping task, picked up at random at the end of </w:t>
      </w:r>
      <w:r w:rsidR="004C76C0">
        <w:rPr>
          <w:rFonts w:eastAsia="SimSun"/>
          <w:lang w:val="en-US" w:eastAsia="zh-CN"/>
        </w:rPr>
        <w:t xml:space="preserve">the </w:t>
      </w:r>
      <w:r>
        <w:rPr>
          <w:rFonts w:eastAsia="SimSun"/>
          <w:lang w:val="en-US" w:eastAsia="zh-CN"/>
        </w:rPr>
        <w:t xml:space="preserve">experiment, gets implemented in terms of outcomes, therefore making shopping tasks independent from a rational choice perspective. Also, in our experiments we do not label products as being healthy or unhealthy and our signposting procedure (described in section </w:t>
      </w:r>
      <w:r w:rsidR="005B0B94">
        <w:rPr>
          <w:rFonts w:eastAsia="SimSun"/>
          <w:lang w:val="en-US" w:eastAsia="zh-CN"/>
        </w:rPr>
        <w:t>3.3)</w:t>
      </w:r>
      <w:r>
        <w:rPr>
          <w:rFonts w:eastAsia="SimSun"/>
          <w:lang w:val="en-US" w:eastAsia="zh-CN"/>
        </w:rPr>
        <w:t xml:space="preserve"> </w:t>
      </w:r>
      <w:r w:rsidR="005B0B94">
        <w:rPr>
          <w:rFonts w:eastAsia="SimSun"/>
          <w:lang w:val="en-US" w:eastAsia="zh-CN"/>
        </w:rPr>
        <w:t>does not depend on subjects’ recall or beliefs about which products are unhealthy.</w:t>
      </w:r>
      <w:r>
        <w:rPr>
          <w:rFonts w:eastAsia="SimSun"/>
          <w:lang w:val="en-US" w:eastAsia="zh-CN"/>
        </w:rPr>
        <w:t xml:space="preserve">  </w:t>
      </w:r>
    </w:p>
    <w:p w14:paraId="5EF6BA14" w14:textId="4A13EA9C" w:rsidR="000C546B" w:rsidRPr="006F0EBE" w:rsidRDefault="000C546B" w:rsidP="000C546B">
      <w:pPr>
        <w:spacing w:after="0"/>
        <w:ind w:firstLine="0"/>
        <w:jc w:val="center"/>
        <w:outlineLvl w:val="2"/>
        <w:rPr>
          <w:rFonts w:eastAsia="SimSun"/>
          <w:bCs/>
          <w:i/>
          <w:lang w:val="en-US" w:eastAsia="zh-CN"/>
        </w:rPr>
      </w:pPr>
      <w:r>
        <w:rPr>
          <w:rFonts w:eastAsia="SimSun"/>
          <w:bCs/>
          <w:i/>
          <w:lang w:val="en-US" w:eastAsia="zh-CN"/>
        </w:rPr>
        <w:t>2.3</w:t>
      </w:r>
      <w:r w:rsidRPr="006F0EBE">
        <w:rPr>
          <w:rFonts w:eastAsia="SimSun"/>
          <w:bCs/>
          <w:i/>
          <w:lang w:val="en-US" w:eastAsia="zh-CN"/>
        </w:rPr>
        <w:t xml:space="preserve"> </w:t>
      </w:r>
      <w:r>
        <w:rPr>
          <w:rFonts w:eastAsia="SimSun"/>
          <w:bCs/>
          <w:i/>
          <w:lang w:val="en-US" w:eastAsia="zh-CN"/>
        </w:rPr>
        <w:t>Compensatory behavior</w:t>
      </w:r>
      <w:r w:rsidR="004B2082">
        <w:rPr>
          <w:rFonts w:eastAsia="SimSun"/>
          <w:bCs/>
          <w:i/>
          <w:lang w:val="en-US" w:eastAsia="zh-CN"/>
        </w:rPr>
        <w:t xml:space="preserve"> and price ceiling effects</w:t>
      </w:r>
    </w:p>
    <w:p w14:paraId="0D696D42" w14:textId="0D8DDE65" w:rsidR="004321F5" w:rsidRDefault="000C546B" w:rsidP="000C546B">
      <w:pPr>
        <w:spacing w:after="0"/>
        <w:rPr>
          <w:rFonts w:eastAsia="SimSun"/>
          <w:lang w:val="en-US" w:eastAsia="zh-CN"/>
        </w:rPr>
      </w:pPr>
      <w:r>
        <w:rPr>
          <w:rFonts w:eastAsia="SimSun"/>
          <w:lang w:val="en-US" w:eastAsia="zh-CN"/>
        </w:rPr>
        <w:t>As we have already mentioned in this section, one of</w:t>
      </w:r>
      <w:r w:rsidR="003B7138">
        <w:rPr>
          <w:rFonts w:eastAsia="SimSun"/>
          <w:lang w:val="en-US" w:eastAsia="zh-CN"/>
        </w:rPr>
        <w:t xml:space="preserve"> the</w:t>
      </w:r>
      <w:r>
        <w:rPr>
          <w:rFonts w:eastAsia="SimSun"/>
          <w:lang w:val="en-US" w:eastAsia="zh-CN"/>
        </w:rPr>
        <w:t xml:space="preserve"> key limitations of the existing experimental/intervention studies is the lack of control for compensat</w:t>
      </w:r>
      <w:r w:rsidR="004321F5">
        <w:rPr>
          <w:rFonts w:eastAsia="SimSun"/>
          <w:lang w:val="en-US" w:eastAsia="zh-CN"/>
        </w:rPr>
        <w:t xml:space="preserve">ory consumption of unhealthy diet which may occur off the experiment. Even if a tax on dietary product leads to healthier outcomes in terms of direct study outcomes (e.g. reduction in purchases of sugary drinks within the experiment), this effect may </w:t>
      </w:r>
      <w:r w:rsidR="004321F5" w:rsidRPr="006F0EBE">
        <w:rPr>
          <w:rFonts w:eastAsia="SimSun"/>
          <w:lang w:val="en-US" w:eastAsia="zh-CN"/>
        </w:rPr>
        <w:t xml:space="preserve">be </w:t>
      </w:r>
      <w:r w:rsidR="004321F5">
        <w:rPr>
          <w:rFonts w:eastAsia="SimSun"/>
          <w:lang w:val="en-US" w:eastAsia="zh-CN"/>
        </w:rPr>
        <w:t>undermined</w:t>
      </w:r>
      <w:r w:rsidR="004321F5" w:rsidRPr="006F0EBE">
        <w:rPr>
          <w:rFonts w:eastAsia="SimSun"/>
          <w:lang w:val="en-US" w:eastAsia="zh-CN"/>
        </w:rPr>
        <w:t xml:space="preserve"> by later unhealthy purchases</w:t>
      </w:r>
      <w:r w:rsidR="004321F5">
        <w:rPr>
          <w:rFonts w:eastAsia="SimSun"/>
          <w:lang w:val="en-US" w:eastAsia="zh-CN"/>
        </w:rPr>
        <w:t xml:space="preserve"> (e.g. increase in purchases of sugary drinks in real supermarket)</w:t>
      </w:r>
      <w:r w:rsidR="004321F5" w:rsidRPr="006F0EBE">
        <w:rPr>
          <w:rFonts w:eastAsia="SimSun"/>
          <w:lang w:val="en-US" w:eastAsia="zh-CN"/>
        </w:rPr>
        <w:t xml:space="preserve">. </w:t>
      </w:r>
    </w:p>
    <w:p w14:paraId="7B19E833" w14:textId="77777777" w:rsidR="00180C4C" w:rsidRDefault="000C546B" w:rsidP="007B0E00">
      <w:pPr>
        <w:spacing w:after="0"/>
        <w:rPr>
          <w:lang w:val="en-US"/>
        </w:rPr>
      </w:pPr>
      <w:r>
        <w:rPr>
          <w:lang w:val="en-US"/>
        </w:rPr>
        <w:t>Wisdom et al. (2010) emphasiz</w:t>
      </w:r>
      <w:r w:rsidR="00C138DC">
        <w:rPr>
          <w:lang w:val="en-US"/>
        </w:rPr>
        <w:t>e</w:t>
      </w:r>
      <w:r>
        <w:rPr>
          <w:lang w:val="en-US"/>
        </w:rPr>
        <w:t xml:space="preserve"> the importance of controlling for the compensatory behavior in their interventional study to induce healthier choices of sandwiches in lunch time. They find that although their intervention led the participants to choose healthier sandwiches, the participants compensated by increasing calorie consumption from side menus and drinks (which were not subject to their intervention). </w:t>
      </w:r>
      <w:r w:rsidR="004321F5">
        <w:rPr>
          <w:lang w:val="en-US"/>
        </w:rPr>
        <w:t xml:space="preserve">Furthermore, in </w:t>
      </w:r>
      <w:r w:rsidR="00C138DC">
        <w:rPr>
          <w:lang w:val="en-US"/>
        </w:rPr>
        <w:t xml:space="preserve">the literature of </w:t>
      </w:r>
      <w:r w:rsidR="004321F5">
        <w:rPr>
          <w:lang w:val="en-US"/>
        </w:rPr>
        <w:t xml:space="preserve">impact evaluations of </w:t>
      </w:r>
      <w:r w:rsidR="00C138DC">
        <w:rPr>
          <w:lang w:val="en-US"/>
        </w:rPr>
        <w:t xml:space="preserve">tax policies using observational data, studies tend to focus on </w:t>
      </w:r>
      <w:r w:rsidR="00C138DC">
        <w:rPr>
          <w:lang w:val="en-US"/>
        </w:rPr>
        <w:lastRenderedPageBreak/>
        <w:t>purchases of targeted items (e.g. soft drinks) only and do not necessarily investigate the substitution or compensation (</w:t>
      </w:r>
      <w:proofErr w:type="spellStart"/>
      <w:r w:rsidR="00C138DC">
        <w:rPr>
          <w:lang w:val="en-US"/>
        </w:rPr>
        <w:t>Colchero</w:t>
      </w:r>
      <w:proofErr w:type="spellEnd"/>
      <w:r w:rsidR="00C138DC">
        <w:rPr>
          <w:lang w:val="en-US"/>
        </w:rPr>
        <w:t xml:space="preserve"> et al. 2016; Nakamura et al. 2018; Cawley et al. 2018).</w:t>
      </w:r>
    </w:p>
    <w:p w14:paraId="4DDA5786" w14:textId="65AD58B8" w:rsidR="009E32FB" w:rsidRDefault="00180C4C" w:rsidP="00195E4D">
      <w:pPr>
        <w:spacing w:after="0"/>
        <w:rPr>
          <w:rFonts w:eastAsia="SimSun"/>
          <w:lang w:val="en-US" w:eastAsia="zh-CN"/>
        </w:rPr>
      </w:pPr>
      <w:r>
        <w:rPr>
          <w:rFonts w:eastAsia="SimSun"/>
          <w:lang w:val="en-US" w:eastAsia="zh-CN"/>
        </w:rPr>
        <w:t>A related effect is the so-called price ceiling effect, namely a subject should not agree to obtain the same commodity in an experiment at a price that could be beaten outside the experiment (Harrison et al., 2004).</w:t>
      </w:r>
      <w:r w:rsidR="00947C8B">
        <w:rPr>
          <w:rFonts w:eastAsia="SimSun"/>
          <w:lang w:val="en-US" w:eastAsia="zh-CN"/>
        </w:rPr>
        <w:t xml:space="preserve"> This effect is identical to compensation effects with positive taxes, but exists even in the lack of taxes.</w:t>
      </w:r>
    </w:p>
    <w:p w14:paraId="120CE0F7" w14:textId="75E84CC3" w:rsidR="004321F5" w:rsidRDefault="004321F5" w:rsidP="007B0E00">
      <w:pPr>
        <w:spacing w:after="0"/>
        <w:rPr>
          <w:lang w:val="en-US"/>
        </w:rPr>
      </w:pPr>
      <w:r>
        <w:rPr>
          <w:lang w:val="en-US"/>
        </w:rPr>
        <w:t>As a key</w:t>
      </w:r>
      <w:r w:rsidR="00BC1066">
        <w:rPr>
          <w:lang w:val="en-US"/>
        </w:rPr>
        <w:t xml:space="preserve"> </w:t>
      </w:r>
      <w:r>
        <w:rPr>
          <w:lang w:val="en-US"/>
        </w:rPr>
        <w:t xml:space="preserve">methodological contribution to the existing literature, </w:t>
      </w:r>
      <w:r w:rsidR="00C138DC">
        <w:rPr>
          <w:lang w:val="en-US"/>
        </w:rPr>
        <w:t xml:space="preserve">we conduct a post-experimental survey of purchasing of targeted items </w:t>
      </w:r>
      <w:r w:rsidR="00886B6E">
        <w:rPr>
          <w:lang w:val="en-US"/>
        </w:rPr>
        <w:t>(cereals and soft drin</w:t>
      </w:r>
      <w:r w:rsidR="00C94E36">
        <w:rPr>
          <w:lang w:val="en-US"/>
        </w:rPr>
        <w:t>k</w:t>
      </w:r>
      <w:r w:rsidR="00886B6E">
        <w:rPr>
          <w:lang w:val="en-US"/>
        </w:rPr>
        <w:t xml:space="preserve">s) </w:t>
      </w:r>
      <w:r w:rsidR="00C138DC">
        <w:rPr>
          <w:lang w:val="en-US"/>
        </w:rPr>
        <w:t>and</w:t>
      </w:r>
      <w:r w:rsidR="00886B6E">
        <w:rPr>
          <w:lang w:val="en-US"/>
        </w:rPr>
        <w:t xml:space="preserve"> an</w:t>
      </w:r>
      <w:r w:rsidR="00C138DC">
        <w:rPr>
          <w:lang w:val="en-US"/>
        </w:rPr>
        <w:t xml:space="preserve"> additional item (chocolate) to investigate if and how </w:t>
      </w:r>
      <w:r w:rsidR="00DE0CCE">
        <w:rPr>
          <w:lang w:val="en-US"/>
        </w:rPr>
        <w:t xml:space="preserve">post experimental </w:t>
      </w:r>
      <w:r w:rsidR="00C138DC">
        <w:rPr>
          <w:lang w:val="en-US"/>
        </w:rPr>
        <w:t>shopping pattern</w:t>
      </w:r>
      <w:r w:rsidR="00DE0CCE">
        <w:rPr>
          <w:lang w:val="en-US"/>
        </w:rPr>
        <w:t>s</w:t>
      </w:r>
      <w:r w:rsidR="00C138DC">
        <w:rPr>
          <w:lang w:val="en-US"/>
        </w:rPr>
        <w:t xml:space="preserve"> </w:t>
      </w:r>
      <w:r w:rsidR="00DE0CCE">
        <w:rPr>
          <w:lang w:val="en-US"/>
        </w:rPr>
        <w:t xml:space="preserve">differ based on experimental </w:t>
      </w:r>
      <w:r w:rsidR="00C138DC">
        <w:rPr>
          <w:lang w:val="en-US"/>
        </w:rPr>
        <w:t>purchases.</w:t>
      </w:r>
      <w:r w:rsidR="00BC1066">
        <w:rPr>
          <w:lang w:val="en-US"/>
        </w:rPr>
        <w:t xml:space="preserve"> </w:t>
      </w:r>
      <w:bookmarkStart w:id="2" w:name="_Hlk52356727"/>
      <w:r w:rsidR="00180C4C">
        <w:rPr>
          <w:lang w:val="en-US"/>
        </w:rPr>
        <w:t xml:space="preserve">Because of </w:t>
      </w:r>
      <w:r w:rsidR="00947C8B">
        <w:rPr>
          <w:lang w:val="en-US"/>
        </w:rPr>
        <w:t>our</w:t>
      </w:r>
      <w:r w:rsidR="00180C4C">
        <w:rPr>
          <w:lang w:val="en-US"/>
        </w:rPr>
        <w:t xml:space="preserve"> experiment</w:t>
      </w:r>
      <w:r w:rsidR="00947C8B">
        <w:rPr>
          <w:lang w:val="en-US"/>
        </w:rPr>
        <w:t>al design</w:t>
      </w:r>
      <w:r w:rsidR="00180C4C">
        <w:rPr>
          <w:lang w:val="en-US"/>
        </w:rPr>
        <w:t>, we can also test for price ceiling effects</w:t>
      </w:r>
      <w:r w:rsidR="004B2082">
        <w:rPr>
          <w:lang w:val="en-US"/>
        </w:rPr>
        <w:t xml:space="preserve"> other than</w:t>
      </w:r>
      <w:r w:rsidR="00947C8B">
        <w:rPr>
          <w:lang w:val="en-US"/>
        </w:rPr>
        <w:t xml:space="preserve"> compensation effects</w:t>
      </w:r>
      <w:r w:rsidR="004B2082">
        <w:rPr>
          <w:lang w:val="en-US"/>
        </w:rPr>
        <w:t>,</w:t>
      </w:r>
      <w:r w:rsidR="00180C4C">
        <w:rPr>
          <w:lang w:val="en-US"/>
        </w:rPr>
        <w:t xml:space="preserve"> by </w:t>
      </w:r>
      <w:r w:rsidR="00947C8B">
        <w:rPr>
          <w:lang w:val="en-US"/>
        </w:rPr>
        <w:t>verifying how</w:t>
      </w:r>
      <w:r w:rsidR="00180C4C">
        <w:rPr>
          <w:lang w:val="en-US"/>
        </w:rPr>
        <w:t xml:space="preserve"> purchases reported after t</w:t>
      </w:r>
      <w:r w:rsidR="00947C8B">
        <w:rPr>
          <w:lang w:val="en-US"/>
        </w:rPr>
        <w:t>he experiment relate to</w:t>
      </w:r>
      <w:r w:rsidR="00180C4C">
        <w:rPr>
          <w:lang w:val="en-US"/>
        </w:rPr>
        <w:t xml:space="preserve"> what participants purchased when there were no taxes. </w:t>
      </w:r>
      <w:bookmarkEnd w:id="2"/>
      <w:r w:rsidR="00BC1066">
        <w:rPr>
          <w:lang w:val="en-US"/>
        </w:rPr>
        <w:t>We discuss this in section 5</w:t>
      </w:r>
      <w:r w:rsidR="00335C6D" w:rsidRPr="00335C6D">
        <w:rPr>
          <w:szCs w:val="22"/>
        </w:rPr>
        <w:t xml:space="preserve"> </w:t>
      </w:r>
      <w:r w:rsidR="00335C6D" w:rsidRPr="00B32E57">
        <w:rPr>
          <w:szCs w:val="22"/>
        </w:rPr>
        <w:t xml:space="preserve">and in </w:t>
      </w:r>
      <w:r w:rsidR="00335C6D">
        <w:rPr>
          <w:szCs w:val="22"/>
        </w:rPr>
        <w:t>m</w:t>
      </w:r>
      <w:r w:rsidR="00335C6D" w:rsidRPr="00B32E57">
        <w:rPr>
          <w:szCs w:val="22"/>
        </w:rPr>
        <w:t>ore detail in online appendix B</w:t>
      </w:r>
      <w:r w:rsidR="00BC1066">
        <w:rPr>
          <w:lang w:val="en-US"/>
        </w:rPr>
        <w:t>.</w:t>
      </w:r>
    </w:p>
    <w:p w14:paraId="5DD915C5" w14:textId="77777777" w:rsidR="00996565" w:rsidRPr="004F5A2F" w:rsidRDefault="00996565" w:rsidP="007B0E00">
      <w:pPr>
        <w:spacing w:after="0"/>
        <w:rPr>
          <w:lang w:val="en-US"/>
        </w:rPr>
      </w:pPr>
    </w:p>
    <w:p w14:paraId="016057A6" w14:textId="0DE2A986" w:rsidR="00A41457" w:rsidRPr="006F0EBE" w:rsidRDefault="005C5969" w:rsidP="007B0E00">
      <w:pPr>
        <w:spacing w:after="0"/>
        <w:ind w:firstLine="0"/>
        <w:jc w:val="center"/>
        <w:rPr>
          <w:rFonts w:eastAsia="SimSun"/>
          <w:b/>
          <w:bCs/>
          <w:lang w:val="en-US" w:eastAsia="zh-CN"/>
        </w:rPr>
      </w:pPr>
      <w:r>
        <w:rPr>
          <w:rFonts w:eastAsia="SimSun"/>
          <w:b/>
          <w:bCs/>
          <w:lang w:val="en-US" w:eastAsia="zh-CN"/>
        </w:rPr>
        <w:t>3.</w:t>
      </w:r>
      <w:r w:rsidR="00A41457" w:rsidRPr="006F0EBE">
        <w:rPr>
          <w:rFonts w:eastAsia="SimSun"/>
          <w:b/>
          <w:bCs/>
          <w:lang w:val="en-US" w:eastAsia="zh-CN"/>
        </w:rPr>
        <w:t xml:space="preserve"> </w:t>
      </w:r>
      <w:r w:rsidR="00560CE4" w:rsidRPr="006F0EBE">
        <w:rPr>
          <w:rFonts w:eastAsia="SimSun"/>
          <w:b/>
          <w:bCs/>
          <w:lang w:val="en-US" w:eastAsia="zh-CN"/>
        </w:rPr>
        <w:t>Study Platform and Design</w:t>
      </w:r>
    </w:p>
    <w:p w14:paraId="680F39DE" w14:textId="4B8E31CD" w:rsidR="00A41457" w:rsidRPr="006F0EBE" w:rsidRDefault="005C5969" w:rsidP="007B0E00">
      <w:pPr>
        <w:spacing w:after="0"/>
        <w:ind w:firstLine="0"/>
        <w:jc w:val="center"/>
        <w:outlineLvl w:val="2"/>
        <w:rPr>
          <w:rFonts w:eastAsia="SimSun"/>
          <w:bCs/>
          <w:i/>
          <w:lang w:val="en-US" w:eastAsia="zh-CN"/>
        </w:rPr>
      </w:pPr>
      <w:r>
        <w:rPr>
          <w:rFonts w:eastAsia="SimSun"/>
          <w:bCs/>
          <w:i/>
          <w:lang w:val="en-US" w:eastAsia="zh-CN"/>
        </w:rPr>
        <w:t>3.1</w:t>
      </w:r>
      <w:r w:rsidR="00A41457" w:rsidRPr="006F0EBE">
        <w:rPr>
          <w:rFonts w:eastAsia="SimSun"/>
          <w:bCs/>
          <w:i/>
          <w:lang w:val="en-US" w:eastAsia="zh-CN"/>
        </w:rPr>
        <w:t xml:space="preserve"> Online supermarket platform</w:t>
      </w:r>
    </w:p>
    <w:p w14:paraId="75CDA4D6" w14:textId="597362A0" w:rsidR="00A267D9" w:rsidRPr="006F0EBE" w:rsidRDefault="00A41457" w:rsidP="00E144CB">
      <w:pPr>
        <w:spacing w:after="0"/>
        <w:rPr>
          <w:rFonts w:eastAsia="SimSun"/>
          <w:lang w:val="en-US" w:eastAsia="zh-CN"/>
        </w:rPr>
      </w:pPr>
      <w:r w:rsidRPr="006F0EBE">
        <w:rPr>
          <w:rFonts w:eastAsia="SimSun"/>
          <w:lang w:val="en-US" w:eastAsia="zh-CN"/>
        </w:rPr>
        <w:t>A website built to emulate an online supermarket platform was used. The website was developed by Cauldron Inc.</w:t>
      </w:r>
      <w:r w:rsidR="006231F6" w:rsidRPr="006F0EBE" w:rsidDel="006231F6">
        <w:rPr>
          <w:rFonts w:eastAsia="SimSun"/>
          <w:lang w:val="en-US" w:eastAsia="zh-CN"/>
        </w:rPr>
        <w:t xml:space="preserve"> </w:t>
      </w:r>
      <w:r w:rsidRPr="006F0EBE">
        <w:rPr>
          <w:rFonts w:eastAsia="SimSun"/>
          <w:lang w:val="en-US" w:eastAsia="zh-CN"/>
        </w:rPr>
        <w:t xml:space="preserve">for the </w:t>
      </w:r>
      <w:r w:rsidR="00740E8C" w:rsidRPr="006F0EBE">
        <w:rPr>
          <w:rFonts w:eastAsia="SimSun"/>
          <w:lang w:val="en-US" w:eastAsia="zh-CN"/>
        </w:rPr>
        <w:t>BHRU</w:t>
      </w:r>
      <w:r w:rsidRPr="006F0EBE">
        <w:rPr>
          <w:rFonts w:eastAsia="SimSun"/>
          <w:lang w:val="en-US" w:eastAsia="zh-CN"/>
        </w:rPr>
        <w:t>. The website mimics the appearance of a regular online grocery store, including browsing, search, unique product pages, trolley and checkout. Image, price, full description, and a table of macronutrient</w:t>
      </w:r>
      <w:r w:rsidR="00CA2D29" w:rsidRPr="006F0EBE">
        <w:rPr>
          <w:rFonts w:eastAsia="SimSun"/>
          <w:lang w:val="en-US" w:eastAsia="zh-CN"/>
        </w:rPr>
        <w:t>s</w:t>
      </w:r>
      <w:r w:rsidRPr="006F0EBE">
        <w:rPr>
          <w:rFonts w:eastAsia="SimSun"/>
          <w:lang w:val="en-US" w:eastAsia="zh-CN"/>
        </w:rPr>
        <w:t xml:space="preserve"> were available for each product. The platform automatically collects a range of data, i.e. product name, price, number of units purchased, price information, nutrient content, browsing history and time spent within the site. The platform was built for assessing the effectiveness of </w:t>
      </w:r>
      <w:r w:rsidR="00CB024B" w:rsidRPr="006F0EBE">
        <w:rPr>
          <w:rFonts w:eastAsia="SimSun"/>
          <w:lang w:val="en-US" w:eastAsia="zh-CN"/>
        </w:rPr>
        <w:t xml:space="preserve">a series of </w:t>
      </w:r>
      <w:r w:rsidRPr="006F0EBE">
        <w:rPr>
          <w:rFonts w:eastAsia="SimSun"/>
          <w:lang w:val="en-US" w:eastAsia="zh-CN"/>
        </w:rPr>
        <w:t xml:space="preserve">food purchase interventions (Forwood et al., 2015) and further modified for this study. In this study the range of products was restricted to two target categories – </w:t>
      </w:r>
      <w:r w:rsidR="00274F5E" w:rsidRPr="006F0EBE">
        <w:rPr>
          <w:rFonts w:eastAsia="SimSun"/>
          <w:lang w:val="en-US" w:eastAsia="zh-CN"/>
        </w:rPr>
        <w:t>cereals</w:t>
      </w:r>
      <w:r w:rsidRPr="006F0EBE">
        <w:rPr>
          <w:rFonts w:eastAsia="SimSun"/>
          <w:lang w:val="en-US" w:eastAsia="zh-CN"/>
        </w:rPr>
        <w:t xml:space="preserve"> (189 products) and soft drinks (709 products). The food database was a copy of the range of products for the corresponding categories </w:t>
      </w:r>
      <w:r w:rsidRPr="006F0EBE">
        <w:rPr>
          <w:rFonts w:eastAsia="SimSun"/>
          <w:lang w:val="en-US" w:eastAsia="zh-CN"/>
        </w:rPr>
        <w:lastRenderedPageBreak/>
        <w:t>from the largest supermarket chain in the United Kingdom, Tesco (</w:t>
      </w:r>
      <w:r w:rsidR="00354809" w:rsidRPr="006F0EBE">
        <w:rPr>
          <w:rFonts w:eastAsia="SimSun"/>
          <w:lang w:val="en-US" w:eastAsia="zh-CN"/>
        </w:rPr>
        <w:t xml:space="preserve">scraped from </w:t>
      </w:r>
      <w:r w:rsidRPr="006F0EBE">
        <w:rPr>
          <w:rFonts w:eastAsia="SimSun"/>
          <w:lang w:val="en-US" w:eastAsia="zh-CN"/>
        </w:rPr>
        <w:t xml:space="preserve">Tesco.com </w:t>
      </w:r>
      <w:r w:rsidR="00354809" w:rsidRPr="006F0EBE">
        <w:rPr>
          <w:rFonts w:eastAsia="SimSun"/>
          <w:lang w:val="en-US" w:eastAsia="zh-CN"/>
        </w:rPr>
        <w:t>in</w:t>
      </w:r>
      <w:r w:rsidRPr="006F0EBE">
        <w:rPr>
          <w:rFonts w:eastAsia="SimSun"/>
          <w:lang w:val="en-US" w:eastAsia="zh-CN"/>
        </w:rPr>
        <w:t xml:space="preserve"> August 2015)</w:t>
      </w:r>
      <w:r w:rsidR="00354809" w:rsidRPr="006F0EBE">
        <w:rPr>
          <w:rFonts w:eastAsia="SimSun"/>
          <w:lang w:val="en-US" w:eastAsia="zh-CN"/>
        </w:rPr>
        <w:t>,</w:t>
      </w:r>
      <w:r w:rsidRPr="006F0EBE">
        <w:rPr>
          <w:rFonts w:eastAsia="SimSun"/>
          <w:lang w:val="en-US" w:eastAsia="zh-CN"/>
        </w:rPr>
        <w:t xml:space="preserve"> supplemented with nutrient composition</w:t>
      </w:r>
      <w:r w:rsidR="00887429" w:rsidRPr="006F0EBE">
        <w:rPr>
          <w:rFonts w:eastAsia="SimSun"/>
          <w:lang w:val="en-US" w:eastAsia="zh-CN"/>
        </w:rPr>
        <w:t xml:space="preserve"> per 100 g</w:t>
      </w:r>
      <w:r w:rsidR="001A43C5" w:rsidRPr="006F0EBE">
        <w:rPr>
          <w:rFonts w:eastAsia="SimSun"/>
          <w:lang w:val="en-US" w:eastAsia="zh-CN"/>
        </w:rPr>
        <w:t xml:space="preserve"> (100 ml)</w:t>
      </w:r>
      <w:r w:rsidRPr="006F0EBE">
        <w:rPr>
          <w:rFonts w:eastAsia="SimSun"/>
          <w:lang w:val="en-US" w:eastAsia="zh-CN"/>
        </w:rPr>
        <w:t xml:space="preserve"> from </w:t>
      </w:r>
      <w:r w:rsidR="00887429" w:rsidRPr="006F0EBE">
        <w:rPr>
          <w:rFonts w:eastAsia="SimSun"/>
          <w:lang w:val="en-US" w:eastAsia="zh-CN"/>
        </w:rPr>
        <w:t>food</w:t>
      </w:r>
      <w:r w:rsidR="001A43C5" w:rsidRPr="006F0EBE">
        <w:rPr>
          <w:rFonts w:eastAsia="SimSun"/>
          <w:lang w:val="en-US" w:eastAsia="zh-CN"/>
        </w:rPr>
        <w:t xml:space="preserve"> (drinks)</w:t>
      </w:r>
      <w:r w:rsidR="00887429" w:rsidRPr="006F0EBE">
        <w:rPr>
          <w:rFonts w:eastAsia="SimSun"/>
          <w:lang w:val="en-US" w:eastAsia="zh-CN"/>
        </w:rPr>
        <w:t xml:space="preserve"> labels available at Tesco.com or from databases for common foods supplied by MRC Human Nutrition Research</w:t>
      </w:r>
      <w:r w:rsidR="001A43C5" w:rsidRPr="006F0EBE">
        <w:rPr>
          <w:rFonts w:eastAsia="SimSun"/>
          <w:lang w:val="en-US" w:eastAsia="zh-CN"/>
        </w:rPr>
        <w:t xml:space="preserve"> (</w:t>
      </w:r>
      <w:proofErr w:type="spellStart"/>
      <w:r w:rsidR="008738E9" w:rsidRPr="006F0EBE">
        <w:rPr>
          <w:rFonts w:eastAsia="SimSun"/>
          <w:lang w:val="en-US" w:eastAsia="zh-CN"/>
        </w:rPr>
        <w:t>Fitt</w:t>
      </w:r>
      <w:proofErr w:type="spellEnd"/>
      <w:r w:rsidR="008738E9" w:rsidRPr="006F0EBE">
        <w:rPr>
          <w:rFonts w:eastAsia="SimSun"/>
          <w:lang w:val="en-US" w:eastAsia="zh-CN"/>
        </w:rPr>
        <w:t xml:space="preserve"> et al., </w:t>
      </w:r>
      <w:r w:rsidR="00FC79B4" w:rsidRPr="006F0EBE">
        <w:rPr>
          <w:rFonts w:eastAsia="SimSun"/>
          <w:lang w:val="en-US" w:eastAsia="zh-CN"/>
        </w:rPr>
        <w:t>201</w:t>
      </w:r>
      <w:r w:rsidR="00FC79B4">
        <w:rPr>
          <w:rFonts w:eastAsia="SimSun"/>
          <w:lang w:val="en-US" w:eastAsia="zh-CN"/>
        </w:rPr>
        <w:t>5</w:t>
      </w:r>
      <w:r w:rsidR="001A43C5" w:rsidRPr="006F0EBE">
        <w:rPr>
          <w:rFonts w:eastAsia="SimSun"/>
          <w:lang w:val="en-US" w:eastAsia="zh-CN"/>
        </w:rPr>
        <w:t>)</w:t>
      </w:r>
      <w:r w:rsidR="00887429" w:rsidRPr="006F0EBE">
        <w:rPr>
          <w:rFonts w:eastAsia="SimSun"/>
          <w:lang w:val="en-US" w:eastAsia="zh-CN"/>
        </w:rPr>
        <w:t>.</w:t>
      </w:r>
      <w:r w:rsidRPr="006F0EBE">
        <w:rPr>
          <w:rFonts w:eastAsia="SimSun"/>
          <w:lang w:val="en-US" w:eastAsia="zh-CN"/>
        </w:rPr>
        <w:t xml:space="preserve"> </w:t>
      </w:r>
      <w:r w:rsidR="0036746B" w:rsidRPr="00A31C4A">
        <w:rPr>
          <w:lang w:val="en-US"/>
        </w:rPr>
        <w:t>Tesco</w:t>
      </w:r>
      <w:r w:rsidR="00B0127E" w:rsidRPr="00A31C4A">
        <w:rPr>
          <w:lang w:val="en-US"/>
        </w:rPr>
        <w:t>’s</w:t>
      </w:r>
      <w:r w:rsidR="0036746B" w:rsidRPr="00A31C4A">
        <w:rPr>
          <w:lang w:val="en-US"/>
        </w:rPr>
        <w:t xml:space="preserve"> market share at the time of the experiment was 28.3% (</w:t>
      </w:r>
      <w:proofErr w:type="spellStart"/>
      <w:r w:rsidR="00663DF4" w:rsidRPr="00A31C4A">
        <w:rPr>
          <w:lang w:val="en-US"/>
        </w:rPr>
        <w:t>McKevitt</w:t>
      </w:r>
      <w:proofErr w:type="spellEnd"/>
      <w:r w:rsidR="00663DF4" w:rsidRPr="00A31C4A">
        <w:rPr>
          <w:lang w:val="en-US"/>
        </w:rPr>
        <w:t>,</w:t>
      </w:r>
      <w:r w:rsidR="0036746B" w:rsidRPr="00A31C4A">
        <w:rPr>
          <w:lang w:val="en-US"/>
        </w:rPr>
        <w:t xml:space="preserve"> 2015). </w:t>
      </w:r>
      <w:r w:rsidRPr="006F0EBE">
        <w:rPr>
          <w:rFonts w:eastAsia="SimSun"/>
          <w:lang w:val="en-US" w:eastAsia="zh-CN"/>
        </w:rPr>
        <w:t>Grocery deliveries were organized by the team using Tesco’s home delivery service.</w:t>
      </w:r>
      <w:r w:rsidR="000A16D9" w:rsidRPr="006F0EBE">
        <w:rPr>
          <w:rFonts w:eastAsia="SimSun"/>
          <w:lang w:val="en-US" w:eastAsia="zh-CN"/>
        </w:rPr>
        <w:t xml:space="preserve"> </w:t>
      </w:r>
    </w:p>
    <w:p w14:paraId="1097601C" w14:textId="5CD87582" w:rsidR="000A16D9" w:rsidRPr="00A31C4A" w:rsidRDefault="00A267D9" w:rsidP="007B0E00">
      <w:pPr>
        <w:spacing w:after="0"/>
        <w:rPr>
          <w:rFonts w:eastAsia="SimSun"/>
          <w:lang w:val="en-US" w:eastAsia="zh-CN"/>
        </w:rPr>
      </w:pPr>
      <w:r>
        <w:rPr>
          <w:rFonts w:eastAsia="SimSun"/>
          <w:lang w:val="en-US" w:eastAsia="zh-CN"/>
        </w:rPr>
        <w:t>In</w:t>
      </w:r>
      <w:r w:rsidR="004B4F26" w:rsidRPr="006F0EBE">
        <w:rPr>
          <w:rFonts w:eastAsia="SimSun"/>
          <w:lang w:val="en-US" w:eastAsia="zh-CN"/>
        </w:rPr>
        <w:t xml:space="preserve"> our experiment we only included breakfast cereals and soft drinks (only one category per task). The number of products per page was customized to be up to 50, and price manipulations and signposting were implemented according to the treatment. </w:t>
      </w:r>
      <w:r>
        <w:rPr>
          <w:rFonts w:eastAsia="SimSun"/>
          <w:lang w:val="en-US" w:eastAsia="zh-CN"/>
        </w:rPr>
        <w:t xml:space="preserve">A demo (not restricted to breakfast cereals and soft drinks, and with baseline prices) can be found at </w:t>
      </w:r>
      <w:hyperlink r:id="rId9" w:history="1">
        <w:r w:rsidR="0016305C" w:rsidRPr="00BE15BC">
          <w:rPr>
            <w:rStyle w:val="Hyperlink"/>
            <w:rFonts w:eastAsia="SimSun"/>
            <w:lang w:eastAsia="zh-CN"/>
          </w:rPr>
          <w:t>http://woodssupermarket.co.uk/login? demo=1</w:t>
        </w:r>
      </w:hyperlink>
      <w:r>
        <w:rPr>
          <w:rFonts w:eastAsia="SimSun"/>
          <w:lang w:val="en-US" w:eastAsia="zh-CN"/>
        </w:rPr>
        <w:t xml:space="preserve">. </w:t>
      </w:r>
      <w:r w:rsidR="000A16D9" w:rsidRPr="00A31C4A">
        <w:rPr>
          <w:rFonts w:eastAsia="SimSun"/>
          <w:lang w:val="en-US" w:eastAsia="zh-CN"/>
        </w:rPr>
        <w:t xml:space="preserve">Additional demo videos showing relevant price manipulations and signposting, as implemented in the experiment, are available upon request. </w:t>
      </w:r>
    </w:p>
    <w:p w14:paraId="13B38FBB" w14:textId="29196130" w:rsidR="00A41457" w:rsidRPr="006F0EBE" w:rsidRDefault="005C5969" w:rsidP="007B0E00">
      <w:pPr>
        <w:spacing w:after="0"/>
        <w:ind w:firstLine="0"/>
        <w:jc w:val="center"/>
        <w:outlineLvl w:val="2"/>
        <w:rPr>
          <w:rFonts w:eastAsia="SimSun"/>
          <w:bCs/>
          <w:i/>
          <w:lang w:val="en-US" w:eastAsia="zh-CN"/>
        </w:rPr>
      </w:pPr>
      <w:r>
        <w:rPr>
          <w:rFonts w:eastAsia="SimSun"/>
          <w:bCs/>
          <w:i/>
          <w:lang w:val="en-US" w:eastAsia="zh-CN"/>
        </w:rPr>
        <w:t>3.2</w:t>
      </w:r>
      <w:r w:rsidR="00560CE4" w:rsidRPr="006F0EBE">
        <w:rPr>
          <w:rFonts w:eastAsia="SimSun"/>
          <w:bCs/>
          <w:i/>
          <w:lang w:val="en-US" w:eastAsia="zh-CN"/>
        </w:rPr>
        <w:t xml:space="preserve"> </w:t>
      </w:r>
      <w:r w:rsidR="00A41457" w:rsidRPr="006F0EBE">
        <w:rPr>
          <w:rFonts w:eastAsia="SimSun"/>
          <w:bCs/>
          <w:i/>
          <w:lang w:val="en-US" w:eastAsia="zh-CN"/>
        </w:rPr>
        <w:t>Product categories and healthfulness classification</w:t>
      </w:r>
    </w:p>
    <w:p w14:paraId="6A9DC3DC" w14:textId="68659861" w:rsidR="00A41457" w:rsidRPr="006F0EBE" w:rsidRDefault="00C324E5" w:rsidP="007B0E00">
      <w:pPr>
        <w:spacing w:after="0"/>
        <w:rPr>
          <w:rFonts w:eastAsia="SimSun"/>
          <w:lang w:val="en-US" w:eastAsia="zh-CN"/>
        </w:rPr>
      </w:pPr>
      <w:r w:rsidRPr="006F0EBE">
        <w:rPr>
          <w:rFonts w:eastAsia="SimSun"/>
          <w:lang w:val="en-US" w:eastAsia="zh-CN"/>
        </w:rPr>
        <w:t>As noted, w</w:t>
      </w:r>
      <w:r w:rsidR="00A41457" w:rsidRPr="006F0EBE">
        <w:rPr>
          <w:rFonts w:eastAsia="SimSun"/>
          <w:lang w:val="en-US" w:eastAsia="zh-CN"/>
        </w:rPr>
        <w:t>e focus</w:t>
      </w:r>
      <w:r w:rsidR="00B0127E" w:rsidRPr="006F0EBE">
        <w:rPr>
          <w:rFonts w:eastAsia="SimSun"/>
          <w:lang w:val="en-US" w:eastAsia="zh-CN"/>
        </w:rPr>
        <w:t>ed</w:t>
      </w:r>
      <w:r w:rsidR="00A41457" w:rsidRPr="006F0EBE">
        <w:rPr>
          <w:rFonts w:eastAsia="SimSun"/>
          <w:lang w:val="en-US" w:eastAsia="zh-CN"/>
        </w:rPr>
        <w:t xml:space="preserve"> on the following product categories: </w:t>
      </w:r>
      <w:r w:rsidR="00671DB1" w:rsidRPr="006F0EBE">
        <w:rPr>
          <w:rFonts w:eastAsia="SimSun"/>
          <w:lang w:val="en-US" w:eastAsia="zh-CN"/>
        </w:rPr>
        <w:t>(</w:t>
      </w:r>
      <w:proofErr w:type="spellStart"/>
      <w:r w:rsidR="00671DB1" w:rsidRPr="006F0EBE">
        <w:rPr>
          <w:rFonts w:eastAsia="SimSun"/>
          <w:lang w:val="en-US" w:eastAsia="zh-CN"/>
        </w:rPr>
        <w:t>i</w:t>
      </w:r>
      <w:proofErr w:type="spellEnd"/>
      <w:r w:rsidR="00671DB1" w:rsidRPr="006F0EBE">
        <w:rPr>
          <w:rFonts w:eastAsia="SimSun"/>
          <w:lang w:val="en-US" w:eastAsia="zh-CN"/>
        </w:rPr>
        <w:t xml:space="preserve">) </w:t>
      </w:r>
      <w:r w:rsidR="00274F5E" w:rsidRPr="006F0EBE">
        <w:rPr>
          <w:rFonts w:eastAsia="SimSun"/>
          <w:lang w:val="en-US" w:eastAsia="zh-CN"/>
        </w:rPr>
        <w:t>cereals</w:t>
      </w:r>
      <w:r w:rsidR="00E22366" w:rsidRPr="006F0EBE">
        <w:rPr>
          <w:rFonts w:eastAsia="SimSun"/>
          <w:lang w:val="en-US" w:eastAsia="zh-CN"/>
        </w:rPr>
        <w:t>, which include</w:t>
      </w:r>
      <w:r w:rsidR="00B46217" w:rsidRPr="006F0EBE">
        <w:rPr>
          <w:rFonts w:eastAsia="SimSun"/>
          <w:lang w:val="en-US" w:eastAsia="zh-CN"/>
        </w:rPr>
        <w:t>d</w:t>
      </w:r>
      <w:r w:rsidR="00E22366" w:rsidRPr="006F0EBE">
        <w:rPr>
          <w:rFonts w:eastAsia="SimSun"/>
          <w:lang w:val="en-US" w:eastAsia="zh-CN"/>
        </w:rPr>
        <w:t xml:space="preserve"> ready</w:t>
      </w:r>
      <w:r w:rsidR="00B46217" w:rsidRPr="006F0EBE">
        <w:rPr>
          <w:rFonts w:eastAsia="SimSun"/>
          <w:lang w:val="en-US" w:eastAsia="zh-CN"/>
        </w:rPr>
        <w:t>-to-</w:t>
      </w:r>
      <w:r w:rsidR="00E22366" w:rsidRPr="006F0EBE">
        <w:rPr>
          <w:rFonts w:eastAsia="SimSun"/>
          <w:lang w:val="en-US" w:eastAsia="zh-CN"/>
        </w:rPr>
        <w:t xml:space="preserve">eat </w:t>
      </w:r>
      <w:r w:rsidR="00B46217" w:rsidRPr="006F0EBE">
        <w:rPr>
          <w:rFonts w:eastAsia="SimSun"/>
          <w:lang w:val="en-US" w:eastAsia="zh-CN"/>
        </w:rPr>
        <w:t>breakfast cereals, muesli and granola</w:t>
      </w:r>
      <w:r w:rsidR="00A41457" w:rsidRPr="006F0EBE">
        <w:rPr>
          <w:rFonts w:eastAsia="SimSun"/>
          <w:lang w:val="en-US" w:eastAsia="zh-CN"/>
        </w:rPr>
        <w:t xml:space="preserve"> and </w:t>
      </w:r>
      <w:r w:rsidR="00671DB1" w:rsidRPr="006F0EBE">
        <w:rPr>
          <w:rFonts w:eastAsia="SimSun"/>
          <w:lang w:val="en-US" w:eastAsia="zh-CN"/>
        </w:rPr>
        <w:t xml:space="preserve">(ii) </w:t>
      </w:r>
      <w:r w:rsidR="00A41457" w:rsidRPr="006F0EBE">
        <w:rPr>
          <w:rFonts w:eastAsia="SimSun"/>
          <w:lang w:val="en-US" w:eastAsia="zh-CN"/>
        </w:rPr>
        <w:t>soft drinks</w:t>
      </w:r>
      <w:r w:rsidR="002D7E7D" w:rsidRPr="006F0EBE">
        <w:rPr>
          <w:rFonts w:eastAsia="SimSun"/>
          <w:lang w:val="en-US" w:eastAsia="zh-CN"/>
        </w:rPr>
        <w:t xml:space="preserve">, </w:t>
      </w:r>
      <w:r w:rsidR="00A41457" w:rsidRPr="006F0EBE">
        <w:rPr>
          <w:rFonts w:eastAsia="SimSun"/>
          <w:lang w:val="en-US" w:eastAsia="zh-CN"/>
        </w:rPr>
        <w:t>which included sports and energy drinks, waters, juices and fizzy drinks</w:t>
      </w:r>
      <w:r w:rsidR="00AA756E">
        <w:rPr>
          <w:rFonts w:eastAsia="SimSun"/>
          <w:lang w:val="en-US" w:eastAsia="zh-CN"/>
        </w:rPr>
        <w:t>. We exclude</w:t>
      </w:r>
      <w:r w:rsidR="00AA756E" w:rsidRPr="00AA756E">
        <w:rPr>
          <w:rFonts w:eastAsia="SimSun"/>
          <w:lang w:val="en-US" w:eastAsia="zh-CN"/>
        </w:rPr>
        <w:t xml:space="preserve"> fresh milk, fresh fruit juices and </w:t>
      </w:r>
      <w:r w:rsidR="002E5BAD">
        <w:rPr>
          <w:rFonts w:eastAsia="SimSun"/>
          <w:lang w:val="en-US" w:eastAsia="zh-CN"/>
        </w:rPr>
        <w:t xml:space="preserve">similar products on the grounds of </w:t>
      </w:r>
      <w:r w:rsidR="00AA756E" w:rsidRPr="00AA756E">
        <w:rPr>
          <w:rFonts w:eastAsia="SimSun"/>
          <w:lang w:val="en-US" w:eastAsia="zh-CN"/>
        </w:rPr>
        <w:t>their perishability and the risk of problems associated with delivery</w:t>
      </w:r>
      <w:r w:rsidRPr="006F0EBE">
        <w:rPr>
          <w:rFonts w:eastAsia="SimSun"/>
          <w:lang w:val="en-US" w:eastAsia="zh-CN"/>
        </w:rPr>
        <w:t>.</w:t>
      </w:r>
      <w:r w:rsidR="00A41457" w:rsidRPr="006F0EBE">
        <w:rPr>
          <w:rFonts w:eastAsia="SimSun"/>
          <w:lang w:val="en-US" w:eastAsia="zh-CN"/>
        </w:rPr>
        <w:t xml:space="preserve"> Products in both the cereal and the soft drinks </w:t>
      </w:r>
      <w:r w:rsidR="00EF49D9" w:rsidRPr="006F0EBE">
        <w:rPr>
          <w:rFonts w:eastAsia="SimSun"/>
          <w:lang w:val="en-US" w:eastAsia="zh-CN"/>
        </w:rPr>
        <w:t xml:space="preserve">categories </w:t>
      </w:r>
      <w:r w:rsidR="00A41457" w:rsidRPr="006F0EBE">
        <w:rPr>
          <w:rFonts w:eastAsia="SimSun"/>
          <w:lang w:val="en-US" w:eastAsia="zh-CN"/>
        </w:rPr>
        <w:t xml:space="preserve">were divided into two groups: healthier and less healthy. We classified products into those groups based on the same criteria used by </w:t>
      </w:r>
      <w:r w:rsidR="00705C2A" w:rsidRPr="006F0EBE">
        <w:rPr>
          <w:rFonts w:eastAsia="SimSun"/>
          <w:lang w:val="en-US" w:eastAsia="zh-CN"/>
        </w:rPr>
        <w:t xml:space="preserve">the </w:t>
      </w:r>
      <w:r w:rsidR="00A41457" w:rsidRPr="006F0EBE">
        <w:rPr>
          <w:rFonts w:eastAsia="SimSun"/>
          <w:lang w:val="en-US" w:eastAsia="zh-CN"/>
        </w:rPr>
        <w:t xml:space="preserve">UK broadcasting regulator </w:t>
      </w:r>
      <w:proofErr w:type="spellStart"/>
      <w:r w:rsidR="00A41457" w:rsidRPr="006F0EBE">
        <w:rPr>
          <w:rFonts w:eastAsia="SimSun"/>
          <w:lang w:val="en-US" w:eastAsia="zh-CN"/>
        </w:rPr>
        <w:t>Ofcom</w:t>
      </w:r>
      <w:proofErr w:type="spellEnd"/>
      <w:r w:rsidR="00A41457" w:rsidRPr="006F0EBE">
        <w:rPr>
          <w:rFonts w:eastAsia="SimSun"/>
          <w:lang w:val="en-US" w:eastAsia="zh-CN"/>
        </w:rPr>
        <w:t xml:space="preserve"> to enforce restrictions of television advertising to children</w:t>
      </w:r>
      <w:r w:rsidR="00CA2D29" w:rsidRPr="006F0EBE">
        <w:rPr>
          <w:rFonts w:eastAsia="SimSun"/>
          <w:lang w:val="en-US" w:eastAsia="zh-CN"/>
        </w:rPr>
        <w:t xml:space="preserve">. Those criteria rely </w:t>
      </w:r>
      <w:r w:rsidR="00A41457" w:rsidRPr="006F0EBE">
        <w:rPr>
          <w:rFonts w:eastAsia="SimSun"/>
          <w:lang w:val="en-US" w:eastAsia="zh-CN"/>
        </w:rPr>
        <w:t>on the UK Food Standards Agency’s nutrient profiling (NP) model (Rayner et al. 2005). An advantage of this method is that it provides a uniﬁed measure of healthiness across all available food and drink products (Nakamura et al</w:t>
      </w:r>
      <w:r w:rsidR="002D7E7D" w:rsidRPr="006F0EBE">
        <w:rPr>
          <w:rFonts w:eastAsia="SimSun"/>
          <w:lang w:val="en-US" w:eastAsia="zh-CN"/>
        </w:rPr>
        <w:t>.</w:t>
      </w:r>
      <w:r w:rsidR="000B4DC4">
        <w:rPr>
          <w:rFonts w:eastAsia="SimSun"/>
          <w:lang w:val="en-US" w:eastAsia="zh-CN"/>
        </w:rPr>
        <w:t>,</w:t>
      </w:r>
      <w:r w:rsidR="00A41457" w:rsidRPr="006F0EBE">
        <w:rPr>
          <w:rFonts w:eastAsia="SimSun"/>
          <w:lang w:val="en-US" w:eastAsia="zh-CN"/>
        </w:rPr>
        <w:t xml:space="preserve"> 2015). The model uses a simple scoring system based on the nutrient content of 100g of a food or drink. The score for each product </w:t>
      </w:r>
      <w:r w:rsidR="002D7E7D" w:rsidRPr="006F0EBE">
        <w:rPr>
          <w:rFonts w:eastAsia="SimSun"/>
          <w:lang w:val="en-US" w:eastAsia="zh-CN"/>
        </w:rPr>
        <w:t xml:space="preserve">is </w:t>
      </w:r>
      <w:r w:rsidR="00A41457" w:rsidRPr="006F0EBE">
        <w:rPr>
          <w:rFonts w:eastAsia="SimSun"/>
          <w:lang w:val="en-US" w:eastAsia="zh-CN"/>
        </w:rPr>
        <w:t xml:space="preserve">based on the energy density, saturated fat, total sugar and sodium and protein contents together with an estimate of the fruit, </w:t>
      </w:r>
      <w:r w:rsidR="00A41457" w:rsidRPr="006F0EBE">
        <w:rPr>
          <w:rFonts w:eastAsia="SimSun"/>
          <w:lang w:val="en-US" w:eastAsia="zh-CN"/>
        </w:rPr>
        <w:lastRenderedPageBreak/>
        <w:t>vegetable, and nut contents. An increase in the NP score reflects a reduction in the healthiness of the product. In order to classify products</w:t>
      </w:r>
      <w:r w:rsidR="00A90DC7" w:rsidRPr="006F0EBE">
        <w:rPr>
          <w:rFonts w:eastAsia="SimSun"/>
          <w:lang w:val="en-US" w:eastAsia="zh-CN"/>
        </w:rPr>
        <w:t>,</w:t>
      </w:r>
      <w:r w:rsidR="00A41457" w:rsidRPr="006F0EBE">
        <w:rPr>
          <w:rFonts w:eastAsia="SimSun"/>
          <w:lang w:val="en-US" w:eastAsia="zh-CN"/>
        </w:rPr>
        <w:t xml:space="preserve"> we followed the same thresholds used by </w:t>
      </w:r>
      <w:proofErr w:type="spellStart"/>
      <w:r w:rsidR="00A41457" w:rsidRPr="006F0EBE">
        <w:rPr>
          <w:rFonts w:eastAsia="SimSun"/>
          <w:lang w:val="en-US" w:eastAsia="zh-CN"/>
        </w:rPr>
        <w:t>Ofcom</w:t>
      </w:r>
      <w:proofErr w:type="spellEnd"/>
      <w:r w:rsidR="00A41457" w:rsidRPr="006F0EBE">
        <w:rPr>
          <w:rFonts w:eastAsia="SimSun"/>
          <w:lang w:val="en-US" w:eastAsia="zh-CN"/>
        </w:rPr>
        <w:t xml:space="preserve"> to regulate food and drinks advertisement to children, that is, foods scoring 4 or more and drinks scoring 1 or more are defined as less healthy, and those scoring less are defined as healthier.</w:t>
      </w:r>
      <w:r w:rsidR="004E7CDE" w:rsidRPr="006F0EBE">
        <w:rPr>
          <w:rFonts w:eastAsia="SimSun"/>
          <w:vertAlign w:val="superscript"/>
          <w:lang w:val="en-US" w:eastAsia="zh-CN"/>
        </w:rPr>
        <w:footnoteReference w:id="3"/>
      </w:r>
      <w:r w:rsidR="00A41457" w:rsidRPr="006F0EBE">
        <w:rPr>
          <w:rFonts w:eastAsia="SimSun"/>
          <w:lang w:val="en-US" w:eastAsia="zh-CN"/>
        </w:rPr>
        <w:t xml:space="preserve"> </w:t>
      </w:r>
      <w:proofErr w:type="spellStart"/>
      <w:r w:rsidR="002D7E7D" w:rsidRPr="006F0EBE">
        <w:rPr>
          <w:rFonts w:eastAsia="SimSun"/>
          <w:lang w:val="en-US" w:eastAsia="zh-CN"/>
        </w:rPr>
        <w:t>Lobstein</w:t>
      </w:r>
      <w:proofErr w:type="spellEnd"/>
      <w:r w:rsidR="002D7E7D" w:rsidRPr="006F0EBE">
        <w:rPr>
          <w:rFonts w:eastAsia="SimSun"/>
          <w:lang w:val="en-US" w:eastAsia="zh-CN"/>
        </w:rPr>
        <w:t xml:space="preserve"> and Davies (2009) </w:t>
      </w:r>
      <w:r w:rsidR="00CA2D29" w:rsidRPr="006F0EBE">
        <w:rPr>
          <w:rFonts w:eastAsia="SimSun"/>
          <w:lang w:val="en-US" w:eastAsia="zh-CN"/>
        </w:rPr>
        <w:t xml:space="preserve">offer </w:t>
      </w:r>
      <w:r w:rsidR="002D7E7D" w:rsidRPr="006F0EBE">
        <w:rPr>
          <w:rFonts w:eastAsia="SimSun"/>
          <w:lang w:val="en-US" w:eastAsia="zh-CN"/>
        </w:rPr>
        <w:t>a</w:t>
      </w:r>
      <w:r w:rsidR="00A41457" w:rsidRPr="006F0EBE">
        <w:rPr>
          <w:rFonts w:eastAsia="SimSun"/>
          <w:lang w:val="en-US" w:eastAsia="zh-CN"/>
        </w:rPr>
        <w:t xml:space="preserve"> comprehensive discussion on nutrient profiling models for public health policy purposes</w:t>
      </w:r>
      <w:r w:rsidR="002D7E7D" w:rsidRPr="006F0EBE">
        <w:rPr>
          <w:rFonts w:eastAsia="SimSun"/>
          <w:lang w:val="en-US" w:eastAsia="zh-CN"/>
        </w:rPr>
        <w:t>.</w:t>
      </w:r>
    </w:p>
    <w:p w14:paraId="416FC156" w14:textId="47AEC9F4" w:rsidR="00A41457" w:rsidRPr="006F0EBE" w:rsidRDefault="005C5969" w:rsidP="007B0E00">
      <w:pPr>
        <w:spacing w:after="0"/>
        <w:ind w:firstLine="0"/>
        <w:jc w:val="center"/>
        <w:outlineLvl w:val="2"/>
        <w:rPr>
          <w:rFonts w:eastAsia="SimSun"/>
          <w:bCs/>
          <w:i/>
          <w:lang w:val="en-US" w:eastAsia="zh-CN"/>
        </w:rPr>
      </w:pPr>
      <w:r>
        <w:rPr>
          <w:rFonts w:eastAsia="SimSun"/>
          <w:bCs/>
          <w:i/>
          <w:lang w:val="en-US" w:eastAsia="zh-CN"/>
        </w:rPr>
        <w:t>3.3</w:t>
      </w:r>
      <w:r w:rsidR="00A41457" w:rsidRPr="006F0EBE">
        <w:rPr>
          <w:rFonts w:eastAsia="SimSun"/>
          <w:bCs/>
          <w:i/>
          <w:lang w:val="en-US" w:eastAsia="zh-CN"/>
        </w:rPr>
        <w:t xml:space="preserve"> Design</w:t>
      </w:r>
    </w:p>
    <w:p w14:paraId="7758E817" w14:textId="350056A0" w:rsidR="00A41457" w:rsidRPr="006F0EBE" w:rsidRDefault="00A41457" w:rsidP="007B0E00">
      <w:pPr>
        <w:spacing w:after="0"/>
        <w:rPr>
          <w:rFonts w:eastAsia="SimSun"/>
          <w:lang w:val="en-US" w:eastAsia="zh-CN"/>
        </w:rPr>
      </w:pPr>
      <w:r w:rsidRPr="006F0EBE">
        <w:rPr>
          <w:rFonts w:eastAsia="SimSun"/>
          <w:lang w:val="en-US" w:eastAsia="zh-CN"/>
        </w:rPr>
        <w:t>Participants had a budget (</w:t>
      </w:r>
      <w:r w:rsidR="009314A9" w:rsidRPr="006F0EBE">
        <w:rPr>
          <w:rFonts w:eastAsia="SimSun"/>
          <w:lang w:val="en-US" w:eastAsia="zh-CN"/>
        </w:rPr>
        <w:t xml:space="preserve">U.K. </w:t>
      </w:r>
      <w:r w:rsidRPr="006F0EBE">
        <w:rPr>
          <w:rFonts w:eastAsia="SimSun"/>
          <w:lang w:val="en-US" w:eastAsia="zh-CN"/>
        </w:rPr>
        <w:t>£10) and undertook a series of online shopping tasks.</w:t>
      </w:r>
      <w:r w:rsidR="00713BCC" w:rsidRPr="006F0EBE">
        <w:rPr>
          <w:rStyle w:val="FootnoteReference"/>
          <w:rFonts w:eastAsia="SimSun"/>
          <w:sz w:val="22"/>
          <w:szCs w:val="22"/>
          <w:lang w:val="en-US" w:eastAsia="zh-CN"/>
        </w:rPr>
        <w:footnoteReference w:id="4"/>
      </w:r>
      <w:r w:rsidRPr="006F0EBE">
        <w:rPr>
          <w:rFonts w:eastAsia="SimSun"/>
          <w:lang w:val="en-US" w:eastAsia="zh-CN"/>
        </w:rPr>
        <w:t xml:space="preserve"> In each shopping task, items from only one product category (either </w:t>
      </w:r>
      <w:r w:rsidR="00274F5E" w:rsidRPr="006F0EBE">
        <w:rPr>
          <w:rFonts w:eastAsia="SimSun"/>
          <w:lang w:val="en-US" w:eastAsia="zh-CN"/>
        </w:rPr>
        <w:t>cereals</w:t>
      </w:r>
      <w:r w:rsidRPr="006F0EBE">
        <w:rPr>
          <w:rFonts w:eastAsia="SimSun"/>
          <w:lang w:val="en-US" w:eastAsia="zh-CN"/>
        </w:rPr>
        <w:t xml:space="preserve"> or soft drinks) were available for purchase. In the baseline tasks, one for each product category, item prices were matched with Tesco.com prices</w:t>
      </w:r>
      <w:r w:rsidR="00FB18CD" w:rsidRPr="006F0EBE">
        <w:rPr>
          <w:rFonts w:eastAsia="SimSun"/>
          <w:lang w:val="en-US" w:eastAsia="zh-CN"/>
        </w:rPr>
        <w:t xml:space="preserve"> (excluding promotions)</w:t>
      </w:r>
      <w:r w:rsidR="002D7E7D" w:rsidRPr="006F0EBE">
        <w:rPr>
          <w:rFonts w:eastAsia="SimSun"/>
          <w:lang w:val="en-US" w:eastAsia="zh-CN"/>
        </w:rPr>
        <w:t>.</w:t>
      </w:r>
      <w:r w:rsidRPr="006F0EBE">
        <w:rPr>
          <w:rFonts w:eastAsia="SimSun"/>
          <w:lang w:val="en-US" w:eastAsia="zh-CN"/>
        </w:rPr>
        <w:t xml:space="preserve"> In the intervention tasks, the prices of </w:t>
      </w:r>
      <w:r w:rsidR="004F5DB5">
        <w:rPr>
          <w:rFonts w:eastAsia="SimSun"/>
          <w:lang w:val="en-US" w:eastAsia="zh-CN"/>
        </w:rPr>
        <w:t xml:space="preserve">either </w:t>
      </w:r>
      <w:r w:rsidRPr="006F0EBE">
        <w:rPr>
          <w:rFonts w:eastAsia="SimSun"/>
          <w:lang w:val="en-US" w:eastAsia="zh-CN"/>
        </w:rPr>
        <w:t>less healthy (healthier) products were taxed by either 20% or 40%, while the prices of the healthier</w:t>
      </w:r>
      <w:r w:rsidR="002D7E7D" w:rsidRPr="006F0EBE">
        <w:rPr>
          <w:rFonts w:eastAsia="SimSun"/>
          <w:lang w:val="en-US" w:eastAsia="zh-CN"/>
        </w:rPr>
        <w:t xml:space="preserve"> </w:t>
      </w:r>
      <w:r w:rsidRPr="006F0EBE">
        <w:rPr>
          <w:rFonts w:eastAsia="SimSun"/>
          <w:lang w:val="en-US" w:eastAsia="zh-CN"/>
        </w:rPr>
        <w:t>(less healthy) products remained at the baseline level. Th</w:t>
      </w:r>
      <w:r w:rsidR="002D7E7D" w:rsidRPr="006F0EBE">
        <w:rPr>
          <w:rFonts w:eastAsia="SimSun"/>
          <w:lang w:val="en-US" w:eastAsia="zh-CN"/>
        </w:rPr>
        <w:t>is</w:t>
      </w:r>
      <w:r w:rsidRPr="006F0EBE">
        <w:rPr>
          <w:rFonts w:eastAsia="SimSun"/>
          <w:lang w:val="en-US" w:eastAsia="zh-CN"/>
        </w:rPr>
        <w:t xml:space="preserve"> results in a total of ten shopping tasks</w:t>
      </w:r>
      <w:r w:rsidR="002D7E7D" w:rsidRPr="006F0EBE">
        <w:rPr>
          <w:rFonts w:eastAsia="SimSun"/>
          <w:lang w:val="en-US" w:eastAsia="zh-CN"/>
        </w:rPr>
        <w:t>,</w:t>
      </w:r>
      <w:r w:rsidRPr="006F0EBE">
        <w:rPr>
          <w:rFonts w:eastAsia="SimSun"/>
          <w:lang w:val="en-US" w:eastAsia="zh-CN"/>
        </w:rPr>
        <w:t xml:space="preserve"> five for each product category</w:t>
      </w:r>
      <w:r w:rsidR="003A2D6C">
        <w:rPr>
          <w:rFonts w:eastAsia="SimSun"/>
          <w:lang w:val="en-US" w:eastAsia="zh-CN"/>
        </w:rPr>
        <w:t>,</w:t>
      </w:r>
      <w:r w:rsidR="004F5DB5">
        <w:rPr>
          <w:rFonts w:eastAsia="SimSun"/>
          <w:lang w:val="en-US" w:eastAsia="zh-CN"/>
        </w:rPr>
        <w:t xml:space="preserve"> namely:</w:t>
      </w:r>
      <w:r w:rsidR="003A2D6C">
        <w:rPr>
          <w:rFonts w:eastAsia="SimSun"/>
          <w:lang w:val="en-US" w:eastAsia="zh-CN"/>
        </w:rPr>
        <w:t xml:space="preserve"> </w:t>
      </w:r>
      <w:r w:rsidR="004F5DB5">
        <w:rPr>
          <w:rFonts w:eastAsia="SimSun"/>
          <w:lang w:val="en-US" w:eastAsia="zh-CN"/>
        </w:rPr>
        <w:t>(</w:t>
      </w:r>
      <w:proofErr w:type="spellStart"/>
      <w:r w:rsidR="004F5DB5">
        <w:rPr>
          <w:rFonts w:eastAsia="SimSun"/>
          <w:lang w:val="en-US" w:eastAsia="zh-CN"/>
        </w:rPr>
        <w:t>i</w:t>
      </w:r>
      <w:proofErr w:type="spellEnd"/>
      <w:r w:rsidR="004F5DB5">
        <w:rPr>
          <w:rFonts w:eastAsia="SimSun"/>
          <w:lang w:val="en-US" w:eastAsia="zh-CN"/>
        </w:rPr>
        <w:t xml:space="preserve">) </w:t>
      </w:r>
      <w:r w:rsidR="004F5DB5" w:rsidRPr="004F5DB5">
        <w:rPr>
          <w:rFonts w:eastAsia="SimSun"/>
          <w:lang w:val="en-US" w:eastAsia="zh-CN"/>
        </w:rPr>
        <w:t xml:space="preserve">baseline prices, </w:t>
      </w:r>
      <w:r w:rsidR="004F5DB5">
        <w:rPr>
          <w:rFonts w:eastAsia="SimSun"/>
          <w:lang w:val="en-US" w:eastAsia="zh-CN"/>
        </w:rPr>
        <w:t xml:space="preserve">(ii) </w:t>
      </w:r>
      <w:r w:rsidR="004F5DB5" w:rsidRPr="004F5DB5">
        <w:rPr>
          <w:rFonts w:eastAsia="SimSun"/>
          <w:lang w:val="en-US" w:eastAsia="zh-CN"/>
        </w:rPr>
        <w:t xml:space="preserve">20% tax on less healthy products, </w:t>
      </w:r>
      <w:r w:rsidR="004F5DB5">
        <w:rPr>
          <w:rFonts w:eastAsia="SimSun"/>
          <w:lang w:val="en-US" w:eastAsia="zh-CN"/>
        </w:rPr>
        <w:t xml:space="preserve">(iii) </w:t>
      </w:r>
      <w:r w:rsidR="004F5DB5" w:rsidRPr="004F5DB5">
        <w:rPr>
          <w:rFonts w:eastAsia="SimSun"/>
          <w:lang w:val="en-US" w:eastAsia="zh-CN"/>
        </w:rPr>
        <w:t xml:space="preserve">40% tax on less healthy products, </w:t>
      </w:r>
      <w:r w:rsidR="004F5DB5">
        <w:rPr>
          <w:rFonts w:eastAsia="SimSun"/>
          <w:lang w:val="en-US" w:eastAsia="zh-CN"/>
        </w:rPr>
        <w:t xml:space="preserve">(iv) </w:t>
      </w:r>
      <w:r w:rsidR="004F5DB5" w:rsidRPr="004F5DB5">
        <w:rPr>
          <w:rFonts w:eastAsia="SimSun"/>
          <w:lang w:val="en-US" w:eastAsia="zh-CN"/>
        </w:rPr>
        <w:t>20% tax on healthier products</w:t>
      </w:r>
      <w:r w:rsidR="004F5DB5">
        <w:rPr>
          <w:rFonts w:eastAsia="SimSun"/>
          <w:lang w:val="en-US" w:eastAsia="zh-CN"/>
        </w:rPr>
        <w:t>,</w:t>
      </w:r>
      <w:r w:rsidR="004F5DB5" w:rsidRPr="004F5DB5">
        <w:rPr>
          <w:rFonts w:eastAsia="SimSun"/>
          <w:lang w:val="en-US" w:eastAsia="zh-CN"/>
        </w:rPr>
        <w:t xml:space="preserve"> and </w:t>
      </w:r>
      <w:r w:rsidR="004F5DB5">
        <w:rPr>
          <w:rFonts w:eastAsia="SimSun"/>
          <w:lang w:val="en-US" w:eastAsia="zh-CN"/>
        </w:rPr>
        <w:t xml:space="preserve">(v) </w:t>
      </w:r>
      <w:r w:rsidR="004F5DB5" w:rsidRPr="004F5DB5">
        <w:rPr>
          <w:rFonts w:eastAsia="SimSun"/>
          <w:lang w:val="en-US" w:eastAsia="zh-CN"/>
        </w:rPr>
        <w:t>40% tax on healthier products</w:t>
      </w:r>
      <w:r w:rsidRPr="006F0EBE">
        <w:rPr>
          <w:rFonts w:eastAsia="SimSun"/>
          <w:lang w:val="en-US" w:eastAsia="zh-CN"/>
        </w:rPr>
        <w:t xml:space="preserve">. These price interventions allowed us to estimate the </w:t>
      </w:r>
      <w:r w:rsidR="00C50492">
        <w:rPr>
          <w:rFonts w:eastAsia="SimSun"/>
          <w:lang w:val="en-US" w:eastAsia="zh-CN"/>
        </w:rPr>
        <w:t>effect of our price interventions</w:t>
      </w:r>
      <w:r w:rsidRPr="006F0EBE">
        <w:rPr>
          <w:rFonts w:eastAsia="SimSun"/>
          <w:lang w:val="en-US" w:eastAsia="zh-CN"/>
        </w:rPr>
        <w:t xml:space="preserve"> within each product category. </w:t>
      </w:r>
      <w:r w:rsidR="00671812" w:rsidRPr="006F0EBE">
        <w:rPr>
          <w:rFonts w:eastAsia="SimSun"/>
          <w:lang w:val="en-US" w:eastAsia="zh-CN"/>
        </w:rPr>
        <w:t>While only the case of taxes on the less healthy products is of direct policy interest</w:t>
      </w:r>
      <w:r w:rsidR="00CF7C3C">
        <w:rPr>
          <w:rFonts w:eastAsia="SimSun"/>
          <w:lang w:val="en-US" w:eastAsia="zh-CN"/>
        </w:rPr>
        <w:t xml:space="preserve"> and of interest in this paper</w:t>
      </w:r>
      <w:r w:rsidR="00671812" w:rsidRPr="006F0EBE">
        <w:rPr>
          <w:rFonts w:eastAsia="SimSun"/>
          <w:lang w:val="en-US" w:eastAsia="zh-CN"/>
        </w:rPr>
        <w:t xml:space="preserve">, we decided to be symmetrical between the two cases in order to avoid </w:t>
      </w:r>
      <w:r w:rsidR="00671812" w:rsidRPr="006F0EBE">
        <w:rPr>
          <w:rFonts w:eastAsia="SimSun"/>
          <w:lang w:val="en-US" w:eastAsia="zh-CN"/>
        </w:rPr>
        <w:lastRenderedPageBreak/>
        <w:t xml:space="preserve">making </w:t>
      </w:r>
      <w:r w:rsidR="00705C2A" w:rsidRPr="006F0EBE">
        <w:rPr>
          <w:rFonts w:eastAsia="SimSun"/>
          <w:lang w:val="en-US" w:eastAsia="zh-CN"/>
        </w:rPr>
        <w:t xml:space="preserve">overly transparent </w:t>
      </w:r>
      <w:r w:rsidR="00671812" w:rsidRPr="006F0EBE">
        <w:rPr>
          <w:rFonts w:eastAsia="SimSun"/>
          <w:lang w:val="en-US" w:eastAsia="zh-CN"/>
        </w:rPr>
        <w:t xml:space="preserve">what the experiment </w:t>
      </w:r>
      <w:r w:rsidR="00FD48F5" w:rsidRPr="006F0EBE">
        <w:rPr>
          <w:rFonts w:eastAsia="SimSun"/>
          <w:lang w:val="en-US" w:eastAsia="zh-CN"/>
        </w:rPr>
        <w:t>is about</w:t>
      </w:r>
      <w:r w:rsidR="00671812" w:rsidRPr="006F0EBE">
        <w:rPr>
          <w:rFonts w:eastAsia="SimSun"/>
          <w:lang w:val="en-US" w:eastAsia="zh-CN"/>
        </w:rPr>
        <w:t>, and therefore to reduce the likelihood of experimenter demand effects (Zizzo</w:t>
      </w:r>
      <w:r w:rsidR="000B4DC4">
        <w:rPr>
          <w:rFonts w:eastAsia="SimSun"/>
          <w:lang w:val="en-US" w:eastAsia="zh-CN"/>
        </w:rPr>
        <w:t>,</w:t>
      </w:r>
      <w:r w:rsidR="00671812" w:rsidRPr="006F0EBE">
        <w:rPr>
          <w:rFonts w:eastAsia="SimSun"/>
          <w:lang w:val="en-US" w:eastAsia="zh-CN"/>
        </w:rPr>
        <w:t xml:space="preserve"> 2010). </w:t>
      </w:r>
    </w:p>
    <w:p w14:paraId="12A1F054" w14:textId="736FE98D" w:rsidR="0004335D" w:rsidRDefault="00A41457" w:rsidP="0004335D">
      <w:pPr>
        <w:spacing w:after="0"/>
        <w:rPr>
          <w:rFonts w:eastAsia="SimSun"/>
          <w:lang w:val="en-US" w:eastAsia="zh-CN"/>
        </w:rPr>
      </w:pPr>
      <w:r w:rsidRPr="006F0EBE">
        <w:rPr>
          <w:rFonts w:eastAsia="SimSun"/>
          <w:lang w:val="en-US" w:eastAsia="zh-CN"/>
        </w:rPr>
        <w:t xml:space="preserve">In addition, participants were randomly allocated to one of the following treatments: </w:t>
      </w:r>
      <w:r w:rsidRPr="006F0EBE">
        <w:rPr>
          <w:rFonts w:eastAsia="SimSun"/>
          <w:i/>
          <w:lang w:val="en-US" w:eastAsia="zh-CN"/>
        </w:rPr>
        <w:t xml:space="preserve">Signposted </w:t>
      </w:r>
      <w:r w:rsidRPr="006F0EBE">
        <w:rPr>
          <w:rFonts w:eastAsia="SimSun"/>
          <w:lang w:val="en-US" w:eastAsia="zh-CN"/>
        </w:rPr>
        <w:t xml:space="preserve">tax and </w:t>
      </w:r>
      <w:r w:rsidRPr="006F0EBE">
        <w:rPr>
          <w:rFonts w:eastAsia="SimSun"/>
          <w:i/>
          <w:lang w:val="en-US" w:eastAsia="zh-CN"/>
        </w:rPr>
        <w:t xml:space="preserve">Not </w:t>
      </w:r>
      <w:r w:rsidR="00671812" w:rsidRPr="006F0EBE">
        <w:rPr>
          <w:rFonts w:eastAsia="SimSun"/>
          <w:i/>
          <w:lang w:val="en-US" w:eastAsia="zh-CN"/>
        </w:rPr>
        <w:t xml:space="preserve">Signposted </w:t>
      </w:r>
      <w:r w:rsidRPr="006F0EBE">
        <w:rPr>
          <w:rFonts w:eastAsia="SimSun"/>
          <w:lang w:val="en-US" w:eastAsia="zh-CN"/>
        </w:rPr>
        <w:t xml:space="preserve">tax. In the Signposted tax treatment the amount of the price increase is presented separately from the original price and flagged as a tax, whereas in the </w:t>
      </w:r>
      <w:r w:rsidR="00CE0E57" w:rsidRPr="006F0EBE">
        <w:rPr>
          <w:rFonts w:eastAsia="SimSun"/>
          <w:lang w:val="en-US" w:eastAsia="zh-CN"/>
        </w:rPr>
        <w:t>N</w:t>
      </w:r>
      <w:r w:rsidRPr="006F0EBE">
        <w:rPr>
          <w:rFonts w:eastAsia="SimSun"/>
          <w:lang w:val="en-US" w:eastAsia="zh-CN"/>
        </w:rPr>
        <w:t xml:space="preserve">ot </w:t>
      </w:r>
      <w:r w:rsidR="00CE0E57" w:rsidRPr="006F0EBE">
        <w:rPr>
          <w:rFonts w:eastAsia="SimSun"/>
          <w:lang w:val="en-US" w:eastAsia="zh-CN"/>
        </w:rPr>
        <w:t>S</w:t>
      </w:r>
      <w:r w:rsidRPr="006F0EBE">
        <w:rPr>
          <w:rFonts w:eastAsia="SimSun"/>
          <w:lang w:val="en-US" w:eastAsia="zh-CN"/>
        </w:rPr>
        <w:t>ignposted treatment the price increase is kept implicit (only the final price is presented)</w:t>
      </w:r>
      <w:r w:rsidR="0022093E" w:rsidRPr="006F0EBE">
        <w:rPr>
          <w:rFonts w:eastAsia="SimSun"/>
          <w:lang w:val="en-US" w:eastAsia="zh-CN"/>
        </w:rPr>
        <w:t>. Figure 1 shows an example of a 20% tax on a less healthy cereal</w:t>
      </w:r>
      <w:r w:rsidRPr="006F0EBE">
        <w:rPr>
          <w:rFonts w:eastAsia="SimSun"/>
          <w:lang w:val="en-US" w:eastAsia="zh-CN"/>
        </w:rPr>
        <w:t>.</w:t>
      </w:r>
      <w:r w:rsidR="00B04AAC">
        <w:rPr>
          <w:rFonts w:eastAsia="SimSun"/>
          <w:lang w:val="en-US" w:eastAsia="zh-CN"/>
        </w:rPr>
        <w:t xml:space="preserve"> An important distinction between this treatment and previous </w:t>
      </w:r>
      <w:r w:rsidR="0004335D">
        <w:rPr>
          <w:rFonts w:eastAsia="SimSun"/>
          <w:lang w:val="en-US" w:eastAsia="zh-CN"/>
        </w:rPr>
        <w:t>studies</w:t>
      </w:r>
      <w:r w:rsidR="00B04AAC">
        <w:rPr>
          <w:rFonts w:eastAsia="SimSun"/>
          <w:lang w:val="en-US" w:eastAsia="zh-CN"/>
        </w:rPr>
        <w:t xml:space="preserve"> </w:t>
      </w:r>
      <w:r w:rsidR="003746FA">
        <w:rPr>
          <w:rFonts w:eastAsia="SimSun"/>
          <w:lang w:val="en-US" w:eastAsia="zh-CN"/>
        </w:rPr>
        <w:t>such as</w:t>
      </w:r>
      <w:r w:rsidR="00B04AAC">
        <w:rPr>
          <w:rFonts w:eastAsia="SimSun"/>
          <w:lang w:val="en-US" w:eastAsia="zh-CN"/>
        </w:rPr>
        <w:t xml:space="preserve"> Chetty et al. </w:t>
      </w:r>
      <w:r w:rsidR="00E24DC6">
        <w:rPr>
          <w:rFonts w:eastAsia="SimSun"/>
          <w:lang w:val="en-US" w:eastAsia="zh-CN"/>
        </w:rPr>
        <w:t>(</w:t>
      </w:r>
      <w:r w:rsidR="00B04AAC">
        <w:rPr>
          <w:rFonts w:eastAsia="SimSun"/>
          <w:lang w:val="en-US" w:eastAsia="zh-CN"/>
        </w:rPr>
        <w:t>2009</w:t>
      </w:r>
      <w:r w:rsidR="00E24DC6">
        <w:rPr>
          <w:rFonts w:eastAsia="SimSun"/>
          <w:lang w:val="en-US" w:eastAsia="zh-CN"/>
        </w:rPr>
        <w:t>)</w:t>
      </w:r>
      <w:r w:rsidR="00B04AAC">
        <w:rPr>
          <w:rFonts w:eastAsia="SimSun"/>
          <w:lang w:val="en-US" w:eastAsia="zh-CN"/>
        </w:rPr>
        <w:t xml:space="preserve"> is that</w:t>
      </w:r>
      <w:r w:rsidR="0004335D">
        <w:rPr>
          <w:rFonts w:eastAsia="SimSun"/>
          <w:lang w:val="en-US" w:eastAsia="zh-CN"/>
        </w:rPr>
        <w:t xml:space="preserve"> in our study the participants always face tax, signposted or not, at the point of choice, whereas in other studies consumers only face tax at the cashier in a non-salient condition (but they see tax in the price tag in a salient condition).   </w:t>
      </w:r>
    </w:p>
    <w:p w14:paraId="28CCB11E" w14:textId="5EB2B3CA" w:rsidR="00A41457" w:rsidRPr="006F0EBE" w:rsidRDefault="00A41457" w:rsidP="007B0E00">
      <w:pPr>
        <w:spacing w:after="0"/>
        <w:rPr>
          <w:rFonts w:eastAsia="SimSun"/>
          <w:lang w:val="en-US" w:eastAsia="zh-CN"/>
        </w:rPr>
      </w:pPr>
      <w:r w:rsidRPr="006F0EBE">
        <w:rPr>
          <w:rFonts w:eastAsia="SimSun"/>
          <w:lang w:val="en-US" w:eastAsia="zh-CN"/>
        </w:rPr>
        <w:t xml:space="preserve">The price </w:t>
      </w:r>
      <w:r w:rsidR="00BE15BC">
        <w:rPr>
          <w:rFonts w:eastAsia="SimSun"/>
          <w:lang w:val="en-US" w:eastAsia="zh-CN"/>
        </w:rPr>
        <w:t>intervention</w:t>
      </w:r>
      <w:r w:rsidR="00BE15BC" w:rsidRPr="006F0EBE">
        <w:rPr>
          <w:rFonts w:eastAsia="SimSun"/>
          <w:lang w:val="en-US" w:eastAsia="zh-CN"/>
        </w:rPr>
        <w:t xml:space="preserve"> </w:t>
      </w:r>
      <w:r w:rsidRPr="006F0EBE">
        <w:rPr>
          <w:rFonts w:eastAsia="SimSun"/>
          <w:lang w:val="en-US" w:eastAsia="zh-CN"/>
        </w:rPr>
        <w:t xml:space="preserve">was a within-subject </w:t>
      </w:r>
      <w:r w:rsidR="00BE15BC">
        <w:rPr>
          <w:rFonts w:eastAsia="SimSun"/>
          <w:lang w:val="en-US" w:eastAsia="zh-CN"/>
        </w:rPr>
        <w:t>manipulation</w:t>
      </w:r>
      <w:r w:rsidR="00BE15BC" w:rsidRPr="006F0EBE">
        <w:rPr>
          <w:rFonts w:eastAsia="SimSun"/>
          <w:lang w:val="en-US" w:eastAsia="zh-CN"/>
        </w:rPr>
        <w:t xml:space="preserve"> </w:t>
      </w:r>
      <w:r w:rsidRPr="006F0EBE">
        <w:rPr>
          <w:rFonts w:eastAsia="SimSun"/>
          <w:lang w:val="en-US" w:eastAsia="zh-CN"/>
        </w:rPr>
        <w:t xml:space="preserve">while </w:t>
      </w:r>
      <w:r w:rsidR="00632D54" w:rsidRPr="006F0EBE">
        <w:rPr>
          <w:rFonts w:eastAsia="SimSun"/>
          <w:lang w:val="en-US" w:eastAsia="zh-CN"/>
        </w:rPr>
        <w:t xml:space="preserve">the </w:t>
      </w:r>
      <w:r w:rsidR="00E740F2" w:rsidRPr="006F0EBE">
        <w:rPr>
          <w:rFonts w:eastAsia="SimSun"/>
          <w:lang w:val="en-US" w:eastAsia="zh-CN"/>
        </w:rPr>
        <w:t>signpost</w:t>
      </w:r>
      <w:r w:rsidRPr="006F0EBE">
        <w:rPr>
          <w:rFonts w:eastAsia="SimSun"/>
          <w:lang w:val="en-US" w:eastAsia="zh-CN"/>
        </w:rPr>
        <w:t>ing</w:t>
      </w:r>
      <w:r w:rsidR="00632D54" w:rsidRPr="006F0EBE">
        <w:rPr>
          <w:rFonts w:eastAsia="SimSun"/>
          <w:lang w:val="en-US" w:eastAsia="zh-CN"/>
        </w:rPr>
        <w:t xml:space="preserve"> </w:t>
      </w:r>
      <w:r w:rsidR="00BE15BC">
        <w:rPr>
          <w:rFonts w:eastAsia="SimSun"/>
          <w:lang w:val="en-US" w:eastAsia="zh-CN"/>
        </w:rPr>
        <w:t>intervention</w:t>
      </w:r>
      <w:r w:rsidR="00BE15BC" w:rsidRPr="006F0EBE">
        <w:rPr>
          <w:rFonts w:eastAsia="SimSun"/>
          <w:lang w:val="en-US" w:eastAsia="zh-CN"/>
        </w:rPr>
        <w:t xml:space="preserve"> </w:t>
      </w:r>
      <w:r w:rsidR="00BE15BC">
        <w:rPr>
          <w:rFonts w:eastAsia="SimSun"/>
          <w:lang w:val="en-US" w:eastAsia="zh-CN"/>
        </w:rPr>
        <w:t xml:space="preserve">was done between-subjects, with 500 subjects </w:t>
      </w:r>
      <w:r w:rsidR="00715B63">
        <w:rPr>
          <w:rFonts w:eastAsia="SimSun"/>
          <w:lang w:val="en-US" w:eastAsia="zh-CN"/>
        </w:rPr>
        <w:t xml:space="preserve">in </w:t>
      </w:r>
      <w:r w:rsidR="00BE15BC">
        <w:rPr>
          <w:rFonts w:eastAsia="SimSun"/>
          <w:lang w:val="en-US" w:eastAsia="zh-CN"/>
        </w:rPr>
        <w:t xml:space="preserve">each </w:t>
      </w:r>
      <w:r w:rsidR="00BE15BC" w:rsidRPr="006F0EBE">
        <w:rPr>
          <w:rFonts w:eastAsia="SimSun"/>
          <w:lang w:val="en-US" w:eastAsia="zh-CN"/>
        </w:rPr>
        <w:t>category</w:t>
      </w:r>
      <w:r w:rsidR="00BE15BC">
        <w:rPr>
          <w:rFonts w:eastAsia="SimSun"/>
          <w:lang w:val="en-US" w:eastAsia="zh-CN"/>
        </w:rPr>
        <w:t xml:space="preserve"> (with the number of observations within each product category being equal to 500 subjects x 5 tasks)</w:t>
      </w:r>
      <w:r w:rsidRPr="006F0EBE">
        <w:rPr>
          <w:rFonts w:eastAsia="SimSun"/>
          <w:lang w:val="en-US" w:eastAsia="zh-CN"/>
        </w:rPr>
        <w:t>.</w:t>
      </w:r>
      <w:r w:rsidR="00715B63">
        <w:rPr>
          <w:rStyle w:val="FootnoteReference"/>
          <w:rFonts w:eastAsia="SimSun"/>
          <w:lang w:val="en-US" w:eastAsia="zh-CN"/>
        </w:rPr>
        <w:footnoteReference w:id="5"/>
      </w:r>
      <w:r w:rsidRPr="006F0EBE">
        <w:rPr>
          <w:rFonts w:eastAsia="SimSun"/>
          <w:lang w:val="en-US" w:eastAsia="zh-CN"/>
        </w:rPr>
        <w:t xml:space="preserve"> </w:t>
      </w:r>
      <w:r w:rsidR="00CE0E57" w:rsidRPr="006F0EBE">
        <w:rPr>
          <w:rFonts w:eastAsia="SimSun"/>
          <w:lang w:val="en-US" w:eastAsia="zh-CN"/>
        </w:rPr>
        <w:t xml:space="preserve">We </w:t>
      </w:r>
      <w:r w:rsidRPr="006F0EBE">
        <w:rPr>
          <w:rFonts w:eastAsia="SimSun"/>
          <w:lang w:val="en-US" w:eastAsia="zh-CN"/>
        </w:rPr>
        <w:t>used a</w:t>
      </w:r>
      <w:r w:rsidR="00CE0E57" w:rsidRPr="006F0EBE">
        <w:rPr>
          <w:rFonts w:eastAsia="SimSun"/>
          <w:lang w:val="en-US" w:eastAsia="zh-CN"/>
        </w:rPr>
        <w:t xml:space="preserve"> standard</w:t>
      </w:r>
      <w:r w:rsidRPr="006F0EBE">
        <w:rPr>
          <w:rFonts w:eastAsia="SimSun"/>
          <w:lang w:val="en-US" w:eastAsia="zh-CN"/>
        </w:rPr>
        <w:t xml:space="preserve"> Random Incentive Mechanism, i.e. once participants complete all shopping tasks one shopping task was randomly selected and played out for real, i.e. participants receive</w:t>
      </w:r>
      <w:r w:rsidR="00CE0E57" w:rsidRPr="006F0EBE">
        <w:rPr>
          <w:rFonts w:eastAsia="SimSun"/>
          <w:lang w:val="en-US" w:eastAsia="zh-CN"/>
        </w:rPr>
        <w:t>d</w:t>
      </w:r>
      <w:r w:rsidRPr="006F0EBE">
        <w:rPr>
          <w:rFonts w:eastAsia="SimSun"/>
          <w:lang w:val="en-US" w:eastAsia="zh-CN"/>
        </w:rPr>
        <w:t xml:space="preserve"> the groceries delivered to their homes and the remainder of the budget was credited to them</w:t>
      </w:r>
      <w:r w:rsidR="00CE0E57" w:rsidRPr="006F0EBE">
        <w:rPr>
          <w:rFonts w:eastAsia="SimSun"/>
          <w:lang w:val="en-US" w:eastAsia="zh-CN"/>
        </w:rPr>
        <w:t xml:space="preserve"> by the survey company (Research Now)</w:t>
      </w:r>
      <w:r w:rsidRPr="006F0EBE">
        <w:rPr>
          <w:rFonts w:eastAsia="SimSun"/>
          <w:lang w:val="en-US" w:eastAsia="zh-CN"/>
        </w:rPr>
        <w:t xml:space="preserve">. </w:t>
      </w:r>
      <w:r w:rsidR="00CE6215" w:rsidRPr="006F0EBE">
        <w:rPr>
          <w:rFonts w:eastAsia="SimSun"/>
          <w:lang w:val="en-US" w:eastAsia="zh-CN"/>
        </w:rPr>
        <w:t>The instructions never referred to taxes as either ‘fat taxes’ or ‘sugar taxes’.</w:t>
      </w:r>
      <w:r w:rsidR="005C4E33" w:rsidRPr="006F0EBE">
        <w:rPr>
          <w:rFonts w:eastAsia="SimSun"/>
          <w:lang w:val="en-US" w:eastAsia="zh-CN"/>
        </w:rPr>
        <w:t xml:space="preserve"> This follows standard experimental methodology, and again helps control for experimenter demand effects particularly in </w:t>
      </w:r>
      <w:r w:rsidR="00DB5CC7">
        <w:rPr>
          <w:rFonts w:eastAsia="SimSun"/>
          <w:lang w:val="en-US" w:eastAsia="zh-CN"/>
        </w:rPr>
        <w:t>an initial</w:t>
      </w:r>
      <w:r w:rsidR="005C4E33" w:rsidRPr="006F0EBE">
        <w:rPr>
          <w:rFonts w:eastAsia="SimSun"/>
          <w:lang w:val="en-US" w:eastAsia="zh-CN"/>
        </w:rPr>
        <w:t xml:space="preserve"> study.</w:t>
      </w:r>
    </w:p>
    <w:p w14:paraId="59885AA2" w14:textId="7B153CBA" w:rsidR="007944C1" w:rsidRPr="006F0EBE" w:rsidRDefault="007944C1" w:rsidP="007B0E00">
      <w:pPr>
        <w:spacing w:after="0"/>
        <w:rPr>
          <w:rFonts w:eastAsia="SimSun"/>
          <w:lang w:val="en-US" w:eastAsia="zh-CN"/>
        </w:rPr>
      </w:pPr>
      <w:r w:rsidRPr="006F0EBE">
        <w:rPr>
          <w:rFonts w:eastAsia="SimSun"/>
          <w:lang w:val="en-US" w:eastAsia="zh-CN"/>
        </w:rPr>
        <w:t>The order in which products appeared on the Woods online supermarket platform was exactly the same within subjects, price manipulations and signposting treatments. This order was pre-determined by the order that Tesco.com had set at the time of the experiment to organize products online (all the information including the order was retrieved from their application-</w:t>
      </w:r>
      <w:r w:rsidRPr="006F0EBE">
        <w:rPr>
          <w:rFonts w:eastAsia="SimSun"/>
          <w:lang w:val="en-US" w:eastAsia="zh-CN"/>
        </w:rPr>
        <w:lastRenderedPageBreak/>
        <w:t>programming interface – API).</w:t>
      </w:r>
      <w:r w:rsidRPr="006F0EBE">
        <w:rPr>
          <w:rStyle w:val="FootnoteReference"/>
          <w:rFonts w:eastAsia="SimSun"/>
          <w:lang w:val="en-US" w:eastAsia="zh-CN"/>
        </w:rPr>
        <w:footnoteReference w:id="6"/>
      </w:r>
      <w:r w:rsidRPr="006F0EBE">
        <w:rPr>
          <w:rFonts w:eastAsia="SimSun"/>
          <w:lang w:val="en-US" w:eastAsia="zh-CN"/>
        </w:rPr>
        <w:t xml:space="preserve"> To minimize order effects, we set</w:t>
      </w:r>
      <w:r w:rsidR="00A267D9">
        <w:rPr>
          <w:rFonts w:eastAsia="SimSun"/>
          <w:lang w:val="en-US" w:eastAsia="zh-CN"/>
        </w:rPr>
        <w:t xml:space="preserve"> </w:t>
      </w:r>
      <w:r w:rsidRPr="006F0EBE">
        <w:rPr>
          <w:rFonts w:eastAsia="SimSun"/>
          <w:lang w:val="en-US" w:eastAsia="zh-CN"/>
        </w:rPr>
        <w:t xml:space="preserve">up each product page to show up to 50 products without having to click “Next page”, </w:t>
      </w:r>
      <w:r w:rsidR="00A267D9">
        <w:rPr>
          <w:rFonts w:eastAsia="SimSun"/>
          <w:lang w:val="en-US" w:eastAsia="zh-CN"/>
        </w:rPr>
        <w:t>and so</w:t>
      </w:r>
      <w:r w:rsidRPr="006F0EBE">
        <w:rPr>
          <w:rFonts w:eastAsia="SimSun"/>
          <w:lang w:val="en-US" w:eastAsia="zh-CN"/>
        </w:rPr>
        <w:t xml:space="preserve"> in one page most of the products belonging to the same sub-category were shown </w:t>
      </w:r>
      <w:r w:rsidR="000B4DC4">
        <w:rPr>
          <w:rFonts w:eastAsia="SimSun"/>
          <w:lang w:val="en-US" w:eastAsia="zh-CN"/>
        </w:rPr>
        <w:t>together</w:t>
      </w:r>
      <w:r w:rsidRPr="006F0EBE">
        <w:rPr>
          <w:rFonts w:eastAsia="SimSun"/>
          <w:lang w:val="en-US" w:eastAsia="zh-CN"/>
        </w:rPr>
        <w:t>. In addition, as in real online retail shopping sites, in our experiment the participants had the possibility of using a search tool located at the top of the webpage to find products or group of products within the range available for that task</w:t>
      </w:r>
      <w:r w:rsidR="000B4DC4">
        <w:rPr>
          <w:rFonts w:eastAsia="SimSun"/>
          <w:lang w:val="en-US" w:eastAsia="zh-CN"/>
        </w:rPr>
        <w:t>.</w:t>
      </w:r>
    </w:p>
    <w:p w14:paraId="4FB3A1FE" w14:textId="77777777" w:rsidR="00A41457" w:rsidRPr="006F0EBE" w:rsidRDefault="00CE0E57" w:rsidP="007B0E00">
      <w:pPr>
        <w:spacing w:after="0"/>
        <w:rPr>
          <w:rFonts w:eastAsia="SimSun"/>
          <w:lang w:val="en-US" w:eastAsia="zh-CN"/>
        </w:rPr>
      </w:pPr>
      <w:r w:rsidRPr="006F0EBE">
        <w:rPr>
          <w:rFonts w:eastAsia="SimSun"/>
          <w:lang w:val="en-US" w:eastAsia="zh-CN"/>
        </w:rPr>
        <w:t>P</w:t>
      </w:r>
      <w:r w:rsidR="00A41457" w:rsidRPr="006F0EBE">
        <w:rPr>
          <w:rFonts w:eastAsia="SimSun"/>
          <w:lang w:val="en-US" w:eastAsia="zh-CN"/>
        </w:rPr>
        <w:t xml:space="preserve">articipants were free to spend as much as desired from their £10 shopping budget, including the option of checking out with an empty basket. We decided to implement this design feature against the option of forcing participants to spend all or at least part of their shopping budget, because the latter would inflate the purchasing data unrealistically and potentially bias the estimation of tax effects. One of the potential negative consequences of this was having a large number of participants checking out with an empty basket. We reduced the risk of this happening by limiting subject eligibility to </w:t>
      </w:r>
      <w:r w:rsidR="00274F5E" w:rsidRPr="006F0EBE">
        <w:rPr>
          <w:rFonts w:eastAsia="SimSun"/>
          <w:lang w:val="en-US" w:eastAsia="zh-CN"/>
        </w:rPr>
        <w:t xml:space="preserve">consumers </w:t>
      </w:r>
      <w:r w:rsidR="00A41457" w:rsidRPr="006F0EBE">
        <w:rPr>
          <w:rFonts w:eastAsia="SimSun"/>
          <w:lang w:val="en-US" w:eastAsia="zh-CN"/>
        </w:rPr>
        <w:t xml:space="preserve">who </w:t>
      </w:r>
      <w:r w:rsidR="00274F5E" w:rsidRPr="006F0EBE">
        <w:rPr>
          <w:rFonts w:eastAsia="SimSun"/>
          <w:lang w:val="en-US" w:eastAsia="zh-CN"/>
        </w:rPr>
        <w:t>bought a product from each of the two target product categories (cereals and soft drinks) at least once in the last month</w:t>
      </w:r>
      <w:r w:rsidRPr="006F0EBE">
        <w:rPr>
          <w:rFonts w:eastAsia="SimSun"/>
          <w:lang w:val="en-US" w:eastAsia="zh-CN"/>
        </w:rPr>
        <w:t>.</w:t>
      </w:r>
    </w:p>
    <w:p w14:paraId="5A8088BC" w14:textId="3D115DD0" w:rsidR="00A41457" w:rsidRPr="006F0EBE" w:rsidRDefault="005C5969" w:rsidP="007B0E00">
      <w:pPr>
        <w:spacing w:after="0"/>
        <w:ind w:firstLine="0"/>
        <w:jc w:val="center"/>
        <w:outlineLvl w:val="2"/>
        <w:rPr>
          <w:rFonts w:eastAsia="SimSun"/>
          <w:bCs/>
          <w:i/>
          <w:lang w:val="en-US" w:eastAsia="zh-CN"/>
        </w:rPr>
      </w:pPr>
      <w:r>
        <w:rPr>
          <w:rFonts w:eastAsia="SimSun"/>
          <w:bCs/>
          <w:i/>
          <w:lang w:val="en-US" w:eastAsia="zh-CN"/>
        </w:rPr>
        <w:t>3.4</w:t>
      </w:r>
      <w:r w:rsidR="00A41457" w:rsidRPr="006F0EBE">
        <w:rPr>
          <w:rFonts w:eastAsia="SimSun"/>
          <w:bCs/>
          <w:i/>
          <w:lang w:val="en-US" w:eastAsia="zh-CN"/>
        </w:rPr>
        <w:t xml:space="preserve"> Participants</w:t>
      </w:r>
    </w:p>
    <w:p w14:paraId="100A7628" w14:textId="75587B13" w:rsidR="00A41457" w:rsidRPr="006F0EBE" w:rsidRDefault="00A41457" w:rsidP="007B0E00">
      <w:pPr>
        <w:spacing w:after="0"/>
        <w:rPr>
          <w:rFonts w:eastAsia="SimSun"/>
          <w:lang w:val="en-US" w:eastAsia="zh-CN"/>
        </w:rPr>
      </w:pPr>
      <w:r w:rsidRPr="006F0EBE">
        <w:rPr>
          <w:lang w:val="en-US"/>
        </w:rPr>
        <w:t xml:space="preserve">A total of 1,000 participants (54.10% female; </w:t>
      </w:r>
      <w:r w:rsidR="00FD48F5" w:rsidRPr="006F0EBE">
        <w:rPr>
          <w:lang w:val="en-US"/>
        </w:rPr>
        <w:t xml:space="preserve">mean </w:t>
      </w:r>
      <w:r w:rsidRPr="006F0EBE">
        <w:rPr>
          <w:lang w:val="en-US"/>
        </w:rPr>
        <w:t>age 46.95, SD=15.9 years; BMI= 26.49, SD=5.28) completed the experiment. All participants were based in the UK and the sample was representative in terms of regions, gender, age ranges and social classification. Participants were recruited via</w:t>
      </w:r>
      <w:r w:rsidR="00BB748C" w:rsidRPr="006F0EBE">
        <w:rPr>
          <w:lang w:val="en-US"/>
        </w:rPr>
        <w:t xml:space="preserve"> Research Now,</w:t>
      </w:r>
      <w:r w:rsidRPr="006F0EBE">
        <w:rPr>
          <w:lang w:val="en-US"/>
        </w:rPr>
        <w:t xml:space="preserve"> a </w:t>
      </w:r>
      <w:r w:rsidR="00BB748C" w:rsidRPr="006F0EBE">
        <w:rPr>
          <w:lang w:val="en-US"/>
        </w:rPr>
        <w:t>market research o</w:t>
      </w:r>
      <w:r w:rsidRPr="006F0EBE">
        <w:rPr>
          <w:lang w:val="en-US"/>
        </w:rPr>
        <w:t xml:space="preserve">nline </w:t>
      </w:r>
      <w:r w:rsidR="00BB748C" w:rsidRPr="006F0EBE">
        <w:rPr>
          <w:lang w:val="en-US"/>
        </w:rPr>
        <w:t>p</w:t>
      </w:r>
      <w:r w:rsidRPr="006F0EBE">
        <w:rPr>
          <w:lang w:val="en-US"/>
        </w:rPr>
        <w:t xml:space="preserve">anel </w:t>
      </w:r>
      <w:r w:rsidR="00BB748C" w:rsidRPr="006F0EBE">
        <w:rPr>
          <w:lang w:val="en-US"/>
        </w:rPr>
        <w:t>c</w:t>
      </w:r>
      <w:r w:rsidRPr="006F0EBE">
        <w:rPr>
          <w:lang w:val="en-US"/>
        </w:rPr>
        <w:t>ompany</w:t>
      </w:r>
      <w:r w:rsidR="00BB748C" w:rsidRPr="006F0EBE">
        <w:rPr>
          <w:lang w:val="en-US"/>
        </w:rPr>
        <w:t xml:space="preserve"> </w:t>
      </w:r>
      <w:r w:rsidRPr="006F0EBE">
        <w:rPr>
          <w:lang w:val="en-US"/>
        </w:rPr>
        <w:t>(</w:t>
      </w:r>
      <w:hyperlink r:id="rId10" w:history="1">
        <w:r w:rsidRPr="006F0EBE">
          <w:rPr>
            <w:color w:val="0000FF"/>
            <w:u w:val="single"/>
            <w:lang w:val="en-US"/>
          </w:rPr>
          <w:t>http://www.researchnow.com</w:t>
        </w:r>
      </w:hyperlink>
      <w:r w:rsidRPr="006F0EBE">
        <w:rPr>
          <w:lang w:val="en-US"/>
        </w:rPr>
        <w:t xml:space="preserve">). Quota targets were based on the Office for National Statistics annual mid-year estimates 2014. </w:t>
      </w:r>
      <w:r w:rsidRPr="006F0EBE">
        <w:rPr>
          <w:rFonts w:eastAsia="SimSun"/>
          <w:lang w:val="en-US" w:eastAsia="zh-CN"/>
        </w:rPr>
        <w:t xml:space="preserve">We used three screening questions in order to restrict our sample to </w:t>
      </w:r>
      <w:r w:rsidR="00274F5E" w:rsidRPr="006F0EBE">
        <w:rPr>
          <w:rFonts w:eastAsia="SimSun"/>
          <w:lang w:val="en-US" w:eastAsia="zh-CN"/>
        </w:rPr>
        <w:t xml:space="preserve">consumers </w:t>
      </w:r>
      <w:r w:rsidRPr="006F0EBE">
        <w:rPr>
          <w:rFonts w:eastAsia="SimSun"/>
          <w:lang w:val="en-US" w:eastAsia="zh-CN"/>
        </w:rPr>
        <w:t xml:space="preserve">who </w:t>
      </w:r>
      <w:r w:rsidRPr="006F0EBE">
        <w:rPr>
          <w:lang w:val="en-US"/>
        </w:rPr>
        <w:t xml:space="preserve">purchased the target products </w:t>
      </w:r>
      <w:r w:rsidRPr="006F0EBE">
        <w:rPr>
          <w:rFonts w:eastAsia="SimSun"/>
          <w:lang w:val="en-US" w:eastAsia="zh-CN"/>
        </w:rPr>
        <w:t xml:space="preserve">– </w:t>
      </w:r>
      <w:r w:rsidR="00274F5E" w:rsidRPr="006F0EBE">
        <w:rPr>
          <w:rFonts w:eastAsia="SimSun"/>
          <w:lang w:val="en-US" w:eastAsia="zh-CN"/>
        </w:rPr>
        <w:t>cereals</w:t>
      </w:r>
      <w:r w:rsidRPr="006F0EBE">
        <w:rPr>
          <w:rFonts w:eastAsia="SimSun"/>
          <w:lang w:val="en-US" w:eastAsia="zh-CN"/>
        </w:rPr>
        <w:t xml:space="preserve"> and soft drinks</w:t>
      </w:r>
      <w:r w:rsidRPr="006F0EBE">
        <w:rPr>
          <w:lang w:val="en-US"/>
        </w:rPr>
        <w:t xml:space="preserve"> </w:t>
      </w:r>
      <w:r w:rsidR="00867D8E" w:rsidRPr="006F0EBE">
        <w:rPr>
          <w:rFonts w:eastAsia="SimSun"/>
          <w:lang w:val="en-US" w:eastAsia="zh-CN"/>
        </w:rPr>
        <w:lastRenderedPageBreak/>
        <w:t>–</w:t>
      </w:r>
      <w:r w:rsidRPr="006F0EBE">
        <w:rPr>
          <w:lang w:val="en-US"/>
        </w:rPr>
        <w:t xml:space="preserve"> at least once a month and were responsible for at least half of the shopping of their household</w:t>
      </w:r>
      <w:r w:rsidRPr="006F0EBE">
        <w:rPr>
          <w:rFonts w:eastAsia="SimSun"/>
          <w:lang w:val="en-US" w:eastAsia="zh-CN"/>
        </w:rPr>
        <w:t xml:space="preserve">. We also excluded respondents in a diet for medical reasons and those answering incorrectly one or more of the data quality questions. See Q1.2-Q1.5 and Q1.7 </w:t>
      </w:r>
      <w:r w:rsidR="00971F75" w:rsidRPr="006F0EBE">
        <w:rPr>
          <w:rFonts w:eastAsia="SimSun"/>
          <w:lang w:val="en-US" w:eastAsia="zh-CN"/>
        </w:rPr>
        <w:t xml:space="preserve">in the </w:t>
      </w:r>
      <w:r w:rsidR="00DA7267">
        <w:rPr>
          <w:rFonts w:eastAsia="SimSun"/>
          <w:lang w:val="en-US" w:eastAsia="zh-CN"/>
        </w:rPr>
        <w:t>a</w:t>
      </w:r>
      <w:r w:rsidR="00971F75" w:rsidRPr="006F0EBE">
        <w:rPr>
          <w:rFonts w:eastAsia="SimSun"/>
          <w:lang w:val="en-US" w:eastAsia="zh-CN"/>
        </w:rPr>
        <w:t>ppendix</w:t>
      </w:r>
      <w:r w:rsidR="00D41834">
        <w:rPr>
          <w:rFonts w:eastAsia="SimSun"/>
          <w:lang w:val="en-US" w:eastAsia="zh-CN"/>
        </w:rPr>
        <w:t xml:space="preserve"> </w:t>
      </w:r>
      <w:r w:rsidR="00DA7267">
        <w:rPr>
          <w:rFonts w:eastAsia="SimSun"/>
          <w:lang w:val="en-US" w:eastAsia="zh-CN"/>
        </w:rPr>
        <w:t>E</w:t>
      </w:r>
      <w:r w:rsidR="00971F75" w:rsidRPr="006F0EBE">
        <w:rPr>
          <w:rFonts w:eastAsia="SimSun"/>
          <w:lang w:val="en-US" w:eastAsia="zh-CN"/>
        </w:rPr>
        <w:t xml:space="preserve"> </w:t>
      </w:r>
      <w:r w:rsidRPr="006F0EBE">
        <w:rPr>
          <w:rFonts w:eastAsia="SimSun"/>
          <w:lang w:val="en-US" w:eastAsia="zh-CN"/>
        </w:rPr>
        <w:t>for the question</w:t>
      </w:r>
      <w:r w:rsidR="00274F5E" w:rsidRPr="006F0EBE">
        <w:rPr>
          <w:rFonts w:eastAsia="SimSun"/>
          <w:lang w:val="en-US" w:eastAsia="zh-CN"/>
        </w:rPr>
        <w:t>s’</w:t>
      </w:r>
      <w:r w:rsidRPr="006F0EBE">
        <w:rPr>
          <w:rFonts w:eastAsia="SimSun"/>
          <w:lang w:val="en-US" w:eastAsia="zh-CN"/>
        </w:rPr>
        <w:t xml:space="preserve"> exact phrasing.</w:t>
      </w:r>
      <w:r w:rsidRPr="006F0EBE">
        <w:rPr>
          <w:lang w:val="en-US"/>
        </w:rPr>
        <w:t xml:space="preserve"> </w:t>
      </w:r>
    </w:p>
    <w:p w14:paraId="7C63988C" w14:textId="5E48C4E2" w:rsidR="00A41457" w:rsidRPr="006F0EBE" w:rsidRDefault="005C5969" w:rsidP="007B0E00">
      <w:pPr>
        <w:spacing w:after="0"/>
        <w:ind w:firstLine="0"/>
        <w:jc w:val="center"/>
        <w:outlineLvl w:val="2"/>
        <w:rPr>
          <w:rFonts w:eastAsia="SimSun"/>
          <w:bCs/>
          <w:i/>
          <w:lang w:val="en-US" w:eastAsia="zh-CN"/>
        </w:rPr>
      </w:pPr>
      <w:r>
        <w:rPr>
          <w:rFonts w:eastAsia="SimSun"/>
          <w:bCs/>
          <w:i/>
          <w:lang w:val="en-US" w:eastAsia="zh-CN"/>
        </w:rPr>
        <w:t>3.5</w:t>
      </w:r>
      <w:r w:rsidR="00A41457" w:rsidRPr="006F0EBE">
        <w:rPr>
          <w:rFonts w:eastAsia="SimSun"/>
          <w:bCs/>
          <w:i/>
          <w:lang w:val="en-US" w:eastAsia="zh-CN"/>
        </w:rPr>
        <w:t xml:space="preserve"> Procedure</w:t>
      </w:r>
    </w:p>
    <w:p w14:paraId="13E01FA9" w14:textId="0AB4F2E2" w:rsidR="00A41457" w:rsidRPr="006F0EBE" w:rsidRDefault="00A41457" w:rsidP="007B0E00">
      <w:pPr>
        <w:spacing w:after="0"/>
        <w:rPr>
          <w:rFonts w:eastAsia="SimSun"/>
          <w:lang w:val="en-US" w:eastAsia="zh-CN"/>
        </w:rPr>
      </w:pPr>
      <w:r w:rsidRPr="006F0EBE">
        <w:rPr>
          <w:lang w:val="en-US"/>
        </w:rPr>
        <w:t xml:space="preserve">Participants took part in the study over the internet between August and October 2015, and both participant and experimenter were blind to treatment allocation. </w:t>
      </w:r>
      <w:r w:rsidR="004E5E68" w:rsidRPr="006F0EBE">
        <w:rPr>
          <w:lang w:val="en-US"/>
        </w:rPr>
        <w:t xml:space="preserve">The experimental instructions can be found in </w:t>
      </w:r>
      <w:r w:rsidR="00CB79B1">
        <w:rPr>
          <w:lang w:val="en-US"/>
        </w:rPr>
        <w:t>online</w:t>
      </w:r>
      <w:r w:rsidR="004E5E68" w:rsidRPr="006F0EBE">
        <w:rPr>
          <w:lang w:val="en-US"/>
        </w:rPr>
        <w:t xml:space="preserve"> appendix</w:t>
      </w:r>
      <w:r w:rsidR="00CB79B1">
        <w:rPr>
          <w:lang w:val="en-US"/>
        </w:rPr>
        <w:t xml:space="preserve"> E</w:t>
      </w:r>
      <w:r w:rsidR="004E5E68" w:rsidRPr="006F0EBE">
        <w:rPr>
          <w:lang w:val="en-US"/>
        </w:rPr>
        <w:t xml:space="preserve">. </w:t>
      </w:r>
      <w:r w:rsidRPr="006F0EBE">
        <w:rPr>
          <w:rFonts w:eastAsia="SimSun"/>
          <w:lang w:val="en-US" w:eastAsia="zh-CN"/>
        </w:rPr>
        <w:t xml:space="preserve">The study was conducted using </w:t>
      </w:r>
      <w:r w:rsidR="00BB748C" w:rsidRPr="006F0EBE">
        <w:rPr>
          <w:rFonts w:eastAsia="SimSun"/>
          <w:lang w:val="en-US" w:eastAsia="zh-CN"/>
        </w:rPr>
        <w:t>specialized</w:t>
      </w:r>
      <w:r w:rsidRPr="006F0EBE">
        <w:rPr>
          <w:rFonts w:eastAsia="SimSun"/>
          <w:lang w:val="en-US" w:eastAsia="zh-CN"/>
        </w:rPr>
        <w:t xml:space="preserve"> online survey</w:t>
      </w:r>
      <w:r w:rsidRPr="006F0EBE">
        <w:rPr>
          <w:lang w:val="en-US"/>
        </w:rPr>
        <w:t xml:space="preserve"> software (</w:t>
      </w:r>
      <w:hyperlink r:id="rId11" w:history="1">
        <w:r w:rsidRPr="006F0EBE">
          <w:rPr>
            <w:color w:val="0000FF"/>
            <w:u w:val="single"/>
            <w:lang w:val="en-US"/>
          </w:rPr>
          <w:t>www.qualtrics.com</w:t>
        </w:r>
      </w:hyperlink>
      <w:r w:rsidRPr="006F0EBE">
        <w:rPr>
          <w:lang w:val="en-US"/>
        </w:rPr>
        <w:t xml:space="preserve">) and </w:t>
      </w:r>
      <w:r w:rsidR="00BB748C" w:rsidRPr="006F0EBE">
        <w:rPr>
          <w:lang w:val="en-US"/>
        </w:rPr>
        <w:t>the Woods</w:t>
      </w:r>
      <w:r w:rsidRPr="006F0EBE">
        <w:rPr>
          <w:rFonts w:eastAsia="SimSun"/>
          <w:lang w:val="en-US" w:eastAsia="zh-CN"/>
        </w:rPr>
        <w:t xml:space="preserve"> online supermarket </w:t>
      </w:r>
      <w:r w:rsidR="00BB748C" w:rsidRPr="006F0EBE">
        <w:rPr>
          <w:rFonts w:eastAsia="SimSun"/>
          <w:lang w:val="en-US" w:eastAsia="zh-CN"/>
        </w:rPr>
        <w:t>discussed in</w:t>
      </w:r>
      <w:r w:rsidRPr="006F0EBE">
        <w:rPr>
          <w:rFonts w:eastAsia="SimSun"/>
          <w:lang w:val="en-US" w:eastAsia="zh-CN"/>
        </w:rPr>
        <w:t xml:space="preserve"> section </w:t>
      </w:r>
      <w:r w:rsidR="005C5969">
        <w:rPr>
          <w:rFonts w:eastAsia="SimSun"/>
          <w:lang w:val="en-US" w:eastAsia="zh-CN"/>
        </w:rPr>
        <w:t>3</w:t>
      </w:r>
      <w:r w:rsidRPr="006F0EBE">
        <w:rPr>
          <w:rFonts w:eastAsia="SimSun"/>
          <w:lang w:val="en-US" w:eastAsia="zh-CN"/>
        </w:rPr>
        <w:t xml:space="preserve">.1. </w:t>
      </w:r>
      <w:r w:rsidRPr="006F0EBE">
        <w:rPr>
          <w:lang w:val="en-US"/>
        </w:rPr>
        <w:t xml:space="preserve">At initial assessment, participants completed a consent form, questions about their shopping habits and quality control questions. Participants not meeting the inclusion criteria and/or failing to answer correctly one or more of the quality control questions were excluded at this point. Eligible participants were randomly allocated to one of the two experimental treatments. Participants each completed ten shopping tasks, presented in random order. Both randomizations were performed using a built-in feature within the survey software. </w:t>
      </w:r>
      <w:r w:rsidRPr="006F0EBE">
        <w:rPr>
          <w:rFonts w:eastAsia="SimSun"/>
          <w:lang w:val="en-US" w:eastAsia="zh-CN"/>
        </w:rPr>
        <w:t xml:space="preserve">Product name, number of units purchased, price information, and total spending were recorded for analysis. Participants provided their address, relevant contact details and delivery preferences. </w:t>
      </w:r>
      <w:r w:rsidRPr="006F0EBE">
        <w:rPr>
          <w:lang w:val="en-US"/>
        </w:rPr>
        <w:t>Following completion of the shopping tasks</w:t>
      </w:r>
      <w:r w:rsidR="00BB748C" w:rsidRPr="006F0EBE">
        <w:rPr>
          <w:lang w:val="en-US"/>
        </w:rPr>
        <w:t>,</w:t>
      </w:r>
      <w:r w:rsidRPr="006F0EBE">
        <w:rPr>
          <w:lang w:val="en-US"/>
        </w:rPr>
        <w:t xml:space="preserve"> participants were informed which task (and hence products) was (randomly) selected to be delivered to them</w:t>
      </w:r>
      <w:r w:rsidRPr="006F0EBE">
        <w:rPr>
          <w:rFonts w:eastAsia="SimSun"/>
          <w:lang w:val="en-US" w:eastAsia="zh-CN"/>
        </w:rPr>
        <w:t>. Personally identifiable information was used solely for the purpose of organizing the delivery of the groceries to the participants</w:t>
      </w:r>
      <w:r w:rsidR="00BB748C" w:rsidRPr="006F0EBE">
        <w:rPr>
          <w:rFonts w:eastAsia="SimSun"/>
          <w:lang w:val="en-US" w:eastAsia="zh-CN"/>
        </w:rPr>
        <w:t>, who knew this</w:t>
      </w:r>
      <w:r w:rsidRPr="006F0EBE">
        <w:rPr>
          <w:rFonts w:eastAsia="SimSun"/>
          <w:lang w:val="en-US" w:eastAsia="zh-CN"/>
        </w:rPr>
        <w:t>. Subsequently, participants answered a post-experiment questionnaire. Within the next eleven days participant</w:t>
      </w:r>
      <w:r w:rsidR="00EA540C" w:rsidRPr="006F0EBE">
        <w:rPr>
          <w:rFonts w:eastAsia="SimSun"/>
          <w:lang w:val="en-US" w:eastAsia="zh-CN"/>
        </w:rPr>
        <w:t>s</w:t>
      </w:r>
      <w:r w:rsidRPr="006F0EBE">
        <w:rPr>
          <w:rFonts w:eastAsia="SimSun"/>
          <w:lang w:val="en-US" w:eastAsia="zh-CN"/>
        </w:rPr>
        <w:t xml:space="preserve"> received the </w:t>
      </w:r>
      <w:r w:rsidR="00CA2D29" w:rsidRPr="006F0EBE">
        <w:rPr>
          <w:rFonts w:eastAsia="SimSun"/>
          <w:lang w:val="en-US" w:eastAsia="zh-CN"/>
        </w:rPr>
        <w:t xml:space="preserve">purchased </w:t>
      </w:r>
      <w:r w:rsidRPr="006F0EBE">
        <w:rPr>
          <w:rFonts w:eastAsia="SimSun"/>
          <w:lang w:val="en-US" w:eastAsia="zh-CN"/>
        </w:rPr>
        <w:t xml:space="preserve">groceries via Tesco.com and any unspent budget was transferred by the </w:t>
      </w:r>
      <w:r w:rsidR="00BB748C" w:rsidRPr="006F0EBE">
        <w:rPr>
          <w:rFonts w:eastAsia="SimSun"/>
          <w:lang w:val="en-US" w:eastAsia="zh-CN"/>
        </w:rPr>
        <w:t>s</w:t>
      </w:r>
      <w:r w:rsidRPr="006F0EBE">
        <w:rPr>
          <w:rFonts w:eastAsia="SimSun"/>
          <w:lang w:val="en-US" w:eastAsia="zh-CN"/>
        </w:rPr>
        <w:t xml:space="preserve">urvey </w:t>
      </w:r>
      <w:r w:rsidR="00BB748C" w:rsidRPr="006F0EBE">
        <w:rPr>
          <w:rFonts w:eastAsia="SimSun"/>
          <w:lang w:val="en-US" w:eastAsia="zh-CN"/>
        </w:rPr>
        <w:t>c</w:t>
      </w:r>
      <w:r w:rsidRPr="006F0EBE">
        <w:rPr>
          <w:rFonts w:eastAsia="SimSun"/>
          <w:lang w:val="en-US" w:eastAsia="zh-CN"/>
        </w:rPr>
        <w:t xml:space="preserve">ompany via panel points rewards </w:t>
      </w:r>
      <w:r w:rsidR="00BB748C" w:rsidRPr="006F0EBE">
        <w:rPr>
          <w:rFonts w:eastAsia="SimSun"/>
          <w:lang w:val="en-US" w:eastAsia="zh-CN"/>
        </w:rPr>
        <w:t xml:space="preserve">of equivalent value </w:t>
      </w:r>
      <w:r w:rsidR="00355B54">
        <w:rPr>
          <w:rFonts w:eastAsia="SimSun"/>
          <w:lang w:val="en-US" w:eastAsia="zh-CN"/>
        </w:rPr>
        <w:t xml:space="preserve">in a large set of popular websites as detailed in section 5 </w:t>
      </w:r>
      <w:r w:rsidRPr="006F0EBE">
        <w:rPr>
          <w:rFonts w:eastAsia="SimSun"/>
          <w:lang w:val="en-US" w:eastAsia="zh-CN"/>
        </w:rPr>
        <w:t>(within 28 days after completion of the experiment).</w:t>
      </w:r>
      <w:r w:rsidR="00E10857" w:rsidRPr="006F0EBE">
        <w:rPr>
          <w:rFonts w:eastAsia="SimSun"/>
          <w:lang w:val="en-US" w:eastAsia="zh-CN"/>
        </w:rPr>
        <w:t xml:space="preserve"> </w:t>
      </w:r>
    </w:p>
    <w:p w14:paraId="4E4252C1" w14:textId="6A4B1EA1" w:rsidR="00A41457" w:rsidRPr="006F0EBE" w:rsidRDefault="005C5969" w:rsidP="007B0E00">
      <w:pPr>
        <w:spacing w:after="0"/>
        <w:ind w:firstLine="0"/>
        <w:jc w:val="center"/>
        <w:outlineLvl w:val="2"/>
        <w:rPr>
          <w:rFonts w:eastAsia="SimSun"/>
          <w:bCs/>
          <w:i/>
          <w:lang w:val="en-US" w:eastAsia="zh-CN"/>
        </w:rPr>
      </w:pPr>
      <w:r>
        <w:rPr>
          <w:rFonts w:eastAsia="SimSun"/>
          <w:bCs/>
          <w:i/>
          <w:lang w:val="en-US" w:eastAsia="zh-CN"/>
        </w:rPr>
        <w:t>3.6</w:t>
      </w:r>
      <w:r w:rsidR="00A41457" w:rsidRPr="006F0EBE">
        <w:rPr>
          <w:rFonts w:eastAsia="SimSun"/>
          <w:bCs/>
          <w:i/>
          <w:lang w:val="en-US" w:eastAsia="zh-CN"/>
        </w:rPr>
        <w:t xml:space="preserve"> Variables</w:t>
      </w:r>
    </w:p>
    <w:p w14:paraId="616D9665" w14:textId="780022B6" w:rsidR="00A41457" w:rsidRPr="006F0EBE" w:rsidRDefault="00806F74" w:rsidP="007B0E00">
      <w:pPr>
        <w:spacing w:after="0"/>
        <w:rPr>
          <w:rFonts w:eastAsia="SimSun"/>
          <w:lang w:val="en-US" w:eastAsia="zh-CN"/>
        </w:rPr>
      </w:pPr>
      <w:r>
        <w:rPr>
          <w:rFonts w:eastAsia="SimSun"/>
          <w:lang w:val="en-US" w:eastAsia="zh-CN"/>
        </w:rPr>
        <w:lastRenderedPageBreak/>
        <w:t>W</w:t>
      </w:r>
      <w:r w:rsidR="00A41457" w:rsidRPr="006F0EBE">
        <w:rPr>
          <w:rFonts w:eastAsia="SimSun"/>
          <w:lang w:val="en-US" w:eastAsia="zh-CN"/>
        </w:rPr>
        <w:t xml:space="preserve">e used the following </w:t>
      </w:r>
      <w:r w:rsidR="00A41457" w:rsidRPr="006F0EBE">
        <w:rPr>
          <w:rFonts w:eastAsia="SimSun"/>
          <w:i/>
          <w:lang w:val="en-US" w:eastAsia="zh-CN"/>
        </w:rPr>
        <w:t>outcome variables</w:t>
      </w:r>
      <w:r w:rsidR="00A41457" w:rsidRPr="006F0EBE">
        <w:rPr>
          <w:rFonts w:eastAsia="SimSun"/>
          <w:lang w:val="en-US" w:eastAsia="zh-CN"/>
        </w:rPr>
        <w:t xml:space="preserve">: </w:t>
      </w:r>
      <w:r w:rsidR="001242DB" w:rsidRPr="006F0EBE">
        <w:rPr>
          <w:rFonts w:eastAsia="SimSun"/>
          <w:lang w:val="en-US" w:eastAsia="zh-CN"/>
        </w:rPr>
        <w:t xml:space="preserve">the </w:t>
      </w:r>
      <w:r w:rsidR="00A41457" w:rsidRPr="006F0EBE">
        <w:rPr>
          <w:rFonts w:eastAsia="SimSun"/>
          <w:lang w:val="en-US" w:eastAsia="zh-CN"/>
        </w:rPr>
        <w:t xml:space="preserve">total quantity of less healthy </w:t>
      </w:r>
      <w:r w:rsidR="00274F5E" w:rsidRPr="006F0EBE">
        <w:rPr>
          <w:rFonts w:eastAsia="SimSun"/>
          <w:lang w:val="en-US" w:eastAsia="zh-CN"/>
        </w:rPr>
        <w:t>cereals</w:t>
      </w:r>
      <w:r w:rsidR="00A41457" w:rsidRPr="006F0EBE">
        <w:rPr>
          <w:rFonts w:eastAsia="SimSun"/>
          <w:lang w:val="en-US" w:eastAsia="zh-CN"/>
        </w:rPr>
        <w:t xml:space="preserve"> (weight in grams) purchased in each task by each participant; </w:t>
      </w:r>
      <w:r w:rsidR="001242DB" w:rsidRPr="006F0EBE">
        <w:rPr>
          <w:rFonts w:eastAsia="SimSun"/>
          <w:lang w:val="en-US" w:eastAsia="zh-CN"/>
        </w:rPr>
        <w:t xml:space="preserve">the </w:t>
      </w:r>
      <w:r w:rsidR="00A41457" w:rsidRPr="006F0EBE">
        <w:rPr>
          <w:rFonts w:eastAsia="SimSun"/>
          <w:lang w:val="en-US" w:eastAsia="zh-CN"/>
        </w:rPr>
        <w:t xml:space="preserve">total quantity of healthier </w:t>
      </w:r>
      <w:r w:rsidR="00274F5E" w:rsidRPr="006F0EBE">
        <w:rPr>
          <w:rFonts w:eastAsia="SimSun"/>
          <w:lang w:val="en-US" w:eastAsia="zh-CN"/>
        </w:rPr>
        <w:t>cereals</w:t>
      </w:r>
      <w:r w:rsidR="00A41457" w:rsidRPr="006F0EBE">
        <w:rPr>
          <w:rFonts w:eastAsia="SimSun"/>
          <w:lang w:val="en-US" w:eastAsia="zh-CN"/>
        </w:rPr>
        <w:t xml:space="preserve"> (weight in grams) purchased in each task by each participant; </w:t>
      </w:r>
      <w:r w:rsidR="001242DB" w:rsidRPr="006F0EBE">
        <w:rPr>
          <w:rFonts w:eastAsia="SimSun"/>
          <w:lang w:val="en-US" w:eastAsia="zh-CN"/>
        </w:rPr>
        <w:t xml:space="preserve">the </w:t>
      </w:r>
      <w:r w:rsidR="00A41457" w:rsidRPr="006F0EBE">
        <w:rPr>
          <w:rFonts w:eastAsia="SimSun"/>
          <w:lang w:val="en-US" w:eastAsia="zh-CN"/>
        </w:rPr>
        <w:t xml:space="preserve">total quantity of less healthy soft drinks (volume in ml) purchased in each task by each participant; </w:t>
      </w:r>
      <w:r w:rsidR="001242DB" w:rsidRPr="006F0EBE">
        <w:rPr>
          <w:rFonts w:eastAsia="SimSun"/>
          <w:lang w:val="en-US" w:eastAsia="zh-CN"/>
        </w:rPr>
        <w:t>and t</w:t>
      </w:r>
      <w:r w:rsidR="00A41457" w:rsidRPr="006F0EBE">
        <w:rPr>
          <w:rFonts w:eastAsia="SimSun"/>
          <w:lang w:val="en-US" w:eastAsia="zh-CN"/>
        </w:rPr>
        <w:t xml:space="preserve">he total quantity </w:t>
      </w:r>
      <w:r w:rsidR="00867D8E" w:rsidRPr="006F0EBE">
        <w:rPr>
          <w:rFonts w:eastAsia="SimSun"/>
          <w:lang w:val="en-US" w:eastAsia="zh-CN"/>
        </w:rPr>
        <w:t xml:space="preserve">of </w:t>
      </w:r>
      <w:r w:rsidR="00A41457" w:rsidRPr="006F0EBE">
        <w:rPr>
          <w:rFonts w:eastAsia="SimSun"/>
          <w:lang w:val="en-US" w:eastAsia="zh-CN"/>
        </w:rPr>
        <w:t xml:space="preserve">less healthy soft drinks (volume in ml) purchased in each task by each participant. </w:t>
      </w:r>
      <w:r w:rsidR="001242DB" w:rsidRPr="006F0EBE">
        <w:rPr>
          <w:rFonts w:eastAsia="SimSun"/>
          <w:lang w:val="en-US" w:eastAsia="zh-CN"/>
        </w:rPr>
        <w:t>For simplicity, from now on</w:t>
      </w:r>
      <w:r w:rsidR="00A41457" w:rsidRPr="006F0EBE">
        <w:rPr>
          <w:rFonts w:eastAsia="SimSun"/>
          <w:lang w:val="en-US" w:eastAsia="zh-CN"/>
        </w:rPr>
        <w:t xml:space="preserve"> </w:t>
      </w:r>
      <w:r w:rsidR="001242DB" w:rsidRPr="006F0EBE">
        <w:rPr>
          <w:rFonts w:eastAsia="SimSun"/>
          <w:lang w:val="en-US" w:eastAsia="zh-CN"/>
        </w:rPr>
        <w:t>we</w:t>
      </w:r>
      <w:r w:rsidR="00A41457" w:rsidRPr="006F0EBE">
        <w:rPr>
          <w:rFonts w:eastAsia="SimSun"/>
          <w:lang w:val="en-US" w:eastAsia="zh-CN"/>
        </w:rPr>
        <w:t xml:space="preserve"> will call these variables “volume purchased of …”</w:t>
      </w:r>
      <w:r w:rsidR="001242DB" w:rsidRPr="006F0EBE">
        <w:rPr>
          <w:rFonts w:eastAsia="SimSun"/>
          <w:lang w:val="en-US" w:eastAsia="zh-CN"/>
        </w:rPr>
        <w:t xml:space="preserve"> as appropriate</w:t>
      </w:r>
      <w:r w:rsidR="00A41457" w:rsidRPr="006F0EBE">
        <w:rPr>
          <w:rFonts w:eastAsia="SimSun"/>
          <w:lang w:val="en-US" w:eastAsia="zh-CN"/>
        </w:rPr>
        <w:t xml:space="preserve">. </w:t>
      </w:r>
      <w:r w:rsidR="00E267F0" w:rsidRPr="006F0EBE">
        <w:rPr>
          <w:rFonts w:eastAsia="SimSun"/>
          <w:lang w:val="en-US" w:eastAsia="zh-CN"/>
        </w:rPr>
        <w:t>We now list the other variables.</w:t>
      </w:r>
    </w:p>
    <w:p w14:paraId="442F8A31" w14:textId="77777777" w:rsidR="00A41457" w:rsidRPr="006F0EBE" w:rsidRDefault="00A41457" w:rsidP="007B0E00">
      <w:pPr>
        <w:spacing w:after="0"/>
        <w:rPr>
          <w:rFonts w:eastAsia="SimSun"/>
          <w:lang w:val="en-US" w:eastAsia="zh-CN"/>
        </w:rPr>
      </w:pPr>
      <w:r w:rsidRPr="006F0EBE">
        <w:rPr>
          <w:rFonts w:eastAsia="SimSun"/>
          <w:i/>
          <w:lang w:val="en-US" w:eastAsia="zh-CN"/>
        </w:rPr>
        <w:t>Socioeconomic status</w:t>
      </w:r>
      <w:r w:rsidRPr="006F0EBE">
        <w:rPr>
          <w:rFonts w:eastAsia="SimSun"/>
          <w:lang w:val="en-US" w:eastAsia="zh-CN"/>
        </w:rPr>
        <w:t>: As a measure of individual</w:t>
      </w:r>
      <w:r w:rsidR="00D839A8" w:rsidRPr="006F0EBE">
        <w:rPr>
          <w:rFonts w:eastAsia="SimSun"/>
          <w:lang w:val="en-US" w:eastAsia="zh-CN"/>
        </w:rPr>
        <w:t xml:space="preserve"> </w:t>
      </w:r>
      <w:r w:rsidRPr="006F0EBE">
        <w:rPr>
          <w:rFonts w:eastAsia="SimSun"/>
          <w:lang w:val="en-US" w:eastAsia="zh-CN"/>
        </w:rPr>
        <w:t xml:space="preserve">level socioeconomic status, participants provided their highest level of educational qualiﬁcation attained, coded onto a six point scale ranging from 0 </w:t>
      </w:r>
      <w:r w:rsidR="00867D8E" w:rsidRPr="006F0EBE">
        <w:rPr>
          <w:rFonts w:eastAsia="SimSun"/>
          <w:lang w:val="en-US" w:eastAsia="zh-CN"/>
        </w:rPr>
        <w:t>‘</w:t>
      </w:r>
      <w:r w:rsidRPr="006F0EBE">
        <w:rPr>
          <w:rFonts w:eastAsia="SimSun"/>
          <w:lang w:val="en-US" w:eastAsia="zh-CN"/>
        </w:rPr>
        <w:t>No qualiﬁcations</w:t>
      </w:r>
      <w:r w:rsidR="00867D8E" w:rsidRPr="006F0EBE">
        <w:rPr>
          <w:rFonts w:eastAsia="SimSun"/>
          <w:lang w:val="en-US" w:eastAsia="zh-CN"/>
        </w:rPr>
        <w:t>’</w:t>
      </w:r>
      <w:r w:rsidRPr="006F0EBE">
        <w:rPr>
          <w:rFonts w:eastAsia="SimSun"/>
          <w:lang w:val="en-US" w:eastAsia="zh-CN"/>
        </w:rPr>
        <w:t xml:space="preserve"> to </w:t>
      </w:r>
      <w:r w:rsidR="00867D8E" w:rsidRPr="006F0EBE">
        <w:rPr>
          <w:rFonts w:eastAsia="SimSun"/>
          <w:lang w:val="en-US" w:eastAsia="zh-CN"/>
        </w:rPr>
        <w:t>‘</w:t>
      </w:r>
      <w:r w:rsidRPr="006F0EBE">
        <w:rPr>
          <w:rFonts w:eastAsia="SimSun"/>
          <w:lang w:val="en-US" w:eastAsia="zh-CN"/>
        </w:rPr>
        <w:t>6 Degree</w:t>
      </w:r>
      <w:r w:rsidR="00867D8E" w:rsidRPr="006F0EBE">
        <w:rPr>
          <w:rFonts w:eastAsia="SimSun"/>
          <w:lang w:val="en-US" w:eastAsia="zh-CN"/>
        </w:rPr>
        <w:t>s</w:t>
      </w:r>
      <w:r w:rsidRPr="006F0EBE">
        <w:rPr>
          <w:rFonts w:eastAsia="SimSun"/>
          <w:lang w:val="en-US" w:eastAsia="zh-CN"/>
        </w:rPr>
        <w:t xml:space="preserve"> or higher</w:t>
      </w:r>
      <w:r w:rsidR="00867D8E" w:rsidRPr="006F0EBE">
        <w:rPr>
          <w:rFonts w:eastAsia="SimSun"/>
          <w:lang w:val="en-US" w:eastAsia="zh-CN"/>
        </w:rPr>
        <w:t>’</w:t>
      </w:r>
      <w:r w:rsidRPr="006F0EBE">
        <w:rPr>
          <w:rFonts w:eastAsia="SimSun"/>
          <w:lang w:val="en-US" w:eastAsia="zh-CN"/>
        </w:rPr>
        <w:t>. As a measure of income, participants provided both their personal yearly income and their total household income before tax (participants selected from 4 income bands in each case).</w:t>
      </w:r>
    </w:p>
    <w:p w14:paraId="6ED54A0C" w14:textId="249D7D3E" w:rsidR="00A41457" w:rsidRPr="006F0EBE" w:rsidRDefault="00763A53" w:rsidP="007B0E00">
      <w:pPr>
        <w:spacing w:after="0"/>
        <w:rPr>
          <w:rFonts w:eastAsia="SimSun"/>
          <w:lang w:val="en-US" w:eastAsia="zh-CN"/>
        </w:rPr>
      </w:pPr>
      <w:r w:rsidRPr="006F0EBE">
        <w:rPr>
          <w:rFonts w:eastAsia="SimSun"/>
          <w:bCs/>
          <w:i/>
          <w:lang w:val="en-US" w:eastAsia="zh-CN"/>
        </w:rPr>
        <w:t>P</w:t>
      </w:r>
      <w:r w:rsidR="00A41457" w:rsidRPr="006F0EBE">
        <w:rPr>
          <w:rFonts w:eastAsia="SimSun"/>
          <w:bCs/>
          <w:i/>
          <w:lang w:val="en-US" w:eastAsia="zh-CN"/>
        </w:rPr>
        <w:t>articipant characteristics</w:t>
      </w:r>
      <w:r w:rsidR="00A41457" w:rsidRPr="006F0EBE">
        <w:rPr>
          <w:rFonts w:eastAsia="SimSun"/>
          <w:bCs/>
          <w:lang w:val="en-US" w:eastAsia="zh-CN"/>
        </w:rPr>
        <w:t xml:space="preserve">: </w:t>
      </w:r>
      <w:r w:rsidR="00A41457" w:rsidRPr="006F0EBE">
        <w:rPr>
          <w:rFonts w:eastAsia="SimSun"/>
          <w:lang w:val="en-US" w:eastAsia="zh-CN"/>
        </w:rPr>
        <w:t>Data on gender, age, self-reported height and weight (used to calculate BMI)</w:t>
      </w:r>
      <w:r w:rsidR="00BE15BC">
        <w:rPr>
          <w:rFonts w:eastAsia="SimSun"/>
          <w:lang w:val="en-US" w:eastAsia="zh-CN"/>
        </w:rPr>
        <w:t>,</w:t>
      </w:r>
      <w:r w:rsidR="00A41457" w:rsidRPr="006F0EBE">
        <w:rPr>
          <w:rFonts w:eastAsia="SimSun"/>
          <w:lang w:val="en-US" w:eastAsia="zh-CN"/>
        </w:rPr>
        <w:t xml:space="preserve"> the number of adults and children living in their household</w:t>
      </w:r>
      <w:r w:rsidR="00BE15BC">
        <w:rPr>
          <w:rFonts w:eastAsia="SimSun"/>
          <w:lang w:val="en-US" w:eastAsia="zh-CN"/>
        </w:rPr>
        <w:t>, and being on a</w:t>
      </w:r>
      <w:r w:rsidR="00A41457" w:rsidRPr="006F0EBE">
        <w:rPr>
          <w:rFonts w:eastAsia="SimSun"/>
          <w:lang w:val="en-US" w:eastAsia="zh-CN"/>
        </w:rPr>
        <w:t xml:space="preserve"> </w:t>
      </w:r>
      <w:r w:rsidR="00BE15BC" w:rsidRPr="006F0EBE">
        <w:rPr>
          <w:rFonts w:eastAsia="SimSun"/>
          <w:lang w:val="en-US" w:eastAsia="zh-CN"/>
        </w:rPr>
        <w:t>weight loss diet</w:t>
      </w:r>
      <w:r w:rsidR="00BE15BC">
        <w:rPr>
          <w:rFonts w:eastAsia="SimSun"/>
          <w:lang w:val="en-US" w:eastAsia="zh-CN"/>
        </w:rPr>
        <w:t>,</w:t>
      </w:r>
      <w:r w:rsidR="00BE15BC" w:rsidRPr="006F0EBE">
        <w:rPr>
          <w:rFonts w:eastAsia="SimSun"/>
          <w:lang w:val="en-US" w:eastAsia="zh-CN"/>
        </w:rPr>
        <w:t xml:space="preserve"> </w:t>
      </w:r>
      <w:r w:rsidR="00A41457" w:rsidRPr="006F0EBE">
        <w:rPr>
          <w:rFonts w:eastAsia="SimSun"/>
          <w:lang w:val="en-US" w:eastAsia="zh-CN"/>
        </w:rPr>
        <w:t>was collected.</w:t>
      </w:r>
    </w:p>
    <w:p w14:paraId="07869CCF" w14:textId="77777777" w:rsidR="00A41457" w:rsidRPr="006F0EBE" w:rsidRDefault="00A41457" w:rsidP="007B0E00">
      <w:pPr>
        <w:spacing w:after="0"/>
        <w:rPr>
          <w:rFonts w:eastAsia="SimSun"/>
          <w:bCs/>
          <w:lang w:val="en-US" w:eastAsia="zh-CN"/>
        </w:rPr>
      </w:pPr>
      <w:r w:rsidRPr="006F0EBE">
        <w:rPr>
          <w:rFonts w:eastAsia="SimSun"/>
          <w:i/>
          <w:lang w:val="en-US" w:eastAsia="zh-CN"/>
        </w:rPr>
        <w:t>Other control variables</w:t>
      </w:r>
      <w:r w:rsidRPr="006F0EBE">
        <w:rPr>
          <w:rFonts w:eastAsia="SimSun"/>
          <w:lang w:val="en-US" w:eastAsia="zh-CN"/>
        </w:rPr>
        <w:t xml:space="preserve">: </w:t>
      </w:r>
      <w:r w:rsidR="00E267F0" w:rsidRPr="006F0EBE">
        <w:rPr>
          <w:rFonts w:eastAsia="SimSun"/>
          <w:lang w:val="en-US" w:eastAsia="zh-CN"/>
        </w:rPr>
        <w:t xml:space="preserve">We elicited participants’ time preferences using a ten choices discount rate price list for a six months’ time horizon, similar to Harrison et al. (2002). </w:t>
      </w:r>
      <w:r w:rsidRPr="006F0EBE">
        <w:rPr>
          <w:rFonts w:eastAsia="SimSun"/>
          <w:lang w:val="en-US" w:eastAsia="zh-CN"/>
        </w:rPr>
        <w:t xml:space="preserve">Participants were asked to provide an estimation of the number of days their stocks of soft drinks and their stocks of </w:t>
      </w:r>
      <w:r w:rsidR="00274F5E" w:rsidRPr="006F0EBE">
        <w:rPr>
          <w:rFonts w:eastAsia="SimSun"/>
          <w:lang w:val="en-US" w:eastAsia="zh-CN"/>
        </w:rPr>
        <w:t>cereals</w:t>
      </w:r>
      <w:r w:rsidRPr="006F0EBE">
        <w:rPr>
          <w:rFonts w:eastAsia="SimSun"/>
          <w:lang w:val="en-US" w:eastAsia="zh-CN"/>
        </w:rPr>
        <w:t xml:space="preserve"> would last until they would run out and need to buy some more. Participants were also asked to provide a measure of the frequency they purchased groceries online, and the frequency they shopped at Tesco, both variables coded on a 7 point Likert scale ranging from never to more than once a week. Finally, as a measure of price recollection, </w:t>
      </w:r>
      <w:r w:rsidR="00E267F0" w:rsidRPr="006F0EBE">
        <w:rPr>
          <w:rFonts w:eastAsia="SimSun"/>
          <w:lang w:val="en-US" w:eastAsia="zh-CN"/>
        </w:rPr>
        <w:t xml:space="preserve">participants </w:t>
      </w:r>
      <w:r w:rsidRPr="006F0EBE">
        <w:rPr>
          <w:rFonts w:eastAsia="SimSun"/>
          <w:lang w:val="en-US" w:eastAsia="zh-CN"/>
        </w:rPr>
        <w:t xml:space="preserve">were asked to indicate their best guess of the regular retail price of six products, i.e. three </w:t>
      </w:r>
      <w:r w:rsidR="00274F5E" w:rsidRPr="006F0EBE">
        <w:rPr>
          <w:rFonts w:eastAsia="SimSun"/>
          <w:lang w:val="en-US" w:eastAsia="zh-CN"/>
        </w:rPr>
        <w:t>cereals</w:t>
      </w:r>
      <w:r w:rsidRPr="006F0EBE">
        <w:rPr>
          <w:rFonts w:eastAsia="SimSun"/>
          <w:lang w:val="en-US" w:eastAsia="zh-CN"/>
        </w:rPr>
        <w:t xml:space="preserve"> and three soft drinks. </w:t>
      </w:r>
    </w:p>
    <w:p w14:paraId="523A5AC9" w14:textId="48DA8CB0" w:rsidR="00A41457" w:rsidRPr="006F0EBE" w:rsidRDefault="005C5969" w:rsidP="007B0E00">
      <w:pPr>
        <w:spacing w:after="0"/>
        <w:ind w:firstLine="0"/>
        <w:jc w:val="center"/>
        <w:outlineLvl w:val="2"/>
        <w:rPr>
          <w:rFonts w:eastAsia="SimSun"/>
          <w:bCs/>
          <w:i/>
          <w:lang w:val="en-US" w:eastAsia="zh-CN"/>
        </w:rPr>
      </w:pPr>
      <w:r>
        <w:rPr>
          <w:rFonts w:eastAsia="SimSun"/>
          <w:bCs/>
          <w:i/>
          <w:lang w:val="en-US" w:eastAsia="zh-CN"/>
        </w:rPr>
        <w:t>3.7</w:t>
      </w:r>
      <w:r w:rsidR="00A41457" w:rsidRPr="006F0EBE">
        <w:rPr>
          <w:rFonts w:eastAsia="SimSun"/>
          <w:bCs/>
          <w:i/>
          <w:lang w:val="en-US" w:eastAsia="zh-CN"/>
        </w:rPr>
        <w:t xml:space="preserve"> Econometric </w:t>
      </w:r>
      <w:r w:rsidR="004762F9" w:rsidRPr="006F0EBE">
        <w:rPr>
          <w:rFonts w:eastAsia="SimSun"/>
          <w:bCs/>
          <w:i/>
          <w:lang w:val="en-US" w:eastAsia="zh-CN"/>
        </w:rPr>
        <w:t>model</w:t>
      </w:r>
    </w:p>
    <w:p w14:paraId="23B9A398" w14:textId="5055E188" w:rsidR="00A41457" w:rsidRPr="006F0EBE" w:rsidRDefault="00A41457" w:rsidP="007B0E00">
      <w:pPr>
        <w:spacing w:after="0"/>
        <w:rPr>
          <w:rFonts w:eastAsia="SimSun"/>
          <w:lang w:val="en-US" w:eastAsia="zh-CN"/>
        </w:rPr>
      </w:pPr>
      <w:r w:rsidRPr="006F0EBE">
        <w:rPr>
          <w:rFonts w:eastAsia="SimSun"/>
          <w:lang w:val="en-US" w:eastAsia="zh-CN"/>
        </w:rPr>
        <w:lastRenderedPageBreak/>
        <w:t xml:space="preserve">We exploit the panel nature of the data in the analysis. Since the data on the volume of products purchased are censored at </w:t>
      </w:r>
      <w:r w:rsidR="008B47C4">
        <w:rPr>
          <w:rFonts w:eastAsia="SimSun"/>
          <w:lang w:val="en-US" w:eastAsia="zh-CN"/>
        </w:rPr>
        <w:t>0</w:t>
      </w:r>
      <w:r w:rsidRPr="006F0EBE">
        <w:rPr>
          <w:rFonts w:eastAsia="SimSun"/>
          <w:lang w:val="en-US" w:eastAsia="zh-CN"/>
        </w:rPr>
        <w:t xml:space="preserve">, we </w:t>
      </w:r>
      <w:r w:rsidR="008B47C4">
        <w:rPr>
          <w:rFonts w:eastAsia="SimSun"/>
          <w:lang w:val="en-US" w:eastAsia="zh-CN"/>
        </w:rPr>
        <w:t>have</w:t>
      </w:r>
      <w:r w:rsidR="008B47C4" w:rsidRPr="006F0EBE">
        <w:rPr>
          <w:rFonts w:eastAsia="SimSun"/>
          <w:lang w:val="en-US" w:eastAsia="zh-CN"/>
        </w:rPr>
        <w:t xml:space="preserve"> </w:t>
      </w:r>
      <w:r w:rsidRPr="006F0EBE">
        <w:rPr>
          <w:rFonts w:eastAsia="SimSun"/>
          <w:lang w:val="en-US" w:eastAsia="zh-CN"/>
        </w:rPr>
        <w:t xml:space="preserve">the following Random Effects Tobit regression model (Wooldridge, 2010). For subject </w:t>
      </w:r>
      <w:r w:rsidRPr="006F0EBE">
        <w:rPr>
          <w:rFonts w:eastAsia="SimSun"/>
          <w:i/>
          <w:lang w:val="en-US" w:eastAsia="zh-CN"/>
        </w:rPr>
        <w:t>j</w:t>
      </w:r>
      <w:r w:rsidRPr="006F0EBE">
        <w:rPr>
          <w:rFonts w:eastAsia="SimSun"/>
          <w:lang w:val="en-US" w:eastAsia="zh-CN"/>
        </w:rPr>
        <w:t xml:space="preserve"> in task </w:t>
      </w:r>
      <w:r w:rsidRPr="006F0EBE">
        <w:rPr>
          <w:rFonts w:eastAsia="SimSun"/>
          <w:i/>
          <w:lang w:val="en-US" w:eastAsia="zh-CN"/>
        </w:rPr>
        <w:t>t</w:t>
      </w:r>
      <w:r w:rsidRPr="006F0EBE">
        <w:rPr>
          <w:rFonts w:eastAsia="SimSun"/>
          <w:lang w:val="en-US" w:eastAsia="zh-CN"/>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5"/>
        <w:gridCol w:w="6861"/>
      </w:tblGrid>
      <w:tr w:rsidR="00671195" w:rsidRPr="006F0EBE" w14:paraId="2ED5BEF1" w14:textId="77777777" w:rsidTr="005205BC">
        <w:tc>
          <w:tcPr>
            <w:tcW w:w="715" w:type="dxa"/>
          </w:tcPr>
          <w:p w14:paraId="69C38BE8" w14:textId="2CD67200" w:rsidR="00671195" w:rsidRPr="006F0EBE" w:rsidRDefault="00671195" w:rsidP="007B0E00">
            <w:pPr>
              <w:spacing w:after="0"/>
              <w:ind w:firstLine="0"/>
              <w:rPr>
                <w:rFonts w:eastAsia="SimSun"/>
                <w:lang w:val="en-US" w:eastAsia="zh-CN"/>
              </w:rPr>
            </w:pPr>
            <w:r w:rsidRPr="006F0EBE">
              <w:rPr>
                <w:rFonts w:eastAsia="SimSun"/>
                <w:lang w:val="en-US" w:eastAsia="zh-CN"/>
              </w:rPr>
              <w:t>(1)</w:t>
            </w:r>
          </w:p>
        </w:tc>
        <w:tc>
          <w:tcPr>
            <w:tcW w:w="6861" w:type="dxa"/>
          </w:tcPr>
          <w:p w14:paraId="0DDB3D92" w14:textId="345F703D" w:rsidR="00671195" w:rsidRPr="006F0EBE" w:rsidRDefault="00094860" w:rsidP="007B0E00">
            <w:pPr>
              <w:spacing w:after="0"/>
              <w:rPr>
                <w:rFonts w:eastAsia="SimSun"/>
                <w:sz w:val="22"/>
                <w:szCs w:val="22"/>
                <w:lang w:val="en-US" w:eastAsia="zh-CN"/>
              </w:rPr>
            </w:pPr>
            <m:oMathPara>
              <m:oMath>
                <m:sSubSup>
                  <m:sSubSupPr>
                    <m:ctrlPr>
                      <w:rPr>
                        <w:rFonts w:ascii="Cambria Math" w:eastAsia="SimSun" w:hAnsi="Cambria Math"/>
                        <w:i/>
                        <w:sz w:val="22"/>
                        <w:szCs w:val="22"/>
                        <w:lang w:val="en-US" w:eastAsia="zh-CN"/>
                      </w:rPr>
                    </m:ctrlPr>
                  </m:sSubSupPr>
                  <m:e>
                    <m:r>
                      <m:rPr>
                        <m:sty m:val="p"/>
                      </m:rPr>
                      <w:rPr>
                        <w:rFonts w:ascii="Cambria Math" w:eastAsia="SimSun" w:hAnsi="Cambria Math"/>
                        <w:sz w:val="22"/>
                        <w:szCs w:val="22"/>
                        <w:lang w:val="en-US" w:eastAsia="zh-CN"/>
                      </w:rPr>
                      <m:t>lnY</m:t>
                    </m:r>
                  </m:e>
                  <m:sub>
                    <m:r>
                      <w:rPr>
                        <w:rFonts w:ascii="Cambria Math" w:eastAsia="SimSun" w:hAnsi="Cambria Math"/>
                        <w:sz w:val="22"/>
                        <w:szCs w:val="22"/>
                        <w:lang w:val="en-US" w:eastAsia="zh-CN"/>
                      </w:rPr>
                      <m:t>jt</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α</m:t>
                    </m:r>
                  </m:e>
                  <m:sub>
                    <m:r>
                      <w:rPr>
                        <w:rFonts w:ascii="Cambria Math" w:eastAsia="SimSun" w:hAnsi="Cambria Math"/>
                        <w:sz w:val="22"/>
                        <w:szCs w:val="22"/>
                        <w:lang w:val="en-US" w:eastAsia="zh-CN"/>
                      </w:rPr>
                      <m:t>j</m:t>
                    </m:r>
                  </m:sub>
                </m:sSub>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β</m:t>
                    </m:r>
                  </m:e>
                  <m:sub>
                    <m:r>
                      <w:rPr>
                        <w:rFonts w:ascii="Cambria Math" w:eastAsia="SimSun" w:hAnsi="Cambria Math"/>
                        <w:sz w:val="22"/>
                        <w:szCs w:val="22"/>
                        <w:lang w:val="en-US" w:eastAsia="zh-CN"/>
                      </w:rPr>
                      <m:t>1</m:t>
                    </m:r>
                  </m:sub>
                </m:sSub>
                <m:sSubSup>
                  <m:sSubSupPr>
                    <m:ctrlPr>
                      <w:rPr>
                        <w:rFonts w:ascii="Cambria Math" w:eastAsia="SimSun" w:hAnsi="Cambria Math"/>
                        <w:i/>
                        <w:sz w:val="22"/>
                        <w:szCs w:val="22"/>
                        <w:lang w:val="en-US" w:eastAsia="zh-CN"/>
                      </w:rPr>
                    </m:ctrlPr>
                  </m:sSubSupPr>
                  <m:e>
                    <m:r>
                      <m:rPr>
                        <m:sty m:val="p"/>
                      </m:rPr>
                      <w:rPr>
                        <w:rFonts w:ascii="Cambria Math" w:eastAsia="SimSun" w:hAnsi="Cambria Math"/>
                        <w:sz w:val="22"/>
                        <w:szCs w:val="22"/>
                        <w:lang w:val="en-US" w:eastAsia="zh-CN"/>
                      </w:rPr>
                      <m:t>tax20</m:t>
                    </m:r>
                  </m:e>
                  <m:sub>
                    <m:r>
                      <w:rPr>
                        <w:rFonts w:ascii="Cambria Math" w:eastAsia="SimSun" w:hAnsi="Cambria Math"/>
                        <w:sz w:val="22"/>
                        <w:szCs w:val="22"/>
                        <w:lang w:val="en-US" w:eastAsia="zh-CN"/>
                      </w:rPr>
                      <m:t>jt</m:t>
                    </m:r>
                  </m:sub>
                  <m:sup>
                    <m:r>
                      <w:rPr>
                        <w:rFonts w:ascii="Cambria Math" w:eastAsia="SimSun" w:hAnsi="Cambria Math"/>
                        <w:sz w:val="22"/>
                        <w:szCs w:val="22"/>
                        <w:lang w:val="en-US" w:eastAsia="zh-CN"/>
                      </w:rPr>
                      <m:t>H</m:t>
                    </m:r>
                  </m:sup>
                </m:sSubSup>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β</m:t>
                    </m:r>
                  </m:e>
                  <m:sub>
                    <m:r>
                      <w:rPr>
                        <w:rFonts w:ascii="Cambria Math" w:eastAsia="SimSun" w:hAnsi="Cambria Math"/>
                        <w:sz w:val="22"/>
                        <w:szCs w:val="22"/>
                        <w:lang w:val="en-US" w:eastAsia="zh-CN"/>
                      </w:rPr>
                      <m:t>2</m:t>
                    </m:r>
                  </m:sub>
                </m:sSub>
                <m:d>
                  <m:dPr>
                    <m:begChr m:val="["/>
                    <m:endChr m:val="]"/>
                    <m:ctrlPr>
                      <w:rPr>
                        <w:rFonts w:ascii="Cambria Math" w:eastAsia="SimSun" w:hAnsi="Cambria Math"/>
                        <w:i/>
                        <w:sz w:val="22"/>
                        <w:szCs w:val="22"/>
                        <w:lang w:val="en-US" w:eastAsia="zh-CN"/>
                      </w:rPr>
                    </m:ctrlPr>
                  </m:dPr>
                  <m:e>
                    <m:sSubSup>
                      <m:sSubSupPr>
                        <m:ctrlPr>
                          <w:rPr>
                            <w:rFonts w:ascii="Cambria Math" w:eastAsia="SimSun" w:hAnsi="Cambria Math"/>
                            <w:i/>
                            <w:sz w:val="22"/>
                            <w:szCs w:val="22"/>
                            <w:lang w:val="en-US" w:eastAsia="zh-CN"/>
                          </w:rPr>
                        </m:ctrlPr>
                      </m:sSubSupPr>
                      <m:e>
                        <m:r>
                          <m:rPr>
                            <m:sty m:val="p"/>
                          </m:rPr>
                          <w:rPr>
                            <w:rFonts w:ascii="Cambria Math" w:eastAsia="SimSun" w:hAnsi="Cambria Math"/>
                            <w:sz w:val="22"/>
                            <w:szCs w:val="22"/>
                            <w:lang w:val="en-US" w:eastAsia="zh-CN"/>
                          </w:rPr>
                          <m:t>tax20</m:t>
                        </m:r>
                      </m:e>
                      <m:sub>
                        <m:r>
                          <w:rPr>
                            <w:rFonts w:ascii="Cambria Math" w:eastAsia="SimSun" w:hAnsi="Cambria Math"/>
                            <w:sz w:val="22"/>
                            <w:szCs w:val="22"/>
                            <w:lang w:val="en-US" w:eastAsia="zh-CN"/>
                          </w:rPr>
                          <m:t>jt</m:t>
                        </m:r>
                      </m:sub>
                      <m:sup>
                        <m:r>
                          <w:rPr>
                            <w:rFonts w:ascii="Cambria Math" w:eastAsia="SimSun" w:hAnsi="Cambria Math"/>
                            <w:sz w:val="22"/>
                            <w:szCs w:val="22"/>
                            <w:lang w:val="en-US" w:eastAsia="zh-CN"/>
                          </w:rPr>
                          <m:t>H</m:t>
                        </m:r>
                      </m:sup>
                    </m:sSubSup>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r>
                          <m:rPr>
                            <m:sty m:val="p"/>
                          </m:rPr>
                          <w:rPr>
                            <w:rFonts w:ascii="Cambria Math" w:eastAsia="SimSun" w:hAnsi="Cambria Math"/>
                            <w:sz w:val="22"/>
                            <w:szCs w:val="22"/>
                            <w:lang w:val="en-US" w:eastAsia="zh-CN"/>
                          </w:rPr>
                          <m:t>signpost</m:t>
                        </m:r>
                      </m:e>
                      <m:sub>
                        <m:r>
                          <w:rPr>
                            <w:rFonts w:ascii="Cambria Math" w:eastAsia="SimSun" w:hAnsi="Cambria Math"/>
                            <w:sz w:val="22"/>
                            <w:szCs w:val="22"/>
                            <w:lang w:val="en-US" w:eastAsia="zh-CN"/>
                          </w:rPr>
                          <m:t>j</m:t>
                        </m:r>
                      </m:sub>
                    </m:sSub>
                  </m:e>
                </m:d>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γ</m:t>
                    </m:r>
                  </m:e>
                  <m:sub>
                    <m:r>
                      <w:rPr>
                        <w:rFonts w:ascii="Cambria Math" w:eastAsia="SimSun" w:hAnsi="Cambria Math"/>
                        <w:sz w:val="22"/>
                        <w:szCs w:val="22"/>
                        <w:lang w:val="en-US" w:eastAsia="zh-CN"/>
                      </w:rPr>
                      <m:t>1</m:t>
                    </m:r>
                  </m:sub>
                </m:sSub>
                <m:sSubSup>
                  <m:sSubSupPr>
                    <m:ctrlPr>
                      <w:rPr>
                        <w:rFonts w:ascii="Cambria Math" w:eastAsia="SimSun" w:hAnsi="Cambria Math"/>
                        <w:i/>
                        <w:sz w:val="22"/>
                        <w:szCs w:val="22"/>
                        <w:lang w:val="en-US" w:eastAsia="zh-CN"/>
                      </w:rPr>
                    </m:ctrlPr>
                  </m:sSubSupPr>
                  <m:e>
                    <m:r>
                      <m:rPr>
                        <m:sty m:val="p"/>
                      </m:rPr>
                      <w:rPr>
                        <w:rFonts w:ascii="Cambria Math" w:eastAsia="SimSun" w:hAnsi="Cambria Math"/>
                        <w:sz w:val="22"/>
                        <w:szCs w:val="22"/>
                        <w:lang w:val="en-US" w:eastAsia="zh-CN"/>
                      </w:rPr>
                      <m:t>tax40</m:t>
                    </m:r>
                  </m:e>
                  <m:sub>
                    <m:r>
                      <w:rPr>
                        <w:rFonts w:ascii="Cambria Math" w:eastAsia="SimSun" w:hAnsi="Cambria Math"/>
                        <w:sz w:val="22"/>
                        <w:szCs w:val="22"/>
                        <w:lang w:val="en-US" w:eastAsia="zh-CN"/>
                      </w:rPr>
                      <m:t>jt</m:t>
                    </m:r>
                  </m:sub>
                  <m:sup>
                    <m:r>
                      <w:rPr>
                        <w:rFonts w:ascii="Cambria Math" w:eastAsia="SimSun" w:hAnsi="Cambria Math"/>
                        <w:sz w:val="22"/>
                        <w:szCs w:val="22"/>
                        <w:lang w:val="en-US" w:eastAsia="zh-CN"/>
                      </w:rPr>
                      <m:t>H</m:t>
                    </m:r>
                  </m:sup>
                </m:sSubSup>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γ</m:t>
                    </m:r>
                  </m:e>
                  <m:sub>
                    <m:r>
                      <w:rPr>
                        <w:rFonts w:ascii="Cambria Math" w:eastAsia="SimSun" w:hAnsi="Cambria Math"/>
                        <w:sz w:val="22"/>
                        <w:szCs w:val="22"/>
                        <w:lang w:val="en-US" w:eastAsia="zh-CN"/>
                      </w:rPr>
                      <m:t>2</m:t>
                    </m:r>
                  </m:sub>
                </m:sSub>
                <m:d>
                  <m:dPr>
                    <m:begChr m:val="["/>
                    <m:endChr m:val="]"/>
                    <m:ctrlPr>
                      <w:rPr>
                        <w:rFonts w:ascii="Cambria Math" w:eastAsia="SimSun" w:hAnsi="Cambria Math"/>
                        <w:i/>
                        <w:sz w:val="22"/>
                        <w:szCs w:val="22"/>
                        <w:lang w:val="en-US" w:eastAsia="zh-CN"/>
                      </w:rPr>
                    </m:ctrlPr>
                  </m:dPr>
                  <m:e>
                    <m:sSubSup>
                      <m:sSubSupPr>
                        <m:ctrlPr>
                          <w:rPr>
                            <w:rFonts w:ascii="Cambria Math" w:eastAsia="SimSun" w:hAnsi="Cambria Math"/>
                            <w:i/>
                            <w:sz w:val="22"/>
                            <w:szCs w:val="22"/>
                            <w:lang w:val="en-US" w:eastAsia="zh-CN"/>
                          </w:rPr>
                        </m:ctrlPr>
                      </m:sSubSupPr>
                      <m:e>
                        <m:r>
                          <m:rPr>
                            <m:sty m:val="p"/>
                          </m:rPr>
                          <w:rPr>
                            <w:rFonts w:ascii="Cambria Math" w:eastAsia="SimSun" w:hAnsi="Cambria Math"/>
                            <w:sz w:val="22"/>
                            <w:szCs w:val="22"/>
                            <w:lang w:val="en-US" w:eastAsia="zh-CN"/>
                          </w:rPr>
                          <m:t>tax40</m:t>
                        </m:r>
                      </m:e>
                      <m:sub>
                        <m:r>
                          <w:rPr>
                            <w:rFonts w:ascii="Cambria Math" w:eastAsia="SimSun" w:hAnsi="Cambria Math"/>
                            <w:sz w:val="22"/>
                            <w:szCs w:val="22"/>
                            <w:lang w:val="en-US" w:eastAsia="zh-CN"/>
                          </w:rPr>
                          <m:t>jt</m:t>
                        </m:r>
                      </m:sub>
                      <m:sup>
                        <m:r>
                          <w:rPr>
                            <w:rFonts w:ascii="Cambria Math" w:eastAsia="SimSun" w:hAnsi="Cambria Math"/>
                            <w:sz w:val="22"/>
                            <w:szCs w:val="22"/>
                            <w:lang w:val="en-US" w:eastAsia="zh-CN"/>
                          </w:rPr>
                          <m:t>H</m:t>
                        </m:r>
                      </m:sup>
                    </m:sSubSup>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r>
                          <m:rPr>
                            <m:sty m:val="p"/>
                          </m:rPr>
                          <w:rPr>
                            <w:rFonts w:ascii="Cambria Math" w:eastAsia="SimSun" w:hAnsi="Cambria Math"/>
                            <w:sz w:val="22"/>
                            <w:szCs w:val="22"/>
                            <w:lang w:val="en-US" w:eastAsia="zh-CN"/>
                          </w:rPr>
                          <m:t>signpost</m:t>
                        </m:r>
                      </m:e>
                      <m:sub>
                        <m:r>
                          <w:rPr>
                            <w:rFonts w:ascii="Cambria Math" w:eastAsia="SimSun" w:hAnsi="Cambria Math"/>
                            <w:sz w:val="22"/>
                            <w:szCs w:val="22"/>
                            <w:lang w:val="en-US" w:eastAsia="zh-CN"/>
                          </w:rPr>
                          <m:t>j</m:t>
                        </m:r>
                      </m:sub>
                    </m:sSub>
                  </m:e>
                </m:d>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θ</m:t>
                    </m:r>
                  </m:e>
                  <m:sub>
                    <m:r>
                      <w:rPr>
                        <w:rFonts w:ascii="Cambria Math" w:eastAsia="SimSun" w:hAnsi="Cambria Math"/>
                        <w:sz w:val="22"/>
                        <w:szCs w:val="22"/>
                        <w:lang w:val="en-US" w:eastAsia="zh-CN"/>
                      </w:rPr>
                      <m:t>1</m:t>
                    </m:r>
                  </m:sub>
                </m:sSub>
                <m:sSubSup>
                  <m:sSubSupPr>
                    <m:ctrlPr>
                      <w:rPr>
                        <w:rFonts w:ascii="Cambria Math" w:eastAsia="SimSun" w:hAnsi="Cambria Math"/>
                        <w:i/>
                        <w:sz w:val="22"/>
                        <w:szCs w:val="22"/>
                        <w:lang w:val="en-US" w:eastAsia="zh-CN"/>
                      </w:rPr>
                    </m:ctrlPr>
                  </m:sSubSupPr>
                  <m:e>
                    <m:r>
                      <m:rPr>
                        <m:sty m:val="p"/>
                      </m:rPr>
                      <w:rPr>
                        <w:rFonts w:ascii="Cambria Math" w:eastAsia="SimSun" w:hAnsi="Cambria Math"/>
                        <w:sz w:val="22"/>
                        <w:szCs w:val="22"/>
                        <w:lang w:val="en-US" w:eastAsia="zh-CN"/>
                      </w:rPr>
                      <m:t>tax20</m:t>
                    </m:r>
                  </m:e>
                  <m:sub>
                    <m:r>
                      <w:rPr>
                        <w:rFonts w:ascii="Cambria Math" w:eastAsia="SimSun" w:hAnsi="Cambria Math"/>
                        <w:sz w:val="22"/>
                        <w:szCs w:val="22"/>
                        <w:lang w:val="en-US" w:eastAsia="zh-CN"/>
                      </w:rPr>
                      <m:t>jt</m:t>
                    </m:r>
                  </m:sub>
                  <m:sup>
                    <m:r>
                      <w:rPr>
                        <w:rFonts w:ascii="Cambria Math" w:eastAsia="SimSun" w:hAnsi="Cambria Math"/>
                        <w:sz w:val="22"/>
                        <w:szCs w:val="22"/>
                        <w:lang w:val="en-US" w:eastAsia="zh-CN"/>
                      </w:rPr>
                      <m:t>LH</m:t>
                    </m:r>
                  </m:sup>
                </m:sSubSup>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θ</m:t>
                    </m:r>
                  </m:e>
                  <m:sub>
                    <m:r>
                      <w:rPr>
                        <w:rFonts w:ascii="Cambria Math" w:eastAsia="SimSun" w:hAnsi="Cambria Math"/>
                        <w:sz w:val="22"/>
                        <w:szCs w:val="22"/>
                        <w:lang w:val="en-US" w:eastAsia="zh-CN"/>
                      </w:rPr>
                      <m:t>2</m:t>
                    </m:r>
                  </m:sub>
                </m:sSub>
                <m:d>
                  <m:dPr>
                    <m:begChr m:val="["/>
                    <m:endChr m:val="]"/>
                    <m:ctrlPr>
                      <w:rPr>
                        <w:rFonts w:ascii="Cambria Math" w:eastAsia="SimSun" w:hAnsi="Cambria Math"/>
                        <w:i/>
                        <w:sz w:val="22"/>
                        <w:szCs w:val="22"/>
                        <w:lang w:val="en-US" w:eastAsia="zh-CN"/>
                      </w:rPr>
                    </m:ctrlPr>
                  </m:dPr>
                  <m:e>
                    <m:sSubSup>
                      <m:sSubSupPr>
                        <m:ctrlPr>
                          <w:rPr>
                            <w:rFonts w:ascii="Cambria Math" w:eastAsia="SimSun" w:hAnsi="Cambria Math"/>
                            <w:i/>
                            <w:sz w:val="22"/>
                            <w:szCs w:val="22"/>
                            <w:lang w:val="en-US" w:eastAsia="zh-CN"/>
                          </w:rPr>
                        </m:ctrlPr>
                      </m:sSubSupPr>
                      <m:e>
                        <m:r>
                          <m:rPr>
                            <m:sty m:val="p"/>
                          </m:rPr>
                          <w:rPr>
                            <w:rFonts w:ascii="Cambria Math" w:eastAsia="SimSun" w:hAnsi="Cambria Math"/>
                            <w:sz w:val="22"/>
                            <w:szCs w:val="22"/>
                            <w:lang w:val="en-US" w:eastAsia="zh-CN"/>
                          </w:rPr>
                          <m:t>tax20</m:t>
                        </m:r>
                      </m:e>
                      <m:sub>
                        <m:r>
                          <w:rPr>
                            <w:rFonts w:ascii="Cambria Math" w:eastAsia="SimSun" w:hAnsi="Cambria Math"/>
                            <w:sz w:val="22"/>
                            <w:szCs w:val="22"/>
                            <w:lang w:val="en-US" w:eastAsia="zh-CN"/>
                          </w:rPr>
                          <m:t>jt</m:t>
                        </m:r>
                      </m:sub>
                      <m:sup>
                        <m:r>
                          <w:rPr>
                            <w:rFonts w:ascii="Cambria Math" w:eastAsia="SimSun" w:hAnsi="Cambria Math"/>
                            <w:sz w:val="22"/>
                            <w:szCs w:val="22"/>
                            <w:lang w:val="en-US" w:eastAsia="zh-CN"/>
                          </w:rPr>
                          <m:t>LH</m:t>
                        </m:r>
                      </m:sup>
                    </m:sSubSup>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r>
                          <m:rPr>
                            <m:sty m:val="p"/>
                          </m:rPr>
                          <w:rPr>
                            <w:rFonts w:ascii="Cambria Math" w:eastAsia="SimSun" w:hAnsi="Cambria Math"/>
                            <w:sz w:val="22"/>
                            <w:szCs w:val="22"/>
                            <w:lang w:val="en-US" w:eastAsia="zh-CN"/>
                          </w:rPr>
                          <m:t>signpost</m:t>
                        </m:r>
                      </m:e>
                      <m:sub>
                        <m:r>
                          <w:rPr>
                            <w:rFonts w:ascii="Cambria Math" w:eastAsia="SimSun" w:hAnsi="Cambria Math"/>
                            <w:sz w:val="22"/>
                            <w:szCs w:val="22"/>
                            <w:lang w:val="en-US" w:eastAsia="zh-CN"/>
                          </w:rPr>
                          <m:t>j</m:t>
                        </m:r>
                      </m:sub>
                    </m:sSub>
                  </m:e>
                </m:d>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μ</m:t>
                    </m:r>
                  </m:e>
                  <m:sub>
                    <m:r>
                      <w:rPr>
                        <w:rFonts w:ascii="Cambria Math" w:eastAsia="SimSun" w:hAnsi="Cambria Math"/>
                        <w:sz w:val="22"/>
                        <w:szCs w:val="22"/>
                        <w:lang w:val="en-US" w:eastAsia="zh-CN"/>
                      </w:rPr>
                      <m:t>1</m:t>
                    </m:r>
                  </m:sub>
                </m:sSub>
                <m:sSubSup>
                  <m:sSubSupPr>
                    <m:ctrlPr>
                      <w:rPr>
                        <w:rFonts w:ascii="Cambria Math" w:eastAsia="SimSun" w:hAnsi="Cambria Math"/>
                        <w:i/>
                        <w:sz w:val="22"/>
                        <w:szCs w:val="22"/>
                        <w:lang w:val="en-US" w:eastAsia="zh-CN"/>
                      </w:rPr>
                    </m:ctrlPr>
                  </m:sSubSupPr>
                  <m:e>
                    <m:r>
                      <m:rPr>
                        <m:sty m:val="p"/>
                      </m:rPr>
                      <w:rPr>
                        <w:rFonts w:ascii="Cambria Math" w:eastAsia="SimSun" w:hAnsi="Cambria Math"/>
                        <w:sz w:val="22"/>
                        <w:szCs w:val="22"/>
                        <w:lang w:val="en-US" w:eastAsia="zh-CN"/>
                      </w:rPr>
                      <m:t>tax40</m:t>
                    </m:r>
                  </m:e>
                  <m:sub>
                    <m:r>
                      <w:rPr>
                        <w:rFonts w:ascii="Cambria Math" w:eastAsia="SimSun" w:hAnsi="Cambria Math"/>
                        <w:sz w:val="22"/>
                        <w:szCs w:val="22"/>
                        <w:lang w:val="en-US" w:eastAsia="zh-CN"/>
                      </w:rPr>
                      <m:t>jt</m:t>
                    </m:r>
                  </m:sub>
                  <m:sup>
                    <m:r>
                      <w:rPr>
                        <w:rFonts w:ascii="Cambria Math" w:eastAsia="SimSun" w:hAnsi="Cambria Math"/>
                        <w:sz w:val="22"/>
                        <w:szCs w:val="22"/>
                        <w:lang w:val="en-US" w:eastAsia="zh-CN"/>
                      </w:rPr>
                      <m:t>LH</m:t>
                    </m:r>
                  </m:sup>
                </m:sSubSup>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μ</m:t>
                    </m:r>
                  </m:e>
                  <m:sub>
                    <m:r>
                      <w:rPr>
                        <w:rFonts w:ascii="Cambria Math" w:eastAsia="SimSun" w:hAnsi="Cambria Math"/>
                        <w:sz w:val="22"/>
                        <w:szCs w:val="22"/>
                        <w:lang w:val="en-US" w:eastAsia="zh-CN"/>
                      </w:rPr>
                      <m:t>2</m:t>
                    </m:r>
                  </m:sub>
                </m:sSub>
                <m:d>
                  <m:dPr>
                    <m:begChr m:val="["/>
                    <m:endChr m:val="]"/>
                    <m:ctrlPr>
                      <w:rPr>
                        <w:rFonts w:ascii="Cambria Math" w:eastAsia="SimSun" w:hAnsi="Cambria Math"/>
                        <w:i/>
                        <w:sz w:val="22"/>
                        <w:szCs w:val="22"/>
                        <w:lang w:val="en-US" w:eastAsia="zh-CN"/>
                      </w:rPr>
                    </m:ctrlPr>
                  </m:dPr>
                  <m:e>
                    <m:sSubSup>
                      <m:sSubSupPr>
                        <m:ctrlPr>
                          <w:rPr>
                            <w:rFonts w:ascii="Cambria Math" w:eastAsia="SimSun" w:hAnsi="Cambria Math"/>
                            <w:i/>
                            <w:sz w:val="22"/>
                            <w:szCs w:val="22"/>
                            <w:lang w:val="en-US" w:eastAsia="zh-CN"/>
                          </w:rPr>
                        </m:ctrlPr>
                      </m:sSubSupPr>
                      <m:e>
                        <m:r>
                          <m:rPr>
                            <m:sty m:val="p"/>
                          </m:rPr>
                          <w:rPr>
                            <w:rFonts w:ascii="Cambria Math" w:eastAsia="SimSun" w:hAnsi="Cambria Math"/>
                            <w:sz w:val="22"/>
                            <w:szCs w:val="22"/>
                            <w:lang w:val="en-US" w:eastAsia="zh-CN"/>
                          </w:rPr>
                          <m:t>tax40</m:t>
                        </m:r>
                      </m:e>
                      <m:sub>
                        <m:r>
                          <w:rPr>
                            <w:rFonts w:ascii="Cambria Math" w:eastAsia="SimSun" w:hAnsi="Cambria Math"/>
                            <w:sz w:val="22"/>
                            <w:szCs w:val="22"/>
                            <w:lang w:val="en-US" w:eastAsia="zh-CN"/>
                          </w:rPr>
                          <m:t>jt</m:t>
                        </m:r>
                      </m:sub>
                      <m:sup>
                        <m:r>
                          <w:rPr>
                            <w:rFonts w:ascii="Cambria Math" w:eastAsia="SimSun" w:hAnsi="Cambria Math"/>
                            <w:sz w:val="22"/>
                            <w:szCs w:val="22"/>
                            <w:lang w:val="en-US" w:eastAsia="zh-CN"/>
                          </w:rPr>
                          <m:t>LH</m:t>
                        </m:r>
                      </m:sup>
                    </m:sSubSup>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r>
                          <m:rPr>
                            <m:sty m:val="p"/>
                          </m:rPr>
                          <w:rPr>
                            <w:rFonts w:ascii="Cambria Math" w:eastAsia="SimSun" w:hAnsi="Cambria Math"/>
                            <w:sz w:val="22"/>
                            <w:szCs w:val="22"/>
                            <w:lang w:val="en-US" w:eastAsia="zh-CN"/>
                          </w:rPr>
                          <m:t>signpost</m:t>
                        </m:r>
                      </m:e>
                      <m:sub>
                        <m:r>
                          <w:rPr>
                            <w:rFonts w:ascii="Cambria Math" w:eastAsia="SimSun" w:hAnsi="Cambria Math"/>
                            <w:sz w:val="22"/>
                            <w:szCs w:val="22"/>
                            <w:lang w:val="en-US" w:eastAsia="zh-CN"/>
                          </w:rPr>
                          <m:t>j</m:t>
                        </m:r>
                      </m:sub>
                    </m:sSub>
                  </m:e>
                </m:d>
                <m:r>
                  <w:rPr>
                    <w:rFonts w:ascii="Cambria Math" w:eastAsia="SimSun" w:hAnsi="Cambria Math"/>
                    <w:sz w:val="22"/>
                    <w:szCs w:val="22"/>
                    <w:lang w:val="en-US" w:eastAsia="zh-CN"/>
                  </w:rPr>
                  <m:t>+δ</m:t>
                </m:r>
                <m:sSub>
                  <m:sSubPr>
                    <m:ctrlPr>
                      <w:rPr>
                        <w:rFonts w:ascii="Cambria Math" w:eastAsia="SimSun" w:hAnsi="Cambria Math"/>
                        <w:i/>
                        <w:sz w:val="22"/>
                        <w:szCs w:val="22"/>
                        <w:lang w:val="en-US" w:eastAsia="zh-CN"/>
                      </w:rPr>
                    </m:ctrlPr>
                  </m:sSubPr>
                  <m:e>
                    <m:r>
                      <m:rPr>
                        <m:sty m:val="p"/>
                      </m:rPr>
                      <w:rPr>
                        <w:rFonts w:ascii="Cambria Math" w:eastAsia="SimSun" w:hAnsi="Cambria Math"/>
                        <w:sz w:val="22"/>
                        <w:szCs w:val="22"/>
                        <w:lang w:val="en-US" w:eastAsia="zh-CN"/>
                      </w:rPr>
                      <m:t>signpost</m:t>
                    </m:r>
                  </m:e>
                  <m:sub>
                    <m:r>
                      <w:rPr>
                        <w:rFonts w:ascii="Cambria Math" w:eastAsia="SimSun" w:hAnsi="Cambria Math"/>
                        <w:sz w:val="22"/>
                        <w:szCs w:val="22"/>
                        <w:lang w:val="en-US" w:eastAsia="zh-CN"/>
                      </w:rPr>
                      <m:t>j</m:t>
                    </m:r>
                  </m:sub>
                </m:sSub>
                <m:r>
                  <w:rPr>
                    <w:rFonts w:ascii="Cambria Math" w:eastAsia="SimSun" w:hAnsi="Cambria Math"/>
                    <w:sz w:val="22"/>
                    <w:szCs w:val="22"/>
                    <w:lang w:val="en-US" w:eastAsia="zh-CN"/>
                  </w:rPr>
                  <m:t>+</m:t>
                </m:r>
                <m:sSubSup>
                  <m:sSubSupPr>
                    <m:ctrlPr>
                      <w:rPr>
                        <w:rFonts w:ascii="Cambria Math" w:eastAsia="SimSun" w:hAnsi="Cambria Math"/>
                        <w:b/>
                        <w:i/>
                        <w:sz w:val="22"/>
                        <w:szCs w:val="22"/>
                        <w:lang w:val="en-US" w:eastAsia="zh-CN"/>
                      </w:rPr>
                    </m:ctrlPr>
                  </m:sSubSupPr>
                  <m:e>
                    <m:r>
                      <m:rPr>
                        <m:sty m:val="b"/>
                      </m:rPr>
                      <w:rPr>
                        <w:rFonts w:ascii="Cambria Math" w:eastAsia="SimSun" w:hAnsi="Cambria Math"/>
                        <w:sz w:val="22"/>
                        <w:szCs w:val="22"/>
                        <w:lang w:val="en-US" w:eastAsia="zh-CN"/>
                      </w:rPr>
                      <m:t>z</m:t>
                    </m:r>
                  </m:e>
                  <m:sub>
                    <m:r>
                      <w:rPr>
                        <w:rFonts w:ascii="Cambria Math" w:eastAsia="SimSun" w:hAnsi="Cambria Math"/>
                        <w:sz w:val="22"/>
                        <w:szCs w:val="22"/>
                        <w:lang w:val="en-US" w:eastAsia="zh-CN"/>
                      </w:rPr>
                      <m:t>j</m:t>
                    </m:r>
                    <m:ctrlPr>
                      <w:rPr>
                        <w:rFonts w:ascii="Cambria Math" w:eastAsia="SimSun" w:hAnsi="Cambria Math"/>
                        <w:i/>
                        <w:sz w:val="22"/>
                        <w:szCs w:val="22"/>
                        <w:lang w:val="en-US" w:eastAsia="zh-CN"/>
                      </w:rPr>
                    </m:ctrlPr>
                  </m:sub>
                  <m:sup>
                    <m:r>
                      <m:rPr>
                        <m:sty m:val="bi"/>
                      </m:rPr>
                      <w:rPr>
                        <w:rFonts w:ascii="Cambria Math" w:eastAsia="SimSun" w:hAnsi="Cambria Math" w:hint="eastAsia"/>
                        <w:sz w:val="22"/>
                        <w:szCs w:val="22"/>
                        <w:lang w:val="en-US" w:eastAsia="zh-CN"/>
                      </w:rPr>
                      <m:t>'</m:t>
                    </m:r>
                  </m:sup>
                </m:sSubSup>
                <m:r>
                  <m:rPr>
                    <m:sty m:val="bi"/>
                  </m:rPr>
                  <w:rPr>
                    <w:rFonts w:ascii="Cambria Math" w:eastAsia="SimSun" w:hAnsi="Cambria Math"/>
                    <w:sz w:val="22"/>
                    <w:szCs w:val="22"/>
                    <w:lang w:val="en-US" w:eastAsia="zh-CN"/>
                  </w:rPr>
                  <m:t>φ</m:t>
                </m:r>
                <m:r>
                  <w:rPr>
                    <w:rFonts w:ascii="Cambria Math" w:eastAsia="SimSun" w:hAnsi="Cambria Math"/>
                    <w:sz w:val="22"/>
                    <w:szCs w:val="22"/>
                    <w:lang w:val="en-US" w:eastAsia="zh-CN"/>
                  </w:rPr>
                  <m:t>+</m:t>
                </m:r>
                <m:sSub>
                  <m:sSubPr>
                    <m:ctrlPr>
                      <w:rPr>
                        <w:rFonts w:ascii="Cambria Math" w:eastAsia="SimSun" w:hAnsi="Cambria Math"/>
                        <w:i/>
                        <w:sz w:val="22"/>
                        <w:szCs w:val="22"/>
                        <w:lang w:val="en-US" w:eastAsia="zh-CN"/>
                      </w:rPr>
                    </m:ctrlPr>
                  </m:sSubPr>
                  <m:e>
                    <m:r>
                      <w:rPr>
                        <w:rFonts w:ascii="Cambria Math" w:eastAsia="SimSun" w:hAnsi="Cambria Math"/>
                        <w:sz w:val="22"/>
                        <w:szCs w:val="22"/>
                        <w:lang w:val="en-US" w:eastAsia="zh-CN"/>
                      </w:rPr>
                      <m:t>ε</m:t>
                    </m:r>
                  </m:e>
                  <m:sub>
                    <m:r>
                      <w:rPr>
                        <w:rFonts w:ascii="Cambria Math" w:eastAsia="SimSun" w:hAnsi="Cambria Math"/>
                        <w:sz w:val="22"/>
                        <w:szCs w:val="22"/>
                        <w:lang w:val="en-US" w:eastAsia="zh-CN"/>
                      </w:rPr>
                      <m:t>jt</m:t>
                    </m:r>
                  </m:sub>
                </m:sSub>
                <m:r>
                  <w:rPr>
                    <w:rFonts w:ascii="Cambria Math" w:eastAsia="SimSun" w:hAnsi="Cambria Math"/>
                    <w:sz w:val="22"/>
                    <w:szCs w:val="22"/>
                    <w:lang w:val="en-US" w:eastAsia="zh-CN"/>
                  </w:rPr>
                  <m:t xml:space="preserve">;                                        </m:t>
                </m:r>
              </m:oMath>
            </m:oMathPara>
          </w:p>
        </w:tc>
      </w:tr>
    </w:tbl>
    <w:p w14:paraId="73360036" w14:textId="60E8F723" w:rsidR="00A41457" w:rsidRPr="006F0EBE" w:rsidRDefault="00094860" w:rsidP="007B0E00">
      <w:pPr>
        <w:spacing w:after="0"/>
        <w:rPr>
          <w:rFonts w:eastAsia="SimSun"/>
          <w:sz w:val="22"/>
          <w:szCs w:val="22"/>
          <w:lang w:val="en-US" w:eastAsia="zh-CN"/>
        </w:rPr>
      </w:pPr>
      <m:oMathPara>
        <m:oMathParaPr>
          <m:jc m:val="left"/>
        </m:oMathParaPr>
        <m:oMath>
          <m:sSub>
            <m:sSubPr>
              <m:ctrlPr>
                <w:rPr>
                  <w:rFonts w:ascii="Cambria Math" w:eastAsia="SimSun" w:hAnsi="Cambria Math"/>
                  <w:i/>
                  <w:sz w:val="22"/>
                  <w:szCs w:val="22"/>
                  <w:lang w:val="en-US" w:eastAsia="zh-CN"/>
                </w:rPr>
              </m:ctrlPr>
            </m:sSubPr>
            <m:e>
              <m:r>
                <m:rPr>
                  <m:sty m:val="p"/>
                </m:rPr>
                <w:rPr>
                  <w:rFonts w:ascii="Cambria Math" w:eastAsia="SimSun" w:hAnsi="Cambria Math"/>
                  <w:sz w:val="22"/>
                  <w:szCs w:val="22"/>
                  <w:lang w:val="en-US" w:eastAsia="zh-CN"/>
                </w:rPr>
                <m:t>lnY</m:t>
              </m:r>
            </m:e>
            <m:sub>
              <m:r>
                <w:rPr>
                  <w:rFonts w:ascii="Cambria Math" w:eastAsia="SimSun" w:hAnsi="Cambria Math"/>
                  <w:sz w:val="22"/>
                  <w:szCs w:val="22"/>
                  <w:lang w:val="en-US" w:eastAsia="zh-CN"/>
                </w:rPr>
                <m:t>jt</m:t>
              </m:r>
            </m:sub>
          </m:sSub>
          <m:r>
            <w:rPr>
              <w:rFonts w:ascii="Cambria Math" w:eastAsia="SimSun" w:hAnsi="Cambria Math"/>
              <w:sz w:val="22"/>
              <w:szCs w:val="22"/>
              <w:lang w:val="en-US" w:eastAsia="zh-CN"/>
            </w:rPr>
            <m:t>=</m:t>
          </m:r>
          <m:sSubSup>
            <m:sSubSupPr>
              <m:ctrlPr>
                <w:rPr>
                  <w:rFonts w:ascii="Cambria Math" w:eastAsia="SimSun" w:hAnsi="Cambria Math"/>
                  <w:i/>
                  <w:sz w:val="22"/>
                  <w:szCs w:val="22"/>
                  <w:lang w:val="en-US" w:eastAsia="zh-CN"/>
                </w:rPr>
              </m:ctrlPr>
            </m:sSubSupPr>
            <m:e>
              <m:r>
                <m:rPr>
                  <m:sty m:val="p"/>
                </m:rPr>
                <w:rPr>
                  <w:rFonts w:ascii="Cambria Math" w:eastAsia="SimSun" w:hAnsi="Cambria Math"/>
                  <w:sz w:val="22"/>
                  <w:szCs w:val="22"/>
                  <w:lang w:val="en-US" w:eastAsia="zh-CN"/>
                </w:rPr>
                <m:t>lnY</m:t>
              </m:r>
            </m:e>
            <m:sub>
              <m:r>
                <w:rPr>
                  <w:rFonts w:ascii="Cambria Math" w:eastAsia="SimSun" w:hAnsi="Cambria Math"/>
                  <w:sz w:val="22"/>
                  <w:szCs w:val="22"/>
                  <w:lang w:val="en-US" w:eastAsia="zh-CN"/>
                </w:rPr>
                <m:t>jt</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 xml:space="preserve">  </m:t>
          </m:r>
          <m:r>
            <m:rPr>
              <m:sty m:val="p"/>
            </m:rPr>
            <w:rPr>
              <w:rFonts w:ascii="Cambria Math" w:eastAsia="SimSun" w:hAnsi="Cambria Math"/>
              <w:sz w:val="22"/>
              <w:szCs w:val="22"/>
              <w:lang w:val="en-US" w:eastAsia="zh-CN"/>
            </w:rPr>
            <m:t>if</m:t>
          </m:r>
          <m:r>
            <w:rPr>
              <w:rFonts w:ascii="Cambria Math" w:eastAsia="SimSun" w:hAnsi="Cambria Math"/>
              <w:sz w:val="22"/>
              <w:szCs w:val="22"/>
              <w:lang w:val="en-US" w:eastAsia="zh-CN"/>
            </w:rPr>
            <m:t xml:space="preserve">  </m:t>
          </m:r>
          <m:sSubSup>
            <m:sSubSupPr>
              <m:ctrlPr>
                <w:rPr>
                  <w:rFonts w:ascii="Cambria Math" w:eastAsia="SimSun" w:hAnsi="Cambria Math"/>
                  <w:i/>
                  <w:sz w:val="22"/>
                  <w:szCs w:val="22"/>
                  <w:lang w:val="en-US" w:eastAsia="zh-CN"/>
                </w:rPr>
              </m:ctrlPr>
            </m:sSubSupPr>
            <m:e>
              <m:r>
                <m:rPr>
                  <m:sty m:val="p"/>
                </m:rPr>
                <w:rPr>
                  <w:rFonts w:ascii="Cambria Math" w:eastAsia="SimSun" w:hAnsi="Cambria Math"/>
                  <w:sz w:val="22"/>
                  <w:szCs w:val="22"/>
                  <w:lang w:val="en-US" w:eastAsia="zh-CN"/>
                </w:rPr>
                <m:t>lnY</m:t>
              </m:r>
            </m:e>
            <m:sub>
              <m:r>
                <w:rPr>
                  <w:rFonts w:ascii="Cambria Math" w:eastAsia="SimSun" w:hAnsi="Cambria Math"/>
                  <w:sz w:val="22"/>
                  <w:szCs w:val="22"/>
                  <w:lang w:val="en-US" w:eastAsia="zh-CN"/>
                </w:rPr>
                <m:t>jt</m:t>
              </m:r>
            </m:sub>
            <m:sup>
              <m:r>
                <w:rPr>
                  <w:rFonts w:ascii="Cambria Math" w:eastAsia="SimSun" w:hAnsi="Cambria Math"/>
                  <w:sz w:val="22"/>
                  <w:szCs w:val="22"/>
                  <w:lang w:val="en-US" w:eastAsia="zh-CN"/>
                </w:rPr>
                <m:t>*</m:t>
              </m:r>
            </m:sup>
          </m:sSubSup>
          <m:r>
            <w:rPr>
              <w:rFonts w:ascii="Cambria Math" w:eastAsia="SimSun" w:hAnsi="Cambria Math"/>
              <w:sz w:val="22"/>
              <w:szCs w:val="22"/>
              <w:lang w:val="en-US" w:eastAsia="zh-CN"/>
            </w:rPr>
            <m:t xml:space="preserve">&gt;0 </m:t>
          </m:r>
          <m:r>
            <m:rPr>
              <m:sty m:val="p"/>
            </m:rPr>
            <w:rPr>
              <w:rFonts w:ascii="Cambria Math" w:eastAsia="SimSun" w:hAnsi="Cambria Math"/>
              <w:sz w:val="22"/>
              <w:szCs w:val="22"/>
              <w:lang w:val="en-US" w:eastAsia="zh-CN"/>
            </w:rPr>
            <m:t>and</m:t>
          </m:r>
          <m:r>
            <w:rPr>
              <w:rFonts w:ascii="Cambria Math" w:eastAsia="SimSun" w:hAnsi="Cambria Math"/>
              <w:sz w:val="22"/>
              <w:szCs w:val="22"/>
              <w:lang w:val="en-US" w:eastAsia="zh-CN"/>
            </w:rPr>
            <m:t xml:space="preserve"> </m:t>
          </m:r>
          <m:sSub>
            <m:sSubPr>
              <m:ctrlPr>
                <w:rPr>
                  <w:rFonts w:ascii="Cambria Math" w:eastAsia="SimSun" w:hAnsi="Cambria Math"/>
                  <w:i/>
                  <w:sz w:val="22"/>
                  <w:szCs w:val="22"/>
                  <w:lang w:val="en-US" w:eastAsia="zh-CN"/>
                </w:rPr>
              </m:ctrlPr>
            </m:sSubPr>
            <m:e>
              <m:r>
                <m:rPr>
                  <m:sty m:val="p"/>
                </m:rPr>
                <w:rPr>
                  <w:rFonts w:ascii="Cambria Math" w:eastAsia="SimSun" w:hAnsi="Cambria Math"/>
                  <w:sz w:val="22"/>
                  <w:szCs w:val="22"/>
                  <w:lang w:val="en-US" w:eastAsia="zh-CN"/>
                </w:rPr>
                <m:t>lnY</m:t>
              </m:r>
            </m:e>
            <m:sub>
              <m:r>
                <w:rPr>
                  <w:rFonts w:ascii="Cambria Math" w:eastAsia="SimSun" w:hAnsi="Cambria Math"/>
                  <w:sz w:val="22"/>
                  <w:szCs w:val="22"/>
                  <w:lang w:val="en-US" w:eastAsia="zh-CN"/>
                </w:rPr>
                <m:t>jt</m:t>
              </m:r>
            </m:sub>
          </m:sSub>
          <m:r>
            <w:rPr>
              <w:rFonts w:ascii="Cambria Math" w:eastAsia="SimSun" w:hAnsi="Cambria Math"/>
              <w:sz w:val="22"/>
              <w:szCs w:val="22"/>
              <w:lang w:val="en-US" w:eastAsia="zh-CN"/>
            </w:rPr>
            <m:t xml:space="preserve">=0 </m:t>
          </m:r>
          <m:r>
            <m:rPr>
              <m:sty m:val="p"/>
            </m:rPr>
            <w:rPr>
              <w:rFonts w:ascii="Cambria Math" w:eastAsia="SimSun" w:hAnsi="Cambria Math"/>
              <w:sz w:val="22"/>
              <w:szCs w:val="22"/>
              <w:lang w:val="en-US" w:eastAsia="zh-CN"/>
            </w:rPr>
            <m:t>otherwise</m:t>
          </m:r>
          <m:r>
            <w:rPr>
              <w:rFonts w:ascii="Cambria Math" w:eastAsia="SimSun" w:hAnsi="Cambria Math"/>
              <w:sz w:val="22"/>
              <w:szCs w:val="22"/>
              <w:lang w:val="en-US" w:eastAsia="zh-CN"/>
            </w:rPr>
            <m:t>.</m:t>
          </m:r>
        </m:oMath>
      </m:oMathPara>
    </w:p>
    <w:p w14:paraId="79B30E3A" w14:textId="3AEDC248" w:rsidR="00A41457" w:rsidRPr="006F0EBE" w:rsidRDefault="00094860" w:rsidP="007B0E00">
      <w:pPr>
        <w:spacing w:after="0"/>
        <w:ind w:firstLine="0"/>
        <w:rPr>
          <w:rFonts w:eastAsia="SimSun"/>
          <w:lang w:val="en-US" w:eastAsia="zh-CN"/>
        </w:rPr>
      </w:pPr>
      <m:oMath>
        <m:sSub>
          <m:sSubPr>
            <m:ctrlPr>
              <w:rPr>
                <w:rFonts w:ascii="Cambria Math" w:eastAsia="SimSun" w:hAnsi="Cambria Math"/>
                <w:i/>
                <w:lang w:val="en-US" w:eastAsia="zh-CN"/>
              </w:rPr>
            </m:ctrlPr>
          </m:sSubPr>
          <m:e>
            <m:r>
              <m:rPr>
                <m:sty m:val="p"/>
              </m:rPr>
              <w:rPr>
                <w:rFonts w:ascii="Cambria Math" w:eastAsia="SimSun" w:hAnsi="Cambria Math"/>
                <w:lang w:val="en-US" w:eastAsia="zh-CN"/>
              </w:rPr>
              <m:t>ln</m:t>
            </m:r>
            <m:r>
              <w:rPr>
                <w:rFonts w:ascii="Cambria Math" w:eastAsia="SimSun" w:hAnsi="Cambria Math"/>
                <w:lang w:val="en-US" w:eastAsia="zh-CN"/>
              </w:rPr>
              <m:t>Y</m:t>
            </m:r>
          </m:e>
          <m:sub>
            <m:r>
              <w:rPr>
                <w:rFonts w:ascii="Cambria Math" w:eastAsia="SimSun" w:hAnsi="Cambria Math"/>
                <w:lang w:val="en-US" w:eastAsia="zh-CN"/>
              </w:rPr>
              <m:t>jt</m:t>
            </m:r>
          </m:sub>
        </m:sSub>
      </m:oMath>
      <w:r w:rsidR="00A41457" w:rsidRPr="006F0EBE">
        <w:rPr>
          <w:rFonts w:eastAsia="SimSun"/>
          <w:lang w:val="en-US" w:eastAsia="zh-CN"/>
        </w:rPr>
        <w:t xml:space="preserve"> gives the volume of healthier and less healthy products purchased in each product category. We use </w:t>
      </w:r>
      <w:r w:rsidR="00CA2D29" w:rsidRPr="006F0EBE">
        <w:rPr>
          <w:rFonts w:eastAsia="SimSun"/>
          <w:lang w:val="en-US" w:eastAsia="zh-CN"/>
        </w:rPr>
        <w:t xml:space="preserve">a </w:t>
      </w:r>
      <w:r w:rsidR="00A41457" w:rsidRPr="006F0EBE">
        <w:rPr>
          <w:rFonts w:eastAsia="SimSun"/>
          <w:lang w:val="en-US" w:eastAsia="zh-CN"/>
        </w:rPr>
        <w:t xml:space="preserve">log-scaled variable because the distribution of </w:t>
      </w:r>
      <m:oMath>
        <m:sSub>
          <m:sSubPr>
            <m:ctrlPr>
              <w:rPr>
                <w:rFonts w:ascii="Cambria Math" w:eastAsia="SimSun" w:hAnsi="Cambria Math"/>
                <w:i/>
                <w:lang w:val="en-US" w:eastAsia="zh-CN"/>
              </w:rPr>
            </m:ctrlPr>
          </m:sSubPr>
          <m:e>
            <m:r>
              <w:rPr>
                <w:rFonts w:ascii="Cambria Math" w:eastAsia="SimSun" w:hAnsi="Cambria Math"/>
                <w:lang w:val="en-US" w:eastAsia="zh-CN"/>
              </w:rPr>
              <m:t>Y</m:t>
            </m:r>
          </m:e>
          <m:sub>
            <m:r>
              <w:rPr>
                <w:rFonts w:ascii="Cambria Math" w:eastAsia="SimSun" w:hAnsi="Cambria Math"/>
                <w:lang w:val="en-US" w:eastAsia="zh-CN"/>
              </w:rPr>
              <m:t>jt</m:t>
            </m:r>
          </m:sub>
        </m:sSub>
      </m:oMath>
      <w:r w:rsidR="00A41457" w:rsidRPr="006F0EBE">
        <w:rPr>
          <w:rFonts w:eastAsia="SimSun"/>
          <w:lang w:val="en-US" w:eastAsia="zh-CN"/>
        </w:rPr>
        <w:t xml:space="preserve"> is highly skewed (see </w:t>
      </w:r>
      <w:r w:rsidR="00B85A9E" w:rsidRPr="006F0EBE">
        <w:rPr>
          <w:rFonts w:eastAsia="SimSun"/>
          <w:lang w:val="en-US" w:eastAsia="zh-CN"/>
        </w:rPr>
        <w:t>the online appendix</w:t>
      </w:r>
      <w:r w:rsidR="00A41457" w:rsidRPr="006F0EBE">
        <w:rPr>
          <w:rFonts w:eastAsia="SimSun"/>
          <w:lang w:val="en-US" w:eastAsia="zh-CN"/>
        </w:rPr>
        <w:t xml:space="preserve"> </w:t>
      </w:r>
      <w:r w:rsidR="00D41834">
        <w:rPr>
          <w:rFonts w:eastAsia="SimSun"/>
          <w:lang w:val="en-US" w:eastAsia="zh-CN"/>
        </w:rPr>
        <w:t xml:space="preserve">A </w:t>
      </w:r>
      <w:r w:rsidR="00A41457" w:rsidRPr="006F0EBE">
        <w:rPr>
          <w:rFonts w:eastAsia="SimSun"/>
          <w:lang w:val="en-US" w:eastAsia="zh-CN"/>
        </w:rPr>
        <w:t xml:space="preserve">for distributions). </w:t>
      </w:r>
      <w:r w:rsidR="000049AF">
        <w:rPr>
          <w:rFonts w:eastAsia="SimSun"/>
          <w:lang w:val="en-US" w:eastAsia="zh-CN"/>
        </w:rPr>
        <w:t>The</w:t>
      </w:r>
      <w:r w:rsidR="000049AF" w:rsidRPr="000049AF">
        <w:rPr>
          <w:rFonts w:eastAsia="SimSun"/>
          <w:lang w:val="en-US" w:eastAsia="zh-CN"/>
        </w:rPr>
        <w:t xml:space="preserve"> </w:t>
      </w:r>
      <w:r w:rsidR="000049AF">
        <w:rPr>
          <w:rFonts w:eastAsia="SimSun"/>
          <w:lang w:val="en-US" w:eastAsia="zh-CN"/>
        </w:rPr>
        <w:t>log-scaled variable</w:t>
      </w:r>
      <w:r w:rsidR="000049AF" w:rsidRPr="000049AF">
        <w:rPr>
          <w:rFonts w:eastAsia="SimSun"/>
          <w:lang w:val="en-US" w:eastAsia="zh-CN"/>
        </w:rPr>
        <w:t xml:space="preserve"> close</w:t>
      </w:r>
      <w:r w:rsidR="000049AF">
        <w:rPr>
          <w:rFonts w:eastAsia="SimSun"/>
          <w:lang w:val="en-US" w:eastAsia="zh-CN"/>
        </w:rPr>
        <w:t xml:space="preserve">ly follows </w:t>
      </w:r>
      <w:r w:rsidR="000049AF" w:rsidRPr="000049AF">
        <w:rPr>
          <w:rFonts w:eastAsia="SimSun"/>
          <w:lang w:val="en-US" w:eastAsia="zh-CN"/>
        </w:rPr>
        <w:t>a normal distributions with no outlier values, except zero, which is addressed by using Tobit regression models.</w:t>
      </w:r>
    </w:p>
    <w:p w14:paraId="6535B596" w14:textId="785A9B69" w:rsidR="00A41457" w:rsidRPr="006F0EBE" w:rsidRDefault="00A41457" w:rsidP="007B0E00">
      <w:pPr>
        <w:spacing w:after="0"/>
        <w:rPr>
          <w:rFonts w:eastAsia="SimSun"/>
          <w:b/>
          <w:bCs/>
          <w:lang w:val="en-US" w:eastAsia="zh-CN"/>
        </w:rPr>
      </w:pPr>
      <w:r w:rsidRPr="006F0EBE">
        <w:rPr>
          <w:rFonts w:eastAsia="SimSun"/>
          <w:lang w:val="en-US" w:eastAsia="zh-CN"/>
        </w:rPr>
        <w:t xml:space="preserve">The key independent variables </w:t>
      </w:r>
      <m:oMath>
        <m:sSubSup>
          <m:sSubSupPr>
            <m:ctrlPr>
              <w:rPr>
                <w:rFonts w:ascii="Cambria Math" w:eastAsia="SimSun" w:hAnsi="Cambria Math"/>
                <w:i/>
                <w:lang w:val="en-US" w:eastAsia="zh-CN"/>
              </w:rPr>
            </m:ctrlPr>
          </m:sSubSupPr>
          <m:e>
            <m:r>
              <m:rPr>
                <m:sty m:val="p"/>
              </m:rPr>
              <w:rPr>
                <w:rFonts w:ascii="Cambria Math" w:eastAsia="SimSun" w:hAnsi="Cambria Math"/>
                <w:lang w:val="en-US" w:eastAsia="zh-CN"/>
              </w:rPr>
              <m:t>tax20</m:t>
            </m:r>
          </m:e>
          <m:sub>
            <m:r>
              <w:rPr>
                <w:rFonts w:ascii="Cambria Math" w:eastAsia="SimSun" w:hAnsi="Cambria Math"/>
                <w:lang w:val="en-US" w:eastAsia="zh-CN"/>
              </w:rPr>
              <m:t>jt</m:t>
            </m:r>
          </m:sub>
          <m:sup>
            <m:r>
              <w:rPr>
                <w:rFonts w:ascii="Cambria Math" w:eastAsia="SimSun" w:hAnsi="Cambria Math"/>
                <w:lang w:val="en-US" w:eastAsia="zh-CN"/>
              </w:rPr>
              <m:t>LH</m:t>
            </m:r>
          </m:sup>
        </m:sSubSup>
      </m:oMath>
      <w:r w:rsidRPr="006F0EBE">
        <w:rPr>
          <w:rFonts w:eastAsia="SimSun"/>
          <w:lang w:val="en-US" w:eastAsia="zh-CN"/>
        </w:rPr>
        <w:t xml:space="preserve"> and </w:t>
      </w:r>
      <m:oMath>
        <m:sSubSup>
          <m:sSubSupPr>
            <m:ctrlPr>
              <w:rPr>
                <w:rFonts w:ascii="Cambria Math" w:eastAsia="SimSun" w:hAnsi="Cambria Math"/>
                <w:i/>
                <w:lang w:val="en-US" w:eastAsia="zh-CN"/>
              </w:rPr>
            </m:ctrlPr>
          </m:sSubSupPr>
          <m:e>
            <m:r>
              <m:rPr>
                <m:sty m:val="p"/>
              </m:rPr>
              <w:rPr>
                <w:rFonts w:ascii="Cambria Math" w:eastAsia="SimSun" w:hAnsi="Cambria Math"/>
                <w:lang w:val="en-US" w:eastAsia="zh-CN"/>
              </w:rPr>
              <m:t>tax40</m:t>
            </m:r>
          </m:e>
          <m:sub>
            <m:r>
              <w:rPr>
                <w:rFonts w:ascii="Cambria Math" w:eastAsia="SimSun" w:hAnsi="Cambria Math"/>
                <w:lang w:val="en-US" w:eastAsia="zh-CN"/>
              </w:rPr>
              <m:t>jt</m:t>
            </m:r>
          </m:sub>
          <m:sup>
            <m:r>
              <w:rPr>
                <w:rFonts w:ascii="Cambria Math" w:eastAsia="SimSun" w:hAnsi="Cambria Math"/>
                <w:lang w:val="en-US" w:eastAsia="zh-CN"/>
              </w:rPr>
              <m:t>LH</m:t>
            </m:r>
          </m:sup>
        </m:sSubSup>
      </m:oMath>
      <w:r w:rsidRPr="006F0EBE">
        <w:rPr>
          <w:rFonts w:eastAsia="SimSun"/>
          <w:lang w:val="en-US" w:eastAsia="zh-CN"/>
        </w:rPr>
        <w:t xml:space="preserve"> are indicators of the price manipulations, representing the 20% or 40% tax on less healthy (LH) products, respectivel</w:t>
      </w:r>
      <w:r w:rsidR="00CF7C3C">
        <w:rPr>
          <w:rFonts w:eastAsia="SimSun"/>
          <w:lang w:val="en-US" w:eastAsia="zh-CN"/>
        </w:rPr>
        <w:t>y</w:t>
      </w:r>
      <w:r w:rsidRPr="006F0EBE">
        <w:rPr>
          <w:rFonts w:eastAsia="SimSun"/>
          <w:lang w:val="en-US" w:eastAsia="zh-CN"/>
        </w:rPr>
        <w:t xml:space="preserve">. These variables are interacted with the indicator of the signpost condition. </w:t>
      </w:r>
      <w:r w:rsidR="005115B3" w:rsidRPr="006F0EBE">
        <w:rPr>
          <w:rFonts w:eastAsia="SimSun"/>
          <w:lang w:val="en-US" w:eastAsia="zh-CN"/>
        </w:rPr>
        <w:t>N</w:t>
      </w:r>
      <w:r w:rsidR="00CF7C3C">
        <w:rPr>
          <w:rFonts w:eastAsia="SimSun"/>
          <w:lang w:val="en-US" w:eastAsia="zh-CN"/>
        </w:rPr>
        <w:t xml:space="preserve">ote </w:t>
      </w:r>
      <w:r w:rsidR="005115B3" w:rsidRPr="006F0EBE">
        <w:rPr>
          <w:rFonts w:eastAsia="SimSun"/>
          <w:lang w:val="en-US" w:eastAsia="zh-CN"/>
        </w:rPr>
        <w:t>that the coefficients alone represent the impacts of the interventions on the latent outcome (</w:t>
      </w:r>
      <m:oMath>
        <m:sSubSup>
          <m:sSubSupPr>
            <m:ctrlPr>
              <w:rPr>
                <w:rFonts w:ascii="Cambria Math" w:eastAsia="SimSun" w:hAnsi="Cambria Math"/>
                <w:i/>
                <w:lang w:val="en-US" w:eastAsia="zh-CN"/>
              </w:rPr>
            </m:ctrlPr>
          </m:sSubSupPr>
          <m:e>
            <m:r>
              <m:rPr>
                <m:sty m:val="p"/>
              </m:rPr>
              <w:rPr>
                <w:rFonts w:ascii="Cambria Math" w:eastAsia="SimSun" w:hAnsi="Cambria Math"/>
                <w:lang w:val="en-US" w:eastAsia="zh-CN"/>
              </w:rPr>
              <m:t>lnY</m:t>
            </m:r>
          </m:e>
          <m:sub>
            <m:r>
              <w:rPr>
                <w:rFonts w:ascii="Cambria Math" w:eastAsia="SimSun" w:hAnsi="Cambria Math"/>
                <w:lang w:val="en-US" w:eastAsia="zh-CN"/>
              </w:rPr>
              <m:t>jt</m:t>
            </m:r>
          </m:sub>
          <m:sup>
            <m:r>
              <w:rPr>
                <w:rFonts w:ascii="Cambria Math" w:eastAsia="SimSun" w:hAnsi="Cambria Math"/>
                <w:lang w:val="en-US" w:eastAsia="zh-CN"/>
              </w:rPr>
              <m:t>*</m:t>
            </m:r>
          </m:sup>
        </m:sSubSup>
      </m:oMath>
      <w:r w:rsidR="005115B3" w:rsidRPr="006F0EBE">
        <w:rPr>
          <w:rFonts w:eastAsia="SimSun"/>
          <w:lang w:val="en-US" w:eastAsia="zh-CN"/>
        </w:rPr>
        <w:t>), rather than the impacts on the actual outcome (</w:t>
      </w:r>
      <m:oMath>
        <m:sSub>
          <m:sSubPr>
            <m:ctrlPr>
              <w:rPr>
                <w:rFonts w:ascii="Cambria Math" w:eastAsia="SimSun" w:hAnsi="Cambria Math"/>
                <w:i/>
                <w:lang w:val="en-US" w:eastAsia="zh-CN"/>
              </w:rPr>
            </m:ctrlPr>
          </m:sSubPr>
          <m:e>
            <m:r>
              <m:rPr>
                <m:sty m:val="p"/>
              </m:rPr>
              <w:rPr>
                <w:rFonts w:ascii="Cambria Math" w:eastAsia="SimSun" w:hAnsi="Cambria Math"/>
                <w:lang w:val="en-US" w:eastAsia="zh-CN"/>
              </w:rPr>
              <m:t>lnY</m:t>
            </m:r>
          </m:e>
          <m:sub>
            <m:r>
              <w:rPr>
                <w:rFonts w:ascii="Cambria Math" w:eastAsia="SimSun" w:hAnsi="Cambria Math"/>
                <w:lang w:val="en-US" w:eastAsia="zh-CN"/>
              </w:rPr>
              <m:t>jt</m:t>
            </m:r>
          </m:sub>
        </m:sSub>
      </m:oMath>
      <w:r w:rsidR="005115B3" w:rsidRPr="006F0EBE">
        <w:rPr>
          <w:rFonts w:eastAsia="SimSun"/>
          <w:lang w:val="en-US" w:eastAsia="zh-CN"/>
        </w:rPr>
        <w:t>)</w:t>
      </w:r>
      <w:r w:rsidR="00CC3068" w:rsidRPr="006F0EBE">
        <w:rPr>
          <w:rFonts w:eastAsia="SimSun"/>
          <w:lang w:val="en-US" w:eastAsia="zh-CN"/>
        </w:rPr>
        <w:t>.</w:t>
      </w:r>
      <w:r w:rsidR="005115B3" w:rsidRPr="006F0EBE">
        <w:rPr>
          <w:rFonts w:eastAsia="SimSun"/>
          <w:lang w:val="en-US" w:eastAsia="zh-CN"/>
        </w:rPr>
        <w:t xml:space="preserve"> We are interested in the latter, and hence we re-evaluate the estimated coefficients to represent the partial effects on the actual outcome</w:t>
      </w:r>
      <w:r w:rsidR="000049AF">
        <w:rPr>
          <w:rFonts w:eastAsia="SimSun"/>
          <w:lang w:val="en-US" w:eastAsia="zh-CN"/>
        </w:rPr>
        <w:t>; t</w:t>
      </w:r>
      <w:r w:rsidR="000049AF" w:rsidRPr="000049AF">
        <w:rPr>
          <w:rFonts w:eastAsia="SimSun"/>
          <w:lang w:val="en-US" w:eastAsia="zh-CN"/>
        </w:rPr>
        <w:t>his involves weighting of the estimated coefficients by the probability of not being censored</w:t>
      </w:r>
      <w:r w:rsidR="005115B3" w:rsidRPr="006F0EBE">
        <w:rPr>
          <w:rFonts w:eastAsia="SimSun"/>
          <w:lang w:val="en-US" w:eastAsia="zh-CN"/>
        </w:rPr>
        <w:t>.</w:t>
      </w:r>
      <w:r w:rsidR="00CC3068" w:rsidRPr="006F0EBE">
        <w:rPr>
          <w:rFonts w:eastAsia="SimSun"/>
          <w:lang w:val="en-US" w:eastAsia="zh-CN"/>
        </w:rPr>
        <w:t xml:space="preserve"> </w:t>
      </w:r>
      <w:r w:rsidRPr="006F0EBE">
        <w:rPr>
          <w:rFonts w:eastAsia="SimSun"/>
          <w:lang w:val="en-US" w:eastAsia="zh-CN"/>
        </w:rPr>
        <w:t xml:space="preserve">The vector </w:t>
      </w:r>
      <m:oMath>
        <m:sSub>
          <m:sSubPr>
            <m:ctrlPr>
              <w:rPr>
                <w:rFonts w:ascii="Cambria Math" w:eastAsia="SimSun" w:hAnsi="Cambria Math"/>
                <w:i/>
                <w:lang w:val="en-US" w:eastAsia="zh-CN"/>
              </w:rPr>
            </m:ctrlPr>
          </m:sSubPr>
          <m:e>
            <m:r>
              <m:rPr>
                <m:sty m:val="b"/>
              </m:rPr>
              <w:rPr>
                <w:rFonts w:ascii="Cambria Math" w:eastAsia="SimSun" w:hAnsi="Cambria Math"/>
                <w:lang w:val="en-US" w:eastAsia="zh-CN"/>
              </w:rPr>
              <m:t>z</m:t>
            </m:r>
          </m:e>
          <m:sub>
            <m:r>
              <w:rPr>
                <w:rFonts w:ascii="Cambria Math" w:eastAsia="SimSun" w:hAnsi="Cambria Math"/>
                <w:lang w:val="en-US" w:eastAsia="zh-CN"/>
              </w:rPr>
              <m:t>j</m:t>
            </m:r>
          </m:sub>
        </m:sSub>
      </m:oMath>
      <w:r w:rsidRPr="006F0EBE">
        <w:rPr>
          <w:rFonts w:eastAsia="SimSun"/>
          <w:lang w:val="en-US" w:eastAsia="zh-CN"/>
        </w:rPr>
        <w:t xml:space="preserve"> includes </w:t>
      </w:r>
      <w:r w:rsidR="00E267F0" w:rsidRPr="006F0EBE">
        <w:rPr>
          <w:rFonts w:eastAsia="SimSun"/>
          <w:lang w:val="en-US" w:eastAsia="zh-CN"/>
        </w:rPr>
        <w:t>various</w:t>
      </w:r>
      <w:r w:rsidRPr="006F0EBE">
        <w:rPr>
          <w:rFonts w:eastAsia="SimSun"/>
          <w:lang w:val="en-US" w:eastAsia="zh-CN"/>
        </w:rPr>
        <w:t xml:space="preserve"> </w:t>
      </w:r>
      <w:r w:rsidR="00E267F0" w:rsidRPr="006F0EBE">
        <w:rPr>
          <w:rFonts w:eastAsia="SimSun"/>
          <w:lang w:val="en-US" w:eastAsia="zh-CN"/>
        </w:rPr>
        <w:t>other</w:t>
      </w:r>
      <w:r w:rsidRPr="006F0EBE">
        <w:rPr>
          <w:rFonts w:eastAsia="SimSun"/>
          <w:lang w:val="en-US" w:eastAsia="zh-CN"/>
        </w:rPr>
        <w:t xml:space="preserve"> variables</w:t>
      </w:r>
      <w:r w:rsidR="00E267F0" w:rsidRPr="006F0EBE">
        <w:rPr>
          <w:rFonts w:eastAsia="SimSun"/>
          <w:lang w:val="en-US" w:eastAsia="zh-CN"/>
        </w:rPr>
        <w:t xml:space="preserve"> as discussed. </w:t>
      </w:r>
      <w:r w:rsidRPr="006F0EBE">
        <w:rPr>
          <w:rFonts w:eastAsia="SimSun"/>
          <w:lang w:val="en-US" w:eastAsia="zh-CN"/>
        </w:rPr>
        <w:t>In order to take into account the within-subject correlation in purchasing, we estimate the standard errors of the parameters via block bootstrap, which gives subject-level cluster-robust standard errors (Bertrand et al. 2004; Cameron et al. 2008).</w:t>
      </w:r>
    </w:p>
    <w:p w14:paraId="588438B2" w14:textId="3E984303" w:rsidR="00803143" w:rsidRPr="006F0EBE" w:rsidRDefault="005C5969" w:rsidP="007B0E00">
      <w:pPr>
        <w:spacing w:after="0"/>
        <w:ind w:firstLine="0"/>
        <w:jc w:val="center"/>
        <w:rPr>
          <w:rFonts w:eastAsia="SimSun"/>
          <w:b/>
          <w:bCs/>
          <w:lang w:val="en-US" w:eastAsia="zh-CN"/>
        </w:rPr>
      </w:pPr>
      <w:r>
        <w:rPr>
          <w:rFonts w:eastAsia="SimSun"/>
          <w:b/>
          <w:bCs/>
          <w:lang w:val="en-US" w:eastAsia="zh-CN"/>
        </w:rPr>
        <w:t>4.</w:t>
      </w:r>
      <w:r w:rsidR="00A44687" w:rsidRPr="006F0EBE">
        <w:rPr>
          <w:rFonts w:eastAsia="SimSun"/>
          <w:b/>
          <w:bCs/>
          <w:lang w:val="en-US" w:eastAsia="zh-CN"/>
        </w:rPr>
        <w:t xml:space="preserve"> </w:t>
      </w:r>
      <w:r w:rsidR="00803143" w:rsidRPr="006F0EBE">
        <w:rPr>
          <w:rFonts w:eastAsia="SimSun"/>
          <w:b/>
          <w:bCs/>
          <w:lang w:val="en-US" w:eastAsia="zh-CN"/>
        </w:rPr>
        <w:t>Results</w:t>
      </w:r>
    </w:p>
    <w:p w14:paraId="3E874A01" w14:textId="5A67040C" w:rsidR="00803143" w:rsidRPr="000049AF" w:rsidRDefault="00803143" w:rsidP="007B0E00">
      <w:pPr>
        <w:spacing w:after="0"/>
        <w:rPr>
          <w:lang w:val="en-US"/>
        </w:rPr>
      </w:pPr>
      <w:r w:rsidRPr="006F0EBE">
        <w:rPr>
          <w:lang w:val="en-US"/>
        </w:rPr>
        <w:t>Demographic characteristics</w:t>
      </w:r>
      <w:r w:rsidR="00283E22" w:rsidRPr="006F0EBE">
        <w:rPr>
          <w:lang w:val="en-US"/>
        </w:rPr>
        <w:t xml:space="preserve"> </w:t>
      </w:r>
      <w:r w:rsidRPr="006F0EBE">
        <w:rPr>
          <w:lang w:val="en-US"/>
        </w:rPr>
        <w:t>of participants are presented in Table </w:t>
      </w:r>
      <w:hyperlink r:id="rId12" w:anchor="T1" w:history="1">
        <w:r w:rsidR="00087073" w:rsidRPr="006F0EBE">
          <w:rPr>
            <w:lang w:val="en-US"/>
          </w:rPr>
          <w:t>1</w:t>
        </w:r>
      </w:hyperlink>
      <w:r w:rsidRPr="006F0EBE">
        <w:rPr>
          <w:lang w:val="en-US"/>
        </w:rPr>
        <w:t xml:space="preserve">. </w:t>
      </w:r>
      <w:r w:rsidR="006C46BB" w:rsidRPr="006F0EBE">
        <w:rPr>
          <w:lang w:val="en-US"/>
        </w:rPr>
        <w:t xml:space="preserve">The total number of participants was 1,000, with </w:t>
      </w:r>
      <w:r w:rsidR="00AD1D9F" w:rsidRPr="006F0EBE">
        <w:rPr>
          <w:lang w:val="en-US"/>
        </w:rPr>
        <w:t xml:space="preserve">a total of </w:t>
      </w:r>
      <w:r w:rsidR="006C46BB" w:rsidRPr="006F0EBE">
        <w:rPr>
          <w:lang w:val="en-US"/>
        </w:rPr>
        <w:t xml:space="preserve">506 </w:t>
      </w:r>
      <w:r w:rsidR="000E5EE8" w:rsidRPr="006F0EBE">
        <w:rPr>
          <w:lang w:val="en-US"/>
        </w:rPr>
        <w:t>in the Not</w:t>
      </w:r>
      <w:r w:rsidR="00E267F0" w:rsidRPr="006F0EBE">
        <w:rPr>
          <w:lang w:val="en-US"/>
        </w:rPr>
        <w:t xml:space="preserve"> S</w:t>
      </w:r>
      <w:r w:rsidR="006C46BB" w:rsidRPr="006F0EBE">
        <w:rPr>
          <w:lang w:val="en-US"/>
        </w:rPr>
        <w:t xml:space="preserve">ignposted </w:t>
      </w:r>
      <w:r w:rsidR="00C704EE" w:rsidRPr="006F0EBE">
        <w:rPr>
          <w:lang w:val="en-US"/>
        </w:rPr>
        <w:lastRenderedPageBreak/>
        <w:t>treat</w:t>
      </w:r>
      <w:r w:rsidR="007734CB" w:rsidRPr="006F0EBE">
        <w:rPr>
          <w:lang w:val="en-US"/>
        </w:rPr>
        <w:t>ment</w:t>
      </w:r>
      <w:r w:rsidR="006C46BB" w:rsidRPr="006F0EBE">
        <w:rPr>
          <w:lang w:val="en-US"/>
        </w:rPr>
        <w:t xml:space="preserve"> and </w:t>
      </w:r>
      <w:r w:rsidR="007A4052" w:rsidRPr="006F0EBE">
        <w:rPr>
          <w:lang w:val="en-US"/>
        </w:rPr>
        <w:t xml:space="preserve">494 in the Signposted </w:t>
      </w:r>
      <w:r w:rsidR="00C704EE" w:rsidRPr="006F0EBE">
        <w:rPr>
          <w:lang w:val="en-US"/>
        </w:rPr>
        <w:t>treatment</w:t>
      </w:r>
      <w:r w:rsidR="00A11E23" w:rsidRPr="006F0EBE">
        <w:rPr>
          <w:lang w:val="en-US"/>
        </w:rPr>
        <w:t>.</w:t>
      </w:r>
      <w:r w:rsidR="006C46BB" w:rsidRPr="006F0EBE">
        <w:rPr>
          <w:lang w:val="en-US"/>
        </w:rPr>
        <w:t xml:space="preserve"> </w:t>
      </w:r>
      <w:r w:rsidRPr="006F0EBE">
        <w:rPr>
          <w:lang w:val="en-US"/>
        </w:rPr>
        <w:t>There were no significant between-</w:t>
      </w:r>
      <w:r w:rsidR="00C704EE" w:rsidRPr="006F0EBE">
        <w:rPr>
          <w:lang w:val="en-US"/>
        </w:rPr>
        <w:t xml:space="preserve">treatment </w:t>
      </w:r>
      <w:r w:rsidRPr="006F0EBE">
        <w:rPr>
          <w:lang w:val="en-US"/>
        </w:rPr>
        <w:t xml:space="preserve">differences in these characteristics. </w:t>
      </w:r>
      <w:r w:rsidR="000049AF" w:rsidRPr="000049AF">
        <w:rPr>
          <w:lang w:val="en-US"/>
        </w:rPr>
        <w:t xml:space="preserve">Tests employed are Pearson’s </w:t>
      </w:r>
      <w:r w:rsidR="00361334">
        <w:rPr>
          <w:lang w:val="en-US"/>
        </w:rPr>
        <w:sym w:font="Symbol" w:char="F063"/>
      </w:r>
      <w:r w:rsidR="000049AF" w:rsidRPr="00361334">
        <w:rPr>
          <w:vertAlign w:val="superscript"/>
          <w:lang w:val="en-US"/>
        </w:rPr>
        <w:t>2</w:t>
      </w:r>
      <w:r w:rsidR="000049AF" w:rsidRPr="000049AF">
        <w:rPr>
          <w:lang w:val="en-US"/>
        </w:rPr>
        <w:t xml:space="preserve"> (for gender) and the two-sample Mann-Whitney U test for the ratio variables. The distribution of the ratio variables, which departs considerably from normality justifies using a non-parametric approach.</w:t>
      </w:r>
    </w:p>
    <w:p w14:paraId="609F7C89" w14:textId="35D982D2" w:rsidR="007C068A" w:rsidRPr="0012459A" w:rsidRDefault="007C068A" w:rsidP="007B0E00">
      <w:pPr>
        <w:spacing w:after="0"/>
        <w:rPr>
          <w:lang w:val="en-US"/>
        </w:rPr>
      </w:pPr>
      <w:r w:rsidRPr="006F0EBE">
        <w:rPr>
          <w:lang w:val="en-US"/>
        </w:rPr>
        <w:t>The mean quantity purchased across all tasks was 1.5</w:t>
      </w:r>
      <w:r w:rsidR="00736E68" w:rsidRPr="006F0EBE">
        <w:rPr>
          <w:lang w:val="en-US"/>
        </w:rPr>
        <w:t xml:space="preserve"> </w:t>
      </w:r>
      <w:r w:rsidR="00CA2D29" w:rsidRPr="006F0EBE">
        <w:rPr>
          <w:lang w:val="en-US"/>
        </w:rPr>
        <w:t>k</w:t>
      </w:r>
      <w:r w:rsidRPr="006F0EBE">
        <w:rPr>
          <w:lang w:val="en-US"/>
        </w:rPr>
        <w:t>g of cereals and 5.6 liters of soft drinks. Only about 5.6% purchases were zero (5.8% for cereals and 5.4% for soft drinks). When only considering less healthy</w:t>
      </w:r>
      <w:r w:rsidR="00CF7C3C">
        <w:rPr>
          <w:lang w:val="en-US"/>
        </w:rPr>
        <w:t xml:space="preserve"> </w:t>
      </w:r>
      <w:r w:rsidRPr="006F0EBE">
        <w:rPr>
          <w:lang w:val="en-US"/>
        </w:rPr>
        <w:t>products within each task, the amount of zero purchases was 13.5% for cereals and 13.</w:t>
      </w:r>
      <w:r w:rsidR="0091241E" w:rsidRPr="006F0EBE">
        <w:rPr>
          <w:lang w:val="en-US"/>
        </w:rPr>
        <w:t>2</w:t>
      </w:r>
      <w:r w:rsidRPr="006F0EBE">
        <w:rPr>
          <w:lang w:val="en-US"/>
        </w:rPr>
        <w:t>% for soft drinks.</w:t>
      </w:r>
      <w:r w:rsidR="00FF3877" w:rsidRPr="006F0EBE">
        <w:rPr>
          <w:lang w:val="en-US"/>
        </w:rPr>
        <w:t xml:space="preserve"> The weighted average price of purchased less healthy breakfast cereals</w:t>
      </w:r>
      <w:r w:rsidR="00061BA9">
        <w:rPr>
          <w:lang w:val="en-US"/>
        </w:rPr>
        <w:t xml:space="preserve"> (</w:t>
      </w:r>
      <w:r w:rsidR="00061BA9" w:rsidRPr="00061BA9">
        <w:rPr>
          <w:lang w:val="en-US"/>
        </w:rPr>
        <w:t xml:space="preserve">across all the tasks and weighted based on the </w:t>
      </w:r>
      <w:r w:rsidR="00061BA9" w:rsidRPr="006F778B">
        <w:rPr>
          <w:lang w:val="en-US"/>
        </w:rPr>
        <w:t>quantity purchased)</w:t>
      </w:r>
      <w:r w:rsidR="00FF3877" w:rsidRPr="006F778B">
        <w:rPr>
          <w:lang w:val="en-US"/>
        </w:rPr>
        <w:t xml:space="preserve"> was £0.52, </w:t>
      </w:r>
      <w:r w:rsidR="006F778B" w:rsidRPr="006F778B">
        <w:rPr>
          <w:lang w:val="en-US"/>
        </w:rPr>
        <w:t>(</w:t>
      </w:r>
      <w:r w:rsidR="00FF3877" w:rsidRPr="003746FA">
        <w:rPr>
          <w:lang w:val="en-US"/>
        </w:rPr>
        <w:t>SD</w:t>
      </w:r>
      <w:r w:rsidR="00FF3877" w:rsidRPr="0012459A">
        <w:rPr>
          <w:lang w:val="en-US"/>
        </w:rPr>
        <w:t>: 0.20</w:t>
      </w:r>
      <w:r w:rsidR="006F778B" w:rsidRPr="0012459A">
        <w:rPr>
          <w:lang w:val="en-US"/>
        </w:rPr>
        <w:t>)</w:t>
      </w:r>
      <w:r w:rsidR="00FF3877" w:rsidRPr="0012459A">
        <w:rPr>
          <w:lang w:val="en-US"/>
        </w:rPr>
        <w:t xml:space="preserve"> per 100g and for soft drinks it was £0.16 </w:t>
      </w:r>
      <w:r w:rsidR="006F778B" w:rsidRPr="0012459A">
        <w:rPr>
          <w:lang w:val="en-US"/>
        </w:rPr>
        <w:t>(</w:t>
      </w:r>
      <w:r w:rsidR="00FF3877" w:rsidRPr="0012459A">
        <w:rPr>
          <w:lang w:val="en-US"/>
        </w:rPr>
        <w:t>SD: 0.13</w:t>
      </w:r>
      <w:r w:rsidR="006F778B" w:rsidRPr="0012459A">
        <w:rPr>
          <w:lang w:val="en-US"/>
        </w:rPr>
        <w:t>)</w:t>
      </w:r>
      <w:r w:rsidR="00CF7C3C" w:rsidRPr="0012459A">
        <w:rPr>
          <w:lang w:val="en-US"/>
        </w:rPr>
        <w:t xml:space="preserve"> </w:t>
      </w:r>
      <w:r w:rsidR="00FF3877" w:rsidRPr="0012459A">
        <w:rPr>
          <w:lang w:val="en-US"/>
        </w:rPr>
        <w:t xml:space="preserve">per 100ml. </w:t>
      </w:r>
    </w:p>
    <w:p w14:paraId="61797673" w14:textId="016AA6ED" w:rsidR="00274F7E" w:rsidRPr="006F0EBE" w:rsidRDefault="00E15575" w:rsidP="007B0E00">
      <w:pPr>
        <w:spacing w:after="0"/>
        <w:rPr>
          <w:lang w:val="en-US"/>
        </w:rPr>
      </w:pPr>
      <w:r w:rsidRPr="0012459A">
        <w:rPr>
          <w:lang w:val="en-US"/>
        </w:rPr>
        <w:t xml:space="preserve">Figure 2 </w:t>
      </w:r>
      <w:r w:rsidR="00CA3A0C" w:rsidRPr="0012459A">
        <w:rPr>
          <w:lang w:val="en-US"/>
        </w:rPr>
        <w:t>s</w:t>
      </w:r>
      <w:r w:rsidRPr="0012459A">
        <w:rPr>
          <w:lang w:val="en-US"/>
        </w:rPr>
        <w:t xml:space="preserve">hows </w:t>
      </w:r>
      <w:r w:rsidR="00B077C1" w:rsidRPr="0012459A">
        <w:rPr>
          <w:lang w:val="en-US"/>
        </w:rPr>
        <w:t>m</w:t>
      </w:r>
      <w:r w:rsidR="004804A8" w:rsidRPr="0012459A">
        <w:rPr>
          <w:lang w:val="en-US"/>
        </w:rPr>
        <w:t>ean purchases of less healthy (healthier</w:t>
      </w:r>
      <w:r w:rsidR="004804A8" w:rsidRPr="006F0EBE">
        <w:rPr>
          <w:lang w:val="en-US"/>
        </w:rPr>
        <w:t xml:space="preserve">) products when prices of less healthy (healthier) were manipulated. </w:t>
      </w:r>
      <w:r w:rsidR="00522D56">
        <w:rPr>
          <w:lang w:val="en-US"/>
        </w:rPr>
        <w:t>Figure 3 relies</w:t>
      </w:r>
      <w:r w:rsidR="00883C92" w:rsidRPr="006F0EBE">
        <w:rPr>
          <w:lang w:val="en-US"/>
        </w:rPr>
        <w:t xml:space="preserve"> on the econometric model to show the estimated effect and confidence intervals for each price manipulation on the volume of purchases of the </w:t>
      </w:r>
      <w:r w:rsidR="00522D56">
        <w:rPr>
          <w:lang w:val="en-US"/>
        </w:rPr>
        <w:t xml:space="preserve">less healthy </w:t>
      </w:r>
      <w:r w:rsidR="00883C92" w:rsidRPr="006F0EBE">
        <w:rPr>
          <w:lang w:val="en-US"/>
        </w:rPr>
        <w:t>taxed products for cereals and soft drinks, respectively. The model</w:t>
      </w:r>
      <w:r w:rsidR="00E10857" w:rsidRPr="006F0EBE">
        <w:rPr>
          <w:lang w:val="en-US"/>
        </w:rPr>
        <w:t xml:space="preserve"> estimates</w:t>
      </w:r>
      <w:r w:rsidR="00883C92" w:rsidRPr="006F0EBE">
        <w:rPr>
          <w:lang w:val="en-US"/>
        </w:rPr>
        <w:t xml:space="preserve"> </w:t>
      </w:r>
      <w:r w:rsidR="00804184">
        <w:rPr>
          <w:lang w:val="en-US"/>
        </w:rPr>
        <w:t>are</w:t>
      </w:r>
      <w:r w:rsidR="00883C92" w:rsidRPr="006F0EBE">
        <w:rPr>
          <w:lang w:val="en-US"/>
        </w:rPr>
        <w:t xml:space="preserve"> in Table 2, while </w:t>
      </w:r>
      <w:r w:rsidR="00AA170B" w:rsidRPr="006F0EBE">
        <w:rPr>
          <w:lang w:val="en-US"/>
        </w:rPr>
        <w:t>Table</w:t>
      </w:r>
      <w:r w:rsidR="00883C92" w:rsidRPr="006F0EBE">
        <w:rPr>
          <w:lang w:val="en-US"/>
        </w:rPr>
        <w:t xml:space="preserve"> </w:t>
      </w:r>
      <w:r w:rsidR="00CF641B">
        <w:rPr>
          <w:lang w:val="en-US"/>
        </w:rPr>
        <w:t>3</w:t>
      </w:r>
      <w:r w:rsidR="00AA170B" w:rsidRPr="006F0EBE">
        <w:rPr>
          <w:lang w:val="en-US"/>
        </w:rPr>
        <w:t xml:space="preserve"> </w:t>
      </w:r>
      <w:r w:rsidR="00E10857" w:rsidRPr="006F0EBE">
        <w:rPr>
          <w:lang w:val="en-US"/>
        </w:rPr>
        <w:t>extracts the key information by</w:t>
      </w:r>
      <w:r w:rsidR="00883C92" w:rsidRPr="006F0EBE">
        <w:rPr>
          <w:lang w:val="en-US"/>
        </w:rPr>
        <w:t xml:space="preserve"> </w:t>
      </w:r>
      <w:r w:rsidR="00AA170B" w:rsidRPr="006F0EBE">
        <w:rPr>
          <w:lang w:val="en-US"/>
        </w:rPr>
        <w:t>present</w:t>
      </w:r>
      <w:r w:rsidR="00E10857" w:rsidRPr="006F0EBE">
        <w:rPr>
          <w:lang w:val="en-US"/>
        </w:rPr>
        <w:t>ing</w:t>
      </w:r>
      <w:r w:rsidR="00AA170B" w:rsidRPr="006F0EBE">
        <w:rPr>
          <w:lang w:val="en-US"/>
        </w:rPr>
        <w:t xml:space="preserve"> p</w:t>
      </w:r>
      <w:r w:rsidR="0055379D" w:rsidRPr="006F0EBE">
        <w:rPr>
          <w:lang w:val="en-US"/>
        </w:rPr>
        <w:t>ric</w:t>
      </w:r>
      <w:r w:rsidR="00E25E88" w:rsidRPr="006F0EBE">
        <w:rPr>
          <w:lang w:val="en-US"/>
        </w:rPr>
        <w:t>e and cross-price</w:t>
      </w:r>
      <w:r w:rsidR="0055379D" w:rsidRPr="006F0EBE">
        <w:rPr>
          <w:lang w:val="en-US"/>
        </w:rPr>
        <w:t xml:space="preserve"> </w:t>
      </w:r>
      <w:r w:rsidRPr="006F0EBE">
        <w:rPr>
          <w:lang w:val="en-US"/>
        </w:rPr>
        <w:t>effect</w:t>
      </w:r>
      <w:r w:rsidR="00E834DF" w:rsidRPr="006F0EBE">
        <w:rPr>
          <w:lang w:val="en-US"/>
        </w:rPr>
        <w:t xml:space="preserve"> </w:t>
      </w:r>
      <w:r w:rsidR="0055379D" w:rsidRPr="006F0EBE">
        <w:rPr>
          <w:lang w:val="en-US"/>
        </w:rPr>
        <w:t xml:space="preserve">estimates </w:t>
      </w:r>
      <w:r w:rsidR="007734CB" w:rsidRPr="006F0EBE">
        <w:rPr>
          <w:lang w:val="en-US"/>
        </w:rPr>
        <w:t xml:space="preserve">for less healthy </w:t>
      </w:r>
      <w:r w:rsidR="00274F5E" w:rsidRPr="006F0EBE">
        <w:rPr>
          <w:lang w:val="en-US"/>
        </w:rPr>
        <w:t>cereals</w:t>
      </w:r>
      <w:r w:rsidR="007734CB" w:rsidRPr="006F0EBE">
        <w:rPr>
          <w:lang w:val="en-US"/>
        </w:rPr>
        <w:t xml:space="preserve"> and soft drinks </w:t>
      </w:r>
      <w:r w:rsidR="0055379D" w:rsidRPr="006F0EBE">
        <w:rPr>
          <w:lang w:val="en-US"/>
        </w:rPr>
        <w:t>corresponding to</w:t>
      </w:r>
      <w:r w:rsidR="00E25E88" w:rsidRPr="006F0EBE">
        <w:rPr>
          <w:lang w:val="en-US"/>
        </w:rPr>
        <w:t xml:space="preserve"> each price manipulation</w:t>
      </w:r>
      <w:r w:rsidR="0055379D" w:rsidRPr="006F0EBE">
        <w:rPr>
          <w:lang w:val="en-US"/>
        </w:rPr>
        <w:t xml:space="preserve"> </w:t>
      </w:r>
      <w:r w:rsidR="007734CB" w:rsidRPr="006F0EBE">
        <w:rPr>
          <w:lang w:val="en-US"/>
        </w:rPr>
        <w:t>and treatment</w:t>
      </w:r>
      <w:r w:rsidR="00E25E88" w:rsidRPr="006F0EBE">
        <w:rPr>
          <w:lang w:val="en-US"/>
        </w:rPr>
        <w:t>.</w:t>
      </w:r>
      <w:r w:rsidR="00A046BD" w:rsidRPr="006F0EBE">
        <w:rPr>
          <w:lang w:val="en-US"/>
        </w:rPr>
        <w:t xml:space="preserve"> </w:t>
      </w:r>
      <w:r w:rsidR="00274F7E" w:rsidRPr="006F0EBE">
        <w:rPr>
          <w:lang w:val="en-US"/>
        </w:rPr>
        <w:t>While we report the results of regression models with the control variables, the general results remain the same with different combinations of controls or no controls at all.</w:t>
      </w:r>
      <w:r w:rsidR="00675596" w:rsidRPr="006F0EBE">
        <w:rPr>
          <w:lang w:val="en-US"/>
        </w:rPr>
        <w:t xml:space="preserve"> </w:t>
      </w:r>
      <w:r w:rsidR="00522D56">
        <w:rPr>
          <w:lang w:val="en-US"/>
        </w:rPr>
        <w:t xml:space="preserve">The corresponding results for healthier products are in </w:t>
      </w:r>
      <w:r w:rsidR="00DA7267">
        <w:rPr>
          <w:lang w:val="en-US"/>
        </w:rPr>
        <w:t>the online a</w:t>
      </w:r>
      <w:r w:rsidR="00522D56">
        <w:rPr>
          <w:lang w:val="en-US"/>
        </w:rPr>
        <w:t>ppendix</w:t>
      </w:r>
      <w:r w:rsidR="00D41834">
        <w:rPr>
          <w:lang w:val="en-US"/>
        </w:rPr>
        <w:t xml:space="preserve"> D</w:t>
      </w:r>
      <w:r w:rsidR="00522D56">
        <w:rPr>
          <w:lang w:val="en-US"/>
        </w:rPr>
        <w:t xml:space="preserve">. </w:t>
      </w:r>
      <w:r w:rsidR="00A96D2C" w:rsidRPr="006F0EBE">
        <w:rPr>
          <w:lang w:val="en-US"/>
        </w:rPr>
        <w:t>Mean values and distributions of volumes purchased at baseline prices and each price manipulation are</w:t>
      </w:r>
      <w:r w:rsidR="00522D56">
        <w:rPr>
          <w:lang w:val="en-US"/>
        </w:rPr>
        <w:t xml:space="preserve"> also</w:t>
      </w:r>
      <w:r w:rsidR="00A96D2C" w:rsidRPr="006F0EBE">
        <w:rPr>
          <w:lang w:val="en-US"/>
        </w:rPr>
        <w:t xml:space="preserve"> available in the </w:t>
      </w:r>
      <w:r w:rsidR="002B26D9" w:rsidRPr="006F0EBE">
        <w:rPr>
          <w:lang w:val="en-US"/>
        </w:rPr>
        <w:t xml:space="preserve">online </w:t>
      </w:r>
      <w:r w:rsidR="00DA7267">
        <w:rPr>
          <w:lang w:val="en-US"/>
        </w:rPr>
        <w:t>a</w:t>
      </w:r>
      <w:r w:rsidR="00A96D2C" w:rsidRPr="006F0EBE">
        <w:rPr>
          <w:lang w:val="en-US"/>
        </w:rPr>
        <w:t>ppendix (Figures A.1</w:t>
      </w:r>
      <w:r w:rsidR="00804184">
        <w:rPr>
          <w:lang w:val="en-US"/>
        </w:rPr>
        <w:t>-</w:t>
      </w:r>
      <w:r w:rsidR="00A96D2C" w:rsidRPr="006F0EBE">
        <w:rPr>
          <w:lang w:val="en-US"/>
        </w:rPr>
        <w:t>A.4</w:t>
      </w:r>
      <w:r w:rsidR="00EE64D7" w:rsidRPr="006F0EBE">
        <w:rPr>
          <w:lang w:val="en-US"/>
        </w:rPr>
        <w:t xml:space="preserve"> and Table A.1</w:t>
      </w:r>
      <w:r w:rsidR="00804184">
        <w:rPr>
          <w:lang w:val="en-US"/>
        </w:rPr>
        <w:t>; this appears mainly driven by fewer units bought</w:t>
      </w:r>
      <w:r w:rsidR="00A96D2C" w:rsidRPr="006F0EBE">
        <w:rPr>
          <w:lang w:val="en-US"/>
        </w:rPr>
        <w:t>)</w:t>
      </w:r>
      <w:r w:rsidR="00AA170B" w:rsidRPr="006F0EBE">
        <w:rPr>
          <w:lang w:val="en-US"/>
        </w:rPr>
        <w:t>.</w:t>
      </w:r>
    </w:p>
    <w:p w14:paraId="0BC1FC16" w14:textId="67561194" w:rsidR="00E10857" w:rsidRPr="006F0EBE" w:rsidRDefault="00274F7E" w:rsidP="007B0E00">
      <w:pPr>
        <w:spacing w:after="0"/>
        <w:rPr>
          <w:lang w:val="en-US"/>
        </w:rPr>
      </w:pPr>
      <w:r w:rsidRPr="006F0EBE">
        <w:rPr>
          <w:lang w:val="en-US"/>
        </w:rPr>
        <w:t>Let us first focus on the Not Signposted treatment. Both the 20% and the 40% taxes on less healthy cereals significantly reduced the volume purchased of the taxed products (p&lt;0.01</w:t>
      </w:r>
      <w:r w:rsidR="00746546" w:rsidRPr="006F0EBE">
        <w:rPr>
          <w:lang w:val="en-US"/>
        </w:rPr>
        <w:t xml:space="preserve">: see Table </w:t>
      </w:r>
      <w:r w:rsidR="00A93242">
        <w:rPr>
          <w:lang w:val="en-US"/>
        </w:rPr>
        <w:t>3</w:t>
      </w:r>
      <w:r w:rsidRPr="006F0EBE">
        <w:rPr>
          <w:lang w:val="en-US"/>
        </w:rPr>
        <w:t>), though the effect of the 40%</w:t>
      </w:r>
      <w:r w:rsidR="001D64D0" w:rsidRPr="006F0EBE">
        <w:rPr>
          <w:lang w:val="en-US"/>
        </w:rPr>
        <w:t xml:space="preserve"> tax</w:t>
      </w:r>
      <w:r w:rsidRPr="006F0EBE">
        <w:rPr>
          <w:lang w:val="en-US"/>
        </w:rPr>
        <w:t xml:space="preserve"> was not significantly larger than that of a 20% tax. A 20% tax was sufficient to induce </w:t>
      </w:r>
      <w:r w:rsidRPr="006F0EBE">
        <w:rPr>
          <w:lang w:val="en-US"/>
        </w:rPr>
        <w:lastRenderedPageBreak/>
        <w:t xml:space="preserve">a 48% demand decrease for cereals. </w:t>
      </w:r>
      <w:r w:rsidR="001D64D0" w:rsidRPr="006F0EBE">
        <w:rPr>
          <w:lang w:val="en-US"/>
        </w:rPr>
        <w:t>For soft drinks, in the Not Signposted treatment, a 40% tax was instead required to significantly reduce the purchasing of less healthy soft drinks.</w:t>
      </w:r>
    </w:p>
    <w:p w14:paraId="2BF09775" w14:textId="77777777" w:rsidR="003A35DE" w:rsidRPr="006F0EBE" w:rsidRDefault="003A35DE" w:rsidP="007B0E00">
      <w:pPr>
        <w:spacing w:after="0"/>
        <w:rPr>
          <w:lang w:val="en-US"/>
        </w:rPr>
      </w:pPr>
      <w:r w:rsidRPr="006F0EBE">
        <w:rPr>
          <w:b/>
          <w:lang w:val="en-US"/>
        </w:rPr>
        <w:t xml:space="preserve">Result 1. </w:t>
      </w:r>
      <w:r w:rsidRPr="006F0EBE">
        <w:rPr>
          <w:lang w:val="en-US"/>
        </w:rPr>
        <w:t xml:space="preserve">With no signposting, while a 40% tax always works, a 20% tax is effective in reducing the demand for less healthy products in relation to cereals but not in relation to soft drinks. </w:t>
      </w:r>
    </w:p>
    <w:p w14:paraId="47EF3793" w14:textId="6F3E5EA7" w:rsidR="003A35DE" w:rsidRPr="006F0EBE" w:rsidRDefault="001D64D0" w:rsidP="007B0E00">
      <w:pPr>
        <w:spacing w:after="0"/>
        <w:rPr>
          <w:lang w:val="en-US"/>
        </w:rPr>
      </w:pPr>
      <w:r w:rsidRPr="006F0EBE">
        <w:rPr>
          <w:lang w:val="en-US"/>
        </w:rPr>
        <w:t>Let us now consider the Signposted treatment. Again the 20% and the 40% taxes on less healthy cereals significantly reduced the volume purchased of the taxed products (p&lt;0.01), with no difference between the two. A 20% tax was now sufficient to induce a 54% demand decrease for cereals. With signposting, a 20% tax was sufficient to induce a similar (5</w:t>
      </w:r>
      <w:r w:rsidR="00871858">
        <w:rPr>
          <w:lang w:val="en-US"/>
        </w:rPr>
        <w:t>3</w:t>
      </w:r>
      <w:r w:rsidRPr="006F0EBE">
        <w:rPr>
          <w:lang w:val="en-US"/>
        </w:rPr>
        <w:t>%) and significant demand decrease for soft drinks (p&lt;0.01).</w:t>
      </w:r>
    </w:p>
    <w:p w14:paraId="3F33D499" w14:textId="77777777" w:rsidR="003A35DE" w:rsidRPr="006F0EBE" w:rsidRDefault="003A35DE" w:rsidP="007B0E00">
      <w:pPr>
        <w:spacing w:after="0"/>
        <w:rPr>
          <w:lang w:val="en-US"/>
        </w:rPr>
      </w:pPr>
      <w:r w:rsidRPr="006F0EBE">
        <w:rPr>
          <w:b/>
          <w:lang w:val="en-US"/>
        </w:rPr>
        <w:t xml:space="preserve">Result 2. </w:t>
      </w:r>
      <w:r w:rsidRPr="006F0EBE">
        <w:rPr>
          <w:lang w:val="en-US"/>
        </w:rPr>
        <w:t xml:space="preserve">With signposting, a 20% tax is sufficient to significantly reduce the demand for less healthy products in relation to both cereals and soft drinks. </w:t>
      </w:r>
    </w:p>
    <w:p w14:paraId="34F30421" w14:textId="1EDF47B6" w:rsidR="00002D27" w:rsidRPr="00A93242" w:rsidRDefault="00722FE3" w:rsidP="007B0E00">
      <w:pPr>
        <w:spacing w:after="0"/>
        <w:rPr>
          <w:lang w:val="en-US"/>
        </w:rPr>
      </w:pPr>
      <w:r>
        <w:rPr>
          <w:lang w:val="en-US"/>
        </w:rPr>
        <w:t>We now consider cross-price effects.</w:t>
      </w:r>
    </w:p>
    <w:p w14:paraId="69F23FAD" w14:textId="144EDEC3" w:rsidR="00364428" w:rsidRPr="006F0EBE" w:rsidRDefault="003B768C" w:rsidP="007B0E00">
      <w:pPr>
        <w:spacing w:after="0"/>
        <w:rPr>
          <w:lang w:val="en-US"/>
        </w:rPr>
      </w:pPr>
      <w:r w:rsidRPr="00A93242">
        <w:rPr>
          <w:b/>
          <w:lang w:val="en-US"/>
        </w:rPr>
        <w:t xml:space="preserve">Result </w:t>
      </w:r>
      <w:r w:rsidR="0016305C" w:rsidRPr="00A93242">
        <w:rPr>
          <w:b/>
          <w:lang w:val="en-US"/>
        </w:rPr>
        <w:t>3</w:t>
      </w:r>
      <w:r w:rsidRPr="00A93242">
        <w:rPr>
          <w:b/>
          <w:lang w:val="en-US"/>
        </w:rPr>
        <w:t xml:space="preserve">. </w:t>
      </w:r>
      <w:r w:rsidRPr="00A93242">
        <w:rPr>
          <w:lang w:val="en-US"/>
        </w:rPr>
        <w:t>Fo</w:t>
      </w:r>
      <w:r w:rsidR="002B12A7" w:rsidRPr="00A93242">
        <w:rPr>
          <w:lang w:val="en-US"/>
        </w:rPr>
        <w:t>r both a 20% and a 40% tax rate</w:t>
      </w:r>
      <w:r w:rsidRPr="00A93242">
        <w:rPr>
          <w:lang w:val="en-US"/>
        </w:rPr>
        <w:t xml:space="preserve">, there is a sizeable </w:t>
      </w:r>
      <w:r w:rsidR="001D64D0" w:rsidRPr="00A93242">
        <w:rPr>
          <w:lang w:val="en-US"/>
        </w:rPr>
        <w:t xml:space="preserve">cross-price effect </w:t>
      </w:r>
      <w:r w:rsidRPr="00A93242">
        <w:rPr>
          <w:lang w:val="en-US"/>
        </w:rPr>
        <w:t xml:space="preserve">increase in the </w:t>
      </w:r>
      <w:r w:rsidR="00CC3BDE" w:rsidRPr="00A93242">
        <w:rPr>
          <w:lang w:val="en-US"/>
        </w:rPr>
        <w:t xml:space="preserve">purchasing </w:t>
      </w:r>
      <w:r w:rsidRPr="00A93242">
        <w:rPr>
          <w:lang w:val="en-US"/>
        </w:rPr>
        <w:t>of health</w:t>
      </w:r>
      <w:r w:rsidR="00E16486" w:rsidRPr="00A93242">
        <w:rPr>
          <w:lang w:val="en-US"/>
        </w:rPr>
        <w:t>ier</w:t>
      </w:r>
      <w:r w:rsidRPr="00A93242">
        <w:rPr>
          <w:lang w:val="en-US"/>
        </w:rPr>
        <w:t xml:space="preserve"> cereals when a</w:t>
      </w:r>
      <w:r w:rsidR="002B12A7" w:rsidRPr="00A93242">
        <w:rPr>
          <w:lang w:val="en-US"/>
        </w:rPr>
        <w:t xml:space="preserve"> tax on less healthy cereals is</w:t>
      </w:r>
      <w:r w:rsidRPr="00A93242">
        <w:rPr>
          <w:lang w:val="en-US"/>
        </w:rPr>
        <w:t xml:space="preserve"> introduced</w:t>
      </w:r>
      <w:r w:rsidR="00364428" w:rsidRPr="00A93242">
        <w:rPr>
          <w:lang w:val="en-US"/>
        </w:rPr>
        <w:t xml:space="preserve"> and there is no </w:t>
      </w:r>
      <w:r w:rsidR="00E740F2" w:rsidRPr="00A93242">
        <w:rPr>
          <w:lang w:val="en-US"/>
        </w:rPr>
        <w:t>signpost</w:t>
      </w:r>
      <w:r w:rsidR="00364428" w:rsidRPr="00A93242">
        <w:rPr>
          <w:lang w:val="en-US"/>
        </w:rPr>
        <w:t>ing</w:t>
      </w:r>
      <w:r w:rsidRPr="00A93242">
        <w:rPr>
          <w:lang w:val="en-US"/>
        </w:rPr>
        <w:t xml:space="preserve">. There is no such </w:t>
      </w:r>
      <w:r w:rsidR="001D64D0" w:rsidRPr="00A93242">
        <w:rPr>
          <w:lang w:val="en-US"/>
        </w:rPr>
        <w:t xml:space="preserve">cross-price </w:t>
      </w:r>
      <w:r w:rsidRPr="00A93242">
        <w:rPr>
          <w:lang w:val="en-US"/>
        </w:rPr>
        <w:t>effect for soft drinks.</w:t>
      </w:r>
    </w:p>
    <w:p w14:paraId="31133A97" w14:textId="02B7B1B3" w:rsidR="00722FE3" w:rsidRDefault="00722FE3" w:rsidP="007B0E00">
      <w:pPr>
        <w:spacing w:after="0"/>
        <w:rPr>
          <w:lang w:val="en-US"/>
        </w:rPr>
      </w:pPr>
      <w:r>
        <w:rPr>
          <w:lang w:val="en-US"/>
        </w:rPr>
        <w:t>Table 3 provides evidence for Result 3</w:t>
      </w:r>
      <w:r w:rsidR="00CE2845">
        <w:rPr>
          <w:lang w:val="en-US"/>
        </w:rPr>
        <w:t xml:space="preserve"> (e.g. p&lt;0.05 with a 20% for cereals with no signposting).</w:t>
      </w:r>
    </w:p>
    <w:p w14:paraId="3A33FBEB" w14:textId="77542C5A" w:rsidR="00552A73" w:rsidRPr="006F0EBE" w:rsidRDefault="000F528F" w:rsidP="00552A73">
      <w:pPr>
        <w:spacing w:after="0"/>
        <w:rPr>
          <w:lang w:val="en-US"/>
        </w:rPr>
      </w:pPr>
      <w:r w:rsidRPr="006F0EBE">
        <w:rPr>
          <w:lang w:val="en-US"/>
        </w:rPr>
        <w:t xml:space="preserve">As supplementary findings, and focusing only on ones consistent between cereals and soft drinks, Table 2 show that men generally bought less healthy cereals and soft drinks than women, and consumers with greater stocks at home bought less unhealthily. Interestingly, we found no </w:t>
      </w:r>
      <w:r w:rsidR="001D2F9E" w:rsidRPr="006F0EBE">
        <w:rPr>
          <w:lang w:val="en-US"/>
        </w:rPr>
        <w:t>robust evidence of greater income and a better education as a predictor for better diet choices, though there is some partial evidence to this effect in relation to soft drinks only.</w:t>
      </w:r>
      <w:r w:rsidR="00334402" w:rsidRPr="006F0EBE">
        <w:rPr>
          <w:lang w:val="en-US"/>
        </w:rPr>
        <w:t xml:space="preserve"> Stocks of food were negatively correlated with purchases of less healthy food</w:t>
      </w:r>
      <w:r w:rsidR="009D5799" w:rsidRPr="006F0EBE">
        <w:rPr>
          <w:lang w:val="en-US"/>
        </w:rPr>
        <w:t xml:space="preserve"> (in supplementary work, we found this effect robust to whether there is signposting)</w:t>
      </w:r>
      <w:r w:rsidR="00334402" w:rsidRPr="006F0EBE">
        <w:rPr>
          <w:lang w:val="en-US"/>
        </w:rPr>
        <w:t>.</w:t>
      </w:r>
    </w:p>
    <w:p w14:paraId="4AAB1F3F" w14:textId="4EA34A31" w:rsidR="0076665C" w:rsidRDefault="0076665C" w:rsidP="00552A73">
      <w:pPr>
        <w:spacing w:after="0"/>
        <w:rPr>
          <w:lang w:val="en-US"/>
        </w:rPr>
      </w:pPr>
      <w:r>
        <w:rPr>
          <w:lang w:val="en-US"/>
        </w:rPr>
        <w:lastRenderedPageBreak/>
        <w:t>We also</w:t>
      </w:r>
      <w:r w:rsidR="0024741C" w:rsidRPr="006F0EBE">
        <w:rPr>
          <w:lang w:val="en-US"/>
        </w:rPr>
        <w:t xml:space="preserve"> checked f</w:t>
      </w:r>
      <w:r w:rsidR="007E5CF0" w:rsidRPr="006F0EBE">
        <w:rPr>
          <w:lang w:val="en-US"/>
        </w:rPr>
        <w:t xml:space="preserve">or </w:t>
      </w:r>
      <w:r w:rsidR="0024741C" w:rsidRPr="006F0EBE">
        <w:rPr>
          <w:lang w:val="en-US"/>
        </w:rPr>
        <w:t xml:space="preserve">potential differences in </w:t>
      </w:r>
      <w:r w:rsidR="00690587" w:rsidRPr="006F0EBE">
        <w:rPr>
          <w:lang w:val="en-US"/>
        </w:rPr>
        <w:t>tax</w:t>
      </w:r>
      <w:r w:rsidR="007E5CF0" w:rsidRPr="006F0EBE">
        <w:rPr>
          <w:lang w:val="en-US"/>
        </w:rPr>
        <w:t xml:space="preserve"> </w:t>
      </w:r>
      <w:r w:rsidR="00690587" w:rsidRPr="006F0EBE">
        <w:rPr>
          <w:lang w:val="en-US"/>
        </w:rPr>
        <w:t xml:space="preserve">and </w:t>
      </w:r>
      <w:r w:rsidR="00632D54" w:rsidRPr="006F0EBE">
        <w:rPr>
          <w:lang w:val="en-US"/>
        </w:rPr>
        <w:t xml:space="preserve">signposting </w:t>
      </w:r>
      <w:r w:rsidR="00690587" w:rsidRPr="006F0EBE">
        <w:rPr>
          <w:lang w:val="en-US"/>
        </w:rPr>
        <w:t xml:space="preserve">sensitivity </w:t>
      </w:r>
      <w:r w:rsidR="007E5CF0" w:rsidRPr="006F0EBE">
        <w:rPr>
          <w:lang w:val="en-US"/>
        </w:rPr>
        <w:t>by socioeconomic status</w:t>
      </w:r>
      <w:r w:rsidR="008653B4" w:rsidRPr="006F0EBE">
        <w:rPr>
          <w:lang w:val="en-US"/>
        </w:rPr>
        <w:t xml:space="preserve">, in particular </w:t>
      </w:r>
      <w:r w:rsidR="00690587" w:rsidRPr="006F0EBE">
        <w:rPr>
          <w:lang w:val="en-US"/>
        </w:rPr>
        <w:t xml:space="preserve">participants’ </w:t>
      </w:r>
      <w:r w:rsidR="008653B4" w:rsidRPr="006F0EBE">
        <w:rPr>
          <w:lang w:val="en-US"/>
        </w:rPr>
        <w:t>household income level and education</w:t>
      </w:r>
      <w:r w:rsidR="00690587" w:rsidRPr="006F0EBE">
        <w:rPr>
          <w:lang w:val="en-US"/>
        </w:rPr>
        <w:t>al level</w:t>
      </w:r>
      <w:r w:rsidR="008653B4" w:rsidRPr="006F0EBE">
        <w:rPr>
          <w:lang w:val="en-US"/>
        </w:rPr>
        <w:t xml:space="preserve">. </w:t>
      </w:r>
      <w:r w:rsidR="002B26D9" w:rsidRPr="006F0EBE">
        <w:rPr>
          <w:lang w:val="en-US"/>
        </w:rPr>
        <w:t xml:space="preserve">Online appendices </w:t>
      </w:r>
      <w:r w:rsidR="00690587" w:rsidRPr="006F0EBE">
        <w:rPr>
          <w:lang w:val="en-US"/>
        </w:rPr>
        <w:t xml:space="preserve">Tables </w:t>
      </w:r>
      <w:r w:rsidR="005F438F" w:rsidRPr="006F0EBE">
        <w:rPr>
          <w:lang w:val="en-US"/>
        </w:rPr>
        <w:t>A.2</w:t>
      </w:r>
      <w:r w:rsidR="001A7CB0">
        <w:rPr>
          <w:lang w:val="en-US"/>
        </w:rPr>
        <w:t>-</w:t>
      </w:r>
      <w:r w:rsidR="005F438F" w:rsidRPr="006F0EBE">
        <w:rPr>
          <w:lang w:val="en-US"/>
        </w:rPr>
        <w:t>A.3</w:t>
      </w:r>
      <w:r w:rsidR="000632D9" w:rsidRPr="006F0EBE">
        <w:rPr>
          <w:lang w:val="en-US"/>
        </w:rPr>
        <w:t xml:space="preserve"> </w:t>
      </w:r>
      <w:r w:rsidR="00690587" w:rsidRPr="006F0EBE">
        <w:rPr>
          <w:lang w:val="en-US"/>
        </w:rPr>
        <w:t>show that the estimated effect of our price manipulations are not statistically different between the lower</w:t>
      </w:r>
      <w:r w:rsidR="007E5CF0" w:rsidRPr="006F0EBE">
        <w:rPr>
          <w:lang w:val="en-US"/>
        </w:rPr>
        <w:t xml:space="preserve"> and </w:t>
      </w:r>
      <w:r w:rsidR="00690587" w:rsidRPr="006F0EBE">
        <w:rPr>
          <w:lang w:val="en-US"/>
        </w:rPr>
        <w:t xml:space="preserve">the higher </w:t>
      </w:r>
      <w:r w:rsidR="007E5CF0" w:rsidRPr="006F0EBE">
        <w:rPr>
          <w:lang w:val="en-US"/>
        </w:rPr>
        <w:t>income group</w:t>
      </w:r>
      <w:r w:rsidR="00690587" w:rsidRPr="006F0EBE">
        <w:rPr>
          <w:lang w:val="en-US"/>
        </w:rPr>
        <w:t xml:space="preserve">, while </w:t>
      </w:r>
      <w:r w:rsidR="00102604" w:rsidRPr="006F0EBE">
        <w:rPr>
          <w:lang w:val="en-US"/>
        </w:rPr>
        <w:t>T</w:t>
      </w:r>
      <w:r w:rsidR="00690587" w:rsidRPr="006F0EBE">
        <w:rPr>
          <w:lang w:val="en-US"/>
        </w:rPr>
        <w:t xml:space="preserve">ables </w:t>
      </w:r>
      <w:r w:rsidR="005F438F" w:rsidRPr="006F0EBE">
        <w:rPr>
          <w:lang w:val="en-US"/>
        </w:rPr>
        <w:t>A.4</w:t>
      </w:r>
      <w:r w:rsidR="001A7CB0">
        <w:rPr>
          <w:lang w:val="en-US"/>
        </w:rPr>
        <w:t>-</w:t>
      </w:r>
      <w:r w:rsidR="005F438F" w:rsidRPr="006F0EBE">
        <w:rPr>
          <w:lang w:val="en-US"/>
        </w:rPr>
        <w:t>A.5</w:t>
      </w:r>
      <w:r w:rsidR="00690587" w:rsidRPr="006F0EBE">
        <w:rPr>
          <w:lang w:val="en-US"/>
        </w:rPr>
        <w:t xml:space="preserve"> show that there were </w:t>
      </w:r>
      <w:r w:rsidR="008653B4" w:rsidRPr="006F0EBE">
        <w:rPr>
          <w:lang w:val="en-US"/>
        </w:rPr>
        <w:t xml:space="preserve">no significant differences </w:t>
      </w:r>
      <w:r w:rsidR="00690587" w:rsidRPr="006F0EBE">
        <w:rPr>
          <w:lang w:val="en-US"/>
        </w:rPr>
        <w:t>in price manipulation sensitivity between the less educated and the more educated group (95% confidence intervals for estimated effects overlap)</w:t>
      </w:r>
      <w:r w:rsidR="000632D9" w:rsidRPr="006F0EBE">
        <w:rPr>
          <w:lang w:val="en-US"/>
        </w:rPr>
        <w:t>.</w:t>
      </w:r>
      <w:r w:rsidR="00690587" w:rsidRPr="006F0EBE">
        <w:rPr>
          <w:lang w:val="en-US"/>
        </w:rPr>
        <w:t xml:space="preserve"> </w:t>
      </w:r>
      <w:r w:rsidR="00DA7267">
        <w:rPr>
          <w:lang w:val="en-US"/>
        </w:rPr>
        <w:t>Using the same criteria,</w:t>
      </w:r>
      <w:r w:rsidR="000632D9" w:rsidRPr="006F0EBE">
        <w:rPr>
          <w:lang w:val="en-US"/>
        </w:rPr>
        <w:t xml:space="preserve"> </w:t>
      </w:r>
      <w:r w:rsidR="00DA7267">
        <w:rPr>
          <w:lang w:val="en-US"/>
        </w:rPr>
        <w:t>we</w:t>
      </w:r>
      <w:r w:rsidR="00102604" w:rsidRPr="006F0EBE">
        <w:rPr>
          <w:lang w:val="en-US"/>
        </w:rPr>
        <w:t xml:space="preserve"> </w:t>
      </w:r>
      <w:r w:rsidR="000632D9" w:rsidRPr="006F0EBE">
        <w:rPr>
          <w:lang w:val="en-US"/>
        </w:rPr>
        <w:t>found no significant differences when comparing the group</w:t>
      </w:r>
      <w:r w:rsidR="0055495A">
        <w:rPr>
          <w:lang w:val="en-US"/>
        </w:rPr>
        <w:t>s</w:t>
      </w:r>
      <w:r w:rsidR="000632D9" w:rsidRPr="006F0EBE">
        <w:rPr>
          <w:lang w:val="en-US"/>
        </w:rPr>
        <w:t xml:space="preserve"> with lower and higher body mass index</w:t>
      </w:r>
      <w:r w:rsidR="00102604" w:rsidRPr="006F0EBE">
        <w:rPr>
          <w:lang w:val="en-US"/>
        </w:rPr>
        <w:t xml:space="preserve"> (T</w:t>
      </w:r>
      <w:r w:rsidR="000632D9" w:rsidRPr="006F0EBE">
        <w:rPr>
          <w:lang w:val="en-US"/>
        </w:rPr>
        <w:t xml:space="preserve">ables </w:t>
      </w:r>
      <w:r w:rsidR="005117FC" w:rsidRPr="006F0EBE">
        <w:rPr>
          <w:lang w:val="en-US"/>
        </w:rPr>
        <w:t>A.6</w:t>
      </w:r>
      <w:r w:rsidR="001A7CB0">
        <w:rPr>
          <w:lang w:val="en-US"/>
        </w:rPr>
        <w:t>-</w:t>
      </w:r>
      <w:r w:rsidR="005117FC" w:rsidRPr="006F0EBE">
        <w:rPr>
          <w:lang w:val="en-US"/>
        </w:rPr>
        <w:t>A.7</w:t>
      </w:r>
      <w:r w:rsidR="00102604" w:rsidRPr="006F0EBE">
        <w:rPr>
          <w:lang w:val="en-US"/>
        </w:rPr>
        <w:t>)</w:t>
      </w:r>
      <w:r w:rsidR="00DA7267">
        <w:rPr>
          <w:lang w:val="en-US"/>
        </w:rPr>
        <w:t xml:space="preserve"> and between patient and impatient individuals, classified using our time </w:t>
      </w:r>
      <w:r w:rsidR="0056418C">
        <w:rPr>
          <w:lang w:val="en-US"/>
        </w:rPr>
        <w:t>preferences</w:t>
      </w:r>
      <w:r w:rsidR="00DA7267">
        <w:rPr>
          <w:lang w:val="en-US"/>
        </w:rPr>
        <w:t xml:space="preserve"> measure</w:t>
      </w:r>
      <w:r w:rsidR="00647678" w:rsidRPr="006F0EBE">
        <w:rPr>
          <w:lang w:val="en-US"/>
        </w:rPr>
        <w:t xml:space="preserve"> </w:t>
      </w:r>
      <w:r w:rsidR="00DA7267">
        <w:rPr>
          <w:lang w:val="en-US"/>
        </w:rPr>
        <w:t>(Tables A.8-A.9).</w:t>
      </w:r>
      <w:r w:rsidR="00246C43">
        <w:rPr>
          <w:lang w:val="en-US"/>
        </w:rPr>
        <w:t xml:space="preserve"> </w:t>
      </w:r>
    </w:p>
    <w:p w14:paraId="33F2184E" w14:textId="386EC65B" w:rsidR="00D021F9" w:rsidRPr="006F0EBE" w:rsidRDefault="005C5969" w:rsidP="007B0E00">
      <w:pPr>
        <w:spacing w:after="0"/>
        <w:ind w:firstLine="0"/>
        <w:jc w:val="center"/>
        <w:rPr>
          <w:rFonts w:eastAsia="SimSun"/>
          <w:b/>
          <w:bCs/>
          <w:lang w:val="en-US" w:eastAsia="zh-CN"/>
        </w:rPr>
      </w:pPr>
      <w:r>
        <w:rPr>
          <w:rFonts w:eastAsia="SimSun"/>
          <w:b/>
          <w:bCs/>
          <w:lang w:val="en-US" w:eastAsia="zh-CN"/>
        </w:rPr>
        <w:t>5.</w:t>
      </w:r>
      <w:r w:rsidR="00560CE4" w:rsidRPr="006F0EBE">
        <w:rPr>
          <w:rFonts w:eastAsia="SimSun"/>
          <w:b/>
          <w:bCs/>
          <w:lang w:val="en-US" w:eastAsia="zh-CN"/>
        </w:rPr>
        <w:t xml:space="preserve"> </w:t>
      </w:r>
      <w:r w:rsidR="00D021F9" w:rsidRPr="006F0EBE">
        <w:rPr>
          <w:rFonts w:eastAsia="SimSun"/>
          <w:b/>
          <w:bCs/>
          <w:lang w:val="en-US" w:eastAsia="zh-CN"/>
        </w:rPr>
        <w:t>Discussion</w:t>
      </w:r>
    </w:p>
    <w:p w14:paraId="699B27F3" w14:textId="747C8D2D" w:rsidR="0023108F" w:rsidRPr="006F0EBE" w:rsidRDefault="001D1AAB" w:rsidP="007B0E00">
      <w:pPr>
        <w:spacing w:after="0"/>
        <w:rPr>
          <w:rFonts w:eastAsia="MS Mincho"/>
          <w:lang w:val="en-US" w:eastAsia="ja-JP"/>
        </w:rPr>
      </w:pPr>
      <w:r w:rsidRPr="006F0EBE">
        <w:rPr>
          <w:rFonts w:eastAsia="MS Mincho"/>
          <w:lang w:val="en-US" w:eastAsia="ja-JP"/>
        </w:rPr>
        <w:t>Do taxes on less healthy products lead to health</w:t>
      </w:r>
      <w:r w:rsidR="009F2932" w:rsidRPr="006F0EBE">
        <w:rPr>
          <w:rFonts w:eastAsia="MS Mincho"/>
          <w:lang w:val="en-US" w:eastAsia="ja-JP"/>
        </w:rPr>
        <w:t>ier</w:t>
      </w:r>
      <w:r w:rsidRPr="006F0EBE">
        <w:rPr>
          <w:rFonts w:eastAsia="MS Mincho"/>
          <w:lang w:val="en-US" w:eastAsia="ja-JP"/>
        </w:rPr>
        <w:t xml:space="preserve"> diet choices</w:t>
      </w:r>
      <w:r w:rsidR="00713BCC" w:rsidRPr="006F0EBE">
        <w:rPr>
          <w:rFonts w:eastAsia="MS Mincho"/>
          <w:lang w:val="en-US" w:eastAsia="ja-JP"/>
        </w:rPr>
        <w:t xml:space="preserve"> in relation to </w:t>
      </w:r>
      <w:r w:rsidR="00B161FE" w:rsidRPr="006F0EBE">
        <w:rPr>
          <w:rFonts w:eastAsia="MS Mincho"/>
          <w:lang w:val="en-US" w:eastAsia="ja-JP"/>
        </w:rPr>
        <w:t xml:space="preserve">breakfast </w:t>
      </w:r>
      <w:r w:rsidR="00713BCC" w:rsidRPr="006F0EBE">
        <w:rPr>
          <w:rFonts w:eastAsia="MS Mincho"/>
          <w:lang w:val="en-US" w:eastAsia="ja-JP"/>
        </w:rPr>
        <w:t>cereals and soft drinks</w:t>
      </w:r>
      <w:r w:rsidRPr="006F0EBE">
        <w:rPr>
          <w:rFonts w:eastAsia="MS Mincho"/>
          <w:lang w:val="en-US" w:eastAsia="ja-JP"/>
        </w:rPr>
        <w:t xml:space="preserve">? The broad answer from our </w:t>
      </w:r>
      <w:r w:rsidR="005D05F9">
        <w:rPr>
          <w:rFonts w:eastAsia="MS Mincho"/>
          <w:lang w:val="en-US" w:eastAsia="ja-JP"/>
        </w:rPr>
        <w:t>experiment</w:t>
      </w:r>
      <w:r w:rsidR="005D05F9" w:rsidRPr="006F0EBE">
        <w:rPr>
          <w:rFonts w:eastAsia="MS Mincho"/>
          <w:lang w:val="en-US" w:eastAsia="ja-JP"/>
        </w:rPr>
        <w:t xml:space="preserve"> </w:t>
      </w:r>
      <w:r w:rsidRPr="006F0EBE">
        <w:rPr>
          <w:rFonts w:eastAsia="MS Mincho"/>
          <w:lang w:val="en-US" w:eastAsia="ja-JP"/>
        </w:rPr>
        <w:t xml:space="preserve">is a clear yes, and quite independently of </w:t>
      </w:r>
      <w:r w:rsidR="00632D54" w:rsidRPr="006F0EBE">
        <w:rPr>
          <w:rFonts w:eastAsia="MS Mincho"/>
          <w:lang w:val="en-US" w:eastAsia="ja-JP"/>
        </w:rPr>
        <w:t>signposting</w:t>
      </w:r>
      <w:r w:rsidR="007C4DA7" w:rsidRPr="006F0EBE">
        <w:rPr>
          <w:rFonts w:eastAsia="MS Mincho"/>
          <w:lang w:val="en-US" w:eastAsia="ja-JP"/>
        </w:rPr>
        <w:t>.</w:t>
      </w:r>
      <w:r w:rsidRPr="006F0EBE">
        <w:rPr>
          <w:rFonts w:eastAsia="MS Mincho"/>
          <w:lang w:val="en-US" w:eastAsia="ja-JP"/>
        </w:rPr>
        <w:t xml:space="preserve"> </w:t>
      </w:r>
      <w:r w:rsidR="007C4DA7" w:rsidRPr="006F0EBE">
        <w:rPr>
          <w:rFonts w:eastAsia="MS Mincho"/>
          <w:lang w:val="en-US" w:eastAsia="ja-JP"/>
        </w:rPr>
        <w:t>However</w:t>
      </w:r>
      <w:r w:rsidRPr="006F0EBE">
        <w:rPr>
          <w:rFonts w:eastAsia="MS Mincho"/>
          <w:lang w:val="en-US" w:eastAsia="ja-JP"/>
        </w:rPr>
        <w:t xml:space="preserve">, in the case of cereals, </w:t>
      </w:r>
      <w:r w:rsidR="00772065" w:rsidRPr="006F0EBE">
        <w:rPr>
          <w:rFonts w:eastAsia="MS Mincho"/>
          <w:lang w:val="en-US" w:eastAsia="ja-JP"/>
        </w:rPr>
        <w:t xml:space="preserve">our </w:t>
      </w:r>
      <w:r w:rsidR="007C4DA7" w:rsidRPr="006F0EBE">
        <w:rPr>
          <w:rFonts w:eastAsia="MS Mincho"/>
          <w:lang w:val="en-US" w:eastAsia="ja-JP"/>
        </w:rPr>
        <w:t xml:space="preserve">findings suggest that </w:t>
      </w:r>
      <w:r w:rsidR="00632D54" w:rsidRPr="006F0EBE">
        <w:rPr>
          <w:rFonts w:eastAsia="MS Mincho"/>
          <w:lang w:val="en-US" w:eastAsia="ja-JP"/>
        </w:rPr>
        <w:t>signposting</w:t>
      </w:r>
      <w:r w:rsidR="00713BCC" w:rsidRPr="006F0EBE">
        <w:rPr>
          <w:rFonts w:eastAsia="MS Mincho"/>
          <w:lang w:val="en-US" w:eastAsia="ja-JP"/>
        </w:rPr>
        <w:t xml:space="preserve"> </w:t>
      </w:r>
      <w:r w:rsidRPr="006F0EBE">
        <w:rPr>
          <w:rFonts w:eastAsia="MS Mincho"/>
          <w:lang w:val="en-US" w:eastAsia="ja-JP"/>
        </w:rPr>
        <w:t xml:space="preserve">does </w:t>
      </w:r>
      <w:r w:rsidR="00772065" w:rsidRPr="006F0EBE">
        <w:rPr>
          <w:rFonts w:eastAsia="MS Mincho"/>
          <w:lang w:val="en-US" w:eastAsia="ja-JP"/>
        </w:rPr>
        <w:t xml:space="preserve">seem to </w:t>
      </w:r>
      <w:r w:rsidRPr="006F0EBE">
        <w:rPr>
          <w:rFonts w:eastAsia="MS Mincho"/>
          <w:lang w:val="en-US" w:eastAsia="ja-JP"/>
        </w:rPr>
        <w:t xml:space="preserve">affect </w:t>
      </w:r>
      <w:r w:rsidR="00772065" w:rsidRPr="006F0EBE">
        <w:rPr>
          <w:rFonts w:eastAsia="MS Mincho"/>
          <w:lang w:val="en-US" w:eastAsia="ja-JP"/>
        </w:rPr>
        <w:t>whether</w:t>
      </w:r>
      <w:r w:rsidRPr="006F0EBE">
        <w:rPr>
          <w:rFonts w:eastAsia="MS Mincho"/>
          <w:lang w:val="en-US" w:eastAsia="ja-JP"/>
        </w:rPr>
        <w:t xml:space="preserve"> </w:t>
      </w:r>
      <w:r w:rsidR="00772065" w:rsidRPr="006F0EBE">
        <w:rPr>
          <w:rFonts w:eastAsia="MS Mincho"/>
          <w:lang w:val="en-US" w:eastAsia="ja-JP"/>
        </w:rPr>
        <w:t xml:space="preserve">such </w:t>
      </w:r>
      <w:r w:rsidRPr="006F0EBE">
        <w:rPr>
          <w:rFonts w:eastAsia="MS Mincho"/>
          <w:lang w:val="en-US" w:eastAsia="ja-JP"/>
        </w:rPr>
        <w:t xml:space="preserve">taxes </w:t>
      </w:r>
      <w:r w:rsidR="00772065" w:rsidRPr="006F0EBE">
        <w:rPr>
          <w:rFonts w:eastAsia="MS Mincho"/>
          <w:lang w:val="en-US" w:eastAsia="ja-JP"/>
        </w:rPr>
        <w:t xml:space="preserve">increase the </w:t>
      </w:r>
      <w:r w:rsidR="007C4DA7" w:rsidRPr="006F0EBE">
        <w:rPr>
          <w:rFonts w:eastAsia="MS Mincho"/>
          <w:lang w:val="en-US" w:eastAsia="ja-JP"/>
        </w:rPr>
        <w:t xml:space="preserve">purchasing </w:t>
      </w:r>
      <w:r w:rsidR="00772065" w:rsidRPr="006F0EBE">
        <w:rPr>
          <w:rFonts w:eastAsia="MS Mincho"/>
          <w:lang w:val="en-US" w:eastAsia="ja-JP"/>
        </w:rPr>
        <w:t xml:space="preserve">of more healthy cereals (non-signposted case) or </w:t>
      </w:r>
      <w:r w:rsidR="00632D54" w:rsidRPr="006F0EBE">
        <w:rPr>
          <w:rFonts w:eastAsia="MS Mincho"/>
          <w:lang w:val="en-US" w:eastAsia="ja-JP"/>
        </w:rPr>
        <w:t xml:space="preserve">just </w:t>
      </w:r>
      <w:r w:rsidR="00772065" w:rsidRPr="006F0EBE">
        <w:rPr>
          <w:rFonts w:eastAsia="MS Mincho"/>
          <w:lang w:val="en-US" w:eastAsia="ja-JP"/>
        </w:rPr>
        <w:t xml:space="preserve">reduce </w:t>
      </w:r>
      <w:r w:rsidR="007C4DA7" w:rsidRPr="006F0EBE">
        <w:rPr>
          <w:rFonts w:eastAsia="MS Mincho"/>
          <w:lang w:val="en-US" w:eastAsia="ja-JP"/>
        </w:rPr>
        <w:t xml:space="preserve">that </w:t>
      </w:r>
      <w:r w:rsidR="00772065" w:rsidRPr="006F0EBE">
        <w:rPr>
          <w:rFonts w:eastAsia="MS Mincho"/>
          <w:lang w:val="en-US" w:eastAsia="ja-JP"/>
        </w:rPr>
        <w:t>of the less healthy cereals (signposted case)</w:t>
      </w:r>
      <w:r w:rsidRPr="006F0EBE">
        <w:rPr>
          <w:rFonts w:eastAsia="MS Mincho"/>
          <w:lang w:val="en-US" w:eastAsia="ja-JP"/>
        </w:rPr>
        <w:t>.</w:t>
      </w:r>
      <w:r w:rsidR="00772065" w:rsidRPr="006F0EBE">
        <w:rPr>
          <w:rFonts w:eastAsia="MS Mincho"/>
          <w:lang w:val="en-US" w:eastAsia="ja-JP"/>
        </w:rPr>
        <w:t xml:space="preserve"> </w:t>
      </w:r>
    </w:p>
    <w:p w14:paraId="0058774A" w14:textId="69F71AA1" w:rsidR="0023108F" w:rsidRPr="006F0EBE" w:rsidRDefault="0023108F" w:rsidP="007B0E00">
      <w:pPr>
        <w:spacing w:after="0"/>
        <w:rPr>
          <w:rFonts w:eastAsia="MS Mincho"/>
          <w:lang w:val="en-US" w:eastAsia="ja-JP"/>
        </w:rPr>
      </w:pPr>
      <w:r w:rsidRPr="006F0EBE">
        <w:rPr>
          <w:rFonts w:eastAsia="MS Mincho"/>
          <w:lang w:val="en-US" w:eastAsia="ja-JP"/>
        </w:rPr>
        <w:t xml:space="preserve">Does signposting matter? </w:t>
      </w:r>
      <w:r w:rsidR="0016305C">
        <w:rPr>
          <w:rFonts w:eastAsia="MS Mincho"/>
          <w:lang w:val="en-US" w:eastAsia="ja-JP"/>
        </w:rPr>
        <w:t xml:space="preserve">Yes in making the effectiveness of the tax interventions more robust, though the specific </w:t>
      </w:r>
      <w:r w:rsidRPr="006F0EBE">
        <w:rPr>
          <w:rFonts w:eastAsia="MS Mincho"/>
          <w:lang w:val="en-US" w:eastAsia="ja-JP"/>
        </w:rPr>
        <w:t xml:space="preserve">answer depends both on the product category and </w:t>
      </w:r>
      <w:r w:rsidR="0072752F" w:rsidRPr="006F0EBE">
        <w:rPr>
          <w:rFonts w:eastAsia="MS Mincho"/>
          <w:lang w:val="en-US" w:eastAsia="ja-JP"/>
        </w:rPr>
        <w:t xml:space="preserve">on </w:t>
      </w:r>
      <w:r w:rsidRPr="006F0EBE">
        <w:rPr>
          <w:rFonts w:eastAsia="MS Mincho"/>
          <w:lang w:val="en-US" w:eastAsia="ja-JP"/>
        </w:rPr>
        <w:t xml:space="preserve">what we are trying to achieve. </w:t>
      </w:r>
      <w:r w:rsidR="009761C5" w:rsidRPr="006F0EBE">
        <w:rPr>
          <w:rFonts w:eastAsia="MS Mincho"/>
          <w:lang w:val="en-US" w:eastAsia="ja-JP"/>
        </w:rPr>
        <w:t>Based on our results, the 20% tax recommended by the WHO (2016) would only be effective in reducing the consumption of less healthy soft drinks if signposting is used</w:t>
      </w:r>
      <w:r w:rsidRPr="006F0EBE">
        <w:rPr>
          <w:rFonts w:eastAsia="MS Mincho"/>
          <w:lang w:val="en-US" w:eastAsia="ja-JP"/>
        </w:rPr>
        <w:t xml:space="preserve">. In the context of cereals, if the goal is to reduce the demand of less healthy cereals, there is clear evidence of a potentially substantial effect. </w:t>
      </w:r>
      <w:r w:rsidR="00061BA9">
        <w:rPr>
          <w:rFonts w:eastAsia="MS Mincho"/>
          <w:lang w:val="en-US" w:eastAsia="ja-JP"/>
        </w:rPr>
        <w:t>T</w:t>
      </w:r>
      <w:r w:rsidRPr="006F0EBE">
        <w:rPr>
          <w:rFonts w:eastAsia="MS Mincho"/>
          <w:lang w:val="en-US" w:eastAsia="ja-JP"/>
        </w:rPr>
        <w:t xml:space="preserve">he magnitude of this effect is potentially substantial, and would lend itself to a fairly straightforward, inexpensive policy implication – that food-related taxation could be more effective when it is combined with signposting on the price tag. The implementation of such a complementary </w:t>
      </w:r>
      <w:r w:rsidR="00736E68" w:rsidRPr="006F0EBE">
        <w:rPr>
          <w:rFonts w:eastAsia="MS Mincho"/>
          <w:lang w:val="en-US" w:eastAsia="ja-JP"/>
        </w:rPr>
        <w:t>‘</w:t>
      </w:r>
      <w:r w:rsidRPr="006F0EBE">
        <w:rPr>
          <w:rFonts w:eastAsia="MS Mincho"/>
          <w:lang w:val="en-US" w:eastAsia="ja-JP"/>
        </w:rPr>
        <w:t>nudge</w:t>
      </w:r>
      <w:r w:rsidR="00736E68" w:rsidRPr="006F0EBE">
        <w:rPr>
          <w:rFonts w:eastAsia="MS Mincho"/>
          <w:lang w:val="en-US" w:eastAsia="ja-JP"/>
        </w:rPr>
        <w:t>’</w:t>
      </w:r>
      <w:r w:rsidRPr="006F0EBE">
        <w:rPr>
          <w:rFonts w:eastAsia="MS Mincho"/>
          <w:lang w:val="en-US" w:eastAsia="ja-JP"/>
        </w:rPr>
        <w:t xml:space="preserve"> policy would enhance the impact of the tax without imposing severe welfare loss, though we should </w:t>
      </w:r>
      <w:r w:rsidRPr="006F0EBE">
        <w:rPr>
          <w:rFonts w:eastAsia="MS Mincho"/>
          <w:lang w:val="en-US" w:eastAsia="ja-JP"/>
        </w:rPr>
        <w:lastRenderedPageBreak/>
        <w:t xml:space="preserve">recognize that its effectiveness may depend on the product category. The further qualification to this is that the consumption of </w:t>
      </w:r>
      <w:r w:rsidR="00395E06" w:rsidRPr="006F0EBE">
        <w:rPr>
          <w:rFonts w:eastAsia="MS Mincho"/>
          <w:lang w:val="en-US" w:eastAsia="ja-JP"/>
        </w:rPr>
        <w:t>healthier</w:t>
      </w:r>
      <w:r w:rsidRPr="006F0EBE">
        <w:rPr>
          <w:rFonts w:eastAsia="MS Mincho"/>
          <w:lang w:val="en-US" w:eastAsia="ja-JP"/>
        </w:rPr>
        <w:t xml:space="preserve"> cereals would not be increased in case of signposting – this may or may not be problematic depending on a more comprehensive evaluation of optimal dietary choices.</w:t>
      </w:r>
    </w:p>
    <w:p w14:paraId="5CE4F579" w14:textId="69620A59" w:rsidR="00D021F9" w:rsidRDefault="00772065" w:rsidP="007B0E00">
      <w:pPr>
        <w:spacing w:after="0"/>
        <w:rPr>
          <w:rFonts w:eastAsia="MS Mincho"/>
          <w:lang w:val="en-US" w:eastAsia="ja-JP"/>
        </w:rPr>
      </w:pPr>
      <w:r w:rsidRPr="006F0EBE">
        <w:rPr>
          <w:rFonts w:eastAsia="MS Mincho"/>
          <w:lang w:val="en-US" w:eastAsia="ja-JP"/>
        </w:rPr>
        <w:t>Our results are</w:t>
      </w:r>
      <w:r w:rsidR="001D1AAB" w:rsidRPr="006F0EBE">
        <w:rPr>
          <w:rFonts w:eastAsia="MS Mincho"/>
          <w:lang w:val="en-US" w:eastAsia="ja-JP"/>
        </w:rPr>
        <w:t xml:space="preserve"> </w:t>
      </w:r>
      <w:r w:rsidR="00E4425C">
        <w:rPr>
          <w:rFonts w:eastAsia="MS Mincho"/>
          <w:lang w:val="en-US" w:eastAsia="ja-JP"/>
        </w:rPr>
        <w:t>noteworthy as they are based</w:t>
      </w:r>
      <w:r w:rsidR="00E4425C" w:rsidRPr="006F0EBE">
        <w:rPr>
          <w:rFonts w:eastAsia="MS Mincho"/>
          <w:lang w:val="en-US" w:eastAsia="ja-JP"/>
        </w:rPr>
        <w:t xml:space="preserve"> </w:t>
      </w:r>
      <w:r w:rsidR="001D1AAB" w:rsidRPr="006F0EBE">
        <w:rPr>
          <w:rFonts w:eastAsia="MS Mincho"/>
          <w:lang w:val="en-US" w:eastAsia="ja-JP"/>
        </w:rPr>
        <w:t xml:space="preserve">on </w:t>
      </w:r>
      <w:r w:rsidR="009F5F84" w:rsidRPr="006F0EBE">
        <w:rPr>
          <w:rFonts w:eastAsia="MS Mincho"/>
          <w:lang w:val="en-US" w:eastAsia="ja-JP"/>
        </w:rPr>
        <w:t>real purchases of</w:t>
      </w:r>
      <w:r w:rsidR="00D021F9" w:rsidRPr="006F0EBE">
        <w:rPr>
          <w:rFonts w:eastAsia="MS Mincho"/>
          <w:lang w:val="en-US" w:eastAsia="ja-JP"/>
        </w:rPr>
        <w:t xml:space="preserve"> a nationally representative sample of 1,000 </w:t>
      </w:r>
      <w:r w:rsidR="001D1AAB" w:rsidRPr="006F0EBE">
        <w:rPr>
          <w:rFonts w:eastAsia="MS Mincho"/>
          <w:lang w:val="en-US" w:eastAsia="ja-JP"/>
        </w:rPr>
        <w:t>consumers</w:t>
      </w:r>
      <w:r w:rsidR="009F5F84" w:rsidRPr="006F0EBE">
        <w:rPr>
          <w:rFonts w:eastAsia="MS Mincho"/>
          <w:lang w:val="en-US" w:eastAsia="ja-JP"/>
        </w:rPr>
        <w:t xml:space="preserve"> in the UK</w:t>
      </w:r>
      <w:r w:rsidR="00524D88" w:rsidRPr="006F0EBE">
        <w:rPr>
          <w:rFonts w:eastAsia="MS Mincho"/>
          <w:lang w:val="en-US" w:eastAsia="ja-JP"/>
        </w:rPr>
        <w:t>, the largest sample we are aware of for tax field studies on diet</w:t>
      </w:r>
      <w:r w:rsidR="001D1AAB" w:rsidRPr="006F0EBE">
        <w:rPr>
          <w:rFonts w:eastAsia="MS Mincho"/>
          <w:lang w:val="en-US" w:eastAsia="ja-JP"/>
        </w:rPr>
        <w:t>.</w:t>
      </w:r>
      <w:r w:rsidRPr="006F0EBE">
        <w:rPr>
          <w:rFonts w:eastAsia="MS Mincho"/>
          <w:lang w:val="en-US" w:eastAsia="ja-JP"/>
        </w:rPr>
        <w:t xml:space="preserve"> </w:t>
      </w:r>
      <w:r w:rsidR="00D021F9" w:rsidRPr="006F0EBE">
        <w:rPr>
          <w:rFonts w:eastAsia="MS Mincho"/>
          <w:lang w:val="en-US" w:eastAsia="ja-JP"/>
        </w:rPr>
        <w:t xml:space="preserve">The large sample size and representativeness of the data, combined with experimental control over price and </w:t>
      </w:r>
      <w:r w:rsidR="00632D54" w:rsidRPr="006F0EBE">
        <w:rPr>
          <w:rFonts w:eastAsia="MS Mincho"/>
          <w:lang w:val="en-US" w:eastAsia="ja-JP"/>
        </w:rPr>
        <w:t xml:space="preserve">signposting </w:t>
      </w:r>
      <w:r w:rsidR="00D021F9" w:rsidRPr="006F0EBE">
        <w:rPr>
          <w:rFonts w:eastAsia="MS Mincho"/>
          <w:lang w:val="en-US" w:eastAsia="ja-JP"/>
        </w:rPr>
        <w:t>variations</w:t>
      </w:r>
      <w:r w:rsidRPr="006F0EBE">
        <w:rPr>
          <w:rFonts w:eastAsia="MS Mincho"/>
          <w:lang w:val="en-US" w:eastAsia="ja-JP"/>
        </w:rPr>
        <w:t xml:space="preserve"> as well as controls for </w:t>
      </w:r>
      <w:r w:rsidR="002D0454" w:rsidRPr="006F0EBE">
        <w:rPr>
          <w:rFonts w:eastAsia="MS Mincho"/>
          <w:lang w:val="en-US" w:eastAsia="ja-JP"/>
        </w:rPr>
        <w:t>compensation</w:t>
      </w:r>
      <w:r w:rsidRPr="006F0EBE">
        <w:rPr>
          <w:rFonts w:eastAsia="MS Mincho"/>
          <w:lang w:val="en-US" w:eastAsia="ja-JP"/>
        </w:rPr>
        <w:t xml:space="preserve"> effects and a range of other factors</w:t>
      </w:r>
      <w:r w:rsidR="00D021F9" w:rsidRPr="006F0EBE">
        <w:rPr>
          <w:rFonts w:eastAsia="MS Mincho"/>
          <w:lang w:val="en-US" w:eastAsia="ja-JP"/>
        </w:rPr>
        <w:t xml:space="preserve">, </w:t>
      </w:r>
      <w:r w:rsidR="00E4425C">
        <w:rPr>
          <w:rFonts w:eastAsia="MS Mincho"/>
          <w:lang w:val="en-US" w:eastAsia="ja-JP"/>
        </w:rPr>
        <w:t xml:space="preserve">provide a valuable contribution on </w:t>
      </w:r>
      <w:r w:rsidR="00D021F9" w:rsidRPr="006F0EBE">
        <w:rPr>
          <w:rFonts w:eastAsia="MS Mincho"/>
          <w:lang w:val="en-US" w:eastAsia="ja-JP"/>
        </w:rPr>
        <w:t xml:space="preserve">the impact of the tax on food and beverages, and </w:t>
      </w:r>
      <w:r w:rsidR="007C4DA7" w:rsidRPr="006F0EBE">
        <w:rPr>
          <w:rFonts w:eastAsia="MS Mincho"/>
          <w:lang w:val="en-US" w:eastAsia="ja-JP"/>
        </w:rPr>
        <w:t xml:space="preserve">should </w:t>
      </w:r>
      <w:r w:rsidR="00D021F9" w:rsidRPr="006F0EBE">
        <w:rPr>
          <w:rFonts w:eastAsia="MS Mincho"/>
          <w:lang w:val="en-US" w:eastAsia="ja-JP"/>
        </w:rPr>
        <w:t xml:space="preserve">thus credibly inform the current policy debate on the subject. </w:t>
      </w:r>
      <w:r w:rsidR="00E4425C">
        <w:rPr>
          <w:rFonts w:eastAsia="MS Mincho"/>
          <w:lang w:val="en-US" w:eastAsia="ja-JP"/>
        </w:rPr>
        <w:t>Our study also goes beyond Chen et al. (2015; see sub-section 2.2) in innovatively providing an evaluation of the effectiveness of sig</w:t>
      </w:r>
      <w:r w:rsidR="000179AB">
        <w:rPr>
          <w:rFonts w:eastAsia="MS Mincho"/>
          <w:lang w:val="en-US" w:eastAsia="ja-JP"/>
        </w:rPr>
        <w:t>n</w:t>
      </w:r>
      <w:r w:rsidR="00CA2C16">
        <w:rPr>
          <w:rFonts w:eastAsia="MS Mincho"/>
          <w:lang w:val="en-US" w:eastAsia="ja-JP"/>
        </w:rPr>
        <w:t>posting in diet context.</w:t>
      </w:r>
    </w:p>
    <w:p w14:paraId="5035947F" w14:textId="7133DC49" w:rsidR="00D7586A" w:rsidRDefault="008A247E" w:rsidP="003F72EB">
      <w:pPr>
        <w:spacing w:after="0"/>
        <w:rPr>
          <w:lang w:val="en-US"/>
        </w:rPr>
      </w:pPr>
      <w:r>
        <w:rPr>
          <w:rFonts w:eastAsia="MS Mincho"/>
          <w:i/>
          <w:lang w:val="en-US" w:eastAsia="ja-JP"/>
        </w:rPr>
        <w:t>Repetition and e</w:t>
      </w:r>
      <w:r w:rsidR="005F6D89">
        <w:rPr>
          <w:rFonts w:eastAsia="MS Mincho"/>
          <w:i/>
          <w:lang w:val="en-US" w:eastAsia="ja-JP"/>
        </w:rPr>
        <w:t>xperimenter demand effects</w:t>
      </w:r>
      <w:r w:rsidR="005F6D89">
        <w:rPr>
          <w:rFonts w:eastAsia="MS Mincho"/>
          <w:lang w:val="en-US" w:eastAsia="ja-JP"/>
        </w:rPr>
        <w:t xml:space="preserve">. </w:t>
      </w:r>
      <w:r w:rsidR="00B23FC4">
        <w:rPr>
          <w:rFonts w:eastAsia="MS Mincho"/>
          <w:lang w:val="en-US" w:eastAsia="ja-JP"/>
        </w:rPr>
        <w:t xml:space="preserve">Having subjects play 10 periods had advantages and disadvantages. The key potential disadvantage is that </w:t>
      </w:r>
      <w:r w:rsidR="00B23FC4" w:rsidRPr="003F72EB">
        <w:rPr>
          <w:rFonts w:eastAsia="SimSun"/>
          <w:lang w:val="en-US" w:eastAsia="zh-CN"/>
        </w:rPr>
        <w:t xml:space="preserve">repetition enhances the salience of the changes, </w:t>
      </w:r>
      <w:r w:rsidR="00B23FC4">
        <w:rPr>
          <w:rFonts w:eastAsia="SimSun"/>
          <w:lang w:val="en-US" w:eastAsia="zh-CN"/>
        </w:rPr>
        <w:t>in terms of prices and in terms of signposting</w:t>
      </w:r>
      <w:r w:rsidR="00B23FC4" w:rsidRPr="003F72EB">
        <w:rPr>
          <w:rFonts w:eastAsia="SimSun"/>
          <w:lang w:val="en-US" w:eastAsia="zh-CN"/>
        </w:rPr>
        <w:t>, leading to a potential experimenter demand effect confound.</w:t>
      </w:r>
      <w:r w:rsidR="008C3183" w:rsidRPr="008C3183">
        <w:rPr>
          <w:rFonts w:eastAsia="SimSun"/>
          <w:lang w:val="en-US" w:eastAsia="zh-CN"/>
        </w:rPr>
        <w:t xml:space="preserve"> </w:t>
      </w:r>
      <w:r w:rsidR="00193A97">
        <w:rPr>
          <w:rFonts w:eastAsia="SimSun"/>
          <w:lang w:val="en-US" w:eastAsia="zh-CN"/>
        </w:rPr>
        <w:t xml:space="preserve">Specifically, by drawing attention to the price changes – particularly in the presence of signposting -, this </w:t>
      </w:r>
      <w:r w:rsidR="00193A97">
        <w:rPr>
          <w:lang w:val="en-US"/>
        </w:rPr>
        <w:t xml:space="preserve">might lead to an overestimation of the effect both of price changes and of signposting. </w:t>
      </w:r>
      <w:r w:rsidR="00D7586A">
        <w:rPr>
          <w:lang w:val="en-US"/>
        </w:rPr>
        <w:t xml:space="preserve">Alternatively, one might think that the within-subject changes in prices may reduce the impact of signposting. However, since signposting is always combined with the prices being changed in our experiment, it is more plausible that the effect of signposting is enhanced rather than reduced by the repetition. </w:t>
      </w:r>
    </w:p>
    <w:p w14:paraId="047F7001" w14:textId="057251EB" w:rsidR="00193A97" w:rsidRDefault="008C3183" w:rsidP="003F72EB">
      <w:pPr>
        <w:spacing w:after="0"/>
        <w:rPr>
          <w:rFonts w:eastAsia="SimSun"/>
          <w:lang w:val="en-US" w:eastAsia="zh-CN"/>
        </w:rPr>
      </w:pPr>
      <w:r w:rsidRPr="003F72EB">
        <w:rPr>
          <w:rFonts w:eastAsia="SimSun"/>
          <w:lang w:val="en-US" w:eastAsia="zh-CN"/>
        </w:rPr>
        <w:t xml:space="preserve">Natural world food shopping is a repeated task, </w:t>
      </w:r>
      <w:r w:rsidR="00193A97">
        <w:rPr>
          <w:rFonts w:eastAsia="SimSun"/>
          <w:lang w:val="en-US" w:eastAsia="zh-CN"/>
        </w:rPr>
        <w:t>and</w:t>
      </w:r>
      <w:r>
        <w:rPr>
          <w:rFonts w:eastAsia="SimSun"/>
          <w:lang w:val="en-US" w:eastAsia="zh-CN"/>
        </w:rPr>
        <w:t xml:space="preserve"> </w:t>
      </w:r>
      <w:r w:rsidRPr="003F72EB">
        <w:rPr>
          <w:rFonts w:eastAsia="SimSun"/>
          <w:lang w:val="en-US" w:eastAsia="zh-CN"/>
        </w:rPr>
        <w:t xml:space="preserve">so a within-subjects design </w:t>
      </w:r>
      <w:r w:rsidR="00193A97">
        <w:rPr>
          <w:rFonts w:eastAsia="SimSun"/>
          <w:lang w:val="en-US" w:eastAsia="zh-CN"/>
        </w:rPr>
        <w:t>is ecologically valid in</w:t>
      </w:r>
      <w:r w:rsidRPr="003F72EB">
        <w:rPr>
          <w:rFonts w:eastAsia="SimSun"/>
          <w:lang w:val="en-US" w:eastAsia="zh-CN"/>
        </w:rPr>
        <w:t xml:space="preserve"> reproduc</w:t>
      </w:r>
      <w:r w:rsidR="00193A97">
        <w:rPr>
          <w:rFonts w:eastAsia="SimSun"/>
          <w:lang w:val="en-US" w:eastAsia="zh-CN"/>
        </w:rPr>
        <w:t>ing</w:t>
      </w:r>
      <w:r w:rsidRPr="003F72EB">
        <w:rPr>
          <w:rFonts w:eastAsia="SimSun"/>
          <w:lang w:val="en-US" w:eastAsia="zh-CN"/>
        </w:rPr>
        <w:t xml:space="preserve"> real-world conditions, including how </w:t>
      </w:r>
      <w:r>
        <w:rPr>
          <w:rFonts w:eastAsia="SimSun"/>
          <w:lang w:val="en-US" w:eastAsia="zh-CN"/>
        </w:rPr>
        <w:t xml:space="preserve">changes in policy </w:t>
      </w:r>
      <w:r w:rsidRPr="003F72EB">
        <w:rPr>
          <w:rFonts w:eastAsia="SimSun"/>
          <w:lang w:val="en-US" w:eastAsia="zh-CN"/>
        </w:rPr>
        <w:t>get implemented</w:t>
      </w:r>
      <w:r>
        <w:rPr>
          <w:rFonts w:eastAsia="SimSun"/>
          <w:lang w:val="en-US" w:eastAsia="zh-CN"/>
        </w:rPr>
        <w:t xml:space="preserve"> – consumers see them as a change relative to the previous time period </w:t>
      </w:r>
      <w:r w:rsidR="004C3D39" w:rsidRPr="00B32E57">
        <w:rPr>
          <w:szCs w:val="22"/>
        </w:rPr>
        <w:t>–</w:t>
      </w:r>
      <w:r>
        <w:rPr>
          <w:rFonts w:eastAsia="SimSun"/>
          <w:lang w:val="en-US" w:eastAsia="zh-CN"/>
        </w:rPr>
        <w:t xml:space="preserve">. It </w:t>
      </w:r>
      <w:r w:rsidR="00E83888">
        <w:rPr>
          <w:rFonts w:eastAsia="SimSun"/>
          <w:lang w:val="en-US" w:eastAsia="zh-CN"/>
        </w:rPr>
        <w:t>is also in line with</w:t>
      </w:r>
      <w:r w:rsidRPr="003F72EB">
        <w:rPr>
          <w:rFonts w:eastAsia="SimSun"/>
          <w:lang w:val="en-US" w:eastAsia="zh-CN"/>
        </w:rPr>
        <w:t xml:space="preserve"> the experimental research</w:t>
      </w:r>
      <w:r w:rsidR="00E83888">
        <w:rPr>
          <w:rFonts w:eastAsia="SimSun"/>
          <w:lang w:val="en-US" w:eastAsia="zh-CN"/>
        </w:rPr>
        <w:t xml:space="preserve"> reviewed in section 2</w:t>
      </w:r>
      <w:r w:rsidRPr="003F72EB">
        <w:rPr>
          <w:rFonts w:eastAsia="SimSun"/>
          <w:lang w:val="en-US" w:eastAsia="zh-CN"/>
        </w:rPr>
        <w:t>.</w:t>
      </w:r>
    </w:p>
    <w:p w14:paraId="516B7BD2" w14:textId="64945428" w:rsidR="00193A97" w:rsidRDefault="00193A97" w:rsidP="003F72EB">
      <w:pPr>
        <w:spacing w:after="0"/>
        <w:rPr>
          <w:rFonts w:eastAsia="SimSun"/>
          <w:lang w:val="en-US" w:eastAsia="zh-CN"/>
        </w:rPr>
      </w:pPr>
      <w:r>
        <w:rPr>
          <w:rFonts w:eastAsia="SimSun"/>
          <w:lang w:val="en-US" w:eastAsia="zh-CN"/>
        </w:rPr>
        <w:lastRenderedPageBreak/>
        <w:t xml:space="preserve">That said, we accept that the focus on </w:t>
      </w:r>
      <w:bookmarkStart w:id="3" w:name="_Hlk51828862"/>
      <w:r w:rsidR="0059475D">
        <w:rPr>
          <w:rFonts w:eastAsia="SimSun"/>
          <w:lang w:val="en-US" w:eastAsia="zh-CN"/>
        </w:rPr>
        <w:t>two</w:t>
      </w:r>
      <w:r>
        <w:rPr>
          <w:rFonts w:eastAsia="SimSun"/>
          <w:lang w:val="en-US" w:eastAsia="zh-CN"/>
        </w:rPr>
        <w:t xml:space="preserve"> product categor</w:t>
      </w:r>
      <w:r w:rsidR="0059475D">
        <w:rPr>
          <w:rFonts w:eastAsia="SimSun"/>
          <w:lang w:val="en-US" w:eastAsia="zh-CN"/>
        </w:rPr>
        <w:t>ies</w:t>
      </w:r>
      <w:r>
        <w:rPr>
          <w:rFonts w:eastAsia="SimSun"/>
          <w:lang w:val="en-US" w:eastAsia="zh-CN"/>
        </w:rPr>
        <w:t xml:space="preserve"> </w:t>
      </w:r>
      <w:bookmarkEnd w:id="3"/>
      <w:r w:rsidR="009E1CFE">
        <w:rPr>
          <w:rFonts w:eastAsia="SimSun"/>
          <w:lang w:val="en-US" w:eastAsia="zh-CN"/>
        </w:rPr>
        <w:t xml:space="preserve">in repeated tasks </w:t>
      </w:r>
      <w:r>
        <w:rPr>
          <w:rFonts w:eastAsia="SimSun"/>
          <w:lang w:val="en-US" w:eastAsia="zh-CN"/>
        </w:rPr>
        <w:t xml:space="preserve">may potentially </w:t>
      </w:r>
      <w:r w:rsidR="00D7586A">
        <w:rPr>
          <w:rFonts w:eastAsia="SimSun"/>
          <w:lang w:val="en-US" w:eastAsia="zh-CN"/>
        </w:rPr>
        <w:t>distort</w:t>
      </w:r>
      <w:r>
        <w:rPr>
          <w:rFonts w:eastAsia="SimSun"/>
          <w:lang w:val="en-US" w:eastAsia="zh-CN"/>
        </w:rPr>
        <w:t xml:space="preserve"> the effectiveness of </w:t>
      </w:r>
      <w:r w:rsidR="009E1CFE">
        <w:rPr>
          <w:rFonts w:eastAsia="SimSun"/>
          <w:lang w:val="en-US" w:eastAsia="zh-CN"/>
        </w:rPr>
        <w:t>signposted taxes</w:t>
      </w:r>
      <w:r>
        <w:rPr>
          <w:rFonts w:eastAsia="SimSun"/>
          <w:lang w:val="en-US" w:eastAsia="zh-CN"/>
        </w:rPr>
        <w:t>, and it is therefore useful to test for this</w:t>
      </w:r>
      <w:r w:rsidR="00661F61">
        <w:rPr>
          <w:rFonts w:eastAsia="SimSun"/>
          <w:lang w:val="en-US" w:eastAsia="zh-CN"/>
        </w:rPr>
        <w:t>.</w:t>
      </w:r>
      <w:r w:rsidR="00D7586A">
        <w:rPr>
          <w:rFonts w:eastAsia="SimSun"/>
          <w:lang w:val="en-US" w:eastAsia="zh-CN"/>
        </w:rPr>
        <w:t xml:space="preserve"> </w:t>
      </w:r>
      <w:r>
        <w:rPr>
          <w:rFonts w:eastAsia="SimSun"/>
          <w:lang w:val="en-US" w:eastAsia="zh-CN"/>
        </w:rPr>
        <w:t>If</w:t>
      </w:r>
      <w:r w:rsidR="008C3183">
        <w:rPr>
          <w:rFonts w:eastAsia="SimSun"/>
          <w:lang w:val="en-US" w:eastAsia="zh-CN"/>
        </w:rPr>
        <w:t xml:space="preserve"> a potential experimenter demand effect</w:t>
      </w:r>
      <w:r w:rsidR="009E1CFE">
        <w:rPr>
          <w:rFonts w:eastAsia="SimSun"/>
          <w:lang w:val="en-US" w:eastAsia="zh-CN"/>
        </w:rPr>
        <w:t xml:space="preserve"> due to </w:t>
      </w:r>
      <w:r w:rsidR="000E4173">
        <w:rPr>
          <w:szCs w:val="22"/>
        </w:rPr>
        <w:t>task repetition</w:t>
      </w:r>
      <w:r w:rsidR="009E1CFE">
        <w:rPr>
          <w:rFonts w:eastAsia="SimSun"/>
          <w:lang w:val="en-US" w:eastAsia="zh-CN"/>
        </w:rPr>
        <w:t xml:space="preserve"> </w:t>
      </w:r>
      <w:r w:rsidR="008C3183">
        <w:rPr>
          <w:rFonts w:eastAsia="SimSun"/>
          <w:lang w:val="en-US" w:eastAsia="zh-CN"/>
        </w:rPr>
        <w:t xml:space="preserve">were to exist, </w:t>
      </w:r>
      <w:r w:rsidR="009E1CFE">
        <w:rPr>
          <w:rFonts w:eastAsia="SimSun"/>
          <w:lang w:val="en-US" w:eastAsia="zh-CN"/>
        </w:rPr>
        <w:t xml:space="preserve">in period 1 there should be greater effectiveness of taxation under signposting. </w:t>
      </w:r>
      <w:r w:rsidR="00ED301A">
        <w:t xml:space="preserve">In the online appendix </w:t>
      </w:r>
      <w:r w:rsidR="009E1CFE">
        <w:rPr>
          <w:rFonts w:eastAsia="SimSun"/>
          <w:lang w:val="en-US" w:eastAsia="zh-CN"/>
        </w:rPr>
        <w:t>Table A.10 tests this via 3-way interaction effects and finds</w:t>
      </w:r>
      <w:r w:rsidR="008C3183">
        <w:rPr>
          <w:rFonts w:eastAsia="SimSun"/>
          <w:lang w:val="en-US" w:eastAsia="zh-CN"/>
        </w:rPr>
        <w:t xml:space="preserve"> no evidence that this is the case. </w:t>
      </w:r>
    </w:p>
    <w:p w14:paraId="2BF30818" w14:textId="6917CEF5" w:rsidR="00B23FC4" w:rsidRDefault="008C3183" w:rsidP="003F72EB">
      <w:pPr>
        <w:spacing w:after="0"/>
        <w:rPr>
          <w:rFonts w:eastAsia="MS Mincho"/>
          <w:lang w:val="en-US" w:eastAsia="ja-JP"/>
        </w:rPr>
      </w:pPr>
      <w:r>
        <w:rPr>
          <w:rFonts w:eastAsia="SimSun"/>
          <w:lang w:val="en-US" w:eastAsia="zh-CN"/>
        </w:rPr>
        <w:t>There is of course a broader disadvantage from repetition in that there could be potential order effects. We control for this by presenting tasks</w:t>
      </w:r>
      <w:r w:rsidRPr="003F72EB">
        <w:rPr>
          <w:rFonts w:eastAsia="SimSun"/>
          <w:lang w:val="en-US" w:eastAsia="zh-CN"/>
        </w:rPr>
        <w:t xml:space="preserve"> in random order, and our data analysis checks did not find evidence for any time sequence effects.</w:t>
      </w:r>
    </w:p>
    <w:p w14:paraId="5BFB68F0" w14:textId="6D96C232" w:rsidR="005F6D89" w:rsidRPr="004F5A2F" w:rsidRDefault="003F72EB" w:rsidP="00193A97">
      <w:pPr>
        <w:spacing w:after="0"/>
        <w:rPr>
          <w:rFonts w:eastAsia="SimSun"/>
          <w:lang w:val="en-US" w:eastAsia="zh-CN"/>
        </w:rPr>
      </w:pPr>
      <w:r w:rsidRPr="003F72EB">
        <w:rPr>
          <w:rFonts w:eastAsia="SimSun"/>
          <w:lang w:val="en-US" w:eastAsia="zh-CN"/>
        </w:rPr>
        <w:t xml:space="preserve">Having a control group of participants who never face any tax would only be possible if we had opted for a full between-subjects design, i.e. each individual is exposed to only one treatment (price manipulation). If we had followed this approach, we would have required a much larger sample to have similar statistical power, which would have been unfeasible. Note that each group would need to be sufficiently large to contain a representative sample of the UK population. A further advantage of having a within-subject design is that its internal validity does not depend on random assignment and they lend themselves to more powerful econometric techniques (Charness et al, 2012). </w:t>
      </w:r>
    </w:p>
    <w:p w14:paraId="44466ED8" w14:textId="28FA38BC" w:rsidR="00BC49AA" w:rsidRDefault="00BF3F96" w:rsidP="00122D60">
      <w:pPr>
        <w:spacing w:after="0"/>
        <w:rPr>
          <w:rFonts w:eastAsia="MS Mincho"/>
          <w:lang w:val="en-US" w:eastAsia="ja-JP"/>
        </w:rPr>
      </w:pPr>
      <w:r>
        <w:rPr>
          <w:rFonts w:eastAsia="MS Mincho"/>
          <w:i/>
          <w:lang w:val="en-US" w:eastAsia="ja-JP"/>
        </w:rPr>
        <w:t>Signposting</w:t>
      </w:r>
      <w:r>
        <w:rPr>
          <w:rFonts w:eastAsia="MS Mincho"/>
          <w:lang w:val="en-US" w:eastAsia="ja-JP"/>
        </w:rPr>
        <w:t xml:space="preserve">. </w:t>
      </w:r>
      <w:r w:rsidR="00BC49AA">
        <w:rPr>
          <w:rFonts w:eastAsia="MS Mincho"/>
          <w:lang w:val="en-US" w:eastAsia="ja-JP"/>
        </w:rPr>
        <w:t>Natural world implementation of signposting of a price would be framed as a tax and therefore we retained this feature. Our tax signposting was deliberately minimal, and set up for an initial experiment such as ours (together with the taxation on health</w:t>
      </w:r>
      <w:r w:rsidR="00275C4B">
        <w:rPr>
          <w:rFonts w:eastAsia="MS Mincho"/>
          <w:lang w:val="en-US" w:eastAsia="ja-JP"/>
        </w:rPr>
        <w:t>y</w:t>
      </w:r>
      <w:r w:rsidR="00BC49AA">
        <w:rPr>
          <w:rFonts w:eastAsia="MS Mincho"/>
          <w:lang w:val="en-US" w:eastAsia="ja-JP"/>
        </w:rPr>
        <w:t xml:space="preserve"> products) to minimize the transparency of the objective of the experiment and therefore avoid experimenter demand effects (Zizzo, 2010). Future research could helpfully determine the effect of an entirely neutral label as this could help test for tax aversion as an explanation. It could also determine the effect of a stronger frame, </w:t>
      </w:r>
      <w:r w:rsidR="00275C4B">
        <w:rPr>
          <w:rFonts w:eastAsia="MS Mincho"/>
          <w:lang w:val="en-US" w:eastAsia="ja-JP"/>
        </w:rPr>
        <w:t xml:space="preserve">e.g. </w:t>
      </w:r>
      <w:r w:rsidR="00BC49AA">
        <w:rPr>
          <w:rFonts w:eastAsia="MS Mincho"/>
          <w:lang w:val="en-US" w:eastAsia="ja-JP"/>
        </w:rPr>
        <w:t xml:space="preserve">labeling the tax as a ‘health tax’. This could plausibly increase the impact of the health tax, </w:t>
      </w:r>
      <w:r w:rsidR="00275C4B">
        <w:rPr>
          <w:rFonts w:eastAsia="MS Mincho"/>
          <w:lang w:val="en-US" w:eastAsia="ja-JP"/>
        </w:rPr>
        <w:t xml:space="preserve">although </w:t>
      </w:r>
      <w:r w:rsidR="00BC49AA">
        <w:rPr>
          <w:rFonts w:eastAsia="MS Mincho"/>
          <w:lang w:val="en-US" w:eastAsia="ja-JP"/>
        </w:rPr>
        <w:t xml:space="preserve">there have been enough examples of public backlash against soda tax and other </w:t>
      </w:r>
      <w:r w:rsidR="00BC49AA">
        <w:rPr>
          <w:rFonts w:eastAsia="MS Mincho"/>
          <w:lang w:val="en-US" w:eastAsia="ja-JP"/>
        </w:rPr>
        <w:lastRenderedPageBreak/>
        <w:t>health interventions that this is not a foregone conclusion (Wright et al., 2017; Just, 2017).</w:t>
      </w:r>
    </w:p>
    <w:p w14:paraId="56AA0783" w14:textId="476FF5CC" w:rsidR="00C36401" w:rsidRPr="006F0EBE" w:rsidRDefault="0046500A" w:rsidP="007B0E00">
      <w:pPr>
        <w:spacing w:after="0"/>
        <w:rPr>
          <w:rFonts w:eastAsia="MS Mincho"/>
          <w:lang w:val="en-US" w:eastAsia="ja-JP"/>
        </w:rPr>
      </w:pPr>
      <w:r w:rsidRPr="006F0EBE">
        <w:rPr>
          <w:rFonts w:eastAsia="MS Mincho"/>
          <w:i/>
          <w:lang w:val="en-US" w:eastAsia="ja-JP"/>
        </w:rPr>
        <w:t>Own-price effects</w:t>
      </w:r>
      <w:r w:rsidRPr="006F0EBE">
        <w:rPr>
          <w:rFonts w:eastAsia="MS Mincho"/>
          <w:lang w:val="en-US" w:eastAsia="ja-JP"/>
        </w:rPr>
        <w:t>.</w:t>
      </w:r>
      <w:r w:rsidRPr="006F0EBE">
        <w:rPr>
          <w:rFonts w:eastAsia="MS Mincho"/>
          <w:i/>
          <w:lang w:val="en-US" w:eastAsia="ja-JP"/>
        </w:rPr>
        <w:t xml:space="preserve"> </w:t>
      </w:r>
      <w:r w:rsidR="00772065" w:rsidRPr="006F0EBE">
        <w:rPr>
          <w:rFonts w:eastAsia="MS Mincho"/>
          <w:lang w:val="en-US" w:eastAsia="ja-JP"/>
        </w:rPr>
        <w:t xml:space="preserve">We recognize that our </w:t>
      </w:r>
      <w:r w:rsidR="00DD29DD" w:rsidRPr="006F0EBE">
        <w:rPr>
          <w:rFonts w:eastAsia="MS Mincho"/>
          <w:lang w:val="en-US" w:eastAsia="ja-JP"/>
        </w:rPr>
        <w:t>estimates of the own-price effects are</w:t>
      </w:r>
      <w:r w:rsidR="00D021F9" w:rsidRPr="006F0EBE">
        <w:rPr>
          <w:rFonts w:eastAsia="MS Mincho"/>
          <w:lang w:val="en-US" w:eastAsia="ja-JP"/>
        </w:rPr>
        <w:t xml:space="preserve"> larger than what has been found in </w:t>
      </w:r>
      <w:r w:rsidR="00C36401" w:rsidRPr="006F0EBE">
        <w:rPr>
          <w:rFonts w:eastAsia="MS Mincho"/>
          <w:lang w:val="en-US" w:eastAsia="ja-JP"/>
        </w:rPr>
        <w:t>previous research (Briggs et al.</w:t>
      </w:r>
      <w:r w:rsidR="000B4DC4">
        <w:rPr>
          <w:rFonts w:eastAsia="MS Mincho"/>
          <w:lang w:val="en-US" w:eastAsia="ja-JP"/>
        </w:rPr>
        <w:t>,</w:t>
      </w:r>
      <w:r w:rsidR="00C36401" w:rsidRPr="006F0EBE">
        <w:rPr>
          <w:rFonts w:eastAsia="MS Mincho"/>
          <w:lang w:val="en-US" w:eastAsia="ja-JP"/>
        </w:rPr>
        <w:t xml:space="preserve"> 2013; </w:t>
      </w:r>
      <w:proofErr w:type="spellStart"/>
      <w:r w:rsidR="00C36401" w:rsidRPr="006F0EBE">
        <w:rPr>
          <w:lang w:val="en-US"/>
        </w:rPr>
        <w:t>Andreyeva</w:t>
      </w:r>
      <w:proofErr w:type="spellEnd"/>
      <w:r w:rsidR="00C36401" w:rsidRPr="006F0EBE">
        <w:rPr>
          <w:lang w:val="en-US"/>
        </w:rPr>
        <w:t xml:space="preserve"> et al.</w:t>
      </w:r>
      <w:r w:rsidR="000B4DC4">
        <w:rPr>
          <w:lang w:val="en-US"/>
        </w:rPr>
        <w:t>,</w:t>
      </w:r>
      <w:r w:rsidR="00C36401" w:rsidRPr="006F0EBE">
        <w:rPr>
          <w:lang w:val="en-US"/>
        </w:rPr>
        <w:t xml:space="preserve"> 2010</w:t>
      </w:r>
      <w:r w:rsidR="00C36401" w:rsidRPr="006F0EBE">
        <w:rPr>
          <w:rFonts w:eastAsia="MS Mincho"/>
          <w:lang w:val="en-US" w:eastAsia="ja-JP"/>
        </w:rPr>
        <w:t>).</w:t>
      </w:r>
      <w:r w:rsidR="00E4425C" w:rsidRPr="006F0EBE" w:rsidDel="00E4425C">
        <w:rPr>
          <w:rStyle w:val="FootnoteReference"/>
          <w:rFonts w:eastAsia="MS Mincho"/>
          <w:sz w:val="22"/>
          <w:szCs w:val="22"/>
          <w:lang w:val="en-US" w:eastAsia="ja-JP"/>
        </w:rPr>
        <w:t xml:space="preserve"> </w:t>
      </w:r>
      <w:r w:rsidR="00E4425C">
        <w:rPr>
          <w:rFonts w:eastAsia="MS Mincho"/>
          <w:lang w:val="en-US" w:eastAsia="ja-JP"/>
        </w:rPr>
        <w:t>T</w:t>
      </w:r>
      <w:r w:rsidR="00E4425C" w:rsidRPr="00E4425C">
        <w:rPr>
          <w:rFonts w:eastAsia="MS Mincho"/>
          <w:lang w:val="en-US" w:eastAsia="ja-JP"/>
        </w:rPr>
        <w:t>he fact that we have pre-filtered the sample for participants with latent demand does not explain why there is a higher estimate than in econometric studies estimates, as these are based on empirical demand functions that, by definition, rely on latent demand (e.g., if you never buy cereals, you will not affect the slope of the demand for cereals function).</w:t>
      </w:r>
      <w:r w:rsidR="00E4425C">
        <w:rPr>
          <w:rFonts w:eastAsia="MS Mincho"/>
          <w:lang w:val="en-US" w:eastAsia="ja-JP"/>
        </w:rPr>
        <w:t xml:space="preserve"> </w:t>
      </w:r>
      <w:r w:rsidR="00C36401" w:rsidRPr="006F0EBE">
        <w:rPr>
          <w:rFonts w:eastAsia="MS Mincho"/>
          <w:lang w:val="en-US" w:eastAsia="ja-JP"/>
        </w:rPr>
        <w:t xml:space="preserve">In comparison to our around 50% drop in demand for a 20% tax, </w:t>
      </w:r>
      <w:proofErr w:type="spellStart"/>
      <w:r w:rsidR="00D021F9" w:rsidRPr="006F0EBE">
        <w:rPr>
          <w:rFonts w:eastAsia="MS Mincho"/>
          <w:lang w:val="en-US" w:eastAsia="ja-JP"/>
        </w:rPr>
        <w:t>Nevo</w:t>
      </w:r>
      <w:proofErr w:type="spellEnd"/>
      <w:r w:rsidR="00D021F9" w:rsidRPr="006F0EBE">
        <w:rPr>
          <w:rFonts w:eastAsia="MS Mincho"/>
          <w:lang w:val="en-US" w:eastAsia="ja-JP"/>
        </w:rPr>
        <w:t xml:space="preserve"> (2001) </w:t>
      </w:r>
      <w:r w:rsidR="00C36401" w:rsidRPr="006F0EBE">
        <w:rPr>
          <w:rFonts w:eastAsia="MS Mincho"/>
          <w:lang w:val="en-US" w:eastAsia="ja-JP"/>
        </w:rPr>
        <w:t xml:space="preserve">found </w:t>
      </w:r>
      <w:r w:rsidR="00D021F9" w:rsidRPr="006F0EBE">
        <w:rPr>
          <w:rFonts w:eastAsia="MS Mincho"/>
          <w:lang w:val="en-US" w:eastAsia="ja-JP"/>
        </w:rPr>
        <w:t>that the elasticity is on average -1.53 in the US ready-to-eat cereals market, i.e. assuming linearity</w:t>
      </w:r>
      <w:r w:rsidR="00E4425C">
        <w:rPr>
          <w:rFonts w:eastAsia="MS Mincho"/>
          <w:lang w:val="en-US" w:eastAsia="ja-JP"/>
        </w:rPr>
        <w:t xml:space="preserve"> (that is, </w:t>
      </w:r>
      <w:r w:rsidR="00E4425C">
        <w:t>a linear relationship between the percentage change in price and the percentage change in demand)</w:t>
      </w:r>
      <w:r w:rsidR="00A73393">
        <w:rPr>
          <w:rFonts w:eastAsia="MS Mincho"/>
          <w:lang w:val="en-US" w:eastAsia="ja-JP"/>
        </w:rPr>
        <w:t>,</w:t>
      </w:r>
      <w:r w:rsidR="00E4425C" w:rsidDel="00E4425C">
        <w:rPr>
          <w:rStyle w:val="FootnoteReference"/>
          <w:rFonts w:eastAsia="MS Mincho"/>
          <w:lang w:val="en-US" w:eastAsia="ja-JP"/>
        </w:rPr>
        <w:t xml:space="preserve"> </w:t>
      </w:r>
      <w:r w:rsidR="00D021F9" w:rsidRPr="006F0EBE">
        <w:rPr>
          <w:rFonts w:eastAsia="MS Mincho"/>
          <w:lang w:val="en-US" w:eastAsia="ja-JP"/>
        </w:rPr>
        <w:t xml:space="preserve"> a 20% and 40% tax would lead to a reduction in purchases by about 30% and 60%, respectively. </w:t>
      </w:r>
      <w:r w:rsidR="00C36401" w:rsidRPr="006F0EBE">
        <w:rPr>
          <w:rFonts w:eastAsia="MS Mincho"/>
          <w:lang w:val="en-US" w:eastAsia="ja-JP"/>
        </w:rPr>
        <w:t xml:space="preserve">Our results suggest that the marginal </w:t>
      </w:r>
      <w:r w:rsidR="00656892">
        <w:rPr>
          <w:rFonts w:eastAsia="MS Mincho"/>
          <w:lang w:val="en-US" w:eastAsia="ja-JP"/>
        </w:rPr>
        <w:t xml:space="preserve">proportionate </w:t>
      </w:r>
      <w:r w:rsidR="00C36401" w:rsidRPr="006F0EBE">
        <w:rPr>
          <w:rFonts w:eastAsia="MS Mincho"/>
          <w:lang w:val="en-US" w:eastAsia="ja-JP"/>
        </w:rPr>
        <w:t xml:space="preserve">effect of taxation diminishes as the tax rate is raised from 20% to 40%, for both cereals and soft drinks. </w:t>
      </w:r>
      <w:r w:rsidR="009B2E9F" w:rsidRPr="006F0EBE">
        <w:rPr>
          <w:rFonts w:eastAsia="MS Mincho"/>
          <w:lang w:val="en-US" w:eastAsia="ja-JP"/>
        </w:rPr>
        <w:t xml:space="preserve">When clearly signposted, even a small tax could make a substantial difference, </w:t>
      </w:r>
      <w:r w:rsidR="00E4425C">
        <w:rPr>
          <w:rFonts w:eastAsia="MS Mincho"/>
          <w:lang w:val="en-US" w:eastAsia="ja-JP"/>
        </w:rPr>
        <w:t>which is consistent with the other signposting research as discussed in sub-section 2.2 (though comparing magnitudes is unfeasible given differences in experimental designs and how signposting is implemented)</w:t>
      </w:r>
      <w:r w:rsidR="009B2E9F" w:rsidRPr="006F0EBE">
        <w:rPr>
          <w:rFonts w:eastAsia="MS Mincho"/>
          <w:lang w:val="en-US" w:eastAsia="ja-JP"/>
        </w:rPr>
        <w:t>.</w:t>
      </w:r>
    </w:p>
    <w:p w14:paraId="30063EFF" w14:textId="6EE3E6A5" w:rsidR="000A584D" w:rsidRDefault="0072752F" w:rsidP="007B0E00">
      <w:pPr>
        <w:spacing w:after="0"/>
        <w:rPr>
          <w:rFonts w:eastAsia="SimSun"/>
          <w:lang w:val="en-US" w:eastAsia="zh-CN"/>
        </w:rPr>
      </w:pPr>
      <w:r w:rsidRPr="006F0EBE">
        <w:rPr>
          <w:rFonts w:eastAsia="MS Mincho"/>
          <w:lang w:val="en-US" w:eastAsia="ja-JP"/>
        </w:rPr>
        <w:t>A</w:t>
      </w:r>
      <w:r w:rsidR="001B3730" w:rsidRPr="006F0EBE">
        <w:rPr>
          <w:rFonts w:eastAsia="MS Mincho"/>
          <w:lang w:val="en-US" w:eastAsia="ja-JP"/>
        </w:rPr>
        <w:t xml:space="preserve"> potential issue with our result</w:t>
      </w:r>
      <w:r w:rsidR="00C10CA3" w:rsidRPr="006F0EBE">
        <w:rPr>
          <w:rFonts w:eastAsia="MS Mincho"/>
          <w:lang w:val="en-US" w:eastAsia="ja-JP"/>
        </w:rPr>
        <w:t xml:space="preserve">s, as well as other research in this area, is that there may be compensation effects such that </w:t>
      </w:r>
      <w:r w:rsidR="001B3730" w:rsidRPr="006F0EBE">
        <w:rPr>
          <w:rFonts w:eastAsia="SimSun"/>
          <w:lang w:val="en-US" w:eastAsia="zh-CN"/>
        </w:rPr>
        <w:t xml:space="preserve">the study manipulation, while effective in terms of direct study outcomes, would be made pointless by later unhealthy purchases. </w:t>
      </w:r>
      <w:r w:rsidR="000A584D">
        <w:rPr>
          <w:rFonts w:eastAsia="SimSun"/>
          <w:lang w:val="en-US" w:eastAsia="zh-CN"/>
        </w:rPr>
        <w:t>W</w:t>
      </w:r>
      <w:r w:rsidR="000A584D" w:rsidRPr="000A584D">
        <w:rPr>
          <w:rFonts w:eastAsia="SimSun"/>
          <w:lang w:val="en-US" w:eastAsia="zh-CN"/>
        </w:rPr>
        <w:t>e need to recognize that the current non-experimental evidence also does not necessarily address the compensation effect problem</w:t>
      </w:r>
      <w:r w:rsidR="00C606DC">
        <w:rPr>
          <w:rFonts w:eastAsia="SimSun"/>
          <w:lang w:val="en-US" w:eastAsia="zh-CN"/>
        </w:rPr>
        <w:t xml:space="preserve"> (Wisdom et al</w:t>
      </w:r>
      <w:r w:rsidR="00E02B06">
        <w:rPr>
          <w:rFonts w:eastAsia="SimSun"/>
          <w:lang w:val="en-US" w:eastAsia="zh-CN"/>
        </w:rPr>
        <w:t>.,</w:t>
      </w:r>
      <w:r w:rsidR="00C606DC">
        <w:rPr>
          <w:rFonts w:eastAsia="SimSun"/>
          <w:lang w:val="en-US" w:eastAsia="zh-CN"/>
        </w:rPr>
        <w:t xml:space="preserve"> 2010)</w:t>
      </w:r>
      <w:r w:rsidR="000A584D" w:rsidRPr="000A584D">
        <w:rPr>
          <w:rFonts w:eastAsia="SimSun"/>
          <w:lang w:val="en-US" w:eastAsia="zh-CN"/>
        </w:rPr>
        <w:t>. We do not know the extent to which, for example, Mexican consumers have replaced sugar consumption with equally harmful sugar surrogates</w:t>
      </w:r>
      <w:r w:rsidR="006535E5">
        <w:rPr>
          <w:rFonts w:eastAsia="SimSun"/>
          <w:lang w:val="en-US" w:eastAsia="zh-CN"/>
        </w:rPr>
        <w:t xml:space="preserve"> (</w:t>
      </w:r>
      <w:proofErr w:type="spellStart"/>
      <w:r w:rsidR="006535E5">
        <w:rPr>
          <w:rFonts w:eastAsia="SimSun"/>
          <w:lang w:val="en-US" w:eastAsia="zh-CN"/>
        </w:rPr>
        <w:t>Colchero</w:t>
      </w:r>
      <w:proofErr w:type="spellEnd"/>
      <w:r w:rsidR="006535E5">
        <w:rPr>
          <w:rFonts w:eastAsia="SimSun"/>
          <w:lang w:val="en-US" w:eastAsia="zh-CN"/>
        </w:rPr>
        <w:t xml:space="preserve"> et al</w:t>
      </w:r>
      <w:r w:rsidR="00E02B06">
        <w:rPr>
          <w:rFonts w:eastAsia="SimSun"/>
          <w:lang w:val="en-US" w:eastAsia="zh-CN"/>
        </w:rPr>
        <w:t>.,</w:t>
      </w:r>
      <w:r w:rsidR="006535E5">
        <w:rPr>
          <w:rFonts w:eastAsia="SimSun"/>
          <w:lang w:val="en-US" w:eastAsia="zh-CN"/>
        </w:rPr>
        <w:t xml:space="preserve"> 2016, 2017)</w:t>
      </w:r>
      <w:r w:rsidR="000A584D" w:rsidRPr="000A584D">
        <w:rPr>
          <w:rFonts w:eastAsia="SimSun"/>
          <w:lang w:val="en-US" w:eastAsia="zh-CN"/>
        </w:rPr>
        <w:t>.</w:t>
      </w:r>
    </w:p>
    <w:p w14:paraId="7E51AF18" w14:textId="617C9169" w:rsidR="00A73393" w:rsidRDefault="00A45F92" w:rsidP="007B0E00">
      <w:pPr>
        <w:spacing w:after="0"/>
        <w:rPr>
          <w:rFonts w:eastAsia="SimSun"/>
          <w:lang w:val="en-US" w:eastAsia="zh-CN"/>
        </w:rPr>
      </w:pPr>
      <w:r>
        <w:rPr>
          <w:rFonts w:eastAsia="SimSun"/>
          <w:i/>
          <w:lang w:val="en-US" w:eastAsia="zh-CN"/>
        </w:rPr>
        <w:t>Compensation and price ceiling effects</w:t>
      </w:r>
      <w:r>
        <w:rPr>
          <w:rFonts w:eastAsia="SimSun"/>
          <w:lang w:val="en-US" w:eastAsia="zh-CN"/>
        </w:rPr>
        <w:t>.</w:t>
      </w:r>
      <w:r>
        <w:rPr>
          <w:rFonts w:eastAsia="SimSun"/>
          <w:i/>
          <w:lang w:val="en-US" w:eastAsia="zh-CN"/>
        </w:rPr>
        <w:t xml:space="preserve"> </w:t>
      </w:r>
      <w:r w:rsidR="00723838" w:rsidRPr="00723838">
        <w:rPr>
          <w:rFonts w:eastAsia="SimSun"/>
          <w:lang w:val="en-US" w:eastAsia="zh-CN"/>
        </w:rPr>
        <w:t xml:space="preserve">In order to examine any potential compensation effect between our online shop and alternative shopping </w:t>
      </w:r>
      <w:r w:rsidR="00723838" w:rsidRPr="00723838">
        <w:rPr>
          <w:rFonts w:eastAsia="SimSun"/>
          <w:lang w:val="en-US" w:eastAsia="zh-CN"/>
        </w:rPr>
        <w:lastRenderedPageBreak/>
        <w:t>opportunities, upon completion of the online shopping, participants were invited to record their purchases of the two relevant product categories</w:t>
      </w:r>
      <w:r w:rsidR="00E263C3">
        <w:rPr>
          <w:rFonts w:eastAsia="SimSun"/>
          <w:lang w:val="en-US" w:eastAsia="zh-CN"/>
        </w:rPr>
        <w:t>, namely cereals and soft drinks,</w:t>
      </w:r>
      <w:r w:rsidR="00723838" w:rsidRPr="00723838">
        <w:rPr>
          <w:rFonts w:eastAsia="SimSun"/>
          <w:lang w:val="en-US" w:eastAsia="zh-CN"/>
        </w:rPr>
        <w:t xml:space="preserve"> as well as the additional category “chocolate” for one week after they received the shopping basket delivered to their homes. </w:t>
      </w:r>
      <w:r w:rsidR="00AA79BA" w:rsidRPr="00AA79BA">
        <w:rPr>
          <w:rFonts w:eastAsia="SimSun"/>
          <w:lang w:val="en-US" w:eastAsia="zh-CN"/>
        </w:rPr>
        <w:t>There is some evidence of substitution between different sources of sugar, including, specifically, between demand for high sugar soft drinks and demand for chocolate (see Smith et al., 2018, based on UK Kantar data).</w:t>
      </w:r>
      <w:r w:rsidR="00AA79BA">
        <w:rPr>
          <w:rFonts w:eastAsia="SimSun"/>
          <w:lang w:val="en-US" w:eastAsia="zh-CN"/>
        </w:rPr>
        <w:t xml:space="preserve"> </w:t>
      </w:r>
      <w:r w:rsidR="00723838" w:rsidRPr="00723838">
        <w:rPr>
          <w:rFonts w:eastAsia="SimSun"/>
          <w:lang w:val="en-US" w:eastAsia="zh-CN"/>
        </w:rPr>
        <w:t>Below, we refer to this part of our study as the shopper diary.</w:t>
      </w:r>
    </w:p>
    <w:p w14:paraId="16A9EEEB" w14:textId="07BED2F4" w:rsidR="007A4658" w:rsidRDefault="00D3533D" w:rsidP="007B0E00">
      <w:pPr>
        <w:spacing w:after="0"/>
        <w:rPr>
          <w:rFonts w:eastAsia="SimSun"/>
          <w:lang w:val="en-US" w:eastAsia="zh-CN"/>
        </w:rPr>
      </w:pPr>
      <w:r>
        <w:rPr>
          <w:rFonts w:eastAsia="SimSun"/>
          <w:lang w:val="en-US" w:eastAsia="zh-CN"/>
        </w:rPr>
        <w:t>O</w:t>
      </w:r>
      <w:r w:rsidR="00C10CA3" w:rsidRPr="006F0EBE">
        <w:rPr>
          <w:rFonts w:eastAsia="SimSun"/>
          <w:lang w:val="en-US" w:eastAsia="zh-CN"/>
        </w:rPr>
        <w:t xml:space="preserve">nline appendix </w:t>
      </w:r>
      <w:r>
        <w:rPr>
          <w:rFonts w:eastAsia="SimSun"/>
          <w:lang w:val="en-US" w:eastAsia="zh-CN"/>
        </w:rPr>
        <w:t xml:space="preserve">B </w:t>
      </w:r>
      <w:r w:rsidR="00C10CA3" w:rsidRPr="006F0EBE">
        <w:rPr>
          <w:rFonts w:eastAsia="SimSun"/>
          <w:lang w:val="en-US" w:eastAsia="zh-CN"/>
        </w:rPr>
        <w:t xml:space="preserve">describes the results from </w:t>
      </w:r>
      <w:r w:rsidR="00723838">
        <w:rPr>
          <w:rFonts w:eastAsia="SimSun"/>
          <w:lang w:val="en-US" w:eastAsia="zh-CN"/>
        </w:rPr>
        <w:t xml:space="preserve">the </w:t>
      </w:r>
      <w:r w:rsidR="00C10CA3" w:rsidRPr="006F0EBE">
        <w:rPr>
          <w:rFonts w:eastAsia="SimSun"/>
          <w:lang w:val="en-US" w:eastAsia="zh-CN"/>
        </w:rPr>
        <w:t>shopper diary trying to provide a first and partial control for</w:t>
      </w:r>
      <w:r w:rsidR="00723838">
        <w:rPr>
          <w:rFonts w:eastAsia="SimSun"/>
          <w:lang w:val="en-US" w:eastAsia="zh-CN"/>
        </w:rPr>
        <w:t xml:space="preserve"> compensation effects</w:t>
      </w:r>
      <w:r w:rsidR="00C10CA3" w:rsidRPr="006F0EBE">
        <w:rPr>
          <w:rFonts w:eastAsia="SimSun"/>
          <w:lang w:val="en-US" w:eastAsia="zh-CN"/>
        </w:rPr>
        <w:t xml:space="preserve">. </w:t>
      </w:r>
      <w:r w:rsidR="000B2E85">
        <w:rPr>
          <w:rFonts w:eastAsia="SimSun"/>
          <w:lang w:val="en-US" w:eastAsia="zh-CN"/>
        </w:rPr>
        <w:t xml:space="preserve">We do this in two ways and exploit the fact that only </w:t>
      </w:r>
      <w:r w:rsidR="005B27B9">
        <w:rPr>
          <w:rFonts w:eastAsia="SimSun"/>
          <w:lang w:val="en-US" w:eastAsia="zh-CN"/>
        </w:rPr>
        <w:t xml:space="preserve">one </w:t>
      </w:r>
      <w:r w:rsidR="000B2E85">
        <w:rPr>
          <w:rFonts w:eastAsia="SimSun"/>
          <w:lang w:val="en-US" w:eastAsia="zh-CN"/>
        </w:rPr>
        <w:t xml:space="preserve">shopping task was implemented for real, and subjects did know which one </w:t>
      </w:r>
      <w:r w:rsidR="008239A5">
        <w:rPr>
          <w:rFonts w:eastAsia="SimSun"/>
          <w:lang w:val="en-US" w:eastAsia="zh-CN"/>
        </w:rPr>
        <w:t>after the experiment</w:t>
      </w:r>
      <w:r w:rsidR="000B2E85">
        <w:rPr>
          <w:rFonts w:eastAsia="SimSun"/>
          <w:lang w:val="en-US" w:eastAsia="zh-CN"/>
        </w:rPr>
        <w:t>. We look at how the volume of less healthy/healthier products received in the experiment affects post-experimental purchases, both in general and in relation to the baseline and to each of the different tax conditions. W</w:t>
      </w:r>
      <w:r w:rsidR="008239A5">
        <w:rPr>
          <w:rFonts w:eastAsia="SimSun"/>
          <w:lang w:val="en-US" w:eastAsia="zh-CN"/>
        </w:rPr>
        <w:t>e also look at how taxes in the implemented task directly affected post experimental purchases. We do not find evidence for compensation effects using either method.</w:t>
      </w:r>
    </w:p>
    <w:p w14:paraId="4404B8D4" w14:textId="6F760BDF" w:rsidR="007A4658" w:rsidRDefault="005B27B9" w:rsidP="007B0E00">
      <w:pPr>
        <w:spacing w:after="0"/>
        <w:rPr>
          <w:rFonts w:eastAsia="SimSun"/>
          <w:lang w:val="en-US" w:eastAsia="zh-CN"/>
        </w:rPr>
      </w:pPr>
      <w:r>
        <w:rPr>
          <w:rFonts w:eastAsia="SimSun"/>
          <w:lang w:val="en-US" w:eastAsia="zh-CN"/>
        </w:rPr>
        <w:t xml:space="preserve">The shopper diary also enables us to test price ceiling effects (Harrison et al., 2004) other than compensation effects, by focusing on the cases where the implemented task had baseline prices. Specifically, we can see whether the volume of less healthy / healthier products purchased at baseline prices correlates with the volume of less healthy / healthier products purchased after the experiment (see Table B.5.2 in </w:t>
      </w:r>
      <w:r w:rsidR="00B64D51">
        <w:rPr>
          <w:rFonts w:eastAsia="SimSun"/>
          <w:lang w:val="en-US" w:eastAsia="zh-CN"/>
        </w:rPr>
        <w:t>o</w:t>
      </w:r>
      <w:r>
        <w:rPr>
          <w:rFonts w:eastAsia="SimSun"/>
          <w:lang w:val="en-US" w:eastAsia="zh-CN"/>
        </w:rPr>
        <w:t xml:space="preserve">nline </w:t>
      </w:r>
      <w:r w:rsidR="00B64D51">
        <w:rPr>
          <w:rFonts w:eastAsia="SimSun"/>
          <w:lang w:val="en-US" w:eastAsia="zh-CN"/>
        </w:rPr>
        <w:t>a</w:t>
      </w:r>
      <w:r>
        <w:rPr>
          <w:rFonts w:eastAsia="SimSun"/>
          <w:lang w:val="en-US" w:eastAsia="zh-CN"/>
        </w:rPr>
        <w:t>ppendix B). We find no effects</w:t>
      </w:r>
      <w:r w:rsidR="00E20438">
        <w:rPr>
          <w:rFonts w:eastAsia="SimSun"/>
          <w:lang w:val="en-US" w:eastAsia="zh-CN"/>
        </w:rPr>
        <w:t>,</w:t>
      </w:r>
      <w:r>
        <w:rPr>
          <w:rFonts w:eastAsia="SimSun"/>
          <w:lang w:val="en-US" w:eastAsia="zh-CN"/>
        </w:rPr>
        <w:t xml:space="preserve"> other than a higher volume of cereals being bought in the experiment being strongly correlated with a lower volume of healthier cereals bought after the experiment. However, the marginal effect of the purchase of less healthy cereals on healthier cereals (-0.475) is </w:t>
      </w:r>
      <w:r w:rsidR="003D08E0">
        <w:rPr>
          <w:rFonts w:eastAsia="SimSun"/>
          <w:lang w:val="en-US" w:eastAsia="zh-CN"/>
        </w:rPr>
        <w:t>virtually identical to that of the purchase of healthier cereals on healthier cereals (-0.461)</w:t>
      </w:r>
      <w:r w:rsidR="00E20438">
        <w:rPr>
          <w:rFonts w:eastAsia="SimSun"/>
          <w:lang w:val="en-US" w:eastAsia="zh-CN"/>
        </w:rPr>
        <w:t>, suggesting that this effect does not interact with our findings on the effect of taxation on less healthy products in a way that may affect our results.</w:t>
      </w:r>
    </w:p>
    <w:p w14:paraId="0A5E1E8F" w14:textId="1C1CC3D1" w:rsidR="008239A5" w:rsidRDefault="00E20438" w:rsidP="007B0E00">
      <w:pPr>
        <w:spacing w:after="0"/>
        <w:rPr>
          <w:rFonts w:eastAsia="MS Mincho"/>
          <w:lang w:val="en-US" w:eastAsia="ja-JP"/>
        </w:rPr>
      </w:pPr>
      <w:r>
        <w:rPr>
          <w:rFonts w:eastAsia="SimSun"/>
          <w:lang w:val="en-US" w:eastAsia="zh-CN"/>
        </w:rPr>
        <w:lastRenderedPageBreak/>
        <w:t xml:space="preserve">That said, this is </w:t>
      </w:r>
      <w:r>
        <w:rPr>
          <w:rFonts w:eastAsia="SimSun"/>
          <w:i/>
          <w:lang w:val="en-US" w:eastAsia="zh-CN"/>
        </w:rPr>
        <w:t xml:space="preserve">some </w:t>
      </w:r>
      <w:r>
        <w:rPr>
          <w:rFonts w:eastAsia="SimSun"/>
          <w:lang w:val="en-US" w:eastAsia="zh-CN"/>
        </w:rPr>
        <w:t>evidence of subjects not treating the experimental task in isolation; another piece of evidence is</w:t>
      </w:r>
      <w:r w:rsidRPr="00E20438">
        <w:rPr>
          <w:rFonts w:eastAsia="MS Mincho"/>
          <w:lang w:val="en-US" w:eastAsia="ja-JP"/>
        </w:rPr>
        <w:t xml:space="preserve"> </w:t>
      </w:r>
      <w:r w:rsidRPr="006F0EBE">
        <w:rPr>
          <w:rFonts w:eastAsia="MS Mincho"/>
          <w:lang w:val="en-US" w:eastAsia="ja-JP"/>
        </w:rPr>
        <w:t xml:space="preserve">the strong negative correlation between </w:t>
      </w:r>
      <w:r w:rsidR="002B6CA9">
        <w:rPr>
          <w:rFonts w:eastAsia="MS Mincho"/>
          <w:lang w:val="en-US" w:eastAsia="ja-JP"/>
        </w:rPr>
        <w:t xml:space="preserve">prior </w:t>
      </w:r>
      <w:r w:rsidRPr="006F0EBE">
        <w:rPr>
          <w:rFonts w:eastAsia="MS Mincho"/>
          <w:lang w:val="en-US" w:eastAsia="ja-JP"/>
        </w:rPr>
        <w:t>stocks of soft drinks/cereals and experimental purchases.</w:t>
      </w:r>
      <w:r w:rsidR="00180E3D">
        <w:rPr>
          <w:rFonts w:eastAsia="MS Mincho"/>
          <w:lang w:val="en-US" w:eastAsia="ja-JP"/>
        </w:rPr>
        <w:t xml:space="preserve"> </w:t>
      </w:r>
      <w:r w:rsidR="00DE262F">
        <w:rPr>
          <w:rFonts w:eastAsia="MS Mincho"/>
          <w:lang w:val="en-US" w:eastAsia="ja-JP"/>
        </w:rPr>
        <w:t>The volume of quantity purchased in the experiment clearly decreases with a 40% tax, though the effect is muted or non-existent with a 20% tax</w:t>
      </w:r>
      <w:r w:rsidR="009735DE">
        <w:rPr>
          <w:rFonts w:eastAsia="MS Mincho"/>
          <w:lang w:val="en-US" w:eastAsia="ja-JP"/>
        </w:rPr>
        <w:t xml:space="preserve"> (see </w:t>
      </w:r>
      <w:r w:rsidR="00091CAF">
        <w:rPr>
          <w:rFonts w:eastAsia="MS Mincho"/>
          <w:lang w:val="en-US" w:eastAsia="ja-JP"/>
        </w:rPr>
        <w:t>Table 2</w:t>
      </w:r>
      <w:r w:rsidR="009735DE">
        <w:rPr>
          <w:rFonts w:eastAsia="MS Mincho"/>
          <w:lang w:val="en-US" w:eastAsia="ja-JP"/>
        </w:rPr>
        <w:t>, and Table A.1 for mean volumes by treatment)</w:t>
      </w:r>
      <w:r w:rsidR="00DE262F">
        <w:rPr>
          <w:rFonts w:eastAsia="MS Mincho"/>
          <w:lang w:val="en-US" w:eastAsia="ja-JP"/>
        </w:rPr>
        <w:t xml:space="preserve">. </w:t>
      </w:r>
      <w:r w:rsidR="00180E3D">
        <w:rPr>
          <w:rFonts w:eastAsia="MS Mincho"/>
          <w:lang w:val="en-US" w:eastAsia="ja-JP"/>
        </w:rPr>
        <w:t xml:space="preserve">One may query why there is not a bigger substitution between healthy and unhealthy products of the same category. </w:t>
      </w:r>
      <w:r w:rsidR="00DE262F">
        <w:rPr>
          <w:rFonts w:eastAsia="MS Mincho"/>
          <w:lang w:val="en-US" w:eastAsia="ja-JP"/>
        </w:rPr>
        <w:t xml:space="preserve">This is however not surprising </w:t>
      </w:r>
      <w:r w:rsidR="00DE262F" w:rsidRPr="00F02815">
        <w:rPr>
          <w:rFonts w:eastAsia="MS Mincho"/>
          <w:lang w:val="en-US" w:eastAsia="ja-JP"/>
        </w:rPr>
        <w:t>a</w:t>
      </w:r>
      <w:r w:rsidR="00DE262F">
        <w:rPr>
          <w:rFonts w:eastAsia="MS Mincho"/>
          <w:lang w:val="en-US" w:eastAsia="ja-JP"/>
        </w:rPr>
        <w:t xml:space="preserve">s preferences for soft drinks and perhaps especially cereals is likely to </w:t>
      </w:r>
      <w:r w:rsidR="00FC2E89">
        <w:rPr>
          <w:rFonts w:eastAsia="MS Mincho"/>
          <w:lang w:val="en-US" w:eastAsia="ja-JP"/>
        </w:rPr>
        <w:t xml:space="preserve">be </w:t>
      </w:r>
      <w:r w:rsidR="00DE262F">
        <w:rPr>
          <w:rFonts w:eastAsia="MS Mincho"/>
          <w:lang w:val="en-US" w:eastAsia="ja-JP"/>
        </w:rPr>
        <w:t>habitual to some degree, and so at least some consumers may be disincline</w:t>
      </w:r>
      <w:r w:rsidR="00FC2E89">
        <w:rPr>
          <w:rFonts w:eastAsia="MS Mincho"/>
          <w:lang w:val="en-US" w:eastAsia="ja-JP"/>
        </w:rPr>
        <w:t>d</w:t>
      </w:r>
      <w:r w:rsidR="00DE262F">
        <w:rPr>
          <w:rFonts w:eastAsia="MS Mincho"/>
          <w:lang w:val="en-US" w:eastAsia="ja-JP"/>
        </w:rPr>
        <w:t xml:space="preserve"> to replace (for example) frosty corn flakes with regular corn flakes. The lack of compensatory effects is particularly reassuring in this context.</w:t>
      </w:r>
    </w:p>
    <w:p w14:paraId="490204AC" w14:textId="0AAEC931" w:rsidR="003514FB" w:rsidRPr="00195E4D" w:rsidRDefault="00EE7633" w:rsidP="007B0E00">
      <w:pPr>
        <w:spacing w:after="0"/>
        <w:rPr>
          <w:rFonts w:eastAsia="SimSun"/>
          <w:lang w:val="en-US" w:eastAsia="zh-CN"/>
        </w:rPr>
      </w:pPr>
      <w:r>
        <w:rPr>
          <w:rFonts w:eastAsia="MS Mincho"/>
          <w:lang w:val="en-US" w:eastAsia="ja-JP"/>
        </w:rPr>
        <w:t>Why do we</w:t>
      </w:r>
      <w:r w:rsidR="003514FB">
        <w:rPr>
          <w:rFonts w:eastAsia="MS Mincho"/>
          <w:lang w:val="en-US" w:eastAsia="ja-JP"/>
        </w:rPr>
        <w:t xml:space="preserve"> observe at least partial is</w:t>
      </w:r>
      <w:r>
        <w:rPr>
          <w:rFonts w:eastAsia="MS Mincho"/>
          <w:lang w:val="en-US" w:eastAsia="ja-JP"/>
        </w:rPr>
        <w:t>olation of experimental choices?</w:t>
      </w:r>
      <w:r w:rsidR="003514FB">
        <w:rPr>
          <w:rFonts w:eastAsia="MS Mincho"/>
          <w:lang w:val="en-US" w:eastAsia="ja-JP"/>
        </w:rPr>
        <w:t xml:space="preserve"> One explanation could be similar to the one of online as well as physical supermarket shopping: there is a transaction cost (in time</w:t>
      </w:r>
      <w:r w:rsidR="00FC2E89">
        <w:rPr>
          <w:rFonts w:eastAsia="MS Mincho"/>
          <w:lang w:val="en-US" w:eastAsia="ja-JP"/>
        </w:rPr>
        <w:t>,</w:t>
      </w:r>
      <w:r w:rsidR="003514FB">
        <w:rPr>
          <w:rFonts w:eastAsia="MS Mincho"/>
          <w:lang w:val="en-US" w:eastAsia="ja-JP"/>
        </w:rPr>
        <w:t xml:space="preserve"> if nothing else) from looking for other suppliers and risking for a better offer not to be there (Sugden et al., 2019). </w:t>
      </w:r>
      <w:r w:rsidR="00587FB9">
        <w:rPr>
          <w:rFonts w:eastAsia="MS Mincho"/>
          <w:lang w:val="en-US" w:eastAsia="ja-JP"/>
        </w:rPr>
        <w:t xml:space="preserve">This possibility is perhaps made more credible by the market competitive nature of the Tesco’s online prices which we rely on. Shopping at high end supermarkets or local shops can be considerably more expensive, and we </w:t>
      </w:r>
      <w:r w:rsidR="008547F0">
        <w:rPr>
          <w:rFonts w:eastAsia="MS Mincho"/>
          <w:lang w:val="en-US" w:eastAsia="ja-JP"/>
        </w:rPr>
        <w:t>w</w:t>
      </w:r>
      <w:r w:rsidR="00162FFC">
        <w:rPr>
          <w:rFonts w:eastAsia="MS Mincho"/>
          <w:lang w:val="en-US" w:eastAsia="ja-JP"/>
        </w:rPr>
        <w:t>e</w:t>
      </w:r>
      <w:r w:rsidR="008547F0">
        <w:rPr>
          <w:rFonts w:eastAsia="MS Mincho"/>
          <w:lang w:val="en-US" w:eastAsia="ja-JP"/>
        </w:rPr>
        <w:t>re</w:t>
      </w:r>
      <w:r w:rsidR="00587FB9">
        <w:rPr>
          <w:rFonts w:eastAsia="MS Mincho"/>
          <w:lang w:val="en-US" w:eastAsia="ja-JP"/>
        </w:rPr>
        <w:t xml:space="preserve"> more competitive even than Tesco’s online supermarket in that we </w:t>
      </w:r>
      <w:r w:rsidR="008547F0">
        <w:rPr>
          <w:rFonts w:eastAsia="MS Mincho"/>
          <w:lang w:val="en-US" w:eastAsia="ja-JP"/>
        </w:rPr>
        <w:t>did</w:t>
      </w:r>
      <w:r w:rsidR="00587FB9">
        <w:rPr>
          <w:rFonts w:eastAsia="MS Mincho"/>
          <w:lang w:val="en-US" w:eastAsia="ja-JP"/>
        </w:rPr>
        <w:t xml:space="preserve"> not charge subjects for delivery fees</w:t>
      </w:r>
      <w:r w:rsidR="008547F0">
        <w:rPr>
          <w:rFonts w:eastAsia="MS Mincho"/>
          <w:lang w:val="en-US" w:eastAsia="ja-JP"/>
        </w:rPr>
        <w:t xml:space="preserve"> (</w:t>
      </w:r>
      <w:r w:rsidR="008547F0" w:rsidRPr="008547F0">
        <w:rPr>
          <w:rFonts w:eastAsia="MS Mincho"/>
          <w:lang w:val="en-US" w:eastAsia="ja-JP"/>
        </w:rPr>
        <w:t>£4</w:t>
      </w:r>
      <w:r w:rsidR="008547F0">
        <w:rPr>
          <w:rFonts w:eastAsia="MS Mincho"/>
          <w:lang w:val="en-US" w:eastAsia="ja-JP"/>
        </w:rPr>
        <w:t xml:space="preserve"> at the time of the experiment</w:t>
      </w:r>
      <w:r w:rsidR="00587FB9">
        <w:rPr>
          <w:rFonts w:eastAsia="MS Mincho"/>
          <w:lang w:val="en-US" w:eastAsia="ja-JP"/>
        </w:rPr>
        <w:t>, which</w:t>
      </w:r>
      <w:r w:rsidR="00D23FA9">
        <w:rPr>
          <w:rFonts w:eastAsia="MS Mincho"/>
          <w:lang w:val="en-US" w:eastAsia="ja-JP"/>
        </w:rPr>
        <w:t xml:space="preserve">, </w:t>
      </w:r>
      <w:r w:rsidR="008547F0">
        <w:rPr>
          <w:rFonts w:eastAsia="MS Mincho"/>
          <w:lang w:val="en-US" w:eastAsia="ja-JP"/>
        </w:rPr>
        <w:t>given the £10 budget, implied that</w:t>
      </w:r>
      <w:r w:rsidR="00020782">
        <w:rPr>
          <w:rFonts w:eastAsia="MS Mincho"/>
          <w:lang w:val="en-US" w:eastAsia="ja-JP"/>
        </w:rPr>
        <w:t>,</w:t>
      </w:r>
      <w:r w:rsidR="008547F0">
        <w:rPr>
          <w:rFonts w:eastAsia="MS Mincho"/>
          <w:lang w:val="en-US" w:eastAsia="ja-JP"/>
        </w:rPr>
        <w:t xml:space="preserve"> for a comparable expenditure</w:t>
      </w:r>
      <w:r w:rsidR="00020782">
        <w:rPr>
          <w:rFonts w:eastAsia="MS Mincho"/>
          <w:lang w:val="en-US" w:eastAsia="ja-JP"/>
        </w:rPr>
        <w:t>,</w:t>
      </w:r>
      <w:r w:rsidR="008547F0">
        <w:rPr>
          <w:rFonts w:eastAsia="MS Mincho"/>
          <w:lang w:val="en-US" w:eastAsia="ja-JP"/>
        </w:rPr>
        <w:t xml:space="preserve"> shopping with us was never more expensive, even with a 40% tax)</w:t>
      </w:r>
      <w:r w:rsidR="00587FB9">
        <w:rPr>
          <w:rFonts w:eastAsia="MS Mincho"/>
          <w:lang w:val="en-US" w:eastAsia="ja-JP"/>
        </w:rPr>
        <w:t xml:space="preserve">. </w:t>
      </w:r>
      <w:r w:rsidR="003514FB">
        <w:rPr>
          <w:rFonts w:eastAsia="MS Mincho"/>
          <w:lang w:val="en-US" w:eastAsia="ja-JP"/>
        </w:rPr>
        <w:t xml:space="preserve">Another </w:t>
      </w:r>
      <w:r>
        <w:rPr>
          <w:rFonts w:eastAsia="MS Mincho"/>
          <w:lang w:val="en-US" w:eastAsia="ja-JP"/>
        </w:rPr>
        <w:t xml:space="preserve">and possibly complementary </w:t>
      </w:r>
      <w:r w:rsidR="003514FB">
        <w:rPr>
          <w:rFonts w:eastAsia="MS Mincho"/>
          <w:lang w:val="en-US" w:eastAsia="ja-JP"/>
        </w:rPr>
        <w:t xml:space="preserve">explanation is experimental narrow framing, as found </w:t>
      </w:r>
      <w:r>
        <w:rPr>
          <w:rFonts w:eastAsia="MS Mincho"/>
          <w:lang w:val="en-US" w:eastAsia="ja-JP"/>
        </w:rPr>
        <w:t xml:space="preserve">at least partially </w:t>
      </w:r>
      <w:r w:rsidR="003514FB">
        <w:rPr>
          <w:rFonts w:eastAsia="MS Mincho"/>
          <w:lang w:val="en-US" w:eastAsia="ja-JP"/>
        </w:rPr>
        <w:t>in other settings such as risk taking (</w:t>
      </w:r>
      <w:r>
        <w:rPr>
          <w:rFonts w:eastAsia="MS Mincho"/>
          <w:lang w:val="en-US" w:eastAsia="ja-JP"/>
        </w:rPr>
        <w:t xml:space="preserve">e.g., Cox and </w:t>
      </w:r>
      <w:proofErr w:type="spellStart"/>
      <w:r>
        <w:rPr>
          <w:rFonts w:eastAsia="MS Mincho"/>
          <w:lang w:val="en-US" w:eastAsia="ja-JP"/>
        </w:rPr>
        <w:t>Sadiraj</w:t>
      </w:r>
      <w:proofErr w:type="spellEnd"/>
      <w:r>
        <w:rPr>
          <w:rFonts w:eastAsia="MS Mincho"/>
          <w:lang w:val="en-US" w:eastAsia="ja-JP"/>
        </w:rPr>
        <w:t xml:space="preserve">, 2006; </w:t>
      </w:r>
      <w:proofErr w:type="spellStart"/>
      <w:r>
        <w:rPr>
          <w:rFonts w:eastAsia="MS Mincho"/>
          <w:lang w:val="en-US" w:eastAsia="ja-JP"/>
        </w:rPr>
        <w:t>Fafchamps</w:t>
      </w:r>
      <w:proofErr w:type="spellEnd"/>
      <w:r>
        <w:rPr>
          <w:rFonts w:eastAsia="MS Mincho"/>
          <w:lang w:val="en-US" w:eastAsia="ja-JP"/>
        </w:rPr>
        <w:t xml:space="preserve"> et al., 2015</w:t>
      </w:r>
      <w:r w:rsidR="007133E0">
        <w:rPr>
          <w:rFonts w:eastAsia="MS Mincho"/>
          <w:lang w:val="en-US" w:eastAsia="ja-JP"/>
        </w:rPr>
        <w:t>; Andersen et al., 2018</w:t>
      </w:r>
      <w:r>
        <w:rPr>
          <w:rFonts w:eastAsia="MS Mincho"/>
          <w:lang w:val="en-US" w:eastAsia="ja-JP"/>
        </w:rPr>
        <w:t xml:space="preserve">). </w:t>
      </w:r>
    </w:p>
    <w:p w14:paraId="1B63C260" w14:textId="6E6FD4A8" w:rsidR="00340F2D" w:rsidRPr="006F0EBE" w:rsidRDefault="00BC5DFB" w:rsidP="007B0E00">
      <w:pPr>
        <w:spacing w:after="0"/>
        <w:rPr>
          <w:rFonts w:eastAsia="MS Mincho"/>
          <w:lang w:val="en-US" w:eastAsia="ja-JP"/>
        </w:rPr>
      </w:pPr>
      <w:r>
        <w:rPr>
          <w:rFonts w:eastAsia="MS Mincho"/>
          <w:lang w:val="en-US" w:eastAsia="ja-JP"/>
        </w:rPr>
        <w:t xml:space="preserve">We acknowledge that </w:t>
      </w:r>
      <w:r w:rsidR="00DE262F">
        <w:rPr>
          <w:rFonts w:eastAsia="MS Mincho"/>
          <w:lang w:val="en-US" w:eastAsia="ja-JP"/>
        </w:rPr>
        <w:t>o</w:t>
      </w:r>
      <w:r w:rsidR="00C36401" w:rsidRPr="006F0EBE">
        <w:rPr>
          <w:rFonts w:eastAsia="MS Mincho"/>
          <w:lang w:val="en-US" w:eastAsia="ja-JP"/>
        </w:rPr>
        <w:t xml:space="preserve">ur shopping diary data is not conclusive regarding the absence of </w:t>
      </w:r>
      <w:r w:rsidR="00DE262F">
        <w:rPr>
          <w:rFonts w:eastAsia="MS Mincho"/>
          <w:lang w:val="en-US" w:eastAsia="ja-JP"/>
        </w:rPr>
        <w:t xml:space="preserve">any </w:t>
      </w:r>
      <w:r w:rsidR="002D0454" w:rsidRPr="006F0EBE">
        <w:rPr>
          <w:rFonts w:eastAsia="MS Mincho"/>
          <w:lang w:val="en-US" w:eastAsia="ja-JP"/>
        </w:rPr>
        <w:t>compensation</w:t>
      </w:r>
      <w:r w:rsidR="00C36401" w:rsidRPr="006F0EBE">
        <w:rPr>
          <w:rFonts w:eastAsia="MS Mincho"/>
          <w:lang w:val="en-US" w:eastAsia="ja-JP"/>
        </w:rPr>
        <w:t xml:space="preserve"> effects, which of course may take place over a period longer than one week after receipt of the groceries</w:t>
      </w:r>
      <w:r w:rsidR="008474A3" w:rsidRPr="006F0EBE">
        <w:rPr>
          <w:rFonts w:eastAsia="MS Mincho"/>
          <w:lang w:val="en-US" w:eastAsia="ja-JP"/>
        </w:rPr>
        <w:t>, and may involve other product categories</w:t>
      </w:r>
      <w:r w:rsidR="00C36401" w:rsidRPr="006F0EBE">
        <w:rPr>
          <w:rFonts w:eastAsia="MS Mincho"/>
          <w:lang w:val="en-US" w:eastAsia="ja-JP"/>
        </w:rPr>
        <w:t xml:space="preserve">. We cannot therefore entirely rule out that our </w:t>
      </w:r>
      <w:r w:rsidR="00806F74">
        <w:rPr>
          <w:rFonts w:eastAsia="MS Mincho"/>
          <w:lang w:val="en-US" w:eastAsia="ja-JP"/>
        </w:rPr>
        <w:t>price effects</w:t>
      </w:r>
      <w:r w:rsidR="00C36401" w:rsidRPr="006F0EBE">
        <w:rPr>
          <w:rFonts w:eastAsia="MS Mincho"/>
          <w:lang w:val="en-US" w:eastAsia="ja-JP"/>
        </w:rPr>
        <w:t xml:space="preserve"> may be </w:t>
      </w:r>
      <w:r w:rsidR="009761B0" w:rsidRPr="006F0EBE">
        <w:rPr>
          <w:rFonts w:eastAsia="MS Mincho"/>
          <w:lang w:val="en-US" w:eastAsia="ja-JP"/>
        </w:rPr>
        <w:t xml:space="preserve">overestimated </w:t>
      </w:r>
      <w:r w:rsidR="00C36401" w:rsidRPr="006F0EBE">
        <w:rPr>
          <w:rFonts w:eastAsia="MS Mincho"/>
          <w:lang w:val="en-US" w:eastAsia="ja-JP"/>
        </w:rPr>
        <w:t xml:space="preserve">because of potential </w:t>
      </w:r>
      <w:r w:rsidR="002D0454" w:rsidRPr="006F0EBE">
        <w:rPr>
          <w:rFonts w:eastAsia="MS Mincho"/>
          <w:lang w:val="en-US" w:eastAsia="ja-JP"/>
        </w:rPr>
        <w:t>compensation</w:t>
      </w:r>
      <w:r w:rsidR="00C36401" w:rsidRPr="006F0EBE">
        <w:rPr>
          <w:rFonts w:eastAsia="MS Mincho"/>
          <w:lang w:val="en-US" w:eastAsia="ja-JP"/>
        </w:rPr>
        <w:t xml:space="preserve"> effects</w:t>
      </w:r>
      <w:r>
        <w:rPr>
          <w:rFonts w:eastAsia="MS Mincho"/>
          <w:lang w:val="en-US" w:eastAsia="ja-JP"/>
        </w:rPr>
        <w:t xml:space="preserve">, or indeed from </w:t>
      </w:r>
      <w:r>
        <w:rPr>
          <w:rFonts w:eastAsia="MS Mincho"/>
          <w:lang w:val="en-US" w:eastAsia="ja-JP"/>
        </w:rPr>
        <w:lastRenderedPageBreak/>
        <w:t>unobserved price ceiling effects</w:t>
      </w:r>
      <w:r w:rsidR="00C36401" w:rsidRPr="006F0EBE">
        <w:rPr>
          <w:rFonts w:eastAsia="MS Mincho"/>
          <w:lang w:val="en-US" w:eastAsia="ja-JP"/>
        </w:rPr>
        <w:t xml:space="preserve">. </w:t>
      </w:r>
      <w:r>
        <w:rPr>
          <w:rFonts w:eastAsia="MS Mincho"/>
          <w:lang w:val="en-US" w:eastAsia="ja-JP"/>
        </w:rPr>
        <w:t>One piece of a</w:t>
      </w:r>
      <w:r w:rsidR="00E76659">
        <w:rPr>
          <w:rFonts w:eastAsia="MS Mincho"/>
          <w:lang w:val="en-US" w:eastAsia="ja-JP"/>
        </w:rPr>
        <w:t xml:space="preserve">dditional suggestive evidence of compensation effects </w:t>
      </w:r>
      <w:r>
        <w:rPr>
          <w:rFonts w:eastAsia="MS Mincho"/>
          <w:lang w:val="en-US" w:eastAsia="ja-JP"/>
        </w:rPr>
        <w:t>or price ceiling effects not being a major</w:t>
      </w:r>
      <w:r w:rsidR="00E76659">
        <w:rPr>
          <w:rFonts w:eastAsia="MS Mincho"/>
          <w:lang w:val="en-US" w:eastAsia="ja-JP"/>
        </w:rPr>
        <w:t xml:space="preserve"> issue</w:t>
      </w:r>
      <w:r w:rsidR="00840E80">
        <w:rPr>
          <w:rFonts w:eastAsia="MS Mincho"/>
          <w:lang w:val="en-US" w:eastAsia="ja-JP"/>
        </w:rPr>
        <w:t xml:space="preserve"> is provided by the fact that our results are robust to the introduction of our Tesco prices recollection measure among the control variables used in the regression analysis.</w:t>
      </w:r>
      <w:r w:rsidR="00E76659">
        <w:rPr>
          <w:rFonts w:eastAsia="MS Mincho"/>
          <w:lang w:val="en-US" w:eastAsia="ja-JP"/>
        </w:rPr>
        <w:t xml:space="preserve"> </w:t>
      </w:r>
      <w:r w:rsidR="0072752F" w:rsidRPr="006F0EBE">
        <w:rPr>
          <w:rFonts w:eastAsia="MS Mincho"/>
          <w:lang w:val="en-US" w:eastAsia="ja-JP"/>
        </w:rPr>
        <w:t xml:space="preserve">Overall, our </w:t>
      </w:r>
      <w:r w:rsidR="008474A3" w:rsidRPr="006F0EBE">
        <w:rPr>
          <w:rFonts w:eastAsia="MS Mincho"/>
          <w:lang w:val="en-US" w:eastAsia="ja-JP"/>
        </w:rPr>
        <w:t>results should be considered as evidence for the effectiveness of taxation</w:t>
      </w:r>
      <w:r w:rsidR="00D3533D">
        <w:rPr>
          <w:rFonts w:eastAsia="MS Mincho"/>
          <w:lang w:val="en-US" w:eastAsia="ja-JP"/>
        </w:rPr>
        <w:t>, particularly when signposted,</w:t>
      </w:r>
      <w:r w:rsidR="008474A3" w:rsidRPr="006F0EBE">
        <w:rPr>
          <w:rFonts w:eastAsia="MS Mincho"/>
          <w:lang w:val="en-US" w:eastAsia="ja-JP"/>
        </w:rPr>
        <w:t xml:space="preserve"> but </w:t>
      </w:r>
      <w:r w:rsidR="00C13AB4" w:rsidRPr="006F0EBE">
        <w:rPr>
          <w:rFonts w:eastAsia="MS Mincho"/>
          <w:lang w:val="en-US" w:eastAsia="ja-JP"/>
        </w:rPr>
        <w:t>not clearly as</w:t>
      </w:r>
      <w:r w:rsidR="008474A3" w:rsidRPr="006F0EBE">
        <w:rPr>
          <w:rFonts w:eastAsia="MS Mincho"/>
          <w:lang w:val="en-US" w:eastAsia="ja-JP"/>
        </w:rPr>
        <w:t xml:space="preserve"> evidence for the specific quantitative size of the effect, which obviously needs to be seen in complement with other </w:t>
      </w:r>
      <w:r w:rsidR="00794CD4">
        <w:rPr>
          <w:rFonts w:eastAsia="MS Mincho"/>
          <w:lang w:val="en-US" w:eastAsia="ja-JP"/>
        </w:rPr>
        <w:t xml:space="preserve">experimental </w:t>
      </w:r>
      <w:r w:rsidR="008474A3" w:rsidRPr="006F0EBE">
        <w:rPr>
          <w:rFonts w:eastAsia="MS Mincho"/>
          <w:lang w:val="en-US" w:eastAsia="ja-JP"/>
        </w:rPr>
        <w:t>and non-experimental evidence.</w:t>
      </w:r>
      <w:r w:rsidR="006219F6" w:rsidRPr="006F0EBE">
        <w:rPr>
          <w:rFonts w:eastAsia="MS Mincho"/>
          <w:lang w:val="en-US" w:eastAsia="ja-JP"/>
        </w:rPr>
        <w:t xml:space="preserve"> </w:t>
      </w:r>
      <w:r w:rsidR="00840E80">
        <w:rPr>
          <w:rFonts w:eastAsia="MS Mincho"/>
          <w:lang w:val="en-US" w:eastAsia="ja-JP"/>
        </w:rPr>
        <w:t>Equally clearly, more experimental research with more comprehensive shopper diary follow</w:t>
      </w:r>
      <w:r w:rsidR="00335C6D">
        <w:rPr>
          <w:rFonts w:eastAsia="MS Mincho"/>
          <w:lang w:val="en-US" w:eastAsia="ja-JP"/>
        </w:rPr>
        <w:t>-</w:t>
      </w:r>
      <w:r w:rsidR="00840E80">
        <w:rPr>
          <w:rFonts w:eastAsia="MS Mincho"/>
          <w:lang w:val="en-US" w:eastAsia="ja-JP"/>
        </w:rPr>
        <w:t>ups</w:t>
      </w:r>
      <w:r>
        <w:rPr>
          <w:rFonts w:eastAsia="MS Mincho"/>
          <w:lang w:val="en-US" w:eastAsia="ja-JP"/>
        </w:rPr>
        <w:t>, and perhaps with experimental questions specifically probing price ceiling effects,</w:t>
      </w:r>
      <w:r w:rsidR="00840E80">
        <w:rPr>
          <w:rFonts w:eastAsia="MS Mincho"/>
          <w:lang w:val="en-US" w:eastAsia="ja-JP"/>
        </w:rPr>
        <w:t xml:space="preserve"> would be useful.</w:t>
      </w:r>
    </w:p>
    <w:p w14:paraId="6510888C" w14:textId="1DBF8CB2" w:rsidR="0053023B" w:rsidRDefault="000A584D" w:rsidP="007B0E00">
      <w:pPr>
        <w:spacing w:after="0"/>
        <w:rPr>
          <w:rFonts w:eastAsia="MS Mincho"/>
          <w:lang w:val="en-US" w:eastAsia="ja-JP"/>
        </w:rPr>
      </w:pPr>
      <w:r>
        <w:rPr>
          <w:rFonts w:eastAsia="MS Mincho"/>
          <w:i/>
          <w:lang w:val="en-US" w:eastAsia="ja-JP"/>
        </w:rPr>
        <w:t>Other limitations</w:t>
      </w:r>
      <w:r>
        <w:rPr>
          <w:rFonts w:eastAsia="MS Mincho"/>
          <w:lang w:val="en-US" w:eastAsia="ja-JP"/>
        </w:rPr>
        <w:t>.</w:t>
      </w:r>
      <w:r>
        <w:rPr>
          <w:rFonts w:eastAsia="MS Mincho"/>
          <w:i/>
          <w:lang w:val="en-US" w:eastAsia="ja-JP"/>
        </w:rPr>
        <w:t xml:space="preserve"> </w:t>
      </w:r>
      <w:r>
        <w:rPr>
          <w:rFonts w:eastAsia="MS Mincho"/>
          <w:lang w:val="en-US" w:eastAsia="ja-JP"/>
        </w:rPr>
        <w:t>An</w:t>
      </w:r>
      <w:r w:rsidR="000A37C0" w:rsidRPr="006F0EBE">
        <w:rPr>
          <w:rFonts w:eastAsia="MS Mincho"/>
          <w:lang w:val="en-US" w:eastAsia="ja-JP"/>
        </w:rPr>
        <w:t>other potential limitation of our analysis is that participants may be subject to house money effects, namely they may behave differently if the money is just given to them – as it was in our setup – as opposed to being earned</w:t>
      </w:r>
      <w:r w:rsidR="004E5E68" w:rsidRPr="006F0EBE">
        <w:rPr>
          <w:rFonts w:eastAsia="MS Mincho"/>
          <w:lang w:val="en-US" w:eastAsia="ja-JP"/>
        </w:rPr>
        <w:t>. However, in a pilot</w:t>
      </w:r>
      <w:r w:rsidR="000A37C0" w:rsidRPr="006F0EBE">
        <w:rPr>
          <w:rFonts w:eastAsia="MS Mincho"/>
          <w:lang w:val="en-US" w:eastAsia="ja-JP"/>
        </w:rPr>
        <w:t xml:space="preserve"> we ran with university students</w:t>
      </w:r>
      <w:r w:rsidR="00DA7267">
        <w:rPr>
          <w:rFonts w:eastAsia="MS Mincho"/>
          <w:lang w:val="en-US" w:eastAsia="ja-JP"/>
        </w:rPr>
        <w:t xml:space="preserve"> (see online a</w:t>
      </w:r>
      <w:r w:rsidR="00061BA9">
        <w:rPr>
          <w:rFonts w:eastAsia="MS Mincho"/>
          <w:lang w:val="en-US" w:eastAsia="ja-JP"/>
        </w:rPr>
        <w:t>ppendix</w:t>
      </w:r>
      <w:r w:rsidR="00D41834">
        <w:rPr>
          <w:rFonts w:eastAsia="MS Mincho"/>
          <w:lang w:val="en-US" w:eastAsia="ja-JP"/>
        </w:rPr>
        <w:t xml:space="preserve"> </w:t>
      </w:r>
      <w:r w:rsidR="00C36C33">
        <w:rPr>
          <w:rFonts w:eastAsia="MS Mincho"/>
          <w:lang w:val="en-US" w:eastAsia="ja-JP"/>
        </w:rPr>
        <w:t>C</w:t>
      </w:r>
      <w:r w:rsidR="00061BA9">
        <w:rPr>
          <w:rFonts w:eastAsia="MS Mincho"/>
          <w:lang w:val="en-US" w:eastAsia="ja-JP"/>
        </w:rPr>
        <w:t>)</w:t>
      </w:r>
      <w:r w:rsidR="000A37C0" w:rsidRPr="006F0EBE">
        <w:rPr>
          <w:rFonts w:eastAsia="MS Mincho"/>
          <w:lang w:val="en-US" w:eastAsia="ja-JP"/>
        </w:rPr>
        <w:t xml:space="preserve">, we tested for house money </w:t>
      </w:r>
      <w:r w:rsidR="000A03A0" w:rsidRPr="006F0EBE">
        <w:rPr>
          <w:rFonts w:eastAsia="MS Mincho"/>
          <w:lang w:val="en-US" w:eastAsia="ja-JP"/>
        </w:rPr>
        <w:t xml:space="preserve">effects </w:t>
      </w:r>
      <w:r w:rsidR="000A37C0" w:rsidRPr="006F0EBE">
        <w:rPr>
          <w:rFonts w:eastAsia="MS Mincho"/>
          <w:lang w:val="en-US" w:eastAsia="ja-JP"/>
        </w:rPr>
        <w:t xml:space="preserve">and found no evidence of </w:t>
      </w:r>
      <w:r w:rsidR="004E5E68" w:rsidRPr="006F0EBE">
        <w:rPr>
          <w:rFonts w:eastAsia="MS Mincho"/>
          <w:lang w:val="en-US" w:eastAsia="ja-JP"/>
        </w:rPr>
        <w:t>them in our setting</w:t>
      </w:r>
      <w:r w:rsidR="000A37C0" w:rsidRPr="006F0EBE">
        <w:rPr>
          <w:rFonts w:eastAsia="MS Mincho"/>
          <w:lang w:val="en-US" w:eastAsia="ja-JP"/>
        </w:rPr>
        <w:t>.</w:t>
      </w:r>
      <w:r w:rsidR="004E5E68" w:rsidRPr="006F0EBE">
        <w:rPr>
          <w:rFonts w:eastAsia="MS Mincho"/>
          <w:lang w:val="en-US" w:eastAsia="ja-JP"/>
        </w:rPr>
        <w:t xml:space="preserve"> We therefore opted for simplicity in the online study design.</w:t>
      </w:r>
    </w:p>
    <w:p w14:paraId="6E54DC06" w14:textId="1950975D" w:rsidR="00FC5D42" w:rsidRDefault="000A584D" w:rsidP="007B0E00">
      <w:pPr>
        <w:spacing w:after="0"/>
        <w:rPr>
          <w:rFonts w:eastAsia="MS Mincho"/>
          <w:lang w:val="en-US" w:eastAsia="ja-JP"/>
        </w:rPr>
      </w:pPr>
      <w:r>
        <w:rPr>
          <w:rFonts w:eastAsia="MS Mincho"/>
          <w:lang w:val="en-US" w:eastAsia="ja-JP"/>
        </w:rPr>
        <w:t xml:space="preserve">A </w:t>
      </w:r>
      <w:r w:rsidR="00FC5D42">
        <w:rPr>
          <w:rFonts w:eastAsia="MS Mincho"/>
          <w:lang w:val="en-US" w:eastAsia="ja-JP"/>
        </w:rPr>
        <w:t>different</w:t>
      </w:r>
      <w:r w:rsidR="0053023B">
        <w:rPr>
          <w:rFonts w:eastAsia="MS Mincho"/>
          <w:lang w:val="en-US" w:eastAsia="ja-JP"/>
        </w:rPr>
        <w:t xml:space="preserve"> limitation of our analysis is that we were unable to </w:t>
      </w:r>
      <w:r w:rsidR="004F5A2F" w:rsidRPr="0053023B">
        <w:rPr>
          <w:rFonts w:eastAsia="MS Mincho"/>
          <w:lang w:val="en-US" w:eastAsia="ja-JP"/>
        </w:rPr>
        <w:t xml:space="preserve">directly </w:t>
      </w:r>
      <w:r w:rsidR="0053023B">
        <w:rPr>
          <w:rFonts w:eastAsia="MS Mincho"/>
          <w:lang w:val="en-US" w:eastAsia="ja-JP"/>
        </w:rPr>
        <w:t xml:space="preserve">provide </w:t>
      </w:r>
      <w:r w:rsidR="0053023B" w:rsidRPr="0053023B">
        <w:rPr>
          <w:rFonts w:eastAsia="MS Mincho"/>
          <w:lang w:val="en-US" w:eastAsia="ja-JP"/>
        </w:rPr>
        <w:t xml:space="preserve">money because of constraints </w:t>
      </w:r>
      <w:r w:rsidR="00ED5CE6">
        <w:rPr>
          <w:rFonts w:eastAsia="MS Mincho"/>
          <w:lang w:val="en-US" w:eastAsia="ja-JP"/>
        </w:rPr>
        <w:t>from</w:t>
      </w:r>
      <w:r w:rsidR="0053023B" w:rsidRPr="0053023B">
        <w:rPr>
          <w:rFonts w:eastAsia="MS Mincho"/>
          <w:lang w:val="en-US" w:eastAsia="ja-JP"/>
        </w:rPr>
        <w:t xml:space="preserve"> the market survey company. However, we note that the market survey company sees rewards points as effective in recruiting and retaining participants in their subject pool for a wide range of studies as ‘quasi-currency’ </w:t>
      </w:r>
      <w:r w:rsidR="00A90071" w:rsidRPr="007F23A6">
        <w:rPr>
          <w:rFonts w:eastAsia="MS Mincho"/>
          <w:lang w:val="en-US" w:eastAsia="ja-JP"/>
        </w:rPr>
        <w:t xml:space="preserve">can be converted into vouchers/gift cards of a wide variety of retailers including Tesco.com, another major UK supermarket chain (Sainsbury’s), the largest UK department store (M&amp;S), </w:t>
      </w:r>
      <w:r w:rsidR="00A90071">
        <w:rPr>
          <w:rFonts w:eastAsia="MS Mincho"/>
          <w:lang w:val="en-US" w:eastAsia="ja-JP"/>
        </w:rPr>
        <w:t>the largest UK catalogue retailer (Argos), major coffee and cinema chains, other major</w:t>
      </w:r>
      <w:r w:rsidR="00A90071" w:rsidRPr="007F23A6">
        <w:rPr>
          <w:rFonts w:eastAsia="MS Mincho"/>
          <w:lang w:val="en-US" w:eastAsia="ja-JP"/>
        </w:rPr>
        <w:t xml:space="preserve"> retailers and even Amazon  (see </w:t>
      </w:r>
      <w:hyperlink r:id="rId13" w:history="1">
        <w:r w:rsidR="00A90071" w:rsidRPr="007F23A6">
          <w:rPr>
            <w:rStyle w:val="Hyperlink"/>
            <w:lang w:val="en-US" w:eastAsia="ja-JP"/>
          </w:rPr>
          <w:t>https://www.valuedopinions.co.uk/rewards</w:t>
        </w:r>
      </w:hyperlink>
      <w:r w:rsidR="00A90071" w:rsidRPr="007F23A6">
        <w:rPr>
          <w:rFonts w:eastAsia="MS Mincho"/>
          <w:lang w:val="en-US" w:eastAsia="ja-JP"/>
        </w:rPr>
        <w:t xml:space="preserve">). </w:t>
      </w:r>
      <w:r w:rsidR="00FC5D42">
        <w:rPr>
          <w:rFonts w:eastAsia="MS Mincho"/>
          <w:lang w:val="en-US" w:eastAsia="ja-JP"/>
        </w:rPr>
        <w:t>This supports their status as ‘quasi-currency’.</w:t>
      </w:r>
      <w:r w:rsidR="005F6D89">
        <w:rPr>
          <w:rFonts w:eastAsia="MS Mincho"/>
          <w:lang w:val="en-US" w:eastAsia="ja-JP"/>
        </w:rPr>
        <w:t xml:space="preserve"> Clearly, it would be useful in future research if actual currency could be used.</w:t>
      </w:r>
    </w:p>
    <w:p w14:paraId="7A9625B1" w14:textId="6B065B3F" w:rsidR="006822BD" w:rsidRDefault="006822BD" w:rsidP="007B0E00">
      <w:pPr>
        <w:spacing w:after="0"/>
        <w:rPr>
          <w:rFonts w:eastAsia="MS Mincho"/>
          <w:lang w:val="en-US" w:eastAsia="ja-JP"/>
        </w:rPr>
      </w:pPr>
      <w:r>
        <w:rPr>
          <w:rFonts w:eastAsia="MS Mincho"/>
          <w:lang w:val="en-US" w:eastAsia="ja-JP"/>
        </w:rPr>
        <w:t xml:space="preserve">A possible limitation of our analysis is that, since the purchased goods are not immediately available, the choices do not have immediate consequences and </w:t>
      </w:r>
      <w:r>
        <w:rPr>
          <w:rFonts w:eastAsia="MS Mincho"/>
          <w:lang w:val="en-US" w:eastAsia="ja-JP"/>
        </w:rPr>
        <w:lastRenderedPageBreak/>
        <w:t>may therefore be less subject to behavioral biases such as signposting. In that sense, the study looks at medium term consumption. We note however that the same holds for any online shopping; that the goods purchased in supermarkets, particularly breakfast cereals, are not normally for immediate consumption in any case; and that, if anything, this potential confound should work in the direction of reducing the effect of signposting, whereas we find that this is in any case effective in making a 20% tax on less healthy products robustly reduce consumer demand. In other words, our key finding would be strengthened if this confound were to matter.</w:t>
      </w:r>
    </w:p>
    <w:p w14:paraId="7E361E95" w14:textId="76F61F0E" w:rsidR="00F02815" w:rsidRPr="00F02815" w:rsidRDefault="00FC5D42" w:rsidP="007B0E00">
      <w:pPr>
        <w:spacing w:after="0"/>
        <w:rPr>
          <w:rFonts w:eastAsia="MS Mincho"/>
          <w:lang w:val="en-US" w:eastAsia="ja-JP"/>
        </w:rPr>
      </w:pPr>
      <w:r>
        <w:rPr>
          <w:rFonts w:eastAsia="MS Mincho"/>
          <w:lang w:val="en-US" w:eastAsia="ja-JP"/>
        </w:rPr>
        <w:t>A furth</w:t>
      </w:r>
      <w:r w:rsidR="00502010">
        <w:rPr>
          <w:rFonts w:eastAsia="MS Mincho"/>
          <w:lang w:val="en-US" w:eastAsia="ja-JP"/>
        </w:rPr>
        <w:t>er limitation of our analysis might be considered</w:t>
      </w:r>
      <w:r>
        <w:rPr>
          <w:rFonts w:eastAsia="MS Mincho"/>
          <w:lang w:val="en-US" w:eastAsia="ja-JP"/>
        </w:rPr>
        <w:t xml:space="preserve"> that </w:t>
      </w:r>
      <w:r w:rsidR="00502010">
        <w:rPr>
          <w:rFonts w:eastAsia="MS Mincho"/>
          <w:lang w:val="en-US" w:eastAsia="ja-JP"/>
        </w:rPr>
        <w:t>we focus on just two product categories.</w:t>
      </w:r>
      <w:r w:rsidR="00BB5BEE">
        <w:rPr>
          <w:rFonts w:eastAsia="MS Mincho"/>
          <w:lang w:val="en-US" w:eastAsia="ja-JP"/>
        </w:rPr>
        <w:t xml:space="preserve"> Clearly, more research is needed.</w:t>
      </w:r>
      <w:r w:rsidR="00502010">
        <w:rPr>
          <w:rFonts w:eastAsia="MS Mincho"/>
          <w:lang w:val="en-US" w:eastAsia="ja-JP"/>
        </w:rPr>
        <w:t xml:space="preserve"> </w:t>
      </w:r>
      <w:r w:rsidR="00F02815" w:rsidRPr="00F02815">
        <w:rPr>
          <w:rFonts w:eastAsia="MS Mincho"/>
          <w:lang w:val="en-US" w:eastAsia="ja-JP"/>
        </w:rPr>
        <w:t>Focusing on one category of products at a time helps simplify the decision task considerably for our online shopper (particularly those less familiar with an online shopping environment), and given the strict constraints on time for an online experiment of this kind, we saw this as important to preserve data quality.</w:t>
      </w:r>
      <w:r w:rsidR="00122D60">
        <w:rPr>
          <w:rFonts w:eastAsia="MS Mincho"/>
          <w:lang w:val="en-US" w:eastAsia="ja-JP"/>
        </w:rPr>
        <w:t xml:space="preserve"> One possible concern is that this may enhance compensati</w:t>
      </w:r>
      <w:r w:rsidR="00FA087D">
        <w:rPr>
          <w:rFonts w:eastAsia="MS Mincho"/>
          <w:lang w:val="en-US" w:eastAsia="ja-JP"/>
        </w:rPr>
        <w:t>on effects with shopping outside the laboratory. We recognize that further research on compensation effects with more comprehensive post experiment shopping diaries would be useful.</w:t>
      </w:r>
      <w:r w:rsidR="00EF5C8A">
        <w:rPr>
          <w:rFonts w:eastAsia="MS Mincho"/>
          <w:lang w:val="en-US" w:eastAsia="ja-JP"/>
        </w:rPr>
        <w:t xml:space="preserve"> </w:t>
      </w:r>
      <w:bookmarkStart w:id="4" w:name="_Hlk51828117"/>
      <w:r w:rsidR="00EF5C8A">
        <w:rPr>
          <w:rFonts w:eastAsia="MS Mincho"/>
          <w:lang w:val="en-US" w:eastAsia="ja-JP"/>
        </w:rPr>
        <w:t>Another possible concern is that, if consumers only see products from one product category, they are less likely to be distracted and more likely to be influenced by attributes of these products (price in particular) than in a natural setting.</w:t>
      </w:r>
      <w:r w:rsidR="00713072">
        <w:rPr>
          <w:rFonts w:eastAsia="MS Mincho"/>
          <w:lang w:val="en-US" w:eastAsia="ja-JP"/>
        </w:rPr>
        <w:t xml:space="preserve"> As subjects did the experiment online – whether from their homes, their offices or elsewhere </w:t>
      </w:r>
      <w:r w:rsidR="00794CD4" w:rsidRPr="00B32E57">
        <w:rPr>
          <w:szCs w:val="22"/>
        </w:rPr>
        <w:t>–,</w:t>
      </w:r>
      <w:r w:rsidR="00713072">
        <w:rPr>
          <w:rFonts w:eastAsia="MS Mincho"/>
          <w:lang w:val="en-US" w:eastAsia="ja-JP"/>
        </w:rPr>
        <w:t xml:space="preserve"> it is not obvious that they would be distracted less than if, for example, they were to focus on buying cereals in the breakfast cereals aisle of a supermarket. It is also not clear that any resulting bias would be in the direction of paying more attention to the product attributes as opposed to introducing more noise in the data. Nevertheless, it would be interesting to introduce distractor tasks (e.g., Sitzia et al., 201</w:t>
      </w:r>
      <w:r w:rsidR="0059475D">
        <w:rPr>
          <w:rFonts w:eastAsia="MS Mincho"/>
          <w:lang w:val="en-US" w:eastAsia="ja-JP"/>
        </w:rPr>
        <w:t>5</w:t>
      </w:r>
      <w:r w:rsidR="00713072">
        <w:rPr>
          <w:rFonts w:eastAsia="MS Mincho"/>
          <w:lang w:val="en-US" w:eastAsia="ja-JP"/>
        </w:rPr>
        <w:t>) in future research and see to what extent inattention affects shopping behavior.</w:t>
      </w:r>
    </w:p>
    <w:bookmarkEnd w:id="4"/>
    <w:p w14:paraId="7D4030F6" w14:textId="3028F0D5" w:rsidR="00F02815" w:rsidRPr="00F02815" w:rsidRDefault="00F02815" w:rsidP="007B0E00">
      <w:pPr>
        <w:spacing w:after="0"/>
        <w:rPr>
          <w:rFonts w:eastAsia="MS Mincho"/>
          <w:lang w:val="en-US" w:eastAsia="ja-JP"/>
        </w:rPr>
      </w:pPr>
      <w:r w:rsidRPr="00F02815">
        <w:rPr>
          <w:rFonts w:eastAsia="MS Mincho"/>
          <w:lang w:val="en-US" w:eastAsia="ja-JP"/>
        </w:rPr>
        <w:lastRenderedPageBreak/>
        <w:t xml:space="preserve">An alternative simplification procedure would have been to have a ‘sparse set’, with only a few products available in each product category. </w:t>
      </w:r>
      <w:r w:rsidR="00502010">
        <w:rPr>
          <w:rFonts w:eastAsia="MS Mincho"/>
          <w:lang w:val="en-US" w:eastAsia="ja-JP"/>
        </w:rPr>
        <w:t>However</w:t>
      </w:r>
      <w:r w:rsidRPr="00F02815">
        <w:rPr>
          <w:rFonts w:eastAsia="MS Mincho"/>
          <w:lang w:val="en-US" w:eastAsia="ja-JP"/>
        </w:rPr>
        <w:t xml:space="preserve">, </w:t>
      </w:r>
      <w:r w:rsidR="00502010">
        <w:rPr>
          <w:rFonts w:eastAsia="MS Mincho"/>
          <w:lang w:val="en-US" w:eastAsia="ja-JP"/>
        </w:rPr>
        <w:t xml:space="preserve">and </w:t>
      </w:r>
      <w:r w:rsidRPr="00F02815">
        <w:rPr>
          <w:rFonts w:eastAsia="MS Mincho"/>
          <w:lang w:val="en-US" w:eastAsia="ja-JP"/>
        </w:rPr>
        <w:t xml:space="preserve">bearing in mind the habitual nature of consumption of many product categories (e.g., in relation to regular consumption of cereals), </w:t>
      </w:r>
      <w:r w:rsidR="00FA087D">
        <w:rPr>
          <w:rFonts w:eastAsia="MS Mincho"/>
          <w:lang w:val="en-US" w:eastAsia="ja-JP"/>
        </w:rPr>
        <w:t xml:space="preserve">rather than solving the problem of unobserved compensation effects, </w:t>
      </w:r>
      <w:r w:rsidRPr="00F02815">
        <w:rPr>
          <w:rFonts w:eastAsia="MS Mincho"/>
          <w:lang w:val="en-US" w:eastAsia="ja-JP"/>
        </w:rPr>
        <w:t>it would have led to preference-based biases in demand patterns due to the specific products on sale (e.g., if Rice Krispies cereals are taxed but a healthier alternative which I would be comfortable buying is not on offer).</w:t>
      </w:r>
    </w:p>
    <w:p w14:paraId="149FB295" w14:textId="3EB51746" w:rsidR="00C36401" w:rsidRDefault="00F02815" w:rsidP="007B0E00">
      <w:pPr>
        <w:spacing w:after="0"/>
        <w:rPr>
          <w:rFonts w:eastAsia="MS Mincho"/>
          <w:lang w:val="en-US" w:eastAsia="ja-JP"/>
        </w:rPr>
      </w:pPr>
      <w:bookmarkStart w:id="5" w:name="_Hlk51827965"/>
      <w:r w:rsidRPr="00F02815">
        <w:rPr>
          <w:rFonts w:eastAsia="MS Mincho"/>
          <w:lang w:val="en-US" w:eastAsia="ja-JP"/>
        </w:rPr>
        <w:t xml:space="preserve">Focusing on our two product categories also helps with the interpretability of the results in terms of definition and therefore identification of healthy and unhealthy products. </w:t>
      </w:r>
      <w:r w:rsidR="00502010" w:rsidRPr="00502010">
        <w:rPr>
          <w:rFonts w:eastAsia="MS Mincho"/>
          <w:lang w:val="en-US" w:eastAsia="ja-JP"/>
        </w:rPr>
        <w:t xml:space="preserve">We designed the intervention to target nutrient profile and not individual macro-nutrients. Specifically, for both cereals and soft drinks we used the UK Food Standards Agency’s </w:t>
      </w:r>
      <w:r w:rsidR="00801290">
        <w:rPr>
          <w:rFonts w:eastAsia="MS Mincho"/>
          <w:lang w:val="en-US" w:eastAsia="ja-JP"/>
        </w:rPr>
        <w:t>NP model to score</w:t>
      </w:r>
      <w:r w:rsidR="00502010" w:rsidRPr="00502010">
        <w:rPr>
          <w:rFonts w:eastAsia="MS Mincho"/>
          <w:lang w:val="en-US" w:eastAsia="ja-JP"/>
        </w:rPr>
        <w:t xml:space="preserve"> and classify products into two types: healthier and less healthy</w:t>
      </w:r>
      <w:r w:rsidR="00275C4B">
        <w:rPr>
          <w:rFonts w:eastAsia="MS Mincho"/>
          <w:lang w:val="en-US" w:eastAsia="ja-JP"/>
        </w:rPr>
        <w:t>,</w:t>
      </w:r>
      <w:r w:rsidR="00502010" w:rsidRPr="00502010">
        <w:rPr>
          <w:rFonts w:eastAsia="MS Mincho"/>
          <w:lang w:val="en-US" w:eastAsia="ja-JP"/>
        </w:rPr>
        <w:t xml:space="preserve"> and tax them accordingly. In line with this</w:t>
      </w:r>
      <w:r w:rsidR="00011C9E">
        <w:rPr>
          <w:rFonts w:eastAsia="MS Mincho"/>
          <w:lang w:val="en-US" w:eastAsia="ja-JP"/>
        </w:rPr>
        <w:t>,</w:t>
      </w:r>
      <w:r w:rsidR="00502010" w:rsidRPr="00502010">
        <w:rPr>
          <w:rFonts w:eastAsia="MS Mincho"/>
          <w:lang w:val="en-US" w:eastAsia="ja-JP"/>
        </w:rPr>
        <w:t xml:space="preserve"> our main outcome variable focuses on the quantity of foods/drinks as classified using the aforementioned criteria. Though </w:t>
      </w:r>
      <w:r w:rsidR="00801290">
        <w:rPr>
          <w:rFonts w:eastAsia="MS Mincho"/>
          <w:lang w:val="en-US" w:eastAsia="ja-JP"/>
        </w:rPr>
        <w:t>NP</w:t>
      </w:r>
      <w:r w:rsidR="00502010" w:rsidRPr="00502010">
        <w:rPr>
          <w:rFonts w:eastAsia="MS Mincho"/>
          <w:lang w:val="en-US" w:eastAsia="ja-JP"/>
        </w:rPr>
        <w:t xml:space="preserve"> does not address all aspects of nutrition, it is more comprehensive than looking at a single macro-nutrient or </w:t>
      </w:r>
      <w:r w:rsidR="00275C4B">
        <w:rPr>
          <w:rFonts w:eastAsia="MS Mincho"/>
          <w:lang w:val="en-US" w:eastAsia="ja-JP"/>
        </w:rPr>
        <w:t xml:space="preserve">at </w:t>
      </w:r>
      <w:r w:rsidR="00502010" w:rsidRPr="00502010">
        <w:rPr>
          <w:rFonts w:eastAsia="MS Mincho"/>
          <w:lang w:val="en-US" w:eastAsia="ja-JP"/>
        </w:rPr>
        <w:t>calories</w:t>
      </w:r>
      <w:r w:rsidR="00502010">
        <w:rPr>
          <w:rFonts w:eastAsia="MS Mincho"/>
          <w:lang w:val="en-US" w:eastAsia="ja-JP"/>
        </w:rPr>
        <w:t>. W</w:t>
      </w:r>
      <w:r w:rsidR="00502010" w:rsidRPr="00502010">
        <w:rPr>
          <w:rFonts w:eastAsia="MS Mincho"/>
          <w:lang w:val="en-US" w:eastAsia="ja-JP"/>
        </w:rPr>
        <w:t>ithin composite foods healthier foods with lower nutrient profile scores may have lower content of undesirable nutrients (sugar, fat or calories), and they may have higher content of desirable nutrients (</w:t>
      </w:r>
      <w:r w:rsidR="002F1D7C" w:rsidRPr="00502010">
        <w:rPr>
          <w:rFonts w:eastAsia="MS Mincho"/>
          <w:lang w:val="en-US" w:eastAsia="ja-JP"/>
        </w:rPr>
        <w:t>fiber</w:t>
      </w:r>
      <w:r w:rsidR="00502010" w:rsidRPr="00502010">
        <w:rPr>
          <w:rFonts w:eastAsia="MS Mincho"/>
          <w:lang w:val="en-US" w:eastAsia="ja-JP"/>
        </w:rPr>
        <w:t>, protein), and benefits offered by an intervention based on nutrient profile are likely spread across all macronutrients and not any one in particular. This is in line with a recognition that no single macronutrient is responsible for poor dietary health.</w:t>
      </w:r>
      <w:r w:rsidR="00502010">
        <w:rPr>
          <w:rFonts w:eastAsia="MS Mincho"/>
          <w:lang w:val="en-US" w:eastAsia="ja-JP"/>
        </w:rPr>
        <w:t xml:space="preserve"> That said, within both cereals and soft drinks, our nutrient profile does follow sugar content quite closely, making the interpretation of our results more straightforward also </w:t>
      </w:r>
      <w:r w:rsidR="00794CD4">
        <w:rPr>
          <w:rFonts w:eastAsia="MS Mincho"/>
          <w:lang w:val="en-US" w:eastAsia="ja-JP"/>
        </w:rPr>
        <w:t>i</w:t>
      </w:r>
      <w:r w:rsidR="00502010">
        <w:rPr>
          <w:rFonts w:eastAsia="MS Mincho"/>
          <w:lang w:val="en-US" w:eastAsia="ja-JP"/>
        </w:rPr>
        <w:t>n this respect.</w:t>
      </w:r>
    </w:p>
    <w:p w14:paraId="1F17BEB8" w14:textId="058CDBDE" w:rsidR="0032026D" w:rsidRPr="004F5A2F" w:rsidRDefault="0032026D" w:rsidP="004F5A2F">
      <w:pPr>
        <w:rPr>
          <w:sz w:val="22"/>
          <w:szCs w:val="22"/>
          <w:lang w:eastAsia="en-US"/>
        </w:rPr>
      </w:pPr>
      <w:r>
        <w:rPr>
          <w:rFonts w:eastAsia="MS Mincho"/>
          <w:lang w:val="en-US" w:eastAsia="ja-JP"/>
        </w:rPr>
        <w:t xml:space="preserve">Finally, focusing on only two product categories helps us have enough statistical power to detect the heterogeneity of effects between product categories. This is important as it teaches the need of caution in generalizing the effectiveness of moderate taxes (such as 20%) across product categories, </w:t>
      </w:r>
      <w:r>
        <w:rPr>
          <w:rFonts w:eastAsia="MS Mincho"/>
          <w:lang w:val="en-US" w:eastAsia="ja-JP"/>
        </w:rPr>
        <w:lastRenderedPageBreak/>
        <w:t>particularly where signposting is not implemented. In further data analysis</w:t>
      </w:r>
      <w:r w:rsidR="0057422A">
        <w:rPr>
          <w:rFonts w:eastAsia="MS Mincho"/>
          <w:lang w:val="en-US" w:eastAsia="ja-JP"/>
        </w:rPr>
        <w:t xml:space="preserve"> (see Table A.11)</w:t>
      </w:r>
      <w:r>
        <w:rPr>
          <w:rFonts w:eastAsia="MS Mincho"/>
          <w:lang w:val="en-US" w:eastAsia="ja-JP"/>
        </w:rPr>
        <w:t xml:space="preserve">, we tried to </w:t>
      </w:r>
      <w:r w:rsidR="00327928">
        <w:rPr>
          <w:rFonts w:eastAsia="MS Mincho"/>
          <w:lang w:val="en-US" w:eastAsia="ja-JP"/>
        </w:rPr>
        <w:t xml:space="preserve">better </w:t>
      </w:r>
      <w:r>
        <w:rPr>
          <w:rFonts w:eastAsia="MS Mincho"/>
          <w:lang w:val="en-US" w:eastAsia="ja-JP"/>
        </w:rPr>
        <w:t xml:space="preserve">understand </w:t>
      </w:r>
      <w:r w:rsidR="00693A95">
        <w:rPr>
          <w:rFonts w:eastAsia="MS Mincho"/>
          <w:lang w:val="en-US" w:eastAsia="ja-JP"/>
        </w:rPr>
        <w:t xml:space="preserve">the source of the two key differences between breakfast cereals and soft drinks: namely, the greater price sensitivity of breakfast cereals and the fact that with soft drinks a 20% tax is only effective where signposted. </w:t>
      </w:r>
      <w:r w:rsidR="0057422A">
        <w:rPr>
          <w:rFonts w:eastAsia="MS Mincho"/>
          <w:lang w:val="en-US" w:eastAsia="ja-JP"/>
        </w:rPr>
        <w:t xml:space="preserve">Specifically, we separately considered the decision whether to buy (the extensive margin decision) from the decision of how much to buy conditional on buying (the intensive margin decision). </w:t>
      </w:r>
      <w:r w:rsidR="00B25A7C">
        <w:rPr>
          <w:rFonts w:eastAsia="MS Mincho"/>
          <w:lang w:val="en-US" w:eastAsia="ja-JP"/>
        </w:rPr>
        <w:t>We find that t</w:t>
      </w:r>
      <w:r w:rsidR="00B25A7C" w:rsidRPr="00B25A7C">
        <w:rPr>
          <w:rFonts w:eastAsia="MS Mincho"/>
          <w:lang w:val="en-US" w:eastAsia="ja-JP"/>
        </w:rPr>
        <w:t>he greater price elasticity of cereals is evident at the extensive margin</w:t>
      </w:r>
      <w:r w:rsidR="00B25A7C">
        <w:rPr>
          <w:rFonts w:eastAsia="MS Mincho"/>
          <w:lang w:val="en-US" w:eastAsia="ja-JP"/>
        </w:rPr>
        <w:t>. In</w:t>
      </w:r>
      <w:r w:rsidR="00B25A7C" w:rsidRPr="00B25A7C">
        <w:rPr>
          <w:rFonts w:eastAsia="MS Mincho"/>
          <w:lang w:val="en-US" w:eastAsia="ja-JP"/>
        </w:rPr>
        <w:t xml:space="preserve"> the intensive margin, with signposting, the reduction in consumption of soft drinks is comparable to that of cereals.</w:t>
      </w:r>
      <w:r w:rsidR="00B25A7C">
        <w:rPr>
          <w:rFonts w:eastAsia="MS Mincho"/>
          <w:lang w:val="en-US" w:eastAsia="ja-JP"/>
        </w:rPr>
        <w:t xml:space="preserve"> </w:t>
      </w:r>
      <w:r w:rsidR="00B25A7C" w:rsidRPr="00B25A7C">
        <w:rPr>
          <w:rFonts w:eastAsia="MS Mincho"/>
          <w:lang w:val="en-US" w:eastAsia="ja-JP"/>
        </w:rPr>
        <w:t>The effect of signposting with a 20%</w:t>
      </w:r>
      <w:r w:rsidR="00B25A7C">
        <w:rPr>
          <w:rFonts w:eastAsia="MS Mincho"/>
          <w:lang w:val="en-US" w:eastAsia="ja-JP"/>
        </w:rPr>
        <w:t xml:space="preserve"> tax</w:t>
      </w:r>
      <w:r w:rsidR="00B25A7C" w:rsidRPr="00B25A7C">
        <w:rPr>
          <w:rFonts w:eastAsia="MS Mincho"/>
          <w:lang w:val="en-US" w:eastAsia="ja-JP"/>
        </w:rPr>
        <w:t xml:space="preserve"> </w:t>
      </w:r>
      <w:r w:rsidR="00B25A7C">
        <w:rPr>
          <w:rFonts w:eastAsia="MS Mincho"/>
          <w:lang w:val="en-US" w:eastAsia="ja-JP"/>
        </w:rPr>
        <w:t xml:space="preserve">on less healthy soft drinks </w:t>
      </w:r>
      <w:r w:rsidR="00B25A7C" w:rsidRPr="00B25A7C">
        <w:rPr>
          <w:rFonts w:eastAsia="MS Mincho"/>
          <w:lang w:val="en-US" w:eastAsia="ja-JP"/>
        </w:rPr>
        <w:t xml:space="preserve">is </w:t>
      </w:r>
      <w:r w:rsidR="00B25A7C">
        <w:rPr>
          <w:rFonts w:eastAsia="MS Mincho"/>
          <w:lang w:val="en-US" w:eastAsia="ja-JP"/>
        </w:rPr>
        <w:t xml:space="preserve">therefore </w:t>
      </w:r>
      <w:r w:rsidR="00B25A7C" w:rsidRPr="00B25A7C">
        <w:rPr>
          <w:rFonts w:eastAsia="MS Mincho"/>
          <w:lang w:val="en-US" w:eastAsia="ja-JP"/>
        </w:rPr>
        <w:t>largely driven by the intensive margin</w:t>
      </w:r>
      <w:r w:rsidR="00B25A7C">
        <w:rPr>
          <w:rFonts w:eastAsia="MS Mincho"/>
          <w:lang w:val="en-US" w:eastAsia="ja-JP"/>
        </w:rPr>
        <w:t xml:space="preserve">: </w:t>
      </w:r>
      <w:r w:rsidR="00B25A7C">
        <w:rPr>
          <w:lang w:eastAsia="en-US"/>
        </w:rPr>
        <w:t xml:space="preserve">the way signposting operates does not appear as one of drawing attention away from soft drinks. Intuitively, highlighting something is likely to draw attention to something rather than vice versa. However, if consumers want soft drinks, signposting </w:t>
      </w:r>
      <w:r w:rsidR="00B25A7C">
        <w:rPr>
          <w:i/>
          <w:iCs/>
          <w:lang w:eastAsia="en-US"/>
        </w:rPr>
        <w:t xml:space="preserve">will </w:t>
      </w:r>
      <w:r w:rsidR="00B25A7C">
        <w:rPr>
          <w:lang w:eastAsia="en-US"/>
        </w:rPr>
        <w:t xml:space="preserve">factor in the higher price more in reducing the amount they buy. Overall, the results are more consistent with a tax aversion </w:t>
      </w:r>
      <w:r w:rsidR="003D0CEC" w:rsidRPr="0046336E">
        <w:t xml:space="preserve">mechanism </w:t>
      </w:r>
      <w:r w:rsidR="00B25A7C">
        <w:rPr>
          <w:lang w:eastAsia="en-US"/>
        </w:rPr>
        <w:t>than with an attentional mechanism for the effect of signposting.</w:t>
      </w:r>
    </w:p>
    <w:bookmarkEnd w:id="5"/>
    <w:p w14:paraId="4786C572" w14:textId="0F91D655" w:rsidR="0053023B" w:rsidRPr="007B0E00" w:rsidRDefault="0046500A" w:rsidP="007B0E00">
      <w:pPr>
        <w:spacing w:after="0"/>
        <w:rPr>
          <w:rFonts w:eastAsia="MS Mincho"/>
          <w:lang w:eastAsia="ja-JP"/>
        </w:rPr>
      </w:pPr>
      <w:r w:rsidRPr="006F0EBE">
        <w:rPr>
          <w:rFonts w:eastAsia="MS Mincho"/>
          <w:i/>
          <w:lang w:val="en-US" w:eastAsia="ja-JP"/>
        </w:rPr>
        <w:t>Socioeconomic differences</w:t>
      </w:r>
      <w:r w:rsidRPr="006F0EBE">
        <w:rPr>
          <w:rFonts w:eastAsia="MS Mincho"/>
          <w:lang w:val="en-US" w:eastAsia="ja-JP"/>
        </w:rPr>
        <w:t>.</w:t>
      </w:r>
      <w:r w:rsidRPr="006F0EBE">
        <w:rPr>
          <w:rFonts w:eastAsia="MS Mincho"/>
          <w:i/>
          <w:lang w:val="en-US" w:eastAsia="ja-JP"/>
        </w:rPr>
        <w:t xml:space="preserve"> </w:t>
      </w:r>
      <w:r w:rsidR="00D021F9" w:rsidRPr="006F0EBE">
        <w:rPr>
          <w:rFonts w:eastAsia="MS Mincho"/>
          <w:lang w:val="en-US" w:eastAsia="ja-JP"/>
        </w:rPr>
        <w:t>Our results show no significant difference in the impacts of tax</w:t>
      </w:r>
      <w:r w:rsidR="00B80F93" w:rsidRPr="006F0EBE">
        <w:rPr>
          <w:rFonts w:eastAsia="MS Mincho"/>
          <w:lang w:val="en-US" w:eastAsia="ja-JP"/>
        </w:rPr>
        <w:t>es</w:t>
      </w:r>
      <w:r w:rsidR="00D021F9" w:rsidRPr="006F0EBE">
        <w:rPr>
          <w:rFonts w:eastAsia="MS Mincho"/>
          <w:lang w:val="en-US" w:eastAsia="ja-JP"/>
        </w:rPr>
        <w:t xml:space="preserve"> between socioeconomic groups. </w:t>
      </w:r>
      <w:r w:rsidR="008A1AFC">
        <w:rPr>
          <w:rFonts w:eastAsia="MS Mincho"/>
          <w:lang w:val="en-US" w:eastAsia="ja-JP"/>
        </w:rPr>
        <w:t xml:space="preserve">This finding contrasts with </w:t>
      </w:r>
      <w:r w:rsidR="00B740A1">
        <w:rPr>
          <w:rFonts w:eastAsia="MS Mincho"/>
          <w:lang w:val="en-US" w:eastAsia="ja-JP"/>
        </w:rPr>
        <w:t>a</w:t>
      </w:r>
      <w:r w:rsidR="008A1AFC">
        <w:rPr>
          <w:rFonts w:eastAsia="MS Mincho"/>
          <w:lang w:val="en-US" w:eastAsia="ja-JP"/>
        </w:rPr>
        <w:t xml:space="preserve"> recent empirical estimate using observational, home scanner data in the United Kingdom, which find</w:t>
      </w:r>
      <w:r w:rsidR="00B740A1">
        <w:rPr>
          <w:rFonts w:eastAsia="MS Mincho"/>
          <w:lang w:val="en-US" w:eastAsia="ja-JP"/>
        </w:rPr>
        <w:t>s</w:t>
      </w:r>
      <w:r w:rsidR="008A1AFC">
        <w:rPr>
          <w:rFonts w:eastAsia="MS Mincho"/>
          <w:lang w:val="en-US" w:eastAsia="ja-JP"/>
        </w:rPr>
        <w:t xml:space="preserve"> that </w:t>
      </w:r>
      <w:r w:rsidR="008A1AFC">
        <w:rPr>
          <w:lang w:val="en-US"/>
        </w:rPr>
        <w:t>soda tax would be more effective for poor</w:t>
      </w:r>
      <w:r w:rsidR="00B740A1">
        <w:rPr>
          <w:lang w:val="en-US"/>
        </w:rPr>
        <w:t>er</w:t>
      </w:r>
      <w:r w:rsidR="008A1AFC">
        <w:rPr>
          <w:lang w:val="en-US"/>
        </w:rPr>
        <w:t xml:space="preserve"> individuals</w:t>
      </w:r>
      <w:r w:rsidR="008A1AFC">
        <w:rPr>
          <w:rFonts w:eastAsia="MS Mincho"/>
          <w:lang w:val="en-US" w:eastAsia="ja-JP"/>
        </w:rPr>
        <w:t xml:space="preserve"> (Dubois et al., 2017).</w:t>
      </w:r>
      <w:r w:rsidR="00195E4D">
        <w:rPr>
          <w:rFonts w:eastAsia="MS Mincho"/>
          <w:lang w:val="en-US" w:eastAsia="ja-JP"/>
        </w:rPr>
        <w:t xml:space="preserve"> The fact that, as noted above, subjects appear partially to be treating the experimental task in isolation might be a reason for the discrepancy in findings. That said, we note that our finding is consistent with a modelling study to predict the effect of soda tax in the United Kingdom (Briggs et al.</w:t>
      </w:r>
      <w:r w:rsidR="009B1F0F">
        <w:rPr>
          <w:rFonts w:eastAsia="MS Mincho"/>
          <w:lang w:val="en-US" w:eastAsia="ja-JP"/>
        </w:rPr>
        <w:t>,</w:t>
      </w:r>
      <w:r w:rsidR="00195E4D">
        <w:rPr>
          <w:rFonts w:eastAsia="MS Mincho"/>
          <w:lang w:val="en-US" w:eastAsia="ja-JP"/>
        </w:rPr>
        <w:t xml:space="preserve"> 2013) and with recent policy impact evaluations such as Nakamura et al. (2018</w:t>
      </w:r>
      <w:r w:rsidR="009B1F0F">
        <w:rPr>
          <w:rFonts w:eastAsia="MS Mincho"/>
          <w:lang w:val="en-US" w:eastAsia="ja-JP"/>
        </w:rPr>
        <w:t>; Chile</w:t>
      </w:r>
      <w:r w:rsidR="00195E4D">
        <w:rPr>
          <w:rFonts w:eastAsia="MS Mincho"/>
          <w:lang w:val="en-US" w:eastAsia="ja-JP"/>
        </w:rPr>
        <w:t>) and Cawley et al. (2018</w:t>
      </w:r>
      <w:r w:rsidR="009B1F0F">
        <w:rPr>
          <w:rFonts w:eastAsia="MS Mincho"/>
          <w:lang w:val="en-US" w:eastAsia="ja-JP"/>
        </w:rPr>
        <w:t>; Philadelphia</w:t>
      </w:r>
      <w:r w:rsidR="00195E4D">
        <w:rPr>
          <w:rFonts w:eastAsia="MS Mincho"/>
          <w:lang w:val="en-US" w:eastAsia="ja-JP"/>
        </w:rPr>
        <w:t>). Further research would obviously be helpful.</w:t>
      </w:r>
    </w:p>
    <w:p w14:paraId="147DC593" w14:textId="14095A76" w:rsidR="00EB5151" w:rsidRPr="006F0EBE" w:rsidRDefault="00FB6E89" w:rsidP="007B0E00">
      <w:pPr>
        <w:spacing w:after="0"/>
        <w:rPr>
          <w:rFonts w:eastAsia="MS Mincho"/>
          <w:lang w:val="en-US" w:eastAsia="ja-JP"/>
        </w:rPr>
      </w:pPr>
      <w:r w:rsidRPr="006F0EBE">
        <w:rPr>
          <w:rFonts w:eastAsia="MS Mincho"/>
          <w:lang w:val="en-US" w:eastAsia="ja-JP"/>
        </w:rPr>
        <w:t>In</w:t>
      </w:r>
      <w:r w:rsidR="00D021F9" w:rsidRPr="006F0EBE">
        <w:rPr>
          <w:rFonts w:eastAsia="MS Mincho"/>
          <w:lang w:val="en-US" w:eastAsia="ja-JP"/>
        </w:rPr>
        <w:t xml:space="preserve"> contrast to Goldin and </w:t>
      </w:r>
      <w:proofErr w:type="spellStart"/>
      <w:r w:rsidR="00D021F9" w:rsidRPr="006F0EBE">
        <w:rPr>
          <w:rFonts w:eastAsia="MS Mincho"/>
          <w:lang w:val="en-US" w:eastAsia="ja-JP"/>
        </w:rPr>
        <w:t>Homonoff’s</w:t>
      </w:r>
      <w:proofErr w:type="spellEnd"/>
      <w:r w:rsidR="00D021F9" w:rsidRPr="006F0EBE">
        <w:rPr>
          <w:rFonts w:eastAsia="MS Mincho"/>
          <w:lang w:val="en-US" w:eastAsia="ja-JP"/>
        </w:rPr>
        <w:t xml:space="preserve"> (2013) </w:t>
      </w:r>
      <w:r w:rsidR="001A0656" w:rsidRPr="006F0EBE">
        <w:rPr>
          <w:rFonts w:eastAsia="MS Mincho"/>
          <w:lang w:val="en-US" w:eastAsia="ja-JP"/>
        </w:rPr>
        <w:t xml:space="preserve">tobacco </w:t>
      </w:r>
      <w:r w:rsidR="00D021F9" w:rsidRPr="006F0EBE">
        <w:rPr>
          <w:rFonts w:eastAsia="MS Mincho"/>
          <w:lang w:val="en-US" w:eastAsia="ja-JP"/>
        </w:rPr>
        <w:t xml:space="preserve">study, we </w:t>
      </w:r>
      <w:r w:rsidR="00CE531B">
        <w:rPr>
          <w:rFonts w:eastAsia="MS Mincho"/>
          <w:lang w:val="en-US" w:eastAsia="ja-JP"/>
        </w:rPr>
        <w:t xml:space="preserve">also </w:t>
      </w:r>
      <w:r w:rsidR="00D021F9" w:rsidRPr="006F0EBE">
        <w:rPr>
          <w:rFonts w:eastAsia="MS Mincho"/>
          <w:lang w:val="en-US" w:eastAsia="ja-JP"/>
        </w:rPr>
        <w:t xml:space="preserve">do not find significant differences in the effect of the </w:t>
      </w:r>
      <w:r w:rsidR="00632D54" w:rsidRPr="006F0EBE">
        <w:rPr>
          <w:rFonts w:eastAsia="MS Mincho"/>
          <w:lang w:val="en-US" w:eastAsia="ja-JP"/>
        </w:rPr>
        <w:t xml:space="preserve">signposting </w:t>
      </w:r>
      <w:r w:rsidR="00D021F9" w:rsidRPr="006F0EBE">
        <w:rPr>
          <w:rFonts w:eastAsia="MS Mincho"/>
          <w:lang w:val="en-US" w:eastAsia="ja-JP"/>
        </w:rPr>
        <w:t xml:space="preserve">intervention across </w:t>
      </w:r>
      <w:r w:rsidR="00D021F9" w:rsidRPr="006F0EBE">
        <w:rPr>
          <w:rFonts w:eastAsia="MS Mincho"/>
          <w:lang w:val="en-US" w:eastAsia="ja-JP"/>
        </w:rPr>
        <w:lastRenderedPageBreak/>
        <w:t xml:space="preserve">different socioeconomic groups. Therefore, our results </w:t>
      </w:r>
      <w:r w:rsidR="00B50F17" w:rsidRPr="006F0EBE">
        <w:rPr>
          <w:rFonts w:eastAsia="MS Mincho"/>
          <w:lang w:val="en-US" w:eastAsia="ja-JP"/>
        </w:rPr>
        <w:t>do not support the claim</w:t>
      </w:r>
      <w:r w:rsidR="00D021F9" w:rsidRPr="006F0EBE">
        <w:rPr>
          <w:rFonts w:eastAsia="MS Mincho"/>
          <w:lang w:val="en-US" w:eastAsia="ja-JP"/>
        </w:rPr>
        <w:t xml:space="preserve"> that diet-related taxation (with </w:t>
      </w:r>
      <w:r w:rsidR="003129D9" w:rsidRPr="006F0EBE">
        <w:rPr>
          <w:rFonts w:eastAsia="MS Mincho"/>
          <w:lang w:val="en-US" w:eastAsia="ja-JP"/>
        </w:rPr>
        <w:t xml:space="preserve">or </w:t>
      </w:r>
      <w:r w:rsidR="00D021F9" w:rsidRPr="006F0EBE">
        <w:rPr>
          <w:rFonts w:eastAsia="MS Mincho"/>
          <w:lang w:val="en-US" w:eastAsia="ja-JP"/>
        </w:rPr>
        <w:t xml:space="preserve">without </w:t>
      </w:r>
      <w:r w:rsidR="003129D9" w:rsidRPr="006F0EBE">
        <w:rPr>
          <w:rFonts w:eastAsia="MS Mincho"/>
          <w:lang w:val="en-US" w:eastAsia="ja-JP"/>
        </w:rPr>
        <w:t>signposting</w:t>
      </w:r>
      <w:r w:rsidR="00D021F9" w:rsidRPr="006F0EBE">
        <w:rPr>
          <w:rFonts w:eastAsia="MS Mincho"/>
          <w:lang w:val="en-US" w:eastAsia="ja-JP"/>
        </w:rPr>
        <w:t>) would reduce socioeconomic inequalities in di</w:t>
      </w:r>
      <w:r w:rsidRPr="006F0EBE">
        <w:rPr>
          <w:rFonts w:eastAsia="MS Mincho"/>
          <w:lang w:val="en-US" w:eastAsia="ja-JP"/>
        </w:rPr>
        <w:t>et</w:t>
      </w:r>
      <w:r w:rsidR="00D021F9" w:rsidRPr="006F0EBE">
        <w:rPr>
          <w:rFonts w:eastAsia="MS Mincho"/>
          <w:lang w:val="en-US" w:eastAsia="ja-JP"/>
        </w:rPr>
        <w:t xml:space="preserve"> and related health outcomes. Neither though would our results give rise to the concern that such inequalities w</w:t>
      </w:r>
      <w:r w:rsidR="00663786" w:rsidRPr="006F0EBE">
        <w:rPr>
          <w:rFonts w:eastAsia="MS Mincho"/>
          <w:lang w:val="en-US" w:eastAsia="ja-JP"/>
        </w:rPr>
        <w:t>ill</w:t>
      </w:r>
      <w:r w:rsidR="00D021F9" w:rsidRPr="006F0EBE">
        <w:rPr>
          <w:rFonts w:eastAsia="MS Mincho"/>
          <w:lang w:val="en-US" w:eastAsia="ja-JP"/>
        </w:rPr>
        <w:t xml:space="preserve"> increase.</w:t>
      </w:r>
      <w:r w:rsidR="00B80F93" w:rsidRPr="006F0EBE">
        <w:rPr>
          <w:rFonts w:eastAsia="MS Mincho"/>
          <w:lang w:val="en-US" w:eastAsia="ja-JP"/>
        </w:rPr>
        <w:t xml:space="preserve"> </w:t>
      </w:r>
      <w:r w:rsidR="006752AA" w:rsidRPr="006F0EBE">
        <w:rPr>
          <w:rFonts w:eastAsia="MS Mincho"/>
          <w:lang w:val="en-US" w:eastAsia="ja-JP"/>
        </w:rPr>
        <w:t>Taken literally, this would imply that taxation could improve overall population diet without having to incur the cost of widening socioeconomic inequalities in diet (and related health outcomes</w:t>
      </w:r>
      <w:r w:rsidR="00B50F17" w:rsidRPr="006F0EBE">
        <w:rPr>
          <w:rFonts w:eastAsia="MS Mincho"/>
          <w:lang w:val="en-US" w:eastAsia="ja-JP"/>
        </w:rPr>
        <w:t>)</w:t>
      </w:r>
      <w:r w:rsidR="006752AA" w:rsidRPr="006F0EBE">
        <w:rPr>
          <w:rFonts w:eastAsia="MS Mincho"/>
          <w:lang w:val="en-US" w:eastAsia="ja-JP"/>
        </w:rPr>
        <w:t>.</w:t>
      </w:r>
    </w:p>
    <w:p w14:paraId="76C9B454" w14:textId="119FBAC8" w:rsidR="00FB6E89" w:rsidRPr="006F0EBE" w:rsidRDefault="003B49B0" w:rsidP="007B0E00">
      <w:pPr>
        <w:spacing w:after="0"/>
        <w:rPr>
          <w:rFonts w:eastAsia="MS Mincho"/>
          <w:lang w:val="en-US" w:eastAsia="ja-JP"/>
        </w:rPr>
      </w:pPr>
      <w:r w:rsidRPr="006F0EBE">
        <w:rPr>
          <w:rFonts w:eastAsia="MS Mincho"/>
          <w:i/>
          <w:lang w:val="en-US" w:eastAsia="ja-JP"/>
        </w:rPr>
        <w:t>Policy implementation</w:t>
      </w:r>
      <w:r w:rsidRPr="006F0EBE">
        <w:rPr>
          <w:rFonts w:eastAsia="MS Mincho"/>
          <w:lang w:val="en-US" w:eastAsia="ja-JP"/>
        </w:rPr>
        <w:t xml:space="preserve">. </w:t>
      </w:r>
      <w:r w:rsidR="00B80F93" w:rsidRPr="006F0EBE">
        <w:rPr>
          <w:rFonts w:eastAsia="MS Mincho"/>
          <w:lang w:val="en-US" w:eastAsia="ja-JP"/>
        </w:rPr>
        <w:t>A policy implementation of a tax on less healthy food and drinks would obviously need to make choices on which products should be taxed (whether that be based on the FSA Nutrition score or some other criterion</w:t>
      </w:r>
      <w:r w:rsidR="00663786" w:rsidRPr="006F0EBE">
        <w:rPr>
          <w:rFonts w:eastAsia="MS Mincho"/>
          <w:lang w:val="en-US" w:eastAsia="ja-JP"/>
        </w:rPr>
        <w:t>)</w:t>
      </w:r>
      <w:r w:rsidR="00B80F93" w:rsidRPr="006F0EBE">
        <w:rPr>
          <w:rFonts w:eastAsia="MS Mincho"/>
          <w:lang w:val="en-US" w:eastAsia="ja-JP"/>
        </w:rPr>
        <w:t xml:space="preserve">. </w:t>
      </w:r>
      <w:r w:rsidR="00D021F9" w:rsidRPr="006F0EBE">
        <w:rPr>
          <w:rFonts w:eastAsia="MS Mincho"/>
          <w:lang w:val="en-US" w:eastAsia="ja-JP"/>
        </w:rPr>
        <w:t xml:space="preserve">If the tax is based on </w:t>
      </w:r>
      <w:r w:rsidR="00FB6E89" w:rsidRPr="006F0EBE">
        <w:rPr>
          <w:rFonts w:eastAsia="MS Mincho"/>
          <w:lang w:val="en-US" w:eastAsia="ja-JP"/>
        </w:rPr>
        <w:t>a</w:t>
      </w:r>
      <w:r w:rsidR="00D021F9" w:rsidRPr="006F0EBE">
        <w:rPr>
          <w:rFonts w:eastAsia="MS Mincho"/>
          <w:lang w:val="en-US" w:eastAsia="ja-JP"/>
        </w:rPr>
        <w:t xml:space="preserve"> nutrient attribute, industry may modify the attribute </w:t>
      </w:r>
      <w:r w:rsidR="00FE52BF" w:rsidRPr="006F0EBE">
        <w:rPr>
          <w:rFonts w:eastAsia="MS Mincho"/>
          <w:lang w:val="en-US" w:eastAsia="ja-JP"/>
        </w:rPr>
        <w:t>to avoid</w:t>
      </w:r>
      <w:r w:rsidR="00D021F9" w:rsidRPr="006F0EBE">
        <w:rPr>
          <w:rFonts w:eastAsia="MS Mincho"/>
          <w:lang w:val="en-US" w:eastAsia="ja-JP"/>
        </w:rPr>
        <w:t xml:space="preserve"> </w:t>
      </w:r>
      <w:r w:rsidR="00E6381E" w:rsidRPr="006F0EBE">
        <w:rPr>
          <w:rFonts w:eastAsia="MS Mincho"/>
          <w:lang w:val="en-US" w:eastAsia="ja-JP"/>
        </w:rPr>
        <w:t>it</w:t>
      </w:r>
      <w:r w:rsidR="006219F6" w:rsidRPr="006F0EBE">
        <w:rPr>
          <w:rFonts w:eastAsia="MS Mincho"/>
          <w:lang w:val="en-US" w:eastAsia="ja-JP"/>
        </w:rPr>
        <w:t>, i.e. pass-through should not be considered as automatic.</w:t>
      </w:r>
      <w:r w:rsidR="00D021F9" w:rsidRPr="006F0EBE">
        <w:rPr>
          <w:rFonts w:eastAsia="MS Mincho"/>
          <w:lang w:val="en-US" w:eastAsia="ja-JP"/>
        </w:rPr>
        <w:t xml:space="preserve"> Ito and </w:t>
      </w:r>
      <w:proofErr w:type="spellStart"/>
      <w:r w:rsidR="00D021F9" w:rsidRPr="006F0EBE">
        <w:rPr>
          <w:rFonts w:eastAsia="MS Mincho"/>
          <w:lang w:val="en-US" w:eastAsia="ja-JP"/>
        </w:rPr>
        <w:t>Sallee</w:t>
      </w:r>
      <w:proofErr w:type="spellEnd"/>
      <w:r w:rsidR="00D021F9" w:rsidRPr="006F0EBE">
        <w:rPr>
          <w:rFonts w:eastAsia="MS Mincho"/>
          <w:lang w:val="en-US" w:eastAsia="ja-JP"/>
        </w:rPr>
        <w:t xml:space="preserve"> (</w:t>
      </w:r>
      <w:r w:rsidR="00AB01D2" w:rsidRPr="006F0EBE">
        <w:rPr>
          <w:rFonts w:eastAsia="MS Mincho"/>
          <w:lang w:val="en-US" w:eastAsia="ja-JP"/>
        </w:rPr>
        <w:t>201</w:t>
      </w:r>
      <w:r w:rsidR="00AB01D2">
        <w:rPr>
          <w:rFonts w:eastAsia="MS Mincho"/>
          <w:lang w:val="en-US" w:eastAsia="ja-JP"/>
        </w:rPr>
        <w:t>8</w:t>
      </w:r>
      <w:r w:rsidR="00D021F9" w:rsidRPr="006F0EBE">
        <w:rPr>
          <w:rFonts w:eastAsia="MS Mincho"/>
          <w:lang w:val="en-US" w:eastAsia="ja-JP"/>
        </w:rPr>
        <w:t>) f</w:t>
      </w:r>
      <w:r w:rsidR="00FC1E49" w:rsidRPr="006F0EBE">
        <w:rPr>
          <w:rFonts w:eastAsia="MS Mincho"/>
          <w:lang w:val="en-US" w:eastAsia="ja-JP"/>
        </w:rPr>
        <w:t>ou</w:t>
      </w:r>
      <w:r w:rsidR="00D021F9" w:rsidRPr="006F0EBE">
        <w:rPr>
          <w:rFonts w:eastAsia="MS Mincho"/>
          <w:lang w:val="en-US" w:eastAsia="ja-JP"/>
        </w:rPr>
        <w:t xml:space="preserve">nd </w:t>
      </w:r>
      <w:r w:rsidR="00FB6E89" w:rsidRPr="006F0EBE">
        <w:rPr>
          <w:rFonts w:eastAsia="MS Mincho"/>
          <w:lang w:val="en-US" w:eastAsia="ja-JP"/>
        </w:rPr>
        <w:t xml:space="preserve">that </w:t>
      </w:r>
      <w:r w:rsidR="00D021F9" w:rsidRPr="006F0EBE">
        <w:rPr>
          <w:rFonts w:eastAsia="MS Mincho"/>
          <w:lang w:val="en-US" w:eastAsia="ja-JP"/>
        </w:rPr>
        <w:t xml:space="preserve">this </w:t>
      </w:r>
      <w:r w:rsidR="00FB6E89" w:rsidRPr="006F0EBE">
        <w:rPr>
          <w:rFonts w:eastAsia="MS Mincho"/>
          <w:lang w:val="en-US" w:eastAsia="ja-JP"/>
        </w:rPr>
        <w:t>has</w:t>
      </w:r>
      <w:r w:rsidR="00D021F9" w:rsidRPr="006F0EBE">
        <w:rPr>
          <w:rFonts w:eastAsia="MS Mincho"/>
          <w:lang w:val="en-US" w:eastAsia="ja-JP"/>
        </w:rPr>
        <w:t xml:space="preserve"> happened in the market of car</w:t>
      </w:r>
      <w:r w:rsidR="006752AA" w:rsidRPr="006F0EBE">
        <w:rPr>
          <w:rFonts w:eastAsia="MS Mincho"/>
          <w:lang w:val="en-US" w:eastAsia="ja-JP"/>
        </w:rPr>
        <w:t>s</w:t>
      </w:r>
      <w:r w:rsidR="00D021F9" w:rsidRPr="006F0EBE">
        <w:rPr>
          <w:rFonts w:eastAsia="MS Mincho"/>
          <w:lang w:val="en-US" w:eastAsia="ja-JP"/>
        </w:rPr>
        <w:t>, where</w:t>
      </w:r>
      <w:r w:rsidR="006752AA" w:rsidRPr="006F0EBE">
        <w:rPr>
          <w:rFonts w:eastAsia="MS Mincho"/>
          <w:lang w:val="en-US" w:eastAsia="ja-JP"/>
        </w:rPr>
        <w:t xml:space="preserve"> a</w:t>
      </w:r>
      <w:r w:rsidR="00D021F9" w:rsidRPr="006F0EBE">
        <w:rPr>
          <w:rFonts w:eastAsia="MS Mincho"/>
          <w:lang w:val="en-US" w:eastAsia="ja-JP"/>
        </w:rPr>
        <w:t xml:space="preserve"> fuel economy tax is levied based on the size/weight of the car</w:t>
      </w:r>
      <w:r w:rsidR="006219F6" w:rsidRPr="006F0EBE">
        <w:rPr>
          <w:rFonts w:eastAsia="MS Mincho"/>
          <w:lang w:val="en-US" w:eastAsia="ja-JP"/>
        </w:rPr>
        <w:t>. Grogger (</w:t>
      </w:r>
      <w:r w:rsidR="006B29AE" w:rsidRPr="006F0EBE">
        <w:rPr>
          <w:rFonts w:eastAsia="MS Mincho"/>
          <w:lang w:val="en-US" w:eastAsia="ja-JP"/>
        </w:rPr>
        <w:t>201</w:t>
      </w:r>
      <w:r w:rsidR="006B29AE">
        <w:rPr>
          <w:rFonts w:eastAsia="MS Mincho"/>
          <w:lang w:val="en-US" w:eastAsia="ja-JP"/>
        </w:rPr>
        <w:t>7</w:t>
      </w:r>
      <w:r w:rsidR="006219F6" w:rsidRPr="006F0EBE">
        <w:rPr>
          <w:rFonts w:eastAsia="MS Mincho"/>
          <w:lang w:val="en-US" w:eastAsia="ja-JP"/>
        </w:rPr>
        <w:t>) looked at the tax pass-through of the Mexican soda tax, and found that, in the short run, the price of sodas actually increased by more than the amount of the tax.</w:t>
      </w:r>
    </w:p>
    <w:p w14:paraId="0AE4C8D7" w14:textId="4A7E73E3" w:rsidR="00FB119E" w:rsidRPr="006F0EBE" w:rsidRDefault="00FB6E89" w:rsidP="007B0E00">
      <w:pPr>
        <w:spacing w:after="0"/>
        <w:rPr>
          <w:rFonts w:eastAsia="MS Mincho"/>
          <w:sz w:val="22"/>
          <w:szCs w:val="22"/>
          <w:lang w:val="en-US" w:eastAsia="ja-JP"/>
        </w:rPr>
      </w:pPr>
      <w:r w:rsidRPr="006F0EBE">
        <w:rPr>
          <w:rFonts w:eastAsia="MS Mincho"/>
          <w:lang w:val="en-US" w:eastAsia="ja-JP"/>
        </w:rPr>
        <w:t>A</w:t>
      </w:r>
      <w:r w:rsidR="006219F6" w:rsidRPr="006F0EBE">
        <w:rPr>
          <w:rFonts w:eastAsia="MS Mincho"/>
          <w:lang w:val="en-US" w:eastAsia="ja-JP"/>
        </w:rPr>
        <w:t xml:space="preserve"> related</w:t>
      </w:r>
      <w:r w:rsidRPr="006F0EBE">
        <w:rPr>
          <w:rFonts w:eastAsia="MS Mincho"/>
          <w:lang w:val="en-US" w:eastAsia="ja-JP"/>
        </w:rPr>
        <w:t xml:space="preserve"> policy question is </w:t>
      </w:r>
      <w:r w:rsidR="00957191" w:rsidRPr="006F0EBE">
        <w:rPr>
          <w:rFonts w:eastAsia="MS Mincho"/>
          <w:lang w:val="en-US" w:eastAsia="ja-JP"/>
        </w:rPr>
        <w:t xml:space="preserve">the </w:t>
      </w:r>
      <w:r w:rsidR="00F266DB" w:rsidRPr="006F0EBE">
        <w:rPr>
          <w:rFonts w:eastAsia="MS Mincho"/>
          <w:lang w:val="en-US" w:eastAsia="ja-JP"/>
        </w:rPr>
        <w:t xml:space="preserve">value of the </w:t>
      </w:r>
      <w:r w:rsidR="00957191" w:rsidRPr="006F0EBE">
        <w:rPr>
          <w:rFonts w:eastAsia="MS Mincho"/>
          <w:lang w:val="en-US" w:eastAsia="ja-JP"/>
        </w:rPr>
        <w:t>optimal tax rate</w:t>
      </w:r>
      <w:r w:rsidRPr="006F0EBE">
        <w:rPr>
          <w:rFonts w:eastAsia="MS Mincho"/>
          <w:lang w:val="en-US" w:eastAsia="ja-JP"/>
        </w:rPr>
        <w:t>. The maximum level of the tax that has been considered by policy makers is 20%, and obviously there are good reasons not to tax more than is needed. Our finding of a nonlinear impact of taxation provides some support to a tax rate of 20% rather than a higher value</w:t>
      </w:r>
      <w:r w:rsidR="006219F6" w:rsidRPr="006F0EBE">
        <w:rPr>
          <w:rFonts w:eastAsia="MS Mincho"/>
          <w:lang w:val="en-US" w:eastAsia="ja-JP"/>
        </w:rPr>
        <w:t>, though this depends on the rate of tax pass-through as well</w:t>
      </w:r>
      <w:r w:rsidR="00E85179" w:rsidRPr="006F0EBE">
        <w:rPr>
          <w:rFonts w:eastAsia="MS Mincho"/>
          <w:lang w:val="en-US" w:eastAsia="ja-JP"/>
        </w:rPr>
        <w:t xml:space="preserve"> as the use of signposting</w:t>
      </w:r>
      <w:r w:rsidRPr="006F0EBE">
        <w:rPr>
          <w:rFonts w:eastAsia="MS Mincho"/>
          <w:lang w:val="en-US" w:eastAsia="ja-JP"/>
        </w:rPr>
        <w:t xml:space="preserve">. Further research could look in a more nuanced way </w:t>
      </w:r>
      <w:r w:rsidR="006752AA" w:rsidRPr="006F0EBE">
        <w:rPr>
          <w:rFonts w:eastAsia="MS Mincho"/>
          <w:lang w:val="en-US" w:eastAsia="ja-JP"/>
        </w:rPr>
        <w:t xml:space="preserve">at </w:t>
      </w:r>
      <w:r w:rsidRPr="006F0EBE">
        <w:rPr>
          <w:rFonts w:eastAsia="MS Mincho"/>
          <w:lang w:val="en-US" w:eastAsia="ja-JP"/>
        </w:rPr>
        <w:t xml:space="preserve">the impact of tax rates up to 20% to identify where the greatest marginal gains in terms of tax rate </w:t>
      </w:r>
      <w:r w:rsidR="00663786" w:rsidRPr="006F0EBE">
        <w:rPr>
          <w:rFonts w:eastAsia="MS Mincho"/>
          <w:lang w:val="en-US" w:eastAsia="ja-JP"/>
        </w:rPr>
        <w:t xml:space="preserve">increases </w:t>
      </w:r>
      <w:r w:rsidRPr="006F0EBE">
        <w:rPr>
          <w:rFonts w:eastAsia="MS Mincho"/>
          <w:lang w:val="en-US" w:eastAsia="ja-JP"/>
        </w:rPr>
        <w:t>are obtained.</w:t>
      </w:r>
    </w:p>
    <w:p w14:paraId="677B5782" w14:textId="37CD3597" w:rsidR="00F27058" w:rsidRDefault="00D10D27" w:rsidP="00BE4584">
      <w:pPr>
        <w:spacing w:after="0"/>
        <w:jc w:val="center"/>
        <w:rPr>
          <w:rFonts w:eastAsia="MS Mincho"/>
          <w:lang w:val="en-US" w:eastAsia="ja-JP"/>
        </w:rPr>
      </w:pPr>
      <w:r w:rsidRPr="00D10D27">
        <w:rPr>
          <w:rFonts w:eastAsia="MS Mincho"/>
          <w:lang w:val="en-US" w:eastAsia="ja-JP"/>
        </w:rPr>
        <w:t>REFERENCES</w:t>
      </w:r>
    </w:p>
    <w:p w14:paraId="1E3B571B" w14:textId="5F91A725"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Action on Sugar</w:t>
      </w:r>
      <w:r w:rsidRPr="008B3EE4">
        <w:rPr>
          <w:rFonts w:eastAsia="Calibri"/>
          <w:noProof/>
          <w:lang w:val="en-US" w:eastAsia="en-US"/>
        </w:rPr>
        <w:t xml:space="preserve">, 2015. </w:t>
      </w:r>
      <w:hyperlink r:id="rId14" w:history="1">
        <w:r w:rsidRPr="008B47C4">
          <w:rPr>
            <w:rStyle w:val="Hyperlink"/>
            <w:rFonts w:eastAsia="Calibri"/>
            <w:noProof/>
            <w:lang w:val="en-US" w:eastAsia="en-US"/>
          </w:rPr>
          <w:t xml:space="preserve">Cereals still stuffed with </w:t>
        </w:r>
        <w:r w:rsidR="00E144CB">
          <w:rPr>
            <w:rStyle w:val="Hyperlink"/>
            <w:rFonts w:eastAsia="Calibri"/>
            <w:noProof/>
            <w:lang w:val="en-US" w:eastAsia="en-US"/>
          </w:rPr>
          <w:t>s</w:t>
        </w:r>
        <w:r w:rsidRPr="008B47C4">
          <w:rPr>
            <w:rStyle w:val="Hyperlink"/>
            <w:rFonts w:eastAsia="Calibri"/>
            <w:noProof/>
            <w:lang w:val="en-US" w:eastAsia="en-US"/>
          </w:rPr>
          <w:t>ugar</w:t>
        </w:r>
      </w:hyperlink>
      <w:r w:rsidRPr="008B3EE4">
        <w:rPr>
          <w:rFonts w:eastAsia="Calibri"/>
          <w:noProof/>
          <w:lang w:val="en-US" w:eastAsia="en-US"/>
        </w:rPr>
        <w:t>. (</w:t>
      </w:r>
      <w:r w:rsidR="00BF5372">
        <w:rPr>
          <w:rFonts w:eastAsia="Calibri"/>
          <w:noProof/>
          <w:lang w:val="en-US" w:eastAsia="en-US"/>
        </w:rPr>
        <w:t>A</w:t>
      </w:r>
      <w:r w:rsidRPr="008B3EE4">
        <w:rPr>
          <w:rFonts w:eastAsia="Calibri"/>
          <w:noProof/>
          <w:lang w:val="en-US" w:eastAsia="en-US"/>
        </w:rPr>
        <w:t>ccessed August 21, 2018).</w:t>
      </w:r>
    </w:p>
    <w:p w14:paraId="5E8AFB26" w14:textId="6940DDD9" w:rsidR="00150A5A" w:rsidRDefault="00150A5A" w:rsidP="00871858">
      <w:pPr>
        <w:spacing w:after="0"/>
        <w:ind w:hanging="567"/>
        <w:rPr>
          <w:rFonts w:eastAsia="Calibri"/>
          <w:noProof/>
          <w:lang w:val="en-US" w:eastAsia="en-US"/>
        </w:rPr>
      </w:pPr>
      <w:r w:rsidRPr="00150A5A">
        <w:rPr>
          <w:rFonts w:eastAsia="Calibri"/>
          <w:noProof/>
          <w:lang w:val="en-US" w:eastAsia="en-US"/>
        </w:rPr>
        <w:t>Allcott, H., Lockwood, B.B.</w:t>
      </w:r>
      <w:r w:rsidR="00E96235">
        <w:rPr>
          <w:rFonts w:eastAsia="Calibri"/>
          <w:noProof/>
          <w:lang w:val="en-US" w:eastAsia="en-US"/>
        </w:rPr>
        <w:t>,</w:t>
      </w:r>
      <w:r w:rsidRPr="00150A5A">
        <w:rPr>
          <w:rFonts w:eastAsia="Calibri"/>
          <w:noProof/>
          <w:lang w:val="en-US" w:eastAsia="en-US"/>
        </w:rPr>
        <w:t xml:space="preserve"> Taubinsky, D., 2018. </w:t>
      </w:r>
      <w:hyperlink r:id="rId15" w:history="1">
        <w:r w:rsidRPr="00150A5A">
          <w:rPr>
            <w:rStyle w:val="Hyperlink"/>
            <w:rFonts w:eastAsia="Calibri"/>
            <w:noProof/>
            <w:lang w:val="en-US" w:eastAsia="en-US"/>
          </w:rPr>
          <w:t>Should We Tax Soda? An Overview of Theory and Evidence</w:t>
        </w:r>
      </w:hyperlink>
      <w:r w:rsidRPr="00150A5A">
        <w:rPr>
          <w:rFonts w:eastAsia="Calibri"/>
          <w:noProof/>
          <w:lang w:val="en-US" w:eastAsia="en-US"/>
        </w:rPr>
        <w:t>.</w:t>
      </w:r>
      <w:r>
        <w:rPr>
          <w:rFonts w:eastAsia="Calibri"/>
          <w:noProof/>
          <w:lang w:val="en-US" w:eastAsia="en-US"/>
        </w:rPr>
        <w:t xml:space="preserve"> Working Paper. (Accessed December 11, 2018)</w:t>
      </w:r>
    </w:p>
    <w:p w14:paraId="5F1F92A6" w14:textId="6DA6B3C8" w:rsidR="00936889" w:rsidRDefault="00936889" w:rsidP="00871858">
      <w:pPr>
        <w:spacing w:after="0"/>
        <w:ind w:hanging="567"/>
        <w:rPr>
          <w:rFonts w:eastAsia="Calibri"/>
          <w:noProof/>
          <w:lang w:val="en-US" w:eastAsia="en-US"/>
        </w:rPr>
      </w:pPr>
      <w:r>
        <w:rPr>
          <w:rFonts w:eastAsia="Calibri"/>
          <w:noProof/>
          <w:lang w:val="en-US" w:eastAsia="en-US"/>
        </w:rPr>
        <w:lastRenderedPageBreak/>
        <w:t>Andersen, S., Cox, J.C., Harrison, G.W., Lau, M.I., Rutstrom, E.E., Sadiraj, V., 2018. Asset integration and attitudes toward risk: Theory and evidence. Review of Economic Studies. 100(5), 816-830.</w:t>
      </w:r>
    </w:p>
    <w:p w14:paraId="65895F4C" w14:textId="31713589"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Andreyeva, T., Long, M.W., Brownell, K.D.,</w:t>
      </w:r>
      <w:r w:rsidRPr="008B3EE4">
        <w:rPr>
          <w:rFonts w:eastAsia="Calibri"/>
          <w:noProof/>
          <w:lang w:val="en-US" w:eastAsia="en-US"/>
        </w:rPr>
        <w:t xml:space="preserve"> 2010. The Impact of Food Prices on Consumption: A Systematic Review of Research on the Price Elasticity of Demand for Food. American Journal of Public Health. 100(2), 216.</w:t>
      </w:r>
    </w:p>
    <w:p w14:paraId="6219D431" w14:textId="4BA2562A" w:rsidR="00F27058" w:rsidRDefault="00F27058" w:rsidP="00871858">
      <w:pPr>
        <w:spacing w:after="0"/>
        <w:ind w:hanging="567"/>
        <w:rPr>
          <w:rFonts w:eastAsia="Calibri"/>
          <w:noProof/>
          <w:lang w:val="en-US" w:eastAsia="en-US"/>
        </w:rPr>
      </w:pPr>
      <w:r w:rsidRPr="000D52F7">
        <w:rPr>
          <w:rFonts w:eastAsia="Calibri"/>
          <w:noProof/>
          <w:lang w:val="en-US" w:eastAsia="en-US"/>
        </w:rPr>
        <w:t>Ball, K., McNaughton, S.A., Le, H.N., Gold, L., Mhurchu, C.N., Abbott, G., Pollard, C., Crawford, D.,</w:t>
      </w:r>
      <w:r w:rsidRPr="008B3EE4">
        <w:rPr>
          <w:rFonts w:eastAsia="Calibri"/>
          <w:noProof/>
          <w:lang w:val="en-US" w:eastAsia="en-US"/>
        </w:rPr>
        <w:t xml:space="preserve"> 2015. Influence of Price Discounts and Skill-Building Strategies on Purchase and Consumption of Healthy Food and Beverages: Outcomes of the Supermarket Healthy Eating for Life Randomized Controlled Trial. American Journal of Clinical Nutrition. 101(5), 1055-1064.</w:t>
      </w:r>
    </w:p>
    <w:p w14:paraId="2DD063EC" w14:textId="08EC12D4" w:rsidR="000F5399" w:rsidRPr="008B3EE4" w:rsidRDefault="000F5399" w:rsidP="00871858">
      <w:pPr>
        <w:spacing w:after="0"/>
        <w:ind w:hanging="567"/>
        <w:rPr>
          <w:rFonts w:eastAsia="Calibri"/>
          <w:noProof/>
          <w:lang w:val="en-US" w:eastAsia="en-US"/>
        </w:rPr>
      </w:pPr>
      <w:r>
        <w:rPr>
          <w:rFonts w:eastAsia="Calibri"/>
          <w:noProof/>
          <w:lang w:val="en-US" w:eastAsia="en-US"/>
        </w:rPr>
        <w:t xml:space="preserve">Berardi, N., Sevestre, P., </w:t>
      </w:r>
      <w:r w:rsidRPr="000F5399">
        <w:rPr>
          <w:rFonts w:eastAsia="Calibri"/>
          <w:noProof/>
          <w:lang w:val="en-US" w:eastAsia="en-US"/>
        </w:rPr>
        <w:t>Tépaut</w:t>
      </w:r>
      <w:r>
        <w:rPr>
          <w:rFonts w:eastAsia="Calibri"/>
          <w:noProof/>
          <w:lang w:val="en-US" w:eastAsia="en-US"/>
        </w:rPr>
        <w:t xml:space="preserve">, M., Vigneron, A., 2016. The impact of a ‘soda tax’ on prices: evidence from French micro data. Applied Economics. 48(41): </w:t>
      </w:r>
      <w:r w:rsidR="002F77D4">
        <w:rPr>
          <w:rFonts w:eastAsia="Calibri"/>
          <w:noProof/>
          <w:lang w:val="en-US" w:eastAsia="en-US"/>
        </w:rPr>
        <w:t>3976-3994.</w:t>
      </w:r>
    </w:p>
    <w:p w14:paraId="13EE3B6A" w14:textId="788BBA40"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Bertrand, M., Duflo, E., Mullainathan, S.,</w:t>
      </w:r>
      <w:r w:rsidRPr="008B3EE4">
        <w:rPr>
          <w:rFonts w:eastAsia="Calibri"/>
          <w:noProof/>
          <w:lang w:val="en-US" w:eastAsia="en-US"/>
        </w:rPr>
        <w:t xml:space="preserve"> 2004. How Much Should We Trust Differences-in-Differences Estimates? The Quarterly Journal of Economics. 119(1), 249-275.</w:t>
      </w:r>
    </w:p>
    <w:p w14:paraId="3569FC4B" w14:textId="360A24AD"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 xml:space="preserve">Blakely, T., Mhurchu, C.N., Jiang, Y., Matoe, L., Funaki-Tahifote, M., Eyles, H.C., Foster, R.H., McKenzie, S., Rodgers, A., </w:t>
      </w:r>
      <w:r w:rsidRPr="008B3EE4">
        <w:rPr>
          <w:rFonts w:eastAsia="Calibri"/>
          <w:noProof/>
          <w:lang w:val="en-US" w:eastAsia="en-US"/>
        </w:rPr>
        <w:t>2011. Do Effects of Price Discounts and Nutrition Education on Food Purchases Vary by Ethnicity, Income and Education? Results from a Randomised, Controlled Trial. Journal of Epidemiology &amp; Community Health. 65(10), 902-908.</w:t>
      </w:r>
    </w:p>
    <w:p w14:paraId="3E009839" w14:textId="77777777"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Bonnet, C., Réquillart, V.,</w:t>
      </w:r>
      <w:r w:rsidRPr="008B3EE4">
        <w:rPr>
          <w:rFonts w:eastAsia="Calibri"/>
          <w:noProof/>
          <w:lang w:val="en-US" w:eastAsia="en-US"/>
        </w:rPr>
        <w:t xml:space="preserve"> 2013. Tax Incidence with Strategic Firms in the Soft Drink Market. Journal of Public Economics. 106(0), 77-88.</w:t>
      </w:r>
    </w:p>
    <w:p w14:paraId="37DC876B" w14:textId="3F2FF9E8"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 xml:space="preserve">Briggs, A.D.M., Mytton, O.T., Kehlbacher, A., Tiffin, R., Rayner, M.,  Scarborough, P., </w:t>
      </w:r>
      <w:r w:rsidRPr="008B3EE4">
        <w:rPr>
          <w:rFonts w:eastAsia="Calibri"/>
          <w:noProof/>
          <w:lang w:val="en-US" w:eastAsia="en-US"/>
        </w:rPr>
        <w:t xml:space="preserve">2013. Overall and </w:t>
      </w:r>
      <w:r w:rsidR="00E144CB">
        <w:rPr>
          <w:rFonts w:eastAsia="Calibri"/>
          <w:noProof/>
          <w:lang w:val="en-US" w:eastAsia="en-US"/>
        </w:rPr>
        <w:t>i</w:t>
      </w:r>
      <w:r w:rsidRPr="008B3EE4">
        <w:rPr>
          <w:rFonts w:eastAsia="Calibri"/>
          <w:noProof/>
          <w:lang w:val="en-US" w:eastAsia="en-US"/>
        </w:rPr>
        <w:t xml:space="preserve">ncome </w:t>
      </w:r>
      <w:r w:rsidR="00E144CB">
        <w:rPr>
          <w:rFonts w:eastAsia="Calibri"/>
          <w:noProof/>
          <w:lang w:val="en-US" w:eastAsia="en-US"/>
        </w:rPr>
        <w:t>s</w:t>
      </w:r>
      <w:r w:rsidRPr="008B3EE4">
        <w:rPr>
          <w:rFonts w:eastAsia="Calibri"/>
          <w:noProof/>
          <w:lang w:val="en-US" w:eastAsia="en-US"/>
        </w:rPr>
        <w:t xml:space="preserve">pecific </w:t>
      </w:r>
      <w:r w:rsidR="00E144CB">
        <w:rPr>
          <w:rFonts w:eastAsia="Calibri"/>
          <w:noProof/>
          <w:lang w:val="en-US" w:eastAsia="en-US"/>
        </w:rPr>
        <w:t>e</w:t>
      </w:r>
      <w:r w:rsidRPr="008B3EE4">
        <w:rPr>
          <w:rFonts w:eastAsia="Calibri"/>
          <w:noProof/>
          <w:lang w:val="en-US" w:eastAsia="en-US"/>
        </w:rPr>
        <w:t xml:space="preserve">ffect on </w:t>
      </w:r>
      <w:r w:rsidR="00E144CB">
        <w:rPr>
          <w:rFonts w:eastAsia="Calibri"/>
          <w:noProof/>
          <w:lang w:val="en-US" w:eastAsia="en-US"/>
        </w:rPr>
        <w:t>p</w:t>
      </w:r>
      <w:r w:rsidRPr="008B3EE4">
        <w:rPr>
          <w:rFonts w:eastAsia="Calibri"/>
          <w:noProof/>
          <w:lang w:val="en-US" w:eastAsia="en-US"/>
        </w:rPr>
        <w:t xml:space="preserve">revalence of </w:t>
      </w:r>
      <w:r w:rsidR="00E144CB">
        <w:rPr>
          <w:rFonts w:eastAsia="Calibri"/>
          <w:noProof/>
          <w:lang w:val="en-US" w:eastAsia="en-US"/>
        </w:rPr>
        <w:t>o</w:t>
      </w:r>
      <w:r w:rsidRPr="008B3EE4">
        <w:rPr>
          <w:rFonts w:eastAsia="Calibri"/>
          <w:noProof/>
          <w:lang w:val="en-US" w:eastAsia="en-US"/>
        </w:rPr>
        <w:t xml:space="preserve">verweight and </w:t>
      </w:r>
      <w:r w:rsidR="00E144CB">
        <w:rPr>
          <w:rFonts w:eastAsia="Calibri"/>
          <w:noProof/>
          <w:lang w:val="en-US" w:eastAsia="en-US"/>
        </w:rPr>
        <w:t>o</w:t>
      </w:r>
      <w:r w:rsidRPr="008B3EE4">
        <w:rPr>
          <w:rFonts w:eastAsia="Calibri"/>
          <w:noProof/>
          <w:lang w:val="en-US" w:eastAsia="en-US"/>
        </w:rPr>
        <w:t xml:space="preserve">besity of 20% </w:t>
      </w:r>
      <w:r w:rsidR="00E144CB">
        <w:rPr>
          <w:rFonts w:eastAsia="Calibri"/>
          <w:noProof/>
          <w:lang w:val="en-US" w:eastAsia="en-US"/>
        </w:rPr>
        <w:t>s</w:t>
      </w:r>
      <w:r w:rsidRPr="008B3EE4">
        <w:rPr>
          <w:rFonts w:eastAsia="Calibri"/>
          <w:noProof/>
          <w:lang w:val="en-US" w:eastAsia="en-US"/>
        </w:rPr>
        <w:t xml:space="preserve">ugar </w:t>
      </w:r>
      <w:r w:rsidR="00E144CB">
        <w:rPr>
          <w:rFonts w:eastAsia="Calibri"/>
          <w:noProof/>
          <w:lang w:val="en-US" w:eastAsia="en-US"/>
        </w:rPr>
        <w:t>s</w:t>
      </w:r>
      <w:r w:rsidRPr="008B3EE4">
        <w:rPr>
          <w:rFonts w:eastAsia="Calibri"/>
          <w:noProof/>
          <w:lang w:val="en-US" w:eastAsia="en-US"/>
        </w:rPr>
        <w:t xml:space="preserve">weetened </w:t>
      </w:r>
      <w:r w:rsidR="00E144CB">
        <w:rPr>
          <w:rFonts w:eastAsia="Calibri"/>
          <w:noProof/>
          <w:lang w:val="en-US" w:eastAsia="en-US"/>
        </w:rPr>
        <w:t>d</w:t>
      </w:r>
      <w:r w:rsidRPr="008B3EE4">
        <w:rPr>
          <w:rFonts w:eastAsia="Calibri"/>
          <w:noProof/>
          <w:lang w:val="en-US" w:eastAsia="en-US"/>
        </w:rPr>
        <w:t xml:space="preserve">rink </w:t>
      </w:r>
      <w:r w:rsidR="00E144CB">
        <w:rPr>
          <w:rFonts w:eastAsia="Calibri"/>
          <w:noProof/>
          <w:lang w:val="en-US" w:eastAsia="en-US"/>
        </w:rPr>
        <w:t>t</w:t>
      </w:r>
      <w:r w:rsidRPr="008B3EE4">
        <w:rPr>
          <w:rFonts w:eastAsia="Calibri"/>
          <w:noProof/>
          <w:lang w:val="en-US" w:eastAsia="en-US"/>
        </w:rPr>
        <w:t>ax in U</w:t>
      </w:r>
      <w:r w:rsidR="00E144CB">
        <w:rPr>
          <w:rFonts w:eastAsia="Calibri"/>
          <w:noProof/>
          <w:lang w:val="en-US" w:eastAsia="en-US"/>
        </w:rPr>
        <w:t>K</w:t>
      </w:r>
      <w:r w:rsidRPr="008B3EE4">
        <w:rPr>
          <w:rFonts w:eastAsia="Calibri"/>
          <w:noProof/>
          <w:lang w:val="en-US" w:eastAsia="en-US"/>
        </w:rPr>
        <w:t>: Econometric and Comparative Risk Assessment Modelling Study. British Medical Journal. 347, f6189.</w:t>
      </w:r>
    </w:p>
    <w:p w14:paraId="2243DD01" w14:textId="77777777"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lastRenderedPageBreak/>
        <w:t>Cameron, A.C., Gelbach, J.B., Miller, D.L.,</w:t>
      </w:r>
      <w:r w:rsidRPr="008B3EE4">
        <w:rPr>
          <w:rFonts w:eastAsia="Calibri"/>
          <w:noProof/>
          <w:lang w:val="en-US" w:eastAsia="en-US"/>
        </w:rPr>
        <w:t xml:space="preserve"> 2008. Bootstrap-Based Improvements for Inference with Clustered Errors. The Review of Economics and Statistics. 90(3), 414-427.</w:t>
      </w:r>
    </w:p>
    <w:p w14:paraId="20822DA2" w14:textId="42EF1257" w:rsidR="00F27058" w:rsidRDefault="00F27058" w:rsidP="00871858">
      <w:pPr>
        <w:spacing w:after="0"/>
        <w:ind w:hanging="567"/>
        <w:rPr>
          <w:rFonts w:eastAsia="Calibri"/>
          <w:noProof/>
          <w:lang w:val="en-US" w:eastAsia="en-US"/>
        </w:rPr>
      </w:pPr>
      <w:r w:rsidRPr="008B3EE4">
        <w:rPr>
          <w:rFonts w:eastAsia="Calibri"/>
          <w:noProof/>
          <w:lang w:val="en-US" w:eastAsia="en-US"/>
        </w:rPr>
        <w:t>Caro, J.C., Corvalán, C., Reyes, M., Silva, A ., Popkin, B., Taillie, L.S., 2018. Chile’s 2014 sugar-sweetened beverage tax and changes in prices and purchases of sugar-sweetened beverages: An observational st</w:t>
      </w:r>
      <w:r w:rsidR="00C241CF">
        <w:rPr>
          <w:rFonts w:eastAsia="Calibri"/>
          <w:noProof/>
          <w:lang w:val="en-US" w:eastAsia="en-US"/>
        </w:rPr>
        <w:t>udy in an urban environment. PLO</w:t>
      </w:r>
      <w:r w:rsidRPr="008B3EE4">
        <w:rPr>
          <w:rFonts w:eastAsia="Calibri"/>
          <w:noProof/>
          <w:lang w:val="en-US" w:eastAsia="en-US"/>
        </w:rPr>
        <w:t xml:space="preserve">S medicine. 15(7), e1002597. </w:t>
      </w:r>
    </w:p>
    <w:p w14:paraId="74592510" w14:textId="32DDED85" w:rsidR="00E144CB" w:rsidRDefault="00C42287" w:rsidP="00871858">
      <w:pPr>
        <w:spacing w:after="0"/>
        <w:ind w:hanging="567"/>
        <w:rPr>
          <w:rFonts w:eastAsia="Calibri"/>
          <w:noProof/>
          <w:lang w:val="en-US" w:eastAsia="en-US"/>
        </w:rPr>
      </w:pPr>
      <w:r w:rsidRPr="003012ED">
        <w:t>Cawley</w:t>
      </w:r>
      <w:r w:rsidR="0008278A">
        <w:t>,</w:t>
      </w:r>
      <w:r w:rsidRPr="003012ED">
        <w:t xml:space="preserve"> J</w:t>
      </w:r>
      <w:r w:rsidR="0008278A">
        <w:t>.</w:t>
      </w:r>
      <w:r w:rsidRPr="003012ED">
        <w:t xml:space="preserve">, </w:t>
      </w:r>
      <w:proofErr w:type="spellStart"/>
      <w:r w:rsidRPr="003012ED">
        <w:t>Thow</w:t>
      </w:r>
      <w:proofErr w:type="spellEnd"/>
      <w:r w:rsidR="0008278A">
        <w:t>,</w:t>
      </w:r>
      <w:r w:rsidRPr="003012ED">
        <w:t xml:space="preserve"> A</w:t>
      </w:r>
      <w:r w:rsidR="0008278A">
        <w:t>.</w:t>
      </w:r>
      <w:r w:rsidRPr="003012ED">
        <w:t>M</w:t>
      </w:r>
      <w:r w:rsidR="0008278A">
        <w:t>.</w:t>
      </w:r>
      <w:r w:rsidRPr="003012ED">
        <w:t>, Wen</w:t>
      </w:r>
      <w:r w:rsidR="0008278A">
        <w:t>,</w:t>
      </w:r>
      <w:r w:rsidRPr="003012ED">
        <w:t xml:space="preserve"> K</w:t>
      </w:r>
      <w:r w:rsidR="0008278A">
        <w:t>.</w:t>
      </w:r>
      <w:r w:rsidRPr="003012ED">
        <w:t xml:space="preserve">, </w:t>
      </w:r>
      <w:proofErr w:type="spellStart"/>
      <w:r w:rsidRPr="003012ED">
        <w:t>Frisvold</w:t>
      </w:r>
      <w:proofErr w:type="spellEnd"/>
      <w:r w:rsidR="0008278A">
        <w:t>,</w:t>
      </w:r>
      <w:r w:rsidRPr="003012ED">
        <w:t xml:space="preserve"> D.</w:t>
      </w:r>
      <w:r w:rsidR="0008278A">
        <w:t>, 2019.</w:t>
      </w:r>
      <w:r w:rsidRPr="003012ED">
        <w:t xml:space="preserve"> The Economics of Taxes on Sugar-Sweetened Beverages: A Review of the Effects on Prices, Sales, Cross-Border Shopping, and Consumption. Annual </w:t>
      </w:r>
      <w:r w:rsidR="0008278A">
        <w:t>R</w:t>
      </w:r>
      <w:r w:rsidRPr="003012ED">
        <w:t xml:space="preserve">eview of </w:t>
      </w:r>
      <w:r w:rsidR="0008278A">
        <w:t>N</w:t>
      </w:r>
      <w:r w:rsidRPr="003012ED">
        <w:t>utrition.</w:t>
      </w:r>
      <w:r w:rsidR="0008278A">
        <w:t xml:space="preserve"> </w:t>
      </w:r>
      <w:proofErr w:type="spellStart"/>
      <w:r w:rsidR="0008278A" w:rsidRPr="0008278A">
        <w:t>doi</w:t>
      </w:r>
      <w:proofErr w:type="spellEnd"/>
      <w:r w:rsidR="0008278A" w:rsidRPr="0008278A">
        <w:t>: 10.1146/annurev-nutr-082018-124603</w:t>
      </w:r>
      <w:r w:rsidR="00F27058" w:rsidRPr="000D52F7">
        <w:rPr>
          <w:rFonts w:eastAsia="Calibri"/>
          <w:noProof/>
          <w:lang w:val="en-US" w:eastAsia="en-US"/>
        </w:rPr>
        <w:t>Cawley, J., Frisvold, D.,</w:t>
      </w:r>
      <w:r w:rsidR="00F27058" w:rsidRPr="008B3EE4">
        <w:rPr>
          <w:rFonts w:eastAsia="Calibri"/>
          <w:noProof/>
          <w:lang w:val="en-US" w:eastAsia="en-US"/>
        </w:rPr>
        <w:t xml:space="preserve"> 201</w:t>
      </w:r>
      <w:r w:rsidR="00AB01D2">
        <w:rPr>
          <w:rFonts w:eastAsia="Calibri"/>
          <w:noProof/>
          <w:lang w:val="en-US" w:eastAsia="en-US"/>
        </w:rPr>
        <w:t>7</w:t>
      </w:r>
      <w:r w:rsidR="00F27058" w:rsidRPr="008B3EE4">
        <w:rPr>
          <w:rFonts w:eastAsia="Calibri"/>
          <w:noProof/>
          <w:lang w:val="en-US" w:eastAsia="en-US"/>
        </w:rPr>
        <w:t xml:space="preserve">. </w:t>
      </w:r>
      <w:r w:rsidR="00AB01D2">
        <w:rPr>
          <w:rFonts w:eastAsia="Calibri"/>
          <w:noProof/>
          <w:lang w:val="en-US" w:eastAsia="en-US"/>
        </w:rPr>
        <w:t>The pass-through of taxes on sugar-sweetened beverages to retail prices: The case of Berkeley, California. Journal of Policy Analysis and Management. 36(2), 303-326.</w:t>
      </w:r>
    </w:p>
    <w:p w14:paraId="19722189" w14:textId="412CE86F" w:rsidR="00767401" w:rsidRDefault="00767401" w:rsidP="00871858">
      <w:pPr>
        <w:spacing w:after="0"/>
        <w:ind w:hanging="567"/>
        <w:rPr>
          <w:rFonts w:eastAsia="Calibri"/>
          <w:noProof/>
          <w:lang w:val="en-US" w:eastAsia="en-US"/>
        </w:rPr>
      </w:pPr>
      <w:r>
        <w:rPr>
          <w:rFonts w:eastAsia="Calibri"/>
          <w:noProof/>
          <w:lang w:val="en-US" w:eastAsia="en-US"/>
        </w:rPr>
        <w:t xml:space="preserve">Cawley, J., Frisvold, D., Hill, A., Jones, D. 2018. The impact of the Philadelphia beverage tax on purchases and consumption by adults and children. NBER Working Paper 25052. National Bureau of Economic Research. </w:t>
      </w:r>
    </w:p>
    <w:p w14:paraId="3D1D5128" w14:textId="05759795" w:rsidR="00F27058" w:rsidRPr="008B3EE4" w:rsidRDefault="00E144CB" w:rsidP="00871858">
      <w:pPr>
        <w:spacing w:after="0"/>
        <w:ind w:hanging="567"/>
        <w:rPr>
          <w:rFonts w:eastAsia="Calibri"/>
          <w:noProof/>
          <w:lang w:val="en-US" w:eastAsia="en-US"/>
        </w:rPr>
      </w:pPr>
      <w:r>
        <w:rPr>
          <w:rFonts w:eastAsia="Calibri"/>
          <w:noProof/>
          <w:lang w:val="en-US" w:eastAsia="en-US"/>
        </w:rPr>
        <w:t xml:space="preserve">Charness, G., Gneezy, U., Kuhn, M., 2012. </w:t>
      </w:r>
      <w:r>
        <w:t xml:space="preserve">Experimental methods: Between-subject and within-subject design. Journal of Economic </w:t>
      </w:r>
      <w:proofErr w:type="spellStart"/>
      <w:r>
        <w:t>Behavior</w:t>
      </w:r>
      <w:proofErr w:type="spellEnd"/>
      <w:r>
        <w:t xml:space="preserve"> and Organization. 81: 1-8.</w:t>
      </w:r>
      <w:r w:rsidR="00AB01D2">
        <w:rPr>
          <w:rFonts w:eastAsia="Calibri"/>
          <w:noProof/>
          <w:lang w:val="en-US" w:eastAsia="en-US"/>
        </w:rPr>
        <w:t xml:space="preserve"> </w:t>
      </w:r>
    </w:p>
    <w:p w14:paraId="28BF32F1" w14:textId="77777777" w:rsidR="00F27058" w:rsidRPr="008B3EE4" w:rsidRDefault="00F27058" w:rsidP="00871858">
      <w:pPr>
        <w:spacing w:after="0"/>
        <w:ind w:hanging="567"/>
        <w:rPr>
          <w:rFonts w:eastAsia="Calibri"/>
          <w:noProof/>
          <w:lang w:val="en-US" w:eastAsia="en-US"/>
        </w:rPr>
      </w:pPr>
      <w:r w:rsidRPr="008B3EE4">
        <w:rPr>
          <w:rFonts w:eastAsia="Calibri"/>
          <w:noProof/>
          <w:lang w:val="en-US" w:eastAsia="en-US"/>
        </w:rPr>
        <w:t>Chen, X., Kaiser, H.M., Rickard, B.J., 2015. The impacts of inclusive and exclusive taxes on healthy eating: An experimental study. Food Policy. 56, 13–24.</w:t>
      </w:r>
    </w:p>
    <w:p w14:paraId="4A11FEFF" w14:textId="77777777"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Chetty, R., Looney, A., Kroft, K.,</w:t>
      </w:r>
      <w:r w:rsidRPr="008B3EE4">
        <w:rPr>
          <w:rFonts w:eastAsia="Calibri"/>
          <w:noProof/>
          <w:lang w:val="en-US" w:eastAsia="en-US"/>
        </w:rPr>
        <w:t xml:space="preserve"> 2009. Salience and Taxation: Theory and Evidence. American Economic Review. 99(4), 1145-1177.</w:t>
      </w:r>
    </w:p>
    <w:p w14:paraId="2F70665D" w14:textId="2E9315F8"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 xml:space="preserve">Colchero, M.A., Popkin, B.M., Rivera, J.A., Ng, S.W., </w:t>
      </w:r>
      <w:r w:rsidRPr="008B3EE4">
        <w:rPr>
          <w:rFonts w:eastAsia="Calibri"/>
          <w:noProof/>
          <w:lang w:val="en-US" w:eastAsia="en-US"/>
        </w:rPr>
        <w:t xml:space="preserve">2016. Beverage Purchases from Stores in Mexico under the Excise Tax on Sugar Sweetened Beverages: Observational Study. </w:t>
      </w:r>
      <w:r w:rsidR="00BF5372">
        <w:rPr>
          <w:rFonts w:eastAsia="Calibri"/>
          <w:noProof/>
          <w:lang w:val="en-US" w:eastAsia="en-US"/>
        </w:rPr>
        <w:t>British Medical Journal</w:t>
      </w:r>
      <w:r w:rsidRPr="008B3EE4">
        <w:rPr>
          <w:rFonts w:eastAsia="Calibri"/>
          <w:noProof/>
          <w:lang w:val="en-US" w:eastAsia="en-US"/>
        </w:rPr>
        <w:t>. 352, h6704.</w:t>
      </w:r>
    </w:p>
    <w:p w14:paraId="0613BC94" w14:textId="479C7C05" w:rsidR="00F27058" w:rsidRDefault="00F27058" w:rsidP="00871858">
      <w:pPr>
        <w:spacing w:after="0"/>
        <w:ind w:hanging="567"/>
        <w:rPr>
          <w:rFonts w:eastAsia="Calibri"/>
          <w:noProof/>
          <w:lang w:val="en-US" w:eastAsia="en-US"/>
        </w:rPr>
      </w:pPr>
      <w:r w:rsidRPr="008B3EE4">
        <w:rPr>
          <w:rFonts w:eastAsia="Calibri"/>
          <w:noProof/>
          <w:lang w:val="en-US" w:eastAsia="en-US"/>
        </w:rPr>
        <w:t>Colchero, M.A., Rivera-Dommarco, J., Popkin, B.M., Ng, S.W., 2017. In Mexico, evidence of sustained consumer respose two years after implemeiting a sugar-sweetened beverage tax. Health Affairs. 36 (3), 564-571.</w:t>
      </w:r>
    </w:p>
    <w:p w14:paraId="594E9D1D" w14:textId="302C3F12" w:rsidR="00C241CF" w:rsidRPr="008B3EE4" w:rsidRDefault="00C241CF" w:rsidP="00871858">
      <w:pPr>
        <w:spacing w:after="0"/>
        <w:ind w:hanging="567"/>
        <w:rPr>
          <w:rFonts w:eastAsia="Calibri"/>
          <w:noProof/>
          <w:lang w:val="en-US" w:eastAsia="en-US"/>
        </w:rPr>
      </w:pPr>
      <w:r>
        <w:rPr>
          <w:rFonts w:eastAsia="Calibri"/>
          <w:noProof/>
          <w:lang w:val="en-US" w:eastAsia="en-US"/>
        </w:rPr>
        <w:lastRenderedPageBreak/>
        <w:t xml:space="preserve">Colchero, </w:t>
      </w:r>
      <w:r w:rsidR="003B07BE">
        <w:rPr>
          <w:rFonts w:eastAsia="Calibri"/>
          <w:noProof/>
          <w:lang w:val="en-US" w:eastAsia="en-US"/>
        </w:rPr>
        <w:t xml:space="preserve">M.A., Salgado, J.C., Unar-Munguia, M., Molina, M., Ng, S., Rivera-Donmarco, J.A., </w:t>
      </w:r>
      <w:r w:rsidR="00FC79B4">
        <w:rPr>
          <w:rFonts w:eastAsia="Calibri"/>
          <w:noProof/>
          <w:lang w:val="en-US" w:eastAsia="en-US"/>
        </w:rPr>
        <w:t>2015</w:t>
      </w:r>
      <w:r w:rsidR="003B07BE">
        <w:rPr>
          <w:rFonts w:eastAsia="Calibri"/>
          <w:noProof/>
          <w:lang w:val="en-US" w:eastAsia="en-US"/>
        </w:rPr>
        <w:t xml:space="preserve">. Changes in prices after an excise tax to sweetened sugar beverages was implemented in Mexico: Evidence from urban areas. PLOS One. 10(12): e0144408. </w:t>
      </w:r>
    </w:p>
    <w:p w14:paraId="3E36357C" w14:textId="2A585C08"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Cornelsen, L., Carreido, A.,</w:t>
      </w:r>
      <w:r w:rsidRPr="008B3EE4">
        <w:rPr>
          <w:rFonts w:eastAsia="Calibri"/>
          <w:noProof/>
          <w:lang w:val="en-US" w:eastAsia="en-US"/>
        </w:rPr>
        <w:t xml:space="preserve"> 2015. </w:t>
      </w:r>
      <w:hyperlink r:id="rId16" w:history="1">
        <w:r w:rsidRPr="00BF5372">
          <w:rPr>
            <w:rStyle w:val="Hyperlink"/>
            <w:rFonts w:eastAsia="Calibri"/>
            <w:noProof/>
            <w:lang w:val="en-US" w:eastAsia="en-US"/>
          </w:rPr>
          <w:t>Health-Related Taxes on Foods and Beverages. Food Research Collaboration Policy Brief</w:t>
        </w:r>
      </w:hyperlink>
      <w:r w:rsidRPr="008B3EE4">
        <w:rPr>
          <w:rFonts w:eastAsia="Calibri"/>
          <w:noProof/>
          <w:lang w:val="en-US" w:eastAsia="en-US"/>
        </w:rPr>
        <w:t>. (</w:t>
      </w:r>
      <w:r w:rsidR="00BF5372">
        <w:rPr>
          <w:rFonts w:eastAsia="Calibri"/>
          <w:noProof/>
          <w:lang w:val="en-US" w:eastAsia="en-US"/>
        </w:rPr>
        <w:t>A</w:t>
      </w:r>
      <w:r w:rsidRPr="008B3EE4">
        <w:rPr>
          <w:rFonts w:eastAsia="Calibri"/>
          <w:noProof/>
          <w:lang w:val="en-US" w:eastAsia="en-US"/>
        </w:rPr>
        <w:t>ccessed August 21, 2018)</w:t>
      </w:r>
      <w:r w:rsidRPr="008B3EE4">
        <w:t>.</w:t>
      </w:r>
    </w:p>
    <w:p w14:paraId="575264BC" w14:textId="50CF6856" w:rsidR="00483FF0" w:rsidRDefault="00F27058" w:rsidP="00871858">
      <w:pPr>
        <w:spacing w:after="0"/>
        <w:ind w:hanging="567"/>
        <w:rPr>
          <w:rFonts w:eastAsia="Calibri"/>
          <w:noProof/>
          <w:lang w:val="en-US" w:eastAsia="en-US"/>
        </w:rPr>
      </w:pPr>
      <w:r w:rsidRPr="000D52F7">
        <w:rPr>
          <w:rFonts w:eastAsia="Calibri"/>
          <w:noProof/>
          <w:lang w:val="en-US" w:eastAsia="en-US"/>
        </w:rPr>
        <w:t>Cornelsen, L., Green, R., Dangour, A., Smith, R</w:t>
      </w:r>
      <w:r w:rsidRPr="008B3EE4">
        <w:rPr>
          <w:rFonts w:eastAsia="Calibri"/>
          <w:noProof/>
          <w:lang w:val="en-US" w:eastAsia="en-US"/>
        </w:rPr>
        <w:t>., 2015. Why fat taxes won't make us thin. Journal of Public Health. 37(1), 18-23.</w:t>
      </w:r>
    </w:p>
    <w:p w14:paraId="222D2695" w14:textId="2B48BBFF" w:rsidR="00936889" w:rsidRDefault="00936889" w:rsidP="00871858">
      <w:pPr>
        <w:spacing w:after="0"/>
        <w:ind w:hanging="567"/>
        <w:rPr>
          <w:rFonts w:eastAsia="Calibri"/>
          <w:noProof/>
          <w:lang w:val="en-AU" w:eastAsia="en-US"/>
        </w:rPr>
      </w:pPr>
      <w:r w:rsidRPr="00936889">
        <w:rPr>
          <w:rFonts w:eastAsia="Calibri"/>
          <w:noProof/>
          <w:lang w:val="en-AU" w:eastAsia="en-US"/>
        </w:rPr>
        <w:t>Cox,</w:t>
      </w:r>
      <w:r>
        <w:rPr>
          <w:rFonts w:eastAsia="Calibri"/>
          <w:noProof/>
          <w:lang w:val="en-AU" w:eastAsia="en-US"/>
        </w:rPr>
        <w:t xml:space="preserve"> </w:t>
      </w:r>
      <w:r w:rsidRPr="00936889">
        <w:rPr>
          <w:rFonts w:eastAsia="Calibri"/>
          <w:noProof/>
          <w:lang w:val="en-AU" w:eastAsia="en-US"/>
        </w:rPr>
        <w:t>J.C.,</w:t>
      </w:r>
      <w:r>
        <w:rPr>
          <w:rFonts w:eastAsia="Calibri"/>
          <w:noProof/>
          <w:lang w:val="en-AU" w:eastAsia="en-US"/>
        </w:rPr>
        <w:t xml:space="preserve"> </w:t>
      </w:r>
      <w:r w:rsidRPr="00936889">
        <w:rPr>
          <w:rFonts w:eastAsia="Calibri"/>
          <w:noProof/>
          <w:lang w:val="en-AU" w:eastAsia="en-US"/>
        </w:rPr>
        <w:t>Sadiraj,</w:t>
      </w:r>
      <w:r>
        <w:rPr>
          <w:rFonts w:eastAsia="Calibri"/>
          <w:noProof/>
          <w:lang w:val="en-AU" w:eastAsia="en-US"/>
        </w:rPr>
        <w:t xml:space="preserve"> </w:t>
      </w:r>
      <w:r w:rsidRPr="00936889">
        <w:rPr>
          <w:rFonts w:eastAsia="Calibri"/>
          <w:noProof/>
          <w:lang w:val="en-AU" w:eastAsia="en-US"/>
        </w:rPr>
        <w:t>V.,</w:t>
      </w:r>
      <w:r>
        <w:rPr>
          <w:rFonts w:eastAsia="Calibri"/>
          <w:noProof/>
          <w:lang w:val="en-AU" w:eastAsia="en-US"/>
        </w:rPr>
        <w:t xml:space="preserve"> </w:t>
      </w:r>
      <w:r w:rsidRPr="00936889">
        <w:rPr>
          <w:rFonts w:eastAsia="Calibri"/>
          <w:noProof/>
          <w:lang w:val="en-AU" w:eastAsia="en-US"/>
        </w:rPr>
        <w:t>2006.</w:t>
      </w:r>
      <w:r>
        <w:rPr>
          <w:rFonts w:eastAsia="Calibri"/>
          <w:noProof/>
          <w:lang w:val="en-AU" w:eastAsia="en-US"/>
        </w:rPr>
        <w:t xml:space="preserve"> </w:t>
      </w:r>
      <w:r w:rsidRPr="00936889">
        <w:rPr>
          <w:rFonts w:eastAsia="Calibri"/>
          <w:noProof/>
          <w:lang w:val="en-AU" w:eastAsia="en-US"/>
        </w:rPr>
        <w:t>Small-</w:t>
      </w:r>
      <w:r>
        <w:rPr>
          <w:rFonts w:eastAsia="Calibri"/>
          <w:noProof/>
          <w:lang w:val="en-AU" w:eastAsia="en-US"/>
        </w:rPr>
        <w:t xml:space="preserve"> </w:t>
      </w:r>
      <w:r w:rsidRPr="00936889">
        <w:rPr>
          <w:rFonts w:eastAsia="Calibri"/>
          <w:noProof/>
          <w:lang w:val="en-AU" w:eastAsia="en-US"/>
        </w:rPr>
        <w:t>and</w:t>
      </w:r>
      <w:r>
        <w:rPr>
          <w:rFonts w:eastAsia="Calibri"/>
          <w:noProof/>
          <w:lang w:val="en-AU" w:eastAsia="en-US"/>
        </w:rPr>
        <w:t xml:space="preserve"> </w:t>
      </w:r>
      <w:r w:rsidRPr="00936889">
        <w:rPr>
          <w:rFonts w:eastAsia="Calibri"/>
          <w:noProof/>
          <w:lang w:val="en-AU" w:eastAsia="en-US"/>
        </w:rPr>
        <w:t>large-stakes</w:t>
      </w:r>
      <w:r>
        <w:rPr>
          <w:rFonts w:eastAsia="Calibri"/>
          <w:noProof/>
          <w:lang w:val="en-AU" w:eastAsia="en-US"/>
        </w:rPr>
        <w:t xml:space="preserve"> </w:t>
      </w:r>
      <w:r w:rsidRPr="00936889">
        <w:rPr>
          <w:rFonts w:eastAsia="Calibri"/>
          <w:noProof/>
          <w:lang w:val="en-AU" w:eastAsia="en-US"/>
        </w:rPr>
        <w:t>risk</w:t>
      </w:r>
      <w:r>
        <w:rPr>
          <w:rFonts w:eastAsia="Calibri"/>
          <w:noProof/>
          <w:lang w:val="en-AU" w:eastAsia="en-US"/>
        </w:rPr>
        <w:t xml:space="preserve"> </w:t>
      </w:r>
      <w:r w:rsidRPr="00936889">
        <w:rPr>
          <w:rFonts w:eastAsia="Calibri"/>
          <w:noProof/>
          <w:lang w:val="en-AU" w:eastAsia="en-US"/>
        </w:rPr>
        <w:t>aversion:</w:t>
      </w:r>
      <w:r>
        <w:rPr>
          <w:rFonts w:eastAsia="Calibri"/>
          <w:noProof/>
          <w:lang w:val="en-AU" w:eastAsia="en-US"/>
        </w:rPr>
        <w:t xml:space="preserve"> </w:t>
      </w:r>
      <w:r w:rsidRPr="00936889">
        <w:rPr>
          <w:rFonts w:eastAsia="Calibri"/>
          <w:noProof/>
          <w:lang w:val="en-AU" w:eastAsia="en-US"/>
        </w:rPr>
        <w:t>implications</w:t>
      </w:r>
      <w:r>
        <w:rPr>
          <w:rFonts w:eastAsia="Calibri"/>
          <w:noProof/>
          <w:lang w:val="en-AU" w:eastAsia="en-US"/>
        </w:rPr>
        <w:t xml:space="preserve"> </w:t>
      </w:r>
      <w:r w:rsidRPr="00936889">
        <w:rPr>
          <w:rFonts w:eastAsia="Calibri"/>
          <w:noProof/>
          <w:lang w:val="en-AU" w:eastAsia="en-US"/>
        </w:rPr>
        <w:t>of</w:t>
      </w:r>
      <w:r>
        <w:rPr>
          <w:rFonts w:eastAsia="Calibri"/>
          <w:noProof/>
          <w:lang w:val="en-AU" w:eastAsia="en-US"/>
        </w:rPr>
        <w:t xml:space="preserve"> </w:t>
      </w:r>
      <w:r w:rsidRPr="00936889">
        <w:rPr>
          <w:rFonts w:eastAsia="Calibri"/>
          <w:noProof/>
          <w:lang w:val="en-AU" w:eastAsia="en-US"/>
        </w:rPr>
        <w:t>concavity</w:t>
      </w:r>
      <w:r>
        <w:rPr>
          <w:rFonts w:eastAsia="Calibri"/>
          <w:noProof/>
          <w:lang w:val="en-AU" w:eastAsia="en-US"/>
        </w:rPr>
        <w:t xml:space="preserve"> </w:t>
      </w:r>
      <w:r w:rsidRPr="00936889">
        <w:rPr>
          <w:rFonts w:eastAsia="Calibri"/>
          <w:noProof/>
          <w:lang w:val="en-AU" w:eastAsia="en-US"/>
        </w:rPr>
        <w:t>calibration</w:t>
      </w:r>
      <w:r>
        <w:rPr>
          <w:rFonts w:eastAsia="Calibri"/>
          <w:noProof/>
          <w:lang w:val="en-AU" w:eastAsia="en-US"/>
        </w:rPr>
        <w:t xml:space="preserve"> </w:t>
      </w:r>
      <w:r w:rsidRPr="00936889">
        <w:rPr>
          <w:rFonts w:eastAsia="Calibri"/>
          <w:noProof/>
          <w:lang w:val="en-AU" w:eastAsia="en-US"/>
        </w:rPr>
        <w:t>for</w:t>
      </w:r>
      <w:r>
        <w:rPr>
          <w:rFonts w:eastAsia="Calibri"/>
          <w:noProof/>
          <w:lang w:val="en-AU" w:eastAsia="en-US"/>
        </w:rPr>
        <w:t xml:space="preserve"> </w:t>
      </w:r>
      <w:r w:rsidRPr="00936889">
        <w:rPr>
          <w:rFonts w:eastAsia="Calibri"/>
          <w:noProof/>
          <w:lang w:val="en-AU" w:eastAsia="en-US"/>
        </w:rPr>
        <w:t>decision</w:t>
      </w:r>
      <w:r>
        <w:rPr>
          <w:rFonts w:eastAsia="Calibri"/>
          <w:noProof/>
          <w:lang w:val="en-AU" w:eastAsia="en-US"/>
        </w:rPr>
        <w:t xml:space="preserve"> </w:t>
      </w:r>
      <w:r w:rsidRPr="00936889">
        <w:rPr>
          <w:rFonts w:eastAsia="Calibri"/>
          <w:noProof/>
          <w:lang w:val="en-AU" w:eastAsia="en-US"/>
        </w:rPr>
        <w:t>theory.</w:t>
      </w:r>
      <w:r>
        <w:rPr>
          <w:rFonts w:eastAsia="Calibri"/>
          <w:noProof/>
          <w:lang w:val="en-AU" w:eastAsia="en-US"/>
        </w:rPr>
        <w:t xml:space="preserve"> Games and Economic Behavior.</w:t>
      </w:r>
      <w:r w:rsidRPr="00936889">
        <w:rPr>
          <w:rFonts w:eastAsia="Calibri"/>
          <w:noProof/>
          <w:lang w:val="en-AU" w:eastAsia="en-US"/>
        </w:rPr>
        <w:t xml:space="preserve"> 56 (1),</w:t>
      </w:r>
      <w:r>
        <w:rPr>
          <w:rFonts w:eastAsia="Calibri"/>
          <w:noProof/>
          <w:lang w:val="en-AU" w:eastAsia="en-US"/>
        </w:rPr>
        <w:t xml:space="preserve"> </w:t>
      </w:r>
      <w:r w:rsidRPr="00936889">
        <w:rPr>
          <w:rFonts w:eastAsia="Calibri"/>
          <w:noProof/>
          <w:lang w:val="en-AU" w:eastAsia="en-US"/>
        </w:rPr>
        <w:t>45–60.</w:t>
      </w:r>
    </w:p>
    <w:p w14:paraId="21FDEE1C" w14:textId="2DA15B02" w:rsidR="00C241CF" w:rsidRDefault="00C241CF" w:rsidP="00871858">
      <w:pPr>
        <w:spacing w:after="0"/>
        <w:ind w:hanging="567"/>
        <w:rPr>
          <w:rFonts w:eastAsia="Calibri"/>
          <w:noProof/>
          <w:lang w:val="en-US" w:eastAsia="en-US"/>
        </w:rPr>
      </w:pPr>
      <w:r>
        <w:rPr>
          <w:rFonts w:eastAsia="Calibri"/>
          <w:noProof/>
          <w:lang w:val="en-US" w:eastAsia="en-US"/>
        </w:rPr>
        <w:t xml:space="preserve">Darmon, N., Lacroix, A., Muller, L., Ruffieux, B., 2014. Food price policies improve diet quality while increasing socioeconomic inequalities in nutrition. International Journal of Behavioral Nutrition and Physical Activity. 11(66). </w:t>
      </w:r>
    </w:p>
    <w:p w14:paraId="7C52F2F3" w14:textId="021283B8" w:rsidR="00AD113B" w:rsidRPr="000D52F7" w:rsidRDefault="00AD113B" w:rsidP="00871858">
      <w:pPr>
        <w:spacing w:after="0"/>
        <w:ind w:hanging="567"/>
        <w:rPr>
          <w:rFonts w:eastAsia="Calibri"/>
          <w:noProof/>
          <w:lang w:val="en-US" w:eastAsia="en-US"/>
        </w:rPr>
      </w:pPr>
      <w:r>
        <w:rPr>
          <w:rFonts w:eastAsia="Calibri"/>
          <w:noProof/>
          <w:lang w:val="en-US" w:eastAsia="en-US"/>
        </w:rPr>
        <w:t>Dubois, P., Griffith, R., O</w:t>
      </w:r>
      <w:r w:rsidR="00D475A7">
        <w:rPr>
          <w:rFonts w:eastAsia="Calibri"/>
          <w:noProof/>
          <w:lang w:val="en-US" w:eastAsia="en-US"/>
        </w:rPr>
        <w:t xml:space="preserve">’Connell, M., 2017. How well targeted are soda taxes? TSE Working Paper. 17-868 Toulouse School of Economics.  </w:t>
      </w:r>
    </w:p>
    <w:p w14:paraId="269FBAE8" w14:textId="77777777" w:rsidR="00F27058" w:rsidRPr="008B3EE4" w:rsidRDefault="00F27058" w:rsidP="00871858">
      <w:pPr>
        <w:spacing w:after="0"/>
        <w:ind w:hanging="567"/>
        <w:rPr>
          <w:rFonts w:eastAsia="Calibri"/>
          <w:lang w:val="en-US" w:eastAsia="en-US"/>
        </w:rPr>
      </w:pPr>
      <w:r w:rsidRPr="000D52F7">
        <w:rPr>
          <w:rFonts w:eastAsia="Calibri"/>
          <w:noProof/>
          <w:lang w:val="en-US" w:eastAsia="en-US"/>
        </w:rPr>
        <w:t>Epstein, L.H., Dearing, K.K., Paluch, R.A., Roemmich, J.N., Cho, D.,</w:t>
      </w:r>
      <w:r w:rsidRPr="008B3EE4">
        <w:rPr>
          <w:rFonts w:eastAsia="Calibri"/>
          <w:noProof/>
          <w:lang w:val="en-US" w:eastAsia="en-US"/>
        </w:rPr>
        <w:t xml:space="preserve"> 2007. Price and Maternal Obesity Influence Purchasing of Low- and High-Energy-Dense Foods. American Journal of Clinical Nutrition. 86(4), 914-922.</w:t>
      </w:r>
    </w:p>
    <w:p w14:paraId="58D21F2F" w14:textId="77777777" w:rsidR="00F27058" w:rsidRPr="008B3EE4" w:rsidRDefault="00F27058" w:rsidP="00871858">
      <w:pPr>
        <w:spacing w:after="0"/>
        <w:ind w:hanging="567"/>
        <w:rPr>
          <w:rFonts w:eastAsia="Calibri"/>
          <w:noProof/>
          <w:lang w:val="en-US" w:eastAsia="en-US"/>
        </w:rPr>
      </w:pPr>
      <w:r w:rsidRPr="008B3EE4">
        <w:rPr>
          <w:rFonts w:eastAsia="Calibri"/>
          <w:noProof/>
          <w:lang w:val="en-US" w:eastAsia="en-US"/>
        </w:rPr>
        <w:t>Epstein, L.H., Dearing, K.K., Roba, L.G., Finkelstein, E., 2010. The Influence of Taxes and Subsidies on Energy Purchased in an Experimental Purchasing Study. Psychological Science. 21, 406-414.</w:t>
      </w:r>
    </w:p>
    <w:p w14:paraId="1003442A" w14:textId="77777777" w:rsidR="00F27058" w:rsidRPr="008B3EE4" w:rsidRDefault="00F27058" w:rsidP="00871858">
      <w:pPr>
        <w:spacing w:after="0"/>
        <w:ind w:hanging="567"/>
        <w:rPr>
          <w:rFonts w:eastAsia="Calibri"/>
          <w:noProof/>
          <w:lang w:val="en-US" w:eastAsia="en-US"/>
        </w:rPr>
      </w:pPr>
      <w:r w:rsidRPr="000D52F7">
        <w:rPr>
          <w:rFonts w:eastAsia="Calibri"/>
          <w:lang w:val="en-US" w:eastAsia="en-US"/>
        </w:rPr>
        <w:t>Epstein,</w:t>
      </w:r>
      <w:r w:rsidRPr="008B3EE4">
        <w:rPr>
          <w:rFonts w:eastAsia="Calibri"/>
          <w:lang w:val="en-US" w:eastAsia="en-US"/>
        </w:rPr>
        <w:t xml:space="preserve"> </w:t>
      </w:r>
      <w:r w:rsidRPr="000D52F7">
        <w:rPr>
          <w:rFonts w:eastAsia="Calibri"/>
          <w:lang w:val="en-US" w:eastAsia="en-US"/>
        </w:rPr>
        <w:t>L</w:t>
      </w:r>
      <w:r w:rsidRPr="008B3EE4">
        <w:rPr>
          <w:rFonts w:eastAsia="Calibri"/>
          <w:lang w:val="en-US" w:eastAsia="en-US"/>
        </w:rPr>
        <w:t>.</w:t>
      </w:r>
      <w:r w:rsidRPr="000D52F7">
        <w:rPr>
          <w:rFonts w:eastAsia="Calibri"/>
          <w:lang w:val="en-US" w:eastAsia="en-US"/>
        </w:rPr>
        <w:t>H</w:t>
      </w:r>
      <w:r w:rsidRPr="008B3EE4">
        <w:rPr>
          <w:rFonts w:eastAsia="Calibri"/>
          <w:lang w:val="en-US" w:eastAsia="en-US"/>
        </w:rPr>
        <w:t>.,</w:t>
      </w:r>
      <w:r w:rsidRPr="008B3EE4">
        <w:t xml:space="preserve"> </w:t>
      </w:r>
      <w:proofErr w:type="spellStart"/>
      <w:r w:rsidRPr="000D52F7">
        <w:rPr>
          <w:rFonts w:eastAsia="Calibri"/>
          <w:lang w:val="en-US" w:eastAsia="en-US"/>
        </w:rPr>
        <w:t>Jankowiak</w:t>
      </w:r>
      <w:proofErr w:type="spellEnd"/>
      <w:r w:rsidRPr="008B3EE4">
        <w:rPr>
          <w:rFonts w:eastAsia="Calibri"/>
          <w:lang w:val="en-US" w:eastAsia="en-US"/>
        </w:rPr>
        <w:t>. N.,</w:t>
      </w:r>
      <w:r w:rsidRPr="000D52F7">
        <w:rPr>
          <w:rFonts w:eastAsia="Calibri"/>
          <w:lang w:val="en-US" w:eastAsia="en-US"/>
        </w:rPr>
        <w:t xml:space="preserve"> </w:t>
      </w:r>
      <w:proofErr w:type="spellStart"/>
      <w:r w:rsidRPr="000D52F7">
        <w:rPr>
          <w:rFonts w:eastAsia="Calibri"/>
          <w:lang w:val="en-US" w:eastAsia="en-US"/>
        </w:rPr>
        <w:t>Nederkoorn</w:t>
      </w:r>
      <w:proofErr w:type="spellEnd"/>
      <w:r w:rsidRPr="008B3EE4">
        <w:rPr>
          <w:rFonts w:eastAsia="Calibri"/>
          <w:lang w:val="en-US" w:eastAsia="en-US"/>
        </w:rPr>
        <w:t xml:space="preserve">, C., </w:t>
      </w:r>
      <w:r w:rsidRPr="000D52F7">
        <w:rPr>
          <w:rFonts w:eastAsia="Calibri"/>
          <w:lang w:val="en-US" w:eastAsia="en-US"/>
        </w:rPr>
        <w:t>Raynor</w:t>
      </w:r>
      <w:r w:rsidRPr="008B3EE4">
        <w:rPr>
          <w:rFonts w:eastAsia="Calibri"/>
          <w:lang w:val="en-US" w:eastAsia="en-US"/>
        </w:rPr>
        <w:t>, H.A.,</w:t>
      </w:r>
      <w:r w:rsidRPr="000D52F7">
        <w:rPr>
          <w:rFonts w:eastAsia="Calibri"/>
          <w:lang w:val="en-US" w:eastAsia="en-US"/>
        </w:rPr>
        <w:t xml:space="preserve"> French</w:t>
      </w:r>
      <w:r w:rsidRPr="008B3EE4">
        <w:rPr>
          <w:rFonts w:eastAsia="Calibri"/>
          <w:lang w:val="en-US" w:eastAsia="en-US"/>
        </w:rPr>
        <w:t>, S.A.,</w:t>
      </w:r>
      <w:r w:rsidRPr="000D52F7">
        <w:rPr>
          <w:rFonts w:eastAsia="Calibri"/>
          <w:lang w:val="en-US" w:eastAsia="en-US"/>
        </w:rPr>
        <w:t xml:space="preserve"> Finkelstein</w:t>
      </w:r>
      <w:r w:rsidRPr="008B3EE4">
        <w:rPr>
          <w:rFonts w:eastAsia="Calibri"/>
          <w:lang w:val="en-US" w:eastAsia="en-US"/>
        </w:rPr>
        <w:t>, E</w:t>
      </w:r>
      <w:r w:rsidRPr="000D52F7">
        <w:rPr>
          <w:rFonts w:eastAsia="Calibri"/>
          <w:lang w:val="en-US" w:eastAsia="en-US"/>
        </w:rPr>
        <w:t>.</w:t>
      </w:r>
      <w:r w:rsidRPr="008B3EE4">
        <w:rPr>
          <w:rFonts w:eastAsia="Calibri"/>
          <w:lang w:val="en-US" w:eastAsia="en-US"/>
        </w:rPr>
        <w:t>,</w:t>
      </w:r>
      <w:r w:rsidRPr="000D52F7">
        <w:rPr>
          <w:rFonts w:eastAsia="Calibri"/>
          <w:lang w:val="en-US" w:eastAsia="en-US"/>
        </w:rPr>
        <w:t xml:space="preserve"> </w:t>
      </w:r>
      <w:r w:rsidRPr="008B3EE4">
        <w:t>2012. Experimental research on the relation between food price changes and food-purchasing patterns: a targeted review. American Journal of Clinical Nutrition. 95, 789-809</w:t>
      </w:r>
    </w:p>
    <w:p w14:paraId="685ABCEC" w14:textId="0BA0CEEA"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Eyles, H</w:t>
      </w:r>
      <w:r w:rsidRPr="008B3EE4">
        <w:rPr>
          <w:rFonts w:eastAsia="Calibri"/>
          <w:noProof/>
          <w:lang w:val="en-US" w:eastAsia="en-US"/>
        </w:rPr>
        <w:t>.,</w:t>
      </w:r>
      <w:r w:rsidRPr="000D52F7">
        <w:rPr>
          <w:rFonts w:eastAsia="Calibri"/>
          <w:noProof/>
          <w:lang w:val="en-US" w:eastAsia="en-US"/>
        </w:rPr>
        <w:t xml:space="preserve"> Mhurchu</w:t>
      </w:r>
      <w:r w:rsidRPr="008B3EE4">
        <w:rPr>
          <w:rFonts w:eastAsia="Calibri"/>
          <w:noProof/>
          <w:lang w:val="en-US" w:eastAsia="en-US"/>
        </w:rPr>
        <w:t>, C.N.,</w:t>
      </w:r>
      <w:r w:rsidRPr="000D52F7">
        <w:rPr>
          <w:rFonts w:eastAsia="Calibri"/>
          <w:noProof/>
          <w:lang w:val="en-US" w:eastAsia="en-US"/>
        </w:rPr>
        <w:t xml:space="preserve"> Nghiem</w:t>
      </w:r>
      <w:r w:rsidRPr="008B3EE4">
        <w:rPr>
          <w:rFonts w:eastAsia="Calibri"/>
          <w:noProof/>
          <w:lang w:val="en-US" w:eastAsia="en-US"/>
        </w:rPr>
        <w:t>, N.,</w:t>
      </w:r>
      <w:r w:rsidRPr="000D52F7">
        <w:rPr>
          <w:rFonts w:eastAsia="Calibri"/>
          <w:noProof/>
          <w:lang w:val="en-US" w:eastAsia="en-US"/>
        </w:rPr>
        <w:t xml:space="preserve"> Blakely</w:t>
      </w:r>
      <w:r w:rsidRPr="008B3EE4">
        <w:rPr>
          <w:rFonts w:eastAsia="Calibri"/>
          <w:noProof/>
          <w:lang w:val="en-US" w:eastAsia="en-US"/>
        </w:rPr>
        <w:t>, T</w:t>
      </w:r>
      <w:r w:rsidRPr="000D52F7">
        <w:rPr>
          <w:rFonts w:eastAsia="Calibri"/>
          <w:noProof/>
          <w:lang w:val="en-US" w:eastAsia="en-US"/>
        </w:rPr>
        <w:t>.</w:t>
      </w:r>
      <w:r w:rsidRPr="008B3EE4">
        <w:rPr>
          <w:rFonts w:eastAsia="Calibri"/>
          <w:noProof/>
          <w:lang w:val="en-US" w:eastAsia="en-US"/>
        </w:rPr>
        <w:t>,</w:t>
      </w:r>
      <w:r w:rsidRPr="000D52F7">
        <w:rPr>
          <w:rFonts w:eastAsia="Calibri"/>
          <w:noProof/>
          <w:lang w:val="en-US" w:eastAsia="en-US"/>
        </w:rPr>
        <w:t xml:space="preserve"> </w:t>
      </w:r>
      <w:r w:rsidRPr="008B3EE4">
        <w:rPr>
          <w:rFonts w:eastAsia="Calibri"/>
          <w:noProof/>
          <w:lang w:val="en-US" w:eastAsia="en-US"/>
        </w:rPr>
        <w:t>2012. Food Pricing Strategies, Population Diets, and Non-Communicable Disease: A Systematic Review of Simulation Studies.</w:t>
      </w:r>
      <w:r w:rsidRPr="008B3EE4">
        <w:t xml:space="preserve"> </w:t>
      </w:r>
      <w:r w:rsidRPr="008B3EE4">
        <w:rPr>
          <w:rFonts w:eastAsia="Calibri"/>
          <w:noProof/>
          <w:lang w:val="en-US" w:eastAsia="en-US"/>
        </w:rPr>
        <w:t>PL</w:t>
      </w:r>
      <w:r w:rsidR="00AB01D2">
        <w:rPr>
          <w:rFonts w:eastAsia="Calibri"/>
          <w:noProof/>
          <w:lang w:val="en-US" w:eastAsia="en-US"/>
        </w:rPr>
        <w:t>O</w:t>
      </w:r>
      <w:r w:rsidRPr="008B3EE4">
        <w:rPr>
          <w:rFonts w:eastAsia="Calibri"/>
          <w:noProof/>
          <w:lang w:val="en-US" w:eastAsia="en-US"/>
        </w:rPr>
        <w:t>S Medicine. 9(12), e1001353.</w:t>
      </w:r>
    </w:p>
    <w:p w14:paraId="2B024244" w14:textId="1AD84771" w:rsidR="00630B92" w:rsidRDefault="00630B92" w:rsidP="00871858">
      <w:pPr>
        <w:spacing w:after="0"/>
        <w:ind w:hanging="567"/>
        <w:rPr>
          <w:rFonts w:eastAsia="Calibri"/>
          <w:noProof/>
          <w:lang w:val="en-US" w:eastAsia="en-US"/>
        </w:rPr>
      </w:pPr>
      <w:r w:rsidRPr="00630B92">
        <w:rPr>
          <w:rFonts w:eastAsia="Calibri"/>
          <w:noProof/>
          <w:lang w:val="en-US" w:eastAsia="en-US"/>
        </w:rPr>
        <w:lastRenderedPageBreak/>
        <w:t>Fafchamps, M.</w:t>
      </w:r>
      <w:r>
        <w:rPr>
          <w:rFonts w:eastAsia="Calibri"/>
          <w:noProof/>
          <w:lang w:val="en-US" w:eastAsia="en-US"/>
        </w:rPr>
        <w:t xml:space="preserve">, Kebede, B., </w:t>
      </w:r>
      <w:r w:rsidRPr="00630B92">
        <w:rPr>
          <w:rFonts w:eastAsia="Calibri"/>
          <w:noProof/>
          <w:lang w:val="en-US" w:eastAsia="en-US"/>
        </w:rPr>
        <w:t xml:space="preserve">Zizzo, </w:t>
      </w:r>
      <w:r>
        <w:rPr>
          <w:rFonts w:eastAsia="Calibri"/>
          <w:noProof/>
          <w:lang w:val="en-US" w:eastAsia="en-US"/>
        </w:rPr>
        <w:t>D.J., 2015. Keep up with the winners: Experimental e</w:t>
      </w:r>
      <w:r w:rsidRPr="00630B92">
        <w:rPr>
          <w:rFonts w:eastAsia="Calibri"/>
          <w:noProof/>
          <w:lang w:val="en-US" w:eastAsia="en-US"/>
        </w:rPr>
        <w:t>videnc</w:t>
      </w:r>
      <w:r>
        <w:rPr>
          <w:rFonts w:eastAsia="Calibri"/>
          <w:noProof/>
          <w:lang w:val="en-US" w:eastAsia="en-US"/>
        </w:rPr>
        <w:t>e on risk taking, asset integration, and peer effects.</w:t>
      </w:r>
      <w:r w:rsidRPr="00630B92">
        <w:rPr>
          <w:rFonts w:eastAsia="Calibri"/>
          <w:noProof/>
          <w:lang w:val="en-US" w:eastAsia="en-US"/>
        </w:rPr>
        <w:t xml:space="preserve"> European Eco</w:t>
      </w:r>
      <w:r w:rsidR="007133E0">
        <w:rPr>
          <w:rFonts w:eastAsia="Calibri"/>
          <w:noProof/>
          <w:lang w:val="en-US" w:eastAsia="en-US"/>
        </w:rPr>
        <w:t>nomic Review.</w:t>
      </w:r>
      <w:r>
        <w:rPr>
          <w:rFonts w:eastAsia="Calibri"/>
          <w:noProof/>
          <w:lang w:val="en-US" w:eastAsia="en-US"/>
        </w:rPr>
        <w:t xml:space="preserve"> 79, </w:t>
      </w:r>
      <w:r w:rsidRPr="00630B92">
        <w:rPr>
          <w:rFonts w:eastAsia="Calibri"/>
          <w:noProof/>
          <w:lang w:val="en-US" w:eastAsia="en-US"/>
        </w:rPr>
        <w:t xml:space="preserve">59-79. </w:t>
      </w:r>
    </w:p>
    <w:p w14:paraId="7C0E9661" w14:textId="35F59FDA" w:rsidR="00F27058" w:rsidRPr="008B3EE4" w:rsidRDefault="00F27058" w:rsidP="00871858">
      <w:pPr>
        <w:spacing w:after="0"/>
        <w:ind w:hanging="567"/>
        <w:rPr>
          <w:rFonts w:eastAsia="Calibri"/>
          <w:noProof/>
          <w:lang w:val="en-US" w:eastAsia="en-US"/>
        </w:rPr>
      </w:pPr>
      <w:r w:rsidRPr="008B3EE4">
        <w:rPr>
          <w:rFonts w:eastAsia="Calibri"/>
          <w:noProof/>
          <w:lang w:val="en-US" w:eastAsia="en-US"/>
        </w:rPr>
        <w:t xml:space="preserve">Falbe, J., Thompson, H.R., Becker, C.M., Rojas, N., McCulloch, C.E., Madsen, K.A., 2016. Impact of the Berkeley excise tax on sugar-sweetened beverage consumption. American Journal of Public Health. 106(10), 1865-1871. </w:t>
      </w:r>
    </w:p>
    <w:p w14:paraId="56ABEF9D" w14:textId="77777777" w:rsidR="00F27058" w:rsidRPr="008B3EE4" w:rsidRDefault="00F27058" w:rsidP="00871858">
      <w:pPr>
        <w:spacing w:after="0"/>
        <w:ind w:hanging="567"/>
        <w:rPr>
          <w:rFonts w:eastAsia="Calibri"/>
          <w:noProof/>
          <w:lang w:val="en-US" w:eastAsia="en-US"/>
        </w:rPr>
      </w:pPr>
      <w:r w:rsidRPr="008B3EE4">
        <w:rPr>
          <w:rFonts w:eastAsia="Calibri"/>
          <w:noProof/>
          <w:lang w:val="en-US" w:eastAsia="en-US"/>
        </w:rPr>
        <w:t xml:space="preserve">Feldman, N., Ruffle, B., 2015. The impact of including, adding, and subtracting a tax on demand. American Economic Journal: Economic Policy 7 (1), 95–118. </w:t>
      </w:r>
    </w:p>
    <w:p w14:paraId="1D1434ED" w14:textId="77777777"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Février, P</w:t>
      </w:r>
      <w:r w:rsidRPr="008B3EE4">
        <w:rPr>
          <w:rFonts w:eastAsia="Calibri"/>
          <w:noProof/>
          <w:lang w:val="en-US" w:eastAsia="en-US"/>
        </w:rPr>
        <w:t xml:space="preserve">., </w:t>
      </w:r>
      <w:r w:rsidRPr="000D52F7">
        <w:rPr>
          <w:rFonts w:eastAsia="Calibri"/>
          <w:noProof/>
          <w:lang w:val="en-US" w:eastAsia="en-US"/>
        </w:rPr>
        <w:t>Visser</w:t>
      </w:r>
      <w:r w:rsidRPr="008B3EE4">
        <w:rPr>
          <w:rFonts w:eastAsia="Calibri"/>
          <w:noProof/>
          <w:lang w:val="en-US" w:eastAsia="en-US"/>
        </w:rPr>
        <w:t>, M</w:t>
      </w:r>
      <w:r w:rsidRPr="000D52F7">
        <w:rPr>
          <w:rFonts w:eastAsia="Calibri"/>
          <w:noProof/>
          <w:lang w:val="en-US" w:eastAsia="en-US"/>
        </w:rPr>
        <w:t>.</w:t>
      </w:r>
      <w:r w:rsidRPr="008B3EE4">
        <w:rPr>
          <w:rFonts w:eastAsia="Calibri"/>
          <w:noProof/>
          <w:lang w:val="en-US" w:eastAsia="en-US"/>
        </w:rPr>
        <w:t>, 2004. A Study of Consumer Behavior Using Laboratory Data. Experimental Economics. 7(1), 93-114.</w:t>
      </w:r>
    </w:p>
    <w:p w14:paraId="2B3F283D" w14:textId="5C774A67" w:rsidR="00F27058" w:rsidRPr="000D52F7" w:rsidRDefault="00F27058" w:rsidP="00871858">
      <w:pPr>
        <w:pStyle w:val="Heading3"/>
        <w:spacing w:before="0" w:beforeAutospacing="0" w:after="0" w:afterAutospacing="0"/>
        <w:ind w:hanging="567"/>
        <w:rPr>
          <w:b w:val="0"/>
          <w:sz w:val="24"/>
          <w:szCs w:val="24"/>
        </w:rPr>
      </w:pPr>
      <w:proofErr w:type="spellStart"/>
      <w:r w:rsidRPr="000D52F7">
        <w:rPr>
          <w:b w:val="0"/>
          <w:sz w:val="24"/>
          <w:szCs w:val="24"/>
        </w:rPr>
        <w:t>Fitt</w:t>
      </w:r>
      <w:proofErr w:type="spellEnd"/>
      <w:r w:rsidRPr="000D52F7">
        <w:rPr>
          <w:b w:val="0"/>
          <w:sz w:val="24"/>
          <w:szCs w:val="24"/>
        </w:rPr>
        <w:t>,</w:t>
      </w:r>
      <w:r w:rsidRPr="008B3EE4">
        <w:rPr>
          <w:b w:val="0"/>
          <w:sz w:val="24"/>
          <w:szCs w:val="24"/>
        </w:rPr>
        <w:t xml:space="preserve"> </w:t>
      </w:r>
      <w:r w:rsidRPr="000D52F7">
        <w:rPr>
          <w:b w:val="0"/>
          <w:sz w:val="24"/>
          <w:szCs w:val="24"/>
        </w:rPr>
        <w:t>E</w:t>
      </w:r>
      <w:r w:rsidRPr="008B3EE4">
        <w:rPr>
          <w:b w:val="0"/>
          <w:sz w:val="24"/>
          <w:szCs w:val="24"/>
        </w:rPr>
        <w:t>.,</w:t>
      </w:r>
      <w:r w:rsidRPr="000D52F7">
        <w:rPr>
          <w:b w:val="0"/>
          <w:sz w:val="24"/>
          <w:szCs w:val="24"/>
        </w:rPr>
        <w:t xml:space="preserve"> Cole</w:t>
      </w:r>
      <w:r w:rsidRPr="008B3EE4">
        <w:rPr>
          <w:b w:val="0"/>
          <w:sz w:val="24"/>
          <w:szCs w:val="24"/>
        </w:rPr>
        <w:t>, D.,</w:t>
      </w:r>
      <w:r w:rsidRPr="000D52F7">
        <w:rPr>
          <w:b w:val="0"/>
          <w:sz w:val="24"/>
          <w:szCs w:val="24"/>
        </w:rPr>
        <w:t xml:space="preserve"> </w:t>
      </w:r>
      <w:proofErr w:type="spellStart"/>
      <w:r w:rsidRPr="000D52F7">
        <w:rPr>
          <w:b w:val="0"/>
          <w:sz w:val="24"/>
          <w:szCs w:val="24"/>
        </w:rPr>
        <w:t>Ziauddeen</w:t>
      </w:r>
      <w:proofErr w:type="spellEnd"/>
      <w:r w:rsidRPr="008B3EE4">
        <w:rPr>
          <w:b w:val="0"/>
          <w:sz w:val="24"/>
          <w:szCs w:val="24"/>
        </w:rPr>
        <w:t>, N.,</w:t>
      </w:r>
      <w:r w:rsidRPr="000D52F7">
        <w:rPr>
          <w:b w:val="0"/>
          <w:sz w:val="24"/>
          <w:szCs w:val="24"/>
        </w:rPr>
        <w:t> Pell</w:t>
      </w:r>
      <w:r w:rsidRPr="008B3EE4">
        <w:rPr>
          <w:b w:val="0"/>
          <w:sz w:val="24"/>
          <w:szCs w:val="24"/>
        </w:rPr>
        <w:t>, D.,</w:t>
      </w:r>
      <w:r w:rsidRPr="000D52F7">
        <w:rPr>
          <w:b w:val="0"/>
          <w:sz w:val="24"/>
          <w:szCs w:val="24"/>
        </w:rPr>
        <w:t xml:space="preserve"> Stickley</w:t>
      </w:r>
      <w:r w:rsidRPr="008B3EE4">
        <w:rPr>
          <w:b w:val="0"/>
          <w:sz w:val="24"/>
          <w:szCs w:val="24"/>
        </w:rPr>
        <w:t>, E.,</w:t>
      </w:r>
      <w:r w:rsidRPr="000D52F7">
        <w:rPr>
          <w:b w:val="0"/>
          <w:sz w:val="24"/>
          <w:szCs w:val="24"/>
        </w:rPr>
        <w:t xml:space="preserve"> Harvey</w:t>
      </w:r>
      <w:r w:rsidRPr="008B3EE4">
        <w:rPr>
          <w:b w:val="0"/>
          <w:sz w:val="24"/>
          <w:szCs w:val="24"/>
        </w:rPr>
        <w:t>, A.,</w:t>
      </w:r>
      <w:r w:rsidRPr="008B3EE4">
        <w:rPr>
          <w:b w:val="0"/>
          <w:sz w:val="24"/>
          <w:szCs w:val="24"/>
          <w:vertAlign w:val="superscript"/>
        </w:rPr>
        <w:t xml:space="preserve"> </w:t>
      </w:r>
      <w:r w:rsidRPr="000D52F7">
        <w:rPr>
          <w:b w:val="0"/>
          <w:sz w:val="24"/>
          <w:szCs w:val="24"/>
        </w:rPr>
        <w:t>Stephen</w:t>
      </w:r>
      <w:r w:rsidRPr="008B3EE4">
        <w:rPr>
          <w:b w:val="0"/>
          <w:sz w:val="24"/>
          <w:szCs w:val="24"/>
        </w:rPr>
        <w:t>, A.M</w:t>
      </w:r>
      <w:r w:rsidRPr="000D52F7">
        <w:rPr>
          <w:b w:val="0"/>
          <w:sz w:val="24"/>
          <w:szCs w:val="24"/>
        </w:rPr>
        <w:t>.</w:t>
      </w:r>
      <w:r w:rsidRPr="008B3EE4">
        <w:rPr>
          <w:b w:val="0"/>
          <w:sz w:val="24"/>
          <w:szCs w:val="24"/>
        </w:rPr>
        <w:t>,</w:t>
      </w:r>
      <w:r w:rsidRPr="000D52F7">
        <w:rPr>
          <w:b w:val="0"/>
          <w:sz w:val="24"/>
          <w:szCs w:val="24"/>
        </w:rPr>
        <w:t xml:space="preserve"> </w:t>
      </w:r>
      <w:r w:rsidRPr="008B3EE4">
        <w:rPr>
          <w:b w:val="0"/>
          <w:sz w:val="24"/>
          <w:szCs w:val="24"/>
        </w:rPr>
        <w:t xml:space="preserve">2015. DINO (Diet </w:t>
      </w:r>
      <w:proofErr w:type="gramStart"/>
      <w:r w:rsidRPr="008B3EE4">
        <w:rPr>
          <w:b w:val="0"/>
          <w:sz w:val="24"/>
          <w:szCs w:val="24"/>
        </w:rPr>
        <w:t>In</w:t>
      </w:r>
      <w:proofErr w:type="gramEnd"/>
      <w:r w:rsidRPr="008B3EE4">
        <w:rPr>
          <w:b w:val="0"/>
          <w:sz w:val="24"/>
          <w:szCs w:val="24"/>
        </w:rPr>
        <w:t xml:space="preserve"> Nutrients Out) - an integrated dietary assessment system.</w:t>
      </w:r>
      <w:r w:rsidRPr="008B3EE4">
        <w:rPr>
          <w:rFonts w:eastAsia="Calibri"/>
          <w:b w:val="0"/>
          <w:noProof/>
          <w:sz w:val="24"/>
          <w:szCs w:val="24"/>
          <w:lang w:val="en-US" w:eastAsia="en-US"/>
        </w:rPr>
        <w:t xml:space="preserve"> </w:t>
      </w:r>
      <w:r w:rsidRPr="008B3EE4">
        <w:rPr>
          <w:b w:val="0"/>
          <w:sz w:val="24"/>
          <w:szCs w:val="24"/>
        </w:rPr>
        <w:t xml:space="preserve"> Public Health Nutrition. </w:t>
      </w:r>
      <w:r w:rsidRPr="008B3EE4">
        <w:rPr>
          <w:rFonts w:eastAsiaTheme="minorEastAsia"/>
          <w:b w:val="0"/>
          <w:sz w:val="24"/>
          <w:szCs w:val="24"/>
          <w:lang w:eastAsia="ja-JP"/>
        </w:rPr>
        <w:t xml:space="preserve">18, </w:t>
      </w:r>
      <w:r w:rsidRPr="000D52F7">
        <w:rPr>
          <w:rFonts w:eastAsiaTheme="minorEastAsia"/>
          <w:b w:val="0"/>
          <w:sz w:val="24"/>
          <w:szCs w:val="24"/>
          <w:lang w:eastAsia="ja-JP"/>
        </w:rPr>
        <w:t>234-241</w:t>
      </w:r>
      <w:r w:rsidRPr="008B3EE4">
        <w:rPr>
          <w:b w:val="0"/>
          <w:sz w:val="24"/>
          <w:szCs w:val="24"/>
        </w:rPr>
        <w:t>.</w:t>
      </w:r>
    </w:p>
    <w:p w14:paraId="30F77238" w14:textId="77777777"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Forwood, S</w:t>
      </w:r>
      <w:r w:rsidRPr="008B3EE4">
        <w:rPr>
          <w:rFonts w:eastAsia="Calibri"/>
          <w:noProof/>
          <w:lang w:val="en-US" w:eastAsia="en-US"/>
        </w:rPr>
        <w:t>.</w:t>
      </w:r>
      <w:r w:rsidRPr="000D52F7">
        <w:rPr>
          <w:rFonts w:eastAsia="Calibri"/>
          <w:noProof/>
          <w:lang w:val="en-US" w:eastAsia="en-US"/>
        </w:rPr>
        <w:t>E</w:t>
      </w:r>
      <w:r w:rsidRPr="008B3EE4">
        <w:rPr>
          <w:rFonts w:eastAsia="Calibri"/>
          <w:noProof/>
          <w:lang w:val="en-US" w:eastAsia="en-US"/>
        </w:rPr>
        <w:t>.,</w:t>
      </w:r>
      <w:r w:rsidRPr="000D52F7">
        <w:rPr>
          <w:rFonts w:eastAsia="Calibri"/>
          <w:noProof/>
          <w:lang w:val="en-US" w:eastAsia="en-US"/>
        </w:rPr>
        <w:t xml:space="preserve"> Ahern</w:t>
      </w:r>
      <w:r w:rsidRPr="008B3EE4">
        <w:rPr>
          <w:rFonts w:eastAsia="Calibri"/>
          <w:noProof/>
          <w:lang w:val="en-US" w:eastAsia="en-US"/>
        </w:rPr>
        <w:t>, A.L.,</w:t>
      </w:r>
      <w:r w:rsidRPr="000D52F7">
        <w:rPr>
          <w:rFonts w:eastAsia="Calibri"/>
          <w:noProof/>
          <w:lang w:val="en-US" w:eastAsia="en-US"/>
        </w:rPr>
        <w:t xml:space="preserve"> Marteau</w:t>
      </w:r>
      <w:r w:rsidRPr="008B3EE4">
        <w:rPr>
          <w:rFonts w:eastAsia="Calibri"/>
          <w:noProof/>
          <w:lang w:val="en-US" w:eastAsia="en-US"/>
        </w:rPr>
        <w:t xml:space="preserve">, T.M., </w:t>
      </w:r>
      <w:r w:rsidRPr="000D52F7">
        <w:rPr>
          <w:rFonts w:eastAsia="Calibri"/>
          <w:noProof/>
          <w:lang w:val="en-US" w:eastAsia="en-US"/>
        </w:rPr>
        <w:t>Jebb</w:t>
      </w:r>
      <w:r w:rsidRPr="008B3EE4">
        <w:rPr>
          <w:rFonts w:eastAsia="Calibri"/>
          <w:noProof/>
          <w:lang w:val="en-US" w:eastAsia="en-US"/>
        </w:rPr>
        <w:t>, S.A., 2015. Offering within-Category Food Swaps to Reduce Energy Density of Food Purchases: A Study Using an Experimental Online Supermarket. International Journal of Behavioral Nutrition and Physical Activity. 12, 85.</w:t>
      </w:r>
    </w:p>
    <w:p w14:paraId="1FE5A1D1" w14:textId="77777777"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Giesen,</w:t>
      </w:r>
      <w:r w:rsidRPr="008B3EE4">
        <w:rPr>
          <w:rFonts w:eastAsia="Calibri"/>
          <w:noProof/>
          <w:lang w:val="en-US" w:eastAsia="en-US"/>
        </w:rPr>
        <w:t xml:space="preserve"> J.</w:t>
      </w:r>
      <w:r w:rsidRPr="000D52F7">
        <w:rPr>
          <w:rFonts w:eastAsia="Calibri"/>
          <w:noProof/>
          <w:lang w:val="en-US" w:eastAsia="en-US"/>
        </w:rPr>
        <w:t>C</w:t>
      </w:r>
      <w:r w:rsidRPr="008B3EE4">
        <w:rPr>
          <w:rFonts w:eastAsia="Calibri"/>
          <w:noProof/>
          <w:lang w:val="en-US" w:eastAsia="en-US"/>
        </w:rPr>
        <w:t>.,</w:t>
      </w:r>
      <w:r w:rsidRPr="000D52F7">
        <w:rPr>
          <w:rFonts w:eastAsia="Calibri"/>
          <w:noProof/>
          <w:lang w:val="en-US" w:eastAsia="en-US"/>
        </w:rPr>
        <w:t xml:space="preserve"> Payne</w:t>
      </w:r>
      <w:r w:rsidRPr="008B3EE4">
        <w:rPr>
          <w:rFonts w:eastAsia="Calibri"/>
          <w:noProof/>
          <w:lang w:val="en-US" w:eastAsia="en-US"/>
        </w:rPr>
        <w:t>, C.R.,</w:t>
      </w:r>
      <w:r w:rsidRPr="000D52F7">
        <w:rPr>
          <w:rFonts w:eastAsia="Calibri"/>
          <w:noProof/>
          <w:lang w:val="en-US" w:eastAsia="en-US"/>
        </w:rPr>
        <w:t xml:space="preserve"> Havermans</w:t>
      </w:r>
      <w:r w:rsidRPr="008B3EE4">
        <w:rPr>
          <w:rFonts w:eastAsia="Calibri"/>
          <w:noProof/>
          <w:lang w:val="en-US" w:eastAsia="en-US"/>
        </w:rPr>
        <w:t>, R.C.,</w:t>
      </w:r>
      <w:r w:rsidRPr="000D52F7">
        <w:rPr>
          <w:rFonts w:eastAsia="Calibri"/>
          <w:noProof/>
          <w:lang w:val="en-US" w:eastAsia="en-US"/>
        </w:rPr>
        <w:t xml:space="preserve"> Jansen.</w:t>
      </w:r>
      <w:r w:rsidRPr="008B3EE4">
        <w:rPr>
          <w:rFonts w:eastAsia="Calibri"/>
          <w:noProof/>
          <w:lang w:val="en-US" w:eastAsia="en-US"/>
        </w:rPr>
        <w:t>A., 2011. Exploring How Calorie Information and Taxes on High-Calorie Foods Influence Lunch Decisions. American Journal of Clinical Nutrition. 93(4), 689-694.</w:t>
      </w:r>
    </w:p>
    <w:p w14:paraId="477D8FBD" w14:textId="5F0F65AD" w:rsidR="00F27058" w:rsidRDefault="00F27058" w:rsidP="00871858">
      <w:pPr>
        <w:spacing w:after="0"/>
        <w:ind w:hanging="567"/>
        <w:rPr>
          <w:rFonts w:eastAsia="Calibri"/>
          <w:noProof/>
          <w:lang w:val="en-US" w:eastAsia="en-US"/>
        </w:rPr>
      </w:pPr>
      <w:r w:rsidRPr="000D52F7">
        <w:rPr>
          <w:rFonts w:eastAsia="Calibri"/>
          <w:noProof/>
          <w:lang w:val="en-US" w:eastAsia="en-US"/>
        </w:rPr>
        <w:t>Goldin, J</w:t>
      </w:r>
      <w:r w:rsidRPr="008B3EE4">
        <w:rPr>
          <w:rFonts w:eastAsia="Calibri"/>
          <w:noProof/>
          <w:lang w:val="en-US" w:eastAsia="en-US"/>
        </w:rPr>
        <w:t xml:space="preserve">., </w:t>
      </w:r>
      <w:r w:rsidRPr="000D52F7">
        <w:rPr>
          <w:rFonts w:eastAsia="Calibri"/>
          <w:noProof/>
          <w:lang w:val="en-US" w:eastAsia="en-US"/>
        </w:rPr>
        <w:t>Homonoff</w:t>
      </w:r>
      <w:r w:rsidRPr="008B3EE4">
        <w:rPr>
          <w:rFonts w:eastAsia="Calibri"/>
          <w:noProof/>
          <w:lang w:val="en-US" w:eastAsia="en-US"/>
        </w:rPr>
        <w:t>, T</w:t>
      </w:r>
      <w:r w:rsidRPr="000D52F7">
        <w:rPr>
          <w:rFonts w:eastAsia="Calibri"/>
          <w:noProof/>
          <w:lang w:val="en-US" w:eastAsia="en-US"/>
        </w:rPr>
        <w:t>.</w:t>
      </w:r>
      <w:r w:rsidRPr="008B3EE4">
        <w:rPr>
          <w:rFonts w:eastAsia="Calibri"/>
          <w:noProof/>
          <w:lang w:val="en-US" w:eastAsia="en-US"/>
        </w:rPr>
        <w:t>, 2013. Smoke Gets in Your Eyes: Cigarette Tax Salience and Regressivity. American Economic Journal: Economic Policy 5(1), 302-336.</w:t>
      </w:r>
    </w:p>
    <w:p w14:paraId="6CBC9428" w14:textId="5BBFE31E" w:rsidR="00767401" w:rsidRDefault="00767401" w:rsidP="00871858">
      <w:pPr>
        <w:spacing w:after="0"/>
        <w:ind w:hanging="567"/>
        <w:rPr>
          <w:rFonts w:eastAsia="Calibri"/>
          <w:noProof/>
          <w:lang w:val="en-US" w:eastAsia="en-US"/>
        </w:rPr>
      </w:pPr>
      <w:r>
        <w:rPr>
          <w:rFonts w:eastAsia="Calibri"/>
          <w:noProof/>
          <w:lang w:val="en-US" w:eastAsia="en-US"/>
        </w:rPr>
        <w:t>Green, R., Cornelsen, L., Dangour, A.D., Turner, R., Shankar, B., Mazzocchi, M., Smith, R.D., 2013. The effect of rising food prices on food consumption: systematic review with mata-regression. British Medical Journal. 346:f3703.</w:t>
      </w:r>
    </w:p>
    <w:p w14:paraId="003B1158" w14:textId="5FCFC3F4" w:rsidR="00C252A4" w:rsidRPr="008B3EE4" w:rsidRDefault="00C252A4" w:rsidP="00871858">
      <w:pPr>
        <w:spacing w:after="0"/>
        <w:ind w:hanging="567"/>
        <w:rPr>
          <w:rFonts w:eastAsia="Calibri"/>
          <w:noProof/>
          <w:lang w:val="en-US" w:eastAsia="en-US"/>
        </w:rPr>
      </w:pPr>
      <w:r w:rsidRPr="00C252A4">
        <w:rPr>
          <w:rFonts w:eastAsia="Calibri"/>
          <w:noProof/>
          <w:lang w:val="en-US" w:eastAsia="en-US"/>
        </w:rPr>
        <w:t>Griffith, R., O’Connell, M. and Smith, K., 201</w:t>
      </w:r>
      <w:r w:rsidR="00293666">
        <w:rPr>
          <w:rFonts w:eastAsia="Calibri"/>
          <w:noProof/>
          <w:lang w:val="en-US" w:eastAsia="en-US"/>
        </w:rPr>
        <w:t>8</w:t>
      </w:r>
      <w:r w:rsidRPr="00C252A4">
        <w:rPr>
          <w:rFonts w:eastAsia="Calibri"/>
          <w:noProof/>
          <w:lang w:val="en-US" w:eastAsia="en-US"/>
        </w:rPr>
        <w:t>. Corrective Taxation and Internalities from Food Consumption. CESifo Economic Studies, 64(1),1-14.</w:t>
      </w:r>
    </w:p>
    <w:p w14:paraId="37002412" w14:textId="77777777"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Grogger, J.</w:t>
      </w:r>
      <w:r w:rsidRPr="008B3EE4">
        <w:rPr>
          <w:rFonts w:eastAsia="Calibri"/>
          <w:noProof/>
          <w:lang w:val="en-US" w:eastAsia="en-US"/>
        </w:rPr>
        <w:t>, 2017. Soda Taxes and the Prices of Sodas and Other Drinks: Evidence from Mexico. American Journal of Agricultural Economics 99 (2), 481-498.</w:t>
      </w:r>
    </w:p>
    <w:p w14:paraId="1B749B49" w14:textId="77777777" w:rsidR="00F27058" w:rsidRPr="008B3EE4" w:rsidRDefault="00F27058" w:rsidP="00871858">
      <w:pPr>
        <w:spacing w:after="0"/>
        <w:ind w:hanging="567"/>
        <w:rPr>
          <w:rFonts w:eastAsia="Calibri"/>
          <w:noProof/>
          <w:lang w:val="en-US" w:eastAsia="en-US"/>
        </w:rPr>
      </w:pPr>
      <w:r w:rsidRPr="008B3EE4">
        <w:rPr>
          <w:rFonts w:eastAsia="Calibri"/>
          <w:noProof/>
          <w:lang w:val="en-US" w:eastAsia="en-US"/>
        </w:rPr>
        <w:lastRenderedPageBreak/>
        <w:t>Guthrie, J., Mancino, L., Lin, C.T., 2015. Nudging consumers towards better food choices: Policy approaches to changing food consumption behaviors. Psychology and Marketing. 32(5), 501–511.</w:t>
      </w:r>
    </w:p>
    <w:p w14:paraId="637603B4" w14:textId="33BA8480"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Harrison, G</w:t>
      </w:r>
      <w:r w:rsidRPr="008B3EE4">
        <w:rPr>
          <w:rFonts w:eastAsia="Calibri"/>
          <w:noProof/>
          <w:lang w:val="en-US" w:eastAsia="en-US"/>
        </w:rPr>
        <w:t>.</w:t>
      </w:r>
      <w:r w:rsidRPr="000D52F7">
        <w:rPr>
          <w:rFonts w:eastAsia="Calibri"/>
          <w:noProof/>
          <w:lang w:val="en-US" w:eastAsia="en-US"/>
        </w:rPr>
        <w:t>W</w:t>
      </w:r>
      <w:r w:rsidRPr="008B3EE4">
        <w:rPr>
          <w:rFonts w:eastAsia="Calibri"/>
          <w:noProof/>
          <w:lang w:val="en-US" w:eastAsia="en-US"/>
        </w:rPr>
        <w:t>.,</w:t>
      </w:r>
      <w:r w:rsidRPr="000D52F7">
        <w:rPr>
          <w:rFonts w:eastAsia="Calibri"/>
          <w:noProof/>
          <w:lang w:val="en-US" w:eastAsia="en-US"/>
        </w:rPr>
        <w:t xml:space="preserve"> Lau</w:t>
      </w:r>
      <w:r w:rsidRPr="008B3EE4">
        <w:rPr>
          <w:rFonts w:eastAsia="Calibri"/>
          <w:noProof/>
          <w:lang w:val="en-US" w:eastAsia="en-US"/>
        </w:rPr>
        <w:t>, M.I.,</w:t>
      </w:r>
      <w:r w:rsidRPr="000D52F7">
        <w:rPr>
          <w:rFonts w:eastAsia="Calibri"/>
          <w:noProof/>
          <w:lang w:val="en-US" w:eastAsia="en-US"/>
        </w:rPr>
        <w:t xml:space="preserve"> Williams</w:t>
      </w:r>
      <w:r w:rsidRPr="008B3EE4">
        <w:rPr>
          <w:rFonts w:eastAsia="Calibri"/>
          <w:noProof/>
          <w:lang w:val="en-US" w:eastAsia="en-US"/>
        </w:rPr>
        <w:t xml:space="preserve">, M.B., 2002. Estimating </w:t>
      </w:r>
      <w:r w:rsidR="00E144CB">
        <w:rPr>
          <w:rFonts w:eastAsia="Calibri"/>
          <w:noProof/>
          <w:lang w:val="en-US" w:eastAsia="en-US"/>
        </w:rPr>
        <w:t>i</w:t>
      </w:r>
      <w:r w:rsidRPr="008B3EE4">
        <w:rPr>
          <w:rFonts w:eastAsia="Calibri"/>
          <w:noProof/>
          <w:lang w:val="en-US" w:eastAsia="en-US"/>
        </w:rPr>
        <w:t xml:space="preserve">ndividual </w:t>
      </w:r>
      <w:r w:rsidR="00E144CB">
        <w:rPr>
          <w:rFonts w:eastAsia="Calibri"/>
          <w:noProof/>
          <w:lang w:val="en-US" w:eastAsia="en-US"/>
        </w:rPr>
        <w:t>d</w:t>
      </w:r>
      <w:r w:rsidRPr="008B3EE4">
        <w:rPr>
          <w:rFonts w:eastAsia="Calibri"/>
          <w:noProof/>
          <w:lang w:val="en-US" w:eastAsia="en-US"/>
        </w:rPr>
        <w:t xml:space="preserve">iscount </w:t>
      </w:r>
      <w:r w:rsidR="00E144CB">
        <w:rPr>
          <w:rFonts w:eastAsia="Calibri"/>
          <w:noProof/>
          <w:lang w:val="en-US" w:eastAsia="en-US"/>
        </w:rPr>
        <w:t>r</w:t>
      </w:r>
      <w:r w:rsidRPr="008B3EE4">
        <w:rPr>
          <w:rFonts w:eastAsia="Calibri"/>
          <w:noProof/>
          <w:lang w:val="en-US" w:eastAsia="en-US"/>
        </w:rPr>
        <w:t xml:space="preserve">ates in Denmark: A </w:t>
      </w:r>
      <w:r w:rsidR="00E144CB">
        <w:rPr>
          <w:rFonts w:eastAsia="Calibri"/>
          <w:noProof/>
          <w:lang w:val="en-US" w:eastAsia="en-US"/>
        </w:rPr>
        <w:t>f</w:t>
      </w:r>
      <w:r w:rsidRPr="008B3EE4">
        <w:rPr>
          <w:rFonts w:eastAsia="Calibri"/>
          <w:noProof/>
          <w:lang w:val="en-US" w:eastAsia="en-US"/>
        </w:rPr>
        <w:t xml:space="preserve">ield </w:t>
      </w:r>
      <w:r w:rsidR="00E144CB">
        <w:rPr>
          <w:rFonts w:eastAsia="Calibri"/>
          <w:noProof/>
          <w:lang w:val="en-US" w:eastAsia="en-US"/>
        </w:rPr>
        <w:t>e</w:t>
      </w:r>
      <w:r w:rsidRPr="008B3EE4">
        <w:rPr>
          <w:rFonts w:eastAsia="Calibri"/>
          <w:noProof/>
          <w:lang w:val="en-US" w:eastAsia="en-US"/>
        </w:rPr>
        <w:t>xperiment. American Economic Review. 92(5), 1606-1617.</w:t>
      </w:r>
    </w:p>
    <w:p w14:paraId="4178F578" w14:textId="77777777" w:rsidR="00F27058" w:rsidRPr="008B3EE4" w:rsidRDefault="00F27058" w:rsidP="00871858">
      <w:pPr>
        <w:spacing w:after="0"/>
        <w:ind w:hanging="567"/>
        <w:rPr>
          <w:rFonts w:eastAsia="Calibri"/>
          <w:noProof/>
          <w:lang w:val="en-US" w:eastAsia="en-US"/>
        </w:rPr>
      </w:pPr>
      <w:r w:rsidRPr="008B3EE4">
        <w:rPr>
          <w:rFonts w:eastAsia="Calibri"/>
          <w:noProof/>
          <w:lang w:val="en-US" w:eastAsia="en-US"/>
        </w:rPr>
        <w:t>Hawkes, C., Smith, T.G., Jewell, J., Wardle, J., Hammond, R.A., Friel, S., Thow, A.M., Kain, J., 2015. Smart food policies for obesity prevention. The Lancet. 385, 2410–2421.</w:t>
      </w:r>
    </w:p>
    <w:p w14:paraId="586DD7B5" w14:textId="77777777" w:rsidR="00F27058" w:rsidRPr="008B3EE4" w:rsidRDefault="00F27058" w:rsidP="00871858">
      <w:pPr>
        <w:spacing w:after="0"/>
        <w:ind w:hanging="567"/>
        <w:rPr>
          <w:rFonts w:eastAsia="Calibri"/>
          <w:noProof/>
          <w:lang w:val="en-US" w:eastAsia="en-US"/>
        </w:rPr>
      </w:pPr>
      <w:r w:rsidRPr="008B3EE4">
        <w:rPr>
          <w:rFonts w:eastAsia="Calibri"/>
          <w:noProof/>
          <w:lang w:val="en-US" w:eastAsia="en-US"/>
        </w:rPr>
        <w:t xml:space="preserve">Hollands, G.J., Bignardi, G., Johnston, M., Kelly, M.P., Ogilvie, D., Petticrew, M., Prestwich, A., Shemilt, I., Sutton, S., Marteau, T.M., 2017. The TIPPME intervention typology for changing environments to change behaviour. Nature Human Behaviour. 1, 0140. </w:t>
      </w:r>
    </w:p>
    <w:p w14:paraId="08F90FCD" w14:textId="77777777"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Hollands, G</w:t>
      </w:r>
      <w:r w:rsidRPr="008B3EE4">
        <w:rPr>
          <w:rFonts w:eastAsia="Calibri"/>
          <w:noProof/>
          <w:lang w:val="en-US" w:eastAsia="en-US"/>
        </w:rPr>
        <w:t>.J.,</w:t>
      </w:r>
      <w:r w:rsidRPr="000D52F7">
        <w:rPr>
          <w:rFonts w:eastAsia="Calibri"/>
          <w:noProof/>
          <w:lang w:val="en-US" w:eastAsia="en-US"/>
        </w:rPr>
        <w:t xml:space="preserve"> Shemilt</w:t>
      </w:r>
      <w:r w:rsidRPr="008B3EE4">
        <w:rPr>
          <w:rFonts w:eastAsia="Calibri"/>
          <w:noProof/>
          <w:lang w:val="en-US" w:eastAsia="en-US"/>
        </w:rPr>
        <w:t xml:space="preserve">, I., </w:t>
      </w:r>
      <w:r w:rsidRPr="000D52F7">
        <w:rPr>
          <w:rFonts w:eastAsia="Calibri"/>
          <w:noProof/>
          <w:lang w:val="en-US" w:eastAsia="en-US"/>
        </w:rPr>
        <w:t>Marteau</w:t>
      </w:r>
      <w:r w:rsidRPr="008B3EE4">
        <w:rPr>
          <w:rFonts w:eastAsia="Calibri"/>
          <w:noProof/>
          <w:lang w:val="en-US" w:eastAsia="en-US"/>
        </w:rPr>
        <w:t>, T.M.,</w:t>
      </w:r>
      <w:r w:rsidRPr="000D52F7">
        <w:rPr>
          <w:rFonts w:eastAsia="Calibri"/>
          <w:noProof/>
          <w:lang w:val="en-US" w:eastAsia="en-US"/>
        </w:rPr>
        <w:t xml:space="preserve"> Jebb</w:t>
      </w:r>
      <w:r w:rsidRPr="008B3EE4">
        <w:rPr>
          <w:rFonts w:eastAsia="Calibri"/>
          <w:noProof/>
          <w:lang w:val="en-US" w:eastAsia="en-US"/>
        </w:rPr>
        <w:t>, S.A.,</w:t>
      </w:r>
      <w:r w:rsidRPr="000D52F7">
        <w:rPr>
          <w:rFonts w:eastAsia="Calibri"/>
          <w:noProof/>
          <w:lang w:val="en-US" w:eastAsia="en-US"/>
        </w:rPr>
        <w:t xml:space="preserve"> Kelly</w:t>
      </w:r>
      <w:r w:rsidRPr="008B3EE4">
        <w:rPr>
          <w:rFonts w:eastAsia="Calibri"/>
          <w:noProof/>
          <w:lang w:val="en-US" w:eastAsia="en-US"/>
        </w:rPr>
        <w:t>, M.P.,</w:t>
      </w:r>
      <w:r w:rsidRPr="000D52F7">
        <w:rPr>
          <w:rFonts w:eastAsia="Calibri"/>
          <w:noProof/>
          <w:lang w:val="en-US" w:eastAsia="en-US"/>
        </w:rPr>
        <w:t xml:space="preserve"> Nakamura</w:t>
      </w:r>
      <w:r w:rsidRPr="008B3EE4">
        <w:rPr>
          <w:rFonts w:eastAsia="Calibri"/>
          <w:noProof/>
          <w:lang w:val="en-US" w:eastAsia="en-US"/>
        </w:rPr>
        <w:t>, R.,</w:t>
      </w:r>
      <w:r w:rsidRPr="000D52F7">
        <w:rPr>
          <w:rFonts w:eastAsia="Calibri"/>
          <w:noProof/>
          <w:lang w:val="en-US" w:eastAsia="en-US"/>
        </w:rPr>
        <w:t xml:space="preserve"> Suhrcke</w:t>
      </w:r>
      <w:r w:rsidRPr="008B3EE4">
        <w:rPr>
          <w:rFonts w:eastAsia="Calibri"/>
          <w:noProof/>
          <w:lang w:val="en-US" w:eastAsia="en-US"/>
        </w:rPr>
        <w:t>, M.,</w:t>
      </w:r>
      <w:r w:rsidRPr="000D52F7">
        <w:rPr>
          <w:rFonts w:eastAsia="Calibri"/>
          <w:noProof/>
          <w:lang w:val="en-US" w:eastAsia="en-US"/>
        </w:rPr>
        <w:t xml:space="preserve"> Ogilvie</w:t>
      </w:r>
      <w:r w:rsidRPr="008B3EE4">
        <w:rPr>
          <w:rFonts w:eastAsia="Calibri"/>
          <w:noProof/>
          <w:lang w:val="en-US" w:eastAsia="en-US"/>
        </w:rPr>
        <w:t>, D</w:t>
      </w:r>
      <w:r w:rsidRPr="000D52F7">
        <w:rPr>
          <w:rFonts w:eastAsia="Calibri"/>
          <w:noProof/>
          <w:lang w:val="en-US" w:eastAsia="en-US"/>
        </w:rPr>
        <w:t>.</w:t>
      </w:r>
      <w:r w:rsidRPr="008B3EE4">
        <w:rPr>
          <w:rFonts w:eastAsia="Calibri"/>
          <w:noProof/>
          <w:lang w:val="en-US" w:eastAsia="en-US"/>
        </w:rPr>
        <w:t>, 2013. Altering Micro-Environments to Change Population Health Behaviour: Towards an Evidence Base for Choice Architecture Interventions. BMC Public Health. 13(1), 1218.</w:t>
      </w:r>
    </w:p>
    <w:p w14:paraId="55DFE52B" w14:textId="77777777"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Ioannidis, J</w:t>
      </w:r>
      <w:r w:rsidRPr="008B3EE4">
        <w:rPr>
          <w:rFonts w:eastAsia="Calibri"/>
          <w:noProof/>
          <w:lang w:val="en-US" w:eastAsia="en-US"/>
        </w:rPr>
        <w:t>.</w:t>
      </w:r>
      <w:r w:rsidRPr="000D52F7">
        <w:rPr>
          <w:rFonts w:eastAsia="Calibri"/>
          <w:noProof/>
          <w:lang w:val="en-US" w:eastAsia="en-US"/>
        </w:rPr>
        <w:t>P</w:t>
      </w:r>
      <w:r w:rsidRPr="008B3EE4">
        <w:rPr>
          <w:rFonts w:eastAsia="Calibri"/>
          <w:noProof/>
          <w:lang w:val="en-US" w:eastAsia="en-US"/>
        </w:rPr>
        <w:t>.</w:t>
      </w:r>
      <w:r w:rsidRPr="000D52F7">
        <w:rPr>
          <w:rFonts w:eastAsia="Calibri"/>
          <w:noProof/>
          <w:lang w:val="en-US" w:eastAsia="en-US"/>
        </w:rPr>
        <w:t>A.</w:t>
      </w:r>
      <w:r w:rsidRPr="008B3EE4">
        <w:rPr>
          <w:rFonts w:eastAsia="Calibri"/>
          <w:noProof/>
          <w:lang w:val="en-US" w:eastAsia="en-US"/>
        </w:rPr>
        <w:t>,</w:t>
      </w:r>
      <w:r w:rsidRPr="000D52F7">
        <w:rPr>
          <w:rFonts w:eastAsia="Calibri"/>
          <w:noProof/>
          <w:lang w:val="en-US" w:eastAsia="en-US"/>
        </w:rPr>
        <w:t xml:space="preserve"> </w:t>
      </w:r>
      <w:r w:rsidRPr="008B3EE4">
        <w:rPr>
          <w:rFonts w:eastAsia="Calibri"/>
          <w:noProof/>
          <w:lang w:val="en-US" w:eastAsia="en-US"/>
        </w:rPr>
        <w:t>2013. Implausible Results in Human Nutrition Research. British Medical Journal. 347, f6698.</w:t>
      </w:r>
    </w:p>
    <w:p w14:paraId="09677738" w14:textId="39131B27"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Ito, K</w:t>
      </w:r>
      <w:r w:rsidRPr="008B3EE4">
        <w:rPr>
          <w:rFonts w:eastAsia="Calibri"/>
          <w:noProof/>
          <w:lang w:val="en-US" w:eastAsia="en-US"/>
        </w:rPr>
        <w:t xml:space="preserve">., </w:t>
      </w:r>
      <w:r w:rsidRPr="000D52F7">
        <w:rPr>
          <w:rFonts w:eastAsia="Calibri"/>
          <w:noProof/>
          <w:lang w:val="en-US" w:eastAsia="en-US"/>
        </w:rPr>
        <w:t>Sallee</w:t>
      </w:r>
      <w:r w:rsidRPr="008B3EE4">
        <w:rPr>
          <w:rFonts w:eastAsia="Calibri"/>
          <w:noProof/>
          <w:lang w:val="en-US" w:eastAsia="en-US"/>
        </w:rPr>
        <w:t>, J.M., 201</w:t>
      </w:r>
      <w:r w:rsidR="0027798D">
        <w:rPr>
          <w:rFonts w:eastAsia="Calibri"/>
          <w:noProof/>
          <w:lang w:val="en-US" w:eastAsia="en-US"/>
        </w:rPr>
        <w:t>8</w:t>
      </w:r>
      <w:r w:rsidRPr="008B3EE4">
        <w:rPr>
          <w:rFonts w:eastAsia="Calibri"/>
          <w:noProof/>
          <w:lang w:val="en-US" w:eastAsia="en-US"/>
        </w:rPr>
        <w:t>. The Economics of Attribute-Based Regulation: Theory and Evidence from Fuel-Economy Standards.</w:t>
      </w:r>
      <w:r w:rsidR="00AB01D2">
        <w:rPr>
          <w:rFonts w:eastAsia="Calibri"/>
          <w:noProof/>
          <w:lang w:val="en-US" w:eastAsia="en-US"/>
        </w:rPr>
        <w:t xml:space="preserve"> Review of Economics and Statistics</w:t>
      </w:r>
      <w:r w:rsidRPr="008B3EE4">
        <w:rPr>
          <w:rFonts w:eastAsia="Calibri"/>
          <w:noProof/>
          <w:lang w:val="en-US" w:eastAsia="en-US"/>
        </w:rPr>
        <w:t xml:space="preserve">. </w:t>
      </w:r>
      <w:r w:rsidR="00AB01D2">
        <w:rPr>
          <w:rFonts w:eastAsia="Calibri"/>
          <w:noProof/>
          <w:lang w:val="en-US" w:eastAsia="en-US"/>
        </w:rPr>
        <w:t xml:space="preserve">100 (2), 319-336. </w:t>
      </w:r>
    </w:p>
    <w:p w14:paraId="61555597" w14:textId="77777777" w:rsidR="00F27058" w:rsidRPr="008B3EE4" w:rsidRDefault="00F27058" w:rsidP="00871858">
      <w:pPr>
        <w:spacing w:after="0"/>
        <w:ind w:hanging="567"/>
        <w:rPr>
          <w:rFonts w:eastAsia="Calibri"/>
          <w:noProof/>
          <w:lang w:val="en-US" w:eastAsia="en-US"/>
        </w:rPr>
      </w:pPr>
      <w:r w:rsidRPr="008B3EE4">
        <w:rPr>
          <w:rFonts w:eastAsia="Calibri"/>
          <w:noProof/>
          <w:lang w:val="en-US" w:eastAsia="en-US"/>
        </w:rPr>
        <w:t xml:space="preserve">Johnson, E.J., Shu, S.B., Dellaert, B.G.C., Fox, C., Goldstein, D.G., Häubl, G., Larrick, R.P., Payne, J.W., Peters, E., Schkade, D., Wansink, B., Weber, E.U., 2012. Beyond nudges: Tools of a choice architecture. Marketing Letters. 23, 487–504. </w:t>
      </w:r>
    </w:p>
    <w:p w14:paraId="21C16F2E" w14:textId="10AC1131" w:rsidR="00F27058" w:rsidRPr="000D52F7" w:rsidRDefault="00F27058" w:rsidP="00871858">
      <w:pPr>
        <w:spacing w:after="0"/>
        <w:ind w:hanging="567"/>
        <w:rPr>
          <w:rFonts w:eastAsia="Calibri"/>
          <w:noProof/>
          <w:lang w:val="en-US" w:eastAsia="en-US"/>
        </w:rPr>
      </w:pPr>
      <w:r w:rsidRPr="008B3EE4">
        <w:rPr>
          <w:rFonts w:eastAsia="Calibri"/>
          <w:noProof/>
          <w:lang w:val="en-US" w:eastAsia="en-US"/>
        </w:rPr>
        <w:t xml:space="preserve">Just, D.R., 2017. The Behavioral </w:t>
      </w:r>
      <w:r w:rsidR="00E144CB">
        <w:rPr>
          <w:rFonts w:eastAsia="Calibri"/>
          <w:noProof/>
          <w:lang w:val="en-US" w:eastAsia="en-US"/>
        </w:rPr>
        <w:t>w</w:t>
      </w:r>
      <w:r w:rsidRPr="008B3EE4">
        <w:rPr>
          <w:rFonts w:eastAsia="Calibri"/>
          <w:noProof/>
          <w:lang w:val="en-US" w:eastAsia="en-US"/>
        </w:rPr>
        <w:t xml:space="preserve">elfare </w:t>
      </w:r>
      <w:r w:rsidR="00E144CB">
        <w:rPr>
          <w:rFonts w:eastAsia="Calibri"/>
          <w:noProof/>
          <w:lang w:val="en-US" w:eastAsia="en-US"/>
        </w:rPr>
        <w:t>p</w:t>
      </w:r>
      <w:r w:rsidRPr="008B3EE4">
        <w:rPr>
          <w:rFonts w:eastAsia="Calibri"/>
          <w:noProof/>
          <w:lang w:val="en-US" w:eastAsia="en-US"/>
        </w:rPr>
        <w:t xml:space="preserve">aradox: Practical, </w:t>
      </w:r>
      <w:r w:rsidR="00E144CB">
        <w:rPr>
          <w:rFonts w:eastAsia="Calibri"/>
          <w:noProof/>
          <w:lang w:val="en-US" w:eastAsia="en-US"/>
        </w:rPr>
        <w:t>e</w:t>
      </w:r>
      <w:r w:rsidRPr="008B3EE4">
        <w:rPr>
          <w:rFonts w:eastAsia="Calibri"/>
          <w:noProof/>
          <w:lang w:val="en-US" w:eastAsia="en-US"/>
        </w:rPr>
        <w:t xml:space="preserve">thical and </w:t>
      </w:r>
      <w:r w:rsidR="00E144CB">
        <w:rPr>
          <w:rFonts w:eastAsia="Calibri"/>
          <w:noProof/>
          <w:lang w:val="en-US" w:eastAsia="en-US"/>
        </w:rPr>
        <w:t>w</w:t>
      </w:r>
      <w:r w:rsidRPr="008B3EE4">
        <w:rPr>
          <w:rFonts w:eastAsia="Calibri"/>
          <w:noProof/>
          <w:lang w:val="en-US" w:eastAsia="en-US"/>
        </w:rPr>
        <w:t xml:space="preserve">elfare </w:t>
      </w:r>
      <w:r w:rsidR="00E144CB">
        <w:rPr>
          <w:rFonts w:eastAsia="Calibri"/>
          <w:noProof/>
          <w:lang w:val="en-US" w:eastAsia="en-US"/>
        </w:rPr>
        <w:t>i</w:t>
      </w:r>
      <w:r w:rsidRPr="008B3EE4">
        <w:rPr>
          <w:rFonts w:eastAsia="Calibri"/>
          <w:noProof/>
          <w:lang w:val="en-US" w:eastAsia="en-US"/>
        </w:rPr>
        <w:t xml:space="preserve">mplications of </w:t>
      </w:r>
      <w:r w:rsidR="00E144CB">
        <w:rPr>
          <w:rFonts w:eastAsia="Calibri"/>
          <w:noProof/>
          <w:lang w:val="en-US" w:eastAsia="en-US"/>
        </w:rPr>
        <w:t>n</w:t>
      </w:r>
      <w:r w:rsidRPr="008B3EE4">
        <w:rPr>
          <w:rFonts w:eastAsia="Calibri"/>
          <w:noProof/>
          <w:lang w:val="en-US" w:eastAsia="en-US"/>
        </w:rPr>
        <w:t>udging. Agricultural and Resource Economics Review. 46(1), 1-20.</w:t>
      </w:r>
    </w:p>
    <w:p w14:paraId="14D2EBB7" w14:textId="254FEA06"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lastRenderedPageBreak/>
        <w:t>Lawlor, D</w:t>
      </w:r>
      <w:r w:rsidRPr="008B3EE4">
        <w:rPr>
          <w:rFonts w:eastAsia="Calibri"/>
          <w:noProof/>
          <w:lang w:val="en-US" w:eastAsia="en-US"/>
        </w:rPr>
        <w:t>.</w:t>
      </w:r>
      <w:r w:rsidRPr="000D52F7">
        <w:rPr>
          <w:rFonts w:eastAsia="Calibri"/>
          <w:noProof/>
          <w:lang w:val="en-US" w:eastAsia="en-US"/>
        </w:rPr>
        <w:t>A</w:t>
      </w:r>
      <w:r w:rsidRPr="008B3EE4">
        <w:rPr>
          <w:rFonts w:eastAsia="Calibri"/>
          <w:noProof/>
          <w:lang w:val="en-US" w:eastAsia="en-US"/>
        </w:rPr>
        <w:t>.,</w:t>
      </w:r>
      <w:r w:rsidRPr="000D52F7">
        <w:rPr>
          <w:rFonts w:eastAsia="Calibri"/>
          <w:noProof/>
          <w:lang w:val="en-US" w:eastAsia="en-US"/>
        </w:rPr>
        <w:t xml:space="preserve"> </w:t>
      </w:r>
      <w:r w:rsidRPr="008B3EE4">
        <w:rPr>
          <w:rFonts w:eastAsia="Calibri"/>
          <w:noProof/>
          <w:lang w:val="en-US" w:eastAsia="en-US"/>
        </w:rPr>
        <w:t xml:space="preserve">Davey </w:t>
      </w:r>
      <w:r w:rsidRPr="000D52F7">
        <w:rPr>
          <w:rFonts w:eastAsia="Calibri"/>
          <w:noProof/>
          <w:lang w:val="en-US" w:eastAsia="en-US"/>
        </w:rPr>
        <w:t>Smith, G</w:t>
      </w:r>
      <w:r w:rsidRPr="008B3EE4">
        <w:rPr>
          <w:rFonts w:eastAsia="Calibri"/>
          <w:noProof/>
          <w:lang w:val="en-US" w:eastAsia="en-US"/>
        </w:rPr>
        <w:t>.,</w:t>
      </w:r>
      <w:r w:rsidRPr="000D52F7">
        <w:rPr>
          <w:rFonts w:eastAsia="Calibri"/>
          <w:noProof/>
          <w:lang w:val="en-US" w:eastAsia="en-US"/>
        </w:rPr>
        <w:t xml:space="preserve"> Bruckdorfer, K</w:t>
      </w:r>
      <w:r w:rsidRPr="008B3EE4">
        <w:rPr>
          <w:rFonts w:eastAsia="Calibri"/>
          <w:noProof/>
          <w:lang w:val="en-US" w:eastAsia="en-US"/>
        </w:rPr>
        <w:t>.R.,</w:t>
      </w:r>
      <w:r w:rsidRPr="000D52F7">
        <w:rPr>
          <w:rFonts w:eastAsia="Calibri"/>
          <w:noProof/>
          <w:lang w:val="en-US" w:eastAsia="en-US"/>
        </w:rPr>
        <w:t xml:space="preserve"> Kundu, D</w:t>
      </w:r>
      <w:r w:rsidRPr="008B3EE4">
        <w:rPr>
          <w:rFonts w:eastAsia="Calibri"/>
          <w:noProof/>
          <w:lang w:val="en-US" w:eastAsia="en-US"/>
        </w:rPr>
        <w:t>.,</w:t>
      </w:r>
      <w:r w:rsidRPr="000D52F7">
        <w:rPr>
          <w:rFonts w:eastAsia="Calibri"/>
          <w:noProof/>
          <w:lang w:val="en-US" w:eastAsia="en-US"/>
        </w:rPr>
        <w:t xml:space="preserve"> Ebrahim</w:t>
      </w:r>
      <w:r w:rsidRPr="008B3EE4">
        <w:rPr>
          <w:rFonts w:eastAsia="Calibri"/>
          <w:noProof/>
          <w:lang w:val="en-US" w:eastAsia="en-US"/>
        </w:rPr>
        <w:t>,S</w:t>
      </w:r>
      <w:r w:rsidRPr="000D52F7">
        <w:rPr>
          <w:rFonts w:eastAsia="Calibri"/>
          <w:noProof/>
          <w:lang w:val="en-US" w:eastAsia="en-US"/>
        </w:rPr>
        <w:t>.</w:t>
      </w:r>
      <w:r w:rsidRPr="008B3EE4">
        <w:rPr>
          <w:rFonts w:eastAsia="Calibri"/>
          <w:noProof/>
          <w:lang w:val="en-US" w:eastAsia="en-US"/>
        </w:rPr>
        <w:t>,</w:t>
      </w:r>
      <w:r w:rsidRPr="000D52F7">
        <w:rPr>
          <w:rFonts w:eastAsia="Calibri"/>
          <w:noProof/>
          <w:lang w:val="en-US" w:eastAsia="en-US"/>
        </w:rPr>
        <w:t xml:space="preserve"> </w:t>
      </w:r>
      <w:r w:rsidRPr="008B3EE4">
        <w:rPr>
          <w:rFonts w:eastAsia="Calibri"/>
          <w:noProof/>
          <w:lang w:val="en-US" w:eastAsia="en-US"/>
        </w:rPr>
        <w:t xml:space="preserve"> 2004. Those Confounded Vitamins: What Can We Learn from the Differences between Observational versus Randomised Trial Evidence? Lancet. 363(9422), 1724-1727.</w:t>
      </w:r>
    </w:p>
    <w:p w14:paraId="7AA98133" w14:textId="77777777"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Lobstein, T</w:t>
      </w:r>
      <w:r w:rsidRPr="008B3EE4">
        <w:rPr>
          <w:rFonts w:eastAsia="Calibri"/>
          <w:noProof/>
          <w:lang w:val="en-US" w:eastAsia="en-US"/>
        </w:rPr>
        <w:t xml:space="preserve">., </w:t>
      </w:r>
      <w:r w:rsidRPr="000D52F7">
        <w:rPr>
          <w:rFonts w:eastAsia="Calibri"/>
          <w:noProof/>
          <w:lang w:val="en-US" w:eastAsia="en-US"/>
        </w:rPr>
        <w:t>Davies</w:t>
      </w:r>
      <w:r w:rsidRPr="008B3EE4">
        <w:rPr>
          <w:rFonts w:eastAsia="Calibri"/>
          <w:noProof/>
          <w:lang w:val="en-US" w:eastAsia="en-US"/>
        </w:rPr>
        <w:t>, S</w:t>
      </w:r>
      <w:r w:rsidRPr="000D52F7">
        <w:rPr>
          <w:rFonts w:eastAsia="Calibri"/>
          <w:noProof/>
          <w:lang w:val="en-US" w:eastAsia="en-US"/>
        </w:rPr>
        <w:t>.</w:t>
      </w:r>
      <w:r w:rsidRPr="008B3EE4">
        <w:rPr>
          <w:rFonts w:eastAsia="Calibri"/>
          <w:noProof/>
          <w:lang w:val="en-US" w:eastAsia="en-US"/>
        </w:rPr>
        <w:t>,</w:t>
      </w:r>
      <w:r w:rsidRPr="000D52F7">
        <w:rPr>
          <w:rFonts w:eastAsia="Calibri"/>
          <w:noProof/>
          <w:lang w:val="en-US" w:eastAsia="en-US"/>
        </w:rPr>
        <w:t xml:space="preserve"> </w:t>
      </w:r>
      <w:r w:rsidRPr="008B3EE4">
        <w:rPr>
          <w:rFonts w:eastAsia="Calibri"/>
          <w:noProof/>
          <w:lang w:val="en-US" w:eastAsia="en-US"/>
        </w:rPr>
        <w:t>2009. Defining and Labelling ‘Healthy’ and ‘Unhealthy’ food. Public Health Nutrition. 12(3), 331-340.</w:t>
      </w:r>
    </w:p>
    <w:p w14:paraId="53CE8ACC" w14:textId="30A0D674"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Marteau, T</w:t>
      </w:r>
      <w:r w:rsidRPr="008B3EE4">
        <w:rPr>
          <w:rFonts w:eastAsia="Calibri"/>
          <w:noProof/>
          <w:lang w:val="en-US" w:eastAsia="en-US"/>
        </w:rPr>
        <w:t>.</w:t>
      </w:r>
      <w:r w:rsidRPr="000D52F7">
        <w:rPr>
          <w:rFonts w:eastAsia="Calibri"/>
          <w:noProof/>
          <w:lang w:val="en-US" w:eastAsia="en-US"/>
        </w:rPr>
        <w:t>M</w:t>
      </w:r>
      <w:r w:rsidRPr="008B3EE4">
        <w:rPr>
          <w:rFonts w:eastAsia="Calibri"/>
          <w:noProof/>
          <w:lang w:val="en-US" w:eastAsia="en-US"/>
        </w:rPr>
        <w:t>.,</w:t>
      </w:r>
      <w:r w:rsidRPr="000D52F7">
        <w:rPr>
          <w:rFonts w:eastAsia="Calibri"/>
          <w:noProof/>
          <w:lang w:val="en-US" w:eastAsia="en-US"/>
        </w:rPr>
        <w:t xml:space="preserve"> Ogilvie</w:t>
      </w:r>
      <w:r w:rsidRPr="008B3EE4">
        <w:rPr>
          <w:rFonts w:eastAsia="Calibri"/>
          <w:noProof/>
          <w:lang w:val="en-US" w:eastAsia="en-US"/>
        </w:rPr>
        <w:t>, D.,</w:t>
      </w:r>
      <w:r w:rsidRPr="000D52F7">
        <w:rPr>
          <w:rFonts w:eastAsia="Calibri"/>
          <w:noProof/>
          <w:lang w:val="en-US" w:eastAsia="en-US"/>
        </w:rPr>
        <w:t xml:space="preserve"> Roland</w:t>
      </w:r>
      <w:r w:rsidRPr="008B3EE4">
        <w:rPr>
          <w:rFonts w:eastAsia="Calibri"/>
          <w:noProof/>
          <w:lang w:val="en-US" w:eastAsia="en-US"/>
        </w:rPr>
        <w:t>, M.,</w:t>
      </w:r>
      <w:r w:rsidRPr="000D52F7">
        <w:rPr>
          <w:rFonts w:eastAsia="Calibri"/>
          <w:noProof/>
          <w:lang w:val="en-US" w:eastAsia="en-US"/>
        </w:rPr>
        <w:t xml:space="preserve"> Suhrcke</w:t>
      </w:r>
      <w:r w:rsidRPr="008B3EE4">
        <w:rPr>
          <w:rFonts w:eastAsia="Calibri"/>
          <w:noProof/>
          <w:lang w:val="en-US" w:eastAsia="en-US"/>
        </w:rPr>
        <w:t>, M.,</w:t>
      </w:r>
      <w:r w:rsidRPr="000D52F7">
        <w:rPr>
          <w:rFonts w:eastAsia="Calibri"/>
          <w:noProof/>
          <w:lang w:val="en-US" w:eastAsia="en-US"/>
        </w:rPr>
        <w:t xml:space="preserve"> Kelly</w:t>
      </w:r>
      <w:r w:rsidRPr="008B3EE4">
        <w:rPr>
          <w:rFonts w:eastAsia="Calibri"/>
          <w:noProof/>
          <w:lang w:val="en-US" w:eastAsia="en-US"/>
        </w:rPr>
        <w:t>, M.P</w:t>
      </w:r>
      <w:r w:rsidRPr="000D52F7">
        <w:rPr>
          <w:rFonts w:eastAsia="Calibri"/>
          <w:noProof/>
          <w:lang w:val="en-US" w:eastAsia="en-US"/>
        </w:rPr>
        <w:t>.</w:t>
      </w:r>
      <w:r w:rsidRPr="008B3EE4">
        <w:rPr>
          <w:rFonts w:eastAsia="Calibri"/>
          <w:noProof/>
          <w:lang w:val="en-US" w:eastAsia="en-US"/>
        </w:rPr>
        <w:t xml:space="preserve">, 2011. Judging Nudging: Can Nudging Improve Population Health? </w:t>
      </w:r>
      <w:r w:rsidR="0027798D">
        <w:rPr>
          <w:rFonts w:eastAsia="Calibri"/>
          <w:noProof/>
          <w:lang w:val="en-US" w:eastAsia="en-US"/>
        </w:rPr>
        <w:t>BMJ</w:t>
      </w:r>
      <w:r w:rsidRPr="008B3EE4">
        <w:rPr>
          <w:rFonts w:eastAsia="Calibri"/>
          <w:noProof/>
          <w:lang w:val="en-US" w:eastAsia="en-US"/>
        </w:rPr>
        <w:t>. 342, d228.</w:t>
      </w:r>
    </w:p>
    <w:p w14:paraId="35AF84F5" w14:textId="3C81EC9E" w:rsidR="00F27058" w:rsidRPr="000D52F7" w:rsidRDefault="00F27058" w:rsidP="00871858">
      <w:pPr>
        <w:spacing w:after="0"/>
        <w:ind w:hanging="567"/>
        <w:rPr>
          <w:rFonts w:asciiTheme="minorEastAsia" w:eastAsiaTheme="minorEastAsia" w:hAnsiTheme="minorEastAsia"/>
          <w:noProof/>
          <w:lang w:val="en-US" w:eastAsia="ja-JP"/>
        </w:rPr>
      </w:pPr>
      <w:r w:rsidRPr="000D52F7">
        <w:rPr>
          <w:rFonts w:eastAsia="Calibri"/>
          <w:noProof/>
          <w:lang w:val="en-US" w:eastAsia="en-US"/>
        </w:rPr>
        <w:t>McKevitt, F</w:t>
      </w:r>
      <w:r w:rsidRPr="008B3EE4">
        <w:rPr>
          <w:rFonts w:eastAsia="Calibri"/>
          <w:noProof/>
          <w:lang w:val="en-US" w:eastAsia="en-US"/>
        </w:rPr>
        <w:t>.,</w:t>
      </w:r>
      <w:r w:rsidRPr="000D52F7">
        <w:rPr>
          <w:rFonts w:eastAsia="Calibri"/>
          <w:noProof/>
          <w:lang w:val="en-US" w:eastAsia="en-US"/>
        </w:rPr>
        <w:t xml:space="preserve"> </w:t>
      </w:r>
      <w:r w:rsidRPr="008B3EE4">
        <w:rPr>
          <w:rFonts w:eastAsia="Calibri"/>
          <w:noProof/>
          <w:lang w:val="en-US" w:eastAsia="en-US"/>
        </w:rPr>
        <w:t xml:space="preserve">2015. </w:t>
      </w:r>
      <w:hyperlink r:id="rId17" w:history="1">
        <w:r w:rsidRPr="00BF5372">
          <w:rPr>
            <w:rStyle w:val="Hyperlink"/>
            <w:rFonts w:eastAsia="Calibri"/>
            <w:noProof/>
            <w:lang w:val="en-US" w:eastAsia="en-US"/>
          </w:rPr>
          <w:t>Sainsbury’s the Only One of the ‘Big Four’ Retailers to Increase Sales</w:t>
        </w:r>
      </w:hyperlink>
      <w:r w:rsidRPr="008B3EE4">
        <w:rPr>
          <w:rFonts w:eastAsia="Calibri"/>
          <w:noProof/>
          <w:lang w:val="en-US" w:eastAsia="en-US"/>
        </w:rPr>
        <w:t xml:space="preserve">. </w:t>
      </w:r>
      <w:r w:rsidR="00BF5372">
        <w:rPr>
          <w:rFonts w:eastAsia="Calibri"/>
          <w:noProof/>
          <w:lang w:val="en-US" w:eastAsia="en-US"/>
        </w:rPr>
        <w:t>(</w:t>
      </w:r>
      <w:r w:rsidRPr="008B3EE4">
        <w:rPr>
          <w:rFonts w:eastAsia="Calibri"/>
          <w:noProof/>
          <w:lang w:val="en-US" w:eastAsia="en-US"/>
        </w:rPr>
        <w:t>Accessed August 21, 2018)</w:t>
      </w:r>
      <w:r w:rsidRPr="008B3EE4">
        <w:rPr>
          <w:rFonts w:asciiTheme="minorEastAsia" w:eastAsiaTheme="minorEastAsia" w:hAnsiTheme="minorEastAsia" w:hint="eastAsia"/>
          <w:noProof/>
          <w:lang w:val="en-US" w:eastAsia="ja-JP"/>
        </w:rPr>
        <w:t>.</w:t>
      </w:r>
    </w:p>
    <w:p w14:paraId="16FCFF00" w14:textId="06EDC2ED" w:rsidR="00631B93" w:rsidRDefault="00631B93" w:rsidP="00871858">
      <w:pPr>
        <w:spacing w:after="0"/>
        <w:ind w:hanging="567"/>
        <w:rPr>
          <w:rFonts w:eastAsia="Calibri"/>
          <w:noProof/>
          <w:lang w:val="en-US" w:eastAsia="en-US"/>
        </w:rPr>
      </w:pPr>
      <w:r>
        <w:rPr>
          <w:rFonts w:eastAsia="Calibri"/>
          <w:noProof/>
          <w:lang w:val="en-US" w:eastAsia="en-US"/>
        </w:rPr>
        <w:t>Muller, L., Lacroix, A., Lusk, J.L., Ruffiex, B., 201</w:t>
      </w:r>
      <w:r w:rsidR="006535E5">
        <w:rPr>
          <w:rFonts w:eastAsia="Calibri"/>
          <w:noProof/>
          <w:lang w:val="en-US" w:eastAsia="en-US"/>
        </w:rPr>
        <w:t>7</w:t>
      </w:r>
      <w:r>
        <w:rPr>
          <w:rFonts w:eastAsia="Calibri"/>
          <w:noProof/>
          <w:lang w:val="en-US" w:eastAsia="en-US"/>
        </w:rPr>
        <w:t>. Distributional Impacts of Fat Taxes and Thin Subsidies. Economic Journal. 127 2066-2092.</w:t>
      </w:r>
    </w:p>
    <w:p w14:paraId="0EC2C4CA" w14:textId="19F5B7DB" w:rsidR="00F27058" w:rsidRDefault="00F27058" w:rsidP="00871858">
      <w:pPr>
        <w:spacing w:after="0"/>
        <w:ind w:hanging="567"/>
        <w:rPr>
          <w:rFonts w:eastAsia="Calibri"/>
          <w:noProof/>
          <w:lang w:val="en-US" w:eastAsia="en-US"/>
        </w:rPr>
      </w:pPr>
      <w:r w:rsidRPr="000D52F7">
        <w:rPr>
          <w:rFonts w:eastAsia="Calibri"/>
          <w:noProof/>
          <w:lang w:val="en-US" w:eastAsia="en-US"/>
        </w:rPr>
        <w:t>Mytton, O</w:t>
      </w:r>
      <w:r w:rsidRPr="008B3EE4">
        <w:rPr>
          <w:rFonts w:eastAsia="Calibri"/>
          <w:noProof/>
          <w:lang w:val="en-US" w:eastAsia="en-US"/>
        </w:rPr>
        <w:t>.</w:t>
      </w:r>
      <w:r w:rsidRPr="000D52F7">
        <w:rPr>
          <w:rFonts w:eastAsia="Calibri"/>
          <w:noProof/>
          <w:lang w:val="en-US" w:eastAsia="en-US"/>
        </w:rPr>
        <w:t>T</w:t>
      </w:r>
      <w:r w:rsidRPr="008B3EE4">
        <w:rPr>
          <w:rFonts w:eastAsia="Calibri"/>
          <w:noProof/>
          <w:lang w:val="en-US" w:eastAsia="en-US"/>
        </w:rPr>
        <w:t>.,</w:t>
      </w:r>
      <w:r w:rsidRPr="000D52F7">
        <w:rPr>
          <w:rFonts w:eastAsia="Calibri"/>
          <w:noProof/>
          <w:lang w:val="en-US" w:eastAsia="en-US"/>
        </w:rPr>
        <w:t xml:space="preserve"> Clarke</w:t>
      </w:r>
      <w:r w:rsidRPr="008B3EE4">
        <w:rPr>
          <w:rFonts w:eastAsia="Calibri"/>
          <w:noProof/>
          <w:lang w:val="en-US" w:eastAsia="en-US"/>
        </w:rPr>
        <w:t>, D.,</w:t>
      </w:r>
      <w:r w:rsidRPr="000D52F7">
        <w:rPr>
          <w:rFonts w:eastAsia="Calibri"/>
          <w:noProof/>
          <w:lang w:val="en-US" w:eastAsia="en-US"/>
        </w:rPr>
        <w:t xml:space="preserve"> Rayner</w:t>
      </w:r>
      <w:r w:rsidRPr="008B3EE4">
        <w:rPr>
          <w:rFonts w:eastAsia="Calibri"/>
          <w:noProof/>
          <w:lang w:val="en-US" w:eastAsia="en-US"/>
        </w:rPr>
        <w:t>, M</w:t>
      </w:r>
      <w:r w:rsidRPr="000D52F7">
        <w:rPr>
          <w:rFonts w:eastAsia="Calibri"/>
          <w:noProof/>
          <w:lang w:val="en-US" w:eastAsia="en-US"/>
        </w:rPr>
        <w:t>.</w:t>
      </w:r>
      <w:r w:rsidRPr="008B3EE4">
        <w:rPr>
          <w:rFonts w:eastAsia="Calibri"/>
          <w:noProof/>
          <w:lang w:val="en-US" w:eastAsia="en-US"/>
        </w:rPr>
        <w:t>, 2012. Taxing Unhealthy Food and Drinks to Improve Health. British Medical Journal. 344, e2931.</w:t>
      </w:r>
    </w:p>
    <w:p w14:paraId="029B06DB" w14:textId="17AB3ED1" w:rsidR="006B29AE" w:rsidRPr="008B3EE4" w:rsidRDefault="006B29AE" w:rsidP="00871858">
      <w:pPr>
        <w:spacing w:after="0"/>
        <w:ind w:hanging="567"/>
        <w:rPr>
          <w:rFonts w:eastAsia="Calibri"/>
          <w:noProof/>
          <w:lang w:val="en-US" w:eastAsia="en-US"/>
        </w:rPr>
      </w:pPr>
      <w:r>
        <w:rPr>
          <w:rFonts w:eastAsia="Calibri"/>
          <w:noProof/>
          <w:lang w:val="en-US" w:eastAsia="en-US"/>
        </w:rPr>
        <w:t>Mytton, O., Gray, A., Rayner, M., Rutter, H., 2007. Could targeted food taxes improve health? Journal of Epidemiology &amp; Community Health. 61(8), 689-694.</w:t>
      </w:r>
    </w:p>
    <w:p w14:paraId="61044103" w14:textId="4BF9BA3F" w:rsidR="00F27058" w:rsidRPr="008B3EE4" w:rsidRDefault="00F27058" w:rsidP="00871858">
      <w:pPr>
        <w:spacing w:after="0"/>
        <w:ind w:hanging="567"/>
        <w:rPr>
          <w:rFonts w:eastAsia="Calibri"/>
          <w:noProof/>
          <w:lang w:val="en-US" w:eastAsia="en-US"/>
        </w:rPr>
      </w:pPr>
      <w:r w:rsidRPr="008B3EE4">
        <w:t xml:space="preserve">Nakamura, R., </w:t>
      </w:r>
      <w:proofErr w:type="spellStart"/>
      <w:r w:rsidRPr="008B3EE4">
        <w:t>Mirelman</w:t>
      </w:r>
      <w:proofErr w:type="spellEnd"/>
      <w:r w:rsidRPr="008B3EE4">
        <w:t xml:space="preserve">, A.J., </w:t>
      </w:r>
      <w:proofErr w:type="spellStart"/>
      <w:r w:rsidRPr="008B3EE4">
        <w:t>Cuadrado</w:t>
      </w:r>
      <w:proofErr w:type="spellEnd"/>
      <w:r w:rsidRPr="008B3EE4">
        <w:t>, C., Silva-</w:t>
      </w:r>
      <w:proofErr w:type="spellStart"/>
      <w:r w:rsidRPr="008B3EE4">
        <w:t>Illanes</w:t>
      </w:r>
      <w:proofErr w:type="spellEnd"/>
      <w:r w:rsidRPr="008B3EE4">
        <w:t xml:space="preserve">, Dunstan, J., </w:t>
      </w:r>
      <w:proofErr w:type="spellStart"/>
      <w:r w:rsidRPr="008B3EE4">
        <w:t>Suhrcke</w:t>
      </w:r>
      <w:proofErr w:type="spellEnd"/>
      <w:r w:rsidRPr="008B3EE4">
        <w:t xml:space="preserve">, M.E., 2018. Evaluating the 2014 </w:t>
      </w:r>
      <w:r w:rsidR="0062495A">
        <w:t>s</w:t>
      </w:r>
      <w:r w:rsidRPr="008B3EE4">
        <w:t>ugar-</w:t>
      </w:r>
      <w:r w:rsidR="0062495A">
        <w:t>s</w:t>
      </w:r>
      <w:r w:rsidRPr="008B3EE4">
        <w:t xml:space="preserve">weetened </w:t>
      </w:r>
      <w:r w:rsidR="0062495A">
        <w:t>b</w:t>
      </w:r>
      <w:r w:rsidRPr="008B3EE4">
        <w:t xml:space="preserve">everage </w:t>
      </w:r>
      <w:r w:rsidR="0062495A">
        <w:t>t</w:t>
      </w:r>
      <w:r w:rsidRPr="008B3EE4">
        <w:t xml:space="preserve">ax in Chile: An </w:t>
      </w:r>
      <w:r w:rsidR="0062495A">
        <w:t>o</w:t>
      </w:r>
      <w:r w:rsidRPr="008B3EE4">
        <w:t xml:space="preserve">bservational </w:t>
      </w:r>
      <w:r w:rsidR="0062495A">
        <w:t>s</w:t>
      </w:r>
      <w:r w:rsidRPr="008B3EE4">
        <w:t xml:space="preserve">tudy in </w:t>
      </w:r>
      <w:r w:rsidR="0062495A">
        <w:t>u</w:t>
      </w:r>
      <w:r w:rsidRPr="008B3EE4">
        <w:t xml:space="preserve">rban </w:t>
      </w:r>
      <w:r w:rsidR="0062495A">
        <w:t>a</w:t>
      </w:r>
      <w:r w:rsidRPr="008B3EE4">
        <w:t>reas. PL</w:t>
      </w:r>
      <w:r w:rsidR="0027798D">
        <w:t>O</w:t>
      </w:r>
      <w:r w:rsidRPr="008B3EE4">
        <w:t xml:space="preserve">S Medicine. </w:t>
      </w:r>
      <w:r w:rsidR="0027798D">
        <w:t xml:space="preserve">15 </w:t>
      </w:r>
      <w:r w:rsidR="0027798D">
        <w:rPr>
          <w:lang w:val="en-US"/>
        </w:rPr>
        <w:t>(7): e1002596</w:t>
      </w:r>
      <w:r w:rsidRPr="000D52F7">
        <w:rPr>
          <w:shd w:val="clear" w:color="auto" w:fill="FFFFFF"/>
        </w:rPr>
        <w:t>.</w:t>
      </w:r>
    </w:p>
    <w:p w14:paraId="7B3F02CD" w14:textId="52248F2C"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Nakamura, R</w:t>
      </w:r>
      <w:r w:rsidRPr="008B3EE4">
        <w:rPr>
          <w:rFonts w:eastAsia="Calibri"/>
          <w:noProof/>
          <w:lang w:val="en-US" w:eastAsia="en-US"/>
        </w:rPr>
        <w:t xml:space="preserve">., </w:t>
      </w:r>
      <w:r w:rsidRPr="000D52F7">
        <w:rPr>
          <w:rFonts w:eastAsia="Calibri"/>
          <w:noProof/>
          <w:lang w:val="en-US" w:eastAsia="en-US"/>
        </w:rPr>
        <w:t>Suhrcke</w:t>
      </w:r>
      <w:r w:rsidRPr="008B3EE4">
        <w:rPr>
          <w:rFonts w:eastAsia="Calibri"/>
          <w:noProof/>
          <w:lang w:val="en-US" w:eastAsia="en-US"/>
        </w:rPr>
        <w:t>, M.,</w:t>
      </w:r>
      <w:r w:rsidRPr="000D52F7">
        <w:rPr>
          <w:rFonts w:eastAsia="Calibri"/>
          <w:noProof/>
          <w:lang w:val="en-US" w:eastAsia="en-US"/>
        </w:rPr>
        <w:t xml:space="preserve"> Jebb</w:t>
      </w:r>
      <w:r w:rsidRPr="008B3EE4">
        <w:rPr>
          <w:rFonts w:eastAsia="Calibri"/>
          <w:noProof/>
          <w:lang w:val="en-US" w:eastAsia="en-US"/>
        </w:rPr>
        <w:t>, S.A.,</w:t>
      </w:r>
      <w:r w:rsidRPr="000D52F7">
        <w:rPr>
          <w:rFonts w:eastAsia="Calibri"/>
          <w:noProof/>
          <w:lang w:val="en-US" w:eastAsia="en-US"/>
        </w:rPr>
        <w:t xml:space="preserve"> Pechey</w:t>
      </w:r>
      <w:r w:rsidRPr="008B3EE4">
        <w:rPr>
          <w:rFonts w:eastAsia="Calibri"/>
          <w:noProof/>
          <w:lang w:val="en-US" w:eastAsia="en-US"/>
        </w:rPr>
        <w:t>, R.,</w:t>
      </w:r>
      <w:r w:rsidRPr="000D52F7">
        <w:rPr>
          <w:rFonts w:eastAsia="Calibri"/>
          <w:noProof/>
          <w:lang w:val="en-US" w:eastAsia="en-US"/>
        </w:rPr>
        <w:t xml:space="preserve"> Almiron-Roig</w:t>
      </w:r>
      <w:r w:rsidRPr="008B3EE4">
        <w:rPr>
          <w:rFonts w:eastAsia="Calibri"/>
          <w:noProof/>
          <w:lang w:val="en-US" w:eastAsia="en-US"/>
        </w:rPr>
        <w:t>, E.,</w:t>
      </w:r>
      <w:r w:rsidRPr="000D52F7">
        <w:rPr>
          <w:rFonts w:eastAsia="Calibri"/>
          <w:noProof/>
          <w:lang w:val="en-US" w:eastAsia="en-US"/>
        </w:rPr>
        <w:t xml:space="preserve"> Marteau</w:t>
      </w:r>
      <w:r w:rsidRPr="008B3EE4">
        <w:rPr>
          <w:rFonts w:eastAsia="Calibri"/>
          <w:noProof/>
          <w:lang w:val="en-US" w:eastAsia="en-US"/>
        </w:rPr>
        <w:t>, T.M</w:t>
      </w:r>
      <w:r w:rsidRPr="000D52F7">
        <w:rPr>
          <w:rFonts w:eastAsia="Calibri"/>
          <w:noProof/>
          <w:lang w:val="en-US" w:eastAsia="en-US"/>
        </w:rPr>
        <w:t>.</w:t>
      </w:r>
      <w:r w:rsidRPr="008B3EE4">
        <w:rPr>
          <w:rFonts w:eastAsia="Calibri"/>
          <w:noProof/>
          <w:lang w:val="en-US" w:eastAsia="en-US"/>
        </w:rPr>
        <w:t xml:space="preserve">, 2015. Price </w:t>
      </w:r>
      <w:r w:rsidR="0062495A">
        <w:rPr>
          <w:rFonts w:eastAsia="Calibri"/>
          <w:noProof/>
          <w:lang w:val="en-US" w:eastAsia="en-US"/>
        </w:rPr>
        <w:t>p</w:t>
      </w:r>
      <w:r w:rsidRPr="008B3EE4">
        <w:rPr>
          <w:rFonts w:eastAsia="Calibri"/>
          <w:noProof/>
          <w:lang w:val="en-US" w:eastAsia="en-US"/>
        </w:rPr>
        <w:t xml:space="preserve">romotions on </w:t>
      </w:r>
      <w:r w:rsidR="0062495A">
        <w:rPr>
          <w:rFonts w:eastAsia="Calibri"/>
          <w:noProof/>
          <w:lang w:val="en-US" w:eastAsia="en-US"/>
        </w:rPr>
        <w:t>h</w:t>
      </w:r>
      <w:r w:rsidRPr="008B3EE4">
        <w:rPr>
          <w:rFonts w:eastAsia="Calibri"/>
          <w:noProof/>
          <w:lang w:val="en-US" w:eastAsia="en-US"/>
        </w:rPr>
        <w:t xml:space="preserve">ealthier </w:t>
      </w:r>
      <w:r w:rsidR="0062495A">
        <w:rPr>
          <w:rFonts w:eastAsia="Calibri"/>
          <w:noProof/>
          <w:lang w:val="en-US" w:eastAsia="en-US"/>
        </w:rPr>
        <w:t>c</w:t>
      </w:r>
      <w:r w:rsidRPr="008B3EE4">
        <w:rPr>
          <w:rFonts w:eastAsia="Calibri"/>
          <w:noProof/>
          <w:lang w:val="en-US" w:eastAsia="en-US"/>
        </w:rPr>
        <w:t xml:space="preserve">ompared with </w:t>
      </w:r>
      <w:r w:rsidR="0062495A">
        <w:rPr>
          <w:rFonts w:eastAsia="Calibri"/>
          <w:noProof/>
          <w:lang w:val="en-US" w:eastAsia="en-US"/>
        </w:rPr>
        <w:t>l</w:t>
      </w:r>
      <w:r w:rsidRPr="008B3EE4">
        <w:rPr>
          <w:rFonts w:eastAsia="Calibri"/>
          <w:noProof/>
          <w:lang w:val="en-US" w:eastAsia="en-US"/>
        </w:rPr>
        <w:t xml:space="preserve">ess </w:t>
      </w:r>
      <w:r w:rsidR="0062495A">
        <w:rPr>
          <w:rFonts w:eastAsia="Calibri"/>
          <w:noProof/>
          <w:lang w:val="en-US" w:eastAsia="en-US"/>
        </w:rPr>
        <w:t>h</w:t>
      </w:r>
      <w:r w:rsidRPr="008B3EE4">
        <w:rPr>
          <w:rFonts w:eastAsia="Calibri"/>
          <w:noProof/>
          <w:lang w:val="en-US" w:eastAsia="en-US"/>
        </w:rPr>
        <w:t xml:space="preserve">ealthy </w:t>
      </w:r>
      <w:r w:rsidR="0062495A">
        <w:rPr>
          <w:rFonts w:eastAsia="Calibri"/>
          <w:noProof/>
          <w:lang w:val="en-US" w:eastAsia="en-US"/>
        </w:rPr>
        <w:t>f</w:t>
      </w:r>
      <w:r w:rsidRPr="008B3EE4">
        <w:rPr>
          <w:rFonts w:eastAsia="Calibri"/>
          <w:noProof/>
          <w:lang w:val="en-US" w:eastAsia="en-US"/>
        </w:rPr>
        <w:t xml:space="preserve">oods: A </w:t>
      </w:r>
      <w:r w:rsidR="0062495A">
        <w:rPr>
          <w:rFonts w:eastAsia="Calibri"/>
          <w:noProof/>
          <w:lang w:val="en-US" w:eastAsia="en-US"/>
        </w:rPr>
        <w:t>h</w:t>
      </w:r>
      <w:r w:rsidRPr="008B3EE4">
        <w:rPr>
          <w:rFonts w:eastAsia="Calibri"/>
          <w:noProof/>
          <w:lang w:val="en-US" w:eastAsia="en-US"/>
        </w:rPr>
        <w:t xml:space="preserve">ierarchical </w:t>
      </w:r>
      <w:r w:rsidR="0062495A">
        <w:rPr>
          <w:rFonts w:eastAsia="Calibri"/>
          <w:noProof/>
          <w:lang w:val="en-US" w:eastAsia="en-US"/>
        </w:rPr>
        <w:t>r</w:t>
      </w:r>
      <w:r w:rsidRPr="008B3EE4">
        <w:rPr>
          <w:rFonts w:eastAsia="Calibri"/>
          <w:noProof/>
          <w:lang w:val="en-US" w:eastAsia="en-US"/>
        </w:rPr>
        <w:t xml:space="preserve">egression </w:t>
      </w:r>
      <w:r w:rsidR="0062495A">
        <w:rPr>
          <w:rFonts w:eastAsia="Calibri"/>
          <w:noProof/>
          <w:lang w:val="en-US" w:eastAsia="en-US"/>
        </w:rPr>
        <w:t>a</w:t>
      </w:r>
      <w:r w:rsidRPr="008B3EE4">
        <w:rPr>
          <w:rFonts w:eastAsia="Calibri"/>
          <w:noProof/>
          <w:lang w:val="en-US" w:eastAsia="en-US"/>
        </w:rPr>
        <w:t xml:space="preserve">nalysis of the </w:t>
      </w:r>
      <w:r w:rsidR="0062495A">
        <w:rPr>
          <w:rFonts w:eastAsia="Calibri"/>
          <w:noProof/>
          <w:lang w:val="en-US" w:eastAsia="en-US"/>
        </w:rPr>
        <w:t>i</w:t>
      </w:r>
      <w:r w:rsidRPr="008B3EE4">
        <w:rPr>
          <w:rFonts w:eastAsia="Calibri"/>
          <w:noProof/>
          <w:lang w:val="en-US" w:eastAsia="en-US"/>
        </w:rPr>
        <w:t xml:space="preserve">mpact on </w:t>
      </w:r>
      <w:r w:rsidR="0062495A">
        <w:rPr>
          <w:rFonts w:eastAsia="Calibri"/>
          <w:noProof/>
          <w:lang w:val="en-US" w:eastAsia="en-US"/>
        </w:rPr>
        <w:t>s</w:t>
      </w:r>
      <w:r w:rsidRPr="008B3EE4">
        <w:rPr>
          <w:rFonts w:eastAsia="Calibri"/>
          <w:noProof/>
          <w:lang w:val="en-US" w:eastAsia="en-US"/>
        </w:rPr>
        <w:t xml:space="preserve">ales and </w:t>
      </w:r>
      <w:r w:rsidR="0062495A">
        <w:rPr>
          <w:rFonts w:eastAsia="Calibri"/>
          <w:noProof/>
          <w:lang w:val="en-US" w:eastAsia="en-US"/>
        </w:rPr>
        <w:t>s</w:t>
      </w:r>
      <w:r w:rsidRPr="008B3EE4">
        <w:rPr>
          <w:rFonts w:eastAsia="Calibri"/>
          <w:noProof/>
          <w:lang w:val="en-US" w:eastAsia="en-US"/>
        </w:rPr>
        <w:t xml:space="preserve">ocial </w:t>
      </w:r>
      <w:r w:rsidR="0062495A">
        <w:rPr>
          <w:rFonts w:eastAsia="Calibri"/>
          <w:noProof/>
          <w:lang w:val="en-US" w:eastAsia="en-US"/>
        </w:rPr>
        <w:t>p</w:t>
      </w:r>
      <w:r w:rsidRPr="008B3EE4">
        <w:rPr>
          <w:rFonts w:eastAsia="Calibri"/>
          <w:noProof/>
          <w:lang w:val="en-US" w:eastAsia="en-US"/>
        </w:rPr>
        <w:t xml:space="preserve">atterning of </w:t>
      </w:r>
      <w:r w:rsidR="0062495A">
        <w:rPr>
          <w:rFonts w:eastAsia="Calibri"/>
          <w:noProof/>
          <w:lang w:val="en-US" w:eastAsia="en-US"/>
        </w:rPr>
        <w:t>r</w:t>
      </w:r>
      <w:r w:rsidRPr="008B3EE4">
        <w:rPr>
          <w:rFonts w:eastAsia="Calibri"/>
          <w:noProof/>
          <w:lang w:val="en-US" w:eastAsia="en-US"/>
        </w:rPr>
        <w:t xml:space="preserve">esponses to </w:t>
      </w:r>
      <w:r w:rsidR="0062495A">
        <w:rPr>
          <w:rFonts w:eastAsia="Calibri"/>
          <w:noProof/>
          <w:lang w:val="en-US" w:eastAsia="en-US"/>
        </w:rPr>
        <w:t>p</w:t>
      </w:r>
      <w:r w:rsidRPr="008B3EE4">
        <w:rPr>
          <w:rFonts w:eastAsia="Calibri"/>
          <w:noProof/>
          <w:lang w:val="en-US" w:eastAsia="en-US"/>
        </w:rPr>
        <w:t xml:space="preserve">romotions in Great Britain. American Journal of Clinical Nutrition. 101(4), 808-816. </w:t>
      </w:r>
    </w:p>
    <w:p w14:paraId="3B5B7632" w14:textId="77777777"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Nevo, A</w:t>
      </w:r>
      <w:r w:rsidRPr="008B3EE4">
        <w:rPr>
          <w:rFonts w:eastAsia="Calibri"/>
          <w:noProof/>
          <w:lang w:val="en-US" w:eastAsia="en-US"/>
        </w:rPr>
        <w:t>., 2001. Measuring Market Power in the Ready</w:t>
      </w:r>
      <w:r w:rsidRPr="008B3EE4">
        <w:rPr>
          <w:rFonts w:ascii="Cambria Math" w:eastAsia="Calibri" w:hAnsi="Cambria Math" w:cs="Cambria Math"/>
          <w:noProof/>
          <w:lang w:val="en-US" w:eastAsia="en-US"/>
        </w:rPr>
        <w:t>‐</w:t>
      </w:r>
      <w:r w:rsidRPr="008B3EE4">
        <w:rPr>
          <w:rFonts w:eastAsia="Calibri"/>
          <w:noProof/>
          <w:lang w:val="en-US" w:eastAsia="en-US"/>
        </w:rPr>
        <w:t>to</w:t>
      </w:r>
      <w:r w:rsidRPr="008B3EE4">
        <w:rPr>
          <w:rFonts w:ascii="Cambria Math" w:eastAsia="Calibri" w:hAnsi="Cambria Math" w:cs="Cambria Math"/>
          <w:noProof/>
          <w:lang w:val="en-US" w:eastAsia="en-US"/>
        </w:rPr>
        <w:t>‐</w:t>
      </w:r>
      <w:r w:rsidRPr="008B3EE4">
        <w:rPr>
          <w:rFonts w:eastAsia="Calibri"/>
          <w:noProof/>
          <w:lang w:val="en-US" w:eastAsia="en-US"/>
        </w:rPr>
        <w:t>Eat Cereal Industry. Econometrica. 69(2), 307-342.</w:t>
      </w:r>
    </w:p>
    <w:p w14:paraId="3ED24297" w14:textId="77777777"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Powell, L</w:t>
      </w:r>
      <w:r w:rsidRPr="008B3EE4">
        <w:rPr>
          <w:rFonts w:eastAsia="Calibri"/>
          <w:noProof/>
          <w:lang w:val="en-US" w:eastAsia="en-US"/>
        </w:rPr>
        <w:t>.</w:t>
      </w:r>
      <w:r w:rsidRPr="000D52F7">
        <w:rPr>
          <w:rFonts w:eastAsia="Calibri"/>
          <w:noProof/>
          <w:lang w:val="en-US" w:eastAsia="en-US"/>
        </w:rPr>
        <w:t>M.</w:t>
      </w:r>
      <w:r w:rsidRPr="008B3EE4">
        <w:rPr>
          <w:rFonts w:eastAsia="Calibri"/>
          <w:noProof/>
          <w:lang w:val="en-US" w:eastAsia="en-US"/>
        </w:rPr>
        <w:t>,</w:t>
      </w:r>
      <w:r w:rsidRPr="000D52F7">
        <w:rPr>
          <w:rFonts w:eastAsia="Calibri"/>
          <w:noProof/>
          <w:lang w:val="en-US" w:eastAsia="en-US"/>
        </w:rPr>
        <w:t xml:space="preserve"> Chaloupka</w:t>
      </w:r>
      <w:r w:rsidRPr="008B3EE4">
        <w:rPr>
          <w:rFonts w:eastAsia="Calibri"/>
          <w:noProof/>
          <w:lang w:val="en-US" w:eastAsia="en-US"/>
        </w:rPr>
        <w:t>, F.J.,</w:t>
      </w:r>
      <w:r w:rsidRPr="000D52F7">
        <w:rPr>
          <w:rFonts w:eastAsia="Calibri"/>
          <w:noProof/>
          <w:lang w:val="en-US" w:eastAsia="en-US"/>
        </w:rPr>
        <w:t xml:space="preserve"> </w:t>
      </w:r>
      <w:r w:rsidRPr="008B3EE4">
        <w:rPr>
          <w:rFonts w:eastAsia="Calibri"/>
          <w:noProof/>
          <w:lang w:val="en-US" w:eastAsia="en-US"/>
        </w:rPr>
        <w:t>2009. Food Prices and Obesity: Evidence and Policy Implications for Taxes and Subsidies. Milbank Quarterly. 87(1), 229-257.</w:t>
      </w:r>
    </w:p>
    <w:p w14:paraId="2351804F" w14:textId="45157F84" w:rsidR="00F27058" w:rsidRDefault="00F27058" w:rsidP="00871858">
      <w:pPr>
        <w:spacing w:after="0"/>
        <w:ind w:hanging="567"/>
        <w:rPr>
          <w:rFonts w:eastAsia="Calibri"/>
          <w:noProof/>
          <w:lang w:val="en-US" w:eastAsia="en-US"/>
        </w:rPr>
      </w:pPr>
      <w:r w:rsidRPr="008B3EE4">
        <w:rPr>
          <w:rFonts w:eastAsia="Calibri"/>
          <w:noProof/>
          <w:lang w:val="en-US" w:eastAsia="en-US"/>
        </w:rPr>
        <w:t>Powell, L.M., Chriqui, J.F., Khan, T., Wada, R., Chaloupka, F.J., 2013. Assessing the Potential Effectiveness of Food and Beverage</w:t>
      </w:r>
      <w:r w:rsidRPr="008B3EE4">
        <w:rPr>
          <w:rFonts w:eastAsiaTheme="minorEastAsia" w:hint="eastAsia"/>
          <w:noProof/>
          <w:lang w:val="en-US" w:eastAsia="ja-JP"/>
        </w:rPr>
        <w:t xml:space="preserve"> </w:t>
      </w:r>
      <w:r w:rsidRPr="008B3EE4">
        <w:rPr>
          <w:rFonts w:eastAsia="Calibri"/>
          <w:noProof/>
          <w:lang w:val="en-US" w:eastAsia="en-US"/>
        </w:rPr>
        <w:t xml:space="preserve">Taxes and Subsidies for </w:t>
      </w:r>
      <w:r w:rsidRPr="008B3EE4">
        <w:rPr>
          <w:rFonts w:eastAsia="Calibri"/>
          <w:noProof/>
          <w:lang w:val="en-US" w:eastAsia="en-US"/>
        </w:rPr>
        <w:lastRenderedPageBreak/>
        <w:t>Improving Public Health: A Systematic</w:t>
      </w:r>
      <w:r w:rsidRPr="008B3EE4">
        <w:rPr>
          <w:rFonts w:eastAsiaTheme="minorEastAsia" w:hint="eastAsia"/>
          <w:noProof/>
          <w:lang w:val="en-US" w:eastAsia="ja-JP"/>
        </w:rPr>
        <w:t xml:space="preserve"> </w:t>
      </w:r>
      <w:r w:rsidRPr="008B3EE4">
        <w:rPr>
          <w:rFonts w:eastAsia="Calibri"/>
          <w:noProof/>
          <w:lang w:val="en-US" w:eastAsia="en-US"/>
        </w:rPr>
        <w:t>Review of Prices, Demand and Body Weight Outcomes. Obesity Reviews. 14, 110-128. doi:10.1111/obr.12002.</w:t>
      </w:r>
    </w:p>
    <w:p w14:paraId="64C9B49B" w14:textId="64347357" w:rsidR="00E3409C" w:rsidRPr="00E3409C" w:rsidRDefault="00E3409C" w:rsidP="00E3409C">
      <w:pPr>
        <w:spacing w:after="0"/>
        <w:ind w:hanging="567"/>
        <w:rPr>
          <w:rFonts w:eastAsia="Calibri"/>
          <w:noProof/>
          <w:lang w:val="en-US" w:eastAsia="en-US"/>
        </w:rPr>
      </w:pPr>
      <w:r w:rsidRPr="00E3409C">
        <w:rPr>
          <w:rFonts w:eastAsia="Calibri"/>
          <w:noProof/>
          <w:lang w:val="en-US" w:eastAsia="en-US"/>
        </w:rPr>
        <w:t>Public Health England, 2015. Sugar Reduction: The Evidence for Action.</w:t>
      </w:r>
    </w:p>
    <w:p w14:paraId="0360B3B0" w14:textId="77777777" w:rsidR="00F27058" w:rsidRPr="000D52F7" w:rsidRDefault="00F27058" w:rsidP="00871858">
      <w:pPr>
        <w:spacing w:after="0"/>
        <w:ind w:hanging="567"/>
        <w:rPr>
          <w:rFonts w:eastAsia="Calibri"/>
          <w:noProof/>
          <w:lang w:val="en-US" w:eastAsia="en-US"/>
        </w:rPr>
      </w:pPr>
      <w:r w:rsidRPr="00FA57E3">
        <w:rPr>
          <w:rFonts w:eastAsia="Calibri"/>
          <w:noProof/>
          <w:lang w:val="en-US" w:eastAsia="en-US"/>
        </w:rPr>
        <w:t>Rayner, M., Scarborough, P., Boxer, A., Stockley, L., 2005. Nutrient Profiles: Development of Final Model, London: Food Standards Agency.</w:t>
      </w:r>
    </w:p>
    <w:p w14:paraId="2FDA2282" w14:textId="636A1658" w:rsidR="00F27058" w:rsidRDefault="00F27058" w:rsidP="00871858">
      <w:pPr>
        <w:spacing w:after="0"/>
        <w:ind w:hanging="567"/>
      </w:pPr>
      <w:r w:rsidRPr="000D52F7">
        <w:rPr>
          <w:lang w:val="en"/>
        </w:rPr>
        <w:t>Sharma, A</w:t>
      </w:r>
      <w:r w:rsidRPr="008B3EE4">
        <w:rPr>
          <w:lang w:val="en"/>
        </w:rPr>
        <w:t xml:space="preserve">., </w:t>
      </w:r>
      <w:r w:rsidRPr="000D52F7">
        <w:rPr>
          <w:lang w:val="en"/>
        </w:rPr>
        <w:t>Hauck</w:t>
      </w:r>
      <w:r w:rsidRPr="008B3EE4">
        <w:rPr>
          <w:lang w:val="en"/>
        </w:rPr>
        <w:t>, K.,</w:t>
      </w:r>
      <w:r w:rsidRPr="000D52F7">
        <w:rPr>
          <w:lang w:val="en"/>
        </w:rPr>
        <w:t xml:space="preserve"> Hollingsworth</w:t>
      </w:r>
      <w:r w:rsidRPr="008B3EE4">
        <w:rPr>
          <w:lang w:val="en"/>
        </w:rPr>
        <w:t>, B.,</w:t>
      </w:r>
      <w:r w:rsidRPr="000D52F7">
        <w:rPr>
          <w:lang w:val="en"/>
        </w:rPr>
        <w:t xml:space="preserve"> </w:t>
      </w:r>
      <w:proofErr w:type="spellStart"/>
      <w:r w:rsidRPr="000D52F7">
        <w:rPr>
          <w:lang w:val="en"/>
        </w:rPr>
        <w:t>Siciliani</w:t>
      </w:r>
      <w:proofErr w:type="spellEnd"/>
      <w:r w:rsidRPr="008B3EE4">
        <w:rPr>
          <w:lang w:val="en"/>
        </w:rPr>
        <w:t>, L</w:t>
      </w:r>
      <w:r w:rsidRPr="000D52F7">
        <w:rPr>
          <w:lang w:val="en"/>
        </w:rPr>
        <w:t>.</w:t>
      </w:r>
      <w:r w:rsidRPr="008B3EE4">
        <w:rPr>
          <w:lang w:val="en"/>
        </w:rPr>
        <w:t xml:space="preserve">, 2014. </w:t>
      </w:r>
      <w:r w:rsidRPr="008B3EE4">
        <w:t xml:space="preserve">The effects of taxing sugar-sweetened beverages across different income groups.  Health Economics. </w:t>
      </w:r>
      <w:r w:rsidRPr="008B3EE4">
        <w:rPr>
          <w:bCs/>
        </w:rPr>
        <w:t>23</w:t>
      </w:r>
      <w:r w:rsidRPr="008B3EE4">
        <w:t xml:space="preserve">(9), 1159-1184. </w:t>
      </w:r>
    </w:p>
    <w:p w14:paraId="77E80BB3" w14:textId="6DAE25D5" w:rsidR="002F77D4" w:rsidRDefault="002F77D4" w:rsidP="00871858">
      <w:pPr>
        <w:spacing w:after="0"/>
        <w:ind w:hanging="567"/>
      </w:pPr>
      <w:proofErr w:type="spellStart"/>
      <w:r>
        <w:t>Schroeter</w:t>
      </w:r>
      <w:proofErr w:type="spellEnd"/>
      <w:r>
        <w:t>, C., Lusk, J., Tyner, W., 2008. Determining the impact of food price and income changes on body weight. Journal of Health Economics. 27(1) 45-68.</w:t>
      </w:r>
    </w:p>
    <w:p w14:paraId="4B015F6C" w14:textId="7A880EDD" w:rsidR="00083DA6" w:rsidRPr="000F5399" w:rsidRDefault="00083DA6" w:rsidP="00871858">
      <w:pPr>
        <w:spacing w:after="0"/>
        <w:ind w:hanging="567"/>
        <w:rPr>
          <w:rFonts w:eastAsiaTheme="minorEastAsia"/>
          <w:lang w:eastAsia="ja-JP"/>
        </w:rPr>
      </w:pPr>
      <w:proofErr w:type="spellStart"/>
      <w:r>
        <w:t>Shemilt</w:t>
      </w:r>
      <w:proofErr w:type="spellEnd"/>
      <w:r>
        <w:t xml:space="preserve">, I., Hollands, G.J., Marteau, T.M., Nakamura, R., </w:t>
      </w:r>
      <w:proofErr w:type="spellStart"/>
      <w:r>
        <w:t>Jebb</w:t>
      </w:r>
      <w:proofErr w:type="spellEnd"/>
      <w:r>
        <w:t xml:space="preserve">, S.A., Kelly, M.P., </w:t>
      </w:r>
      <w:proofErr w:type="spellStart"/>
      <w:r>
        <w:t>Suhrcke</w:t>
      </w:r>
      <w:proofErr w:type="spellEnd"/>
      <w:r>
        <w:t xml:space="preserve">, M., Ogilvie, D., 2013. Economic instruments for population diet and physical activity behaviour change: a systematic scoping review. </w:t>
      </w:r>
      <w:r w:rsidR="003539E0">
        <w:t>PLOS One. 8</w:t>
      </w:r>
      <w:r w:rsidR="003539E0">
        <w:rPr>
          <w:lang w:val="en-US"/>
        </w:rPr>
        <w:t>(9), e75070.</w:t>
      </w:r>
    </w:p>
    <w:p w14:paraId="070E440B" w14:textId="77777777" w:rsidR="0059475D" w:rsidRPr="00D43E59" w:rsidRDefault="00F27058" w:rsidP="00871858">
      <w:pPr>
        <w:spacing w:after="0"/>
        <w:ind w:hanging="567"/>
        <w:rPr>
          <w:lang w:val="it-IT"/>
        </w:rPr>
      </w:pPr>
      <w:r w:rsidRPr="008B3EE4">
        <w:rPr>
          <w:lang w:val="en"/>
        </w:rPr>
        <w:t xml:space="preserve">Silver, L.D., Ng, S.W., Ryan-Ibarra, S., </w:t>
      </w:r>
      <w:proofErr w:type="spellStart"/>
      <w:r w:rsidRPr="008B3EE4">
        <w:rPr>
          <w:lang w:val="en"/>
        </w:rPr>
        <w:t>Taillie</w:t>
      </w:r>
      <w:proofErr w:type="spellEnd"/>
      <w:r w:rsidRPr="008B3EE4">
        <w:rPr>
          <w:lang w:val="en"/>
        </w:rPr>
        <w:t xml:space="preserve">, L.S., </w:t>
      </w:r>
      <w:proofErr w:type="spellStart"/>
      <w:r w:rsidRPr="008B3EE4">
        <w:rPr>
          <w:lang w:val="en"/>
        </w:rPr>
        <w:t>Induni</w:t>
      </w:r>
      <w:proofErr w:type="spellEnd"/>
      <w:r w:rsidRPr="008B3EE4">
        <w:rPr>
          <w:lang w:val="en"/>
        </w:rPr>
        <w:t xml:space="preserve">, M., Miles, D.R., </w:t>
      </w:r>
      <w:proofErr w:type="spellStart"/>
      <w:r w:rsidRPr="008B3EE4">
        <w:rPr>
          <w:lang w:val="en"/>
        </w:rPr>
        <w:t>Poti</w:t>
      </w:r>
      <w:proofErr w:type="spellEnd"/>
      <w:r w:rsidRPr="008B3EE4">
        <w:rPr>
          <w:lang w:val="en"/>
        </w:rPr>
        <w:t xml:space="preserve">, J.M., </w:t>
      </w:r>
      <w:proofErr w:type="spellStart"/>
      <w:r w:rsidRPr="008B3EE4">
        <w:rPr>
          <w:lang w:val="en"/>
        </w:rPr>
        <w:t>Popkin</w:t>
      </w:r>
      <w:proofErr w:type="spellEnd"/>
      <w:r w:rsidRPr="008B3EE4">
        <w:rPr>
          <w:lang w:val="en"/>
        </w:rPr>
        <w:t xml:space="preserve">, B.M., 2017. Changes in prices, sales, consumer spending, and beverage consumption one year after a tax on sugar-sweetened beverages in Berkeley, California, US: A before-and-after study. </w:t>
      </w:r>
      <w:r w:rsidRPr="00D43E59">
        <w:rPr>
          <w:lang w:val="it-IT"/>
        </w:rPr>
        <w:t>PL</w:t>
      </w:r>
      <w:r w:rsidR="002F77D4" w:rsidRPr="00D43E59">
        <w:rPr>
          <w:lang w:val="it-IT"/>
        </w:rPr>
        <w:t>O</w:t>
      </w:r>
      <w:r w:rsidRPr="00D43E59">
        <w:rPr>
          <w:lang w:val="it-IT"/>
        </w:rPr>
        <w:t>S Medicine. 14(4), e1002283.</w:t>
      </w:r>
    </w:p>
    <w:p w14:paraId="5E6A9836" w14:textId="2E68F0A4" w:rsidR="00F27058" w:rsidRDefault="0059475D" w:rsidP="00871858">
      <w:pPr>
        <w:spacing w:after="0"/>
        <w:ind w:hanging="567"/>
        <w:rPr>
          <w:lang w:val="en"/>
        </w:rPr>
      </w:pPr>
      <w:r w:rsidRPr="00D43E59">
        <w:rPr>
          <w:lang w:val="it-IT"/>
        </w:rPr>
        <w:t xml:space="preserve">Sitzia, S., Zheng, J., Zizzo, D.J., 2015. </w:t>
      </w:r>
      <w:r w:rsidRPr="0059475D">
        <w:rPr>
          <w:lang w:val="en"/>
        </w:rPr>
        <w:t xml:space="preserve">Inattentive consumers in markets for services. Theory </w:t>
      </w:r>
      <w:r>
        <w:rPr>
          <w:lang w:val="en"/>
        </w:rPr>
        <w:t xml:space="preserve">and </w:t>
      </w:r>
      <w:r w:rsidRPr="0059475D">
        <w:rPr>
          <w:lang w:val="en"/>
        </w:rPr>
        <w:t>Decis</w:t>
      </w:r>
      <w:r>
        <w:rPr>
          <w:lang w:val="en"/>
        </w:rPr>
        <w:t xml:space="preserve">ion, </w:t>
      </w:r>
      <w:r w:rsidRPr="0059475D">
        <w:rPr>
          <w:lang w:val="en"/>
        </w:rPr>
        <w:t>79</w:t>
      </w:r>
      <w:r>
        <w:rPr>
          <w:lang w:val="en"/>
        </w:rPr>
        <w:t>(2)</w:t>
      </w:r>
      <w:r w:rsidRPr="0059475D">
        <w:rPr>
          <w:lang w:val="en"/>
        </w:rPr>
        <w:t>, 307–332.</w:t>
      </w:r>
      <w:r w:rsidR="00F27058" w:rsidRPr="008B3EE4">
        <w:rPr>
          <w:lang w:val="en"/>
        </w:rPr>
        <w:t xml:space="preserve"> </w:t>
      </w:r>
    </w:p>
    <w:p w14:paraId="7298BC0E" w14:textId="3D17FC53" w:rsidR="002F77D4" w:rsidRPr="008B3EE4" w:rsidRDefault="002F77D4" w:rsidP="00871858">
      <w:pPr>
        <w:spacing w:after="0"/>
        <w:ind w:hanging="567"/>
        <w:rPr>
          <w:lang w:val="en"/>
        </w:rPr>
      </w:pPr>
      <w:proofErr w:type="spellStart"/>
      <w:r>
        <w:rPr>
          <w:lang w:val="en"/>
        </w:rPr>
        <w:t>Smed</w:t>
      </w:r>
      <w:proofErr w:type="spellEnd"/>
      <w:r>
        <w:rPr>
          <w:lang w:val="en"/>
        </w:rPr>
        <w:t>, S., Jensen, J.D., Denver, S., 2007. Socio-economic characteristics and the effect of taxation as a health policy instrument. Food Policy. 32(5-6): 624-639.</w:t>
      </w:r>
    </w:p>
    <w:p w14:paraId="4564A40F" w14:textId="35D1B50A" w:rsidR="00AA79BA" w:rsidRDefault="00AA79BA" w:rsidP="00871858">
      <w:pPr>
        <w:spacing w:after="0"/>
        <w:ind w:hanging="567"/>
        <w:rPr>
          <w:rFonts w:eastAsia="Calibri"/>
          <w:noProof/>
          <w:lang w:val="en-US" w:eastAsia="en-US"/>
        </w:rPr>
      </w:pPr>
      <w:r w:rsidRPr="00AA79BA">
        <w:rPr>
          <w:rFonts w:eastAsia="Calibri"/>
          <w:noProof/>
          <w:lang w:val="en-US" w:eastAsia="en-US"/>
        </w:rPr>
        <w:t>Smith</w:t>
      </w:r>
      <w:r>
        <w:rPr>
          <w:rFonts w:eastAsia="Calibri"/>
          <w:noProof/>
          <w:lang w:val="en-US" w:eastAsia="en-US"/>
        </w:rPr>
        <w:t>,</w:t>
      </w:r>
      <w:r w:rsidRPr="00AA79BA">
        <w:rPr>
          <w:rFonts w:eastAsia="Calibri"/>
          <w:noProof/>
          <w:lang w:val="en-US" w:eastAsia="en-US"/>
        </w:rPr>
        <w:t xml:space="preserve"> R</w:t>
      </w:r>
      <w:r>
        <w:rPr>
          <w:rFonts w:eastAsia="Calibri"/>
          <w:noProof/>
          <w:lang w:val="en-US" w:eastAsia="en-US"/>
        </w:rPr>
        <w:t>.</w:t>
      </w:r>
      <w:r w:rsidRPr="00AA79BA">
        <w:rPr>
          <w:rFonts w:eastAsia="Calibri"/>
          <w:noProof/>
          <w:lang w:val="en-US" w:eastAsia="en-US"/>
        </w:rPr>
        <w:t>D</w:t>
      </w:r>
      <w:r>
        <w:rPr>
          <w:rFonts w:eastAsia="Calibri"/>
          <w:noProof/>
          <w:lang w:val="en-US" w:eastAsia="en-US"/>
        </w:rPr>
        <w:t>.</w:t>
      </w:r>
      <w:r w:rsidRPr="00AA79BA">
        <w:rPr>
          <w:rFonts w:eastAsia="Calibri"/>
          <w:noProof/>
          <w:lang w:val="en-US" w:eastAsia="en-US"/>
        </w:rPr>
        <w:t>, Cornelsen</w:t>
      </w:r>
      <w:r>
        <w:rPr>
          <w:rFonts w:eastAsia="Calibri"/>
          <w:noProof/>
          <w:lang w:val="en-US" w:eastAsia="en-US"/>
        </w:rPr>
        <w:t>,</w:t>
      </w:r>
      <w:r w:rsidRPr="00AA79BA">
        <w:rPr>
          <w:rFonts w:eastAsia="Calibri"/>
          <w:noProof/>
          <w:lang w:val="en-US" w:eastAsia="en-US"/>
        </w:rPr>
        <w:t xml:space="preserve"> L</w:t>
      </w:r>
      <w:r>
        <w:rPr>
          <w:rFonts w:eastAsia="Calibri"/>
          <w:noProof/>
          <w:lang w:val="en-US" w:eastAsia="en-US"/>
        </w:rPr>
        <w:t>.</w:t>
      </w:r>
      <w:r w:rsidRPr="00AA79BA">
        <w:rPr>
          <w:rFonts w:eastAsia="Calibri"/>
          <w:noProof/>
          <w:lang w:val="en-US" w:eastAsia="en-US"/>
        </w:rPr>
        <w:t>, Quirmbach</w:t>
      </w:r>
      <w:r>
        <w:rPr>
          <w:rFonts w:eastAsia="Calibri"/>
          <w:noProof/>
          <w:lang w:val="en-US" w:eastAsia="en-US"/>
        </w:rPr>
        <w:t>,</w:t>
      </w:r>
      <w:r w:rsidRPr="00AA79BA">
        <w:rPr>
          <w:rFonts w:eastAsia="Calibri"/>
          <w:noProof/>
          <w:lang w:val="en-US" w:eastAsia="en-US"/>
        </w:rPr>
        <w:t xml:space="preserve"> D</w:t>
      </w:r>
      <w:r>
        <w:rPr>
          <w:rFonts w:eastAsia="Calibri"/>
          <w:noProof/>
          <w:lang w:val="en-US" w:eastAsia="en-US"/>
        </w:rPr>
        <w:t>.</w:t>
      </w:r>
      <w:r w:rsidRPr="00AA79BA">
        <w:rPr>
          <w:rFonts w:eastAsia="Calibri"/>
          <w:noProof/>
          <w:lang w:val="en-US" w:eastAsia="en-US"/>
        </w:rPr>
        <w:t>, Jebb</w:t>
      </w:r>
      <w:r>
        <w:rPr>
          <w:rFonts w:eastAsia="Calibri"/>
          <w:noProof/>
          <w:lang w:val="en-US" w:eastAsia="en-US"/>
        </w:rPr>
        <w:t>,</w:t>
      </w:r>
      <w:r w:rsidRPr="00AA79BA">
        <w:rPr>
          <w:rFonts w:eastAsia="Calibri"/>
          <w:noProof/>
          <w:lang w:val="en-US" w:eastAsia="en-US"/>
        </w:rPr>
        <w:t xml:space="preserve"> S</w:t>
      </w:r>
      <w:r>
        <w:rPr>
          <w:rFonts w:eastAsia="Calibri"/>
          <w:noProof/>
          <w:lang w:val="en-US" w:eastAsia="en-US"/>
        </w:rPr>
        <w:t>.</w:t>
      </w:r>
      <w:r w:rsidRPr="00AA79BA">
        <w:rPr>
          <w:rFonts w:eastAsia="Calibri"/>
          <w:noProof/>
          <w:lang w:val="en-US" w:eastAsia="en-US"/>
        </w:rPr>
        <w:t>A</w:t>
      </w:r>
      <w:r>
        <w:rPr>
          <w:rFonts w:eastAsia="Calibri"/>
          <w:noProof/>
          <w:lang w:val="en-US" w:eastAsia="en-US"/>
        </w:rPr>
        <w:t>.</w:t>
      </w:r>
      <w:r w:rsidRPr="00AA79BA">
        <w:rPr>
          <w:rFonts w:eastAsia="Calibri"/>
          <w:noProof/>
          <w:lang w:val="en-US" w:eastAsia="en-US"/>
        </w:rPr>
        <w:t>, Marteau</w:t>
      </w:r>
      <w:r>
        <w:rPr>
          <w:rFonts w:eastAsia="Calibri"/>
          <w:noProof/>
          <w:lang w:val="en-US" w:eastAsia="en-US"/>
        </w:rPr>
        <w:t>,</w:t>
      </w:r>
      <w:r w:rsidRPr="00AA79BA">
        <w:rPr>
          <w:rFonts w:eastAsia="Calibri"/>
          <w:noProof/>
          <w:lang w:val="en-US" w:eastAsia="en-US"/>
        </w:rPr>
        <w:t xml:space="preserve"> T</w:t>
      </w:r>
      <w:r>
        <w:rPr>
          <w:rFonts w:eastAsia="Calibri"/>
          <w:noProof/>
          <w:lang w:val="en-US" w:eastAsia="en-US"/>
        </w:rPr>
        <w:t>.</w:t>
      </w:r>
      <w:r w:rsidRPr="00AA79BA">
        <w:rPr>
          <w:rFonts w:eastAsia="Calibri"/>
          <w:noProof/>
          <w:lang w:val="en-US" w:eastAsia="en-US"/>
        </w:rPr>
        <w:t>M.</w:t>
      </w:r>
      <w:r>
        <w:rPr>
          <w:rFonts w:eastAsia="Calibri"/>
          <w:noProof/>
          <w:lang w:val="en-US" w:eastAsia="en-US"/>
        </w:rPr>
        <w:t xml:space="preserve"> (2018).</w:t>
      </w:r>
      <w:r w:rsidRPr="00AA79BA">
        <w:rPr>
          <w:rFonts w:eastAsia="Calibri"/>
          <w:noProof/>
          <w:lang w:val="en-US" w:eastAsia="en-US"/>
        </w:rPr>
        <w:t xml:space="preserve"> Are sweet snacks more sensitive to price increases than sugar-sweetened beverages: analysis of British food purchase data. BMJ Open</w:t>
      </w:r>
      <w:r>
        <w:rPr>
          <w:rFonts w:eastAsia="Calibri"/>
          <w:noProof/>
          <w:lang w:val="en-US" w:eastAsia="en-US"/>
        </w:rPr>
        <w:t xml:space="preserve">. 8(4), </w:t>
      </w:r>
      <w:r w:rsidRPr="00AA79BA">
        <w:rPr>
          <w:rFonts w:eastAsia="Calibri"/>
          <w:noProof/>
          <w:lang w:val="en-US" w:eastAsia="en-US"/>
        </w:rPr>
        <w:t>e019788.</w:t>
      </w:r>
    </w:p>
    <w:p w14:paraId="3A5E384B" w14:textId="1DBF0D0E" w:rsidR="00F27058" w:rsidRPr="008B3EE4" w:rsidRDefault="00F27058" w:rsidP="00871858">
      <w:pPr>
        <w:spacing w:after="0"/>
        <w:ind w:hanging="567"/>
        <w:rPr>
          <w:rFonts w:eastAsia="Calibri"/>
          <w:noProof/>
          <w:lang w:val="en-US" w:eastAsia="en-US"/>
        </w:rPr>
      </w:pPr>
      <w:r w:rsidRPr="000D52F7">
        <w:rPr>
          <w:rFonts w:eastAsia="Calibri"/>
          <w:noProof/>
          <w:lang w:val="en-US" w:eastAsia="en-US"/>
        </w:rPr>
        <w:t>Snowdon, C</w:t>
      </w:r>
      <w:r w:rsidRPr="008B3EE4">
        <w:rPr>
          <w:rFonts w:eastAsia="Calibri"/>
          <w:noProof/>
          <w:lang w:val="en-US" w:eastAsia="en-US"/>
        </w:rPr>
        <w:t xml:space="preserve">., 2015. </w:t>
      </w:r>
      <w:hyperlink r:id="rId18" w:history="1">
        <w:r w:rsidRPr="00BF5372">
          <w:rPr>
            <w:rStyle w:val="Hyperlink"/>
            <w:rFonts w:eastAsia="Calibri"/>
            <w:noProof/>
            <w:lang w:val="en-US" w:eastAsia="en-US"/>
          </w:rPr>
          <w:t>A tax on sugar won’t work, as the shipwreck of the Danish ‘fat tax’ shows</w:t>
        </w:r>
      </w:hyperlink>
      <w:r w:rsidRPr="008B3EE4">
        <w:rPr>
          <w:rFonts w:eastAsia="Calibri"/>
          <w:noProof/>
          <w:lang w:val="en-US" w:eastAsia="en-US"/>
        </w:rPr>
        <w:t xml:space="preserve">. </w:t>
      </w:r>
      <w:r w:rsidRPr="008B3EE4">
        <w:rPr>
          <w:i/>
        </w:rPr>
        <w:t>Spectator</w:t>
      </w:r>
      <w:r w:rsidRPr="008B3EE4">
        <w:t xml:space="preserve">. </w:t>
      </w:r>
      <w:r w:rsidRPr="008B3EE4">
        <w:rPr>
          <w:rFonts w:eastAsia="Calibri"/>
          <w:noProof/>
          <w:lang w:val="en-US" w:eastAsia="en-US"/>
        </w:rPr>
        <w:t>(</w:t>
      </w:r>
      <w:r w:rsidR="00BF5372">
        <w:rPr>
          <w:rFonts w:eastAsia="Calibri"/>
          <w:noProof/>
          <w:lang w:val="en-US" w:eastAsia="en-US"/>
        </w:rPr>
        <w:t>A</w:t>
      </w:r>
      <w:r w:rsidRPr="008B3EE4">
        <w:rPr>
          <w:rFonts w:eastAsia="Calibri"/>
          <w:noProof/>
          <w:lang w:val="en-US" w:eastAsia="en-US"/>
        </w:rPr>
        <w:t>ccessed August 21, 2018).</w:t>
      </w:r>
    </w:p>
    <w:p w14:paraId="697EA877" w14:textId="59490F27" w:rsidR="00E67A6B" w:rsidRDefault="00E67A6B" w:rsidP="00871858">
      <w:pPr>
        <w:spacing w:after="0"/>
        <w:ind w:hanging="567"/>
        <w:rPr>
          <w:rFonts w:eastAsia="Calibri"/>
          <w:noProof/>
          <w:lang w:val="en-US" w:eastAsia="en-US"/>
        </w:rPr>
      </w:pPr>
      <w:r>
        <w:rPr>
          <w:rFonts w:eastAsia="Calibri"/>
          <w:noProof/>
          <w:lang w:val="en-US" w:eastAsia="en-US"/>
        </w:rPr>
        <w:lastRenderedPageBreak/>
        <w:t>Sugden, R</w:t>
      </w:r>
      <w:r w:rsidRPr="00E67A6B">
        <w:rPr>
          <w:rFonts w:eastAsia="Calibri"/>
          <w:noProof/>
          <w:lang w:val="en-US" w:eastAsia="en-US"/>
        </w:rPr>
        <w:t>.</w:t>
      </w:r>
      <w:r>
        <w:rPr>
          <w:rFonts w:eastAsia="Calibri"/>
          <w:noProof/>
          <w:lang w:val="en-US" w:eastAsia="en-US"/>
        </w:rPr>
        <w:t>,</w:t>
      </w:r>
      <w:r w:rsidRPr="00E67A6B">
        <w:rPr>
          <w:rFonts w:eastAsia="Calibri"/>
          <w:noProof/>
          <w:lang w:val="en-US" w:eastAsia="en-US"/>
        </w:rPr>
        <w:t xml:space="preserve"> Wang</w:t>
      </w:r>
      <w:r>
        <w:rPr>
          <w:rFonts w:eastAsia="Calibri"/>
          <w:noProof/>
          <w:lang w:val="en-US" w:eastAsia="en-US"/>
        </w:rPr>
        <w:t>, M., Zizzo, D.J., 2019. Take it or leave it: Experimental evidence on the effect of time-limited offers on c</w:t>
      </w:r>
      <w:r w:rsidRPr="00E67A6B">
        <w:rPr>
          <w:rFonts w:eastAsia="Calibri"/>
          <w:noProof/>
          <w:lang w:val="en-US" w:eastAsia="en-US"/>
        </w:rPr>
        <w:t>onsu</w:t>
      </w:r>
      <w:r>
        <w:rPr>
          <w:rFonts w:eastAsia="Calibri"/>
          <w:noProof/>
          <w:lang w:val="en-US" w:eastAsia="en-US"/>
        </w:rPr>
        <w:t>mer behaviour.</w:t>
      </w:r>
      <w:r w:rsidRPr="00E67A6B">
        <w:rPr>
          <w:rFonts w:eastAsia="Calibri"/>
          <w:noProof/>
          <w:lang w:val="en-US" w:eastAsia="en-US"/>
        </w:rPr>
        <w:t xml:space="preserve"> Journal of Economic Behavior and </w:t>
      </w:r>
      <w:r w:rsidR="007133E0">
        <w:rPr>
          <w:rFonts w:eastAsia="Calibri"/>
          <w:noProof/>
          <w:lang w:val="en-US" w:eastAsia="en-US"/>
        </w:rPr>
        <w:t>Organization.</w:t>
      </w:r>
      <w:r>
        <w:rPr>
          <w:rFonts w:eastAsia="Calibri"/>
          <w:noProof/>
          <w:lang w:val="en-US" w:eastAsia="en-US"/>
        </w:rPr>
        <w:t xml:space="preserve"> 168</w:t>
      </w:r>
      <w:r w:rsidRPr="00E67A6B">
        <w:rPr>
          <w:rFonts w:eastAsia="Calibri"/>
          <w:noProof/>
          <w:lang w:val="en-US" w:eastAsia="en-US"/>
        </w:rPr>
        <w:t>, 1-23.</w:t>
      </w:r>
    </w:p>
    <w:p w14:paraId="4BA26592" w14:textId="6A5BB162" w:rsidR="00F27058" w:rsidRDefault="00F27058" w:rsidP="00871858">
      <w:pPr>
        <w:spacing w:after="0"/>
        <w:ind w:hanging="567"/>
        <w:rPr>
          <w:rFonts w:eastAsia="Calibri"/>
          <w:noProof/>
          <w:lang w:val="en-US" w:eastAsia="en-US"/>
        </w:rPr>
      </w:pPr>
      <w:r w:rsidRPr="000D52F7">
        <w:rPr>
          <w:rFonts w:eastAsia="Calibri"/>
          <w:noProof/>
          <w:lang w:val="en-US" w:eastAsia="en-US"/>
        </w:rPr>
        <w:t>Sussman, A.B.</w:t>
      </w:r>
      <w:r w:rsidRPr="008B3EE4">
        <w:rPr>
          <w:rFonts w:eastAsia="Calibri"/>
          <w:noProof/>
          <w:lang w:val="en-US" w:eastAsia="en-US"/>
        </w:rPr>
        <w:t>,</w:t>
      </w:r>
      <w:r w:rsidRPr="000D52F7">
        <w:rPr>
          <w:rFonts w:eastAsia="Calibri"/>
          <w:noProof/>
          <w:lang w:val="en-US" w:eastAsia="en-US"/>
        </w:rPr>
        <w:t xml:space="preserve"> Olivola</w:t>
      </w:r>
      <w:r w:rsidRPr="008B3EE4">
        <w:rPr>
          <w:rFonts w:eastAsia="Calibri"/>
          <w:noProof/>
          <w:lang w:val="en-US" w:eastAsia="en-US"/>
        </w:rPr>
        <w:t>, C</w:t>
      </w:r>
      <w:r w:rsidRPr="000D52F7">
        <w:rPr>
          <w:rFonts w:eastAsia="Calibri"/>
          <w:noProof/>
          <w:lang w:val="en-US" w:eastAsia="en-US"/>
        </w:rPr>
        <w:t>.</w:t>
      </w:r>
      <w:r w:rsidRPr="008B3EE4">
        <w:rPr>
          <w:rFonts w:eastAsia="Calibri"/>
          <w:noProof/>
          <w:lang w:val="en-US" w:eastAsia="en-US"/>
        </w:rPr>
        <w:t>Y.,</w:t>
      </w:r>
      <w:r w:rsidRPr="000D52F7">
        <w:rPr>
          <w:rFonts w:eastAsia="Calibri"/>
          <w:noProof/>
          <w:lang w:val="en-US" w:eastAsia="en-US"/>
        </w:rPr>
        <w:t xml:space="preserve"> </w:t>
      </w:r>
      <w:r w:rsidRPr="008B3EE4">
        <w:rPr>
          <w:rFonts w:eastAsia="Calibri"/>
          <w:noProof/>
          <w:lang w:val="en-US" w:eastAsia="en-US"/>
        </w:rPr>
        <w:t xml:space="preserve">2011. </w:t>
      </w:r>
      <w:r w:rsidRPr="00426939">
        <w:rPr>
          <w:rFonts w:eastAsia="Calibri"/>
          <w:noProof/>
          <w:lang w:val="en-US" w:eastAsia="en-US"/>
        </w:rPr>
        <w:t>Axe the Tax: Taxes Are Disliked More than Equivalent Costs. Journal of Marketing Research</w:t>
      </w:r>
      <w:r w:rsidR="007133E0">
        <w:rPr>
          <w:rFonts w:eastAsia="Calibri"/>
          <w:noProof/>
          <w:lang w:val="en-US" w:eastAsia="en-US"/>
        </w:rPr>
        <w:t>.</w:t>
      </w:r>
      <w:r w:rsidR="007133E0" w:rsidRPr="00426939">
        <w:rPr>
          <w:rFonts w:eastAsia="Calibri"/>
          <w:noProof/>
          <w:lang w:val="en-US" w:eastAsia="en-US"/>
        </w:rPr>
        <w:t xml:space="preserve"> </w:t>
      </w:r>
      <w:r w:rsidRPr="00426939">
        <w:rPr>
          <w:rFonts w:eastAsia="Calibri"/>
          <w:noProof/>
          <w:lang w:val="en-US" w:eastAsia="en-US"/>
        </w:rPr>
        <w:t>48(Special Issue), S91-S101.</w:t>
      </w:r>
    </w:p>
    <w:p w14:paraId="6219F633" w14:textId="5AB0F665" w:rsidR="00293666" w:rsidRPr="00426939" w:rsidRDefault="00293666" w:rsidP="00871858">
      <w:pPr>
        <w:spacing w:after="0"/>
        <w:ind w:hanging="567"/>
        <w:rPr>
          <w:rFonts w:eastAsia="Calibri"/>
          <w:noProof/>
          <w:lang w:val="en-US" w:eastAsia="en-US"/>
        </w:rPr>
      </w:pPr>
      <w:r>
        <w:rPr>
          <w:rFonts w:eastAsia="Calibri"/>
          <w:noProof/>
          <w:lang w:val="en-US" w:eastAsia="en-US"/>
        </w:rPr>
        <w:t>Taubinsky, D., Rees-Jones, A., 2018. Attention Variation and Welfare: Theory and Evidence from a Tax Salience Experiment. Review of Economic Studies</w:t>
      </w:r>
      <w:r w:rsidR="007133E0">
        <w:rPr>
          <w:rFonts w:eastAsia="Calibri"/>
          <w:noProof/>
          <w:lang w:val="en-US" w:eastAsia="en-US"/>
        </w:rPr>
        <w:t xml:space="preserve">. </w:t>
      </w:r>
      <w:r>
        <w:rPr>
          <w:rFonts w:eastAsia="Calibri"/>
          <w:noProof/>
          <w:lang w:val="en-US" w:eastAsia="en-US"/>
        </w:rPr>
        <w:t xml:space="preserve">85, 2462-2496.  </w:t>
      </w:r>
    </w:p>
    <w:p w14:paraId="3EDC7B09" w14:textId="77777777" w:rsidR="00F27058" w:rsidRPr="00FA57E3" w:rsidRDefault="00F27058" w:rsidP="00871858">
      <w:pPr>
        <w:spacing w:after="0"/>
        <w:ind w:hanging="567"/>
        <w:rPr>
          <w:rFonts w:eastAsia="Calibri"/>
          <w:noProof/>
          <w:lang w:val="en-US" w:eastAsia="en-US"/>
        </w:rPr>
      </w:pPr>
      <w:r w:rsidRPr="00FA57E3">
        <w:rPr>
          <w:rFonts w:eastAsia="Calibri"/>
          <w:noProof/>
          <w:lang w:val="en-US" w:eastAsia="en-US"/>
        </w:rPr>
        <w:t>Thaler, R.H., Sunstein, C.R., 2009. Nudge: Improving Decisions About Health, Wealth and Happiness. Penguin UK.</w:t>
      </w:r>
    </w:p>
    <w:p w14:paraId="2B68CD48" w14:textId="77777777" w:rsidR="00F27058" w:rsidRPr="00FA57E3" w:rsidRDefault="00F27058" w:rsidP="00871858">
      <w:pPr>
        <w:spacing w:after="0"/>
        <w:ind w:hanging="567"/>
        <w:rPr>
          <w:rFonts w:eastAsia="Calibri"/>
          <w:noProof/>
          <w:lang w:val="en-US" w:eastAsia="en-US"/>
        </w:rPr>
      </w:pPr>
      <w:r w:rsidRPr="00FA57E3">
        <w:rPr>
          <w:rFonts w:eastAsia="Calibri"/>
          <w:noProof/>
          <w:lang w:val="en-US" w:eastAsia="en-US"/>
        </w:rPr>
        <w:t>Thow, A.M., Downs, S., Jan, S., 2014. A Systematic Review of the Effectiveness of Food Taxes and Subsidies to Improve Diets: Understanding the Recent Evidence. Nutrition Reviews. 72(9), 551-565.</w:t>
      </w:r>
    </w:p>
    <w:p w14:paraId="6E9801CB" w14:textId="217F6428" w:rsidR="00F27058" w:rsidRPr="00426939" w:rsidRDefault="00F27058" w:rsidP="00871858">
      <w:pPr>
        <w:spacing w:after="0"/>
        <w:ind w:hanging="567"/>
        <w:rPr>
          <w:rFonts w:eastAsia="Calibri"/>
          <w:noProof/>
          <w:lang w:val="en-US" w:eastAsia="en-US"/>
        </w:rPr>
      </w:pPr>
      <w:r w:rsidRPr="00FA57E3">
        <w:rPr>
          <w:rFonts w:eastAsia="Calibri"/>
          <w:noProof/>
          <w:lang w:val="en-US" w:eastAsia="en-US"/>
        </w:rPr>
        <w:t xml:space="preserve">UK Government, 2016. </w:t>
      </w:r>
      <w:hyperlink r:id="rId19" w:history="1">
        <w:r w:rsidRPr="00BF5372">
          <w:rPr>
            <w:rStyle w:val="Hyperlink"/>
            <w:rFonts w:eastAsia="Calibri"/>
            <w:noProof/>
            <w:lang w:val="en-US" w:eastAsia="en-US"/>
          </w:rPr>
          <w:t>Soft drinks industry levy</w:t>
        </w:r>
      </w:hyperlink>
      <w:r w:rsidRPr="00FA57E3">
        <w:rPr>
          <w:rFonts w:eastAsia="Calibri"/>
          <w:noProof/>
          <w:lang w:val="en-US" w:eastAsia="en-US"/>
        </w:rPr>
        <w:t>. (</w:t>
      </w:r>
      <w:r w:rsidR="00BF5372">
        <w:rPr>
          <w:rFonts w:eastAsia="Calibri"/>
          <w:noProof/>
          <w:lang w:val="en-US" w:eastAsia="en-US"/>
        </w:rPr>
        <w:t>A</w:t>
      </w:r>
      <w:r w:rsidRPr="00FA57E3">
        <w:rPr>
          <w:rFonts w:eastAsia="Calibri"/>
          <w:noProof/>
          <w:lang w:val="en-US" w:eastAsia="en-US"/>
        </w:rPr>
        <w:t>ccessed August 21, 2018).</w:t>
      </w:r>
    </w:p>
    <w:p w14:paraId="5889C341" w14:textId="3607F5DD" w:rsidR="00F27058" w:rsidRPr="00426939" w:rsidRDefault="00F27058" w:rsidP="00871858">
      <w:pPr>
        <w:spacing w:after="0"/>
        <w:ind w:hanging="567"/>
        <w:rPr>
          <w:rFonts w:eastAsia="Calibri"/>
          <w:noProof/>
          <w:lang w:val="es-VE" w:eastAsia="en-US"/>
        </w:rPr>
      </w:pPr>
      <w:r w:rsidRPr="000D52F7">
        <w:rPr>
          <w:rFonts w:eastAsia="Calibri"/>
          <w:noProof/>
          <w:lang w:val="en-US" w:eastAsia="en-US"/>
        </w:rPr>
        <w:t>Wareham</w:t>
      </w:r>
      <w:r w:rsidRPr="00426939">
        <w:rPr>
          <w:rFonts w:eastAsia="Calibri"/>
          <w:noProof/>
          <w:lang w:val="en-US" w:eastAsia="en-US"/>
        </w:rPr>
        <w:t>,</w:t>
      </w:r>
      <w:r w:rsidRPr="000D52F7">
        <w:rPr>
          <w:rFonts w:eastAsia="Calibri"/>
          <w:noProof/>
          <w:lang w:val="en-US" w:eastAsia="en-US"/>
        </w:rPr>
        <w:t xml:space="preserve"> N</w:t>
      </w:r>
      <w:r w:rsidRPr="00426939">
        <w:rPr>
          <w:rFonts w:eastAsia="Calibri"/>
          <w:noProof/>
          <w:lang w:val="en-US" w:eastAsia="en-US"/>
        </w:rPr>
        <w:t>.,</w:t>
      </w:r>
      <w:r w:rsidRPr="000D52F7">
        <w:rPr>
          <w:rFonts w:eastAsia="Calibri"/>
          <w:noProof/>
          <w:lang w:val="en-US" w:eastAsia="en-US"/>
        </w:rPr>
        <w:t xml:space="preserve"> </w:t>
      </w:r>
      <w:r w:rsidRPr="00426939">
        <w:rPr>
          <w:rFonts w:eastAsia="Calibri"/>
          <w:noProof/>
          <w:lang w:val="en-US" w:eastAsia="en-US"/>
        </w:rPr>
        <w:t>Jebb, S</w:t>
      </w:r>
      <w:r w:rsidRPr="000D52F7">
        <w:rPr>
          <w:rFonts w:eastAsia="Calibri"/>
          <w:noProof/>
          <w:lang w:val="en-US" w:eastAsia="en-US"/>
        </w:rPr>
        <w:t>.</w:t>
      </w:r>
      <w:r w:rsidRPr="00426939">
        <w:rPr>
          <w:rFonts w:eastAsia="Calibri"/>
          <w:noProof/>
          <w:lang w:val="en-US" w:eastAsia="en-US"/>
        </w:rPr>
        <w:t xml:space="preserve">, 2015. </w:t>
      </w:r>
      <w:hyperlink r:id="rId20" w:history="1">
        <w:r w:rsidRPr="00BF5372">
          <w:rPr>
            <w:rStyle w:val="Hyperlink"/>
            <w:rFonts w:eastAsia="Calibri"/>
            <w:noProof/>
            <w:lang w:val="en-US" w:eastAsia="en-US"/>
          </w:rPr>
          <w:t>What is the evidence base for various fiscal measures?</w:t>
        </w:r>
      </w:hyperlink>
      <w:r w:rsidRPr="00426939">
        <w:rPr>
          <w:rFonts w:eastAsia="Calibri"/>
          <w:noProof/>
          <w:lang w:val="en-US" w:eastAsia="en-US"/>
        </w:rPr>
        <w:t xml:space="preserve"> </w:t>
      </w:r>
      <w:r w:rsidRPr="00426939">
        <w:rPr>
          <w:rFonts w:eastAsia="Calibri"/>
          <w:noProof/>
          <w:lang w:val="es-VE" w:eastAsia="en-US"/>
        </w:rPr>
        <w:t xml:space="preserve">Cambridge: 2015. </w:t>
      </w:r>
      <w:r w:rsidR="00BF5372">
        <w:rPr>
          <w:rFonts w:eastAsia="Calibri"/>
          <w:noProof/>
          <w:lang w:val="es-VE" w:eastAsia="en-US"/>
        </w:rPr>
        <w:t>(</w:t>
      </w:r>
      <w:r w:rsidRPr="00426939">
        <w:rPr>
          <w:rFonts w:eastAsia="Calibri"/>
          <w:noProof/>
          <w:lang w:val="es-VE" w:eastAsia="en-US"/>
        </w:rPr>
        <w:t>A</w:t>
      </w:r>
      <w:r w:rsidRPr="00426939">
        <w:rPr>
          <w:rFonts w:eastAsia="Calibri"/>
          <w:noProof/>
          <w:lang w:val="en-US" w:eastAsia="en-US"/>
        </w:rPr>
        <w:t>c</w:t>
      </w:r>
      <w:r w:rsidR="00BF5372">
        <w:rPr>
          <w:rFonts w:eastAsia="Calibri"/>
          <w:noProof/>
          <w:lang w:val="en-US" w:eastAsia="en-US"/>
        </w:rPr>
        <w:t>c</w:t>
      </w:r>
      <w:r w:rsidRPr="00426939">
        <w:rPr>
          <w:rFonts w:eastAsia="Calibri"/>
          <w:noProof/>
          <w:lang w:val="en-US" w:eastAsia="en-US"/>
        </w:rPr>
        <w:t>essed August 21, 2018).</w:t>
      </w:r>
    </w:p>
    <w:p w14:paraId="38146DDB" w14:textId="77777777" w:rsidR="00F27058" w:rsidRPr="00426939" w:rsidRDefault="00F27058" w:rsidP="00871858">
      <w:pPr>
        <w:spacing w:after="0"/>
        <w:ind w:hanging="567"/>
        <w:rPr>
          <w:rFonts w:eastAsia="Calibri"/>
          <w:noProof/>
          <w:lang w:val="en-US" w:eastAsia="en-US"/>
        </w:rPr>
      </w:pPr>
      <w:r w:rsidRPr="000D52F7">
        <w:rPr>
          <w:rFonts w:eastAsia="Calibri"/>
          <w:noProof/>
          <w:lang w:val="de-CH" w:eastAsia="en-US"/>
        </w:rPr>
        <w:t>Waterlander, W</w:t>
      </w:r>
      <w:r w:rsidRPr="00426939">
        <w:rPr>
          <w:rFonts w:eastAsia="Calibri"/>
          <w:noProof/>
          <w:lang w:val="de-CH" w:eastAsia="en-US"/>
        </w:rPr>
        <w:t>.</w:t>
      </w:r>
      <w:r w:rsidRPr="000D52F7">
        <w:rPr>
          <w:rFonts w:eastAsia="Calibri"/>
          <w:noProof/>
          <w:lang w:val="de-CH" w:eastAsia="en-US"/>
        </w:rPr>
        <w:t>E.</w:t>
      </w:r>
      <w:r w:rsidRPr="00426939">
        <w:rPr>
          <w:rFonts w:eastAsia="Calibri"/>
          <w:noProof/>
          <w:lang w:val="de-CH" w:eastAsia="en-US"/>
        </w:rPr>
        <w:t>,</w:t>
      </w:r>
      <w:r w:rsidRPr="000D52F7">
        <w:rPr>
          <w:rFonts w:eastAsia="Calibri"/>
          <w:noProof/>
          <w:lang w:val="de-CH" w:eastAsia="en-US"/>
        </w:rPr>
        <w:t xml:space="preserve"> Steenhuis</w:t>
      </w:r>
      <w:r w:rsidRPr="00426939">
        <w:rPr>
          <w:rFonts w:eastAsia="Calibri"/>
          <w:noProof/>
          <w:lang w:val="de-CH" w:eastAsia="en-US"/>
        </w:rPr>
        <w:t>, I.H.M.,</w:t>
      </w:r>
      <w:r w:rsidRPr="000D52F7">
        <w:rPr>
          <w:rFonts w:eastAsia="Calibri"/>
          <w:noProof/>
          <w:lang w:val="de-CH" w:eastAsia="en-US"/>
        </w:rPr>
        <w:t xml:space="preserve"> </w:t>
      </w:r>
      <w:r w:rsidRPr="00426939">
        <w:rPr>
          <w:rFonts w:eastAsia="Calibri"/>
          <w:noProof/>
          <w:lang w:val="de-CH" w:eastAsia="en-US"/>
        </w:rPr>
        <w:t xml:space="preserve">de </w:t>
      </w:r>
      <w:r w:rsidRPr="000D52F7">
        <w:rPr>
          <w:rFonts w:eastAsia="Calibri"/>
          <w:noProof/>
          <w:lang w:val="de-CH" w:eastAsia="en-US"/>
        </w:rPr>
        <w:t>Boer</w:t>
      </w:r>
      <w:r w:rsidRPr="00426939">
        <w:rPr>
          <w:rFonts w:eastAsia="Calibri"/>
          <w:noProof/>
          <w:lang w:val="de-CH" w:eastAsia="en-US"/>
        </w:rPr>
        <w:t>, M.R.,</w:t>
      </w:r>
      <w:r w:rsidRPr="000D52F7">
        <w:rPr>
          <w:rFonts w:eastAsia="Calibri"/>
          <w:noProof/>
          <w:lang w:val="de-CH" w:eastAsia="en-US"/>
        </w:rPr>
        <w:t xml:space="preserve"> Schuit</w:t>
      </w:r>
      <w:r w:rsidRPr="00426939">
        <w:rPr>
          <w:rFonts w:eastAsia="Calibri"/>
          <w:noProof/>
          <w:lang w:val="de-CH" w:eastAsia="en-US"/>
        </w:rPr>
        <w:t>, A.J.,</w:t>
      </w:r>
      <w:r w:rsidRPr="000D52F7">
        <w:rPr>
          <w:rFonts w:eastAsia="Calibri"/>
          <w:noProof/>
          <w:lang w:val="de-CH" w:eastAsia="en-US"/>
        </w:rPr>
        <w:t xml:space="preserve"> Seidell</w:t>
      </w:r>
      <w:r w:rsidRPr="00426939">
        <w:rPr>
          <w:rFonts w:eastAsia="Calibri"/>
          <w:noProof/>
          <w:lang w:val="de-CH" w:eastAsia="en-US"/>
        </w:rPr>
        <w:t>, J.C.,</w:t>
      </w:r>
      <w:r w:rsidRPr="000D52F7">
        <w:rPr>
          <w:rFonts w:eastAsia="Calibri"/>
          <w:noProof/>
          <w:lang w:val="de-CH" w:eastAsia="en-US"/>
        </w:rPr>
        <w:t xml:space="preserve"> </w:t>
      </w:r>
      <w:r w:rsidRPr="00426939">
        <w:rPr>
          <w:rFonts w:eastAsia="Calibri"/>
          <w:noProof/>
          <w:lang w:val="en-US" w:eastAsia="en-US"/>
        </w:rPr>
        <w:t>2012a. The Effects of a 25% Discount on Fruits and Vegetables: Results of a Randomized Trial in a Three-Dimensional Web-Based Supermarket. International Journal of Behavior</w:t>
      </w:r>
      <w:r w:rsidRPr="00426939">
        <w:rPr>
          <w:rFonts w:eastAsiaTheme="minorEastAsia" w:hint="eastAsia"/>
          <w:noProof/>
          <w:lang w:val="en-US" w:eastAsia="ja-JP"/>
        </w:rPr>
        <w:t>al</w:t>
      </w:r>
      <w:r w:rsidRPr="00426939">
        <w:rPr>
          <w:rFonts w:eastAsia="Calibri"/>
          <w:noProof/>
          <w:lang w:val="en-US" w:eastAsia="en-US"/>
        </w:rPr>
        <w:t xml:space="preserve"> Nutrition and Physical Activity. 9, 11.</w:t>
      </w:r>
    </w:p>
    <w:p w14:paraId="02C72ADA" w14:textId="77777777" w:rsidR="00F27058" w:rsidRPr="00426939" w:rsidRDefault="00F27058" w:rsidP="00871858">
      <w:pPr>
        <w:spacing w:after="0"/>
        <w:ind w:hanging="567"/>
        <w:rPr>
          <w:rFonts w:eastAsia="Calibri"/>
          <w:noProof/>
          <w:lang w:val="en-US" w:eastAsia="en-US"/>
        </w:rPr>
      </w:pPr>
      <w:r w:rsidRPr="00426939">
        <w:rPr>
          <w:rFonts w:eastAsia="Calibri"/>
          <w:noProof/>
          <w:lang w:val="de-CH" w:eastAsia="en-US"/>
        </w:rPr>
        <w:t>Waterlander, W.E., Steenhuis, I.H.M., de Boer, M.R., Schuit, A.J., Seidell, J.C.,</w:t>
      </w:r>
      <w:r w:rsidRPr="00426939">
        <w:rPr>
          <w:rFonts w:eastAsia="Calibri"/>
          <w:noProof/>
          <w:lang w:val="en-US" w:eastAsia="en-US"/>
        </w:rPr>
        <w:t xml:space="preserve"> 2012b. Introducing Taxes, Subsidies or Both: The Effects of Various Food Pricing Strategies in a Web-Based Supermarket Randomized Trial. Preventive Medicine. 54(5), 323-330.</w:t>
      </w:r>
    </w:p>
    <w:p w14:paraId="2DC39AD4" w14:textId="77777777" w:rsidR="00F27058" w:rsidRPr="00426939" w:rsidRDefault="00F27058" w:rsidP="00871858">
      <w:pPr>
        <w:spacing w:after="0"/>
        <w:ind w:hanging="567"/>
        <w:rPr>
          <w:rFonts w:eastAsia="Calibri"/>
          <w:noProof/>
          <w:lang w:val="en-US" w:eastAsia="en-US"/>
        </w:rPr>
      </w:pPr>
      <w:r w:rsidRPr="00426939">
        <w:rPr>
          <w:rFonts w:eastAsia="Calibri"/>
          <w:noProof/>
          <w:lang w:val="de-CH" w:eastAsia="en-US"/>
        </w:rPr>
        <w:t>Waterlander, W.E., Steenhuis, I.H.M., de Boer, M.R., Schuit, A.J., Seidell, J.C.,</w:t>
      </w:r>
      <w:r w:rsidRPr="00426939">
        <w:rPr>
          <w:rFonts w:eastAsia="Calibri"/>
          <w:noProof/>
          <w:lang w:val="en-US" w:eastAsia="en-US"/>
        </w:rPr>
        <w:t xml:space="preserve"> 2013. Effects of Different Discount Levels on Healthy Products Coupled with a Healthy Choice Label, Special Offer Label or Both: Results from a Web-Based Supermarket Experiment. International Journal of Behavioral Nutrition and Physical Activity. 10, 59.</w:t>
      </w:r>
    </w:p>
    <w:p w14:paraId="54EC8373" w14:textId="1E554C22" w:rsidR="00F27058" w:rsidRPr="00426939" w:rsidRDefault="00F27058" w:rsidP="00871858">
      <w:pPr>
        <w:spacing w:after="0"/>
        <w:ind w:hanging="567"/>
        <w:rPr>
          <w:rFonts w:eastAsia="Calibri"/>
          <w:noProof/>
          <w:lang w:val="en-US" w:eastAsia="en-US"/>
        </w:rPr>
      </w:pPr>
      <w:r w:rsidRPr="000D52F7">
        <w:rPr>
          <w:rFonts w:eastAsia="Calibri"/>
          <w:noProof/>
          <w:lang w:val="en-US" w:eastAsia="en-US"/>
        </w:rPr>
        <w:lastRenderedPageBreak/>
        <w:t>WHO</w:t>
      </w:r>
      <w:r w:rsidRPr="00426939">
        <w:rPr>
          <w:rFonts w:eastAsia="Calibri"/>
          <w:noProof/>
          <w:lang w:val="en-US" w:eastAsia="en-US"/>
        </w:rPr>
        <w:t>,</w:t>
      </w:r>
      <w:r w:rsidRPr="000D52F7">
        <w:rPr>
          <w:rFonts w:eastAsia="Calibri"/>
          <w:noProof/>
          <w:lang w:val="en-US" w:eastAsia="en-US"/>
        </w:rPr>
        <w:t xml:space="preserve"> </w:t>
      </w:r>
      <w:r w:rsidRPr="00426939">
        <w:rPr>
          <w:rFonts w:eastAsia="Calibri"/>
          <w:noProof/>
          <w:lang w:val="en-US" w:eastAsia="en-US"/>
        </w:rPr>
        <w:t xml:space="preserve">2016. </w:t>
      </w:r>
      <w:hyperlink r:id="rId21" w:history="1">
        <w:r w:rsidRPr="00BF5372">
          <w:rPr>
            <w:rStyle w:val="Hyperlink"/>
            <w:rFonts w:eastAsia="Calibri"/>
            <w:noProof/>
            <w:lang w:val="en-US" w:eastAsia="en-US"/>
          </w:rPr>
          <w:t>Fiscal Policies for Diet and Prevention of Noncommunicable Diseases: Technical Meeting Report</w:t>
        </w:r>
      </w:hyperlink>
      <w:r w:rsidRPr="00426939">
        <w:rPr>
          <w:rFonts w:eastAsia="Calibri"/>
          <w:noProof/>
          <w:lang w:val="en-US" w:eastAsia="en-US"/>
        </w:rPr>
        <w:t xml:space="preserve">, 5-6 May 2015. </w:t>
      </w:r>
      <w:r w:rsidR="00BF5372">
        <w:rPr>
          <w:rFonts w:eastAsia="Calibri"/>
          <w:noProof/>
          <w:lang w:val="en-US" w:eastAsia="en-US"/>
        </w:rPr>
        <w:t>(A</w:t>
      </w:r>
      <w:r w:rsidRPr="00426939">
        <w:rPr>
          <w:rFonts w:eastAsia="Calibri"/>
          <w:noProof/>
          <w:lang w:val="en-US" w:eastAsia="en-US"/>
        </w:rPr>
        <w:t>ccessed August 21, 2018).</w:t>
      </w:r>
    </w:p>
    <w:p w14:paraId="107BC772" w14:textId="160AAFF1" w:rsidR="00F27058" w:rsidRDefault="00F27058" w:rsidP="00871858">
      <w:pPr>
        <w:spacing w:after="0"/>
        <w:ind w:hanging="567"/>
        <w:rPr>
          <w:rFonts w:eastAsia="Calibri"/>
          <w:noProof/>
          <w:lang w:val="en-US" w:eastAsia="en-US"/>
        </w:rPr>
      </w:pPr>
      <w:r w:rsidRPr="000D52F7">
        <w:rPr>
          <w:rFonts w:eastAsia="Calibri"/>
          <w:noProof/>
          <w:lang w:val="en-US" w:eastAsia="en-US"/>
        </w:rPr>
        <w:t>Williamson</w:t>
      </w:r>
      <w:r w:rsidRPr="00426939">
        <w:rPr>
          <w:rFonts w:eastAsia="Calibri"/>
          <w:noProof/>
          <w:lang w:val="en-US" w:eastAsia="en-US"/>
        </w:rPr>
        <w:t>,</w:t>
      </w:r>
      <w:r w:rsidRPr="000D52F7">
        <w:rPr>
          <w:rFonts w:eastAsia="Calibri"/>
          <w:noProof/>
          <w:lang w:val="en-US" w:eastAsia="en-US"/>
        </w:rPr>
        <w:t xml:space="preserve"> C</w:t>
      </w:r>
      <w:r w:rsidRPr="00426939">
        <w:rPr>
          <w:rFonts w:eastAsia="Calibri"/>
          <w:noProof/>
          <w:lang w:val="en-US" w:eastAsia="en-US"/>
        </w:rPr>
        <w:t>.</w:t>
      </w:r>
      <w:r w:rsidRPr="000D52F7">
        <w:rPr>
          <w:rFonts w:eastAsia="Calibri"/>
          <w:noProof/>
          <w:lang w:val="en-US" w:eastAsia="en-US"/>
        </w:rPr>
        <w:t>S.</w:t>
      </w:r>
      <w:r w:rsidRPr="00426939">
        <w:rPr>
          <w:rFonts w:eastAsia="Calibri"/>
          <w:noProof/>
          <w:lang w:val="en-US" w:eastAsia="en-US"/>
        </w:rPr>
        <w:t>, 2010. Breakfast Cereals – Why All the Bad Press? Facts behind the headlines. Nutrition Bulletin. 35(2010), 30-33</w:t>
      </w:r>
    </w:p>
    <w:p w14:paraId="330C7EDA" w14:textId="5BFE4ABA" w:rsidR="00964E95" w:rsidRPr="00426939" w:rsidRDefault="00964E95" w:rsidP="00871858">
      <w:pPr>
        <w:spacing w:after="0"/>
        <w:ind w:hanging="567"/>
        <w:rPr>
          <w:rFonts w:eastAsia="Calibri"/>
          <w:noProof/>
          <w:lang w:val="en-US" w:eastAsia="en-US"/>
        </w:rPr>
      </w:pPr>
      <w:r>
        <w:rPr>
          <w:rFonts w:eastAsia="Calibri"/>
          <w:noProof/>
          <w:lang w:val="en-US" w:eastAsia="en-US"/>
        </w:rPr>
        <w:t>Wisdom, J.</w:t>
      </w:r>
      <w:r w:rsidRPr="00964E95">
        <w:rPr>
          <w:rFonts w:eastAsia="Calibri"/>
          <w:noProof/>
          <w:lang w:val="en-US" w:eastAsia="en-US"/>
        </w:rPr>
        <w:t>, Downs,</w:t>
      </w:r>
      <w:r>
        <w:rPr>
          <w:rFonts w:eastAsia="Calibri"/>
          <w:noProof/>
          <w:lang w:val="en-US" w:eastAsia="en-US"/>
        </w:rPr>
        <w:t xml:space="preserve"> J.S.,</w:t>
      </w:r>
      <w:r w:rsidRPr="00964E95">
        <w:rPr>
          <w:rFonts w:eastAsia="Calibri"/>
          <w:noProof/>
          <w:lang w:val="en-US" w:eastAsia="en-US"/>
        </w:rPr>
        <w:t xml:space="preserve"> Loewenstein</w:t>
      </w:r>
      <w:r>
        <w:rPr>
          <w:rFonts w:eastAsia="Calibri"/>
          <w:noProof/>
          <w:lang w:val="en-US" w:eastAsia="en-US"/>
        </w:rPr>
        <w:t xml:space="preserve"> G</w:t>
      </w:r>
      <w:r w:rsidRPr="00964E95">
        <w:rPr>
          <w:rFonts w:eastAsia="Calibri"/>
          <w:noProof/>
          <w:lang w:val="en-US" w:eastAsia="en-US"/>
        </w:rPr>
        <w:t>.</w:t>
      </w:r>
      <w:r>
        <w:rPr>
          <w:rFonts w:eastAsia="Calibri"/>
          <w:noProof/>
          <w:lang w:val="en-US" w:eastAsia="en-US"/>
        </w:rPr>
        <w:t xml:space="preserve">, 2010. </w:t>
      </w:r>
      <w:r w:rsidRPr="00964E95">
        <w:rPr>
          <w:rFonts w:eastAsia="Calibri"/>
          <w:noProof/>
          <w:lang w:val="en-US" w:eastAsia="en-US"/>
        </w:rPr>
        <w:t>Promoting Healthy Choices: Information versus Convenience. American Economic Journal: Applied Economics, 2 (2): 164-78.</w:t>
      </w:r>
    </w:p>
    <w:p w14:paraId="779F0CC5" w14:textId="4956886C" w:rsidR="00F27058" w:rsidRPr="00426939" w:rsidRDefault="00F27058" w:rsidP="00871858">
      <w:pPr>
        <w:spacing w:after="0"/>
        <w:ind w:hanging="567"/>
        <w:rPr>
          <w:rFonts w:eastAsia="Calibri"/>
          <w:noProof/>
          <w:lang w:val="en-US" w:eastAsia="en-US"/>
        </w:rPr>
      </w:pPr>
      <w:r w:rsidRPr="00F27058">
        <w:rPr>
          <w:rFonts w:eastAsia="Calibri"/>
          <w:noProof/>
          <w:lang w:val="en-US" w:eastAsia="en-US"/>
        </w:rPr>
        <w:t xml:space="preserve">Wooldridge, J.M., 2010. Econometric Analysis of Cross Section and Panel Data. MIT </w:t>
      </w:r>
      <w:r w:rsidR="00061BA9">
        <w:rPr>
          <w:rFonts w:eastAsia="Calibri"/>
          <w:noProof/>
          <w:lang w:val="en-US" w:eastAsia="en-US"/>
        </w:rPr>
        <w:t>P</w:t>
      </w:r>
      <w:r w:rsidRPr="00F27058">
        <w:rPr>
          <w:rFonts w:eastAsia="Calibri"/>
          <w:noProof/>
          <w:lang w:val="en-US" w:eastAsia="en-US"/>
        </w:rPr>
        <w:t>ress.</w:t>
      </w:r>
    </w:p>
    <w:p w14:paraId="2BB9CFCA" w14:textId="77777777" w:rsidR="00F27058" w:rsidRPr="00426939" w:rsidRDefault="00F27058" w:rsidP="00871858">
      <w:pPr>
        <w:spacing w:after="0"/>
        <w:ind w:hanging="567"/>
        <w:rPr>
          <w:rFonts w:eastAsia="Calibri"/>
          <w:noProof/>
          <w:lang w:val="en-US" w:eastAsia="en-US"/>
        </w:rPr>
      </w:pPr>
      <w:r w:rsidRPr="00426939">
        <w:t xml:space="preserve">Wright, A., Smith, K.E., </w:t>
      </w:r>
      <w:proofErr w:type="spellStart"/>
      <w:r w:rsidRPr="00426939">
        <w:t>Hellowell</w:t>
      </w:r>
      <w:proofErr w:type="spellEnd"/>
      <w:r w:rsidRPr="00426939">
        <w:t>, M., 2017. Policy lessons from health taxes: a systematic review of empirical studies. BMC Public Health</w:t>
      </w:r>
      <w:r w:rsidRPr="00426939">
        <w:rPr>
          <w:rFonts w:asciiTheme="minorEastAsia" w:eastAsiaTheme="minorEastAsia" w:hAnsiTheme="minorEastAsia" w:hint="eastAsia"/>
          <w:lang w:eastAsia="ja-JP"/>
        </w:rPr>
        <w:t>.</w:t>
      </w:r>
      <w:r w:rsidRPr="00426939">
        <w:t xml:space="preserve"> 17(1), 583.</w:t>
      </w:r>
    </w:p>
    <w:p w14:paraId="1265335B" w14:textId="5021C199" w:rsidR="00F27058" w:rsidRDefault="00F27058" w:rsidP="00871858">
      <w:pPr>
        <w:spacing w:after="0"/>
        <w:ind w:hanging="567"/>
        <w:rPr>
          <w:rFonts w:eastAsia="Calibri"/>
          <w:noProof/>
          <w:lang w:val="en-US" w:eastAsia="en-US"/>
        </w:rPr>
      </w:pPr>
      <w:r w:rsidRPr="000D52F7">
        <w:rPr>
          <w:rFonts w:eastAsia="Calibri"/>
          <w:noProof/>
          <w:lang w:val="en-US" w:eastAsia="en-US"/>
        </w:rPr>
        <w:t>Yang, C</w:t>
      </w:r>
      <w:r w:rsidRPr="00426939">
        <w:rPr>
          <w:rFonts w:eastAsia="Calibri"/>
          <w:noProof/>
          <w:lang w:val="en-US" w:eastAsia="en-US"/>
        </w:rPr>
        <w:t xml:space="preserve">.C., Chiou, </w:t>
      </w:r>
      <w:r w:rsidRPr="000D52F7">
        <w:rPr>
          <w:rFonts w:eastAsia="Calibri"/>
          <w:noProof/>
          <w:lang w:val="en-US" w:eastAsia="en-US"/>
        </w:rPr>
        <w:t>W</w:t>
      </w:r>
      <w:r w:rsidRPr="00426939">
        <w:rPr>
          <w:rFonts w:eastAsia="Calibri"/>
          <w:noProof/>
          <w:lang w:val="en-US" w:eastAsia="en-US"/>
        </w:rPr>
        <w:t>.B., 2010. Substitution of Healthy for Unhealthy Beverages among College Students. A Health-Concerns and Behavioral-Economics Perspective. Appetite. 54(3), 512-</w:t>
      </w:r>
      <w:r w:rsidRPr="00426939">
        <w:rPr>
          <w:rFonts w:eastAsiaTheme="minorEastAsia" w:hint="eastAsia"/>
          <w:noProof/>
          <w:lang w:val="en-US" w:eastAsia="ja-JP"/>
        </w:rPr>
        <w:t>51</w:t>
      </w:r>
      <w:r w:rsidRPr="00426939">
        <w:rPr>
          <w:rFonts w:eastAsia="Calibri"/>
          <w:noProof/>
          <w:lang w:val="en-US" w:eastAsia="en-US"/>
        </w:rPr>
        <w:t>6.</w:t>
      </w:r>
    </w:p>
    <w:p w14:paraId="3A0CF5E1" w14:textId="58F56D53" w:rsidR="00631B93" w:rsidRPr="00426939" w:rsidRDefault="00631B93" w:rsidP="00871858">
      <w:pPr>
        <w:spacing w:after="0"/>
        <w:ind w:hanging="567"/>
        <w:rPr>
          <w:rFonts w:eastAsia="Calibri"/>
          <w:noProof/>
          <w:lang w:val="en-US" w:eastAsia="en-US"/>
        </w:rPr>
      </w:pPr>
      <w:r>
        <w:rPr>
          <w:rFonts w:eastAsia="Calibri"/>
          <w:noProof/>
          <w:lang w:val="en-US" w:eastAsia="en-US"/>
        </w:rPr>
        <w:t>Zhe</w:t>
      </w:r>
      <w:r w:rsidR="00E144CB">
        <w:rPr>
          <w:rFonts w:eastAsia="Calibri"/>
          <w:noProof/>
          <w:lang w:val="en-US" w:eastAsia="en-US"/>
        </w:rPr>
        <w:t xml:space="preserve">ng, Y., McLaughlin, E., Laiser, </w:t>
      </w:r>
      <w:r>
        <w:rPr>
          <w:rFonts w:eastAsia="Calibri"/>
          <w:noProof/>
          <w:lang w:val="en-US" w:eastAsia="en-US"/>
        </w:rPr>
        <w:t>H.M.</w:t>
      </w:r>
      <w:r w:rsidR="00FC79B4">
        <w:rPr>
          <w:rFonts w:eastAsia="Calibri"/>
          <w:noProof/>
          <w:lang w:val="en-US" w:eastAsia="en-US"/>
        </w:rPr>
        <w:t>, 2013.</w:t>
      </w:r>
      <w:r>
        <w:rPr>
          <w:rFonts w:eastAsia="Calibri"/>
          <w:noProof/>
          <w:lang w:val="en-US" w:eastAsia="en-US"/>
        </w:rPr>
        <w:t xml:space="preserve"> </w:t>
      </w:r>
      <w:r w:rsidR="00E144CB">
        <w:rPr>
          <w:rFonts w:eastAsia="Calibri"/>
          <w:noProof/>
          <w:lang w:val="en-US" w:eastAsia="en-US"/>
        </w:rPr>
        <w:t>Taxing food and beverages: The</w:t>
      </w:r>
      <w:r>
        <w:rPr>
          <w:rFonts w:eastAsia="Calibri"/>
          <w:noProof/>
          <w:lang w:val="en-US" w:eastAsia="en-US"/>
        </w:rPr>
        <w:t>o</w:t>
      </w:r>
      <w:r w:rsidR="00E144CB">
        <w:rPr>
          <w:rFonts w:eastAsia="Calibri"/>
          <w:noProof/>
          <w:lang w:val="en-US" w:eastAsia="en-US"/>
        </w:rPr>
        <w:t>ry, evidence, and p</w:t>
      </w:r>
      <w:r>
        <w:rPr>
          <w:rFonts w:eastAsia="Calibri"/>
          <w:noProof/>
          <w:lang w:val="en-US" w:eastAsia="en-US"/>
        </w:rPr>
        <w:t>olicy. American Journal of Agricultural Economics 95, 705-723.</w:t>
      </w:r>
    </w:p>
    <w:p w14:paraId="4F6FDBA9" w14:textId="77777777" w:rsidR="00F27058" w:rsidRPr="00426939" w:rsidRDefault="00F27058" w:rsidP="00871858">
      <w:pPr>
        <w:spacing w:after="0"/>
        <w:ind w:hanging="567"/>
        <w:rPr>
          <w:rFonts w:eastAsia="Calibri"/>
          <w:noProof/>
          <w:lang w:val="en-US" w:eastAsia="en-US"/>
        </w:rPr>
      </w:pPr>
      <w:r w:rsidRPr="000D52F7">
        <w:rPr>
          <w:rFonts w:eastAsia="Calibri"/>
          <w:noProof/>
          <w:lang w:val="en-US" w:eastAsia="en-US"/>
        </w:rPr>
        <w:t>Zizzo, D</w:t>
      </w:r>
      <w:r w:rsidRPr="00426939">
        <w:rPr>
          <w:rFonts w:eastAsia="Calibri"/>
          <w:noProof/>
          <w:lang w:val="en-US" w:eastAsia="en-US"/>
        </w:rPr>
        <w:t>.</w:t>
      </w:r>
      <w:r w:rsidRPr="000D52F7">
        <w:rPr>
          <w:rFonts w:eastAsia="Calibri"/>
          <w:noProof/>
          <w:lang w:val="en-US" w:eastAsia="en-US"/>
        </w:rPr>
        <w:t>J.</w:t>
      </w:r>
      <w:r w:rsidRPr="00426939">
        <w:rPr>
          <w:rFonts w:eastAsia="Calibri"/>
          <w:noProof/>
          <w:lang w:val="en-US" w:eastAsia="en-US"/>
        </w:rPr>
        <w:t>, 2010. Experimenter Demand Effects in Economic Experiments. Experimental Economics. 13(1), 75-98.</w:t>
      </w:r>
    </w:p>
    <w:p w14:paraId="3336284B" w14:textId="77777777" w:rsidR="006C5E2B" w:rsidRDefault="006C5E2B" w:rsidP="00871858">
      <w:pPr>
        <w:spacing w:after="0"/>
        <w:ind w:firstLine="0"/>
        <w:rPr>
          <w:rFonts w:eastAsia="Calibri"/>
          <w:noProof/>
          <w:sz w:val="22"/>
          <w:szCs w:val="22"/>
          <w:lang w:val="en-US" w:eastAsia="en-US"/>
        </w:rPr>
      </w:pPr>
    </w:p>
    <w:p w14:paraId="51E00436" w14:textId="77777777" w:rsidR="00C20B27" w:rsidRPr="005205BC" w:rsidRDefault="00C20B27" w:rsidP="00C20B27">
      <w:pPr>
        <w:spacing w:after="0"/>
        <w:ind w:firstLine="0"/>
        <w:jc w:val="center"/>
        <w:rPr>
          <w:sz w:val="16"/>
          <w:szCs w:val="16"/>
          <w:lang w:val="en-US"/>
        </w:rPr>
      </w:pPr>
      <w:r w:rsidRPr="00F066E4">
        <w:rPr>
          <w:sz w:val="16"/>
          <w:szCs w:val="16"/>
          <w:lang w:val="en-US"/>
        </w:rPr>
        <w:t>FIGURE 1. PRICE MANIPULATION: NOT SIGNPOSTED VS. SIGNPOSTED</w:t>
      </w:r>
    </w:p>
    <w:p w14:paraId="73665173" w14:textId="40F8209A" w:rsidR="00BD762B" w:rsidRDefault="00BD762B" w:rsidP="00BE4584">
      <w:pPr>
        <w:spacing w:after="0"/>
        <w:jc w:val="center"/>
        <w:rPr>
          <w:b/>
          <w:lang w:val="en-US"/>
        </w:rPr>
      </w:pPr>
      <w:r>
        <w:rPr>
          <w:b/>
          <w:noProof/>
          <w:lang w:val="en-AU" w:eastAsia="en-AU"/>
        </w:rPr>
        <w:drawing>
          <wp:inline distT="0" distB="0" distL="0" distR="0" wp14:anchorId="5C028D49" wp14:editId="0C3840B1">
            <wp:extent cx="3841750" cy="172242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853585" cy="1727728"/>
                    </a:xfrm>
                    <a:prstGeom prst="rect">
                      <a:avLst/>
                    </a:prstGeom>
                    <a:noFill/>
                  </pic:spPr>
                </pic:pic>
              </a:graphicData>
            </a:graphic>
          </wp:inline>
        </w:drawing>
      </w:r>
    </w:p>
    <w:p w14:paraId="374F9DAB" w14:textId="277AABB0" w:rsidR="00BD762B" w:rsidRDefault="00B36814" w:rsidP="00BE4584">
      <w:pPr>
        <w:spacing w:after="0" w:line="276" w:lineRule="auto"/>
        <w:ind w:firstLine="0"/>
        <w:rPr>
          <w:sz w:val="16"/>
          <w:szCs w:val="16"/>
          <w:lang w:val="en-US"/>
        </w:rPr>
      </w:pPr>
      <w:r>
        <w:rPr>
          <w:i/>
          <w:sz w:val="16"/>
          <w:szCs w:val="16"/>
          <w:lang w:val="en-US"/>
        </w:rPr>
        <w:t xml:space="preserve">     </w:t>
      </w:r>
      <w:r w:rsidR="00BD762B" w:rsidRPr="005205BC">
        <w:rPr>
          <w:i/>
          <w:sz w:val="16"/>
          <w:szCs w:val="16"/>
          <w:lang w:val="en-US"/>
        </w:rPr>
        <w:t>Notes</w:t>
      </w:r>
      <w:r w:rsidR="00BD762B" w:rsidRPr="005205BC">
        <w:rPr>
          <w:sz w:val="16"/>
          <w:szCs w:val="16"/>
          <w:lang w:val="en-US"/>
        </w:rPr>
        <w:t xml:space="preserve">: The </w:t>
      </w:r>
      <w:r w:rsidR="00632D54" w:rsidRPr="005205BC">
        <w:rPr>
          <w:sz w:val="16"/>
          <w:szCs w:val="16"/>
          <w:lang w:val="en-US"/>
        </w:rPr>
        <w:t xml:space="preserve">signposting </w:t>
      </w:r>
      <w:r w:rsidR="00BD762B" w:rsidRPr="005205BC">
        <w:rPr>
          <w:sz w:val="16"/>
          <w:szCs w:val="16"/>
          <w:lang w:val="en-US"/>
        </w:rPr>
        <w:t xml:space="preserve">manipulation was between-subjects, </w:t>
      </w:r>
      <w:r w:rsidR="00DD29DD" w:rsidRPr="005205BC">
        <w:rPr>
          <w:sz w:val="16"/>
          <w:szCs w:val="16"/>
          <w:lang w:val="en-US"/>
        </w:rPr>
        <w:t xml:space="preserve">and </w:t>
      </w:r>
      <w:r w:rsidR="00BD762B" w:rsidRPr="005205BC">
        <w:rPr>
          <w:sz w:val="16"/>
          <w:szCs w:val="16"/>
          <w:lang w:val="en-US"/>
        </w:rPr>
        <w:t xml:space="preserve">therefore participants would either see </w:t>
      </w:r>
      <w:r w:rsidR="00545B06" w:rsidRPr="005205BC">
        <w:rPr>
          <w:sz w:val="16"/>
          <w:szCs w:val="16"/>
          <w:lang w:val="en-US"/>
        </w:rPr>
        <w:t xml:space="preserve">the tax-inclusive prices </w:t>
      </w:r>
      <w:r w:rsidR="007C6E85" w:rsidRPr="005205BC">
        <w:rPr>
          <w:sz w:val="16"/>
          <w:szCs w:val="16"/>
          <w:lang w:val="en-US"/>
        </w:rPr>
        <w:t xml:space="preserve">as in the </w:t>
      </w:r>
      <w:r w:rsidR="00545B06" w:rsidRPr="005205BC">
        <w:rPr>
          <w:sz w:val="16"/>
          <w:szCs w:val="16"/>
          <w:lang w:val="en-US"/>
        </w:rPr>
        <w:t>first panel</w:t>
      </w:r>
      <w:r w:rsidR="007C6E85" w:rsidRPr="005205BC">
        <w:rPr>
          <w:sz w:val="16"/>
          <w:szCs w:val="16"/>
          <w:lang w:val="en-US"/>
        </w:rPr>
        <w:t>,</w:t>
      </w:r>
      <w:r w:rsidR="00545B06" w:rsidRPr="005205BC">
        <w:rPr>
          <w:sz w:val="16"/>
          <w:szCs w:val="16"/>
          <w:lang w:val="en-US"/>
        </w:rPr>
        <w:t xml:space="preserve"> or the tax </w:t>
      </w:r>
      <w:r w:rsidR="007C6E85" w:rsidRPr="005205BC">
        <w:rPr>
          <w:sz w:val="16"/>
          <w:szCs w:val="16"/>
          <w:lang w:val="en-US"/>
        </w:rPr>
        <w:t>identified</w:t>
      </w:r>
      <w:r w:rsidR="00545B06" w:rsidRPr="005205BC">
        <w:rPr>
          <w:sz w:val="16"/>
          <w:szCs w:val="16"/>
          <w:lang w:val="en-US"/>
        </w:rPr>
        <w:t xml:space="preserve"> separately and flagged as a tax as in the second panel.</w:t>
      </w:r>
    </w:p>
    <w:p w14:paraId="2C3F967C" w14:textId="77777777" w:rsidR="00C20B27" w:rsidRDefault="00C20B27" w:rsidP="00BE4584">
      <w:pPr>
        <w:spacing w:after="0" w:line="276" w:lineRule="auto"/>
        <w:ind w:firstLine="0"/>
        <w:rPr>
          <w:sz w:val="16"/>
          <w:szCs w:val="16"/>
          <w:lang w:val="en-US"/>
        </w:rPr>
      </w:pPr>
    </w:p>
    <w:p w14:paraId="026D8457" w14:textId="77777777" w:rsidR="00C20B27" w:rsidRDefault="00C20B27" w:rsidP="00BE4584">
      <w:pPr>
        <w:spacing w:after="0" w:line="276" w:lineRule="auto"/>
        <w:ind w:firstLine="0"/>
        <w:rPr>
          <w:sz w:val="16"/>
          <w:szCs w:val="16"/>
          <w:lang w:val="en-US"/>
        </w:rPr>
      </w:pPr>
    </w:p>
    <w:p w14:paraId="0EC45FAA" w14:textId="58854C8C" w:rsidR="00F066E4" w:rsidRPr="005205BC" w:rsidRDefault="00C20B27" w:rsidP="00F556AF">
      <w:pPr>
        <w:spacing w:after="0"/>
        <w:ind w:firstLine="0"/>
        <w:jc w:val="center"/>
        <w:rPr>
          <w:sz w:val="16"/>
          <w:szCs w:val="16"/>
          <w:lang w:val="en-US"/>
        </w:rPr>
      </w:pPr>
      <w:r w:rsidRPr="00F066E4">
        <w:rPr>
          <w:sz w:val="16"/>
          <w:szCs w:val="16"/>
          <w:lang w:val="en-US"/>
        </w:rPr>
        <w:t>FIGURE 2. MEAN QUANTITY PURCHASED OF LESS HEALTHY (HEALTHIER) PRODUCTS WHEN PRICES OF LESS HEALTHY (HEALTHIER) WERE MANIPULATED</w:t>
      </w:r>
    </w:p>
    <w:p w14:paraId="130533CF" w14:textId="24C4302A" w:rsidR="00DA3345" w:rsidRDefault="00826883" w:rsidP="00BE4584">
      <w:pPr>
        <w:spacing w:after="0"/>
        <w:jc w:val="center"/>
        <w:rPr>
          <w:b/>
          <w:lang w:val="en-US"/>
        </w:rPr>
      </w:pPr>
      <w:r>
        <w:rPr>
          <w:b/>
          <w:noProof/>
          <w:lang w:val="en-AU" w:eastAsia="en-AU"/>
        </w:rPr>
        <w:lastRenderedPageBreak/>
        <w:drawing>
          <wp:inline distT="0" distB="0" distL="0" distR="0" wp14:anchorId="7D0CB7FA" wp14:editId="6B81C3B9">
            <wp:extent cx="4267052" cy="130154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23" cstate="print">
                      <a:grayscl/>
                      <a:extLst>
                        <a:ext uri="{28A0092B-C50C-407E-A947-70E740481C1C}">
                          <a14:useLocalDpi xmlns:a14="http://schemas.microsoft.com/office/drawing/2010/main" val="0"/>
                        </a:ext>
                      </a:extLst>
                    </a:blip>
                    <a:srcRect b="7437"/>
                    <a:stretch/>
                  </pic:blipFill>
                  <pic:spPr bwMode="auto">
                    <a:xfrm>
                      <a:off x="0" y="0"/>
                      <a:ext cx="4307577" cy="1313901"/>
                    </a:xfrm>
                    <a:prstGeom prst="rect">
                      <a:avLst/>
                    </a:prstGeom>
                    <a:noFill/>
                    <a:ln>
                      <a:noFill/>
                    </a:ln>
                    <a:extLst>
                      <a:ext uri="{53640926-AAD7-44D8-BBD7-CCE9431645EC}">
                        <a14:shadowObscured xmlns:a14="http://schemas.microsoft.com/office/drawing/2010/main"/>
                      </a:ext>
                    </a:extLst>
                  </pic:spPr>
                </pic:pic>
              </a:graphicData>
            </a:graphic>
          </wp:inline>
        </w:drawing>
      </w:r>
    </w:p>
    <w:p w14:paraId="17F7B16F" w14:textId="5707408F" w:rsidR="00D45457" w:rsidRDefault="005A1A69" w:rsidP="007B0E00">
      <w:pPr>
        <w:spacing w:after="0"/>
        <w:ind w:firstLine="0"/>
        <w:jc w:val="center"/>
        <w:rPr>
          <w:sz w:val="16"/>
          <w:szCs w:val="16"/>
          <w:lang w:val="en-US"/>
        </w:rPr>
      </w:pPr>
      <w:r>
        <w:rPr>
          <w:noProof/>
          <w:lang w:val="en-AU" w:eastAsia="en-AU"/>
        </w:rPr>
        <w:drawing>
          <wp:inline distT="0" distB="0" distL="0" distR="0" wp14:anchorId="259D9154" wp14:editId="3619F716">
            <wp:extent cx="1611209" cy="1910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grayscl/>
                    </a:blip>
                    <a:srcRect t="24014"/>
                    <a:stretch/>
                  </pic:blipFill>
                  <pic:spPr bwMode="auto">
                    <a:xfrm>
                      <a:off x="0" y="0"/>
                      <a:ext cx="1655010" cy="196269"/>
                    </a:xfrm>
                    <a:prstGeom prst="rect">
                      <a:avLst/>
                    </a:prstGeom>
                    <a:noFill/>
                    <a:ln>
                      <a:noFill/>
                    </a:ln>
                    <a:extLst>
                      <a:ext uri="{53640926-AAD7-44D8-BBD7-CCE9431645EC}">
                        <a14:shadowObscured xmlns:a14="http://schemas.microsoft.com/office/drawing/2010/main"/>
                      </a:ext>
                    </a:extLst>
                  </pic:spPr>
                </pic:pic>
              </a:graphicData>
            </a:graphic>
          </wp:inline>
        </w:drawing>
      </w:r>
    </w:p>
    <w:p w14:paraId="4C449666" w14:textId="1CEFEF32" w:rsidR="00C20B27" w:rsidRDefault="00C20B27">
      <w:pPr>
        <w:spacing w:after="0"/>
        <w:ind w:firstLine="0"/>
        <w:jc w:val="center"/>
        <w:rPr>
          <w:sz w:val="16"/>
          <w:szCs w:val="16"/>
          <w:lang w:val="en-US"/>
        </w:rPr>
      </w:pPr>
      <w:r w:rsidRPr="00F066E4">
        <w:rPr>
          <w:sz w:val="16"/>
          <w:szCs w:val="16"/>
          <w:lang w:val="en-US"/>
        </w:rPr>
        <w:t xml:space="preserve">FIGURE 3. ESTIMATED </w:t>
      </w:r>
      <w:r w:rsidR="004252A1">
        <w:rPr>
          <w:sz w:val="16"/>
          <w:szCs w:val="16"/>
          <w:lang w:val="en-US"/>
        </w:rPr>
        <w:t>TAX IMPACT ON</w:t>
      </w:r>
      <w:r w:rsidRPr="00F066E4">
        <w:rPr>
          <w:sz w:val="16"/>
          <w:szCs w:val="16"/>
          <w:lang w:val="en-US"/>
        </w:rPr>
        <w:t xml:space="preserve"> </w:t>
      </w:r>
      <w:r w:rsidR="004252A1">
        <w:rPr>
          <w:sz w:val="16"/>
          <w:szCs w:val="16"/>
          <w:lang w:val="en-US"/>
        </w:rPr>
        <w:t>THE VOLUME PURCHASED ON</w:t>
      </w:r>
      <w:r w:rsidRPr="00F066E4">
        <w:rPr>
          <w:sz w:val="16"/>
          <w:szCs w:val="16"/>
          <w:lang w:val="en-US"/>
        </w:rPr>
        <w:t xml:space="preserve"> </w:t>
      </w:r>
      <w:r w:rsidR="004252A1">
        <w:rPr>
          <w:sz w:val="16"/>
          <w:szCs w:val="16"/>
          <w:lang w:val="en-US"/>
        </w:rPr>
        <w:t>TAXED LESS HEALTHY</w:t>
      </w:r>
      <w:r w:rsidRPr="00F066E4">
        <w:rPr>
          <w:sz w:val="16"/>
          <w:szCs w:val="16"/>
          <w:lang w:val="en-US"/>
        </w:rPr>
        <w:t xml:space="preserve"> PRODUCTS</w:t>
      </w:r>
    </w:p>
    <w:p w14:paraId="21507C1E" w14:textId="4899438C" w:rsidR="009076D6" w:rsidRPr="005F147B" w:rsidRDefault="006158AD" w:rsidP="00BE4584">
      <w:pPr>
        <w:spacing w:after="0"/>
        <w:jc w:val="center"/>
        <w:rPr>
          <w:lang w:val="en-US"/>
        </w:rPr>
      </w:pPr>
      <w:r>
        <w:rPr>
          <w:noProof/>
          <w:lang w:val="en-AU" w:eastAsia="en-AU"/>
        </w:rPr>
        <w:drawing>
          <wp:inline distT="0" distB="0" distL="0" distR="0" wp14:anchorId="179F196C" wp14:editId="2ABBE9F7">
            <wp:extent cx="4817110" cy="177165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grayscl/>
                      <a:extLst>
                        <a:ext uri="{BEBA8EAE-BF5A-486C-A8C5-ECC9F3942E4B}">
                          <a14:imgProps xmlns:a14="http://schemas.microsoft.com/office/drawing/2010/main">
                            <a14:imgLayer r:embed="rId26">
                              <a14:imgEffect>
                                <a14:colorTemperature colorTemp="7615"/>
                              </a14:imgEffect>
                              <a14:imgEffect>
                                <a14:saturation sat="327000"/>
                              </a14:imgEffect>
                            </a14:imgLayer>
                          </a14:imgProps>
                        </a:ext>
                      </a:extLst>
                    </a:blip>
                    <a:stretch>
                      <a:fillRect/>
                    </a:stretch>
                  </pic:blipFill>
                  <pic:spPr>
                    <a:xfrm>
                      <a:off x="0" y="0"/>
                      <a:ext cx="4817110" cy="1771650"/>
                    </a:xfrm>
                    <a:prstGeom prst="rect">
                      <a:avLst/>
                    </a:prstGeom>
                  </pic:spPr>
                </pic:pic>
              </a:graphicData>
            </a:graphic>
          </wp:inline>
        </w:drawing>
      </w:r>
      <w:r w:rsidRPr="00F066E4" w:rsidDel="00C20B27">
        <w:rPr>
          <w:sz w:val="16"/>
          <w:szCs w:val="16"/>
          <w:lang w:val="en-US"/>
        </w:rPr>
        <w:t xml:space="preserve"> </w:t>
      </w:r>
    </w:p>
    <w:p w14:paraId="27B654EE" w14:textId="793F233B" w:rsidR="009076D6" w:rsidRDefault="006870B5" w:rsidP="007B0E00">
      <w:pPr>
        <w:spacing w:after="0"/>
        <w:jc w:val="center"/>
        <w:rPr>
          <w:lang w:val="en-US"/>
        </w:rPr>
      </w:pPr>
      <w:r>
        <w:rPr>
          <w:noProof/>
          <w:lang w:val="en-AU" w:eastAsia="en-AU"/>
        </w:rPr>
        <w:drawing>
          <wp:inline distT="0" distB="0" distL="0" distR="0" wp14:anchorId="339FABFA" wp14:editId="4D692EDE">
            <wp:extent cx="3248731" cy="221661"/>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grayscl/>
                      <a:extLst>
                        <a:ext uri="{BEBA8EAE-BF5A-486C-A8C5-ECC9F3942E4B}">
                          <a14:imgProps xmlns:a14="http://schemas.microsoft.com/office/drawing/2010/main">
                            <a14:imgLayer r:embed="rId28">
                              <a14:imgEffect>
                                <a14:colorTemperature colorTemp="446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3323200" cy="226742"/>
                    </a:xfrm>
                    <a:prstGeom prst="rect">
                      <a:avLst/>
                    </a:prstGeom>
                    <a:noFill/>
                  </pic:spPr>
                </pic:pic>
              </a:graphicData>
            </a:graphic>
          </wp:inline>
        </w:drawing>
      </w:r>
    </w:p>
    <w:p w14:paraId="18E4F39F" w14:textId="5940F680" w:rsidR="009076D6" w:rsidRDefault="00B36814" w:rsidP="00BE4584">
      <w:pPr>
        <w:spacing w:after="0" w:line="276" w:lineRule="auto"/>
        <w:ind w:firstLine="0"/>
        <w:rPr>
          <w:sz w:val="16"/>
          <w:szCs w:val="16"/>
          <w:lang w:val="en-US"/>
        </w:rPr>
      </w:pPr>
      <w:r>
        <w:rPr>
          <w:i/>
          <w:sz w:val="16"/>
          <w:szCs w:val="16"/>
          <w:lang w:val="en-US"/>
        </w:rPr>
        <w:t xml:space="preserve">     </w:t>
      </w:r>
      <w:r w:rsidR="00FB6E89" w:rsidRPr="005205BC">
        <w:rPr>
          <w:i/>
          <w:sz w:val="16"/>
          <w:szCs w:val="16"/>
          <w:lang w:val="en-US"/>
        </w:rPr>
        <w:t>Notes</w:t>
      </w:r>
      <w:r w:rsidR="00FB6E89" w:rsidRPr="005205BC">
        <w:rPr>
          <w:sz w:val="16"/>
          <w:szCs w:val="16"/>
          <w:lang w:val="en-US"/>
        </w:rPr>
        <w:t xml:space="preserve">: </w:t>
      </w:r>
      <w:r w:rsidR="00CC3068" w:rsidRPr="005205BC">
        <w:rPr>
          <w:sz w:val="16"/>
          <w:szCs w:val="16"/>
          <w:lang w:val="en-US"/>
        </w:rPr>
        <w:t>O</w:t>
      </w:r>
      <w:r w:rsidR="00292140" w:rsidRPr="005205BC">
        <w:rPr>
          <w:sz w:val="16"/>
          <w:szCs w:val="16"/>
          <w:lang w:val="en-US"/>
        </w:rPr>
        <w:t xml:space="preserve">wn-price effects </w:t>
      </w:r>
      <w:r w:rsidR="00CC3068" w:rsidRPr="005205BC">
        <w:rPr>
          <w:sz w:val="16"/>
          <w:szCs w:val="16"/>
          <w:lang w:val="en-US"/>
        </w:rPr>
        <w:t xml:space="preserve">that are estimated </w:t>
      </w:r>
      <w:r w:rsidR="00D30F5F" w:rsidRPr="005205BC">
        <w:rPr>
          <w:sz w:val="16"/>
          <w:szCs w:val="16"/>
          <w:lang w:val="en-US"/>
        </w:rPr>
        <w:t xml:space="preserve">from the random effects </w:t>
      </w:r>
      <w:r w:rsidR="007377DC" w:rsidRPr="005205BC">
        <w:rPr>
          <w:sz w:val="16"/>
          <w:szCs w:val="16"/>
          <w:lang w:val="en-US"/>
        </w:rPr>
        <w:t>T</w:t>
      </w:r>
      <w:r w:rsidR="009076D6" w:rsidRPr="005205BC">
        <w:rPr>
          <w:sz w:val="16"/>
          <w:szCs w:val="16"/>
          <w:lang w:val="en-US"/>
        </w:rPr>
        <w:t xml:space="preserve">obit regression </w:t>
      </w:r>
      <w:r w:rsidR="006F4064" w:rsidRPr="005205BC">
        <w:rPr>
          <w:sz w:val="16"/>
          <w:szCs w:val="16"/>
          <w:lang w:val="en-US"/>
        </w:rPr>
        <w:t>model</w:t>
      </w:r>
      <w:r w:rsidR="00D3533D">
        <w:rPr>
          <w:sz w:val="16"/>
          <w:szCs w:val="16"/>
          <w:lang w:val="en-US"/>
        </w:rPr>
        <w:t>s</w:t>
      </w:r>
      <w:r w:rsidR="009076D6" w:rsidRPr="005205BC">
        <w:rPr>
          <w:sz w:val="16"/>
          <w:szCs w:val="16"/>
          <w:lang w:val="en-US"/>
        </w:rPr>
        <w:t xml:space="preserve"> (see the regression model</w:t>
      </w:r>
      <w:r w:rsidR="007377DC" w:rsidRPr="005205BC">
        <w:rPr>
          <w:sz w:val="16"/>
          <w:szCs w:val="16"/>
          <w:lang w:val="en-US"/>
        </w:rPr>
        <w:t>s in</w:t>
      </w:r>
      <w:r w:rsidR="009076D6" w:rsidRPr="005205BC">
        <w:rPr>
          <w:sz w:val="16"/>
          <w:szCs w:val="16"/>
          <w:lang w:val="en-US"/>
        </w:rPr>
        <w:t xml:space="preserve"> Table </w:t>
      </w:r>
      <w:r w:rsidR="0054015A">
        <w:rPr>
          <w:sz w:val="16"/>
          <w:szCs w:val="16"/>
          <w:lang w:val="en-US"/>
        </w:rPr>
        <w:t>3</w:t>
      </w:r>
      <w:r w:rsidR="009076D6" w:rsidRPr="005205BC">
        <w:rPr>
          <w:sz w:val="16"/>
          <w:szCs w:val="16"/>
          <w:lang w:val="en-US"/>
        </w:rPr>
        <w:t xml:space="preserve">). The bars show the average percentage </w:t>
      </w:r>
      <w:r w:rsidR="006F4064" w:rsidRPr="005205BC">
        <w:rPr>
          <w:sz w:val="16"/>
          <w:szCs w:val="16"/>
          <w:lang w:val="en-US"/>
        </w:rPr>
        <w:t>change</w:t>
      </w:r>
      <w:r w:rsidR="009076D6" w:rsidRPr="005205BC">
        <w:rPr>
          <w:sz w:val="16"/>
          <w:szCs w:val="16"/>
          <w:lang w:val="en-US"/>
        </w:rPr>
        <w:t xml:space="preserve"> in </w:t>
      </w:r>
      <w:r w:rsidR="006F4064" w:rsidRPr="005205BC">
        <w:rPr>
          <w:sz w:val="16"/>
          <w:szCs w:val="16"/>
          <w:lang w:val="en-US"/>
        </w:rPr>
        <w:t xml:space="preserve">the volume of </w:t>
      </w:r>
      <w:r w:rsidR="009076D6" w:rsidRPr="005205BC">
        <w:rPr>
          <w:sz w:val="16"/>
          <w:szCs w:val="16"/>
          <w:lang w:val="en-US"/>
        </w:rPr>
        <w:t xml:space="preserve">purchases </w:t>
      </w:r>
      <w:r w:rsidR="00CC3068" w:rsidRPr="005205BC">
        <w:rPr>
          <w:sz w:val="16"/>
          <w:szCs w:val="16"/>
          <w:lang w:val="en-US"/>
        </w:rPr>
        <w:t>in</w:t>
      </w:r>
      <w:r w:rsidR="009076D6" w:rsidRPr="005205BC">
        <w:rPr>
          <w:sz w:val="16"/>
          <w:szCs w:val="16"/>
          <w:lang w:val="en-US"/>
        </w:rPr>
        <w:t xml:space="preserve"> each tax </w:t>
      </w:r>
      <w:r w:rsidR="00CC3068" w:rsidRPr="005205BC">
        <w:rPr>
          <w:sz w:val="16"/>
          <w:szCs w:val="16"/>
          <w:lang w:val="en-US"/>
        </w:rPr>
        <w:t>condition</w:t>
      </w:r>
      <w:r w:rsidR="006F4064" w:rsidRPr="005205BC">
        <w:rPr>
          <w:sz w:val="16"/>
          <w:szCs w:val="16"/>
          <w:lang w:val="en-US"/>
        </w:rPr>
        <w:t>, as compared to the</w:t>
      </w:r>
      <w:r w:rsidR="009076D6" w:rsidRPr="005205BC">
        <w:rPr>
          <w:sz w:val="16"/>
          <w:szCs w:val="16"/>
          <w:lang w:val="en-US"/>
        </w:rPr>
        <w:t xml:space="preserve"> baseline</w:t>
      </w:r>
      <w:r w:rsidR="006F4064" w:rsidRPr="005205BC">
        <w:rPr>
          <w:sz w:val="16"/>
          <w:szCs w:val="16"/>
          <w:lang w:val="en-US"/>
        </w:rPr>
        <w:t xml:space="preserve"> condition without any</w:t>
      </w:r>
      <w:r w:rsidR="009076D6" w:rsidRPr="005205BC">
        <w:rPr>
          <w:sz w:val="16"/>
          <w:szCs w:val="16"/>
          <w:lang w:val="en-US"/>
        </w:rPr>
        <w:t xml:space="preserve"> price</w:t>
      </w:r>
      <w:r w:rsidR="006F4064" w:rsidRPr="005205BC">
        <w:rPr>
          <w:sz w:val="16"/>
          <w:szCs w:val="16"/>
          <w:lang w:val="en-US"/>
        </w:rPr>
        <w:t xml:space="preserve"> manipulations</w:t>
      </w:r>
      <w:r w:rsidR="009076D6" w:rsidRPr="005205BC">
        <w:rPr>
          <w:sz w:val="16"/>
          <w:szCs w:val="16"/>
          <w:lang w:val="en-US"/>
        </w:rPr>
        <w:t xml:space="preserve">. </w:t>
      </w:r>
      <w:r w:rsidR="006158AD">
        <w:rPr>
          <w:sz w:val="16"/>
          <w:szCs w:val="16"/>
          <w:lang w:val="en-US"/>
        </w:rPr>
        <w:t>Dark grey</w:t>
      </w:r>
      <w:r w:rsidR="006158AD" w:rsidRPr="005205BC">
        <w:rPr>
          <w:sz w:val="16"/>
          <w:szCs w:val="16"/>
          <w:lang w:val="en-US"/>
        </w:rPr>
        <w:t xml:space="preserve"> </w:t>
      </w:r>
      <w:r w:rsidR="009076D6" w:rsidRPr="005205BC">
        <w:rPr>
          <w:sz w:val="16"/>
          <w:szCs w:val="16"/>
          <w:lang w:val="en-US"/>
        </w:rPr>
        <w:t xml:space="preserve">bars </w:t>
      </w:r>
      <w:r w:rsidR="006F4064" w:rsidRPr="005205BC">
        <w:rPr>
          <w:sz w:val="16"/>
          <w:szCs w:val="16"/>
          <w:lang w:val="en-US"/>
        </w:rPr>
        <w:t xml:space="preserve">show the effects when tax was combined with </w:t>
      </w:r>
      <w:r w:rsidR="009076D6" w:rsidRPr="005205BC">
        <w:rPr>
          <w:sz w:val="16"/>
          <w:szCs w:val="16"/>
          <w:lang w:val="en-US"/>
        </w:rPr>
        <w:t xml:space="preserve">the signposted treatment. </w:t>
      </w:r>
      <w:r w:rsidR="00292140" w:rsidRPr="005205BC">
        <w:rPr>
          <w:sz w:val="16"/>
          <w:szCs w:val="16"/>
          <w:lang w:val="en-US"/>
        </w:rPr>
        <w:t>95% c</w:t>
      </w:r>
      <w:r w:rsidR="009076D6" w:rsidRPr="005205BC">
        <w:rPr>
          <w:sz w:val="16"/>
          <w:szCs w:val="16"/>
          <w:lang w:val="en-US"/>
        </w:rPr>
        <w:t xml:space="preserve">onfidence intervals </w:t>
      </w:r>
      <w:r w:rsidR="00D30F5F" w:rsidRPr="005205BC">
        <w:rPr>
          <w:sz w:val="16"/>
          <w:szCs w:val="16"/>
          <w:lang w:val="en-US"/>
        </w:rPr>
        <w:t xml:space="preserve">are </w:t>
      </w:r>
      <w:r w:rsidR="00292140" w:rsidRPr="005205BC">
        <w:rPr>
          <w:sz w:val="16"/>
          <w:szCs w:val="16"/>
          <w:lang w:val="en-US"/>
        </w:rPr>
        <w:t xml:space="preserve">presented in the figure and are </w:t>
      </w:r>
      <w:r w:rsidR="009076D6" w:rsidRPr="005205BC">
        <w:rPr>
          <w:sz w:val="16"/>
          <w:szCs w:val="16"/>
          <w:lang w:val="en-US"/>
        </w:rPr>
        <w:t>based on block-bootstrap cluster</w:t>
      </w:r>
      <w:r w:rsidR="00292140" w:rsidRPr="005205BC">
        <w:rPr>
          <w:sz w:val="16"/>
          <w:szCs w:val="16"/>
          <w:lang w:val="en-US"/>
        </w:rPr>
        <w:t xml:space="preserve"> robust standard errors</w:t>
      </w:r>
      <w:r w:rsidR="009076D6" w:rsidRPr="005205BC">
        <w:rPr>
          <w:sz w:val="16"/>
          <w:szCs w:val="16"/>
          <w:lang w:val="en-US"/>
        </w:rPr>
        <w:t xml:space="preserve"> at </w:t>
      </w:r>
      <w:r w:rsidR="00CC3068" w:rsidRPr="005205BC">
        <w:rPr>
          <w:sz w:val="16"/>
          <w:szCs w:val="16"/>
          <w:lang w:val="en-US"/>
        </w:rPr>
        <w:t xml:space="preserve">participant </w:t>
      </w:r>
      <w:r w:rsidR="009076D6" w:rsidRPr="005205BC">
        <w:rPr>
          <w:sz w:val="16"/>
          <w:szCs w:val="16"/>
          <w:lang w:val="en-US"/>
        </w:rPr>
        <w:t>level.</w:t>
      </w:r>
    </w:p>
    <w:p w14:paraId="3E930E1D" w14:textId="4929D67D" w:rsidR="009076D6" w:rsidRDefault="009076D6" w:rsidP="007B0E00">
      <w:pPr>
        <w:spacing w:after="0"/>
        <w:jc w:val="center"/>
        <w:rPr>
          <w:lang w:val="en-US"/>
        </w:rPr>
      </w:pPr>
    </w:p>
    <w:p w14:paraId="1FD121CF" w14:textId="0F97B1A1" w:rsidR="00A74058" w:rsidRDefault="0054015A" w:rsidP="007B0E00">
      <w:pPr>
        <w:spacing w:after="0"/>
        <w:ind w:right="720" w:firstLine="0"/>
        <w:jc w:val="center"/>
        <w:rPr>
          <w:lang w:val="en-US"/>
        </w:rPr>
      </w:pPr>
      <w:r>
        <w:rPr>
          <w:sz w:val="16"/>
          <w:szCs w:val="16"/>
          <w:lang w:val="en-US"/>
        </w:rPr>
        <w:t>T</w:t>
      </w:r>
      <w:r w:rsidR="00413F10" w:rsidRPr="00413F10">
        <w:rPr>
          <w:sz w:val="16"/>
          <w:szCs w:val="16"/>
          <w:lang w:val="en-US"/>
        </w:rPr>
        <w:t>ABLE 1. BASELINE CHARACTERISTICS OF PARTICIPANTS</w:t>
      </w:r>
    </w:p>
    <w:tbl>
      <w:tblPr>
        <w:tblW w:w="8436" w:type="dxa"/>
        <w:tblLook w:val="04A0" w:firstRow="1" w:lastRow="0" w:firstColumn="1" w:lastColumn="0" w:noHBand="0" w:noVBand="1"/>
      </w:tblPr>
      <w:tblGrid>
        <w:gridCol w:w="2399"/>
        <w:gridCol w:w="251"/>
        <w:gridCol w:w="216"/>
        <w:gridCol w:w="299"/>
        <w:gridCol w:w="508"/>
        <w:gridCol w:w="798"/>
        <w:gridCol w:w="1375"/>
        <w:gridCol w:w="716"/>
        <w:gridCol w:w="1158"/>
        <w:gridCol w:w="717"/>
      </w:tblGrid>
      <w:tr w:rsidR="00521EF5" w:rsidRPr="00413F10" w14:paraId="5FD434BD" w14:textId="77777777" w:rsidTr="00F556AF">
        <w:trPr>
          <w:trHeight w:val="172"/>
        </w:trPr>
        <w:tc>
          <w:tcPr>
            <w:tcW w:w="2650" w:type="dxa"/>
            <w:gridSpan w:val="2"/>
            <w:tcBorders>
              <w:top w:val="double" w:sz="4" w:space="0" w:color="auto"/>
              <w:left w:val="nil"/>
              <w:bottom w:val="nil"/>
              <w:right w:val="nil"/>
            </w:tcBorders>
            <w:shd w:val="clear" w:color="000000" w:fill="FFFFFF"/>
            <w:noWrap/>
            <w:vAlign w:val="bottom"/>
          </w:tcPr>
          <w:p w14:paraId="42016AD1" w14:textId="77777777" w:rsidR="00521EF5" w:rsidRPr="005205BC" w:rsidRDefault="00521EF5" w:rsidP="00871858">
            <w:pPr>
              <w:spacing w:after="0" w:line="240" w:lineRule="auto"/>
              <w:rPr>
                <w:rFonts w:ascii="Calibri" w:hAnsi="Calibri"/>
                <w:color w:val="000000"/>
                <w:sz w:val="16"/>
                <w:szCs w:val="16"/>
              </w:rPr>
            </w:pPr>
          </w:p>
        </w:tc>
        <w:tc>
          <w:tcPr>
            <w:tcW w:w="515" w:type="dxa"/>
            <w:gridSpan w:val="2"/>
            <w:tcBorders>
              <w:top w:val="double" w:sz="4" w:space="0" w:color="auto"/>
              <w:left w:val="nil"/>
              <w:bottom w:val="nil"/>
              <w:right w:val="nil"/>
            </w:tcBorders>
            <w:shd w:val="clear" w:color="000000" w:fill="FFFFFF"/>
            <w:noWrap/>
            <w:vAlign w:val="bottom"/>
          </w:tcPr>
          <w:p w14:paraId="4B6BA320" w14:textId="77777777" w:rsidR="00521EF5" w:rsidRPr="005205BC" w:rsidRDefault="00521EF5" w:rsidP="00871858">
            <w:pPr>
              <w:spacing w:after="0" w:line="240" w:lineRule="auto"/>
              <w:rPr>
                <w:rFonts w:ascii="Calibri" w:hAnsi="Calibri"/>
                <w:color w:val="000000"/>
                <w:sz w:val="16"/>
                <w:szCs w:val="16"/>
              </w:rPr>
            </w:pPr>
          </w:p>
        </w:tc>
        <w:tc>
          <w:tcPr>
            <w:tcW w:w="507" w:type="dxa"/>
            <w:tcBorders>
              <w:top w:val="double" w:sz="4" w:space="0" w:color="auto"/>
              <w:left w:val="nil"/>
              <w:bottom w:val="nil"/>
              <w:right w:val="nil"/>
            </w:tcBorders>
            <w:shd w:val="clear" w:color="000000" w:fill="FFFFFF"/>
            <w:noWrap/>
            <w:vAlign w:val="bottom"/>
          </w:tcPr>
          <w:p w14:paraId="7B5DDC3C" w14:textId="77777777" w:rsidR="00521EF5" w:rsidRPr="005205BC" w:rsidRDefault="00521EF5" w:rsidP="00871858">
            <w:pPr>
              <w:spacing w:after="0" w:line="240" w:lineRule="auto"/>
              <w:jc w:val="center"/>
              <w:rPr>
                <w:color w:val="000000"/>
                <w:sz w:val="16"/>
                <w:szCs w:val="16"/>
              </w:rPr>
            </w:pPr>
          </w:p>
        </w:tc>
        <w:tc>
          <w:tcPr>
            <w:tcW w:w="798" w:type="dxa"/>
            <w:tcBorders>
              <w:top w:val="double" w:sz="4" w:space="0" w:color="auto"/>
              <w:left w:val="nil"/>
              <w:bottom w:val="nil"/>
              <w:right w:val="nil"/>
            </w:tcBorders>
            <w:shd w:val="clear" w:color="000000" w:fill="FFFFFF"/>
            <w:noWrap/>
            <w:vAlign w:val="bottom"/>
          </w:tcPr>
          <w:p w14:paraId="5AD6F34A" w14:textId="77777777" w:rsidR="00521EF5" w:rsidRPr="00DE5D1D" w:rsidRDefault="00521EF5" w:rsidP="00871858">
            <w:pPr>
              <w:spacing w:after="0" w:line="240" w:lineRule="auto"/>
              <w:jc w:val="center"/>
              <w:rPr>
                <w:color w:val="000000"/>
                <w:sz w:val="16"/>
                <w:szCs w:val="16"/>
              </w:rPr>
            </w:pPr>
          </w:p>
        </w:tc>
        <w:tc>
          <w:tcPr>
            <w:tcW w:w="3966" w:type="dxa"/>
            <w:gridSpan w:val="4"/>
            <w:tcBorders>
              <w:top w:val="double" w:sz="4" w:space="0" w:color="auto"/>
              <w:left w:val="nil"/>
              <w:bottom w:val="single" w:sz="4" w:space="0" w:color="auto"/>
              <w:right w:val="nil"/>
            </w:tcBorders>
            <w:shd w:val="clear" w:color="000000" w:fill="FFFFFF"/>
            <w:noWrap/>
            <w:vAlign w:val="bottom"/>
          </w:tcPr>
          <w:p w14:paraId="034043B7" w14:textId="77777777" w:rsidR="00521EF5" w:rsidRPr="00DE5D1D" w:rsidRDefault="00521EF5" w:rsidP="00871858">
            <w:pPr>
              <w:spacing w:after="0" w:line="240" w:lineRule="auto"/>
              <w:jc w:val="center"/>
              <w:rPr>
                <w:color w:val="000000"/>
                <w:sz w:val="16"/>
                <w:szCs w:val="16"/>
              </w:rPr>
            </w:pPr>
            <w:r w:rsidRPr="00DE5D1D">
              <w:rPr>
                <w:color w:val="000000"/>
                <w:sz w:val="16"/>
                <w:szCs w:val="16"/>
                <w:lang w:val="en-US"/>
              </w:rPr>
              <w:t>Treatment</w:t>
            </w:r>
          </w:p>
        </w:tc>
      </w:tr>
      <w:tr w:rsidR="00D41834" w:rsidRPr="00413F10" w14:paraId="48DB970F" w14:textId="77777777" w:rsidTr="00D41834">
        <w:trPr>
          <w:trHeight w:val="279"/>
        </w:trPr>
        <w:tc>
          <w:tcPr>
            <w:tcW w:w="2650" w:type="dxa"/>
            <w:gridSpan w:val="2"/>
            <w:tcBorders>
              <w:top w:val="nil"/>
              <w:left w:val="nil"/>
              <w:bottom w:val="nil"/>
              <w:right w:val="nil"/>
            </w:tcBorders>
            <w:shd w:val="clear" w:color="000000" w:fill="FFFFFF"/>
            <w:noWrap/>
            <w:vAlign w:val="bottom"/>
            <w:hideMark/>
          </w:tcPr>
          <w:p w14:paraId="6AF81059"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515" w:type="dxa"/>
            <w:gridSpan w:val="2"/>
            <w:tcBorders>
              <w:top w:val="nil"/>
              <w:left w:val="nil"/>
              <w:bottom w:val="nil"/>
              <w:right w:val="nil"/>
            </w:tcBorders>
            <w:shd w:val="clear" w:color="000000" w:fill="FFFFFF"/>
            <w:noWrap/>
            <w:vAlign w:val="bottom"/>
            <w:hideMark/>
          </w:tcPr>
          <w:p w14:paraId="4998106E"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507" w:type="dxa"/>
            <w:tcBorders>
              <w:top w:val="nil"/>
              <w:left w:val="nil"/>
              <w:bottom w:val="nil"/>
              <w:right w:val="nil"/>
            </w:tcBorders>
            <w:shd w:val="clear" w:color="000000" w:fill="FFFFFF"/>
            <w:noWrap/>
            <w:vAlign w:val="bottom"/>
            <w:hideMark/>
          </w:tcPr>
          <w:p w14:paraId="69BB2D97" w14:textId="2CA4DDA4" w:rsidR="00521EF5" w:rsidRPr="005205BC" w:rsidRDefault="00521EF5" w:rsidP="00F556AF">
            <w:pPr>
              <w:spacing w:after="0" w:line="240" w:lineRule="auto"/>
              <w:ind w:firstLine="0"/>
              <w:rPr>
                <w:color w:val="000000"/>
                <w:sz w:val="16"/>
                <w:szCs w:val="16"/>
              </w:rPr>
            </w:pPr>
            <w:r>
              <w:rPr>
                <w:color w:val="000000"/>
                <w:sz w:val="16"/>
                <w:szCs w:val="16"/>
              </w:rPr>
              <w:t xml:space="preserve">    </w:t>
            </w:r>
            <w:r w:rsidRPr="005205BC">
              <w:rPr>
                <w:color w:val="000000"/>
                <w:sz w:val="16"/>
                <w:szCs w:val="16"/>
              </w:rPr>
              <w:t>All</w:t>
            </w:r>
          </w:p>
        </w:tc>
        <w:tc>
          <w:tcPr>
            <w:tcW w:w="798" w:type="dxa"/>
            <w:tcBorders>
              <w:top w:val="nil"/>
              <w:left w:val="nil"/>
              <w:bottom w:val="nil"/>
              <w:right w:val="nil"/>
            </w:tcBorders>
            <w:shd w:val="clear" w:color="000000" w:fill="FFFFFF"/>
            <w:noWrap/>
            <w:vAlign w:val="bottom"/>
            <w:hideMark/>
          </w:tcPr>
          <w:p w14:paraId="4CD0EDB2" w14:textId="355A4B1F" w:rsidR="00521EF5" w:rsidRPr="005205BC" w:rsidRDefault="00521EF5" w:rsidP="00F556AF">
            <w:pPr>
              <w:spacing w:after="0" w:line="240" w:lineRule="auto"/>
              <w:jc w:val="left"/>
              <w:rPr>
                <w:color w:val="000000"/>
                <w:sz w:val="16"/>
                <w:szCs w:val="16"/>
              </w:rPr>
            </w:pPr>
            <w:r>
              <w:rPr>
                <w:color w:val="000000"/>
                <w:sz w:val="16"/>
                <w:szCs w:val="16"/>
              </w:rPr>
              <w:t xml:space="preserve">  </w:t>
            </w:r>
            <w:r w:rsidRPr="005205BC">
              <w:rPr>
                <w:color w:val="000000"/>
                <w:sz w:val="16"/>
                <w:szCs w:val="16"/>
              </w:rPr>
              <w:t>n</w:t>
            </w:r>
          </w:p>
        </w:tc>
        <w:tc>
          <w:tcPr>
            <w:tcW w:w="1375" w:type="dxa"/>
            <w:tcBorders>
              <w:top w:val="single" w:sz="4" w:space="0" w:color="auto"/>
              <w:left w:val="nil"/>
              <w:bottom w:val="nil"/>
              <w:right w:val="nil"/>
            </w:tcBorders>
            <w:shd w:val="clear" w:color="000000" w:fill="FFFFFF"/>
            <w:noWrap/>
            <w:vAlign w:val="bottom"/>
            <w:hideMark/>
          </w:tcPr>
          <w:p w14:paraId="063B9877" w14:textId="77777777" w:rsidR="00521EF5" w:rsidRPr="005205BC" w:rsidRDefault="00521EF5" w:rsidP="00F556AF">
            <w:pPr>
              <w:spacing w:after="0" w:line="240" w:lineRule="auto"/>
              <w:jc w:val="center"/>
              <w:rPr>
                <w:color w:val="000000"/>
                <w:sz w:val="16"/>
                <w:szCs w:val="16"/>
              </w:rPr>
            </w:pPr>
            <w:r w:rsidRPr="005205BC">
              <w:rPr>
                <w:color w:val="000000"/>
                <w:sz w:val="16"/>
                <w:szCs w:val="16"/>
                <w:lang w:val="en-US"/>
              </w:rPr>
              <w:t>Not Signposted</w:t>
            </w:r>
          </w:p>
        </w:tc>
        <w:tc>
          <w:tcPr>
            <w:tcW w:w="716" w:type="dxa"/>
            <w:tcBorders>
              <w:top w:val="single" w:sz="4" w:space="0" w:color="auto"/>
              <w:left w:val="nil"/>
              <w:bottom w:val="nil"/>
              <w:right w:val="nil"/>
            </w:tcBorders>
            <w:shd w:val="clear" w:color="000000" w:fill="FFFFFF"/>
            <w:noWrap/>
            <w:vAlign w:val="bottom"/>
            <w:hideMark/>
          </w:tcPr>
          <w:p w14:paraId="3754B5B1" w14:textId="77777777" w:rsidR="00521EF5" w:rsidRPr="005205BC" w:rsidRDefault="00521EF5" w:rsidP="00F556AF">
            <w:pPr>
              <w:spacing w:after="0" w:line="240" w:lineRule="auto"/>
              <w:jc w:val="center"/>
              <w:rPr>
                <w:color w:val="000000"/>
                <w:sz w:val="16"/>
                <w:szCs w:val="16"/>
              </w:rPr>
            </w:pPr>
            <w:r w:rsidRPr="005205BC">
              <w:rPr>
                <w:color w:val="000000"/>
                <w:sz w:val="16"/>
                <w:szCs w:val="16"/>
                <w:lang w:val="en-US"/>
              </w:rPr>
              <w:t>n</w:t>
            </w:r>
          </w:p>
        </w:tc>
        <w:tc>
          <w:tcPr>
            <w:tcW w:w="1158" w:type="dxa"/>
            <w:tcBorders>
              <w:top w:val="single" w:sz="4" w:space="0" w:color="auto"/>
              <w:left w:val="nil"/>
              <w:bottom w:val="nil"/>
              <w:right w:val="nil"/>
            </w:tcBorders>
            <w:shd w:val="clear" w:color="000000" w:fill="FFFFFF"/>
            <w:noWrap/>
            <w:vAlign w:val="bottom"/>
            <w:hideMark/>
          </w:tcPr>
          <w:p w14:paraId="47CB2470" w14:textId="77777777" w:rsidR="00521EF5" w:rsidRPr="005205BC" w:rsidRDefault="00521EF5" w:rsidP="00F556AF">
            <w:pPr>
              <w:spacing w:after="0" w:line="240" w:lineRule="auto"/>
              <w:jc w:val="center"/>
              <w:rPr>
                <w:color w:val="000000"/>
                <w:sz w:val="16"/>
                <w:szCs w:val="16"/>
              </w:rPr>
            </w:pPr>
            <w:r w:rsidRPr="005205BC">
              <w:rPr>
                <w:color w:val="000000"/>
                <w:sz w:val="16"/>
                <w:szCs w:val="16"/>
                <w:lang w:val="en-US"/>
              </w:rPr>
              <w:t>Signposted</w:t>
            </w:r>
          </w:p>
        </w:tc>
        <w:tc>
          <w:tcPr>
            <w:tcW w:w="716" w:type="dxa"/>
            <w:tcBorders>
              <w:top w:val="nil"/>
              <w:left w:val="nil"/>
              <w:bottom w:val="nil"/>
              <w:right w:val="nil"/>
            </w:tcBorders>
            <w:shd w:val="clear" w:color="000000" w:fill="FFFFFF"/>
            <w:noWrap/>
            <w:vAlign w:val="bottom"/>
            <w:hideMark/>
          </w:tcPr>
          <w:p w14:paraId="5741AE0F" w14:textId="77777777" w:rsidR="00521EF5" w:rsidRPr="005205BC" w:rsidRDefault="00521EF5" w:rsidP="00F556AF">
            <w:pPr>
              <w:spacing w:after="0" w:line="240" w:lineRule="auto"/>
              <w:jc w:val="center"/>
              <w:rPr>
                <w:color w:val="000000"/>
                <w:sz w:val="16"/>
                <w:szCs w:val="16"/>
              </w:rPr>
            </w:pPr>
            <w:r w:rsidRPr="005205BC">
              <w:rPr>
                <w:color w:val="000000"/>
                <w:sz w:val="16"/>
                <w:szCs w:val="16"/>
                <w:lang w:val="en-US"/>
              </w:rPr>
              <w:t>n</w:t>
            </w:r>
          </w:p>
        </w:tc>
      </w:tr>
      <w:tr w:rsidR="00521EF5" w:rsidRPr="00521EF5" w14:paraId="3657F697" w14:textId="77777777" w:rsidTr="00F556AF">
        <w:trPr>
          <w:trHeight w:val="42"/>
        </w:trPr>
        <w:tc>
          <w:tcPr>
            <w:tcW w:w="2399" w:type="dxa"/>
            <w:tcBorders>
              <w:top w:val="single" w:sz="4" w:space="0" w:color="auto"/>
              <w:left w:val="nil"/>
              <w:bottom w:val="nil"/>
              <w:right w:val="nil"/>
            </w:tcBorders>
            <w:shd w:val="clear" w:color="000000" w:fill="FFFFFF"/>
            <w:noWrap/>
            <w:vAlign w:val="bottom"/>
            <w:hideMark/>
          </w:tcPr>
          <w:p w14:paraId="2B3EF620" w14:textId="5E462038" w:rsidR="00521EF5" w:rsidRPr="00BE4584" w:rsidRDefault="00521EF5" w:rsidP="007B0E00">
            <w:pPr>
              <w:spacing w:after="0"/>
              <w:rPr>
                <w:rFonts w:ascii="Calibri" w:hAnsi="Calibri"/>
                <w:color w:val="000000"/>
                <w:sz w:val="2"/>
                <w:szCs w:val="16"/>
              </w:rPr>
            </w:pPr>
            <w:r w:rsidRPr="00BE4584">
              <w:rPr>
                <w:rFonts w:ascii="Calibri" w:hAnsi="Calibri"/>
                <w:color w:val="000000"/>
                <w:sz w:val="2"/>
                <w:szCs w:val="16"/>
              </w:rPr>
              <w:t> </w:t>
            </w:r>
          </w:p>
        </w:tc>
        <w:tc>
          <w:tcPr>
            <w:tcW w:w="467" w:type="dxa"/>
            <w:gridSpan w:val="2"/>
            <w:tcBorders>
              <w:top w:val="single" w:sz="4" w:space="0" w:color="auto"/>
              <w:left w:val="nil"/>
              <w:bottom w:val="nil"/>
              <w:right w:val="nil"/>
            </w:tcBorders>
            <w:shd w:val="clear" w:color="000000" w:fill="FFFFFF"/>
            <w:noWrap/>
            <w:vAlign w:val="bottom"/>
            <w:hideMark/>
          </w:tcPr>
          <w:p w14:paraId="2974F95A" w14:textId="77777777" w:rsidR="00521EF5" w:rsidRPr="00BE4584" w:rsidRDefault="00521EF5" w:rsidP="007B0E00">
            <w:pPr>
              <w:spacing w:after="0"/>
              <w:rPr>
                <w:rFonts w:ascii="Calibri" w:hAnsi="Calibri"/>
                <w:color w:val="000000"/>
                <w:sz w:val="2"/>
                <w:szCs w:val="16"/>
              </w:rPr>
            </w:pPr>
            <w:r w:rsidRPr="00BE4584">
              <w:rPr>
                <w:rFonts w:ascii="Calibri" w:hAnsi="Calibri"/>
                <w:color w:val="000000"/>
                <w:sz w:val="2"/>
                <w:szCs w:val="16"/>
              </w:rPr>
              <w:t> </w:t>
            </w:r>
          </w:p>
        </w:tc>
        <w:tc>
          <w:tcPr>
            <w:tcW w:w="806" w:type="dxa"/>
            <w:gridSpan w:val="2"/>
            <w:tcBorders>
              <w:top w:val="single" w:sz="4" w:space="0" w:color="auto"/>
              <w:left w:val="nil"/>
              <w:bottom w:val="nil"/>
              <w:right w:val="nil"/>
            </w:tcBorders>
            <w:shd w:val="clear" w:color="000000" w:fill="FFFFFF"/>
            <w:noWrap/>
            <w:vAlign w:val="bottom"/>
            <w:hideMark/>
          </w:tcPr>
          <w:p w14:paraId="078EAF5D" w14:textId="77777777" w:rsidR="00521EF5" w:rsidRPr="00BE4584" w:rsidRDefault="00521EF5" w:rsidP="007B0E00">
            <w:pPr>
              <w:spacing w:after="0"/>
              <w:rPr>
                <w:color w:val="000000"/>
                <w:sz w:val="2"/>
                <w:szCs w:val="16"/>
              </w:rPr>
            </w:pPr>
            <w:r w:rsidRPr="00BE4584">
              <w:rPr>
                <w:color w:val="000000"/>
                <w:sz w:val="2"/>
                <w:szCs w:val="16"/>
              </w:rPr>
              <w:t> </w:t>
            </w:r>
          </w:p>
        </w:tc>
        <w:tc>
          <w:tcPr>
            <w:tcW w:w="798" w:type="dxa"/>
            <w:tcBorders>
              <w:top w:val="single" w:sz="4" w:space="0" w:color="auto"/>
              <w:left w:val="nil"/>
              <w:bottom w:val="nil"/>
              <w:right w:val="nil"/>
            </w:tcBorders>
            <w:shd w:val="clear" w:color="000000" w:fill="FFFFFF"/>
            <w:noWrap/>
            <w:vAlign w:val="bottom"/>
            <w:hideMark/>
          </w:tcPr>
          <w:p w14:paraId="07EA4912" w14:textId="77777777" w:rsidR="00521EF5" w:rsidRPr="00BE4584" w:rsidRDefault="00521EF5" w:rsidP="007B0E00">
            <w:pPr>
              <w:spacing w:after="0"/>
              <w:jc w:val="left"/>
              <w:rPr>
                <w:color w:val="000000"/>
                <w:sz w:val="2"/>
                <w:szCs w:val="16"/>
              </w:rPr>
            </w:pPr>
            <w:r w:rsidRPr="00BE4584">
              <w:rPr>
                <w:color w:val="000000"/>
                <w:sz w:val="2"/>
                <w:szCs w:val="16"/>
              </w:rPr>
              <w:t> </w:t>
            </w:r>
          </w:p>
        </w:tc>
        <w:tc>
          <w:tcPr>
            <w:tcW w:w="1375" w:type="dxa"/>
            <w:tcBorders>
              <w:top w:val="single" w:sz="4" w:space="0" w:color="auto"/>
              <w:left w:val="nil"/>
              <w:bottom w:val="nil"/>
              <w:right w:val="nil"/>
            </w:tcBorders>
            <w:shd w:val="clear" w:color="000000" w:fill="FFFFFF"/>
            <w:noWrap/>
            <w:vAlign w:val="bottom"/>
            <w:hideMark/>
          </w:tcPr>
          <w:p w14:paraId="4201F98D" w14:textId="77777777" w:rsidR="00521EF5" w:rsidRPr="00BE4584" w:rsidRDefault="00521EF5" w:rsidP="007B0E00">
            <w:pPr>
              <w:spacing w:after="0"/>
              <w:rPr>
                <w:color w:val="000000"/>
                <w:sz w:val="2"/>
                <w:szCs w:val="16"/>
              </w:rPr>
            </w:pPr>
            <w:r w:rsidRPr="00BE4584">
              <w:rPr>
                <w:color w:val="000000"/>
                <w:sz w:val="2"/>
                <w:szCs w:val="16"/>
              </w:rPr>
              <w:t> </w:t>
            </w:r>
          </w:p>
        </w:tc>
        <w:tc>
          <w:tcPr>
            <w:tcW w:w="716" w:type="dxa"/>
            <w:tcBorders>
              <w:top w:val="single" w:sz="4" w:space="0" w:color="auto"/>
              <w:left w:val="nil"/>
              <w:bottom w:val="nil"/>
              <w:right w:val="nil"/>
            </w:tcBorders>
            <w:shd w:val="clear" w:color="000000" w:fill="FFFFFF"/>
            <w:noWrap/>
            <w:vAlign w:val="bottom"/>
            <w:hideMark/>
          </w:tcPr>
          <w:p w14:paraId="60CF7109" w14:textId="77777777" w:rsidR="00521EF5" w:rsidRPr="00BE4584" w:rsidRDefault="00521EF5" w:rsidP="007B0E00">
            <w:pPr>
              <w:spacing w:after="0"/>
              <w:jc w:val="center"/>
              <w:rPr>
                <w:color w:val="000000"/>
                <w:sz w:val="2"/>
                <w:szCs w:val="16"/>
              </w:rPr>
            </w:pPr>
            <w:r w:rsidRPr="00BE4584">
              <w:rPr>
                <w:color w:val="000000"/>
                <w:sz w:val="2"/>
                <w:szCs w:val="16"/>
              </w:rPr>
              <w:t> </w:t>
            </w:r>
          </w:p>
        </w:tc>
        <w:tc>
          <w:tcPr>
            <w:tcW w:w="1158" w:type="dxa"/>
            <w:tcBorders>
              <w:top w:val="single" w:sz="4" w:space="0" w:color="auto"/>
              <w:left w:val="nil"/>
              <w:bottom w:val="nil"/>
              <w:right w:val="nil"/>
            </w:tcBorders>
            <w:shd w:val="clear" w:color="000000" w:fill="FFFFFF"/>
            <w:noWrap/>
            <w:vAlign w:val="bottom"/>
            <w:hideMark/>
          </w:tcPr>
          <w:p w14:paraId="113045CE" w14:textId="77777777" w:rsidR="00521EF5" w:rsidRPr="00BE4584" w:rsidRDefault="00521EF5" w:rsidP="007B0E00">
            <w:pPr>
              <w:spacing w:after="0"/>
              <w:rPr>
                <w:color w:val="000000"/>
                <w:sz w:val="2"/>
                <w:szCs w:val="16"/>
              </w:rPr>
            </w:pPr>
            <w:r w:rsidRPr="00BE4584">
              <w:rPr>
                <w:color w:val="000000"/>
                <w:sz w:val="2"/>
                <w:szCs w:val="16"/>
              </w:rPr>
              <w:t> </w:t>
            </w:r>
          </w:p>
        </w:tc>
        <w:tc>
          <w:tcPr>
            <w:tcW w:w="716" w:type="dxa"/>
            <w:tcBorders>
              <w:top w:val="single" w:sz="4" w:space="0" w:color="auto"/>
              <w:left w:val="nil"/>
              <w:bottom w:val="nil"/>
              <w:right w:val="nil"/>
            </w:tcBorders>
            <w:shd w:val="clear" w:color="000000" w:fill="FFFFFF"/>
            <w:noWrap/>
            <w:vAlign w:val="bottom"/>
            <w:hideMark/>
          </w:tcPr>
          <w:p w14:paraId="03F2BA05" w14:textId="77777777" w:rsidR="00521EF5" w:rsidRPr="00BE4584" w:rsidRDefault="00521EF5" w:rsidP="007B0E00">
            <w:pPr>
              <w:spacing w:after="0"/>
              <w:jc w:val="center"/>
              <w:rPr>
                <w:color w:val="000000"/>
                <w:sz w:val="2"/>
                <w:szCs w:val="16"/>
              </w:rPr>
            </w:pPr>
            <w:r w:rsidRPr="00BE4584">
              <w:rPr>
                <w:color w:val="000000"/>
                <w:sz w:val="2"/>
                <w:szCs w:val="16"/>
              </w:rPr>
              <w:t> </w:t>
            </w:r>
          </w:p>
        </w:tc>
      </w:tr>
      <w:tr w:rsidR="00521EF5" w:rsidRPr="00413F10" w14:paraId="3E8A704C" w14:textId="77777777" w:rsidTr="00F556AF">
        <w:trPr>
          <w:trHeight w:val="335"/>
        </w:trPr>
        <w:tc>
          <w:tcPr>
            <w:tcW w:w="2399" w:type="dxa"/>
            <w:tcBorders>
              <w:top w:val="nil"/>
              <w:left w:val="nil"/>
              <w:bottom w:val="nil"/>
              <w:right w:val="nil"/>
            </w:tcBorders>
            <w:shd w:val="clear" w:color="000000" w:fill="FFFFFF"/>
            <w:noWrap/>
            <w:vAlign w:val="bottom"/>
            <w:hideMark/>
          </w:tcPr>
          <w:p w14:paraId="679BD3BF" w14:textId="033E413B" w:rsidR="00521EF5" w:rsidRPr="005205BC" w:rsidRDefault="00521EF5" w:rsidP="00F556AF">
            <w:pPr>
              <w:spacing w:after="0" w:line="240" w:lineRule="auto"/>
              <w:ind w:firstLine="0"/>
              <w:rPr>
                <w:color w:val="000000"/>
                <w:sz w:val="16"/>
                <w:szCs w:val="16"/>
              </w:rPr>
            </w:pPr>
            <w:r w:rsidRPr="005205BC">
              <w:rPr>
                <w:color w:val="000000"/>
                <w:sz w:val="16"/>
                <w:szCs w:val="16"/>
              </w:rPr>
              <w:t xml:space="preserve">Age, years </w:t>
            </w:r>
          </w:p>
        </w:tc>
        <w:tc>
          <w:tcPr>
            <w:tcW w:w="467" w:type="dxa"/>
            <w:gridSpan w:val="2"/>
            <w:tcBorders>
              <w:top w:val="nil"/>
              <w:left w:val="nil"/>
              <w:bottom w:val="nil"/>
              <w:right w:val="nil"/>
            </w:tcBorders>
            <w:shd w:val="clear" w:color="000000" w:fill="FFFFFF"/>
            <w:noWrap/>
            <w:vAlign w:val="bottom"/>
            <w:hideMark/>
          </w:tcPr>
          <w:p w14:paraId="60173EDF"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806" w:type="dxa"/>
            <w:gridSpan w:val="2"/>
            <w:tcBorders>
              <w:top w:val="nil"/>
              <w:left w:val="nil"/>
              <w:bottom w:val="nil"/>
              <w:right w:val="nil"/>
            </w:tcBorders>
            <w:shd w:val="clear" w:color="000000" w:fill="FFFFFF"/>
            <w:noWrap/>
            <w:vAlign w:val="bottom"/>
            <w:hideMark/>
          </w:tcPr>
          <w:p w14:paraId="76D3CDD8" w14:textId="77777777" w:rsidR="00521EF5" w:rsidRPr="005205BC" w:rsidRDefault="00521EF5" w:rsidP="00F556AF">
            <w:pPr>
              <w:spacing w:after="0" w:line="240" w:lineRule="auto"/>
              <w:jc w:val="center"/>
              <w:rPr>
                <w:color w:val="000000"/>
                <w:sz w:val="16"/>
                <w:szCs w:val="16"/>
              </w:rPr>
            </w:pPr>
            <w:r w:rsidRPr="005205BC">
              <w:rPr>
                <w:color w:val="000000"/>
                <w:sz w:val="16"/>
                <w:szCs w:val="16"/>
              </w:rPr>
              <w:t>46.95</w:t>
            </w:r>
          </w:p>
        </w:tc>
        <w:tc>
          <w:tcPr>
            <w:tcW w:w="798" w:type="dxa"/>
            <w:tcBorders>
              <w:top w:val="nil"/>
              <w:left w:val="nil"/>
              <w:bottom w:val="nil"/>
              <w:right w:val="nil"/>
            </w:tcBorders>
            <w:shd w:val="clear" w:color="000000" w:fill="FFFFFF"/>
            <w:noWrap/>
            <w:vAlign w:val="bottom"/>
            <w:hideMark/>
          </w:tcPr>
          <w:p w14:paraId="368CD9B2" w14:textId="77777777" w:rsidR="00521EF5" w:rsidRPr="005205BC" w:rsidRDefault="00521EF5" w:rsidP="00F556AF">
            <w:pPr>
              <w:spacing w:after="0" w:line="240" w:lineRule="auto"/>
              <w:jc w:val="left"/>
              <w:rPr>
                <w:color w:val="000000"/>
                <w:sz w:val="16"/>
                <w:szCs w:val="16"/>
              </w:rPr>
            </w:pPr>
            <w:r w:rsidRPr="005205BC">
              <w:rPr>
                <w:color w:val="000000"/>
                <w:sz w:val="16"/>
                <w:szCs w:val="16"/>
              </w:rPr>
              <w:t>1000</w:t>
            </w:r>
          </w:p>
        </w:tc>
        <w:tc>
          <w:tcPr>
            <w:tcW w:w="1375" w:type="dxa"/>
            <w:tcBorders>
              <w:top w:val="nil"/>
              <w:left w:val="nil"/>
              <w:bottom w:val="nil"/>
              <w:right w:val="nil"/>
            </w:tcBorders>
            <w:shd w:val="clear" w:color="000000" w:fill="FFFFFF"/>
            <w:noWrap/>
            <w:vAlign w:val="bottom"/>
            <w:hideMark/>
          </w:tcPr>
          <w:p w14:paraId="54884FD0" w14:textId="77777777" w:rsidR="00521EF5" w:rsidRPr="005205BC" w:rsidRDefault="00521EF5" w:rsidP="00F556AF">
            <w:pPr>
              <w:spacing w:after="0" w:line="240" w:lineRule="auto"/>
              <w:jc w:val="center"/>
              <w:rPr>
                <w:color w:val="000000"/>
                <w:sz w:val="16"/>
                <w:szCs w:val="16"/>
              </w:rPr>
            </w:pPr>
            <w:r w:rsidRPr="005205BC">
              <w:rPr>
                <w:color w:val="000000"/>
                <w:sz w:val="16"/>
                <w:szCs w:val="16"/>
              </w:rPr>
              <w:t>46.72</w:t>
            </w:r>
          </w:p>
        </w:tc>
        <w:tc>
          <w:tcPr>
            <w:tcW w:w="716" w:type="dxa"/>
            <w:tcBorders>
              <w:top w:val="nil"/>
              <w:left w:val="nil"/>
              <w:bottom w:val="nil"/>
              <w:right w:val="nil"/>
            </w:tcBorders>
            <w:shd w:val="clear" w:color="000000" w:fill="FFFFFF"/>
            <w:noWrap/>
            <w:vAlign w:val="bottom"/>
            <w:hideMark/>
          </w:tcPr>
          <w:p w14:paraId="0C6AC9B7" w14:textId="77777777" w:rsidR="00521EF5" w:rsidRPr="005205BC" w:rsidRDefault="00521EF5" w:rsidP="00F556AF">
            <w:pPr>
              <w:spacing w:after="0" w:line="240" w:lineRule="auto"/>
              <w:jc w:val="center"/>
              <w:rPr>
                <w:color w:val="000000"/>
                <w:sz w:val="16"/>
                <w:szCs w:val="16"/>
              </w:rPr>
            </w:pPr>
            <w:r w:rsidRPr="005205BC">
              <w:rPr>
                <w:color w:val="000000"/>
                <w:sz w:val="16"/>
                <w:szCs w:val="16"/>
              </w:rPr>
              <w:t>506</w:t>
            </w:r>
          </w:p>
        </w:tc>
        <w:tc>
          <w:tcPr>
            <w:tcW w:w="1158" w:type="dxa"/>
            <w:tcBorders>
              <w:top w:val="nil"/>
              <w:left w:val="nil"/>
              <w:bottom w:val="nil"/>
              <w:right w:val="nil"/>
            </w:tcBorders>
            <w:shd w:val="clear" w:color="000000" w:fill="FFFFFF"/>
            <w:noWrap/>
            <w:vAlign w:val="bottom"/>
            <w:hideMark/>
          </w:tcPr>
          <w:p w14:paraId="77C91B36" w14:textId="77777777" w:rsidR="00521EF5" w:rsidRPr="005205BC" w:rsidRDefault="00521EF5" w:rsidP="00F556AF">
            <w:pPr>
              <w:spacing w:after="0" w:line="240" w:lineRule="auto"/>
              <w:jc w:val="center"/>
              <w:rPr>
                <w:color w:val="000000"/>
                <w:sz w:val="16"/>
                <w:szCs w:val="16"/>
              </w:rPr>
            </w:pPr>
            <w:r w:rsidRPr="005205BC">
              <w:rPr>
                <w:color w:val="000000"/>
                <w:sz w:val="16"/>
                <w:szCs w:val="16"/>
              </w:rPr>
              <w:t>47.18</w:t>
            </w:r>
          </w:p>
        </w:tc>
        <w:tc>
          <w:tcPr>
            <w:tcW w:w="716" w:type="dxa"/>
            <w:tcBorders>
              <w:top w:val="nil"/>
              <w:left w:val="nil"/>
              <w:bottom w:val="nil"/>
              <w:right w:val="nil"/>
            </w:tcBorders>
            <w:shd w:val="clear" w:color="000000" w:fill="FFFFFF"/>
            <w:noWrap/>
            <w:vAlign w:val="bottom"/>
            <w:hideMark/>
          </w:tcPr>
          <w:p w14:paraId="7925ED7C" w14:textId="77777777" w:rsidR="00521EF5" w:rsidRPr="005205BC" w:rsidRDefault="00521EF5" w:rsidP="00F556AF">
            <w:pPr>
              <w:spacing w:after="0" w:line="240" w:lineRule="auto"/>
              <w:jc w:val="center"/>
              <w:rPr>
                <w:color w:val="000000"/>
                <w:sz w:val="16"/>
                <w:szCs w:val="16"/>
              </w:rPr>
            </w:pPr>
            <w:r w:rsidRPr="005205BC">
              <w:rPr>
                <w:color w:val="000000"/>
                <w:sz w:val="16"/>
                <w:szCs w:val="16"/>
              </w:rPr>
              <w:t>494</w:t>
            </w:r>
          </w:p>
        </w:tc>
      </w:tr>
      <w:tr w:rsidR="00521EF5" w:rsidRPr="00413F10" w14:paraId="5D75B88F" w14:textId="77777777" w:rsidTr="00F556AF">
        <w:trPr>
          <w:trHeight w:val="316"/>
        </w:trPr>
        <w:tc>
          <w:tcPr>
            <w:tcW w:w="2399" w:type="dxa"/>
            <w:tcBorders>
              <w:top w:val="nil"/>
              <w:left w:val="nil"/>
              <w:bottom w:val="nil"/>
              <w:right w:val="nil"/>
            </w:tcBorders>
            <w:shd w:val="clear" w:color="000000" w:fill="FFFFFF"/>
            <w:noWrap/>
            <w:vAlign w:val="bottom"/>
            <w:hideMark/>
          </w:tcPr>
          <w:p w14:paraId="6002D7DE" w14:textId="77777777" w:rsidR="00521EF5" w:rsidRPr="005205BC" w:rsidRDefault="00521EF5" w:rsidP="00F556AF">
            <w:pPr>
              <w:spacing w:after="0" w:line="240" w:lineRule="auto"/>
              <w:ind w:firstLine="0"/>
              <w:rPr>
                <w:color w:val="000000"/>
                <w:sz w:val="16"/>
                <w:szCs w:val="16"/>
              </w:rPr>
            </w:pPr>
            <w:r w:rsidRPr="005205BC">
              <w:rPr>
                <w:color w:val="000000"/>
                <w:sz w:val="16"/>
                <w:szCs w:val="16"/>
              </w:rPr>
              <w:t>Gender (F), %</w:t>
            </w:r>
          </w:p>
        </w:tc>
        <w:tc>
          <w:tcPr>
            <w:tcW w:w="467" w:type="dxa"/>
            <w:gridSpan w:val="2"/>
            <w:tcBorders>
              <w:top w:val="nil"/>
              <w:left w:val="nil"/>
              <w:bottom w:val="nil"/>
              <w:right w:val="nil"/>
            </w:tcBorders>
            <w:shd w:val="clear" w:color="000000" w:fill="FFFFFF"/>
            <w:noWrap/>
            <w:vAlign w:val="bottom"/>
            <w:hideMark/>
          </w:tcPr>
          <w:p w14:paraId="68204BB1"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806" w:type="dxa"/>
            <w:gridSpan w:val="2"/>
            <w:tcBorders>
              <w:top w:val="nil"/>
              <w:left w:val="nil"/>
              <w:bottom w:val="nil"/>
              <w:right w:val="nil"/>
            </w:tcBorders>
            <w:shd w:val="clear" w:color="000000" w:fill="FFFFFF"/>
            <w:noWrap/>
            <w:vAlign w:val="bottom"/>
            <w:hideMark/>
          </w:tcPr>
          <w:p w14:paraId="3A04C2A8" w14:textId="77777777" w:rsidR="00521EF5" w:rsidRPr="005205BC" w:rsidRDefault="00521EF5" w:rsidP="00F556AF">
            <w:pPr>
              <w:spacing w:after="0" w:line="240" w:lineRule="auto"/>
              <w:jc w:val="center"/>
              <w:rPr>
                <w:color w:val="000000"/>
                <w:sz w:val="16"/>
                <w:szCs w:val="16"/>
              </w:rPr>
            </w:pPr>
            <w:r w:rsidRPr="005205BC">
              <w:rPr>
                <w:color w:val="000000"/>
                <w:sz w:val="16"/>
                <w:szCs w:val="16"/>
              </w:rPr>
              <w:t>54.10</w:t>
            </w:r>
          </w:p>
        </w:tc>
        <w:tc>
          <w:tcPr>
            <w:tcW w:w="798" w:type="dxa"/>
            <w:tcBorders>
              <w:top w:val="nil"/>
              <w:left w:val="nil"/>
              <w:bottom w:val="nil"/>
              <w:right w:val="nil"/>
            </w:tcBorders>
            <w:shd w:val="clear" w:color="000000" w:fill="FFFFFF"/>
            <w:noWrap/>
            <w:vAlign w:val="bottom"/>
            <w:hideMark/>
          </w:tcPr>
          <w:p w14:paraId="63AC7C73" w14:textId="77777777" w:rsidR="00521EF5" w:rsidRPr="005205BC" w:rsidRDefault="00521EF5" w:rsidP="00F556AF">
            <w:pPr>
              <w:spacing w:after="0" w:line="240" w:lineRule="auto"/>
              <w:jc w:val="left"/>
              <w:rPr>
                <w:color w:val="000000"/>
                <w:sz w:val="16"/>
                <w:szCs w:val="16"/>
              </w:rPr>
            </w:pPr>
            <w:r w:rsidRPr="005205BC">
              <w:rPr>
                <w:color w:val="000000"/>
                <w:sz w:val="16"/>
                <w:szCs w:val="16"/>
              </w:rPr>
              <w:t> </w:t>
            </w:r>
          </w:p>
        </w:tc>
        <w:tc>
          <w:tcPr>
            <w:tcW w:w="1375" w:type="dxa"/>
            <w:tcBorders>
              <w:top w:val="nil"/>
              <w:left w:val="nil"/>
              <w:bottom w:val="nil"/>
              <w:right w:val="nil"/>
            </w:tcBorders>
            <w:shd w:val="clear" w:color="000000" w:fill="FFFFFF"/>
            <w:noWrap/>
            <w:vAlign w:val="bottom"/>
            <w:hideMark/>
          </w:tcPr>
          <w:p w14:paraId="6B2F2450" w14:textId="77777777" w:rsidR="00521EF5" w:rsidRPr="005205BC" w:rsidRDefault="00521EF5" w:rsidP="00F556AF">
            <w:pPr>
              <w:spacing w:after="0" w:line="240" w:lineRule="auto"/>
              <w:jc w:val="center"/>
              <w:rPr>
                <w:color w:val="000000"/>
                <w:sz w:val="16"/>
                <w:szCs w:val="16"/>
              </w:rPr>
            </w:pPr>
            <w:r w:rsidRPr="005205BC">
              <w:rPr>
                <w:color w:val="000000"/>
                <w:sz w:val="16"/>
                <w:szCs w:val="16"/>
              </w:rPr>
              <w:t>53.75</w:t>
            </w:r>
          </w:p>
        </w:tc>
        <w:tc>
          <w:tcPr>
            <w:tcW w:w="716" w:type="dxa"/>
            <w:tcBorders>
              <w:top w:val="nil"/>
              <w:left w:val="nil"/>
              <w:bottom w:val="nil"/>
              <w:right w:val="nil"/>
            </w:tcBorders>
            <w:shd w:val="clear" w:color="000000" w:fill="FFFFFF"/>
            <w:noWrap/>
            <w:vAlign w:val="bottom"/>
            <w:hideMark/>
          </w:tcPr>
          <w:p w14:paraId="0A90F76B" w14:textId="77777777" w:rsidR="00521EF5" w:rsidRPr="005205BC" w:rsidRDefault="00521EF5" w:rsidP="00F556AF">
            <w:pPr>
              <w:spacing w:after="0" w:line="240" w:lineRule="auto"/>
              <w:jc w:val="center"/>
              <w:rPr>
                <w:color w:val="000000"/>
                <w:sz w:val="16"/>
                <w:szCs w:val="16"/>
              </w:rPr>
            </w:pPr>
            <w:r w:rsidRPr="005205BC">
              <w:rPr>
                <w:color w:val="000000"/>
                <w:sz w:val="16"/>
                <w:szCs w:val="16"/>
              </w:rPr>
              <w:t>506</w:t>
            </w:r>
          </w:p>
        </w:tc>
        <w:tc>
          <w:tcPr>
            <w:tcW w:w="1158" w:type="dxa"/>
            <w:tcBorders>
              <w:top w:val="nil"/>
              <w:left w:val="nil"/>
              <w:bottom w:val="nil"/>
              <w:right w:val="nil"/>
            </w:tcBorders>
            <w:shd w:val="clear" w:color="000000" w:fill="FFFFFF"/>
            <w:noWrap/>
            <w:vAlign w:val="bottom"/>
            <w:hideMark/>
          </w:tcPr>
          <w:p w14:paraId="76707C24" w14:textId="77777777" w:rsidR="00521EF5" w:rsidRPr="005205BC" w:rsidRDefault="00521EF5" w:rsidP="00F556AF">
            <w:pPr>
              <w:spacing w:after="0" w:line="240" w:lineRule="auto"/>
              <w:jc w:val="center"/>
              <w:rPr>
                <w:color w:val="000000"/>
                <w:sz w:val="16"/>
                <w:szCs w:val="16"/>
              </w:rPr>
            </w:pPr>
            <w:r w:rsidRPr="005205BC">
              <w:rPr>
                <w:color w:val="000000"/>
                <w:sz w:val="16"/>
                <w:szCs w:val="16"/>
              </w:rPr>
              <w:t>54.45</w:t>
            </w:r>
          </w:p>
        </w:tc>
        <w:tc>
          <w:tcPr>
            <w:tcW w:w="716" w:type="dxa"/>
            <w:tcBorders>
              <w:top w:val="nil"/>
              <w:left w:val="nil"/>
              <w:bottom w:val="nil"/>
              <w:right w:val="nil"/>
            </w:tcBorders>
            <w:shd w:val="clear" w:color="000000" w:fill="FFFFFF"/>
            <w:noWrap/>
            <w:vAlign w:val="bottom"/>
            <w:hideMark/>
          </w:tcPr>
          <w:p w14:paraId="54575ABA" w14:textId="77777777" w:rsidR="00521EF5" w:rsidRPr="005205BC" w:rsidRDefault="00521EF5" w:rsidP="00F556AF">
            <w:pPr>
              <w:spacing w:after="0" w:line="240" w:lineRule="auto"/>
              <w:jc w:val="center"/>
              <w:rPr>
                <w:color w:val="000000"/>
                <w:sz w:val="16"/>
                <w:szCs w:val="16"/>
              </w:rPr>
            </w:pPr>
            <w:r w:rsidRPr="005205BC">
              <w:rPr>
                <w:color w:val="000000"/>
                <w:sz w:val="16"/>
                <w:szCs w:val="16"/>
              </w:rPr>
              <w:t>494</w:t>
            </w:r>
          </w:p>
        </w:tc>
      </w:tr>
      <w:tr w:rsidR="00521EF5" w:rsidRPr="00413F10" w14:paraId="368D4209" w14:textId="77777777" w:rsidTr="00F556AF">
        <w:trPr>
          <w:trHeight w:val="365"/>
        </w:trPr>
        <w:tc>
          <w:tcPr>
            <w:tcW w:w="2399" w:type="dxa"/>
            <w:tcBorders>
              <w:top w:val="nil"/>
              <w:left w:val="nil"/>
              <w:bottom w:val="nil"/>
              <w:right w:val="nil"/>
            </w:tcBorders>
            <w:shd w:val="clear" w:color="000000" w:fill="FFFFFF"/>
            <w:noWrap/>
            <w:vAlign w:val="bottom"/>
            <w:hideMark/>
          </w:tcPr>
          <w:p w14:paraId="08362FAD" w14:textId="77777777" w:rsidR="00521EF5" w:rsidRPr="005205BC" w:rsidRDefault="00521EF5" w:rsidP="00F556AF">
            <w:pPr>
              <w:spacing w:after="0" w:line="240" w:lineRule="auto"/>
              <w:ind w:firstLine="0"/>
              <w:rPr>
                <w:color w:val="000000"/>
                <w:sz w:val="16"/>
                <w:szCs w:val="16"/>
              </w:rPr>
            </w:pPr>
            <w:r w:rsidRPr="005205BC">
              <w:rPr>
                <w:color w:val="000000"/>
                <w:sz w:val="16"/>
                <w:szCs w:val="16"/>
              </w:rPr>
              <w:t>BMI, kg/m</w:t>
            </w:r>
            <w:r w:rsidRPr="005205BC">
              <w:rPr>
                <w:color w:val="000000"/>
                <w:sz w:val="16"/>
                <w:szCs w:val="16"/>
                <w:vertAlign w:val="superscript"/>
              </w:rPr>
              <w:t>2</w:t>
            </w:r>
          </w:p>
        </w:tc>
        <w:tc>
          <w:tcPr>
            <w:tcW w:w="467" w:type="dxa"/>
            <w:gridSpan w:val="2"/>
            <w:tcBorders>
              <w:top w:val="nil"/>
              <w:left w:val="nil"/>
              <w:bottom w:val="nil"/>
              <w:right w:val="nil"/>
            </w:tcBorders>
            <w:shd w:val="clear" w:color="000000" w:fill="FFFFFF"/>
            <w:noWrap/>
            <w:vAlign w:val="bottom"/>
            <w:hideMark/>
          </w:tcPr>
          <w:p w14:paraId="21CFBEA4"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806" w:type="dxa"/>
            <w:gridSpan w:val="2"/>
            <w:tcBorders>
              <w:top w:val="nil"/>
              <w:left w:val="nil"/>
              <w:bottom w:val="nil"/>
              <w:right w:val="nil"/>
            </w:tcBorders>
            <w:shd w:val="clear" w:color="auto" w:fill="auto"/>
            <w:noWrap/>
            <w:vAlign w:val="bottom"/>
            <w:hideMark/>
          </w:tcPr>
          <w:p w14:paraId="39D1554C"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26.49</w:t>
            </w:r>
          </w:p>
        </w:tc>
        <w:tc>
          <w:tcPr>
            <w:tcW w:w="798" w:type="dxa"/>
            <w:tcBorders>
              <w:top w:val="nil"/>
              <w:left w:val="nil"/>
              <w:bottom w:val="nil"/>
              <w:right w:val="nil"/>
            </w:tcBorders>
            <w:shd w:val="clear" w:color="000000" w:fill="FFFFFF"/>
            <w:noWrap/>
            <w:vAlign w:val="bottom"/>
            <w:hideMark/>
          </w:tcPr>
          <w:p w14:paraId="2EC21589" w14:textId="77777777" w:rsidR="00521EF5" w:rsidRPr="005205BC" w:rsidRDefault="00521EF5" w:rsidP="00F556AF">
            <w:pPr>
              <w:spacing w:after="0" w:line="240" w:lineRule="auto"/>
              <w:jc w:val="left"/>
              <w:rPr>
                <w:color w:val="000000"/>
                <w:sz w:val="16"/>
                <w:szCs w:val="16"/>
              </w:rPr>
            </w:pPr>
            <w:r w:rsidRPr="005205BC">
              <w:rPr>
                <w:color w:val="000000"/>
                <w:sz w:val="16"/>
                <w:szCs w:val="16"/>
              </w:rPr>
              <w:t>983</w:t>
            </w:r>
          </w:p>
        </w:tc>
        <w:tc>
          <w:tcPr>
            <w:tcW w:w="1375" w:type="dxa"/>
            <w:tcBorders>
              <w:top w:val="nil"/>
              <w:left w:val="nil"/>
              <w:bottom w:val="nil"/>
              <w:right w:val="nil"/>
            </w:tcBorders>
            <w:shd w:val="clear" w:color="auto" w:fill="auto"/>
            <w:noWrap/>
            <w:vAlign w:val="bottom"/>
            <w:hideMark/>
          </w:tcPr>
          <w:p w14:paraId="66C0E2D6"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26.81</w:t>
            </w:r>
          </w:p>
        </w:tc>
        <w:tc>
          <w:tcPr>
            <w:tcW w:w="716" w:type="dxa"/>
            <w:tcBorders>
              <w:top w:val="nil"/>
              <w:left w:val="nil"/>
              <w:bottom w:val="nil"/>
              <w:right w:val="nil"/>
            </w:tcBorders>
            <w:shd w:val="clear" w:color="000000" w:fill="FFFFFF"/>
            <w:noWrap/>
            <w:vAlign w:val="bottom"/>
            <w:hideMark/>
          </w:tcPr>
          <w:p w14:paraId="10CB232E" w14:textId="77777777" w:rsidR="00521EF5" w:rsidRPr="005205BC" w:rsidRDefault="00521EF5" w:rsidP="00F556AF">
            <w:pPr>
              <w:spacing w:after="0" w:line="240" w:lineRule="auto"/>
              <w:jc w:val="center"/>
              <w:rPr>
                <w:color w:val="000000"/>
                <w:sz w:val="16"/>
                <w:szCs w:val="16"/>
              </w:rPr>
            </w:pPr>
            <w:r w:rsidRPr="005205BC">
              <w:rPr>
                <w:color w:val="000000"/>
                <w:sz w:val="16"/>
                <w:szCs w:val="16"/>
              </w:rPr>
              <w:t>487</w:t>
            </w:r>
          </w:p>
        </w:tc>
        <w:tc>
          <w:tcPr>
            <w:tcW w:w="1158" w:type="dxa"/>
            <w:tcBorders>
              <w:top w:val="nil"/>
              <w:left w:val="nil"/>
              <w:bottom w:val="nil"/>
              <w:right w:val="nil"/>
            </w:tcBorders>
            <w:shd w:val="clear" w:color="auto" w:fill="auto"/>
            <w:noWrap/>
            <w:vAlign w:val="bottom"/>
            <w:hideMark/>
          </w:tcPr>
          <w:p w14:paraId="5C1163B7"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26.16</w:t>
            </w:r>
          </w:p>
        </w:tc>
        <w:tc>
          <w:tcPr>
            <w:tcW w:w="716" w:type="dxa"/>
            <w:tcBorders>
              <w:top w:val="nil"/>
              <w:left w:val="nil"/>
              <w:bottom w:val="nil"/>
              <w:right w:val="nil"/>
            </w:tcBorders>
            <w:shd w:val="clear" w:color="000000" w:fill="FFFFFF"/>
            <w:noWrap/>
            <w:vAlign w:val="bottom"/>
            <w:hideMark/>
          </w:tcPr>
          <w:p w14:paraId="222B52AD" w14:textId="49861AF8" w:rsidR="00521EF5" w:rsidRPr="005205BC" w:rsidRDefault="00521EF5" w:rsidP="00F556AF">
            <w:pPr>
              <w:spacing w:after="0" w:line="240" w:lineRule="auto"/>
              <w:jc w:val="center"/>
              <w:rPr>
                <w:color w:val="000000"/>
                <w:sz w:val="16"/>
                <w:szCs w:val="16"/>
              </w:rPr>
            </w:pPr>
            <w:r w:rsidRPr="005205BC">
              <w:rPr>
                <w:color w:val="000000"/>
                <w:sz w:val="16"/>
                <w:szCs w:val="16"/>
              </w:rPr>
              <w:t>49</w:t>
            </w:r>
            <w:r>
              <w:rPr>
                <w:color w:val="000000"/>
                <w:sz w:val="16"/>
                <w:szCs w:val="16"/>
              </w:rPr>
              <w:t>4</w:t>
            </w:r>
          </w:p>
        </w:tc>
      </w:tr>
      <w:tr w:rsidR="00521EF5" w:rsidRPr="00413F10" w14:paraId="452444A8" w14:textId="77777777" w:rsidTr="00F556AF">
        <w:trPr>
          <w:trHeight w:val="332"/>
        </w:trPr>
        <w:tc>
          <w:tcPr>
            <w:tcW w:w="2399" w:type="dxa"/>
            <w:tcBorders>
              <w:top w:val="nil"/>
              <w:left w:val="nil"/>
              <w:bottom w:val="nil"/>
              <w:right w:val="nil"/>
            </w:tcBorders>
            <w:shd w:val="clear" w:color="000000" w:fill="FFFFFF"/>
            <w:noWrap/>
            <w:vAlign w:val="bottom"/>
            <w:hideMark/>
          </w:tcPr>
          <w:p w14:paraId="642B31AD" w14:textId="06592D4F" w:rsidR="00521EF5" w:rsidRPr="005205BC" w:rsidRDefault="00521EF5" w:rsidP="00F556AF">
            <w:pPr>
              <w:spacing w:after="0" w:line="240" w:lineRule="auto"/>
              <w:ind w:firstLine="0"/>
              <w:rPr>
                <w:color w:val="000000"/>
                <w:sz w:val="16"/>
                <w:szCs w:val="16"/>
              </w:rPr>
            </w:pPr>
            <w:r w:rsidRPr="005205BC">
              <w:rPr>
                <w:color w:val="000000"/>
                <w:sz w:val="16"/>
                <w:szCs w:val="16"/>
              </w:rPr>
              <w:t>Education level</w:t>
            </w:r>
          </w:p>
        </w:tc>
        <w:tc>
          <w:tcPr>
            <w:tcW w:w="467" w:type="dxa"/>
            <w:gridSpan w:val="2"/>
            <w:tcBorders>
              <w:top w:val="nil"/>
              <w:left w:val="nil"/>
              <w:bottom w:val="nil"/>
              <w:right w:val="nil"/>
            </w:tcBorders>
            <w:shd w:val="clear" w:color="000000" w:fill="FFFFFF"/>
            <w:noWrap/>
            <w:vAlign w:val="bottom"/>
            <w:hideMark/>
          </w:tcPr>
          <w:p w14:paraId="681DB4F4"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806" w:type="dxa"/>
            <w:gridSpan w:val="2"/>
            <w:tcBorders>
              <w:top w:val="nil"/>
              <w:left w:val="nil"/>
              <w:bottom w:val="nil"/>
              <w:right w:val="nil"/>
            </w:tcBorders>
            <w:shd w:val="clear" w:color="000000" w:fill="FFFFFF"/>
            <w:noWrap/>
            <w:vAlign w:val="bottom"/>
            <w:hideMark/>
          </w:tcPr>
          <w:p w14:paraId="56B3DF30"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798" w:type="dxa"/>
            <w:tcBorders>
              <w:top w:val="nil"/>
              <w:left w:val="nil"/>
              <w:bottom w:val="nil"/>
              <w:right w:val="nil"/>
            </w:tcBorders>
            <w:shd w:val="clear" w:color="000000" w:fill="FFFFFF"/>
            <w:noWrap/>
            <w:vAlign w:val="bottom"/>
            <w:hideMark/>
          </w:tcPr>
          <w:p w14:paraId="4D861984" w14:textId="77777777" w:rsidR="00521EF5" w:rsidRPr="005205BC" w:rsidRDefault="00521EF5" w:rsidP="00F556AF">
            <w:pPr>
              <w:spacing w:after="0" w:line="240" w:lineRule="auto"/>
              <w:jc w:val="left"/>
              <w:rPr>
                <w:color w:val="000000"/>
                <w:sz w:val="16"/>
                <w:szCs w:val="16"/>
              </w:rPr>
            </w:pPr>
            <w:r w:rsidRPr="005205BC">
              <w:rPr>
                <w:color w:val="000000"/>
                <w:sz w:val="16"/>
                <w:szCs w:val="16"/>
              </w:rPr>
              <w:t>999</w:t>
            </w:r>
          </w:p>
        </w:tc>
        <w:tc>
          <w:tcPr>
            <w:tcW w:w="1375" w:type="dxa"/>
            <w:tcBorders>
              <w:top w:val="nil"/>
              <w:left w:val="nil"/>
              <w:bottom w:val="nil"/>
              <w:right w:val="nil"/>
            </w:tcBorders>
            <w:shd w:val="clear" w:color="000000" w:fill="FFFFFF"/>
            <w:noWrap/>
            <w:vAlign w:val="bottom"/>
            <w:hideMark/>
          </w:tcPr>
          <w:p w14:paraId="2C8DB811"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716" w:type="dxa"/>
            <w:tcBorders>
              <w:top w:val="nil"/>
              <w:left w:val="nil"/>
              <w:bottom w:val="nil"/>
              <w:right w:val="nil"/>
            </w:tcBorders>
            <w:shd w:val="clear" w:color="000000" w:fill="FFFFFF"/>
            <w:noWrap/>
            <w:vAlign w:val="bottom"/>
            <w:hideMark/>
          </w:tcPr>
          <w:p w14:paraId="53DB3938" w14:textId="77777777" w:rsidR="00521EF5" w:rsidRPr="005205BC" w:rsidRDefault="00521EF5" w:rsidP="00F556AF">
            <w:pPr>
              <w:spacing w:after="0" w:line="240" w:lineRule="auto"/>
              <w:jc w:val="center"/>
              <w:rPr>
                <w:color w:val="000000"/>
                <w:sz w:val="16"/>
                <w:szCs w:val="16"/>
              </w:rPr>
            </w:pPr>
            <w:r w:rsidRPr="005205BC">
              <w:rPr>
                <w:color w:val="000000"/>
                <w:sz w:val="16"/>
                <w:szCs w:val="16"/>
              </w:rPr>
              <w:t>506</w:t>
            </w:r>
          </w:p>
        </w:tc>
        <w:tc>
          <w:tcPr>
            <w:tcW w:w="1158" w:type="dxa"/>
            <w:tcBorders>
              <w:top w:val="nil"/>
              <w:left w:val="nil"/>
              <w:bottom w:val="nil"/>
              <w:right w:val="nil"/>
            </w:tcBorders>
            <w:shd w:val="clear" w:color="000000" w:fill="FFFFFF"/>
            <w:noWrap/>
            <w:vAlign w:val="bottom"/>
            <w:hideMark/>
          </w:tcPr>
          <w:p w14:paraId="1C2EF968"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716" w:type="dxa"/>
            <w:tcBorders>
              <w:top w:val="nil"/>
              <w:left w:val="nil"/>
              <w:bottom w:val="nil"/>
              <w:right w:val="nil"/>
            </w:tcBorders>
            <w:shd w:val="clear" w:color="000000" w:fill="FFFFFF"/>
            <w:noWrap/>
            <w:vAlign w:val="bottom"/>
            <w:hideMark/>
          </w:tcPr>
          <w:p w14:paraId="5122B903" w14:textId="77777777" w:rsidR="00521EF5" w:rsidRPr="005205BC" w:rsidRDefault="00521EF5" w:rsidP="00F556AF">
            <w:pPr>
              <w:spacing w:after="0" w:line="240" w:lineRule="auto"/>
              <w:jc w:val="center"/>
              <w:rPr>
                <w:color w:val="000000"/>
                <w:sz w:val="16"/>
                <w:szCs w:val="16"/>
              </w:rPr>
            </w:pPr>
            <w:r w:rsidRPr="005205BC">
              <w:rPr>
                <w:color w:val="000000"/>
                <w:sz w:val="16"/>
                <w:szCs w:val="16"/>
              </w:rPr>
              <w:t>493</w:t>
            </w:r>
          </w:p>
        </w:tc>
      </w:tr>
      <w:tr w:rsidR="00521EF5" w:rsidRPr="00413F10" w14:paraId="61B3ED2B" w14:textId="77777777" w:rsidTr="00F556AF">
        <w:trPr>
          <w:trHeight w:val="206"/>
        </w:trPr>
        <w:tc>
          <w:tcPr>
            <w:tcW w:w="2399" w:type="dxa"/>
            <w:tcBorders>
              <w:top w:val="nil"/>
              <w:left w:val="nil"/>
              <w:bottom w:val="nil"/>
              <w:right w:val="nil"/>
            </w:tcBorders>
            <w:shd w:val="clear" w:color="000000" w:fill="FFFFFF"/>
            <w:noWrap/>
            <w:vAlign w:val="bottom"/>
            <w:hideMark/>
          </w:tcPr>
          <w:p w14:paraId="1B6AB1E2" w14:textId="3C803467" w:rsidR="00521EF5" w:rsidRPr="005205BC" w:rsidRDefault="00521EF5" w:rsidP="00F556AF">
            <w:pPr>
              <w:spacing w:after="0" w:line="240" w:lineRule="auto"/>
              <w:ind w:firstLine="0"/>
              <w:rPr>
                <w:color w:val="000000"/>
                <w:sz w:val="16"/>
                <w:szCs w:val="16"/>
              </w:rPr>
            </w:pPr>
            <w:r>
              <w:rPr>
                <w:color w:val="000000"/>
                <w:sz w:val="16"/>
                <w:szCs w:val="16"/>
              </w:rPr>
              <w:t xml:space="preserve">     </w:t>
            </w:r>
            <w:r w:rsidRPr="005205BC">
              <w:rPr>
                <w:color w:val="000000"/>
                <w:sz w:val="16"/>
                <w:szCs w:val="16"/>
              </w:rPr>
              <w:t>No qualifications, %</w:t>
            </w:r>
          </w:p>
        </w:tc>
        <w:tc>
          <w:tcPr>
            <w:tcW w:w="467" w:type="dxa"/>
            <w:gridSpan w:val="2"/>
            <w:tcBorders>
              <w:top w:val="nil"/>
              <w:left w:val="nil"/>
              <w:bottom w:val="nil"/>
              <w:right w:val="nil"/>
            </w:tcBorders>
            <w:shd w:val="clear" w:color="000000" w:fill="FFFFFF"/>
            <w:noWrap/>
            <w:vAlign w:val="bottom"/>
            <w:hideMark/>
          </w:tcPr>
          <w:p w14:paraId="6736DE33"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806" w:type="dxa"/>
            <w:gridSpan w:val="2"/>
            <w:tcBorders>
              <w:top w:val="nil"/>
              <w:left w:val="nil"/>
              <w:bottom w:val="nil"/>
              <w:right w:val="nil"/>
            </w:tcBorders>
            <w:shd w:val="clear" w:color="000000" w:fill="FFFFFF"/>
            <w:noWrap/>
            <w:vAlign w:val="bottom"/>
            <w:hideMark/>
          </w:tcPr>
          <w:p w14:paraId="3EF74616" w14:textId="2C20C645" w:rsidR="00521EF5" w:rsidRPr="005205BC" w:rsidRDefault="00521EF5" w:rsidP="00F556AF">
            <w:pPr>
              <w:spacing w:after="0" w:line="240" w:lineRule="auto"/>
              <w:jc w:val="center"/>
              <w:rPr>
                <w:color w:val="000000"/>
                <w:sz w:val="16"/>
                <w:szCs w:val="16"/>
              </w:rPr>
            </w:pPr>
            <w:r>
              <w:rPr>
                <w:color w:val="000000"/>
                <w:sz w:val="16"/>
                <w:szCs w:val="16"/>
              </w:rPr>
              <w:t xml:space="preserve">  </w:t>
            </w:r>
            <w:r w:rsidRPr="005205BC">
              <w:rPr>
                <w:color w:val="000000"/>
                <w:sz w:val="16"/>
                <w:szCs w:val="16"/>
              </w:rPr>
              <w:t>6.91</w:t>
            </w:r>
          </w:p>
        </w:tc>
        <w:tc>
          <w:tcPr>
            <w:tcW w:w="798" w:type="dxa"/>
            <w:tcBorders>
              <w:top w:val="nil"/>
              <w:left w:val="nil"/>
              <w:bottom w:val="nil"/>
              <w:right w:val="nil"/>
            </w:tcBorders>
            <w:shd w:val="clear" w:color="000000" w:fill="FFFFFF"/>
            <w:noWrap/>
            <w:vAlign w:val="bottom"/>
            <w:hideMark/>
          </w:tcPr>
          <w:p w14:paraId="2F4881A0" w14:textId="77777777" w:rsidR="00521EF5" w:rsidRPr="005205BC" w:rsidRDefault="00521EF5" w:rsidP="00F556AF">
            <w:pPr>
              <w:spacing w:after="0" w:line="240" w:lineRule="auto"/>
              <w:jc w:val="left"/>
              <w:rPr>
                <w:color w:val="000000"/>
                <w:sz w:val="16"/>
                <w:szCs w:val="16"/>
              </w:rPr>
            </w:pPr>
            <w:r w:rsidRPr="005205BC">
              <w:rPr>
                <w:color w:val="000000"/>
                <w:sz w:val="16"/>
                <w:szCs w:val="16"/>
              </w:rPr>
              <w:t> </w:t>
            </w:r>
          </w:p>
        </w:tc>
        <w:tc>
          <w:tcPr>
            <w:tcW w:w="1375" w:type="dxa"/>
            <w:tcBorders>
              <w:top w:val="nil"/>
              <w:left w:val="nil"/>
              <w:bottom w:val="nil"/>
              <w:right w:val="nil"/>
            </w:tcBorders>
            <w:shd w:val="clear" w:color="000000" w:fill="FFFFFF"/>
            <w:noWrap/>
            <w:vAlign w:val="bottom"/>
            <w:hideMark/>
          </w:tcPr>
          <w:p w14:paraId="0BA1A37B" w14:textId="77777777" w:rsidR="00521EF5" w:rsidRPr="005205BC" w:rsidRDefault="00521EF5" w:rsidP="00F556AF">
            <w:pPr>
              <w:spacing w:after="0" w:line="240" w:lineRule="auto"/>
              <w:jc w:val="center"/>
              <w:rPr>
                <w:color w:val="000000"/>
                <w:sz w:val="16"/>
                <w:szCs w:val="16"/>
              </w:rPr>
            </w:pPr>
            <w:r w:rsidRPr="005205BC">
              <w:rPr>
                <w:color w:val="000000"/>
                <w:sz w:val="16"/>
                <w:szCs w:val="16"/>
              </w:rPr>
              <w:t>5.34</w:t>
            </w:r>
          </w:p>
        </w:tc>
        <w:tc>
          <w:tcPr>
            <w:tcW w:w="716" w:type="dxa"/>
            <w:tcBorders>
              <w:top w:val="nil"/>
              <w:left w:val="nil"/>
              <w:bottom w:val="nil"/>
              <w:right w:val="nil"/>
            </w:tcBorders>
            <w:shd w:val="clear" w:color="000000" w:fill="FFFFFF"/>
            <w:noWrap/>
            <w:vAlign w:val="bottom"/>
            <w:hideMark/>
          </w:tcPr>
          <w:p w14:paraId="53095CAE"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1158" w:type="dxa"/>
            <w:tcBorders>
              <w:top w:val="nil"/>
              <w:left w:val="nil"/>
              <w:bottom w:val="nil"/>
              <w:right w:val="nil"/>
            </w:tcBorders>
            <w:shd w:val="clear" w:color="000000" w:fill="FFFFFF"/>
            <w:noWrap/>
            <w:vAlign w:val="bottom"/>
            <w:hideMark/>
          </w:tcPr>
          <w:p w14:paraId="2935657D" w14:textId="77777777" w:rsidR="00521EF5" w:rsidRPr="005205BC" w:rsidRDefault="00521EF5" w:rsidP="00F556AF">
            <w:pPr>
              <w:spacing w:after="0" w:line="240" w:lineRule="auto"/>
              <w:jc w:val="center"/>
              <w:rPr>
                <w:color w:val="000000"/>
                <w:sz w:val="16"/>
                <w:szCs w:val="16"/>
              </w:rPr>
            </w:pPr>
            <w:r w:rsidRPr="005205BC">
              <w:rPr>
                <w:color w:val="000000"/>
                <w:sz w:val="16"/>
                <w:szCs w:val="16"/>
              </w:rPr>
              <w:t>8.52</w:t>
            </w:r>
          </w:p>
        </w:tc>
        <w:tc>
          <w:tcPr>
            <w:tcW w:w="716" w:type="dxa"/>
            <w:tcBorders>
              <w:top w:val="nil"/>
              <w:left w:val="nil"/>
              <w:bottom w:val="nil"/>
              <w:right w:val="nil"/>
            </w:tcBorders>
            <w:shd w:val="clear" w:color="000000" w:fill="FFFFFF"/>
            <w:noWrap/>
            <w:vAlign w:val="bottom"/>
            <w:hideMark/>
          </w:tcPr>
          <w:p w14:paraId="008343EE"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r>
      <w:tr w:rsidR="00521EF5" w:rsidRPr="00413F10" w14:paraId="5464504D" w14:textId="77777777" w:rsidTr="00F556AF">
        <w:trPr>
          <w:trHeight w:val="198"/>
        </w:trPr>
        <w:tc>
          <w:tcPr>
            <w:tcW w:w="2399" w:type="dxa"/>
            <w:tcBorders>
              <w:top w:val="nil"/>
              <w:left w:val="nil"/>
              <w:bottom w:val="nil"/>
              <w:right w:val="nil"/>
            </w:tcBorders>
            <w:shd w:val="clear" w:color="000000" w:fill="FFFFFF"/>
            <w:noWrap/>
            <w:vAlign w:val="bottom"/>
            <w:hideMark/>
          </w:tcPr>
          <w:p w14:paraId="4E9E62A9" w14:textId="5FFDBC2B" w:rsidR="00521EF5" w:rsidRPr="00BE4584" w:rsidRDefault="00521EF5" w:rsidP="00F556AF">
            <w:pPr>
              <w:spacing w:after="0" w:line="240" w:lineRule="auto"/>
              <w:ind w:firstLineChars="100" w:firstLine="140"/>
              <w:rPr>
                <w:color w:val="000000"/>
                <w:sz w:val="14"/>
                <w:szCs w:val="16"/>
              </w:rPr>
            </w:pPr>
            <w:r w:rsidRPr="00BE4584">
              <w:rPr>
                <w:color w:val="000000"/>
                <w:sz w:val="14"/>
                <w:szCs w:val="16"/>
              </w:rPr>
              <w:t>&lt;5 GCSEs/NVQ Level 1, %</w:t>
            </w:r>
          </w:p>
        </w:tc>
        <w:tc>
          <w:tcPr>
            <w:tcW w:w="467" w:type="dxa"/>
            <w:gridSpan w:val="2"/>
            <w:tcBorders>
              <w:top w:val="nil"/>
              <w:left w:val="nil"/>
              <w:bottom w:val="nil"/>
              <w:right w:val="nil"/>
            </w:tcBorders>
            <w:shd w:val="clear" w:color="000000" w:fill="FFFFFF"/>
            <w:noWrap/>
            <w:vAlign w:val="bottom"/>
            <w:hideMark/>
          </w:tcPr>
          <w:p w14:paraId="2D3BD7A5"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806" w:type="dxa"/>
            <w:gridSpan w:val="2"/>
            <w:tcBorders>
              <w:top w:val="nil"/>
              <w:left w:val="nil"/>
              <w:bottom w:val="nil"/>
              <w:right w:val="nil"/>
            </w:tcBorders>
            <w:shd w:val="clear" w:color="000000" w:fill="FFFFFF"/>
            <w:noWrap/>
            <w:vAlign w:val="bottom"/>
            <w:hideMark/>
          </w:tcPr>
          <w:p w14:paraId="6BCC9E25" w14:textId="77777777" w:rsidR="00521EF5" w:rsidRPr="005205BC" w:rsidRDefault="00521EF5" w:rsidP="00F556AF">
            <w:pPr>
              <w:spacing w:after="0" w:line="240" w:lineRule="auto"/>
              <w:jc w:val="center"/>
              <w:rPr>
                <w:color w:val="000000"/>
                <w:sz w:val="16"/>
                <w:szCs w:val="16"/>
              </w:rPr>
            </w:pPr>
            <w:r w:rsidRPr="005205BC">
              <w:rPr>
                <w:color w:val="000000"/>
                <w:sz w:val="16"/>
                <w:szCs w:val="16"/>
              </w:rPr>
              <w:t>15.42</w:t>
            </w:r>
          </w:p>
        </w:tc>
        <w:tc>
          <w:tcPr>
            <w:tcW w:w="798" w:type="dxa"/>
            <w:tcBorders>
              <w:top w:val="nil"/>
              <w:left w:val="nil"/>
              <w:bottom w:val="nil"/>
              <w:right w:val="nil"/>
            </w:tcBorders>
            <w:shd w:val="clear" w:color="000000" w:fill="FFFFFF"/>
            <w:noWrap/>
            <w:vAlign w:val="bottom"/>
            <w:hideMark/>
          </w:tcPr>
          <w:p w14:paraId="23DBDD0A" w14:textId="77777777" w:rsidR="00521EF5" w:rsidRPr="005205BC" w:rsidRDefault="00521EF5" w:rsidP="00F556AF">
            <w:pPr>
              <w:spacing w:after="0" w:line="240" w:lineRule="auto"/>
              <w:jc w:val="left"/>
              <w:rPr>
                <w:color w:val="000000"/>
                <w:sz w:val="16"/>
                <w:szCs w:val="16"/>
              </w:rPr>
            </w:pPr>
            <w:r w:rsidRPr="005205BC">
              <w:rPr>
                <w:color w:val="000000"/>
                <w:sz w:val="16"/>
                <w:szCs w:val="16"/>
              </w:rPr>
              <w:t> </w:t>
            </w:r>
          </w:p>
        </w:tc>
        <w:tc>
          <w:tcPr>
            <w:tcW w:w="1375" w:type="dxa"/>
            <w:tcBorders>
              <w:top w:val="nil"/>
              <w:left w:val="nil"/>
              <w:bottom w:val="nil"/>
              <w:right w:val="nil"/>
            </w:tcBorders>
            <w:shd w:val="clear" w:color="000000" w:fill="FFFFFF"/>
            <w:noWrap/>
            <w:vAlign w:val="bottom"/>
            <w:hideMark/>
          </w:tcPr>
          <w:p w14:paraId="44BB9C2E" w14:textId="77777777" w:rsidR="00521EF5" w:rsidRPr="005205BC" w:rsidRDefault="00521EF5" w:rsidP="00F556AF">
            <w:pPr>
              <w:spacing w:after="0" w:line="240" w:lineRule="auto"/>
              <w:jc w:val="center"/>
              <w:rPr>
                <w:color w:val="000000"/>
                <w:sz w:val="16"/>
                <w:szCs w:val="16"/>
              </w:rPr>
            </w:pPr>
            <w:r w:rsidRPr="005205BC">
              <w:rPr>
                <w:color w:val="000000"/>
                <w:sz w:val="16"/>
                <w:szCs w:val="16"/>
              </w:rPr>
              <w:t>15.81</w:t>
            </w:r>
          </w:p>
        </w:tc>
        <w:tc>
          <w:tcPr>
            <w:tcW w:w="716" w:type="dxa"/>
            <w:tcBorders>
              <w:top w:val="nil"/>
              <w:left w:val="nil"/>
              <w:bottom w:val="nil"/>
              <w:right w:val="nil"/>
            </w:tcBorders>
            <w:shd w:val="clear" w:color="000000" w:fill="FFFFFF"/>
            <w:noWrap/>
            <w:vAlign w:val="bottom"/>
            <w:hideMark/>
          </w:tcPr>
          <w:p w14:paraId="6C63587D"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1158" w:type="dxa"/>
            <w:tcBorders>
              <w:top w:val="nil"/>
              <w:left w:val="nil"/>
              <w:bottom w:val="nil"/>
              <w:right w:val="nil"/>
            </w:tcBorders>
            <w:shd w:val="clear" w:color="000000" w:fill="FFFFFF"/>
            <w:noWrap/>
            <w:vAlign w:val="bottom"/>
            <w:hideMark/>
          </w:tcPr>
          <w:p w14:paraId="3A46B410" w14:textId="77777777" w:rsidR="00521EF5" w:rsidRPr="005205BC" w:rsidRDefault="00521EF5" w:rsidP="00F556AF">
            <w:pPr>
              <w:spacing w:after="0" w:line="240" w:lineRule="auto"/>
              <w:jc w:val="center"/>
              <w:rPr>
                <w:color w:val="000000"/>
                <w:sz w:val="16"/>
                <w:szCs w:val="16"/>
              </w:rPr>
            </w:pPr>
            <w:r w:rsidRPr="005205BC">
              <w:rPr>
                <w:color w:val="000000"/>
                <w:sz w:val="16"/>
                <w:szCs w:val="16"/>
              </w:rPr>
              <w:t>15.01</w:t>
            </w:r>
          </w:p>
        </w:tc>
        <w:tc>
          <w:tcPr>
            <w:tcW w:w="716" w:type="dxa"/>
            <w:tcBorders>
              <w:top w:val="nil"/>
              <w:left w:val="nil"/>
              <w:bottom w:val="nil"/>
              <w:right w:val="nil"/>
            </w:tcBorders>
            <w:shd w:val="clear" w:color="000000" w:fill="FFFFFF"/>
            <w:noWrap/>
            <w:vAlign w:val="bottom"/>
            <w:hideMark/>
          </w:tcPr>
          <w:p w14:paraId="45769F02"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r>
      <w:tr w:rsidR="00521EF5" w:rsidRPr="00413F10" w14:paraId="44648EE7" w14:textId="77777777" w:rsidTr="00F556AF">
        <w:trPr>
          <w:trHeight w:val="347"/>
        </w:trPr>
        <w:tc>
          <w:tcPr>
            <w:tcW w:w="2399" w:type="dxa"/>
            <w:tcBorders>
              <w:top w:val="nil"/>
              <w:left w:val="nil"/>
              <w:bottom w:val="nil"/>
              <w:right w:val="nil"/>
            </w:tcBorders>
            <w:shd w:val="clear" w:color="000000" w:fill="FFFFFF"/>
            <w:vAlign w:val="bottom"/>
            <w:hideMark/>
          </w:tcPr>
          <w:p w14:paraId="27697A2F" w14:textId="0AEB2D18" w:rsidR="00521EF5" w:rsidRPr="00BE4584" w:rsidRDefault="00521EF5" w:rsidP="00F556AF">
            <w:pPr>
              <w:spacing w:after="0" w:line="240" w:lineRule="auto"/>
              <w:ind w:left="176" w:firstLine="0"/>
              <w:jc w:val="left"/>
              <w:rPr>
                <w:color w:val="000000"/>
                <w:sz w:val="14"/>
                <w:szCs w:val="16"/>
              </w:rPr>
            </w:pPr>
            <w:r w:rsidRPr="00BE4584">
              <w:rPr>
                <w:color w:val="000000"/>
                <w:sz w:val="14"/>
                <w:szCs w:val="16"/>
              </w:rPr>
              <w:t xml:space="preserve">5 or more GCSEs/NVQ Level 2/1 </w:t>
            </w:r>
            <w:r>
              <w:rPr>
                <w:color w:val="000000"/>
                <w:sz w:val="14"/>
                <w:szCs w:val="16"/>
              </w:rPr>
              <w:t xml:space="preserve">         </w:t>
            </w:r>
            <w:r w:rsidRPr="00BE4584">
              <w:rPr>
                <w:color w:val="000000"/>
                <w:sz w:val="14"/>
                <w:szCs w:val="16"/>
              </w:rPr>
              <w:t>A-</w:t>
            </w:r>
            <w:r>
              <w:rPr>
                <w:color w:val="000000"/>
                <w:sz w:val="14"/>
                <w:szCs w:val="16"/>
              </w:rPr>
              <w:t xml:space="preserve">   </w:t>
            </w:r>
            <w:r w:rsidRPr="00BE4584">
              <w:rPr>
                <w:color w:val="000000"/>
                <w:sz w:val="14"/>
                <w:szCs w:val="16"/>
              </w:rPr>
              <w:t>level, %</w:t>
            </w:r>
          </w:p>
        </w:tc>
        <w:tc>
          <w:tcPr>
            <w:tcW w:w="467" w:type="dxa"/>
            <w:gridSpan w:val="2"/>
            <w:tcBorders>
              <w:top w:val="nil"/>
              <w:left w:val="nil"/>
              <w:bottom w:val="nil"/>
              <w:right w:val="nil"/>
            </w:tcBorders>
            <w:shd w:val="clear" w:color="000000" w:fill="FFFFFF"/>
            <w:noWrap/>
            <w:vAlign w:val="bottom"/>
            <w:hideMark/>
          </w:tcPr>
          <w:p w14:paraId="1481193F"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806" w:type="dxa"/>
            <w:gridSpan w:val="2"/>
            <w:tcBorders>
              <w:top w:val="nil"/>
              <w:left w:val="nil"/>
              <w:bottom w:val="nil"/>
              <w:right w:val="nil"/>
            </w:tcBorders>
            <w:shd w:val="clear" w:color="000000" w:fill="FFFFFF"/>
            <w:noWrap/>
            <w:vAlign w:val="bottom"/>
            <w:hideMark/>
          </w:tcPr>
          <w:p w14:paraId="37B233E5" w14:textId="77777777" w:rsidR="00521EF5" w:rsidRPr="005205BC" w:rsidRDefault="00521EF5" w:rsidP="00F556AF">
            <w:pPr>
              <w:spacing w:after="0" w:line="240" w:lineRule="auto"/>
              <w:jc w:val="center"/>
              <w:rPr>
                <w:color w:val="000000"/>
                <w:sz w:val="16"/>
                <w:szCs w:val="16"/>
              </w:rPr>
            </w:pPr>
            <w:r w:rsidRPr="005205BC">
              <w:rPr>
                <w:color w:val="000000"/>
                <w:sz w:val="16"/>
                <w:szCs w:val="16"/>
              </w:rPr>
              <w:t>19.62</w:t>
            </w:r>
          </w:p>
        </w:tc>
        <w:tc>
          <w:tcPr>
            <w:tcW w:w="798" w:type="dxa"/>
            <w:tcBorders>
              <w:top w:val="nil"/>
              <w:left w:val="nil"/>
              <w:bottom w:val="nil"/>
              <w:right w:val="nil"/>
            </w:tcBorders>
            <w:shd w:val="clear" w:color="000000" w:fill="FFFFFF"/>
            <w:noWrap/>
            <w:vAlign w:val="bottom"/>
            <w:hideMark/>
          </w:tcPr>
          <w:p w14:paraId="4A7D9FE6" w14:textId="77777777" w:rsidR="00521EF5" w:rsidRPr="005205BC" w:rsidRDefault="00521EF5" w:rsidP="00F556AF">
            <w:pPr>
              <w:spacing w:after="0" w:line="240" w:lineRule="auto"/>
              <w:jc w:val="left"/>
              <w:rPr>
                <w:color w:val="000000"/>
                <w:sz w:val="16"/>
                <w:szCs w:val="16"/>
              </w:rPr>
            </w:pPr>
            <w:r w:rsidRPr="005205BC">
              <w:rPr>
                <w:color w:val="000000"/>
                <w:sz w:val="16"/>
                <w:szCs w:val="16"/>
              </w:rPr>
              <w:t> </w:t>
            </w:r>
          </w:p>
        </w:tc>
        <w:tc>
          <w:tcPr>
            <w:tcW w:w="1375" w:type="dxa"/>
            <w:tcBorders>
              <w:top w:val="nil"/>
              <w:left w:val="nil"/>
              <w:bottom w:val="nil"/>
              <w:right w:val="nil"/>
            </w:tcBorders>
            <w:shd w:val="clear" w:color="000000" w:fill="FFFFFF"/>
            <w:noWrap/>
            <w:vAlign w:val="bottom"/>
            <w:hideMark/>
          </w:tcPr>
          <w:p w14:paraId="506C0DE0"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20.75</w:t>
            </w:r>
          </w:p>
        </w:tc>
        <w:tc>
          <w:tcPr>
            <w:tcW w:w="716" w:type="dxa"/>
            <w:tcBorders>
              <w:top w:val="nil"/>
              <w:left w:val="nil"/>
              <w:bottom w:val="nil"/>
              <w:right w:val="nil"/>
            </w:tcBorders>
            <w:shd w:val="clear" w:color="000000" w:fill="FFFFFF"/>
            <w:noWrap/>
            <w:vAlign w:val="bottom"/>
            <w:hideMark/>
          </w:tcPr>
          <w:p w14:paraId="5C5D239D"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1158" w:type="dxa"/>
            <w:tcBorders>
              <w:top w:val="nil"/>
              <w:left w:val="nil"/>
              <w:bottom w:val="nil"/>
              <w:right w:val="nil"/>
            </w:tcBorders>
            <w:shd w:val="clear" w:color="000000" w:fill="FFFFFF"/>
            <w:noWrap/>
            <w:vAlign w:val="bottom"/>
            <w:hideMark/>
          </w:tcPr>
          <w:p w14:paraId="7C2C24AF" w14:textId="77777777" w:rsidR="00521EF5" w:rsidRPr="005205BC" w:rsidRDefault="00521EF5" w:rsidP="00F556AF">
            <w:pPr>
              <w:spacing w:after="0" w:line="240" w:lineRule="auto"/>
              <w:jc w:val="center"/>
              <w:rPr>
                <w:color w:val="000000"/>
                <w:sz w:val="16"/>
                <w:szCs w:val="16"/>
              </w:rPr>
            </w:pPr>
            <w:r w:rsidRPr="005205BC">
              <w:rPr>
                <w:color w:val="000000"/>
                <w:sz w:val="16"/>
                <w:szCs w:val="16"/>
              </w:rPr>
              <w:t>18.46</w:t>
            </w:r>
          </w:p>
        </w:tc>
        <w:tc>
          <w:tcPr>
            <w:tcW w:w="716" w:type="dxa"/>
            <w:tcBorders>
              <w:top w:val="nil"/>
              <w:left w:val="nil"/>
              <w:bottom w:val="nil"/>
              <w:right w:val="nil"/>
            </w:tcBorders>
            <w:shd w:val="clear" w:color="000000" w:fill="FFFFFF"/>
            <w:noWrap/>
            <w:vAlign w:val="bottom"/>
            <w:hideMark/>
          </w:tcPr>
          <w:p w14:paraId="448847EF"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r>
      <w:tr w:rsidR="00521EF5" w:rsidRPr="00413F10" w14:paraId="67E79BED" w14:textId="77777777" w:rsidTr="00F556AF">
        <w:trPr>
          <w:trHeight w:val="133"/>
        </w:trPr>
        <w:tc>
          <w:tcPr>
            <w:tcW w:w="2399" w:type="dxa"/>
            <w:tcBorders>
              <w:top w:val="nil"/>
              <w:left w:val="nil"/>
              <w:bottom w:val="nil"/>
              <w:right w:val="nil"/>
            </w:tcBorders>
            <w:shd w:val="clear" w:color="000000" w:fill="FFFFFF"/>
            <w:noWrap/>
            <w:vAlign w:val="bottom"/>
            <w:hideMark/>
          </w:tcPr>
          <w:p w14:paraId="60CB0789" w14:textId="72F2920A" w:rsidR="00521EF5" w:rsidRPr="00BE4584" w:rsidRDefault="00521EF5" w:rsidP="00F556AF">
            <w:pPr>
              <w:spacing w:after="0" w:line="240" w:lineRule="auto"/>
              <w:ind w:firstLineChars="100" w:firstLine="140"/>
              <w:rPr>
                <w:color w:val="000000"/>
                <w:sz w:val="14"/>
                <w:szCs w:val="16"/>
              </w:rPr>
            </w:pPr>
            <w:r w:rsidRPr="00BE4584">
              <w:rPr>
                <w:color w:val="000000"/>
                <w:sz w:val="14"/>
                <w:szCs w:val="16"/>
              </w:rPr>
              <w:t>2 or more A-levels/NVQ Level 3, %</w:t>
            </w:r>
          </w:p>
        </w:tc>
        <w:tc>
          <w:tcPr>
            <w:tcW w:w="467" w:type="dxa"/>
            <w:gridSpan w:val="2"/>
            <w:tcBorders>
              <w:top w:val="nil"/>
              <w:left w:val="nil"/>
              <w:bottom w:val="nil"/>
              <w:right w:val="nil"/>
            </w:tcBorders>
            <w:shd w:val="clear" w:color="000000" w:fill="FFFFFF"/>
            <w:noWrap/>
            <w:vAlign w:val="bottom"/>
            <w:hideMark/>
          </w:tcPr>
          <w:p w14:paraId="67ED07E1"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806" w:type="dxa"/>
            <w:gridSpan w:val="2"/>
            <w:tcBorders>
              <w:top w:val="nil"/>
              <w:left w:val="nil"/>
              <w:bottom w:val="nil"/>
              <w:right w:val="nil"/>
            </w:tcBorders>
            <w:shd w:val="clear" w:color="000000" w:fill="FFFFFF"/>
            <w:noWrap/>
            <w:vAlign w:val="bottom"/>
            <w:hideMark/>
          </w:tcPr>
          <w:p w14:paraId="0B543F46"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21.22</w:t>
            </w:r>
          </w:p>
        </w:tc>
        <w:tc>
          <w:tcPr>
            <w:tcW w:w="798" w:type="dxa"/>
            <w:tcBorders>
              <w:top w:val="nil"/>
              <w:left w:val="nil"/>
              <w:bottom w:val="nil"/>
              <w:right w:val="nil"/>
            </w:tcBorders>
            <w:shd w:val="clear" w:color="000000" w:fill="FFFFFF"/>
            <w:noWrap/>
            <w:vAlign w:val="bottom"/>
            <w:hideMark/>
          </w:tcPr>
          <w:p w14:paraId="3A0C0F8F" w14:textId="77777777" w:rsidR="00521EF5" w:rsidRPr="005205BC" w:rsidRDefault="00521EF5" w:rsidP="00F556AF">
            <w:pPr>
              <w:spacing w:after="0" w:line="240" w:lineRule="auto"/>
              <w:jc w:val="left"/>
              <w:rPr>
                <w:color w:val="000000"/>
                <w:sz w:val="16"/>
                <w:szCs w:val="16"/>
              </w:rPr>
            </w:pPr>
            <w:r w:rsidRPr="005205BC">
              <w:rPr>
                <w:color w:val="000000"/>
                <w:sz w:val="16"/>
                <w:szCs w:val="16"/>
              </w:rPr>
              <w:t> </w:t>
            </w:r>
          </w:p>
        </w:tc>
        <w:tc>
          <w:tcPr>
            <w:tcW w:w="1375" w:type="dxa"/>
            <w:tcBorders>
              <w:top w:val="nil"/>
              <w:left w:val="nil"/>
              <w:bottom w:val="nil"/>
              <w:right w:val="nil"/>
            </w:tcBorders>
            <w:shd w:val="clear" w:color="000000" w:fill="FFFFFF"/>
            <w:noWrap/>
            <w:vAlign w:val="bottom"/>
            <w:hideMark/>
          </w:tcPr>
          <w:p w14:paraId="7BBDC473" w14:textId="77777777" w:rsidR="00521EF5" w:rsidRPr="005205BC" w:rsidRDefault="00521EF5" w:rsidP="00F556AF">
            <w:pPr>
              <w:spacing w:after="0" w:line="240" w:lineRule="auto"/>
              <w:jc w:val="center"/>
              <w:rPr>
                <w:color w:val="000000"/>
                <w:sz w:val="16"/>
                <w:szCs w:val="16"/>
              </w:rPr>
            </w:pPr>
            <w:r w:rsidRPr="005205BC">
              <w:rPr>
                <w:color w:val="000000"/>
                <w:sz w:val="16"/>
                <w:szCs w:val="16"/>
              </w:rPr>
              <w:t>19.37</w:t>
            </w:r>
          </w:p>
        </w:tc>
        <w:tc>
          <w:tcPr>
            <w:tcW w:w="716" w:type="dxa"/>
            <w:tcBorders>
              <w:top w:val="nil"/>
              <w:left w:val="nil"/>
              <w:bottom w:val="nil"/>
              <w:right w:val="nil"/>
            </w:tcBorders>
            <w:shd w:val="clear" w:color="000000" w:fill="FFFFFF"/>
            <w:noWrap/>
            <w:vAlign w:val="bottom"/>
            <w:hideMark/>
          </w:tcPr>
          <w:p w14:paraId="3A26785F"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1158" w:type="dxa"/>
            <w:tcBorders>
              <w:top w:val="nil"/>
              <w:left w:val="nil"/>
              <w:bottom w:val="nil"/>
              <w:right w:val="nil"/>
            </w:tcBorders>
            <w:shd w:val="clear" w:color="000000" w:fill="FFFFFF"/>
            <w:noWrap/>
            <w:vAlign w:val="bottom"/>
            <w:hideMark/>
          </w:tcPr>
          <w:p w14:paraId="70E4B371"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23.12</w:t>
            </w:r>
          </w:p>
        </w:tc>
        <w:tc>
          <w:tcPr>
            <w:tcW w:w="716" w:type="dxa"/>
            <w:tcBorders>
              <w:top w:val="nil"/>
              <w:left w:val="nil"/>
              <w:bottom w:val="nil"/>
              <w:right w:val="nil"/>
            </w:tcBorders>
            <w:shd w:val="clear" w:color="000000" w:fill="FFFFFF"/>
            <w:noWrap/>
            <w:vAlign w:val="bottom"/>
            <w:hideMark/>
          </w:tcPr>
          <w:p w14:paraId="10C4FB94"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r>
      <w:tr w:rsidR="00521EF5" w:rsidRPr="00413F10" w14:paraId="41A1DE79" w14:textId="77777777" w:rsidTr="00F556AF">
        <w:trPr>
          <w:trHeight w:val="136"/>
        </w:trPr>
        <w:tc>
          <w:tcPr>
            <w:tcW w:w="2399" w:type="dxa"/>
            <w:tcBorders>
              <w:top w:val="nil"/>
              <w:left w:val="nil"/>
              <w:bottom w:val="nil"/>
              <w:right w:val="nil"/>
            </w:tcBorders>
            <w:shd w:val="clear" w:color="000000" w:fill="FFFFFF"/>
            <w:noWrap/>
            <w:vAlign w:val="bottom"/>
            <w:hideMark/>
          </w:tcPr>
          <w:p w14:paraId="3B55BFD2" w14:textId="12D8C81D" w:rsidR="00521EF5" w:rsidRPr="00BE4584" w:rsidRDefault="00521EF5" w:rsidP="00F556AF">
            <w:pPr>
              <w:spacing w:after="0" w:line="240" w:lineRule="auto"/>
              <w:ind w:firstLineChars="100" w:firstLine="140"/>
              <w:rPr>
                <w:color w:val="000000"/>
                <w:sz w:val="14"/>
                <w:szCs w:val="16"/>
              </w:rPr>
            </w:pPr>
            <w:r w:rsidRPr="00BE4584">
              <w:rPr>
                <w:color w:val="000000"/>
                <w:sz w:val="14"/>
                <w:szCs w:val="16"/>
              </w:rPr>
              <w:t>Bachelor’s degree, %</w:t>
            </w:r>
          </w:p>
        </w:tc>
        <w:tc>
          <w:tcPr>
            <w:tcW w:w="467" w:type="dxa"/>
            <w:gridSpan w:val="2"/>
            <w:tcBorders>
              <w:top w:val="nil"/>
              <w:left w:val="nil"/>
              <w:bottom w:val="nil"/>
              <w:right w:val="nil"/>
            </w:tcBorders>
            <w:shd w:val="clear" w:color="000000" w:fill="FFFFFF"/>
            <w:noWrap/>
            <w:vAlign w:val="bottom"/>
            <w:hideMark/>
          </w:tcPr>
          <w:p w14:paraId="63ACA444"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806" w:type="dxa"/>
            <w:gridSpan w:val="2"/>
            <w:tcBorders>
              <w:top w:val="nil"/>
              <w:left w:val="nil"/>
              <w:bottom w:val="nil"/>
              <w:right w:val="nil"/>
            </w:tcBorders>
            <w:shd w:val="clear" w:color="000000" w:fill="FFFFFF"/>
            <w:noWrap/>
            <w:vAlign w:val="bottom"/>
            <w:hideMark/>
          </w:tcPr>
          <w:p w14:paraId="7126C1C1"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25.23</w:t>
            </w:r>
          </w:p>
        </w:tc>
        <w:tc>
          <w:tcPr>
            <w:tcW w:w="798" w:type="dxa"/>
            <w:tcBorders>
              <w:top w:val="nil"/>
              <w:left w:val="nil"/>
              <w:bottom w:val="nil"/>
              <w:right w:val="nil"/>
            </w:tcBorders>
            <w:shd w:val="clear" w:color="000000" w:fill="FFFFFF"/>
            <w:noWrap/>
            <w:vAlign w:val="bottom"/>
            <w:hideMark/>
          </w:tcPr>
          <w:p w14:paraId="76E40F62" w14:textId="77777777" w:rsidR="00521EF5" w:rsidRPr="005205BC" w:rsidRDefault="00521EF5" w:rsidP="00F556AF">
            <w:pPr>
              <w:spacing w:after="0" w:line="240" w:lineRule="auto"/>
              <w:jc w:val="left"/>
              <w:rPr>
                <w:color w:val="000000"/>
                <w:sz w:val="16"/>
                <w:szCs w:val="16"/>
              </w:rPr>
            </w:pPr>
            <w:r w:rsidRPr="005205BC">
              <w:rPr>
                <w:color w:val="000000"/>
                <w:sz w:val="16"/>
                <w:szCs w:val="16"/>
              </w:rPr>
              <w:t> </w:t>
            </w:r>
          </w:p>
        </w:tc>
        <w:tc>
          <w:tcPr>
            <w:tcW w:w="1375" w:type="dxa"/>
            <w:tcBorders>
              <w:top w:val="nil"/>
              <w:left w:val="nil"/>
              <w:bottom w:val="nil"/>
              <w:right w:val="nil"/>
            </w:tcBorders>
            <w:shd w:val="clear" w:color="000000" w:fill="FFFFFF"/>
            <w:noWrap/>
            <w:vAlign w:val="bottom"/>
            <w:hideMark/>
          </w:tcPr>
          <w:p w14:paraId="262F0FA0"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27.27</w:t>
            </w:r>
          </w:p>
        </w:tc>
        <w:tc>
          <w:tcPr>
            <w:tcW w:w="716" w:type="dxa"/>
            <w:tcBorders>
              <w:top w:val="nil"/>
              <w:left w:val="nil"/>
              <w:bottom w:val="nil"/>
              <w:right w:val="nil"/>
            </w:tcBorders>
            <w:shd w:val="clear" w:color="000000" w:fill="FFFFFF"/>
            <w:noWrap/>
            <w:vAlign w:val="bottom"/>
            <w:hideMark/>
          </w:tcPr>
          <w:p w14:paraId="76772BB0"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1158" w:type="dxa"/>
            <w:tcBorders>
              <w:top w:val="nil"/>
              <w:left w:val="nil"/>
              <w:bottom w:val="nil"/>
              <w:right w:val="nil"/>
            </w:tcBorders>
            <w:shd w:val="clear" w:color="000000" w:fill="FFFFFF"/>
            <w:noWrap/>
            <w:vAlign w:val="bottom"/>
            <w:hideMark/>
          </w:tcPr>
          <w:p w14:paraId="54D3F27A"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23.12</w:t>
            </w:r>
          </w:p>
        </w:tc>
        <w:tc>
          <w:tcPr>
            <w:tcW w:w="716" w:type="dxa"/>
            <w:tcBorders>
              <w:top w:val="nil"/>
              <w:left w:val="nil"/>
              <w:bottom w:val="nil"/>
              <w:right w:val="nil"/>
            </w:tcBorders>
            <w:shd w:val="clear" w:color="000000" w:fill="FFFFFF"/>
            <w:noWrap/>
            <w:vAlign w:val="bottom"/>
            <w:hideMark/>
          </w:tcPr>
          <w:p w14:paraId="620A0FC1"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r>
      <w:tr w:rsidR="00521EF5" w:rsidRPr="00413F10" w14:paraId="5EE5919B" w14:textId="77777777" w:rsidTr="00F556AF">
        <w:trPr>
          <w:trHeight w:val="251"/>
        </w:trPr>
        <w:tc>
          <w:tcPr>
            <w:tcW w:w="2650" w:type="dxa"/>
            <w:gridSpan w:val="2"/>
            <w:tcBorders>
              <w:top w:val="nil"/>
              <w:left w:val="nil"/>
              <w:bottom w:val="nil"/>
              <w:right w:val="nil"/>
            </w:tcBorders>
            <w:shd w:val="clear" w:color="000000" w:fill="FFFFFF"/>
            <w:noWrap/>
            <w:vAlign w:val="bottom"/>
            <w:hideMark/>
          </w:tcPr>
          <w:p w14:paraId="79E08FA9" w14:textId="7CC37884" w:rsidR="00521EF5" w:rsidRPr="00BE4584" w:rsidRDefault="00521EF5" w:rsidP="00F556AF">
            <w:pPr>
              <w:spacing w:after="0" w:line="240" w:lineRule="auto"/>
              <w:ind w:firstLineChars="100" w:firstLine="140"/>
              <w:jc w:val="left"/>
              <w:rPr>
                <w:color w:val="000000"/>
                <w:sz w:val="14"/>
                <w:szCs w:val="16"/>
              </w:rPr>
            </w:pPr>
            <w:r w:rsidRPr="00BE4584">
              <w:rPr>
                <w:color w:val="000000"/>
                <w:sz w:val="14"/>
                <w:szCs w:val="16"/>
              </w:rPr>
              <w:t>Post-Graduate degree or qualification, %</w:t>
            </w:r>
          </w:p>
        </w:tc>
        <w:tc>
          <w:tcPr>
            <w:tcW w:w="1023" w:type="dxa"/>
            <w:gridSpan w:val="3"/>
            <w:tcBorders>
              <w:top w:val="nil"/>
              <w:left w:val="nil"/>
              <w:bottom w:val="nil"/>
              <w:right w:val="nil"/>
            </w:tcBorders>
            <w:shd w:val="clear" w:color="000000" w:fill="FFFFFF"/>
            <w:noWrap/>
            <w:vAlign w:val="bottom"/>
            <w:hideMark/>
          </w:tcPr>
          <w:p w14:paraId="36F44014" w14:textId="38C57FC0" w:rsidR="00521EF5" w:rsidRPr="005205BC" w:rsidRDefault="00BB63E1" w:rsidP="00F556AF">
            <w:pPr>
              <w:spacing w:after="0" w:line="240" w:lineRule="auto"/>
              <w:jc w:val="center"/>
              <w:rPr>
                <w:color w:val="000000"/>
                <w:sz w:val="16"/>
                <w:szCs w:val="16"/>
              </w:rPr>
            </w:pPr>
            <w:r>
              <w:rPr>
                <w:color w:val="000000"/>
                <w:sz w:val="16"/>
                <w:szCs w:val="16"/>
              </w:rPr>
              <w:t xml:space="preserve">     </w:t>
            </w:r>
            <w:r w:rsidR="00521EF5" w:rsidRPr="005205BC">
              <w:rPr>
                <w:color w:val="000000"/>
                <w:sz w:val="16"/>
                <w:szCs w:val="16"/>
              </w:rPr>
              <w:t>11.61</w:t>
            </w:r>
          </w:p>
        </w:tc>
        <w:tc>
          <w:tcPr>
            <w:tcW w:w="798" w:type="dxa"/>
            <w:tcBorders>
              <w:top w:val="nil"/>
              <w:left w:val="nil"/>
              <w:bottom w:val="nil"/>
              <w:right w:val="nil"/>
            </w:tcBorders>
            <w:shd w:val="clear" w:color="000000" w:fill="FFFFFF"/>
            <w:noWrap/>
            <w:vAlign w:val="bottom"/>
            <w:hideMark/>
          </w:tcPr>
          <w:p w14:paraId="534B1881" w14:textId="77777777" w:rsidR="00521EF5" w:rsidRPr="005205BC" w:rsidRDefault="00521EF5" w:rsidP="00F556AF">
            <w:pPr>
              <w:spacing w:after="0" w:line="240" w:lineRule="auto"/>
              <w:jc w:val="left"/>
              <w:rPr>
                <w:color w:val="000000"/>
                <w:sz w:val="16"/>
                <w:szCs w:val="16"/>
              </w:rPr>
            </w:pPr>
            <w:r w:rsidRPr="005205BC">
              <w:rPr>
                <w:color w:val="000000"/>
                <w:sz w:val="16"/>
                <w:szCs w:val="16"/>
              </w:rPr>
              <w:t> </w:t>
            </w:r>
          </w:p>
        </w:tc>
        <w:tc>
          <w:tcPr>
            <w:tcW w:w="1375" w:type="dxa"/>
            <w:tcBorders>
              <w:top w:val="nil"/>
              <w:left w:val="nil"/>
              <w:bottom w:val="nil"/>
              <w:right w:val="nil"/>
            </w:tcBorders>
            <w:shd w:val="clear" w:color="000000" w:fill="FFFFFF"/>
            <w:noWrap/>
            <w:vAlign w:val="bottom"/>
            <w:hideMark/>
          </w:tcPr>
          <w:p w14:paraId="02F7F385" w14:textId="77777777" w:rsidR="00521EF5" w:rsidRPr="005205BC" w:rsidRDefault="00521EF5" w:rsidP="00F556AF">
            <w:pPr>
              <w:spacing w:after="0" w:line="240" w:lineRule="auto"/>
              <w:jc w:val="center"/>
              <w:rPr>
                <w:color w:val="000000"/>
                <w:sz w:val="16"/>
                <w:szCs w:val="16"/>
              </w:rPr>
            </w:pPr>
            <w:r w:rsidRPr="005205BC">
              <w:rPr>
                <w:color w:val="000000"/>
                <w:sz w:val="16"/>
                <w:szCs w:val="16"/>
              </w:rPr>
              <w:t>11.46</w:t>
            </w:r>
          </w:p>
        </w:tc>
        <w:tc>
          <w:tcPr>
            <w:tcW w:w="716" w:type="dxa"/>
            <w:tcBorders>
              <w:top w:val="nil"/>
              <w:left w:val="nil"/>
              <w:bottom w:val="nil"/>
              <w:right w:val="nil"/>
            </w:tcBorders>
            <w:shd w:val="clear" w:color="000000" w:fill="FFFFFF"/>
            <w:noWrap/>
            <w:vAlign w:val="bottom"/>
            <w:hideMark/>
          </w:tcPr>
          <w:p w14:paraId="7D45E2F2"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1158" w:type="dxa"/>
            <w:tcBorders>
              <w:top w:val="nil"/>
              <w:left w:val="nil"/>
              <w:bottom w:val="nil"/>
              <w:right w:val="nil"/>
            </w:tcBorders>
            <w:shd w:val="clear" w:color="000000" w:fill="FFFFFF"/>
            <w:noWrap/>
            <w:vAlign w:val="bottom"/>
            <w:hideMark/>
          </w:tcPr>
          <w:p w14:paraId="7D204F81" w14:textId="77777777" w:rsidR="00521EF5" w:rsidRPr="005205BC" w:rsidRDefault="00521EF5" w:rsidP="00F556AF">
            <w:pPr>
              <w:spacing w:after="0" w:line="240" w:lineRule="auto"/>
              <w:jc w:val="center"/>
              <w:rPr>
                <w:color w:val="000000"/>
                <w:sz w:val="16"/>
                <w:szCs w:val="16"/>
              </w:rPr>
            </w:pPr>
            <w:r w:rsidRPr="005205BC">
              <w:rPr>
                <w:color w:val="000000"/>
                <w:sz w:val="16"/>
                <w:szCs w:val="16"/>
              </w:rPr>
              <w:t>11.76</w:t>
            </w:r>
          </w:p>
        </w:tc>
        <w:tc>
          <w:tcPr>
            <w:tcW w:w="716" w:type="dxa"/>
            <w:tcBorders>
              <w:top w:val="nil"/>
              <w:left w:val="nil"/>
              <w:bottom w:val="nil"/>
              <w:right w:val="nil"/>
            </w:tcBorders>
            <w:shd w:val="clear" w:color="000000" w:fill="FFFFFF"/>
            <w:noWrap/>
            <w:vAlign w:val="bottom"/>
            <w:hideMark/>
          </w:tcPr>
          <w:p w14:paraId="5B9706DE"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r>
      <w:tr w:rsidR="00521EF5" w:rsidRPr="00413F10" w14:paraId="2CC6563A" w14:textId="77777777" w:rsidTr="00F556AF">
        <w:trPr>
          <w:trHeight w:val="316"/>
        </w:trPr>
        <w:tc>
          <w:tcPr>
            <w:tcW w:w="2399" w:type="dxa"/>
            <w:tcBorders>
              <w:top w:val="nil"/>
              <w:left w:val="nil"/>
              <w:bottom w:val="nil"/>
              <w:right w:val="nil"/>
            </w:tcBorders>
            <w:shd w:val="clear" w:color="000000" w:fill="FFFFFF"/>
            <w:noWrap/>
            <w:vAlign w:val="bottom"/>
            <w:hideMark/>
          </w:tcPr>
          <w:p w14:paraId="280FE258" w14:textId="262BDE02" w:rsidR="00521EF5" w:rsidRPr="005205BC" w:rsidRDefault="00521EF5" w:rsidP="00F556AF">
            <w:pPr>
              <w:spacing w:after="0" w:line="240" w:lineRule="auto"/>
              <w:ind w:firstLine="0"/>
              <w:rPr>
                <w:color w:val="000000"/>
                <w:sz w:val="16"/>
                <w:szCs w:val="16"/>
              </w:rPr>
            </w:pPr>
            <w:r>
              <w:rPr>
                <w:color w:val="000000"/>
                <w:sz w:val="16"/>
                <w:szCs w:val="16"/>
              </w:rPr>
              <w:t xml:space="preserve"> </w:t>
            </w:r>
            <w:r w:rsidRPr="005205BC">
              <w:rPr>
                <w:color w:val="000000"/>
                <w:sz w:val="16"/>
                <w:szCs w:val="16"/>
              </w:rPr>
              <w:t>Household income</w:t>
            </w:r>
          </w:p>
        </w:tc>
        <w:tc>
          <w:tcPr>
            <w:tcW w:w="467" w:type="dxa"/>
            <w:gridSpan w:val="2"/>
            <w:tcBorders>
              <w:top w:val="nil"/>
              <w:left w:val="nil"/>
              <w:bottom w:val="nil"/>
              <w:right w:val="nil"/>
            </w:tcBorders>
            <w:shd w:val="clear" w:color="000000" w:fill="FFFFFF"/>
            <w:noWrap/>
            <w:vAlign w:val="bottom"/>
            <w:hideMark/>
          </w:tcPr>
          <w:p w14:paraId="046B0730"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806" w:type="dxa"/>
            <w:gridSpan w:val="2"/>
            <w:tcBorders>
              <w:top w:val="nil"/>
              <w:left w:val="nil"/>
              <w:bottom w:val="nil"/>
              <w:right w:val="nil"/>
            </w:tcBorders>
            <w:shd w:val="clear" w:color="000000" w:fill="FFFFFF"/>
            <w:noWrap/>
            <w:vAlign w:val="bottom"/>
            <w:hideMark/>
          </w:tcPr>
          <w:p w14:paraId="18FF7F47"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798" w:type="dxa"/>
            <w:tcBorders>
              <w:top w:val="nil"/>
              <w:left w:val="nil"/>
              <w:bottom w:val="nil"/>
              <w:right w:val="nil"/>
            </w:tcBorders>
            <w:shd w:val="clear" w:color="000000" w:fill="FFFFFF"/>
            <w:noWrap/>
            <w:vAlign w:val="bottom"/>
            <w:hideMark/>
          </w:tcPr>
          <w:p w14:paraId="1CC27B2C" w14:textId="77777777" w:rsidR="00521EF5" w:rsidRPr="005205BC" w:rsidRDefault="00521EF5" w:rsidP="00F556AF">
            <w:pPr>
              <w:spacing w:after="0" w:line="240" w:lineRule="auto"/>
              <w:jc w:val="left"/>
              <w:rPr>
                <w:color w:val="000000"/>
                <w:sz w:val="16"/>
                <w:szCs w:val="16"/>
              </w:rPr>
            </w:pPr>
            <w:r w:rsidRPr="005205BC">
              <w:rPr>
                <w:color w:val="000000"/>
                <w:sz w:val="16"/>
                <w:szCs w:val="16"/>
              </w:rPr>
              <w:t>908</w:t>
            </w:r>
          </w:p>
        </w:tc>
        <w:tc>
          <w:tcPr>
            <w:tcW w:w="1375" w:type="dxa"/>
            <w:tcBorders>
              <w:top w:val="nil"/>
              <w:left w:val="nil"/>
              <w:bottom w:val="nil"/>
              <w:right w:val="nil"/>
            </w:tcBorders>
            <w:shd w:val="clear" w:color="000000" w:fill="FFFFFF"/>
            <w:noWrap/>
            <w:vAlign w:val="bottom"/>
            <w:hideMark/>
          </w:tcPr>
          <w:p w14:paraId="6BFBF92F"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716" w:type="dxa"/>
            <w:tcBorders>
              <w:top w:val="nil"/>
              <w:left w:val="nil"/>
              <w:bottom w:val="nil"/>
              <w:right w:val="nil"/>
            </w:tcBorders>
            <w:shd w:val="clear" w:color="000000" w:fill="FFFFFF"/>
            <w:noWrap/>
            <w:vAlign w:val="bottom"/>
            <w:hideMark/>
          </w:tcPr>
          <w:p w14:paraId="3C9374BD" w14:textId="77777777" w:rsidR="00521EF5" w:rsidRPr="005205BC" w:rsidRDefault="00521EF5" w:rsidP="00F556AF">
            <w:pPr>
              <w:spacing w:after="0" w:line="240" w:lineRule="auto"/>
              <w:jc w:val="center"/>
              <w:rPr>
                <w:color w:val="000000"/>
                <w:sz w:val="16"/>
                <w:szCs w:val="16"/>
              </w:rPr>
            </w:pPr>
            <w:r w:rsidRPr="005205BC">
              <w:rPr>
                <w:color w:val="000000"/>
                <w:sz w:val="16"/>
                <w:szCs w:val="16"/>
              </w:rPr>
              <w:t>455</w:t>
            </w:r>
          </w:p>
        </w:tc>
        <w:tc>
          <w:tcPr>
            <w:tcW w:w="1158" w:type="dxa"/>
            <w:tcBorders>
              <w:top w:val="nil"/>
              <w:left w:val="nil"/>
              <w:bottom w:val="nil"/>
              <w:right w:val="nil"/>
            </w:tcBorders>
            <w:shd w:val="clear" w:color="000000" w:fill="FFFFFF"/>
            <w:noWrap/>
            <w:vAlign w:val="bottom"/>
            <w:hideMark/>
          </w:tcPr>
          <w:p w14:paraId="7FF24974"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716" w:type="dxa"/>
            <w:tcBorders>
              <w:top w:val="nil"/>
              <w:left w:val="nil"/>
              <w:bottom w:val="nil"/>
              <w:right w:val="nil"/>
            </w:tcBorders>
            <w:shd w:val="clear" w:color="000000" w:fill="FFFFFF"/>
            <w:noWrap/>
            <w:vAlign w:val="bottom"/>
            <w:hideMark/>
          </w:tcPr>
          <w:p w14:paraId="0CF8DC55" w14:textId="77777777" w:rsidR="00521EF5" w:rsidRPr="005205BC" w:rsidRDefault="00521EF5" w:rsidP="00F556AF">
            <w:pPr>
              <w:spacing w:after="0" w:line="240" w:lineRule="auto"/>
              <w:jc w:val="center"/>
              <w:rPr>
                <w:color w:val="000000"/>
                <w:sz w:val="16"/>
                <w:szCs w:val="16"/>
              </w:rPr>
            </w:pPr>
            <w:r w:rsidRPr="005205BC">
              <w:rPr>
                <w:color w:val="000000"/>
                <w:sz w:val="16"/>
                <w:szCs w:val="16"/>
              </w:rPr>
              <w:t>453</w:t>
            </w:r>
          </w:p>
        </w:tc>
      </w:tr>
      <w:tr w:rsidR="00521EF5" w:rsidRPr="00413F10" w14:paraId="3ECF77BD" w14:textId="77777777" w:rsidTr="00F556AF">
        <w:trPr>
          <w:trHeight w:val="316"/>
        </w:trPr>
        <w:tc>
          <w:tcPr>
            <w:tcW w:w="2399" w:type="dxa"/>
            <w:tcBorders>
              <w:top w:val="nil"/>
              <w:left w:val="nil"/>
              <w:bottom w:val="nil"/>
              <w:right w:val="nil"/>
            </w:tcBorders>
            <w:shd w:val="clear" w:color="000000" w:fill="FFFFFF"/>
            <w:noWrap/>
            <w:vAlign w:val="bottom"/>
            <w:hideMark/>
          </w:tcPr>
          <w:p w14:paraId="4FE6C922" w14:textId="2837030F" w:rsidR="00521EF5" w:rsidRPr="00BE4584" w:rsidRDefault="00521EF5" w:rsidP="00F556AF">
            <w:pPr>
              <w:spacing w:after="0" w:line="240" w:lineRule="auto"/>
              <w:ind w:firstLineChars="100" w:firstLine="140"/>
              <w:rPr>
                <w:color w:val="000000"/>
                <w:sz w:val="14"/>
                <w:szCs w:val="16"/>
              </w:rPr>
            </w:pPr>
            <w:r w:rsidRPr="00BE4584">
              <w:rPr>
                <w:color w:val="000000"/>
                <w:sz w:val="14"/>
                <w:szCs w:val="16"/>
              </w:rPr>
              <w:t>Up to £15,499 per year, %</w:t>
            </w:r>
          </w:p>
        </w:tc>
        <w:tc>
          <w:tcPr>
            <w:tcW w:w="467" w:type="dxa"/>
            <w:gridSpan w:val="2"/>
            <w:tcBorders>
              <w:top w:val="nil"/>
              <w:left w:val="nil"/>
              <w:bottom w:val="nil"/>
              <w:right w:val="nil"/>
            </w:tcBorders>
            <w:shd w:val="clear" w:color="000000" w:fill="FFFFFF"/>
            <w:noWrap/>
            <w:vAlign w:val="bottom"/>
            <w:hideMark/>
          </w:tcPr>
          <w:p w14:paraId="63BF03ED"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806" w:type="dxa"/>
            <w:gridSpan w:val="2"/>
            <w:tcBorders>
              <w:top w:val="nil"/>
              <w:left w:val="nil"/>
              <w:bottom w:val="nil"/>
              <w:right w:val="nil"/>
            </w:tcBorders>
            <w:shd w:val="clear" w:color="000000" w:fill="FFFFFF"/>
            <w:noWrap/>
            <w:vAlign w:val="bottom"/>
            <w:hideMark/>
          </w:tcPr>
          <w:p w14:paraId="32068E7D" w14:textId="77777777" w:rsidR="00521EF5" w:rsidRPr="005205BC" w:rsidRDefault="00521EF5" w:rsidP="00F556AF">
            <w:pPr>
              <w:spacing w:after="0" w:line="240" w:lineRule="auto"/>
              <w:jc w:val="center"/>
              <w:rPr>
                <w:color w:val="000000"/>
                <w:sz w:val="16"/>
                <w:szCs w:val="16"/>
              </w:rPr>
            </w:pPr>
            <w:r w:rsidRPr="005205BC">
              <w:rPr>
                <w:color w:val="000000"/>
                <w:sz w:val="16"/>
                <w:szCs w:val="16"/>
              </w:rPr>
              <w:t>19.71</w:t>
            </w:r>
          </w:p>
        </w:tc>
        <w:tc>
          <w:tcPr>
            <w:tcW w:w="798" w:type="dxa"/>
            <w:tcBorders>
              <w:top w:val="nil"/>
              <w:left w:val="nil"/>
              <w:bottom w:val="nil"/>
              <w:right w:val="nil"/>
            </w:tcBorders>
            <w:shd w:val="clear" w:color="000000" w:fill="FFFFFF"/>
            <w:noWrap/>
            <w:vAlign w:val="bottom"/>
            <w:hideMark/>
          </w:tcPr>
          <w:p w14:paraId="409520C2" w14:textId="77777777" w:rsidR="00521EF5" w:rsidRPr="005205BC" w:rsidRDefault="00521EF5" w:rsidP="00F556AF">
            <w:pPr>
              <w:spacing w:after="0" w:line="240" w:lineRule="auto"/>
              <w:jc w:val="left"/>
              <w:rPr>
                <w:color w:val="000000"/>
                <w:sz w:val="16"/>
                <w:szCs w:val="16"/>
              </w:rPr>
            </w:pPr>
            <w:r w:rsidRPr="005205BC">
              <w:rPr>
                <w:color w:val="000000"/>
                <w:sz w:val="16"/>
                <w:szCs w:val="16"/>
              </w:rPr>
              <w:t> </w:t>
            </w:r>
          </w:p>
        </w:tc>
        <w:tc>
          <w:tcPr>
            <w:tcW w:w="1375" w:type="dxa"/>
            <w:tcBorders>
              <w:top w:val="nil"/>
              <w:left w:val="nil"/>
              <w:bottom w:val="nil"/>
              <w:right w:val="nil"/>
            </w:tcBorders>
            <w:shd w:val="clear" w:color="000000" w:fill="FFFFFF"/>
            <w:noWrap/>
            <w:vAlign w:val="bottom"/>
            <w:hideMark/>
          </w:tcPr>
          <w:p w14:paraId="34169A07" w14:textId="77777777" w:rsidR="00521EF5" w:rsidRPr="005205BC" w:rsidRDefault="00521EF5" w:rsidP="00F556AF">
            <w:pPr>
              <w:spacing w:after="0" w:line="240" w:lineRule="auto"/>
              <w:jc w:val="center"/>
              <w:rPr>
                <w:color w:val="000000"/>
                <w:sz w:val="16"/>
                <w:szCs w:val="16"/>
              </w:rPr>
            </w:pPr>
            <w:r w:rsidRPr="005205BC">
              <w:rPr>
                <w:color w:val="000000"/>
                <w:sz w:val="16"/>
                <w:szCs w:val="16"/>
              </w:rPr>
              <w:t>18.46</w:t>
            </w:r>
          </w:p>
        </w:tc>
        <w:tc>
          <w:tcPr>
            <w:tcW w:w="716" w:type="dxa"/>
            <w:tcBorders>
              <w:top w:val="nil"/>
              <w:left w:val="nil"/>
              <w:bottom w:val="nil"/>
              <w:right w:val="nil"/>
            </w:tcBorders>
            <w:shd w:val="clear" w:color="000000" w:fill="FFFFFF"/>
            <w:noWrap/>
            <w:vAlign w:val="bottom"/>
            <w:hideMark/>
          </w:tcPr>
          <w:p w14:paraId="621FD96E"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1158" w:type="dxa"/>
            <w:tcBorders>
              <w:top w:val="nil"/>
              <w:left w:val="nil"/>
              <w:bottom w:val="nil"/>
              <w:right w:val="nil"/>
            </w:tcBorders>
            <w:shd w:val="clear" w:color="000000" w:fill="FFFFFF"/>
            <w:noWrap/>
            <w:vAlign w:val="bottom"/>
            <w:hideMark/>
          </w:tcPr>
          <w:p w14:paraId="7AE53776"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20.97</w:t>
            </w:r>
          </w:p>
        </w:tc>
        <w:tc>
          <w:tcPr>
            <w:tcW w:w="716" w:type="dxa"/>
            <w:tcBorders>
              <w:top w:val="nil"/>
              <w:left w:val="nil"/>
              <w:bottom w:val="nil"/>
              <w:right w:val="nil"/>
            </w:tcBorders>
            <w:shd w:val="clear" w:color="000000" w:fill="FFFFFF"/>
            <w:noWrap/>
            <w:vAlign w:val="bottom"/>
            <w:hideMark/>
          </w:tcPr>
          <w:p w14:paraId="468D964A"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r>
      <w:tr w:rsidR="00521EF5" w:rsidRPr="00413F10" w14:paraId="553C9420" w14:textId="77777777" w:rsidTr="00F556AF">
        <w:trPr>
          <w:trHeight w:val="316"/>
        </w:trPr>
        <w:tc>
          <w:tcPr>
            <w:tcW w:w="2399" w:type="dxa"/>
            <w:tcBorders>
              <w:top w:val="nil"/>
              <w:left w:val="nil"/>
              <w:bottom w:val="nil"/>
              <w:right w:val="nil"/>
            </w:tcBorders>
            <w:shd w:val="clear" w:color="000000" w:fill="FFFFFF"/>
            <w:noWrap/>
            <w:vAlign w:val="bottom"/>
            <w:hideMark/>
          </w:tcPr>
          <w:p w14:paraId="38315E22" w14:textId="00B82B97" w:rsidR="00521EF5" w:rsidRPr="00BE4584" w:rsidRDefault="00521EF5" w:rsidP="00F556AF">
            <w:pPr>
              <w:spacing w:after="0" w:line="240" w:lineRule="auto"/>
              <w:ind w:firstLineChars="100" w:firstLine="140"/>
              <w:rPr>
                <w:color w:val="000000"/>
                <w:sz w:val="14"/>
                <w:szCs w:val="16"/>
              </w:rPr>
            </w:pPr>
            <w:r w:rsidRPr="00BE4584">
              <w:rPr>
                <w:color w:val="000000"/>
                <w:sz w:val="14"/>
                <w:szCs w:val="16"/>
              </w:rPr>
              <w:lastRenderedPageBreak/>
              <w:t>£15,500–£24,999 per year, %</w:t>
            </w:r>
          </w:p>
        </w:tc>
        <w:tc>
          <w:tcPr>
            <w:tcW w:w="467" w:type="dxa"/>
            <w:gridSpan w:val="2"/>
            <w:tcBorders>
              <w:top w:val="nil"/>
              <w:left w:val="nil"/>
              <w:bottom w:val="nil"/>
              <w:right w:val="nil"/>
            </w:tcBorders>
            <w:shd w:val="clear" w:color="000000" w:fill="FFFFFF"/>
            <w:noWrap/>
            <w:vAlign w:val="bottom"/>
            <w:hideMark/>
          </w:tcPr>
          <w:p w14:paraId="58F51B56"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806" w:type="dxa"/>
            <w:gridSpan w:val="2"/>
            <w:tcBorders>
              <w:top w:val="nil"/>
              <w:left w:val="nil"/>
              <w:bottom w:val="nil"/>
              <w:right w:val="nil"/>
            </w:tcBorders>
            <w:shd w:val="clear" w:color="000000" w:fill="FFFFFF"/>
            <w:noWrap/>
            <w:vAlign w:val="bottom"/>
            <w:hideMark/>
          </w:tcPr>
          <w:p w14:paraId="4E269C0A"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23.46</w:t>
            </w:r>
          </w:p>
        </w:tc>
        <w:tc>
          <w:tcPr>
            <w:tcW w:w="798" w:type="dxa"/>
            <w:tcBorders>
              <w:top w:val="nil"/>
              <w:left w:val="nil"/>
              <w:bottom w:val="nil"/>
              <w:right w:val="nil"/>
            </w:tcBorders>
            <w:shd w:val="clear" w:color="000000" w:fill="FFFFFF"/>
            <w:noWrap/>
            <w:vAlign w:val="bottom"/>
            <w:hideMark/>
          </w:tcPr>
          <w:p w14:paraId="3A3D17C1" w14:textId="77777777" w:rsidR="00521EF5" w:rsidRPr="005205BC" w:rsidRDefault="00521EF5" w:rsidP="00F556AF">
            <w:pPr>
              <w:spacing w:after="0" w:line="240" w:lineRule="auto"/>
              <w:jc w:val="left"/>
              <w:rPr>
                <w:color w:val="000000"/>
                <w:sz w:val="16"/>
                <w:szCs w:val="16"/>
              </w:rPr>
            </w:pPr>
            <w:r w:rsidRPr="005205BC">
              <w:rPr>
                <w:color w:val="000000"/>
                <w:sz w:val="16"/>
                <w:szCs w:val="16"/>
              </w:rPr>
              <w:t> </w:t>
            </w:r>
          </w:p>
        </w:tc>
        <w:tc>
          <w:tcPr>
            <w:tcW w:w="1375" w:type="dxa"/>
            <w:tcBorders>
              <w:top w:val="nil"/>
              <w:left w:val="nil"/>
              <w:bottom w:val="nil"/>
              <w:right w:val="nil"/>
            </w:tcBorders>
            <w:shd w:val="clear" w:color="000000" w:fill="FFFFFF"/>
            <w:noWrap/>
            <w:vAlign w:val="bottom"/>
            <w:hideMark/>
          </w:tcPr>
          <w:p w14:paraId="54C52513"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25.05</w:t>
            </w:r>
          </w:p>
        </w:tc>
        <w:tc>
          <w:tcPr>
            <w:tcW w:w="716" w:type="dxa"/>
            <w:tcBorders>
              <w:top w:val="nil"/>
              <w:left w:val="nil"/>
              <w:bottom w:val="nil"/>
              <w:right w:val="nil"/>
            </w:tcBorders>
            <w:shd w:val="clear" w:color="000000" w:fill="FFFFFF"/>
            <w:noWrap/>
            <w:vAlign w:val="bottom"/>
            <w:hideMark/>
          </w:tcPr>
          <w:p w14:paraId="2A2C1B34"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1158" w:type="dxa"/>
            <w:tcBorders>
              <w:top w:val="nil"/>
              <w:left w:val="nil"/>
              <w:bottom w:val="nil"/>
              <w:right w:val="nil"/>
            </w:tcBorders>
            <w:shd w:val="clear" w:color="000000" w:fill="FFFFFF"/>
            <w:noWrap/>
            <w:vAlign w:val="bottom"/>
            <w:hideMark/>
          </w:tcPr>
          <w:p w14:paraId="791C506F"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21.85</w:t>
            </w:r>
          </w:p>
        </w:tc>
        <w:tc>
          <w:tcPr>
            <w:tcW w:w="716" w:type="dxa"/>
            <w:tcBorders>
              <w:top w:val="nil"/>
              <w:left w:val="nil"/>
              <w:bottom w:val="nil"/>
              <w:right w:val="nil"/>
            </w:tcBorders>
            <w:shd w:val="clear" w:color="000000" w:fill="FFFFFF"/>
            <w:noWrap/>
            <w:vAlign w:val="bottom"/>
            <w:hideMark/>
          </w:tcPr>
          <w:p w14:paraId="4E46BB84"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r>
      <w:tr w:rsidR="00521EF5" w:rsidRPr="00413F10" w14:paraId="6E573550" w14:textId="77777777" w:rsidTr="00F556AF">
        <w:trPr>
          <w:trHeight w:val="316"/>
        </w:trPr>
        <w:tc>
          <w:tcPr>
            <w:tcW w:w="2399" w:type="dxa"/>
            <w:tcBorders>
              <w:top w:val="nil"/>
              <w:left w:val="nil"/>
              <w:bottom w:val="nil"/>
              <w:right w:val="nil"/>
            </w:tcBorders>
            <w:shd w:val="clear" w:color="000000" w:fill="FFFFFF"/>
            <w:noWrap/>
            <w:vAlign w:val="bottom"/>
            <w:hideMark/>
          </w:tcPr>
          <w:p w14:paraId="100B7CE0" w14:textId="3D0F22C0" w:rsidR="00521EF5" w:rsidRPr="00BE4584" w:rsidRDefault="00521EF5" w:rsidP="00F556AF">
            <w:pPr>
              <w:spacing w:after="0" w:line="240" w:lineRule="auto"/>
              <w:ind w:firstLineChars="100" w:firstLine="140"/>
              <w:rPr>
                <w:color w:val="000000"/>
                <w:sz w:val="14"/>
                <w:szCs w:val="16"/>
              </w:rPr>
            </w:pPr>
            <w:r w:rsidRPr="00BE4584">
              <w:rPr>
                <w:color w:val="000000"/>
                <w:sz w:val="14"/>
                <w:szCs w:val="16"/>
              </w:rPr>
              <w:t>25,000–£39,999 per year, %</w:t>
            </w:r>
          </w:p>
        </w:tc>
        <w:tc>
          <w:tcPr>
            <w:tcW w:w="467" w:type="dxa"/>
            <w:gridSpan w:val="2"/>
            <w:tcBorders>
              <w:top w:val="nil"/>
              <w:left w:val="nil"/>
              <w:bottom w:val="nil"/>
              <w:right w:val="nil"/>
            </w:tcBorders>
            <w:shd w:val="clear" w:color="000000" w:fill="FFFFFF"/>
            <w:noWrap/>
            <w:vAlign w:val="bottom"/>
            <w:hideMark/>
          </w:tcPr>
          <w:p w14:paraId="23C24A69"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806" w:type="dxa"/>
            <w:gridSpan w:val="2"/>
            <w:tcBorders>
              <w:top w:val="nil"/>
              <w:left w:val="nil"/>
              <w:bottom w:val="nil"/>
              <w:right w:val="nil"/>
            </w:tcBorders>
            <w:shd w:val="clear" w:color="000000" w:fill="FFFFFF"/>
            <w:noWrap/>
            <w:vAlign w:val="bottom"/>
            <w:hideMark/>
          </w:tcPr>
          <w:p w14:paraId="6FAD57FD"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29.3</w:t>
            </w:r>
          </w:p>
        </w:tc>
        <w:tc>
          <w:tcPr>
            <w:tcW w:w="798" w:type="dxa"/>
            <w:tcBorders>
              <w:top w:val="nil"/>
              <w:left w:val="nil"/>
              <w:bottom w:val="nil"/>
              <w:right w:val="nil"/>
            </w:tcBorders>
            <w:shd w:val="clear" w:color="000000" w:fill="FFFFFF"/>
            <w:noWrap/>
            <w:vAlign w:val="bottom"/>
            <w:hideMark/>
          </w:tcPr>
          <w:p w14:paraId="68156770" w14:textId="77777777" w:rsidR="00521EF5" w:rsidRPr="005205BC" w:rsidRDefault="00521EF5" w:rsidP="00F556AF">
            <w:pPr>
              <w:spacing w:after="0" w:line="240" w:lineRule="auto"/>
              <w:jc w:val="left"/>
              <w:rPr>
                <w:color w:val="000000"/>
                <w:sz w:val="16"/>
                <w:szCs w:val="16"/>
              </w:rPr>
            </w:pPr>
            <w:r w:rsidRPr="005205BC">
              <w:rPr>
                <w:color w:val="000000"/>
                <w:sz w:val="16"/>
                <w:szCs w:val="16"/>
              </w:rPr>
              <w:t> </w:t>
            </w:r>
          </w:p>
        </w:tc>
        <w:tc>
          <w:tcPr>
            <w:tcW w:w="1375" w:type="dxa"/>
            <w:tcBorders>
              <w:top w:val="nil"/>
              <w:left w:val="nil"/>
              <w:bottom w:val="nil"/>
              <w:right w:val="nil"/>
            </w:tcBorders>
            <w:shd w:val="clear" w:color="000000" w:fill="FFFFFF"/>
            <w:noWrap/>
            <w:vAlign w:val="bottom"/>
            <w:hideMark/>
          </w:tcPr>
          <w:p w14:paraId="182E2E7F"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28.13</w:t>
            </w:r>
          </w:p>
        </w:tc>
        <w:tc>
          <w:tcPr>
            <w:tcW w:w="716" w:type="dxa"/>
            <w:tcBorders>
              <w:top w:val="nil"/>
              <w:left w:val="nil"/>
              <w:bottom w:val="nil"/>
              <w:right w:val="nil"/>
            </w:tcBorders>
            <w:shd w:val="clear" w:color="000000" w:fill="FFFFFF"/>
            <w:noWrap/>
            <w:vAlign w:val="bottom"/>
            <w:hideMark/>
          </w:tcPr>
          <w:p w14:paraId="3EBA8CD0"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1158" w:type="dxa"/>
            <w:tcBorders>
              <w:top w:val="nil"/>
              <w:left w:val="nil"/>
              <w:bottom w:val="nil"/>
              <w:right w:val="nil"/>
            </w:tcBorders>
            <w:shd w:val="clear" w:color="000000" w:fill="FFFFFF"/>
            <w:noWrap/>
            <w:vAlign w:val="bottom"/>
            <w:hideMark/>
          </w:tcPr>
          <w:p w14:paraId="15B8D6C4" w14:textId="77777777" w:rsidR="00521EF5" w:rsidRPr="005205BC" w:rsidRDefault="00521EF5" w:rsidP="00F556AF">
            <w:pPr>
              <w:spacing w:after="0" w:line="240" w:lineRule="auto"/>
              <w:jc w:val="center"/>
              <w:rPr>
                <w:color w:val="000000"/>
                <w:sz w:val="16"/>
                <w:szCs w:val="16"/>
              </w:rPr>
            </w:pPr>
            <w:r w:rsidRPr="005205BC">
              <w:rPr>
                <w:color w:val="000000"/>
                <w:sz w:val="16"/>
                <w:szCs w:val="16"/>
              </w:rPr>
              <w:t>30.46</w:t>
            </w:r>
          </w:p>
        </w:tc>
        <w:tc>
          <w:tcPr>
            <w:tcW w:w="716" w:type="dxa"/>
            <w:tcBorders>
              <w:top w:val="nil"/>
              <w:left w:val="nil"/>
              <w:bottom w:val="nil"/>
              <w:right w:val="nil"/>
            </w:tcBorders>
            <w:shd w:val="clear" w:color="000000" w:fill="FFFFFF"/>
            <w:noWrap/>
            <w:vAlign w:val="bottom"/>
            <w:hideMark/>
          </w:tcPr>
          <w:p w14:paraId="6F13D074"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r>
      <w:tr w:rsidR="00521EF5" w:rsidRPr="00413F10" w14:paraId="07BD1EFE" w14:textId="77777777" w:rsidTr="00F556AF">
        <w:trPr>
          <w:trHeight w:val="316"/>
        </w:trPr>
        <w:tc>
          <w:tcPr>
            <w:tcW w:w="2399" w:type="dxa"/>
            <w:tcBorders>
              <w:top w:val="nil"/>
              <w:left w:val="nil"/>
              <w:bottom w:val="nil"/>
              <w:right w:val="nil"/>
            </w:tcBorders>
            <w:shd w:val="clear" w:color="000000" w:fill="FFFFFF"/>
            <w:noWrap/>
            <w:vAlign w:val="bottom"/>
            <w:hideMark/>
          </w:tcPr>
          <w:p w14:paraId="22A533ED" w14:textId="6EB631A1" w:rsidR="00521EF5" w:rsidRPr="00BE4584" w:rsidRDefault="00521EF5" w:rsidP="00F556AF">
            <w:pPr>
              <w:spacing w:after="0" w:line="240" w:lineRule="auto"/>
              <w:ind w:firstLineChars="100" w:firstLine="140"/>
              <w:rPr>
                <w:color w:val="000000"/>
                <w:sz w:val="14"/>
                <w:szCs w:val="16"/>
              </w:rPr>
            </w:pPr>
            <w:r w:rsidRPr="00BE4584">
              <w:rPr>
                <w:color w:val="000000"/>
                <w:sz w:val="14"/>
                <w:szCs w:val="16"/>
              </w:rPr>
              <w:t>£40,000 or more per year, %</w:t>
            </w:r>
          </w:p>
        </w:tc>
        <w:tc>
          <w:tcPr>
            <w:tcW w:w="467" w:type="dxa"/>
            <w:gridSpan w:val="2"/>
            <w:tcBorders>
              <w:top w:val="nil"/>
              <w:left w:val="nil"/>
              <w:bottom w:val="nil"/>
              <w:right w:val="nil"/>
            </w:tcBorders>
            <w:shd w:val="clear" w:color="000000" w:fill="FFFFFF"/>
            <w:noWrap/>
            <w:vAlign w:val="bottom"/>
            <w:hideMark/>
          </w:tcPr>
          <w:p w14:paraId="36C5DA4C"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806" w:type="dxa"/>
            <w:gridSpan w:val="2"/>
            <w:tcBorders>
              <w:top w:val="nil"/>
              <w:left w:val="nil"/>
              <w:bottom w:val="nil"/>
              <w:right w:val="nil"/>
            </w:tcBorders>
            <w:shd w:val="clear" w:color="000000" w:fill="FFFFFF"/>
            <w:noWrap/>
            <w:vAlign w:val="bottom"/>
            <w:hideMark/>
          </w:tcPr>
          <w:p w14:paraId="5F546F39"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27.53</w:t>
            </w:r>
          </w:p>
        </w:tc>
        <w:tc>
          <w:tcPr>
            <w:tcW w:w="798" w:type="dxa"/>
            <w:tcBorders>
              <w:top w:val="nil"/>
              <w:left w:val="nil"/>
              <w:bottom w:val="nil"/>
              <w:right w:val="nil"/>
            </w:tcBorders>
            <w:shd w:val="clear" w:color="000000" w:fill="FFFFFF"/>
            <w:noWrap/>
            <w:vAlign w:val="bottom"/>
            <w:hideMark/>
          </w:tcPr>
          <w:p w14:paraId="453BC0D6" w14:textId="77777777" w:rsidR="00521EF5" w:rsidRPr="005205BC" w:rsidRDefault="00521EF5" w:rsidP="00F556AF">
            <w:pPr>
              <w:spacing w:after="0" w:line="240" w:lineRule="auto"/>
              <w:jc w:val="left"/>
              <w:rPr>
                <w:color w:val="000000"/>
                <w:sz w:val="16"/>
                <w:szCs w:val="16"/>
              </w:rPr>
            </w:pPr>
            <w:r w:rsidRPr="005205BC">
              <w:rPr>
                <w:color w:val="000000"/>
                <w:sz w:val="16"/>
                <w:szCs w:val="16"/>
              </w:rPr>
              <w:t> </w:t>
            </w:r>
          </w:p>
        </w:tc>
        <w:tc>
          <w:tcPr>
            <w:tcW w:w="1375" w:type="dxa"/>
            <w:tcBorders>
              <w:top w:val="nil"/>
              <w:left w:val="nil"/>
              <w:bottom w:val="nil"/>
              <w:right w:val="nil"/>
            </w:tcBorders>
            <w:shd w:val="clear" w:color="000000" w:fill="FFFFFF"/>
            <w:noWrap/>
            <w:vAlign w:val="bottom"/>
            <w:hideMark/>
          </w:tcPr>
          <w:p w14:paraId="2061B77F"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28.35</w:t>
            </w:r>
          </w:p>
        </w:tc>
        <w:tc>
          <w:tcPr>
            <w:tcW w:w="716" w:type="dxa"/>
            <w:tcBorders>
              <w:top w:val="nil"/>
              <w:left w:val="nil"/>
              <w:bottom w:val="nil"/>
              <w:right w:val="nil"/>
            </w:tcBorders>
            <w:shd w:val="clear" w:color="000000" w:fill="FFFFFF"/>
            <w:noWrap/>
            <w:vAlign w:val="bottom"/>
            <w:hideMark/>
          </w:tcPr>
          <w:p w14:paraId="5FC9503C"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1158" w:type="dxa"/>
            <w:tcBorders>
              <w:top w:val="nil"/>
              <w:left w:val="nil"/>
              <w:bottom w:val="nil"/>
              <w:right w:val="nil"/>
            </w:tcBorders>
            <w:shd w:val="clear" w:color="000000" w:fill="FFFFFF"/>
            <w:noWrap/>
            <w:vAlign w:val="bottom"/>
            <w:hideMark/>
          </w:tcPr>
          <w:p w14:paraId="49180A7A"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26.71</w:t>
            </w:r>
          </w:p>
        </w:tc>
        <w:tc>
          <w:tcPr>
            <w:tcW w:w="716" w:type="dxa"/>
            <w:tcBorders>
              <w:top w:val="nil"/>
              <w:left w:val="nil"/>
              <w:bottom w:val="nil"/>
              <w:right w:val="nil"/>
            </w:tcBorders>
            <w:shd w:val="clear" w:color="000000" w:fill="FFFFFF"/>
            <w:noWrap/>
            <w:vAlign w:val="bottom"/>
            <w:hideMark/>
          </w:tcPr>
          <w:p w14:paraId="3A56CDC0"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r>
      <w:tr w:rsidR="00521EF5" w:rsidRPr="00413F10" w14:paraId="32D78238" w14:textId="77777777" w:rsidTr="00F556AF">
        <w:trPr>
          <w:trHeight w:val="316"/>
        </w:trPr>
        <w:tc>
          <w:tcPr>
            <w:tcW w:w="2399" w:type="dxa"/>
            <w:tcBorders>
              <w:top w:val="nil"/>
              <w:left w:val="nil"/>
              <w:bottom w:val="nil"/>
              <w:right w:val="nil"/>
            </w:tcBorders>
            <w:shd w:val="clear" w:color="000000" w:fill="FFFFFF"/>
            <w:noWrap/>
            <w:vAlign w:val="bottom"/>
            <w:hideMark/>
          </w:tcPr>
          <w:p w14:paraId="7D5AAB18" w14:textId="77777777" w:rsidR="00521EF5" w:rsidRPr="005205BC" w:rsidRDefault="00521EF5" w:rsidP="00F556AF">
            <w:pPr>
              <w:spacing w:after="0" w:line="240" w:lineRule="auto"/>
              <w:ind w:firstLine="0"/>
              <w:rPr>
                <w:color w:val="000000"/>
                <w:sz w:val="16"/>
                <w:szCs w:val="16"/>
              </w:rPr>
            </w:pPr>
            <w:r w:rsidRPr="005205BC">
              <w:rPr>
                <w:color w:val="000000"/>
                <w:sz w:val="16"/>
                <w:szCs w:val="16"/>
              </w:rPr>
              <w:t>Household size, n</w:t>
            </w:r>
          </w:p>
        </w:tc>
        <w:tc>
          <w:tcPr>
            <w:tcW w:w="467" w:type="dxa"/>
            <w:gridSpan w:val="2"/>
            <w:tcBorders>
              <w:top w:val="nil"/>
              <w:left w:val="nil"/>
              <w:bottom w:val="nil"/>
              <w:right w:val="nil"/>
            </w:tcBorders>
            <w:shd w:val="clear" w:color="000000" w:fill="FFFFFF"/>
            <w:noWrap/>
            <w:vAlign w:val="bottom"/>
            <w:hideMark/>
          </w:tcPr>
          <w:p w14:paraId="1A62BA19"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806" w:type="dxa"/>
            <w:gridSpan w:val="2"/>
            <w:tcBorders>
              <w:top w:val="nil"/>
              <w:left w:val="nil"/>
              <w:bottom w:val="nil"/>
              <w:right w:val="nil"/>
            </w:tcBorders>
            <w:shd w:val="clear" w:color="000000" w:fill="FFFFFF"/>
            <w:noWrap/>
            <w:vAlign w:val="bottom"/>
            <w:hideMark/>
          </w:tcPr>
          <w:p w14:paraId="588A06A8"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2.64</w:t>
            </w:r>
          </w:p>
        </w:tc>
        <w:tc>
          <w:tcPr>
            <w:tcW w:w="798" w:type="dxa"/>
            <w:tcBorders>
              <w:top w:val="nil"/>
              <w:left w:val="nil"/>
              <w:bottom w:val="nil"/>
              <w:right w:val="nil"/>
            </w:tcBorders>
            <w:shd w:val="clear" w:color="000000" w:fill="FFFFFF"/>
            <w:noWrap/>
            <w:vAlign w:val="bottom"/>
            <w:hideMark/>
          </w:tcPr>
          <w:p w14:paraId="422E3000" w14:textId="7D256E2C" w:rsidR="00521EF5" w:rsidRPr="005205BC" w:rsidRDefault="00521EF5" w:rsidP="00F556AF">
            <w:pPr>
              <w:spacing w:after="0" w:line="240" w:lineRule="auto"/>
              <w:jc w:val="left"/>
              <w:rPr>
                <w:color w:val="000000"/>
                <w:sz w:val="16"/>
                <w:szCs w:val="16"/>
              </w:rPr>
            </w:pPr>
            <w:r>
              <w:rPr>
                <w:color w:val="000000"/>
                <w:sz w:val="16"/>
                <w:szCs w:val="16"/>
              </w:rPr>
              <w:t>1000</w:t>
            </w:r>
            <w:r w:rsidRPr="005205BC">
              <w:rPr>
                <w:color w:val="000000"/>
                <w:sz w:val="16"/>
                <w:szCs w:val="16"/>
              </w:rPr>
              <w:t> </w:t>
            </w:r>
          </w:p>
        </w:tc>
        <w:tc>
          <w:tcPr>
            <w:tcW w:w="1375" w:type="dxa"/>
            <w:tcBorders>
              <w:top w:val="nil"/>
              <w:left w:val="nil"/>
              <w:bottom w:val="nil"/>
              <w:right w:val="nil"/>
            </w:tcBorders>
            <w:shd w:val="clear" w:color="000000" w:fill="FFFFFF"/>
            <w:noWrap/>
            <w:vAlign w:val="bottom"/>
            <w:hideMark/>
          </w:tcPr>
          <w:p w14:paraId="00F44918"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2.68</w:t>
            </w:r>
          </w:p>
        </w:tc>
        <w:tc>
          <w:tcPr>
            <w:tcW w:w="716" w:type="dxa"/>
            <w:tcBorders>
              <w:top w:val="nil"/>
              <w:left w:val="nil"/>
              <w:bottom w:val="nil"/>
              <w:right w:val="nil"/>
            </w:tcBorders>
            <w:shd w:val="clear" w:color="000000" w:fill="FFFFFF"/>
            <w:noWrap/>
            <w:vAlign w:val="bottom"/>
            <w:hideMark/>
          </w:tcPr>
          <w:p w14:paraId="36A4D012" w14:textId="525834A0" w:rsidR="00521EF5" w:rsidRPr="005205BC" w:rsidRDefault="00521EF5" w:rsidP="00F556AF">
            <w:pPr>
              <w:spacing w:after="0" w:line="240" w:lineRule="auto"/>
              <w:jc w:val="center"/>
              <w:rPr>
                <w:color w:val="000000"/>
                <w:sz w:val="16"/>
                <w:szCs w:val="16"/>
              </w:rPr>
            </w:pPr>
            <w:r>
              <w:rPr>
                <w:color w:val="000000"/>
                <w:sz w:val="16"/>
                <w:szCs w:val="16"/>
              </w:rPr>
              <w:t>506</w:t>
            </w:r>
            <w:r w:rsidRPr="005205BC">
              <w:rPr>
                <w:color w:val="000000"/>
                <w:sz w:val="16"/>
                <w:szCs w:val="16"/>
              </w:rPr>
              <w:t> </w:t>
            </w:r>
          </w:p>
        </w:tc>
        <w:tc>
          <w:tcPr>
            <w:tcW w:w="1158" w:type="dxa"/>
            <w:tcBorders>
              <w:top w:val="nil"/>
              <w:left w:val="nil"/>
              <w:bottom w:val="nil"/>
              <w:right w:val="nil"/>
            </w:tcBorders>
            <w:shd w:val="clear" w:color="000000" w:fill="FFFFFF"/>
            <w:noWrap/>
            <w:vAlign w:val="bottom"/>
            <w:hideMark/>
          </w:tcPr>
          <w:p w14:paraId="6BCF1EC6" w14:textId="77777777" w:rsidR="00521EF5" w:rsidRPr="005205BC" w:rsidRDefault="00521EF5" w:rsidP="00F556AF">
            <w:pPr>
              <w:spacing w:after="0" w:line="240" w:lineRule="auto"/>
              <w:jc w:val="center"/>
              <w:rPr>
                <w:color w:val="000000"/>
                <w:sz w:val="16"/>
                <w:szCs w:val="16"/>
              </w:rPr>
            </w:pPr>
            <w:r w:rsidRPr="005205BC">
              <w:rPr>
                <w:color w:val="000000"/>
                <w:sz w:val="16"/>
                <w:szCs w:val="16"/>
              </w:rPr>
              <w:t>2.59</w:t>
            </w:r>
          </w:p>
        </w:tc>
        <w:tc>
          <w:tcPr>
            <w:tcW w:w="716" w:type="dxa"/>
            <w:tcBorders>
              <w:top w:val="nil"/>
              <w:left w:val="nil"/>
              <w:bottom w:val="nil"/>
              <w:right w:val="nil"/>
            </w:tcBorders>
            <w:shd w:val="clear" w:color="000000" w:fill="FFFFFF"/>
            <w:noWrap/>
            <w:vAlign w:val="bottom"/>
            <w:hideMark/>
          </w:tcPr>
          <w:p w14:paraId="03DC8E3D" w14:textId="1CE7AE27" w:rsidR="00521EF5" w:rsidRPr="005205BC" w:rsidRDefault="00521EF5" w:rsidP="00F556AF">
            <w:pPr>
              <w:spacing w:after="0" w:line="240" w:lineRule="auto"/>
              <w:jc w:val="center"/>
              <w:rPr>
                <w:color w:val="000000"/>
                <w:sz w:val="16"/>
                <w:szCs w:val="16"/>
              </w:rPr>
            </w:pPr>
            <w:r>
              <w:rPr>
                <w:color w:val="000000"/>
                <w:sz w:val="16"/>
                <w:szCs w:val="16"/>
              </w:rPr>
              <w:t>494</w:t>
            </w:r>
            <w:r w:rsidRPr="005205BC">
              <w:rPr>
                <w:color w:val="000000"/>
                <w:sz w:val="16"/>
                <w:szCs w:val="16"/>
              </w:rPr>
              <w:t> </w:t>
            </w:r>
          </w:p>
        </w:tc>
      </w:tr>
      <w:tr w:rsidR="00521EF5" w:rsidRPr="00413F10" w14:paraId="19F35EC2" w14:textId="77777777" w:rsidTr="00F556AF">
        <w:trPr>
          <w:trHeight w:val="316"/>
        </w:trPr>
        <w:tc>
          <w:tcPr>
            <w:tcW w:w="2399" w:type="dxa"/>
            <w:tcBorders>
              <w:top w:val="nil"/>
              <w:left w:val="nil"/>
              <w:bottom w:val="single" w:sz="4" w:space="0" w:color="auto"/>
              <w:right w:val="nil"/>
            </w:tcBorders>
            <w:shd w:val="clear" w:color="000000" w:fill="FFFFFF"/>
            <w:noWrap/>
            <w:vAlign w:val="bottom"/>
            <w:hideMark/>
          </w:tcPr>
          <w:p w14:paraId="10AB64A1" w14:textId="77777777" w:rsidR="00521EF5" w:rsidRPr="005205BC" w:rsidRDefault="00521EF5" w:rsidP="00F556AF">
            <w:pPr>
              <w:spacing w:after="0" w:line="240" w:lineRule="auto"/>
              <w:ind w:firstLine="0"/>
              <w:rPr>
                <w:color w:val="000000"/>
                <w:sz w:val="16"/>
                <w:szCs w:val="16"/>
              </w:rPr>
            </w:pPr>
            <w:r w:rsidRPr="005205BC">
              <w:rPr>
                <w:color w:val="000000"/>
                <w:sz w:val="16"/>
                <w:szCs w:val="16"/>
              </w:rPr>
              <w:t>Total participants, n</w:t>
            </w:r>
          </w:p>
        </w:tc>
        <w:tc>
          <w:tcPr>
            <w:tcW w:w="467" w:type="dxa"/>
            <w:gridSpan w:val="2"/>
            <w:tcBorders>
              <w:top w:val="nil"/>
              <w:left w:val="nil"/>
              <w:bottom w:val="single" w:sz="4" w:space="0" w:color="auto"/>
              <w:right w:val="nil"/>
            </w:tcBorders>
            <w:shd w:val="clear" w:color="000000" w:fill="FFFFFF"/>
            <w:noWrap/>
            <w:vAlign w:val="bottom"/>
            <w:hideMark/>
          </w:tcPr>
          <w:p w14:paraId="1A403681" w14:textId="77777777" w:rsidR="00521EF5" w:rsidRPr="005205BC" w:rsidRDefault="00521EF5" w:rsidP="00F556AF">
            <w:pPr>
              <w:spacing w:after="0" w:line="240" w:lineRule="auto"/>
              <w:rPr>
                <w:rFonts w:ascii="Calibri" w:hAnsi="Calibri"/>
                <w:color w:val="000000"/>
                <w:sz w:val="16"/>
                <w:szCs w:val="16"/>
              </w:rPr>
            </w:pPr>
            <w:r w:rsidRPr="005205BC">
              <w:rPr>
                <w:rFonts w:ascii="Calibri" w:hAnsi="Calibri"/>
                <w:color w:val="000000"/>
                <w:sz w:val="16"/>
                <w:szCs w:val="16"/>
              </w:rPr>
              <w:t> </w:t>
            </w:r>
          </w:p>
        </w:tc>
        <w:tc>
          <w:tcPr>
            <w:tcW w:w="806" w:type="dxa"/>
            <w:gridSpan w:val="2"/>
            <w:tcBorders>
              <w:top w:val="nil"/>
              <w:left w:val="nil"/>
              <w:bottom w:val="single" w:sz="4" w:space="0" w:color="auto"/>
              <w:right w:val="nil"/>
            </w:tcBorders>
            <w:shd w:val="clear" w:color="000000" w:fill="FFFFFF"/>
            <w:noWrap/>
            <w:vAlign w:val="bottom"/>
            <w:hideMark/>
          </w:tcPr>
          <w:p w14:paraId="2C77A751"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798" w:type="dxa"/>
            <w:tcBorders>
              <w:top w:val="nil"/>
              <w:left w:val="nil"/>
              <w:bottom w:val="single" w:sz="4" w:space="0" w:color="auto"/>
              <w:right w:val="nil"/>
            </w:tcBorders>
            <w:shd w:val="clear" w:color="000000" w:fill="FFFFFF"/>
            <w:noWrap/>
            <w:vAlign w:val="bottom"/>
            <w:hideMark/>
          </w:tcPr>
          <w:p w14:paraId="055A879A" w14:textId="77777777" w:rsidR="00521EF5" w:rsidRPr="005205BC" w:rsidRDefault="00521EF5" w:rsidP="00F556AF">
            <w:pPr>
              <w:spacing w:after="0" w:line="240" w:lineRule="auto"/>
              <w:jc w:val="left"/>
              <w:rPr>
                <w:color w:val="000000"/>
                <w:sz w:val="16"/>
                <w:szCs w:val="16"/>
              </w:rPr>
            </w:pPr>
            <w:r w:rsidRPr="005205BC">
              <w:rPr>
                <w:color w:val="000000"/>
                <w:sz w:val="16"/>
                <w:szCs w:val="16"/>
              </w:rPr>
              <w:t>1000</w:t>
            </w:r>
          </w:p>
        </w:tc>
        <w:tc>
          <w:tcPr>
            <w:tcW w:w="1375" w:type="dxa"/>
            <w:tcBorders>
              <w:top w:val="nil"/>
              <w:left w:val="nil"/>
              <w:bottom w:val="single" w:sz="4" w:space="0" w:color="auto"/>
              <w:right w:val="nil"/>
            </w:tcBorders>
            <w:shd w:val="clear" w:color="000000" w:fill="FFFFFF"/>
            <w:noWrap/>
            <w:vAlign w:val="bottom"/>
            <w:hideMark/>
          </w:tcPr>
          <w:p w14:paraId="7D10C2C2"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716" w:type="dxa"/>
            <w:tcBorders>
              <w:top w:val="nil"/>
              <w:left w:val="nil"/>
              <w:bottom w:val="single" w:sz="4" w:space="0" w:color="auto"/>
              <w:right w:val="nil"/>
            </w:tcBorders>
            <w:shd w:val="clear" w:color="000000" w:fill="FFFFFF"/>
            <w:noWrap/>
            <w:vAlign w:val="bottom"/>
            <w:hideMark/>
          </w:tcPr>
          <w:p w14:paraId="070C85F0" w14:textId="77777777" w:rsidR="00521EF5" w:rsidRPr="005205BC" w:rsidRDefault="00521EF5" w:rsidP="00F556AF">
            <w:pPr>
              <w:spacing w:after="0" w:line="240" w:lineRule="auto"/>
              <w:jc w:val="center"/>
              <w:rPr>
                <w:color w:val="000000"/>
                <w:sz w:val="16"/>
                <w:szCs w:val="16"/>
              </w:rPr>
            </w:pPr>
            <w:r w:rsidRPr="005205BC">
              <w:rPr>
                <w:color w:val="000000"/>
                <w:sz w:val="16"/>
                <w:szCs w:val="16"/>
              </w:rPr>
              <w:t>506</w:t>
            </w:r>
          </w:p>
        </w:tc>
        <w:tc>
          <w:tcPr>
            <w:tcW w:w="1158" w:type="dxa"/>
            <w:tcBorders>
              <w:top w:val="nil"/>
              <w:left w:val="nil"/>
              <w:bottom w:val="single" w:sz="4" w:space="0" w:color="auto"/>
              <w:right w:val="nil"/>
            </w:tcBorders>
            <w:shd w:val="clear" w:color="000000" w:fill="FFFFFF"/>
            <w:noWrap/>
            <w:vAlign w:val="bottom"/>
            <w:hideMark/>
          </w:tcPr>
          <w:p w14:paraId="067B0C9A" w14:textId="77777777" w:rsidR="00521EF5" w:rsidRPr="005205BC" w:rsidRDefault="00521EF5" w:rsidP="00F556AF">
            <w:pPr>
              <w:spacing w:after="0" w:line="240" w:lineRule="auto"/>
              <w:jc w:val="center"/>
              <w:rPr>
                <w:color w:val="000000"/>
                <w:sz w:val="16"/>
                <w:szCs w:val="16"/>
              </w:rPr>
            </w:pPr>
            <w:r w:rsidRPr="005205BC">
              <w:rPr>
                <w:color w:val="000000"/>
                <w:sz w:val="16"/>
                <w:szCs w:val="16"/>
              </w:rPr>
              <w:t> </w:t>
            </w:r>
          </w:p>
        </w:tc>
        <w:tc>
          <w:tcPr>
            <w:tcW w:w="716" w:type="dxa"/>
            <w:tcBorders>
              <w:top w:val="nil"/>
              <w:left w:val="nil"/>
              <w:bottom w:val="single" w:sz="4" w:space="0" w:color="auto"/>
              <w:right w:val="nil"/>
            </w:tcBorders>
            <w:shd w:val="clear" w:color="000000" w:fill="FFFFFF"/>
            <w:noWrap/>
            <w:vAlign w:val="bottom"/>
            <w:hideMark/>
          </w:tcPr>
          <w:p w14:paraId="399F1D34" w14:textId="77777777" w:rsidR="00521EF5" w:rsidRPr="005205BC" w:rsidRDefault="00521EF5" w:rsidP="00F556AF">
            <w:pPr>
              <w:spacing w:after="0" w:line="240" w:lineRule="auto"/>
              <w:jc w:val="center"/>
              <w:rPr>
                <w:color w:val="000000"/>
                <w:sz w:val="16"/>
                <w:szCs w:val="16"/>
              </w:rPr>
            </w:pPr>
            <w:r w:rsidRPr="005205BC">
              <w:rPr>
                <w:color w:val="000000"/>
                <w:sz w:val="16"/>
                <w:szCs w:val="16"/>
              </w:rPr>
              <w:t>494</w:t>
            </w:r>
          </w:p>
        </w:tc>
      </w:tr>
    </w:tbl>
    <w:p w14:paraId="0E757A47" w14:textId="77777777" w:rsidR="0054015A" w:rsidRDefault="0054015A" w:rsidP="00F556AF">
      <w:pPr>
        <w:spacing w:after="0"/>
        <w:ind w:firstLine="0"/>
      </w:pPr>
    </w:p>
    <w:tbl>
      <w:tblPr>
        <w:tblW w:w="9230" w:type="dxa"/>
        <w:tblInd w:w="93" w:type="dxa"/>
        <w:tblLook w:val="04A0" w:firstRow="1" w:lastRow="0" w:firstColumn="1" w:lastColumn="0" w:noHBand="0" w:noVBand="1"/>
      </w:tblPr>
      <w:tblGrid>
        <w:gridCol w:w="9230"/>
      </w:tblGrid>
      <w:tr w:rsidR="00A01C48" w:rsidRPr="00D5758B" w14:paraId="74A60CB2" w14:textId="77777777" w:rsidTr="00BE4584">
        <w:trPr>
          <w:trHeight w:val="2410"/>
        </w:trPr>
        <w:tc>
          <w:tcPr>
            <w:tcW w:w="9230" w:type="dxa"/>
            <w:shd w:val="clear" w:color="000000" w:fill="FFFFFF"/>
            <w:noWrap/>
            <w:vAlign w:val="center"/>
            <w:hideMark/>
          </w:tcPr>
          <w:p w14:paraId="5BD758A5" w14:textId="70569FFE" w:rsidR="00002D27" w:rsidRPr="00D94DBF" w:rsidRDefault="00002D27" w:rsidP="00BE4584">
            <w:pPr>
              <w:spacing w:after="0" w:line="240" w:lineRule="auto"/>
              <w:ind w:right="720" w:firstLine="0"/>
              <w:jc w:val="center"/>
              <w:rPr>
                <w:sz w:val="4"/>
                <w:szCs w:val="16"/>
                <w:lang w:val="en-US"/>
              </w:rPr>
            </w:pPr>
          </w:p>
          <w:tbl>
            <w:tblPr>
              <w:tblW w:w="8162" w:type="dxa"/>
              <w:tblLook w:val="04A0" w:firstRow="1" w:lastRow="0" w:firstColumn="1" w:lastColumn="0" w:noHBand="0" w:noVBand="1"/>
            </w:tblPr>
            <w:tblGrid>
              <w:gridCol w:w="1840"/>
              <w:gridCol w:w="745"/>
              <w:gridCol w:w="1276"/>
              <w:gridCol w:w="1173"/>
              <w:gridCol w:w="296"/>
              <w:gridCol w:w="1416"/>
              <w:gridCol w:w="1416"/>
            </w:tblGrid>
            <w:tr w:rsidR="00174709" w:rsidRPr="004E6ACD" w14:paraId="3CC004B4" w14:textId="77777777" w:rsidTr="00F556AF">
              <w:trPr>
                <w:trHeight w:val="18"/>
              </w:trPr>
              <w:tc>
                <w:tcPr>
                  <w:tcW w:w="8162" w:type="dxa"/>
                  <w:gridSpan w:val="7"/>
                  <w:tcBorders>
                    <w:top w:val="nil"/>
                    <w:left w:val="nil"/>
                    <w:bottom w:val="single" w:sz="4" w:space="0" w:color="auto"/>
                    <w:right w:val="nil"/>
                  </w:tcBorders>
                  <w:shd w:val="clear" w:color="000000" w:fill="FFFFFF"/>
                  <w:noWrap/>
                  <w:vAlign w:val="bottom"/>
                  <w:hideMark/>
                </w:tcPr>
                <w:p w14:paraId="4DDFDB05" w14:textId="0BC2B28F" w:rsidR="00413F10" w:rsidRDefault="00D478F2" w:rsidP="00BE4584">
                  <w:pPr>
                    <w:spacing w:after="0" w:line="240" w:lineRule="auto"/>
                    <w:jc w:val="center"/>
                    <w:rPr>
                      <w:color w:val="000000"/>
                      <w:lang w:val="en-US"/>
                    </w:rPr>
                  </w:pPr>
                  <w:r w:rsidRPr="00413F10">
                    <w:rPr>
                      <w:sz w:val="16"/>
                      <w:szCs w:val="16"/>
                      <w:lang w:val="en-US"/>
                    </w:rPr>
                    <w:t xml:space="preserve">TABLE 2. IMPACT OF TAXATION AND SIGNPOSTING ON THE LOG VOLUME OF LESS HEALTHY BREAKFAST CEREALS </w:t>
                  </w:r>
                  <w:r w:rsidR="007349B4">
                    <w:rPr>
                      <w:sz w:val="16"/>
                      <w:szCs w:val="16"/>
                      <w:lang w:val="en-US"/>
                    </w:rPr>
                    <w:t xml:space="preserve">AND SOFT DRINKS </w:t>
                  </w:r>
                  <w:r w:rsidRPr="00413F10">
                    <w:rPr>
                      <w:sz w:val="16"/>
                      <w:szCs w:val="16"/>
                      <w:lang w:val="en-US"/>
                    </w:rPr>
                    <w:t>PURCHASED (RANDOM EFFECT TOBIT MODEL).</w:t>
                  </w:r>
                  <w:r w:rsidR="00413F10" w:rsidRPr="004E6ACD">
                    <w:rPr>
                      <w:color w:val="000000"/>
                      <w:lang w:val="en-US"/>
                    </w:rPr>
                    <w:t> </w:t>
                  </w:r>
                </w:p>
                <w:p w14:paraId="0638667A" w14:textId="106E113A" w:rsidR="00A93242" w:rsidRPr="004E6ACD" w:rsidRDefault="00A93242" w:rsidP="00BE4584">
                  <w:pPr>
                    <w:spacing w:after="0" w:line="240" w:lineRule="auto"/>
                    <w:jc w:val="center"/>
                    <w:rPr>
                      <w:color w:val="000000"/>
                      <w:lang w:val="en-US"/>
                    </w:rPr>
                  </w:pPr>
                </w:p>
              </w:tc>
            </w:tr>
            <w:tr w:rsidR="0054015A" w:rsidRPr="004E6ACD" w14:paraId="5BD5113A" w14:textId="77777777" w:rsidTr="00F556AF">
              <w:trPr>
                <w:trHeight w:val="191"/>
              </w:trPr>
              <w:tc>
                <w:tcPr>
                  <w:tcW w:w="1840" w:type="dxa"/>
                  <w:tcBorders>
                    <w:top w:val="single" w:sz="4" w:space="0" w:color="auto"/>
                    <w:left w:val="nil"/>
                    <w:bottom w:val="nil"/>
                    <w:right w:val="nil"/>
                  </w:tcBorders>
                  <w:shd w:val="clear" w:color="000000" w:fill="FFFFFF"/>
                  <w:noWrap/>
                  <w:vAlign w:val="bottom"/>
                  <w:hideMark/>
                </w:tcPr>
                <w:p w14:paraId="2D813194" w14:textId="77777777" w:rsidR="001C37C4" w:rsidRPr="005205BC" w:rsidRDefault="001C37C4" w:rsidP="007B0E00">
                  <w:pPr>
                    <w:spacing w:after="0"/>
                    <w:ind w:firstLine="0"/>
                    <w:rPr>
                      <w:color w:val="000000"/>
                      <w:sz w:val="16"/>
                      <w:szCs w:val="16"/>
                      <w:lang w:val="en-US"/>
                    </w:rPr>
                  </w:pPr>
                  <w:r w:rsidRPr="005205BC">
                    <w:rPr>
                      <w:color w:val="000000"/>
                      <w:sz w:val="16"/>
                      <w:szCs w:val="16"/>
                      <w:lang w:val="en-US"/>
                    </w:rPr>
                    <w:t> </w:t>
                  </w:r>
                </w:p>
              </w:tc>
              <w:tc>
                <w:tcPr>
                  <w:tcW w:w="3194" w:type="dxa"/>
                  <w:gridSpan w:val="3"/>
                  <w:tcBorders>
                    <w:top w:val="single" w:sz="4" w:space="0" w:color="auto"/>
                    <w:left w:val="nil"/>
                    <w:bottom w:val="single" w:sz="8" w:space="0" w:color="auto"/>
                    <w:right w:val="nil"/>
                  </w:tcBorders>
                  <w:shd w:val="clear" w:color="000000" w:fill="FFFFFF"/>
                  <w:vAlign w:val="center"/>
                  <w:hideMark/>
                </w:tcPr>
                <w:p w14:paraId="5057B97B" w14:textId="4E354BD4" w:rsidR="001C37C4" w:rsidRPr="005205BC" w:rsidRDefault="00A93242" w:rsidP="0054015A">
                  <w:pPr>
                    <w:spacing w:after="0"/>
                    <w:ind w:firstLine="0"/>
                    <w:jc w:val="center"/>
                    <w:rPr>
                      <w:b/>
                      <w:bCs/>
                      <w:color w:val="000000"/>
                      <w:sz w:val="16"/>
                      <w:szCs w:val="16"/>
                      <w:lang w:val="en-US"/>
                    </w:rPr>
                  </w:pPr>
                  <w:r>
                    <w:rPr>
                      <w:b/>
                      <w:bCs/>
                      <w:color w:val="000000"/>
                      <w:sz w:val="16"/>
                      <w:szCs w:val="16"/>
                      <w:lang w:val="en-US"/>
                    </w:rPr>
                    <w:t xml:space="preserve">                </w:t>
                  </w:r>
                  <w:r w:rsidR="007349B4">
                    <w:rPr>
                      <w:b/>
                      <w:bCs/>
                      <w:color w:val="000000"/>
                      <w:sz w:val="16"/>
                      <w:szCs w:val="16"/>
                      <w:lang w:val="en-US"/>
                    </w:rPr>
                    <w:t>B</w:t>
                  </w:r>
                  <w:r w:rsidR="00826883" w:rsidRPr="005205BC">
                    <w:rPr>
                      <w:b/>
                      <w:bCs/>
                      <w:color w:val="000000"/>
                      <w:sz w:val="16"/>
                      <w:szCs w:val="16"/>
                      <w:lang w:val="en-US"/>
                    </w:rPr>
                    <w:t>reakfast c</w:t>
                  </w:r>
                  <w:r w:rsidR="001C37C4" w:rsidRPr="005205BC">
                    <w:rPr>
                      <w:b/>
                      <w:bCs/>
                      <w:color w:val="000000"/>
                      <w:sz w:val="16"/>
                      <w:szCs w:val="16"/>
                      <w:lang w:val="en-US"/>
                    </w:rPr>
                    <w:t>ereals</w:t>
                  </w:r>
                </w:p>
              </w:tc>
              <w:tc>
                <w:tcPr>
                  <w:tcW w:w="296" w:type="dxa"/>
                  <w:tcBorders>
                    <w:top w:val="single" w:sz="4" w:space="0" w:color="auto"/>
                    <w:left w:val="nil"/>
                    <w:bottom w:val="nil"/>
                    <w:right w:val="nil"/>
                  </w:tcBorders>
                  <w:shd w:val="clear" w:color="000000" w:fill="FFFFFF"/>
                  <w:noWrap/>
                  <w:vAlign w:val="center"/>
                  <w:hideMark/>
                </w:tcPr>
                <w:p w14:paraId="50737ECC" w14:textId="77777777" w:rsidR="001C37C4" w:rsidRPr="005205BC" w:rsidRDefault="001C37C4" w:rsidP="007B0E00">
                  <w:pPr>
                    <w:spacing w:after="0"/>
                    <w:ind w:firstLine="0"/>
                    <w:jc w:val="center"/>
                    <w:rPr>
                      <w:color w:val="000000"/>
                      <w:sz w:val="16"/>
                      <w:szCs w:val="16"/>
                      <w:lang w:val="en-US"/>
                    </w:rPr>
                  </w:pPr>
                  <w:r w:rsidRPr="005205BC">
                    <w:rPr>
                      <w:color w:val="000000"/>
                      <w:sz w:val="16"/>
                      <w:szCs w:val="16"/>
                      <w:lang w:val="en-US"/>
                    </w:rPr>
                    <w:t> </w:t>
                  </w:r>
                </w:p>
              </w:tc>
              <w:tc>
                <w:tcPr>
                  <w:tcW w:w="2832" w:type="dxa"/>
                  <w:gridSpan w:val="2"/>
                  <w:tcBorders>
                    <w:top w:val="single" w:sz="4" w:space="0" w:color="auto"/>
                    <w:left w:val="nil"/>
                    <w:bottom w:val="single" w:sz="8" w:space="0" w:color="auto"/>
                    <w:right w:val="nil"/>
                  </w:tcBorders>
                  <w:shd w:val="clear" w:color="000000" w:fill="FFFFFF"/>
                  <w:vAlign w:val="center"/>
                  <w:hideMark/>
                </w:tcPr>
                <w:p w14:paraId="79D42D26" w14:textId="190FF7D0" w:rsidR="001C37C4" w:rsidRPr="005205BC" w:rsidRDefault="007349B4" w:rsidP="007B0E00">
                  <w:pPr>
                    <w:spacing w:after="0"/>
                    <w:ind w:firstLine="0"/>
                    <w:jc w:val="center"/>
                    <w:rPr>
                      <w:b/>
                      <w:bCs/>
                      <w:color w:val="000000"/>
                      <w:sz w:val="16"/>
                      <w:szCs w:val="16"/>
                      <w:lang w:val="en-US"/>
                    </w:rPr>
                  </w:pPr>
                  <w:r>
                    <w:rPr>
                      <w:b/>
                      <w:bCs/>
                      <w:color w:val="000000"/>
                      <w:sz w:val="16"/>
                      <w:szCs w:val="16"/>
                      <w:lang w:val="en-US"/>
                    </w:rPr>
                    <w:t>Soft drinks</w:t>
                  </w:r>
                </w:p>
              </w:tc>
            </w:tr>
            <w:tr w:rsidR="00A01C48" w:rsidRPr="004E6ACD" w14:paraId="400E437F" w14:textId="77777777" w:rsidTr="00F556AF">
              <w:trPr>
                <w:trHeight w:val="172"/>
              </w:trPr>
              <w:tc>
                <w:tcPr>
                  <w:tcW w:w="2585" w:type="dxa"/>
                  <w:gridSpan w:val="2"/>
                  <w:tcBorders>
                    <w:top w:val="nil"/>
                    <w:left w:val="nil"/>
                    <w:bottom w:val="single" w:sz="8" w:space="0" w:color="auto"/>
                    <w:right w:val="nil"/>
                  </w:tcBorders>
                  <w:shd w:val="clear" w:color="000000" w:fill="FFFFFF"/>
                  <w:noWrap/>
                  <w:vAlign w:val="bottom"/>
                  <w:hideMark/>
                </w:tcPr>
                <w:p w14:paraId="1802B2D1" w14:textId="77777777" w:rsidR="001C37C4" w:rsidRPr="005205BC" w:rsidRDefault="001C37C4" w:rsidP="007B0E00">
                  <w:pPr>
                    <w:spacing w:after="0"/>
                    <w:ind w:firstLine="0"/>
                    <w:rPr>
                      <w:color w:val="000000"/>
                      <w:sz w:val="16"/>
                      <w:szCs w:val="16"/>
                      <w:lang w:val="en-US"/>
                    </w:rPr>
                  </w:pPr>
                  <w:r w:rsidRPr="005205BC">
                    <w:rPr>
                      <w:color w:val="000000"/>
                      <w:sz w:val="16"/>
                      <w:szCs w:val="16"/>
                      <w:lang w:val="en-US"/>
                    </w:rPr>
                    <w:t> </w:t>
                  </w:r>
                </w:p>
              </w:tc>
              <w:tc>
                <w:tcPr>
                  <w:tcW w:w="1276" w:type="dxa"/>
                  <w:tcBorders>
                    <w:top w:val="nil"/>
                    <w:left w:val="nil"/>
                    <w:bottom w:val="single" w:sz="8" w:space="0" w:color="auto"/>
                    <w:right w:val="nil"/>
                  </w:tcBorders>
                  <w:shd w:val="clear" w:color="000000" w:fill="FFFFFF"/>
                  <w:vAlign w:val="center"/>
                  <w:hideMark/>
                </w:tcPr>
                <w:p w14:paraId="3A92C01C" w14:textId="77777777" w:rsidR="001C37C4" w:rsidRPr="005205BC" w:rsidRDefault="001C37C4" w:rsidP="007B0E00">
                  <w:pPr>
                    <w:spacing w:after="0"/>
                    <w:ind w:firstLine="0"/>
                    <w:jc w:val="center"/>
                    <w:rPr>
                      <w:b/>
                      <w:bCs/>
                      <w:color w:val="000000"/>
                      <w:sz w:val="16"/>
                      <w:szCs w:val="16"/>
                      <w:lang w:val="en-US"/>
                    </w:rPr>
                  </w:pPr>
                  <w:r w:rsidRPr="005205BC">
                    <w:rPr>
                      <w:b/>
                      <w:bCs/>
                      <w:color w:val="000000"/>
                      <w:sz w:val="16"/>
                      <w:szCs w:val="16"/>
                      <w:lang w:val="en-US"/>
                    </w:rPr>
                    <w:t>(1)</w:t>
                  </w:r>
                </w:p>
              </w:tc>
              <w:tc>
                <w:tcPr>
                  <w:tcW w:w="1173" w:type="dxa"/>
                  <w:tcBorders>
                    <w:top w:val="nil"/>
                    <w:left w:val="nil"/>
                    <w:bottom w:val="single" w:sz="8" w:space="0" w:color="auto"/>
                    <w:right w:val="nil"/>
                  </w:tcBorders>
                  <w:shd w:val="clear" w:color="000000" w:fill="FFFFFF"/>
                  <w:vAlign w:val="center"/>
                  <w:hideMark/>
                </w:tcPr>
                <w:p w14:paraId="2AE0D740" w14:textId="77777777" w:rsidR="001C37C4" w:rsidRPr="005205BC" w:rsidRDefault="001C37C4" w:rsidP="007B0E00">
                  <w:pPr>
                    <w:spacing w:after="0"/>
                    <w:ind w:firstLine="0"/>
                    <w:jc w:val="center"/>
                    <w:rPr>
                      <w:b/>
                      <w:bCs/>
                      <w:color w:val="000000"/>
                      <w:sz w:val="16"/>
                      <w:szCs w:val="16"/>
                      <w:lang w:val="en-US"/>
                    </w:rPr>
                  </w:pPr>
                  <w:r w:rsidRPr="005205BC">
                    <w:rPr>
                      <w:b/>
                      <w:bCs/>
                      <w:color w:val="000000"/>
                      <w:sz w:val="16"/>
                      <w:szCs w:val="16"/>
                      <w:lang w:val="en-US"/>
                    </w:rPr>
                    <w:t>(2)</w:t>
                  </w:r>
                </w:p>
              </w:tc>
              <w:tc>
                <w:tcPr>
                  <w:tcW w:w="296" w:type="dxa"/>
                  <w:tcBorders>
                    <w:top w:val="nil"/>
                    <w:left w:val="nil"/>
                    <w:bottom w:val="single" w:sz="8" w:space="0" w:color="auto"/>
                    <w:right w:val="nil"/>
                  </w:tcBorders>
                  <w:shd w:val="clear" w:color="000000" w:fill="FFFFFF"/>
                  <w:vAlign w:val="center"/>
                  <w:hideMark/>
                </w:tcPr>
                <w:p w14:paraId="0EAE8D5E" w14:textId="77777777" w:rsidR="001C37C4" w:rsidRPr="005205BC" w:rsidRDefault="001C37C4" w:rsidP="007B0E00">
                  <w:pPr>
                    <w:spacing w:after="0"/>
                    <w:ind w:firstLine="0"/>
                    <w:jc w:val="center"/>
                    <w:rPr>
                      <w:b/>
                      <w:bCs/>
                      <w:color w:val="000000"/>
                      <w:sz w:val="16"/>
                      <w:szCs w:val="16"/>
                      <w:lang w:val="en-US"/>
                    </w:rPr>
                  </w:pPr>
                  <w:r w:rsidRPr="005205BC">
                    <w:rPr>
                      <w:b/>
                      <w:bCs/>
                      <w:color w:val="000000"/>
                      <w:sz w:val="16"/>
                      <w:szCs w:val="16"/>
                      <w:lang w:val="en-US"/>
                    </w:rPr>
                    <w:t> </w:t>
                  </w:r>
                </w:p>
              </w:tc>
              <w:tc>
                <w:tcPr>
                  <w:tcW w:w="1416" w:type="dxa"/>
                  <w:tcBorders>
                    <w:top w:val="nil"/>
                    <w:left w:val="nil"/>
                    <w:bottom w:val="single" w:sz="8" w:space="0" w:color="auto"/>
                    <w:right w:val="nil"/>
                  </w:tcBorders>
                  <w:shd w:val="clear" w:color="000000" w:fill="FFFFFF"/>
                  <w:vAlign w:val="center"/>
                  <w:hideMark/>
                </w:tcPr>
                <w:p w14:paraId="5971FDD4" w14:textId="77777777" w:rsidR="001C37C4" w:rsidRPr="005205BC" w:rsidRDefault="001C37C4" w:rsidP="007B0E00">
                  <w:pPr>
                    <w:spacing w:after="0"/>
                    <w:ind w:firstLine="0"/>
                    <w:jc w:val="center"/>
                    <w:rPr>
                      <w:b/>
                      <w:bCs/>
                      <w:color w:val="000000"/>
                      <w:sz w:val="16"/>
                      <w:szCs w:val="16"/>
                      <w:lang w:val="en-US"/>
                    </w:rPr>
                  </w:pPr>
                  <w:r w:rsidRPr="005205BC">
                    <w:rPr>
                      <w:b/>
                      <w:bCs/>
                      <w:color w:val="000000"/>
                      <w:sz w:val="16"/>
                      <w:szCs w:val="16"/>
                      <w:lang w:val="en-US"/>
                    </w:rPr>
                    <w:t>(3)</w:t>
                  </w:r>
                </w:p>
              </w:tc>
              <w:tc>
                <w:tcPr>
                  <w:tcW w:w="1416" w:type="dxa"/>
                  <w:tcBorders>
                    <w:top w:val="nil"/>
                    <w:left w:val="nil"/>
                    <w:bottom w:val="single" w:sz="8" w:space="0" w:color="auto"/>
                    <w:right w:val="nil"/>
                  </w:tcBorders>
                  <w:shd w:val="clear" w:color="000000" w:fill="FFFFFF"/>
                  <w:vAlign w:val="center"/>
                  <w:hideMark/>
                </w:tcPr>
                <w:p w14:paraId="05238E14" w14:textId="77777777" w:rsidR="001C37C4" w:rsidRPr="005205BC" w:rsidRDefault="001C37C4" w:rsidP="007B0E00">
                  <w:pPr>
                    <w:spacing w:after="0"/>
                    <w:ind w:firstLine="0"/>
                    <w:jc w:val="center"/>
                    <w:rPr>
                      <w:b/>
                      <w:bCs/>
                      <w:color w:val="000000"/>
                      <w:sz w:val="16"/>
                      <w:szCs w:val="16"/>
                      <w:lang w:val="en-US"/>
                    </w:rPr>
                  </w:pPr>
                  <w:r w:rsidRPr="005205BC">
                    <w:rPr>
                      <w:b/>
                      <w:bCs/>
                      <w:color w:val="000000"/>
                      <w:sz w:val="16"/>
                      <w:szCs w:val="16"/>
                      <w:lang w:val="en-US"/>
                    </w:rPr>
                    <w:t>(4)</w:t>
                  </w:r>
                </w:p>
              </w:tc>
            </w:tr>
            <w:tr w:rsidR="00A01C48" w:rsidRPr="004E6ACD" w14:paraId="701ED3FF" w14:textId="77777777" w:rsidTr="00F556AF">
              <w:trPr>
                <w:trHeight w:val="38"/>
              </w:trPr>
              <w:tc>
                <w:tcPr>
                  <w:tcW w:w="2585" w:type="dxa"/>
                  <w:gridSpan w:val="2"/>
                  <w:tcBorders>
                    <w:top w:val="nil"/>
                    <w:left w:val="nil"/>
                    <w:bottom w:val="nil"/>
                    <w:right w:val="nil"/>
                  </w:tcBorders>
                  <w:shd w:val="clear" w:color="000000" w:fill="FFFFFF"/>
                  <w:noWrap/>
                  <w:vAlign w:val="bottom"/>
                  <w:hideMark/>
                </w:tcPr>
                <w:p w14:paraId="7E403BBF" w14:textId="77777777" w:rsidR="001C37C4" w:rsidRPr="00BE4584" w:rsidRDefault="001C37C4" w:rsidP="007B0E00">
                  <w:pPr>
                    <w:spacing w:after="0"/>
                    <w:ind w:firstLine="0"/>
                    <w:rPr>
                      <w:color w:val="000000"/>
                      <w:sz w:val="8"/>
                      <w:szCs w:val="16"/>
                      <w:lang w:val="en-US"/>
                    </w:rPr>
                  </w:pPr>
                  <w:r w:rsidRPr="005205BC">
                    <w:rPr>
                      <w:color w:val="000000"/>
                      <w:sz w:val="16"/>
                      <w:szCs w:val="16"/>
                      <w:lang w:val="en-US"/>
                    </w:rPr>
                    <w:t> </w:t>
                  </w:r>
                </w:p>
              </w:tc>
              <w:tc>
                <w:tcPr>
                  <w:tcW w:w="1276" w:type="dxa"/>
                  <w:tcBorders>
                    <w:top w:val="nil"/>
                    <w:left w:val="nil"/>
                    <w:bottom w:val="nil"/>
                    <w:right w:val="nil"/>
                  </w:tcBorders>
                  <w:shd w:val="clear" w:color="000000" w:fill="FFFFFF"/>
                  <w:noWrap/>
                  <w:vAlign w:val="bottom"/>
                  <w:hideMark/>
                </w:tcPr>
                <w:p w14:paraId="0140FBB6" w14:textId="77777777" w:rsidR="001C37C4" w:rsidRPr="005205BC" w:rsidRDefault="001C37C4" w:rsidP="007B0E00">
                  <w:pPr>
                    <w:spacing w:after="0"/>
                    <w:ind w:firstLine="0"/>
                    <w:jc w:val="center"/>
                    <w:rPr>
                      <w:color w:val="000000"/>
                      <w:sz w:val="16"/>
                      <w:szCs w:val="16"/>
                      <w:lang w:val="en-US"/>
                    </w:rPr>
                  </w:pPr>
                  <w:r w:rsidRPr="005205BC">
                    <w:rPr>
                      <w:color w:val="000000"/>
                      <w:sz w:val="16"/>
                      <w:szCs w:val="16"/>
                      <w:lang w:val="en-US"/>
                    </w:rPr>
                    <w:t> </w:t>
                  </w:r>
                </w:p>
              </w:tc>
              <w:tc>
                <w:tcPr>
                  <w:tcW w:w="1173" w:type="dxa"/>
                  <w:tcBorders>
                    <w:top w:val="nil"/>
                    <w:left w:val="nil"/>
                    <w:bottom w:val="nil"/>
                    <w:right w:val="nil"/>
                  </w:tcBorders>
                  <w:shd w:val="clear" w:color="000000" w:fill="FFFFFF"/>
                  <w:noWrap/>
                  <w:vAlign w:val="bottom"/>
                  <w:hideMark/>
                </w:tcPr>
                <w:p w14:paraId="35052931" w14:textId="77777777" w:rsidR="001C37C4" w:rsidRPr="005205BC" w:rsidRDefault="001C37C4" w:rsidP="007B0E00">
                  <w:pPr>
                    <w:spacing w:after="0"/>
                    <w:ind w:firstLine="0"/>
                    <w:jc w:val="center"/>
                    <w:rPr>
                      <w:color w:val="000000"/>
                      <w:sz w:val="16"/>
                      <w:szCs w:val="16"/>
                      <w:lang w:val="en-US"/>
                    </w:rPr>
                  </w:pPr>
                  <w:r w:rsidRPr="005205BC">
                    <w:rPr>
                      <w:color w:val="000000"/>
                      <w:sz w:val="16"/>
                      <w:szCs w:val="16"/>
                      <w:lang w:val="en-US"/>
                    </w:rPr>
                    <w:t> </w:t>
                  </w:r>
                </w:p>
              </w:tc>
              <w:tc>
                <w:tcPr>
                  <w:tcW w:w="296" w:type="dxa"/>
                  <w:tcBorders>
                    <w:top w:val="nil"/>
                    <w:left w:val="nil"/>
                    <w:bottom w:val="nil"/>
                    <w:right w:val="nil"/>
                  </w:tcBorders>
                  <w:shd w:val="clear" w:color="000000" w:fill="FFFFFF"/>
                  <w:noWrap/>
                  <w:vAlign w:val="bottom"/>
                  <w:hideMark/>
                </w:tcPr>
                <w:p w14:paraId="220A1FDC" w14:textId="77777777" w:rsidR="001C37C4" w:rsidRPr="005205BC" w:rsidRDefault="001C37C4" w:rsidP="007B0E00">
                  <w:pPr>
                    <w:spacing w:after="0"/>
                    <w:ind w:firstLine="0"/>
                    <w:jc w:val="center"/>
                    <w:rPr>
                      <w:color w:val="000000"/>
                      <w:sz w:val="16"/>
                      <w:szCs w:val="16"/>
                      <w:lang w:val="en-US"/>
                    </w:rPr>
                  </w:pPr>
                  <w:r w:rsidRPr="005205BC">
                    <w:rPr>
                      <w:color w:val="000000"/>
                      <w:sz w:val="16"/>
                      <w:szCs w:val="16"/>
                      <w:lang w:val="en-US"/>
                    </w:rPr>
                    <w:t> </w:t>
                  </w:r>
                </w:p>
              </w:tc>
              <w:tc>
                <w:tcPr>
                  <w:tcW w:w="1416" w:type="dxa"/>
                  <w:tcBorders>
                    <w:top w:val="nil"/>
                    <w:left w:val="nil"/>
                    <w:bottom w:val="nil"/>
                    <w:right w:val="nil"/>
                  </w:tcBorders>
                  <w:shd w:val="clear" w:color="000000" w:fill="FFFFFF"/>
                  <w:noWrap/>
                  <w:vAlign w:val="bottom"/>
                  <w:hideMark/>
                </w:tcPr>
                <w:p w14:paraId="7974FED7" w14:textId="77777777" w:rsidR="001C37C4" w:rsidRPr="005205BC" w:rsidRDefault="001C37C4" w:rsidP="007B0E00">
                  <w:pPr>
                    <w:spacing w:after="0"/>
                    <w:ind w:firstLine="0"/>
                    <w:jc w:val="center"/>
                    <w:rPr>
                      <w:color w:val="000000"/>
                      <w:sz w:val="16"/>
                      <w:szCs w:val="16"/>
                      <w:lang w:val="en-US"/>
                    </w:rPr>
                  </w:pPr>
                  <w:r w:rsidRPr="005205BC">
                    <w:rPr>
                      <w:color w:val="000000"/>
                      <w:sz w:val="16"/>
                      <w:szCs w:val="16"/>
                      <w:lang w:val="en-US"/>
                    </w:rPr>
                    <w:t> </w:t>
                  </w:r>
                </w:p>
              </w:tc>
              <w:tc>
                <w:tcPr>
                  <w:tcW w:w="1416" w:type="dxa"/>
                  <w:tcBorders>
                    <w:top w:val="nil"/>
                    <w:left w:val="nil"/>
                    <w:bottom w:val="nil"/>
                    <w:right w:val="nil"/>
                  </w:tcBorders>
                  <w:shd w:val="clear" w:color="000000" w:fill="FFFFFF"/>
                  <w:noWrap/>
                  <w:vAlign w:val="bottom"/>
                  <w:hideMark/>
                </w:tcPr>
                <w:p w14:paraId="18618458" w14:textId="77777777" w:rsidR="001C37C4" w:rsidRPr="005205BC" w:rsidRDefault="001C37C4" w:rsidP="007B0E00">
                  <w:pPr>
                    <w:spacing w:after="0"/>
                    <w:ind w:firstLine="0"/>
                    <w:jc w:val="center"/>
                    <w:rPr>
                      <w:color w:val="000000"/>
                      <w:sz w:val="16"/>
                      <w:szCs w:val="16"/>
                      <w:lang w:val="en-US"/>
                    </w:rPr>
                  </w:pPr>
                  <w:r w:rsidRPr="005205BC">
                    <w:rPr>
                      <w:color w:val="000000"/>
                      <w:sz w:val="16"/>
                      <w:szCs w:val="16"/>
                      <w:lang w:val="en-US"/>
                    </w:rPr>
                    <w:t> </w:t>
                  </w:r>
                </w:p>
              </w:tc>
            </w:tr>
            <w:tr w:rsidR="00A01C48" w:rsidRPr="004E6ACD" w14:paraId="7D695F2F" w14:textId="77777777" w:rsidTr="00F556AF">
              <w:trPr>
                <w:trHeight w:val="57"/>
              </w:trPr>
              <w:tc>
                <w:tcPr>
                  <w:tcW w:w="2585" w:type="dxa"/>
                  <w:gridSpan w:val="2"/>
                  <w:tcBorders>
                    <w:top w:val="nil"/>
                    <w:left w:val="nil"/>
                    <w:bottom w:val="nil"/>
                    <w:right w:val="nil"/>
                  </w:tcBorders>
                  <w:shd w:val="clear" w:color="000000" w:fill="FFFFFF"/>
                  <w:vAlign w:val="bottom"/>
                </w:tcPr>
                <w:p w14:paraId="69B7C808" w14:textId="77777777" w:rsidR="003E2203" w:rsidRPr="005205BC" w:rsidRDefault="003E2203" w:rsidP="003E2203">
                  <w:pPr>
                    <w:spacing w:after="0"/>
                    <w:ind w:firstLine="0"/>
                    <w:rPr>
                      <w:color w:val="000000"/>
                      <w:sz w:val="16"/>
                      <w:szCs w:val="16"/>
                      <w:lang w:val="en-US"/>
                    </w:rPr>
                  </w:pPr>
                  <w:r w:rsidRPr="005205BC">
                    <w:rPr>
                      <w:color w:val="000000"/>
                      <w:sz w:val="16"/>
                      <w:szCs w:val="16"/>
                      <w:lang w:val="en-US"/>
                    </w:rPr>
                    <w:t xml:space="preserve">Tax Less-healthy 20% </w:t>
                  </w:r>
                </w:p>
              </w:tc>
              <w:tc>
                <w:tcPr>
                  <w:tcW w:w="1276" w:type="dxa"/>
                  <w:tcBorders>
                    <w:top w:val="nil"/>
                    <w:left w:val="nil"/>
                    <w:bottom w:val="nil"/>
                    <w:right w:val="nil"/>
                  </w:tcBorders>
                  <w:shd w:val="clear" w:color="000000" w:fill="FFFFFF"/>
                  <w:noWrap/>
                  <w:vAlign w:val="bottom"/>
                </w:tcPr>
                <w:p w14:paraId="4A81D869"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-0.442***</w:t>
                  </w:r>
                </w:p>
              </w:tc>
              <w:tc>
                <w:tcPr>
                  <w:tcW w:w="1173" w:type="dxa"/>
                  <w:tcBorders>
                    <w:top w:val="nil"/>
                    <w:left w:val="nil"/>
                    <w:bottom w:val="nil"/>
                    <w:right w:val="nil"/>
                  </w:tcBorders>
                  <w:shd w:val="clear" w:color="000000" w:fill="FFFFFF"/>
                  <w:noWrap/>
                  <w:vAlign w:val="bottom"/>
                </w:tcPr>
                <w:p w14:paraId="7258177F"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-0.479***</w:t>
                  </w:r>
                </w:p>
              </w:tc>
              <w:tc>
                <w:tcPr>
                  <w:tcW w:w="296" w:type="dxa"/>
                  <w:tcBorders>
                    <w:top w:val="nil"/>
                    <w:left w:val="nil"/>
                    <w:bottom w:val="nil"/>
                    <w:right w:val="nil"/>
                  </w:tcBorders>
                  <w:shd w:val="clear" w:color="000000" w:fill="FFFFFF"/>
                  <w:noWrap/>
                  <w:vAlign w:val="bottom"/>
                </w:tcPr>
                <w:p w14:paraId="388A5DCC"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2F3D1BEC" w14:textId="14A29924"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-0.125</w:t>
                  </w:r>
                </w:p>
              </w:tc>
              <w:tc>
                <w:tcPr>
                  <w:tcW w:w="1416" w:type="dxa"/>
                  <w:tcBorders>
                    <w:top w:val="nil"/>
                    <w:left w:val="nil"/>
                    <w:bottom w:val="nil"/>
                    <w:right w:val="nil"/>
                  </w:tcBorders>
                  <w:shd w:val="clear" w:color="000000" w:fill="FFFFFF"/>
                  <w:noWrap/>
                  <w:vAlign w:val="bottom"/>
                </w:tcPr>
                <w:p w14:paraId="56650B25" w14:textId="3CD9C4DB"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-0.147</w:t>
                  </w:r>
                </w:p>
              </w:tc>
            </w:tr>
            <w:tr w:rsidR="00A01C48" w:rsidRPr="004E6ACD" w14:paraId="762A365A" w14:textId="77777777" w:rsidTr="00F556AF">
              <w:trPr>
                <w:trHeight w:val="63"/>
              </w:trPr>
              <w:tc>
                <w:tcPr>
                  <w:tcW w:w="2585" w:type="dxa"/>
                  <w:gridSpan w:val="2"/>
                  <w:tcBorders>
                    <w:top w:val="nil"/>
                    <w:left w:val="nil"/>
                    <w:bottom w:val="nil"/>
                    <w:right w:val="nil"/>
                  </w:tcBorders>
                  <w:shd w:val="clear" w:color="000000" w:fill="FFFFFF"/>
                </w:tcPr>
                <w:p w14:paraId="4E75789F" w14:textId="77777777" w:rsidR="003E2203" w:rsidRPr="00BE4584" w:rsidRDefault="003E2203" w:rsidP="003E2203">
                  <w:pPr>
                    <w:spacing w:after="0"/>
                    <w:ind w:firstLine="0"/>
                    <w:rPr>
                      <w:color w:val="000000"/>
                      <w:sz w:val="14"/>
                      <w:szCs w:val="16"/>
                      <w:lang w:val="en-US"/>
                    </w:rPr>
                  </w:pPr>
                  <w:r w:rsidRPr="00BE4584">
                    <w:rPr>
                      <w:color w:val="000000"/>
                      <w:sz w:val="14"/>
                      <w:szCs w:val="16"/>
                      <w:lang w:val="en-US"/>
                    </w:rPr>
                    <w:t> </w:t>
                  </w:r>
                </w:p>
              </w:tc>
              <w:tc>
                <w:tcPr>
                  <w:tcW w:w="1276" w:type="dxa"/>
                  <w:tcBorders>
                    <w:top w:val="nil"/>
                    <w:left w:val="nil"/>
                    <w:bottom w:val="nil"/>
                    <w:right w:val="nil"/>
                  </w:tcBorders>
                  <w:shd w:val="clear" w:color="000000" w:fill="FFFFFF"/>
                  <w:noWrap/>
                </w:tcPr>
                <w:p w14:paraId="0BA150FE"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(0.080)</w:t>
                  </w:r>
                </w:p>
              </w:tc>
              <w:tc>
                <w:tcPr>
                  <w:tcW w:w="1173" w:type="dxa"/>
                  <w:tcBorders>
                    <w:top w:val="nil"/>
                    <w:left w:val="nil"/>
                    <w:bottom w:val="nil"/>
                    <w:right w:val="nil"/>
                  </w:tcBorders>
                  <w:shd w:val="clear" w:color="000000" w:fill="FFFFFF"/>
                  <w:noWrap/>
                </w:tcPr>
                <w:p w14:paraId="46ACE2F6"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(0.081)</w:t>
                  </w:r>
                </w:p>
              </w:tc>
              <w:tc>
                <w:tcPr>
                  <w:tcW w:w="296" w:type="dxa"/>
                  <w:tcBorders>
                    <w:top w:val="nil"/>
                    <w:left w:val="nil"/>
                    <w:bottom w:val="nil"/>
                    <w:right w:val="nil"/>
                  </w:tcBorders>
                  <w:shd w:val="clear" w:color="000000" w:fill="FFFFFF"/>
                  <w:noWrap/>
                </w:tcPr>
                <w:p w14:paraId="718BC42A"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 </w:t>
                  </w:r>
                </w:p>
              </w:tc>
              <w:tc>
                <w:tcPr>
                  <w:tcW w:w="1416" w:type="dxa"/>
                  <w:tcBorders>
                    <w:top w:val="nil"/>
                    <w:left w:val="nil"/>
                    <w:bottom w:val="nil"/>
                    <w:right w:val="nil"/>
                  </w:tcBorders>
                  <w:shd w:val="clear" w:color="000000" w:fill="FFFFFF"/>
                  <w:noWrap/>
                </w:tcPr>
                <w:p w14:paraId="19F1866E" w14:textId="0961EA0B"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(0.170)</w:t>
                  </w:r>
                </w:p>
              </w:tc>
              <w:tc>
                <w:tcPr>
                  <w:tcW w:w="1416" w:type="dxa"/>
                  <w:tcBorders>
                    <w:top w:val="nil"/>
                    <w:left w:val="nil"/>
                    <w:bottom w:val="nil"/>
                    <w:right w:val="nil"/>
                  </w:tcBorders>
                  <w:shd w:val="clear" w:color="000000" w:fill="FFFFFF"/>
                  <w:noWrap/>
                </w:tcPr>
                <w:p w14:paraId="61BEF783" w14:textId="0C5C4B5E"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(0.183)</w:t>
                  </w:r>
                </w:p>
              </w:tc>
            </w:tr>
            <w:tr w:rsidR="00A01C48" w:rsidRPr="004E6ACD" w14:paraId="64892C69" w14:textId="77777777" w:rsidTr="00F556AF">
              <w:trPr>
                <w:trHeight w:val="380"/>
              </w:trPr>
              <w:tc>
                <w:tcPr>
                  <w:tcW w:w="2585" w:type="dxa"/>
                  <w:gridSpan w:val="2"/>
                  <w:tcBorders>
                    <w:top w:val="nil"/>
                    <w:left w:val="nil"/>
                    <w:bottom w:val="nil"/>
                    <w:right w:val="nil"/>
                  </w:tcBorders>
                  <w:shd w:val="clear" w:color="000000" w:fill="FFFFFF"/>
                  <w:vAlign w:val="bottom"/>
                </w:tcPr>
                <w:p w14:paraId="4C740BC3" w14:textId="77777777" w:rsidR="003E2203" w:rsidRPr="005205BC" w:rsidRDefault="003E2203" w:rsidP="003E2203">
                  <w:pPr>
                    <w:spacing w:after="0"/>
                    <w:ind w:firstLine="0"/>
                    <w:rPr>
                      <w:color w:val="000000"/>
                      <w:sz w:val="16"/>
                      <w:szCs w:val="16"/>
                      <w:lang w:val="en-US"/>
                    </w:rPr>
                  </w:pPr>
                  <w:r w:rsidRPr="005205BC">
                    <w:rPr>
                      <w:color w:val="000000"/>
                      <w:sz w:val="16"/>
                      <w:szCs w:val="16"/>
                      <w:lang w:val="en-US"/>
                    </w:rPr>
                    <w:t>Interaction with signposted</w:t>
                  </w:r>
                </w:p>
              </w:tc>
              <w:tc>
                <w:tcPr>
                  <w:tcW w:w="1134" w:type="dxa"/>
                  <w:tcBorders>
                    <w:top w:val="nil"/>
                    <w:left w:val="nil"/>
                    <w:bottom w:val="nil"/>
                    <w:right w:val="nil"/>
                  </w:tcBorders>
                  <w:shd w:val="clear" w:color="000000" w:fill="FFFFFF"/>
                  <w:noWrap/>
                  <w:vAlign w:val="bottom"/>
                </w:tcPr>
                <w:p w14:paraId="1AF4156E"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-0.141</w:t>
                  </w:r>
                </w:p>
              </w:tc>
              <w:tc>
                <w:tcPr>
                  <w:tcW w:w="1173" w:type="dxa"/>
                  <w:tcBorders>
                    <w:top w:val="nil"/>
                    <w:left w:val="nil"/>
                    <w:bottom w:val="nil"/>
                    <w:right w:val="nil"/>
                  </w:tcBorders>
                  <w:shd w:val="clear" w:color="000000" w:fill="FFFFFF"/>
                  <w:noWrap/>
                  <w:vAlign w:val="bottom"/>
                </w:tcPr>
                <w:p w14:paraId="20E6CB6B"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-0.109</w:t>
                  </w:r>
                </w:p>
              </w:tc>
              <w:tc>
                <w:tcPr>
                  <w:tcW w:w="296" w:type="dxa"/>
                  <w:tcBorders>
                    <w:top w:val="nil"/>
                    <w:left w:val="nil"/>
                    <w:bottom w:val="nil"/>
                    <w:right w:val="nil"/>
                  </w:tcBorders>
                  <w:shd w:val="clear" w:color="000000" w:fill="FFFFFF"/>
                  <w:noWrap/>
                  <w:vAlign w:val="bottom"/>
                </w:tcPr>
                <w:p w14:paraId="51169306"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6A132E22" w14:textId="4BC3FE6F"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-0.459***</w:t>
                  </w:r>
                </w:p>
              </w:tc>
              <w:tc>
                <w:tcPr>
                  <w:tcW w:w="1416" w:type="dxa"/>
                  <w:tcBorders>
                    <w:top w:val="nil"/>
                    <w:left w:val="nil"/>
                    <w:bottom w:val="nil"/>
                    <w:right w:val="nil"/>
                  </w:tcBorders>
                  <w:shd w:val="clear" w:color="000000" w:fill="FFFFFF"/>
                  <w:noWrap/>
                  <w:vAlign w:val="bottom"/>
                </w:tcPr>
                <w:p w14:paraId="7CDDD033" w14:textId="3904C563"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-0.450**</w:t>
                  </w:r>
                </w:p>
              </w:tc>
            </w:tr>
            <w:tr w:rsidR="00A01C48" w:rsidRPr="004E6ACD" w14:paraId="426CEA05" w14:textId="77777777" w:rsidTr="00F556AF">
              <w:trPr>
                <w:trHeight w:val="290"/>
              </w:trPr>
              <w:tc>
                <w:tcPr>
                  <w:tcW w:w="2585" w:type="dxa"/>
                  <w:gridSpan w:val="2"/>
                  <w:tcBorders>
                    <w:top w:val="nil"/>
                    <w:left w:val="nil"/>
                    <w:bottom w:val="nil"/>
                    <w:right w:val="nil"/>
                  </w:tcBorders>
                  <w:shd w:val="clear" w:color="000000" w:fill="FFFFFF"/>
                </w:tcPr>
                <w:p w14:paraId="7D79A9F5" w14:textId="77777777" w:rsidR="003E2203" w:rsidRPr="00BE4584" w:rsidRDefault="003E2203" w:rsidP="003E2203">
                  <w:pPr>
                    <w:spacing w:after="0"/>
                    <w:ind w:firstLine="0"/>
                    <w:rPr>
                      <w:color w:val="000000"/>
                      <w:sz w:val="14"/>
                      <w:szCs w:val="16"/>
                      <w:lang w:val="en-US"/>
                    </w:rPr>
                  </w:pPr>
                  <w:r w:rsidRPr="00BE4584">
                    <w:rPr>
                      <w:color w:val="000000"/>
                      <w:sz w:val="14"/>
                      <w:szCs w:val="16"/>
                      <w:lang w:val="en-US"/>
                    </w:rPr>
                    <w:t> </w:t>
                  </w:r>
                </w:p>
              </w:tc>
              <w:tc>
                <w:tcPr>
                  <w:tcW w:w="1276" w:type="dxa"/>
                  <w:tcBorders>
                    <w:top w:val="nil"/>
                    <w:left w:val="nil"/>
                    <w:bottom w:val="nil"/>
                    <w:right w:val="nil"/>
                  </w:tcBorders>
                  <w:shd w:val="clear" w:color="000000" w:fill="FFFFFF"/>
                  <w:noWrap/>
                </w:tcPr>
                <w:p w14:paraId="3F7A18D6"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(0.192)</w:t>
                  </w:r>
                </w:p>
              </w:tc>
              <w:tc>
                <w:tcPr>
                  <w:tcW w:w="1173" w:type="dxa"/>
                  <w:tcBorders>
                    <w:top w:val="nil"/>
                    <w:left w:val="nil"/>
                    <w:bottom w:val="nil"/>
                    <w:right w:val="nil"/>
                  </w:tcBorders>
                  <w:shd w:val="clear" w:color="000000" w:fill="FFFFFF"/>
                  <w:noWrap/>
                </w:tcPr>
                <w:p w14:paraId="4A1794E5"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(0.214)</w:t>
                  </w:r>
                </w:p>
              </w:tc>
              <w:tc>
                <w:tcPr>
                  <w:tcW w:w="296" w:type="dxa"/>
                  <w:tcBorders>
                    <w:top w:val="nil"/>
                    <w:left w:val="nil"/>
                    <w:bottom w:val="nil"/>
                    <w:right w:val="nil"/>
                  </w:tcBorders>
                  <w:shd w:val="clear" w:color="000000" w:fill="FFFFFF"/>
                  <w:noWrap/>
                </w:tcPr>
                <w:p w14:paraId="05B7F627"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 </w:t>
                  </w:r>
                </w:p>
              </w:tc>
              <w:tc>
                <w:tcPr>
                  <w:tcW w:w="1416" w:type="dxa"/>
                  <w:tcBorders>
                    <w:top w:val="nil"/>
                    <w:left w:val="nil"/>
                    <w:bottom w:val="nil"/>
                    <w:right w:val="nil"/>
                  </w:tcBorders>
                  <w:shd w:val="clear" w:color="000000" w:fill="FFFFFF"/>
                  <w:noWrap/>
                </w:tcPr>
                <w:p w14:paraId="7D6AEB4A" w14:textId="0715315F"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(0.159)</w:t>
                  </w:r>
                </w:p>
              </w:tc>
              <w:tc>
                <w:tcPr>
                  <w:tcW w:w="1416" w:type="dxa"/>
                  <w:tcBorders>
                    <w:top w:val="nil"/>
                    <w:left w:val="nil"/>
                    <w:bottom w:val="nil"/>
                    <w:right w:val="nil"/>
                  </w:tcBorders>
                  <w:shd w:val="clear" w:color="000000" w:fill="FFFFFF"/>
                  <w:noWrap/>
                </w:tcPr>
                <w:p w14:paraId="09D16DC6" w14:textId="5313CB26"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(0.179)</w:t>
                  </w:r>
                </w:p>
              </w:tc>
            </w:tr>
            <w:tr w:rsidR="00A01C48" w:rsidRPr="004E6ACD" w14:paraId="7DC6F4B3" w14:textId="77777777" w:rsidTr="00F556AF">
              <w:trPr>
                <w:trHeight w:val="262"/>
              </w:trPr>
              <w:tc>
                <w:tcPr>
                  <w:tcW w:w="2585" w:type="dxa"/>
                  <w:gridSpan w:val="2"/>
                  <w:tcBorders>
                    <w:top w:val="nil"/>
                    <w:left w:val="nil"/>
                    <w:bottom w:val="nil"/>
                    <w:right w:val="nil"/>
                  </w:tcBorders>
                  <w:shd w:val="clear" w:color="000000" w:fill="FFFFFF"/>
                  <w:vAlign w:val="bottom"/>
                </w:tcPr>
                <w:p w14:paraId="675A9848" w14:textId="77777777" w:rsidR="003E2203" w:rsidRPr="005205BC" w:rsidRDefault="003E2203" w:rsidP="003E2203">
                  <w:pPr>
                    <w:spacing w:after="0"/>
                    <w:ind w:firstLine="0"/>
                    <w:rPr>
                      <w:color w:val="000000"/>
                      <w:sz w:val="16"/>
                      <w:szCs w:val="16"/>
                      <w:lang w:val="en-US"/>
                    </w:rPr>
                  </w:pPr>
                  <w:r w:rsidRPr="005205BC">
                    <w:rPr>
                      <w:color w:val="000000"/>
                      <w:sz w:val="16"/>
                      <w:szCs w:val="16"/>
                      <w:lang w:val="en-US"/>
                    </w:rPr>
                    <w:t xml:space="preserve">Tax Less-healthy 40% </w:t>
                  </w:r>
                </w:p>
              </w:tc>
              <w:tc>
                <w:tcPr>
                  <w:tcW w:w="1276" w:type="dxa"/>
                  <w:tcBorders>
                    <w:top w:val="nil"/>
                    <w:left w:val="nil"/>
                    <w:bottom w:val="nil"/>
                    <w:right w:val="nil"/>
                  </w:tcBorders>
                  <w:shd w:val="clear" w:color="000000" w:fill="FFFFFF"/>
                  <w:noWrap/>
                  <w:vAlign w:val="bottom"/>
                </w:tcPr>
                <w:p w14:paraId="1990F387"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-0.657***</w:t>
                  </w:r>
                </w:p>
              </w:tc>
              <w:tc>
                <w:tcPr>
                  <w:tcW w:w="1173" w:type="dxa"/>
                  <w:tcBorders>
                    <w:top w:val="nil"/>
                    <w:left w:val="nil"/>
                    <w:bottom w:val="nil"/>
                    <w:right w:val="nil"/>
                  </w:tcBorders>
                  <w:shd w:val="clear" w:color="000000" w:fill="FFFFFF"/>
                  <w:noWrap/>
                  <w:vAlign w:val="bottom"/>
                </w:tcPr>
                <w:p w14:paraId="68DB2EB3"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-0.709***</w:t>
                  </w:r>
                </w:p>
              </w:tc>
              <w:tc>
                <w:tcPr>
                  <w:tcW w:w="296" w:type="dxa"/>
                  <w:tcBorders>
                    <w:top w:val="nil"/>
                    <w:left w:val="nil"/>
                    <w:bottom w:val="nil"/>
                    <w:right w:val="nil"/>
                  </w:tcBorders>
                  <w:shd w:val="clear" w:color="000000" w:fill="FFFFFF"/>
                  <w:noWrap/>
                  <w:vAlign w:val="bottom"/>
                </w:tcPr>
                <w:p w14:paraId="3B9B6CC2"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54A81F40" w14:textId="39654F24"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-0.670***</w:t>
                  </w:r>
                </w:p>
              </w:tc>
              <w:tc>
                <w:tcPr>
                  <w:tcW w:w="1416" w:type="dxa"/>
                  <w:tcBorders>
                    <w:top w:val="nil"/>
                    <w:left w:val="nil"/>
                    <w:bottom w:val="nil"/>
                    <w:right w:val="nil"/>
                  </w:tcBorders>
                  <w:shd w:val="clear" w:color="000000" w:fill="FFFFFF"/>
                  <w:noWrap/>
                  <w:vAlign w:val="bottom"/>
                </w:tcPr>
                <w:p w14:paraId="50C3ACBF" w14:textId="7E99E5DA"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-0.683***</w:t>
                  </w:r>
                </w:p>
              </w:tc>
            </w:tr>
            <w:tr w:rsidR="00A01C48" w:rsidRPr="004E6ACD" w14:paraId="212E2380" w14:textId="77777777" w:rsidTr="00F556AF">
              <w:trPr>
                <w:trHeight w:val="290"/>
              </w:trPr>
              <w:tc>
                <w:tcPr>
                  <w:tcW w:w="2585" w:type="dxa"/>
                  <w:gridSpan w:val="2"/>
                  <w:tcBorders>
                    <w:top w:val="nil"/>
                    <w:left w:val="nil"/>
                    <w:bottom w:val="nil"/>
                    <w:right w:val="nil"/>
                  </w:tcBorders>
                  <w:shd w:val="clear" w:color="000000" w:fill="FFFFFF"/>
                </w:tcPr>
                <w:p w14:paraId="54A664A6" w14:textId="77777777" w:rsidR="003E2203" w:rsidRPr="00BE4584" w:rsidRDefault="003E2203" w:rsidP="003E2203">
                  <w:pPr>
                    <w:spacing w:after="0"/>
                    <w:ind w:firstLine="0"/>
                    <w:rPr>
                      <w:color w:val="000000"/>
                      <w:sz w:val="14"/>
                      <w:szCs w:val="16"/>
                      <w:lang w:val="en-US"/>
                    </w:rPr>
                  </w:pPr>
                  <w:r w:rsidRPr="00BE4584">
                    <w:rPr>
                      <w:color w:val="000000"/>
                      <w:sz w:val="14"/>
                      <w:szCs w:val="16"/>
                      <w:lang w:val="en-US"/>
                    </w:rPr>
                    <w:t> </w:t>
                  </w:r>
                </w:p>
              </w:tc>
              <w:tc>
                <w:tcPr>
                  <w:tcW w:w="1276" w:type="dxa"/>
                  <w:tcBorders>
                    <w:top w:val="nil"/>
                    <w:left w:val="nil"/>
                    <w:bottom w:val="nil"/>
                    <w:right w:val="nil"/>
                  </w:tcBorders>
                  <w:shd w:val="clear" w:color="000000" w:fill="FFFFFF"/>
                  <w:noWrap/>
                </w:tcPr>
                <w:p w14:paraId="0E700442"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(0.055)</w:t>
                  </w:r>
                </w:p>
              </w:tc>
              <w:tc>
                <w:tcPr>
                  <w:tcW w:w="1173" w:type="dxa"/>
                  <w:tcBorders>
                    <w:top w:val="nil"/>
                    <w:left w:val="nil"/>
                    <w:bottom w:val="nil"/>
                    <w:right w:val="nil"/>
                  </w:tcBorders>
                  <w:shd w:val="clear" w:color="000000" w:fill="FFFFFF"/>
                  <w:noWrap/>
                </w:tcPr>
                <w:p w14:paraId="7A60042E"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(0.050)</w:t>
                  </w:r>
                </w:p>
              </w:tc>
              <w:tc>
                <w:tcPr>
                  <w:tcW w:w="296" w:type="dxa"/>
                  <w:tcBorders>
                    <w:top w:val="nil"/>
                    <w:left w:val="nil"/>
                    <w:bottom w:val="nil"/>
                    <w:right w:val="nil"/>
                  </w:tcBorders>
                  <w:shd w:val="clear" w:color="000000" w:fill="FFFFFF"/>
                  <w:noWrap/>
                </w:tcPr>
                <w:p w14:paraId="508D5F5B"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 </w:t>
                  </w:r>
                </w:p>
              </w:tc>
              <w:tc>
                <w:tcPr>
                  <w:tcW w:w="1416" w:type="dxa"/>
                  <w:tcBorders>
                    <w:top w:val="nil"/>
                    <w:left w:val="nil"/>
                    <w:bottom w:val="nil"/>
                    <w:right w:val="nil"/>
                  </w:tcBorders>
                  <w:shd w:val="clear" w:color="000000" w:fill="FFFFFF"/>
                  <w:noWrap/>
                </w:tcPr>
                <w:p w14:paraId="5A900FA2" w14:textId="7113CADD"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(0.072)</w:t>
                  </w:r>
                </w:p>
              </w:tc>
              <w:tc>
                <w:tcPr>
                  <w:tcW w:w="1416" w:type="dxa"/>
                  <w:tcBorders>
                    <w:top w:val="nil"/>
                    <w:left w:val="nil"/>
                    <w:bottom w:val="nil"/>
                    <w:right w:val="nil"/>
                  </w:tcBorders>
                  <w:shd w:val="clear" w:color="000000" w:fill="FFFFFF"/>
                  <w:noWrap/>
                </w:tcPr>
                <w:p w14:paraId="63B49111" w14:textId="1F5A6511"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(0.075)</w:t>
                  </w:r>
                </w:p>
              </w:tc>
            </w:tr>
            <w:tr w:rsidR="00A01C48" w:rsidRPr="004E6ACD" w14:paraId="69DF1244" w14:textId="77777777" w:rsidTr="00F556AF">
              <w:trPr>
                <w:trHeight w:val="257"/>
              </w:trPr>
              <w:tc>
                <w:tcPr>
                  <w:tcW w:w="2585" w:type="dxa"/>
                  <w:gridSpan w:val="2"/>
                  <w:tcBorders>
                    <w:top w:val="nil"/>
                    <w:left w:val="nil"/>
                    <w:bottom w:val="nil"/>
                    <w:right w:val="nil"/>
                  </w:tcBorders>
                  <w:shd w:val="clear" w:color="000000" w:fill="FFFFFF"/>
                  <w:vAlign w:val="bottom"/>
                </w:tcPr>
                <w:p w14:paraId="0214B5AD" w14:textId="77777777" w:rsidR="003E2203" w:rsidRPr="005205BC" w:rsidRDefault="003E2203" w:rsidP="003E2203">
                  <w:pPr>
                    <w:spacing w:after="0"/>
                    <w:ind w:firstLine="0"/>
                    <w:rPr>
                      <w:color w:val="000000"/>
                      <w:sz w:val="16"/>
                      <w:szCs w:val="16"/>
                      <w:lang w:val="en-US"/>
                    </w:rPr>
                  </w:pPr>
                  <w:r w:rsidRPr="005205BC">
                    <w:rPr>
                      <w:color w:val="000000"/>
                      <w:sz w:val="16"/>
                      <w:szCs w:val="16"/>
                      <w:lang w:val="en-US"/>
                    </w:rPr>
                    <w:t>Interaction with signposted</w:t>
                  </w:r>
                </w:p>
              </w:tc>
              <w:tc>
                <w:tcPr>
                  <w:tcW w:w="1276" w:type="dxa"/>
                  <w:tcBorders>
                    <w:top w:val="nil"/>
                    <w:left w:val="nil"/>
                    <w:bottom w:val="nil"/>
                    <w:right w:val="nil"/>
                  </w:tcBorders>
                  <w:shd w:val="clear" w:color="000000" w:fill="FFFFFF"/>
                  <w:noWrap/>
                  <w:vAlign w:val="bottom"/>
                </w:tcPr>
                <w:p w14:paraId="6F8A6EF5"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-0.322*</w:t>
                  </w:r>
                </w:p>
              </w:tc>
              <w:tc>
                <w:tcPr>
                  <w:tcW w:w="1173" w:type="dxa"/>
                  <w:tcBorders>
                    <w:top w:val="nil"/>
                    <w:left w:val="nil"/>
                    <w:bottom w:val="nil"/>
                    <w:right w:val="nil"/>
                  </w:tcBorders>
                  <w:shd w:val="clear" w:color="000000" w:fill="FFFFFF"/>
                  <w:noWrap/>
                  <w:vAlign w:val="bottom"/>
                </w:tcPr>
                <w:p w14:paraId="2CCFA74A"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-0.0945</w:t>
                  </w:r>
                </w:p>
              </w:tc>
              <w:tc>
                <w:tcPr>
                  <w:tcW w:w="296" w:type="dxa"/>
                  <w:tcBorders>
                    <w:top w:val="nil"/>
                    <w:left w:val="nil"/>
                    <w:bottom w:val="nil"/>
                    <w:right w:val="nil"/>
                  </w:tcBorders>
                  <w:shd w:val="clear" w:color="000000" w:fill="FFFFFF"/>
                  <w:noWrap/>
                  <w:vAlign w:val="bottom"/>
                </w:tcPr>
                <w:p w14:paraId="35519D39"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1709574C" w14:textId="69E3FC7D"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0.0793</w:t>
                  </w:r>
                </w:p>
              </w:tc>
              <w:tc>
                <w:tcPr>
                  <w:tcW w:w="1416" w:type="dxa"/>
                  <w:tcBorders>
                    <w:top w:val="nil"/>
                    <w:left w:val="nil"/>
                    <w:bottom w:val="nil"/>
                    <w:right w:val="nil"/>
                  </w:tcBorders>
                  <w:shd w:val="clear" w:color="000000" w:fill="FFFFFF"/>
                  <w:noWrap/>
                  <w:vAlign w:val="bottom"/>
                </w:tcPr>
                <w:p w14:paraId="5C66ABF1" w14:textId="6A5A33E7"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0.173</w:t>
                  </w:r>
                </w:p>
              </w:tc>
            </w:tr>
            <w:tr w:rsidR="00A01C48" w:rsidRPr="004E6ACD" w14:paraId="76C7B8D6" w14:textId="77777777" w:rsidTr="00F556AF">
              <w:trPr>
                <w:trHeight w:val="290"/>
              </w:trPr>
              <w:tc>
                <w:tcPr>
                  <w:tcW w:w="2585" w:type="dxa"/>
                  <w:gridSpan w:val="2"/>
                  <w:tcBorders>
                    <w:top w:val="nil"/>
                    <w:left w:val="nil"/>
                    <w:bottom w:val="nil"/>
                    <w:right w:val="nil"/>
                  </w:tcBorders>
                  <w:shd w:val="clear" w:color="000000" w:fill="FFFFFF"/>
                </w:tcPr>
                <w:p w14:paraId="2DCCB31D" w14:textId="77777777" w:rsidR="003E2203" w:rsidRPr="00BE4584" w:rsidRDefault="003E2203" w:rsidP="003E2203">
                  <w:pPr>
                    <w:spacing w:after="0"/>
                    <w:ind w:firstLine="0"/>
                    <w:rPr>
                      <w:color w:val="000000"/>
                      <w:sz w:val="14"/>
                      <w:szCs w:val="16"/>
                      <w:lang w:val="en-US"/>
                    </w:rPr>
                  </w:pPr>
                  <w:r w:rsidRPr="00BE4584">
                    <w:rPr>
                      <w:color w:val="000000"/>
                      <w:sz w:val="14"/>
                      <w:szCs w:val="16"/>
                      <w:lang w:val="en-US"/>
                    </w:rPr>
                    <w:t> </w:t>
                  </w:r>
                </w:p>
              </w:tc>
              <w:tc>
                <w:tcPr>
                  <w:tcW w:w="1276" w:type="dxa"/>
                  <w:tcBorders>
                    <w:top w:val="nil"/>
                    <w:left w:val="nil"/>
                    <w:bottom w:val="nil"/>
                    <w:right w:val="nil"/>
                  </w:tcBorders>
                  <w:shd w:val="clear" w:color="000000" w:fill="FFFFFF"/>
                  <w:noWrap/>
                </w:tcPr>
                <w:p w14:paraId="21003568"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(0.165)</w:t>
                  </w:r>
                </w:p>
              </w:tc>
              <w:tc>
                <w:tcPr>
                  <w:tcW w:w="1173" w:type="dxa"/>
                  <w:tcBorders>
                    <w:top w:val="nil"/>
                    <w:left w:val="nil"/>
                    <w:bottom w:val="nil"/>
                    <w:right w:val="nil"/>
                  </w:tcBorders>
                  <w:shd w:val="clear" w:color="000000" w:fill="FFFFFF"/>
                  <w:noWrap/>
                </w:tcPr>
                <w:p w14:paraId="200D9067"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(0.226)</w:t>
                  </w:r>
                </w:p>
              </w:tc>
              <w:tc>
                <w:tcPr>
                  <w:tcW w:w="296" w:type="dxa"/>
                  <w:tcBorders>
                    <w:top w:val="nil"/>
                    <w:left w:val="nil"/>
                    <w:bottom w:val="nil"/>
                    <w:right w:val="nil"/>
                  </w:tcBorders>
                  <w:shd w:val="clear" w:color="000000" w:fill="FFFFFF"/>
                  <w:noWrap/>
                </w:tcPr>
                <w:p w14:paraId="43698D0B"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 </w:t>
                  </w:r>
                </w:p>
              </w:tc>
              <w:tc>
                <w:tcPr>
                  <w:tcW w:w="1416" w:type="dxa"/>
                  <w:tcBorders>
                    <w:top w:val="nil"/>
                    <w:left w:val="nil"/>
                    <w:bottom w:val="nil"/>
                    <w:right w:val="nil"/>
                  </w:tcBorders>
                  <w:shd w:val="clear" w:color="000000" w:fill="FFFFFF"/>
                  <w:noWrap/>
                </w:tcPr>
                <w:p w14:paraId="4354BFBB" w14:textId="218625B9"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(0.320)</w:t>
                  </w:r>
                </w:p>
              </w:tc>
              <w:tc>
                <w:tcPr>
                  <w:tcW w:w="1416" w:type="dxa"/>
                  <w:tcBorders>
                    <w:top w:val="nil"/>
                    <w:left w:val="nil"/>
                    <w:bottom w:val="nil"/>
                    <w:right w:val="nil"/>
                  </w:tcBorders>
                  <w:shd w:val="clear" w:color="000000" w:fill="FFFFFF"/>
                  <w:noWrap/>
                </w:tcPr>
                <w:p w14:paraId="254C2F85" w14:textId="3261E6E6"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(0.393)</w:t>
                  </w:r>
                </w:p>
              </w:tc>
            </w:tr>
            <w:tr w:rsidR="00A01C48" w:rsidRPr="004E6ACD" w14:paraId="76EB20E7" w14:textId="77777777" w:rsidTr="00F556AF">
              <w:trPr>
                <w:trHeight w:val="113"/>
              </w:trPr>
              <w:tc>
                <w:tcPr>
                  <w:tcW w:w="2585" w:type="dxa"/>
                  <w:gridSpan w:val="2"/>
                  <w:tcBorders>
                    <w:top w:val="nil"/>
                    <w:left w:val="nil"/>
                    <w:bottom w:val="nil"/>
                    <w:right w:val="nil"/>
                  </w:tcBorders>
                  <w:shd w:val="clear" w:color="000000" w:fill="FFFFFF"/>
                  <w:vAlign w:val="bottom"/>
                </w:tcPr>
                <w:p w14:paraId="670ADA6F" w14:textId="77777777" w:rsidR="003E2203" w:rsidRPr="005205BC" w:rsidRDefault="003E2203" w:rsidP="003E2203">
                  <w:pPr>
                    <w:spacing w:after="0"/>
                    <w:ind w:firstLine="0"/>
                    <w:rPr>
                      <w:color w:val="000000"/>
                      <w:sz w:val="16"/>
                      <w:szCs w:val="16"/>
                      <w:lang w:val="en-US"/>
                    </w:rPr>
                  </w:pPr>
                  <w:r w:rsidRPr="005205BC">
                    <w:rPr>
                      <w:color w:val="000000"/>
                      <w:sz w:val="16"/>
                      <w:szCs w:val="16"/>
                      <w:lang w:val="en-US"/>
                    </w:rPr>
                    <w:t xml:space="preserve">Tax Healthier 20% </w:t>
                  </w:r>
                </w:p>
              </w:tc>
              <w:tc>
                <w:tcPr>
                  <w:tcW w:w="1276" w:type="dxa"/>
                  <w:tcBorders>
                    <w:top w:val="nil"/>
                    <w:left w:val="nil"/>
                    <w:bottom w:val="nil"/>
                    <w:right w:val="nil"/>
                  </w:tcBorders>
                  <w:shd w:val="clear" w:color="000000" w:fill="FFFFFF"/>
                  <w:noWrap/>
                  <w:vAlign w:val="bottom"/>
                </w:tcPr>
                <w:p w14:paraId="266AB55C"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-0.117</w:t>
                  </w:r>
                </w:p>
              </w:tc>
              <w:tc>
                <w:tcPr>
                  <w:tcW w:w="1173" w:type="dxa"/>
                  <w:tcBorders>
                    <w:top w:val="nil"/>
                    <w:left w:val="nil"/>
                    <w:bottom w:val="nil"/>
                    <w:right w:val="nil"/>
                  </w:tcBorders>
                  <w:shd w:val="clear" w:color="000000" w:fill="FFFFFF"/>
                  <w:noWrap/>
                  <w:vAlign w:val="bottom"/>
                </w:tcPr>
                <w:p w14:paraId="66BC4683"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-0.184*</w:t>
                  </w:r>
                </w:p>
              </w:tc>
              <w:tc>
                <w:tcPr>
                  <w:tcW w:w="296" w:type="dxa"/>
                  <w:tcBorders>
                    <w:top w:val="nil"/>
                    <w:left w:val="nil"/>
                    <w:bottom w:val="nil"/>
                    <w:right w:val="nil"/>
                  </w:tcBorders>
                  <w:shd w:val="clear" w:color="000000" w:fill="FFFFFF"/>
                  <w:noWrap/>
                  <w:vAlign w:val="bottom"/>
                </w:tcPr>
                <w:p w14:paraId="5FEA035A"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2F8F85E3" w14:textId="70E3E456"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0.127</w:t>
                  </w:r>
                </w:p>
              </w:tc>
              <w:tc>
                <w:tcPr>
                  <w:tcW w:w="1416" w:type="dxa"/>
                  <w:tcBorders>
                    <w:top w:val="nil"/>
                    <w:left w:val="nil"/>
                    <w:bottom w:val="nil"/>
                    <w:right w:val="nil"/>
                  </w:tcBorders>
                  <w:shd w:val="clear" w:color="000000" w:fill="FFFFFF"/>
                  <w:noWrap/>
                  <w:vAlign w:val="bottom"/>
                </w:tcPr>
                <w:p w14:paraId="30102869" w14:textId="71BBAED3"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0.240</w:t>
                  </w:r>
                </w:p>
              </w:tc>
            </w:tr>
            <w:tr w:rsidR="00A01C48" w:rsidRPr="004E6ACD" w14:paraId="3B4401FC" w14:textId="77777777" w:rsidTr="00F556AF">
              <w:trPr>
                <w:trHeight w:val="290"/>
              </w:trPr>
              <w:tc>
                <w:tcPr>
                  <w:tcW w:w="2585" w:type="dxa"/>
                  <w:gridSpan w:val="2"/>
                  <w:tcBorders>
                    <w:top w:val="nil"/>
                    <w:left w:val="nil"/>
                    <w:bottom w:val="nil"/>
                    <w:right w:val="nil"/>
                  </w:tcBorders>
                  <w:shd w:val="clear" w:color="000000" w:fill="FFFFFF"/>
                </w:tcPr>
                <w:p w14:paraId="355A392D" w14:textId="77777777" w:rsidR="003E2203" w:rsidRPr="00BE4584" w:rsidRDefault="003E2203" w:rsidP="003E2203">
                  <w:pPr>
                    <w:spacing w:after="0"/>
                    <w:ind w:firstLine="0"/>
                    <w:rPr>
                      <w:color w:val="000000"/>
                      <w:sz w:val="14"/>
                      <w:szCs w:val="16"/>
                      <w:lang w:val="en-US"/>
                    </w:rPr>
                  </w:pPr>
                  <w:r w:rsidRPr="00BE4584">
                    <w:rPr>
                      <w:color w:val="000000"/>
                      <w:sz w:val="14"/>
                      <w:szCs w:val="16"/>
                      <w:lang w:val="en-US"/>
                    </w:rPr>
                    <w:t> </w:t>
                  </w:r>
                </w:p>
              </w:tc>
              <w:tc>
                <w:tcPr>
                  <w:tcW w:w="1276" w:type="dxa"/>
                  <w:tcBorders>
                    <w:top w:val="nil"/>
                    <w:left w:val="nil"/>
                    <w:bottom w:val="nil"/>
                    <w:right w:val="nil"/>
                  </w:tcBorders>
                  <w:shd w:val="clear" w:color="000000" w:fill="FFFFFF"/>
                  <w:noWrap/>
                </w:tcPr>
                <w:p w14:paraId="6150458B"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(0.111)</w:t>
                  </w:r>
                </w:p>
              </w:tc>
              <w:tc>
                <w:tcPr>
                  <w:tcW w:w="1173" w:type="dxa"/>
                  <w:tcBorders>
                    <w:top w:val="nil"/>
                    <w:left w:val="nil"/>
                    <w:bottom w:val="nil"/>
                    <w:right w:val="nil"/>
                  </w:tcBorders>
                  <w:shd w:val="clear" w:color="000000" w:fill="FFFFFF"/>
                  <w:noWrap/>
                </w:tcPr>
                <w:p w14:paraId="5F88C94D"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(0.112)</w:t>
                  </w:r>
                </w:p>
              </w:tc>
              <w:tc>
                <w:tcPr>
                  <w:tcW w:w="296" w:type="dxa"/>
                  <w:tcBorders>
                    <w:top w:val="nil"/>
                    <w:left w:val="nil"/>
                    <w:bottom w:val="nil"/>
                    <w:right w:val="nil"/>
                  </w:tcBorders>
                  <w:shd w:val="clear" w:color="000000" w:fill="FFFFFF"/>
                  <w:noWrap/>
                </w:tcPr>
                <w:p w14:paraId="1D9F66B7"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 </w:t>
                  </w:r>
                </w:p>
              </w:tc>
              <w:tc>
                <w:tcPr>
                  <w:tcW w:w="1416" w:type="dxa"/>
                  <w:tcBorders>
                    <w:top w:val="nil"/>
                    <w:left w:val="nil"/>
                    <w:bottom w:val="nil"/>
                    <w:right w:val="nil"/>
                  </w:tcBorders>
                  <w:shd w:val="clear" w:color="000000" w:fill="FFFFFF"/>
                  <w:noWrap/>
                </w:tcPr>
                <w:p w14:paraId="073448DC" w14:textId="482ED0F5"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(0.224)</w:t>
                  </w:r>
                </w:p>
              </w:tc>
              <w:tc>
                <w:tcPr>
                  <w:tcW w:w="1416" w:type="dxa"/>
                  <w:tcBorders>
                    <w:top w:val="nil"/>
                    <w:left w:val="nil"/>
                    <w:bottom w:val="nil"/>
                    <w:right w:val="nil"/>
                  </w:tcBorders>
                  <w:shd w:val="clear" w:color="000000" w:fill="FFFFFF"/>
                  <w:noWrap/>
                </w:tcPr>
                <w:p w14:paraId="7BDBD33F" w14:textId="47132E08"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(0.265)</w:t>
                  </w:r>
                </w:p>
              </w:tc>
            </w:tr>
            <w:tr w:rsidR="00A01C48" w:rsidRPr="004E6ACD" w14:paraId="78B14C2D" w14:textId="77777777" w:rsidTr="00F556AF">
              <w:trPr>
                <w:trHeight w:val="230"/>
              </w:trPr>
              <w:tc>
                <w:tcPr>
                  <w:tcW w:w="2585" w:type="dxa"/>
                  <w:gridSpan w:val="2"/>
                  <w:tcBorders>
                    <w:top w:val="nil"/>
                    <w:left w:val="nil"/>
                    <w:bottom w:val="nil"/>
                    <w:right w:val="nil"/>
                  </w:tcBorders>
                  <w:shd w:val="clear" w:color="000000" w:fill="FFFFFF"/>
                  <w:vAlign w:val="bottom"/>
                </w:tcPr>
                <w:p w14:paraId="3B0D022E" w14:textId="77777777" w:rsidR="003E2203" w:rsidRPr="005205BC" w:rsidRDefault="003E2203" w:rsidP="003E2203">
                  <w:pPr>
                    <w:spacing w:after="0"/>
                    <w:ind w:firstLine="0"/>
                    <w:rPr>
                      <w:color w:val="000000"/>
                      <w:sz w:val="16"/>
                      <w:szCs w:val="16"/>
                      <w:lang w:val="en-US"/>
                    </w:rPr>
                  </w:pPr>
                  <w:r w:rsidRPr="005205BC">
                    <w:rPr>
                      <w:color w:val="000000"/>
                      <w:sz w:val="16"/>
                      <w:szCs w:val="16"/>
                      <w:lang w:val="en-US"/>
                    </w:rPr>
                    <w:t>Interaction with signposted</w:t>
                  </w:r>
                </w:p>
              </w:tc>
              <w:tc>
                <w:tcPr>
                  <w:tcW w:w="1276" w:type="dxa"/>
                  <w:tcBorders>
                    <w:top w:val="nil"/>
                    <w:left w:val="nil"/>
                    <w:bottom w:val="nil"/>
                    <w:right w:val="nil"/>
                  </w:tcBorders>
                  <w:shd w:val="clear" w:color="000000" w:fill="FFFFFF"/>
                  <w:noWrap/>
                  <w:vAlign w:val="bottom"/>
                </w:tcPr>
                <w:p w14:paraId="7D196C2F"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0.368</w:t>
                  </w:r>
                </w:p>
              </w:tc>
              <w:tc>
                <w:tcPr>
                  <w:tcW w:w="1173" w:type="dxa"/>
                  <w:tcBorders>
                    <w:top w:val="nil"/>
                    <w:left w:val="nil"/>
                    <w:bottom w:val="nil"/>
                    <w:right w:val="nil"/>
                  </w:tcBorders>
                  <w:shd w:val="clear" w:color="000000" w:fill="FFFFFF"/>
                  <w:noWrap/>
                  <w:vAlign w:val="bottom"/>
                </w:tcPr>
                <w:p w14:paraId="5358403B"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0.601*</w:t>
                  </w:r>
                </w:p>
              </w:tc>
              <w:tc>
                <w:tcPr>
                  <w:tcW w:w="296" w:type="dxa"/>
                  <w:tcBorders>
                    <w:top w:val="nil"/>
                    <w:left w:val="nil"/>
                    <w:bottom w:val="nil"/>
                    <w:right w:val="nil"/>
                  </w:tcBorders>
                  <w:shd w:val="clear" w:color="000000" w:fill="FFFFFF"/>
                  <w:noWrap/>
                  <w:vAlign w:val="bottom"/>
                </w:tcPr>
                <w:p w14:paraId="7BA50CB1"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05E4ECC6" w14:textId="45D9B961"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0.245</w:t>
                  </w:r>
                </w:p>
              </w:tc>
              <w:tc>
                <w:tcPr>
                  <w:tcW w:w="1416" w:type="dxa"/>
                  <w:tcBorders>
                    <w:top w:val="nil"/>
                    <w:left w:val="nil"/>
                    <w:bottom w:val="nil"/>
                    <w:right w:val="nil"/>
                  </w:tcBorders>
                  <w:shd w:val="clear" w:color="000000" w:fill="FFFFFF"/>
                  <w:noWrap/>
                  <w:vAlign w:val="bottom"/>
                </w:tcPr>
                <w:p w14:paraId="3A5C0ED1" w14:textId="4CA99B39"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0.113</w:t>
                  </w:r>
                </w:p>
              </w:tc>
            </w:tr>
            <w:tr w:rsidR="00A01C48" w:rsidRPr="004E6ACD" w14:paraId="43B4F571" w14:textId="77777777" w:rsidTr="00F556AF">
              <w:trPr>
                <w:trHeight w:val="290"/>
              </w:trPr>
              <w:tc>
                <w:tcPr>
                  <w:tcW w:w="2585" w:type="dxa"/>
                  <w:gridSpan w:val="2"/>
                  <w:tcBorders>
                    <w:top w:val="nil"/>
                    <w:left w:val="nil"/>
                    <w:bottom w:val="nil"/>
                    <w:right w:val="nil"/>
                  </w:tcBorders>
                  <w:shd w:val="clear" w:color="000000" w:fill="FFFFFF"/>
                </w:tcPr>
                <w:p w14:paraId="44C45BE6" w14:textId="77777777" w:rsidR="003E2203" w:rsidRPr="00BE4584" w:rsidRDefault="003E2203" w:rsidP="003E2203">
                  <w:pPr>
                    <w:spacing w:after="0"/>
                    <w:ind w:firstLine="0"/>
                    <w:rPr>
                      <w:color w:val="000000"/>
                      <w:sz w:val="14"/>
                      <w:szCs w:val="16"/>
                      <w:lang w:val="en-US"/>
                    </w:rPr>
                  </w:pPr>
                  <w:r w:rsidRPr="00BE4584">
                    <w:rPr>
                      <w:color w:val="000000"/>
                      <w:sz w:val="14"/>
                      <w:szCs w:val="16"/>
                      <w:lang w:val="en-US"/>
                    </w:rPr>
                    <w:t> </w:t>
                  </w:r>
                </w:p>
              </w:tc>
              <w:tc>
                <w:tcPr>
                  <w:tcW w:w="1276" w:type="dxa"/>
                  <w:tcBorders>
                    <w:top w:val="nil"/>
                    <w:left w:val="nil"/>
                    <w:bottom w:val="nil"/>
                    <w:right w:val="nil"/>
                  </w:tcBorders>
                  <w:shd w:val="clear" w:color="000000" w:fill="FFFFFF"/>
                  <w:noWrap/>
                </w:tcPr>
                <w:p w14:paraId="3C0662A4"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(0.258)</w:t>
                  </w:r>
                </w:p>
              </w:tc>
              <w:tc>
                <w:tcPr>
                  <w:tcW w:w="1173" w:type="dxa"/>
                  <w:tcBorders>
                    <w:top w:val="nil"/>
                    <w:left w:val="nil"/>
                    <w:bottom w:val="nil"/>
                    <w:right w:val="nil"/>
                  </w:tcBorders>
                  <w:shd w:val="clear" w:color="000000" w:fill="FFFFFF"/>
                  <w:noWrap/>
                </w:tcPr>
                <w:p w14:paraId="5C03107B"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(0.334)</w:t>
                  </w:r>
                </w:p>
              </w:tc>
              <w:tc>
                <w:tcPr>
                  <w:tcW w:w="296" w:type="dxa"/>
                  <w:tcBorders>
                    <w:top w:val="nil"/>
                    <w:left w:val="nil"/>
                    <w:bottom w:val="nil"/>
                    <w:right w:val="nil"/>
                  </w:tcBorders>
                  <w:shd w:val="clear" w:color="000000" w:fill="FFFFFF"/>
                  <w:noWrap/>
                </w:tcPr>
                <w:p w14:paraId="7C9C35E4"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 </w:t>
                  </w:r>
                </w:p>
              </w:tc>
              <w:tc>
                <w:tcPr>
                  <w:tcW w:w="1416" w:type="dxa"/>
                  <w:tcBorders>
                    <w:top w:val="nil"/>
                    <w:left w:val="nil"/>
                    <w:bottom w:val="nil"/>
                    <w:right w:val="nil"/>
                  </w:tcBorders>
                  <w:shd w:val="clear" w:color="000000" w:fill="FFFFFF"/>
                  <w:noWrap/>
                </w:tcPr>
                <w:p w14:paraId="0FCC6BA9" w14:textId="21B4C382"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(0.347)</w:t>
                  </w:r>
                </w:p>
              </w:tc>
              <w:tc>
                <w:tcPr>
                  <w:tcW w:w="1416" w:type="dxa"/>
                  <w:tcBorders>
                    <w:top w:val="nil"/>
                    <w:left w:val="nil"/>
                    <w:bottom w:val="nil"/>
                    <w:right w:val="nil"/>
                  </w:tcBorders>
                  <w:shd w:val="clear" w:color="000000" w:fill="FFFFFF"/>
                  <w:noWrap/>
                </w:tcPr>
                <w:p w14:paraId="304AE160" w14:textId="2EBD17FC"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(0.335)</w:t>
                  </w:r>
                </w:p>
              </w:tc>
            </w:tr>
            <w:tr w:rsidR="00A01C48" w:rsidRPr="004E6ACD" w14:paraId="382CB1BF" w14:textId="77777777" w:rsidTr="00F556AF">
              <w:trPr>
                <w:trHeight w:val="225"/>
              </w:trPr>
              <w:tc>
                <w:tcPr>
                  <w:tcW w:w="2585" w:type="dxa"/>
                  <w:gridSpan w:val="2"/>
                  <w:tcBorders>
                    <w:top w:val="nil"/>
                    <w:left w:val="nil"/>
                    <w:bottom w:val="nil"/>
                    <w:right w:val="nil"/>
                  </w:tcBorders>
                  <w:shd w:val="clear" w:color="000000" w:fill="FFFFFF"/>
                  <w:vAlign w:val="bottom"/>
                </w:tcPr>
                <w:p w14:paraId="1038DA87" w14:textId="77777777" w:rsidR="003E2203" w:rsidRPr="005205BC" w:rsidRDefault="003E2203" w:rsidP="003E2203">
                  <w:pPr>
                    <w:spacing w:after="0"/>
                    <w:ind w:firstLine="0"/>
                    <w:rPr>
                      <w:color w:val="000000"/>
                      <w:sz w:val="16"/>
                      <w:szCs w:val="16"/>
                      <w:lang w:val="en-US"/>
                    </w:rPr>
                  </w:pPr>
                  <w:r w:rsidRPr="005205BC">
                    <w:rPr>
                      <w:color w:val="000000"/>
                      <w:sz w:val="16"/>
                      <w:szCs w:val="16"/>
                      <w:lang w:val="en-US"/>
                    </w:rPr>
                    <w:t xml:space="preserve">Tax Healthier 40% </w:t>
                  </w:r>
                </w:p>
              </w:tc>
              <w:tc>
                <w:tcPr>
                  <w:tcW w:w="1276" w:type="dxa"/>
                  <w:tcBorders>
                    <w:top w:val="nil"/>
                    <w:left w:val="nil"/>
                    <w:bottom w:val="nil"/>
                    <w:right w:val="nil"/>
                  </w:tcBorders>
                  <w:shd w:val="clear" w:color="000000" w:fill="FFFFFF"/>
                  <w:noWrap/>
                  <w:vAlign w:val="bottom"/>
                </w:tcPr>
                <w:p w14:paraId="702424C9"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-0.0195</w:t>
                  </w:r>
                </w:p>
              </w:tc>
              <w:tc>
                <w:tcPr>
                  <w:tcW w:w="1173" w:type="dxa"/>
                  <w:tcBorders>
                    <w:top w:val="nil"/>
                    <w:left w:val="nil"/>
                    <w:bottom w:val="nil"/>
                    <w:right w:val="nil"/>
                  </w:tcBorders>
                  <w:shd w:val="clear" w:color="000000" w:fill="FFFFFF"/>
                  <w:noWrap/>
                  <w:vAlign w:val="bottom"/>
                </w:tcPr>
                <w:p w14:paraId="35A4389E"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-0.0514</w:t>
                  </w:r>
                </w:p>
              </w:tc>
              <w:tc>
                <w:tcPr>
                  <w:tcW w:w="296" w:type="dxa"/>
                  <w:tcBorders>
                    <w:top w:val="nil"/>
                    <w:left w:val="nil"/>
                    <w:bottom w:val="nil"/>
                    <w:right w:val="nil"/>
                  </w:tcBorders>
                  <w:shd w:val="clear" w:color="000000" w:fill="FFFFFF"/>
                  <w:noWrap/>
                  <w:vAlign w:val="bottom"/>
                </w:tcPr>
                <w:p w14:paraId="781CDA24"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05E981A1" w14:textId="274DFC82"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0.061</w:t>
                  </w:r>
                </w:p>
              </w:tc>
              <w:tc>
                <w:tcPr>
                  <w:tcW w:w="1416" w:type="dxa"/>
                  <w:tcBorders>
                    <w:top w:val="nil"/>
                    <w:left w:val="nil"/>
                    <w:bottom w:val="nil"/>
                    <w:right w:val="nil"/>
                  </w:tcBorders>
                  <w:shd w:val="clear" w:color="000000" w:fill="FFFFFF"/>
                  <w:noWrap/>
                  <w:vAlign w:val="bottom"/>
                </w:tcPr>
                <w:p w14:paraId="6A1EBC5A" w14:textId="75DCD885"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0.0476</w:t>
                  </w:r>
                </w:p>
              </w:tc>
            </w:tr>
            <w:tr w:rsidR="00A01C48" w:rsidRPr="004E6ACD" w14:paraId="76AFE908" w14:textId="77777777" w:rsidTr="00F556AF">
              <w:trPr>
                <w:trHeight w:val="290"/>
              </w:trPr>
              <w:tc>
                <w:tcPr>
                  <w:tcW w:w="2585" w:type="dxa"/>
                  <w:gridSpan w:val="2"/>
                  <w:tcBorders>
                    <w:top w:val="nil"/>
                    <w:left w:val="nil"/>
                    <w:bottom w:val="nil"/>
                    <w:right w:val="nil"/>
                  </w:tcBorders>
                  <w:shd w:val="clear" w:color="000000" w:fill="FFFFFF"/>
                </w:tcPr>
                <w:p w14:paraId="25ABB931" w14:textId="77777777" w:rsidR="003E2203" w:rsidRPr="00BE4584" w:rsidRDefault="003E2203" w:rsidP="003E2203">
                  <w:pPr>
                    <w:spacing w:after="0"/>
                    <w:ind w:firstLine="0"/>
                    <w:rPr>
                      <w:color w:val="000000"/>
                      <w:sz w:val="14"/>
                      <w:szCs w:val="16"/>
                      <w:lang w:val="en-US"/>
                    </w:rPr>
                  </w:pPr>
                  <w:r w:rsidRPr="00BE4584">
                    <w:rPr>
                      <w:color w:val="000000"/>
                      <w:sz w:val="14"/>
                      <w:szCs w:val="16"/>
                      <w:lang w:val="en-US"/>
                    </w:rPr>
                    <w:t> </w:t>
                  </w:r>
                </w:p>
              </w:tc>
              <w:tc>
                <w:tcPr>
                  <w:tcW w:w="1276" w:type="dxa"/>
                  <w:tcBorders>
                    <w:top w:val="nil"/>
                    <w:left w:val="nil"/>
                    <w:bottom w:val="nil"/>
                    <w:right w:val="nil"/>
                  </w:tcBorders>
                  <w:shd w:val="clear" w:color="000000" w:fill="FFFFFF"/>
                  <w:noWrap/>
                </w:tcPr>
                <w:p w14:paraId="47EC473F"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(0.148)</w:t>
                  </w:r>
                </w:p>
              </w:tc>
              <w:tc>
                <w:tcPr>
                  <w:tcW w:w="1173" w:type="dxa"/>
                  <w:tcBorders>
                    <w:top w:val="nil"/>
                    <w:left w:val="nil"/>
                    <w:bottom w:val="nil"/>
                    <w:right w:val="nil"/>
                  </w:tcBorders>
                  <w:shd w:val="clear" w:color="000000" w:fill="FFFFFF"/>
                  <w:noWrap/>
                </w:tcPr>
                <w:p w14:paraId="4E760970"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(0.147)</w:t>
                  </w:r>
                </w:p>
              </w:tc>
              <w:tc>
                <w:tcPr>
                  <w:tcW w:w="296" w:type="dxa"/>
                  <w:tcBorders>
                    <w:top w:val="nil"/>
                    <w:left w:val="nil"/>
                    <w:bottom w:val="nil"/>
                    <w:right w:val="nil"/>
                  </w:tcBorders>
                  <w:shd w:val="clear" w:color="000000" w:fill="FFFFFF"/>
                  <w:noWrap/>
                </w:tcPr>
                <w:p w14:paraId="2154E774"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 </w:t>
                  </w:r>
                </w:p>
              </w:tc>
              <w:tc>
                <w:tcPr>
                  <w:tcW w:w="1416" w:type="dxa"/>
                  <w:tcBorders>
                    <w:top w:val="nil"/>
                    <w:left w:val="nil"/>
                    <w:bottom w:val="nil"/>
                    <w:right w:val="nil"/>
                  </w:tcBorders>
                  <w:shd w:val="clear" w:color="000000" w:fill="FFFFFF"/>
                  <w:noWrap/>
                </w:tcPr>
                <w:p w14:paraId="514017D8" w14:textId="346B6998"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(0.21)</w:t>
                  </w:r>
                </w:p>
              </w:tc>
              <w:tc>
                <w:tcPr>
                  <w:tcW w:w="1416" w:type="dxa"/>
                  <w:tcBorders>
                    <w:top w:val="nil"/>
                    <w:left w:val="nil"/>
                    <w:bottom w:val="nil"/>
                    <w:right w:val="nil"/>
                  </w:tcBorders>
                  <w:shd w:val="clear" w:color="000000" w:fill="FFFFFF"/>
                  <w:noWrap/>
                </w:tcPr>
                <w:p w14:paraId="22DF96FB" w14:textId="17BEA8B0"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(0.223)</w:t>
                  </w:r>
                </w:p>
              </w:tc>
            </w:tr>
            <w:tr w:rsidR="00A01C48" w:rsidRPr="004E6ACD" w14:paraId="0995336C" w14:textId="77777777" w:rsidTr="00F556AF">
              <w:trPr>
                <w:trHeight w:val="221"/>
              </w:trPr>
              <w:tc>
                <w:tcPr>
                  <w:tcW w:w="2585" w:type="dxa"/>
                  <w:gridSpan w:val="2"/>
                  <w:tcBorders>
                    <w:top w:val="nil"/>
                    <w:left w:val="nil"/>
                    <w:bottom w:val="nil"/>
                    <w:right w:val="nil"/>
                  </w:tcBorders>
                  <w:shd w:val="clear" w:color="000000" w:fill="FFFFFF"/>
                  <w:vAlign w:val="bottom"/>
                </w:tcPr>
                <w:p w14:paraId="558BCD8B" w14:textId="77777777" w:rsidR="003E2203" w:rsidRPr="005205BC" w:rsidRDefault="003E2203" w:rsidP="003E2203">
                  <w:pPr>
                    <w:spacing w:after="0"/>
                    <w:ind w:firstLine="0"/>
                    <w:rPr>
                      <w:color w:val="000000"/>
                      <w:sz w:val="16"/>
                      <w:szCs w:val="16"/>
                      <w:lang w:val="en-US"/>
                    </w:rPr>
                  </w:pPr>
                  <w:r w:rsidRPr="005205BC">
                    <w:rPr>
                      <w:color w:val="000000"/>
                      <w:sz w:val="16"/>
                      <w:szCs w:val="16"/>
                      <w:lang w:val="en-US"/>
                    </w:rPr>
                    <w:t>Interaction with signposted</w:t>
                  </w:r>
                </w:p>
              </w:tc>
              <w:tc>
                <w:tcPr>
                  <w:tcW w:w="1276" w:type="dxa"/>
                  <w:tcBorders>
                    <w:top w:val="nil"/>
                    <w:left w:val="nil"/>
                    <w:bottom w:val="nil"/>
                    <w:right w:val="nil"/>
                  </w:tcBorders>
                  <w:shd w:val="clear" w:color="000000" w:fill="FFFFFF"/>
                  <w:noWrap/>
                  <w:vAlign w:val="bottom"/>
                </w:tcPr>
                <w:p w14:paraId="6F592E3A"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0.412</w:t>
                  </w:r>
                </w:p>
              </w:tc>
              <w:tc>
                <w:tcPr>
                  <w:tcW w:w="1173" w:type="dxa"/>
                  <w:tcBorders>
                    <w:top w:val="nil"/>
                    <w:left w:val="nil"/>
                    <w:bottom w:val="nil"/>
                    <w:right w:val="nil"/>
                  </w:tcBorders>
                  <w:shd w:val="clear" w:color="000000" w:fill="FFFFFF"/>
                  <w:noWrap/>
                  <w:vAlign w:val="bottom"/>
                </w:tcPr>
                <w:p w14:paraId="4B4F5404"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0.609*</w:t>
                  </w:r>
                </w:p>
              </w:tc>
              <w:tc>
                <w:tcPr>
                  <w:tcW w:w="296" w:type="dxa"/>
                  <w:tcBorders>
                    <w:top w:val="nil"/>
                    <w:left w:val="nil"/>
                    <w:bottom w:val="nil"/>
                    <w:right w:val="nil"/>
                  </w:tcBorders>
                  <w:shd w:val="clear" w:color="000000" w:fill="FFFFFF"/>
                  <w:noWrap/>
                  <w:vAlign w:val="bottom"/>
                </w:tcPr>
                <w:p w14:paraId="3D56FB7D"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4CFAC2AD" w14:textId="085A31D2"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0.665</w:t>
                  </w:r>
                </w:p>
              </w:tc>
              <w:tc>
                <w:tcPr>
                  <w:tcW w:w="1416" w:type="dxa"/>
                  <w:tcBorders>
                    <w:top w:val="nil"/>
                    <w:left w:val="nil"/>
                    <w:bottom w:val="nil"/>
                    <w:right w:val="nil"/>
                  </w:tcBorders>
                  <w:shd w:val="clear" w:color="000000" w:fill="FFFFFF"/>
                  <w:noWrap/>
                  <w:vAlign w:val="bottom"/>
                </w:tcPr>
                <w:p w14:paraId="4B0B3FA3" w14:textId="0735FC84"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0.497</w:t>
                  </w:r>
                </w:p>
              </w:tc>
            </w:tr>
            <w:tr w:rsidR="00A01C48" w:rsidRPr="004E6ACD" w14:paraId="08611C0A" w14:textId="77777777" w:rsidTr="00F556AF">
              <w:trPr>
                <w:trHeight w:val="290"/>
              </w:trPr>
              <w:tc>
                <w:tcPr>
                  <w:tcW w:w="2585" w:type="dxa"/>
                  <w:gridSpan w:val="2"/>
                  <w:tcBorders>
                    <w:top w:val="nil"/>
                    <w:left w:val="nil"/>
                    <w:bottom w:val="nil"/>
                    <w:right w:val="nil"/>
                  </w:tcBorders>
                  <w:shd w:val="clear" w:color="000000" w:fill="FFFFFF"/>
                </w:tcPr>
                <w:p w14:paraId="3BE27C98" w14:textId="77777777" w:rsidR="003E2203" w:rsidRPr="00BE4584" w:rsidRDefault="003E2203" w:rsidP="003E2203">
                  <w:pPr>
                    <w:spacing w:after="0"/>
                    <w:ind w:firstLine="0"/>
                    <w:rPr>
                      <w:color w:val="000000"/>
                      <w:sz w:val="14"/>
                      <w:szCs w:val="16"/>
                      <w:lang w:val="en-US"/>
                    </w:rPr>
                  </w:pPr>
                  <w:r w:rsidRPr="00BE4584">
                    <w:rPr>
                      <w:color w:val="000000"/>
                      <w:sz w:val="14"/>
                      <w:szCs w:val="16"/>
                      <w:lang w:val="en-US"/>
                    </w:rPr>
                    <w:t> </w:t>
                  </w:r>
                </w:p>
              </w:tc>
              <w:tc>
                <w:tcPr>
                  <w:tcW w:w="1276" w:type="dxa"/>
                  <w:tcBorders>
                    <w:top w:val="nil"/>
                    <w:left w:val="nil"/>
                    <w:bottom w:val="nil"/>
                    <w:right w:val="nil"/>
                  </w:tcBorders>
                  <w:shd w:val="clear" w:color="000000" w:fill="FFFFFF"/>
                  <w:noWrap/>
                </w:tcPr>
                <w:p w14:paraId="7AD29C32"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(0.301)</w:t>
                  </w:r>
                </w:p>
              </w:tc>
              <w:tc>
                <w:tcPr>
                  <w:tcW w:w="1173" w:type="dxa"/>
                  <w:tcBorders>
                    <w:top w:val="nil"/>
                    <w:left w:val="nil"/>
                    <w:bottom w:val="nil"/>
                    <w:right w:val="nil"/>
                  </w:tcBorders>
                  <w:shd w:val="clear" w:color="000000" w:fill="FFFFFF"/>
                  <w:noWrap/>
                </w:tcPr>
                <w:p w14:paraId="7CBF2737"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(0.362)</w:t>
                  </w:r>
                </w:p>
              </w:tc>
              <w:tc>
                <w:tcPr>
                  <w:tcW w:w="296" w:type="dxa"/>
                  <w:tcBorders>
                    <w:top w:val="nil"/>
                    <w:left w:val="nil"/>
                    <w:bottom w:val="nil"/>
                    <w:right w:val="nil"/>
                  </w:tcBorders>
                  <w:shd w:val="clear" w:color="000000" w:fill="FFFFFF"/>
                  <w:noWrap/>
                </w:tcPr>
                <w:p w14:paraId="4C506F54"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 </w:t>
                  </w:r>
                </w:p>
              </w:tc>
              <w:tc>
                <w:tcPr>
                  <w:tcW w:w="1416" w:type="dxa"/>
                  <w:tcBorders>
                    <w:top w:val="nil"/>
                    <w:left w:val="nil"/>
                    <w:bottom w:val="nil"/>
                    <w:right w:val="nil"/>
                  </w:tcBorders>
                  <w:shd w:val="clear" w:color="000000" w:fill="FFFFFF"/>
                  <w:noWrap/>
                </w:tcPr>
                <w:p w14:paraId="44CBB737" w14:textId="3D250269"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(0.453)</w:t>
                  </w:r>
                </w:p>
              </w:tc>
              <w:tc>
                <w:tcPr>
                  <w:tcW w:w="1416" w:type="dxa"/>
                  <w:tcBorders>
                    <w:top w:val="nil"/>
                    <w:left w:val="nil"/>
                    <w:bottom w:val="nil"/>
                    <w:right w:val="nil"/>
                  </w:tcBorders>
                  <w:shd w:val="clear" w:color="000000" w:fill="FFFFFF"/>
                  <w:noWrap/>
                </w:tcPr>
                <w:p w14:paraId="5640A0AE" w14:textId="4FDA414C"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(0.457)</w:t>
                  </w:r>
                </w:p>
              </w:tc>
            </w:tr>
            <w:tr w:rsidR="00A01C48" w:rsidRPr="004E6ACD" w14:paraId="3CAC5B18" w14:textId="77777777" w:rsidTr="00F556AF">
              <w:trPr>
                <w:trHeight w:val="201"/>
              </w:trPr>
              <w:tc>
                <w:tcPr>
                  <w:tcW w:w="2585" w:type="dxa"/>
                  <w:gridSpan w:val="2"/>
                  <w:tcBorders>
                    <w:top w:val="nil"/>
                    <w:left w:val="nil"/>
                    <w:bottom w:val="nil"/>
                    <w:right w:val="nil"/>
                  </w:tcBorders>
                  <w:shd w:val="clear" w:color="000000" w:fill="FFFFFF"/>
                  <w:vAlign w:val="bottom"/>
                  <w:hideMark/>
                </w:tcPr>
                <w:p w14:paraId="107D6388" w14:textId="77777777" w:rsidR="003E2203" w:rsidRPr="005205BC" w:rsidRDefault="003E2203" w:rsidP="003E2203">
                  <w:pPr>
                    <w:spacing w:after="0"/>
                    <w:ind w:firstLine="0"/>
                    <w:rPr>
                      <w:color w:val="000000"/>
                      <w:sz w:val="16"/>
                      <w:szCs w:val="16"/>
                      <w:lang w:val="en-US"/>
                    </w:rPr>
                  </w:pPr>
                  <w:r w:rsidRPr="005205BC">
                    <w:rPr>
                      <w:color w:val="000000"/>
                      <w:sz w:val="16"/>
                      <w:szCs w:val="16"/>
                      <w:lang w:val="en-US"/>
                    </w:rPr>
                    <w:t>Signposted</w:t>
                  </w:r>
                </w:p>
              </w:tc>
              <w:tc>
                <w:tcPr>
                  <w:tcW w:w="1276" w:type="dxa"/>
                  <w:tcBorders>
                    <w:top w:val="nil"/>
                    <w:left w:val="nil"/>
                    <w:bottom w:val="nil"/>
                    <w:right w:val="nil"/>
                  </w:tcBorders>
                  <w:shd w:val="clear" w:color="000000" w:fill="FFFFFF"/>
                  <w:noWrap/>
                  <w:vAlign w:val="bottom"/>
                  <w:hideMark/>
                </w:tcPr>
                <w:p w14:paraId="35601F37"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-0.423***</w:t>
                  </w:r>
                </w:p>
              </w:tc>
              <w:tc>
                <w:tcPr>
                  <w:tcW w:w="1173" w:type="dxa"/>
                  <w:tcBorders>
                    <w:top w:val="nil"/>
                    <w:left w:val="nil"/>
                    <w:bottom w:val="nil"/>
                    <w:right w:val="nil"/>
                  </w:tcBorders>
                  <w:shd w:val="clear" w:color="000000" w:fill="FFFFFF"/>
                  <w:noWrap/>
                  <w:vAlign w:val="bottom"/>
                  <w:hideMark/>
                </w:tcPr>
                <w:p w14:paraId="439A4D68"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-0.444***</w:t>
                  </w:r>
                </w:p>
              </w:tc>
              <w:tc>
                <w:tcPr>
                  <w:tcW w:w="296" w:type="dxa"/>
                  <w:tcBorders>
                    <w:top w:val="nil"/>
                    <w:left w:val="nil"/>
                    <w:bottom w:val="nil"/>
                    <w:right w:val="nil"/>
                  </w:tcBorders>
                  <w:shd w:val="clear" w:color="000000" w:fill="FFFFFF"/>
                  <w:noWrap/>
                  <w:vAlign w:val="bottom"/>
                  <w:hideMark/>
                </w:tcPr>
                <w:p w14:paraId="1198731D"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2084DB55" w14:textId="0307E192"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-0.207</w:t>
                  </w:r>
                </w:p>
              </w:tc>
              <w:tc>
                <w:tcPr>
                  <w:tcW w:w="1416" w:type="dxa"/>
                  <w:tcBorders>
                    <w:top w:val="nil"/>
                    <w:left w:val="nil"/>
                    <w:bottom w:val="nil"/>
                    <w:right w:val="nil"/>
                  </w:tcBorders>
                  <w:shd w:val="clear" w:color="000000" w:fill="FFFFFF"/>
                  <w:noWrap/>
                  <w:vAlign w:val="bottom"/>
                </w:tcPr>
                <w:p w14:paraId="23DEFD69" w14:textId="60655329"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-0.196</w:t>
                  </w:r>
                </w:p>
              </w:tc>
            </w:tr>
            <w:tr w:rsidR="00A01C48" w:rsidRPr="004E6ACD" w14:paraId="76F1CDE8" w14:textId="77777777" w:rsidTr="00F556AF">
              <w:trPr>
                <w:trHeight w:val="80"/>
              </w:trPr>
              <w:tc>
                <w:tcPr>
                  <w:tcW w:w="2585" w:type="dxa"/>
                  <w:gridSpan w:val="2"/>
                  <w:tcBorders>
                    <w:top w:val="nil"/>
                    <w:left w:val="nil"/>
                    <w:bottom w:val="nil"/>
                    <w:right w:val="nil"/>
                  </w:tcBorders>
                  <w:shd w:val="clear" w:color="000000" w:fill="FFFFFF"/>
                  <w:hideMark/>
                </w:tcPr>
                <w:p w14:paraId="3B2F792B" w14:textId="77777777" w:rsidR="003E2203" w:rsidRPr="00BE4584" w:rsidRDefault="003E2203" w:rsidP="003E2203">
                  <w:pPr>
                    <w:spacing w:after="0"/>
                    <w:ind w:firstLine="0"/>
                    <w:rPr>
                      <w:color w:val="000000"/>
                      <w:sz w:val="14"/>
                      <w:szCs w:val="16"/>
                      <w:lang w:val="en-US"/>
                    </w:rPr>
                  </w:pPr>
                  <w:r w:rsidRPr="00BE4584">
                    <w:rPr>
                      <w:color w:val="000000"/>
                      <w:sz w:val="14"/>
                      <w:szCs w:val="16"/>
                      <w:lang w:val="en-US"/>
                    </w:rPr>
                    <w:t> </w:t>
                  </w:r>
                </w:p>
              </w:tc>
              <w:tc>
                <w:tcPr>
                  <w:tcW w:w="1276" w:type="dxa"/>
                  <w:tcBorders>
                    <w:top w:val="nil"/>
                    <w:left w:val="nil"/>
                    <w:bottom w:val="nil"/>
                    <w:right w:val="nil"/>
                  </w:tcBorders>
                  <w:shd w:val="clear" w:color="000000" w:fill="FFFFFF"/>
                  <w:noWrap/>
                  <w:hideMark/>
                </w:tcPr>
                <w:p w14:paraId="27482B1B"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(0.127)</w:t>
                  </w:r>
                </w:p>
              </w:tc>
              <w:tc>
                <w:tcPr>
                  <w:tcW w:w="1173" w:type="dxa"/>
                  <w:tcBorders>
                    <w:top w:val="nil"/>
                    <w:left w:val="nil"/>
                    <w:bottom w:val="nil"/>
                    <w:right w:val="nil"/>
                  </w:tcBorders>
                  <w:shd w:val="clear" w:color="000000" w:fill="FFFFFF"/>
                  <w:noWrap/>
                  <w:hideMark/>
                </w:tcPr>
                <w:p w14:paraId="16AA8566"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(0.126)</w:t>
                  </w:r>
                </w:p>
              </w:tc>
              <w:tc>
                <w:tcPr>
                  <w:tcW w:w="296" w:type="dxa"/>
                  <w:tcBorders>
                    <w:top w:val="nil"/>
                    <w:left w:val="nil"/>
                    <w:bottom w:val="nil"/>
                    <w:right w:val="nil"/>
                  </w:tcBorders>
                  <w:shd w:val="clear" w:color="000000" w:fill="FFFFFF"/>
                  <w:noWrap/>
                  <w:hideMark/>
                </w:tcPr>
                <w:p w14:paraId="26CC64AF"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 </w:t>
                  </w:r>
                </w:p>
              </w:tc>
              <w:tc>
                <w:tcPr>
                  <w:tcW w:w="1416" w:type="dxa"/>
                  <w:tcBorders>
                    <w:top w:val="nil"/>
                    <w:left w:val="nil"/>
                    <w:bottom w:val="nil"/>
                    <w:right w:val="nil"/>
                  </w:tcBorders>
                  <w:shd w:val="clear" w:color="000000" w:fill="FFFFFF"/>
                  <w:noWrap/>
                </w:tcPr>
                <w:p w14:paraId="0A3F641F" w14:textId="2A3443C9"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(0.220)</w:t>
                  </w:r>
                </w:p>
              </w:tc>
              <w:tc>
                <w:tcPr>
                  <w:tcW w:w="1416" w:type="dxa"/>
                  <w:tcBorders>
                    <w:top w:val="nil"/>
                    <w:left w:val="nil"/>
                    <w:bottom w:val="nil"/>
                    <w:right w:val="nil"/>
                  </w:tcBorders>
                  <w:shd w:val="clear" w:color="000000" w:fill="FFFFFF"/>
                  <w:noWrap/>
                </w:tcPr>
                <w:p w14:paraId="3CF0A4DF" w14:textId="3219321D"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(0.243)</w:t>
                  </w:r>
                </w:p>
              </w:tc>
            </w:tr>
            <w:tr w:rsidR="00A01C48" w:rsidRPr="004E6ACD" w14:paraId="4C5A3EEC" w14:textId="77777777" w:rsidTr="00F556AF">
              <w:trPr>
                <w:trHeight w:val="261"/>
              </w:trPr>
              <w:tc>
                <w:tcPr>
                  <w:tcW w:w="2585" w:type="dxa"/>
                  <w:gridSpan w:val="2"/>
                  <w:tcBorders>
                    <w:top w:val="nil"/>
                    <w:left w:val="nil"/>
                    <w:bottom w:val="nil"/>
                    <w:right w:val="nil"/>
                  </w:tcBorders>
                  <w:shd w:val="clear" w:color="000000" w:fill="FFFFFF"/>
                  <w:vAlign w:val="bottom"/>
                  <w:hideMark/>
                </w:tcPr>
                <w:p w14:paraId="357547C0" w14:textId="77777777" w:rsidR="003E2203" w:rsidRPr="005205BC" w:rsidRDefault="003E2203" w:rsidP="00BE4584">
                  <w:pPr>
                    <w:spacing w:after="0"/>
                    <w:ind w:firstLine="0"/>
                    <w:jc w:val="left"/>
                    <w:rPr>
                      <w:color w:val="000000"/>
                      <w:sz w:val="16"/>
                      <w:szCs w:val="16"/>
                      <w:lang w:val="en-US"/>
                    </w:rPr>
                  </w:pPr>
                  <w:r w:rsidRPr="005205BC">
                    <w:rPr>
                      <w:color w:val="000000"/>
                      <w:sz w:val="16"/>
                      <w:szCs w:val="16"/>
                      <w:lang w:val="en-US"/>
                    </w:rPr>
                    <w:t>Gender (male=1)</w:t>
                  </w:r>
                </w:p>
              </w:tc>
              <w:tc>
                <w:tcPr>
                  <w:tcW w:w="1276" w:type="dxa"/>
                  <w:tcBorders>
                    <w:top w:val="nil"/>
                    <w:left w:val="nil"/>
                    <w:bottom w:val="nil"/>
                    <w:right w:val="nil"/>
                  </w:tcBorders>
                  <w:shd w:val="clear" w:color="000000" w:fill="FFFFFF"/>
                  <w:noWrap/>
                  <w:vAlign w:val="bottom"/>
                  <w:hideMark/>
                </w:tcPr>
                <w:p w14:paraId="6F4E5E00"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 </w:t>
                  </w:r>
                </w:p>
              </w:tc>
              <w:tc>
                <w:tcPr>
                  <w:tcW w:w="1173" w:type="dxa"/>
                  <w:tcBorders>
                    <w:top w:val="nil"/>
                    <w:left w:val="nil"/>
                    <w:bottom w:val="nil"/>
                    <w:right w:val="nil"/>
                  </w:tcBorders>
                  <w:shd w:val="clear" w:color="000000" w:fill="FFFFFF"/>
                  <w:noWrap/>
                  <w:vAlign w:val="bottom"/>
                  <w:hideMark/>
                </w:tcPr>
                <w:p w14:paraId="2C790A41"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-0.368***</w:t>
                  </w:r>
                </w:p>
              </w:tc>
              <w:tc>
                <w:tcPr>
                  <w:tcW w:w="296" w:type="dxa"/>
                  <w:tcBorders>
                    <w:top w:val="nil"/>
                    <w:left w:val="nil"/>
                    <w:bottom w:val="nil"/>
                    <w:right w:val="nil"/>
                  </w:tcBorders>
                  <w:shd w:val="clear" w:color="000000" w:fill="FFFFFF"/>
                  <w:noWrap/>
                  <w:vAlign w:val="bottom"/>
                  <w:hideMark/>
                </w:tcPr>
                <w:p w14:paraId="3A8B3AF4"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0A61663B" w14:textId="0BA44FF1"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 </w:t>
                  </w:r>
                </w:p>
              </w:tc>
              <w:tc>
                <w:tcPr>
                  <w:tcW w:w="1416" w:type="dxa"/>
                  <w:tcBorders>
                    <w:top w:val="nil"/>
                    <w:left w:val="nil"/>
                    <w:bottom w:val="nil"/>
                    <w:right w:val="nil"/>
                  </w:tcBorders>
                  <w:shd w:val="clear" w:color="000000" w:fill="FFFFFF"/>
                  <w:noWrap/>
                  <w:vAlign w:val="bottom"/>
                </w:tcPr>
                <w:p w14:paraId="559B92C4" w14:textId="399B7604"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-0.291*</w:t>
                  </w:r>
                </w:p>
              </w:tc>
            </w:tr>
            <w:tr w:rsidR="00A01C48" w:rsidRPr="004E6ACD" w14:paraId="23763BBE" w14:textId="77777777" w:rsidTr="00F556AF">
              <w:trPr>
                <w:trHeight w:val="290"/>
              </w:trPr>
              <w:tc>
                <w:tcPr>
                  <w:tcW w:w="2585" w:type="dxa"/>
                  <w:gridSpan w:val="2"/>
                  <w:tcBorders>
                    <w:top w:val="nil"/>
                    <w:left w:val="nil"/>
                    <w:bottom w:val="nil"/>
                    <w:right w:val="nil"/>
                  </w:tcBorders>
                  <w:shd w:val="clear" w:color="000000" w:fill="FFFFFF"/>
                  <w:hideMark/>
                </w:tcPr>
                <w:p w14:paraId="3D2CB5C8" w14:textId="77777777" w:rsidR="003E2203" w:rsidRPr="00BE4584" w:rsidRDefault="003E2203" w:rsidP="00BE4584">
                  <w:pPr>
                    <w:spacing w:after="0"/>
                    <w:ind w:firstLine="0"/>
                    <w:jc w:val="left"/>
                    <w:rPr>
                      <w:color w:val="000000"/>
                      <w:sz w:val="14"/>
                      <w:szCs w:val="16"/>
                      <w:lang w:val="en-US"/>
                    </w:rPr>
                  </w:pPr>
                  <w:r w:rsidRPr="00BE4584">
                    <w:rPr>
                      <w:color w:val="000000"/>
                      <w:sz w:val="14"/>
                      <w:szCs w:val="16"/>
                      <w:lang w:val="en-US"/>
                    </w:rPr>
                    <w:t> </w:t>
                  </w:r>
                </w:p>
              </w:tc>
              <w:tc>
                <w:tcPr>
                  <w:tcW w:w="1276" w:type="dxa"/>
                  <w:tcBorders>
                    <w:top w:val="nil"/>
                    <w:left w:val="nil"/>
                    <w:bottom w:val="nil"/>
                    <w:right w:val="nil"/>
                  </w:tcBorders>
                  <w:shd w:val="clear" w:color="000000" w:fill="FFFFFF"/>
                  <w:noWrap/>
                  <w:hideMark/>
                </w:tcPr>
                <w:p w14:paraId="77468F85"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 </w:t>
                  </w:r>
                </w:p>
              </w:tc>
              <w:tc>
                <w:tcPr>
                  <w:tcW w:w="1173" w:type="dxa"/>
                  <w:tcBorders>
                    <w:top w:val="nil"/>
                    <w:left w:val="nil"/>
                    <w:bottom w:val="nil"/>
                    <w:right w:val="nil"/>
                  </w:tcBorders>
                  <w:shd w:val="clear" w:color="000000" w:fill="FFFFFF"/>
                  <w:noWrap/>
                  <w:hideMark/>
                </w:tcPr>
                <w:p w14:paraId="68FCE7A9"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(0.122)</w:t>
                  </w:r>
                </w:p>
              </w:tc>
              <w:tc>
                <w:tcPr>
                  <w:tcW w:w="296" w:type="dxa"/>
                  <w:tcBorders>
                    <w:top w:val="nil"/>
                    <w:left w:val="nil"/>
                    <w:bottom w:val="nil"/>
                    <w:right w:val="nil"/>
                  </w:tcBorders>
                  <w:shd w:val="clear" w:color="000000" w:fill="FFFFFF"/>
                  <w:noWrap/>
                  <w:hideMark/>
                </w:tcPr>
                <w:p w14:paraId="49503275"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 </w:t>
                  </w:r>
                </w:p>
              </w:tc>
              <w:tc>
                <w:tcPr>
                  <w:tcW w:w="1416" w:type="dxa"/>
                  <w:tcBorders>
                    <w:top w:val="nil"/>
                    <w:left w:val="nil"/>
                    <w:bottom w:val="nil"/>
                    <w:right w:val="nil"/>
                  </w:tcBorders>
                  <w:shd w:val="clear" w:color="000000" w:fill="FFFFFF"/>
                  <w:noWrap/>
                </w:tcPr>
                <w:p w14:paraId="24AC9A35" w14:textId="1C0B4A67"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 </w:t>
                  </w:r>
                </w:p>
              </w:tc>
              <w:tc>
                <w:tcPr>
                  <w:tcW w:w="1416" w:type="dxa"/>
                  <w:tcBorders>
                    <w:top w:val="nil"/>
                    <w:left w:val="nil"/>
                    <w:bottom w:val="nil"/>
                    <w:right w:val="nil"/>
                  </w:tcBorders>
                  <w:shd w:val="clear" w:color="000000" w:fill="FFFFFF"/>
                  <w:noWrap/>
                </w:tcPr>
                <w:p w14:paraId="0CA4A5B8" w14:textId="783207D0"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(0.171)</w:t>
                  </w:r>
                </w:p>
              </w:tc>
            </w:tr>
            <w:tr w:rsidR="00A01C48" w:rsidRPr="004E6ACD" w14:paraId="5554BF77" w14:textId="77777777" w:rsidTr="00F556AF">
              <w:trPr>
                <w:trHeight w:val="106"/>
              </w:trPr>
              <w:tc>
                <w:tcPr>
                  <w:tcW w:w="2585" w:type="dxa"/>
                  <w:gridSpan w:val="2"/>
                  <w:tcBorders>
                    <w:top w:val="nil"/>
                    <w:left w:val="nil"/>
                    <w:bottom w:val="nil"/>
                    <w:right w:val="nil"/>
                  </w:tcBorders>
                  <w:shd w:val="clear" w:color="000000" w:fill="FFFFFF"/>
                  <w:vAlign w:val="bottom"/>
                  <w:hideMark/>
                </w:tcPr>
                <w:p w14:paraId="09DEAED6" w14:textId="77777777" w:rsidR="003E2203" w:rsidRPr="005205BC" w:rsidRDefault="003E2203" w:rsidP="00BE4584">
                  <w:pPr>
                    <w:spacing w:after="0"/>
                    <w:ind w:firstLine="0"/>
                    <w:jc w:val="left"/>
                    <w:rPr>
                      <w:color w:val="000000"/>
                      <w:sz w:val="16"/>
                      <w:szCs w:val="16"/>
                      <w:lang w:val="en-US"/>
                    </w:rPr>
                  </w:pPr>
                  <w:r w:rsidRPr="005205BC">
                    <w:rPr>
                      <w:color w:val="000000"/>
                      <w:sz w:val="16"/>
                      <w:szCs w:val="16"/>
                      <w:lang w:val="en-US"/>
                    </w:rPr>
                    <w:t xml:space="preserve">Age </w:t>
                  </w:r>
                </w:p>
              </w:tc>
              <w:tc>
                <w:tcPr>
                  <w:tcW w:w="1276" w:type="dxa"/>
                  <w:tcBorders>
                    <w:top w:val="nil"/>
                    <w:left w:val="nil"/>
                    <w:bottom w:val="nil"/>
                    <w:right w:val="nil"/>
                  </w:tcBorders>
                  <w:shd w:val="clear" w:color="000000" w:fill="FFFFFF"/>
                  <w:noWrap/>
                  <w:vAlign w:val="bottom"/>
                  <w:hideMark/>
                </w:tcPr>
                <w:p w14:paraId="3EE5EDCE"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 </w:t>
                  </w:r>
                </w:p>
              </w:tc>
              <w:tc>
                <w:tcPr>
                  <w:tcW w:w="1173" w:type="dxa"/>
                  <w:tcBorders>
                    <w:top w:val="nil"/>
                    <w:left w:val="nil"/>
                    <w:bottom w:val="nil"/>
                    <w:right w:val="nil"/>
                  </w:tcBorders>
                  <w:shd w:val="clear" w:color="000000" w:fill="FFFFFF"/>
                  <w:noWrap/>
                  <w:vAlign w:val="bottom"/>
                  <w:hideMark/>
                </w:tcPr>
                <w:p w14:paraId="15E0DC2B" w14:textId="77777777" w:rsidR="003E2203" w:rsidRPr="005205BC" w:rsidRDefault="003E2203" w:rsidP="003E2203">
                  <w:pPr>
                    <w:spacing w:after="0"/>
                    <w:ind w:firstLine="0"/>
                    <w:jc w:val="center"/>
                    <w:rPr>
                      <w:color w:val="000000"/>
                      <w:sz w:val="16"/>
                      <w:szCs w:val="16"/>
                    </w:rPr>
                  </w:pPr>
                  <w:r w:rsidRPr="005205BC">
                    <w:rPr>
                      <w:color w:val="000000"/>
                      <w:sz w:val="16"/>
                      <w:szCs w:val="16"/>
                    </w:rPr>
                    <w:t>-0.0232***</w:t>
                  </w:r>
                </w:p>
              </w:tc>
              <w:tc>
                <w:tcPr>
                  <w:tcW w:w="296" w:type="dxa"/>
                  <w:tcBorders>
                    <w:top w:val="nil"/>
                    <w:left w:val="nil"/>
                    <w:bottom w:val="nil"/>
                    <w:right w:val="nil"/>
                  </w:tcBorders>
                  <w:shd w:val="clear" w:color="000000" w:fill="FFFFFF"/>
                  <w:noWrap/>
                  <w:vAlign w:val="bottom"/>
                  <w:hideMark/>
                </w:tcPr>
                <w:p w14:paraId="6E6B1969"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1DBACF67" w14:textId="3262B1D2"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 </w:t>
                  </w:r>
                </w:p>
              </w:tc>
              <w:tc>
                <w:tcPr>
                  <w:tcW w:w="1416" w:type="dxa"/>
                  <w:tcBorders>
                    <w:top w:val="nil"/>
                    <w:left w:val="nil"/>
                    <w:bottom w:val="nil"/>
                    <w:right w:val="nil"/>
                  </w:tcBorders>
                  <w:shd w:val="clear" w:color="000000" w:fill="FFFFFF"/>
                  <w:noWrap/>
                  <w:vAlign w:val="bottom"/>
                </w:tcPr>
                <w:p w14:paraId="22B35872" w14:textId="0F4C977D" w:rsidR="003E2203" w:rsidRPr="005205BC" w:rsidRDefault="003E2203" w:rsidP="003E2203">
                  <w:pPr>
                    <w:spacing w:after="0"/>
                    <w:ind w:firstLine="0"/>
                    <w:jc w:val="center"/>
                    <w:rPr>
                      <w:color w:val="000000"/>
                      <w:sz w:val="16"/>
                      <w:szCs w:val="16"/>
                    </w:rPr>
                  </w:pPr>
                  <w:r w:rsidRPr="005205BC">
                    <w:rPr>
                      <w:color w:val="000000"/>
                      <w:sz w:val="16"/>
                      <w:szCs w:val="16"/>
                      <w:lang w:val="en-US"/>
                    </w:rPr>
                    <w:t>-0.0151*</w:t>
                  </w:r>
                </w:p>
              </w:tc>
            </w:tr>
            <w:tr w:rsidR="00A01C48" w:rsidRPr="004E6ACD" w14:paraId="65408691" w14:textId="77777777" w:rsidTr="00F556AF">
              <w:trPr>
                <w:trHeight w:val="109"/>
              </w:trPr>
              <w:tc>
                <w:tcPr>
                  <w:tcW w:w="2585" w:type="dxa"/>
                  <w:gridSpan w:val="2"/>
                  <w:tcBorders>
                    <w:top w:val="nil"/>
                    <w:left w:val="nil"/>
                    <w:bottom w:val="nil"/>
                    <w:right w:val="nil"/>
                  </w:tcBorders>
                  <w:shd w:val="clear" w:color="000000" w:fill="FFFFFF"/>
                  <w:hideMark/>
                </w:tcPr>
                <w:p w14:paraId="2F421EF5" w14:textId="77777777" w:rsidR="003E2203" w:rsidRPr="00BE4584" w:rsidRDefault="003E2203" w:rsidP="00BE4584">
                  <w:pPr>
                    <w:spacing w:after="0"/>
                    <w:ind w:firstLine="0"/>
                    <w:jc w:val="left"/>
                    <w:rPr>
                      <w:color w:val="000000"/>
                      <w:sz w:val="14"/>
                      <w:szCs w:val="16"/>
                      <w:lang w:val="en-US"/>
                    </w:rPr>
                  </w:pPr>
                  <w:r w:rsidRPr="00BE4584">
                    <w:rPr>
                      <w:color w:val="000000"/>
                      <w:sz w:val="14"/>
                      <w:szCs w:val="16"/>
                      <w:lang w:val="en-US"/>
                    </w:rPr>
                    <w:t> </w:t>
                  </w:r>
                </w:p>
              </w:tc>
              <w:tc>
                <w:tcPr>
                  <w:tcW w:w="1276" w:type="dxa"/>
                  <w:tcBorders>
                    <w:top w:val="nil"/>
                    <w:left w:val="nil"/>
                    <w:bottom w:val="nil"/>
                    <w:right w:val="nil"/>
                  </w:tcBorders>
                  <w:shd w:val="clear" w:color="000000" w:fill="FFFFFF"/>
                  <w:noWrap/>
                  <w:hideMark/>
                </w:tcPr>
                <w:p w14:paraId="16AA77F8"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 </w:t>
                  </w:r>
                </w:p>
              </w:tc>
              <w:tc>
                <w:tcPr>
                  <w:tcW w:w="1173" w:type="dxa"/>
                  <w:tcBorders>
                    <w:top w:val="nil"/>
                    <w:left w:val="nil"/>
                    <w:bottom w:val="nil"/>
                    <w:right w:val="nil"/>
                  </w:tcBorders>
                  <w:shd w:val="clear" w:color="000000" w:fill="FFFFFF"/>
                  <w:noWrap/>
                  <w:hideMark/>
                </w:tcPr>
                <w:p w14:paraId="24C92C34" w14:textId="77777777" w:rsidR="003E2203" w:rsidRPr="00BE4584" w:rsidRDefault="003E2203" w:rsidP="003E2203">
                  <w:pPr>
                    <w:spacing w:after="0"/>
                    <w:ind w:firstLine="0"/>
                    <w:jc w:val="center"/>
                    <w:rPr>
                      <w:color w:val="000000"/>
                      <w:sz w:val="14"/>
                      <w:szCs w:val="16"/>
                    </w:rPr>
                  </w:pPr>
                  <w:r w:rsidRPr="00BE4584">
                    <w:rPr>
                      <w:color w:val="000000"/>
                      <w:sz w:val="14"/>
                      <w:szCs w:val="16"/>
                    </w:rPr>
                    <w:t>(0.00681)</w:t>
                  </w:r>
                </w:p>
              </w:tc>
              <w:tc>
                <w:tcPr>
                  <w:tcW w:w="296" w:type="dxa"/>
                  <w:tcBorders>
                    <w:top w:val="nil"/>
                    <w:left w:val="nil"/>
                    <w:bottom w:val="nil"/>
                    <w:right w:val="nil"/>
                  </w:tcBorders>
                  <w:shd w:val="clear" w:color="000000" w:fill="FFFFFF"/>
                  <w:noWrap/>
                  <w:hideMark/>
                </w:tcPr>
                <w:p w14:paraId="54B188D4"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 </w:t>
                  </w:r>
                </w:p>
              </w:tc>
              <w:tc>
                <w:tcPr>
                  <w:tcW w:w="1416" w:type="dxa"/>
                  <w:tcBorders>
                    <w:top w:val="nil"/>
                    <w:left w:val="nil"/>
                    <w:bottom w:val="nil"/>
                    <w:right w:val="nil"/>
                  </w:tcBorders>
                  <w:shd w:val="clear" w:color="000000" w:fill="FFFFFF"/>
                  <w:noWrap/>
                </w:tcPr>
                <w:p w14:paraId="39DB00DC" w14:textId="085C53DB"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 </w:t>
                  </w:r>
                </w:p>
              </w:tc>
              <w:tc>
                <w:tcPr>
                  <w:tcW w:w="1416" w:type="dxa"/>
                  <w:tcBorders>
                    <w:top w:val="nil"/>
                    <w:left w:val="nil"/>
                    <w:bottom w:val="nil"/>
                    <w:right w:val="nil"/>
                  </w:tcBorders>
                  <w:shd w:val="clear" w:color="000000" w:fill="FFFFFF"/>
                  <w:noWrap/>
                </w:tcPr>
                <w:p w14:paraId="21BCDB94" w14:textId="5909A9EF" w:rsidR="003E2203" w:rsidRPr="00BE4584" w:rsidRDefault="003E2203" w:rsidP="003E2203">
                  <w:pPr>
                    <w:spacing w:after="0"/>
                    <w:ind w:firstLine="0"/>
                    <w:jc w:val="center"/>
                    <w:rPr>
                      <w:color w:val="000000"/>
                      <w:sz w:val="14"/>
                      <w:szCs w:val="16"/>
                    </w:rPr>
                  </w:pPr>
                  <w:r w:rsidRPr="00267E15">
                    <w:rPr>
                      <w:color w:val="000000"/>
                      <w:sz w:val="14"/>
                      <w:szCs w:val="16"/>
                      <w:lang w:val="en-US"/>
                    </w:rPr>
                    <w:t>(0.00849)</w:t>
                  </w:r>
                </w:p>
              </w:tc>
            </w:tr>
            <w:tr w:rsidR="00A01C48" w:rsidRPr="004E6ACD" w14:paraId="7EBCA6F1" w14:textId="77777777" w:rsidTr="00F556AF">
              <w:trPr>
                <w:trHeight w:val="198"/>
              </w:trPr>
              <w:tc>
                <w:tcPr>
                  <w:tcW w:w="2585" w:type="dxa"/>
                  <w:gridSpan w:val="2"/>
                  <w:tcBorders>
                    <w:top w:val="nil"/>
                    <w:left w:val="nil"/>
                    <w:bottom w:val="nil"/>
                    <w:right w:val="nil"/>
                  </w:tcBorders>
                  <w:shd w:val="clear" w:color="000000" w:fill="FFFFFF"/>
                  <w:vAlign w:val="bottom"/>
                  <w:hideMark/>
                </w:tcPr>
                <w:p w14:paraId="777765A7" w14:textId="77777777" w:rsidR="003E2203" w:rsidRPr="005205BC" w:rsidRDefault="003E2203" w:rsidP="00BE4584">
                  <w:pPr>
                    <w:spacing w:after="0"/>
                    <w:ind w:firstLine="0"/>
                    <w:jc w:val="left"/>
                    <w:rPr>
                      <w:color w:val="000000"/>
                      <w:sz w:val="16"/>
                      <w:szCs w:val="16"/>
                      <w:lang w:val="en-US"/>
                    </w:rPr>
                  </w:pPr>
                  <w:r w:rsidRPr="005205BC">
                    <w:rPr>
                      <w:color w:val="000000"/>
                      <w:sz w:val="16"/>
                      <w:szCs w:val="16"/>
                      <w:lang w:val="en-US"/>
                    </w:rPr>
                    <w:t>Log BMI</w:t>
                  </w:r>
                </w:p>
              </w:tc>
              <w:tc>
                <w:tcPr>
                  <w:tcW w:w="1276" w:type="dxa"/>
                  <w:tcBorders>
                    <w:top w:val="nil"/>
                    <w:left w:val="nil"/>
                    <w:bottom w:val="nil"/>
                    <w:right w:val="nil"/>
                  </w:tcBorders>
                  <w:shd w:val="clear" w:color="000000" w:fill="FFFFFF"/>
                  <w:noWrap/>
                  <w:vAlign w:val="bottom"/>
                  <w:hideMark/>
                </w:tcPr>
                <w:p w14:paraId="3A83B6F9"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 </w:t>
                  </w:r>
                </w:p>
              </w:tc>
              <w:tc>
                <w:tcPr>
                  <w:tcW w:w="1173" w:type="dxa"/>
                  <w:tcBorders>
                    <w:top w:val="nil"/>
                    <w:left w:val="nil"/>
                    <w:bottom w:val="nil"/>
                    <w:right w:val="nil"/>
                  </w:tcBorders>
                  <w:shd w:val="clear" w:color="000000" w:fill="FFFFFF"/>
                  <w:noWrap/>
                  <w:vAlign w:val="bottom"/>
                  <w:hideMark/>
                </w:tcPr>
                <w:p w14:paraId="6A0F394F" w14:textId="77777777" w:rsidR="003E2203" w:rsidRPr="005205BC" w:rsidRDefault="003E2203" w:rsidP="003E2203">
                  <w:pPr>
                    <w:spacing w:after="0"/>
                    <w:ind w:firstLine="0"/>
                    <w:jc w:val="center"/>
                    <w:rPr>
                      <w:color w:val="000000"/>
                      <w:sz w:val="16"/>
                      <w:szCs w:val="16"/>
                    </w:rPr>
                  </w:pPr>
                  <w:r w:rsidRPr="005205BC">
                    <w:rPr>
                      <w:color w:val="000000"/>
                      <w:sz w:val="16"/>
                      <w:szCs w:val="16"/>
                    </w:rPr>
                    <w:t>-0.177</w:t>
                  </w:r>
                </w:p>
              </w:tc>
              <w:tc>
                <w:tcPr>
                  <w:tcW w:w="296" w:type="dxa"/>
                  <w:tcBorders>
                    <w:top w:val="nil"/>
                    <w:left w:val="nil"/>
                    <w:bottom w:val="nil"/>
                    <w:right w:val="nil"/>
                  </w:tcBorders>
                  <w:shd w:val="clear" w:color="000000" w:fill="FFFFFF"/>
                  <w:noWrap/>
                  <w:vAlign w:val="bottom"/>
                  <w:hideMark/>
                </w:tcPr>
                <w:p w14:paraId="65167725" w14:textId="77777777" w:rsidR="003E2203" w:rsidRPr="005205BC" w:rsidRDefault="003E2203" w:rsidP="003E2203">
                  <w:pPr>
                    <w:spacing w:after="0"/>
                    <w:ind w:firstLine="0"/>
                    <w:jc w:val="center"/>
                    <w:rPr>
                      <w:color w:val="000000"/>
                      <w:sz w:val="16"/>
                      <w:szCs w:val="16"/>
                      <w:lang w:val="en-US"/>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29E5B26A" w14:textId="62C92A90" w:rsidR="003E2203" w:rsidRPr="005205BC" w:rsidRDefault="003E2203" w:rsidP="003E2203">
                  <w:pPr>
                    <w:spacing w:after="0"/>
                    <w:ind w:firstLine="0"/>
                    <w:jc w:val="center"/>
                    <w:rPr>
                      <w:color w:val="000000"/>
                      <w:sz w:val="16"/>
                      <w:szCs w:val="16"/>
                      <w:lang w:val="en-US"/>
                    </w:rPr>
                  </w:pPr>
                  <w:r w:rsidRPr="005205BC">
                    <w:rPr>
                      <w:color w:val="000000"/>
                      <w:sz w:val="16"/>
                      <w:szCs w:val="16"/>
                      <w:lang w:val="en-US"/>
                    </w:rPr>
                    <w:t> </w:t>
                  </w:r>
                </w:p>
              </w:tc>
              <w:tc>
                <w:tcPr>
                  <w:tcW w:w="1416" w:type="dxa"/>
                  <w:tcBorders>
                    <w:top w:val="nil"/>
                    <w:left w:val="nil"/>
                    <w:bottom w:val="nil"/>
                    <w:right w:val="nil"/>
                  </w:tcBorders>
                  <w:shd w:val="clear" w:color="000000" w:fill="FFFFFF"/>
                  <w:noWrap/>
                  <w:vAlign w:val="bottom"/>
                </w:tcPr>
                <w:p w14:paraId="6BFA5C87" w14:textId="5A72B000" w:rsidR="003E2203" w:rsidRPr="005205BC" w:rsidRDefault="003E2203" w:rsidP="003E2203">
                  <w:pPr>
                    <w:spacing w:after="0"/>
                    <w:ind w:firstLine="0"/>
                    <w:jc w:val="center"/>
                    <w:rPr>
                      <w:color w:val="000000"/>
                      <w:sz w:val="16"/>
                      <w:szCs w:val="16"/>
                    </w:rPr>
                  </w:pPr>
                  <w:r w:rsidRPr="005205BC">
                    <w:rPr>
                      <w:color w:val="000000"/>
                      <w:sz w:val="16"/>
                      <w:szCs w:val="16"/>
                      <w:lang w:val="en-US"/>
                    </w:rPr>
                    <w:t>-0.653</w:t>
                  </w:r>
                </w:p>
              </w:tc>
            </w:tr>
            <w:tr w:rsidR="00A01C48" w:rsidRPr="004E6ACD" w14:paraId="44C2A5F1" w14:textId="77777777" w:rsidTr="00F556AF">
              <w:trPr>
                <w:trHeight w:val="159"/>
              </w:trPr>
              <w:tc>
                <w:tcPr>
                  <w:tcW w:w="2585" w:type="dxa"/>
                  <w:gridSpan w:val="2"/>
                  <w:tcBorders>
                    <w:top w:val="nil"/>
                    <w:left w:val="nil"/>
                    <w:bottom w:val="nil"/>
                    <w:right w:val="nil"/>
                  </w:tcBorders>
                  <w:shd w:val="clear" w:color="000000" w:fill="FFFFFF"/>
                  <w:hideMark/>
                </w:tcPr>
                <w:p w14:paraId="265D6E27" w14:textId="77777777" w:rsidR="003E2203" w:rsidRPr="00BE4584" w:rsidRDefault="003E2203" w:rsidP="00BE4584">
                  <w:pPr>
                    <w:spacing w:after="0"/>
                    <w:ind w:firstLine="0"/>
                    <w:jc w:val="left"/>
                    <w:rPr>
                      <w:color w:val="000000"/>
                      <w:sz w:val="14"/>
                      <w:szCs w:val="16"/>
                      <w:lang w:val="en-US"/>
                    </w:rPr>
                  </w:pPr>
                  <w:r w:rsidRPr="00BE4584">
                    <w:rPr>
                      <w:color w:val="000000"/>
                      <w:sz w:val="14"/>
                      <w:szCs w:val="16"/>
                      <w:lang w:val="en-US"/>
                    </w:rPr>
                    <w:t> </w:t>
                  </w:r>
                </w:p>
              </w:tc>
              <w:tc>
                <w:tcPr>
                  <w:tcW w:w="1276" w:type="dxa"/>
                  <w:tcBorders>
                    <w:top w:val="nil"/>
                    <w:left w:val="nil"/>
                    <w:bottom w:val="nil"/>
                    <w:right w:val="nil"/>
                  </w:tcBorders>
                  <w:shd w:val="clear" w:color="000000" w:fill="FFFFFF"/>
                  <w:noWrap/>
                  <w:hideMark/>
                </w:tcPr>
                <w:p w14:paraId="695798B8"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 </w:t>
                  </w:r>
                </w:p>
              </w:tc>
              <w:tc>
                <w:tcPr>
                  <w:tcW w:w="1173" w:type="dxa"/>
                  <w:tcBorders>
                    <w:top w:val="nil"/>
                    <w:left w:val="nil"/>
                    <w:bottom w:val="nil"/>
                    <w:right w:val="nil"/>
                  </w:tcBorders>
                  <w:shd w:val="clear" w:color="000000" w:fill="FFFFFF"/>
                  <w:noWrap/>
                  <w:hideMark/>
                </w:tcPr>
                <w:p w14:paraId="608AC0C7" w14:textId="77777777" w:rsidR="003E2203" w:rsidRPr="00BE4584" w:rsidRDefault="003E2203" w:rsidP="003E2203">
                  <w:pPr>
                    <w:spacing w:after="0"/>
                    <w:ind w:firstLine="0"/>
                    <w:jc w:val="center"/>
                    <w:rPr>
                      <w:color w:val="000000"/>
                      <w:sz w:val="14"/>
                      <w:szCs w:val="16"/>
                    </w:rPr>
                  </w:pPr>
                  <w:r w:rsidRPr="00BE4584">
                    <w:rPr>
                      <w:color w:val="000000"/>
                      <w:sz w:val="14"/>
                      <w:szCs w:val="16"/>
                    </w:rPr>
                    <w:t>(0.579)</w:t>
                  </w:r>
                </w:p>
              </w:tc>
              <w:tc>
                <w:tcPr>
                  <w:tcW w:w="296" w:type="dxa"/>
                  <w:tcBorders>
                    <w:top w:val="nil"/>
                    <w:left w:val="nil"/>
                    <w:bottom w:val="nil"/>
                    <w:right w:val="nil"/>
                  </w:tcBorders>
                  <w:shd w:val="clear" w:color="000000" w:fill="FFFFFF"/>
                  <w:noWrap/>
                  <w:hideMark/>
                </w:tcPr>
                <w:p w14:paraId="46128EC0" w14:textId="77777777" w:rsidR="003E2203" w:rsidRPr="00BE4584" w:rsidRDefault="003E2203" w:rsidP="003E2203">
                  <w:pPr>
                    <w:spacing w:after="0"/>
                    <w:ind w:firstLine="0"/>
                    <w:jc w:val="center"/>
                    <w:rPr>
                      <w:color w:val="000000"/>
                      <w:sz w:val="14"/>
                      <w:szCs w:val="16"/>
                      <w:lang w:val="en-US"/>
                    </w:rPr>
                  </w:pPr>
                  <w:r w:rsidRPr="00BE4584">
                    <w:rPr>
                      <w:color w:val="000000"/>
                      <w:sz w:val="14"/>
                      <w:szCs w:val="16"/>
                    </w:rPr>
                    <w:t> </w:t>
                  </w:r>
                </w:p>
              </w:tc>
              <w:tc>
                <w:tcPr>
                  <w:tcW w:w="1416" w:type="dxa"/>
                  <w:tcBorders>
                    <w:top w:val="nil"/>
                    <w:left w:val="nil"/>
                    <w:bottom w:val="nil"/>
                    <w:right w:val="nil"/>
                  </w:tcBorders>
                  <w:shd w:val="clear" w:color="000000" w:fill="FFFFFF"/>
                  <w:noWrap/>
                </w:tcPr>
                <w:p w14:paraId="50FB2A46" w14:textId="7CD6DA18" w:rsidR="003E2203" w:rsidRPr="00BE4584" w:rsidRDefault="003E2203" w:rsidP="003E2203">
                  <w:pPr>
                    <w:spacing w:after="0"/>
                    <w:ind w:firstLine="0"/>
                    <w:jc w:val="center"/>
                    <w:rPr>
                      <w:color w:val="000000"/>
                      <w:sz w:val="14"/>
                      <w:szCs w:val="16"/>
                      <w:lang w:val="en-US"/>
                    </w:rPr>
                  </w:pPr>
                  <w:r w:rsidRPr="00267E15">
                    <w:rPr>
                      <w:color w:val="000000"/>
                      <w:sz w:val="14"/>
                      <w:szCs w:val="16"/>
                      <w:lang w:val="en-US"/>
                    </w:rPr>
                    <w:t> </w:t>
                  </w:r>
                </w:p>
              </w:tc>
              <w:tc>
                <w:tcPr>
                  <w:tcW w:w="1416" w:type="dxa"/>
                  <w:tcBorders>
                    <w:top w:val="nil"/>
                    <w:left w:val="nil"/>
                    <w:bottom w:val="nil"/>
                    <w:right w:val="nil"/>
                  </w:tcBorders>
                  <w:shd w:val="clear" w:color="000000" w:fill="FFFFFF"/>
                  <w:noWrap/>
                </w:tcPr>
                <w:p w14:paraId="4E91A70E" w14:textId="5979D2B6" w:rsidR="003E2203" w:rsidRPr="00BE4584" w:rsidRDefault="003E2203" w:rsidP="003E2203">
                  <w:pPr>
                    <w:spacing w:after="0"/>
                    <w:ind w:firstLine="0"/>
                    <w:jc w:val="center"/>
                    <w:rPr>
                      <w:color w:val="000000"/>
                      <w:sz w:val="14"/>
                      <w:szCs w:val="16"/>
                    </w:rPr>
                  </w:pPr>
                  <w:r w:rsidRPr="00267E15">
                    <w:rPr>
                      <w:color w:val="000000"/>
                      <w:sz w:val="14"/>
                      <w:szCs w:val="16"/>
                      <w:lang w:val="en-US"/>
                    </w:rPr>
                    <w:t>(0.704)</w:t>
                  </w:r>
                </w:p>
              </w:tc>
            </w:tr>
            <w:tr w:rsidR="00A01C48" w:rsidRPr="004E6ACD" w14:paraId="57B08B9E" w14:textId="77777777" w:rsidTr="00F556AF">
              <w:trPr>
                <w:trHeight w:val="341"/>
              </w:trPr>
              <w:tc>
                <w:tcPr>
                  <w:tcW w:w="2585" w:type="dxa"/>
                  <w:gridSpan w:val="2"/>
                  <w:tcBorders>
                    <w:top w:val="nil"/>
                    <w:left w:val="nil"/>
                    <w:bottom w:val="nil"/>
                    <w:right w:val="nil"/>
                  </w:tcBorders>
                  <w:shd w:val="clear" w:color="000000" w:fill="FFFFFF"/>
                  <w:vAlign w:val="bottom"/>
                  <w:hideMark/>
                </w:tcPr>
                <w:p w14:paraId="7A64F0EE" w14:textId="77777777" w:rsidR="006956AC" w:rsidRPr="005205BC" w:rsidRDefault="006956AC" w:rsidP="00BE4584">
                  <w:pPr>
                    <w:spacing w:after="0"/>
                    <w:ind w:firstLine="0"/>
                    <w:jc w:val="left"/>
                    <w:rPr>
                      <w:color w:val="000000"/>
                      <w:sz w:val="16"/>
                      <w:szCs w:val="16"/>
                      <w:lang w:val="en-US"/>
                    </w:rPr>
                  </w:pPr>
                  <w:r w:rsidRPr="005205BC">
                    <w:rPr>
                      <w:color w:val="000000"/>
                      <w:sz w:val="16"/>
                      <w:szCs w:val="16"/>
                      <w:lang w:val="en-US"/>
                    </w:rPr>
                    <w:t>In a weight loss diet (yes=1)</w:t>
                  </w:r>
                </w:p>
              </w:tc>
              <w:tc>
                <w:tcPr>
                  <w:tcW w:w="1276" w:type="dxa"/>
                  <w:tcBorders>
                    <w:top w:val="nil"/>
                    <w:left w:val="nil"/>
                    <w:bottom w:val="nil"/>
                    <w:right w:val="nil"/>
                  </w:tcBorders>
                  <w:shd w:val="clear" w:color="000000" w:fill="FFFFFF"/>
                  <w:noWrap/>
                  <w:vAlign w:val="bottom"/>
                  <w:hideMark/>
                </w:tcPr>
                <w:p w14:paraId="0D7BC743" w14:textId="77777777" w:rsidR="006956AC" w:rsidRPr="005205BC" w:rsidRDefault="006956AC" w:rsidP="006956AC">
                  <w:pPr>
                    <w:spacing w:after="0"/>
                    <w:ind w:firstLine="0"/>
                    <w:jc w:val="center"/>
                    <w:rPr>
                      <w:color w:val="000000"/>
                      <w:sz w:val="16"/>
                      <w:szCs w:val="16"/>
                      <w:lang w:val="en-US"/>
                    </w:rPr>
                  </w:pPr>
                  <w:r w:rsidRPr="005205BC">
                    <w:rPr>
                      <w:color w:val="000000"/>
                      <w:sz w:val="16"/>
                      <w:szCs w:val="16"/>
                    </w:rPr>
                    <w:t> </w:t>
                  </w:r>
                </w:p>
              </w:tc>
              <w:tc>
                <w:tcPr>
                  <w:tcW w:w="1173" w:type="dxa"/>
                  <w:tcBorders>
                    <w:top w:val="nil"/>
                    <w:left w:val="nil"/>
                    <w:bottom w:val="nil"/>
                    <w:right w:val="nil"/>
                  </w:tcBorders>
                  <w:shd w:val="clear" w:color="000000" w:fill="FFFFFF"/>
                  <w:noWrap/>
                  <w:vAlign w:val="bottom"/>
                  <w:hideMark/>
                </w:tcPr>
                <w:p w14:paraId="6097FEEC" w14:textId="77777777" w:rsidR="006956AC" w:rsidRPr="005205BC" w:rsidRDefault="006956AC" w:rsidP="006956AC">
                  <w:pPr>
                    <w:spacing w:after="0"/>
                    <w:ind w:firstLine="0"/>
                    <w:jc w:val="center"/>
                    <w:rPr>
                      <w:color w:val="000000"/>
                      <w:sz w:val="16"/>
                      <w:szCs w:val="16"/>
                    </w:rPr>
                  </w:pPr>
                  <w:r w:rsidRPr="005205BC">
                    <w:rPr>
                      <w:color w:val="000000"/>
                      <w:sz w:val="16"/>
                      <w:szCs w:val="16"/>
                    </w:rPr>
                    <w:t>0.0529</w:t>
                  </w:r>
                </w:p>
              </w:tc>
              <w:tc>
                <w:tcPr>
                  <w:tcW w:w="296" w:type="dxa"/>
                  <w:tcBorders>
                    <w:top w:val="nil"/>
                    <w:left w:val="nil"/>
                    <w:bottom w:val="nil"/>
                    <w:right w:val="nil"/>
                  </w:tcBorders>
                  <w:shd w:val="clear" w:color="000000" w:fill="FFFFFF"/>
                  <w:noWrap/>
                  <w:vAlign w:val="bottom"/>
                  <w:hideMark/>
                </w:tcPr>
                <w:p w14:paraId="421B9CAB" w14:textId="77777777" w:rsidR="006956AC" w:rsidRPr="005205BC" w:rsidRDefault="006956AC" w:rsidP="006956AC">
                  <w:pPr>
                    <w:spacing w:after="0"/>
                    <w:ind w:firstLine="0"/>
                    <w:jc w:val="center"/>
                    <w:rPr>
                      <w:color w:val="000000"/>
                      <w:sz w:val="16"/>
                      <w:szCs w:val="16"/>
                      <w:lang w:val="en-US"/>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38562C68" w14:textId="31958408" w:rsidR="006956AC" w:rsidRPr="005205BC" w:rsidRDefault="006956AC" w:rsidP="006956AC">
                  <w:pPr>
                    <w:spacing w:after="0"/>
                    <w:ind w:firstLine="0"/>
                    <w:jc w:val="center"/>
                    <w:rPr>
                      <w:color w:val="000000"/>
                      <w:sz w:val="16"/>
                      <w:szCs w:val="16"/>
                      <w:lang w:val="en-US"/>
                    </w:rPr>
                  </w:pPr>
                </w:p>
              </w:tc>
              <w:tc>
                <w:tcPr>
                  <w:tcW w:w="1416" w:type="dxa"/>
                  <w:tcBorders>
                    <w:top w:val="nil"/>
                    <w:left w:val="nil"/>
                    <w:bottom w:val="nil"/>
                    <w:right w:val="nil"/>
                  </w:tcBorders>
                  <w:shd w:val="clear" w:color="000000" w:fill="FFFFFF"/>
                  <w:noWrap/>
                  <w:vAlign w:val="bottom"/>
                </w:tcPr>
                <w:p w14:paraId="5CF254EA" w14:textId="4FF700AB" w:rsidR="006956AC" w:rsidRPr="005205BC" w:rsidRDefault="006956AC" w:rsidP="006956AC">
                  <w:pPr>
                    <w:spacing w:after="0"/>
                    <w:ind w:firstLine="0"/>
                    <w:jc w:val="center"/>
                    <w:rPr>
                      <w:color w:val="000000"/>
                      <w:sz w:val="16"/>
                      <w:szCs w:val="16"/>
                    </w:rPr>
                  </w:pPr>
                  <w:r w:rsidRPr="005205BC">
                    <w:rPr>
                      <w:color w:val="000000"/>
                      <w:sz w:val="16"/>
                      <w:szCs w:val="16"/>
                      <w:lang w:val="en-US"/>
                    </w:rPr>
                    <w:t>-0.464***</w:t>
                  </w:r>
                </w:p>
              </w:tc>
            </w:tr>
            <w:tr w:rsidR="00A01C48" w:rsidRPr="004E6ACD" w14:paraId="42A19EAE" w14:textId="77777777" w:rsidTr="00F556AF">
              <w:trPr>
                <w:trHeight w:val="163"/>
              </w:trPr>
              <w:tc>
                <w:tcPr>
                  <w:tcW w:w="2585" w:type="dxa"/>
                  <w:gridSpan w:val="2"/>
                  <w:tcBorders>
                    <w:top w:val="nil"/>
                    <w:left w:val="nil"/>
                    <w:bottom w:val="nil"/>
                    <w:right w:val="nil"/>
                  </w:tcBorders>
                  <w:shd w:val="clear" w:color="000000" w:fill="FFFFFF"/>
                  <w:hideMark/>
                </w:tcPr>
                <w:p w14:paraId="2AE91AD8" w14:textId="77777777" w:rsidR="006956AC" w:rsidRPr="00BE4584" w:rsidRDefault="006956AC" w:rsidP="00BE4584">
                  <w:pPr>
                    <w:spacing w:after="0"/>
                    <w:ind w:firstLine="0"/>
                    <w:jc w:val="left"/>
                    <w:rPr>
                      <w:color w:val="000000"/>
                      <w:sz w:val="14"/>
                      <w:szCs w:val="16"/>
                      <w:lang w:val="en-US"/>
                    </w:rPr>
                  </w:pPr>
                  <w:r w:rsidRPr="00BE4584">
                    <w:rPr>
                      <w:color w:val="000000"/>
                      <w:sz w:val="14"/>
                      <w:szCs w:val="16"/>
                      <w:lang w:val="en-US"/>
                    </w:rPr>
                    <w:t> </w:t>
                  </w:r>
                </w:p>
              </w:tc>
              <w:tc>
                <w:tcPr>
                  <w:tcW w:w="1276" w:type="dxa"/>
                  <w:tcBorders>
                    <w:top w:val="nil"/>
                    <w:left w:val="nil"/>
                    <w:bottom w:val="nil"/>
                    <w:right w:val="nil"/>
                  </w:tcBorders>
                  <w:shd w:val="clear" w:color="000000" w:fill="FFFFFF"/>
                  <w:noWrap/>
                  <w:hideMark/>
                </w:tcPr>
                <w:p w14:paraId="4BB7A044" w14:textId="77777777" w:rsidR="006956AC" w:rsidRPr="00BE4584" w:rsidRDefault="006956AC" w:rsidP="006956AC">
                  <w:pPr>
                    <w:spacing w:after="0"/>
                    <w:ind w:firstLine="0"/>
                    <w:jc w:val="center"/>
                    <w:rPr>
                      <w:color w:val="000000"/>
                      <w:sz w:val="14"/>
                      <w:szCs w:val="16"/>
                      <w:lang w:val="en-US"/>
                    </w:rPr>
                  </w:pPr>
                  <w:r w:rsidRPr="00BE4584">
                    <w:rPr>
                      <w:color w:val="000000"/>
                      <w:sz w:val="14"/>
                      <w:szCs w:val="16"/>
                    </w:rPr>
                    <w:t> </w:t>
                  </w:r>
                </w:p>
              </w:tc>
              <w:tc>
                <w:tcPr>
                  <w:tcW w:w="1173" w:type="dxa"/>
                  <w:tcBorders>
                    <w:top w:val="nil"/>
                    <w:left w:val="nil"/>
                    <w:bottom w:val="nil"/>
                    <w:right w:val="nil"/>
                  </w:tcBorders>
                  <w:shd w:val="clear" w:color="000000" w:fill="FFFFFF"/>
                  <w:noWrap/>
                  <w:hideMark/>
                </w:tcPr>
                <w:p w14:paraId="5E8C3BB3" w14:textId="77777777" w:rsidR="006956AC" w:rsidRPr="00BE4584" w:rsidRDefault="006956AC" w:rsidP="006956AC">
                  <w:pPr>
                    <w:spacing w:after="0"/>
                    <w:ind w:firstLine="0"/>
                    <w:jc w:val="center"/>
                    <w:rPr>
                      <w:color w:val="000000"/>
                      <w:sz w:val="14"/>
                      <w:szCs w:val="16"/>
                    </w:rPr>
                  </w:pPr>
                  <w:r w:rsidRPr="00BE4584">
                    <w:rPr>
                      <w:color w:val="000000"/>
                      <w:sz w:val="14"/>
                      <w:szCs w:val="16"/>
                    </w:rPr>
                    <w:t>(0.221)</w:t>
                  </w:r>
                </w:p>
              </w:tc>
              <w:tc>
                <w:tcPr>
                  <w:tcW w:w="296" w:type="dxa"/>
                  <w:tcBorders>
                    <w:top w:val="nil"/>
                    <w:left w:val="nil"/>
                    <w:bottom w:val="nil"/>
                    <w:right w:val="nil"/>
                  </w:tcBorders>
                  <w:shd w:val="clear" w:color="000000" w:fill="FFFFFF"/>
                  <w:noWrap/>
                  <w:hideMark/>
                </w:tcPr>
                <w:p w14:paraId="44DB2A8D" w14:textId="77777777" w:rsidR="006956AC" w:rsidRPr="00BE4584" w:rsidRDefault="006956AC" w:rsidP="006956AC">
                  <w:pPr>
                    <w:spacing w:after="0"/>
                    <w:ind w:firstLine="0"/>
                    <w:jc w:val="center"/>
                    <w:rPr>
                      <w:color w:val="000000"/>
                      <w:sz w:val="14"/>
                      <w:szCs w:val="16"/>
                      <w:lang w:val="en-US"/>
                    </w:rPr>
                  </w:pPr>
                  <w:r w:rsidRPr="00BE4584">
                    <w:rPr>
                      <w:color w:val="000000"/>
                      <w:sz w:val="14"/>
                      <w:szCs w:val="16"/>
                    </w:rPr>
                    <w:t> </w:t>
                  </w:r>
                </w:p>
              </w:tc>
              <w:tc>
                <w:tcPr>
                  <w:tcW w:w="1416" w:type="dxa"/>
                  <w:tcBorders>
                    <w:top w:val="nil"/>
                    <w:left w:val="nil"/>
                    <w:bottom w:val="nil"/>
                    <w:right w:val="nil"/>
                  </w:tcBorders>
                  <w:shd w:val="clear" w:color="000000" w:fill="FFFFFF"/>
                  <w:noWrap/>
                </w:tcPr>
                <w:p w14:paraId="26FC4BF9" w14:textId="51E19130" w:rsidR="006956AC" w:rsidRPr="00BE4584" w:rsidRDefault="006956AC" w:rsidP="006956AC">
                  <w:pPr>
                    <w:spacing w:after="0"/>
                    <w:ind w:firstLine="0"/>
                    <w:jc w:val="center"/>
                    <w:rPr>
                      <w:color w:val="000000"/>
                      <w:sz w:val="14"/>
                      <w:szCs w:val="16"/>
                      <w:lang w:val="en-US"/>
                    </w:rPr>
                  </w:pPr>
                </w:p>
              </w:tc>
              <w:tc>
                <w:tcPr>
                  <w:tcW w:w="1416" w:type="dxa"/>
                  <w:tcBorders>
                    <w:top w:val="nil"/>
                    <w:left w:val="nil"/>
                    <w:bottom w:val="nil"/>
                    <w:right w:val="nil"/>
                  </w:tcBorders>
                  <w:shd w:val="clear" w:color="000000" w:fill="FFFFFF"/>
                  <w:noWrap/>
                </w:tcPr>
                <w:p w14:paraId="37FB66C0" w14:textId="558BBBF2" w:rsidR="006956AC" w:rsidRPr="00BE4584" w:rsidRDefault="006956AC" w:rsidP="006956AC">
                  <w:pPr>
                    <w:spacing w:after="0"/>
                    <w:ind w:firstLine="0"/>
                    <w:jc w:val="center"/>
                    <w:rPr>
                      <w:color w:val="000000"/>
                      <w:sz w:val="14"/>
                      <w:szCs w:val="16"/>
                    </w:rPr>
                  </w:pPr>
                  <w:r w:rsidRPr="00267E15">
                    <w:rPr>
                      <w:color w:val="000000"/>
                      <w:sz w:val="14"/>
                      <w:szCs w:val="16"/>
                      <w:lang w:val="en-US"/>
                    </w:rPr>
                    <w:t>(0.148)</w:t>
                  </w:r>
                </w:p>
              </w:tc>
            </w:tr>
            <w:tr w:rsidR="00A01C48" w:rsidRPr="004E6ACD" w14:paraId="57159818" w14:textId="77777777" w:rsidTr="00F556AF">
              <w:trPr>
                <w:trHeight w:val="236"/>
              </w:trPr>
              <w:tc>
                <w:tcPr>
                  <w:tcW w:w="2585" w:type="dxa"/>
                  <w:gridSpan w:val="2"/>
                  <w:tcBorders>
                    <w:top w:val="nil"/>
                    <w:left w:val="nil"/>
                    <w:bottom w:val="nil"/>
                    <w:right w:val="nil"/>
                  </w:tcBorders>
                  <w:shd w:val="clear" w:color="000000" w:fill="FFFFFF"/>
                  <w:vAlign w:val="bottom"/>
                </w:tcPr>
                <w:p w14:paraId="4D514543" w14:textId="2307EC44" w:rsidR="006956AC" w:rsidRPr="005205BC" w:rsidRDefault="006956AC" w:rsidP="00BE4584">
                  <w:pPr>
                    <w:spacing w:after="0"/>
                    <w:ind w:firstLine="0"/>
                    <w:jc w:val="left"/>
                    <w:rPr>
                      <w:color w:val="000000"/>
                      <w:sz w:val="16"/>
                      <w:szCs w:val="16"/>
                      <w:lang w:val="en-US"/>
                    </w:rPr>
                  </w:pPr>
                  <w:r w:rsidRPr="005205BC">
                    <w:rPr>
                      <w:color w:val="000000"/>
                      <w:sz w:val="16"/>
                      <w:szCs w:val="16"/>
                      <w:lang w:val="en-US"/>
                    </w:rPr>
                    <w:t>Online grocery shopping frequency</w:t>
                  </w:r>
                </w:p>
              </w:tc>
              <w:tc>
                <w:tcPr>
                  <w:tcW w:w="1276" w:type="dxa"/>
                  <w:tcBorders>
                    <w:top w:val="nil"/>
                    <w:left w:val="nil"/>
                    <w:bottom w:val="nil"/>
                    <w:right w:val="nil"/>
                  </w:tcBorders>
                  <w:shd w:val="clear" w:color="000000" w:fill="FFFFFF"/>
                  <w:noWrap/>
                  <w:vAlign w:val="bottom"/>
                </w:tcPr>
                <w:p w14:paraId="41DB0331" w14:textId="01FFA714" w:rsidR="006956AC" w:rsidRPr="005205BC" w:rsidRDefault="006956AC" w:rsidP="006956AC">
                  <w:pPr>
                    <w:spacing w:after="0"/>
                    <w:ind w:firstLine="0"/>
                    <w:jc w:val="center"/>
                    <w:rPr>
                      <w:color w:val="000000"/>
                      <w:sz w:val="16"/>
                      <w:szCs w:val="16"/>
                      <w:lang w:val="en-US"/>
                    </w:rPr>
                  </w:pPr>
                  <w:r w:rsidRPr="005205BC">
                    <w:rPr>
                      <w:color w:val="000000"/>
                      <w:sz w:val="16"/>
                      <w:szCs w:val="16"/>
                    </w:rPr>
                    <w:t> </w:t>
                  </w:r>
                </w:p>
              </w:tc>
              <w:tc>
                <w:tcPr>
                  <w:tcW w:w="1173" w:type="dxa"/>
                  <w:tcBorders>
                    <w:top w:val="nil"/>
                    <w:left w:val="nil"/>
                    <w:bottom w:val="nil"/>
                    <w:right w:val="nil"/>
                  </w:tcBorders>
                  <w:shd w:val="clear" w:color="000000" w:fill="FFFFFF"/>
                  <w:noWrap/>
                  <w:vAlign w:val="bottom"/>
                </w:tcPr>
                <w:p w14:paraId="0A163F34" w14:textId="47B94A7C" w:rsidR="006956AC" w:rsidRPr="005205BC" w:rsidRDefault="006956AC" w:rsidP="006956AC">
                  <w:pPr>
                    <w:spacing w:after="0"/>
                    <w:ind w:firstLine="0"/>
                    <w:jc w:val="center"/>
                    <w:rPr>
                      <w:color w:val="000000"/>
                      <w:sz w:val="16"/>
                      <w:szCs w:val="16"/>
                    </w:rPr>
                  </w:pPr>
                  <w:r w:rsidRPr="005205BC">
                    <w:rPr>
                      <w:color w:val="000000"/>
                      <w:sz w:val="16"/>
                      <w:szCs w:val="16"/>
                    </w:rPr>
                    <w:t>0.0256</w:t>
                  </w:r>
                </w:p>
              </w:tc>
              <w:tc>
                <w:tcPr>
                  <w:tcW w:w="296" w:type="dxa"/>
                  <w:tcBorders>
                    <w:top w:val="nil"/>
                    <w:left w:val="nil"/>
                    <w:bottom w:val="nil"/>
                    <w:right w:val="nil"/>
                  </w:tcBorders>
                  <w:shd w:val="clear" w:color="000000" w:fill="FFFFFF"/>
                  <w:noWrap/>
                  <w:vAlign w:val="bottom"/>
                </w:tcPr>
                <w:p w14:paraId="12835D8C" w14:textId="2A6B54F0" w:rsidR="006956AC" w:rsidRPr="005205BC" w:rsidRDefault="006956AC" w:rsidP="006956AC">
                  <w:pPr>
                    <w:spacing w:after="0"/>
                    <w:ind w:firstLine="0"/>
                    <w:jc w:val="center"/>
                    <w:rPr>
                      <w:color w:val="000000"/>
                      <w:sz w:val="16"/>
                      <w:szCs w:val="16"/>
                      <w:lang w:val="en-US"/>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54A88B6A" w14:textId="72A63627" w:rsidR="006956AC" w:rsidRPr="005205BC" w:rsidRDefault="006956AC" w:rsidP="006956AC">
                  <w:pPr>
                    <w:spacing w:after="0"/>
                    <w:ind w:firstLine="0"/>
                    <w:jc w:val="center"/>
                    <w:rPr>
                      <w:color w:val="000000"/>
                      <w:sz w:val="16"/>
                      <w:szCs w:val="16"/>
                      <w:lang w:val="en-US"/>
                    </w:rPr>
                  </w:pPr>
                </w:p>
              </w:tc>
              <w:tc>
                <w:tcPr>
                  <w:tcW w:w="1416" w:type="dxa"/>
                  <w:tcBorders>
                    <w:top w:val="nil"/>
                    <w:left w:val="nil"/>
                    <w:bottom w:val="nil"/>
                    <w:right w:val="nil"/>
                  </w:tcBorders>
                  <w:shd w:val="clear" w:color="000000" w:fill="FFFFFF"/>
                  <w:noWrap/>
                  <w:vAlign w:val="bottom"/>
                </w:tcPr>
                <w:p w14:paraId="60F94D41" w14:textId="6D78747F" w:rsidR="006956AC" w:rsidRPr="005205BC" w:rsidRDefault="006956AC" w:rsidP="006956AC">
                  <w:pPr>
                    <w:spacing w:after="0"/>
                    <w:ind w:firstLine="0"/>
                    <w:jc w:val="center"/>
                    <w:rPr>
                      <w:color w:val="000000"/>
                      <w:sz w:val="16"/>
                      <w:szCs w:val="16"/>
                    </w:rPr>
                  </w:pPr>
                  <w:r w:rsidRPr="005205BC">
                    <w:rPr>
                      <w:color w:val="000000"/>
                      <w:sz w:val="16"/>
                      <w:szCs w:val="16"/>
                      <w:lang w:val="en-US"/>
                    </w:rPr>
                    <w:t>0.0693</w:t>
                  </w:r>
                </w:p>
              </w:tc>
            </w:tr>
            <w:tr w:rsidR="0054015A" w:rsidRPr="004E6ACD" w14:paraId="63289072" w14:textId="77777777" w:rsidTr="00F556AF">
              <w:trPr>
                <w:trHeight w:val="145"/>
              </w:trPr>
              <w:tc>
                <w:tcPr>
                  <w:tcW w:w="2585" w:type="dxa"/>
                  <w:gridSpan w:val="2"/>
                  <w:tcBorders>
                    <w:top w:val="nil"/>
                    <w:left w:val="nil"/>
                    <w:bottom w:val="nil"/>
                    <w:right w:val="nil"/>
                  </w:tcBorders>
                  <w:shd w:val="clear" w:color="000000" w:fill="FFFFFF"/>
                </w:tcPr>
                <w:p w14:paraId="7278B69E" w14:textId="411A0F91" w:rsidR="006956AC" w:rsidRPr="00BE4584" w:rsidRDefault="006956AC" w:rsidP="00BE4584">
                  <w:pPr>
                    <w:spacing w:after="0"/>
                    <w:ind w:firstLine="0"/>
                    <w:jc w:val="left"/>
                    <w:rPr>
                      <w:color w:val="000000"/>
                      <w:sz w:val="14"/>
                      <w:szCs w:val="16"/>
                      <w:lang w:val="en-US"/>
                    </w:rPr>
                  </w:pPr>
                  <w:r w:rsidRPr="00267E15">
                    <w:rPr>
                      <w:color w:val="000000"/>
                      <w:sz w:val="14"/>
                      <w:szCs w:val="16"/>
                      <w:lang w:val="en-US"/>
                    </w:rPr>
                    <w:t> </w:t>
                  </w:r>
                </w:p>
              </w:tc>
              <w:tc>
                <w:tcPr>
                  <w:tcW w:w="1276" w:type="dxa"/>
                  <w:tcBorders>
                    <w:top w:val="nil"/>
                    <w:left w:val="nil"/>
                    <w:bottom w:val="nil"/>
                    <w:right w:val="nil"/>
                  </w:tcBorders>
                  <w:shd w:val="clear" w:color="000000" w:fill="FFFFFF"/>
                  <w:noWrap/>
                </w:tcPr>
                <w:p w14:paraId="1C02CCCD" w14:textId="1FD40904" w:rsidR="006956AC" w:rsidRPr="00BE4584" w:rsidRDefault="006956AC" w:rsidP="006956AC">
                  <w:pPr>
                    <w:spacing w:after="0"/>
                    <w:ind w:firstLine="0"/>
                    <w:jc w:val="center"/>
                    <w:rPr>
                      <w:color w:val="000000"/>
                      <w:sz w:val="14"/>
                      <w:szCs w:val="16"/>
                      <w:lang w:val="en-US"/>
                    </w:rPr>
                  </w:pPr>
                  <w:r w:rsidRPr="00267E15">
                    <w:rPr>
                      <w:color w:val="000000"/>
                      <w:sz w:val="14"/>
                      <w:szCs w:val="16"/>
                    </w:rPr>
                    <w:t> </w:t>
                  </w:r>
                </w:p>
              </w:tc>
              <w:tc>
                <w:tcPr>
                  <w:tcW w:w="1173" w:type="dxa"/>
                  <w:tcBorders>
                    <w:top w:val="nil"/>
                    <w:left w:val="nil"/>
                    <w:bottom w:val="nil"/>
                    <w:right w:val="nil"/>
                  </w:tcBorders>
                  <w:shd w:val="clear" w:color="000000" w:fill="FFFFFF"/>
                  <w:noWrap/>
                </w:tcPr>
                <w:p w14:paraId="3277A2A0" w14:textId="246AA20A" w:rsidR="006956AC" w:rsidRPr="00BE4584" w:rsidRDefault="006956AC" w:rsidP="006956AC">
                  <w:pPr>
                    <w:spacing w:after="0"/>
                    <w:ind w:firstLine="0"/>
                    <w:jc w:val="center"/>
                    <w:rPr>
                      <w:color w:val="000000"/>
                      <w:sz w:val="14"/>
                      <w:szCs w:val="16"/>
                    </w:rPr>
                  </w:pPr>
                  <w:r w:rsidRPr="00267E15">
                    <w:rPr>
                      <w:color w:val="000000"/>
                      <w:sz w:val="14"/>
                      <w:szCs w:val="16"/>
                    </w:rPr>
                    <w:t>(0.0572)</w:t>
                  </w:r>
                </w:p>
              </w:tc>
              <w:tc>
                <w:tcPr>
                  <w:tcW w:w="296" w:type="dxa"/>
                  <w:tcBorders>
                    <w:top w:val="nil"/>
                    <w:left w:val="nil"/>
                    <w:bottom w:val="nil"/>
                    <w:right w:val="nil"/>
                  </w:tcBorders>
                  <w:shd w:val="clear" w:color="000000" w:fill="FFFFFF"/>
                  <w:noWrap/>
                </w:tcPr>
                <w:p w14:paraId="32A698E9" w14:textId="29D72D54" w:rsidR="006956AC" w:rsidRPr="00BE4584" w:rsidRDefault="006956AC" w:rsidP="006956AC">
                  <w:pPr>
                    <w:spacing w:after="0"/>
                    <w:ind w:firstLine="0"/>
                    <w:jc w:val="center"/>
                    <w:rPr>
                      <w:color w:val="000000"/>
                      <w:sz w:val="14"/>
                      <w:szCs w:val="16"/>
                      <w:lang w:val="en-US"/>
                    </w:rPr>
                  </w:pPr>
                  <w:r w:rsidRPr="00267E15">
                    <w:rPr>
                      <w:color w:val="000000"/>
                      <w:sz w:val="14"/>
                      <w:szCs w:val="16"/>
                    </w:rPr>
                    <w:t> </w:t>
                  </w:r>
                </w:p>
              </w:tc>
              <w:tc>
                <w:tcPr>
                  <w:tcW w:w="1416" w:type="dxa"/>
                  <w:tcBorders>
                    <w:top w:val="nil"/>
                    <w:left w:val="nil"/>
                    <w:bottom w:val="nil"/>
                    <w:right w:val="nil"/>
                  </w:tcBorders>
                  <w:shd w:val="clear" w:color="000000" w:fill="FFFFFF"/>
                  <w:noWrap/>
                </w:tcPr>
                <w:p w14:paraId="3C44F2BE" w14:textId="3EF2C53C" w:rsidR="006956AC" w:rsidRPr="00BE4584" w:rsidRDefault="006956AC" w:rsidP="006956AC">
                  <w:pPr>
                    <w:spacing w:after="0"/>
                    <w:ind w:firstLine="0"/>
                    <w:jc w:val="center"/>
                    <w:rPr>
                      <w:color w:val="000000"/>
                      <w:sz w:val="14"/>
                      <w:szCs w:val="16"/>
                      <w:lang w:val="en-US"/>
                    </w:rPr>
                  </w:pPr>
                </w:p>
              </w:tc>
              <w:tc>
                <w:tcPr>
                  <w:tcW w:w="1416" w:type="dxa"/>
                  <w:tcBorders>
                    <w:top w:val="nil"/>
                    <w:left w:val="nil"/>
                    <w:bottom w:val="nil"/>
                    <w:right w:val="nil"/>
                  </w:tcBorders>
                  <w:shd w:val="clear" w:color="000000" w:fill="FFFFFF"/>
                  <w:noWrap/>
                </w:tcPr>
                <w:p w14:paraId="3C214388" w14:textId="028560D9" w:rsidR="006956AC" w:rsidRPr="00BE4584" w:rsidRDefault="006956AC" w:rsidP="006956AC">
                  <w:pPr>
                    <w:spacing w:after="0"/>
                    <w:ind w:firstLine="0"/>
                    <w:jc w:val="center"/>
                    <w:rPr>
                      <w:color w:val="000000"/>
                      <w:sz w:val="14"/>
                      <w:szCs w:val="16"/>
                    </w:rPr>
                  </w:pPr>
                  <w:r w:rsidRPr="00267E15">
                    <w:rPr>
                      <w:color w:val="000000"/>
                      <w:sz w:val="14"/>
                      <w:szCs w:val="16"/>
                      <w:lang w:val="en-US"/>
                    </w:rPr>
                    <w:t>(0.0669)</w:t>
                  </w:r>
                </w:p>
              </w:tc>
            </w:tr>
            <w:tr w:rsidR="0054015A" w:rsidRPr="004E6ACD" w14:paraId="5F3003F1" w14:textId="77777777" w:rsidTr="00F556AF">
              <w:trPr>
                <w:trHeight w:val="285"/>
              </w:trPr>
              <w:tc>
                <w:tcPr>
                  <w:tcW w:w="2585" w:type="dxa"/>
                  <w:gridSpan w:val="2"/>
                  <w:tcBorders>
                    <w:top w:val="nil"/>
                    <w:left w:val="nil"/>
                    <w:bottom w:val="nil"/>
                    <w:right w:val="nil"/>
                  </w:tcBorders>
                  <w:shd w:val="clear" w:color="000000" w:fill="FFFFFF"/>
                  <w:vAlign w:val="bottom"/>
                </w:tcPr>
                <w:p w14:paraId="0B873D54" w14:textId="5B74B2E4" w:rsidR="006956AC" w:rsidRPr="0054015A" w:rsidRDefault="006956AC" w:rsidP="00BE4584">
                  <w:pPr>
                    <w:spacing w:after="0"/>
                    <w:ind w:firstLine="0"/>
                    <w:jc w:val="left"/>
                    <w:rPr>
                      <w:color w:val="000000"/>
                      <w:sz w:val="14"/>
                      <w:szCs w:val="16"/>
                      <w:lang w:val="en-US"/>
                    </w:rPr>
                  </w:pPr>
                  <w:r w:rsidRPr="005205BC">
                    <w:rPr>
                      <w:color w:val="000000"/>
                      <w:sz w:val="16"/>
                      <w:szCs w:val="16"/>
                      <w:lang w:val="en-US"/>
                    </w:rPr>
                    <w:t>Tesco shopping frequency</w:t>
                  </w:r>
                </w:p>
              </w:tc>
              <w:tc>
                <w:tcPr>
                  <w:tcW w:w="1276" w:type="dxa"/>
                  <w:tcBorders>
                    <w:top w:val="nil"/>
                    <w:left w:val="nil"/>
                    <w:bottom w:val="nil"/>
                    <w:right w:val="nil"/>
                  </w:tcBorders>
                  <w:shd w:val="clear" w:color="000000" w:fill="FFFFFF"/>
                  <w:noWrap/>
                  <w:vAlign w:val="bottom"/>
                </w:tcPr>
                <w:p w14:paraId="5E48698D" w14:textId="26FFAEAB" w:rsidR="006956AC" w:rsidRPr="0054015A" w:rsidRDefault="006956AC" w:rsidP="006956AC">
                  <w:pPr>
                    <w:spacing w:after="0"/>
                    <w:ind w:firstLine="0"/>
                    <w:jc w:val="center"/>
                    <w:rPr>
                      <w:color w:val="000000"/>
                      <w:sz w:val="14"/>
                      <w:szCs w:val="16"/>
                    </w:rPr>
                  </w:pPr>
                  <w:r w:rsidRPr="005205BC">
                    <w:rPr>
                      <w:color w:val="000000"/>
                      <w:sz w:val="16"/>
                      <w:szCs w:val="16"/>
                    </w:rPr>
                    <w:t> </w:t>
                  </w:r>
                </w:p>
              </w:tc>
              <w:tc>
                <w:tcPr>
                  <w:tcW w:w="1173" w:type="dxa"/>
                  <w:tcBorders>
                    <w:top w:val="nil"/>
                    <w:left w:val="nil"/>
                    <w:bottom w:val="nil"/>
                    <w:right w:val="nil"/>
                  </w:tcBorders>
                  <w:shd w:val="clear" w:color="000000" w:fill="FFFFFF"/>
                  <w:noWrap/>
                  <w:vAlign w:val="bottom"/>
                </w:tcPr>
                <w:p w14:paraId="1B061C3E" w14:textId="39DCA7CB" w:rsidR="006956AC" w:rsidRPr="0054015A" w:rsidRDefault="006956AC" w:rsidP="006956AC">
                  <w:pPr>
                    <w:spacing w:after="0"/>
                    <w:ind w:firstLine="0"/>
                    <w:jc w:val="center"/>
                    <w:rPr>
                      <w:color w:val="000000"/>
                      <w:sz w:val="14"/>
                      <w:szCs w:val="16"/>
                    </w:rPr>
                  </w:pPr>
                  <w:r w:rsidRPr="005205BC">
                    <w:rPr>
                      <w:color w:val="000000"/>
                      <w:sz w:val="16"/>
                      <w:szCs w:val="16"/>
                    </w:rPr>
                    <w:t>0.0678</w:t>
                  </w:r>
                </w:p>
              </w:tc>
              <w:tc>
                <w:tcPr>
                  <w:tcW w:w="296" w:type="dxa"/>
                  <w:tcBorders>
                    <w:top w:val="nil"/>
                    <w:left w:val="nil"/>
                    <w:bottom w:val="nil"/>
                    <w:right w:val="nil"/>
                  </w:tcBorders>
                  <w:shd w:val="clear" w:color="000000" w:fill="FFFFFF"/>
                  <w:noWrap/>
                  <w:vAlign w:val="bottom"/>
                </w:tcPr>
                <w:p w14:paraId="54763E14" w14:textId="611DF022" w:rsidR="006956AC" w:rsidRPr="0054015A" w:rsidRDefault="006956AC" w:rsidP="006956AC">
                  <w:pPr>
                    <w:spacing w:after="0"/>
                    <w:ind w:firstLine="0"/>
                    <w:jc w:val="center"/>
                    <w:rPr>
                      <w:color w:val="000000"/>
                      <w:sz w:val="14"/>
                      <w:szCs w:val="16"/>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57387103" w14:textId="77777777" w:rsidR="006956AC" w:rsidRPr="00324EE3" w:rsidDel="007349B4"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vAlign w:val="bottom"/>
                </w:tcPr>
                <w:p w14:paraId="2B546193" w14:textId="54923CF0" w:rsidR="006956AC" w:rsidRPr="00267E15" w:rsidRDefault="006956AC" w:rsidP="006956AC">
                  <w:pPr>
                    <w:spacing w:after="0"/>
                    <w:ind w:firstLine="0"/>
                    <w:jc w:val="center"/>
                    <w:rPr>
                      <w:color w:val="000000"/>
                      <w:sz w:val="14"/>
                      <w:szCs w:val="16"/>
                      <w:lang w:val="en-US"/>
                    </w:rPr>
                  </w:pPr>
                  <w:r w:rsidRPr="005205BC">
                    <w:rPr>
                      <w:color w:val="000000"/>
                      <w:sz w:val="16"/>
                      <w:szCs w:val="16"/>
                      <w:lang w:val="en-US"/>
                    </w:rPr>
                    <w:t>-0.0170</w:t>
                  </w:r>
                </w:p>
              </w:tc>
            </w:tr>
            <w:tr w:rsidR="0054015A" w:rsidRPr="004E6ACD" w14:paraId="5B678A5E" w14:textId="77777777" w:rsidTr="00F556AF">
              <w:trPr>
                <w:trHeight w:val="317"/>
              </w:trPr>
              <w:tc>
                <w:tcPr>
                  <w:tcW w:w="2585" w:type="dxa"/>
                  <w:gridSpan w:val="2"/>
                  <w:tcBorders>
                    <w:top w:val="nil"/>
                    <w:left w:val="nil"/>
                    <w:bottom w:val="nil"/>
                    <w:right w:val="nil"/>
                  </w:tcBorders>
                  <w:shd w:val="clear" w:color="000000" w:fill="FFFFFF"/>
                </w:tcPr>
                <w:p w14:paraId="2FF2B517" w14:textId="48CDE857" w:rsidR="006956AC" w:rsidRPr="0054015A" w:rsidRDefault="006956AC" w:rsidP="00BE4584">
                  <w:pPr>
                    <w:spacing w:after="0"/>
                    <w:ind w:firstLine="0"/>
                    <w:jc w:val="left"/>
                    <w:rPr>
                      <w:color w:val="000000"/>
                      <w:sz w:val="14"/>
                      <w:szCs w:val="16"/>
                      <w:lang w:val="en-US"/>
                    </w:rPr>
                  </w:pPr>
                </w:p>
              </w:tc>
              <w:tc>
                <w:tcPr>
                  <w:tcW w:w="1276" w:type="dxa"/>
                  <w:tcBorders>
                    <w:top w:val="nil"/>
                    <w:left w:val="nil"/>
                    <w:bottom w:val="nil"/>
                    <w:right w:val="nil"/>
                  </w:tcBorders>
                  <w:shd w:val="clear" w:color="000000" w:fill="FFFFFF"/>
                  <w:noWrap/>
                </w:tcPr>
                <w:p w14:paraId="0D1A05EE" w14:textId="5EE315F3" w:rsidR="006956AC" w:rsidRPr="00324EE3" w:rsidRDefault="006956AC" w:rsidP="006956AC">
                  <w:pPr>
                    <w:spacing w:after="0"/>
                    <w:ind w:firstLine="0"/>
                    <w:jc w:val="center"/>
                    <w:rPr>
                      <w:color w:val="000000"/>
                      <w:sz w:val="14"/>
                      <w:szCs w:val="16"/>
                    </w:rPr>
                  </w:pPr>
                </w:p>
              </w:tc>
              <w:tc>
                <w:tcPr>
                  <w:tcW w:w="1173" w:type="dxa"/>
                  <w:tcBorders>
                    <w:top w:val="nil"/>
                    <w:left w:val="nil"/>
                    <w:bottom w:val="nil"/>
                    <w:right w:val="nil"/>
                  </w:tcBorders>
                  <w:shd w:val="clear" w:color="000000" w:fill="FFFFFF"/>
                  <w:noWrap/>
                </w:tcPr>
                <w:p w14:paraId="3A623562" w14:textId="33CFD2E2" w:rsidR="006956AC" w:rsidRPr="0054015A" w:rsidRDefault="00174709" w:rsidP="006956AC">
                  <w:pPr>
                    <w:spacing w:after="0"/>
                    <w:ind w:firstLine="0"/>
                    <w:jc w:val="center"/>
                    <w:rPr>
                      <w:color w:val="000000"/>
                      <w:sz w:val="14"/>
                      <w:szCs w:val="16"/>
                    </w:rPr>
                  </w:pPr>
                  <w:r w:rsidRPr="00174709">
                    <w:rPr>
                      <w:color w:val="000000"/>
                      <w:sz w:val="14"/>
                      <w:szCs w:val="16"/>
                    </w:rPr>
                    <w:t>(0.0588)</w:t>
                  </w:r>
                </w:p>
              </w:tc>
              <w:tc>
                <w:tcPr>
                  <w:tcW w:w="296" w:type="dxa"/>
                  <w:tcBorders>
                    <w:top w:val="nil"/>
                    <w:left w:val="nil"/>
                    <w:bottom w:val="nil"/>
                    <w:right w:val="nil"/>
                  </w:tcBorders>
                  <w:shd w:val="clear" w:color="000000" w:fill="FFFFFF"/>
                  <w:noWrap/>
                </w:tcPr>
                <w:p w14:paraId="64A6B3BC" w14:textId="5E92DD67" w:rsidR="006956AC" w:rsidRPr="00324EE3"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tcPr>
                <w:p w14:paraId="6A4A29E8" w14:textId="77777777" w:rsidR="006956AC" w:rsidRPr="00A93242" w:rsidDel="007349B4"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tcPr>
                <w:p w14:paraId="3A3697BA" w14:textId="727E3923" w:rsidR="006956AC" w:rsidRPr="00267E15" w:rsidRDefault="00174709" w:rsidP="006956AC">
                  <w:pPr>
                    <w:spacing w:after="0"/>
                    <w:ind w:firstLine="0"/>
                    <w:jc w:val="center"/>
                    <w:rPr>
                      <w:color w:val="000000"/>
                      <w:sz w:val="14"/>
                      <w:szCs w:val="16"/>
                      <w:lang w:val="en-US"/>
                    </w:rPr>
                  </w:pPr>
                  <w:r w:rsidRPr="00174709">
                    <w:rPr>
                      <w:color w:val="000000"/>
                      <w:sz w:val="14"/>
                      <w:szCs w:val="16"/>
                      <w:lang w:val="en-US"/>
                    </w:rPr>
                    <w:t>(0.0692)</w:t>
                  </w:r>
                </w:p>
              </w:tc>
            </w:tr>
            <w:tr w:rsidR="0054015A" w:rsidRPr="004E6ACD" w14:paraId="3BB61419" w14:textId="77777777" w:rsidTr="00F556AF">
              <w:trPr>
                <w:trHeight w:val="89"/>
              </w:trPr>
              <w:tc>
                <w:tcPr>
                  <w:tcW w:w="2585" w:type="dxa"/>
                  <w:gridSpan w:val="2"/>
                  <w:tcBorders>
                    <w:top w:val="nil"/>
                    <w:left w:val="nil"/>
                    <w:bottom w:val="nil"/>
                    <w:right w:val="nil"/>
                  </w:tcBorders>
                  <w:shd w:val="clear" w:color="000000" w:fill="FFFFFF"/>
                  <w:vAlign w:val="bottom"/>
                </w:tcPr>
                <w:p w14:paraId="69D7DB10" w14:textId="2AF8907C" w:rsidR="006956AC" w:rsidRPr="0054015A" w:rsidRDefault="006956AC" w:rsidP="00BE4584">
                  <w:pPr>
                    <w:spacing w:after="0"/>
                    <w:ind w:firstLine="0"/>
                    <w:jc w:val="left"/>
                    <w:rPr>
                      <w:color w:val="000000"/>
                      <w:sz w:val="14"/>
                      <w:szCs w:val="16"/>
                      <w:lang w:val="en-US"/>
                    </w:rPr>
                  </w:pPr>
                  <w:r w:rsidRPr="005205BC">
                    <w:rPr>
                      <w:color w:val="000000"/>
                      <w:sz w:val="16"/>
                      <w:szCs w:val="16"/>
                      <w:lang w:val="en-US"/>
                    </w:rPr>
                    <w:t>Time preferences (discount)</w:t>
                  </w:r>
                </w:p>
              </w:tc>
              <w:tc>
                <w:tcPr>
                  <w:tcW w:w="1276" w:type="dxa"/>
                  <w:tcBorders>
                    <w:top w:val="nil"/>
                    <w:left w:val="nil"/>
                    <w:bottom w:val="nil"/>
                    <w:right w:val="nil"/>
                  </w:tcBorders>
                  <w:shd w:val="clear" w:color="000000" w:fill="FFFFFF"/>
                  <w:noWrap/>
                  <w:vAlign w:val="bottom"/>
                </w:tcPr>
                <w:p w14:paraId="18FBEF19" w14:textId="1CCBACAE" w:rsidR="006956AC" w:rsidRPr="0054015A" w:rsidRDefault="006956AC" w:rsidP="006956AC">
                  <w:pPr>
                    <w:spacing w:after="0"/>
                    <w:ind w:firstLine="0"/>
                    <w:jc w:val="center"/>
                    <w:rPr>
                      <w:color w:val="000000"/>
                      <w:sz w:val="14"/>
                      <w:szCs w:val="16"/>
                    </w:rPr>
                  </w:pPr>
                  <w:r w:rsidRPr="005205BC">
                    <w:rPr>
                      <w:color w:val="000000"/>
                      <w:sz w:val="16"/>
                      <w:szCs w:val="16"/>
                    </w:rPr>
                    <w:t> </w:t>
                  </w:r>
                </w:p>
              </w:tc>
              <w:tc>
                <w:tcPr>
                  <w:tcW w:w="1173" w:type="dxa"/>
                  <w:tcBorders>
                    <w:top w:val="nil"/>
                    <w:left w:val="nil"/>
                    <w:bottom w:val="nil"/>
                    <w:right w:val="nil"/>
                  </w:tcBorders>
                  <w:shd w:val="clear" w:color="000000" w:fill="FFFFFF"/>
                  <w:noWrap/>
                  <w:vAlign w:val="bottom"/>
                </w:tcPr>
                <w:p w14:paraId="14105658" w14:textId="4CAC5B90" w:rsidR="006956AC" w:rsidRPr="0054015A" w:rsidRDefault="006956AC" w:rsidP="006956AC">
                  <w:pPr>
                    <w:spacing w:after="0"/>
                    <w:ind w:firstLine="0"/>
                    <w:jc w:val="center"/>
                    <w:rPr>
                      <w:color w:val="000000"/>
                      <w:sz w:val="14"/>
                      <w:szCs w:val="16"/>
                    </w:rPr>
                  </w:pPr>
                  <w:r w:rsidRPr="005205BC">
                    <w:rPr>
                      <w:color w:val="000000"/>
                      <w:sz w:val="16"/>
                      <w:szCs w:val="16"/>
                    </w:rPr>
                    <w:t>0.0305</w:t>
                  </w:r>
                </w:p>
              </w:tc>
              <w:tc>
                <w:tcPr>
                  <w:tcW w:w="296" w:type="dxa"/>
                  <w:tcBorders>
                    <w:top w:val="nil"/>
                    <w:left w:val="nil"/>
                    <w:bottom w:val="nil"/>
                    <w:right w:val="nil"/>
                  </w:tcBorders>
                  <w:shd w:val="clear" w:color="000000" w:fill="FFFFFF"/>
                  <w:noWrap/>
                  <w:vAlign w:val="bottom"/>
                </w:tcPr>
                <w:p w14:paraId="51CD33A7" w14:textId="0B4180AD" w:rsidR="006956AC" w:rsidRPr="0054015A" w:rsidRDefault="006956AC" w:rsidP="006956AC">
                  <w:pPr>
                    <w:spacing w:after="0"/>
                    <w:ind w:firstLine="0"/>
                    <w:jc w:val="center"/>
                    <w:rPr>
                      <w:color w:val="000000"/>
                      <w:sz w:val="14"/>
                      <w:szCs w:val="16"/>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484364A9" w14:textId="77777777" w:rsidR="006956AC" w:rsidRPr="00324EE3" w:rsidDel="007349B4"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vAlign w:val="bottom"/>
                </w:tcPr>
                <w:p w14:paraId="5C797CD0" w14:textId="6AF22CC2" w:rsidR="006956AC" w:rsidRPr="00267E15" w:rsidRDefault="006956AC" w:rsidP="006956AC">
                  <w:pPr>
                    <w:spacing w:after="0"/>
                    <w:ind w:firstLine="0"/>
                    <w:jc w:val="center"/>
                    <w:rPr>
                      <w:color w:val="000000"/>
                      <w:sz w:val="14"/>
                      <w:szCs w:val="16"/>
                      <w:lang w:val="en-US"/>
                    </w:rPr>
                  </w:pPr>
                  <w:r w:rsidRPr="005205BC">
                    <w:rPr>
                      <w:color w:val="000000"/>
                      <w:sz w:val="16"/>
                      <w:szCs w:val="16"/>
                      <w:lang w:val="en-US"/>
                    </w:rPr>
                    <w:t>-0.0118</w:t>
                  </w:r>
                </w:p>
              </w:tc>
            </w:tr>
            <w:tr w:rsidR="0054015A" w:rsidRPr="004E6ACD" w14:paraId="4CAAAC26" w14:textId="77777777" w:rsidTr="00F556AF">
              <w:trPr>
                <w:trHeight w:val="285"/>
              </w:trPr>
              <w:tc>
                <w:tcPr>
                  <w:tcW w:w="2585" w:type="dxa"/>
                  <w:gridSpan w:val="2"/>
                  <w:tcBorders>
                    <w:top w:val="nil"/>
                    <w:left w:val="nil"/>
                    <w:bottom w:val="nil"/>
                    <w:right w:val="nil"/>
                  </w:tcBorders>
                  <w:shd w:val="clear" w:color="000000" w:fill="FFFFFF"/>
                </w:tcPr>
                <w:p w14:paraId="2ADA3A58" w14:textId="67AC0C5B" w:rsidR="006956AC" w:rsidRPr="0054015A" w:rsidRDefault="006956AC" w:rsidP="00BE4584">
                  <w:pPr>
                    <w:spacing w:after="0"/>
                    <w:ind w:firstLine="0"/>
                    <w:jc w:val="left"/>
                    <w:rPr>
                      <w:color w:val="000000"/>
                      <w:sz w:val="14"/>
                      <w:szCs w:val="16"/>
                      <w:lang w:val="en-US"/>
                    </w:rPr>
                  </w:pPr>
                  <w:r w:rsidRPr="00175036">
                    <w:rPr>
                      <w:color w:val="000000"/>
                      <w:sz w:val="14"/>
                      <w:szCs w:val="16"/>
                      <w:lang w:val="en-US"/>
                    </w:rPr>
                    <w:lastRenderedPageBreak/>
                    <w:t> </w:t>
                  </w:r>
                </w:p>
              </w:tc>
              <w:tc>
                <w:tcPr>
                  <w:tcW w:w="1276" w:type="dxa"/>
                  <w:tcBorders>
                    <w:top w:val="nil"/>
                    <w:left w:val="nil"/>
                    <w:bottom w:val="nil"/>
                    <w:right w:val="nil"/>
                  </w:tcBorders>
                  <w:shd w:val="clear" w:color="000000" w:fill="FFFFFF"/>
                  <w:noWrap/>
                </w:tcPr>
                <w:p w14:paraId="10FD1418" w14:textId="4E62DEE4" w:rsidR="006956AC" w:rsidRPr="0054015A" w:rsidRDefault="006956AC" w:rsidP="006956AC">
                  <w:pPr>
                    <w:spacing w:after="0"/>
                    <w:ind w:firstLine="0"/>
                    <w:jc w:val="center"/>
                    <w:rPr>
                      <w:color w:val="000000"/>
                      <w:sz w:val="14"/>
                      <w:szCs w:val="16"/>
                    </w:rPr>
                  </w:pPr>
                  <w:r w:rsidRPr="00175036">
                    <w:rPr>
                      <w:color w:val="000000"/>
                      <w:sz w:val="14"/>
                      <w:szCs w:val="16"/>
                    </w:rPr>
                    <w:t> </w:t>
                  </w:r>
                </w:p>
              </w:tc>
              <w:tc>
                <w:tcPr>
                  <w:tcW w:w="1173" w:type="dxa"/>
                  <w:tcBorders>
                    <w:top w:val="nil"/>
                    <w:left w:val="nil"/>
                    <w:bottom w:val="nil"/>
                    <w:right w:val="nil"/>
                  </w:tcBorders>
                  <w:shd w:val="clear" w:color="000000" w:fill="FFFFFF"/>
                  <w:noWrap/>
                </w:tcPr>
                <w:p w14:paraId="57F89331" w14:textId="420DB6E1" w:rsidR="006956AC" w:rsidRPr="0054015A" w:rsidRDefault="006956AC" w:rsidP="006956AC">
                  <w:pPr>
                    <w:spacing w:after="0"/>
                    <w:ind w:firstLine="0"/>
                    <w:jc w:val="center"/>
                    <w:rPr>
                      <w:color w:val="000000"/>
                      <w:sz w:val="14"/>
                      <w:szCs w:val="16"/>
                    </w:rPr>
                  </w:pPr>
                  <w:r w:rsidRPr="00175036">
                    <w:rPr>
                      <w:color w:val="000000"/>
                      <w:sz w:val="14"/>
                      <w:szCs w:val="16"/>
                    </w:rPr>
                    <w:t>(0.0271)</w:t>
                  </w:r>
                </w:p>
              </w:tc>
              <w:tc>
                <w:tcPr>
                  <w:tcW w:w="296" w:type="dxa"/>
                  <w:tcBorders>
                    <w:top w:val="nil"/>
                    <w:left w:val="nil"/>
                    <w:bottom w:val="nil"/>
                    <w:right w:val="nil"/>
                  </w:tcBorders>
                  <w:shd w:val="clear" w:color="000000" w:fill="FFFFFF"/>
                  <w:noWrap/>
                </w:tcPr>
                <w:p w14:paraId="76339AA9" w14:textId="232DBEB7" w:rsidR="006956AC" w:rsidRPr="0054015A" w:rsidRDefault="006956AC" w:rsidP="006956AC">
                  <w:pPr>
                    <w:spacing w:after="0"/>
                    <w:ind w:firstLine="0"/>
                    <w:jc w:val="center"/>
                    <w:rPr>
                      <w:color w:val="000000"/>
                      <w:sz w:val="14"/>
                      <w:szCs w:val="16"/>
                    </w:rPr>
                  </w:pPr>
                  <w:r w:rsidRPr="00175036">
                    <w:rPr>
                      <w:color w:val="000000"/>
                      <w:sz w:val="14"/>
                      <w:szCs w:val="16"/>
                    </w:rPr>
                    <w:t> </w:t>
                  </w:r>
                </w:p>
              </w:tc>
              <w:tc>
                <w:tcPr>
                  <w:tcW w:w="1416" w:type="dxa"/>
                  <w:tcBorders>
                    <w:top w:val="nil"/>
                    <w:left w:val="nil"/>
                    <w:bottom w:val="nil"/>
                    <w:right w:val="nil"/>
                  </w:tcBorders>
                  <w:shd w:val="clear" w:color="000000" w:fill="FFFFFF"/>
                  <w:noWrap/>
                </w:tcPr>
                <w:p w14:paraId="34C139C2" w14:textId="77777777" w:rsidR="006956AC" w:rsidRPr="00324EE3" w:rsidDel="007349B4"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tcPr>
                <w:p w14:paraId="73D1A4C2" w14:textId="2CFA3851" w:rsidR="006956AC" w:rsidRPr="00267E15" w:rsidRDefault="006956AC" w:rsidP="006956AC">
                  <w:pPr>
                    <w:spacing w:after="0"/>
                    <w:ind w:firstLine="0"/>
                    <w:jc w:val="center"/>
                    <w:rPr>
                      <w:color w:val="000000"/>
                      <w:sz w:val="14"/>
                      <w:szCs w:val="16"/>
                      <w:lang w:val="en-US"/>
                    </w:rPr>
                  </w:pPr>
                  <w:r w:rsidRPr="00267E15">
                    <w:rPr>
                      <w:color w:val="000000"/>
                      <w:sz w:val="14"/>
                      <w:szCs w:val="16"/>
                      <w:lang w:val="en-US"/>
                    </w:rPr>
                    <w:t>(0.0331)</w:t>
                  </w:r>
                </w:p>
              </w:tc>
            </w:tr>
            <w:tr w:rsidR="0054015A" w:rsidRPr="004E6ACD" w14:paraId="77DA467E" w14:textId="77777777" w:rsidTr="00F556AF">
              <w:trPr>
                <w:trHeight w:val="57"/>
              </w:trPr>
              <w:tc>
                <w:tcPr>
                  <w:tcW w:w="2585" w:type="dxa"/>
                  <w:gridSpan w:val="2"/>
                  <w:tcBorders>
                    <w:top w:val="nil"/>
                    <w:left w:val="nil"/>
                    <w:bottom w:val="nil"/>
                    <w:right w:val="nil"/>
                  </w:tcBorders>
                  <w:shd w:val="clear" w:color="000000" w:fill="FFFFFF"/>
                  <w:vAlign w:val="bottom"/>
                </w:tcPr>
                <w:p w14:paraId="59B5002C" w14:textId="66E3D1CD" w:rsidR="006956AC" w:rsidRPr="0054015A" w:rsidRDefault="006956AC" w:rsidP="00BE4584">
                  <w:pPr>
                    <w:spacing w:after="0"/>
                    <w:ind w:firstLine="0"/>
                    <w:jc w:val="left"/>
                    <w:rPr>
                      <w:color w:val="000000"/>
                      <w:sz w:val="14"/>
                      <w:szCs w:val="16"/>
                      <w:lang w:val="en-US"/>
                    </w:rPr>
                  </w:pPr>
                  <w:r w:rsidRPr="005205BC">
                    <w:rPr>
                      <w:color w:val="000000"/>
                      <w:sz w:val="16"/>
                      <w:szCs w:val="16"/>
                      <w:lang w:val="en-US"/>
                    </w:rPr>
                    <w:t>Education level</w:t>
                  </w:r>
                </w:p>
              </w:tc>
              <w:tc>
                <w:tcPr>
                  <w:tcW w:w="1276" w:type="dxa"/>
                  <w:tcBorders>
                    <w:top w:val="nil"/>
                    <w:left w:val="nil"/>
                    <w:bottom w:val="nil"/>
                    <w:right w:val="nil"/>
                  </w:tcBorders>
                  <w:shd w:val="clear" w:color="000000" w:fill="FFFFFF"/>
                  <w:noWrap/>
                  <w:vAlign w:val="bottom"/>
                </w:tcPr>
                <w:p w14:paraId="0FD4701A" w14:textId="4CF48C46" w:rsidR="006956AC" w:rsidRPr="0054015A" w:rsidRDefault="006956AC" w:rsidP="006956AC">
                  <w:pPr>
                    <w:spacing w:after="0"/>
                    <w:ind w:firstLine="0"/>
                    <w:jc w:val="center"/>
                    <w:rPr>
                      <w:color w:val="000000"/>
                      <w:sz w:val="14"/>
                      <w:szCs w:val="16"/>
                    </w:rPr>
                  </w:pPr>
                  <w:r w:rsidRPr="005205BC">
                    <w:rPr>
                      <w:color w:val="000000"/>
                      <w:sz w:val="16"/>
                      <w:szCs w:val="16"/>
                    </w:rPr>
                    <w:t> </w:t>
                  </w:r>
                </w:p>
              </w:tc>
              <w:tc>
                <w:tcPr>
                  <w:tcW w:w="1173" w:type="dxa"/>
                  <w:tcBorders>
                    <w:top w:val="nil"/>
                    <w:left w:val="nil"/>
                    <w:bottom w:val="nil"/>
                    <w:right w:val="nil"/>
                  </w:tcBorders>
                  <w:shd w:val="clear" w:color="000000" w:fill="FFFFFF"/>
                  <w:noWrap/>
                  <w:vAlign w:val="bottom"/>
                </w:tcPr>
                <w:p w14:paraId="63DD604C" w14:textId="5CB63B5C" w:rsidR="006956AC" w:rsidRPr="0054015A" w:rsidRDefault="006956AC" w:rsidP="006956AC">
                  <w:pPr>
                    <w:spacing w:after="0"/>
                    <w:ind w:firstLine="0"/>
                    <w:jc w:val="center"/>
                    <w:rPr>
                      <w:color w:val="000000"/>
                      <w:sz w:val="14"/>
                      <w:szCs w:val="16"/>
                    </w:rPr>
                  </w:pPr>
                  <w:r w:rsidRPr="005205BC">
                    <w:rPr>
                      <w:color w:val="000000"/>
                      <w:sz w:val="16"/>
                      <w:szCs w:val="16"/>
                    </w:rPr>
                    <w:t>-0.0411</w:t>
                  </w:r>
                </w:p>
              </w:tc>
              <w:tc>
                <w:tcPr>
                  <w:tcW w:w="296" w:type="dxa"/>
                  <w:tcBorders>
                    <w:top w:val="nil"/>
                    <w:left w:val="nil"/>
                    <w:bottom w:val="nil"/>
                    <w:right w:val="nil"/>
                  </w:tcBorders>
                  <w:shd w:val="clear" w:color="000000" w:fill="FFFFFF"/>
                  <w:noWrap/>
                  <w:vAlign w:val="bottom"/>
                </w:tcPr>
                <w:p w14:paraId="3EC42F0F" w14:textId="561021C5" w:rsidR="006956AC" w:rsidRPr="0054015A" w:rsidRDefault="006956AC" w:rsidP="006956AC">
                  <w:pPr>
                    <w:spacing w:after="0"/>
                    <w:ind w:firstLine="0"/>
                    <w:jc w:val="center"/>
                    <w:rPr>
                      <w:color w:val="000000"/>
                      <w:sz w:val="14"/>
                      <w:szCs w:val="16"/>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074E1810" w14:textId="77777777" w:rsidR="006956AC" w:rsidRPr="00324EE3" w:rsidDel="007349B4"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vAlign w:val="bottom"/>
                </w:tcPr>
                <w:p w14:paraId="59FDC779" w14:textId="43EC6B3E" w:rsidR="006956AC" w:rsidRPr="00267E15" w:rsidRDefault="006956AC" w:rsidP="006956AC">
                  <w:pPr>
                    <w:spacing w:after="0"/>
                    <w:ind w:firstLine="0"/>
                    <w:jc w:val="center"/>
                    <w:rPr>
                      <w:color w:val="000000"/>
                      <w:sz w:val="14"/>
                      <w:szCs w:val="16"/>
                      <w:lang w:val="en-US"/>
                    </w:rPr>
                  </w:pPr>
                  <w:r w:rsidRPr="005205BC">
                    <w:rPr>
                      <w:color w:val="000000"/>
                      <w:sz w:val="16"/>
                      <w:szCs w:val="16"/>
                      <w:lang w:val="en-US"/>
                    </w:rPr>
                    <w:t>-0.153*</w:t>
                  </w:r>
                </w:p>
              </w:tc>
            </w:tr>
            <w:tr w:rsidR="0054015A" w:rsidRPr="004E6ACD" w14:paraId="5024227C" w14:textId="77777777" w:rsidTr="00F556AF">
              <w:trPr>
                <w:trHeight w:val="57"/>
              </w:trPr>
              <w:tc>
                <w:tcPr>
                  <w:tcW w:w="2585" w:type="dxa"/>
                  <w:gridSpan w:val="2"/>
                  <w:tcBorders>
                    <w:top w:val="nil"/>
                    <w:left w:val="nil"/>
                    <w:bottom w:val="nil"/>
                    <w:right w:val="nil"/>
                  </w:tcBorders>
                  <w:shd w:val="clear" w:color="000000" w:fill="FFFFFF"/>
                </w:tcPr>
                <w:p w14:paraId="586D2C52" w14:textId="5FDAF9D8" w:rsidR="006956AC" w:rsidRPr="0054015A" w:rsidRDefault="006956AC" w:rsidP="00BE4584">
                  <w:pPr>
                    <w:spacing w:after="0"/>
                    <w:ind w:firstLine="0"/>
                    <w:jc w:val="left"/>
                    <w:rPr>
                      <w:color w:val="000000"/>
                      <w:sz w:val="14"/>
                      <w:szCs w:val="16"/>
                      <w:lang w:val="en-US"/>
                    </w:rPr>
                  </w:pPr>
                  <w:r w:rsidRPr="00267E15">
                    <w:rPr>
                      <w:color w:val="000000"/>
                      <w:sz w:val="14"/>
                      <w:szCs w:val="16"/>
                      <w:lang w:val="en-US"/>
                    </w:rPr>
                    <w:t> </w:t>
                  </w:r>
                </w:p>
              </w:tc>
              <w:tc>
                <w:tcPr>
                  <w:tcW w:w="1276" w:type="dxa"/>
                  <w:tcBorders>
                    <w:top w:val="nil"/>
                    <w:left w:val="nil"/>
                    <w:bottom w:val="nil"/>
                    <w:right w:val="nil"/>
                  </w:tcBorders>
                  <w:shd w:val="clear" w:color="000000" w:fill="FFFFFF"/>
                  <w:noWrap/>
                </w:tcPr>
                <w:p w14:paraId="6F4A3AAD" w14:textId="6EAFC8E1" w:rsidR="006956AC" w:rsidRPr="0054015A" w:rsidRDefault="006956AC" w:rsidP="006956AC">
                  <w:pPr>
                    <w:spacing w:after="0"/>
                    <w:ind w:firstLine="0"/>
                    <w:jc w:val="center"/>
                    <w:rPr>
                      <w:color w:val="000000"/>
                      <w:sz w:val="14"/>
                      <w:szCs w:val="16"/>
                    </w:rPr>
                  </w:pPr>
                  <w:r w:rsidRPr="00267E15">
                    <w:rPr>
                      <w:color w:val="000000"/>
                      <w:sz w:val="14"/>
                      <w:szCs w:val="16"/>
                    </w:rPr>
                    <w:t> </w:t>
                  </w:r>
                </w:p>
              </w:tc>
              <w:tc>
                <w:tcPr>
                  <w:tcW w:w="1173" w:type="dxa"/>
                  <w:tcBorders>
                    <w:top w:val="nil"/>
                    <w:left w:val="nil"/>
                    <w:bottom w:val="nil"/>
                    <w:right w:val="nil"/>
                  </w:tcBorders>
                  <w:shd w:val="clear" w:color="000000" w:fill="FFFFFF"/>
                  <w:noWrap/>
                </w:tcPr>
                <w:p w14:paraId="0DB9E67A" w14:textId="68BA51C7" w:rsidR="006956AC" w:rsidRPr="0054015A" w:rsidRDefault="006956AC" w:rsidP="006956AC">
                  <w:pPr>
                    <w:spacing w:after="0"/>
                    <w:ind w:firstLine="0"/>
                    <w:jc w:val="center"/>
                    <w:rPr>
                      <w:color w:val="000000"/>
                      <w:sz w:val="14"/>
                      <w:szCs w:val="16"/>
                    </w:rPr>
                  </w:pPr>
                  <w:r w:rsidRPr="00267E15">
                    <w:rPr>
                      <w:color w:val="000000"/>
                      <w:sz w:val="14"/>
                      <w:szCs w:val="16"/>
                    </w:rPr>
                    <w:t>(0.0725)</w:t>
                  </w:r>
                </w:p>
              </w:tc>
              <w:tc>
                <w:tcPr>
                  <w:tcW w:w="296" w:type="dxa"/>
                  <w:tcBorders>
                    <w:top w:val="nil"/>
                    <w:left w:val="nil"/>
                    <w:bottom w:val="nil"/>
                    <w:right w:val="nil"/>
                  </w:tcBorders>
                  <w:shd w:val="clear" w:color="000000" w:fill="FFFFFF"/>
                  <w:noWrap/>
                </w:tcPr>
                <w:p w14:paraId="2FCB91E4" w14:textId="4EE02AD1" w:rsidR="006956AC" w:rsidRPr="0054015A" w:rsidRDefault="006956AC" w:rsidP="006956AC">
                  <w:pPr>
                    <w:spacing w:after="0"/>
                    <w:ind w:firstLine="0"/>
                    <w:jc w:val="center"/>
                    <w:rPr>
                      <w:color w:val="000000"/>
                      <w:sz w:val="14"/>
                      <w:szCs w:val="16"/>
                    </w:rPr>
                  </w:pPr>
                  <w:r w:rsidRPr="00267E15">
                    <w:rPr>
                      <w:color w:val="000000"/>
                      <w:sz w:val="14"/>
                      <w:szCs w:val="16"/>
                    </w:rPr>
                    <w:t> </w:t>
                  </w:r>
                </w:p>
              </w:tc>
              <w:tc>
                <w:tcPr>
                  <w:tcW w:w="1416" w:type="dxa"/>
                  <w:tcBorders>
                    <w:top w:val="nil"/>
                    <w:left w:val="nil"/>
                    <w:bottom w:val="nil"/>
                    <w:right w:val="nil"/>
                  </w:tcBorders>
                  <w:shd w:val="clear" w:color="000000" w:fill="FFFFFF"/>
                  <w:noWrap/>
                </w:tcPr>
                <w:p w14:paraId="2FA89AD1" w14:textId="77777777" w:rsidR="006956AC" w:rsidRPr="00324EE3" w:rsidDel="007349B4"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tcPr>
                <w:p w14:paraId="7248063C" w14:textId="08D76082" w:rsidR="006956AC" w:rsidRPr="00267E15" w:rsidRDefault="006956AC" w:rsidP="006956AC">
                  <w:pPr>
                    <w:spacing w:after="0"/>
                    <w:ind w:firstLine="0"/>
                    <w:jc w:val="center"/>
                    <w:rPr>
                      <w:color w:val="000000"/>
                      <w:sz w:val="14"/>
                      <w:szCs w:val="16"/>
                      <w:lang w:val="en-US"/>
                    </w:rPr>
                  </w:pPr>
                  <w:r w:rsidRPr="00267E15">
                    <w:rPr>
                      <w:color w:val="000000"/>
                      <w:sz w:val="14"/>
                      <w:szCs w:val="16"/>
                      <w:lang w:val="en-US"/>
                    </w:rPr>
                    <w:t>(0.0873)</w:t>
                  </w:r>
                </w:p>
              </w:tc>
            </w:tr>
            <w:tr w:rsidR="0054015A" w:rsidRPr="004E6ACD" w14:paraId="256DD37A" w14:textId="77777777" w:rsidTr="00F556AF">
              <w:trPr>
                <w:trHeight w:val="355"/>
              </w:trPr>
              <w:tc>
                <w:tcPr>
                  <w:tcW w:w="2585" w:type="dxa"/>
                  <w:gridSpan w:val="2"/>
                  <w:tcBorders>
                    <w:top w:val="nil"/>
                    <w:left w:val="nil"/>
                    <w:bottom w:val="nil"/>
                    <w:right w:val="nil"/>
                  </w:tcBorders>
                  <w:shd w:val="clear" w:color="000000" w:fill="FFFFFF"/>
                  <w:vAlign w:val="bottom"/>
                </w:tcPr>
                <w:p w14:paraId="451B16EC" w14:textId="45FF1DB4" w:rsidR="006956AC" w:rsidRPr="00267E15" w:rsidRDefault="006956AC" w:rsidP="00BE4584">
                  <w:pPr>
                    <w:spacing w:after="0"/>
                    <w:ind w:firstLine="0"/>
                    <w:jc w:val="left"/>
                    <w:rPr>
                      <w:color w:val="000000"/>
                      <w:sz w:val="14"/>
                      <w:szCs w:val="16"/>
                      <w:lang w:val="en-US"/>
                    </w:rPr>
                  </w:pPr>
                  <w:r w:rsidRPr="005205BC">
                    <w:rPr>
                      <w:color w:val="000000"/>
                      <w:sz w:val="16"/>
                      <w:szCs w:val="16"/>
                      <w:lang w:val="en-US"/>
                    </w:rPr>
                    <w:t>Household Income</w:t>
                  </w:r>
                </w:p>
              </w:tc>
              <w:tc>
                <w:tcPr>
                  <w:tcW w:w="1276" w:type="dxa"/>
                  <w:tcBorders>
                    <w:top w:val="nil"/>
                    <w:left w:val="nil"/>
                    <w:bottom w:val="nil"/>
                    <w:right w:val="nil"/>
                  </w:tcBorders>
                  <w:shd w:val="clear" w:color="000000" w:fill="FFFFFF"/>
                  <w:noWrap/>
                  <w:vAlign w:val="bottom"/>
                </w:tcPr>
                <w:p w14:paraId="3B4B37AC" w14:textId="67236944" w:rsidR="006956AC" w:rsidRPr="00267E15" w:rsidRDefault="006956AC" w:rsidP="006956AC">
                  <w:pPr>
                    <w:spacing w:after="0"/>
                    <w:ind w:firstLine="0"/>
                    <w:jc w:val="center"/>
                    <w:rPr>
                      <w:color w:val="000000"/>
                      <w:sz w:val="14"/>
                      <w:szCs w:val="16"/>
                    </w:rPr>
                  </w:pPr>
                  <w:r w:rsidRPr="005205BC">
                    <w:rPr>
                      <w:color w:val="000000"/>
                      <w:sz w:val="16"/>
                      <w:szCs w:val="16"/>
                    </w:rPr>
                    <w:t> </w:t>
                  </w:r>
                </w:p>
              </w:tc>
              <w:tc>
                <w:tcPr>
                  <w:tcW w:w="1173" w:type="dxa"/>
                  <w:tcBorders>
                    <w:top w:val="nil"/>
                    <w:left w:val="nil"/>
                    <w:bottom w:val="nil"/>
                    <w:right w:val="nil"/>
                  </w:tcBorders>
                  <w:shd w:val="clear" w:color="000000" w:fill="FFFFFF"/>
                  <w:noWrap/>
                  <w:vAlign w:val="bottom"/>
                </w:tcPr>
                <w:p w14:paraId="4FA39674" w14:textId="548A3E9A" w:rsidR="006956AC" w:rsidRPr="00267E15" w:rsidRDefault="006956AC" w:rsidP="006956AC">
                  <w:pPr>
                    <w:spacing w:after="0"/>
                    <w:ind w:firstLine="0"/>
                    <w:jc w:val="center"/>
                    <w:rPr>
                      <w:color w:val="000000"/>
                      <w:sz w:val="14"/>
                      <w:szCs w:val="16"/>
                    </w:rPr>
                  </w:pPr>
                  <w:r w:rsidRPr="005205BC">
                    <w:rPr>
                      <w:color w:val="000000"/>
                      <w:sz w:val="16"/>
                      <w:szCs w:val="16"/>
                    </w:rPr>
                    <w:t>0.135</w:t>
                  </w:r>
                </w:p>
              </w:tc>
              <w:tc>
                <w:tcPr>
                  <w:tcW w:w="296" w:type="dxa"/>
                  <w:tcBorders>
                    <w:top w:val="nil"/>
                    <w:left w:val="nil"/>
                    <w:bottom w:val="nil"/>
                    <w:right w:val="nil"/>
                  </w:tcBorders>
                  <w:shd w:val="clear" w:color="000000" w:fill="FFFFFF"/>
                  <w:noWrap/>
                  <w:vAlign w:val="bottom"/>
                </w:tcPr>
                <w:p w14:paraId="51CFB93B" w14:textId="56907F2C" w:rsidR="006956AC" w:rsidRPr="00267E15" w:rsidRDefault="006956AC" w:rsidP="006956AC">
                  <w:pPr>
                    <w:spacing w:after="0"/>
                    <w:ind w:firstLine="0"/>
                    <w:jc w:val="center"/>
                    <w:rPr>
                      <w:color w:val="000000"/>
                      <w:sz w:val="14"/>
                      <w:szCs w:val="16"/>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2901E527" w14:textId="77777777" w:rsidR="006956AC" w:rsidRPr="0054015A" w:rsidDel="007349B4"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vAlign w:val="bottom"/>
                </w:tcPr>
                <w:p w14:paraId="48C0BF0B" w14:textId="006BA40A" w:rsidR="006956AC" w:rsidRPr="00267E15" w:rsidRDefault="006956AC" w:rsidP="006956AC">
                  <w:pPr>
                    <w:spacing w:after="0"/>
                    <w:ind w:firstLine="0"/>
                    <w:jc w:val="center"/>
                    <w:rPr>
                      <w:color w:val="000000"/>
                      <w:sz w:val="14"/>
                      <w:szCs w:val="16"/>
                      <w:lang w:val="en-US"/>
                    </w:rPr>
                  </w:pPr>
                  <w:r w:rsidRPr="005205BC">
                    <w:rPr>
                      <w:color w:val="000000"/>
                      <w:sz w:val="16"/>
                      <w:szCs w:val="16"/>
                      <w:lang w:val="en-US"/>
                    </w:rPr>
                    <w:t>-0.201*</w:t>
                  </w:r>
                </w:p>
              </w:tc>
            </w:tr>
            <w:tr w:rsidR="0054015A" w:rsidRPr="004E6ACD" w14:paraId="5BC372FF" w14:textId="77777777" w:rsidTr="00F556AF">
              <w:trPr>
                <w:trHeight w:val="57"/>
              </w:trPr>
              <w:tc>
                <w:tcPr>
                  <w:tcW w:w="2585" w:type="dxa"/>
                  <w:gridSpan w:val="2"/>
                  <w:tcBorders>
                    <w:top w:val="nil"/>
                    <w:left w:val="nil"/>
                    <w:bottom w:val="nil"/>
                    <w:right w:val="nil"/>
                  </w:tcBorders>
                  <w:shd w:val="clear" w:color="000000" w:fill="FFFFFF"/>
                </w:tcPr>
                <w:p w14:paraId="6EA51B18" w14:textId="3C80BA12" w:rsidR="006956AC" w:rsidRPr="00267E15" w:rsidRDefault="006956AC" w:rsidP="00BE4584">
                  <w:pPr>
                    <w:spacing w:after="0"/>
                    <w:ind w:firstLine="0"/>
                    <w:jc w:val="left"/>
                    <w:rPr>
                      <w:color w:val="000000"/>
                      <w:sz w:val="14"/>
                      <w:szCs w:val="16"/>
                      <w:lang w:val="en-US"/>
                    </w:rPr>
                  </w:pPr>
                  <w:r w:rsidRPr="00267E15">
                    <w:rPr>
                      <w:color w:val="000000"/>
                      <w:sz w:val="14"/>
                      <w:szCs w:val="16"/>
                      <w:lang w:val="en-US"/>
                    </w:rPr>
                    <w:t> </w:t>
                  </w:r>
                </w:p>
              </w:tc>
              <w:tc>
                <w:tcPr>
                  <w:tcW w:w="1276" w:type="dxa"/>
                  <w:tcBorders>
                    <w:top w:val="nil"/>
                    <w:left w:val="nil"/>
                    <w:bottom w:val="nil"/>
                    <w:right w:val="nil"/>
                  </w:tcBorders>
                  <w:shd w:val="clear" w:color="000000" w:fill="FFFFFF"/>
                  <w:noWrap/>
                </w:tcPr>
                <w:p w14:paraId="4F0D4A79" w14:textId="316F2559" w:rsidR="006956AC" w:rsidRPr="00267E15" w:rsidRDefault="006956AC" w:rsidP="006956AC">
                  <w:pPr>
                    <w:spacing w:after="0"/>
                    <w:ind w:firstLine="0"/>
                    <w:jc w:val="center"/>
                    <w:rPr>
                      <w:color w:val="000000"/>
                      <w:sz w:val="14"/>
                      <w:szCs w:val="16"/>
                    </w:rPr>
                  </w:pPr>
                  <w:r w:rsidRPr="00267E15">
                    <w:rPr>
                      <w:color w:val="000000"/>
                      <w:sz w:val="14"/>
                      <w:szCs w:val="16"/>
                    </w:rPr>
                    <w:t> </w:t>
                  </w:r>
                </w:p>
              </w:tc>
              <w:tc>
                <w:tcPr>
                  <w:tcW w:w="1173" w:type="dxa"/>
                  <w:tcBorders>
                    <w:top w:val="nil"/>
                    <w:left w:val="nil"/>
                    <w:bottom w:val="nil"/>
                    <w:right w:val="nil"/>
                  </w:tcBorders>
                  <w:shd w:val="clear" w:color="000000" w:fill="FFFFFF"/>
                  <w:noWrap/>
                </w:tcPr>
                <w:p w14:paraId="4BEEED61" w14:textId="0FF8A05A" w:rsidR="006956AC" w:rsidRPr="00267E15" w:rsidRDefault="006956AC" w:rsidP="006956AC">
                  <w:pPr>
                    <w:spacing w:after="0"/>
                    <w:ind w:firstLine="0"/>
                    <w:jc w:val="center"/>
                    <w:rPr>
                      <w:color w:val="000000"/>
                      <w:sz w:val="14"/>
                      <w:szCs w:val="16"/>
                    </w:rPr>
                  </w:pPr>
                  <w:r w:rsidRPr="00267E15">
                    <w:rPr>
                      <w:color w:val="000000"/>
                      <w:sz w:val="14"/>
                      <w:szCs w:val="16"/>
                    </w:rPr>
                    <w:t>(0.0918)</w:t>
                  </w:r>
                </w:p>
              </w:tc>
              <w:tc>
                <w:tcPr>
                  <w:tcW w:w="296" w:type="dxa"/>
                  <w:tcBorders>
                    <w:top w:val="nil"/>
                    <w:left w:val="nil"/>
                    <w:bottom w:val="nil"/>
                    <w:right w:val="nil"/>
                  </w:tcBorders>
                  <w:shd w:val="clear" w:color="000000" w:fill="FFFFFF"/>
                  <w:noWrap/>
                </w:tcPr>
                <w:p w14:paraId="281591E2" w14:textId="502C4814" w:rsidR="006956AC" w:rsidRPr="00267E15" w:rsidRDefault="006956AC" w:rsidP="006956AC">
                  <w:pPr>
                    <w:spacing w:after="0"/>
                    <w:ind w:firstLine="0"/>
                    <w:jc w:val="center"/>
                    <w:rPr>
                      <w:color w:val="000000"/>
                      <w:sz w:val="14"/>
                      <w:szCs w:val="16"/>
                    </w:rPr>
                  </w:pPr>
                  <w:r w:rsidRPr="00267E15">
                    <w:rPr>
                      <w:color w:val="000000"/>
                      <w:sz w:val="14"/>
                      <w:szCs w:val="16"/>
                    </w:rPr>
                    <w:t> </w:t>
                  </w:r>
                </w:p>
              </w:tc>
              <w:tc>
                <w:tcPr>
                  <w:tcW w:w="1416" w:type="dxa"/>
                  <w:tcBorders>
                    <w:top w:val="nil"/>
                    <w:left w:val="nil"/>
                    <w:bottom w:val="nil"/>
                    <w:right w:val="nil"/>
                  </w:tcBorders>
                  <w:shd w:val="clear" w:color="000000" w:fill="FFFFFF"/>
                  <w:noWrap/>
                </w:tcPr>
                <w:p w14:paraId="5E8A574D" w14:textId="77777777" w:rsidR="006956AC" w:rsidRPr="0054015A" w:rsidDel="007349B4"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tcPr>
                <w:p w14:paraId="7C441AC2" w14:textId="4DD6079F" w:rsidR="006956AC" w:rsidRPr="00267E15" w:rsidRDefault="006956AC" w:rsidP="006956AC">
                  <w:pPr>
                    <w:spacing w:after="0"/>
                    <w:ind w:firstLine="0"/>
                    <w:jc w:val="center"/>
                    <w:rPr>
                      <w:color w:val="000000"/>
                      <w:sz w:val="14"/>
                      <w:szCs w:val="16"/>
                      <w:lang w:val="en-US"/>
                    </w:rPr>
                  </w:pPr>
                  <w:r w:rsidRPr="00267E15">
                    <w:rPr>
                      <w:color w:val="000000"/>
                      <w:sz w:val="14"/>
                      <w:szCs w:val="16"/>
                      <w:lang w:val="en-US"/>
                    </w:rPr>
                    <w:t>(0.117)</w:t>
                  </w:r>
                </w:p>
              </w:tc>
            </w:tr>
            <w:tr w:rsidR="00A01C48" w:rsidRPr="004E6ACD" w14:paraId="2E6D676C" w14:textId="77777777" w:rsidTr="00F556AF">
              <w:trPr>
                <w:trHeight w:val="372"/>
              </w:trPr>
              <w:tc>
                <w:tcPr>
                  <w:tcW w:w="2585" w:type="dxa"/>
                  <w:gridSpan w:val="2"/>
                  <w:tcBorders>
                    <w:top w:val="nil"/>
                    <w:left w:val="nil"/>
                    <w:bottom w:val="nil"/>
                    <w:right w:val="nil"/>
                  </w:tcBorders>
                  <w:shd w:val="clear" w:color="000000" w:fill="FFFFFF"/>
                  <w:vAlign w:val="bottom"/>
                  <w:hideMark/>
                </w:tcPr>
                <w:p w14:paraId="263A4FAA" w14:textId="77777777" w:rsidR="006956AC" w:rsidRPr="005205BC" w:rsidRDefault="006956AC" w:rsidP="00BE4584">
                  <w:pPr>
                    <w:spacing w:after="0"/>
                    <w:ind w:firstLine="0"/>
                    <w:jc w:val="left"/>
                    <w:rPr>
                      <w:color w:val="000000"/>
                      <w:sz w:val="16"/>
                      <w:szCs w:val="16"/>
                      <w:lang w:val="en-US"/>
                    </w:rPr>
                  </w:pPr>
                  <w:r w:rsidRPr="005205BC">
                    <w:rPr>
                      <w:color w:val="000000"/>
                      <w:sz w:val="16"/>
                      <w:szCs w:val="16"/>
                      <w:lang w:val="en-US"/>
                    </w:rPr>
                    <w:t>Stocks of cereals (days)</w:t>
                  </w:r>
                </w:p>
              </w:tc>
              <w:tc>
                <w:tcPr>
                  <w:tcW w:w="1276" w:type="dxa"/>
                  <w:tcBorders>
                    <w:top w:val="nil"/>
                    <w:left w:val="nil"/>
                    <w:bottom w:val="nil"/>
                    <w:right w:val="nil"/>
                  </w:tcBorders>
                  <w:shd w:val="clear" w:color="000000" w:fill="FFFFFF"/>
                  <w:noWrap/>
                  <w:vAlign w:val="bottom"/>
                  <w:hideMark/>
                </w:tcPr>
                <w:p w14:paraId="260EF5F7" w14:textId="77777777" w:rsidR="006956AC" w:rsidRPr="005205BC" w:rsidRDefault="006956AC" w:rsidP="006956AC">
                  <w:pPr>
                    <w:spacing w:after="0"/>
                    <w:ind w:firstLine="0"/>
                    <w:jc w:val="center"/>
                    <w:rPr>
                      <w:color w:val="000000"/>
                      <w:sz w:val="16"/>
                      <w:szCs w:val="16"/>
                      <w:lang w:val="en-US"/>
                    </w:rPr>
                  </w:pPr>
                  <w:r w:rsidRPr="005205BC">
                    <w:rPr>
                      <w:color w:val="000000"/>
                      <w:sz w:val="16"/>
                      <w:szCs w:val="16"/>
                    </w:rPr>
                    <w:t> </w:t>
                  </w:r>
                </w:p>
              </w:tc>
              <w:tc>
                <w:tcPr>
                  <w:tcW w:w="1173" w:type="dxa"/>
                  <w:tcBorders>
                    <w:top w:val="nil"/>
                    <w:left w:val="nil"/>
                    <w:bottom w:val="nil"/>
                    <w:right w:val="nil"/>
                  </w:tcBorders>
                  <w:shd w:val="clear" w:color="000000" w:fill="FFFFFF"/>
                  <w:noWrap/>
                  <w:vAlign w:val="bottom"/>
                  <w:hideMark/>
                </w:tcPr>
                <w:p w14:paraId="26FEC9F7" w14:textId="77777777" w:rsidR="006956AC" w:rsidRPr="005205BC" w:rsidRDefault="006956AC" w:rsidP="006956AC">
                  <w:pPr>
                    <w:spacing w:after="0"/>
                    <w:ind w:firstLine="0"/>
                    <w:jc w:val="center"/>
                    <w:rPr>
                      <w:color w:val="000000"/>
                      <w:sz w:val="16"/>
                      <w:szCs w:val="16"/>
                    </w:rPr>
                  </w:pPr>
                  <w:r w:rsidRPr="005205BC">
                    <w:rPr>
                      <w:color w:val="000000"/>
                      <w:sz w:val="16"/>
                      <w:szCs w:val="16"/>
                    </w:rPr>
                    <w:t>-0.0264**</w:t>
                  </w:r>
                </w:p>
              </w:tc>
              <w:tc>
                <w:tcPr>
                  <w:tcW w:w="296" w:type="dxa"/>
                  <w:tcBorders>
                    <w:top w:val="nil"/>
                    <w:left w:val="nil"/>
                    <w:bottom w:val="nil"/>
                    <w:right w:val="nil"/>
                  </w:tcBorders>
                  <w:shd w:val="clear" w:color="000000" w:fill="FFFFFF"/>
                  <w:noWrap/>
                  <w:vAlign w:val="bottom"/>
                  <w:hideMark/>
                </w:tcPr>
                <w:p w14:paraId="1796DC47" w14:textId="77777777" w:rsidR="006956AC" w:rsidRPr="005205BC" w:rsidRDefault="006956AC" w:rsidP="006956AC">
                  <w:pPr>
                    <w:spacing w:after="0"/>
                    <w:ind w:firstLine="0"/>
                    <w:jc w:val="center"/>
                    <w:rPr>
                      <w:color w:val="000000"/>
                      <w:sz w:val="16"/>
                      <w:szCs w:val="16"/>
                      <w:lang w:val="en-US"/>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118D5794" w14:textId="51E11456" w:rsidR="006956AC" w:rsidRPr="005205BC" w:rsidRDefault="006956AC" w:rsidP="006956AC">
                  <w:pPr>
                    <w:spacing w:after="0"/>
                    <w:ind w:firstLine="0"/>
                    <w:jc w:val="center"/>
                    <w:rPr>
                      <w:color w:val="000000"/>
                      <w:sz w:val="16"/>
                      <w:szCs w:val="16"/>
                      <w:lang w:val="en-US"/>
                    </w:rPr>
                  </w:pPr>
                </w:p>
              </w:tc>
              <w:tc>
                <w:tcPr>
                  <w:tcW w:w="1416" w:type="dxa"/>
                  <w:tcBorders>
                    <w:top w:val="nil"/>
                    <w:left w:val="nil"/>
                    <w:bottom w:val="nil"/>
                    <w:right w:val="nil"/>
                  </w:tcBorders>
                  <w:shd w:val="clear" w:color="000000" w:fill="FFFFFF"/>
                  <w:noWrap/>
                  <w:vAlign w:val="bottom"/>
                </w:tcPr>
                <w:p w14:paraId="76657CB0" w14:textId="42D6073A" w:rsidR="006956AC" w:rsidRPr="005205BC" w:rsidRDefault="006956AC" w:rsidP="006956AC">
                  <w:pPr>
                    <w:spacing w:after="0"/>
                    <w:ind w:firstLine="0"/>
                    <w:jc w:val="center"/>
                    <w:rPr>
                      <w:color w:val="000000"/>
                      <w:sz w:val="16"/>
                      <w:szCs w:val="16"/>
                    </w:rPr>
                  </w:pPr>
                </w:p>
              </w:tc>
            </w:tr>
            <w:tr w:rsidR="00A01C48" w:rsidRPr="004E6ACD" w14:paraId="4A6D9A34" w14:textId="77777777" w:rsidTr="00F556AF">
              <w:trPr>
                <w:trHeight w:val="290"/>
              </w:trPr>
              <w:tc>
                <w:tcPr>
                  <w:tcW w:w="2585" w:type="dxa"/>
                  <w:gridSpan w:val="2"/>
                  <w:tcBorders>
                    <w:top w:val="nil"/>
                    <w:left w:val="nil"/>
                    <w:bottom w:val="nil"/>
                    <w:right w:val="nil"/>
                  </w:tcBorders>
                  <w:shd w:val="clear" w:color="000000" w:fill="FFFFFF"/>
                  <w:hideMark/>
                </w:tcPr>
                <w:p w14:paraId="36255AE6" w14:textId="77777777" w:rsidR="006956AC" w:rsidRPr="00BE4584" w:rsidRDefault="006956AC" w:rsidP="00BE4584">
                  <w:pPr>
                    <w:spacing w:after="0"/>
                    <w:ind w:firstLine="0"/>
                    <w:jc w:val="left"/>
                    <w:rPr>
                      <w:color w:val="000000"/>
                      <w:sz w:val="14"/>
                      <w:szCs w:val="16"/>
                      <w:lang w:val="en-US"/>
                    </w:rPr>
                  </w:pPr>
                  <w:r w:rsidRPr="00BE4584">
                    <w:rPr>
                      <w:color w:val="000000"/>
                      <w:sz w:val="14"/>
                      <w:szCs w:val="16"/>
                      <w:lang w:val="en-US"/>
                    </w:rPr>
                    <w:t> </w:t>
                  </w:r>
                </w:p>
              </w:tc>
              <w:tc>
                <w:tcPr>
                  <w:tcW w:w="1276" w:type="dxa"/>
                  <w:tcBorders>
                    <w:top w:val="nil"/>
                    <w:left w:val="nil"/>
                    <w:bottom w:val="nil"/>
                    <w:right w:val="nil"/>
                  </w:tcBorders>
                  <w:shd w:val="clear" w:color="000000" w:fill="FFFFFF"/>
                  <w:noWrap/>
                  <w:hideMark/>
                </w:tcPr>
                <w:p w14:paraId="521CFA07" w14:textId="77777777" w:rsidR="006956AC" w:rsidRPr="00BE4584" w:rsidRDefault="006956AC" w:rsidP="006956AC">
                  <w:pPr>
                    <w:spacing w:after="0"/>
                    <w:ind w:firstLine="0"/>
                    <w:jc w:val="center"/>
                    <w:rPr>
                      <w:color w:val="000000"/>
                      <w:sz w:val="14"/>
                      <w:szCs w:val="16"/>
                      <w:lang w:val="en-US"/>
                    </w:rPr>
                  </w:pPr>
                  <w:r w:rsidRPr="00BE4584">
                    <w:rPr>
                      <w:color w:val="000000"/>
                      <w:sz w:val="14"/>
                      <w:szCs w:val="16"/>
                    </w:rPr>
                    <w:t> </w:t>
                  </w:r>
                </w:p>
              </w:tc>
              <w:tc>
                <w:tcPr>
                  <w:tcW w:w="1173" w:type="dxa"/>
                  <w:tcBorders>
                    <w:top w:val="nil"/>
                    <w:left w:val="nil"/>
                    <w:bottom w:val="nil"/>
                    <w:right w:val="nil"/>
                  </w:tcBorders>
                  <w:shd w:val="clear" w:color="000000" w:fill="FFFFFF"/>
                  <w:noWrap/>
                  <w:hideMark/>
                </w:tcPr>
                <w:p w14:paraId="3CB0BB88" w14:textId="77777777" w:rsidR="006956AC" w:rsidRPr="00BE4584" w:rsidRDefault="006956AC" w:rsidP="006956AC">
                  <w:pPr>
                    <w:spacing w:after="0"/>
                    <w:ind w:firstLine="0"/>
                    <w:jc w:val="center"/>
                    <w:rPr>
                      <w:color w:val="000000"/>
                      <w:sz w:val="14"/>
                      <w:szCs w:val="16"/>
                    </w:rPr>
                  </w:pPr>
                  <w:r w:rsidRPr="00BE4584">
                    <w:rPr>
                      <w:color w:val="000000"/>
                      <w:sz w:val="14"/>
                      <w:szCs w:val="16"/>
                    </w:rPr>
                    <w:t>(0.0106)</w:t>
                  </w:r>
                </w:p>
              </w:tc>
              <w:tc>
                <w:tcPr>
                  <w:tcW w:w="296" w:type="dxa"/>
                  <w:tcBorders>
                    <w:top w:val="nil"/>
                    <w:left w:val="nil"/>
                    <w:bottom w:val="nil"/>
                    <w:right w:val="nil"/>
                  </w:tcBorders>
                  <w:shd w:val="clear" w:color="000000" w:fill="FFFFFF"/>
                  <w:noWrap/>
                  <w:hideMark/>
                </w:tcPr>
                <w:p w14:paraId="631713D7" w14:textId="77777777" w:rsidR="006956AC" w:rsidRPr="00BE4584" w:rsidRDefault="006956AC" w:rsidP="006956AC">
                  <w:pPr>
                    <w:spacing w:after="0"/>
                    <w:ind w:firstLine="0"/>
                    <w:jc w:val="center"/>
                    <w:rPr>
                      <w:color w:val="000000"/>
                      <w:sz w:val="14"/>
                      <w:szCs w:val="16"/>
                      <w:lang w:val="en-US"/>
                    </w:rPr>
                  </w:pPr>
                  <w:r w:rsidRPr="00BE4584">
                    <w:rPr>
                      <w:color w:val="000000"/>
                      <w:sz w:val="14"/>
                      <w:szCs w:val="16"/>
                    </w:rPr>
                    <w:t> </w:t>
                  </w:r>
                </w:p>
              </w:tc>
              <w:tc>
                <w:tcPr>
                  <w:tcW w:w="1416" w:type="dxa"/>
                  <w:tcBorders>
                    <w:top w:val="nil"/>
                    <w:left w:val="nil"/>
                    <w:bottom w:val="nil"/>
                    <w:right w:val="nil"/>
                  </w:tcBorders>
                  <w:shd w:val="clear" w:color="000000" w:fill="FFFFFF"/>
                  <w:noWrap/>
                </w:tcPr>
                <w:p w14:paraId="07610B3B" w14:textId="27E020B3" w:rsidR="006956AC" w:rsidRPr="00BE4584" w:rsidRDefault="006956AC" w:rsidP="006956AC">
                  <w:pPr>
                    <w:spacing w:after="0"/>
                    <w:ind w:firstLine="0"/>
                    <w:jc w:val="center"/>
                    <w:rPr>
                      <w:color w:val="000000"/>
                      <w:sz w:val="14"/>
                      <w:szCs w:val="16"/>
                      <w:lang w:val="en-US"/>
                    </w:rPr>
                  </w:pPr>
                </w:p>
              </w:tc>
              <w:tc>
                <w:tcPr>
                  <w:tcW w:w="1416" w:type="dxa"/>
                  <w:tcBorders>
                    <w:top w:val="nil"/>
                    <w:left w:val="nil"/>
                    <w:bottom w:val="nil"/>
                    <w:right w:val="nil"/>
                  </w:tcBorders>
                  <w:shd w:val="clear" w:color="000000" w:fill="FFFFFF"/>
                  <w:noWrap/>
                </w:tcPr>
                <w:p w14:paraId="30F88E08" w14:textId="5C534AB1" w:rsidR="006956AC" w:rsidRPr="00BE4584" w:rsidRDefault="006956AC" w:rsidP="006956AC">
                  <w:pPr>
                    <w:spacing w:after="0"/>
                    <w:ind w:firstLine="0"/>
                    <w:jc w:val="center"/>
                    <w:rPr>
                      <w:color w:val="000000"/>
                      <w:sz w:val="14"/>
                      <w:szCs w:val="16"/>
                    </w:rPr>
                  </w:pPr>
                </w:p>
              </w:tc>
            </w:tr>
            <w:tr w:rsidR="0054015A" w:rsidRPr="004E6ACD" w14:paraId="678E4629" w14:textId="77777777" w:rsidTr="00F556AF">
              <w:trPr>
                <w:trHeight w:val="145"/>
              </w:trPr>
              <w:tc>
                <w:tcPr>
                  <w:tcW w:w="2585" w:type="dxa"/>
                  <w:gridSpan w:val="2"/>
                  <w:tcBorders>
                    <w:top w:val="nil"/>
                    <w:left w:val="nil"/>
                    <w:bottom w:val="nil"/>
                    <w:right w:val="nil"/>
                  </w:tcBorders>
                  <w:shd w:val="clear" w:color="000000" w:fill="FFFFFF"/>
                  <w:vAlign w:val="bottom"/>
                </w:tcPr>
                <w:p w14:paraId="0EDBF962" w14:textId="58E28B77" w:rsidR="006956AC" w:rsidRPr="0054015A" w:rsidRDefault="006956AC" w:rsidP="00BE4584">
                  <w:pPr>
                    <w:spacing w:after="0"/>
                    <w:ind w:firstLine="0"/>
                    <w:jc w:val="left"/>
                    <w:rPr>
                      <w:color w:val="000000"/>
                      <w:sz w:val="14"/>
                      <w:szCs w:val="16"/>
                      <w:lang w:val="en-US"/>
                    </w:rPr>
                  </w:pPr>
                  <w:r w:rsidRPr="005205BC">
                    <w:rPr>
                      <w:color w:val="000000"/>
                      <w:sz w:val="16"/>
                      <w:szCs w:val="16"/>
                      <w:lang w:val="en-US"/>
                    </w:rPr>
                    <w:t>Stocks of soft drinks (days)</w:t>
                  </w:r>
                </w:p>
              </w:tc>
              <w:tc>
                <w:tcPr>
                  <w:tcW w:w="1276" w:type="dxa"/>
                  <w:tcBorders>
                    <w:top w:val="nil"/>
                    <w:left w:val="nil"/>
                    <w:bottom w:val="nil"/>
                    <w:right w:val="nil"/>
                  </w:tcBorders>
                  <w:shd w:val="clear" w:color="000000" w:fill="FFFFFF"/>
                  <w:noWrap/>
                  <w:vAlign w:val="bottom"/>
                </w:tcPr>
                <w:p w14:paraId="27FAE857" w14:textId="060D33D8" w:rsidR="006956AC" w:rsidRPr="0054015A" w:rsidRDefault="006956AC" w:rsidP="006956AC">
                  <w:pPr>
                    <w:spacing w:after="0"/>
                    <w:ind w:firstLine="0"/>
                    <w:jc w:val="center"/>
                    <w:rPr>
                      <w:color w:val="000000"/>
                      <w:sz w:val="14"/>
                      <w:szCs w:val="16"/>
                    </w:rPr>
                  </w:pPr>
                  <w:r w:rsidRPr="005205BC">
                    <w:rPr>
                      <w:color w:val="000000"/>
                      <w:sz w:val="16"/>
                      <w:szCs w:val="16"/>
                      <w:lang w:val="en-US"/>
                    </w:rPr>
                    <w:t> </w:t>
                  </w:r>
                </w:p>
              </w:tc>
              <w:tc>
                <w:tcPr>
                  <w:tcW w:w="1173" w:type="dxa"/>
                  <w:tcBorders>
                    <w:top w:val="nil"/>
                    <w:left w:val="nil"/>
                    <w:bottom w:val="nil"/>
                    <w:right w:val="nil"/>
                  </w:tcBorders>
                  <w:shd w:val="clear" w:color="000000" w:fill="FFFFFF"/>
                  <w:noWrap/>
                  <w:vAlign w:val="bottom"/>
                </w:tcPr>
                <w:p w14:paraId="5FB00CDF" w14:textId="7D8181BA" w:rsidR="006956AC" w:rsidRPr="00324EE3" w:rsidRDefault="006956AC" w:rsidP="006956AC">
                  <w:pPr>
                    <w:spacing w:after="0"/>
                    <w:ind w:firstLine="0"/>
                    <w:jc w:val="center"/>
                    <w:rPr>
                      <w:color w:val="000000"/>
                      <w:sz w:val="14"/>
                      <w:szCs w:val="16"/>
                    </w:rPr>
                  </w:pPr>
                </w:p>
              </w:tc>
              <w:tc>
                <w:tcPr>
                  <w:tcW w:w="296" w:type="dxa"/>
                  <w:tcBorders>
                    <w:top w:val="nil"/>
                    <w:left w:val="nil"/>
                    <w:bottom w:val="nil"/>
                    <w:right w:val="nil"/>
                  </w:tcBorders>
                  <w:shd w:val="clear" w:color="000000" w:fill="FFFFFF"/>
                  <w:noWrap/>
                </w:tcPr>
                <w:p w14:paraId="7FEABAD9" w14:textId="77777777" w:rsidR="006956AC" w:rsidRPr="00A93242"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tcPr>
                <w:p w14:paraId="6B0F0FFD" w14:textId="77777777" w:rsidR="006956AC" w:rsidRPr="00027984" w:rsidDel="007349B4"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vAlign w:val="bottom"/>
                </w:tcPr>
                <w:p w14:paraId="3BE5522C" w14:textId="67B27445" w:rsidR="006956AC" w:rsidRPr="0054015A" w:rsidDel="007349B4" w:rsidRDefault="006956AC" w:rsidP="006956AC">
                  <w:pPr>
                    <w:spacing w:after="0"/>
                    <w:ind w:firstLine="0"/>
                    <w:jc w:val="center"/>
                    <w:rPr>
                      <w:color w:val="000000"/>
                      <w:sz w:val="14"/>
                      <w:szCs w:val="16"/>
                    </w:rPr>
                  </w:pPr>
                  <w:r w:rsidRPr="005205BC">
                    <w:rPr>
                      <w:color w:val="000000"/>
                      <w:sz w:val="16"/>
                      <w:szCs w:val="16"/>
                      <w:lang w:val="en-US"/>
                    </w:rPr>
                    <w:t>-0.0310**</w:t>
                  </w:r>
                </w:p>
              </w:tc>
            </w:tr>
            <w:tr w:rsidR="0054015A" w:rsidRPr="004E6ACD" w14:paraId="3E82DBF9" w14:textId="77777777" w:rsidTr="00F556AF">
              <w:trPr>
                <w:trHeight w:val="163"/>
              </w:trPr>
              <w:tc>
                <w:tcPr>
                  <w:tcW w:w="2585" w:type="dxa"/>
                  <w:gridSpan w:val="2"/>
                  <w:tcBorders>
                    <w:top w:val="nil"/>
                    <w:left w:val="nil"/>
                    <w:bottom w:val="nil"/>
                    <w:right w:val="nil"/>
                  </w:tcBorders>
                  <w:shd w:val="clear" w:color="000000" w:fill="FFFFFF"/>
                </w:tcPr>
                <w:p w14:paraId="0FE47E07" w14:textId="35CCDC97" w:rsidR="006956AC" w:rsidRPr="0054015A" w:rsidRDefault="006956AC" w:rsidP="00BE4584">
                  <w:pPr>
                    <w:spacing w:after="0"/>
                    <w:ind w:firstLine="0"/>
                    <w:jc w:val="left"/>
                    <w:rPr>
                      <w:color w:val="000000"/>
                      <w:sz w:val="14"/>
                      <w:szCs w:val="16"/>
                      <w:lang w:val="en-US"/>
                    </w:rPr>
                  </w:pPr>
                  <w:r w:rsidRPr="00267E15">
                    <w:rPr>
                      <w:color w:val="000000"/>
                      <w:sz w:val="14"/>
                      <w:szCs w:val="16"/>
                      <w:lang w:val="en-US"/>
                    </w:rPr>
                    <w:t> </w:t>
                  </w:r>
                </w:p>
              </w:tc>
              <w:tc>
                <w:tcPr>
                  <w:tcW w:w="1276" w:type="dxa"/>
                  <w:tcBorders>
                    <w:top w:val="nil"/>
                    <w:left w:val="nil"/>
                    <w:bottom w:val="nil"/>
                    <w:right w:val="nil"/>
                  </w:tcBorders>
                  <w:shd w:val="clear" w:color="000000" w:fill="FFFFFF"/>
                  <w:noWrap/>
                </w:tcPr>
                <w:p w14:paraId="4BC390F5" w14:textId="0F375191" w:rsidR="006956AC" w:rsidRPr="0054015A" w:rsidRDefault="006956AC" w:rsidP="006956AC">
                  <w:pPr>
                    <w:spacing w:after="0"/>
                    <w:ind w:firstLine="0"/>
                    <w:jc w:val="center"/>
                    <w:rPr>
                      <w:color w:val="000000"/>
                      <w:sz w:val="14"/>
                      <w:szCs w:val="16"/>
                    </w:rPr>
                  </w:pPr>
                  <w:r w:rsidRPr="00267E15">
                    <w:rPr>
                      <w:color w:val="000000"/>
                      <w:sz w:val="14"/>
                      <w:szCs w:val="16"/>
                      <w:lang w:val="en-US"/>
                    </w:rPr>
                    <w:t> </w:t>
                  </w:r>
                </w:p>
              </w:tc>
              <w:tc>
                <w:tcPr>
                  <w:tcW w:w="1173" w:type="dxa"/>
                  <w:tcBorders>
                    <w:top w:val="nil"/>
                    <w:left w:val="nil"/>
                    <w:bottom w:val="nil"/>
                    <w:right w:val="nil"/>
                  </w:tcBorders>
                  <w:shd w:val="clear" w:color="000000" w:fill="FFFFFF"/>
                  <w:noWrap/>
                </w:tcPr>
                <w:p w14:paraId="289CEC9C" w14:textId="6C5ACB15" w:rsidR="006956AC" w:rsidRPr="00324EE3" w:rsidRDefault="006956AC" w:rsidP="006956AC">
                  <w:pPr>
                    <w:spacing w:after="0"/>
                    <w:ind w:firstLine="0"/>
                    <w:jc w:val="center"/>
                    <w:rPr>
                      <w:color w:val="000000"/>
                      <w:sz w:val="14"/>
                      <w:szCs w:val="16"/>
                    </w:rPr>
                  </w:pPr>
                </w:p>
              </w:tc>
              <w:tc>
                <w:tcPr>
                  <w:tcW w:w="296" w:type="dxa"/>
                  <w:tcBorders>
                    <w:top w:val="nil"/>
                    <w:left w:val="nil"/>
                    <w:bottom w:val="nil"/>
                    <w:right w:val="nil"/>
                  </w:tcBorders>
                  <w:shd w:val="clear" w:color="000000" w:fill="FFFFFF"/>
                  <w:noWrap/>
                </w:tcPr>
                <w:p w14:paraId="272DDBD7" w14:textId="77777777" w:rsidR="006956AC" w:rsidRPr="00A93242"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tcPr>
                <w:p w14:paraId="25577F4E" w14:textId="77777777" w:rsidR="006956AC" w:rsidRPr="00027984" w:rsidDel="007349B4"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tcPr>
                <w:p w14:paraId="28BB8FA8" w14:textId="44236278" w:rsidR="006956AC" w:rsidRPr="0054015A" w:rsidDel="007349B4" w:rsidRDefault="006956AC" w:rsidP="006956AC">
                  <w:pPr>
                    <w:spacing w:after="0"/>
                    <w:ind w:firstLine="0"/>
                    <w:jc w:val="center"/>
                    <w:rPr>
                      <w:color w:val="000000"/>
                      <w:sz w:val="14"/>
                      <w:szCs w:val="16"/>
                    </w:rPr>
                  </w:pPr>
                  <w:r w:rsidRPr="00267E15">
                    <w:rPr>
                      <w:color w:val="000000"/>
                      <w:sz w:val="14"/>
                      <w:szCs w:val="16"/>
                      <w:lang w:val="en-US"/>
                    </w:rPr>
                    <w:t>(0.0144)</w:t>
                  </w:r>
                </w:p>
              </w:tc>
            </w:tr>
            <w:tr w:rsidR="00A01C48" w:rsidRPr="004E6ACD" w14:paraId="2054C081" w14:textId="77777777" w:rsidTr="00F556AF">
              <w:trPr>
                <w:trHeight w:val="209"/>
              </w:trPr>
              <w:tc>
                <w:tcPr>
                  <w:tcW w:w="2585" w:type="dxa"/>
                  <w:gridSpan w:val="2"/>
                  <w:tcBorders>
                    <w:top w:val="nil"/>
                    <w:left w:val="nil"/>
                    <w:bottom w:val="nil"/>
                    <w:right w:val="nil"/>
                  </w:tcBorders>
                  <w:shd w:val="clear" w:color="000000" w:fill="FFFFFF"/>
                  <w:vAlign w:val="bottom"/>
                  <w:hideMark/>
                </w:tcPr>
                <w:p w14:paraId="139B3C4E" w14:textId="12AF885B" w:rsidR="006956AC" w:rsidRPr="005205BC" w:rsidRDefault="006956AC" w:rsidP="00BE4584">
                  <w:pPr>
                    <w:spacing w:after="0"/>
                    <w:ind w:firstLine="0"/>
                    <w:jc w:val="left"/>
                    <w:rPr>
                      <w:color w:val="000000"/>
                      <w:sz w:val="16"/>
                      <w:szCs w:val="16"/>
                      <w:lang w:val="en-US"/>
                    </w:rPr>
                  </w:pPr>
                  <w:r w:rsidRPr="005205BC">
                    <w:rPr>
                      <w:color w:val="000000"/>
                      <w:sz w:val="16"/>
                      <w:szCs w:val="16"/>
                      <w:lang w:val="en-US"/>
                    </w:rPr>
                    <w:t>Accuracy guessing Cereal prices</w:t>
                  </w:r>
                </w:p>
              </w:tc>
              <w:tc>
                <w:tcPr>
                  <w:tcW w:w="1276" w:type="dxa"/>
                  <w:tcBorders>
                    <w:top w:val="nil"/>
                    <w:left w:val="nil"/>
                    <w:bottom w:val="nil"/>
                    <w:right w:val="nil"/>
                  </w:tcBorders>
                  <w:shd w:val="clear" w:color="000000" w:fill="FFFFFF"/>
                  <w:noWrap/>
                  <w:vAlign w:val="bottom"/>
                  <w:hideMark/>
                </w:tcPr>
                <w:p w14:paraId="0DFDB76A" w14:textId="6AD7943D" w:rsidR="006956AC" w:rsidRDefault="006956AC" w:rsidP="006956AC">
                  <w:pPr>
                    <w:spacing w:after="0"/>
                    <w:ind w:firstLine="0"/>
                    <w:jc w:val="center"/>
                    <w:rPr>
                      <w:color w:val="000000"/>
                      <w:sz w:val="16"/>
                      <w:szCs w:val="16"/>
                    </w:rPr>
                  </w:pPr>
                  <w:r w:rsidRPr="005205BC">
                    <w:rPr>
                      <w:color w:val="000000"/>
                      <w:sz w:val="16"/>
                      <w:szCs w:val="16"/>
                    </w:rPr>
                    <w:t> </w:t>
                  </w:r>
                </w:p>
                <w:p w14:paraId="45654A69" w14:textId="5B84BAC3" w:rsidR="009B01C2" w:rsidRPr="005205BC" w:rsidRDefault="009B01C2" w:rsidP="006956AC">
                  <w:pPr>
                    <w:spacing w:after="0"/>
                    <w:ind w:firstLine="0"/>
                    <w:jc w:val="center"/>
                    <w:rPr>
                      <w:color w:val="000000"/>
                      <w:sz w:val="16"/>
                      <w:szCs w:val="16"/>
                      <w:lang w:val="en-US"/>
                    </w:rPr>
                  </w:pPr>
                </w:p>
              </w:tc>
              <w:tc>
                <w:tcPr>
                  <w:tcW w:w="1173" w:type="dxa"/>
                  <w:tcBorders>
                    <w:top w:val="nil"/>
                    <w:left w:val="nil"/>
                    <w:bottom w:val="nil"/>
                    <w:right w:val="nil"/>
                  </w:tcBorders>
                  <w:shd w:val="clear" w:color="000000" w:fill="FFFFFF"/>
                  <w:noWrap/>
                  <w:vAlign w:val="bottom"/>
                  <w:hideMark/>
                </w:tcPr>
                <w:p w14:paraId="59E48253" w14:textId="77777777" w:rsidR="006956AC" w:rsidRPr="005205BC" w:rsidRDefault="006956AC" w:rsidP="006956AC">
                  <w:pPr>
                    <w:spacing w:after="0"/>
                    <w:ind w:firstLine="0"/>
                    <w:jc w:val="center"/>
                    <w:rPr>
                      <w:color w:val="000000"/>
                      <w:sz w:val="16"/>
                      <w:szCs w:val="16"/>
                    </w:rPr>
                  </w:pPr>
                  <w:r w:rsidRPr="005205BC">
                    <w:rPr>
                      <w:color w:val="000000"/>
                      <w:sz w:val="16"/>
                      <w:szCs w:val="16"/>
                    </w:rPr>
                    <w:t>0.187</w:t>
                  </w:r>
                </w:p>
              </w:tc>
              <w:tc>
                <w:tcPr>
                  <w:tcW w:w="296" w:type="dxa"/>
                  <w:tcBorders>
                    <w:top w:val="nil"/>
                    <w:left w:val="nil"/>
                    <w:bottom w:val="nil"/>
                    <w:right w:val="nil"/>
                  </w:tcBorders>
                  <w:shd w:val="clear" w:color="000000" w:fill="FFFFFF"/>
                  <w:noWrap/>
                  <w:vAlign w:val="bottom"/>
                  <w:hideMark/>
                </w:tcPr>
                <w:p w14:paraId="2E687E60" w14:textId="77777777" w:rsidR="006956AC" w:rsidRPr="005205BC" w:rsidRDefault="006956AC" w:rsidP="006956AC">
                  <w:pPr>
                    <w:spacing w:after="0"/>
                    <w:ind w:firstLine="0"/>
                    <w:jc w:val="center"/>
                    <w:rPr>
                      <w:color w:val="000000"/>
                      <w:sz w:val="16"/>
                      <w:szCs w:val="16"/>
                      <w:lang w:val="en-US"/>
                    </w:rPr>
                  </w:pPr>
                  <w:r w:rsidRPr="005205BC">
                    <w:rPr>
                      <w:color w:val="000000"/>
                      <w:sz w:val="16"/>
                      <w:szCs w:val="16"/>
                    </w:rPr>
                    <w:t> </w:t>
                  </w:r>
                </w:p>
              </w:tc>
              <w:tc>
                <w:tcPr>
                  <w:tcW w:w="1416" w:type="dxa"/>
                  <w:tcBorders>
                    <w:top w:val="nil"/>
                    <w:left w:val="nil"/>
                    <w:bottom w:val="nil"/>
                    <w:right w:val="nil"/>
                  </w:tcBorders>
                  <w:shd w:val="clear" w:color="000000" w:fill="FFFFFF"/>
                  <w:noWrap/>
                  <w:vAlign w:val="bottom"/>
                </w:tcPr>
                <w:p w14:paraId="79C4E2A4" w14:textId="02655613" w:rsidR="006956AC" w:rsidRPr="005205BC" w:rsidRDefault="006956AC" w:rsidP="006956AC">
                  <w:pPr>
                    <w:spacing w:after="0"/>
                    <w:ind w:firstLine="0"/>
                    <w:jc w:val="center"/>
                    <w:rPr>
                      <w:color w:val="000000"/>
                      <w:sz w:val="16"/>
                      <w:szCs w:val="16"/>
                      <w:lang w:val="en-US"/>
                    </w:rPr>
                  </w:pPr>
                </w:p>
              </w:tc>
              <w:tc>
                <w:tcPr>
                  <w:tcW w:w="1416" w:type="dxa"/>
                  <w:tcBorders>
                    <w:top w:val="nil"/>
                    <w:left w:val="nil"/>
                    <w:bottom w:val="nil"/>
                    <w:right w:val="nil"/>
                  </w:tcBorders>
                  <w:shd w:val="clear" w:color="000000" w:fill="FFFFFF"/>
                  <w:noWrap/>
                  <w:vAlign w:val="bottom"/>
                </w:tcPr>
                <w:p w14:paraId="1137AF82" w14:textId="04A3CE5A" w:rsidR="006956AC" w:rsidRPr="005205BC" w:rsidRDefault="006956AC" w:rsidP="006956AC">
                  <w:pPr>
                    <w:spacing w:after="0"/>
                    <w:ind w:firstLine="0"/>
                    <w:jc w:val="center"/>
                    <w:rPr>
                      <w:color w:val="000000"/>
                      <w:sz w:val="16"/>
                      <w:szCs w:val="16"/>
                    </w:rPr>
                  </w:pPr>
                </w:p>
              </w:tc>
            </w:tr>
            <w:tr w:rsidR="00A01C48" w:rsidRPr="004E6ACD" w14:paraId="2F9CF5FA" w14:textId="77777777" w:rsidTr="00F556AF">
              <w:trPr>
                <w:trHeight w:val="150"/>
              </w:trPr>
              <w:tc>
                <w:tcPr>
                  <w:tcW w:w="2585" w:type="dxa"/>
                  <w:gridSpan w:val="2"/>
                  <w:tcBorders>
                    <w:top w:val="nil"/>
                    <w:left w:val="nil"/>
                    <w:bottom w:val="nil"/>
                    <w:right w:val="nil"/>
                  </w:tcBorders>
                  <w:shd w:val="clear" w:color="000000" w:fill="FFFFFF"/>
                  <w:hideMark/>
                </w:tcPr>
                <w:p w14:paraId="6E69EA21" w14:textId="77777777" w:rsidR="006956AC" w:rsidRPr="00BE4584" w:rsidRDefault="006956AC" w:rsidP="00BE4584">
                  <w:pPr>
                    <w:spacing w:after="0"/>
                    <w:ind w:firstLine="0"/>
                    <w:jc w:val="left"/>
                    <w:rPr>
                      <w:color w:val="000000"/>
                      <w:sz w:val="14"/>
                      <w:szCs w:val="16"/>
                      <w:lang w:val="en-US"/>
                    </w:rPr>
                  </w:pPr>
                  <w:r w:rsidRPr="00BE4584">
                    <w:rPr>
                      <w:color w:val="000000"/>
                      <w:sz w:val="14"/>
                      <w:szCs w:val="16"/>
                      <w:lang w:val="en-US"/>
                    </w:rPr>
                    <w:t> </w:t>
                  </w:r>
                </w:p>
              </w:tc>
              <w:tc>
                <w:tcPr>
                  <w:tcW w:w="1276" w:type="dxa"/>
                  <w:tcBorders>
                    <w:top w:val="nil"/>
                    <w:left w:val="nil"/>
                    <w:bottom w:val="nil"/>
                    <w:right w:val="nil"/>
                  </w:tcBorders>
                  <w:shd w:val="clear" w:color="000000" w:fill="FFFFFF"/>
                  <w:noWrap/>
                  <w:hideMark/>
                </w:tcPr>
                <w:p w14:paraId="7047E8F3" w14:textId="77777777" w:rsidR="006956AC" w:rsidRPr="00BE4584" w:rsidRDefault="006956AC" w:rsidP="006956AC">
                  <w:pPr>
                    <w:spacing w:after="0"/>
                    <w:ind w:firstLine="0"/>
                    <w:jc w:val="center"/>
                    <w:rPr>
                      <w:color w:val="000000"/>
                      <w:sz w:val="14"/>
                      <w:szCs w:val="16"/>
                      <w:lang w:val="en-US"/>
                    </w:rPr>
                  </w:pPr>
                  <w:r w:rsidRPr="00BE4584">
                    <w:rPr>
                      <w:color w:val="000000"/>
                      <w:sz w:val="14"/>
                      <w:szCs w:val="16"/>
                    </w:rPr>
                    <w:t> </w:t>
                  </w:r>
                </w:p>
              </w:tc>
              <w:tc>
                <w:tcPr>
                  <w:tcW w:w="1173" w:type="dxa"/>
                  <w:tcBorders>
                    <w:top w:val="nil"/>
                    <w:left w:val="nil"/>
                    <w:bottom w:val="nil"/>
                    <w:right w:val="nil"/>
                  </w:tcBorders>
                  <w:shd w:val="clear" w:color="000000" w:fill="FFFFFF"/>
                  <w:noWrap/>
                  <w:hideMark/>
                </w:tcPr>
                <w:p w14:paraId="11C0A0F3" w14:textId="77777777" w:rsidR="006956AC" w:rsidRPr="00BE4584" w:rsidRDefault="006956AC" w:rsidP="006956AC">
                  <w:pPr>
                    <w:spacing w:after="0"/>
                    <w:ind w:firstLine="0"/>
                    <w:jc w:val="center"/>
                    <w:rPr>
                      <w:color w:val="000000"/>
                      <w:sz w:val="14"/>
                      <w:szCs w:val="16"/>
                    </w:rPr>
                  </w:pPr>
                  <w:r w:rsidRPr="00BE4584">
                    <w:rPr>
                      <w:color w:val="000000"/>
                      <w:sz w:val="14"/>
                      <w:szCs w:val="16"/>
                    </w:rPr>
                    <w:t>(0.253)</w:t>
                  </w:r>
                </w:p>
              </w:tc>
              <w:tc>
                <w:tcPr>
                  <w:tcW w:w="296" w:type="dxa"/>
                  <w:tcBorders>
                    <w:top w:val="nil"/>
                    <w:left w:val="nil"/>
                    <w:bottom w:val="nil"/>
                    <w:right w:val="nil"/>
                  </w:tcBorders>
                  <w:shd w:val="clear" w:color="000000" w:fill="FFFFFF"/>
                  <w:noWrap/>
                  <w:hideMark/>
                </w:tcPr>
                <w:p w14:paraId="25EB48B2" w14:textId="77777777" w:rsidR="006956AC" w:rsidRPr="00BE4584" w:rsidRDefault="006956AC" w:rsidP="006956AC">
                  <w:pPr>
                    <w:spacing w:after="0"/>
                    <w:ind w:firstLine="0"/>
                    <w:jc w:val="center"/>
                    <w:rPr>
                      <w:color w:val="000000"/>
                      <w:sz w:val="14"/>
                      <w:szCs w:val="16"/>
                      <w:lang w:val="en-US"/>
                    </w:rPr>
                  </w:pPr>
                  <w:r w:rsidRPr="00BE4584">
                    <w:rPr>
                      <w:color w:val="000000"/>
                      <w:sz w:val="14"/>
                      <w:szCs w:val="16"/>
                    </w:rPr>
                    <w:t> </w:t>
                  </w:r>
                </w:p>
              </w:tc>
              <w:tc>
                <w:tcPr>
                  <w:tcW w:w="1416" w:type="dxa"/>
                  <w:tcBorders>
                    <w:top w:val="nil"/>
                    <w:left w:val="nil"/>
                    <w:bottom w:val="nil"/>
                    <w:right w:val="nil"/>
                  </w:tcBorders>
                  <w:shd w:val="clear" w:color="000000" w:fill="FFFFFF"/>
                  <w:noWrap/>
                </w:tcPr>
                <w:p w14:paraId="4E5093E7" w14:textId="1B301610" w:rsidR="006956AC" w:rsidRPr="00BE4584" w:rsidRDefault="006956AC" w:rsidP="006956AC">
                  <w:pPr>
                    <w:spacing w:after="0"/>
                    <w:ind w:firstLine="0"/>
                    <w:jc w:val="center"/>
                    <w:rPr>
                      <w:color w:val="000000"/>
                      <w:sz w:val="14"/>
                      <w:szCs w:val="16"/>
                      <w:lang w:val="en-US"/>
                    </w:rPr>
                  </w:pPr>
                </w:p>
              </w:tc>
              <w:tc>
                <w:tcPr>
                  <w:tcW w:w="1416" w:type="dxa"/>
                  <w:tcBorders>
                    <w:top w:val="nil"/>
                    <w:left w:val="nil"/>
                    <w:bottom w:val="nil"/>
                    <w:right w:val="nil"/>
                  </w:tcBorders>
                  <w:shd w:val="clear" w:color="000000" w:fill="FFFFFF"/>
                  <w:noWrap/>
                </w:tcPr>
                <w:p w14:paraId="0446EA73" w14:textId="1ECB133C" w:rsidR="006956AC" w:rsidRPr="00BE4584" w:rsidRDefault="006956AC" w:rsidP="006956AC">
                  <w:pPr>
                    <w:spacing w:after="0"/>
                    <w:ind w:firstLine="0"/>
                    <w:jc w:val="center"/>
                    <w:rPr>
                      <w:color w:val="000000"/>
                      <w:sz w:val="14"/>
                      <w:szCs w:val="16"/>
                    </w:rPr>
                  </w:pPr>
                </w:p>
              </w:tc>
            </w:tr>
            <w:tr w:rsidR="0054015A" w:rsidRPr="004E6ACD" w14:paraId="65741F50" w14:textId="77777777" w:rsidTr="00F556AF">
              <w:trPr>
                <w:trHeight w:val="260"/>
              </w:trPr>
              <w:tc>
                <w:tcPr>
                  <w:tcW w:w="2585" w:type="dxa"/>
                  <w:gridSpan w:val="2"/>
                  <w:tcBorders>
                    <w:top w:val="nil"/>
                    <w:left w:val="nil"/>
                    <w:bottom w:val="nil"/>
                    <w:right w:val="nil"/>
                  </w:tcBorders>
                  <w:shd w:val="clear" w:color="000000" w:fill="FFFFFF"/>
                  <w:vAlign w:val="bottom"/>
                </w:tcPr>
                <w:p w14:paraId="6624DD8D" w14:textId="746A99DA" w:rsidR="006956AC" w:rsidRPr="0054015A" w:rsidRDefault="006956AC" w:rsidP="00BE4584">
                  <w:pPr>
                    <w:spacing w:after="0"/>
                    <w:ind w:firstLine="0"/>
                    <w:jc w:val="left"/>
                    <w:rPr>
                      <w:color w:val="000000"/>
                      <w:sz w:val="14"/>
                      <w:szCs w:val="16"/>
                      <w:lang w:val="en-US"/>
                    </w:rPr>
                  </w:pPr>
                  <w:r w:rsidRPr="005205BC">
                    <w:rPr>
                      <w:color w:val="000000"/>
                      <w:sz w:val="16"/>
                      <w:szCs w:val="16"/>
                      <w:lang w:val="en-US"/>
                    </w:rPr>
                    <w:t>Accuracy guessing soft drink prices</w:t>
                  </w:r>
                </w:p>
              </w:tc>
              <w:tc>
                <w:tcPr>
                  <w:tcW w:w="1276" w:type="dxa"/>
                  <w:tcBorders>
                    <w:top w:val="nil"/>
                    <w:left w:val="nil"/>
                    <w:bottom w:val="nil"/>
                    <w:right w:val="nil"/>
                  </w:tcBorders>
                  <w:shd w:val="clear" w:color="000000" w:fill="FFFFFF"/>
                  <w:noWrap/>
                  <w:vAlign w:val="bottom"/>
                </w:tcPr>
                <w:p w14:paraId="2F545F7D" w14:textId="389D3FCD" w:rsidR="006956AC" w:rsidRPr="0054015A" w:rsidRDefault="006956AC" w:rsidP="006956AC">
                  <w:pPr>
                    <w:spacing w:after="0"/>
                    <w:ind w:firstLine="0"/>
                    <w:jc w:val="center"/>
                    <w:rPr>
                      <w:color w:val="000000"/>
                      <w:sz w:val="14"/>
                      <w:szCs w:val="16"/>
                    </w:rPr>
                  </w:pPr>
                  <w:r w:rsidRPr="005205BC">
                    <w:rPr>
                      <w:color w:val="000000"/>
                      <w:sz w:val="16"/>
                      <w:szCs w:val="16"/>
                      <w:lang w:val="en-US"/>
                    </w:rPr>
                    <w:t> </w:t>
                  </w:r>
                </w:p>
              </w:tc>
              <w:tc>
                <w:tcPr>
                  <w:tcW w:w="1173" w:type="dxa"/>
                  <w:tcBorders>
                    <w:top w:val="nil"/>
                    <w:left w:val="nil"/>
                    <w:bottom w:val="nil"/>
                    <w:right w:val="nil"/>
                  </w:tcBorders>
                  <w:shd w:val="clear" w:color="000000" w:fill="FFFFFF"/>
                  <w:noWrap/>
                  <w:vAlign w:val="bottom"/>
                </w:tcPr>
                <w:p w14:paraId="52DFFC26" w14:textId="1F6B3053" w:rsidR="006956AC" w:rsidRPr="00324EE3" w:rsidRDefault="006956AC" w:rsidP="006956AC">
                  <w:pPr>
                    <w:spacing w:after="0"/>
                    <w:ind w:firstLine="0"/>
                    <w:jc w:val="center"/>
                    <w:rPr>
                      <w:color w:val="000000"/>
                      <w:sz w:val="14"/>
                      <w:szCs w:val="16"/>
                    </w:rPr>
                  </w:pPr>
                </w:p>
              </w:tc>
              <w:tc>
                <w:tcPr>
                  <w:tcW w:w="296" w:type="dxa"/>
                  <w:tcBorders>
                    <w:top w:val="nil"/>
                    <w:left w:val="nil"/>
                    <w:bottom w:val="nil"/>
                    <w:right w:val="nil"/>
                  </w:tcBorders>
                  <w:shd w:val="clear" w:color="000000" w:fill="FFFFFF"/>
                  <w:noWrap/>
                </w:tcPr>
                <w:p w14:paraId="75D9316B" w14:textId="77777777" w:rsidR="006956AC" w:rsidRPr="00A93242"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tcPr>
                <w:p w14:paraId="2849BA20" w14:textId="77777777" w:rsidR="006956AC" w:rsidRPr="00027984" w:rsidDel="007349B4"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vAlign w:val="bottom"/>
                </w:tcPr>
                <w:p w14:paraId="2F7638F7" w14:textId="7D1CFA3C" w:rsidR="006956AC" w:rsidRPr="0054015A" w:rsidDel="007349B4" w:rsidRDefault="006956AC" w:rsidP="006956AC">
                  <w:pPr>
                    <w:spacing w:after="0"/>
                    <w:ind w:firstLine="0"/>
                    <w:jc w:val="center"/>
                    <w:rPr>
                      <w:color w:val="000000"/>
                      <w:sz w:val="14"/>
                      <w:szCs w:val="16"/>
                    </w:rPr>
                  </w:pPr>
                  <w:r w:rsidRPr="005205BC">
                    <w:rPr>
                      <w:color w:val="000000"/>
                      <w:sz w:val="16"/>
                      <w:szCs w:val="16"/>
                      <w:lang w:val="en-US"/>
                    </w:rPr>
                    <w:t>-2.322**</w:t>
                  </w:r>
                </w:p>
              </w:tc>
            </w:tr>
            <w:tr w:rsidR="0054015A" w:rsidRPr="004E6ACD" w14:paraId="4F9D5639" w14:textId="77777777" w:rsidTr="00F556AF">
              <w:trPr>
                <w:trHeight w:val="150"/>
              </w:trPr>
              <w:tc>
                <w:tcPr>
                  <w:tcW w:w="2585" w:type="dxa"/>
                  <w:gridSpan w:val="2"/>
                  <w:tcBorders>
                    <w:top w:val="nil"/>
                    <w:left w:val="nil"/>
                    <w:bottom w:val="nil"/>
                    <w:right w:val="nil"/>
                  </w:tcBorders>
                  <w:shd w:val="clear" w:color="000000" w:fill="FFFFFF"/>
                </w:tcPr>
                <w:p w14:paraId="0621DF65" w14:textId="79C0FBB4" w:rsidR="006956AC" w:rsidRPr="0054015A" w:rsidRDefault="006956AC" w:rsidP="00BE4584">
                  <w:pPr>
                    <w:spacing w:after="0"/>
                    <w:ind w:firstLine="0"/>
                    <w:jc w:val="left"/>
                    <w:rPr>
                      <w:color w:val="000000"/>
                      <w:sz w:val="14"/>
                      <w:szCs w:val="16"/>
                      <w:lang w:val="en-US"/>
                    </w:rPr>
                  </w:pPr>
                  <w:r w:rsidRPr="00267E15">
                    <w:rPr>
                      <w:color w:val="000000"/>
                      <w:sz w:val="14"/>
                      <w:szCs w:val="16"/>
                      <w:lang w:val="en-US"/>
                    </w:rPr>
                    <w:t> </w:t>
                  </w:r>
                </w:p>
              </w:tc>
              <w:tc>
                <w:tcPr>
                  <w:tcW w:w="1276" w:type="dxa"/>
                  <w:tcBorders>
                    <w:top w:val="nil"/>
                    <w:left w:val="nil"/>
                    <w:bottom w:val="nil"/>
                    <w:right w:val="nil"/>
                  </w:tcBorders>
                  <w:shd w:val="clear" w:color="000000" w:fill="FFFFFF"/>
                  <w:noWrap/>
                </w:tcPr>
                <w:p w14:paraId="5C83CDA0" w14:textId="7B8515DC" w:rsidR="006956AC" w:rsidRPr="0054015A" w:rsidRDefault="006956AC" w:rsidP="006956AC">
                  <w:pPr>
                    <w:spacing w:after="0"/>
                    <w:ind w:firstLine="0"/>
                    <w:jc w:val="center"/>
                    <w:rPr>
                      <w:color w:val="000000"/>
                      <w:sz w:val="14"/>
                      <w:szCs w:val="16"/>
                    </w:rPr>
                  </w:pPr>
                  <w:r w:rsidRPr="00267E15">
                    <w:rPr>
                      <w:color w:val="000000"/>
                      <w:sz w:val="14"/>
                      <w:szCs w:val="16"/>
                      <w:lang w:val="en-US"/>
                    </w:rPr>
                    <w:t> </w:t>
                  </w:r>
                </w:p>
              </w:tc>
              <w:tc>
                <w:tcPr>
                  <w:tcW w:w="1173" w:type="dxa"/>
                  <w:tcBorders>
                    <w:top w:val="nil"/>
                    <w:left w:val="nil"/>
                    <w:bottom w:val="nil"/>
                    <w:right w:val="nil"/>
                  </w:tcBorders>
                  <w:shd w:val="clear" w:color="000000" w:fill="FFFFFF"/>
                  <w:noWrap/>
                </w:tcPr>
                <w:p w14:paraId="47746C36" w14:textId="6E299114" w:rsidR="006956AC" w:rsidRPr="00324EE3" w:rsidRDefault="006956AC" w:rsidP="006956AC">
                  <w:pPr>
                    <w:spacing w:after="0"/>
                    <w:ind w:firstLine="0"/>
                    <w:jc w:val="center"/>
                    <w:rPr>
                      <w:color w:val="000000"/>
                      <w:sz w:val="14"/>
                      <w:szCs w:val="16"/>
                    </w:rPr>
                  </w:pPr>
                </w:p>
              </w:tc>
              <w:tc>
                <w:tcPr>
                  <w:tcW w:w="296" w:type="dxa"/>
                  <w:tcBorders>
                    <w:top w:val="nil"/>
                    <w:left w:val="nil"/>
                    <w:bottom w:val="nil"/>
                    <w:right w:val="nil"/>
                  </w:tcBorders>
                  <w:shd w:val="clear" w:color="000000" w:fill="FFFFFF"/>
                  <w:noWrap/>
                </w:tcPr>
                <w:p w14:paraId="58681B79" w14:textId="77777777" w:rsidR="006956AC" w:rsidRPr="00A93242"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tcPr>
                <w:p w14:paraId="2CF2D237" w14:textId="77777777" w:rsidR="006956AC" w:rsidRPr="00027984" w:rsidDel="007349B4" w:rsidRDefault="006956AC" w:rsidP="006956AC">
                  <w:pPr>
                    <w:spacing w:after="0"/>
                    <w:ind w:firstLine="0"/>
                    <w:jc w:val="center"/>
                    <w:rPr>
                      <w:color w:val="000000"/>
                      <w:sz w:val="14"/>
                      <w:szCs w:val="16"/>
                    </w:rPr>
                  </w:pPr>
                </w:p>
              </w:tc>
              <w:tc>
                <w:tcPr>
                  <w:tcW w:w="1416" w:type="dxa"/>
                  <w:tcBorders>
                    <w:top w:val="nil"/>
                    <w:left w:val="nil"/>
                    <w:bottom w:val="nil"/>
                    <w:right w:val="nil"/>
                  </w:tcBorders>
                  <w:shd w:val="clear" w:color="000000" w:fill="FFFFFF"/>
                  <w:noWrap/>
                </w:tcPr>
                <w:p w14:paraId="7A7758FA" w14:textId="5BB8BDB7" w:rsidR="006956AC" w:rsidRPr="0054015A" w:rsidDel="007349B4" w:rsidRDefault="006956AC" w:rsidP="006956AC">
                  <w:pPr>
                    <w:spacing w:after="0"/>
                    <w:ind w:firstLine="0"/>
                    <w:jc w:val="center"/>
                    <w:rPr>
                      <w:color w:val="000000"/>
                      <w:sz w:val="14"/>
                      <w:szCs w:val="16"/>
                    </w:rPr>
                  </w:pPr>
                  <w:r w:rsidRPr="00267E15">
                    <w:rPr>
                      <w:color w:val="000000"/>
                      <w:sz w:val="14"/>
                      <w:szCs w:val="16"/>
                      <w:lang w:val="en-US"/>
                    </w:rPr>
                    <w:t>(1.100)</w:t>
                  </w:r>
                </w:p>
              </w:tc>
            </w:tr>
            <w:tr w:rsidR="00A01C48" w:rsidRPr="004E6ACD" w14:paraId="1D0922F0" w14:textId="77777777" w:rsidTr="00F556AF">
              <w:trPr>
                <w:trHeight w:val="305"/>
              </w:trPr>
              <w:tc>
                <w:tcPr>
                  <w:tcW w:w="2585" w:type="dxa"/>
                  <w:gridSpan w:val="2"/>
                  <w:tcBorders>
                    <w:top w:val="nil"/>
                    <w:left w:val="nil"/>
                    <w:bottom w:val="nil"/>
                    <w:right w:val="nil"/>
                  </w:tcBorders>
                  <w:shd w:val="clear" w:color="000000" w:fill="FFFFFF"/>
                  <w:noWrap/>
                  <w:vAlign w:val="bottom"/>
                  <w:hideMark/>
                </w:tcPr>
                <w:p w14:paraId="799EDCDB" w14:textId="557D6028" w:rsidR="006956AC" w:rsidRPr="005205BC" w:rsidRDefault="006956AC" w:rsidP="00BE4584">
                  <w:pPr>
                    <w:spacing w:after="0"/>
                    <w:ind w:firstLine="0"/>
                    <w:jc w:val="left"/>
                    <w:rPr>
                      <w:color w:val="000000"/>
                      <w:sz w:val="16"/>
                      <w:szCs w:val="16"/>
                      <w:lang w:val="en-US"/>
                    </w:rPr>
                  </w:pPr>
                  <w:r>
                    <w:rPr>
                      <w:color w:val="000000"/>
                      <w:sz w:val="16"/>
                      <w:szCs w:val="16"/>
                      <w:lang w:val="en-US"/>
                    </w:rPr>
                    <w:t>Observations</w:t>
                  </w:r>
                </w:p>
              </w:tc>
              <w:tc>
                <w:tcPr>
                  <w:tcW w:w="1276" w:type="dxa"/>
                  <w:tcBorders>
                    <w:top w:val="nil"/>
                    <w:left w:val="nil"/>
                    <w:bottom w:val="nil"/>
                    <w:right w:val="nil"/>
                  </w:tcBorders>
                  <w:shd w:val="clear" w:color="000000" w:fill="FFFFFF"/>
                  <w:noWrap/>
                  <w:vAlign w:val="bottom"/>
                  <w:hideMark/>
                </w:tcPr>
                <w:p w14:paraId="5E8BA9E7" w14:textId="05B1C0B6" w:rsidR="006956AC" w:rsidRPr="005205BC" w:rsidRDefault="006956AC" w:rsidP="006956AC">
                  <w:pPr>
                    <w:spacing w:after="0"/>
                    <w:ind w:firstLine="0"/>
                    <w:jc w:val="center"/>
                    <w:rPr>
                      <w:color w:val="000000"/>
                      <w:sz w:val="16"/>
                      <w:szCs w:val="16"/>
                      <w:lang w:val="en-US"/>
                    </w:rPr>
                  </w:pPr>
                  <w:r>
                    <w:rPr>
                      <w:color w:val="000000"/>
                      <w:sz w:val="16"/>
                      <w:szCs w:val="16"/>
                      <w:lang w:val="en-US"/>
                    </w:rPr>
                    <w:t>5</w:t>
                  </w:r>
                  <w:r w:rsidRPr="005205BC">
                    <w:rPr>
                      <w:color w:val="000000"/>
                      <w:sz w:val="16"/>
                      <w:szCs w:val="16"/>
                      <w:lang w:val="en-US"/>
                    </w:rPr>
                    <w:t>000</w:t>
                  </w:r>
                </w:p>
              </w:tc>
              <w:tc>
                <w:tcPr>
                  <w:tcW w:w="1173" w:type="dxa"/>
                  <w:tcBorders>
                    <w:top w:val="nil"/>
                    <w:left w:val="nil"/>
                    <w:bottom w:val="nil"/>
                    <w:right w:val="nil"/>
                  </w:tcBorders>
                  <w:shd w:val="clear" w:color="000000" w:fill="FFFFFF"/>
                  <w:noWrap/>
                  <w:vAlign w:val="bottom"/>
                  <w:hideMark/>
                </w:tcPr>
                <w:p w14:paraId="2F01F5EF" w14:textId="0F3AB660" w:rsidR="006956AC" w:rsidRPr="005205BC" w:rsidRDefault="006956AC" w:rsidP="006956AC">
                  <w:pPr>
                    <w:spacing w:after="0"/>
                    <w:ind w:firstLine="0"/>
                    <w:jc w:val="center"/>
                    <w:rPr>
                      <w:color w:val="000000"/>
                      <w:sz w:val="16"/>
                      <w:szCs w:val="16"/>
                      <w:lang w:val="en-US"/>
                    </w:rPr>
                  </w:pPr>
                  <w:r>
                    <w:rPr>
                      <w:color w:val="000000"/>
                      <w:sz w:val="16"/>
                      <w:szCs w:val="16"/>
                      <w:lang w:val="en-US"/>
                    </w:rPr>
                    <w:t>4265</w:t>
                  </w:r>
                </w:p>
              </w:tc>
              <w:tc>
                <w:tcPr>
                  <w:tcW w:w="296" w:type="dxa"/>
                  <w:tcBorders>
                    <w:top w:val="nil"/>
                    <w:left w:val="nil"/>
                    <w:bottom w:val="nil"/>
                    <w:right w:val="nil"/>
                  </w:tcBorders>
                  <w:shd w:val="clear" w:color="000000" w:fill="FFFFFF"/>
                  <w:noWrap/>
                  <w:vAlign w:val="bottom"/>
                  <w:hideMark/>
                </w:tcPr>
                <w:p w14:paraId="7944A4B1" w14:textId="77777777" w:rsidR="006956AC" w:rsidRPr="005205BC" w:rsidRDefault="006956AC" w:rsidP="006956AC">
                  <w:pPr>
                    <w:spacing w:after="0"/>
                    <w:ind w:firstLine="0"/>
                    <w:jc w:val="center"/>
                    <w:rPr>
                      <w:color w:val="000000"/>
                      <w:sz w:val="16"/>
                      <w:szCs w:val="16"/>
                      <w:lang w:val="en-US"/>
                    </w:rPr>
                  </w:pPr>
                  <w:r w:rsidRPr="005205BC">
                    <w:rPr>
                      <w:color w:val="000000"/>
                      <w:sz w:val="16"/>
                      <w:szCs w:val="16"/>
                      <w:lang w:val="en-US"/>
                    </w:rPr>
                    <w:t> </w:t>
                  </w:r>
                </w:p>
              </w:tc>
              <w:tc>
                <w:tcPr>
                  <w:tcW w:w="1416" w:type="dxa"/>
                  <w:tcBorders>
                    <w:top w:val="nil"/>
                    <w:left w:val="nil"/>
                    <w:bottom w:val="nil"/>
                    <w:right w:val="nil"/>
                  </w:tcBorders>
                  <w:shd w:val="clear" w:color="000000" w:fill="FFFFFF"/>
                  <w:noWrap/>
                  <w:vAlign w:val="bottom"/>
                  <w:hideMark/>
                </w:tcPr>
                <w:p w14:paraId="596F1675" w14:textId="5A733373" w:rsidR="006956AC" w:rsidRPr="005205BC" w:rsidRDefault="006956AC" w:rsidP="006956AC">
                  <w:pPr>
                    <w:spacing w:after="0"/>
                    <w:ind w:firstLine="0"/>
                    <w:jc w:val="center"/>
                    <w:rPr>
                      <w:color w:val="000000"/>
                      <w:sz w:val="16"/>
                      <w:szCs w:val="16"/>
                      <w:lang w:val="en-US"/>
                    </w:rPr>
                  </w:pPr>
                  <w:r>
                    <w:rPr>
                      <w:color w:val="000000"/>
                      <w:sz w:val="16"/>
                      <w:szCs w:val="16"/>
                      <w:lang w:val="en-US"/>
                    </w:rPr>
                    <w:t>5</w:t>
                  </w:r>
                  <w:r w:rsidRPr="005205BC">
                    <w:rPr>
                      <w:color w:val="000000"/>
                      <w:sz w:val="16"/>
                      <w:szCs w:val="16"/>
                      <w:lang w:val="en-US"/>
                    </w:rPr>
                    <w:t>000</w:t>
                  </w:r>
                </w:p>
              </w:tc>
              <w:tc>
                <w:tcPr>
                  <w:tcW w:w="1416" w:type="dxa"/>
                  <w:tcBorders>
                    <w:top w:val="nil"/>
                    <w:left w:val="nil"/>
                    <w:bottom w:val="nil"/>
                    <w:right w:val="nil"/>
                  </w:tcBorders>
                  <w:shd w:val="clear" w:color="000000" w:fill="FFFFFF"/>
                  <w:noWrap/>
                  <w:vAlign w:val="bottom"/>
                  <w:hideMark/>
                </w:tcPr>
                <w:p w14:paraId="15BD5F99" w14:textId="1089B3EC" w:rsidR="006956AC" w:rsidRPr="005205BC" w:rsidRDefault="006956AC" w:rsidP="006956AC">
                  <w:pPr>
                    <w:spacing w:after="0"/>
                    <w:ind w:firstLine="0"/>
                    <w:jc w:val="center"/>
                    <w:rPr>
                      <w:color w:val="000000"/>
                      <w:sz w:val="16"/>
                      <w:szCs w:val="16"/>
                      <w:lang w:val="en-US"/>
                    </w:rPr>
                  </w:pPr>
                  <w:r>
                    <w:rPr>
                      <w:color w:val="000000"/>
                      <w:sz w:val="16"/>
                      <w:szCs w:val="16"/>
                      <w:lang w:val="en-US"/>
                    </w:rPr>
                    <w:t>4265</w:t>
                  </w:r>
                </w:p>
              </w:tc>
            </w:tr>
            <w:tr w:rsidR="00A01C48" w:rsidRPr="004E6ACD" w14:paraId="5BE0C421" w14:textId="77777777" w:rsidTr="00F556AF">
              <w:trPr>
                <w:trHeight w:val="305"/>
              </w:trPr>
              <w:tc>
                <w:tcPr>
                  <w:tcW w:w="2585" w:type="dxa"/>
                  <w:gridSpan w:val="2"/>
                  <w:tcBorders>
                    <w:top w:val="nil"/>
                    <w:left w:val="nil"/>
                    <w:bottom w:val="single" w:sz="8" w:space="0" w:color="auto"/>
                    <w:right w:val="nil"/>
                  </w:tcBorders>
                  <w:shd w:val="clear" w:color="000000" w:fill="FFFFFF"/>
                  <w:noWrap/>
                  <w:vAlign w:val="bottom"/>
                </w:tcPr>
                <w:p w14:paraId="28119B1F" w14:textId="791F408E" w:rsidR="006956AC" w:rsidRPr="005205BC" w:rsidRDefault="006956AC" w:rsidP="00BE4584">
                  <w:pPr>
                    <w:spacing w:after="0"/>
                    <w:ind w:firstLine="0"/>
                    <w:jc w:val="left"/>
                    <w:rPr>
                      <w:color w:val="000000"/>
                      <w:sz w:val="16"/>
                      <w:szCs w:val="16"/>
                      <w:lang w:val="en-US"/>
                    </w:rPr>
                  </w:pPr>
                  <w:r>
                    <w:rPr>
                      <w:color w:val="000000"/>
                      <w:sz w:val="16"/>
                      <w:szCs w:val="16"/>
                      <w:lang w:val="en-US"/>
                    </w:rPr>
                    <w:t>Number of s</w:t>
                  </w:r>
                  <w:r w:rsidRPr="005205BC">
                    <w:rPr>
                      <w:color w:val="000000"/>
                      <w:sz w:val="16"/>
                      <w:szCs w:val="16"/>
                      <w:lang w:val="en-US"/>
                    </w:rPr>
                    <w:t>ubjects</w:t>
                  </w:r>
                </w:p>
              </w:tc>
              <w:tc>
                <w:tcPr>
                  <w:tcW w:w="1276" w:type="dxa"/>
                  <w:tcBorders>
                    <w:top w:val="nil"/>
                    <w:left w:val="nil"/>
                    <w:bottom w:val="single" w:sz="8" w:space="0" w:color="auto"/>
                    <w:right w:val="nil"/>
                  </w:tcBorders>
                  <w:shd w:val="clear" w:color="000000" w:fill="FFFFFF"/>
                  <w:noWrap/>
                  <w:vAlign w:val="bottom"/>
                </w:tcPr>
                <w:p w14:paraId="4678C6E8" w14:textId="6BEBB7AD" w:rsidR="006956AC" w:rsidRPr="005205BC" w:rsidRDefault="006956AC" w:rsidP="006956AC">
                  <w:pPr>
                    <w:spacing w:after="0"/>
                    <w:ind w:firstLine="0"/>
                    <w:jc w:val="center"/>
                    <w:rPr>
                      <w:color w:val="000000"/>
                      <w:sz w:val="16"/>
                      <w:szCs w:val="16"/>
                      <w:lang w:val="en-US"/>
                    </w:rPr>
                  </w:pPr>
                  <w:r w:rsidRPr="005205BC">
                    <w:rPr>
                      <w:color w:val="000000"/>
                      <w:sz w:val="16"/>
                      <w:szCs w:val="16"/>
                      <w:lang w:val="en-US"/>
                    </w:rPr>
                    <w:t>1000</w:t>
                  </w:r>
                </w:p>
              </w:tc>
              <w:tc>
                <w:tcPr>
                  <w:tcW w:w="1173" w:type="dxa"/>
                  <w:tcBorders>
                    <w:top w:val="nil"/>
                    <w:left w:val="nil"/>
                    <w:bottom w:val="single" w:sz="8" w:space="0" w:color="auto"/>
                    <w:right w:val="nil"/>
                  </w:tcBorders>
                  <w:shd w:val="clear" w:color="000000" w:fill="FFFFFF"/>
                  <w:noWrap/>
                  <w:vAlign w:val="bottom"/>
                </w:tcPr>
                <w:p w14:paraId="22739989" w14:textId="4CF248CE" w:rsidR="006956AC" w:rsidRPr="005205BC" w:rsidRDefault="006956AC" w:rsidP="006956AC">
                  <w:pPr>
                    <w:spacing w:after="0"/>
                    <w:ind w:firstLine="0"/>
                    <w:jc w:val="center"/>
                    <w:rPr>
                      <w:color w:val="000000"/>
                      <w:sz w:val="16"/>
                      <w:szCs w:val="16"/>
                      <w:lang w:val="en-US"/>
                    </w:rPr>
                  </w:pPr>
                  <w:r w:rsidRPr="005205BC">
                    <w:rPr>
                      <w:color w:val="000000"/>
                      <w:sz w:val="16"/>
                      <w:szCs w:val="16"/>
                      <w:lang w:val="en-US"/>
                    </w:rPr>
                    <w:t>853</w:t>
                  </w:r>
                </w:p>
              </w:tc>
              <w:tc>
                <w:tcPr>
                  <w:tcW w:w="296" w:type="dxa"/>
                  <w:tcBorders>
                    <w:top w:val="nil"/>
                    <w:left w:val="nil"/>
                    <w:bottom w:val="single" w:sz="8" w:space="0" w:color="auto"/>
                    <w:right w:val="nil"/>
                  </w:tcBorders>
                  <w:shd w:val="clear" w:color="000000" w:fill="FFFFFF"/>
                  <w:noWrap/>
                  <w:vAlign w:val="bottom"/>
                </w:tcPr>
                <w:p w14:paraId="47D5DBC9" w14:textId="05DFE27A" w:rsidR="006956AC" w:rsidRPr="005205BC" w:rsidRDefault="006956AC" w:rsidP="006956AC">
                  <w:pPr>
                    <w:spacing w:after="0"/>
                    <w:ind w:firstLine="0"/>
                    <w:jc w:val="center"/>
                    <w:rPr>
                      <w:color w:val="000000"/>
                      <w:sz w:val="16"/>
                      <w:szCs w:val="16"/>
                      <w:lang w:val="en-US"/>
                    </w:rPr>
                  </w:pPr>
                  <w:r w:rsidRPr="005205BC">
                    <w:rPr>
                      <w:color w:val="000000"/>
                      <w:sz w:val="16"/>
                      <w:szCs w:val="16"/>
                      <w:lang w:val="en-US"/>
                    </w:rPr>
                    <w:t> </w:t>
                  </w:r>
                </w:p>
              </w:tc>
              <w:tc>
                <w:tcPr>
                  <w:tcW w:w="1416" w:type="dxa"/>
                  <w:tcBorders>
                    <w:top w:val="nil"/>
                    <w:left w:val="nil"/>
                    <w:bottom w:val="single" w:sz="8" w:space="0" w:color="auto"/>
                    <w:right w:val="nil"/>
                  </w:tcBorders>
                  <w:shd w:val="clear" w:color="000000" w:fill="FFFFFF"/>
                  <w:noWrap/>
                  <w:vAlign w:val="bottom"/>
                </w:tcPr>
                <w:p w14:paraId="725D7EA4" w14:textId="79001B6A" w:rsidR="006956AC" w:rsidRPr="005205BC" w:rsidRDefault="006956AC" w:rsidP="006956AC">
                  <w:pPr>
                    <w:spacing w:after="0"/>
                    <w:ind w:firstLine="0"/>
                    <w:jc w:val="center"/>
                    <w:rPr>
                      <w:color w:val="000000"/>
                      <w:sz w:val="16"/>
                      <w:szCs w:val="16"/>
                      <w:lang w:val="en-US"/>
                    </w:rPr>
                  </w:pPr>
                  <w:r w:rsidRPr="005205BC">
                    <w:rPr>
                      <w:color w:val="000000"/>
                      <w:sz w:val="16"/>
                      <w:szCs w:val="16"/>
                      <w:lang w:val="en-US"/>
                    </w:rPr>
                    <w:t>1000</w:t>
                  </w:r>
                </w:p>
              </w:tc>
              <w:tc>
                <w:tcPr>
                  <w:tcW w:w="1416" w:type="dxa"/>
                  <w:tcBorders>
                    <w:top w:val="nil"/>
                    <w:left w:val="nil"/>
                    <w:bottom w:val="single" w:sz="8" w:space="0" w:color="auto"/>
                    <w:right w:val="nil"/>
                  </w:tcBorders>
                  <w:shd w:val="clear" w:color="000000" w:fill="FFFFFF"/>
                  <w:noWrap/>
                  <w:vAlign w:val="bottom"/>
                </w:tcPr>
                <w:p w14:paraId="07D04481" w14:textId="14289B16" w:rsidR="006956AC" w:rsidRPr="005205BC" w:rsidRDefault="006956AC" w:rsidP="006956AC">
                  <w:pPr>
                    <w:spacing w:after="0"/>
                    <w:ind w:firstLine="0"/>
                    <w:jc w:val="center"/>
                    <w:rPr>
                      <w:color w:val="000000"/>
                      <w:sz w:val="16"/>
                      <w:szCs w:val="16"/>
                      <w:lang w:val="en-US"/>
                    </w:rPr>
                  </w:pPr>
                  <w:r w:rsidRPr="005205BC">
                    <w:rPr>
                      <w:color w:val="000000"/>
                      <w:sz w:val="16"/>
                      <w:szCs w:val="16"/>
                      <w:lang w:val="en-US"/>
                    </w:rPr>
                    <w:t xml:space="preserve">853   </w:t>
                  </w:r>
                </w:p>
              </w:tc>
            </w:tr>
          </w:tbl>
          <w:p w14:paraId="5C383DC1" w14:textId="77C5D36E" w:rsidR="001C37C4" w:rsidRPr="00083D70" w:rsidRDefault="004358B0" w:rsidP="00F556AF">
            <w:pPr>
              <w:spacing w:after="0" w:line="276" w:lineRule="auto"/>
              <w:ind w:right="710"/>
              <w:rPr>
                <w:b/>
                <w:color w:val="000000"/>
                <w:lang w:val="en-US"/>
              </w:rPr>
            </w:pPr>
            <w:r w:rsidRPr="005205BC">
              <w:rPr>
                <w:i/>
                <w:sz w:val="16"/>
                <w:szCs w:val="16"/>
                <w:lang w:val="en-US"/>
              </w:rPr>
              <w:t>Notes</w:t>
            </w:r>
            <w:r w:rsidRPr="005205BC">
              <w:rPr>
                <w:sz w:val="16"/>
                <w:szCs w:val="16"/>
                <w:lang w:val="en-US"/>
              </w:rPr>
              <w:t xml:space="preserve">: </w:t>
            </w:r>
            <w:r w:rsidR="00326687" w:rsidRPr="005205BC">
              <w:rPr>
                <w:sz w:val="16"/>
                <w:szCs w:val="16"/>
                <w:lang w:val="en-US"/>
              </w:rPr>
              <w:t xml:space="preserve">The analysis is based on </w:t>
            </w:r>
            <w:r w:rsidR="00557D99" w:rsidRPr="005205BC">
              <w:rPr>
                <w:sz w:val="16"/>
                <w:szCs w:val="16"/>
                <w:lang w:val="en-US"/>
              </w:rPr>
              <w:t xml:space="preserve">a </w:t>
            </w:r>
            <w:r w:rsidR="00326687" w:rsidRPr="005205BC">
              <w:rPr>
                <w:sz w:val="16"/>
                <w:szCs w:val="16"/>
                <w:lang w:val="en-US"/>
              </w:rPr>
              <w:t>random effect Tobit model</w:t>
            </w:r>
            <w:r w:rsidR="00605BC5" w:rsidRPr="005205BC">
              <w:rPr>
                <w:sz w:val="16"/>
                <w:szCs w:val="16"/>
                <w:lang w:val="en-US"/>
              </w:rPr>
              <w:t xml:space="preserve"> where each choice made by a subject provides an observation</w:t>
            </w:r>
            <w:r w:rsidR="00326687" w:rsidRPr="005205BC">
              <w:rPr>
                <w:sz w:val="16"/>
                <w:szCs w:val="16"/>
                <w:lang w:val="en-US"/>
              </w:rPr>
              <w:t xml:space="preserve">. Partial effects on the observed volume of log purchases are presented. The estimated partial effects are also transformed to represent the proportionate effects. Subject-level cluster-robust standard errors in parentheses (block-bootstrapped, 1000 replications). </w:t>
            </w:r>
            <w:r w:rsidR="00F02BBA" w:rsidRPr="005205BC">
              <w:rPr>
                <w:sz w:val="16"/>
                <w:szCs w:val="16"/>
                <w:lang w:val="en-US"/>
              </w:rPr>
              <w:t xml:space="preserve">The number of </w:t>
            </w:r>
            <w:r w:rsidR="0087019B">
              <w:rPr>
                <w:sz w:val="16"/>
                <w:szCs w:val="16"/>
                <w:lang w:val="en-US"/>
              </w:rPr>
              <w:t xml:space="preserve">observations corresponds to five shopping </w:t>
            </w:r>
            <w:r w:rsidR="00E440B9">
              <w:rPr>
                <w:sz w:val="16"/>
                <w:szCs w:val="16"/>
                <w:lang w:val="en-US"/>
              </w:rPr>
              <w:t>tasks</w:t>
            </w:r>
            <w:r w:rsidR="0087019B">
              <w:rPr>
                <w:sz w:val="16"/>
                <w:szCs w:val="16"/>
                <w:lang w:val="en-US"/>
              </w:rPr>
              <w:t xml:space="preserve"> and </w:t>
            </w:r>
            <w:r w:rsidR="00F02BBA" w:rsidRPr="005205BC">
              <w:rPr>
                <w:sz w:val="16"/>
                <w:szCs w:val="16"/>
                <w:lang w:val="en-US"/>
              </w:rPr>
              <w:t xml:space="preserve">is smaller in the regressions with controls because of omitted answers to control questions. </w:t>
            </w:r>
            <w:r w:rsidR="00326687" w:rsidRPr="005205BC">
              <w:rPr>
                <w:sz w:val="16"/>
                <w:szCs w:val="16"/>
                <w:lang w:val="en-US"/>
              </w:rPr>
              <w:t xml:space="preserve">*** p&lt;0.01, ** p&lt;0.05, * p&lt;0.1. </w:t>
            </w:r>
            <w:r w:rsidRPr="005205BC">
              <w:rPr>
                <w:sz w:val="16"/>
                <w:szCs w:val="16"/>
                <w:lang w:val="en-US"/>
              </w:rPr>
              <w:t xml:space="preserve"> </w:t>
            </w:r>
          </w:p>
        </w:tc>
      </w:tr>
    </w:tbl>
    <w:p w14:paraId="2B567950" w14:textId="77777777" w:rsidR="008B6992" w:rsidRDefault="008B6992" w:rsidP="00F556AF">
      <w:pPr>
        <w:spacing w:after="0"/>
        <w:ind w:firstLine="0"/>
        <w:rPr>
          <w:sz w:val="16"/>
          <w:szCs w:val="16"/>
          <w:lang w:val="en-US"/>
        </w:rPr>
      </w:pPr>
    </w:p>
    <w:p w14:paraId="6CF1FB43" w14:textId="5BF09ACA" w:rsidR="003D157B" w:rsidRDefault="008B6992" w:rsidP="00BE4584">
      <w:pPr>
        <w:spacing w:after="0"/>
        <w:jc w:val="center"/>
        <w:rPr>
          <w:lang w:val="en-US"/>
        </w:rPr>
      </w:pPr>
      <w:r w:rsidRPr="00BE4584">
        <w:rPr>
          <w:sz w:val="16"/>
          <w:szCs w:val="16"/>
          <w:lang w:val="en-US"/>
        </w:rPr>
        <w:t>TABLE 3. ESTIMATED PRICE EFFECTS ON THE LOG VOLUME OF LESS HEALTHY AND HEALTHIER BREAKFAST CEREALS AND SOFT DRINKS BY TREATMENT</w:t>
      </w:r>
      <w:r w:rsidRPr="00BE4584" w:rsidDel="008B6992">
        <w:rPr>
          <w:sz w:val="16"/>
          <w:szCs w:val="16"/>
          <w:lang w:val="en-US"/>
        </w:rPr>
        <w:t xml:space="preserve"> </w:t>
      </w:r>
    </w:p>
    <w:tbl>
      <w:tblPr>
        <w:tblW w:w="7564" w:type="dxa"/>
        <w:jc w:val="center"/>
        <w:tblLook w:val="04A0" w:firstRow="1" w:lastRow="0" w:firstColumn="1" w:lastColumn="0" w:noHBand="0" w:noVBand="1"/>
      </w:tblPr>
      <w:tblGrid>
        <w:gridCol w:w="2118"/>
        <w:gridCol w:w="1663"/>
        <w:gridCol w:w="1211"/>
        <w:gridCol w:w="303"/>
        <w:gridCol w:w="1210"/>
        <w:gridCol w:w="1059"/>
      </w:tblGrid>
      <w:tr w:rsidR="008B6992" w:rsidRPr="008B6992" w14:paraId="20171C45" w14:textId="77777777" w:rsidTr="00BE4584">
        <w:trPr>
          <w:trHeight w:val="411"/>
          <w:jc w:val="center"/>
        </w:trPr>
        <w:tc>
          <w:tcPr>
            <w:tcW w:w="2118" w:type="dxa"/>
            <w:tcBorders>
              <w:top w:val="single" w:sz="4" w:space="0" w:color="auto"/>
              <w:left w:val="nil"/>
              <w:bottom w:val="nil"/>
              <w:right w:val="nil"/>
            </w:tcBorders>
            <w:shd w:val="clear" w:color="auto" w:fill="auto"/>
            <w:noWrap/>
            <w:vAlign w:val="bottom"/>
            <w:hideMark/>
          </w:tcPr>
          <w:p w14:paraId="7961FB5D"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rPr>
              <w:t> </w:t>
            </w:r>
          </w:p>
        </w:tc>
        <w:tc>
          <w:tcPr>
            <w:tcW w:w="2874" w:type="dxa"/>
            <w:gridSpan w:val="2"/>
            <w:tcBorders>
              <w:top w:val="single" w:sz="4" w:space="0" w:color="auto"/>
              <w:left w:val="nil"/>
              <w:bottom w:val="single" w:sz="4" w:space="0" w:color="auto"/>
              <w:right w:val="nil"/>
            </w:tcBorders>
            <w:shd w:val="clear" w:color="000000" w:fill="FFFFFF"/>
            <w:vAlign w:val="center"/>
            <w:hideMark/>
          </w:tcPr>
          <w:p w14:paraId="3EF51A7E" w14:textId="77777777" w:rsidR="008B6992" w:rsidRPr="008B6992" w:rsidRDefault="008B6992" w:rsidP="008B6992">
            <w:pPr>
              <w:spacing w:after="0" w:line="240" w:lineRule="auto"/>
              <w:ind w:firstLine="0"/>
              <w:jc w:val="center"/>
              <w:rPr>
                <w:b/>
                <w:bCs/>
                <w:color w:val="000000"/>
                <w:sz w:val="16"/>
                <w:szCs w:val="16"/>
              </w:rPr>
            </w:pPr>
            <w:r w:rsidRPr="008B6992">
              <w:rPr>
                <w:b/>
                <w:bCs/>
                <w:color w:val="000000"/>
                <w:sz w:val="16"/>
                <w:szCs w:val="16"/>
                <w:lang w:val="en-US"/>
              </w:rPr>
              <w:t>Breakfast cereals</w:t>
            </w:r>
          </w:p>
        </w:tc>
        <w:tc>
          <w:tcPr>
            <w:tcW w:w="303" w:type="dxa"/>
            <w:tcBorders>
              <w:top w:val="single" w:sz="4" w:space="0" w:color="auto"/>
              <w:left w:val="nil"/>
              <w:bottom w:val="single" w:sz="4" w:space="0" w:color="auto"/>
              <w:right w:val="nil"/>
            </w:tcBorders>
            <w:shd w:val="clear" w:color="auto" w:fill="auto"/>
            <w:noWrap/>
            <w:vAlign w:val="bottom"/>
            <w:hideMark/>
          </w:tcPr>
          <w:p w14:paraId="5C06296A"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rPr>
              <w:t> </w:t>
            </w:r>
          </w:p>
        </w:tc>
        <w:tc>
          <w:tcPr>
            <w:tcW w:w="2269" w:type="dxa"/>
            <w:gridSpan w:val="2"/>
            <w:tcBorders>
              <w:top w:val="single" w:sz="4" w:space="0" w:color="auto"/>
              <w:left w:val="nil"/>
              <w:bottom w:val="single" w:sz="4" w:space="0" w:color="auto"/>
              <w:right w:val="nil"/>
            </w:tcBorders>
            <w:shd w:val="clear" w:color="000000" w:fill="FFFFFF"/>
            <w:vAlign w:val="center"/>
            <w:hideMark/>
          </w:tcPr>
          <w:p w14:paraId="736FB8F2" w14:textId="77777777" w:rsidR="008B6992" w:rsidRPr="008B6992" w:rsidRDefault="008B6992" w:rsidP="008B6992">
            <w:pPr>
              <w:spacing w:after="0" w:line="240" w:lineRule="auto"/>
              <w:ind w:firstLine="0"/>
              <w:jc w:val="center"/>
              <w:rPr>
                <w:b/>
                <w:bCs/>
                <w:color w:val="000000"/>
                <w:sz w:val="16"/>
                <w:szCs w:val="16"/>
              </w:rPr>
            </w:pPr>
            <w:r w:rsidRPr="008B6992">
              <w:rPr>
                <w:b/>
                <w:bCs/>
                <w:color w:val="000000"/>
                <w:sz w:val="16"/>
                <w:szCs w:val="16"/>
                <w:lang w:val="en-US"/>
              </w:rPr>
              <w:t>Soft drinks</w:t>
            </w:r>
          </w:p>
        </w:tc>
      </w:tr>
      <w:tr w:rsidR="005C3500" w:rsidRPr="008B6992" w14:paraId="0BB6D7DF" w14:textId="77777777" w:rsidTr="005C3500">
        <w:trPr>
          <w:trHeight w:val="283"/>
          <w:jc w:val="center"/>
        </w:trPr>
        <w:tc>
          <w:tcPr>
            <w:tcW w:w="2118" w:type="dxa"/>
            <w:tcBorders>
              <w:top w:val="nil"/>
              <w:left w:val="nil"/>
              <w:bottom w:val="single" w:sz="4" w:space="0" w:color="auto"/>
              <w:right w:val="nil"/>
            </w:tcBorders>
            <w:shd w:val="clear" w:color="auto" w:fill="auto"/>
            <w:noWrap/>
            <w:vAlign w:val="bottom"/>
            <w:hideMark/>
          </w:tcPr>
          <w:p w14:paraId="31A43C63"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rPr>
              <w:t> </w:t>
            </w:r>
          </w:p>
        </w:tc>
        <w:tc>
          <w:tcPr>
            <w:tcW w:w="1663" w:type="dxa"/>
            <w:tcBorders>
              <w:top w:val="nil"/>
              <w:left w:val="nil"/>
              <w:bottom w:val="single" w:sz="4" w:space="0" w:color="auto"/>
              <w:right w:val="nil"/>
            </w:tcBorders>
            <w:shd w:val="clear" w:color="000000" w:fill="FFFFFF"/>
            <w:vAlign w:val="center"/>
            <w:hideMark/>
          </w:tcPr>
          <w:p w14:paraId="04AD7A16" w14:textId="77777777" w:rsidR="008B6992" w:rsidRPr="008B6992" w:rsidRDefault="008B6992" w:rsidP="008B6992">
            <w:pPr>
              <w:spacing w:after="0" w:line="240" w:lineRule="auto"/>
              <w:ind w:firstLine="0"/>
              <w:jc w:val="center"/>
              <w:rPr>
                <w:b/>
                <w:bCs/>
                <w:color w:val="000000"/>
                <w:sz w:val="16"/>
                <w:szCs w:val="16"/>
              </w:rPr>
            </w:pPr>
            <w:r w:rsidRPr="008B6992">
              <w:rPr>
                <w:b/>
                <w:bCs/>
                <w:color w:val="000000"/>
                <w:sz w:val="16"/>
                <w:szCs w:val="16"/>
                <w:lang w:val="en-US"/>
              </w:rPr>
              <w:t>Less healthy</w:t>
            </w:r>
          </w:p>
        </w:tc>
        <w:tc>
          <w:tcPr>
            <w:tcW w:w="1211" w:type="dxa"/>
            <w:tcBorders>
              <w:top w:val="nil"/>
              <w:left w:val="nil"/>
              <w:bottom w:val="single" w:sz="4" w:space="0" w:color="auto"/>
              <w:right w:val="nil"/>
            </w:tcBorders>
            <w:shd w:val="clear" w:color="000000" w:fill="FFFFFF"/>
            <w:vAlign w:val="center"/>
            <w:hideMark/>
          </w:tcPr>
          <w:p w14:paraId="0E31427C" w14:textId="77777777" w:rsidR="008B6992" w:rsidRPr="008B6992" w:rsidRDefault="008B6992" w:rsidP="008B6992">
            <w:pPr>
              <w:spacing w:after="0" w:line="240" w:lineRule="auto"/>
              <w:ind w:firstLine="0"/>
              <w:jc w:val="center"/>
              <w:rPr>
                <w:b/>
                <w:bCs/>
                <w:color w:val="000000"/>
                <w:sz w:val="16"/>
                <w:szCs w:val="16"/>
              </w:rPr>
            </w:pPr>
            <w:r w:rsidRPr="008B6992">
              <w:rPr>
                <w:b/>
                <w:bCs/>
                <w:color w:val="000000"/>
                <w:sz w:val="16"/>
                <w:szCs w:val="16"/>
                <w:lang w:val="en-US"/>
              </w:rPr>
              <w:t>Healthier</w:t>
            </w:r>
          </w:p>
        </w:tc>
        <w:tc>
          <w:tcPr>
            <w:tcW w:w="303" w:type="dxa"/>
            <w:tcBorders>
              <w:top w:val="nil"/>
              <w:left w:val="nil"/>
              <w:bottom w:val="nil"/>
              <w:right w:val="nil"/>
            </w:tcBorders>
            <w:shd w:val="clear" w:color="auto" w:fill="auto"/>
            <w:noWrap/>
            <w:vAlign w:val="bottom"/>
            <w:hideMark/>
          </w:tcPr>
          <w:p w14:paraId="12D05422" w14:textId="77777777" w:rsidR="008B6992" w:rsidRPr="008B6992" w:rsidRDefault="008B6992" w:rsidP="008B6992">
            <w:pPr>
              <w:spacing w:after="0" w:line="240" w:lineRule="auto"/>
              <w:ind w:firstLine="0"/>
              <w:jc w:val="left"/>
              <w:rPr>
                <w:b/>
                <w:bCs/>
                <w:color w:val="000000"/>
                <w:sz w:val="16"/>
                <w:szCs w:val="16"/>
              </w:rPr>
            </w:pPr>
          </w:p>
        </w:tc>
        <w:tc>
          <w:tcPr>
            <w:tcW w:w="1210" w:type="dxa"/>
            <w:tcBorders>
              <w:top w:val="nil"/>
              <w:left w:val="nil"/>
              <w:bottom w:val="single" w:sz="4" w:space="0" w:color="auto"/>
              <w:right w:val="nil"/>
            </w:tcBorders>
            <w:shd w:val="clear" w:color="000000" w:fill="FFFFFF"/>
            <w:vAlign w:val="center"/>
            <w:hideMark/>
          </w:tcPr>
          <w:p w14:paraId="5D3861F5" w14:textId="77777777" w:rsidR="008B6992" w:rsidRPr="008B6992" w:rsidRDefault="008B6992" w:rsidP="008B6992">
            <w:pPr>
              <w:spacing w:after="0" w:line="240" w:lineRule="auto"/>
              <w:ind w:firstLine="0"/>
              <w:jc w:val="center"/>
              <w:rPr>
                <w:b/>
                <w:bCs/>
                <w:color w:val="000000"/>
                <w:sz w:val="16"/>
                <w:szCs w:val="16"/>
              </w:rPr>
            </w:pPr>
            <w:r w:rsidRPr="008B6992">
              <w:rPr>
                <w:b/>
                <w:bCs/>
                <w:color w:val="000000"/>
                <w:sz w:val="16"/>
                <w:szCs w:val="16"/>
                <w:lang w:val="en-US"/>
              </w:rPr>
              <w:t>Less healthy</w:t>
            </w:r>
          </w:p>
        </w:tc>
        <w:tc>
          <w:tcPr>
            <w:tcW w:w="1059" w:type="dxa"/>
            <w:tcBorders>
              <w:top w:val="nil"/>
              <w:left w:val="nil"/>
              <w:bottom w:val="single" w:sz="4" w:space="0" w:color="auto"/>
              <w:right w:val="nil"/>
            </w:tcBorders>
            <w:shd w:val="clear" w:color="000000" w:fill="FFFFFF"/>
            <w:vAlign w:val="center"/>
            <w:hideMark/>
          </w:tcPr>
          <w:p w14:paraId="5712EA64" w14:textId="77777777" w:rsidR="008B6992" w:rsidRPr="008B6992" w:rsidRDefault="008B6992" w:rsidP="008B6992">
            <w:pPr>
              <w:spacing w:after="0" w:line="240" w:lineRule="auto"/>
              <w:ind w:firstLine="0"/>
              <w:jc w:val="left"/>
              <w:rPr>
                <w:b/>
                <w:bCs/>
                <w:color w:val="000000"/>
                <w:sz w:val="16"/>
                <w:szCs w:val="16"/>
              </w:rPr>
            </w:pPr>
            <w:r w:rsidRPr="008B6992">
              <w:rPr>
                <w:b/>
                <w:bCs/>
                <w:color w:val="000000"/>
                <w:sz w:val="16"/>
                <w:szCs w:val="16"/>
                <w:lang w:val="en-US"/>
              </w:rPr>
              <w:t>Healthier</w:t>
            </w:r>
          </w:p>
        </w:tc>
      </w:tr>
      <w:tr w:rsidR="005C3500" w:rsidRPr="008B6992" w14:paraId="04CEB979" w14:textId="77777777" w:rsidTr="005C3500">
        <w:trPr>
          <w:trHeight w:val="283"/>
          <w:jc w:val="center"/>
        </w:trPr>
        <w:tc>
          <w:tcPr>
            <w:tcW w:w="2118" w:type="dxa"/>
            <w:vMerge w:val="restart"/>
            <w:tcBorders>
              <w:top w:val="nil"/>
              <w:left w:val="nil"/>
              <w:bottom w:val="nil"/>
              <w:right w:val="nil"/>
            </w:tcBorders>
            <w:shd w:val="clear" w:color="000000" w:fill="FFFFFF"/>
            <w:noWrap/>
            <w:vAlign w:val="center"/>
            <w:hideMark/>
          </w:tcPr>
          <w:p w14:paraId="00843BD0"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lang w:val="en-US"/>
              </w:rPr>
              <w:t>Tax Less-healthy 20%</w:t>
            </w:r>
          </w:p>
        </w:tc>
        <w:tc>
          <w:tcPr>
            <w:tcW w:w="1663" w:type="dxa"/>
            <w:tcBorders>
              <w:top w:val="nil"/>
              <w:left w:val="nil"/>
              <w:bottom w:val="nil"/>
              <w:right w:val="nil"/>
            </w:tcBorders>
            <w:shd w:val="clear" w:color="000000" w:fill="FFFFFF"/>
            <w:noWrap/>
            <w:vAlign w:val="bottom"/>
            <w:hideMark/>
          </w:tcPr>
          <w:p w14:paraId="6BF75E12"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-0.479***</w:t>
            </w:r>
          </w:p>
        </w:tc>
        <w:tc>
          <w:tcPr>
            <w:tcW w:w="1211" w:type="dxa"/>
            <w:tcBorders>
              <w:top w:val="nil"/>
              <w:left w:val="nil"/>
              <w:bottom w:val="nil"/>
              <w:right w:val="nil"/>
            </w:tcBorders>
            <w:shd w:val="clear" w:color="000000" w:fill="FFFFFF"/>
            <w:noWrap/>
            <w:vAlign w:val="bottom"/>
            <w:hideMark/>
          </w:tcPr>
          <w:p w14:paraId="0BE0CBA2"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1.060**</w:t>
            </w:r>
          </w:p>
        </w:tc>
        <w:tc>
          <w:tcPr>
            <w:tcW w:w="303" w:type="dxa"/>
            <w:tcBorders>
              <w:top w:val="nil"/>
              <w:left w:val="nil"/>
              <w:bottom w:val="nil"/>
              <w:right w:val="nil"/>
            </w:tcBorders>
            <w:shd w:val="clear" w:color="000000" w:fill="FFFFFF"/>
            <w:noWrap/>
            <w:vAlign w:val="bottom"/>
            <w:hideMark/>
          </w:tcPr>
          <w:p w14:paraId="49F0C4DE"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rPr>
              <w:t> </w:t>
            </w:r>
          </w:p>
        </w:tc>
        <w:tc>
          <w:tcPr>
            <w:tcW w:w="1210" w:type="dxa"/>
            <w:tcBorders>
              <w:top w:val="nil"/>
              <w:left w:val="nil"/>
              <w:bottom w:val="nil"/>
              <w:right w:val="nil"/>
            </w:tcBorders>
            <w:shd w:val="clear" w:color="000000" w:fill="FFFFFF"/>
            <w:noWrap/>
            <w:vAlign w:val="bottom"/>
            <w:hideMark/>
          </w:tcPr>
          <w:p w14:paraId="34BD4946"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-0.147</w:t>
            </w:r>
          </w:p>
        </w:tc>
        <w:tc>
          <w:tcPr>
            <w:tcW w:w="1059" w:type="dxa"/>
            <w:tcBorders>
              <w:top w:val="nil"/>
              <w:left w:val="nil"/>
              <w:bottom w:val="nil"/>
              <w:right w:val="nil"/>
            </w:tcBorders>
            <w:shd w:val="clear" w:color="000000" w:fill="FFFFFF"/>
            <w:noWrap/>
            <w:vAlign w:val="bottom"/>
            <w:hideMark/>
          </w:tcPr>
          <w:p w14:paraId="5CB0C6FD"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-0.242*</w:t>
            </w:r>
          </w:p>
        </w:tc>
      </w:tr>
      <w:tr w:rsidR="005C3500" w:rsidRPr="008B6992" w14:paraId="5E5FA52E" w14:textId="77777777" w:rsidTr="00F556AF">
        <w:trPr>
          <w:trHeight w:val="227"/>
          <w:jc w:val="center"/>
        </w:trPr>
        <w:tc>
          <w:tcPr>
            <w:tcW w:w="2118" w:type="dxa"/>
            <w:vMerge/>
            <w:tcBorders>
              <w:top w:val="nil"/>
              <w:left w:val="nil"/>
              <w:bottom w:val="nil"/>
              <w:right w:val="nil"/>
            </w:tcBorders>
            <w:vAlign w:val="center"/>
            <w:hideMark/>
          </w:tcPr>
          <w:p w14:paraId="09ADF71B" w14:textId="77777777" w:rsidR="008B6992" w:rsidRPr="008B6992" w:rsidRDefault="008B6992" w:rsidP="008B6992">
            <w:pPr>
              <w:spacing w:after="0" w:line="240" w:lineRule="auto"/>
              <w:ind w:firstLine="0"/>
              <w:jc w:val="left"/>
              <w:rPr>
                <w:color w:val="000000"/>
                <w:sz w:val="16"/>
                <w:szCs w:val="16"/>
              </w:rPr>
            </w:pPr>
          </w:p>
        </w:tc>
        <w:tc>
          <w:tcPr>
            <w:tcW w:w="1663" w:type="dxa"/>
            <w:tcBorders>
              <w:top w:val="nil"/>
              <w:left w:val="nil"/>
              <w:bottom w:val="nil"/>
              <w:right w:val="nil"/>
            </w:tcBorders>
            <w:shd w:val="clear" w:color="000000" w:fill="FFFFFF"/>
            <w:noWrap/>
            <w:hideMark/>
          </w:tcPr>
          <w:p w14:paraId="71ED775C"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(0.081)</w:t>
            </w:r>
          </w:p>
        </w:tc>
        <w:tc>
          <w:tcPr>
            <w:tcW w:w="1211" w:type="dxa"/>
            <w:tcBorders>
              <w:top w:val="nil"/>
              <w:left w:val="nil"/>
              <w:bottom w:val="nil"/>
              <w:right w:val="nil"/>
            </w:tcBorders>
            <w:shd w:val="clear" w:color="000000" w:fill="FFFFFF"/>
            <w:noWrap/>
            <w:hideMark/>
          </w:tcPr>
          <w:p w14:paraId="3E08F93C"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(0.427)</w:t>
            </w:r>
          </w:p>
        </w:tc>
        <w:tc>
          <w:tcPr>
            <w:tcW w:w="303" w:type="dxa"/>
            <w:tcBorders>
              <w:top w:val="nil"/>
              <w:left w:val="nil"/>
              <w:bottom w:val="nil"/>
              <w:right w:val="nil"/>
            </w:tcBorders>
            <w:shd w:val="clear" w:color="000000" w:fill="FFFFFF"/>
            <w:noWrap/>
            <w:hideMark/>
          </w:tcPr>
          <w:p w14:paraId="794E5387" w14:textId="77777777" w:rsidR="008B6992" w:rsidRPr="008B6992" w:rsidRDefault="008B6992" w:rsidP="008B6992">
            <w:pPr>
              <w:spacing w:after="0" w:line="240" w:lineRule="auto"/>
              <w:ind w:firstLine="0"/>
              <w:jc w:val="left"/>
              <w:rPr>
                <w:color w:val="000000"/>
                <w:sz w:val="14"/>
                <w:szCs w:val="14"/>
              </w:rPr>
            </w:pPr>
            <w:r w:rsidRPr="008B6992">
              <w:rPr>
                <w:color w:val="000000"/>
                <w:sz w:val="14"/>
                <w:szCs w:val="14"/>
              </w:rPr>
              <w:t> </w:t>
            </w:r>
          </w:p>
        </w:tc>
        <w:tc>
          <w:tcPr>
            <w:tcW w:w="1210" w:type="dxa"/>
            <w:tcBorders>
              <w:top w:val="nil"/>
              <w:left w:val="nil"/>
              <w:bottom w:val="nil"/>
              <w:right w:val="nil"/>
            </w:tcBorders>
            <w:shd w:val="clear" w:color="000000" w:fill="FFFFFF"/>
            <w:noWrap/>
            <w:hideMark/>
          </w:tcPr>
          <w:p w14:paraId="4CE74EFD"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(0.183)</w:t>
            </w:r>
          </w:p>
        </w:tc>
        <w:tc>
          <w:tcPr>
            <w:tcW w:w="1059" w:type="dxa"/>
            <w:tcBorders>
              <w:top w:val="nil"/>
              <w:left w:val="nil"/>
              <w:bottom w:val="nil"/>
              <w:right w:val="nil"/>
            </w:tcBorders>
            <w:shd w:val="clear" w:color="000000" w:fill="FFFFFF"/>
            <w:noWrap/>
            <w:hideMark/>
          </w:tcPr>
          <w:p w14:paraId="60CE1DF2"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(0.141)</w:t>
            </w:r>
          </w:p>
        </w:tc>
      </w:tr>
      <w:tr w:rsidR="005C3500" w:rsidRPr="008B6992" w14:paraId="3D781AB9" w14:textId="77777777" w:rsidTr="005C3500">
        <w:trPr>
          <w:trHeight w:val="283"/>
          <w:jc w:val="center"/>
        </w:trPr>
        <w:tc>
          <w:tcPr>
            <w:tcW w:w="2118" w:type="dxa"/>
            <w:tcBorders>
              <w:top w:val="nil"/>
              <w:left w:val="nil"/>
              <w:bottom w:val="nil"/>
              <w:right w:val="nil"/>
            </w:tcBorders>
            <w:shd w:val="clear" w:color="000000" w:fill="FFFFFF"/>
            <w:noWrap/>
            <w:vAlign w:val="bottom"/>
            <w:hideMark/>
          </w:tcPr>
          <w:p w14:paraId="1650AE81"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lang w:val="en-US"/>
              </w:rPr>
              <w:t>Tax Less-healthy 20% in</w:t>
            </w:r>
          </w:p>
        </w:tc>
        <w:tc>
          <w:tcPr>
            <w:tcW w:w="1663" w:type="dxa"/>
            <w:tcBorders>
              <w:top w:val="nil"/>
              <w:left w:val="nil"/>
              <w:bottom w:val="nil"/>
              <w:right w:val="nil"/>
            </w:tcBorders>
            <w:shd w:val="clear" w:color="000000" w:fill="FFFFFF"/>
            <w:noWrap/>
            <w:vAlign w:val="bottom"/>
            <w:hideMark/>
          </w:tcPr>
          <w:p w14:paraId="304347B5"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-0.536***</w:t>
            </w:r>
          </w:p>
        </w:tc>
        <w:tc>
          <w:tcPr>
            <w:tcW w:w="1211" w:type="dxa"/>
            <w:tcBorders>
              <w:top w:val="nil"/>
              <w:left w:val="nil"/>
              <w:bottom w:val="nil"/>
              <w:right w:val="nil"/>
            </w:tcBorders>
            <w:shd w:val="clear" w:color="000000" w:fill="FFFFFF"/>
            <w:noWrap/>
            <w:vAlign w:val="bottom"/>
            <w:hideMark/>
          </w:tcPr>
          <w:p w14:paraId="2022B11D"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0.0821</w:t>
            </w:r>
          </w:p>
        </w:tc>
        <w:tc>
          <w:tcPr>
            <w:tcW w:w="303" w:type="dxa"/>
            <w:tcBorders>
              <w:top w:val="nil"/>
              <w:left w:val="nil"/>
              <w:bottom w:val="nil"/>
              <w:right w:val="nil"/>
            </w:tcBorders>
            <w:shd w:val="clear" w:color="000000" w:fill="FFFFFF"/>
            <w:noWrap/>
            <w:vAlign w:val="bottom"/>
            <w:hideMark/>
          </w:tcPr>
          <w:p w14:paraId="6DF16E83"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rPr>
              <w:t> </w:t>
            </w:r>
          </w:p>
        </w:tc>
        <w:tc>
          <w:tcPr>
            <w:tcW w:w="1210" w:type="dxa"/>
            <w:tcBorders>
              <w:top w:val="nil"/>
              <w:left w:val="nil"/>
              <w:bottom w:val="nil"/>
              <w:right w:val="nil"/>
            </w:tcBorders>
            <w:shd w:val="clear" w:color="000000" w:fill="FFFFFF"/>
            <w:noWrap/>
            <w:vAlign w:val="bottom"/>
            <w:hideMark/>
          </w:tcPr>
          <w:p w14:paraId="622994A5"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-0.531***</w:t>
            </w:r>
          </w:p>
        </w:tc>
        <w:tc>
          <w:tcPr>
            <w:tcW w:w="1059" w:type="dxa"/>
            <w:tcBorders>
              <w:top w:val="nil"/>
              <w:left w:val="nil"/>
              <w:bottom w:val="nil"/>
              <w:right w:val="nil"/>
            </w:tcBorders>
            <w:shd w:val="clear" w:color="000000" w:fill="FFFFFF"/>
            <w:noWrap/>
            <w:vAlign w:val="bottom"/>
            <w:hideMark/>
          </w:tcPr>
          <w:p w14:paraId="70385DEC"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0.142</w:t>
            </w:r>
          </w:p>
        </w:tc>
      </w:tr>
      <w:tr w:rsidR="005C3500" w:rsidRPr="008B6992" w14:paraId="15D454A1" w14:textId="77777777" w:rsidTr="00F556AF">
        <w:trPr>
          <w:trHeight w:val="241"/>
          <w:jc w:val="center"/>
        </w:trPr>
        <w:tc>
          <w:tcPr>
            <w:tcW w:w="2118" w:type="dxa"/>
            <w:tcBorders>
              <w:top w:val="nil"/>
              <w:left w:val="nil"/>
              <w:bottom w:val="nil"/>
              <w:right w:val="nil"/>
            </w:tcBorders>
            <w:shd w:val="clear" w:color="000000" w:fill="FFFFFF"/>
            <w:noWrap/>
            <w:vAlign w:val="bottom"/>
            <w:hideMark/>
          </w:tcPr>
          <w:p w14:paraId="43A60BF1"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lang w:val="en-US"/>
              </w:rPr>
              <w:t>signposted intervention</w:t>
            </w:r>
          </w:p>
        </w:tc>
        <w:tc>
          <w:tcPr>
            <w:tcW w:w="1663" w:type="dxa"/>
            <w:tcBorders>
              <w:top w:val="nil"/>
              <w:left w:val="nil"/>
              <w:bottom w:val="nil"/>
              <w:right w:val="nil"/>
            </w:tcBorders>
            <w:shd w:val="clear" w:color="000000" w:fill="FFFFFF"/>
            <w:noWrap/>
            <w:hideMark/>
          </w:tcPr>
          <w:p w14:paraId="5424E322"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(0.083)</w:t>
            </w:r>
          </w:p>
        </w:tc>
        <w:tc>
          <w:tcPr>
            <w:tcW w:w="1211" w:type="dxa"/>
            <w:tcBorders>
              <w:top w:val="nil"/>
              <w:left w:val="nil"/>
              <w:bottom w:val="nil"/>
              <w:right w:val="nil"/>
            </w:tcBorders>
            <w:shd w:val="clear" w:color="000000" w:fill="FFFFFF"/>
            <w:noWrap/>
            <w:hideMark/>
          </w:tcPr>
          <w:p w14:paraId="262A6D3D"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(0.191)</w:t>
            </w:r>
          </w:p>
        </w:tc>
        <w:tc>
          <w:tcPr>
            <w:tcW w:w="303" w:type="dxa"/>
            <w:tcBorders>
              <w:top w:val="nil"/>
              <w:left w:val="nil"/>
              <w:bottom w:val="nil"/>
              <w:right w:val="nil"/>
            </w:tcBorders>
            <w:shd w:val="clear" w:color="000000" w:fill="FFFFFF"/>
            <w:noWrap/>
            <w:hideMark/>
          </w:tcPr>
          <w:p w14:paraId="44AD877D" w14:textId="77777777" w:rsidR="008B6992" w:rsidRPr="008B6992" w:rsidRDefault="008B6992" w:rsidP="008B6992">
            <w:pPr>
              <w:spacing w:after="0" w:line="240" w:lineRule="auto"/>
              <w:ind w:firstLine="0"/>
              <w:jc w:val="left"/>
              <w:rPr>
                <w:color w:val="000000"/>
                <w:sz w:val="14"/>
                <w:szCs w:val="14"/>
              </w:rPr>
            </w:pPr>
            <w:r w:rsidRPr="008B6992">
              <w:rPr>
                <w:color w:val="000000"/>
                <w:sz w:val="14"/>
                <w:szCs w:val="14"/>
              </w:rPr>
              <w:t> </w:t>
            </w:r>
          </w:p>
        </w:tc>
        <w:tc>
          <w:tcPr>
            <w:tcW w:w="1210" w:type="dxa"/>
            <w:tcBorders>
              <w:top w:val="nil"/>
              <w:left w:val="nil"/>
              <w:bottom w:val="nil"/>
              <w:right w:val="nil"/>
            </w:tcBorders>
            <w:shd w:val="clear" w:color="000000" w:fill="FFFFFF"/>
            <w:noWrap/>
            <w:hideMark/>
          </w:tcPr>
          <w:p w14:paraId="5033A771"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(0.114)</w:t>
            </w:r>
          </w:p>
        </w:tc>
        <w:tc>
          <w:tcPr>
            <w:tcW w:w="1059" w:type="dxa"/>
            <w:tcBorders>
              <w:top w:val="nil"/>
              <w:left w:val="nil"/>
              <w:bottom w:val="nil"/>
              <w:right w:val="nil"/>
            </w:tcBorders>
            <w:shd w:val="clear" w:color="000000" w:fill="FFFFFF"/>
            <w:noWrap/>
            <w:hideMark/>
          </w:tcPr>
          <w:p w14:paraId="68AB7C81"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(0.235)</w:t>
            </w:r>
          </w:p>
        </w:tc>
      </w:tr>
      <w:tr w:rsidR="005C3500" w:rsidRPr="008B6992" w14:paraId="43A64191" w14:textId="77777777" w:rsidTr="005C3500">
        <w:trPr>
          <w:trHeight w:val="283"/>
          <w:jc w:val="center"/>
        </w:trPr>
        <w:tc>
          <w:tcPr>
            <w:tcW w:w="2118" w:type="dxa"/>
            <w:vMerge w:val="restart"/>
            <w:tcBorders>
              <w:top w:val="nil"/>
              <w:left w:val="nil"/>
              <w:bottom w:val="nil"/>
              <w:right w:val="nil"/>
            </w:tcBorders>
            <w:shd w:val="clear" w:color="000000" w:fill="FFFFFF"/>
            <w:noWrap/>
            <w:vAlign w:val="center"/>
            <w:hideMark/>
          </w:tcPr>
          <w:p w14:paraId="0DBF7052"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lang w:val="en-US"/>
              </w:rPr>
              <w:t>Tax Less-healthy 40%</w:t>
            </w:r>
          </w:p>
        </w:tc>
        <w:tc>
          <w:tcPr>
            <w:tcW w:w="1663" w:type="dxa"/>
            <w:tcBorders>
              <w:top w:val="nil"/>
              <w:left w:val="nil"/>
              <w:bottom w:val="nil"/>
              <w:right w:val="nil"/>
            </w:tcBorders>
            <w:shd w:val="clear" w:color="000000" w:fill="FFFFFF"/>
            <w:noWrap/>
            <w:vAlign w:val="bottom"/>
            <w:hideMark/>
          </w:tcPr>
          <w:p w14:paraId="0444A660"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-0.709***</w:t>
            </w:r>
          </w:p>
        </w:tc>
        <w:tc>
          <w:tcPr>
            <w:tcW w:w="1211" w:type="dxa"/>
            <w:tcBorders>
              <w:top w:val="nil"/>
              <w:left w:val="nil"/>
              <w:bottom w:val="nil"/>
              <w:right w:val="nil"/>
            </w:tcBorders>
            <w:shd w:val="clear" w:color="000000" w:fill="FFFFFF"/>
            <w:noWrap/>
            <w:vAlign w:val="bottom"/>
            <w:hideMark/>
          </w:tcPr>
          <w:p w14:paraId="58AF6746"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1.543***</w:t>
            </w:r>
          </w:p>
        </w:tc>
        <w:tc>
          <w:tcPr>
            <w:tcW w:w="303" w:type="dxa"/>
            <w:tcBorders>
              <w:top w:val="nil"/>
              <w:left w:val="nil"/>
              <w:bottom w:val="nil"/>
              <w:right w:val="nil"/>
            </w:tcBorders>
            <w:shd w:val="clear" w:color="000000" w:fill="FFFFFF"/>
            <w:noWrap/>
            <w:vAlign w:val="bottom"/>
            <w:hideMark/>
          </w:tcPr>
          <w:p w14:paraId="5C19BD52"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rPr>
              <w:t> </w:t>
            </w:r>
          </w:p>
        </w:tc>
        <w:tc>
          <w:tcPr>
            <w:tcW w:w="1210" w:type="dxa"/>
            <w:tcBorders>
              <w:top w:val="nil"/>
              <w:left w:val="nil"/>
              <w:bottom w:val="nil"/>
              <w:right w:val="nil"/>
            </w:tcBorders>
            <w:shd w:val="clear" w:color="000000" w:fill="FFFFFF"/>
            <w:noWrap/>
            <w:vAlign w:val="bottom"/>
            <w:hideMark/>
          </w:tcPr>
          <w:p w14:paraId="6280EB46"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-0.683***</w:t>
            </w:r>
          </w:p>
        </w:tc>
        <w:tc>
          <w:tcPr>
            <w:tcW w:w="1059" w:type="dxa"/>
            <w:tcBorders>
              <w:top w:val="nil"/>
              <w:left w:val="nil"/>
              <w:bottom w:val="nil"/>
              <w:right w:val="nil"/>
            </w:tcBorders>
            <w:shd w:val="clear" w:color="000000" w:fill="FFFFFF"/>
            <w:noWrap/>
            <w:vAlign w:val="bottom"/>
            <w:hideMark/>
          </w:tcPr>
          <w:p w14:paraId="06CEB945"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-0.064</w:t>
            </w:r>
          </w:p>
        </w:tc>
      </w:tr>
      <w:tr w:rsidR="005C3500" w:rsidRPr="008B6992" w14:paraId="2AA2D5F0" w14:textId="77777777" w:rsidTr="00F556AF">
        <w:trPr>
          <w:trHeight w:val="283"/>
          <w:jc w:val="center"/>
        </w:trPr>
        <w:tc>
          <w:tcPr>
            <w:tcW w:w="2118" w:type="dxa"/>
            <w:vMerge/>
            <w:tcBorders>
              <w:top w:val="nil"/>
              <w:left w:val="nil"/>
              <w:bottom w:val="nil"/>
              <w:right w:val="nil"/>
            </w:tcBorders>
            <w:vAlign w:val="center"/>
            <w:hideMark/>
          </w:tcPr>
          <w:p w14:paraId="5C2E25AD" w14:textId="77777777" w:rsidR="008B6992" w:rsidRPr="008B6992" w:rsidRDefault="008B6992" w:rsidP="008B6992">
            <w:pPr>
              <w:spacing w:after="0" w:line="240" w:lineRule="auto"/>
              <w:ind w:firstLine="0"/>
              <w:jc w:val="left"/>
              <w:rPr>
                <w:color w:val="000000"/>
                <w:sz w:val="16"/>
                <w:szCs w:val="16"/>
              </w:rPr>
            </w:pPr>
          </w:p>
        </w:tc>
        <w:tc>
          <w:tcPr>
            <w:tcW w:w="1663" w:type="dxa"/>
            <w:tcBorders>
              <w:top w:val="nil"/>
              <w:left w:val="nil"/>
              <w:bottom w:val="nil"/>
              <w:right w:val="nil"/>
            </w:tcBorders>
            <w:shd w:val="clear" w:color="000000" w:fill="FFFFFF"/>
            <w:noWrap/>
            <w:hideMark/>
          </w:tcPr>
          <w:p w14:paraId="71683B0E"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(0.050)</w:t>
            </w:r>
          </w:p>
        </w:tc>
        <w:tc>
          <w:tcPr>
            <w:tcW w:w="1211" w:type="dxa"/>
            <w:tcBorders>
              <w:top w:val="nil"/>
              <w:left w:val="nil"/>
              <w:bottom w:val="nil"/>
              <w:right w:val="nil"/>
            </w:tcBorders>
            <w:shd w:val="clear" w:color="000000" w:fill="FFFFFF"/>
            <w:noWrap/>
            <w:hideMark/>
          </w:tcPr>
          <w:p w14:paraId="46AE86CA"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(0.534)</w:t>
            </w:r>
          </w:p>
        </w:tc>
        <w:tc>
          <w:tcPr>
            <w:tcW w:w="303" w:type="dxa"/>
            <w:tcBorders>
              <w:top w:val="nil"/>
              <w:left w:val="nil"/>
              <w:bottom w:val="nil"/>
              <w:right w:val="nil"/>
            </w:tcBorders>
            <w:shd w:val="clear" w:color="000000" w:fill="FFFFFF"/>
            <w:noWrap/>
            <w:hideMark/>
          </w:tcPr>
          <w:p w14:paraId="3075D338" w14:textId="77777777" w:rsidR="008B6992" w:rsidRPr="008B6992" w:rsidRDefault="008B6992" w:rsidP="008B6992">
            <w:pPr>
              <w:spacing w:after="0" w:line="240" w:lineRule="auto"/>
              <w:ind w:firstLine="0"/>
              <w:jc w:val="left"/>
              <w:rPr>
                <w:color w:val="000000"/>
                <w:sz w:val="14"/>
                <w:szCs w:val="14"/>
              </w:rPr>
            </w:pPr>
            <w:r w:rsidRPr="008B6992">
              <w:rPr>
                <w:color w:val="000000"/>
                <w:sz w:val="14"/>
                <w:szCs w:val="14"/>
              </w:rPr>
              <w:t> </w:t>
            </w:r>
          </w:p>
        </w:tc>
        <w:tc>
          <w:tcPr>
            <w:tcW w:w="1210" w:type="dxa"/>
            <w:tcBorders>
              <w:top w:val="nil"/>
              <w:left w:val="nil"/>
              <w:bottom w:val="nil"/>
              <w:right w:val="nil"/>
            </w:tcBorders>
            <w:shd w:val="clear" w:color="000000" w:fill="FFFFFF"/>
            <w:noWrap/>
            <w:hideMark/>
          </w:tcPr>
          <w:p w14:paraId="3334CB09"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(0.075)</w:t>
            </w:r>
          </w:p>
        </w:tc>
        <w:tc>
          <w:tcPr>
            <w:tcW w:w="1059" w:type="dxa"/>
            <w:tcBorders>
              <w:top w:val="nil"/>
              <w:left w:val="nil"/>
              <w:bottom w:val="nil"/>
              <w:right w:val="nil"/>
            </w:tcBorders>
            <w:shd w:val="clear" w:color="000000" w:fill="FFFFFF"/>
            <w:noWrap/>
            <w:hideMark/>
          </w:tcPr>
          <w:p w14:paraId="0B5DDAE2"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(0.213)</w:t>
            </w:r>
          </w:p>
        </w:tc>
      </w:tr>
      <w:tr w:rsidR="005C3500" w:rsidRPr="008B6992" w14:paraId="67A562B4" w14:textId="77777777" w:rsidTr="005C3500">
        <w:trPr>
          <w:trHeight w:val="283"/>
          <w:jc w:val="center"/>
        </w:trPr>
        <w:tc>
          <w:tcPr>
            <w:tcW w:w="2118" w:type="dxa"/>
            <w:tcBorders>
              <w:top w:val="nil"/>
              <w:left w:val="nil"/>
              <w:bottom w:val="nil"/>
              <w:right w:val="nil"/>
            </w:tcBorders>
            <w:shd w:val="clear" w:color="000000" w:fill="FFFFFF"/>
            <w:noWrap/>
            <w:vAlign w:val="bottom"/>
            <w:hideMark/>
          </w:tcPr>
          <w:p w14:paraId="43F616C1"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lang w:val="en-US"/>
              </w:rPr>
              <w:t xml:space="preserve">Tax Less-healthy 40% in </w:t>
            </w:r>
          </w:p>
        </w:tc>
        <w:tc>
          <w:tcPr>
            <w:tcW w:w="1663" w:type="dxa"/>
            <w:tcBorders>
              <w:top w:val="nil"/>
              <w:left w:val="nil"/>
              <w:bottom w:val="nil"/>
              <w:right w:val="nil"/>
            </w:tcBorders>
            <w:shd w:val="clear" w:color="000000" w:fill="FFFFFF"/>
            <w:noWrap/>
            <w:vAlign w:val="bottom"/>
            <w:hideMark/>
          </w:tcPr>
          <w:p w14:paraId="52D3B74A"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-0.736***</w:t>
            </w:r>
          </w:p>
        </w:tc>
        <w:tc>
          <w:tcPr>
            <w:tcW w:w="1211" w:type="dxa"/>
            <w:tcBorders>
              <w:top w:val="nil"/>
              <w:left w:val="nil"/>
              <w:bottom w:val="nil"/>
              <w:right w:val="nil"/>
            </w:tcBorders>
            <w:shd w:val="clear" w:color="000000" w:fill="FFFFFF"/>
            <w:noWrap/>
            <w:vAlign w:val="bottom"/>
            <w:hideMark/>
          </w:tcPr>
          <w:p w14:paraId="1F2B6F2C"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0.221</w:t>
            </w:r>
          </w:p>
        </w:tc>
        <w:tc>
          <w:tcPr>
            <w:tcW w:w="303" w:type="dxa"/>
            <w:tcBorders>
              <w:top w:val="nil"/>
              <w:left w:val="nil"/>
              <w:bottom w:val="nil"/>
              <w:right w:val="nil"/>
            </w:tcBorders>
            <w:shd w:val="clear" w:color="000000" w:fill="FFFFFF"/>
            <w:noWrap/>
            <w:vAlign w:val="bottom"/>
            <w:hideMark/>
          </w:tcPr>
          <w:p w14:paraId="6054A3EE"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rPr>
              <w:t> </w:t>
            </w:r>
          </w:p>
        </w:tc>
        <w:tc>
          <w:tcPr>
            <w:tcW w:w="1210" w:type="dxa"/>
            <w:tcBorders>
              <w:top w:val="nil"/>
              <w:left w:val="nil"/>
              <w:bottom w:val="nil"/>
              <w:right w:val="nil"/>
            </w:tcBorders>
            <w:shd w:val="clear" w:color="000000" w:fill="FFFFFF"/>
            <w:noWrap/>
            <w:vAlign w:val="bottom"/>
            <w:hideMark/>
          </w:tcPr>
          <w:p w14:paraId="2A21BD1A"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-0.628***</w:t>
            </w:r>
          </w:p>
        </w:tc>
        <w:tc>
          <w:tcPr>
            <w:tcW w:w="1059" w:type="dxa"/>
            <w:tcBorders>
              <w:top w:val="nil"/>
              <w:left w:val="nil"/>
              <w:bottom w:val="nil"/>
              <w:right w:val="nil"/>
            </w:tcBorders>
            <w:shd w:val="clear" w:color="000000" w:fill="FFFFFF"/>
            <w:noWrap/>
            <w:vAlign w:val="bottom"/>
            <w:hideMark/>
          </w:tcPr>
          <w:p w14:paraId="6B60478A"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0.365</w:t>
            </w:r>
          </w:p>
        </w:tc>
      </w:tr>
      <w:tr w:rsidR="005C3500" w:rsidRPr="008B6992" w14:paraId="4DD7BD0A" w14:textId="77777777" w:rsidTr="00F556AF">
        <w:trPr>
          <w:trHeight w:val="283"/>
          <w:jc w:val="center"/>
        </w:trPr>
        <w:tc>
          <w:tcPr>
            <w:tcW w:w="2118" w:type="dxa"/>
            <w:tcBorders>
              <w:top w:val="nil"/>
              <w:left w:val="nil"/>
              <w:bottom w:val="nil"/>
              <w:right w:val="nil"/>
            </w:tcBorders>
            <w:shd w:val="clear" w:color="000000" w:fill="FFFFFF"/>
            <w:noWrap/>
            <w:vAlign w:val="bottom"/>
            <w:hideMark/>
          </w:tcPr>
          <w:p w14:paraId="4EC8910B"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lang w:val="en-US"/>
              </w:rPr>
              <w:t>signposted intervention</w:t>
            </w:r>
          </w:p>
        </w:tc>
        <w:tc>
          <w:tcPr>
            <w:tcW w:w="1663" w:type="dxa"/>
            <w:tcBorders>
              <w:top w:val="nil"/>
              <w:left w:val="nil"/>
              <w:bottom w:val="nil"/>
              <w:right w:val="nil"/>
            </w:tcBorders>
            <w:shd w:val="clear" w:color="000000" w:fill="FFFFFF"/>
            <w:noWrap/>
            <w:hideMark/>
          </w:tcPr>
          <w:p w14:paraId="7F714449"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(0.048)</w:t>
            </w:r>
          </w:p>
        </w:tc>
        <w:tc>
          <w:tcPr>
            <w:tcW w:w="1211" w:type="dxa"/>
            <w:tcBorders>
              <w:top w:val="nil"/>
              <w:left w:val="nil"/>
              <w:bottom w:val="nil"/>
              <w:right w:val="nil"/>
            </w:tcBorders>
            <w:shd w:val="clear" w:color="000000" w:fill="FFFFFF"/>
            <w:noWrap/>
            <w:hideMark/>
          </w:tcPr>
          <w:p w14:paraId="375596F0"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(0.230)</w:t>
            </w:r>
          </w:p>
        </w:tc>
        <w:tc>
          <w:tcPr>
            <w:tcW w:w="303" w:type="dxa"/>
            <w:tcBorders>
              <w:top w:val="nil"/>
              <w:left w:val="nil"/>
              <w:bottom w:val="nil"/>
              <w:right w:val="nil"/>
            </w:tcBorders>
            <w:shd w:val="clear" w:color="000000" w:fill="FFFFFF"/>
            <w:noWrap/>
            <w:hideMark/>
          </w:tcPr>
          <w:p w14:paraId="698C36BF" w14:textId="77777777" w:rsidR="008B6992" w:rsidRPr="008B6992" w:rsidRDefault="008B6992" w:rsidP="008B6992">
            <w:pPr>
              <w:spacing w:after="0" w:line="240" w:lineRule="auto"/>
              <w:ind w:firstLine="0"/>
              <w:jc w:val="left"/>
              <w:rPr>
                <w:color w:val="000000"/>
                <w:sz w:val="14"/>
                <w:szCs w:val="14"/>
              </w:rPr>
            </w:pPr>
            <w:r w:rsidRPr="008B6992">
              <w:rPr>
                <w:color w:val="000000"/>
                <w:sz w:val="14"/>
                <w:szCs w:val="14"/>
              </w:rPr>
              <w:t> </w:t>
            </w:r>
          </w:p>
        </w:tc>
        <w:tc>
          <w:tcPr>
            <w:tcW w:w="1210" w:type="dxa"/>
            <w:tcBorders>
              <w:top w:val="nil"/>
              <w:left w:val="nil"/>
              <w:bottom w:val="nil"/>
              <w:right w:val="nil"/>
            </w:tcBorders>
            <w:shd w:val="clear" w:color="000000" w:fill="FFFFFF"/>
            <w:noWrap/>
            <w:hideMark/>
          </w:tcPr>
          <w:p w14:paraId="431D3B1E"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(0.087)</w:t>
            </w:r>
          </w:p>
        </w:tc>
        <w:tc>
          <w:tcPr>
            <w:tcW w:w="1059" w:type="dxa"/>
            <w:tcBorders>
              <w:top w:val="nil"/>
              <w:left w:val="nil"/>
              <w:bottom w:val="nil"/>
              <w:right w:val="nil"/>
            </w:tcBorders>
            <w:shd w:val="clear" w:color="000000" w:fill="FFFFFF"/>
            <w:noWrap/>
            <w:hideMark/>
          </w:tcPr>
          <w:p w14:paraId="5371BFCB"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(0.247)</w:t>
            </w:r>
          </w:p>
        </w:tc>
      </w:tr>
      <w:tr w:rsidR="005C3500" w:rsidRPr="008B6992" w14:paraId="29AB03EC" w14:textId="77777777" w:rsidTr="005C3500">
        <w:trPr>
          <w:trHeight w:val="283"/>
          <w:jc w:val="center"/>
        </w:trPr>
        <w:tc>
          <w:tcPr>
            <w:tcW w:w="2118" w:type="dxa"/>
            <w:vMerge w:val="restart"/>
            <w:tcBorders>
              <w:top w:val="nil"/>
              <w:left w:val="nil"/>
              <w:bottom w:val="nil"/>
              <w:right w:val="nil"/>
            </w:tcBorders>
            <w:shd w:val="clear" w:color="000000" w:fill="FFFFFF"/>
            <w:noWrap/>
            <w:vAlign w:val="center"/>
            <w:hideMark/>
          </w:tcPr>
          <w:p w14:paraId="687C10DB"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lang w:val="en-US"/>
              </w:rPr>
              <w:t xml:space="preserve">Tax Healthier 20% </w:t>
            </w:r>
          </w:p>
        </w:tc>
        <w:tc>
          <w:tcPr>
            <w:tcW w:w="1663" w:type="dxa"/>
            <w:tcBorders>
              <w:top w:val="nil"/>
              <w:left w:val="nil"/>
              <w:bottom w:val="nil"/>
              <w:right w:val="nil"/>
            </w:tcBorders>
            <w:shd w:val="clear" w:color="000000" w:fill="FFFFFF"/>
            <w:noWrap/>
            <w:vAlign w:val="bottom"/>
            <w:hideMark/>
          </w:tcPr>
          <w:p w14:paraId="7A9F94CC"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-0.184*</w:t>
            </w:r>
          </w:p>
        </w:tc>
        <w:tc>
          <w:tcPr>
            <w:tcW w:w="1211" w:type="dxa"/>
            <w:tcBorders>
              <w:top w:val="nil"/>
              <w:left w:val="nil"/>
              <w:bottom w:val="nil"/>
              <w:right w:val="nil"/>
            </w:tcBorders>
            <w:shd w:val="clear" w:color="000000" w:fill="FFFFFF"/>
            <w:noWrap/>
            <w:vAlign w:val="bottom"/>
            <w:hideMark/>
          </w:tcPr>
          <w:p w14:paraId="571C3DE2"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0.103</w:t>
            </w:r>
          </w:p>
        </w:tc>
        <w:tc>
          <w:tcPr>
            <w:tcW w:w="303" w:type="dxa"/>
            <w:tcBorders>
              <w:top w:val="nil"/>
              <w:left w:val="nil"/>
              <w:bottom w:val="nil"/>
              <w:right w:val="nil"/>
            </w:tcBorders>
            <w:shd w:val="clear" w:color="000000" w:fill="FFFFFF"/>
            <w:noWrap/>
            <w:vAlign w:val="bottom"/>
            <w:hideMark/>
          </w:tcPr>
          <w:p w14:paraId="717EF6F8"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rPr>
              <w:t> </w:t>
            </w:r>
          </w:p>
        </w:tc>
        <w:tc>
          <w:tcPr>
            <w:tcW w:w="1210" w:type="dxa"/>
            <w:tcBorders>
              <w:top w:val="nil"/>
              <w:left w:val="nil"/>
              <w:bottom w:val="nil"/>
              <w:right w:val="nil"/>
            </w:tcBorders>
            <w:shd w:val="clear" w:color="000000" w:fill="FFFFFF"/>
            <w:noWrap/>
            <w:vAlign w:val="bottom"/>
            <w:hideMark/>
          </w:tcPr>
          <w:p w14:paraId="2ED56934"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0.240</w:t>
            </w:r>
          </w:p>
        </w:tc>
        <w:tc>
          <w:tcPr>
            <w:tcW w:w="1059" w:type="dxa"/>
            <w:tcBorders>
              <w:top w:val="nil"/>
              <w:left w:val="nil"/>
              <w:bottom w:val="nil"/>
              <w:right w:val="nil"/>
            </w:tcBorders>
            <w:shd w:val="clear" w:color="000000" w:fill="FFFFFF"/>
            <w:noWrap/>
            <w:vAlign w:val="bottom"/>
            <w:hideMark/>
          </w:tcPr>
          <w:p w14:paraId="4C31B2F3"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-0.515***</w:t>
            </w:r>
          </w:p>
        </w:tc>
      </w:tr>
      <w:tr w:rsidR="005C3500" w:rsidRPr="008B6992" w14:paraId="3442887E" w14:textId="77777777" w:rsidTr="00F556AF">
        <w:trPr>
          <w:trHeight w:val="283"/>
          <w:jc w:val="center"/>
        </w:trPr>
        <w:tc>
          <w:tcPr>
            <w:tcW w:w="2118" w:type="dxa"/>
            <w:vMerge/>
            <w:tcBorders>
              <w:top w:val="nil"/>
              <w:left w:val="nil"/>
              <w:bottom w:val="nil"/>
              <w:right w:val="nil"/>
            </w:tcBorders>
            <w:vAlign w:val="center"/>
            <w:hideMark/>
          </w:tcPr>
          <w:p w14:paraId="20C240F0" w14:textId="77777777" w:rsidR="008B6992" w:rsidRPr="008B6992" w:rsidRDefault="008B6992" w:rsidP="008B6992">
            <w:pPr>
              <w:spacing w:after="0" w:line="240" w:lineRule="auto"/>
              <w:ind w:firstLine="0"/>
              <w:jc w:val="left"/>
              <w:rPr>
                <w:color w:val="000000"/>
                <w:sz w:val="16"/>
                <w:szCs w:val="16"/>
              </w:rPr>
            </w:pPr>
          </w:p>
        </w:tc>
        <w:tc>
          <w:tcPr>
            <w:tcW w:w="1663" w:type="dxa"/>
            <w:tcBorders>
              <w:top w:val="nil"/>
              <w:left w:val="nil"/>
              <w:bottom w:val="nil"/>
              <w:right w:val="nil"/>
            </w:tcBorders>
            <w:shd w:val="clear" w:color="000000" w:fill="FFFFFF"/>
            <w:noWrap/>
            <w:hideMark/>
          </w:tcPr>
          <w:p w14:paraId="5742069C"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(0.112)</w:t>
            </w:r>
          </w:p>
        </w:tc>
        <w:tc>
          <w:tcPr>
            <w:tcW w:w="1211" w:type="dxa"/>
            <w:tcBorders>
              <w:top w:val="nil"/>
              <w:left w:val="nil"/>
              <w:bottom w:val="nil"/>
              <w:right w:val="nil"/>
            </w:tcBorders>
            <w:shd w:val="clear" w:color="000000" w:fill="FFFFFF"/>
            <w:noWrap/>
            <w:hideMark/>
          </w:tcPr>
          <w:p w14:paraId="1B047D32"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(0.220)</w:t>
            </w:r>
          </w:p>
        </w:tc>
        <w:tc>
          <w:tcPr>
            <w:tcW w:w="303" w:type="dxa"/>
            <w:tcBorders>
              <w:top w:val="nil"/>
              <w:left w:val="nil"/>
              <w:bottom w:val="nil"/>
              <w:right w:val="nil"/>
            </w:tcBorders>
            <w:shd w:val="clear" w:color="000000" w:fill="FFFFFF"/>
            <w:noWrap/>
            <w:hideMark/>
          </w:tcPr>
          <w:p w14:paraId="16439792" w14:textId="77777777" w:rsidR="008B6992" w:rsidRPr="008B6992" w:rsidRDefault="008B6992" w:rsidP="008B6992">
            <w:pPr>
              <w:spacing w:after="0" w:line="240" w:lineRule="auto"/>
              <w:ind w:firstLine="0"/>
              <w:jc w:val="left"/>
              <w:rPr>
                <w:color w:val="000000"/>
                <w:sz w:val="14"/>
                <w:szCs w:val="14"/>
              </w:rPr>
            </w:pPr>
            <w:r w:rsidRPr="008B6992">
              <w:rPr>
                <w:color w:val="000000"/>
                <w:sz w:val="14"/>
                <w:szCs w:val="14"/>
              </w:rPr>
              <w:t> </w:t>
            </w:r>
          </w:p>
        </w:tc>
        <w:tc>
          <w:tcPr>
            <w:tcW w:w="1210" w:type="dxa"/>
            <w:tcBorders>
              <w:top w:val="nil"/>
              <w:left w:val="nil"/>
              <w:bottom w:val="nil"/>
              <w:right w:val="nil"/>
            </w:tcBorders>
            <w:shd w:val="clear" w:color="000000" w:fill="FFFFFF"/>
            <w:noWrap/>
            <w:hideMark/>
          </w:tcPr>
          <w:p w14:paraId="3A1A7C8E"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(0.265)</w:t>
            </w:r>
          </w:p>
        </w:tc>
        <w:tc>
          <w:tcPr>
            <w:tcW w:w="1059" w:type="dxa"/>
            <w:tcBorders>
              <w:top w:val="nil"/>
              <w:left w:val="nil"/>
              <w:bottom w:val="nil"/>
              <w:right w:val="nil"/>
            </w:tcBorders>
            <w:shd w:val="clear" w:color="000000" w:fill="FFFFFF"/>
            <w:noWrap/>
            <w:hideMark/>
          </w:tcPr>
          <w:p w14:paraId="25291620"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(0.103)</w:t>
            </w:r>
          </w:p>
        </w:tc>
      </w:tr>
      <w:tr w:rsidR="005C3500" w:rsidRPr="008B6992" w14:paraId="76EEFA37" w14:textId="77777777" w:rsidTr="005C3500">
        <w:trPr>
          <w:trHeight w:val="283"/>
          <w:jc w:val="center"/>
        </w:trPr>
        <w:tc>
          <w:tcPr>
            <w:tcW w:w="2118" w:type="dxa"/>
            <w:tcBorders>
              <w:top w:val="nil"/>
              <w:left w:val="nil"/>
              <w:bottom w:val="nil"/>
              <w:right w:val="nil"/>
            </w:tcBorders>
            <w:shd w:val="clear" w:color="000000" w:fill="FFFFFF"/>
            <w:noWrap/>
            <w:vAlign w:val="bottom"/>
            <w:hideMark/>
          </w:tcPr>
          <w:p w14:paraId="777B0C75"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lang w:val="en-US"/>
              </w:rPr>
              <w:t>Tax Healthier 20% in</w:t>
            </w:r>
          </w:p>
        </w:tc>
        <w:tc>
          <w:tcPr>
            <w:tcW w:w="1663" w:type="dxa"/>
            <w:tcBorders>
              <w:top w:val="nil"/>
              <w:left w:val="nil"/>
              <w:bottom w:val="nil"/>
              <w:right w:val="nil"/>
            </w:tcBorders>
            <w:shd w:val="clear" w:color="000000" w:fill="FFFFFF"/>
            <w:noWrap/>
            <w:vAlign w:val="bottom"/>
            <w:hideMark/>
          </w:tcPr>
          <w:p w14:paraId="4699D7AB"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0.306</w:t>
            </w:r>
          </w:p>
        </w:tc>
        <w:tc>
          <w:tcPr>
            <w:tcW w:w="1211" w:type="dxa"/>
            <w:tcBorders>
              <w:top w:val="nil"/>
              <w:left w:val="nil"/>
              <w:bottom w:val="nil"/>
              <w:right w:val="nil"/>
            </w:tcBorders>
            <w:shd w:val="clear" w:color="000000" w:fill="FFFFFF"/>
            <w:noWrap/>
            <w:vAlign w:val="bottom"/>
            <w:hideMark/>
          </w:tcPr>
          <w:p w14:paraId="16F39C02"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-0.560***</w:t>
            </w:r>
          </w:p>
        </w:tc>
        <w:tc>
          <w:tcPr>
            <w:tcW w:w="303" w:type="dxa"/>
            <w:tcBorders>
              <w:top w:val="nil"/>
              <w:left w:val="nil"/>
              <w:bottom w:val="nil"/>
              <w:right w:val="nil"/>
            </w:tcBorders>
            <w:shd w:val="clear" w:color="000000" w:fill="FFFFFF"/>
            <w:noWrap/>
            <w:vAlign w:val="bottom"/>
            <w:hideMark/>
          </w:tcPr>
          <w:p w14:paraId="1AB4A6E3"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rPr>
              <w:t> </w:t>
            </w:r>
          </w:p>
        </w:tc>
        <w:tc>
          <w:tcPr>
            <w:tcW w:w="1210" w:type="dxa"/>
            <w:tcBorders>
              <w:top w:val="nil"/>
              <w:left w:val="nil"/>
              <w:bottom w:val="nil"/>
              <w:right w:val="nil"/>
            </w:tcBorders>
            <w:shd w:val="clear" w:color="000000" w:fill="FFFFFF"/>
            <w:noWrap/>
            <w:vAlign w:val="bottom"/>
            <w:hideMark/>
          </w:tcPr>
          <w:p w14:paraId="1F7301BF"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0.38</w:t>
            </w:r>
          </w:p>
        </w:tc>
        <w:tc>
          <w:tcPr>
            <w:tcW w:w="1059" w:type="dxa"/>
            <w:tcBorders>
              <w:top w:val="nil"/>
              <w:left w:val="nil"/>
              <w:bottom w:val="nil"/>
              <w:right w:val="nil"/>
            </w:tcBorders>
            <w:shd w:val="clear" w:color="000000" w:fill="FFFFFF"/>
            <w:noWrap/>
            <w:vAlign w:val="bottom"/>
            <w:hideMark/>
          </w:tcPr>
          <w:p w14:paraId="1A16C778"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-0.365**</w:t>
            </w:r>
          </w:p>
        </w:tc>
      </w:tr>
      <w:tr w:rsidR="005C3500" w:rsidRPr="008B6992" w14:paraId="626E3922" w14:textId="77777777" w:rsidTr="00F556AF">
        <w:trPr>
          <w:trHeight w:val="283"/>
          <w:jc w:val="center"/>
        </w:trPr>
        <w:tc>
          <w:tcPr>
            <w:tcW w:w="2118" w:type="dxa"/>
            <w:tcBorders>
              <w:top w:val="nil"/>
              <w:left w:val="nil"/>
              <w:bottom w:val="nil"/>
              <w:right w:val="nil"/>
            </w:tcBorders>
            <w:shd w:val="clear" w:color="000000" w:fill="FFFFFF"/>
            <w:noWrap/>
            <w:vAlign w:val="bottom"/>
            <w:hideMark/>
          </w:tcPr>
          <w:p w14:paraId="490215F4"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lang w:val="en-US"/>
              </w:rPr>
              <w:t>signposted intervention</w:t>
            </w:r>
          </w:p>
        </w:tc>
        <w:tc>
          <w:tcPr>
            <w:tcW w:w="1663" w:type="dxa"/>
            <w:tcBorders>
              <w:top w:val="nil"/>
              <w:left w:val="nil"/>
              <w:bottom w:val="nil"/>
              <w:right w:val="nil"/>
            </w:tcBorders>
            <w:shd w:val="clear" w:color="000000" w:fill="FFFFFF"/>
            <w:noWrap/>
            <w:hideMark/>
          </w:tcPr>
          <w:p w14:paraId="701102C9"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(0.201)</w:t>
            </w:r>
          </w:p>
        </w:tc>
        <w:tc>
          <w:tcPr>
            <w:tcW w:w="1211" w:type="dxa"/>
            <w:tcBorders>
              <w:top w:val="nil"/>
              <w:left w:val="nil"/>
              <w:bottom w:val="nil"/>
              <w:right w:val="nil"/>
            </w:tcBorders>
            <w:shd w:val="clear" w:color="000000" w:fill="FFFFFF"/>
            <w:noWrap/>
            <w:hideMark/>
          </w:tcPr>
          <w:p w14:paraId="57A4CE5B"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(0.084)</w:t>
            </w:r>
          </w:p>
        </w:tc>
        <w:tc>
          <w:tcPr>
            <w:tcW w:w="303" w:type="dxa"/>
            <w:tcBorders>
              <w:top w:val="nil"/>
              <w:left w:val="nil"/>
              <w:bottom w:val="nil"/>
              <w:right w:val="nil"/>
            </w:tcBorders>
            <w:shd w:val="clear" w:color="000000" w:fill="FFFFFF"/>
            <w:noWrap/>
            <w:hideMark/>
          </w:tcPr>
          <w:p w14:paraId="688D6447" w14:textId="77777777" w:rsidR="008B6992" w:rsidRPr="008B6992" w:rsidRDefault="008B6992" w:rsidP="008B6992">
            <w:pPr>
              <w:spacing w:after="0" w:line="240" w:lineRule="auto"/>
              <w:ind w:firstLine="0"/>
              <w:jc w:val="left"/>
              <w:rPr>
                <w:color w:val="000000"/>
                <w:sz w:val="14"/>
                <w:szCs w:val="14"/>
              </w:rPr>
            </w:pPr>
            <w:r w:rsidRPr="008B6992">
              <w:rPr>
                <w:color w:val="000000"/>
                <w:sz w:val="14"/>
                <w:szCs w:val="14"/>
              </w:rPr>
              <w:t> </w:t>
            </w:r>
          </w:p>
        </w:tc>
        <w:tc>
          <w:tcPr>
            <w:tcW w:w="1210" w:type="dxa"/>
            <w:tcBorders>
              <w:top w:val="nil"/>
              <w:left w:val="nil"/>
              <w:bottom w:val="nil"/>
              <w:right w:val="nil"/>
            </w:tcBorders>
            <w:shd w:val="clear" w:color="000000" w:fill="FFFFFF"/>
            <w:noWrap/>
            <w:hideMark/>
          </w:tcPr>
          <w:p w14:paraId="134CF53A"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(0.314)</w:t>
            </w:r>
          </w:p>
        </w:tc>
        <w:tc>
          <w:tcPr>
            <w:tcW w:w="1059" w:type="dxa"/>
            <w:tcBorders>
              <w:top w:val="nil"/>
              <w:left w:val="nil"/>
              <w:bottom w:val="nil"/>
              <w:right w:val="nil"/>
            </w:tcBorders>
            <w:shd w:val="clear" w:color="000000" w:fill="FFFFFF"/>
            <w:noWrap/>
            <w:hideMark/>
          </w:tcPr>
          <w:p w14:paraId="0A686819"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(0.146)</w:t>
            </w:r>
          </w:p>
        </w:tc>
      </w:tr>
      <w:tr w:rsidR="005C3500" w:rsidRPr="008B6992" w14:paraId="0D63469A" w14:textId="77777777" w:rsidTr="005C3500">
        <w:trPr>
          <w:trHeight w:val="283"/>
          <w:jc w:val="center"/>
        </w:trPr>
        <w:tc>
          <w:tcPr>
            <w:tcW w:w="2118" w:type="dxa"/>
            <w:vMerge w:val="restart"/>
            <w:tcBorders>
              <w:top w:val="nil"/>
              <w:left w:val="nil"/>
              <w:bottom w:val="nil"/>
              <w:right w:val="nil"/>
            </w:tcBorders>
            <w:shd w:val="clear" w:color="000000" w:fill="FFFFFF"/>
            <w:noWrap/>
            <w:vAlign w:val="center"/>
            <w:hideMark/>
          </w:tcPr>
          <w:p w14:paraId="3992B414"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lang w:val="en-US"/>
              </w:rPr>
              <w:t>Tax Healthier 40%</w:t>
            </w:r>
          </w:p>
        </w:tc>
        <w:tc>
          <w:tcPr>
            <w:tcW w:w="1663" w:type="dxa"/>
            <w:tcBorders>
              <w:top w:val="nil"/>
              <w:left w:val="nil"/>
              <w:bottom w:val="nil"/>
              <w:right w:val="nil"/>
            </w:tcBorders>
            <w:shd w:val="clear" w:color="000000" w:fill="FFFFFF"/>
            <w:noWrap/>
            <w:vAlign w:val="bottom"/>
            <w:hideMark/>
          </w:tcPr>
          <w:p w14:paraId="4C133E3A"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-0.0514</w:t>
            </w:r>
          </w:p>
        </w:tc>
        <w:tc>
          <w:tcPr>
            <w:tcW w:w="1211" w:type="dxa"/>
            <w:tcBorders>
              <w:top w:val="nil"/>
              <w:left w:val="nil"/>
              <w:bottom w:val="nil"/>
              <w:right w:val="nil"/>
            </w:tcBorders>
            <w:shd w:val="clear" w:color="000000" w:fill="FFFFFF"/>
            <w:noWrap/>
            <w:vAlign w:val="bottom"/>
            <w:hideMark/>
          </w:tcPr>
          <w:p w14:paraId="1947248B"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-0.226</w:t>
            </w:r>
          </w:p>
        </w:tc>
        <w:tc>
          <w:tcPr>
            <w:tcW w:w="303" w:type="dxa"/>
            <w:tcBorders>
              <w:top w:val="nil"/>
              <w:left w:val="nil"/>
              <w:bottom w:val="nil"/>
              <w:right w:val="nil"/>
            </w:tcBorders>
            <w:shd w:val="clear" w:color="000000" w:fill="FFFFFF"/>
            <w:noWrap/>
            <w:vAlign w:val="bottom"/>
            <w:hideMark/>
          </w:tcPr>
          <w:p w14:paraId="5951AA6F"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rPr>
              <w:t> </w:t>
            </w:r>
          </w:p>
        </w:tc>
        <w:tc>
          <w:tcPr>
            <w:tcW w:w="1210" w:type="dxa"/>
            <w:tcBorders>
              <w:top w:val="nil"/>
              <w:left w:val="nil"/>
              <w:bottom w:val="nil"/>
              <w:right w:val="nil"/>
            </w:tcBorders>
            <w:shd w:val="clear" w:color="000000" w:fill="FFFFFF"/>
            <w:noWrap/>
            <w:vAlign w:val="bottom"/>
            <w:hideMark/>
          </w:tcPr>
          <w:p w14:paraId="2D04382C"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0.048</w:t>
            </w:r>
          </w:p>
        </w:tc>
        <w:tc>
          <w:tcPr>
            <w:tcW w:w="1059" w:type="dxa"/>
            <w:tcBorders>
              <w:top w:val="nil"/>
              <w:left w:val="nil"/>
              <w:bottom w:val="nil"/>
              <w:right w:val="nil"/>
            </w:tcBorders>
            <w:shd w:val="clear" w:color="000000" w:fill="FFFFFF"/>
            <w:noWrap/>
            <w:vAlign w:val="bottom"/>
            <w:hideMark/>
          </w:tcPr>
          <w:p w14:paraId="15EBAD47"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-0.503***</w:t>
            </w:r>
          </w:p>
        </w:tc>
      </w:tr>
      <w:tr w:rsidR="005C3500" w:rsidRPr="008B6992" w14:paraId="0CFE230B" w14:textId="77777777" w:rsidTr="00F556AF">
        <w:trPr>
          <w:trHeight w:val="283"/>
          <w:jc w:val="center"/>
        </w:trPr>
        <w:tc>
          <w:tcPr>
            <w:tcW w:w="2118" w:type="dxa"/>
            <w:vMerge/>
            <w:tcBorders>
              <w:top w:val="nil"/>
              <w:left w:val="nil"/>
              <w:bottom w:val="nil"/>
              <w:right w:val="nil"/>
            </w:tcBorders>
            <w:vAlign w:val="center"/>
            <w:hideMark/>
          </w:tcPr>
          <w:p w14:paraId="34983233" w14:textId="77777777" w:rsidR="008B6992" w:rsidRPr="008B6992" w:rsidRDefault="008B6992" w:rsidP="008B6992">
            <w:pPr>
              <w:spacing w:after="0" w:line="240" w:lineRule="auto"/>
              <w:ind w:firstLine="0"/>
              <w:jc w:val="left"/>
              <w:rPr>
                <w:color w:val="000000"/>
                <w:sz w:val="16"/>
                <w:szCs w:val="16"/>
              </w:rPr>
            </w:pPr>
          </w:p>
        </w:tc>
        <w:tc>
          <w:tcPr>
            <w:tcW w:w="1663" w:type="dxa"/>
            <w:tcBorders>
              <w:top w:val="nil"/>
              <w:left w:val="nil"/>
              <w:bottom w:val="nil"/>
              <w:right w:val="nil"/>
            </w:tcBorders>
            <w:shd w:val="clear" w:color="000000" w:fill="FFFFFF"/>
            <w:noWrap/>
            <w:hideMark/>
          </w:tcPr>
          <w:p w14:paraId="4DCAA777"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(0.147)</w:t>
            </w:r>
          </w:p>
        </w:tc>
        <w:tc>
          <w:tcPr>
            <w:tcW w:w="1211" w:type="dxa"/>
            <w:tcBorders>
              <w:top w:val="nil"/>
              <w:left w:val="nil"/>
              <w:bottom w:val="nil"/>
              <w:right w:val="nil"/>
            </w:tcBorders>
            <w:shd w:val="clear" w:color="000000" w:fill="FFFFFF"/>
            <w:noWrap/>
            <w:hideMark/>
          </w:tcPr>
          <w:p w14:paraId="7287715F"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(0.163)</w:t>
            </w:r>
          </w:p>
        </w:tc>
        <w:tc>
          <w:tcPr>
            <w:tcW w:w="303" w:type="dxa"/>
            <w:tcBorders>
              <w:top w:val="nil"/>
              <w:left w:val="nil"/>
              <w:bottom w:val="nil"/>
              <w:right w:val="nil"/>
            </w:tcBorders>
            <w:shd w:val="clear" w:color="000000" w:fill="FFFFFF"/>
            <w:noWrap/>
            <w:hideMark/>
          </w:tcPr>
          <w:p w14:paraId="51152DFD" w14:textId="77777777" w:rsidR="008B6992" w:rsidRPr="008B6992" w:rsidRDefault="008B6992" w:rsidP="008B6992">
            <w:pPr>
              <w:spacing w:after="0" w:line="240" w:lineRule="auto"/>
              <w:ind w:firstLine="0"/>
              <w:jc w:val="left"/>
              <w:rPr>
                <w:color w:val="000000"/>
                <w:sz w:val="14"/>
                <w:szCs w:val="14"/>
              </w:rPr>
            </w:pPr>
            <w:r w:rsidRPr="008B6992">
              <w:rPr>
                <w:color w:val="000000"/>
                <w:sz w:val="14"/>
                <w:szCs w:val="14"/>
              </w:rPr>
              <w:t> </w:t>
            </w:r>
          </w:p>
        </w:tc>
        <w:tc>
          <w:tcPr>
            <w:tcW w:w="1210" w:type="dxa"/>
            <w:tcBorders>
              <w:top w:val="nil"/>
              <w:left w:val="nil"/>
              <w:bottom w:val="nil"/>
              <w:right w:val="nil"/>
            </w:tcBorders>
            <w:shd w:val="clear" w:color="000000" w:fill="FFFFFF"/>
            <w:noWrap/>
            <w:hideMark/>
          </w:tcPr>
          <w:p w14:paraId="34923314"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(0.223)</w:t>
            </w:r>
          </w:p>
        </w:tc>
        <w:tc>
          <w:tcPr>
            <w:tcW w:w="1059" w:type="dxa"/>
            <w:tcBorders>
              <w:top w:val="nil"/>
              <w:left w:val="nil"/>
              <w:bottom w:val="nil"/>
              <w:right w:val="nil"/>
            </w:tcBorders>
            <w:shd w:val="clear" w:color="000000" w:fill="FFFFFF"/>
            <w:noWrap/>
            <w:hideMark/>
          </w:tcPr>
          <w:p w14:paraId="67BE5CE1"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(0.102)</w:t>
            </w:r>
          </w:p>
        </w:tc>
      </w:tr>
      <w:tr w:rsidR="005C3500" w:rsidRPr="008B6992" w14:paraId="64A46419" w14:textId="77777777" w:rsidTr="005C3500">
        <w:trPr>
          <w:trHeight w:val="283"/>
          <w:jc w:val="center"/>
        </w:trPr>
        <w:tc>
          <w:tcPr>
            <w:tcW w:w="2118" w:type="dxa"/>
            <w:tcBorders>
              <w:top w:val="nil"/>
              <w:left w:val="nil"/>
              <w:bottom w:val="nil"/>
              <w:right w:val="nil"/>
            </w:tcBorders>
            <w:shd w:val="clear" w:color="000000" w:fill="FFFFFF"/>
            <w:noWrap/>
            <w:vAlign w:val="bottom"/>
            <w:hideMark/>
          </w:tcPr>
          <w:p w14:paraId="0C9327C7"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lang w:val="en-US"/>
              </w:rPr>
              <w:t>Tax Healthier 40% in</w:t>
            </w:r>
          </w:p>
        </w:tc>
        <w:tc>
          <w:tcPr>
            <w:tcW w:w="1663" w:type="dxa"/>
            <w:tcBorders>
              <w:top w:val="nil"/>
              <w:left w:val="nil"/>
              <w:bottom w:val="nil"/>
              <w:right w:val="nil"/>
            </w:tcBorders>
            <w:shd w:val="clear" w:color="000000" w:fill="FFFFFF"/>
            <w:noWrap/>
            <w:vAlign w:val="bottom"/>
            <w:hideMark/>
          </w:tcPr>
          <w:p w14:paraId="0469BB6A"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0.526**</w:t>
            </w:r>
          </w:p>
        </w:tc>
        <w:tc>
          <w:tcPr>
            <w:tcW w:w="1211" w:type="dxa"/>
            <w:tcBorders>
              <w:top w:val="nil"/>
              <w:left w:val="nil"/>
              <w:bottom w:val="nil"/>
              <w:right w:val="nil"/>
            </w:tcBorders>
            <w:shd w:val="clear" w:color="000000" w:fill="FFFFFF"/>
            <w:noWrap/>
            <w:vAlign w:val="bottom"/>
            <w:hideMark/>
          </w:tcPr>
          <w:p w14:paraId="674774DF"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-0.741***</w:t>
            </w:r>
          </w:p>
        </w:tc>
        <w:tc>
          <w:tcPr>
            <w:tcW w:w="303" w:type="dxa"/>
            <w:tcBorders>
              <w:top w:val="nil"/>
              <w:left w:val="nil"/>
              <w:bottom w:val="nil"/>
              <w:right w:val="nil"/>
            </w:tcBorders>
            <w:shd w:val="clear" w:color="000000" w:fill="FFFFFF"/>
            <w:noWrap/>
            <w:vAlign w:val="bottom"/>
            <w:hideMark/>
          </w:tcPr>
          <w:p w14:paraId="3B5B8506"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rPr>
              <w:t> </w:t>
            </w:r>
          </w:p>
        </w:tc>
        <w:tc>
          <w:tcPr>
            <w:tcW w:w="1210" w:type="dxa"/>
            <w:tcBorders>
              <w:top w:val="nil"/>
              <w:left w:val="nil"/>
              <w:bottom w:val="nil"/>
              <w:right w:val="nil"/>
            </w:tcBorders>
            <w:shd w:val="clear" w:color="000000" w:fill="FFFFFF"/>
            <w:noWrap/>
            <w:vAlign w:val="bottom"/>
            <w:hideMark/>
          </w:tcPr>
          <w:p w14:paraId="410B143E"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0.568*</w:t>
            </w:r>
          </w:p>
        </w:tc>
        <w:tc>
          <w:tcPr>
            <w:tcW w:w="1059" w:type="dxa"/>
            <w:tcBorders>
              <w:top w:val="nil"/>
              <w:left w:val="nil"/>
              <w:bottom w:val="nil"/>
              <w:right w:val="nil"/>
            </w:tcBorders>
            <w:shd w:val="clear" w:color="000000" w:fill="FFFFFF"/>
            <w:noWrap/>
            <w:vAlign w:val="bottom"/>
            <w:hideMark/>
          </w:tcPr>
          <w:p w14:paraId="611458ED" w14:textId="77777777" w:rsidR="008B6992" w:rsidRPr="008B6992" w:rsidRDefault="008B6992" w:rsidP="008B6992">
            <w:pPr>
              <w:spacing w:after="0" w:line="240" w:lineRule="auto"/>
              <w:ind w:firstLine="0"/>
              <w:jc w:val="center"/>
              <w:rPr>
                <w:color w:val="000000"/>
                <w:sz w:val="16"/>
                <w:szCs w:val="16"/>
              </w:rPr>
            </w:pPr>
            <w:r w:rsidRPr="008B6992">
              <w:rPr>
                <w:color w:val="000000"/>
                <w:sz w:val="16"/>
                <w:szCs w:val="16"/>
              </w:rPr>
              <w:t>-0.675***</w:t>
            </w:r>
          </w:p>
        </w:tc>
      </w:tr>
      <w:tr w:rsidR="005C3500" w:rsidRPr="008B6992" w14:paraId="2482F490" w14:textId="77777777" w:rsidTr="005C3500">
        <w:trPr>
          <w:trHeight w:val="283"/>
          <w:jc w:val="center"/>
        </w:trPr>
        <w:tc>
          <w:tcPr>
            <w:tcW w:w="2118" w:type="dxa"/>
            <w:tcBorders>
              <w:top w:val="nil"/>
              <w:left w:val="nil"/>
              <w:bottom w:val="nil"/>
              <w:right w:val="nil"/>
            </w:tcBorders>
            <w:shd w:val="clear" w:color="000000" w:fill="FFFFFF"/>
            <w:noWrap/>
            <w:vAlign w:val="bottom"/>
            <w:hideMark/>
          </w:tcPr>
          <w:p w14:paraId="11A0F16B"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lang w:val="en-US"/>
              </w:rPr>
              <w:t>in signposted intervention</w:t>
            </w:r>
          </w:p>
        </w:tc>
        <w:tc>
          <w:tcPr>
            <w:tcW w:w="1663" w:type="dxa"/>
            <w:tcBorders>
              <w:top w:val="nil"/>
              <w:left w:val="nil"/>
              <w:bottom w:val="nil"/>
              <w:right w:val="nil"/>
            </w:tcBorders>
            <w:shd w:val="clear" w:color="000000" w:fill="FFFFFF"/>
            <w:noWrap/>
            <w:vAlign w:val="bottom"/>
            <w:hideMark/>
          </w:tcPr>
          <w:p w14:paraId="665A63A5"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(0.244)</w:t>
            </w:r>
          </w:p>
        </w:tc>
        <w:tc>
          <w:tcPr>
            <w:tcW w:w="1211" w:type="dxa"/>
            <w:tcBorders>
              <w:top w:val="nil"/>
              <w:left w:val="nil"/>
              <w:bottom w:val="nil"/>
              <w:right w:val="nil"/>
            </w:tcBorders>
            <w:shd w:val="clear" w:color="000000" w:fill="FFFFFF"/>
            <w:noWrap/>
            <w:vAlign w:val="bottom"/>
            <w:hideMark/>
          </w:tcPr>
          <w:p w14:paraId="34AD9F9D"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(0.054)</w:t>
            </w:r>
          </w:p>
        </w:tc>
        <w:tc>
          <w:tcPr>
            <w:tcW w:w="303" w:type="dxa"/>
            <w:tcBorders>
              <w:top w:val="nil"/>
              <w:left w:val="nil"/>
              <w:bottom w:val="nil"/>
              <w:right w:val="nil"/>
            </w:tcBorders>
            <w:shd w:val="clear" w:color="000000" w:fill="FFFFFF"/>
            <w:noWrap/>
            <w:vAlign w:val="bottom"/>
            <w:hideMark/>
          </w:tcPr>
          <w:p w14:paraId="03D10861" w14:textId="77777777" w:rsidR="008B6992" w:rsidRPr="008B6992" w:rsidRDefault="008B6992" w:rsidP="008B6992">
            <w:pPr>
              <w:spacing w:after="0" w:line="240" w:lineRule="auto"/>
              <w:ind w:firstLine="0"/>
              <w:jc w:val="left"/>
              <w:rPr>
                <w:color w:val="000000"/>
                <w:sz w:val="14"/>
                <w:szCs w:val="14"/>
              </w:rPr>
            </w:pPr>
            <w:r w:rsidRPr="008B6992">
              <w:rPr>
                <w:color w:val="000000"/>
                <w:sz w:val="14"/>
                <w:szCs w:val="14"/>
              </w:rPr>
              <w:t> </w:t>
            </w:r>
          </w:p>
        </w:tc>
        <w:tc>
          <w:tcPr>
            <w:tcW w:w="1210" w:type="dxa"/>
            <w:tcBorders>
              <w:top w:val="nil"/>
              <w:left w:val="nil"/>
              <w:bottom w:val="nil"/>
              <w:right w:val="nil"/>
            </w:tcBorders>
            <w:shd w:val="clear" w:color="000000" w:fill="FFFFFF"/>
            <w:noWrap/>
            <w:vAlign w:val="bottom"/>
            <w:hideMark/>
          </w:tcPr>
          <w:p w14:paraId="053B2983"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(0.335)</w:t>
            </w:r>
          </w:p>
        </w:tc>
        <w:tc>
          <w:tcPr>
            <w:tcW w:w="1059" w:type="dxa"/>
            <w:tcBorders>
              <w:top w:val="nil"/>
              <w:left w:val="nil"/>
              <w:bottom w:val="nil"/>
              <w:right w:val="nil"/>
            </w:tcBorders>
            <w:shd w:val="clear" w:color="000000" w:fill="FFFFFF"/>
            <w:noWrap/>
            <w:vAlign w:val="bottom"/>
            <w:hideMark/>
          </w:tcPr>
          <w:p w14:paraId="49B449E0" w14:textId="77777777" w:rsidR="008B6992" w:rsidRPr="008B6992" w:rsidRDefault="008B6992" w:rsidP="008B6992">
            <w:pPr>
              <w:spacing w:after="0" w:line="240" w:lineRule="auto"/>
              <w:ind w:firstLine="0"/>
              <w:jc w:val="center"/>
              <w:rPr>
                <w:color w:val="000000"/>
                <w:sz w:val="14"/>
                <w:szCs w:val="14"/>
              </w:rPr>
            </w:pPr>
            <w:r w:rsidRPr="008B6992">
              <w:rPr>
                <w:color w:val="000000"/>
                <w:sz w:val="14"/>
                <w:szCs w:val="14"/>
              </w:rPr>
              <w:t>(0.078)</w:t>
            </w:r>
          </w:p>
        </w:tc>
      </w:tr>
      <w:tr w:rsidR="005C3500" w:rsidRPr="008B6992" w14:paraId="3374A8F0" w14:textId="77777777" w:rsidTr="005C3500">
        <w:trPr>
          <w:trHeight w:val="127"/>
          <w:jc w:val="center"/>
        </w:trPr>
        <w:tc>
          <w:tcPr>
            <w:tcW w:w="2118" w:type="dxa"/>
            <w:tcBorders>
              <w:top w:val="nil"/>
              <w:left w:val="nil"/>
              <w:bottom w:val="nil"/>
              <w:right w:val="nil"/>
            </w:tcBorders>
            <w:shd w:val="clear" w:color="000000" w:fill="FFFFFF"/>
            <w:noWrap/>
            <w:vAlign w:val="bottom"/>
            <w:hideMark/>
          </w:tcPr>
          <w:p w14:paraId="4EECF827"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lang w:val="en-US"/>
              </w:rPr>
              <w:t> </w:t>
            </w:r>
          </w:p>
        </w:tc>
        <w:tc>
          <w:tcPr>
            <w:tcW w:w="1663" w:type="dxa"/>
            <w:tcBorders>
              <w:top w:val="nil"/>
              <w:left w:val="nil"/>
              <w:bottom w:val="nil"/>
              <w:right w:val="nil"/>
            </w:tcBorders>
            <w:shd w:val="clear" w:color="000000" w:fill="FFFFFF"/>
            <w:noWrap/>
            <w:vAlign w:val="bottom"/>
            <w:hideMark/>
          </w:tcPr>
          <w:p w14:paraId="73F8C0B7"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rPr>
              <w:t> </w:t>
            </w:r>
          </w:p>
        </w:tc>
        <w:tc>
          <w:tcPr>
            <w:tcW w:w="1211" w:type="dxa"/>
            <w:tcBorders>
              <w:top w:val="nil"/>
              <w:left w:val="nil"/>
              <w:bottom w:val="nil"/>
              <w:right w:val="nil"/>
            </w:tcBorders>
            <w:shd w:val="clear" w:color="000000" w:fill="FFFFFF"/>
            <w:noWrap/>
            <w:vAlign w:val="bottom"/>
            <w:hideMark/>
          </w:tcPr>
          <w:p w14:paraId="29061070"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rPr>
              <w:t> </w:t>
            </w:r>
          </w:p>
        </w:tc>
        <w:tc>
          <w:tcPr>
            <w:tcW w:w="303" w:type="dxa"/>
            <w:tcBorders>
              <w:top w:val="nil"/>
              <w:left w:val="nil"/>
              <w:bottom w:val="nil"/>
              <w:right w:val="nil"/>
            </w:tcBorders>
            <w:shd w:val="clear" w:color="000000" w:fill="FFFFFF"/>
            <w:noWrap/>
            <w:vAlign w:val="bottom"/>
            <w:hideMark/>
          </w:tcPr>
          <w:p w14:paraId="68B15826"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rPr>
              <w:t> </w:t>
            </w:r>
          </w:p>
        </w:tc>
        <w:tc>
          <w:tcPr>
            <w:tcW w:w="1210" w:type="dxa"/>
            <w:tcBorders>
              <w:top w:val="nil"/>
              <w:left w:val="nil"/>
              <w:bottom w:val="nil"/>
              <w:right w:val="nil"/>
            </w:tcBorders>
            <w:shd w:val="clear" w:color="000000" w:fill="FFFFFF"/>
            <w:noWrap/>
            <w:vAlign w:val="bottom"/>
            <w:hideMark/>
          </w:tcPr>
          <w:p w14:paraId="768FA43C"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rPr>
              <w:t> </w:t>
            </w:r>
          </w:p>
        </w:tc>
        <w:tc>
          <w:tcPr>
            <w:tcW w:w="1059" w:type="dxa"/>
            <w:tcBorders>
              <w:top w:val="nil"/>
              <w:left w:val="nil"/>
              <w:bottom w:val="nil"/>
              <w:right w:val="nil"/>
            </w:tcBorders>
            <w:shd w:val="clear" w:color="000000" w:fill="FFFFFF"/>
            <w:noWrap/>
            <w:vAlign w:val="bottom"/>
            <w:hideMark/>
          </w:tcPr>
          <w:p w14:paraId="7F9C8A5A"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lang w:val="en-US"/>
              </w:rPr>
              <w:t> </w:t>
            </w:r>
          </w:p>
        </w:tc>
      </w:tr>
      <w:tr w:rsidR="005C3500" w:rsidRPr="008B6992" w14:paraId="1DD37420" w14:textId="77777777" w:rsidTr="00F556AF">
        <w:trPr>
          <w:trHeight w:val="298"/>
          <w:jc w:val="center"/>
        </w:trPr>
        <w:tc>
          <w:tcPr>
            <w:tcW w:w="2118" w:type="dxa"/>
            <w:tcBorders>
              <w:top w:val="nil"/>
              <w:left w:val="nil"/>
              <w:bottom w:val="nil"/>
              <w:right w:val="nil"/>
            </w:tcBorders>
            <w:shd w:val="clear" w:color="000000" w:fill="FFFFFF"/>
            <w:noWrap/>
            <w:vAlign w:val="bottom"/>
            <w:hideMark/>
          </w:tcPr>
          <w:p w14:paraId="1D81DDF9" w14:textId="77777777" w:rsidR="008B6992" w:rsidRPr="008B6992" w:rsidRDefault="008B6992" w:rsidP="008B6992">
            <w:pPr>
              <w:spacing w:after="0" w:line="240" w:lineRule="auto"/>
              <w:ind w:firstLine="0"/>
              <w:jc w:val="left"/>
              <w:rPr>
                <w:color w:val="000000"/>
                <w:sz w:val="16"/>
                <w:szCs w:val="16"/>
              </w:rPr>
            </w:pPr>
            <w:r w:rsidRPr="008B6992">
              <w:rPr>
                <w:color w:val="000000"/>
                <w:sz w:val="16"/>
                <w:szCs w:val="16"/>
              </w:rPr>
              <w:t>Control variables</w:t>
            </w:r>
          </w:p>
        </w:tc>
        <w:tc>
          <w:tcPr>
            <w:tcW w:w="1663" w:type="dxa"/>
            <w:tcBorders>
              <w:top w:val="nil"/>
              <w:left w:val="nil"/>
              <w:bottom w:val="nil"/>
              <w:right w:val="nil"/>
            </w:tcBorders>
            <w:shd w:val="clear" w:color="000000" w:fill="FFFFFF"/>
            <w:noWrap/>
            <w:vAlign w:val="bottom"/>
            <w:hideMark/>
          </w:tcPr>
          <w:p w14:paraId="1A2D6AAF" w14:textId="77777777" w:rsidR="008B6992" w:rsidRPr="00F556AF" w:rsidRDefault="008B6992" w:rsidP="008B6992">
            <w:pPr>
              <w:spacing w:after="0" w:line="240" w:lineRule="auto"/>
              <w:ind w:firstLine="0"/>
              <w:jc w:val="center"/>
              <w:rPr>
                <w:bCs/>
                <w:color w:val="000000"/>
                <w:sz w:val="16"/>
                <w:szCs w:val="16"/>
              </w:rPr>
            </w:pPr>
            <w:r w:rsidRPr="00F556AF">
              <w:rPr>
                <w:bCs/>
                <w:color w:val="000000"/>
                <w:sz w:val="16"/>
                <w:szCs w:val="16"/>
              </w:rPr>
              <w:t>Yes</w:t>
            </w:r>
          </w:p>
        </w:tc>
        <w:tc>
          <w:tcPr>
            <w:tcW w:w="1211" w:type="dxa"/>
            <w:tcBorders>
              <w:top w:val="nil"/>
              <w:left w:val="nil"/>
              <w:bottom w:val="nil"/>
              <w:right w:val="nil"/>
            </w:tcBorders>
            <w:shd w:val="clear" w:color="000000" w:fill="FFFFFF"/>
            <w:noWrap/>
            <w:vAlign w:val="bottom"/>
            <w:hideMark/>
          </w:tcPr>
          <w:p w14:paraId="5B626B27" w14:textId="77777777" w:rsidR="008B6992" w:rsidRPr="00F556AF" w:rsidRDefault="008B6992" w:rsidP="008B6992">
            <w:pPr>
              <w:spacing w:after="0" w:line="240" w:lineRule="auto"/>
              <w:ind w:firstLine="0"/>
              <w:jc w:val="center"/>
              <w:rPr>
                <w:bCs/>
                <w:color w:val="000000"/>
                <w:sz w:val="16"/>
                <w:szCs w:val="16"/>
              </w:rPr>
            </w:pPr>
            <w:r w:rsidRPr="00F556AF">
              <w:rPr>
                <w:bCs/>
                <w:color w:val="000000"/>
                <w:sz w:val="16"/>
                <w:szCs w:val="16"/>
              </w:rPr>
              <w:t>Yes</w:t>
            </w:r>
          </w:p>
        </w:tc>
        <w:tc>
          <w:tcPr>
            <w:tcW w:w="303" w:type="dxa"/>
            <w:tcBorders>
              <w:top w:val="nil"/>
              <w:left w:val="nil"/>
              <w:bottom w:val="nil"/>
              <w:right w:val="nil"/>
            </w:tcBorders>
            <w:shd w:val="clear" w:color="000000" w:fill="FFFFFF"/>
            <w:noWrap/>
            <w:vAlign w:val="bottom"/>
            <w:hideMark/>
          </w:tcPr>
          <w:p w14:paraId="69B59E1E" w14:textId="77777777" w:rsidR="008B6992" w:rsidRPr="00B36814" w:rsidRDefault="008B6992" w:rsidP="008B6992">
            <w:pPr>
              <w:spacing w:after="0" w:line="240" w:lineRule="auto"/>
              <w:ind w:firstLine="0"/>
              <w:jc w:val="left"/>
              <w:rPr>
                <w:color w:val="000000"/>
                <w:sz w:val="16"/>
                <w:szCs w:val="16"/>
              </w:rPr>
            </w:pPr>
            <w:r w:rsidRPr="00B36814">
              <w:rPr>
                <w:color w:val="000000"/>
                <w:sz w:val="16"/>
                <w:szCs w:val="16"/>
              </w:rPr>
              <w:t> </w:t>
            </w:r>
          </w:p>
        </w:tc>
        <w:tc>
          <w:tcPr>
            <w:tcW w:w="1210" w:type="dxa"/>
            <w:tcBorders>
              <w:top w:val="nil"/>
              <w:left w:val="nil"/>
              <w:bottom w:val="nil"/>
              <w:right w:val="nil"/>
            </w:tcBorders>
            <w:shd w:val="clear" w:color="000000" w:fill="FFFFFF"/>
            <w:noWrap/>
            <w:vAlign w:val="bottom"/>
            <w:hideMark/>
          </w:tcPr>
          <w:p w14:paraId="777FD4C3" w14:textId="77777777" w:rsidR="008B6992" w:rsidRPr="00F556AF" w:rsidRDefault="008B6992" w:rsidP="008B6992">
            <w:pPr>
              <w:spacing w:after="0" w:line="240" w:lineRule="auto"/>
              <w:ind w:firstLine="0"/>
              <w:jc w:val="center"/>
              <w:rPr>
                <w:bCs/>
                <w:color w:val="000000"/>
                <w:sz w:val="16"/>
                <w:szCs w:val="16"/>
              </w:rPr>
            </w:pPr>
            <w:r w:rsidRPr="00F556AF">
              <w:rPr>
                <w:bCs/>
                <w:color w:val="000000"/>
                <w:sz w:val="16"/>
                <w:szCs w:val="16"/>
              </w:rPr>
              <w:t>Yes</w:t>
            </w:r>
          </w:p>
        </w:tc>
        <w:tc>
          <w:tcPr>
            <w:tcW w:w="1059" w:type="dxa"/>
            <w:tcBorders>
              <w:top w:val="nil"/>
              <w:left w:val="nil"/>
              <w:bottom w:val="nil"/>
              <w:right w:val="nil"/>
            </w:tcBorders>
            <w:shd w:val="clear" w:color="000000" w:fill="FFFFFF"/>
            <w:noWrap/>
            <w:vAlign w:val="bottom"/>
            <w:hideMark/>
          </w:tcPr>
          <w:p w14:paraId="7E12444F" w14:textId="77777777" w:rsidR="008B6992" w:rsidRPr="00F556AF" w:rsidRDefault="008B6992" w:rsidP="008B6992">
            <w:pPr>
              <w:spacing w:after="0" w:line="240" w:lineRule="auto"/>
              <w:ind w:firstLine="0"/>
              <w:jc w:val="center"/>
              <w:rPr>
                <w:bCs/>
                <w:color w:val="000000"/>
                <w:sz w:val="16"/>
                <w:szCs w:val="16"/>
              </w:rPr>
            </w:pPr>
            <w:r w:rsidRPr="00F556AF">
              <w:rPr>
                <w:bCs/>
                <w:color w:val="000000"/>
                <w:sz w:val="16"/>
                <w:szCs w:val="16"/>
                <w:lang w:val="en-US"/>
              </w:rPr>
              <w:t>Yes</w:t>
            </w:r>
          </w:p>
        </w:tc>
      </w:tr>
      <w:tr w:rsidR="006158AD" w:rsidRPr="008B6992" w14:paraId="2B06E8BF" w14:textId="77777777" w:rsidTr="00F556AF">
        <w:trPr>
          <w:trHeight w:val="298"/>
          <w:jc w:val="center"/>
        </w:trPr>
        <w:tc>
          <w:tcPr>
            <w:tcW w:w="2118" w:type="dxa"/>
            <w:tcBorders>
              <w:top w:val="nil"/>
              <w:left w:val="nil"/>
              <w:bottom w:val="nil"/>
              <w:right w:val="nil"/>
            </w:tcBorders>
            <w:shd w:val="clear" w:color="000000" w:fill="FFFFFF"/>
            <w:noWrap/>
            <w:vAlign w:val="bottom"/>
          </w:tcPr>
          <w:p w14:paraId="27367726" w14:textId="5CCB7658" w:rsidR="006158AD" w:rsidRPr="008B6992" w:rsidRDefault="006158AD" w:rsidP="006158AD">
            <w:pPr>
              <w:spacing w:after="0" w:line="240" w:lineRule="auto"/>
              <w:ind w:firstLine="0"/>
              <w:jc w:val="left"/>
              <w:rPr>
                <w:color w:val="000000"/>
                <w:sz w:val="16"/>
                <w:szCs w:val="16"/>
              </w:rPr>
            </w:pPr>
            <w:r>
              <w:rPr>
                <w:color w:val="000000"/>
                <w:sz w:val="16"/>
                <w:szCs w:val="16"/>
              </w:rPr>
              <w:t>Observations</w:t>
            </w:r>
          </w:p>
        </w:tc>
        <w:tc>
          <w:tcPr>
            <w:tcW w:w="1663" w:type="dxa"/>
            <w:tcBorders>
              <w:top w:val="nil"/>
              <w:left w:val="nil"/>
              <w:bottom w:val="nil"/>
              <w:right w:val="nil"/>
            </w:tcBorders>
            <w:shd w:val="clear" w:color="000000" w:fill="FFFFFF"/>
            <w:noWrap/>
            <w:vAlign w:val="bottom"/>
          </w:tcPr>
          <w:p w14:paraId="6F85A84C" w14:textId="6CD4C1DE" w:rsidR="006158AD" w:rsidRPr="00F556AF" w:rsidRDefault="006158AD" w:rsidP="006158AD">
            <w:pPr>
              <w:spacing w:after="0" w:line="240" w:lineRule="auto"/>
              <w:ind w:firstLine="0"/>
              <w:jc w:val="center"/>
              <w:rPr>
                <w:bCs/>
                <w:color w:val="000000"/>
                <w:sz w:val="16"/>
                <w:szCs w:val="16"/>
              </w:rPr>
            </w:pPr>
            <w:r w:rsidRPr="00F556AF">
              <w:rPr>
                <w:bCs/>
                <w:color w:val="000000"/>
                <w:sz w:val="16"/>
                <w:szCs w:val="16"/>
              </w:rPr>
              <w:t>4265</w:t>
            </w:r>
          </w:p>
        </w:tc>
        <w:tc>
          <w:tcPr>
            <w:tcW w:w="1211" w:type="dxa"/>
            <w:tcBorders>
              <w:top w:val="nil"/>
              <w:left w:val="nil"/>
              <w:bottom w:val="nil"/>
              <w:right w:val="nil"/>
            </w:tcBorders>
            <w:shd w:val="clear" w:color="000000" w:fill="FFFFFF"/>
            <w:noWrap/>
            <w:vAlign w:val="bottom"/>
          </w:tcPr>
          <w:p w14:paraId="75964DFD" w14:textId="324723C3" w:rsidR="006158AD" w:rsidRPr="008B6992" w:rsidRDefault="006158AD" w:rsidP="006158AD">
            <w:pPr>
              <w:spacing w:after="0" w:line="240" w:lineRule="auto"/>
              <w:ind w:firstLine="0"/>
              <w:jc w:val="center"/>
              <w:rPr>
                <w:b/>
                <w:bCs/>
                <w:color w:val="000000"/>
                <w:sz w:val="16"/>
                <w:szCs w:val="16"/>
              </w:rPr>
            </w:pPr>
            <w:r w:rsidRPr="00267E15">
              <w:rPr>
                <w:bCs/>
                <w:color w:val="000000"/>
                <w:sz w:val="16"/>
                <w:szCs w:val="16"/>
              </w:rPr>
              <w:t>4265</w:t>
            </w:r>
          </w:p>
        </w:tc>
        <w:tc>
          <w:tcPr>
            <w:tcW w:w="303" w:type="dxa"/>
            <w:tcBorders>
              <w:top w:val="nil"/>
              <w:left w:val="nil"/>
              <w:bottom w:val="nil"/>
              <w:right w:val="nil"/>
            </w:tcBorders>
            <w:shd w:val="clear" w:color="000000" w:fill="FFFFFF"/>
            <w:noWrap/>
            <w:vAlign w:val="bottom"/>
          </w:tcPr>
          <w:p w14:paraId="223ACFC8" w14:textId="77777777" w:rsidR="006158AD" w:rsidRPr="008B6992" w:rsidRDefault="006158AD" w:rsidP="006158AD">
            <w:pPr>
              <w:spacing w:after="0" w:line="240" w:lineRule="auto"/>
              <w:ind w:firstLine="0"/>
              <w:jc w:val="left"/>
              <w:rPr>
                <w:color w:val="000000"/>
                <w:sz w:val="16"/>
                <w:szCs w:val="16"/>
              </w:rPr>
            </w:pPr>
          </w:p>
        </w:tc>
        <w:tc>
          <w:tcPr>
            <w:tcW w:w="1210" w:type="dxa"/>
            <w:tcBorders>
              <w:top w:val="nil"/>
              <w:left w:val="nil"/>
              <w:bottom w:val="nil"/>
              <w:right w:val="nil"/>
            </w:tcBorders>
            <w:shd w:val="clear" w:color="000000" w:fill="FFFFFF"/>
            <w:noWrap/>
            <w:vAlign w:val="bottom"/>
          </w:tcPr>
          <w:p w14:paraId="454202A6" w14:textId="52C336D7" w:rsidR="006158AD" w:rsidRPr="008B6992" w:rsidRDefault="006158AD" w:rsidP="006158AD">
            <w:pPr>
              <w:spacing w:after="0" w:line="240" w:lineRule="auto"/>
              <w:ind w:firstLine="0"/>
              <w:jc w:val="center"/>
              <w:rPr>
                <w:b/>
                <w:bCs/>
                <w:color w:val="000000"/>
                <w:sz w:val="16"/>
                <w:szCs w:val="16"/>
              </w:rPr>
            </w:pPr>
            <w:r w:rsidRPr="00267E15">
              <w:rPr>
                <w:bCs/>
                <w:color w:val="000000"/>
                <w:sz w:val="16"/>
                <w:szCs w:val="16"/>
              </w:rPr>
              <w:t>4265</w:t>
            </w:r>
          </w:p>
        </w:tc>
        <w:tc>
          <w:tcPr>
            <w:tcW w:w="1059" w:type="dxa"/>
            <w:tcBorders>
              <w:top w:val="nil"/>
              <w:left w:val="nil"/>
              <w:bottom w:val="nil"/>
              <w:right w:val="nil"/>
            </w:tcBorders>
            <w:shd w:val="clear" w:color="000000" w:fill="FFFFFF"/>
            <w:noWrap/>
            <w:vAlign w:val="bottom"/>
          </w:tcPr>
          <w:p w14:paraId="106C6FBA" w14:textId="6116846B" w:rsidR="006158AD" w:rsidRPr="008B6992" w:rsidRDefault="006158AD" w:rsidP="006158AD">
            <w:pPr>
              <w:spacing w:after="0" w:line="240" w:lineRule="auto"/>
              <w:ind w:firstLine="0"/>
              <w:jc w:val="center"/>
              <w:rPr>
                <w:b/>
                <w:bCs/>
                <w:color w:val="000000"/>
                <w:sz w:val="16"/>
                <w:szCs w:val="16"/>
                <w:lang w:val="en-US"/>
              </w:rPr>
            </w:pPr>
            <w:r w:rsidRPr="00267E15">
              <w:rPr>
                <w:bCs/>
                <w:color w:val="000000"/>
                <w:sz w:val="16"/>
                <w:szCs w:val="16"/>
              </w:rPr>
              <w:t>4265</w:t>
            </w:r>
          </w:p>
        </w:tc>
      </w:tr>
      <w:tr w:rsidR="006158AD" w:rsidRPr="008B6992" w14:paraId="1C6ED5B9" w14:textId="77777777" w:rsidTr="005C3500">
        <w:trPr>
          <w:trHeight w:val="298"/>
          <w:jc w:val="center"/>
        </w:trPr>
        <w:tc>
          <w:tcPr>
            <w:tcW w:w="2118" w:type="dxa"/>
            <w:tcBorders>
              <w:top w:val="nil"/>
              <w:left w:val="nil"/>
              <w:bottom w:val="single" w:sz="8" w:space="0" w:color="auto"/>
              <w:right w:val="nil"/>
            </w:tcBorders>
            <w:shd w:val="clear" w:color="000000" w:fill="FFFFFF"/>
            <w:noWrap/>
            <w:vAlign w:val="bottom"/>
          </w:tcPr>
          <w:p w14:paraId="02B311A0" w14:textId="0487E7D0" w:rsidR="006158AD" w:rsidRPr="008B6992" w:rsidRDefault="006158AD" w:rsidP="006158AD">
            <w:pPr>
              <w:spacing w:after="0" w:line="240" w:lineRule="auto"/>
              <w:ind w:firstLine="0"/>
              <w:jc w:val="left"/>
              <w:rPr>
                <w:color w:val="000000"/>
                <w:sz w:val="16"/>
                <w:szCs w:val="16"/>
              </w:rPr>
            </w:pPr>
            <w:r>
              <w:rPr>
                <w:color w:val="000000"/>
                <w:sz w:val="16"/>
                <w:szCs w:val="16"/>
              </w:rPr>
              <w:lastRenderedPageBreak/>
              <w:t>Number of subjects</w:t>
            </w:r>
          </w:p>
        </w:tc>
        <w:tc>
          <w:tcPr>
            <w:tcW w:w="1663" w:type="dxa"/>
            <w:tcBorders>
              <w:top w:val="nil"/>
              <w:left w:val="nil"/>
              <w:bottom w:val="single" w:sz="8" w:space="0" w:color="auto"/>
              <w:right w:val="nil"/>
            </w:tcBorders>
            <w:shd w:val="clear" w:color="000000" w:fill="FFFFFF"/>
            <w:noWrap/>
            <w:vAlign w:val="bottom"/>
          </w:tcPr>
          <w:p w14:paraId="2AB7E2B2" w14:textId="391E6167" w:rsidR="006158AD" w:rsidRPr="00F556AF" w:rsidRDefault="006158AD" w:rsidP="006158AD">
            <w:pPr>
              <w:spacing w:after="0" w:line="240" w:lineRule="auto"/>
              <w:ind w:firstLine="0"/>
              <w:jc w:val="center"/>
              <w:rPr>
                <w:bCs/>
                <w:color w:val="000000"/>
                <w:sz w:val="16"/>
                <w:szCs w:val="16"/>
              </w:rPr>
            </w:pPr>
            <w:r w:rsidRPr="00F556AF">
              <w:rPr>
                <w:bCs/>
                <w:color w:val="000000"/>
                <w:sz w:val="16"/>
                <w:szCs w:val="16"/>
              </w:rPr>
              <w:t>853</w:t>
            </w:r>
          </w:p>
        </w:tc>
        <w:tc>
          <w:tcPr>
            <w:tcW w:w="1211" w:type="dxa"/>
            <w:tcBorders>
              <w:top w:val="nil"/>
              <w:left w:val="nil"/>
              <w:bottom w:val="single" w:sz="8" w:space="0" w:color="auto"/>
              <w:right w:val="nil"/>
            </w:tcBorders>
            <w:shd w:val="clear" w:color="000000" w:fill="FFFFFF"/>
            <w:noWrap/>
            <w:vAlign w:val="bottom"/>
          </w:tcPr>
          <w:p w14:paraId="6B8089A6" w14:textId="6E33BD63" w:rsidR="006158AD" w:rsidRPr="008B6992" w:rsidRDefault="006158AD" w:rsidP="006158AD">
            <w:pPr>
              <w:spacing w:after="0" w:line="240" w:lineRule="auto"/>
              <w:ind w:firstLine="0"/>
              <w:jc w:val="center"/>
              <w:rPr>
                <w:b/>
                <w:bCs/>
                <w:color w:val="000000"/>
                <w:sz w:val="16"/>
                <w:szCs w:val="16"/>
              </w:rPr>
            </w:pPr>
            <w:r w:rsidRPr="00267E15">
              <w:rPr>
                <w:bCs/>
                <w:color w:val="000000"/>
                <w:sz w:val="16"/>
                <w:szCs w:val="16"/>
              </w:rPr>
              <w:t>853</w:t>
            </w:r>
          </w:p>
        </w:tc>
        <w:tc>
          <w:tcPr>
            <w:tcW w:w="303" w:type="dxa"/>
            <w:tcBorders>
              <w:top w:val="nil"/>
              <w:left w:val="nil"/>
              <w:bottom w:val="single" w:sz="8" w:space="0" w:color="auto"/>
              <w:right w:val="nil"/>
            </w:tcBorders>
            <w:shd w:val="clear" w:color="000000" w:fill="FFFFFF"/>
            <w:noWrap/>
            <w:vAlign w:val="bottom"/>
          </w:tcPr>
          <w:p w14:paraId="3D2DA4FC" w14:textId="77777777" w:rsidR="006158AD" w:rsidRPr="008B6992" w:rsidRDefault="006158AD" w:rsidP="006158AD">
            <w:pPr>
              <w:spacing w:after="0" w:line="240" w:lineRule="auto"/>
              <w:ind w:firstLine="0"/>
              <w:jc w:val="left"/>
              <w:rPr>
                <w:color w:val="000000"/>
                <w:sz w:val="16"/>
                <w:szCs w:val="16"/>
              </w:rPr>
            </w:pPr>
          </w:p>
        </w:tc>
        <w:tc>
          <w:tcPr>
            <w:tcW w:w="1210" w:type="dxa"/>
            <w:tcBorders>
              <w:top w:val="nil"/>
              <w:left w:val="nil"/>
              <w:bottom w:val="single" w:sz="8" w:space="0" w:color="auto"/>
              <w:right w:val="nil"/>
            </w:tcBorders>
            <w:shd w:val="clear" w:color="000000" w:fill="FFFFFF"/>
            <w:noWrap/>
            <w:vAlign w:val="bottom"/>
          </w:tcPr>
          <w:p w14:paraId="1B1F1ECE" w14:textId="261BAFA6" w:rsidR="006158AD" w:rsidRPr="008B6992" w:rsidRDefault="006158AD" w:rsidP="006158AD">
            <w:pPr>
              <w:spacing w:after="0" w:line="240" w:lineRule="auto"/>
              <w:ind w:firstLine="0"/>
              <w:jc w:val="center"/>
              <w:rPr>
                <w:b/>
                <w:bCs/>
                <w:color w:val="000000"/>
                <w:sz w:val="16"/>
                <w:szCs w:val="16"/>
              </w:rPr>
            </w:pPr>
            <w:r w:rsidRPr="00267E15">
              <w:rPr>
                <w:bCs/>
                <w:color w:val="000000"/>
                <w:sz w:val="16"/>
                <w:szCs w:val="16"/>
              </w:rPr>
              <w:t>853</w:t>
            </w:r>
          </w:p>
        </w:tc>
        <w:tc>
          <w:tcPr>
            <w:tcW w:w="1059" w:type="dxa"/>
            <w:tcBorders>
              <w:top w:val="nil"/>
              <w:left w:val="nil"/>
              <w:bottom w:val="single" w:sz="8" w:space="0" w:color="auto"/>
              <w:right w:val="nil"/>
            </w:tcBorders>
            <w:shd w:val="clear" w:color="000000" w:fill="FFFFFF"/>
            <w:noWrap/>
            <w:vAlign w:val="bottom"/>
          </w:tcPr>
          <w:p w14:paraId="13ED94B6" w14:textId="37E2D669" w:rsidR="006158AD" w:rsidRPr="008B6992" w:rsidRDefault="006158AD" w:rsidP="006158AD">
            <w:pPr>
              <w:spacing w:after="0" w:line="240" w:lineRule="auto"/>
              <w:ind w:firstLine="0"/>
              <w:jc w:val="center"/>
              <w:rPr>
                <w:b/>
                <w:bCs/>
                <w:color w:val="000000"/>
                <w:sz w:val="16"/>
                <w:szCs w:val="16"/>
                <w:lang w:val="en-US"/>
              </w:rPr>
            </w:pPr>
            <w:r w:rsidRPr="00267E15">
              <w:rPr>
                <w:bCs/>
                <w:color w:val="000000"/>
                <w:sz w:val="16"/>
                <w:szCs w:val="16"/>
              </w:rPr>
              <w:t>853</w:t>
            </w:r>
          </w:p>
        </w:tc>
      </w:tr>
    </w:tbl>
    <w:p w14:paraId="4AC92741" w14:textId="6645541C" w:rsidR="005C3500" w:rsidRPr="005205BC" w:rsidRDefault="00B36814" w:rsidP="00900F85">
      <w:pPr>
        <w:tabs>
          <w:tab w:val="left" w:pos="6804"/>
        </w:tabs>
        <w:spacing w:after="0" w:line="276" w:lineRule="auto"/>
        <w:ind w:right="720" w:firstLine="0"/>
        <w:rPr>
          <w:sz w:val="16"/>
          <w:szCs w:val="16"/>
          <w:lang w:val="en-US"/>
        </w:rPr>
      </w:pPr>
      <w:r>
        <w:rPr>
          <w:i/>
          <w:sz w:val="16"/>
          <w:szCs w:val="16"/>
          <w:lang w:val="en-US"/>
        </w:rPr>
        <w:t xml:space="preserve">     </w:t>
      </w:r>
      <w:r w:rsidR="005C3500" w:rsidRPr="00022064">
        <w:rPr>
          <w:i/>
          <w:sz w:val="16"/>
          <w:szCs w:val="16"/>
          <w:lang w:val="en-US"/>
        </w:rPr>
        <w:t>Notes</w:t>
      </w:r>
      <w:r w:rsidR="005C3500" w:rsidRPr="00022064">
        <w:rPr>
          <w:sz w:val="16"/>
          <w:szCs w:val="16"/>
          <w:lang w:val="en-US"/>
        </w:rPr>
        <w:t xml:space="preserve">: </w:t>
      </w:r>
      <w:r w:rsidR="005C3500" w:rsidRPr="00F556AF">
        <w:rPr>
          <w:sz w:val="16"/>
          <w:szCs w:val="16"/>
          <w:lang w:val="en-US"/>
        </w:rPr>
        <w:t>The results are based on models (2) and (4), presented in Table 2.</w:t>
      </w:r>
      <w:r w:rsidR="005C3500" w:rsidRPr="00022064">
        <w:rPr>
          <w:sz w:val="16"/>
          <w:szCs w:val="16"/>
          <w:lang w:val="en-US"/>
        </w:rPr>
        <w:t xml:space="preserve"> Partial effects on the observed</w:t>
      </w:r>
      <w:r w:rsidR="005C3500" w:rsidRPr="005205BC">
        <w:rPr>
          <w:sz w:val="16"/>
          <w:szCs w:val="16"/>
          <w:lang w:val="en-US"/>
        </w:rPr>
        <w:t xml:space="preserve"> volume of log purchases are presented. The estimated partial effects are also transformed to represent the proportionate effects. *** p&lt;0.01, ** p&lt;0.05, * p&lt;0.1</w:t>
      </w:r>
      <w:r w:rsidR="00D3533D">
        <w:rPr>
          <w:sz w:val="16"/>
          <w:szCs w:val="16"/>
          <w:lang w:val="en-US"/>
        </w:rPr>
        <w:t>.</w:t>
      </w:r>
    </w:p>
    <w:p w14:paraId="73A167AD" w14:textId="77777777" w:rsidR="008B6992" w:rsidRDefault="008B6992" w:rsidP="007B0E00">
      <w:pPr>
        <w:spacing w:after="0"/>
        <w:rPr>
          <w:lang w:val="en-US"/>
        </w:rPr>
      </w:pPr>
    </w:p>
    <w:p w14:paraId="73FB0F94" w14:textId="77777777" w:rsidR="00585926" w:rsidRPr="00083D70" w:rsidRDefault="00585926" w:rsidP="007B0E00">
      <w:pPr>
        <w:spacing w:after="0"/>
        <w:rPr>
          <w:lang w:val="en-US"/>
        </w:rPr>
      </w:pPr>
    </w:p>
    <w:sectPr w:rsidR="00585926" w:rsidRPr="00083D70" w:rsidSect="00871858">
      <w:footerReference w:type="default" r:id="rId29"/>
      <w:type w:val="continuous"/>
      <w:pgSz w:w="11906" w:h="16838"/>
      <w:pgMar w:top="2160" w:right="2160" w:bottom="216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30587" w14:textId="77777777" w:rsidR="00094860" w:rsidRDefault="00094860" w:rsidP="003E5532">
      <w:r>
        <w:separator/>
      </w:r>
    </w:p>
  </w:endnote>
  <w:endnote w:type="continuationSeparator" w:id="0">
    <w:p w14:paraId="4CCB8ED0" w14:textId="77777777" w:rsidR="00094860" w:rsidRDefault="00094860" w:rsidP="003E5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hitney">
    <w:altName w:val="MS Gothic"/>
    <w:panose1 w:val="00000000000000000000"/>
    <w:charset w:val="80"/>
    <w:family w:val="swiss"/>
    <w:notTrueType/>
    <w:pitch w:val="default"/>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074806"/>
      <w:docPartObj>
        <w:docPartGallery w:val="Page Numbers (Bottom of Page)"/>
        <w:docPartUnique/>
      </w:docPartObj>
    </w:sdtPr>
    <w:sdtEndPr>
      <w:rPr>
        <w:noProof/>
      </w:rPr>
    </w:sdtEndPr>
    <w:sdtContent>
      <w:p w14:paraId="351A1BB3" w14:textId="2EFFEA36" w:rsidR="00EC0954" w:rsidRDefault="00EC0954">
        <w:pPr>
          <w:pStyle w:val="Footer"/>
          <w:jc w:val="center"/>
        </w:pPr>
        <w:r>
          <w:fldChar w:fldCharType="begin"/>
        </w:r>
        <w:r>
          <w:instrText xml:space="preserve"> PAGE   \* MERGEFORMAT </w:instrText>
        </w:r>
        <w:r>
          <w:fldChar w:fldCharType="separate"/>
        </w:r>
        <w:r w:rsidR="008F2AC9">
          <w:rPr>
            <w:noProof/>
          </w:rPr>
          <w:t>1</w:t>
        </w:r>
        <w:r>
          <w:rPr>
            <w:noProof/>
          </w:rPr>
          <w:fldChar w:fldCharType="end"/>
        </w:r>
      </w:p>
    </w:sdtContent>
  </w:sdt>
  <w:p w14:paraId="45A56503" w14:textId="77777777" w:rsidR="00EC0954" w:rsidRDefault="00EC0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F76F6" w14:textId="77777777" w:rsidR="00094860" w:rsidRDefault="00094860" w:rsidP="003E5532">
      <w:r>
        <w:separator/>
      </w:r>
    </w:p>
  </w:footnote>
  <w:footnote w:type="continuationSeparator" w:id="0">
    <w:p w14:paraId="078CE91A" w14:textId="77777777" w:rsidR="00094860" w:rsidRDefault="00094860" w:rsidP="003E5532">
      <w:r>
        <w:continuationSeparator/>
      </w:r>
    </w:p>
  </w:footnote>
  <w:footnote w:id="1">
    <w:p w14:paraId="450F2660" w14:textId="70FAADEA" w:rsidR="00EC0954" w:rsidRPr="00BE4584" w:rsidRDefault="00EC0954" w:rsidP="00662089">
      <w:pPr>
        <w:pStyle w:val="FootnoteText"/>
        <w:spacing w:after="0" w:line="240" w:lineRule="auto"/>
        <w:ind w:firstLine="57"/>
        <w:contextualSpacing/>
        <w:rPr>
          <w:sz w:val="16"/>
          <w:szCs w:val="16"/>
        </w:rPr>
      </w:pPr>
      <w:r w:rsidRPr="00BE4584">
        <w:rPr>
          <w:rStyle w:val="FootnoteReference"/>
          <w:sz w:val="16"/>
          <w:szCs w:val="16"/>
        </w:rPr>
        <w:footnoteRef/>
      </w:r>
      <w:r w:rsidRPr="00BE4584">
        <w:rPr>
          <w:sz w:val="16"/>
          <w:szCs w:val="16"/>
        </w:rPr>
        <w:t xml:space="preserve"> The previous studies also find that the tax policies might not necessarily </w:t>
      </w:r>
      <w:r>
        <w:rPr>
          <w:sz w:val="16"/>
          <w:szCs w:val="16"/>
        </w:rPr>
        <w:t xml:space="preserve">be </w:t>
      </w:r>
      <w:r w:rsidRPr="00BE4584">
        <w:rPr>
          <w:sz w:val="16"/>
          <w:szCs w:val="16"/>
        </w:rPr>
        <w:t>fully passed through to consumer price</w:t>
      </w:r>
      <w:r>
        <w:rPr>
          <w:sz w:val="16"/>
          <w:szCs w:val="16"/>
        </w:rPr>
        <w:t>s</w:t>
      </w:r>
      <w:r w:rsidRPr="00BE4584">
        <w:rPr>
          <w:sz w:val="16"/>
          <w:szCs w:val="16"/>
        </w:rPr>
        <w:t>. In Mexico there is evidence of full pass-through at least in urban areas (</w:t>
      </w:r>
      <w:proofErr w:type="spellStart"/>
      <w:r w:rsidRPr="00BE4584">
        <w:rPr>
          <w:sz w:val="16"/>
          <w:szCs w:val="16"/>
        </w:rPr>
        <w:t>Colchero</w:t>
      </w:r>
      <w:proofErr w:type="spellEnd"/>
      <w:r w:rsidRPr="00BE4584">
        <w:rPr>
          <w:sz w:val="16"/>
          <w:szCs w:val="16"/>
        </w:rPr>
        <w:t xml:space="preserve"> et al., 2015), and more recently evidence of a more complete pass-through of the tax onto consumer prices (Grogger, 2017). </w:t>
      </w:r>
      <w:r w:rsidRPr="00BE1641">
        <w:rPr>
          <w:sz w:val="16"/>
          <w:szCs w:val="16"/>
        </w:rPr>
        <w:t>In Berkeley, there is evidence of a comparatively moderate pass-through of the tax to consumer prices (</w:t>
      </w:r>
      <w:proofErr w:type="spellStart"/>
      <w:r w:rsidRPr="00BE1641">
        <w:rPr>
          <w:sz w:val="16"/>
          <w:szCs w:val="16"/>
        </w:rPr>
        <w:t>Cawley</w:t>
      </w:r>
      <w:proofErr w:type="spellEnd"/>
      <w:r w:rsidRPr="00BE1641">
        <w:rPr>
          <w:sz w:val="16"/>
          <w:szCs w:val="16"/>
        </w:rPr>
        <w:t xml:space="preserve"> and </w:t>
      </w:r>
      <w:proofErr w:type="spellStart"/>
      <w:r w:rsidRPr="00BE1641">
        <w:rPr>
          <w:sz w:val="16"/>
          <w:szCs w:val="16"/>
        </w:rPr>
        <w:t>Frisvold</w:t>
      </w:r>
      <w:proofErr w:type="spellEnd"/>
      <w:r w:rsidRPr="00BE1641">
        <w:rPr>
          <w:sz w:val="16"/>
          <w:szCs w:val="16"/>
        </w:rPr>
        <w:t xml:space="preserve">, 2017: 43%; </w:t>
      </w:r>
      <w:proofErr w:type="spellStart"/>
      <w:r w:rsidRPr="00BE1641">
        <w:rPr>
          <w:sz w:val="16"/>
          <w:szCs w:val="16"/>
        </w:rPr>
        <w:t>Falbe</w:t>
      </w:r>
      <w:proofErr w:type="spellEnd"/>
      <w:r w:rsidRPr="00BE1641">
        <w:rPr>
          <w:sz w:val="16"/>
          <w:szCs w:val="16"/>
        </w:rPr>
        <w:t xml:space="preserve"> et al., 201</w:t>
      </w:r>
      <w:r>
        <w:rPr>
          <w:sz w:val="16"/>
          <w:szCs w:val="16"/>
        </w:rPr>
        <w:t>6</w:t>
      </w:r>
      <w:r w:rsidRPr="00BE1641">
        <w:rPr>
          <w:sz w:val="16"/>
          <w:szCs w:val="16"/>
        </w:rPr>
        <w:t>: 46-69%)</w:t>
      </w:r>
      <w:r>
        <w:rPr>
          <w:sz w:val="16"/>
          <w:szCs w:val="16"/>
        </w:rPr>
        <w:t>.</w:t>
      </w:r>
      <w:r w:rsidRPr="00BE4584">
        <w:rPr>
          <w:sz w:val="16"/>
          <w:szCs w:val="16"/>
        </w:rPr>
        <w:t xml:space="preserve"> </w:t>
      </w:r>
      <w:r>
        <w:rPr>
          <w:sz w:val="16"/>
          <w:szCs w:val="16"/>
        </w:rPr>
        <w:t>H</w:t>
      </w:r>
      <w:r w:rsidRPr="00BE4584">
        <w:rPr>
          <w:sz w:val="16"/>
          <w:szCs w:val="16"/>
        </w:rPr>
        <w:t>owever</w:t>
      </w:r>
      <w:r>
        <w:rPr>
          <w:sz w:val="16"/>
          <w:szCs w:val="16"/>
        </w:rPr>
        <w:t>,</w:t>
      </w:r>
      <w:r w:rsidRPr="00BE4584">
        <w:rPr>
          <w:sz w:val="16"/>
          <w:szCs w:val="16"/>
        </w:rPr>
        <w:t xml:space="preserve"> Silver et al. (201</w:t>
      </w:r>
      <w:r>
        <w:rPr>
          <w:sz w:val="16"/>
          <w:szCs w:val="16"/>
        </w:rPr>
        <w:t>7</w:t>
      </w:r>
      <w:r w:rsidRPr="00BE4584">
        <w:rPr>
          <w:sz w:val="16"/>
          <w:szCs w:val="16"/>
        </w:rPr>
        <w:t xml:space="preserve">) </w:t>
      </w:r>
      <w:r>
        <w:rPr>
          <w:sz w:val="16"/>
          <w:szCs w:val="16"/>
        </w:rPr>
        <w:t>conclude</w:t>
      </w:r>
      <w:r w:rsidRPr="00BE4584">
        <w:rPr>
          <w:sz w:val="16"/>
          <w:szCs w:val="16"/>
        </w:rPr>
        <w:t xml:space="preserve"> that the degree of pass-through depends on store type</w:t>
      </w:r>
      <w:r>
        <w:rPr>
          <w:sz w:val="16"/>
          <w:szCs w:val="16"/>
        </w:rPr>
        <w:t>:</w:t>
      </w:r>
      <w:r w:rsidRPr="00BE4584">
        <w:rPr>
          <w:sz w:val="16"/>
          <w:szCs w:val="16"/>
        </w:rPr>
        <w:t xml:space="preserve"> they find a complete pass-through in supermarket chains and gas station chains, whereas the pass-through was modest or even negative in pharmacies, independent corner stores and independent gas stations. Berardi et al. (2016) find evidence of pervasive if heterogeneous pass-through with French soda tax data, </w:t>
      </w:r>
      <w:r>
        <w:rPr>
          <w:sz w:val="16"/>
          <w:szCs w:val="16"/>
        </w:rPr>
        <w:t>if</w:t>
      </w:r>
      <w:r w:rsidRPr="00BE4584">
        <w:rPr>
          <w:sz w:val="16"/>
          <w:szCs w:val="16"/>
        </w:rPr>
        <w:t xml:space="preserve"> incomplete for </w:t>
      </w:r>
      <w:proofErr w:type="spellStart"/>
      <w:r w:rsidRPr="00BE4584">
        <w:rPr>
          <w:sz w:val="16"/>
          <w:szCs w:val="16"/>
        </w:rPr>
        <w:t>flavored</w:t>
      </w:r>
      <w:proofErr w:type="spellEnd"/>
      <w:r w:rsidRPr="00BE4584">
        <w:rPr>
          <w:sz w:val="16"/>
          <w:szCs w:val="16"/>
        </w:rPr>
        <w:t xml:space="preserve"> waters.</w:t>
      </w:r>
    </w:p>
  </w:footnote>
  <w:footnote w:id="2">
    <w:p w14:paraId="239889F1" w14:textId="7E6E2847" w:rsidR="00EC0954" w:rsidRPr="0004148E" w:rsidRDefault="00EC0954" w:rsidP="004F5A2F">
      <w:pPr>
        <w:pStyle w:val="FootnoteText"/>
        <w:spacing w:line="240" w:lineRule="auto"/>
      </w:pPr>
      <w:r>
        <w:rPr>
          <w:rStyle w:val="FootnoteReference"/>
        </w:rPr>
        <w:footnoteRef/>
      </w:r>
      <w:r>
        <w:t xml:space="preserve"> </w:t>
      </w:r>
      <w:r w:rsidRPr="008F040B">
        <w:t>To some extent, this can still be interpreted as an assignment. However, by minimizing the context as much as possible and by recruiting subjects who consume these products on a regular basis (see section 3.4 for details), we can be reasonably confident that the participants spend the budget that is allocated to them on products they would usually allocate money to on a regular basis when they do go to either a physical or an online supermarket. Therefore, while we cannot rule out that the demand schedule is distorted, this is likely to be less so than in experiments with explicit assignments.</w:t>
      </w:r>
    </w:p>
  </w:footnote>
  <w:footnote w:id="3">
    <w:p w14:paraId="6295A89F" w14:textId="77777777" w:rsidR="00EC0954" w:rsidRPr="005205BC" w:rsidRDefault="00EC0954" w:rsidP="00662089">
      <w:pPr>
        <w:pStyle w:val="FootnoteText"/>
        <w:spacing w:after="0" w:line="240" w:lineRule="auto"/>
        <w:ind w:firstLine="0"/>
        <w:rPr>
          <w:sz w:val="16"/>
          <w:szCs w:val="16"/>
        </w:rPr>
      </w:pPr>
      <w:r w:rsidRPr="005205BC">
        <w:rPr>
          <w:sz w:val="24"/>
          <w:szCs w:val="24"/>
          <w:vertAlign w:val="superscript"/>
        </w:rPr>
        <w:footnoteRef/>
      </w:r>
      <w:r w:rsidRPr="005205BC">
        <w:rPr>
          <w:sz w:val="16"/>
          <w:szCs w:val="16"/>
          <w:vertAlign w:val="superscript"/>
        </w:rPr>
        <w:t xml:space="preserve"> </w:t>
      </w:r>
      <w:r w:rsidRPr="005205BC">
        <w:rPr>
          <w:sz w:val="16"/>
          <w:szCs w:val="16"/>
        </w:rPr>
        <w:t xml:space="preserve">Some examples of less healthy cereals are: Kellogg’s Rice Krispies (score = 6), Nestle </w:t>
      </w:r>
      <w:proofErr w:type="spellStart"/>
      <w:r w:rsidRPr="005205BC">
        <w:rPr>
          <w:sz w:val="16"/>
          <w:szCs w:val="16"/>
        </w:rPr>
        <w:t>Cheerios</w:t>
      </w:r>
      <w:proofErr w:type="spellEnd"/>
      <w:r w:rsidRPr="005205BC">
        <w:rPr>
          <w:sz w:val="16"/>
          <w:szCs w:val="16"/>
        </w:rPr>
        <w:t xml:space="preserve"> Cereal (score = 8) and Kellogg’s Frosties Cereal (score = 13) and examples of healthier cereals are: Nestle Shredded Wheat Cereal (score = -6), Alpen No Added Sugar Muesli (score = -3) Dorset Cereals Honey Granola (score = 0). Examples of less healthy soft drinks are: regular tonic water (score = 1), regular Coke (score = 2) and Lucozade Energy (score = 3), while water (score = 0), Diet Coke (score = 0) and orange juice from concentrate (score = -3) are examples of healthier drinks. Notice that a healthier food or drink is a relative concept and depends on the threshold applied; hence it is not necessarily equal to what would be generally accepted as a healthy food or drink. A good example is diet sodas, which are healthier than sugar added soft drinks, but would not be considered healthy per se. </w:t>
      </w:r>
    </w:p>
  </w:footnote>
  <w:footnote w:id="4">
    <w:p w14:paraId="1FD88A39" w14:textId="535A99B5" w:rsidR="00EC0954" w:rsidRPr="005205BC" w:rsidRDefault="00EC0954" w:rsidP="008F040B">
      <w:pPr>
        <w:pStyle w:val="FootnoteText"/>
        <w:spacing w:after="0" w:line="240" w:lineRule="auto"/>
        <w:ind w:firstLine="57"/>
        <w:rPr>
          <w:sz w:val="16"/>
          <w:szCs w:val="16"/>
        </w:rPr>
      </w:pPr>
      <w:r w:rsidRPr="005205BC">
        <w:rPr>
          <w:sz w:val="24"/>
          <w:szCs w:val="24"/>
          <w:vertAlign w:val="superscript"/>
        </w:rPr>
        <w:footnoteRef/>
      </w:r>
      <w:r w:rsidRPr="005205BC">
        <w:rPr>
          <w:sz w:val="16"/>
          <w:szCs w:val="16"/>
          <w:vertAlign w:val="superscript"/>
        </w:rPr>
        <w:t xml:space="preserve"> </w:t>
      </w:r>
      <w:r w:rsidRPr="005205BC">
        <w:rPr>
          <w:sz w:val="16"/>
          <w:szCs w:val="16"/>
        </w:rPr>
        <w:t xml:space="preserve">A potential concern is that £10 could induce an income effect that might distort our results. While we do not believe this credible in a UK context (£10 is just a little over 1 hour of minimum wage pay), </w:t>
      </w:r>
      <w:r>
        <w:rPr>
          <w:sz w:val="16"/>
          <w:szCs w:val="16"/>
        </w:rPr>
        <w:t>we</w:t>
      </w:r>
      <w:r w:rsidRPr="005205BC">
        <w:rPr>
          <w:sz w:val="16"/>
          <w:szCs w:val="16"/>
        </w:rPr>
        <w:t xml:space="preserve"> test for whether household income correlates to purchases made and find no evidence for this (see section </w:t>
      </w:r>
      <w:r>
        <w:rPr>
          <w:sz w:val="16"/>
          <w:szCs w:val="16"/>
        </w:rPr>
        <w:t>4</w:t>
      </w:r>
      <w:r w:rsidRPr="005205BC">
        <w:rPr>
          <w:sz w:val="16"/>
          <w:szCs w:val="16"/>
        </w:rPr>
        <w:t>). A</w:t>
      </w:r>
      <w:r>
        <w:rPr>
          <w:sz w:val="16"/>
          <w:szCs w:val="16"/>
        </w:rPr>
        <w:t>lso,</w:t>
      </w:r>
      <w:r w:rsidRPr="005205BC">
        <w:rPr>
          <w:sz w:val="16"/>
          <w:szCs w:val="16"/>
        </w:rPr>
        <w:t xml:space="preserve"> a pilot experiment controlled for whether the fact that the £10 were not earned made a difference, which it did not (see </w:t>
      </w:r>
      <w:r>
        <w:rPr>
          <w:sz w:val="16"/>
          <w:szCs w:val="16"/>
        </w:rPr>
        <w:t>online appendix C</w:t>
      </w:r>
      <w:r w:rsidRPr="005205BC">
        <w:rPr>
          <w:sz w:val="16"/>
          <w:szCs w:val="16"/>
        </w:rPr>
        <w:t>).</w:t>
      </w:r>
    </w:p>
  </w:footnote>
  <w:footnote w:id="5">
    <w:p w14:paraId="7430CA58" w14:textId="0DA2B135" w:rsidR="00EC0954" w:rsidRPr="007B0E00" w:rsidRDefault="00EC0954">
      <w:pPr>
        <w:pStyle w:val="FootnoteText"/>
        <w:spacing w:after="0" w:line="240" w:lineRule="auto"/>
        <w:ind w:firstLine="57"/>
        <w:rPr>
          <w:sz w:val="16"/>
          <w:szCs w:val="16"/>
        </w:rPr>
      </w:pPr>
      <w:r w:rsidRPr="007B0E00">
        <w:rPr>
          <w:rStyle w:val="FootnoteReference"/>
          <w:sz w:val="16"/>
          <w:szCs w:val="16"/>
        </w:rPr>
        <w:footnoteRef/>
      </w:r>
      <w:r w:rsidRPr="007B0E00">
        <w:rPr>
          <w:sz w:val="16"/>
          <w:szCs w:val="16"/>
        </w:rPr>
        <w:t xml:space="preserve"> </w:t>
      </w:r>
      <w:r>
        <w:rPr>
          <w:sz w:val="16"/>
          <w:szCs w:val="16"/>
        </w:rPr>
        <w:t>We discuss potential concerns with our within-subject design in the discussion section.</w:t>
      </w:r>
    </w:p>
  </w:footnote>
  <w:footnote w:id="6">
    <w:p w14:paraId="4801F26D" w14:textId="41DD2043" w:rsidR="00EC0954" w:rsidRDefault="00EC0954">
      <w:pPr>
        <w:pStyle w:val="FootnoteText"/>
        <w:spacing w:after="0" w:line="240" w:lineRule="auto"/>
        <w:ind w:firstLine="57"/>
      </w:pPr>
      <w:r>
        <w:rPr>
          <w:rStyle w:val="FootnoteReference"/>
        </w:rPr>
        <w:footnoteRef/>
      </w:r>
      <w:r>
        <w:t xml:space="preserve"> </w:t>
      </w:r>
      <w:r w:rsidRPr="00A31C4A">
        <w:rPr>
          <w:sz w:val="16"/>
          <w:szCs w:val="16"/>
        </w:rPr>
        <w:t>Products organization follows an internal hierarchy grouping which is similar to the brick and mortar (B&amp;M) supermarket departments, aisles and shelves. For instance, all drinks are grouped in the same product category (as they would be in the same department in a supermarket)</w:t>
      </w:r>
      <w:r>
        <w:rPr>
          <w:sz w:val="16"/>
          <w:szCs w:val="16"/>
        </w:rPr>
        <w:t>,</w:t>
      </w:r>
      <w:r w:rsidRPr="00A31C4A">
        <w:rPr>
          <w:sz w:val="16"/>
          <w:szCs w:val="16"/>
        </w:rPr>
        <w:t xml:space="preserve"> and within this category product</w:t>
      </w:r>
      <w:r>
        <w:rPr>
          <w:sz w:val="16"/>
          <w:szCs w:val="16"/>
        </w:rPr>
        <w:t>s</w:t>
      </w:r>
      <w:r w:rsidRPr="00A31C4A">
        <w:rPr>
          <w:sz w:val="16"/>
          <w:szCs w:val="16"/>
        </w:rPr>
        <w:t xml:space="preserve"> that share similar characteristics are grouped by sub-categories (as they will be within a supermarket aisles and shelves). </w:t>
      </w:r>
      <w:r>
        <w:rPr>
          <w:sz w:val="16"/>
          <w:szCs w:val="16"/>
        </w:rPr>
        <w:t>As an illustration,</w:t>
      </w:r>
      <w:r w:rsidRPr="00A31C4A">
        <w:rPr>
          <w:sz w:val="16"/>
          <w:szCs w:val="16"/>
        </w:rPr>
        <w:t xml:space="preserve"> “Drinks/</w:t>
      </w:r>
      <w:r>
        <w:t xml:space="preserve"> </w:t>
      </w:r>
      <w:r w:rsidRPr="00A31C4A">
        <w:rPr>
          <w:sz w:val="16"/>
          <w:szCs w:val="16"/>
        </w:rPr>
        <w:t>Soft Drinks/Colas”</w:t>
      </w:r>
      <w:r>
        <w:rPr>
          <w:sz w:val="16"/>
          <w:szCs w:val="16"/>
        </w:rPr>
        <w:t xml:space="preserve"> was a sub-category that a consumer in a Drinks task could see with a couple of clicks to get there.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4E2"/>
    <w:multiLevelType w:val="hybridMultilevel"/>
    <w:tmpl w:val="D04EE1E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A0BF6"/>
    <w:multiLevelType w:val="multilevel"/>
    <w:tmpl w:val="0409001D"/>
    <w:numStyleLink w:val="Singlepunch"/>
  </w:abstractNum>
  <w:abstractNum w:abstractNumId="2" w15:restartNumberingAfterBreak="0">
    <w:nsid w:val="1FEF5971"/>
    <w:multiLevelType w:val="hybridMultilevel"/>
    <w:tmpl w:val="04F46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1A4E2E"/>
    <w:multiLevelType w:val="multilevel"/>
    <w:tmpl w:val="18609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88E1CE2"/>
    <w:multiLevelType w:val="multilevel"/>
    <w:tmpl w:val="0409001D"/>
    <w:numStyleLink w:val="Multipunch"/>
  </w:abstractNum>
  <w:abstractNum w:abstractNumId="5" w15:restartNumberingAfterBreak="0">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625460D"/>
    <w:multiLevelType w:val="hybridMultilevel"/>
    <w:tmpl w:val="6874B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E404259"/>
    <w:multiLevelType w:val="hybridMultilevel"/>
    <w:tmpl w:val="00E80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3F7850"/>
    <w:multiLevelType w:val="hybridMultilevel"/>
    <w:tmpl w:val="E042E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912486"/>
    <w:multiLevelType w:val="hybridMultilevel"/>
    <w:tmpl w:val="BD1692F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E719B7"/>
    <w:multiLevelType w:val="hybridMultilevel"/>
    <w:tmpl w:val="D61A5ACC"/>
    <w:lvl w:ilvl="0" w:tplc="751067BA">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8211EA"/>
    <w:multiLevelType w:val="hybridMultilevel"/>
    <w:tmpl w:val="F6E691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CDD17C7"/>
    <w:multiLevelType w:val="hybridMultilevel"/>
    <w:tmpl w:val="B276F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6E3628"/>
    <w:multiLevelType w:val="hybridMultilevel"/>
    <w:tmpl w:val="1E888CC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2"/>
  </w:num>
  <w:num w:numId="3">
    <w:abstractNumId w:val="11"/>
  </w:num>
  <w:num w:numId="4">
    <w:abstractNumId w:val="13"/>
  </w:num>
  <w:num w:numId="5">
    <w:abstractNumId w:val="6"/>
  </w:num>
  <w:num w:numId="6">
    <w:abstractNumId w:val="10"/>
  </w:num>
  <w:num w:numId="7">
    <w:abstractNumId w:val="14"/>
  </w:num>
  <w:num w:numId="8">
    <w:abstractNumId w:val="0"/>
  </w:num>
  <w:num w:numId="9">
    <w:abstractNumId w:val="7"/>
  </w:num>
  <w:num w:numId="10">
    <w:abstractNumId w:val="1"/>
  </w:num>
  <w:num w:numId="11">
    <w:abstractNumId w:val="5"/>
  </w:num>
  <w:num w:numId="12">
    <w:abstractNumId w:val="4"/>
  </w:num>
  <w:num w:numId="13">
    <w:abstractNumId w:val="9"/>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oNotDisplayPageBoundaries/>
  <w:activeWritingStyle w:appName="MSWord" w:lang="es-V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s-VE" w:vendorID="64" w:dllVersion="0" w:nlCheck="1" w:checkStyle="0"/>
  <w:activeWritingStyle w:appName="MSWord" w:lang="de-CH" w:vendorID="64" w:dllVersion="6" w:nlCheck="1" w:checkStyle="0"/>
  <w:activeWritingStyle w:appName="MSWord" w:lang="en-AU" w:vendorID="64" w:dllVersion="6" w:nlCheck="1" w:checkStyle="1"/>
  <w:activeWritingStyle w:appName="MSWord" w:lang="en-AU" w:vendorID="64" w:dllVersion="0"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mer Economic Review&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xdxdf2923tsp5yez5vpx2delvzzfszappzpf&quot;&gt;food price experiments Updated&lt;record-ids&gt;&lt;item&gt;159&lt;/item&gt;&lt;/record-ids&gt;&lt;/item&gt;&lt;/Libraries&gt;"/>
  </w:docVars>
  <w:rsids>
    <w:rsidRoot w:val="00803143"/>
    <w:rsid w:val="000009BA"/>
    <w:rsid w:val="000009BC"/>
    <w:rsid w:val="00001B3B"/>
    <w:rsid w:val="00001F44"/>
    <w:rsid w:val="00002D27"/>
    <w:rsid w:val="000049AF"/>
    <w:rsid w:val="000050C2"/>
    <w:rsid w:val="0000749A"/>
    <w:rsid w:val="00011C9E"/>
    <w:rsid w:val="000131EC"/>
    <w:rsid w:val="000133CC"/>
    <w:rsid w:val="000138B0"/>
    <w:rsid w:val="00015559"/>
    <w:rsid w:val="000156D7"/>
    <w:rsid w:val="0001728A"/>
    <w:rsid w:val="0001762B"/>
    <w:rsid w:val="000179AB"/>
    <w:rsid w:val="00020782"/>
    <w:rsid w:val="000211B1"/>
    <w:rsid w:val="00022064"/>
    <w:rsid w:val="00022372"/>
    <w:rsid w:val="0002263B"/>
    <w:rsid w:val="00022CA6"/>
    <w:rsid w:val="00027984"/>
    <w:rsid w:val="000301FE"/>
    <w:rsid w:val="00031695"/>
    <w:rsid w:val="0004148E"/>
    <w:rsid w:val="00041BF0"/>
    <w:rsid w:val="0004335D"/>
    <w:rsid w:val="0004367D"/>
    <w:rsid w:val="00043B8C"/>
    <w:rsid w:val="00044D13"/>
    <w:rsid w:val="00046696"/>
    <w:rsid w:val="00051482"/>
    <w:rsid w:val="00053D4C"/>
    <w:rsid w:val="000566AB"/>
    <w:rsid w:val="00056B00"/>
    <w:rsid w:val="000575AD"/>
    <w:rsid w:val="00057799"/>
    <w:rsid w:val="00061BA9"/>
    <w:rsid w:val="000632D9"/>
    <w:rsid w:val="000642C6"/>
    <w:rsid w:val="0006654C"/>
    <w:rsid w:val="00067388"/>
    <w:rsid w:val="00071AF5"/>
    <w:rsid w:val="00072129"/>
    <w:rsid w:val="00072E15"/>
    <w:rsid w:val="000800AA"/>
    <w:rsid w:val="0008121F"/>
    <w:rsid w:val="0008278A"/>
    <w:rsid w:val="00083D70"/>
    <w:rsid w:val="00083DA6"/>
    <w:rsid w:val="000844FC"/>
    <w:rsid w:val="00085E3E"/>
    <w:rsid w:val="00085F80"/>
    <w:rsid w:val="00087069"/>
    <w:rsid w:val="00087073"/>
    <w:rsid w:val="00090E97"/>
    <w:rsid w:val="0009135F"/>
    <w:rsid w:val="00091CAF"/>
    <w:rsid w:val="000927AB"/>
    <w:rsid w:val="00094860"/>
    <w:rsid w:val="00095E7C"/>
    <w:rsid w:val="00097427"/>
    <w:rsid w:val="000A03A0"/>
    <w:rsid w:val="000A07DD"/>
    <w:rsid w:val="000A16D9"/>
    <w:rsid w:val="000A37C0"/>
    <w:rsid w:val="000A3DC0"/>
    <w:rsid w:val="000A5738"/>
    <w:rsid w:val="000A584D"/>
    <w:rsid w:val="000A6886"/>
    <w:rsid w:val="000A6CA6"/>
    <w:rsid w:val="000A7192"/>
    <w:rsid w:val="000B15F5"/>
    <w:rsid w:val="000B2E85"/>
    <w:rsid w:val="000B308A"/>
    <w:rsid w:val="000B3FF8"/>
    <w:rsid w:val="000B4995"/>
    <w:rsid w:val="000B4DC4"/>
    <w:rsid w:val="000B6587"/>
    <w:rsid w:val="000C546B"/>
    <w:rsid w:val="000D1836"/>
    <w:rsid w:val="000D2E94"/>
    <w:rsid w:val="000D4846"/>
    <w:rsid w:val="000E2919"/>
    <w:rsid w:val="000E4036"/>
    <w:rsid w:val="000E4173"/>
    <w:rsid w:val="000E41DE"/>
    <w:rsid w:val="000E427C"/>
    <w:rsid w:val="000E5471"/>
    <w:rsid w:val="000E5EE8"/>
    <w:rsid w:val="000E7D12"/>
    <w:rsid w:val="000E7F18"/>
    <w:rsid w:val="000F0031"/>
    <w:rsid w:val="000F1E66"/>
    <w:rsid w:val="000F49D8"/>
    <w:rsid w:val="000F528F"/>
    <w:rsid w:val="000F5399"/>
    <w:rsid w:val="000F67EE"/>
    <w:rsid w:val="00100BF8"/>
    <w:rsid w:val="00102604"/>
    <w:rsid w:val="0010331C"/>
    <w:rsid w:val="001033D4"/>
    <w:rsid w:val="00107122"/>
    <w:rsid w:val="0011000E"/>
    <w:rsid w:val="00111076"/>
    <w:rsid w:val="001151B4"/>
    <w:rsid w:val="00116BCB"/>
    <w:rsid w:val="00116E7E"/>
    <w:rsid w:val="00122D60"/>
    <w:rsid w:val="001242DB"/>
    <w:rsid w:val="0012459A"/>
    <w:rsid w:val="00124F33"/>
    <w:rsid w:val="00126CDD"/>
    <w:rsid w:val="00127F43"/>
    <w:rsid w:val="001330D5"/>
    <w:rsid w:val="00133612"/>
    <w:rsid w:val="0013618A"/>
    <w:rsid w:val="00141041"/>
    <w:rsid w:val="00141871"/>
    <w:rsid w:val="001418A2"/>
    <w:rsid w:val="00142779"/>
    <w:rsid w:val="00145C9A"/>
    <w:rsid w:val="001465CE"/>
    <w:rsid w:val="00146FDB"/>
    <w:rsid w:val="00150A5A"/>
    <w:rsid w:val="001540CC"/>
    <w:rsid w:val="001563E5"/>
    <w:rsid w:val="00161112"/>
    <w:rsid w:val="00161BA8"/>
    <w:rsid w:val="0016244E"/>
    <w:rsid w:val="001624AC"/>
    <w:rsid w:val="00162F35"/>
    <w:rsid w:val="00162FFC"/>
    <w:rsid w:val="0016305C"/>
    <w:rsid w:val="0016369D"/>
    <w:rsid w:val="0016626C"/>
    <w:rsid w:val="001662F8"/>
    <w:rsid w:val="00171E2F"/>
    <w:rsid w:val="00174689"/>
    <w:rsid w:val="00174709"/>
    <w:rsid w:val="00180C4C"/>
    <w:rsid w:val="00180E3D"/>
    <w:rsid w:val="001824B2"/>
    <w:rsid w:val="00183119"/>
    <w:rsid w:val="001847DB"/>
    <w:rsid w:val="00184E3E"/>
    <w:rsid w:val="00190D26"/>
    <w:rsid w:val="00193A97"/>
    <w:rsid w:val="00195E4D"/>
    <w:rsid w:val="001968C0"/>
    <w:rsid w:val="00196D90"/>
    <w:rsid w:val="00197B2D"/>
    <w:rsid w:val="001A0656"/>
    <w:rsid w:val="001A2B97"/>
    <w:rsid w:val="001A30AE"/>
    <w:rsid w:val="001A43C5"/>
    <w:rsid w:val="001A7CB0"/>
    <w:rsid w:val="001B1410"/>
    <w:rsid w:val="001B2B80"/>
    <w:rsid w:val="001B3340"/>
    <w:rsid w:val="001B3730"/>
    <w:rsid w:val="001B392E"/>
    <w:rsid w:val="001B6788"/>
    <w:rsid w:val="001B7824"/>
    <w:rsid w:val="001B78B4"/>
    <w:rsid w:val="001C04FC"/>
    <w:rsid w:val="001C0A77"/>
    <w:rsid w:val="001C15EB"/>
    <w:rsid w:val="001C37C4"/>
    <w:rsid w:val="001C4B0B"/>
    <w:rsid w:val="001C5464"/>
    <w:rsid w:val="001C5580"/>
    <w:rsid w:val="001C6828"/>
    <w:rsid w:val="001C7FA3"/>
    <w:rsid w:val="001D072B"/>
    <w:rsid w:val="001D09BE"/>
    <w:rsid w:val="001D1AAB"/>
    <w:rsid w:val="001D1FF0"/>
    <w:rsid w:val="001D2E69"/>
    <w:rsid w:val="001D2F9E"/>
    <w:rsid w:val="001D393A"/>
    <w:rsid w:val="001D480A"/>
    <w:rsid w:val="001D618B"/>
    <w:rsid w:val="001D64D0"/>
    <w:rsid w:val="001E3ECB"/>
    <w:rsid w:val="001E4854"/>
    <w:rsid w:val="001E506D"/>
    <w:rsid w:val="001E5BE0"/>
    <w:rsid w:val="001E7FF3"/>
    <w:rsid w:val="001F24F7"/>
    <w:rsid w:val="001F26C0"/>
    <w:rsid w:val="001F292C"/>
    <w:rsid w:val="001F3A90"/>
    <w:rsid w:val="001F4F00"/>
    <w:rsid w:val="001F58CF"/>
    <w:rsid w:val="002011C5"/>
    <w:rsid w:val="002022E5"/>
    <w:rsid w:val="0020271E"/>
    <w:rsid w:val="002034A3"/>
    <w:rsid w:val="002040F2"/>
    <w:rsid w:val="00205673"/>
    <w:rsid w:val="00206EF8"/>
    <w:rsid w:val="002073E5"/>
    <w:rsid w:val="0021322F"/>
    <w:rsid w:val="00213874"/>
    <w:rsid w:val="00214B2E"/>
    <w:rsid w:val="002152D6"/>
    <w:rsid w:val="00216291"/>
    <w:rsid w:val="002200DE"/>
    <w:rsid w:val="0022093E"/>
    <w:rsid w:val="00225EA3"/>
    <w:rsid w:val="002261A3"/>
    <w:rsid w:val="00226D57"/>
    <w:rsid w:val="0023108F"/>
    <w:rsid w:val="0023178D"/>
    <w:rsid w:val="00233C59"/>
    <w:rsid w:val="00233F50"/>
    <w:rsid w:val="00237F7C"/>
    <w:rsid w:val="002408B3"/>
    <w:rsid w:val="0024156D"/>
    <w:rsid w:val="00242439"/>
    <w:rsid w:val="00246C43"/>
    <w:rsid w:val="0024741C"/>
    <w:rsid w:val="00250586"/>
    <w:rsid w:val="00253E69"/>
    <w:rsid w:val="00254CB6"/>
    <w:rsid w:val="00257012"/>
    <w:rsid w:val="002617F1"/>
    <w:rsid w:val="002662A2"/>
    <w:rsid w:val="002740E6"/>
    <w:rsid w:val="00274F5E"/>
    <w:rsid w:val="00274F7E"/>
    <w:rsid w:val="002757D3"/>
    <w:rsid w:val="00275C4B"/>
    <w:rsid w:val="0027798D"/>
    <w:rsid w:val="00283905"/>
    <w:rsid w:val="00283E22"/>
    <w:rsid w:val="00284F19"/>
    <w:rsid w:val="002851DA"/>
    <w:rsid w:val="00286366"/>
    <w:rsid w:val="00292140"/>
    <w:rsid w:val="00293666"/>
    <w:rsid w:val="00293A33"/>
    <w:rsid w:val="00295823"/>
    <w:rsid w:val="002973ED"/>
    <w:rsid w:val="002A3329"/>
    <w:rsid w:val="002B070D"/>
    <w:rsid w:val="002B12A7"/>
    <w:rsid w:val="002B26D9"/>
    <w:rsid w:val="002B51A8"/>
    <w:rsid w:val="002B542E"/>
    <w:rsid w:val="002B5BC9"/>
    <w:rsid w:val="002B6CA9"/>
    <w:rsid w:val="002B7C92"/>
    <w:rsid w:val="002B7F13"/>
    <w:rsid w:val="002C5481"/>
    <w:rsid w:val="002D0454"/>
    <w:rsid w:val="002D0D1B"/>
    <w:rsid w:val="002D1E04"/>
    <w:rsid w:val="002D2183"/>
    <w:rsid w:val="002D3540"/>
    <w:rsid w:val="002D4A03"/>
    <w:rsid w:val="002D5336"/>
    <w:rsid w:val="002D5D5A"/>
    <w:rsid w:val="002D6481"/>
    <w:rsid w:val="002D7E7D"/>
    <w:rsid w:val="002E08BD"/>
    <w:rsid w:val="002E5BAD"/>
    <w:rsid w:val="002E7D99"/>
    <w:rsid w:val="002F1D7C"/>
    <w:rsid w:val="002F22E3"/>
    <w:rsid w:val="002F2BA6"/>
    <w:rsid w:val="002F59E7"/>
    <w:rsid w:val="002F601C"/>
    <w:rsid w:val="002F73FA"/>
    <w:rsid w:val="002F77D4"/>
    <w:rsid w:val="003012ED"/>
    <w:rsid w:val="00302E95"/>
    <w:rsid w:val="0030395A"/>
    <w:rsid w:val="0030541B"/>
    <w:rsid w:val="00310078"/>
    <w:rsid w:val="00311491"/>
    <w:rsid w:val="003114E5"/>
    <w:rsid w:val="003129D9"/>
    <w:rsid w:val="00315D04"/>
    <w:rsid w:val="00317B02"/>
    <w:rsid w:val="0032026D"/>
    <w:rsid w:val="00323758"/>
    <w:rsid w:val="00323B02"/>
    <w:rsid w:val="00324922"/>
    <w:rsid w:val="00324EE3"/>
    <w:rsid w:val="00324FC0"/>
    <w:rsid w:val="00325CCC"/>
    <w:rsid w:val="00326687"/>
    <w:rsid w:val="003276B6"/>
    <w:rsid w:val="00327928"/>
    <w:rsid w:val="00330A3B"/>
    <w:rsid w:val="003325FD"/>
    <w:rsid w:val="00332EEA"/>
    <w:rsid w:val="00333E87"/>
    <w:rsid w:val="00334402"/>
    <w:rsid w:val="00334978"/>
    <w:rsid w:val="00335C6D"/>
    <w:rsid w:val="00340F2D"/>
    <w:rsid w:val="003425EF"/>
    <w:rsid w:val="00343FDB"/>
    <w:rsid w:val="00345C1B"/>
    <w:rsid w:val="003464D3"/>
    <w:rsid w:val="003514FB"/>
    <w:rsid w:val="00351E42"/>
    <w:rsid w:val="0035203A"/>
    <w:rsid w:val="00352408"/>
    <w:rsid w:val="003539E0"/>
    <w:rsid w:val="00354248"/>
    <w:rsid w:val="00354706"/>
    <w:rsid w:val="00354809"/>
    <w:rsid w:val="00355581"/>
    <w:rsid w:val="00355B54"/>
    <w:rsid w:val="00356AE7"/>
    <w:rsid w:val="00357784"/>
    <w:rsid w:val="003607AD"/>
    <w:rsid w:val="00361334"/>
    <w:rsid w:val="003623C9"/>
    <w:rsid w:val="00364428"/>
    <w:rsid w:val="0036746B"/>
    <w:rsid w:val="00370FB5"/>
    <w:rsid w:val="00371E06"/>
    <w:rsid w:val="00372E0D"/>
    <w:rsid w:val="00372E52"/>
    <w:rsid w:val="003746FA"/>
    <w:rsid w:val="00375103"/>
    <w:rsid w:val="00377194"/>
    <w:rsid w:val="00382CC4"/>
    <w:rsid w:val="00383878"/>
    <w:rsid w:val="00384C88"/>
    <w:rsid w:val="00387175"/>
    <w:rsid w:val="003908A2"/>
    <w:rsid w:val="003926B8"/>
    <w:rsid w:val="00395ACF"/>
    <w:rsid w:val="00395E06"/>
    <w:rsid w:val="003972C2"/>
    <w:rsid w:val="00397EA7"/>
    <w:rsid w:val="003A2D6C"/>
    <w:rsid w:val="003A2E63"/>
    <w:rsid w:val="003A35DE"/>
    <w:rsid w:val="003A465A"/>
    <w:rsid w:val="003A58B7"/>
    <w:rsid w:val="003B07BE"/>
    <w:rsid w:val="003B2F82"/>
    <w:rsid w:val="003B442C"/>
    <w:rsid w:val="003B45B6"/>
    <w:rsid w:val="003B49B0"/>
    <w:rsid w:val="003B5010"/>
    <w:rsid w:val="003B6F48"/>
    <w:rsid w:val="003B7138"/>
    <w:rsid w:val="003B768C"/>
    <w:rsid w:val="003C00D7"/>
    <w:rsid w:val="003C1E52"/>
    <w:rsid w:val="003C4141"/>
    <w:rsid w:val="003C5AAC"/>
    <w:rsid w:val="003C6E6E"/>
    <w:rsid w:val="003C79C2"/>
    <w:rsid w:val="003D08E0"/>
    <w:rsid w:val="003D0CEC"/>
    <w:rsid w:val="003D10A7"/>
    <w:rsid w:val="003D157B"/>
    <w:rsid w:val="003D1885"/>
    <w:rsid w:val="003D3CB9"/>
    <w:rsid w:val="003D5F30"/>
    <w:rsid w:val="003E2203"/>
    <w:rsid w:val="003E4EBD"/>
    <w:rsid w:val="003E5532"/>
    <w:rsid w:val="003E721C"/>
    <w:rsid w:val="003F26D2"/>
    <w:rsid w:val="003F7024"/>
    <w:rsid w:val="003F72EB"/>
    <w:rsid w:val="00405329"/>
    <w:rsid w:val="00405C84"/>
    <w:rsid w:val="004130C8"/>
    <w:rsid w:val="00413DDD"/>
    <w:rsid w:val="00413F10"/>
    <w:rsid w:val="004176CA"/>
    <w:rsid w:val="0042099D"/>
    <w:rsid w:val="0042230E"/>
    <w:rsid w:val="004252A1"/>
    <w:rsid w:val="00426824"/>
    <w:rsid w:val="0042720E"/>
    <w:rsid w:val="004308EB"/>
    <w:rsid w:val="004312EF"/>
    <w:rsid w:val="004321F5"/>
    <w:rsid w:val="004341F4"/>
    <w:rsid w:val="004358B0"/>
    <w:rsid w:val="004358B3"/>
    <w:rsid w:val="00440975"/>
    <w:rsid w:val="00440C08"/>
    <w:rsid w:val="00442B6E"/>
    <w:rsid w:val="0044315F"/>
    <w:rsid w:val="00444EF3"/>
    <w:rsid w:val="004450F0"/>
    <w:rsid w:val="00447123"/>
    <w:rsid w:val="00450514"/>
    <w:rsid w:val="00452BA2"/>
    <w:rsid w:val="00454960"/>
    <w:rsid w:val="00456699"/>
    <w:rsid w:val="004568F0"/>
    <w:rsid w:val="004619D7"/>
    <w:rsid w:val="00462677"/>
    <w:rsid w:val="00462EE5"/>
    <w:rsid w:val="0046500A"/>
    <w:rsid w:val="004660D9"/>
    <w:rsid w:val="00466FED"/>
    <w:rsid w:val="004702E5"/>
    <w:rsid w:val="00475F21"/>
    <w:rsid w:val="004762F9"/>
    <w:rsid w:val="004765BA"/>
    <w:rsid w:val="004765D0"/>
    <w:rsid w:val="004767B2"/>
    <w:rsid w:val="004804A8"/>
    <w:rsid w:val="0048121C"/>
    <w:rsid w:val="0048261F"/>
    <w:rsid w:val="00483FF0"/>
    <w:rsid w:val="00486107"/>
    <w:rsid w:val="004868B8"/>
    <w:rsid w:val="00491C08"/>
    <w:rsid w:val="00494C19"/>
    <w:rsid w:val="004963E3"/>
    <w:rsid w:val="004A0935"/>
    <w:rsid w:val="004A19EF"/>
    <w:rsid w:val="004A2F5A"/>
    <w:rsid w:val="004A4F6E"/>
    <w:rsid w:val="004A6CDB"/>
    <w:rsid w:val="004A76BE"/>
    <w:rsid w:val="004B0C2F"/>
    <w:rsid w:val="004B2082"/>
    <w:rsid w:val="004B3CE0"/>
    <w:rsid w:val="004B4B4F"/>
    <w:rsid w:val="004B4F26"/>
    <w:rsid w:val="004B6FB7"/>
    <w:rsid w:val="004C284B"/>
    <w:rsid w:val="004C2C17"/>
    <w:rsid w:val="004C31A9"/>
    <w:rsid w:val="004C3D39"/>
    <w:rsid w:val="004C3F40"/>
    <w:rsid w:val="004C4C9C"/>
    <w:rsid w:val="004C76C0"/>
    <w:rsid w:val="004C799D"/>
    <w:rsid w:val="004D0AAC"/>
    <w:rsid w:val="004D1EA2"/>
    <w:rsid w:val="004D236D"/>
    <w:rsid w:val="004D4313"/>
    <w:rsid w:val="004D6EB6"/>
    <w:rsid w:val="004E148D"/>
    <w:rsid w:val="004E3BDF"/>
    <w:rsid w:val="004E5E68"/>
    <w:rsid w:val="004E65BC"/>
    <w:rsid w:val="004E7414"/>
    <w:rsid w:val="004E7CDE"/>
    <w:rsid w:val="004F0CD6"/>
    <w:rsid w:val="004F2349"/>
    <w:rsid w:val="004F34B3"/>
    <w:rsid w:val="004F3AE5"/>
    <w:rsid w:val="004F5A2F"/>
    <w:rsid w:val="004F5DB5"/>
    <w:rsid w:val="004F66BC"/>
    <w:rsid w:val="004F7F77"/>
    <w:rsid w:val="00502010"/>
    <w:rsid w:val="00504E65"/>
    <w:rsid w:val="00507977"/>
    <w:rsid w:val="005115B3"/>
    <w:rsid w:val="005117FC"/>
    <w:rsid w:val="0051587D"/>
    <w:rsid w:val="005205BC"/>
    <w:rsid w:val="00521EF5"/>
    <w:rsid w:val="00522D56"/>
    <w:rsid w:val="005249A0"/>
    <w:rsid w:val="00524D88"/>
    <w:rsid w:val="00525309"/>
    <w:rsid w:val="00525E6B"/>
    <w:rsid w:val="0053023B"/>
    <w:rsid w:val="00534694"/>
    <w:rsid w:val="00536944"/>
    <w:rsid w:val="005400EC"/>
    <w:rsid w:val="0054015A"/>
    <w:rsid w:val="00543A4B"/>
    <w:rsid w:val="00544E71"/>
    <w:rsid w:val="00545B06"/>
    <w:rsid w:val="00545BC5"/>
    <w:rsid w:val="00550CA5"/>
    <w:rsid w:val="005510BB"/>
    <w:rsid w:val="005518A4"/>
    <w:rsid w:val="00552A73"/>
    <w:rsid w:val="0055379D"/>
    <w:rsid w:val="0055495A"/>
    <w:rsid w:val="0055596F"/>
    <w:rsid w:val="00556DB6"/>
    <w:rsid w:val="00557D99"/>
    <w:rsid w:val="00560206"/>
    <w:rsid w:val="00560CE4"/>
    <w:rsid w:val="0056119D"/>
    <w:rsid w:val="005636C4"/>
    <w:rsid w:val="00563FAE"/>
    <w:rsid w:val="0056418C"/>
    <w:rsid w:val="00571C68"/>
    <w:rsid w:val="00573AF4"/>
    <w:rsid w:val="0057422A"/>
    <w:rsid w:val="00574443"/>
    <w:rsid w:val="00575B94"/>
    <w:rsid w:val="00577013"/>
    <w:rsid w:val="00577812"/>
    <w:rsid w:val="00585926"/>
    <w:rsid w:val="00586816"/>
    <w:rsid w:val="00587561"/>
    <w:rsid w:val="00587FB9"/>
    <w:rsid w:val="0059131A"/>
    <w:rsid w:val="005918C6"/>
    <w:rsid w:val="00592E1B"/>
    <w:rsid w:val="00593B77"/>
    <w:rsid w:val="0059475D"/>
    <w:rsid w:val="005A1A69"/>
    <w:rsid w:val="005A1DF7"/>
    <w:rsid w:val="005A210E"/>
    <w:rsid w:val="005A39AF"/>
    <w:rsid w:val="005A3BD3"/>
    <w:rsid w:val="005B0425"/>
    <w:rsid w:val="005B0B94"/>
    <w:rsid w:val="005B13D1"/>
    <w:rsid w:val="005B27B9"/>
    <w:rsid w:val="005B42D4"/>
    <w:rsid w:val="005B4DD2"/>
    <w:rsid w:val="005B5D0D"/>
    <w:rsid w:val="005C0D5F"/>
    <w:rsid w:val="005C1391"/>
    <w:rsid w:val="005C1727"/>
    <w:rsid w:val="005C1CFC"/>
    <w:rsid w:val="005C1D17"/>
    <w:rsid w:val="005C210B"/>
    <w:rsid w:val="005C3500"/>
    <w:rsid w:val="005C35A3"/>
    <w:rsid w:val="005C398D"/>
    <w:rsid w:val="005C4E33"/>
    <w:rsid w:val="005C5969"/>
    <w:rsid w:val="005C66C0"/>
    <w:rsid w:val="005D0087"/>
    <w:rsid w:val="005D05F9"/>
    <w:rsid w:val="005D1271"/>
    <w:rsid w:val="005D2CA9"/>
    <w:rsid w:val="005D317C"/>
    <w:rsid w:val="005D31CF"/>
    <w:rsid w:val="005D426C"/>
    <w:rsid w:val="005D6025"/>
    <w:rsid w:val="005D63D5"/>
    <w:rsid w:val="005D7F02"/>
    <w:rsid w:val="005E493D"/>
    <w:rsid w:val="005E5C66"/>
    <w:rsid w:val="005F438F"/>
    <w:rsid w:val="005F61D8"/>
    <w:rsid w:val="005F6D89"/>
    <w:rsid w:val="00604813"/>
    <w:rsid w:val="00604D81"/>
    <w:rsid w:val="00605BC5"/>
    <w:rsid w:val="00607573"/>
    <w:rsid w:val="00612F16"/>
    <w:rsid w:val="00613B96"/>
    <w:rsid w:val="00613D7E"/>
    <w:rsid w:val="00614B22"/>
    <w:rsid w:val="006158AD"/>
    <w:rsid w:val="00617012"/>
    <w:rsid w:val="00620D5F"/>
    <w:rsid w:val="006219F6"/>
    <w:rsid w:val="006227A0"/>
    <w:rsid w:val="006231F6"/>
    <w:rsid w:val="00623889"/>
    <w:rsid w:val="0062495A"/>
    <w:rsid w:val="006260F6"/>
    <w:rsid w:val="006263AD"/>
    <w:rsid w:val="00630B92"/>
    <w:rsid w:val="00631B93"/>
    <w:rsid w:val="00632D54"/>
    <w:rsid w:val="006423BA"/>
    <w:rsid w:val="0064280E"/>
    <w:rsid w:val="00643F97"/>
    <w:rsid w:val="006444FF"/>
    <w:rsid w:val="00647678"/>
    <w:rsid w:val="00650C81"/>
    <w:rsid w:val="006535E5"/>
    <w:rsid w:val="00654032"/>
    <w:rsid w:val="00654610"/>
    <w:rsid w:val="00656892"/>
    <w:rsid w:val="00661347"/>
    <w:rsid w:val="00661F61"/>
    <w:rsid w:val="00662089"/>
    <w:rsid w:val="00663786"/>
    <w:rsid w:val="00663DF4"/>
    <w:rsid w:val="00663EFD"/>
    <w:rsid w:val="006648D2"/>
    <w:rsid w:val="00664D51"/>
    <w:rsid w:val="006658B2"/>
    <w:rsid w:val="00667048"/>
    <w:rsid w:val="00667290"/>
    <w:rsid w:val="006710C6"/>
    <w:rsid w:val="00671195"/>
    <w:rsid w:val="00671812"/>
    <w:rsid w:val="00671DB1"/>
    <w:rsid w:val="00672A86"/>
    <w:rsid w:val="00672D1F"/>
    <w:rsid w:val="00672F95"/>
    <w:rsid w:val="00674999"/>
    <w:rsid w:val="00674ECB"/>
    <w:rsid w:val="006752AA"/>
    <w:rsid w:val="00675596"/>
    <w:rsid w:val="0067665A"/>
    <w:rsid w:val="006776A8"/>
    <w:rsid w:val="0067779E"/>
    <w:rsid w:val="00680CD5"/>
    <w:rsid w:val="006822BD"/>
    <w:rsid w:val="006830AF"/>
    <w:rsid w:val="00683BED"/>
    <w:rsid w:val="00684299"/>
    <w:rsid w:val="006870B5"/>
    <w:rsid w:val="00687DE3"/>
    <w:rsid w:val="00690587"/>
    <w:rsid w:val="00692BE1"/>
    <w:rsid w:val="00693A95"/>
    <w:rsid w:val="00693C03"/>
    <w:rsid w:val="0069428A"/>
    <w:rsid w:val="00694D04"/>
    <w:rsid w:val="006956AC"/>
    <w:rsid w:val="0069772E"/>
    <w:rsid w:val="006A5447"/>
    <w:rsid w:val="006A5C14"/>
    <w:rsid w:val="006B29AE"/>
    <w:rsid w:val="006B3434"/>
    <w:rsid w:val="006B509A"/>
    <w:rsid w:val="006B61A2"/>
    <w:rsid w:val="006B792C"/>
    <w:rsid w:val="006C32B6"/>
    <w:rsid w:val="006C46BB"/>
    <w:rsid w:val="006C4F65"/>
    <w:rsid w:val="006C54DA"/>
    <w:rsid w:val="006C5E2B"/>
    <w:rsid w:val="006C66F5"/>
    <w:rsid w:val="006D3073"/>
    <w:rsid w:val="006D3AC6"/>
    <w:rsid w:val="006D461C"/>
    <w:rsid w:val="006D729D"/>
    <w:rsid w:val="006E2062"/>
    <w:rsid w:val="006E4C9F"/>
    <w:rsid w:val="006E4E9E"/>
    <w:rsid w:val="006F0EBE"/>
    <w:rsid w:val="006F34EB"/>
    <w:rsid w:val="006F4064"/>
    <w:rsid w:val="006F569B"/>
    <w:rsid w:val="006F771D"/>
    <w:rsid w:val="006F778B"/>
    <w:rsid w:val="00701DCA"/>
    <w:rsid w:val="00705C2A"/>
    <w:rsid w:val="00713072"/>
    <w:rsid w:val="007133E0"/>
    <w:rsid w:val="00713BCC"/>
    <w:rsid w:val="00715B63"/>
    <w:rsid w:val="007178EF"/>
    <w:rsid w:val="00722FE3"/>
    <w:rsid w:val="00723838"/>
    <w:rsid w:val="00723B53"/>
    <w:rsid w:val="00724607"/>
    <w:rsid w:val="00725D68"/>
    <w:rsid w:val="0072752F"/>
    <w:rsid w:val="0073124C"/>
    <w:rsid w:val="00731D96"/>
    <w:rsid w:val="00732EBF"/>
    <w:rsid w:val="007348D4"/>
    <w:rsid w:val="007349B4"/>
    <w:rsid w:val="00736E68"/>
    <w:rsid w:val="007377DC"/>
    <w:rsid w:val="00740E8C"/>
    <w:rsid w:val="00741C1E"/>
    <w:rsid w:val="00745F95"/>
    <w:rsid w:val="00746546"/>
    <w:rsid w:val="007501A0"/>
    <w:rsid w:val="00752C10"/>
    <w:rsid w:val="00753115"/>
    <w:rsid w:val="00755074"/>
    <w:rsid w:val="00757DC4"/>
    <w:rsid w:val="00760CEC"/>
    <w:rsid w:val="00763A53"/>
    <w:rsid w:val="00765A90"/>
    <w:rsid w:val="0076665C"/>
    <w:rsid w:val="00767401"/>
    <w:rsid w:val="00771163"/>
    <w:rsid w:val="00772065"/>
    <w:rsid w:val="007734CB"/>
    <w:rsid w:val="0077600E"/>
    <w:rsid w:val="00776BBD"/>
    <w:rsid w:val="00780B78"/>
    <w:rsid w:val="007830B6"/>
    <w:rsid w:val="00784706"/>
    <w:rsid w:val="00784907"/>
    <w:rsid w:val="00785D18"/>
    <w:rsid w:val="00786179"/>
    <w:rsid w:val="007944C1"/>
    <w:rsid w:val="00794CD4"/>
    <w:rsid w:val="007A0DDD"/>
    <w:rsid w:val="007A4052"/>
    <w:rsid w:val="007A4658"/>
    <w:rsid w:val="007B0E00"/>
    <w:rsid w:val="007B1650"/>
    <w:rsid w:val="007B2B3F"/>
    <w:rsid w:val="007B32E3"/>
    <w:rsid w:val="007B3BF1"/>
    <w:rsid w:val="007B629E"/>
    <w:rsid w:val="007C0671"/>
    <w:rsid w:val="007C068A"/>
    <w:rsid w:val="007C367B"/>
    <w:rsid w:val="007C4DA7"/>
    <w:rsid w:val="007C6E85"/>
    <w:rsid w:val="007D0364"/>
    <w:rsid w:val="007D0D3B"/>
    <w:rsid w:val="007D39E0"/>
    <w:rsid w:val="007D5168"/>
    <w:rsid w:val="007D53C4"/>
    <w:rsid w:val="007D66A7"/>
    <w:rsid w:val="007D7877"/>
    <w:rsid w:val="007E5CF0"/>
    <w:rsid w:val="007E63EB"/>
    <w:rsid w:val="007E65CE"/>
    <w:rsid w:val="007F29E7"/>
    <w:rsid w:val="007F5ADC"/>
    <w:rsid w:val="007F5C73"/>
    <w:rsid w:val="007F5EA9"/>
    <w:rsid w:val="007F61D0"/>
    <w:rsid w:val="007F72BB"/>
    <w:rsid w:val="00801290"/>
    <w:rsid w:val="008023FC"/>
    <w:rsid w:val="0080291B"/>
    <w:rsid w:val="00803143"/>
    <w:rsid w:val="00804184"/>
    <w:rsid w:val="008049A6"/>
    <w:rsid w:val="00806395"/>
    <w:rsid w:val="00806F74"/>
    <w:rsid w:val="00810B9F"/>
    <w:rsid w:val="008112C4"/>
    <w:rsid w:val="00813033"/>
    <w:rsid w:val="00814582"/>
    <w:rsid w:val="008213F5"/>
    <w:rsid w:val="00822B94"/>
    <w:rsid w:val="00823555"/>
    <w:rsid w:val="008239A5"/>
    <w:rsid w:val="00824CE8"/>
    <w:rsid w:val="00826883"/>
    <w:rsid w:val="00826B11"/>
    <w:rsid w:val="00826BFB"/>
    <w:rsid w:val="00827BEE"/>
    <w:rsid w:val="00831A51"/>
    <w:rsid w:val="00831E9A"/>
    <w:rsid w:val="00832EA2"/>
    <w:rsid w:val="00835ADC"/>
    <w:rsid w:val="00840E80"/>
    <w:rsid w:val="00843C16"/>
    <w:rsid w:val="008474A3"/>
    <w:rsid w:val="0085092C"/>
    <w:rsid w:val="0085345E"/>
    <w:rsid w:val="008547F0"/>
    <w:rsid w:val="008552E9"/>
    <w:rsid w:val="00856315"/>
    <w:rsid w:val="0086080D"/>
    <w:rsid w:val="008610BA"/>
    <w:rsid w:val="00862D04"/>
    <w:rsid w:val="008653B4"/>
    <w:rsid w:val="00865C95"/>
    <w:rsid w:val="008666FF"/>
    <w:rsid w:val="00866B72"/>
    <w:rsid w:val="00867D8E"/>
    <w:rsid w:val="0087019B"/>
    <w:rsid w:val="00871858"/>
    <w:rsid w:val="00872F17"/>
    <w:rsid w:val="00873796"/>
    <w:rsid w:val="008738E9"/>
    <w:rsid w:val="0087428C"/>
    <w:rsid w:val="00874BCB"/>
    <w:rsid w:val="00875CBE"/>
    <w:rsid w:val="008766D7"/>
    <w:rsid w:val="00877E1D"/>
    <w:rsid w:val="00881000"/>
    <w:rsid w:val="00883101"/>
    <w:rsid w:val="00883C92"/>
    <w:rsid w:val="00884811"/>
    <w:rsid w:val="00885A4F"/>
    <w:rsid w:val="008865E1"/>
    <w:rsid w:val="00886B6E"/>
    <w:rsid w:val="00887429"/>
    <w:rsid w:val="008921D0"/>
    <w:rsid w:val="0089423B"/>
    <w:rsid w:val="008A1AFC"/>
    <w:rsid w:val="008A247E"/>
    <w:rsid w:val="008A35C3"/>
    <w:rsid w:val="008A61D7"/>
    <w:rsid w:val="008B1794"/>
    <w:rsid w:val="008B2439"/>
    <w:rsid w:val="008B36AE"/>
    <w:rsid w:val="008B47C4"/>
    <w:rsid w:val="008B5CCF"/>
    <w:rsid w:val="008B6992"/>
    <w:rsid w:val="008C0547"/>
    <w:rsid w:val="008C106F"/>
    <w:rsid w:val="008C3183"/>
    <w:rsid w:val="008C361B"/>
    <w:rsid w:val="008C5F2C"/>
    <w:rsid w:val="008C6B49"/>
    <w:rsid w:val="008D230E"/>
    <w:rsid w:val="008D5430"/>
    <w:rsid w:val="008D779D"/>
    <w:rsid w:val="008E11B6"/>
    <w:rsid w:val="008E4597"/>
    <w:rsid w:val="008E4898"/>
    <w:rsid w:val="008E5275"/>
    <w:rsid w:val="008E66C7"/>
    <w:rsid w:val="008E779D"/>
    <w:rsid w:val="008E7960"/>
    <w:rsid w:val="008F040B"/>
    <w:rsid w:val="008F144C"/>
    <w:rsid w:val="008F28F9"/>
    <w:rsid w:val="008F2AC9"/>
    <w:rsid w:val="008F33DA"/>
    <w:rsid w:val="008F5F3E"/>
    <w:rsid w:val="00900F85"/>
    <w:rsid w:val="0090579A"/>
    <w:rsid w:val="009076D6"/>
    <w:rsid w:val="00910EAC"/>
    <w:rsid w:val="00912015"/>
    <w:rsid w:val="0091241E"/>
    <w:rsid w:val="00914614"/>
    <w:rsid w:val="00914A1E"/>
    <w:rsid w:val="00914E92"/>
    <w:rsid w:val="0093027F"/>
    <w:rsid w:val="009314A9"/>
    <w:rsid w:val="009334E9"/>
    <w:rsid w:val="00935180"/>
    <w:rsid w:val="00936889"/>
    <w:rsid w:val="009400C6"/>
    <w:rsid w:val="00941F02"/>
    <w:rsid w:val="00941FFC"/>
    <w:rsid w:val="00944179"/>
    <w:rsid w:val="00944BE0"/>
    <w:rsid w:val="00944FCC"/>
    <w:rsid w:val="009451E9"/>
    <w:rsid w:val="009468C7"/>
    <w:rsid w:val="00947891"/>
    <w:rsid w:val="00947C8B"/>
    <w:rsid w:val="00947CA7"/>
    <w:rsid w:val="009550B0"/>
    <w:rsid w:val="00957191"/>
    <w:rsid w:val="00957735"/>
    <w:rsid w:val="00964E95"/>
    <w:rsid w:val="0097162B"/>
    <w:rsid w:val="00971722"/>
    <w:rsid w:val="00971F75"/>
    <w:rsid w:val="009735DE"/>
    <w:rsid w:val="009761B0"/>
    <w:rsid w:val="009761C5"/>
    <w:rsid w:val="009805C4"/>
    <w:rsid w:val="00983712"/>
    <w:rsid w:val="00986219"/>
    <w:rsid w:val="00986D0F"/>
    <w:rsid w:val="00990688"/>
    <w:rsid w:val="00992EAF"/>
    <w:rsid w:val="0099410D"/>
    <w:rsid w:val="009941AE"/>
    <w:rsid w:val="0099652C"/>
    <w:rsid w:val="00996565"/>
    <w:rsid w:val="00996A3B"/>
    <w:rsid w:val="009A070B"/>
    <w:rsid w:val="009A16CC"/>
    <w:rsid w:val="009A1DDE"/>
    <w:rsid w:val="009A3C79"/>
    <w:rsid w:val="009A59C0"/>
    <w:rsid w:val="009A6639"/>
    <w:rsid w:val="009B01C2"/>
    <w:rsid w:val="009B131A"/>
    <w:rsid w:val="009B1F0F"/>
    <w:rsid w:val="009B21DB"/>
    <w:rsid w:val="009B2503"/>
    <w:rsid w:val="009B2E9F"/>
    <w:rsid w:val="009B46BF"/>
    <w:rsid w:val="009C0DEE"/>
    <w:rsid w:val="009C56FD"/>
    <w:rsid w:val="009C6314"/>
    <w:rsid w:val="009C76FA"/>
    <w:rsid w:val="009D0B55"/>
    <w:rsid w:val="009D1372"/>
    <w:rsid w:val="009D4035"/>
    <w:rsid w:val="009D4BB4"/>
    <w:rsid w:val="009D5799"/>
    <w:rsid w:val="009D738D"/>
    <w:rsid w:val="009E0CB2"/>
    <w:rsid w:val="009E1CFE"/>
    <w:rsid w:val="009E32FB"/>
    <w:rsid w:val="009F0E1C"/>
    <w:rsid w:val="009F2932"/>
    <w:rsid w:val="009F2AEF"/>
    <w:rsid w:val="009F4CBE"/>
    <w:rsid w:val="009F5F84"/>
    <w:rsid w:val="009F69C9"/>
    <w:rsid w:val="009F6DC7"/>
    <w:rsid w:val="009F6E16"/>
    <w:rsid w:val="00A00C09"/>
    <w:rsid w:val="00A01C48"/>
    <w:rsid w:val="00A0285E"/>
    <w:rsid w:val="00A02F9A"/>
    <w:rsid w:val="00A032F0"/>
    <w:rsid w:val="00A03496"/>
    <w:rsid w:val="00A040A1"/>
    <w:rsid w:val="00A0425E"/>
    <w:rsid w:val="00A046BD"/>
    <w:rsid w:val="00A0588F"/>
    <w:rsid w:val="00A060D7"/>
    <w:rsid w:val="00A078DD"/>
    <w:rsid w:val="00A108EC"/>
    <w:rsid w:val="00A11E23"/>
    <w:rsid w:val="00A14494"/>
    <w:rsid w:val="00A1454C"/>
    <w:rsid w:val="00A14625"/>
    <w:rsid w:val="00A15BF7"/>
    <w:rsid w:val="00A1612B"/>
    <w:rsid w:val="00A16349"/>
    <w:rsid w:val="00A20795"/>
    <w:rsid w:val="00A22053"/>
    <w:rsid w:val="00A22818"/>
    <w:rsid w:val="00A23580"/>
    <w:rsid w:val="00A267D9"/>
    <w:rsid w:val="00A277E5"/>
    <w:rsid w:val="00A27BEE"/>
    <w:rsid w:val="00A308DD"/>
    <w:rsid w:val="00A31919"/>
    <w:rsid w:val="00A31C4A"/>
    <w:rsid w:val="00A3281E"/>
    <w:rsid w:val="00A35B1B"/>
    <w:rsid w:val="00A376E3"/>
    <w:rsid w:val="00A413F9"/>
    <w:rsid w:val="00A41457"/>
    <w:rsid w:val="00A422BE"/>
    <w:rsid w:val="00A42760"/>
    <w:rsid w:val="00A44687"/>
    <w:rsid w:val="00A44E22"/>
    <w:rsid w:val="00A45F92"/>
    <w:rsid w:val="00A52702"/>
    <w:rsid w:val="00A52EBC"/>
    <w:rsid w:val="00A55BC4"/>
    <w:rsid w:val="00A6538A"/>
    <w:rsid w:val="00A71220"/>
    <w:rsid w:val="00A73393"/>
    <w:rsid w:val="00A73ECE"/>
    <w:rsid w:val="00A74058"/>
    <w:rsid w:val="00A74E0F"/>
    <w:rsid w:val="00A75D9D"/>
    <w:rsid w:val="00A763EF"/>
    <w:rsid w:val="00A81370"/>
    <w:rsid w:val="00A81701"/>
    <w:rsid w:val="00A82B1B"/>
    <w:rsid w:val="00A85A92"/>
    <w:rsid w:val="00A85B6A"/>
    <w:rsid w:val="00A8639D"/>
    <w:rsid w:val="00A87386"/>
    <w:rsid w:val="00A90071"/>
    <w:rsid w:val="00A90DC7"/>
    <w:rsid w:val="00A93242"/>
    <w:rsid w:val="00A953D1"/>
    <w:rsid w:val="00A96D2C"/>
    <w:rsid w:val="00A97B49"/>
    <w:rsid w:val="00AA170B"/>
    <w:rsid w:val="00AA3B80"/>
    <w:rsid w:val="00AA4970"/>
    <w:rsid w:val="00AA756E"/>
    <w:rsid w:val="00AA79BA"/>
    <w:rsid w:val="00AA7BDD"/>
    <w:rsid w:val="00AB01D2"/>
    <w:rsid w:val="00AB152D"/>
    <w:rsid w:val="00AB156E"/>
    <w:rsid w:val="00AB1736"/>
    <w:rsid w:val="00AB56C0"/>
    <w:rsid w:val="00AB7F68"/>
    <w:rsid w:val="00AC0496"/>
    <w:rsid w:val="00AC0F2E"/>
    <w:rsid w:val="00AC261B"/>
    <w:rsid w:val="00AC7D43"/>
    <w:rsid w:val="00AD113B"/>
    <w:rsid w:val="00AD1D9F"/>
    <w:rsid w:val="00AD1DC3"/>
    <w:rsid w:val="00AD28B8"/>
    <w:rsid w:val="00AD2FAB"/>
    <w:rsid w:val="00AD449A"/>
    <w:rsid w:val="00AD7CA4"/>
    <w:rsid w:val="00AE0F3F"/>
    <w:rsid w:val="00AE2AF8"/>
    <w:rsid w:val="00AE4F01"/>
    <w:rsid w:val="00AE5261"/>
    <w:rsid w:val="00AE6106"/>
    <w:rsid w:val="00AE6937"/>
    <w:rsid w:val="00AF1045"/>
    <w:rsid w:val="00AF1CD2"/>
    <w:rsid w:val="00AF2EA4"/>
    <w:rsid w:val="00AF555D"/>
    <w:rsid w:val="00AF607C"/>
    <w:rsid w:val="00B00C5B"/>
    <w:rsid w:val="00B0127E"/>
    <w:rsid w:val="00B02677"/>
    <w:rsid w:val="00B0302A"/>
    <w:rsid w:val="00B04AAC"/>
    <w:rsid w:val="00B077C1"/>
    <w:rsid w:val="00B1026F"/>
    <w:rsid w:val="00B161FE"/>
    <w:rsid w:val="00B177C5"/>
    <w:rsid w:val="00B21060"/>
    <w:rsid w:val="00B22688"/>
    <w:rsid w:val="00B23FC4"/>
    <w:rsid w:val="00B25A7C"/>
    <w:rsid w:val="00B25CDA"/>
    <w:rsid w:val="00B2717B"/>
    <w:rsid w:val="00B3207B"/>
    <w:rsid w:val="00B3678A"/>
    <w:rsid w:val="00B36814"/>
    <w:rsid w:val="00B415AA"/>
    <w:rsid w:val="00B4171D"/>
    <w:rsid w:val="00B42249"/>
    <w:rsid w:val="00B440D8"/>
    <w:rsid w:val="00B46217"/>
    <w:rsid w:val="00B505C8"/>
    <w:rsid w:val="00B508E8"/>
    <w:rsid w:val="00B50F17"/>
    <w:rsid w:val="00B51BF9"/>
    <w:rsid w:val="00B54D9B"/>
    <w:rsid w:val="00B60273"/>
    <w:rsid w:val="00B60F70"/>
    <w:rsid w:val="00B63D9C"/>
    <w:rsid w:val="00B64D51"/>
    <w:rsid w:val="00B654A8"/>
    <w:rsid w:val="00B665B5"/>
    <w:rsid w:val="00B71CCD"/>
    <w:rsid w:val="00B740A1"/>
    <w:rsid w:val="00B75742"/>
    <w:rsid w:val="00B76588"/>
    <w:rsid w:val="00B80F93"/>
    <w:rsid w:val="00B828A4"/>
    <w:rsid w:val="00B85A9E"/>
    <w:rsid w:val="00B87547"/>
    <w:rsid w:val="00B92711"/>
    <w:rsid w:val="00B93144"/>
    <w:rsid w:val="00B93616"/>
    <w:rsid w:val="00B94023"/>
    <w:rsid w:val="00B95BD9"/>
    <w:rsid w:val="00B96882"/>
    <w:rsid w:val="00B96BC1"/>
    <w:rsid w:val="00BA03C1"/>
    <w:rsid w:val="00BA1D96"/>
    <w:rsid w:val="00BA4133"/>
    <w:rsid w:val="00BA777E"/>
    <w:rsid w:val="00BB2B50"/>
    <w:rsid w:val="00BB31C7"/>
    <w:rsid w:val="00BB4EBD"/>
    <w:rsid w:val="00BB5963"/>
    <w:rsid w:val="00BB5BEE"/>
    <w:rsid w:val="00BB63E1"/>
    <w:rsid w:val="00BB748C"/>
    <w:rsid w:val="00BB7A1A"/>
    <w:rsid w:val="00BC1066"/>
    <w:rsid w:val="00BC1142"/>
    <w:rsid w:val="00BC11F0"/>
    <w:rsid w:val="00BC2A6B"/>
    <w:rsid w:val="00BC49AA"/>
    <w:rsid w:val="00BC5DB6"/>
    <w:rsid w:val="00BC5DFB"/>
    <w:rsid w:val="00BC6D55"/>
    <w:rsid w:val="00BD1063"/>
    <w:rsid w:val="00BD1468"/>
    <w:rsid w:val="00BD3065"/>
    <w:rsid w:val="00BD3083"/>
    <w:rsid w:val="00BD587F"/>
    <w:rsid w:val="00BD762B"/>
    <w:rsid w:val="00BE15BC"/>
    <w:rsid w:val="00BE1641"/>
    <w:rsid w:val="00BE416B"/>
    <w:rsid w:val="00BE43C6"/>
    <w:rsid w:val="00BE4584"/>
    <w:rsid w:val="00BF058B"/>
    <w:rsid w:val="00BF2A32"/>
    <w:rsid w:val="00BF31AC"/>
    <w:rsid w:val="00BF3F96"/>
    <w:rsid w:val="00BF5372"/>
    <w:rsid w:val="00BF64F4"/>
    <w:rsid w:val="00BF6953"/>
    <w:rsid w:val="00C00BAB"/>
    <w:rsid w:val="00C01C39"/>
    <w:rsid w:val="00C025E8"/>
    <w:rsid w:val="00C03CB7"/>
    <w:rsid w:val="00C03EFD"/>
    <w:rsid w:val="00C0402B"/>
    <w:rsid w:val="00C04A58"/>
    <w:rsid w:val="00C04E53"/>
    <w:rsid w:val="00C063B5"/>
    <w:rsid w:val="00C10CA3"/>
    <w:rsid w:val="00C11E2F"/>
    <w:rsid w:val="00C138DC"/>
    <w:rsid w:val="00C13AB4"/>
    <w:rsid w:val="00C14A29"/>
    <w:rsid w:val="00C155D8"/>
    <w:rsid w:val="00C15810"/>
    <w:rsid w:val="00C20B27"/>
    <w:rsid w:val="00C21B05"/>
    <w:rsid w:val="00C21D8F"/>
    <w:rsid w:val="00C241CF"/>
    <w:rsid w:val="00C2529C"/>
    <w:rsid w:val="00C252A4"/>
    <w:rsid w:val="00C27DBD"/>
    <w:rsid w:val="00C3056C"/>
    <w:rsid w:val="00C324E5"/>
    <w:rsid w:val="00C3377C"/>
    <w:rsid w:val="00C3504A"/>
    <w:rsid w:val="00C3536E"/>
    <w:rsid w:val="00C36401"/>
    <w:rsid w:val="00C36C33"/>
    <w:rsid w:val="00C379DE"/>
    <w:rsid w:val="00C419AC"/>
    <w:rsid w:val="00C42287"/>
    <w:rsid w:val="00C44CC6"/>
    <w:rsid w:val="00C46DEF"/>
    <w:rsid w:val="00C476DA"/>
    <w:rsid w:val="00C50492"/>
    <w:rsid w:val="00C524E1"/>
    <w:rsid w:val="00C53AA8"/>
    <w:rsid w:val="00C60143"/>
    <w:rsid w:val="00C606DC"/>
    <w:rsid w:val="00C635F9"/>
    <w:rsid w:val="00C65692"/>
    <w:rsid w:val="00C662A2"/>
    <w:rsid w:val="00C67409"/>
    <w:rsid w:val="00C70438"/>
    <w:rsid w:val="00C704EE"/>
    <w:rsid w:val="00C7066F"/>
    <w:rsid w:val="00C70C9F"/>
    <w:rsid w:val="00C72E1F"/>
    <w:rsid w:val="00C74BF5"/>
    <w:rsid w:val="00C77A96"/>
    <w:rsid w:val="00C82E43"/>
    <w:rsid w:val="00C846A3"/>
    <w:rsid w:val="00C850C7"/>
    <w:rsid w:val="00C91F89"/>
    <w:rsid w:val="00C92EF7"/>
    <w:rsid w:val="00C94E36"/>
    <w:rsid w:val="00CA2C16"/>
    <w:rsid w:val="00CA2D29"/>
    <w:rsid w:val="00CA3A0C"/>
    <w:rsid w:val="00CB024B"/>
    <w:rsid w:val="00CB1B1F"/>
    <w:rsid w:val="00CB2A35"/>
    <w:rsid w:val="00CB3E4F"/>
    <w:rsid w:val="00CB502A"/>
    <w:rsid w:val="00CB54F2"/>
    <w:rsid w:val="00CB6473"/>
    <w:rsid w:val="00CB79B1"/>
    <w:rsid w:val="00CC1C4F"/>
    <w:rsid w:val="00CC3068"/>
    <w:rsid w:val="00CC37E8"/>
    <w:rsid w:val="00CC3BDE"/>
    <w:rsid w:val="00CC6287"/>
    <w:rsid w:val="00CC7AD4"/>
    <w:rsid w:val="00CD0ABC"/>
    <w:rsid w:val="00CD38EA"/>
    <w:rsid w:val="00CD7715"/>
    <w:rsid w:val="00CD7920"/>
    <w:rsid w:val="00CE0A11"/>
    <w:rsid w:val="00CE0E57"/>
    <w:rsid w:val="00CE1C4B"/>
    <w:rsid w:val="00CE1DFA"/>
    <w:rsid w:val="00CE2845"/>
    <w:rsid w:val="00CE3FB1"/>
    <w:rsid w:val="00CE4615"/>
    <w:rsid w:val="00CE531B"/>
    <w:rsid w:val="00CE6215"/>
    <w:rsid w:val="00CE7930"/>
    <w:rsid w:val="00CF3768"/>
    <w:rsid w:val="00CF641B"/>
    <w:rsid w:val="00CF7841"/>
    <w:rsid w:val="00CF7C3C"/>
    <w:rsid w:val="00CF7C8F"/>
    <w:rsid w:val="00CF7EB1"/>
    <w:rsid w:val="00D021F9"/>
    <w:rsid w:val="00D02CF7"/>
    <w:rsid w:val="00D034B1"/>
    <w:rsid w:val="00D05761"/>
    <w:rsid w:val="00D06BA0"/>
    <w:rsid w:val="00D07657"/>
    <w:rsid w:val="00D10D27"/>
    <w:rsid w:val="00D1286F"/>
    <w:rsid w:val="00D1348C"/>
    <w:rsid w:val="00D137C2"/>
    <w:rsid w:val="00D14387"/>
    <w:rsid w:val="00D1796B"/>
    <w:rsid w:val="00D2343C"/>
    <w:rsid w:val="00D23FA9"/>
    <w:rsid w:val="00D30F5F"/>
    <w:rsid w:val="00D321C5"/>
    <w:rsid w:val="00D3533D"/>
    <w:rsid w:val="00D41130"/>
    <w:rsid w:val="00D41834"/>
    <w:rsid w:val="00D42924"/>
    <w:rsid w:val="00D43E59"/>
    <w:rsid w:val="00D45457"/>
    <w:rsid w:val="00D475A7"/>
    <w:rsid w:val="00D478F2"/>
    <w:rsid w:val="00D5070B"/>
    <w:rsid w:val="00D50B69"/>
    <w:rsid w:val="00D51D8D"/>
    <w:rsid w:val="00D634BE"/>
    <w:rsid w:val="00D7017B"/>
    <w:rsid w:val="00D701B8"/>
    <w:rsid w:val="00D71846"/>
    <w:rsid w:val="00D7285C"/>
    <w:rsid w:val="00D72BD8"/>
    <w:rsid w:val="00D7328A"/>
    <w:rsid w:val="00D742DD"/>
    <w:rsid w:val="00D74673"/>
    <w:rsid w:val="00D7507F"/>
    <w:rsid w:val="00D751E0"/>
    <w:rsid w:val="00D75417"/>
    <w:rsid w:val="00D7571C"/>
    <w:rsid w:val="00D7586A"/>
    <w:rsid w:val="00D76262"/>
    <w:rsid w:val="00D839A8"/>
    <w:rsid w:val="00D83D42"/>
    <w:rsid w:val="00D86EC0"/>
    <w:rsid w:val="00D9045D"/>
    <w:rsid w:val="00D94DBF"/>
    <w:rsid w:val="00D95528"/>
    <w:rsid w:val="00D97126"/>
    <w:rsid w:val="00DA15AE"/>
    <w:rsid w:val="00DA1944"/>
    <w:rsid w:val="00DA3345"/>
    <w:rsid w:val="00DA41DE"/>
    <w:rsid w:val="00DA64CC"/>
    <w:rsid w:val="00DA7267"/>
    <w:rsid w:val="00DB33C4"/>
    <w:rsid w:val="00DB5B12"/>
    <w:rsid w:val="00DB5CC7"/>
    <w:rsid w:val="00DB69F6"/>
    <w:rsid w:val="00DB6B24"/>
    <w:rsid w:val="00DC2BDF"/>
    <w:rsid w:val="00DC30DE"/>
    <w:rsid w:val="00DC63B8"/>
    <w:rsid w:val="00DC717A"/>
    <w:rsid w:val="00DD29DD"/>
    <w:rsid w:val="00DD31DB"/>
    <w:rsid w:val="00DD37FA"/>
    <w:rsid w:val="00DD48C2"/>
    <w:rsid w:val="00DD6010"/>
    <w:rsid w:val="00DE0823"/>
    <w:rsid w:val="00DE0CCE"/>
    <w:rsid w:val="00DE1DA1"/>
    <w:rsid w:val="00DE262F"/>
    <w:rsid w:val="00DE5BC7"/>
    <w:rsid w:val="00DE5D1D"/>
    <w:rsid w:val="00DE6676"/>
    <w:rsid w:val="00DE6E15"/>
    <w:rsid w:val="00DF0E7C"/>
    <w:rsid w:val="00DF4390"/>
    <w:rsid w:val="00DF7CC3"/>
    <w:rsid w:val="00E00215"/>
    <w:rsid w:val="00E02B06"/>
    <w:rsid w:val="00E0427A"/>
    <w:rsid w:val="00E04627"/>
    <w:rsid w:val="00E06640"/>
    <w:rsid w:val="00E07821"/>
    <w:rsid w:val="00E10857"/>
    <w:rsid w:val="00E10AA7"/>
    <w:rsid w:val="00E11F64"/>
    <w:rsid w:val="00E1240A"/>
    <w:rsid w:val="00E13517"/>
    <w:rsid w:val="00E144CB"/>
    <w:rsid w:val="00E15101"/>
    <w:rsid w:val="00E15575"/>
    <w:rsid w:val="00E16486"/>
    <w:rsid w:val="00E16949"/>
    <w:rsid w:val="00E20438"/>
    <w:rsid w:val="00E20804"/>
    <w:rsid w:val="00E20DD7"/>
    <w:rsid w:val="00E22366"/>
    <w:rsid w:val="00E24722"/>
    <w:rsid w:val="00E24CCC"/>
    <w:rsid w:val="00E24DC6"/>
    <w:rsid w:val="00E25E88"/>
    <w:rsid w:val="00E263C3"/>
    <w:rsid w:val="00E265C7"/>
    <w:rsid w:val="00E267F0"/>
    <w:rsid w:val="00E31A25"/>
    <w:rsid w:val="00E3409C"/>
    <w:rsid w:val="00E345D7"/>
    <w:rsid w:val="00E35D77"/>
    <w:rsid w:val="00E375E6"/>
    <w:rsid w:val="00E40215"/>
    <w:rsid w:val="00E414A3"/>
    <w:rsid w:val="00E41E5E"/>
    <w:rsid w:val="00E41F04"/>
    <w:rsid w:val="00E42841"/>
    <w:rsid w:val="00E440B9"/>
    <w:rsid w:val="00E4425C"/>
    <w:rsid w:val="00E4447E"/>
    <w:rsid w:val="00E44C5E"/>
    <w:rsid w:val="00E55C37"/>
    <w:rsid w:val="00E6381E"/>
    <w:rsid w:val="00E67A6B"/>
    <w:rsid w:val="00E7131F"/>
    <w:rsid w:val="00E72721"/>
    <w:rsid w:val="00E740F2"/>
    <w:rsid w:val="00E74ADE"/>
    <w:rsid w:val="00E76659"/>
    <w:rsid w:val="00E76C5F"/>
    <w:rsid w:val="00E81ABB"/>
    <w:rsid w:val="00E834DF"/>
    <w:rsid w:val="00E83888"/>
    <w:rsid w:val="00E839A1"/>
    <w:rsid w:val="00E83B82"/>
    <w:rsid w:val="00E85179"/>
    <w:rsid w:val="00E92A9C"/>
    <w:rsid w:val="00E937B5"/>
    <w:rsid w:val="00E96235"/>
    <w:rsid w:val="00E9632D"/>
    <w:rsid w:val="00E96A81"/>
    <w:rsid w:val="00E9756F"/>
    <w:rsid w:val="00E97669"/>
    <w:rsid w:val="00EA1987"/>
    <w:rsid w:val="00EA1B8C"/>
    <w:rsid w:val="00EA2141"/>
    <w:rsid w:val="00EA540C"/>
    <w:rsid w:val="00EA7A8C"/>
    <w:rsid w:val="00EB00E6"/>
    <w:rsid w:val="00EB3514"/>
    <w:rsid w:val="00EB45E9"/>
    <w:rsid w:val="00EB5151"/>
    <w:rsid w:val="00EC0954"/>
    <w:rsid w:val="00EC22F2"/>
    <w:rsid w:val="00EC653F"/>
    <w:rsid w:val="00ED01B0"/>
    <w:rsid w:val="00ED09B1"/>
    <w:rsid w:val="00ED0A58"/>
    <w:rsid w:val="00ED0D4C"/>
    <w:rsid w:val="00ED177C"/>
    <w:rsid w:val="00ED301A"/>
    <w:rsid w:val="00ED5CE6"/>
    <w:rsid w:val="00EE1D16"/>
    <w:rsid w:val="00EE64D7"/>
    <w:rsid w:val="00EE753A"/>
    <w:rsid w:val="00EE7633"/>
    <w:rsid w:val="00EF09BF"/>
    <w:rsid w:val="00EF1F16"/>
    <w:rsid w:val="00EF37E6"/>
    <w:rsid w:val="00EF49D9"/>
    <w:rsid w:val="00EF5C8A"/>
    <w:rsid w:val="00F00A09"/>
    <w:rsid w:val="00F02815"/>
    <w:rsid w:val="00F02BBA"/>
    <w:rsid w:val="00F05A09"/>
    <w:rsid w:val="00F05FFE"/>
    <w:rsid w:val="00F066E4"/>
    <w:rsid w:val="00F10DD7"/>
    <w:rsid w:val="00F10E7A"/>
    <w:rsid w:val="00F14FA8"/>
    <w:rsid w:val="00F1531B"/>
    <w:rsid w:val="00F15507"/>
    <w:rsid w:val="00F21F7E"/>
    <w:rsid w:val="00F24DE3"/>
    <w:rsid w:val="00F255AD"/>
    <w:rsid w:val="00F2593B"/>
    <w:rsid w:val="00F266DB"/>
    <w:rsid w:val="00F27058"/>
    <w:rsid w:val="00F27B6C"/>
    <w:rsid w:val="00F27DB6"/>
    <w:rsid w:val="00F304FC"/>
    <w:rsid w:val="00F340C3"/>
    <w:rsid w:val="00F40C99"/>
    <w:rsid w:val="00F4181B"/>
    <w:rsid w:val="00F43667"/>
    <w:rsid w:val="00F4497E"/>
    <w:rsid w:val="00F44F12"/>
    <w:rsid w:val="00F4798A"/>
    <w:rsid w:val="00F50CD2"/>
    <w:rsid w:val="00F51FE7"/>
    <w:rsid w:val="00F5229B"/>
    <w:rsid w:val="00F556AF"/>
    <w:rsid w:val="00F57C71"/>
    <w:rsid w:val="00F67660"/>
    <w:rsid w:val="00F67B22"/>
    <w:rsid w:val="00F81B59"/>
    <w:rsid w:val="00F82AAB"/>
    <w:rsid w:val="00F8483C"/>
    <w:rsid w:val="00F85C33"/>
    <w:rsid w:val="00F902A8"/>
    <w:rsid w:val="00F93C8F"/>
    <w:rsid w:val="00FA087D"/>
    <w:rsid w:val="00FA139B"/>
    <w:rsid w:val="00FA3E80"/>
    <w:rsid w:val="00FA4B6D"/>
    <w:rsid w:val="00FA5D08"/>
    <w:rsid w:val="00FA5D5E"/>
    <w:rsid w:val="00FA79F9"/>
    <w:rsid w:val="00FB119E"/>
    <w:rsid w:val="00FB18CD"/>
    <w:rsid w:val="00FB4C2B"/>
    <w:rsid w:val="00FB591D"/>
    <w:rsid w:val="00FB6473"/>
    <w:rsid w:val="00FB6E89"/>
    <w:rsid w:val="00FC0514"/>
    <w:rsid w:val="00FC1E49"/>
    <w:rsid w:val="00FC28CA"/>
    <w:rsid w:val="00FC2E89"/>
    <w:rsid w:val="00FC40C4"/>
    <w:rsid w:val="00FC456A"/>
    <w:rsid w:val="00FC5304"/>
    <w:rsid w:val="00FC5D42"/>
    <w:rsid w:val="00FC6CD4"/>
    <w:rsid w:val="00FC79B4"/>
    <w:rsid w:val="00FC7EA4"/>
    <w:rsid w:val="00FD09AD"/>
    <w:rsid w:val="00FD22A7"/>
    <w:rsid w:val="00FD48F5"/>
    <w:rsid w:val="00FD6A93"/>
    <w:rsid w:val="00FE2D1E"/>
    <w:rsid w:val="00FE52BF"/>
    <w:rsid w:val="00FE7203"/>
    <w:rsid w:val="00FF305A"/>
    <w:rsid w:val="00FF3877"/>
    <w:rsid w:val="00FF483D"/>
    <w:rsid w:val="00FF48F6"/>
    <w:rsid w:val="00FF5418"/>
    <w:rsid w:val="00FF7C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7AA9"/>
  <w15:docId w15:val="{14A48A04-7AB6-4600-9545-9F945BA8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MS Mincho" w:hAnsi="Calibri" w:cs="Times New Roman"/>
        <w:lang w:val="en-GB" w:eastAsia="en-GB" w:bidi="ar-SA"/>
      </w:rPr>
    </w:rPrDefault>
    <w:pPrDefault>
      <w:pPr>
        <w:spacing w:after="120" w:line="360" w:lineRule="auto"/>
        <w:ind w:firstLine="204"/>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2E1F"/>
    <w:rPr>
      <w:rFonts w:ascii="Times New Roman" w:eastAsia="Times New Roman" w:hAnsi="Times New Roman"/>
      <w:sz w:val="24"/>
      <w:szCs w:val="24"/>
    </w:rPr>
  </w:style>
  <w:style w:type="paragraph" w:styleId="Heading1">
    <w:name w:val="heading 1"/>
    <w:basedOn w:val="Normal"/>
    <w:next w:val="Normal"/>
    <w:link w:val="Heading1Char"/>
    <w:uiPriority w:val="9"/>
    <w:qFormat/>
    <w:rsid w:val="005C35A3"/>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803143"/>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0314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3143"/>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803143"/>
    <w:rPr>
      <w:rFonts w:ascii="Times New Roman" w:eastAsia="Times New Roman" w:hAnsi="Times New Roman"/>
      <w:b/>
      <w:bCs/>
      <w:sz w:val="27"/>
      <w:szCs w:val="27"/>
    </w:rPr>
  </w:style>
  <w:style w:type="paragraph" w:styleId="NormalWeb">
    <w:name w:val="Normal (Web)"/>
    <w:basedOn w:val="Normal"/>
    <w:uiPriority w:val="99"/>
    <w:semiHidden/>
    <w:unhideWhenUsed/>
    <w:rsid w:val="00803143"/>
    <w:pPr>
      <w:spacing w:before="100" w:beforeAutospacing="1" w:after="100" w:afterAutospacing="1"/>
    </w:pPr>
  </w:style>
  <w:style w:type="character" w:styleId="Hyperlink">
    <w:name w:val="Hyperlink"/>
    <w:uiPriority w:val="99"/>
    <w:unhideWhenUsed/>
    <w:rsid w:val="00803143"/>
    <w:rPr>
      <w:color w:val="0000FF"/>
      <w:u w:val="single"/>
    </w:rPr>
  </w:style>
  <w:style w:type="paragraph" w:styleId="FootnoteText">
    <w:name w:val="footnote text"/>
    <w:basedOn w:val="Normal"/>
    <w:link w:val="FootnoteTextChar"/>
    <w:uiPriority w:val="99"/>
    <w:semiHidden/>
    <w:unhideWhenUsed/>
    <w:rsid w:val="003E5532"/>
    <w:rPr>
      <w:sz w:val="20"/>
      <w:szCs w:val="20"/>
    </w:rPr>
  </w:style>
  <w:style w:type="character" w:customStyle="1" w:styleId="FootnoteTextChar">
    <w:name w:val="Footnote Text Char"/>
    <w:basedOn w:val="DefaultParagraphFont"/>
    <w:link w:val="FootnoteText"/>
    <w:uiPriority w:val="99"/>
    <w:semiHidden/>
    <w:rsid w:val="003E5532"/>
    <w:rPr>
      <w:lang w:eastAsia="en-US"/>
    </w:rPr>
  </w:style>
  <w:style w:type="character" w:styleId="FootnoteReference">
    <w:name w:val="footnote reference"/>
    <w:basedOn w:val="DefaultParagraphFont"/>
    <w:uiPriority w:val="99"/>
    <w:semiHidden/>
    <w:unhideWhenUsed/>
    <w:rsid w:val="003E5532"/>
    <w:rPr>
      <w:vertAlign w:val="superscript"/>
    </w:rPr>
  </w:style>
  <w:style w:type="character" w:styleId="CommentReference">
    <w:name w:val="annotation reference"/>
    <w:basedOn w:val="DefaultParagraphFont"/>
    <w:uiPriority w:val="99"/>
    <w:semiHidden/>
    <w:unhideWhenUsed/>
    <w:rsid w:val="00824CE8"/>
    <w:rPr>
      <w:sz w:val="16"/>
      <w:szCs w:val="16"/>
    </w:rPr>
  </w:style>
  <w:style w:type="paragraph" w:styleId="CommentText">
    <w:name w:val="annotation text"/>
    <w:basedOn w:val="Normal"/>
    <w:link w:val="CommentTextChar"/>
    <w:uiPriority w:val="99"/>
    <w:unhideWhenUsed/>
    <w:rsid w:val="00824CE8"/>
    <w:rPr>
      <w:sz w:val="20"/>
      <w:szCs w:val="20"/>
    </w:rPr>
  </w:style>
  <w:style w:type="character" w:customStyle="1" w:styleId="CommentTextChar">
    <w:name w:val="Comment Text Char"/>
    <w:basedOn w:val="DefaultParagraphFont"/>
    <w:link w:val="CommentText"/>
    <w:uiPriority w:val="99"/>
    <w:rsid w:val="00824CE8"/>
    <w:rPr>
      <w:lang w:eastAsia="en-US"/>
    </w:rPr>
  </w:style>
  <w:style w:type="paragraph" w:styleId="CommentSubject">
    <w:name w:val="annotation subject"/>
    <w:basedOn w:val="CommentText"/>
    <w:next w:val="CommentText"/>
    <w:link w:val="CommentSubjectChar"/>
    <w:uiPriority w:val="99"/>
    <w:semiHidden/>
    <w:unhideWhenUsed/>
    <w:rsid w:val="00824CE8"/>
    <w:rPr>
      <w:b/>
      <w:bCs/>
    </w:rPr>
  </w:style>
  <w:style w:type="character" w:customStyle="1" w:styleId="CommentSubjectChar">
    <w:name w:val="Comment Subject Char"/>
    <w:basedOn w:val="CommentTextChar"/>
    <w:link w:val="CommentSubject"/>
    <w:uiPriority w:val="99"/>
    <w:semiHidden/>
    <w:rsid w:val="00824CE8"/>
    <w:rPr>
      <w:b/>
      <w:bCs/>
      <w:lang w:eastAsia="en-US"/>
    </w:rPr>
  </w:style>
  <w:style w:type="paragraph" w:styleId="BalloonText">
    <w:name w:val="Balloon Text"/>
    <w:basedOn w:val="Normal"/>
    <w:link w:val="BalloonTextChar"/>
    <w:uiPriority w:val="99"/>
    <w:semiHidden/>
    <w:unhideWhenUsed/>
    <w:rsid w:val="00824C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CE8"/>
    <w:rPr>
      <w:rFonts w:ascii="Segoe UI" w:hAnsi="Segoe UI" w:cs="Segoe UI"/>
      <w:sz w:val="18"/>
      <w:szCs w:val="18"/>
      <w:lang w:eastAsia="en-US"/>
    </w:rPr>
  </w:style>
  <w:style w:type="paragraph" w:styleId="ListParagraph">
    <w:name w:val="List Paragraph"/>
    <w:basedOn w:val="Normal"/>
    <w:uiPriority w:val="34"/>
    <w:qFormat/>
    <w:rsid w:val="007F5C73"/>
    <w:pPr>
      <w:ind w:left="720"/>
      <w:contextualSpacing/>
    </w:pPr>
  </w:style>
  <w:style w:type="character" w:customStyle="1" w:styleId="Heading1Char">
    <w:name w:val="Heading 1 Char"/>
    <w:basedOn w:val="DefaultParagraphFont"/>
    <w:link w:val="Heading1"/>
    <w:uiPriority w:val="9"/>
    <w:rsid w:val="005C35A3"/>
    <w:rPr>
      <w:rFonts w:asciiTheme="majorHAnsi" w:eastAsiaTheme="majorEastAsia" w:hAnsiTheme="majorHAnsi" w:cstheme="majorBidi"/>
      <w:b/>
      <w:bCs/>
      <w:color w:val="2E74B5" w:themeColor="accent1" w:themeShade="BF"/>
      <w:sz w:val="28"/>
      <w:szCs w:val="28"/>
    </w:rPr>
  </w:style>
  <w:style w:type="paragraph" w:styleId="Revision">
    <w:name w:val="Revision"/>
    <w:hidden/>
    <w:uiPriority w:val="99"/>
    <w:semiHidden/>
    <w:rsid w:val="00571C68"/>
    <w:rPr>
      <w:rFonts w:ascii="Times New Roman" w:eastAsia="Times New Roman" w:hAnsi="Times New Roman"/>
      <w:sz w:val="24"/>
      <w:szCs w:val="24"/>
    </w:rPr>
  </w:style>
  <w:style w:type="character" w:styleId="Strong">
    <w:name w:val="Strong"/>
    <w:basedOn w:val="DefaultParagraphFont"/>
    <w:uiPriority w:val="22"/>
    <w:qFormat/>
    <w:rsid w:val="00146FDB"/>
    <w:rPr>
      <w:b/>
      <w:bCs/>
    </w:rPr>
  </w:style>
  <w:style w:type="numbering" w:customStyle="1" w:styleId="Singlepunch">
    <w:name w:val="Single punch"/>
    <w:rsid w:val="00856315"/>
    <w:pPr>
      <w:numPr>
        <w:numId w:val="9"/>
      </w:numPr>
    </w:pPr>
  </w:style>
  <w:style w:type="paragraph" w:customStyle="1" w:styleId="QDisplayLogic">
    <w:name w:val="QDisplayLogic"/>
    <w:basedOn w:val="Normal"/>
    <w:qFormat/>
    <w:rsid w:val="00856315"/>
    <w:pPr>
      <w:shd w:val="clear" w:color="auto" w:fill="C5DCFF"/>
      <w:spacing w:line="276" w:lineRule="auto"/>
    </w:pPr>
    <w:rPr>
      <w:rFonts w:asciiTheme="minorHAnsi" w:eastAsiaTheme="minorEastAsia" w:hAnsiTheme="minorHAnsi" w:cstheme="minorBidi"/>
      <w:sz w:val="22"/>
      <w:szCs w:val="22"/>
      <w:lang w:val="en-US" w:eastAsia="en-US"/>
    </w:rPr>
  </w:style>
  <w:style w:type="table" w:customStyle="1" w:styleId="QQuestionTable">
    <w:name w:val="QQuestionTable"/>
    <w:uiPriority w:val="99"/>
    <w:qFormat/>
    <w:rsid w:val="001D393A"/>
    <w:pPr>
      <w:jc w:val="center"/>
    </w:pPr>
    <w:rPr>
      <w:rFonts w:asciiTheme="minorHAnsi" w:eastAsiaTheme="minorEastAsia" w:hAnsiTheme="minorHAnsi" w:cstheme="minorBidi"/>
      <w:sz w:val="22"/>
      <w:szCs w:val="22"/>
      <w:lang w:val="en-US" w:eastAsia="en-US"/>
    </w:rPr>
    <w:tblPr>
      <w:tblStyleRowBandSize w:val="1"/>
      <w:tblInd w:w="0" w:type="dxa"/>
      <w:tblBorders>
        <w:top w:val="single" w:sz="4" w:space="0" w:color="818386"/>
        <w:left w:val="single" w:sz="4" w:space="0" w:color="818386"/>
        <w:bottom w:val="single" w:sz="4" w:space="0" w:color="818386"/>
        <w:right w:val="single" w:sz="4" w:space="0" w:color="818386"/>
        <w:insideV w:val="single" w:sz="4" w:space="0" w:color="808080" w:themeColor="background1" w:themeShade="80"/>
      </w:tblBorders>
      <w:tblCellMar>
        <w:top w:w="43" w:type="dxa"/>
        <w:left w:w="115" w:type="dxa"/>
        <w:bottom w:w="43" w:type="dxa"/>
        <w:right w:w="115" w:type="dxa"/>
      </w:tblCellMar>
    </w:tblPr>
    <w:tcPr>
      <w:shd w:val="clear" w:color="auto" w:fill="auto"/>
      <w:vAlign w:val="center"/>
    </w:tcPr>
    <w:tblStylePr w:type="firstRow">
      <w:pPr>
        <w:wordWrap/>
        <w:jc w:val="center"/>
      </w:pPr>
      <w:rPr>
        <w:color w:val="FFFFFF" w:themeColor="background1"/>
      </w:rPr>
      <w:tblPr/>
      <w:tcPr>
        <w:tcBorders>
          <w:insideV w:val="single" w:sz="4" w:space="0" w:color="969696"/>
        </w:tcBorders>
        <w:shd w:val="clear" w:color="auto" w:fill="58595B"/>
        <w:vAlign w:val="top"/>
      </w:tcPr>
    </w:tblStylePr>
    <w:tblStylePr w:type="lastRow">
      <w:tblPr/>
      <w:tcPr>
        <w:tcBorders>
          <w:top w:val="single" w:sz="4" w:space="0" w:color="818386"/>
          <w:left w:val="single" w:sz="4" w:space="0" w:color="818386"/>
          <w:bottom w:val="single" w:sz="4" w:space="0" w:color="818386"/>
          <w:right w:val="single" w:sz="4" w:space="0" w:color="818386"/>
          <w:insideH w:val="single" w:sz="4" w:space="0" w:color="818386"/>
          <w:insideV w:val="single" w:sz="4" w:space="0" w:color="818386"/>
        </w:tcBorders>
        <w:shd w:val="clear" w:color="auto" w:fill="FEFBE7"/>
      </w:tcPr>
    </w:tblStylePr>
  </w:style>
  <w:style w:type="paragraph" w:customStyle="1" w:styleId="WhiteText">
    <w:name w:val="WhiteText"/>
    <w:next w:val="Normal"/>
    <w:rsid w:val="001D393A"/>
    <w:rPr>
      <w:rFonts w:asciiTheme="minorHAnsi" w:eastAsiaTheme="minorEastAsia" w:hAnsiTheme="minorHAnsi" w:cstheme="minorBidi"/>
      <w:color w:val="FFFFFF" w:themeColor="background1"/>
      <w:sz w:val="22"/>
      <w:szCs w:val="22"/>
      <w:lang w:val="en-US" w:eastAsia="en-US"/>
    </w:rPr>
  </w:style>
  <w:style w:type="numbering" w:customStyle="1" w:styleId="Multipunch">
    <w:name w:val="Multi punch"/>
    <w:rsid w:val="001D393A"/>
    <w:pPr>
      <w:numPr>
        <w:numId w:val="11"/>
      </w:numPr>
    </w:pPr>
  </w:style>
  <w:style w:type="paragraph" w:customStyle="1" w:styleId="EndNoteBibliographyTitle">
    <w:name w:val="EndNote Bibliography Title"/>
    <w:basedOn w:val="Normal"/>
    <w:link w:val="EndNoteBibliographyTitleChar"/>
    <w:rsid w:val="00FC5304"/>
    <w:pPr>
      <w:jc w:val="center"/>
    </w:pPr>
    <w:rPr>
      <w:noProof/>
    </w:rPr>
  </w:style>
  <w:style w:type="character" w:customStyle="1" w:styleId="EndNoteBibliographyTitleChar">
    <w:name w:val="EndNote Bibliography Title Char"/>
    <w:basedOn w:val="DefaultParagraphFont"/>
    <w:link w:val="EndNoteBibliographyTitle"/>
    <w:rsid w:val="00FC5304"/>
    <w:rPr>
      <w:rFonts w:ascii="Times New Roman" w:eastAsia="Times New Roman" w:hAnsi="Times New Roman"/>
      <w:noProof/>
      <w:sz w:val="24"/>
      <w:szCs w:val="24"/>
    </w:rPr>
  </w:style>
  <w:style w:type="paragraph" w:customStyle="1" w:styleId="EndNoteBibliography">
    <w:name w:val="EndNote Bibliography"/>
    <w:basedOn w:val="Normal"/>
    <w:link w:val="EndNoteBibliographyChar"/>
    <w:rsid w:val="00FC5304"/>
    <w:rPr>
      <w:noProof/>
    </w:rPr>
  </w:style>
  <w:style w:type="character" w:customStyle="1" w:styleId="EndNoteBibliographyChar">
    <w:name w:val="EndNote Bibliography Char"/>
    <w:basedOn w:val="DefaultParagraphFont"/>
    <w:link w:val="EndNoteBibliography"/>
    <w:rsid w:val="00FC5304"/>
    <w:rPr>
      <w:rFonts w:ascii="Times New Roman" w:eastAsia="Times New Roman" w:hAnsi="Times New Roman"/>
      <w:noProof/>
      <w:sz w:val="24"/>
      <w:szCs w:val="24"/>
    </w:rPr>
  </w:style>
  <w:style w:type="paragraph" w:customStyle="1" w:styleId="Title1">
    <w:name w:val="Title1"/>
    <w:basedOn w:val="Normal"/>
    <w:rsid w:val="002D5336"/>
    <w:pPr>
      <w:spacing w:before="100" w:beforeAutospacing="1" w:after="100" w:afterAutospacing="1"/>
    </w:pPr>
  </w:style>
  <w:style w:type="paragraph" w:customStyle="1" w:styleId="desc">
    <w:name w:val="desc"/>
    <w:basedOn w:val="Normal"/>
    <w:rsid w:val="002D5336"/>
    <w:pPr>
      <w:spacing w:before="100" w:beforeAutospacing="1" w:after="100" w:afterAutospacing="1"/>
    </w:pPr>
  </w:style>
  <w:style w:type="paragraph" w:customStyle="1" w:styleId="details">
    <w:name w:val="details"/>
    <w:basedOn w:val="Normal"/>
    <w:rsid w:val="002D5336"/>
    <w:pPr>
      <w:spacing w:before="100" w:beforeAutospacing="1" w:after="100" w:afterAutospacing="1"/>
    </w:pPr>
  </w:style>
  <w:style w:type="character" w:customStyle="1" w:styleId="jrnl">
    <w:name w:val="jrnl"/>
    <w:basedOn w:val="DefaultParagraphFont"/>
    <w:rsid w:val="002D5336"/>
  </w:style>
  <w:style w:type="paragraph" w:styleId="Header">
    <w:name w:val="header"/>
    <w:basedOn w:val="Normal"/>
    <w:link w:val="HeaderChar"/>
    <w:uiPriority w:val="99"/>
    <w:unhideWhenUsed/>
    <w:rsid w:val="002662A2"/>
    <w:pPr>
      <w:tabs>
        <w:tab w:val="center" w:pos="4513"/>
        <w:tab w:val="right" w:pos="9026"/>
      </w:tabs>
    </w:pPr>
  </w:style>
  <w:style w:type="character" w:customStyle="1" w:styleId="HeaderChar">
    <w:name w:val="Header Char"/>
    <w:basedOn w:val="DefaultParagraphFont"/>
    <w:link w:val="Header"/>
    <w:uiPriority w:val="99"/>
    <w:rsid w:val="002662A2"/>
    <w:rPr>
      <w:rFonts w:ascii="Times New Roman" w:eastAsia="Times New Roman" w:hAnsi="Times New Roman"/>
      <w:sz w:val="24"/>
      <w:szCs w:val="24"/>
    </w:rPr>
  </w:style>
  <w:style w:type="paragraph" w:styleId="Footer">
    <w:name w:val="footer"/>
    <w:basedOn w:val="Normal"/>
    <w:link w:val="FooterChar"/>
    <w:uiPriority w:val="99"/>
    <w:unhideWhenUsed/>
    <w:rsid w:val="002662A2"/>
    <w:pPr>
      <w:tabs>
        <w:tab w:val="center" w:pos="4513"/>
        <w:tab w:val="right" w:pos="9026"/>
      </w:tabs>
    </w:pPr>
  </w:style>
  <w:style w:type="character" w:customStyle="1" w:styleId="FooterChar">
    <w:name w:val="Footer Char"/>
    <w:basedOn w:val="DefaultParagraphFont"/>
    <w:link w:val="Footer"/>
    <w:uiPriority w:val="99"/>
    <w:rsid w:val="002662A2"/>
    <w:rPr>
      <w:rFonts w:ascii="Times New Roman" w:eastAsia="Times New Roman" w:hAnsi="Times New Roman"/>
      <w:sz w:val="24"/>
      <w:szCs w:val="24"/>
    </w:rPr>
  </w:style>
  <w:style w:type="character" w:customStyle="1" w:styleId="name">
    <w:name w:val="name"/>
    <w:basedOn w:val="DefaultParagraphFont"/>
    <w:rsid w:val="00001F44"/>
  </w:style>
  <w:style w:type="character" w:styleId="FollowedHyperlink">
    <w:name w:val="FollowedHyperlink"/>
    <w:basedOn w:val="DefaultParagraphFont"/>
    <w:uiPriority w:val="99"/>
    <w:semiHidden/>
    <w:unhideWhenUsed/>
    <w:rsid w:val="00DD37FA"/>
    <w:rPr>
      <w:color w:val="954F72" w:themeColor="followedHyperlink"/>
      <w:u w:val="single"/>
    </w:rPr>
  </w:style>
  <w:style w:type="paragraph" w:customStyle="1" w:styleId="xxmsonormal">
    <w:name w:val="x_xmsonormal"/>
    <w:basedOn w:val="Normal"/>
    <w:rsid w:val="00357784"/>
    <w:pPr>
      <w:spacing w:before="100" w:beforeAutospacing="1" w:after="100" w:afterAutospacing="1"/>
    </w:pPr>
  </w:style>
  <w:style w:type="paragraph" w:styleId="HTMLPreformatted">
    <w:name w:val="HTML Preformatted"/>
    <w:basedOn w:val="Normal"/>
    <w:link w:val="HTMLPreformattedChar"/>
    <w:uiPriority w:val="99"/>
    <w:unhideWhenUsed/>
    <w:rsid w:val="00DB5B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DB5B12"/>
    <w:rPr>
      <w:rFonts w:ascii="Courier New" w:eastAsia="Times New Roman" w:hAnsi="Courier New" w:cs="Courier New"/>
    </w:rPr>
  </w:style>
  <w:style w:type="table" w:styleId="TableGrid">
    <w:name w:val="Table Grid"/>
    <w:basedOn w:val="TableNormal"/>
    <w:uiPriority w:val="39"/>
    <w:rsid w:val="00671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026F"/>
    <w:pPr>
      <w:autoSpaceDE w:val="0"/>
      <w:autoSpaceDN w:val="0"/>
      <w:adjustRightInd w:val="0"/>
    </w:pPr>
    <w:rPr>
      <w:rFonts w:ascii="Whitney" w:eastAsia="Whitney" w:cs="Whitney"/>
      <w:color w:val="000000"/>
      <w:sz w:val="24"/>
      <w:szCs w:val="24"/>
      <w:lang w:val="en-US"/>
    </w:rPr>
  </w:style>
  <w:style w:type="paragraph" w:styleId="PlainText">
    <w:name w:val="Plain Text"/>
    <w:basedOn w:val="Normal"/>
    <w:link w:val="PlainTextChar"/>
    <w:uiPriority w:val="99"/>
    <w:unhideWhenUsed/>
    <w:rsid w:val="00996565"/>
    <w:pPr>
      <w:widowControl w:val="0"/>
      <w:spacing w:after="0" w:line="240" w:lineRule="auto"/>
      <w:ind w:firstLine="0"/>
      <w:jc w:val="left"/>
    </w:pPr>
    <w:rPr>
      <w:rFonts w:ascii="Calibri" w:eastAsiaTheme="minorEastAsia" w:hAnsi="Calibri" w:cstheme="minorBidi"/>
      <w:kern w:val="2"/>
      <w:sz w:val="22"/>
      <w:szCs w:val="21"/>
      <w:lang w:val="en-US" w:eastAsia="ja-JP"/>
    </w:rPr>
  </w:style>
  <w:style w:type="character" w:customStyle="1" w:styleId="PlainTextChar">
    <w:name w:val="Plain Text Char"/>
    <w:basedOn w:val="DefaultParagraphFont"/>
    <w:link w:val="PlainText"/>
    <w:uiPriority w:val="99"/>
    <w:rsid w:val="00996565"/>
    <w:rPr>
      <w:rFonts w:eastAsiaTheme="minorEastAsia" w:cstheme="minorBidi"/>
      <w:kern w:val="2"/>
      <w:sz w:val="22"/>
      <w:szCs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1167">
      <w:bodyDiv w:val="1"/>
      <w:marLeft w:val="0"/>
      <w:marRight w:val="0"/>
      <w:marTop w:val="0"/>
      <w:marBottom w:val="0"/>
      <w:divBdr>
        <w:top w:val="none" w:sz="0" w:space="0" w:color="auto"/>
        <w:left w:val="none" w:sz="0" w:space="0" w:color="auto"/>
        <w:bottom w:val="none" w:sz="0" w:space="0" w:color="auto"/>
        <w:right w:val="none" w:sz="0" w:space="0" w:color="auto"/>
      </w:divBdr>
    </w:div>
    <w:div w:id="66731600">
      <w:bodyDiv w:val="1"/>
      <w:marLeft w:val="0"/>
      <w:marRight w:val="0"/>
      <w:marTop w:val="0"/>
      <w:marBottom w:val="0"/>
      <w:divBdr>
        <w:top w:val="none" w:sz="0" w:space="0" w:color="auto"/>
        <w:left w:val="none" w:sz="0" w:space="0" w:color="auto"/>
        <w:bottom w:val="none" w:sz="0" w:space="0" w:color="auto"/>
        <w:right w:val="none" w:sz="0" w:space="0" w:color="auto"/>
      </w:divBdr>
    </w:div>
    <w:div w:id="134224244">
      <w:bodyDiv w:val="1"/>
      <w:marLeft w:val="0"/>
      <w:marRight w:val="0"/>
      <w:marTop w:val="0"/>
      <w:marBottom w:val="0"/>
      <w:divBdr>
        <w:top w:val="none" w:sz="0" w:space="0" w:color="auto"/>
        <w:left w:val="none" w:sz="0" w:space="0" w:color="auto"/>
        <w:bottom w:val="none" w:sz="0" w:space="0" w:color="auto"/>
        <w:right w:val="none" w:sz="0" w:space="0" w:color="auto"/>
      </w:divBdr>
      <w:divsChild>
        <w:div w:id="1912497740">
          <w:marLeft w:val="0"/>
          <w:marRight w:val="0"/>
          <w:marTop w:val="34"/>
          <w:marBottom w:val="34"/>
          <w:divBdr>
            <w:top w:val="none" w:sz="0" w:space="0" w:color="auto"/>
            <w:left w:val="none" w:sz="0" w:space="0" w:color="auto"/>
            <w:bottom w:val="none" w:sz="0" w:space="0" w:color="auto"/>
            <w:right w:val="none" w:sz="0" w:space="0" w:color="auto"/>
          </w:divBdr>
        </w:div>
      </w:divsChild>
    </w:div>
    <w:div w:id="184054974">
      <w:bodyDiv w:val="1"/>
      <w:marLeft w:val="0"/>
      <w:marRight w:val="0"/>
      <w:marTop w:val="0"/>
      <w:marBottom w:val="0"/>
      <w:divBdr>
        <w:top w:val="none" w:sz="0" w:space="0" w:color="auto"/>
        <w:left w:val="none" w:sz="0" w:space="0" w:color="auto"/>
        <w:bottom w:val="none" w:sz="0" w:space="0" w:color="auto"/>
        <w:right w:val="none" w:sz="0" w:space="0" w:color="auto"/>
      </w:divBdr>
    </w:div>
    <w:div w:id="253443085">
      <w:bodyDiv w:val="1"/>
      <w:marLeft w:val="0"/>
      <w:marRight w:val="0"/>
      <w:marTop w:val="0"/>
      <w:marBottom w:val="0"/>
      <w:divBdr>
        <w:top w:val="none" w:sz="0" w:space="0" w:color="auto"/>
        <w:left w:val="none" w:sz="0" w:space="0" w:color="auto"/>
        <w:bottom w:val="none" w:sz="0" w:space="0" w:color="auto"/>
        <w:right w:val="none" w:sz="0" w:space="0" w:color="auto"/>
      </w:divBdr>
    </w:div>
    <w:div w:id="272134814">
      <w:bodyDiv w:val="1"/>
      <w:marLeft w:val="0"/>
      <w:marRight w:val="0"/>
      <w:marTop w:val="0"/>
      <w:marBottom w:val="0"/>
      <w:divBdr>
        <w:top w:val="none" w:sz="0" w:space="0" w:color="auto"/>
        <w:left w:val="none" w:sz="0" w:space="0" w:color="auto"/>
        <w:bottom w:val="none" w:sz="0" w:space="0" w:color="auto"/>
        <w:right w:val="none" w:sz="0" w:space="0" w:color="auto"/>
      </w:divBdr>
    </w:div>
    <w:div w:id="433744572">
      <w:bodyDiv w:val="1"/>
      <w:marLeft w:val="0"/>
      <w:marRight w:val="0"/>
      <w:marTop w:val="0"/>
      <w:marBottom w:val="0"/>
      <w:divBdr>
        <w:top w:val="none" w:sz="0" w:space="0" w:color="auto"/>
        <w:left w:val="none" w:sz="0" w:space="0" w:color="auto"/>
        <w:bottom w:val="none" w:sz="0" w:space="0" w:color="auto"/>
        <w:right w:val="none" w:sz="0" w:space="0" w:color="auto"/>
      </w:divBdr>
    </w:div>
    <w:div w:id="443310179">
      <w:bodyDiv w:val="1"/>
      <w:marLeft w:val="0"/>
      <w:marRight w:val="0"/>
      <w:marTop w:val="0"/>
      <w:marBottom w:val="0"/>
      <w:divBdr>
        <w:top w:val="none" w:sz="0" w:space="0" w:color="auto"/>
        <w:left w:val="none" w:sz="0" w:space="0" w:color="auto"/>
        <w:bottom w:val="none" w:sz="0" w:space="0" w:color="auto"/>
        <w:right w:val="none" w:sz="0" w:space="0" w:color="auto"/>
      </w:divBdr>
    </w:div>
    <w:div w:id="451553360">
      <w:bodyDiv w:val="1"/>
      <w:marLeft w:val="0"/>
      <w:marRight w:val="0"/>
      <w:marTop w:val="0"/>
      <w:marBottom w:val="0"/>
      <w:divBdr>
        <w:top w:val="none" w:sz="0" w:space="0" w:color="auto"/>
        <w:left w:val="none" w:sz="0" w:space="0" w:color="auto"/>
        <w:bottom w:val="none" w:sz="0" w:space="0" w:color="auto"/>
        <w:right w:val="none" w:sz="0" w:space="0" w:color="auto"/>
      </w:divBdr>
    </w:div>
    <w:div w:id="468978378">
      <w:bodyDiv w:val="1"/>
      <w:marLeft w:val="0"/>
      <w:marRight w:val="0"/>
      <w:marTop w:val="0"/>
      <w:marBottom w:val="0"/>
      <w:divBdr>
        <w:top w:val="none" w:sz="0" w:space="0" w:color="auto"/>
        <w:left w:val="none" w:sz="0" w:space="0" w:color="auto"/>
        <w:bottom w:val="none" w:sz="0" w:space="0" w:color="auto"/>
        <w:right w:val="none" w:sz="0" w:space="0" w:color="auto"/>
      </w:divBdr>
    </w:div>
    <w:div w:id="505676142">
      <w:bodyDiv w:val="1"/>
      <w:marLeft w:val="0"/>
      <w:marRight w:val="0"/>
      <w:marTop w:val="0"/>
      <w:marBottom w:val="0"/>
      <w:divBdr>
        <w:top w:val="none" w:sz="0" w:space="0" w:color="auto"/>
        <w:left w:val="none" w:sz="0" w:space="0" w:color="auto"/>
        <w:bottom w:val="none" w:sz="0" w:space="0" w:color="auto"/>
        <w:right w:val="none" w:sz="0" w:space="0" w:color="auto"/>
      </w:divBdr>
    </w:div>
    <w:div w:id="594702915">
      <w:bodyDiv w:val="1"/>
      <w:marLeft w:val="0"/>
      <w:marRight w:val="0"/>
      <w:marTop w:val="0"/>
      <w:marBottom w:val="0"/>
      <w:divBdr>
        <w:top w:val="none" w:sz="0" w:space="0" w:color="auto"/>
        <w:left w:val="none" w:sz="0" w:space="0" w:color="auto"/>
        <w:bottom w:val="none" w:sz="0" w:space="0" w:color="auto"/>
        <w:right w:val="none" w:sz="0" w:space="0" w:color="auto"/>
      </w:divBdr>
    </w:div>
    <w:div w:id="628439474">
      <w:bodyDiv w:val="1"/>
      <w:marLeft w:val="0"/>
      <w:marRight w:val="0"/>
      <w:marTop w:val="0"/>
      <w:marBottom w:val="0"/>
      <w:divBdr>
        <w:top w:val="none" w:sz="0" w:space="0" w:color="auto"/>
        <w:left w:val="none" w:sz="0" w:space="0" w:color="auto"/>
        <w:bottom w:val="none" w:sz="0" w:space="0" w:color="auto"/>
        <w:right w:val="none" w:sz="0" w:space="0" w:color="auto"/>
      </w:divBdr>
    </w:div>
    <w:div w:id="634793641">
      <w:bodyDiv w:val="1"/>
      <w:marLeft w:val="0"/>
      <w:marRight w:val="0"/>
      <w:marTop w:val="0"/>
      <w:marBottom w:val="0"/>
      <w:divBdr>
        <w:top w:val="none" w:sz="0" w:space="0" w:color="auto"/>
        <w:left w:val="none" w:sz="0" w:space="0" w:color="auto"/>
        <w:bottom w:val="none" w:sz="0" w:space="0" w:color="auto"/>
        <w:right w:val="none" w:sz="0" w:space="0" w:color="auto"/>
      </w:divBdr>
    </w:div>
    <w:div w:id="641927511">
      <w:bodyDiv w:val="1"/>
      <w:marLeft w:val="0"/>
      <w:marRight w:val="0"/>
      <w:marTop w:val="0"/>
      <w:marBottom w:val="0"/>
      <w:divBdr>
        <w:top w:val="none" w:sz="0" w:space="0" w:color="auto"/>
        <w:left w:val="none" w:sz="0" w:space="0" w:color="auto"/>
        <w:bottom w:val="none" w:sz="0" w:space="0" w:color="auto"/>
        <w:right w:val="none" w:sz="0" w:space="0" w:color="auto"/>
      </w:divBdr>
    </w:div>
    <w:div w:id="706218055">
      <w:bodyDiv w:val="1"/>
      <w:marLeft w:val="0"/>
      <w:marRight w:val="0"/>
      <w:marTop w:val="0"/>
      <w:marBottom w:val="0"/>
      <w:divBdr>
        <w:top w:val="none" w:sz="0" w:space="0" w:color="auto"/>
        <w:left w:val="none" w:sz="0" w:space="0" w:color="auto"/>
        <w:bottom w:val="none" w:sz="0" w:space="0" w:color="auto"/>
        <w:right w:val="none" w:sz="0" w:space="0" w:color="auto"/>
      </w:divBdr>
    </w:div>
    <w:div w:id="718087154">
      <w:bodyDiv w:val="1"/>
      <w:marLeft w:val="0"/>
      <w:marRight w:val="0"/>
      <w:marTop w:val="0"/>
      <w:marBottom w:val="0"/>
      <w:divBdr>
        <w:top w:val="none" w:sz="0" w:space="0" w:color="auto"/>
        <w:left w:val="none" w:sz="0" w:space="0" w:color="auto"/>
        <w:bottom w:val="none" w:sz="0" w:space="0" w:color="auto"/>
        <w:right w:val="none" w:sz="0" w:space="0" w:color="auto"/>
      </w:divBdr>
      <w:divsChild>
        <w:div w:id="18556469">
          <w:marLeft w:val="0"/>
          <w:marRight w:val="0"/>
          <w:marTop w:val="0"/>
          <w:marBottom w:val="0"/>
          <w:divBdr>
            <w:top w:val="none" w:sz="0" w:space="0" w:color="auto"/>
            <w:left w:val="none" w:sz="0" w:space="0" w:color="auto"/>
            <w:bottom w:val="none" w:sz="0" w:space="0" w:color="auto"/>
            <w:right w:val="none" w:sz="0" w:space="0" w:color="auto"/>
          </w:divBdr>
        </w:div>
        <w:div w:id="800656972">
          <w:marLeft w:val="0"/>
          <w:marRight w:val="0"/>
          <w:marTop w:val="0"/>
          <w:marBottom w:val="0"/>
          <w:divBdr>
            <w:top w:val="none" w:sz="0" w:space="0" w:color="auto"/>
            <w:left w:val="none" w:sz="0" w:space="0" w:color="auto"/>
            <w:bottom w:val="none" w:sz="0" w:space="0" w:color="auto"/>
            <w:right w:val="none" w:sz="0" w:space="0" w:color="auto"/>
          </w:divBdr>
        </w:div>
        <w:div w:id="1531147113">
          <w:marLeft w:val="0"/>
          <w:marRight w:val="0"/>
          <w:marTop w:val="0"/>
          <w:marBottom w:val="0"/>
          <w:divBdr>
            <w:top w:val="none" w:sz="0" w:space="0" w:color="auto"/>
            <w:left w:val="none" w:sz="0" w:space="0" w:color="auto"/>
            <w:bottom w:val="none" w:sz="0" w:space="0" w:color="auto"/>
            <w:right w:val="none" w:sz="0" w:space="0" w:color="auto"/>
          </w:divBdr>
        </w:div>
      </w:divsChild>
    </w:div>
    <w:div w:id="766191354">
      <w:bodyDiv w:val="1"/>
      <w:marLeft w:val="0"/>
      <w:marRight w:val="0"/>
      <w:marTop w:val="0"/>
      <w:marBottom w:val="0"/>
      <w:divBdr>
        <w:top w:val="none" w:sz="0" w:space="0" w:color="auto"/>
        <w:left w:val="none" w:sz="0" w:space="0" w:color="auto"/>
        <w:bottom w:val="none" w:sz="0" w:space="0" w:color="auto"/>
        <w:right w:val="none" w:sz="0" w:space="0" w:color="auto"/>
      </w:divBdr>
    </w:div>
    <w:div w:id="924263295">
      <w:bodyDiv w:val="1"/>
      <w:marLeft w:val="0"/>
      <w:marRight w:val="0"/>
      <w:marTop w:val="0"/>
      <w:marBottom w:val="0"/>
      <w:divBdr>
        <w:top w:val="none" w:sz="0" w:space="0" w:color="auto"/>
        <w:left w:val="none" w:sz="0" w:space="0" w:color="auto"/>
        <w:bottom w:val="none" w:sz="0" w:space="0" w:color="auto"/>
        <w:right w:val="none" w:sz="0" w:space="0" w:color="auto"/>
      </w:divBdr>
    </w:div>
    <w:div w:id="951474099">
      <w:bodyDiv w:val="1"/>
      <w:marLeft w:val="0"/>
      <w:marRight w:val="0"/>
      <w:marTop w:val="0"/>
      <w:marBottom w:val="0"/>
      <w:divBdr>
        <w:top w:val="none" w:sz="0" w:space="0" w:color="auto"/>
        <w:left w:val="none" w:sz="0" w:space="0" w:color="auto"/>
        <w:bottom w:val="none" w:sz="0" w:space="0" w:color="auto"/>
        <w:right w:val="none" w:sz="0" w:space="0" w:color="auto"/>
      </w:divBdr>
    </w:div>
    <w:div w:id="988023592">
      <w:bodyDiv w:val="1"/>
      <w:marLeft w:val="0"/>
      <w:marRight w:val="0"/>
      <w:marTop w:val="0"/>
      <w:marBottom w:val="0"/>
      <w:divBdr>
        <w:top w:val="none" w:sz="0" w:space="0" w:color="auto"/>
        <w:left w:val="none" w:sz="0" w:space="0" w:color="auto"/>
        <w:bottom w:val="none" w:sz="0" w:space="0" w:color="auto"/>
        <w:right w:val="none" w:sz="0" w:space="0" w:color="auto"/>
      </w:divBdr>
      <w:divsChild>
        <w:div w:id="1371302537">
          <w:marLeft w:val="0"/>
          <w:marRight w:val="0"/>
          <w:marTop w:val="0"/>
          <w:marBottom w:val="0"/>
          <w:divBdr>
            <w:top w:val="none" w:sz="0" w:space="0" w:color="auto"/>
            <w:left w:val="none" w:sz="0" w:space="0" w:color="auto"/>
            <w:bottom w:val="none" w:sz="0" w:space="0" w:color="auto"/>
            <w:right w:val="none" w:sz="0" w:space="0" w:color="auto"/>
          </w:divBdr>
        </w:div>
        <w:div w:id="1511214707">
          <w:marLeft w:val="0"/>
          <w:marRight w:val="0"/>
          <w:marTop w:val="0"/>
          <w:marBottom w:val="0"/>
          <w:divBdr>
            <w:top w:val="none" w:sz="0" w:space="0" w:color="auto"/>
            <w:left w:val="none" w:sz="0" w:space="0" w:color="auto"/>
            <w:bottom w:val="none" w:sz="0" w:space="0" w:color="auto"/>
            <w:right w:val="none" w:sz="0" w:space="0" w:color="auto"/>
          </w:divBdr>
          <w:divsChild>
            <w:div w:id="79567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09680">
      <w:bodyDiv w:val="1"/>
      <w:marLeft w:val="0"/>
      <w:marRight w:val="0"/>
      <w:marTop w:val="0"/>
      <w:marBottom w:val="0"/>
      <w:divBdr>
        <w:top w:val="none" w:sz="0" w:space="0" w:color="auto"/>
        <w:left w:val="none" w:sz="0" w:space="0" w:color="auto"/>
        <w:bottom w:val="none" w:sz="0" w:space="0" w:color="auto"/>
        <w:right w:val="none" w:sz="0" w:space="0" w:color="auto"/>
      </w:divBdr>
    </w:div>
    <w:div w:id="1068655447">
      <w:bodyDiv w:val="1"/>
      <w:marLeft w:val="0"/>
      <w:marRight w:val="0"/>
      <w:marTop w:val="0"/>
      <w:marBottom w:val="0"/>
      <w:divBdr>
        <w:top w:val="none" w:sz="0" w:space="0" w:color="auto"/>
        <w:left w:val="none" w:sz="0" w:space="0" w:color="auto"/>
        <w:bottom w:val="none" w:sz="0" w:space="0" w:color="auto"/>
        <w:right w:val="none" w:sz="0" w:space="0" w:color="auto"/>
      </w:divBdr>
    </w:div>
    <w:div w:id="1147891075">
      <w:bodyDiv w:val="1"/>
      <w:marLeft w:val="0"/>
      <w:marRight w:val="0"/>
      <w:marTop w:val="0"/>
      <w:marBottom w:val="0"/>
      <w:divBdr>
        <w:top w:val="none" w:sz="0" w:space="0" w:color="auto"/>
        <w:left w:val="none" w:sz="0" w:space="0" w:color="auto"/>
        <w:bottom w:val="none" w:sz="0" w:space="0" w:color="auto"/>
        <w:right w:val="none" w:sz="0" w:space="0" w:color="auto"/>
      </w:divBdr>
    </w:div>
    <w:div w:id="1228758672">
      <w:bodyDiv w:val="1"/>
      <w:marLeft w:val="0"/>
      <w:marRight w:val="0"/>
      <w:marTop w:val="0"/>
      <w:marBottom w:val="0"/>
      <w:divBdr>
        <w:top w:val="none" w:sz="0" w:space="0" w:color="auto"/>
        <w:left w:val="none" w:sz="0" w:space="0" w:color="auto"/>
        <w:bottom w:val="none" w:sz="0" w:space="0" w:color="auto"/>
        <w:right w:val="none" w:sz="0" w:space="0" w:color="auto"/>
      </w:divBdr>
    </w:div>
    <w:div w:id="1320422249">
      <w:bodyDiv w:val="1"/>
      <w:marLeft w:val="0"/>
      <w:marRight w:val="0"/>
      <w:marTop w:val="0"/>
      <w:marBottom w:val="0"/>
      <w:divBdr>
        <w:top w:val="none" w:sz="0" w:space="0" w:color="auto"/>
        <w:left w:val="none" w:sz="0" w:space="0" w:color="auto"/>
        <w:bottom w:val="none" w:sz="0" w:space="0" w:color="auto"/>
        <w:right w:val="none" w:sz="0" w:space="0" w:color="auto"/>
      </w:divBdr>
    </w:div>
    <w:div w:id="1344016744">
      <w:bodyDiv w:val="1"/>
      <w:marLeft w:val="0"/>
      <w:marRight w:val="0"/>
      <w:marTop w:val="0"/>
      <w:marBottom w:val="0"/>
      <w:divBdr>
        <w:top w:val="none" w:sz="0" w:space="0" w:color="auto"/>
        <w:left w:val="none" w:sz="0" w:space="0" w:color="auto"/>
        <w:bottom w:val="none" w:sz="0" w:space="0" w:color="auto"/>
        <w:right w:val="none" w:sz="0" w:space="0" w:color="auto"/>
      </w:divBdr>
    </w:div>
    <w:div w:id="1431510073">
      <w:bodyDiv w:val="1"/>
      <w:marLeft w:val="0"/>
      <w:marRight w:val="0"/>
      <w:marTop w:val="0"/>
      <w:marBottom w:val="0"/>
      <w:divBdr>
        <w:top w:val="none" w:sz="0" w:space="0" w:color="auto"/>
        <w:left w:val="none" w:sz="0" w:space="0" w:color="auto"/>
        <w:bottom w:val="none" w:sz="0" w:space="0" w:color="auto"/>
        <w:right w:val="none" w:sz="0" w:space="0" w:color="auto"/>
      </w:divBdr>
      <w:divsChild>
        <w:div w:id="1410495371">
          <w:marLeft w:val="0"/>
          <w:marRight w:val="0"/>
          <w:marTop w:val="0"/>
          <w:marBottom w:val="0"/>
          <w:divBdr>
            <w:top w:val="none" w:sz="0" w:space="0" w:color="auto"/>
            <w:left w:val="none" w:sz="0" w:space="0" w:color="auto"/>
            <w:bottom w:val="none" w:sz="0" w:space="0" w:color="auto"/>
            <w:right w:val="none" w:sz="0" w:space="0" w:color="auto"/>
          </w:divBdr>
          <w:divsChild>
            <w:div w:id="2058890485">
              <w:marLeft w:val="0"/>
              <w:marRight w:val="0"/>
              <w:marTop w:val="0"/>
              <w:marBottom w:val="0"/>
              <w:divBdr>
                <w:top w:val="none" w:sz="0" w:space="0" w:color="auto"/>
                <w:left w:val="none" w:sz="0" w:space="0" w:color="auto"/>
                <w:bottom w:val="none" w:sz="0" w:space="0" w:color="auto"/>
                <w:right w:val="none" w:sz="0" w:space="0" w:color="auto"/>
              </w:divBdr>
              <w:divsChild>
                <w:div w:id="1906529029">
                  <w:marLeft w:val="75"/>
                  <w:marRight w:val="75"/>
                  <w:marTop w:val="0"/>
                  <w:marBottom w:val="0"/>
                  <w:divBdr>
                    <w:top w:val="none" w:sz="0" w:space="0" w:color="auto"/>
                    <w:left w:val="none" w:sz="0" w:space="0" w:color="auto"/>
                    <w:bottom w:val="none" w:sz="0" w:space="0" w:color="auto"/>
                    <w:right w:val="none" w:sz="0" w:space="0" w:color="auto"/>
                  </w:divBdr>
                  <w:divsChild>
                    <w:div w:id="1431781857">
                      <w:marLeft w:val="0"/>
                      <w:marRight w:val="0"/>
                      <w:marTop w:val="0"/>
                      <w:marBottom w:val="0"/>
                      <w:divBdr>
                        <w:top w:val="none" w:sz="0" w:space="0" w:color="auto"/>
                        <w:left w:val="none" w:sz="0" w:space="0" w:color="auto"/>
                        <w:bottom w:val="none" w:sz="0" w:space="0" w:color="auto"/>
                        <w:right w:val="none" w:sz="0" w:space="0" w:color="auto"/>
                      </w:divBdr>
                      <w:divsChild>
                        <w:div w:id="852957241">
                          <w:marLeft w:val="0"/>
                          <w:marRight w:val="0"/>
                          <w:marTop w:val="0"/>
                          <w:marBottom w:val="0"/>
                          <w:divBdr>
                            <w:top w:val="none" w:sz="0" w:space="0" w:color="auto"/>
                            <w:left w:val="none" w:sz="0" w:space="0" w:color="auto"/>
                            <w:bottom w:val="none" w:sz="0" w:space="0" w:color="auto"/>
                            <w:right w:val="none" w:sz="0" w:space="0" w:color="auto"/>
                          </w:divBdr>
                          <w:divsChild>
                            <w:div w:id="1730499951">
                              <w:marLeft w:val="0"/>
                              <w:marRight w:val="0"/>
                              <w:marTop w:val="0"/>
                              <w:marBottom w:val="0"/>
                              <w:divBdr>
                                <w:top w:val="none" w:sz="0" w:space="0" w:color="auto"/>
                                <w:left w:val="none" w:sz="0" w:space="0" w:color="auto"/>
                                <w:bottom w:val="none" w:sz="0" w:space="0" w:color="auto"/>
                                <w:right w:val="none" w:sz="0" w:space="0" w:color="auto"/>
                              </w:divBdr>
                              <w:divsChild>
                                <w:div w:id="387264258">
                                  <w:marLeft w:val="0"/>
                                  <w:marRight w:val="0"/>
                                  <w:marTop w:val="0"/>
                                  <w:marBottom w:val="0"/>
                                  <w:divBdr>
                                    <w:top w:val="none" w:sz="0" w:space="0" w:color="auto"/>
                                    <w:left w:val="none" w:sz="0" w:space="0" w:color="auto"/>
                                    <w:bottom w:val="none" w:sz="0" w:space="0" w:color="auto"/>
                                    <w:right w:val="none" w:sz="0" w:space="0" w:color="auto"/>
                                  </w:divBdr>
                                  <w:divsChild>
                                    <w:div w:id="732436826">
                                      <w:marLeft w:val="0"/>
                                      <w:marRight w:val="0"/>
                                      <w:marTop w:val="0"/>
                                      <w:marBottom w:val="0"/>
                                      <w:divBdr>
                                        <w:top w:val="none" w:sz="0" w:space="0" w:color="auto"/>
                                        <w:left w:val="none" w:sz="0" w:space="0" w:color="auto"/>
                                        <w:bottom w:val="none" w:sz="0" w:space="0" w:color="auto"/>
                                        <w:right w:val="none" w:sz="0" w:space="0" w:color="auto"/>
                                      </w:divBdr>
                                      <w:divsChild>
                                        <w:div w:id="576744773">
                                          <w:marLeft w:val="0"/>
                                          <w:marRight w:val="0"/>
                                          <w:marTop w:val="0"/>
                                          <w:marBottom w:val="0"/>
                                          <w:divBdr>
                                            <w:top w:val="none" w:sz="0" w:space="0" w:color="auto"/>
                                            <w:left w:val="none" w:sz="0" w:space="0" w:color="auto"/>
                                            <w:bottom w:val="none" w:sz="0" w:space="0" w:color="auto"/>
                                            <w:right w:val="none" w:sz="0" w:space="0" w:color="auto"/>
                                          </w:divBdr>
                                          <w:divsChild>
                                            <w:div w:id="1172336752">
                                              <w:marLeft w:val="0"/>
                                              <w:marRight w:val="0"/>
                                              <w:marTop w:val="0"/>
                                              <w:marBottom w:val="0"/>
                                              <w:divBdr>
                                                <w:top w:val="none" w:sz="0" w:space="0" w:color="auto"/>
                                                <w:left w:val="none" w:sz="0" w:space="0" w:color="auto"/>
                                                <w:bottom w:val="none" w:sz="0" w:space="0" w:color="auto"/>
                                                <w:right w:val="none" w:sz="0" w:space="0" w:color="auto"/>
                                              </w:divBdr>
                                              <w:divsChild>
                                                <w:div w:id="1901357088">
                                                  <w:marLeft w:val="0"/>
                                                  <w:marRight w:val="375"/>
                                                  <w:marTop w:val="0"/>
                                                  <w:marBottom w:val="0"/>
                                                  <w:divBdr>
                                                    <w:top w:val="none" w:sz="0" w:space="0" w:color="auto"/>
                                                    <w:left w:val="none" w:sz="0" w:space="0" w:color="auto"/>
                                                    <w:bottom w:val="none" w:sz="0" w:space="0" w:color="auto"/>
                                                    <w:right w:val="none" w:sz="0" w:space="0" w:color="auto"/>
                                                  </w:divBdr>
                                                  <w:divsChild>
                                                    <w:div w:id="2013676758">
                                                      <w:marLeft w:val="0"/>
                                                      <w:marRight w:val="0"/>
                                                      <w:marTop w:val="0"/>
                                                      <w:marBottom w:val="0"/>
                                                      <w:divBdr>
                                                        <w:top w:val="none" w:sz="0" w:space="0" w:color="auto"/>
                                                        <w:left w:val="none" w:sz="0" w:space="0" w:color="auto"/>
                                                        <w:bottom w:val="none" w:sz="0" w:space="0" w:color="auto"/>
                                                        <w:right w:val="none" w:sz="0" w:space="0" w:color="auto"/>
                                                      </w:divBdr>
                                                      <w:divsChild>
                                                        <w:div w:id="1559391800">
                                                          <w:marLeft w:val="0"/>
                                                          <w:marRight w:val="0"/>
                                                          <w:marTop w:val="0"/>
                                                          <w:marBottom w:val="0"/>
                                                          <w:divBdr>
                                                            <w:top w:val="none" w:sz="0" w:space="0" w:color="auto"/>
                                                            <w:left w:val="none" w:sz="0" w:space="0" w:color="auto"/>
                                                            <w:bottom w:val="none" w:sz="0" w:space="0" w:color="auto"/>
                                                            <w:right w:val="none" w:sz="0" w:space="0" w:color="auto"/>
                                                          </w:divBdr>
                                                          <w:divsChild>
                                                            <w:div w:id="440536204">
                                                              <w:marLeft w:val="0"/>
                                                              <w:marRight w:val="0"/>
                                                              <w:marTop w:val="0"/>
                                                              <w:marBottom w:val="0"/>
                                                              <w:divBdr>
                                                                <w:top w:val="none" w:sz="0" w:space="0" w:color="auto"/>
                                                                <w:left w:val="none" w:sz="0" w:space="0" w:color="auto"/>
                                                                <w:bottom w:val="none" w:sz="0" w:space="0" w:color="auto"/>
                                                                <w:right w:val="none" w:sz="0" w:space="0" w:color="auto"/>
                                                              </w:divBdr>
                                                              <w:divsChild>
                                                                <w:div w:id="69431755">
                                                                  <w:marLeft w:val="0"/>
                                                                  <w:marRight w:val="0"/>
                                                                  <w:marTop w:val="0"/>
                                                                  <w:marBottom w:val="0"/>
                                                                  <w:divBdr>
                                                                    <w:top w:val="none" w:sz="0" w:space="0" w:color="auto"/>
                                                                    <w:left w:val="none" w:sz="0" w:space="0" w:color="auto"/>
                                                                    <w:bottom w:val="none" w:sz="0" w:space="0" w:color="auto"/>
                                                                    <w:right w:val="none" w:sz="0" w:space="0" w:color="auto"/>
                                                                  </w:divBdr>
                                                                  <w:divsChild>
                                                                    <w:div w:id="1997566660">
                                                                      <w:marLeft w:val="0"/>
                                                                      <w:marRight w:val="0"/>
                                                                      <w:marTop w:val="0"/>
                                                                      <w:marBottom w:val="0"/>
                                                                      <w:divBdr>
                                                                        <w:top w:val="none" w:sz="0" w:space="0" w:color="auto"/>
                                                                        <w:left w:val="none" w:sz="0" w:space="0" w:color="auto"/>
                                                                        <w:bottom w:val="none" w:sz="0" w:space="0" w:color="auto"/>
                                                                        <w:right w:val="none" w:sz="0" w:space="0" w:color="auto"/>
                                                                      </w:divBdr>
                                                                      <w:divsChild>
                                                                        <w:div w:id="1860702272">
                                                                          <w:marLeft w:val="0"/>
                                                                          <w:marRight w:val="0"/>
                                                                          <w:marTop w:val="0"/>
                                                                          <w:marBottom w:val="0"/>
                                                                          <w:divBdr>
                                                                            <w:top w:val="none" w:sz="0" w:space="0" w:color="auto"/>
                                                                            <w:left w:val="none" w:sz="0" w:space="0" w:color="auto"/>
                                                                            <w:bottom w:val="none" w:sz="0" w:space="0" w:color="auto"/>
                                                                            <w:right w:val="none" w:sz="0" w:space="0" w:color="auto"/>
                                                                          </w:divBdr>
                                                                          <w:divsChild>
                                                                            <w:div w:id="49772348">
                                                                              <w:marLeft w:val="0"/>
                                                                              <w:marRight w:val="0"/>
                                                                              <w:marTop w:val="0"/>
                                                                              <w:marBottom w:val="0"/>
                                                                              <w:divBdr>
                                                                                <w:top w:val="none" w:sz="0" w:space="0" w:color="auto"/>
                                                                                <w:left w:val="none" w:sz="0" w:space="0" w:color="auto"/>
                                                                                <w:bottom w:val="none" w:sz="0" w:space="0" w:color="auto"/>
                                                                                <w:right w:val="none" w:sz="0" w:space="0" w:color="auto"/>
                                                                              </w:divBdr>
                                                                              <w:divsChild>
                                                                                <w:div w:id="206575975">
                                                                                  <w:marLeft w:val="0"/>
                                                                                  <w:marRight w:val="0"/>
                                                                                  <w:marTop w:val="0"/>
                                                                                  <w:marBottom w:val="0"/>
                                                                                  <w:divBdr>
                                                                                    <w:top w:val="none" w:sz="0" w:space="0" w:color="auto"/>
                                                                                    <w:left w:val="none" w:sz="0" w:space="0" w:color="auto"/>
                                                                                    <w:bottom w:val="none" w:sz="0" w:space="0" w:color="auto"/>
                                                                                    <w:right w:val="none" w:sz="0" w:space="0" w:color="auto"/>
                                                                                  </w:divBdr>
                                                                                  <w:divsChild>
                                                                                    <w:div w:id="200631106">
                                                                                      <w:marLeft w:val="0"/>
                                                                                      <w:marRight w:val="0"/>
                                                                                      <w:marTop w:val="0"/>
                                                                                      <w:marBottom w:val="0"/>
                                                                                      <w:divBdr>
                                                                                        <w:top w:val="none" w:sz="0" w:space="0" w:color="auto"/>
                                                                                        <w:left w:val="none" w:sz="0" w:space="0" w:color="auto"/>
                                                                                        <w:bottom w:val="none" w:sz="0" w:space="0" w:color="auto"/>
                                                                                        <w:right w:val="none" w:sz="0" w:space="0" w:color="auto"/>
                                                                                      </w:divBdr>
                                                                                      <w:divsChild>
                                                                                        <w:div w:id="492451621">
                                                                                          <w:marLeft w:val="0"/>
                                                                                          <w:marRight w:val="0"/>
                                                                                          <w:marTop w:val="0"/>
                                                                                          <w:marBottom w:val="0"/>
                                                                                          <w:divBdr>
                                                                                            <w:top w:val="none" w:sz="0" w:space="0" w:color="auto"/>
                                                                                            <w:left w:val="none" w:sz="0" w:space="0" w:color="auto"/>
                                                                                            <w:bottom w:val="none" w:sz="0" w:space="0" w:color="auto"/>
                                                                                            <w:right w:val="none" w:sz="0" w:space="0" w:color="auto"/>
                                                                                          </w:divBdr>
                                                                                          <w:divsChild>
                                                                                            <w:div w:id="568657017">
                                                                                              <w:marLeft w:val="0"/>
                                                                                              <w:marRight w:val="0"/>
                                                                                              <w:marTop w:val="0"/>
                                                                                              <w:marBottom w:val="0"/>
                                                                                              <w:divBdr>
                                                                                                <w:top w:val="none" w:sz="0" w:space="0" w:color="auto"/>
                                                                                                <w:left w:val="none" w:sz="0" w:space="0" w:color="auto"/>
                                                                                                <w:bottom w:val="none" w:sz="0" w:space="0" w:color="auto"/>
                                                                                                <w:right w:val="none" w:sz="0" w:space="0" w:color="auto"/>
                                                                                              </w:divBdr>
                                                                                              <w:divsChild>
                                                                                                <w:div w:id="47651336">
                                                                                                  <w:marLeft w:val="0"/>
                                                                                                  <w:marRight w:val="0"/>
                                                                                                  <w:marTop w:val="0"/>
                                                                                                  <w:marBottom w:val="0"/>
                                                                                                  <w:divBdr>
                                                                                                    <w:top w:val="none" w:sz="0" w:space="0" w:color="auto"/>
                                                                                                    <w:left w:val="none" w:sz="0" w:space="0" w:color="auto"/>
                                                                                                    <w:bottom w:val="none" w:sz="0" w:space="0" w:color="auto"/>
                                                                                                    <w:right w:val="none" w:sz="0" w:space="0" w:color="auto"/>
                                                                                                  </w:divBdr>
                                                                                                  <w:divsChild>
                                                                                                    <w:div w:id="1869100262">
                                                                                                      <w:marLeft w:val="0"/>
                                                                                                      <w:marRight w:val="0"/>
                                                                                                      <w:marTop w:val="0"/>
                                                                                                      <w:marBottom w:val="0"/>
                                                                                                      <w:divBdr>
                                                                                                        <w:top w:val="none" w:sz="0" w:space="0" w:color="auto"/>
                                                                                                        <w:left w:val="none" w:sz="0" w:space="0" w:color="auto"/>
                                                                                                        <w:bottom w:val="none" w:sz="0" w:space="0" w:color="auto"/>
                                                                                                        <w:right w:val="none" w:sz="0" w:space="0" w:color="auto"/>
                                                                                                      </w:divBdr>
                                                                                                      <w:divsChild>
                                                                                                        <w:div w:id="1702122868">
                                                                                                          <w:marLeft w:val="0"/>
                                                                                                          <w:marRight w:val="0"/>
                                                                                                          <w:marTop w:val="0"/>
                                                                                                          <w:marBottom w:val="0"/>
                                                                                                          <w:divBdr>
                                                                                                            <w:top w:val="none" w:sz="0" w:space="0" w:color="auto"/>
                                                                                                            <w:left w:val="none" w:sz="0" w:space="0" w:color="auto"/>
                                                                                                            <w:bottom w:val="none" w:sz="0" w:space="0" w:color="auto"/>
                                                                                                            <w:right w:val="none" w:sz="0" w:space="0" w:color="auto"/>
                                                                                                          </w:divBdr>
                                                                                                          <w:divsChild>
                                                                                                            <w:div w:id="1740439765">
                                                                                                              <w:marLeft w:val="0"/>
                                                                                                              <w:marRight w:val="0"/>
                                                                                                              <w:marTop w:val="0"/>
                                                                                                              <w:marBottom w:val="0"/>
                                                                                                              <w:divBdr>
                                                                                                                <w:top w:val="none" w:sz="0" w:space="0" w:color="auto"/>
                                                                                                                <w:left w:val="none" w:sz="0" w:space="0" w:color="auto"/>
                                                                                                                <w:bottom w:val="none" w:sz="0" w:space="0" w:color="auto"/>
                                                                                                                <w:right w:val="none" w:sz="0" w:space="0" w:color="auto"/>
                                                                                                              </w:divBdr>
                                                                                                              <w:divsChild>
                                                                                                                <w:div w:id="1999645815">
                                                                                                                  <w:marLeft w:val="0"/>
                                                                                                                  <w:marRight w:val="0"/>
                                                                                                                  <w:marTop w:val="0"/>
                                                                                                                  <w:marBottom w:val="0"/>
                                                                                                                  <w:divBdr>
                                                                                                                    <w:top w:val="none" w:sz="0" w:space="0" w:color="auto"/>
                                                                                                                    <w:left w:val="none" w:sz="0" w:space="0" w:color="auto"/>
                                                                                                                    <w:bottom w:val="none" w:sz="0" w:space="0" w:color="auto"/>
                                                                                                                    <w:right w:val="none" w:sz="0" w:space="0" w:color="auto"/>
                                                                                                                  </w:divBdr>
                                                                                                                  <w:divsChild>
                                                                                                                    <w:div w:id="7154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129256">
      <w:bodyDiv w:val="1"/>
      <w:marLeft w:val="0"/>
      <w:marRight w:val="0"/>
      <w:marTop w:val="0"/>
      <w:marBottom w:val="0"/>
      <w:divBdr>
        <w:top w:val="none" w:sz="0" w:space="0" w:color="auto"/>
        <w:left w:val="none" w:sz="0" w:space="0" w:color="auto"/>
        <w:bottom w:val="none" w:sz="0" w:space="0" w:color="auto"/>
        <w:right w:val="none" w:sz="0" w:space="0" w:color="auto"/>
      </w:divBdr>
    </w:div>
    <w:div w:id="1595820708">
      <w:bodyDiv w:val="1"/>
      <w:marLeft w:val="0"/>
      <w:marRight w:val="0"/>
      <w:marTop w:val="0"/>
      <w:marBottom w:val="0"/>
      <w:divBdr>
        <w:top w:val="none" w:sz="0" w:space="0" w:color="auto"/>
        <w:left w:val="none" w:sz="0" w:space="0" w:color="auto"/>
        <w:bottom w:val="none" w:sz="0" w:space="0" w:color="auto"/>
        <w:right w:val="none" w:sz="0" w:space="0" w:color="auto"/>
      </w:divBdr>
    </w:div>
    <w:div w:id="1628850410">
      <w:bodyDiv w:val="1"/>
      <w:marLeft w:val="0"/>
      <w:marRight w:val="0"/>
      <w:marTop w:val="0"/>
      <w:marBottom w:val="0"/>
      <w:divBdr>
        <w:top w:val="none" w:sz="0" w:space="0" w:color="auto"/>
        <w:left w:val="none" w:sz="0" w:space="0" w:color="auto"/>
        <w:bottom w:val="none" w:sz="0" w:space="0" w:color="auto"/>
        <w:right w:val="none" w:sz="0" w:space="0" w:color="auto"/>
      </w:divBdr>
    </w:div>
    <w:div w:id="1694183495">
      <w:bodyDiv w:val="1"/>
      <w:marLeft w:val="0"/>
      <w:marRight w:val="0"/>
      <w:marTop w:val="0"/>
      <w:marBottom w:val="0"/>
      <w:divBdr>
        <w:top w:val="none" w:sz="0" w:space="0" w:color="auto"/>
        <w:left w:val="none" w:sz="0" w:space="0" w:color="auto"/>
        <w:bottom w:val="none" w:sz="0" w:space="0" w:color="auto"/>
        <w:right w:val="none" w:sz="0" w:space="0" w:color="auto"/>
      </w:divBdr>
    </w:div>
    <w:div w:id="1727995454">
      <w:bodyDiv w:val="1"/>
      <w:marLeft w:val="0"/>
      <w:marRight w:val="0"/>
      <w:marTop w:val="0"/>
      <w:marBottom w:val="0"/>
      <w:divBdr>
        <w:top w:val="none" w:sz="0" w:space="0" w:color="auto"/>
        <w:left w:val="none" w:sz="0" w:space="0" w:color="auto"/>
        <w:bottom w:val="none" w:sz="0" w:space="0" w:color="auto"/>
        <w:right w:val="none" w:sz="0" w:space="0" w:color="auto"/>
      </w:divBdr>
    </w:div>
    <w:div w:id="1884050932">
      <w:bodyDiv w:val="1"/>
      <w:marLeft w:val="0"/>
      <w:marRight w:val="0"/>
      <w:marTop w:val="0"/>
      <w:marBottom w:val="0"/>
      <w:divBdr>
        <w:top w:val="none" w:sz="0" w:space="0" w:color="auto"/>
        <w:left w:val="none" w:sz="0" w:space="0" w:color="auto"/>
        <w:bottom w:val="none" w:sz="0" w:space="0" w:color="auto"/>
        <w:right w:val="none" w:sz="0" w:space="0" w:color="auto"/>
      </w:divBdr>
    </w:div>
    <w:div w:id="1906911023">
      <w:bodyDiv w:val="1"/>
      <w:marLeft w:val="0"/>
      <w:marRight w:val="0"/>
      <w:marTop w:val="0"/>
      <w:marBottom w:val="0"/>
      <w:divBdr>
        <w:top w:val="none" w:sz="0" w:space="0" w:color="auto"/>
        <w:left w:val="none" w:sz="0" w:space="0" w:color="auto"/>
        <w:bottom w:val="none" w:sz="0" w:space="0" w:color="auto"/>
        <w:right w:val="none" w:sz="0" w:space="0" w:color="auto"/>
      </w:divBdr>
    </w:div>
    <w:div w:id="1951858691">
      <w:bodyDiv w:val="1"/>
      <w:marLeft w:val="0"/>
      <w:marRight w:val="0"/>
      <w:marTop w:val="0"/>
      <w:marBottom w:val="0"/>
      <w:divBdr>
        <w:top w:val="none" w:sz="0" w:space="0" w:color="auto"/>
        <w:left w:val="none" w:sz="0" w:space="0" w:color="auto"/>
        <w:bottom w:val="none" w:sz="0" w:space="0" w:color="auto"/>
        <w:right w:val="none" w:sz="0" w:space="0" w:color="auto"/>
      </w:divBdr>
    </w:div>
    <w:div w:id="201040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zzo@uq.edu.au" TargetMode="External"/><Relationship Id="rId13" Type="http://schemas.openxmlformats.org/officeDocument/2006/relationships/hyperlink" Target="https://www.valuedopinions.co.uk/rewards" TargetMode="External"/><Relationship Id="rId18" Type="http://schemas.openxmlformats.org/officeDocument/2006/relationships/hyperlink" Target="http://health.spectator.co.uk/a-tax-on-sugar-wont-work-as-the-shipwreck-of-the-danish-fat-tax-shows/" TargetMode="External"/><Relationship Id="rId26" Type="http://schemas.microsoft.com/office/2007/relationships/hdphoto" Target="media/hdphoto1.wdp"/><Relationship Id="rId3" Type="http://schemas.openxmlformats.org/officeDocument/2006/relationships/styles" Target="styles.xml"/><Relationship Id="rId21" Type="http://schemas.openxmlformats.org/officeDocument/2006/relationships/hyperlink" Target="http://apps.who.int/iris/bitstream/handle/10665/250131/9789241511247-eng.pdf;jsessionid=0A67D9438B0031D1F2DBAD4CE39CDF7B?sequence=1" TargetMode="External"/><Relationship Id="rId7" Type="http://schemas.openxmlformats.org/officeDocument/2006/relationships/endnotes" Target="endnotes.xml"/><Relationship Id="rId12" Type="http://schemas.openxmlformats.org/officeDocument/2006/relationships/hyperlink" Target="http://alcalc.oxfordjournals.org/content/early/2015/09/19/alcalc.agv104" TargetMode="External"/><Relationship Id="rId17" Type="http://schemas.openxmlformats.org/officeDocument/2006/relationships/hyperlink" Target="https://uk.kantar.com/consumer/shoppers/2015/%20august-kantar-worldpanel-uk-grocery-share/" TargetMode="Externa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foodresearch.org.uk/publications/health-related-taxes-on-food-and-beverages/" TargetMode="External"/><Relationship Id="rId20" Type="http://schemas.openxmlformats.org/officeDocument/2006/relationships/hyperlink" Target="http://www.cedar.iph.cam.ac.uk/wp-content/uploads/2014/04/HoC-Health-follow-up-info-Feb-2015-financial-final.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ualtrics.com" TargetMode="Externa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faculty.wharton.upenn.edu/wp-content/uploads/2018/08/soda_tax_jep.pdf" TargetMode="External"/><Relationship Id="rId23" Type="http://schemas.openxmlformats.org/officeDocument/2006/relationships/image" Target="media/image2.png"/><Relationship Id="rId28" Type="http://schemas.microsoft.com/office/2007/relationships/hdphoto" Target="media/hdphoto2.wdp"/><Relationship Id="rId10" Type="http://schemas.openxmlformats.org/officeDocument/2006/relationships/hyperlink" Target="http://www.researchnow.com" TargetMode="External"/><Relationship Id="rId19" Type="http://schemas.openxmlformats.org/officeDocument/2006/relationships/hyperlink" Target="https://www.gov.uk/government/publications/soft-drinks-industry-levy/soft-drinks-industry-levy"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oodssupermarket.co.uk/login?%20demo=1" TargetMode="External"/><Relationship Id="rId14" Type="http://schemas.openxmlformats.org/officeDocument/2006/relationships/hyperlink" Target="http://www.actiononsugar.org/news-centre/surveys/2015/cereals-still-stuffed-with-sugar.html" TargetMode="External"/><Relationship Id="rId22" Type="http://schemas.openxmlformats.org/officeDocument/2006/relationships/image" Target="media/image1.png"/><Relationship Id="rId27" Type="http://schemas.openxmlformats.org/officeDocument/2006/relationships/image" Target="media/image5.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9E0F4-ECE8-4143-A2B6-0A8609CCB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TotalTime>
  <Pages>47</Pages>
  <Words>14588</Words>
  <Characters>83156</Characters>
  <Application>Microsoft Office Word</Application>
  <DocSecurity>0</DocSecurity>
  <Lines>692</Lines>
  <Paragraphs>195</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97549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Zizzo</dc:creator>
  <cp:keywords/>
  <dc:description/>
  <cp:lastModifiedBy>Daniel Zizzo</cp:lastModifiedBy>
  <cp:revision>52</cp:revision>
  <cp:lastPrinted>2018-09-08T13:31:00Z</cp:lastPrinted>
  <dcterms:created xsi:type="dcterms:W3CDTF">2020-08-18T07:59:00Z</dcterms:created>
  <dcterms:modified xsi:type="dcterms:W3CDTF">2020-12-23T05:05:00Z</dcterms:modified>
</cp:coreProperties>
</file>